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81A42B" w14:textId="503E38F6" w:rsidR="007172D4" w:rsidRPr="000749B2" w:rsidRDefault="007172D4" w:rsidP="000B4309">
      <w:pPr>
        <w:spacing w:after="0" w:line="360" w:lineRule="auto"/>
        <w:jc w:val="both"/>
        <w:rPr>
          <w:rFonts w:ascii="Book Antiqua" w:hAnsi="Book Antiqua"/>
          <w:b/>
          <w:i/>
          <w:color w:val="000000" w:themeColor="text1"/>
          <w:sz w:val="24"/>
          <w:szCs w:val="24"/>
        </w:rPr>
      </w:pPr>
      <w:r w:rsidRPr="000749B2">
        <w:rPr>
          <w:rFonts w:ascii="Book Antiqua" w:hAnsi="Book Antiqua"/>
          <w:b/>
          <w:color w:val="000000" w:themeColor="text1"/>
          <w:sz w:val="24"/>
          <w:szCs w:val="24"/>
        </w:rPr>
        <w:t xml:space="preserve">Name of Journal: </w:t>
      </w:r>
      <w:r w:rsidRPr="000749B2">
        <w:rPr>
          <w:rFonts w:ascii="Book Antiqua" w:hAnsi="Book Antiqua"/>
          <w:i/>
          <w:color w:val="000000" w:themeColor="text1"/>
          <w:sz w:val="24"/>
          <w:szCs w:val="24"/>
        </w:rPr>
        <w:t>World Journal of Gastroenterology</w:t>
      </w:r>
    </w:p>
    <w:p w14:paraId="3883E84D" w14:textId="3BFDFBC6" w:rsidR="007172D4" w:rsidRPr="000749B2" w:rsidRDefault="007172D4" w:rsidP="000B4309">
      <w:pPr>
        <w:spacing w:after="0" w:line="360" w:lineRule="auto"/>
        <w:jc w:val="both"/>
        <w:rPr>
          <w:rFonts w:ascii="Book Antiqua" w:hAnsi="Book Antiqua"/>
          <w:b/>
          <w:color w:val="000000" w:themeColor="text1"/>
          <w:sz w:val="24"/>
          <w:szCs w:val="24"/>
        </w:rPr>
      </w:pPr>
      <w:r w:rsidRPr="000749B2">
        <w:rPr>
          <w:rFonts w:ascii="Book Antiqua" w:hAnsi="Book Antiqua"/>
          <w:b/>
          <w:color w:val="000000" w:themeColor="text1"/>
          <w:sz w:val="24"/>
          <w:szCs w:val="24"/>
        </w:rPr>
        <w:t xml:space="preserve">Manuscript NO: </w:t>
      </w:r>
      <w:r w:rsidRPr="000749B2">
        <w:rPr>
          <w:rFonts w:ascii="Book Antiqua" w:hAnsi="Book Antiqua"/>
          <w:color w:val="000000" w:themeColor="text1"/>
          <w:sz w:val="24"/>
          <w:szCs w:val="24"/>
        </w:rPr>
        <w:t>53411</w:t>
      </w:r>
    </w:p>
    <w:p w14:paraId="6D2D5574" w14:textId="77777777" w:rsidR="007172D4" w:rsidRPr="000749B2" w:rsidRDefault="007172D4" w:rsidP="000B4309">
      <w:pPr>
        <w:spacing w:after="0" w:line="360" w:lineRule="auto"/>
        <w:jc w:val="both"/>
        <w:rPr>
          <w:rFonts w:ascii="Book Antiqua" w:hAnsi="Book Antiqua"/>
          <w:b/>
          <w:color w:val="000000" w:themeColor="text1"/>
          <w:sz w:val="24"/>
          <w:szCs w:val="24"/>
        </w:rPr>
      </w:pPr>
      <w:bookmarkStart w:id="0" w:name="OLE_LINK3"/>
      <w:bookmarkStart w:id="1" w:name="OLE_LINK4"/>
      <w:r w:rsidRPr="000749B2">
        <w:rPr>
          <w:rFonts w:ascii="Book Antiqua" w:hAnsi="Book Antiqua"/>
          <w:b/>
          <w:color w:val="000000" w:themeColor="text1"/>
          <w:sz w:val="24"/>
          <w:szCs w:val="24"/>
          <w:shd w:val="clear" w:color="auto" w:fill="FFFFFF"/>
        </w:rPr>
        <w:t>Manuscript Type</w:t>
      </w:r>
      <w:bookmarkEnd w:id="0"/>
      <w:bookmarkEnd w:id="1"/>
      <w:r w:rsidRPr="000749B2">
        <w:rPr>
          <w:rFonts w:ascii="Book Antiqua" w:hAnsi="Book Antiqua"/>
          <w:b/>
          <w:color w:val="000000" w:themeColor="text1"/>
          <w:sz w:val="24"/>
          <w:szCs w:val="24"/>
        </w:rPr>
        <w:t xml:space="preserve">: </w:t>
      </w:r>
      <w:r w:rsidRPr="000749B2">
        <w:rPr>
          <w:rFonts w:ascii="Book Antiqua" w:hAnsi="Book Antiqua"/>
          <w:color w:val="000000" w:themeColor="text1"/>
          <w:sz w:val="24"/>
          <w:szCs w:val="24"/>
        </w:rPr>
        <w:t>REVIEW</w:t>
      </w:r>
    </w:p>
    <w:p w14:paraId="0E680E00" w14:textId="77777777" w:rsidR="007172D4" w:rsidRPr="000749B2" w:rsidRDefault="007172D4" w:rsidP="000B4309">
      <w:pPr>
        <w:spacing w:after="0" w:line="360" w:lineRule="auto"/>
        <w:jc w:val="both"/>
        <w:rPr>
          <w:rFonts w:ascii="Book Antiqua" w:hAnsi="Book Antiqua"/>
          <w:b/>
          <w:color w:val="000000" w:themeColor="text1"/>
          <w:sz w:val="24"/>
          <w:szCs w:val="24"/>
        </w:rPr>
      </w:pPr>
    </w:p>
    <w:p w14:paraId="1ECFCF9C" w14:textId="08539385" w:rsidR="007172D4" w:rsidRPr="000749B2" w:rsidRDefault="009212D2" w:rsidP="000B4309">
      <w:pPr>
        <w:spacing w:after="0" w:line="360" w:lineRule="auto"/>
        <w:jc w:val="both"/>
        <w:rPr>
          <w:rFonts w:ascii="Book Antiqua" w:hAnsi="Book Antiqua"/>
          <w:b/>
          <w:color w:val="000000" w:themeColor="text1"/>
          <w:sz w:val="24"/>
          <w:szCs w:val="24"/>
        </w:rPr>
      </w:pPr>
      <w:r w:rsidRPr="000749B2">
        <w:rPr>
          <w:rFonts w:ascii="Book Antiqua" w:eastAsia="Times New Roman" w:hAnsi="Book Antiqua" w:cs="Times New Roman"/>
          <w:b/>
          <w:bCs/>
          <w:color w:val="000000" w:themeColor="text1"/>
          <w:sz w:val="24"/>
          <w:szCs w:val="24"/>
        </w:rPr>
        <w:t xml:space="preserve">Mouse </w:t>
      </w:r>
      <w:r w:rsidR="007172D4" w:rsidRPr="000749B2">
        <w:rPr>
          <w:rFonts w:ascii="Book Antiqua" w:eastAsia="Times New Roman" w:hAnsi="Book Antiqua" w:cs="Times New Roman"/>
          <w:b/>
          <w:bCs/>
          <w:color w:val="000000" w:themeColor="text1"/>
          <w:sz w:val="24"/>
          <w:szCs w:val="24"/>
        </w:rPr>
        <w:t>models of colorectal cancer</w:t>
      </w:r>
      <w:r w:rsidRPr="000749B2">
        <w:rPr>
          <w:rFonts w:ascii="Book Antiqua" w:eastAsia="Times New Roman" w:hAnsi="Book Antiqua" w:cs="Times New Roman"/>
          <w:b/>
          <w:bCs/>
          <w:color w:val="000000" w:themeColor="text1"/>
          <w:sz w:val="24"/>
          <w:szCs w:val="24"/>
        </w:rPr>
        <w:t xml:space="preserve">: Past, </w:t>
      </w:r>
      <w:r w:rsidR="007172D4" w:rsidRPr="000749B2">
        <w:rPr>
          <w:rFonts w:ascii="Book Antiqua" w:eastAsia="Times New Roman" w:hAnsi="Book Antiqua" w:cs="Times New Roman"/>
          <w:b/>
          <w:bCs/>
          <w:color w:val="000000" w:themeColor="text1"/>
          <w:sz w:val="24"/>
          <w:szCs w:val="24"/>
        </w:rPr>
        <w:t>present and future perspectives</w:t>
      </w:r>
    </w:p>
    <w:p w14:paraId="64FEF67A" w14:textId="387BDDEA" w:rsidR="007172D4" w:rsidRPr="000749B2" w:rsidRDefault="007172D4" w:rsidP="000B4309">
      <w:pPr>
        <w:spacing w:after="0" w:line="360" w:lineRule="auto"/>
        <w:jc w:val="both"/>
        <w:rPr>
          <w:rFonts w:ascii="Book Antiqua" w:hAnsi="Book Antiqua"/>
          <w:b/>
          <w:color w:val="000000" w:themeColor="text1"/>
          <w:sz w:val="24"/>
          <w:szCs w:val="24"/>
        </w:rPr>
      </w:pPr>
    </w:p>
    <w:p w14:paraId="02FD191A" w14:textId="520DFEE6" w:rsidR="007172D4" w:rsidRPr="000749B2" w:rsidRDefault="007172D4" w:rsidP="000B4309">
      <w:pPr>
        <w:spacing w:after="0" w:line="360" w:lineRule="auto"/>
        <w:jc w:val="both"/>
        <w:rPr>
          <w:rFonts w:ascii="Book Antiqua" w:hAnsi="Book Antiqua"/>
          <w:color w:val="000000" w:themeColor="text1"/>
          <w:sz w:val="24"/>
          <w:szCs w:val="24"/>
          <w:lang w:eastAsia="zh-CN"/>
        </w:rPr>
      </w:pPr>
      <w:r w:rsidRPr="000749B2">
        <w:rPr>
          <w:rFonts w:ascii="Book Antiqua" w:hAnsi="Book Antiqua"/>
          <w:color w:val="000000" w:themeColor="text1"/>
          <w:sz w:val="24"/>
          <w:szCs w:val="24"/>
        </w:rPr>
        <w:t xml:space="preserve">Bürtin </w:t>
      </w:r>
      <w:r w:rsidRPr="000749B2">
        <w:rPr>
          <w:rFonts w:ascii="Book Antiqua" w:hAnsi="Book Antiqua"/>
          <w:color w:val="000000" w:themeColor="text1"/>
          <w:sz w:val="24"/>
          <w:szCs w:val="24"/>
          <w:lang w:eastAsia="zh-CN"/>
        </w:rPr>
        <w:t xml:space="preserve">F </w:t>
      </w:r>
      <w:r w:rsidRPr="000749B2">
        <w:rPr>
          <w:rFonts w:ascii="Book Antiqua" w:hAnsi="Book Antiqua"/>
          <w:i/>
          <w:iCs/>
          <w:color w:val="000000" w:themeColor="text1"/>
          <w:sz w:val="24"/>
          <w:szCs w:val="24"/>
          <w:lang w:eastAsia="zh-CN"/>
        </w:rPr>
        <w:t>et al</w:t>
      </w:r>
      <w:r w:rsidRPr="000749B2">
        <w:rPr>
          <w:rFonts w:ascii="Book Antiqua" w:hAnsi="Book Antiqua"/>
          <w:color w:val="000000" w:themeColor="text1"/>
          <w:sz w:val="24"/>
          <w:szCs w:val="24"/>
          <w:lang w:eastAsia="zh-CN"/>
        </w:rPr>
        <w:t xml:space="preserve">. Mouse models of </w:t>
      </w:r>
      <w:r w:rsidR="00031742" w:rsidRPr="000749B2">
        <w:rPr>
          <w:rFonts w:ascii="Book Antiqua" w:hAnsi="Book Antiqua"/>
          <w:color w:val="000000" w:themeColor="text1"/>
          <w:sz w:val="24"/>
          <w:szCs w:val="24"/>
          <w:lang w:eastAsia="zh-CN"/>
        </w:rPr>
        <w:t>CRC</w:t>
      </w:r>
    </w:p>
    <w:p w14:paraId="560C509A" w14:textId="77777777" w:rsidR="007172D4" w:rsidRPr="000749B2" w:rsidRDefault="007172D4" w:rsidP="000B4309">
      <w:pPr>
        <w:spacing w:after="0" w:line="360" w:lineRule="auto"/>
        <w:jc w:val="both"/>
        <w:rPr>
          <w:rFonts w:ascii="Book Antiqua" w:hAnsi="Book Antiqua"/>
          <w:color w:val="000000" w:themeColor="text1"/>
          <w:sz w:val="24"/>
          <w:szCs w:val="24"/>
        </w:rPr>
      </w:pPr>
    </w:p>
    <w:p w14:paraId="56CCEC69" w14:textId="379AFB63" w:rsidR="00C36933" w:rsidRPr="000749B2" w:rsidRDefault="00C36933" w:rsidP="000B4309">
      <w:pPr>
        <w:spacing w:after="0" w:line="360" w:lineRule="auto"/>
        <w:jc w:val="both"/>
        <w:rPr>
          <w:rStyle w:val="orcid-id-https"/>
          <w:rFonts w:ascii="Book Antiqua" w:hAnsi="Book Antiqua"/>
          <w:color w:val="000000" w:themeColor="text1"/>
          <w:sz w:val="24"/>
          <w:szCs w:val="24"/>
        </w:rPr>
      </w:pPr>
      <w:r w:rsidRPr="000749B2">
        <w:rPr>
          <w:rFonts w:ascii="Book Antiqua" w:hAnsi="Book Antiqua"/>
          <w:color w:val="000000" w:themeColor="text1"/>
          <w:sz w:val="24"/>
          <w:szCs w:val="24"/>
        </w:rPr>
        <w:t>Florian Bürtin</w:t>
      </w:r>
      <w:r w:rsidR="00D41744" w:rsidRPr="000749B2">
        <w:rPr>
          <w:rStyle w:val="orcid-id-https"/>
          <w:rFonts w:ascii="Book Antiqua" w:hAnsi="Book Antiqua"/>
          <w:color w:val="000000" w:themeColor="text1"/>
          <w:sz w:val="24"/>
          <w:szCs w:val="24"/>
        </w:rPr>
        <w:t>, Christina S Mullins</w:t>
      </w:r>
      <w:r w:rsidR="007172D4" w:rsidRPr="000749B2">
        <w:rPr>
          <w:rStyle w:val="orcid-id-https"/>
          <w:rFonts w:ascii="Book Antiqua" w:hAnsi="Book Antiqua"/>
          <w:color w:val="000000" w:themeColor="text1"/>
          <w:sz w:val="24"/>
          <w:szCs w:val="24"/>
        </w:rPr>
        <w:t xml:space="preserve">, </w:t>
      </w:r>
      <w:r w:rsidRPr="000749B2">
        <w:rPr>
          <w:rFonts w:ascii="Book Antiqua" w:hAnsi="Book Antiqua"/>
          <w:color w:val="000000" w:themeColor="text1"/>
          <w:sz w:val="24"/>
          <w:szCs w:val="24"/>
        </w:rPr>
        <w:t>Michael Linnebacher</w:t>
      </w:r>
    </w:p>
    <w:p w14:paraId="58B5B83E" w14:textId="77777777" w:rsidR="00B74903" w:rsidRPr="000749B2" w:rsidRDefault="00B74903" w:rsidP="000B4309">
      <w:pPr>
        <w:spacing w:after="0" w:line="360" w:lineRule="auto"/>
        <w:jc w:val="both"/>
        <w:rPr>
          <w:rFonts w:ascii="Book Antiqua" w:eastAsia="Calibri" w:hAnsi="Book Antiqua" w:cs="Times New Roman"/>
          <w:color w:val="000000" w:themeColor="text1"/>
          <w:sz w:val="24"/>
          <w:szCs w:val="24"/>
        </w:rPr>
      </w:pPr>
    </w:p>
    <w:p w14:paraId="73CF3B35" w14:textId="124694F2" w:rsidR="009212D2" w:rsidRPr="000749B2" w:rsidRDefault="007172D4" w:rsidP="000B4309">
      <w:pPr>
        <w:spacing w:after="0" w:line="360" w:lineRule="auto"/>
        <w:jc w:val="both"/>
        <w:rPr>
          <w:rFonts w:ascii="Book Antiqua" w:eastAsia="Calibri" w:hAnsi="Book Antiqua" w:cs="Times New Roman"/>
          <w:color w:val="000000" w:themeColor="text1"/>
          <w:sz w:val="24"/>
          <w:szCs w:val="24"/>
        </w:rPr>
      </w:pPr>
      <w:r w:rsidRPr="000749B2">
        <w:rPr>
          <w:rFonts w:ascii="Book Antiqua" w:hAnsi="Book Antiqua"/>
          <w:b/>
          <w:bCs/>
          <w:color w:val="000000" w:themeColor="text1"/>
          <w:sz w:val="24"/>
          <w:szCs w:val="24"/>
        </w:rPr>
        <w:t>Florian Bürtin</w:t>
      </w:r>
      <w:r w:rsidRPr="000749B2">
        <w:rPr>
          <w:rStyle w:val="orcid-id-https"/>
          <w:rFonts w:ascii="Book Antiqua" w:hAnsi="Book Antiqua"/>
          <w:color w:val="000000" w:themeColor="text1"/>
          <w:sz w:val="24"/>
          <w:szCs w:val="24"/>
        </w:rPr>
        <w:t xml:space="preserve">, </w:t>
      </w:r>
      <w:r w:rsidR="00C36933" w:rsidRPr="000749B2">
        <w:rPr>
          <w:rFonts w:ascii="Book Antiqua" w:eastAsia="Calibri" w:hAnsi="Book Antiqua" w:cs="Times New Roman"/>
          <w:color w:val="000000" w:themeColor="text1"/>
          <w:sz w:val="24"/>
          <w:szCs w:val="24"/>
        </w:rPr>
        <w:t>Department of General, Visceral, Vascular and Transplantation Surgery, University Medical Center Rostock, University of Rostock, Rostock</w:t>
      </w:r>
      <w:r w:rsidRPr="000749B2">
        <w:rPr>
          <w:rFonts w:ascii="Book Antiqua" w:eastAsia="Calibri" w:hAnsi="Book Antiqua" w:cs="Times New Roman"/>
          <w:color w:val="000000" w:themeColor="text1"/>
          <w:sz w:val="24"/>
          <w:szCs w:val="24"/>
        </w:rPr>
        <w:t xml:space="preserve"> 18057</w:t>
      </w:r>
      <w:r w:rsidR="00C36933" w:rsidRPr="000749B2">
        <w:rPr>
          <w:rFonts w:ascii="Book Antiqua" w:eastAsia="Calibri" w:hAnsi="Book Antiqua" w:cs="Times New Roman"/>
          <w:color w:val="000000" w:themeColor="text1"/>
          <w:sz w:val="24"/>
          <w:szCs w:val="24"/>
        </w:rPr>
        <w:t>, Germany</w:t>
      </w:r>
    </w:p>
    <w:p w14:paraId="7594E8FC" w14:textId="77777777" w:rsidR="007172D4" w:rsidRPr="000749B2" w:rsidRDefault="007172D4" w:rsidP="000B4309">
      <w:pPr>
        <w:spacing w:after="0" w:line="360" w:lineRule="auto"/>
        <w:jc w:val="both"/>
        <w:rPr>
          <w:rFonts w:ascii="Book Antiqua" w:eastAsia="Calibri" w:hAnsi="Book Antiqua" w:cs="Times New Roman"/>
          <w:color w:val="000000" w:themeColor="text1"/>
          <w:sz w:val="24"/>
          <w:szCs w:val="24"/>
        </w:rPr>
      </w:pPr>
    </w:p>
    <w:p w14:paraId="0DBEFC1C" w14:textId="38CCB82B" w:rsidR="001858DC" w:rsidRPr="000749B2" w:rsidRDefault="007172D4" w:rsidP="000B4309">
      <w:pPr>
        <w:spacing w:after="0" w:line="360" w:lineRule="auto"/>
        <w:jc w:val="both"/>
        <w:rPr>
          <w:rFonts w:ascii="Book Antiqua" w:eastAsia="Calibri" w:hAnsi="Book Antiqua" w:cs="Times New Roman"/>
          <w:color w:val="000000" w:themeColor="text1"/>
          <w:sz w:val="24"/>
          <w:szCs w:val="24"/>
        </w:rPr>
      </w:pPr>
      <w:r w:rsidRPr="000749B2">
        <w:rPr>
          <w:rStyle w:val="orcid-id-https"/>
          <w:rFonts w:ascii="Book Antiqua" w:hAnsi="Book Antiqua"/>
          <w:b/>
          <w:color w:val="000000" w:themeColor="text1"/>
          <w:sz w:val="24"/>
          <w:szCs w:val="24"/>
        </w:rPr>
        <w:t xml:space="preserve">Christina S Mullins, </w:t>
      </w:r>
      <w:r w:rsidR="001858DC" w:rsidRPr="000749B2">
        <w:rPr>
          <w:rFonts w:ascii="Book Antiqua" w:eastAsia="Calibri" w:hAnsi="Book Antiqua" w:cs="Times New Roman"/>
          <w:color w:val="000000" w:themeColor="text1"/>
          <w:sz w:val="24"/>
          <w:szCs w:val="24"/>
        </w:rPr>
        <w:t>Department of Thoracic Surgery, University Medical Center Rostock, University of Rostock, Rostock</w:t>
      </w:r>
      <w:r w:rsidRPr="000749B2">
        <w:rPr>
          <w:rFonts w:ascii="Book Antiqua" w:eastAsia="Calibri" w:hAnsi="Book Antiqua" w:cs="Times New Roman"/>
          <w:color w:val="000000" w:themeColor="text1"/>
          <w:sz w:val="24"/>
          <w:szCs w:val="24"/>
        </w:rPr>
        <w:t xml:space="preserve"> 18057</w:t>
      </w:r>
      <w:r w:rsidR="001858DC" w:rsidRPr="000749B2">
        <w:rPr>
          <w:rFonts w:ascii="Book Antiqua" w:eastAsia="Calibri" w:hAnsi="Book Antiqua" w:cs="Times New Roman"/>
          <w:color w:val="000000" w:themeColor="text1"/>
          <w:sz w:val="24"/>
          <w:szCs w:val="24"/>
        </w:rPr>
        <w:t>, Germany</w:t>
      </w:r>
    </w:p>
    <w:p w14:paraId="5BC4D8D7" w14:textId="77777777" w:rsidR="007172D4" w:rsidRPr="000749B2" w:rsidRDefault="007172D4" w:rsidP="000B4309">
      <w:pPr>
        <w:spacing w:after="0" w:line="360" w:lineRule="auto"/>
        <w:jc w:val="both"/>
        <w:rPr>
          <w:rFonts w:ascii="Book Antiqua" w:eastAsia="Calibri" w:hAnsi="Book Antiqua" w:cs="Times New Roman"/>
          <w:color w:val="000000" w:themeColor="text1"/>
          <w:sz w:val="24"/>
          <w:szCs w:val="24"/>
        </w:rPr>
      </w:pPr>
    </w:p>
    <w:p w14:paraId="358FD22B" w14:textId="7A2D8BD5" w:rsidR="00C36933" w:rsidRPr="000749B2" w:rsidRDefault="007172D4" w:rsidP="000B4309">
      <w:pPr>
        <w:spacing w:after="0" w:line="360" w:lineRule="auto"/>
        <w:jc w:val="both"/>
        <w:rPr>
          <w:rFonts w:ascii="Book Antiqua" w:eastAsia="Calibri" w:hAnsi="Book Antiqua" w:cs="Times New Roman"/>
          <w:color w:val="000000" w:themeColor="text1"/>
          <w:sz w:val="24"/>
          <w:szCs w:val="24"/>
        </w:rPr>
      </w:pPr>
      <w:r w:rsidRPr="000749B2">
        <w:rPr>
          <w:rFonts w:ascii="Book Antiqua" w:hAnsi="Book Antiqua"/>
          <w:b/>
          <w:bCs/>
          <w:color w:val="000000" w:themeColor="text1"/>
          <w:sz w:val="24"/>
          <w:szCs w:val="24"/>
        </w:rPr>
        <w:t>Michael Linnebacher,</w:t>
      </w:r>
      <w:r w:rsidRPr="000749B2">
        <w:rPr>
          <w:rFonts w:ascii="Book Antiqua" w:eastAsia="Calibri" w:hAnsi="Book Antiqua" w:cs="Times New Roman"/>
          <w:color w:val="000000" w:themeColor="text1"/>
          <w:sz w:val="24"/>
          <w:szCs w:val="24"/>
        </w:rPr>
        <w:t xml:space="preserve"> </w:t>
      </w:r>
      <w:r w:rsidR="00C36933" w:rsidRPr="000749B2">
        <w:rPr>
          <w:rFonts w:ascii="Book Antiqua" w:eastAsia="Calibri" w:hAnsi="Book Antiqua" w:cs="Times New Roman"/>
          <w:color w:val="000000" w:themeColor="text1"/>
          <w:sz w:val="24"/>
          <w:szCs w:val="24"/>
        </w:rPr>
        <w:t>Molecular Oncology and Immunotherapy, Department of General, Visceral, Vascular and Transplantation Surgery, University Medical Center Rostock, Rostock</w:t>
      </w:r>
      <w:r w:rsidRPr="000749B2">
        <w:rPr>
          <w:rFonts w:ascii="Book Antiqua" w:eastAsia="Calibri" w:hAnsi="Book Antiqua" w:cs="Times New Roman"/>
          <w:color w:val="000000" w:themeColor="text1"/>
          <w:sz w:val="24"/>
          <w:szCs w:val="24"/>
        </w:rPr>
        <w:t xml:space="preserve"> 18057</w:t>
      </w:r>
      <w:r w:rsidR="00C36933" w:rsidRPr="000749B2">
        <w:rPr>
          <w:rFonts w:ascii="Book Antiqua" w:eastAsia="Calibri" w:hAnsi="Book Antiqua" w:cs="Times New Roman"/>
          <w:color w:val="000000" w:themeColor="text1"/>
          <w:sz w:val="24"/>
          <w:szCs w:val="24"/>
        </w:rPr>
        <w:t xml:space="preserve">, Germany </w:t>
      </w:r>
    </w:p>
    <w:p w14:paraId="38D32445" w14:textId="17233FF7" w:rsidR="007172D4" w:rsidRPr="000749B2" w:rsidRDefault="007172D4" w:rsidP="000B4309">
      <w:pPr>
        <w:spacing w:after="0" w:line="360" w:lineRule="auto"/>
        <w:jc w:val="both"/>
        <w:rPr>
          <w:rFonts w:ascii="Book Antiqua" w:eastAsia="Calibri" w:hAnsi="Book Antiqua" w:cs="Times New Roman"/>
          <w:color w:val="000000" w:themeColor="text1"/>
          <w:sz w:val="24"/>
          <w:szCs w:val="24"/>
        </w:rPr>
      </w:pPr>
    </w:p>
    <w:p w14:paraId="024F4B85" w14:textId="6CD7ED44" w:rsidR="009F4736" w:rsidRPr="000749B2" w:rsidRDefault="007172D4" w:rsidP="000B4309">
      <w:pPr>
        <w:spacing w:after="0" w:line="360" w:lineRule="auto"/>
        <w:jc w:val="both"/>
        <w:rPr>
          <w:rFonts w:ascii="Book Antiqua" w:eastAsia="Times New Roman" w:hAnsi="Book Antiqua" w:cs="Times New Roman"/>
          <w:sz w:val="24"/>
          <w:szCs w:val="24"/>
          <w:lang w:eastAsia="de-DE"/>
        </w:rPr>
      </w:pPr>
      <w:r w:rsidRPr="000749B2">
        <w:rPr>
          <w:rFonts w:ascii="Book Antiqua" w:hAnsi="Book Antiqua"/>
          <w:b/>
          <w:color w:val="000000" w:themeColor="text1"/>
          <w:sz w:val="24"/>
          <w:szCs w:val="24"/>
        </w:rPr>
        <w:t>Author contributions:</w:t>
      </w:r>
      <w:r w:rsidR="009F4736" w:rsidRPr="000749B2">
        <w:rPr>
          <w:rFonts w:ascii="Book Antiqua" w:hAnsi="Book Antiqua"/>
          <w:b/>
          <w:color w:val="000000" w:themeColor="text1"/>
          <w:sz w:val="24"/>
          <w:szCs w:val="24"/>
        </w:rPr>
        <w:t xml:space="preserve"> </w:t>
      </w:r>
      <w:r w:rsidR="008353D9" w:rsidRPr="000749B2">
        <w:rPr>
          <w:rFonts w:ascii="Book Antiqua" w:hAnsi="Book Antiqua"/>
          <w:color w:val="000000" w:themeColor="text1"/>
          <w:sz w:val="24"/>
          <w:szCs w:val="24"/>
        </w:rPr>
        <w:t xml:space="preserve">Linnebacher </w:t>
      </w:r>
      <w:r w:rsidR="008353D9" w:rsidRPr="000749B2">
        <w:rPr>
          <w:rFonts w:ascii="Book Antiqua" w:hAnsi="Book Antiqua"/>
          <w:color w:val="000000" w:themeColor="text1"/>
          <w:sz w:val="24"/>
          <w:szCs w:val="24"/>
          <w:lang w:eastAsia="zh-CN"/>
        </w:rPr>
        <w:t>M</w:t>
      </w:r>
      <w:r w:rsidR="009F4736" w:rsidRPr="000749B2">
        <w:rPr>
          <w:rFonts w:ascii="Book Antiqua" w:eastAsia="Times New Roman" w:hAnsi="Book Antiqua" w:cs="Times New Roman"/>
          <w:sz w:val="24"/>
          <w:szCs w:val="24"/>
          <w:lang w:eastAsia="de-DE"/>
        </w:rPr>
        <w:t xml:space="preserve"> was the main author involved in conception of the review including topics and angles addressed</w:t>
      </w:r>
      <w:r w:rsidR="008353D9" w:rsidRPr="000749B2">
        <w:rPr>
          <w:rFonts w:ascii="Book Antiqua" w:eastAsia="Times New Roman" w:hAnsi="Book Antiqua" w:cs="Times New Roman"/>
          <w:sz w:val="24"/>
          <w:szCs w:val="24"/>
          <w:lang w:eastAsia="de-DE"/>
        </w:rPr>
        <w:t>;</w:t>
      </w:r>
      <w:r w:rsidR="009F4736" w:rsidRPr="000749B2">
        <w:rPr>
          <w:rFonts w:ascii="Book Antiqua" w:eastAsia="Times New Roman" w:hAnsi="Book Antiqua" w:cs="Times New Roman"/>
          <w:sz w:val="24"/>
          <w:szCs w:val="24"/>
          <w:lang w:eastAsia="de-DE"/>
        </w:rPr>
        <w:t xml:space="preserve"> </w:t>
      </w:r>
      <w:r w:rsidR="008353D9" w:rsidRPr="000749B2">
        <w:rPr>
          <w:rFonts w:ascii="Book Antiqua" w:hAnsi="Book Antiqua"/>
          <w:color w:val="000000" w:themeColor="text1"/>
          <w:sz w:val="24"/>
          <w:szCs w:val="24"/>
        </w:rPr>
        <w:t xml:space="preserve">Bürtin </w:t>
      </w:r>
      <w:r w:rsidR="008353D9" w:rsidRPr="000749B2">
        <w:rPr>
          <w:rFonts w:ascii="Book Antiqua" w:hAnsi="Book Antiqua"/>
          <w:color w:val="000000" w:themeColor="text1"/>
          <w:sz w:val="24"/>
          <w:szCs w:val="24"/>
          <w:lang w:eastAsia="zh-CN"/>
        </w:rPr>
        <w:t>F</w:t>
      </w:r>
      <w:r w:rsidR="009F4736" w:rsidRPr="000749B2">
        <w:rPr>
          <w:rFonts w:ascii="Book Antiqua" w:eastAsia="Times New Roman" w:hAnsi="Book Antiqua" w:cs="Times New Roman"/>
          <w:sz w:val="24"/>
          <w:szCs w:val="24"/>
          <w:lang w:eastAsia="de-DE"/>
        </w:rPr>
        <w:t xml:space="preserve"> performed the extensive PubMed search and drafted a first version</w:t>
      </w:r>
      <w:r w:rsidR="008353D9" w:rsidRPr="000749B2">
        <w:rPr>
          <w:rFonts w:ascii="Book Antiqua" w:eastAsia="Times New Roman" w:hAnsi="Book Antiqua" w:cs="Times New Roman"/>
          <w:sz w:val="24"/>
          <w:szCs w:val="24"/>
          <w:lang w:eastAsia="de-DE"/>
        </w:rPr>
        <w:t>;</w:t>
      </w:r>
      <w:r w:rsidR="009F4736" w:rsidRPr="000749B2">
        <w:rPr>
          <w:rFonts w:ascii="Book Antiqua" w:eastAsia="Times New Roman" w:hAnsi="Book Antiqua" w:cs="Times New Roman"/>
          <w:sz w:val="24"/>
          <w:szCs w:val="24"/>
          <w:lang w:eastAsia="de-DE"/>
        </w:rPr>
        <w:t xml:space="preserve"> </w:t>
      </w:r>
      <w:r w:rsidR="008353D9" w:rsidRPr="000749B2">
        <w:rPr>
          <w:rStyle w:val="orcid-id-https"/>
          <w:rFonts w:ascii="Book Antiqua" w:hAnsi="Book Antiqua"/>
          <w:color w:val="000000" w:themeColor="text1"/>
          <w:sz w:val="24"/>
          <w:szCs w:val="24"/>
        </w:rPr>
        <w:t>Mullins</w:t>
      </w:r>
      <w:r w:rsidR="008353D9" w:rsidRPr="000749B2">
        <w:rPr>
          <w:rFonts w:ascii="Book Antiqua" w:eastAsia="Times New Roman" w:hAnsi="Book Antiqua" w:cs="Times New Roman"/>
          <w:sz w:val="24"/>
          <w:szCs w:val="24"/>
          <w:lang w:eastAsia="de-DE"/>
        </w:rPr>
        <w:t xml:space="preserve"> </w:t>
      </w:r>
      <w:r w:rsidR="009F4736" w:rsidRPr="000749B2">
        <w:rPr>
          <w:rFonts w:ascii="Book Antiqua" w:eastAsia="Times New Roman" w:hAnsi="Book Antiqua" w:cs="Times New Roman"/>
          <w:sz w:val="24"/>
          <w:szCs w:val="24"/>
          <w:lang w:eastAsia="de-DE"/>
        </w:rPr>
        <w:t>CS was the main author involved in manuscript editing including language editing</w:t>
      </w:r>
      <w:r w:rsidR="008353D9" w:rsidRPr="000749B2">
        <w:rPr>
          <w:rFonts w:ascii="Book Antiqua" w:eastAsia="Times New Roman" w:hAnsi="Book Antiqua" w:cs="Times New Roman"/>
          <w:sz w:val="24"/>
          <w:szCs w:val="24"/>
          <w:lang w:eastAsia="de-DE"/>
        </w:rPr>
        <w:t>;</w:t>
      </w:r>
      <w:r w:rsidR="009F4736" w:rsidRPr="000749B2">
        <w:rPr>
          <w:rFonts w:ascii="Book Antiqua" w:eastAsia="Times New Roman" w:hAnsi="Book Antiqua" w:cs="Times New Roman"/>
          <w:sz w:val="24"/>
          <w:szCs w:val="24"/>
          <w:lang w:eastAsia="de-DE"/>
        </w:rPr>
        <w:t xml:space="preserve"> </w:t>
      </w:r>
      <w:r w:rsidR="00002A48" w:rsidRPr="000749B2">
        <w:rPr>
          <w:rFonts w:ascii="Book Antiqua" w:eastAsia="Times New Roman" w:hAnsi="Book Antiqua" w:cs="Times New Roman"/>
          <w:sz w:val="24"/>
          <w:szCs w:val="24"/>
          <w:lang w:eastAsia="de-DE"/>
        </w:rPr>
        <w:t>a</w:t>
      </w:r>
      <w:r w:rsidR="009F4736" w:rsidRPr="000749B2">
        <w:rPr>
          <w:rFonts w:ascii="Book Antiqua" w:eastAsia="Times New Roman" w:hAnsi="Book Antiqua" w:cs="Times New Roman"/>
          <w:sz w:val="24"/>
          <w:szCs w:val="24"/>
          <w:lang w:eastAsia="de-DE"/>
        </w:rPr>
        <w:t>ll authors participated in drafting the article and revising it critically for important intellectual content; and</w:t>
      </w:r>
      <w:r w:rsidR="009F4736" w:rsidRPr="000749B2">
        <w:rPr>
          <w:rFonts w:ascii="Book Antiqua" w:eastAsia="Times New Roman" w:hAnsi="Book Antiqua" w:cs="Times New Roman"/>
          <w:color w:val="000000"/>
          <w:sz w:val="24"/>
          <w:szCs w:val="24"/>
          <w:lang w:eastAsia="de-DE"/>
        </w:rPr>
        <w:t xml:space="preserve"> all authors gave their final approval of the submitted and revised version.</w:t>
      </w:r>
    </w:p>
    <w:p w14:paraId="3E59927D" w14:textId="1D3038B0" w:rsidR="007172D4" w:rsidRPr="000749B2" w:rsidRDefault="007172D4" w:rsidP="000B4309">
      <w:pPr>
        <w:spacing w:after="0" w:line="360" w:lineRule="auto"/>
        <w:jc w:val="both"/>
        <w:rPr>
          <w:rFonts w:ascii="Book Antiqua" w:hAnsi="Book Antiqua"/>
          <w:b/>
          <w:color w:val="000000" w:themeColor="text1"/>
          <w:sz w:val="24"/>
          <w:szCs w:val="24"/>
        </w:rPr>
      </w:pPr>
    </w:p>
    <w:p w14:paraId="11DFDDEF" w14:textId="3812B829" w:rsidR="007172D4" w:rsidRPr="000749B2" w:rsidRDefault="007172D4" w:rsidP="000B4309">
      <w:pPr>
        <w:spacing w:after="0" w:line="360" w:lineRule="auto"/>
        <w:jc w:val="both"/>
        <w:rPr>
          <w:rFonts w:ascii="Book Antiqua" w:hAnsi="Book Antiqua"/>
          <w:color w:val="000000" w:themeColor="text1"/>
          <w:sz w:val="24"/>
          <w:szCs w:val="24"/>
        </w:rPr>
      </w:pPr>
      <w:r w:rsidRPr="000749B2">
        <w:rPr>
          <w:rFonts w:ascii="Book Antiqua" w:hAnsi="Book Antiqua"/>
          <w:b/>
          <w:color w:val="000000" w:themeColor="text1"/>
          <w:sz w:val="24"/>
          <w:szCs w:val="24"/>
        </w:rPr>
        <w:t>Supported by</w:t>
      </w:r>
      <w:r w:rsidR="00AE58BD" w:rsidRPr="000749B2">
        <w:rPr>
          <w:rFonts w:ascii="Book Antiqua" w:hAnsi="Book Antiqua"/>
          <w:color w:val="000000" w:themeColor="text1"/>
          <w:sz w:val="24"/>
          <w:szCs w:val="24"/>
        </w:rPr>
        <w:t xml:space="preserve"> the State Mecklenburg-Vorpommern, No. TBI-V-1-241-VBW-084.</w:t>
      </w:r>
    </w:p>
    <w:p w14:paraId="19A2B3FE" w14:textId="77777777" w:rsidR="007172D4" w:rsidRPr="000749B2" w:rsidRDefault="007172D4" w:rsidP="000B4309">
      <w:pPr>
        <w:spacing w:after="0" w:line="360" w:lineRule="auto"/>
        <w:jc w:val="both"/>
        <w:rPr>
          <w:rFonts w:ascii="Book Antiqua" w:eastAsia="Calibri" w:hAnsi="Book Antiqua" w:cs="Times New Roman"/>
          <w:color w:val="000000" w:themeColor="text1"/>
          <w:sz w:val="24"/>
          <w:szCs w:val="24"/>
        </w:rPr>
      </w:pPr>
    </w:p>
    <w:p w14:paraId="4BDA320D" w14:textId="1A5B6672" w:rsidR="007172D4" w:rsidRPr="000749B2" w:rsidRDefault="007172D4" w:rsidP="000B4309">
      <w:pPr>
        <w:spacing w:after="0" w:line="360" w:lineRule="auto"/>
        <w:jc w:val="both"/>
        <w:rPr>
          <w:rStyle w:val="ac"/>
          <w:rFonts w:ascii="Book Antiqua" w:eastAsia="Calibri" w:hAnsi="Book Antiqua" w:cs="Times New Roman"/>
          <w:color w:val="000000" w:themeColor="text1"/>
          <w:sz w:val="24"/>
          <w:szCs w:val="24"/>
        </w:rPr>
      </w:pPr>
      <w:r w:rsidRPr="000749B2">
        <w:rPr>
          <w:rFonts w:ascii="Book Antiqua" w:hAnsi="Book Antiqua"/>
          <w:b/>
          <w:color w:val="000000" w:themeColor="text1"/>
          <w:sz w:val="24"/>
          <w:szCs w:val="24"/>
        </w:rPr>
        <w:lastRenderedPageBreak/>
        <w:t xml:space="preserve">Corresponding author: </w:t>
      </w:r>
      <w:bookmarkStart w:id="2" w:name="OLE_LINK33"/>
      <w:r w:rsidRPr="000749B2">
        <w:rPr>
          <w:rFonts w:ascii="Book Antiqua" w:hAnsi="Book Antiqua"/>
          <w:b/>
          <w:bCs/>
          <w:color w:val="000000" w:themeColor="text1"/>
          <w:sz w:val="24"/>
          <w:szCs w:val="24"/>
        </w:rPr>
        <w:t>Michael Linnebacher,</w:t>
      </w:r>
      <w:r w:rsidR="00DD1819" w:rsidRPr="000749B2">
        <w:rPr>
          <w:rFonts w:ascii="Book Antiqua" w:hAnsi="Book Antiqua"/>
          <w:sz w:val="24"/>
          <w:szCs w:val="24"/>
        </w:rPr>
        <w:t xml:space="preserve"> </w:t>
      </w:r>
      <w:r w:rsidR="00DD1819" w:rsidRPr="000749B2">
        <w:rPr>
          <w:rFonts w:ascii="Book Antiqua" w:hAnsi="Book Antiqua"/>
          <w:b/>
          <w:bCs/>
          <w:color w:val="000000" w:themeColor="text1"/>
          <w:sz w:val="24"/>
          <w:szCs w:val="24"/>
        </w:rPr>
        <w:t>PhD, Academic Fellow, Research Fellow, Research Scientist, Senior Researcher, Senior Scientist,</w:t>
      </w:r>
      <w:r w:rsidRPr="000749B2">
        <w:rPr>
          <w:rFonts w:ascii="Book Antiqua" w:eastAsia="Calibri" w:hAnsi="Book Antiqua" w:cs="Times New Roman"/>
          <w:color w:val="000000" w:themeColor="text1"/>
          <w:sz w:val="24"/>
          <w:szCs w:val="24"/>
        </w:rPr>
        <w:t xml:space="preserve"> Molecular Oncology and Immunotherapy, Department of General, Visceral, Vascular and Transplantation Surgery, University Medical Center Rostock, Schillingallee 69, Rostock 18057, Germany. </w:t>
      </w:r>
      <w:r w:rsidRPr="000749B2">
        <w:rPr>
          <w:rFonts w:ascii="Book Antiqua" w:eastAsia="Calibri" w:hAnsi="Book Antiqua" w:cs="Times New Roman"/>
          <w:sz w:val="24"/>
          <w:szCs w:val="24"/>
        </w:rPr>
        <w:t>michael.linnebacher@med.uni-rostock.de</w:t>
      </w:r>
    </w:p>
    <w:bookmarkEnd w:id="2"/>
    <w:p w14:paraId="47930A13" w14:textId="6EF65484" w:rsidR="00F50458" w:rsidRPr="000749B2" w:rsidRDefault="00F50458" w:rsidP="000B4309">
      <w:pPr>
        <w:spacing w:after="0" w:line="360" w:lineRule="auto"/>
        <w:jc w:val="both"/>
        <w:rPr>
          <w:rStyle w:val="ac"/>
          <w:rFonts w:ascii="Book Antiqua" w:eastAsia="Calibri" w:hAnsi="Book Antiqua" w:cs="Times New Roman"/>
          <w:color w:val="000000" w:themeColor="text1"/>
          <w:sz w:val="24"/>
          <w:szCs w:val="24"/>
        </w:rPr>
      </w:pPr>
    </w:p>
    <w:p w14:paraId="3736DA4E" w14:textId="568BC318" w:rsidR="00F50458" w:rsidRPr="000749B2" w:rsidRDefault="00F50458" w:rsidP="00F50458">
      <w:pPr>
        <w:spacing w:after="0" w:line="360" w:lineRule="auto"/>
        <w:jc w:val="both"/>
        <w:rPr>
          <w:rFonts w:ascii="Book Antiqua" w:hAnsi="Book Antiqua"/>
          <w:b/>
        </w:rPr>
      </w:pPr>
      <w:r w:rsidRPr="000749B2">
        <w:rPr>
          <w:rFonts w:ascii="Book Antiqua" w:hAnsi="Book Antiqua"/>
          <w:b/>
        </w:rPr>
        <w:t>Received:</w:t>
      </w:r>
      <w:r w:rsidRPr="000749B2">
        <w:rPr>
          <w:rFonts w:ascii="Book Antiqua" w:eastAsia="宋体" w:hAnsi="Book Antiqua"/>
          <w:b/>
          <w:lang w:eastAsia="zh-CN"/>
        </w:rPr>
        <w:t xml:space="preserve"> </w:t>
      </w:r>
      <w:r w:rsidRPr="000749B2">
        <w:rPr>
          <w:rFonts w:ascii="Book Antiqua" w:eastAsia="宋体" w:hAnsi="Book Antiqua"/>
          <w:lang w:eastAsia="zh-CN"/>
        </w:rPr>
        <w:t>December 18, 2019</w:t>
      </w:r>
    </w:p>
    <w:p w14:paraId="4E61AD90" w14:textId="28D8298D" w:rsidR="00F50458" w:rsidRPr="000749B2" w:rsidRDefault="00F50458" w:rsidP="00F50458">
      <w:pPr>
        <w:spacing w:after="0" w:line="360" w:lineRule="auto"/>
        <w:jc w:val="both"/>
        <w:rPr>
          <w:rFonts w:ascii="Book Antiqua" w:eastAsia="宋体" w:hAnsi="Book Antiqua"/>
          <w:b/>
          <w:lang w:eastAsia="zh-CN"/>
        </w:rPr>
      </w:pPr>
      <w:r w:rsidRPr="000749B2">
        <w:rPr>
          <w:rFonts w:ascii="Book Antiqua" w:hAnsi="Book Antiqua"/>
          <w:b/>
        </w:rPr>
        <w:t xml:space="preserve">Revised: </w:t>
      </w:r>
      <w:r w:rsidRPr="000749B2">
        <w:rPr>
          <w:rFonts w:ascii="Book Antiqua" w:eastAsia="宋体" w:hAnsi="Book Antiqua"/>
          <w:lang w:eastAsia="zh-CN"/>
        </w:rPr>
        <w:t>March 5, 2020</w:t>
      </w:r>
    </w:p>
    <w:p w14:paraId="144C553E" w14:textId="2CA00366" w:rsidR="00F50458" w:rsidRPr="000749B2" w:rsidRDefault="00F50458" w:rsidP="00F50458">
      <w:pPr>
        <w:spacing w:after="0" w:line="360" w:lineRule="auto"/>
        <w:jc w:val="both"/>
        <w:rPr>
          <w:rFonts w:ascii="Book Antiqua" w:hAnsi="Book Antiqua"/>
          <w:color w:val="000000"/>
        </w:rPr>
      </w:pPr>
      <w:r w:rsidRPr="000749B2">
        <w:rPr>
          <w:rFonts w:ascii="Book Antiqua" w:hAnsi="Book Antiqua"/>
          <w:b/>
        </w:rPr>
        <w:t>Accepted:</w:t>
      </w:r>
      <w:bookmarkStart w:id="3" w:name="OLE_LINK98"/>
      <w:bookmarkStart w:id="4" w:name="OLE_LINK99"/>
      <w:bookmarkStart w:id="5" w:name="OLE_LINK104"/>
      <w:bookmarkStart w:id="6" w:name="OLE_LINK110"/>
      <w:bookmarkStart w:id="7" w:name="OLE_LINK111"/>
      <w:bookmarkStart w:id="8" w:name="OLE_LINK115"/>
      <w:bookmarkStart w:id="9" w:name="OLE_LINK116"/>
      <w:r w:rsidRPr="000749B2">
        <w:rPr>
          <w:rFonts w:ascii="Book Antiqua" w:hAnsi="Book Antiqua"/>
          <w:color w:val="000000"/>
        </w:rPr>
        <w:t xml:space="preserve"> </w:t>
      </w:r>
      <w:bookmarkStart w:id="10" w:name="OLE_LINK53"/>
      <w:bookmarkStart w:id="11" w:name="OLE_LINK52"/>
      <w:bookmarkEnd w:id="3"/>
      <w:bookmarkEnd w:id="4"/>
      <w:bookmarkEnd w:id="5"/>
      <w:bookmarkEnd w:id="6"/>
      <w:bookmarkEnd w:id="7"/>
      <w:bookmarkEnd w:id="8"/>
      <w:bookmarkEnd w:id="9"/>
      <w:r w:rsidR="00B27B7E" w:rsidRPr="000749B2">
        <w:rPr>
          <w:rFonts w:ascii="Book Antiqua" w:hAnsi="Book Antiqua"/>
          <w:bCs/>
          <w:color w:val="000000" w:themeColor="text1"/>
          <w:sz w:val="24"/>
          <w:szCs w:val="24"/>
        </w:rPr>
        <w:t>March 10, 2020</w:t>
      </w:r>
      <w:bookmarkEnd w:id="10"/>
      <w:bookmarkEnd w:id="11"/>
    </w:p>
    <w:p w14:paraId="4F6EDC87" w14:textId="19737262" w:rsidR="00F50458" w:rsidRPr="000749B2" w:rsidRDefault="00F50458" w:rsidP="00F50458">
      <w:pPr>
        <w:spacing w:after="0" w:line="360" w:lineRule="auto"/>
        <w:jc w:val="both"/>
        <w:rPr>
          <w:rFonts w:ascii="Book Antiqua" w:hAnsi="Book Antiqua"/>
          <w:b/>
        </w:rPr>
      </w:pPr>
      <w:r w:rsidRPr="000749B2">
        <w:rPr>
          <w:rFonts w:ascii="Book Antiqua" w:hAnsi="Book Antiqua"/>
          <w:b/>
        </w:rPr>
        <w:t>Published online:</w:t>
      </w:r>
      <w:r w:rsidR="000749B2">
        <w:rPr>
          <w:rFonts w:ascii="Book Antiqua" w:hAnsi="Book Antiqua" w:hint="eastAsia"/>
          <w:b/>
          <w:lang w:eastAsia="zh-CN"/>
        </w:rPr>
        <w:t xml:space="preserve"> </w:t>
      </w:r>
      <w:r w:rsidR="000749B2" w:rsidRPr="000749B2">
        <w:rPr>
          <w:rFonts w:ascii="Book Antiqua" w:hAnsi="Book Antiqua" w:hint="eastAsia"/>
          <w:lang w:eastAsia="zh-CN"/>
        </w:rPr>
        <w:t>April 7, 2020</w:t>
      </w:r>
      <w:r w:rsidR="000749B2">
        <w:rPr>
          <w:rFonts w:ascii="Book Antiqua" w:hAnsi="Book Antiqua" w:hint="eastAsia"/>
          <w:b/>
          <w:lang w:eastAsia="zh-CN"/>
        </w:rPr>
        <w:t xml:space="preserve"> </w:t>
      </w:r>
      <w:r w:rsidRPr="000749B2">
        <w:rPr>
          <w:rFonts w:ascii="Book Antiqua" w:hAnsi="Book Antiqua"/>
          <w:b/>
        </w:rPr>
        <w:t xml:space="preserve"> </w:t>
      </w:r>
    </w:p>
    <w:p w14:paraId="7B152F14" w14:textId="77777777" w:rsidR="00F50458" w:rsidRPr="000749B2" w:rsidRDefault="00F50458" w:rsidP="000B4309">
      <w:pPr>
        <w:spacing w:after="0" w:line="360" w:lineRule="auto"/>
        <w:jc w:val="both"/>
        <w:rPr>
          <w:rStyle w:val="ac"/>
          <w:rFonts w:ascii="Book Antiqua" w:eastAsia="Calibri" w:hAnsi="Book Antiqua" w:cs="Times New Roman"/>
          <w:color w:val="000000" w:themeColor="text1"/>
          <w:sz w:val="24"/>
          <w:szCs w:val="24"/>
        </w:rPr>
      </w:pPr>
    </w:p>
    <w:p w14:paraId="13FA7004" w14:textId="77777777" w:rsidR="007172D4" w:rsidRPr="000749B2" w:rsidRDefault="007172D4" w:rsidP="000B4309">
      <w:pPr>
        <w:spacing w:after="0" w:line="360" w:lineRule="auto"/>
        <w:jc w:val="both"/>
        <w:rPr>
          <w:rStyle w:val="ac"/>
          <w:rFonts w:ascii="Book Antiqua" w:eastAsia="Calibri" w:hAnsi="Book Antiqua" w:cs="Times New Roman"/>
          <w:color w:val="000000" w:themeColor="text1"/>
          <w:sz w:val="24"/>
          <w:szCs w:val="24"/>
        </w:rPr>
      </w:pPr>
      <w:r w:rsidRPr="000749B2">
        <w:rPr>
          <w:rStyle w:val="ac"/>
          <w:rFonts w:ascii="Book Antiqua" w:eastAsia="Calibri" w:hAnsi="Book Antiqua" w:cs="Times New Roman"/>
          <w:color w:val="000000" w:themeColor="text1"/>
          <w:sz w:val="24"/>
          <w:szCs w:val="24"/>
        </w:rPr>
        <w:br w:type="page"/>
      </w:r>
    </w:p>
    <w:p w14:paraId="701F55D0" w14:textId="0CBEEF99" w:rsidR="009212D2" w:rsidRPr="000749B2" w:rsidRDefault="009212D2" w:rsidP="000B4309">
      <w:pPr>
        <w:spacing w:after="0" w:line="360" w:lineRule="auto"/>
        <w:jc w:val="both"/>
        <w:rPr>
          <w:rFonts w:ascii="Book Antiqua" w:eastAsia="Calibri" w:hAnsi="Book Antiqua" w:cs="Times New Roman"/>
          <w:b/>
          <w:bCs/>
          <w:color w:val="000000" w:themeColor="text1"/>
          <w:sz w:val="24"/>
          <w:szCs w:val="24"/>
        </w:rPr>
      </w:pPr>
      <w:r w:rsidRPr="000749B2">
        <w:rPr>
          <w:rFonts w:ascii="Book Antiqua" w:eastAsia="Calibri" w:hAnsi="Book Antiqua"/>
          <w:b/>
          <w:bCs/>
          <w:color w:val="000000" w:themeColor="text1"/>
          <w:sz w:val="24"/>
          <w:szCs w:val="24"/>
        </w:rPr>
        <w:lastRenderedPageBreak/>
        <w:t>Abstract</w:t>
      </w:r>
    </w:p>
    <w:p w14:paraId="0F014CF2" w14:textId="3110714B" w:rsidR="007172D4" w:rsidRPr="000749B2" w:rsidRDefault="009212D2" w:rsidP="000B4309">
      <w:pPr>
        <w:spacing w:after="0" w:line="360" w:lineRule="auto"/>
        <w:jc w:val="both"/>
        <w:rPr>
          <w:rFonts w:ascii="Book Antiqua" w:eastAsia="Calibri" w:hAnsi="Book Antiqua" w:cs="Times New Roman"/>
          <w:color w:val="000000" w:themeColor="text1"/>
          <w:sz w:val="24"/>
          <w:szCs w:val="24"/>
        </w:rPr>
      </w:pPr>
      <w:r w:rsidRPr="000749B2">
        <w:rPr>
          <w:rFonts w:ascii="Book Antiqua" w:eastAsia="Calibri" w:hAnsi="Book Antiqua" w:cs="Times New Roman"/>
          <w:color w:val="000000" w:themeColor="text1"/>
          <w:sz w:val="24"/>
          <w:szCs w:val="24"/>
        </w:rPr>
        <w:t xml:space="preserve">Colorectal cancer (CRC) is the third most common diagnosed malignancy among both sexes in the United States as well as in the European Union. While the incidence and mortality rates in western, high developed countries are declining, reflecting the success of screening programs and improved treatment regimen, a rise of the overall global CRC burden can be observed due to lifestyle changes paralleling an increasing human development index. Despite a growing insight into the biology of CRC and many therapeutic improvements in the recent decades, preclinical </w:t>
      </w:r>
      <w:r w:rsidRPr="000749B2">
        <w:rPr>
          <w:rFonts w:ascii="Book Antiqua" w:eastAsia="Calibri" w:hAnsi="Book Antiqua" w:cs="Times New Roman"/>
          <w:i/>
          <w:color w:val="000000" w:themeColor="text1"/>
          <w:sz w:val="24"/>
          <w:szCs w:val="24"/>
        </w:rPr>
        <w:t>in vivo</w:t>
      </w:r>
      <w:r w:rsidRPr="000749B2">
        <w:rPr>
          <w:rFonts w:ascii="Book Antiqua" w:eastAsia="Calibri" w:hAnsi="Book Antiqua" w:cs="Times New Roman"/>
          <w:color w:val="000000" w:themeColor="text1"/>
          <w:sz w:val="24"/>
          <w:szCs w:val="24"/>
        </w:rPr>
        <w:t xml:space="preserve"> models are still indispensable for the development of new treatment approaches. Since the development of carcinogen-induced rodent models </w:t>
      </w:r>
      <w:r w:rsidR="00D74D6A" w:rsidRPr="000749B2">
        <w:rPr>
          <w:rFonts w:ascii="Book Antiqua" w:eastAsia="Calibri" w:hAnsi="Book Antiqua" w:cs="Times New Roman"/>
          <w:color w:val="000000" w:themeColor="text1"/>
          <w:sz w:val="24"/>
          <w:szCs w:val="24"/>
        </w:rPr>
        <w:t xml:space="preserve">for </w:t>
      </w:r>
      <w:r w:rsidRPr="000749B2">
        <w:rPr>
          <w:rFonts w:ascii="Book Antiqua" w:eastAsia="Calibri" w:hAnsi="Book Antiqua" w:cs="Times New Roman"/>
          <w:color w:val="000000" w:themeColor="text1"/>
          <w:sz w:val="24"/>
          <w:szCs w:val="24"/>
        </w:rPr>
        <w:t xml:space="preserve">CRC more than 80 years ago, a plethora of animal models has been established to study colon cancer biology. Despite </w:t>
      </w:r>
      <w:r w:rsidR="0098200C" w:rsidRPr="000749B2">
        <w:rPr>
          <w:rFonts w:ascii="Book Antiqua" w:eastAsia="Calibri" w:hAnsi="Book Antiqua" w:cs="Times New Roman"/>
          <w:color w:val="000000" w:themeColor="text1"/>
          <w:sz w:val="24"/>
          <w:szCs w:val="24"/>
        </w:rPr>
        <w:t>tenuous</w:t>
      </w:r>
      <w:r w:rsidRPr="000749B2">
        <w:rPr>
          <w:rFonts w:ascii="Book Antiqua" w:eastAsia="Calibri" w:hAnsi="Book Antiqua" w:cs="Times New Roman"/>
          <w:color w:val="000000" w:themeColor="text1"/>
          <w:sz w:val="24"/>
          <w:szCs w:val="24"/>
        </w:rPr>
        <w:t xml:space="preserve"> invasiveness and metastatic behavior, these models are useful for chemoprevention studies and to evaluate colitis-related carcinogenesis. </w:t>
      </w:r>
      <w:r w:rsidR="00940C1F" w:rsidRPr="000749B2">
        <w:rPr>
          <w:rFonts w:ascii="Book Antiqua" w:eastAsia="Calibri" w:hAnsi="Book Antiqua" w:cs="Times New Roman"/>
          <w:color w:val="000000" w:themeColor="text1"/>
          <w:sz w:val="24"/>
          <w:szCs w:val="24"/>
        </w:rPr>
        <w:t>Genetically engineered mouse models</w:t>
      </w:r>
      <w:r w:rsidRPr="000749B2">
        <w:rPr>
          <w:rFonts w:ascii="Book Antiqua" w:eastAsia="Calibri" w:hAnsi="Book Antiqua" w:cs="Times New Roman"/>
          <w:color w:val="000000" w:themeColor="text1"/>
          <w:sz w:val="24"/>
          <w:szCs w:val="24"/>
        </w:rPr>
        <w:t xml:space="preserve"> (GEMM) </w:t>
      </w:r>
      <w:r w:rsidR="00FF48DC" w:rsidRPr="000749B2">
        <w:rPr>
          <w:rFonts w:ascii="Book Antiqua" w:eastAsia="Calibri" w:hAnsi="Book Antiqua" w:cs="Times New Roman"/>
          <w:color w:val="000000" w:themeColor="text1"/>
          <w:sz w:val="24"/>
          <w:szCs w:val="24"/>
        </w:rPr>
        <w:t>mirror</w:t>
      </w:r>
      <w:r w:rsidRPr="000749B2">
        <w:rPr>
          <w:rFonts w:ascii="Book Antiqua" w:eastAsia="Calibri" w:hAnsi="Book Antiqua" w:cs="Times New Roman"/>
          <w:color w:val="000000" w:themeColor="text1"/>
          <w:sz w:val="24"/>
          <w:szCs w:val="24"/>
        </w:rPr>
        <w:t xml:space="preserve"> the pathogenesis of sporadic as well as inherited </w:t>
      </w:r>
      <w:r w:rsidR="00633742" w:rsidRPr="000749B2">
        <w:rPr>
          <w:rFonts w:ascii="Book Antiqua" w:eastAsia="Calibri" w:hAnsi="Book Antiqua" w:cs="Times New Roman"/>
          <w:color w:val="000000" w:themeColor="text1"/>
          <w:sz w:val="24"/>
          <w:szCs w:val="24"/>
        </w:rPr>
        <w:t>CRC</w:t>
      </w:r>
      <w:r w:rsidRPr="000749B2">
        <w:rPr>
          <w:rFonts w:ascii="Book Antiqua" w:eastAsia="Calibri" w:hAnsi="Book Antiqua" w:cs="Times New Roman"/>
          <w:color w:val="000000" w:themeColor="text1"/>
          <w:sz w:val="24"/>
          <w:szCs w:val="24"/>
        </w:rPr>
        <w:t xml:space="preserve"> depending on the specific molecular pathways activated or inhibited. Although the vast majority of CRC GEMM lack invasiveness, metastasis and tumor heterogeneity, they still have proven useful for examination of the tumor microenvironment as well as systemic immune responses; </w:t>
      </w:r>
      <w:r w:rsidR="008353D9" w:rsidRPr="000749B2">
        <w:rPr>
          <w:rFonts w:ascii="Book Antiqua" w:eastAsia="Calibri" w:hAnsi="Book Antiqua" w:cs="Times New Roman"/>
          <w:color w:val="000000" w:themeColor="text1"/>
          <w:sz w:val="24"/>
          <w:szCs w:val="24"/>
        </w:rPr>
        <w:t>thus,</w:t>
      </w:r>
      <w:r w:rsidRPr="000749B2">
        <w:rPr>
          <w:rFonts w:ascii="Book Antiqua" w:eastAsia="Calibri" w:hAnsi="Book Antiqua" w:cs="Times New Roman"/>
          <w:color w:val="000000" w:themeColor="text1"/>
          <w:sz w:val="24"/>
          <w:szCs w:val="24"/>
        </w:rPr>
        <w:t xml:space="preserve"> supporting development of new therapeutic avenues. </w:t>
      </w:r>
      <w:r w:rsidR="00FF48DC" w:rsidRPr="000749B2">
        <w:rPr>
          <w:rFonts w:ascii="Book Antiqua" w:eastAsia="Calibri" w:hAnsi="Book Antiqua" w:cs="Times New Roman"/>
          <w:color w:val="000000" w:themeColor="text1"/>
          <w:sz w:val="24"/>
          <w:szCs w:val="24"/>
        </w:rPr>
        <w:t>I</w:t>
      </w:r>
      <w:r w:rsidR="00F865FC" w:rsidRPr="000749B2">
        <w:rPr>
          <w:rFonts w:ascii="Book Antiqua" w:eastAsia="Calibri" w:hAnsi="Book Antiqua" w:cs="Times New Roman"/>
          <w:color w:val="000000" w:themeColor="text1"/>
          <w:sz w:val="24"/>
          <w:szCs w:val="24"/>
        </w:rPr>
        <w:t xml:space="preserve">nduction of </w:t>
      </w:r>
      <w:r w:rsidRPr="000749B2">
        <w:rPr>
          <w:rFonts w:ascii="Book Antiqua" w:eastAsia="Calibri" w:hAnsi="Book Antiqua" w:cs="Times New Roman"/>
          <w:color w:val="000000" w:themeColor="text1"/>
          <w:sz w:val="24"/>
          <w:szCs w:val="24"/>
        </w:rPr>
        <w:t>metastatic disease by orthotopic injection of CRC cell lines</w:t>
      </w:r>
      <w:r w:rsidR="00FF48DC" w:rsidRPr="000749B2">
        <w:rPr>
          <w:rFonts w:ascii="Book Antiqua" w:eastAsia="Calibri" w:hAnsi="Book Antiqua" w:cs="Times New Roman"/>
          <w:color w:val="000000" w:themeColor="text1"/>
          <w:sz w:val="24"/>
          <w:szCs w:val="24"/>
        </w:rPr>
        <w:t xml:space="preserve"> is possible</w:t>
      </w:r>
      <w:r w:rsidRPr="000749B2">
        <w:rPr>
          <w:rFonts w:ascii="Book Antiqua" w:eastAsia="Calibri" w:hAnsi="Book Antiqua" w:cs="Times New Roman"/>
          <w:color w:val="000000" w:themeColor="text1"/>
          <w:sz w:val="24"/>
          <w:szCs w:val="24"/>
        </w:rPr>
        <w:t xml:space="preserve">, </w:t>
      </w:r>
      <w:r w:rsidR="00FF48DC" w:rsidRPr="000749B2">
        <w:rPr>
          <w:rFonts w:ascii="Book Antiqua" w:eastAsia="Calibri" w:hAnsi="Book Antiqua" w:cs="Times New Roman"/>
          <w:color w:val="000000" w:themeColor="text1"/>
          <w:sz w:val="24"/>
          <w:szCs w:val="24"/>
        </w:rPr>
        <w:t xml:space="preserve">but </w:t>
      </w:r>
      <w:r w:rsidRPr="000749B2">
        <w:rPr>
          <w:rFonts w:ascii="Book Antiqua" w:eastAsia="Calibri" w:hAnsi="Book Antiqua" w:cs="Times New Roman"/>
          <w:color w:val="000000" w:themeColor="text1"/>
          <w:sz w:val="24"/>
          <w:szCs w:val="24"/>
        </w:rPr>
        <w:t>the</w:t>
      </w:r>
      <w:r w:rsidR="00FF48DC"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s</w:t>
      </w:r>
      <w:r w:rsidR="00FF48DC" w:rsidRPr="000749B2">
        <w:rPr>
          <w:rFonts w:ascii="Book Antiqua" w:eastAsia="Calibri" w:hAnsi="Book Antiqua" w:cs="Times New Roman"/>
          <w:color w:val="000000" w:themeColor="text1"/>
          <w:sz w:val="24"/>
          <w:szCs w:val="24"/>
        </w:rPr>
        <w:t>o generated</w:t>
      </w:r>
      <w:r w:rsidRPr="000749B2">
        <w:rPr>
          <w:rFonts w:ascii="Book Antiqua" w:eastAsia="Calibri" w:hAnsi="Book Antiqua" w:cs="Times New Roman"/>
          <w:color w:val="000000" w:themeColor="text1"/>
          <w:sz w:val="24"/>
          <w:szCs w:val="24"/>
        </w:rPr>
        <w:t xml:space="preserve"> models lack genetic diversity and the number of suited cell lines is very limited. Patient</w:t>
      </w:r>
      <w:r w:rsidR="00031742" w:rsidRPr="000749B2">
        <w:rPr>
          <w:rFonts w:ascii="Book Antiqua" w:eastAsia="Calibri" w:hAnsi="Book Antiqua" w:cs="Times New Roman"/>
          <w:color w:val="000000" w:themeColor="text1"/>
          <w:sz w:val="24"/>
          <w:szCs w:val="24"/>
        </w:rPr>
        <w:t>-</w:t>
      </w:r>
      <w:r w:rsidRPr="000749B2">
        <w:rPr>
          <w:rFonts w:ascii="Book Antiqua" w:eastAsia="Calibri" w:hAnsi="Book Antiqua" w:cs="Times New Roman"/>
          <w:color w:val="000000" w:themeColor="text1"/>
          <w:sz w:val="24"/>
          <w:szCs w:val="24"/>
        </w:rPr>
        <w:t>derived xenografts, in contrast, maintain the pathological and molecular characteristics of the individual patient</w:t>
      </w:r>
      <w:r w:rsidR="008353D9" w:rsidRPr="000749B2">
        <w:rPr>
          <w:rFonts w:ascii="Book Antiqua" w:eastAsia="Calibri" w:hAnsi="Book Antiqua" w:cs="Times New Roman"/>
          <w:color w:val="000000" w:themeColor="text1"/>
          <w:sz w:val="24"/>
          <w:szCs w:val="24"/>
        </w:rPr>
        <w:t>’</w:t>
      </w:r>
      <w:r w:rsidRPr="000749B2">
        <w:rPr>
          <w:rFonts w:ascii="Book Antiqua" w:eastAsia="Calibri" w:hAnsi="Book Antiqua" w:cs="Times New Roman"/>
          <w:color w:val="000000" w:themeColor="text1"/>
          <w:sz w:val="24"/>
          <w:szCs w:val="24"/>
        </w:rPr>
        <w:t xml:space="preserve">s CRC after </w:t>
      </w:r>
      <w:r w:rsidR="00633742" w:rsidRPr="000749B2">
        <w:rPr>
          <w:rFonts w:ascii="Book Antiqua" w:eastAsia="Calibri" w:hAnsi="Book Antiqua" w:cs="Times New Roman"/>
          <w:color w:val="000000" w:themeColor="text1"/>
          <w:sz w:val="24"/>
          <w:szCs w:val="24"/>
        </w:rPr>
        <w:t>subcutaneous</w:t>
      </w:r>
      <w:r w:rsidRPr="000749B2">
        <w:rPr>
          <w:rFonts w:ascii="Book Antiqua" w:eastAsia="Calibri" w:hAnsi="Book Antiqua" w:cs="Times New Roman"/>
          <w:color w:val="000000" w:themeColor="text1"/>
          <w:sz w:val="24"/>
          <w:szCs w:val="24"/>
        </w:rPr>
        <w:t xml:space="preserve"> implantation into immunodeficient mice and are therefore most reliable for preclinical drug development – even in comparison to GEMM or cell </w:t>
      </w:r>
      <w:r w:rsidR="000D3BA0" w:rsidRPr="000749B2">
        <w:rPr>
          <w:rFonts w:ascii="Book Antiqua" w:eastAsia="Calibri" w:hAnsi="Book Antiqua" w:cs="Times New Roman"/>
          <w:color w:val="000000" w:themeColor="text1"/>
          <w:sz w:val="24"/>
          <w:szCs w:val="24"/>
        </w:rPr>
        <w:t>line-based</w:t>
      </w:r>
      <w:r w:rsidRPr="000749B2">
        <w:rPr>
          <w:rFonts w:ascii="Book Antiqua" w:eastAsia="Calibri" w:hAnsi="Book Antiqua" w:cs="Times New Roman"/>
          <w:color w:val="000000" w:themeColor="text1"/>
          <w:sz w:val="24"/>
          <w:szCs w:val="24"/>
        </w:rPr>
        <w:t xml:space="preserve"> analyses. However, </w:t>
      </w:r>
      <w:r w:rsidR="00031742" w:rsidRPr="000749B2">
        <w:rPr>
          <w:rFonts w:ascii="Book Antiqua" w:eastAsia="Calibri" w:hAnsi="Book Antiqua" w:cs="Times New Roman"/>
          <w:color w:val="000000" w:themeColor="text1"/>
          <w:sz w:val="24"/>
          <w:szCs w:val="24"/>
        </w:rPr>
        <w:t>subcutaneous</w:t>
      </w:r>
      <w:r w:rsidRPr="000749B2">
        <w:rPr>
          <w:rFonts w:ascii="Book Antiqua" w:eastAsia="Calibri" w:hAnsi="Book Antiqua" w:cs="Times New Roman"/>
          <w:color w:val="000000" w:themeColor="text1"/>
          <w:sz w:val="24"/>
          <w:szCs w:val="24"/>
        </w:rPr>
        <w:t xml:space="preserve"> </w:t>
      </w:r>
      <w:r w:rsidR="00031742" w:rsidRPr="000749B2">
        <w:rPr>
          <w:rFonts w:ascii="Book Antiqua" w:eastAsia="Calibri" w:hAnsi="Book Antiqua" w:cs="Times New Roman"/>
          <w:color w:val="000000" w:themeColor="text1"/>
          <w:sz w:val="24"/>
          <w:szCs w:val="24"/>
        </w:rPr>
        <w:t xml:space="preserve">patient-derived xenograft </w:t>
      </w:r>
      <w:r w:rsidRPr="000749B2">
        <w:rPr>
          <w:rFonts w:ascii="Book Antiqua" w:eastAsia="Calibri" w:hAnsi="Book Antiqua" w:cs="Times New Roman"/>
          <w:color w:val="000000" w:themeColor="text1"/>
          <w:sz w:val="24"/>
          <w:szCs w:val="24"/>
        </w:rPr>
        <w:t xml:space="preserve">models are </w:t>
      </w:r>
      <w:r w:rsidR="00D71BD1" w:rsidRPr="000749B2">
        <w:rPr>
          <w:rFonts w:ascii="Book Antiqua" w:eastAsia="Calibri" w:hAnsi="Book Antiqua" w:cs="Times New Roman"/>
          <w:color w:val="000000" w:themeColor="text1"/>
          <w:sz w:val="24"/>
          <w:szCs w:val="24"/>
        </w:rPr>
        <w:t xml:space="preserve">less </w:t>
      </w:r>
      <w:r w:rsidRPr="000749B2">
        <w:rPr>
          <w:rFonts w:ascii="Book Antiqua" w:eastAsia="Calibri" w:hAnsi="Book Antiqua" w:cs="Times New Roman"/>
          <w:color w:val="000000" w:themeColor="text1"/>
          <w:sz w:val="24"/>
          <w:szCs w:val="24"/>
        </w:rPr>
        <w:t>suitable for studying most aspects of the tumor microenvironment and anti-tumoral immune responses.</w:t>
      </w:r>
      <w:r w:rsidR="00AD7B12"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 xml:space="preserve">The authors review the distinct mouse models of CRC with an emphasis </w:t>
      </w:r>
      <w:r w:rsidR="000D7509" w:rsidRPr="000749B2">
        <w:rPr>
          <w:rFonts w:ascii="Book Antiqua" w:eastAsia="Calibri" w:hAnsi="Book Antiqua" w:cs="Times New Roman"/>
          <w:color w:val="000000" w:themeColor="text1"/>
          <w:sz w:val="24"/>
          <w:szCs w:val="24"/>
        </w:rPr>
        <w:t xml:space="preserve">on </w:t>
      </w:r>
      <w:r w:rsidRPr="000749B2">
        <w:rPr>
          <w:rFonts w:ascii="Book Antiqua" w:eastAsia="Calibri" w:hAnsi="Book Antiqua" w:cs="Times New Roman"/>
          <w:color w:val="000000" w:themeColor="text1"/>
          <w:sz w:val="24"/>
          <w:szCs w:val="24"/>
        </w:rPr>
        <w:t xml:space="preserve">their clinical relevance and shed light on the latest developments in the field of preclinical CRC models. </w:t>
      </w:r>
    </w:p>
    <w:p w14:paraId="35144DF2" w14:textId="77777777" w:rsidR="007172D4" w:rsidRPr="000749B2" w:rsidRDefault="007172D4" w:rsidP="000B4309">
      <w:pPr>
        <w:spacing w:after="0" w:line="360" w:lineRule="auto"/>
        <w:jc w:val="both"/>
        <w:rPr>
          <w:rFonts w:ascii="Book Antiqua" w:eastAsia="Calibri" w:hAnsi="Book Antiqua" w:cs="Times New Roman"/>
          <w:color w:val="000000" w:themeColor="text1"/>
          <w:sz w:val="24"/>
          <w:szCs w:val="24"/>
        </w:rPr>
      </w:pPr>
    </w:p>
    <w:p w14:paraId="36744DF8" w14:textId="515F2A3A" w:rsidR="007172D4" w:rsidRPr="000749B2" w:rsidRDefault="00AD7B12" w:rsidP="000B4309">
      <w:pPr>
        <w:spacing w:after="0" w:line="360" w:lineRule="auto"/>
        <w:jc w:val="both"/>
        <w:rPr>
          <w:rFonts w:ascii="Book Antiqua" w:hAnsi="Book Antiqua"/>
          <w:color w:val="000000" w:themeColor="text1"/>
          <w:sz w:val="24"/>
          <w:szCs w:val="24"/>
        </w:rPr>
      </w:pPr>
      <w:r w:rsidRPr="000749B2">
        <w:rPr>
          <w:rFonts w:ascii="Book Antiqua" w:hAnsi="Book Antiqua"/>
          <w:b/>
          <w:bCs/>
          <w:color w:val="000000" w:themeColor="text1"/>
          <w:sz w:val="24"/>
          <w:szCs w:val="24"/>
        </w:rPr>
        <w:lastRenderedPageBreak/>
        <w:t>Key words</w:t>
      </w:r>
      <w:r w:rsidR="007172D4" w:rsidRPr="000749B2">
        <w:rPr>
          <w:rFonts w:ascii="Book Antiqua" w:hAnsi="Book Antiqua"/>
          <w:b/>
          <w:bCs/>
          <w:color w:val="000000" w:themeColor="text1"/>
          <w:sz w:val="24"/>
          <w:szCs w:val="24"/>
          <w:lang w:eastAsia="zh-CN"/>
        </w:rPr>
        <w:t xml:space="preserve">: </w:t>
      </w:r>
      <w:r w:rsidRPr="000749B2">
        <w:rPr>
          <w:rFonts w:ascii="Book Antiqua" w:hAnsi="Book Antiqua"/>
          <w:color w:val="000000" w:themeColor="text1"/>
          <w:sz w:val="24"/>
          <w:szCs w:val="24"/>
        </w:rPr>
        <w:t xml:space="preserve">Colorectal cancer; Mouse models; Patient-derived xenografts; Carcinogen-induced </w:t>
      </w:r>
      <w:r w:rsidR="00DD1819" w:rsidRPr="000749B2">
        <w:rPr>
          <w:rFonts w:ascii="Book Antiqua" w:hAnsi="Book Antiqua"/>
          <w:color w:val="000000" w:themeColor="text1"/>
          <w:sz w:val="24"/>
          <w:szCs w:val="24"/>
        </w:rPr>
        <w:t>models</w:t>
      </w:r>
      <w:r w:rsidRPr="000749B2">
        <w:rPr>
          <w:rFonts w:ascii="Book Antiqua" w:hAnsi="Book Antiqua"/>
          <w:color w:val="000000" w:themeColor="text1"/>
          <w:sz w:val="24"/>
          <w:szCs w:val="24"/>
        </w:rPr>
        <w:t xml:space="preserve">; </w:t>
      </w:r>
      <w:r w:rsidR="00940C1F" w:rsidRPr="000749B2">
        <w:rPr>
          <w:rFonts w:ascii="Book Antiqua" w:hAnsi="Book Antiqua"/>
          <w:color w:val="000000" w:themeColor="text1"/>
          <w:sz w:val="24"/>
          <w:szCs w:val="24"/>
        </w:rPr>
        <w:t>Genetically engineered mouse models</w:t>
      </w:r>
      <w:r w:rsidR="008353D9" w:rsidRPr="000749B2">
        <w:rPr>
          <w:rFonts w:ascii="Book Antiqua" w:hAnsi="Book Antiqua"/>
          <w:color w:val="000000" w:themeColor="text1"/>
          <w:sz w:val="24"/>
          <w:szCs w:val="24"/>
        </w:rPr>
        <w:t xml:space="preserve">; </w:t>
      </w:r>
      <w:r w:rsidR="00E331C5" w:rsidRPr="000749B2">
        <w:rPr>
          <w:rFonts w:ascii="Book Antiqua" w:hAnsi="Book Antiqua"/>
          <w:color w:val="000000" w:themeColor="text1"/>
          <w:sz w:val="24"/>
          <w:szCs w:val="24"/>
        </w:rPr>
        <w:t>Preclinical drug development</w:t>
      </w:r>
    </w:p>
    <w:p w14:paraId="6A1EDFB3" w14:textId="77777777" w:rsidR="00DD1819" w:rsidRPr="000749B2" w:rsidRDefault="00DD1819" w:rsidP="000B4309">
      <w:pPr>
        <w:spacing w:after="0" w:line="360" w:lineRule="auto"/>
        <w:jc w:val="both"/>
        <w:rPr>
          <w:rFonts w:ascii="Book Antiqua" w:hAnsi="Book Antiqua"/>
          <w:color w:val="000000" w:themeColor="text1"/>
          <w:sz w:val="24"/>
          <w:szCs w:val="24"/>
        </w:rPr>
      </w:pPr>
    </w:p>
    <w:p w14:paraId="13D8ECEC" w14:textId="77777777" w:rsidR="000749B2" w:rsidRDefault="000749B2" w:rsidP="000749B2">
      <w:pPr>
        <w:rPr>
          <w:rFonts w:ascii="Book Antiqua" w:hAnsi="Book Antiqua" w:hint="eastAsia"/>
          <w:color w:val="000000"/>
          <w:sz w:val="24"/>
          <w:szCs w:val="24"/>
          <w:lang w:eastAsia="zh-CN"/>
        </w:rPr>
      </w:pPr>
      <w:r w:rsidRPr="000749B2">
        <w:rPr>
          <w:rFonts w:ascii="Book Antiqua" w:hAnsi="Book Antiqua" w:hint="eastAsia"/>
          <w:b/>
          <w:color w:val="000000"/>
          <w:sz w:val="24"/>
          <w:szCs w:val="24"/>
          <w:lang w:eastAsia="zh-CN"/>
        </w:rPr>
        <w:t>Citation:</w:t>
      </w:r>
      <w:r>
        <w:rPr>
          <w:rFonts w:ascii="Book Antiqua" w:hAnsi="Book Antiqua" w:hint="eastAsia"/>
          <w:color w:val="000000"/>
          <w:sz w:val="24"/>
          <w:szCs w:val="24"/>
          <w:lang w:eastAsia="zh-CN"/>
        </w:rPr>
        <w:t xml:space="preserve"> </w:t>
      </w:r>
      <w:r>
        <w:rPr>
          <w:rFonts w:ascii="Book Antiqua" w:hAnsi="Book Antiqua"/>
          <w:color w:val="000000"/>
          <w:sz w:val="24"/>
          <w:szCs w:val="24"/>
        </w:rPr>
        <w:t>Bürtin F</w:t>
      </w:r>
      <w:r>
        <w:rPr>
          <w:rStyle w:val="orcid-id-https"/>
          <w:rFonts w:ascii="Book Antiqua" w:hAnsi="Book Antiqua"/>
          <w:color w:val="000000"/>
          <w:sz w:val="24"/>
          <w:szCs w:val="24"/>
        </w:rPr>
        <w:t xml:space="preserve">, Mullins CS, </w:t>
      </w:r>
      <w:r>
        <w:rPr>
          <w:rFonts w:ascii="Book Antiqua" w:hAnsi="Book Antiqua"/>
          <w:color w:val="000000"/>
          <w:sz w:val="24"/>
          <w:szCs w:val="24"/>
        </w:rPr>
        <w:t xml:space="preserve">Linnebacher M. </w:t>
      </w:r>
      <w:r>
        <w:rPr>
          <w:rFonts w:ascii="Book Antiqua" w:eastAsia="Times New Roman" w:hAnsi="Book Antiqua"/>
          <w:color w:val="000000"/>
          <w:sz w:val="24"/>
          <w:szCs w:val="24"/>
        </w:rPr>
        <w:t xml:space="preserve">Mouse models of colorectal cancer: Past, present and future perspectives. </w:t>
      </w:r>
      <w:r>
        <w:rPr>
          <w:rFonts w:ascii="Book Antiqua" w:eastAsia="Times New Roman" w:hAnsi="Book Antiqua"/>
          <w:i/>
          <w:iCs/>
          <w:color w:val="000000"/>
          <w:sz w:val="24"/>
          <w:szCs w:val="24"/>
        </w:rPr>
        <w:t>World J Gastroenterol</w:t>
      </w:r>
      <w:r>
        <w:rPr>
          <w:rFonts w:ascii="Book Antiqua" w:eastAsia="Times New Roman" w:hAnsi="Book Antiqua"/>
          <w:color w:val="000000"/>
          <w:sz w:val="24"/>
          <w:szCs w:val="24"/>
        </w:rPr>
        <w:t xml:space="preserve"> 2020; 26(13): </w:t>
      </w:r>
      <w:r>
        <w:rPr>
          <w:rFonts w:ascii="Book Antiqua" w:hAnsi="Book Antiqua"/>
          <w:color w:val="000000"/>
          <w:sz w:val="24"/>
          <w:szCs w:val="24"/>
        </w:rPr>
        <w:t>1394</w:t>
      </w:r>
      <w:r>
        <w:rPr>
          <w:rFonts w:ascii="Book Antiqua" w:eastAsia="Times New Roman" w:hAnsi="Book Antiqua"/>
          <w:color w:val="000000"/>
          <w:sz w:val="24"/>
          <w:szCs w:val="24"/>
        </w:rPr>
        <w:t>-</w:t>
      </w:r>
      <w:proofErr w:type="gramStart"/>
      <w:r>
        <w:rPr>
          <w:rFonts w:ascii="Book Antiqua" w:hAnsi="Book Antiqua"/>
          <w:color w:val="000000"/>
          <w:sz w:val="24"/>
          <w:szCs w:val="24"/>
        </w:rPr>
        <w:t>1426</w:t>
      </w:r>
      <w:r>
        <w:rPr>
          <w:rFonts w:ascii="Book Antiqua" w:eastAsia="Times New Roman" w:hAnsi="Book Antiqua"/>
          <w:color w:val="000000"/>
          <w:sz w:val="24"/>
          <w:szCs w:val="24"/>
        </w:rPr>
        <w:t xml:space="preserve">  </w:t>
      </w:r>
      <w:r w:rsidRPr="000749B2">
        <w:rPr>
          <w:rFonts w:ascii="Book Antiqua" w:eastAsia="Times New Roman" w:hAnsi="Book Antiqua"/>
          <w:b/>
          <w:color w:val="000000"/>
          <w:sz w:val="24"/>
          <w:szCs w:val="24"/>
        </w:rPr>
        <w:t>URL</w:t>
      </w:r>
      <w:proofErr w:type="gramEnd"/>
      <w:r w:rsidRPr="000749B2">
        <w:rPr>
          <w:rFonts w:ascii="Book Antiqua" w:eastAsia="Times New Roman" w:hAnsi="Book Antiqua"/>
          <w:b/>
          <w:color w:val="000000"/>
          <w:sz w:val="24"/>
          <w:szCs w:val="24"/>
        </w:rPr>
        <w:t>:</w:t>
      </w:r>
      <w:r>
        <w:rPr>
          <w:rFonts w:ascii="Book Antiqua" w:eastAsia="Times New Roman" w:hAnsi="Book Antiqua"/>
          <w:color w:val="000000"/>
          <w:sz w:val="24"/>
          <w:szCs w:val="24"/>
        </w:rPr>
        <w:t xml:space="preserve"> https://www.wjgnet.com/1007-9327/full/v26/i13/</w:t>
      </w:r>
      <w:r>
        <w:rPr>
          <w:rFonts w:ascii="Book Antiqua" w:hAnsi="Book Antiqua"/>
          <w:color w:val="000000"/>
          <w:sz w:val="24"/>
          <w:szCs w:val="24"/>
        </w:rPr>
        <w:t>1394</w:t>
      </w:r>
      <w:r>
        <w:rPr>
          <w:rFonts w:ascii="Book Antiqua" w:eastAsia="Times New Roman" w:hAnsi="Book Antiqua"/>
          <w:color w:val="000000"/>
          <w:sz w:val="24"/>
          <w:szCs w:val="24"/>
        </w:rPr>
        <w:t xml:space="preserve">.htm  </w:t>
      </w:r>
    </w:p>
    <w:p w14:paraId="146B4C1D" w14:textId="0405C2B9" w:rsidR="000749B2" w:rsidRDefault="000749B2" w:rsidP="000749B2">
      <w:pPr>
        <w:rPr>
          <w:rFonts w:ascii="Book Antiqua" w:eastAsia="Times New Roman" w:hAnsi="Book Antiqua"/>
          <w:color w:val="000000"/>
          <w:sz w:val="24"/>
          <w:szCs w:val="24"/>
        </w:rPr>
      </w:pPr>
      <w:r w:rsidRPr="000749B2">
        <w:rPr>
          <w:rFonts w:ascii="Book Antiqua" w:eastAsia="Times New Roman" w:hAnsi="Book Antiqua"/>
          <w:b/>
          <w:color w:val="000000"/>
          <w:sz w:val="24"/>
          <w:szCs w:val="24"/>
        </w:rPr>
        <w:t>DOI:</w:t>
      </w:r>
      <w:r>
        <w:rPr>
          <w:rFonts w:ascii="Book Antiqua" w:eastAsia="Times New Roman" w:hAnsi="Book Antiqua"/>
          <w:color w:val="000000"/>
          <w:sz w:val="24"/>
          <w:szCs w:val="24"/>
        </w:rPr>
        <w:t xml:space="preserve"> https:</w:t>
      </w:r>
      <w:bookmarkStart w:id="12" w:name="_GoBack"/>
      <w:bookmarkEnd w:id="12"/>
      <w:r>
        <w:rPr>
          <w:rFonts w:ascii="Book Antiqua" w:eastAsia="Times New Roman" w:hAnsi="Book Antiqua"/>
          <w:color w:val="000000"/>
          <w:sz w:val="24"/>
          <w:szCs w:val="24"/>
        </w:rPr>
        <w:t>//dx.doi.org/10.3748/wjg.v26.i13.</w:t>
      </w:r>
      <w:r>
        <w:rPr>
          <w:rFonts w:ascii="Book Antiqua" w:hAnsi="Book Antiqua"/>
          <w:color w:val="000000"/>
          <w:sz w:val="24"/>
          <w:szCs w:val="24"/>
        </w:rPr>
        <w:t>1394</w:t>
      </w:r>
      <w:r>
        <w:rPr>
          <w:rFonts w:ascii="Book Antiqua" w:eastAsia="Times New Roman" w:hAnsi="Book Antiqua"/>
          <w:color w:val="000000"/>
          <w:sz w:val="24"/>
          <w:szCs w:val="24"/>
        </w:rPr>
        <w:t xml:space="preserve"> </w:t>
      </w:r>
    </w:p>
    <w:p w14:paraId="3D78BF9A" w14:textId="63EEDB2A" w:rsidR="00DD1819" w:rsidRPr="000749B2" w:rsidRDefault="00DD1819" w:rsidP="000B4309">
      <w:pPr>
        <w:spacing w:after="0" w:line="360" w:lineRule="auto"/>
        <w:jc w:val="both"/>
        <w:rPr>
          <w:rStyle w:val="orcid-id-https"/>
          <w:rFonts w:ascii="Book Antiqua" w:hAnsi="Book Antiqua"/>
          <w:color w:val="000000" w:themeColor="text1"/>
          <w:sz w:val="24"/>
          <w:szCs w:val="24"/>
        </w:rPr>
      </w:pPr>
    </w:p>
    <w:p w14:paraId="6690EFC1" w14:textId="77777777" w:rsidR="007172D4" w:rsidRPr="000749B2" w:rsidRDefault="00AD7B12" w:rsidP="000B4309">
      <w:pPr>
        <w:spacing w:after="0" w:line="360" w:lineRule="auto"/>
        <w:jc w:val="both"/>
        <w:rPr>
          <w:rFonts w:ascii="Book Antiqua" w:hAnsi="Book Antiqua"/>
          <w:color w:val="000000" w:themeColor="text1"/>
          <w:sz w:val="24"/>
          <w:szCs w:val="24"/>
        </w:rPr>
      </w:pPr>
      <w:r w:rsidRPr="000749B2">
        <w:rPr>
          <w:rFonts w:ascii="Book Antiqua" w:hAnsi="Book Antiqua"/>
          <w:b/>
          <w:bCs/>
          <w:color w:val="000000" w:themeColor="text1"/>
          <w:sz w:val="24"/>
          <w:szCs w:val="24"/>
        </w:rPr>
        <w:t>Core tip</w:t>
      </w:r>
      <w:r w:rsidR="007172D4" w:rsidRPr="000749B2">
        <w:rPr>
          <w:rFonts w:ascii="Book Antiqua" w:eastAsia="Calibri" w:hAnsi="Book Antiqua" w:cs="Times New Roman"/>
          <w:b/>
          <w:bCs/>
          <w:color w:val="000000" w:themeColor="text1"/>
          <w:sz w:val="24"/>
          <w:szCs w:val="24"/>
          <w:lang w:eastAsia="zh-CN"/>
        </w:rPr>
        <w:t xml:space="preserve">: </w:t>
      </w:r>
      <w:r w:rsidR="003F6FE8" w:rsidRPr="000749B2">
        <w:rPr>
          <w:rFonts w:ascii="Book Antiqua" w:hAnsi="Book Antiqua"/>
          <w:color w:val="000000" w:themeColor="text1"/>
          <w:sz w:val="24"/>
          <w:szCs w:val="24"/>
        </w:rPr>
        <w:t xml:space="preserve">This review highlights the different approaches to model colorectal cancer in the mouse. Carcinogen-induced rodent models, genetically engineered mouse models, heterotopic and orthotopic models as well as patient-derived xenografts are discussed with an emphasis on their specific advantages and disadvantages. Moreover, the historical background of animal models for cancer research and the future perspectives of colorectal cancer research are reviewed as well. </w:t>
      </w:r>
      <w:bookmarkStart w:id="13" w:name="_Hlk1932543"/>
    </w:p>
    <w:p w14:paraId="066A53DA" w14:textId="77777777" w:rsidR="007172D4" w:rsidRPr="000749B2" w:rsidRDefault="007172D4" w:rsidP="000B4309">
      <w:pPr>
        <w:spacing w:after="0"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br w:type="page"/>
      </w:r>
    </w:p>
    <w:p w14:paraId="55257807" w14:textId="09FBB7C6" w:rsidR="009212D2" w:rsidRPr="000749B2" w:rsidRDefault="007172D4" w:rsidP="000B4309">
      <w:pPr>
        <w:spacing w:after="0" w:line="360" w:lineRule="auto"/>
        <w:jc w:val="both"/>
        <w:rPr>
          <w:rFonts w:ascii="Book Antiqua" w:eastAsia="Calibri" w:hAnsi="Book Antiqua" w:cs="Times New Roman"/>
          <w:b/>
          <w:bCs/>
          <w:color w:val="000000" w:themeColor="text1"/>
          <w:sz w:val="24"/>
          <w:szCs w:val="24"/>
          <w:u w:val="single"/>
          <w:lang w:eastAsia="zh-CN"/>
        </w:rPr>
      </w:pPr>
      <w:r w:rsidRPr="000749B2">
        <w:rPr>
          <w:rFonts w:ascii="Book Antiqua" w:eastAsia="Calibri" w:hAnsi="Book Antiqua"/>
          <w:b/>
          <w:bCs/>
          <w:color w:val="000000" w:themeColor="text1"/>
          <w:sz w:val="24"/>
          <w:szCs w:val="24"/>
          <w:u w:val="single"/>
        </w:rPr>
        <w:lastRenderedPageBreak/>
        <w:t>INTRODUCTION</w:t>
      </w:r>
    </w:p>
    <w:bookmarkEnd w:id="13"/>
    <w:p w14:paraId="23FC2C7B" w14:textId="781D5D33" w:rsidR="007172D4" w:rsidRPr="000749B2" w:rsidRDefault="009212D2" w:rsidP="000B4309">
      <w:pPr>
        <w:spacing w:after="0" w:line="360" w:lineRule="auto"/>
        <w:jc w:val="both"/>
        <w:rPr>
          <w:rFonts w:ascii="Book Antiqua" w:eastAsia="Calibri" w:hAnsi="Book Antiqua" w:cs="Times New Roman"/>
          <w:color w:val="000000" w:themeColor="text1"/>
          <w:sz w:val="24"/>
          <w:szCs w:val="24"/>
        </w:rPr>
      </w:pPr>
      <w:r w:rsidRPr="000749B2">
        <w:rPr>
          <w:rFonts w:ascii="Book Antiqua" w:eastAsia="Calibri" w:hAnsi="Book Antiqua" w:cs="Times New Roman"/>
          <w:color w:val="000000" w:themeColor="text1"/>
          <w:sz w:val="24"/>
          <w:szCs w:val="24"/>
        </w:rPr>
        <w:t xml:space="preserve">Colorectal cancer (CRC) is the third most common diagnosed malignancy among both sexes in the United States as well as in the European </w:t>
      </w:r>
      <w:proofErr w:type="gramStart"/>
      <w:r w:rsidRPr="000749B2">
        <w:rPr>
          <w:rFonts w:ascii="Book Antiqua" w:eastAsia="Calibri" w:hAnsi="Book Antiqua" w:cs="Times New Roman"/>
          <w:color w:val="000000" w:themeColor="text1"/>
          <w:sz w:val="24"/>
          <w:szCs w:val="24"/>
        </w:rPr>
        <w:t>Union</w:t>
      </w:r>
      <w:r w:rsidR="008353D9" w:rsidRPr="000749B2">
        <w:rPr>
          <w:rFonts w:ascii="Book Antiqua" w:eastAsia="Calibri" w:hAnsi="Book Antiqua" w:cs="Times New Roman"/>
          <w:color w:val="000000" w:themeColor="text1"/>
          <w:sz w:val="24"/>
          <w:szCs w:val="24"/>
          <w:vertAlign w:val="superscript"/>
        </w:rPr>
        <w:t>[</w:t>
      </w:r>
      <w:proofErr w:type="gramEnd"/>
      <w:r w:rsidR="008353D9" w:rsidRPr="000749B2">
        <w:rPr>
          <w:rFonts w:ascii="Book Antiqua" w:eastAsia="Calibri" w:hAnsi="Book Antiqua" w:cs="Times New Roman"/>
          <w:color w:val="000000" w:themeColor="text1"/>
          <w:sz w:val="24"/>
          <w:szCs w:val="24"/>
          <w:vertAlign w:val="superscript"/>
        </w:rPr>
        <w:t>1,2]</w:t>
      </w:r>
      <w:r w:rsidR="004864F8"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A decrease in the incidence and overall mortality of CRC in countries with a very high development index over the last decades can be attributed to an interplay of screening programs with detection of pre-cancerous lesions or early stage cancers on the one hand</w:t>
      </w:r>
      <w:r w:rsidR="008353D9" w:rsidRPr="000749B2">
        <w:rPr>
          <w:rFonts w:ascii="Book Antiqua" w:eastAsia="Calibri" w:hAnsi="Book Antiqua" w:cs="Times New Roman"/>
          <w:color w:val="000000" w:themeColor="text1"/>
          <w:sz w:val="24"/>
          <w:szCs w:val="24"/>
          <w:vertAlign w:val="superscript"/>
        </w:rPr>
        <w:t>[3,4]</w:t>
      </w:r>
      <w:r w:rsidR="004864F8"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and improved therapeutic concepts leading to an increased stage adjusted survival for all stages of CRC on the other hand</w:t>
      </w:r>
      <w:r w:rsidR="008353D9" w:rsidRPr="000749B2">
        <w:rPr>
          <w:rFonts w:ascii="Book Antiqua" w:eastAsia="Calibri" w:hAnsi="Book Antiqua" w:cs="Times New Roman"/>
          <w:color w:val="000000" w:themeColor="text1"/>
          <w:sz w:val="24"/>
          <w:szCs w:val="24"/>
          <w:vertAlign w:val="superscript"/>
        </w:rPr>
        <w:t>[5]</w:t>
      </w:r>
      <w:r w:rsidR="004864F8" w:rsidRPr="000749B2">
        <w:rPr>
          <w:rFonts w:ascii="Book Antiqua" w:eastAsia="Calibri" w:hAnsi="Book Antiqua" w:cs="Times New Roman"/>
          <w:color w:val="000000" w:themeColor="text1"/>
          <w:sz w:val="24"/>
          <w:szCs w:val="24"/>
        </w:rPr>
        <w:t xml:space="preserve">. </w:t>
      </w:r>
      <w:r w:rsidR="00D71BD1" w:rsidRPr="000749B2">
        <w:rPr>
          <w:rFonts w:ascii="Book Antiqua" w:eastAsia="Calibri" w:hAnsi="Book Antiqua" w:cs="Times New Roman"/>
          <w:color w:val="000000" w:themeColor="text1"/>
          <w:sz w:val="24"/>
          <w:szCs w:val="24"/>
        </w:rPr>
        <w:t>T</w:t>
      </w:r>
      <w:r w:rsidRPr="000749B2">
        <w:rPr>
          <w:rFonts w:ascii="Book Antiqua" w:eastAsia="Calibri" w:hAnsi="Book Antiqua" w:cs="Times New Roman"/>
          <w:color w:val="000000" w:themeColor="text1"/>
          <w:sz w:val="24"/>
          <w:szCs w:val="24"/>
        </w:rPr>
        <w:t xml:space="preserve">his development </w:t>
      </w:r>
      <w:r w:rsidR="00D71BD1" w:rsidRPr="000749B2">
        <w:rPr>
          <w:rFonts w:ascii="Book Antiqua" w:eastAsia="Calibri" w:hAnsi="Book Antiqua" w:cs="Times New Roman"/>
          <w:color w:val="000000" w:themeColor="text1"/>
          <w:sz w:val="24"/>
          <w:szCs w:val="24"/>
        </w:rPr>
        <w:t>is in sharp contrast</w:t>
      </w:r>
      <w:r w:rsidRPr="000749B2">
        <w:rPr>
          <w:rFonts w:ascii="Book Antiqua" w:eastAsia="Calibri" w:hAnsi="Book Antiqua" w:cs="Times New Roman"/>
          <w:color w:val="000000" w:themeColor="text1"/>
          <w:sz w:val="24"/>
          <w:szCs w:val="24"/>
        </w:rPr>
        <w:t xml:space="preserve"> </w:t>
      </w:r>
      <w:r w:rsidR="00D71BD1" w:rsidRPr="000749B2">
        <w:rPr>
          <w:rFonts w:ascii="Book Antiqua" w:eastAsia="Calibri" w:hAnsi="Book Antiqua" w:cs="Times New Roman"/>
          <w:color w:val="000000" w:themeColor="text1"/>
          <w:sz w:val="24"/>
          <w:szCs w:val="24"/>
        </w:rPr>
        <w:t>to</w:t>
      </w:r>
      <w:r w:rsidRPr="000749B2">
        <w:rPr>
          <w:rFonts w:ascii="Book Antiqua" w:eastAsia="Calibri" w:hAnsi="Book Antiqua" w:cs="Times New Roman"/>
          <w:color w:val="000000" w:themeColor="text1"/>
          <w:sz w:val="24"/>
          <w:szCs w:val="24"/>
        </w:rPr>
        <w:t xml:space="preserve"> countries with a rapidly growing </w:t>
      </w:r>
      <w:r w:rsidR="00E331C5" w:rsidRPr="000749B2">
        <w:rPr>
          <w:rFonts w:ascii="Book Antiqua" w:eastAsia="Calibri" w:hAnsi="Book Antiqua" w:cs="Times New Roman"/>
          <w:color w:val="000000" w:themeColor="text1"/>
          <w:sz w:val="24"/>
          <w:szCs w:val="24"/>
        </w:rPr>
        <w:t>high development index</w:t>
      </w:r>
      <w:r w:rsidR="00866EED" w:rsidRPr="000749B2">
        <w:rPr>
          <w:rFonts w:ascii="Book Antiqua" w:eastAsia="Calibri" w:hAnsi="Book Antiqua" w:cs="Times New Roman"/>
          <w:color w:val="000000" w:themeColor="text1"/>
          <w:sz w:val="24"/>
          <w:szCs w:val="24"/>
        </w:rPr>
        <w:t>.</w:t>
      </w:r>
      <w:r w:rsidRPr="000749B2">
        <w:rPr>
          <w:rFonts w:ascii="Book Antiqua" w:eastAsia="Calibri" w:hAnsi="Book Antiqua" w:cs="Times New Roman"/>
          <w:color w:val="000000" w:themeColor="text1"/>
          <w:sz w:val="24"/>
          <w:szCs w:val="24"/>
        </w:rPr>
        <w:t xml:space="preserve"> </w:t>
      </w:r>
      <w:r w:rsidR="00866EED" w:rsidRPr="000749B2">
        <w:rPr>
          <w:rFonts w:ascii="Book Antiqua" w:eastAsia="Calibri" w:hAnsi="Book Antiqua" w:cs="Times New Roman"/>
          <w:color w:val="000000" w:themeColor="text1"/>
          <w:sz w:val="24"/>
          <w:szCs w:val="24"/>
        </w:rPr>
        <w:t xml:space="preserve">Together </w:t>
      </w:r>
      <w:r w:rsidR="00D71BD1" w:rsidRPr="000749B2">
        <w:rPr>
          <w:rFonts w:ascii="Book Antiqua" w:eastAsia="Calibri" w:hAnsi="Book Antiqua" w:cs="Times New Roman"/>
          <w:color w:val="000000" w:themeColor="text1"/>
          <w:sz w:val="24"/>
          <w:szCs w:val="24"/>
        </w:rPr>
        <w:t>with</w:t>
      </w:r>
      <w:r w:rsidRPr="000749B2">
        <w:rPr>
          <w:rFonts w:ascii="Book Antiqua" w:eastAsia="Calibri" w:hAnsi="Book Antiqua" w:cs="Times New Roman"/>
          <w:color w:val="000000" w:themeColor="text1"/>
          <w:sz w:val="24"/>
          <w:szCs w:val="24"/>
        </w:rPr>
        <w:t xml:space="preserve"> an increased CRC incidence and mortality</w:t>
      </w:r>
      <w:r w:rsidR="00866EED" w:rsidRPr="000749B2">
        <w:rPr>
          <w:rFonts w:ascii="Book Antiqua" w:eastAsia="Calibri" w:hAnsi="Book Antiqua" w:cs="Times New Roman"/>
          <w:color w:val="000000" w:themeColor="text1"/>
          <w:sz w:val="24"/>
          <w:szCs w:val="24"/>
        </w:rPr>
        <w:t xml:space="preserve"> this reflects an </w:t>
      </w:r>
      <w:r w:rsidR="00D71BD1" w:rsidRPr="000749B2">
        <w:rPr>
          <w:rFonts w:ascii="Book Antiqua" w:eastAsia="Calibri" w:hAnsi="Book Antiqua" w:cs="Times New Roman"/>
          <w:color w:val="000000" w:themeColor="text1"/>
          <w:sz w:val="24"/>
          <w:szCs w:val="24"/>
        </w:rPr>
        <w:t xml:space="preserve">adoption of the so-called “western lifestyle” </w:t>
      </w:r>
      <w:r w:rsidR="00866EED" w:rsidRPr="000749B2">
        <w:rPr>
          <w:rFonts w:ascii="Book Antiqua" w:eastAsia="Calibri" w:hAnsi="Book Antiqua" w:cs="Times New Roman"/>
          <w:color w:val="000000" w:themeColor="text1"/>
          <w:sz w:val="24"/>
          <w:szCs w:val="24"/>
        </w:rPr>
        <w:t xml:space="preserve">including the </w:t>
      </w:r>
      <w:r w:rsidRPr="000749B2">
        <w:rPr>
          <w:rFonts w:ascii="Book Antiqua" w:eastAsia="Calibri" w:hAnsi="Book Antiqua" w:cs="Times New Roman"/>
          <w:color w:val="000000" w:themeColor="text1"/>
          <w:sz w:val="24"/>
          <w:szCs w:val="24"/>
        </w:rPr>
        <w:t xml:space="preserve">risk factors </w:t>
      </w:r>
      <w:r w:rsidR="00D71BD1" w:rsidRPr="000749B2">
        <w:rPr>
          <w:rFonts w:ascii="Book Antiqua" w:eastAsia="Calibri" w:hAnsi="Book Antiqua" w:cs="Times New Roman"/>
          <w:color w:val="000000" w:themeColor="text1"/>
          <w:sz w:val="24"/>
          <w:szCs w:val="24"/>
        </w:rPr>
        <w:t>for CRC</w:t>
      </w:r>
      <w:r w:rsidRPr="000749B2">
        <w:rPr>
          <w:rFonts w:ascii="Book Antiqua" w:eastAsia="Calibri" w:hAnsi="Book Antiqua" w:cs="Times New Roman"/>
          <w:color w:val="000000" w:themeColor="text1"/>
          <w:sz w:val="24"/>
          <w:szCs w:val="24"/>
        </w:rPr>
        <w:t>. While obesity, smoking and red meat consumption are significantly associated with an elevated CRC risk</w:t>
      </w:r>
      <w:r w:rsidR="008353D9" w:rsidRPr="000749B2">
        <w:rPr>
          <w:rFonts w:ascii="Book Antiqua" w:eastAsia="Calibri" w:hAnsi="Book Antiqua" w:cs="Times New Roman"/>
          <w:color w:val="000000" w:themeColor="text1"/>
          <w:sz w:val="24"/>
          <w:szCs w:val="24"/>
          <w:vertAlign w:val="superscript"/>
        </w:rPr>
        <w:t>[6]</w:t>
      </w:r>
      <w:r w:rsidRPr="000749B2">
        <w:rPr>
          <w:rFonts w:ascii="Book Antiqua" w:eastAsia="Calibri" w:hAnsi="Book Antiqua" w:cs="Times New Roman"/>
          <w:color w:val="000000" w:themeColor="text1"/>
          <w:sz w:val="24"/>
          <w:szCs w:val="24"/>
        </w:rPr>
        <w:t>, physical activity, high vegetable, fruit and fiber intake as well as metronomic aspirin therapy, have shown to decrease CRC risk</w:t>
      </w:r>
      <w:r w:rsidR="008353D9" w:rsidRPr="000749B2">
        <w:rPr>
          <w:rFonts w:ascii="Book Antiqua" w:eastAsia="Calibri" w:hAnsi="Book Antiqua" w:cs="Times New Roman"/>
          <w:color w:val="000000" w:themeColor="text1"/>
          <w:sz w:val="24"/>
          <w:szCs w:val="24"/>
          <w:vertAlign w:val="superscript"/>
        </w:rPr>
        <w:t>[7,8]</w:t>
      </w:r>
      <w:r w:rsidRPr="000749B2">
        <w:rPr>
          <w:rFonts w:ascii="Book Antiqua" w:eastAsia="Calibri" w:hAnsi="Book Antiqua" w:cs="Times New Roman"/>
          <w:color w:val="000000" w:themeColor="text1"/>
          <w:sz w:val="24"/>
          <w:szCs w:val="24"/>
        </w:rPr>
        <w:t xml:space="preserve">. Besides these modifiable risk factors, a variety of genetic factors influences CRC risk. </w:t>
      </w:r>
      <w:r w:rsidR="00D71BD1" w:rsidRPr="000749B2">
        <w:rPr>
          <w:rFonts w:ascii="Book Antiqua" w:eastAsia="Calibri" w:hAnsi="Book Antiqua" w:cs="Times New Roman"/>
          <w:color w:val="000000" w:themeColor="text1"/>
          <w:sz w:val="24"/>
          <w:szCs w:val="24"/>
        </w:rPr>
        <w:t xml:space="preserve">About </w:t>
      </w:r>
      <w:r w:rsidRPr="000749B2">
        <w:rPr>
          <w:rFonts w:ascii="Book Antiqua" w:eastAsia="Calibri" w:hAnsi="Book Antiqua" w:cs="Times New Roman"/>
          <w:color w:val="000000" w:themeColor="text1"/>
          <w:sz w:val="24"/>
          <w:szCs w:val="24"/>
        </w:rPr>
        <w:t>5% of CRC cases are caused by hereditary, highly penetrant cancer syndromes, like familial adenomatous polyposis (FAP) and Lynch syndrome</w:t>
      </w:r>
      <w:r w:rsidR="00633742" w:rsidRPr="000749B2">
        <w:rPr>
          <w:rFonts w:ascii="Book Antiqua" w:eastAsia="Calibri" w:hAnsi="Book Antiqua" w:cs="Times New Roman"/>
          <w:color w:val="000000" w:themeColor="text1"/>
          <w:sz w:val="24"/>
          <w:szCs w:val="24"/>
        </w:rPr>
        <w:t xml:space="preserve"> (LS)</w:t>
      </w:r>
      <w:r w:rsidR="00D71BD1" w:rsidRPr="000749B2">
        <w:rPr>
          <w:rFonts w:ascii="Book Antiqua" w:eastAsia="Calibri" w:hAnsi="Book Antiqua" w:cs="Times New Roman"/>
          <w:color w:val="000000" w:themeColor="text1"/>
          <w:sz w:val="24"/>
          <w:szCs w:val="24"/>
        </w:rPr>
        <w:t>; whereas</w:t>
      </w:r>
      <w:r w:rsidRPr="000749B2">
        <w:rPr>
          <w:rFonts w:ascii="Book Antiqua" w:eastAsia="Calibri" w:hAnsi="Book Antiqua" w:cs="Times New Roman"/>
          <w:color w:val="000000" w:themeColor="text1"/>
          <w:sz w:val="24"/>
          <w:szCs w:val="24"/>
        </w:rPr>
        <w:t xml:space="preserve"> up to 20</w:t>
      </w:r>
      <w:r w:rsidR="008353D9" w:rsidRPr="000749B2">
        <w:rPr>
          <w:rFonts w:ascii="Book Antiqua" w:eastAsia="Calibri" w:hAnsi="Book Antiqua" w:cs="Times New Roman"/>
          <w:color w:val="000000" w:themeColor="text1"/>
          <w:sz w:val="24"/>
          <w:szCs w:val="24"/>
        </w:rPr>
        <w:t>%</w:t>
      </w:r>
      <w:r w:rsidRPr="000749B2">
        <w:rPr>
          <w:rFonts w:ascii="Book Antiqua" w:eastAsia="Calibri" w:hAnsi="Book Antiqua" w:cs="Times New Roman"/>
          <w:color w:val="000000" w:themeColor="text1"/>
          <w:sz w:val="24"/>
          <w:szCs w:val="24"/>
        </w:rPr>
        <w:t xml:space="preserve">-30% of cases are </w:t>
      </w:r>
      <w:r w:rsidR="00A07AE2" w:rsidRPr="000749B2">
        <w:rPr>
          <w:rFonts w:ascii="Book Antiqua" w:eastAsia="Calibri" w:hAnsi="Book Antiqua" w:cs="Times New Roman"/>
          <w:color w:val="000000" w:themeColor="text1"/>
          <w:sz w:val="24"/>
          <w:szCs w:val="24"/>
        </w:rPr>
        <w:t>considered</w:t>
      </w:r>
      <w:r w:rsidRPr="000749B2">
        <w:rPr>
          <w:rFonts w:ascii="Book Antiqua" w:eastAsia="Calibri" w:hAnsi="Book Antiqua" w:cs="Times New Roman"/>
          <w:color w:val="000000" w:themeColor="text1"/>
          <w:sz w:val="24"/>
          <w:szCs w:val="24"/>
        </w:rPr>
        <w:t xml:space="preserve"> as “familial” due to different </w:t>
      </w:r>
      <w:r w:rsidR="00D71BD1" w:rsidRPr="000749B2">
        <w:rPr>
          <w:rFonts w:ascii="Book Antiqua" w:eastAsia="Calibri" w:hAnsi="Book Antiqua" w:cs="Times New Roman"/>
          <w:color w:val="000000" w:themeColor="text1"/>
          <w:sz w:val="24"/>
          <w:szCs w:val="24"/>
        </w:rPr>
        <w:t xml:space="preserve">germline </w:t>
      </w:r>
      <w:r w:rsidRPr="000749B2">
        <w:rPr>
          <w:rFonts w:ascii="Book Antiqua" w:eastAsia="Calibri" w:hAnsi="Book Antiqua" w:cs="Times New Roman"/>
          <w:color w:val="000000" w:themeColor="text1"/>
          <w:sz w:val="24"/>
          <w:szCs w:val="24"/>
        </w:rPr>
        <w:t xml:space="preserve">mutations of varying </w:t>
      </w:r>
      <w:proofErr w:type="gramStart"/>
      <w:r w:rsidRPr="000749B2">
        <w:rPr>
          <w:rFonts w:ascii="Book Antiqua" w:eastAsia="Calibri" w:hAnsi="Book Antiqua" w:cs="Times New Roman"/>
          <w:color w:val="000000" w:themeColor="text1"/>
          <w:sz w:val="24"/>
          <w:szCs w:val="24"/>
        </w:rPr>
        <w:t>penetrance</w:t>
      </w:r>
      <w:r w:rsidR="008353D9" w:rsidRPr="000749B2">
        <w:rPr>
          <w:rFonts w:ascii="Book Antiqua" w:eastAsia="Calibri" w:hAnsi="Book Antiqua" w:cs="Times New Roman"/>
          <w:color w:val="000000" w:themeColor="text1"/>
          <w:sz w:val="24"/>
          <w:szCs w:val="24"/>
          <w:vertAlign w:val="superscript"/>
        </w:rPr>
        <w:t>[</w:t>
      </w:r>
      <w:proofErr w:type="gramEnd"/>
      <w:r w:rsidR="008353D9" w:rsidRPr="000749B2">
        <w:rPr>
          <w:rFonts w:ascii="Book Antiqua" w:eastAsia="Calibri" w:hAnsi="Book Antiqua" w:cs="Times New Roman"/>
          <w:color w:val="000000" w:themeColor="text1"/>
          <w:sz w:val="24"/>
          <w:szCs w:val="24"/>
          <w:vertAlign w:val="superscript"/>
        </w:rPr>
        <w:t>9]</w:t>
      </w:r>
      <w:r w:rsidR="004864F8"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 xml:space="preserve">Since the discovery of the </w:t>
      </w:r>
      <w:r w:rsidR="00D71BD1" w:rsidRPr="000749B2">
        <w:rPr>
          <w:rFonts w:ascii="Book Antiqua" w:eastAsia="Calibri" w:hAnsi="Book Antiqua" w:cs="Times New Roman"/>
          <w:color w:val="000000" w:themeColor="text1"/>
          <w:sz w:val="24"/>
          <w:szCs w:val="24"/>
        </w:rPr>
        <w:t xml:space="preserve">link between </w:t>
      </w:r>
      <w:r w:rsidRPr="000749B2">
        <w:rPr>
          <w:rFonts w:ascii="Book Antiqua" w:eastAsia="Calibri" w:hAnsi="Book Antiqua" w:cs="Times New Roman"/>
          <w:color w:val="000000" w:themeColor="text1"/>
          <w:sz w:val="24"/>
          <w:szCs w:val="24"/>
        </w:rPr>
        <w:t>APC</w:t>
      </w:r>
      <w:r w:rsidR="00D71BD1" w:rsidRPr="000749B2">
        <w:rPr>
          <w:rFonts w:ascii="Book Antiqua" w:eastAsia="Calibri" w:hAnsi="Book Antiqua" w:cs="Times New Roman"/>
          <w:color w:val="000000" w:themeColor="text1"/>
          <w:sz w:val="24"/>
          <w:szCs w:val="24"/>
        </w:rPr>
        <w:t xml:space="preserve"> germline mutations</w:t>
      </w:r>
      <w:r w:rsidRPr="000749B2">
        <w:rPr>
          <w:rFonts w:ascii="Book Antiqua" w:eastAsia="Calibri" w:hAnsi="Book Antiqua" w:cs="Times New Roman"/>
          <w:color w:val="000000" w:themeColor="text1"/>
          <w:sz w:val="24"/>
          <w:szCs w:val="24"/>
        </w:rPr>
        <w:t xml:space="preserve"> </w:t>
      </w:r>
      <w:r w:rsidR="00B020FE" w:rsidRPr="000749B2">
        <w:rPr>
          <w:rFonts w:ascii="Book Antiqua" w:eastAsia="Calibri" w:hAnsi="Book Antiqua" w:cs="Times New Roman"/>
          <w:color w:val="000000" w:themeColor="text1"/>
          <w:sz w:val="24"/>
          <w:szCs w:val="24"/>
        </w:rPr>
        <w:t>and</w:t>
      </w:r>
      <w:r w:rsidRPr="000749B2">
        <w:rPr>
          <w:rFonts w:ascii="Book Antiqua" w:eastAsia="Calibri" w:hAnsi="Book Antiqua" w:cs="Times New Roman"/>
          <w:color w:val="000000" w:themeColor="text1"/>
          <w:sz w:val="24"/>
          <w:szCs w:val="24"/>
        </w:rPr>
        <w:t xml:space="preserve"> </w:t>
      </w:r>
      <w:proofErr w:type="gramStart"/>
      <w:r w:rsidRPr="000749B2">
        <w:rPr>
          <w:rFonts w:ascii="Book Antiqua" w:eastAsia="Calibri" w:hAnsi="Book Antiqua" w:cs="Times New Roman"/>
          <w:color w:val="000000" w:themeColor="text1"/>
          <w:sz w:val="24"/>
          <w:szCs w:val="24"/>
        </w:rPr>
        <w:t>FAP</w:t>
      </w:r>
      <w:r w:rsidR="008353D9" w:rsidRPr="000749B2">
        <w:rPr>
          <w:rFonts w:ascii="Book Antiqua" w:eastAsia="Calibri" w:hAnsi="Book Antiqua" w:cs="Times New Roman"/>
          <w:color w:val="000000" w:themeColor="text1"/>
          <w:sz w:val="24"/>
          <w:szCs w:val="24"/>
          <w:vertAlign w:val="superscript"/>
        </w:rPr>
        <w:t>[</w:t>
      </w:r>
      <w:proofErr w:type="gramEnd"/>
      <w:r w:rsidR="008353D9" w:rsidRPr="000749B2">
        <w:rPr>
          <w:rFonts w:ascii="Book Antiqua" w:eastAsia="Calibri" w:hAnsi="Book Antiqua" w:cs="Times New Roman"/>
          <w:color w:val="000000" w:themeColor="text1"/>
          <w:sz w:val="24"/>
          <w:szCs w:val="24"/>
          <w:vertAlign w:val="superscript"/>
        </w:rPr>
        <w:t>10]</w:t>
      </w:r>
      <w:r w:rsidR="004864F8" w:rsidRPr="000749B2">
        <w:rPr>
          <w:rFonts w:ascii="Book Antiqua" w:eastAsia="Calibri" w:hAnsi="Book Antiqua" w:cs="Times New Roman"/>
          <w:color w:val="000000" w:themeColor="text1"/>
          <w:sz w:val="24"/>
          <w:szCs w:val="24"/>
        </w:rPr>
        <w:t xml:space="preserve">, </w:t>
      </w:r>
      <w:r w:rsidR="00B020FE" w:rsidRPr="000749B2">
        <w:rPr>
          <w:rFonts w:ascii="Book Antiqua" w:eastAsia="Calibri" w:hAnsi="Book Antiqua" w:cs="Times New Roman"/>
          <w:color w:val="000000" w:themeColor="text1"/>
          <w:sz w:val="24"/>
          <w:szCs w:val="24"/>
        </w:rPr>
        <w:t>followed by</w:t>
      </w:r>
      <w:r w:rsidRPr="000749B2">
        <w:rPr>
          <w:rFonts w:ascii="Book Antiqua" w:eastAsia="Calibri" w:hAnsi="Book Antiqua" w:cs="Times New Roman"/>
          <w:color w:val="000000" w:themeColor="text1"/>
          <w:sz w:val="24"/>
          <w:szCs w:val="24"/>
        </w:rPr>
        <w:t xml:space="preserve"> the genetic pathology </w:t>
      </w:r>
      <w:r w:rsidR="00B020FE" w:rsidRPr="000749B2">
        <w:rPr>
          <w:rFonts w:ascii="Book Antiqua" w:eastAsia="Calibri" w:hAnsi="Book Antiqua" w:cs="Times New Roman"/>
          <w:color w:val="000000" w:themeColor="text1"/>
          <w:sz w:val="24"/>
          <w:szCs w:val="24"/>
        </w:rPr>
        <w:t>of</w:t>
      </w:r>
      <w:r w:rsidRPr="000749B2">
        <w:rPr>
          <w:rFonts w:ascii="Book Antiqua" w:eastAsia="Calibri" w:hAnsi="Book Antiqua" w:cs="Times New Roman"/>
          <w:color w:val="000000" w:themeColor="text1"/>
          <w:sz w:val="24"/>
          <w:szCs w:val="24"/>
        </w:rPr>
        <w:t xml:space="preserve"> L</w:t>
      </w:r>
      <w:r w:rsidR="00633742" w:rsidRPr="000749B2">
        <w:rPr>
          <w:rFonts w:ascii="Book Antiqua" w:eastAsia="Calibri" w:hAnsi="Book Antiqua" w:cs="Times New Roman"/>
          <w:color w:val="000000" w:themeColor="text1"/>
          <w:sz w:val="24"/>
          <w:szCs w:val="24"/>
        </w:rPr>
        <w:t>S</w:t>
      </w:r>
      <w:r w:rsidRPr="000749B2">
        <w:rPr>
          <w:rFonts w:ascii="Book Antiqua" w:eastAsia="Calibri" w:hAnsi="Book Antiqua" w:cs="Times New Roman"/>
          <w:color w:val="000000" w:themeColor="text1"/>
          <w:sz w:val="24"/>
          <w:szCs w:val="24"/>
        </w:rPr>
        <w:t xml:space="preserve"> in the early 1990s</w:t>
      </w:r>
      <w:r w:rsidR="008353D9" w:rsidRPr="000749B2">
        <w:rPr>
          <w:rFonts w:ascii="Book Antiqua" w:eastAsia="微软雅黑" w:hAnsi="Book Antiqua" w:cs="微软雅黑"/>
          <w:color w:val="000000" w:themeColor="text1"/>
          <w:sz w:val="24"/>
          <w:szCs w:val="24"/>
          <w:vertAlign w:val="superscript"/>
          <w:lang w:eastAsia="zh-CN"/>
        </w:rPr>
        <w:t>[11,12]</w:t>
      </w:r>
      <w:r w:rsidRPr="000749B2">
        <w:rPr>
          <w:rFonts w:ascii="Book Antiqua" w:eastAsia="Calibri" w:hAnsi="Book Antiqua" w:cs="Times New Roman"/>
          <w:color w:val="000000" w:themeColor="text1"/>
          <w:sz w:val="24"/>
          <w:szCs w:val="24"/>
        </w:rPr>
        <w:t>, a myriad of mutations contributing to CRC genesis has been identified, constantly reshaping the genomic landscape of the disease</w:t>
      </w:r>
      <w:r w:rsidR="008353D9" w:rsidRPr="000749B2">
        <w:rPr>
          <w:rFonts w:ascii="Book Antiqua" w:eastAsia="Calibri" w:hAnsi="Book Antiqua" w:cs="Times New Roman"/>
          <w:color w:val="000000" w:themeColor="text1"/>
          <w:sz w:val="24"/>
          <w:szCs w:val="24"/>
          <w:vertAlign w:val="superscript"/>
        </w:rPr>
        <w:t>[13]</w:t>
      </w:r>
      <w:r w:rsidR="00B020FE" w:rsidRPr="000749B2">
        <w:rPr>
          <w:rFonts w:ascii="Book Antiqua" w:eastAsia="Calibri" w:hAnsi="Book Antiqua" w:cs="Times New Roman"/>
          <w:color w:val="000000" w:themeColor="text1"/>
          <w:sz w:val="24"/>
          <w:szCs w:val="24"/>
        </w:rPr>
        <w:t>.</w:t>
      </w:r>
      <w:r w:rsidR="00175CD5"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 xml:space="preserve">The ideal model of CRC should recapitulate the progress from a precancerous adenoma to an invasive carcinoma with metastatic potential and at the same time </w:t>
      </w:r>
      <w:r w:rsidR="00B020FE" w:rsidRPr="000749B2">
        <w:rPr>
          <w:rFonts w:ascii="Book Antiqua" w:eastAsia="Calibri" w:hAnsi="Book Antiqua" w:cs="Times New Roman"/>
          <w:color w:val="000000" w:themeColor="text1"/>
          <w:sz w:val="24"/>
          <w:szCs w:val="24"/>
        </w:rPr>
        <w:t xml:space="preserve">it </w:t>
      </w:r>
      <w:r w:rsidRPr="000749B2">
        <w:rPr>
          <w:rFonts w:ascii="Book Antiqua" w:eastAsia="Calibri" w:hAnsi="Book Antiqua" w:cs="Times New Roman"/>
          <w:color w:val="000000" w:themeColor="text1"/>
          <w:sz w:val="24"/>
          <w:szCs w:val="24"/>
        </w:rPr>
        <w:t xml:space="preserve">has to reflect the inter-individual molecular diversity of the disease. Consequently, a single </w:t>
      </w:r>
      <w:r w:rsidR="00740BAA" w:rsidRPr="000749B2">
        <w:rPr>
          <w:rFonts w:ascii="Book Antiqua" w:eastAsia="Calibri" w:hAnsi="Book Antiqua" w:cs="Times New Roman"/>
          <w:color w:val="000000" w:themeColor="text1"/>
          <w:sz w:val="24"/>
          <w:szCs w:val="24"/>
        </w:rPr>
        <w:t>(</w:t>
      </w:r>
      <w:r w:rsidRPr="000749B2">
        <w:rPr>
          <w:rFonts w:ascii="Book Antiqua" w:eastAsia="Calibri" w:hAnsi="Book Antiqua" w:cs="Times New Roman"/>
          <w:color w:val="000000" w:themeColor="text1"/>
          <w:sz w:val="24"/>
          <w:szCs w:val="24"/>
        </w:rPr>
        <w:t>mouse</w:t>
      </w:r>
      <w:r w:rsidR="00740BAA" w:rsidRPr="000749B2">
        <w:rPr>
          <w:rFonts w:ascii="Book Antiqua" w:eastAsia="Calibri" w:hAnsi="Book Antiqua" w:cs="Times New Roman"/>
          <w:color w:val="000000" w:themeColor="text1"/>
          <w:sz w:val="24"/>
          <w:szCs w:val="24"/>
        </w:rPr>
        <w:t>)</w:t>
      </w:r>
      <w:r w:rsidRPr="000749B2">
        <w:rPr>
          <w:rFonts w:ascii="Book Antiqua" w:eastAsia="Calibri" w:hAnsi="Book Antiqua" w:cs="Times New Roman"/>
          <w:color w:val="000000" w:themeColor="text1"/>
          <w:sz w:val="24"/>
          <w:szCs w:val="24"/>
        </w:rPr>
        <w:t xml:space="preserve"> model of CRC simply cannot match all of these requirements. In this review, we discuss the different mouse models of CRC with their distinct advantages and disadvantages with </w:t>
      </w:r>
      <w:r w:rsidR="00740BAA" w:rsidRPr="000749B2">
        <w:rPr>
          <w:rFonts w:ascii="Book Antiqua" w:eastAsia="Calibri" w:hAnsi="Book Antiqua" w:cs="Times New Roman"/>
          <w:color w:val="000000" w:themeColor="text1"/>
          <w:sz w:val="24"/>
          <w:szCs w:val="24"/>
        </w:rPr>
        <w:t xml:space="preserve">a </w:t>
      </w:r>
      <w:r w:rsidRPr="000749B2">
        <w:rPr>
          <w:rFonts w:ascii="Book Antiqua" w:eastAsia="Calibri" w:hAnsi="Book Antiqua" w:cs="Times New Roman"/>
          <w:color w:val="000000" w:themeColor="text1"/>
          <w:sz w:val="24"/>
          <w:szCs w:val="24"/>
        </w:rPr>
        <w:t xml:space="preserve">focus on their translational </w:t>
      </w:r>
      <w:r w:rsidR="00FB6957" w:rsidRPr="000749B2">
        <w:rPr>
          <w:rFonts w:ascii="Book Antiqua" w:eastAsia="Calibri" w:hAnsi="Book Antiqua" w:cs="Times New Roman"/>
          <w:color w:val="000000" w:themeColor="text1"/>
          <w:sz w:val="24"/>
          <w:szCs w:val="24"/>
        </w:rPr>
        <w:t xml:space="preserve">and </w:t>
      </w:r>
      <w:r w:rsidRPr="000749B2">
        <w:rPr>
          <w:rFonts w:ascii="Book Antiqua" w:eastAsia="Calibri" w:hAnsi="Book Antiqua" w:cs="Times New Roman"/>
          <w:color w:val="000000" w:themeColor="text1"/>
          <w:sz w:val="24"/>
          <w:szCs w:val="24"/>
        </w:rPr>
        <w:t>clinical relevance.</w:t>
      </w:r>
    </w:p>
    <w:p w14:paraId="5A94A6C4" w14:textId="77777777" w:rsidR="007172D4" w:rsidRPr="000749B2" w:rsidRDefault="007172D4" w:rsidP="000B4309">
      <w:pPr>
        <w:spacing w:after="0" w:line="360" w:lineRule="auto"/>
        <w:jc w:val="both"/>
        <w:rPr>
          <w:rFonts w:ascii="Book Antiqua" w:eastAsia="Calibri" w:hAnsi="Book Antiqua" w:cs="Times New Roman"/>
          <w:color w:val="000000" w:themeColor="text1"/>
          <w:sz w:val="24"/>
          <w:szCs w:val="24"/>
        </w:rPr>
      </w:pPr>
    </w:p>
    <w:p w14:paraId="17CDF22A" w14:textId="6EFFB7AB" w:rsidR="00CE591C" w:rsidRPr="000749B2" w:rsidRDefault="007172D4" w:rsidP="000B4309">
      <w:pPr>
        <w:spacing w:after="0" w:line="360" w:lineRule="auto"/>
        <w:jc w:val="both"/>
        <w:rPr>
          <w:rFonts w:ascii="Book Antiqua" w:eastAsia="Calibri" w:hAnsi="Book Antiqua" w:cs="Times New Roman"/>
          <w:b/>
          <w:bCs/>
          <w:color w:val="000000" w:themeColor="text1"/>
          <w:sz w:val="24"/>
          <w:szCs w:val="24"/>
          <w:u w:val="single"/>
        </w:rPr>
      </w:pPr>
      <w:r w:rsidRPr="000749B2">
        <w:rPr>
          <w:rFonts w:ascii="Book Antiqua" w:hAnsi="Book Antiqua"/>
          <w:b/>
          <w:bCs/>
          <w:color w:val="000000" w:themeColor="text1"/>
          <w:sz w:val="24"/>
          <w:szCs w:val="24"/>
          <w:u w:val="single"/>
        </w:rPr>
        <w:t>CARCINOGEN-INDUCED MODELS</w:t>
      </w:r>
    </w:p>
    <w:p w14:paraId="270F438C" w14:textId="074A55F9" w:rsidR="007F1682" w:rsidRPr="000749B2" w:rsidRDefault="00CE591C" w:rsidP="000B4309">
      <w:pPr>
        <w:spacing w:after="0"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Carcinogen-induced models</w:t>
      </w:r>
      <w:r w:rsidR="00F408D0" w:rsidRPr="000749B2">
        <w:rPr>
          <w:rFonts w:ascii="Book Antiqua" w:hAnsi="Book Antiqua"/>
          <w:color w:val="000000" w:themeColor="text1"/>
          <w:sz w:val="24"/>
          <w:szCs w:val="24"/>
        </w:rPr>
        <w:t xml:space="preserve"> (CIM)</w:t>
      </w:r>
      <w:r w:rsidRPr="000749B2">
        <w:rPr>
          <w:rFonts w:ascii="Book Antiqua" w:hAnsi="Book Antiqua"/>
          <w:color w:val="000000" w:themeColor="text1"/>
          <w:sz w:val="24"/>
          <w:szCs w:val="24"/>
        </w:rPr>
        <w:t xml:space="preserve"> in rodents look back on a long tradition but </w:t>
      </w:r>
      <w:r w:rsidR="0092004B" w:rsidRPr="000749B2">
        <w:rPr>
          <w:rFonts w:ascii="Book Antiqua" w:hAnsi="Book Antiqua"/>
          <w:color w:val="000000" w:themeColor="text1"/>
          <w:sz w:val="24"/>
          <w:szCs w:val="24"/>
        </w:rPr>
        <w:t xml:space="preserve">maintained </w:t>
      </w:r>
      <w:r w:rsidRPr="000749B2">
        <w:rPr>
          <w:rFonts w:ascii="Book Antiqua" w:hAnsi="Book Antiqua"/>
          <w:color w:val="000000" w:themeColor="text1"/>
          <w:sz w:val="24"/>
          <w:szCs w:val="24"/>
        </w:rPr>
        <w:t xml:space="preserve">their usefulness </w:t>
      </w:r>
      <w:r w:rsidR="00AA78CA" w:rsidRPr="000749B2">
        <w:rPr>
          <w:rFonts w:ascii="Book Antiqua" w:hAnsi="Book Antiqua"/>
          <w:color w:val="000000" w:themeColor="text1"/>
          <w:sz w:val="24"/>
          <w:szCs w:val="24"/>
        </w:rPr>
        <w:t xml:space="preserve">for certain applications </w:t>
      </w:r>
      <w:r w:rsidRPr="000749B2">
        <w:rPr>
          <w:rFonts w:ascii="Book Antiqua" w:hAnsi="Book Antiqua"/>
          <w:color w:val="000000" w:themeColor="text1"/>
          <w:sz w:val="24"/>
          <w:szCs w:val="24"/>
        </w:rPr>
        <w:t xml:space="preserve">to the present day. They provide a platform for dietary studies and give insights into the pathways of food-borne carcinogens and colitis-associated carcinogenesis. Administration of the chemical compounds is possible </w:t>
      </w:r>
      <w:r w:rsidRPr="000749B2">
        <w:rPr>
          <w:rFonts w:ascii="Book Antiqua" w:hAnsi="Book Antiqua"/>
          <w:i/>
          <w:iCs/>
          <w:color w:val="000000" w:themeColor="text1"/>
          <w:sz w:val="24"/>
          <w:szCs w:val="24"/>
        </w:rPr>
        <w:t>via</w:t>
      </w:r>
      <w:r w:rsidRPr="000749B2">
        <w:rPr>
          <w:rFonts w:ascii="Book Antiqua" w:hAnsi="Book Antiqua"/>
          <w:color w:val="000000" w:themeColor="text1"/>
          <w:sz w:val="24"/>
          <w:szCs w:val="24"/>
        </w:rPr>
        <w:t xml:space="preserve"> ad libitum feeding, oral gavage, </w:t>
      </w:r>
      <w:r w:rsidR="00966D45" w:rsidRPr="000749B2">
        <w:rPr>
          <w:rFonts w:ascii="Book Antiqua" w:hAnsi="Book Antiqua"/>
          <w:color w:val="000000" w:themeColor="text1"/>
          <w:sz w:val="24"/>
          <w:szCs w:val="24"/>
        </w:rPr>
        <w:t>intraperitoneal</w:t>
      </w:r>
      <w:r w:rsidRPr="000749B2">
        <w:rPr>
          <w:rFonts w:ascii="Book Antiqua" w:hAnsi="Book Antiqua"/>
          <w:color w:val="000000" w:themeColor="text1"/>
          <w:sz w:val="24"/>
          <w:szCs w:val="24"/>
        </w:rPr>
        <w:t>/</w:t>
      </w:r>
      <w:r w:rsidR="00966D45" w:rsidRPr="000749B2">
        <w:rPr>
          <w:rFonts w:ascii="Book Antiqua" w:hAnsi="Book Antiqua"/>
          <w:color w:val="000000" w:themeColor="text1"/>
          <w:sz w:val="24"/>
          <w:szCs w:val="24"/>
        </w:rPr>
        <w:t>subcutaneous (</w:t>
      </w:r>
      <w:r w:rsidRPr="000749B2">
        <w:rPr>
          <w:rFonts w:ascii="Book Antiqua" w:hAnsi="Book Antiqua"/>
          <w:color w:val="000000" w:themeColor="text1"/>
          <w:sz w:val="24"/>
          <w:szCs w:val="24"/>
        </w:rPr>
        <w:t>s.c.</w:t>
      </w:r>
      <w:r w:rsidR="00966D45"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or </w:t>
      </w:r>
      <w:r w:rsidR="00966D45" w:rsidRPr="000749B2">
        <w:rPr>
          <w:rFonts w:ascii="Book Antiqua" w:hAnsi="Book Antiqua"/>
          <w:color w:val="000000" w:themeColor="text1"/>
          <w:sz w:val="24"/>
          <w:szCs w:val="24"/>
        </w:rPr>
        <w:t xml:space="preserve">intramuscular </w:t>
      </w:r>
      <w:r w:rsidRPr="000749B2">
        <w:rPr>
          <w:rFonts w:ascii="Book Antiqua" w:hAnsi="Book Antiqua"/>
          <w:color w:val="000000" w:themeColor="text1"/>
          <w:sz w:val="24"/>
          <w:szCs w:val="24"/>
        </w:rPr>
        <w:t xml:space="preserve">injection, or enema. </w:t>
      </w:r>
    </w:p>
    <w:p w14:paraId="28825B41" w14:textId="79D1B90F" w:rsidR="008353D9" w:rsidRPr="000749B2" w:rsidRDefault="00CF01EF" w:rsidP="000B4309">
      <w:pPr>
        <w:spacing w:after="0" w:line="360" w:lineRule="auto"/>
        <w:ind w:firstLineChars="100" w:firstLine="240"/>
        <w:jc w:val="both"/>
        <w:rPr>
          <w:rFonts w:ascii="Book Antiqua" w:hAnsi="Book Antiqua"/>
          <w:color w:val="000000" w:themeColor="text1"/>
          <w:sz w:val="24"/>
          <w:szCs w:val="24"/>
        </w:rPr>
      </w:pPr>
      <w:r w:rsidRPr="000749B2">
        <w:rPr>
          <w:rFonts w:ascii="Book Antiqua" w:eastAsia="Calibri" w:hAnsi="Book Antiqua" w:cs="Times New Roman"/>
          <w:color w:val="000000" w:themeColor="text1"/>
          <w:sz w:val="24"/>
          <w:szCs w:val="24"/>
        </w:rPr>
        <w:t xml:space="preserve">In </w:t>
      </w:r>
      <w:r w:rsidR="00D31DBE" w:rsidRPr="000749B2">
        <w:rPr>
          <w:rFonts w:ascii="Book Antiqua" w:eastAsia="Calibri" w:hAnsi="Book Antiqua" w:cs="Times New Roman"/>
          <w:color w:val="000000" w:themeColor="text1"/>
          <w:sz w:val="24"/>
          <w:szCs w:val="24"/>
        </w:rPr>
        <w:t>1915</w:t>
      </w:r>
      <w:r w:rsidR="008E53A4" w:rsidRPr="000749B2">
        <w:rPr>
          <w:rFonts w:ascii="Book Antiqua" w:eastAsia="Calibri" w:hAnsi="Book Antiqua" w:cs="Times New Roman"/>
          <w:color w:val="000000" w:themeColor="text1"/>
          <w:sz w:val="24"/>
          <w:szCs w:val="24"/>
        </w:rPr>
        <w:t>,</w:t>
      </w:r>
      <w:r w:rsidRPr="000749B2">
        <w:rPr>
          <w:rFonts w:ascii="Book Antiqua" w:eastAsia="Calibri" w:hAnsi="Book Antiqua" w:cs="Times New Roman"/>
          <w:color w:val="000000" w:themeColor="text1"/>
          <w:sz w:val="24"/>
          <w:szCs w:val="24"/>
        </w:rPr>
        <w:t xml:space="preserve"> Yamagiwa </w:t>
      </w:r>
      <w:r w:rsidR="008E53A4" w:rsidRPr="000749B2">
        <w:rPr>
          <w:rFonts w:ascii="Book Antiqua" w:eastAsia="Calibri" w:hAnsi="Book Antiqua" w:cs="Times New Roman"/>
          <w:i/>
          <w:iCs/>
          <w:color w:val="000000" w:themeColor="text1"/>
          <w:sz w:val="24"/>
          <w:szCs w:val="24"/>
        </w:rPr>
        <w:t xml:space="preserve">et </w:t>
      </w:r>
      <w:proofErr w:type="gramStart"/>
      <w:r w:rsidR="008E53A4" w:rsidRPr="000749B2">
        <w:rPr>
          <w:rFonts w:ascii="Book Antiqua" w:eastAsia="Calibri" w:hAnsi="Book Antiqua" w:cs="Times New Roman"/>
          <w:i/>
          <w:iCs/>
          <w:color w:val="000000" w:themeColor="text1"/>
          <w:sz w:val="24"/>
          <w:szCs w:val="24"/>
        </w:rPr>
        <w:t>al</w:t>
      </w:r>
      <w:r w:rsidR="008E53A4" w:rsidRPr="000749B2">
        <w:rPr>
          <w:rFonts w:ascii="Book Antiqua" w:eastAsia="Calibri" w:hAnsi="Book Antiqua" w:cs="Times New Roman"/>
          <w:color w:val="000000" w:themeColor="text1"/>
          <w:sz w:val="24"/>
          <w:szCs w:val="24"/>
          <w:vertAlign w:val="superscript"/>
        </w:rPr>
        <w:t>[</w:t>
      </w:r>
      <w:proofErr w:type="gramEnd"/>
      <w:r w:rsidR="008E53A4" w:rsidRPr="000749B2">
        <w:rPr>
          <w:rFonts w:ascii="Book Antiqua" w:eastAsia="Calibri" w:hAnsi="Book Antiqua" w:cs="Times New Roman"/>
          <w:color w:val="000000" w:themeColor="text1"/>
          <w:sz w:val="24"/>
          <w:szCs w:val="24"/>
          <w:vertAlign w:val="superscript"/>
        </w:rPr>
        <w:t>14]</w:t>
      </w:r>
      <w:r w:rsidRPr="000749B2">
        <w:rPr>
          <w:rFonts w:ascii="Book Antiqua" w:eastAsia="Calibri" w:hAnsi="Book Antiqua" w:cs="Times New Roman"/>
          <w:color w:val="000000" w:themeColor="text1"/>
          <w:sz w:val="24"/>
          <w:szCs w:val="24"/>
        </w:rPr>
        <w:t xml:space="preserve"> </w:t>
      </w:r>
      <w:r w:rsidR="007F1682" w:rsidRPr="000749B2">
        <w:rPr>
          <w:rFonts w:ascii="Book Antiqua" w:eastAsia="Calibri" w:hAnsi="Book Antiqua" w:cs="Times New Roman"/>
          <w:color w:val="000000" w:themeColor="text1"/>
          <w:sz w:val="24"/>
          <w:szCs w:val="24"/>
        </w:rPr>
        <w:t>proofed</w:t>
      </w:r>
      <w:r w:rsidRPr="000749B2">
        <w:rPr>
          <w:rFonts w:ascii="Book Antiqua" w:eastAsia="Calibri" w:hAnsi="Book Antiqua" w:cs="Times New Roman"/>
          <w:color w:val="000000" w:themeColor="text1"/>
          <w:sz w:val="24"/>
          <w:szCs w:val="24"/>
        </w:rPr>
        <w:t xml:space="preserve"> the carcinogenic properties of coal tar by its repetitive application on the ears of rabbits.</w:t>
      </w:r>
      <w:r w:rsidR="0072672B" w:rsidRPr="000749B2">
        <w:rPr>
          <w:rFonts w:ascii="Book Antiqua" w:hAnsi="Book Antiqua"/>
          <w:color w:val="000000" w:themeColor="text1"/>
          <w:sz w:val="24"/>
          <w:szCs w:val="24"/>
        </w:rPr>
        <w:t xml:space="preserve"> At about the same time, first researchers worked on colon carcinogenesis by applying chemical or radioactive </w:t>
      </w:r>
      <w:proofErr w:type="gramStart"/>
      <w:r w:rsidR="0072672B" w:rsidRPr="000749B2">
        <w:rPr>
          <w:rFonts w:ascii="Book Antiqua" w:hAnsi="Book Antiqua"/>
          <w:color w:val="000000" w:themeColor="text1"/>
          <w:sz w:val="24"/>
          <w:szCs w:val="24"/>
        </w:rPr>
        <w:t>substances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15-17]</w:t>
      </w:r>
      <w:r w:rsidR="0072672B" w:rsidRPr="000749B2">
        <w:rPr>
          <w:rFonts w:ascii="Book Antiqua" w:hAnsi="Book Antiqua"/>
          <w:color w:val="000000" w:themeColor="text1"/>
          <w:sz w:val="24"/>
          <w:szCs w:val="24"/>
        </w:rPr>
        <w:t>.</w:t>
      </w:r>
      <w:r w:rsidR="00D31DBE" w:rsidRPr="000749B2">
        <w:rPr>
          <w:rFonts w:ascii="Book Antiqua" w:hAnsi="Book Antiqua"/>
          <w:color w:val="000000" w:themeColor="text1"/>
          <w:sz w:val="24"/>
          <w:szCs w:val="24"/>
        </w:rPr>
        <w:t xml:space="preserve"> In </w:t>
      </w:r>
      <w:r w:rsidR="002864CC" w:rsidRPr="000749B2">
        <w:rPr>
          <w:rFonts w:ascii="Book Antiqua" w:hAnsi="Book Antiqua"/>
          <w:color w:val="000000" w:themeColor="text1"/>
          <w:sz w:val="24"/>
          <w:szCs w:val="24"/>
        </w:rPr>
        <w:t xml:space="preserve">the </w:t>
      </w:r>
      <w:r w:rsidR="00D31DBE" w:rsidRPr="000749B2">
        <w:rPr>
          <w:rFonts w:ascii="Book Antiqua" w:hAnsi="Book Antiqua"/>
          <w:color w:val="000000" w:themeColor="text1"/>
          <w:sz w:val="24"/>
          <w:szCs w:val="24"/>
        </w:rPr>
        <w:t xml:space="preserve">1960s, </w:t>
      </w:r>
      <w:r w:rsidR="00730F0F" w:rsidRPr="000749B2">
        <w:rPr>
          <w:rFonts w:ascii="Book Antiqua" w:hAnsi="Book Antiqua"/>
          <w:color w:val="000000" w:themeColor="text1"/>
          <w:sz w:val="24"/>
          <w:szCs w:val="24"/>
        </w:rPr>
        <w:t xml:space="preserve">cycasin and its metabolite, methylazoxymethanol, </w:t>
      </w:r>
      <w:r w:rsidR="00CE591C" w:rsidRPr="000749B2">
        <w:rPr>
          <w:rFonts w:ascii="Book Antiqua" w:hAnsi="Book Antiqua"/>
          <w:color w:val="000000" w:themeColor="text1"/>
          <w:sz w:val="24"/>
          <w:szCs w:val="24"/>
        </w:rPr>
        <w:t>ha</w:t>
      </w:r>
      <w:r w:rsidR="00730F0F" w:rsidRPr="000749B2">
        <w:rPr>
          <w:rFonts w:ascii="Book Antiqua" w:hAnsi="Book Antiqua"/>
          <w:color w:val="000000" w:themeColor="text1"/>
          <w:sz w:val="24"/>
          <w:szCs w:val="24"/>
        </w:rPr>
        <w:t>ve</w:t>
      </w:r>
      <w:r w:rsidR="00CE591C" w:rsidRPr="000749B2">
        <w:rPr>
          <w:rFonts w:ascii="Book Antiqua" w:hAnsi="Book Antiqua"/>
          <w:color w:val="000000" w:themeColor="text1"/>
          <w:sz w:val="24"/>
          <w:szCs w:val="24"/>
        </w:rPr>
        <w:t xml:space="preserve"> shown to induce </w:t>
      </w:r>
      <w:r w:rsidR="00730F0F" w:rsidRPr="000749B2">
        <w:rPr>
          <w:rFonts w:ascii="Book Antiqua" w:hAnsi="Book Antiqua"/>
          <w:color w:val="000000" w:themeColor="text1"/>
          <w:sz w:val="24"/>
          <w:szCs w:val="24"/>
        </w:rPr>
        <w:t>cancers in</w:t>
      </w:r>
      <w:r w:rsidR="00CE591C" w:rsidRPr="000749B2">
        <w:rPr>
          <w:rFonts w:ascii="Book Antiqua" w:hAnsi="Book Antiqua"/>
          <w:color w:val="000000" w:themeColor="text1"/>
          <w:sz w:val="24"/>
          <w:szCs w:val="24"/>
        </w:rPr>
        <w:t xml:space="preserve"> </w:t>
      </w:r>
      <w:proofErr w:type="gramStart"/>
      <w:r w:rsidR="00CE591C" w:rsidRPr="000749B2">
        <w:rPr>
          <w:rFonts w:ascii="Book Antiqua" w:hAnsi="Book Antiqua"/>
          <w:color w:val="000000" w:themeColor="text1"/>
          <w:sz w:val="24"/>
          <w:szCs w:val="24"/>
        </w:rPr>
        <w:t>rodents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18-20]</w:t>
      </w:r>
      <w:r w:rsidR="00730F0F" w:rsidRPr="000749B2">
        <w:rPr>
          <w:rFonts w:ascii="Book Antiqua" w:hAnsi="Book Antiqua"/>
          <w:color w:val="000000" w:themeColor="text1"/>
          <w:sz w:val="24"/>
          <w:szCs w:val="24"/>
        </w:rPr>
        <w:t xml:space="preserve">. </w:t>
      </w:r>
      <w:r w:rsidR="00CE591C" w:rsidRPr="000749B2">
        <w:rPr>
          <w:rFonts w:ascii="Book Antiqua" w:hAnsi="Book Antiqua"/>
          <w:color w:val="000000" w:themeColor="text1"/>
          <w:sz w:val="24"/>
          <w:szCs w:val="24"/>
        </w:rPr>
        <w:t>In the following years, the more chemical</w:t>
      </w:r>
      <w:r w:rsidR="00EB57B4" w:rsidRPr="000749B2">
        <w:rPr>
          <w:rFonts w:ascii="Book Antiqua" w:hAnsi="Book Antiqua"/>
          <w:color w:val="000000" w:themeColor="text1"/>
          <w:sz w:val="24"/>
          <w:szCs w:val="24"/>
        </w:rPr>
        <w:t>ly</w:t>
      </w:r>
      <w:r w:rsidR="00CE591C" w:rsidRPr="000749B2">
        <w:rPr>
          <w:rFonts w:ascii="Book Antiqua" w:hAnsi="Book Antiqua"/>
          <w:color w:val="000000" w:themeColor="text1"/>
          <w:sz w:val="24"/>
          <w:szCs w:val="24"/>
        </w:rPr>
        <w:t xml:space="preserve"> stable substances, azoxymethane (AO</w:t>
      </w:r>
      <w:r w:rsidR="00BE696E" w:rsidRPr="000749B2">
        <w:rPr>
          <w:rFonts w:ascii="Book Antiqua" w:hAnsi="Book Antiqua"/>
          <w:color w:val="000000" w:themeColor="text1"/>
          <w:sz w:val="24"/>
          <w:szCs w:val="24"/>
        </w:rPr>
        <w:t>M</w:t>
      </w:r>
      <w:r w:rsidR="00CE591C" w:rsidRPr="000749B2">
        <w:rPr>
          <w:rFonts w:ascii="Book Antiqua" w:hAnsi="Book Antiqua"/>
          <w:color w:val="000000" w:themeColor="text1"/>
          <w:sz w:val="24"/>
          <w:szCs w:val="24"/>
        </w:rPr>
        <w:t xml:space="preserve">) and its precursor molecule, 1,2-dimethylhydrazine as well as methylazoxymethyl acetate, were extensively used to induce colon carcinogenesis </w:t>
      </w:r>
      <w:r w:rsidR="00EB57B4" w:rsidRPr="000749B2">
        <w:rPr>
          <w:rFonts w:ascii="Book Antiqua" w:hAnsi="Book Antiqua"/>
          <w:color w:val="000000" w:themeColor="text1"/>
          <w:sz w:val="24"/>
          <w:szCs w:val="24"/>
        </w:rPr>
        <w:t xml:space="preserve">in </w:t>
      </w:r>
      <w:r w:rsidR="00CE591C" w:rsidRPr="000749B2">
        <w:rPr>
          <w:rFonts w:ascii="Book Antiqua" w:hAnsi="Book Antiqua"/>
          <w:color w:val="000000" w:themeColor="text1"/>
          <w:sz w:val="24"/>
          <w:szCs w:val="24"/>
        </w:rPr>
        <w:t>mice and rats. All three compounds are metabolized to methylazoxyformaldehyde, which is able to alkylate the DNA</w:t>
      </w:r>
      <w:r w:rsidR="009E0B65" w:rsidRPr="000749B2">
        <w:rPr>
          <w:rFonts w:ascii="Book Antiqua" w:hAnsi="Book Antiqua"/>
          <w:color w:val="000000" w:themeColor="text1"/>
          <w:sz w:val="24"/>
          <w:szCs w:val="24"/>
        </w:rPr>
        <w:t xml:space="preserve"> bases</w:t>
      </w:r>
      <w:r w:rsidR="00CE591C" w:rsidRPr="000749B2">
        <w:rPr>
          <w:rFonts w:ascii="Book Antiqua" w:hAnsi="Book Antiqua"/>
          <w:color w:val="000000" w:themeColor="text1"/>
          <w:sz w:val="24"/>
          <w:szCs w:val="24"/>
        </w:rPr>
        <w:t xml:space="preserve"> guanine and </w:t>
      </w:r>
      <w:proofErr w:type="gramStart"/>
      <w:r w:rsidR="00CE591C" w:rsidRPr="000749B2">
        <w:rPr>
          <w:rFonts w:ascii="Book Antiqua" w:hAnsi="Book Antiqua"/>
          <w:color w:val="000000" w:themeColor="text1"/>
          <w:sz w:val="24"/>
          <w:szCs w:val="24"/>
        </w:rPr>
        <w:t>thymine</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21]</w:t>
      </w:r>
      <w:r w:rsidR="00EE1C23" w:rsidRPr="000749B2">
        <w:rPr>
          <w:rFonts w:ascii="Book Antiqua" w:hAnsi="Book Antiqua"/>
          <w:color w:val="000000" w:themeColor="text1"/>
          <w:sz w:val="24"/>
          <w:szCs w:val="24"/>
        </w:rPr>
        <w:t xml:space="preserve">. </w:t>
      </w:r>
      <w:r w:rsidR="00CE591C" w:rsidRPr="000749B2">
        <w:rPr>
          <w:rFonts w:ascii="Book Antiqua" w:hAnsi="Book Antiqua"/>
          <w:color w:val="000000" w:themeColor="text1"/>
          <w:sz w:val="24"/>
          <w:szCs w:val="24"/>
        </w:rPr>
        <w:t>After being processed by Phase-II-reaction</w:t>
      </w:r>
      <w:r w:rsidR="003647DC" w:rsidRPr="000749B2">
        <w:rPr>
          <w:rFonts w:ascii="Book Antiqua" w:hAnsi="Book Antiqua"/>
          <w:color w:val="000000" w:themeColor="text1"/>
          <w:sz w:val="24"/>
          <w:szCs w:val="24"/>
        </w:rPr>
        <w:t>,</w:t>
      </w:r>
      <w:r w:rsidR="00CE591C" w:rsidRPr="000749B2">
        <w:rPr>
          <w:rFonts w:ascii="Book Antiqua" w:hAnsi="Book Antiqua"/>
          <w:color w:val="000000" w:themeColor="text1"/>
          <w:sz w:val="24"/>
          <w:szCs w:val="24"/>
        </w:rPr>
        <w:t xml:space="preserve"> it is secreted to the bile and exceeds its carcinogenic effect to the intestinal </w:t>
      </w:r>
      <w:proofErr w:type="gramStart"/>
      <w:r w:rsidR="00CE591C" w:rsidRPr="000749B2">
        <w:rPr>
          <w:rFonts w:ascii="Book Antiqua" w:hAnsi="Book Antiqua"/>
          <w:color w:val="000000" w:themeColor="text1"/>
          <w:sz w:val="24"/>
          <w:szCs w:val="24"/>
        </w:rPr>
        <w:t>mucosa</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22]</w:t>
      </w:r>
      <w:r w:rsidR="008353D9" w:rsidRPr="000749B2">
        <w:rPr>
          <w:rFonts w:ascii="Book Antiqua" w:hAnsi="Book Antiqua"/>
          <w:color w:val="000000" w:themeColor="text1"/>
          <w:sz w:val="24"/>
          <w:szCs w:val="24"/>
        </w:rPr>
        <w:t xml:space="preserve">. </w:t>
      </w:r>
      <w:r w:rsidR="00CE591C" w:rsidRPr="000749B2">
        <w:rPr>
          <w:rFonts w:ascii="Book Antiqua" w:hAnsi="Book Antiqua"/>
          <w:color w:val="000000" w:themeColor="text1"/>
          <w:sz w:val="24"/>
          <w:szCs w:val="24"/>
        </w:rPr>
        <w:t>Interestingly</w:t>
      </w:r>
      <w:r w:rsidR="003647DC" w:rsidRPr="000749B2">
        <w:rPr>
          <w:rFonts w:ascii="Book Antiqua" w:hAnsi="Book Antiqua"/>
          <w:color w:val="000000" w:themeColor="text1"/>
          <w:sz w:val="24"/>
          <w:szCs w:val="24"/>
        </w:rPr>
        <w:t>,</w:t>
      </w:r>
      <w:r w:rsidR="00CE591C" w:rsidRPr="000749B2">
        <w:rPr>
          <w:rFonts w:ascii="Book Antiqua" w:hAnsi="Book Antiqua"/>
          <w:color w:val="000000" w:themeColor="text1"/>
          <w:sz w:val="24"/>
          <w:szCs w:val="24"/>
        </w:rPr>
        <w:t xml:space="preserve"> these compounds show different carcinogenic potential depending on the mouse</w:t>
      </w:r>
      <w:r w:rsidR="00F859AD" w:rsidRPr="000749B2">
        <w:rPr>
          <w:rFonts w:ascii="Book Antiqua" w:hAnsi="Book Antiqua"/>
          <w:color w:val="000000" w:themeColor="text1"/>
          <w:sz w:val="24"/>
          <w:szCs w:val="24"/>
        </w:rPr>
        <w:t xml:space="preserve"> strain</w:t>
      </w:r>
      <w:r w:rsidR="00CE591C" w:rsidRPr="000749B2">
        <w:rPr>
          <w:rFonts w:ascii="Book Antiqua" w:hAnsi="Book Antiqua"/>
          <w:color w:val="000000" w:themeColor="text1"/>
          <w:sz w:val="24"/>
          <w:szCs w:val="24"/>
        </w:rPr>
        <w:t xml:space="preserve">, housing conditions and the way of </w:t>
      </w:r>
      <w:proofErr w:type="gramStart"/>
      <w:r w:rsidR="00CE591C" w:rsidRPr="000749B2">
        <w:rPr>
          <w:rFonts w:ascii="Book Antiqua" w:hAnsi="Book Antiqua"/>
          <w:color w:val="000000" w:themeColor="text1"/>
          <w:sz w:val="24"/>
          <w:szCs w:val="24"/>
        </w:rPr>
        <w:t>administration</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23-25]</w:t>
      </w:r>
      <w:r w:rsidR="00EE1C23" w:rsidRPr="000749B2">
        <w:rPr>
          <w:rFonts w:ascii="Book Antiqua" w:hAnsi="Book Antiqua"/>
          <w:color w:val="000000" w:themeColor="text1"/>
          <w:sz w:val="24"/>
          <w:szCs w:val="24"/>
        </w:rPr>
        <w:t xml:space="preserve">. </w:t>
      </w:r>
      <w:r w:rsidR="00CE591C" w:rsidRPr="000749B2">
        <w:rPr>
          <w:rFonts w:ascii="Book Antiqua" w:hAnsi="Book Antiqua"/>
          <w:color w:val="000000" w:themeColor="text1"/>
          <w:sz w:val="24"/>
          <w:szCs w:val="24"/>
        </w:rPr>
        <w:t>Although most authors claim a certain organotropism for AO</w:t>
      </w:r>
      <w:r w:rsidR="009E0B65" w:rsidRPr="000749B2">
        <w:rPr>
          <w:rFonts w:ascii="Book Antiqua" w:hAnsi="Book Antiqua"/>
          <w:color w:val="000000" w:themeColor="text1"/>
          <w:sz w:val="24"/>
          <w:szCs w:val="24"/>
        </w:rPr>
        <w:t>M</w:t>
      </w:r>
      <w:r w:rsidR="00CE591C" w:rsidRPr="000749B2">
        <w:rPr>
          <w:rFonts w:ascii="Book Antiqua" w:hAnsi="Book Antiqua"/>
          <w:color w:val="000000" w:themeColor="text1"/>
          <w:sz w:val="24"/>
          <w:szCs w:val="24"/>
        </w:rPr>
        <w:t xml:space="preserve"> and </w:t>
      </w:r>
      <w:r w:rsidR="008E53A4" w:rsidRPr="000749B2">
        <w:rPr>
          <w:rFonts w:ascii="Book Antiqua" w:hAnsi="Book Antiqua"/>
          <w:color w:val="000000" w:themeColor="text1"/>
          <w:sz w:val="24"/>
          <w:szCs w:val="24"/>
        </w:rPr>
        <w:t>dimethylhydrazine</w:t>
      </w:r>
      <w:r w:rsidR="00CE591C" w:rsidRPr="000749B2">
        <w:rPr>
          <w:rFonts w:ascii="Book Antiqua" w:hAnsi="Book Antiqua"/>
          <w:color w:val="000000" w:themeColor="text1"/>
          <w:sz w:val="24"/>
          <w:szCs w:val="24"/>
        </w:rPr>
        <w:t xml:space="preserve">, tumor formation happens mostly in the small intestine and relevant amounts of alkylated DNA adducts can be observed in the liver and the </w:t>
      </w:r>
      <w:proofErr w:type="gramStart"/>
      <w:r w:rsidR="00CE591C" w:rsidRPr="000749B2">
        <w:rPr>
          <w:rFonts w:ascii="Book Antiqua" w:hAnsi="Book Antiqua"/>
          <w:color w:val="000000" w:themeColor="text1"/>
          <w:sz w:val="24"/>
          <w:szCs w:val="24"/>
        </w:rPr>
        <w:t>kidneys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26]</w:t>
      </w:r>
      <w:r w:rsidR="00EE1C23" w:rsidRPr="000749B2">
        <w:rPr>
          <w:rFonts w:ascii="Book Antiqua" w:hAnsi="Book Antiqua"/>
          <w:color w:val="000000" w:themeColor="text1"/>
          <w:sz w:val="24"/>
          <w:szCs w:val="24"/>
        </w:rPr>
        <w:t xml:space="preserve">. </w:t>
      </w:r>
      <w:r w:rsidR="00CE591C" w:rsidRPr="000749B2">
        <w:rPr>
          <w:rFonts w:ascii="Book Antiqua" w:hAnsi="Book Antiqua"/>
          <w:color w:val="000000" w:themeColor="text1"/>
          <w:sz w:val="24"/>
          <w:szCs w:val="24"/>
        </w:rPr>
        <w:t>Moreover, intestinal carcinogenesis can be achieved by the oral or rectal application of the direct alkylating topic agents N-methyl-N-nitrosourea (MNU), 3,2</w:t>
      </w:r>
      <w:r w:rsidR="008353D9" w:rsidRPr="000749B2">
        <w:rPr>
          <w:rFonts w:ascii="Book Antiqua" w:hAnsi="Book Antiqua"/>
          <w:color w:val="000000" w:themeColor="text1"/>
          <w:sz w:val="24"/>
          <w:szCs w:val="24"/>
        </w:rPr>
        <w:t>’</w:t>
      </w:r>
      <w:r w:rsidR="00CE591C" w:rsidRPr="000749B2">
        <w:rPr>
          <w:rFonts w:ascii="Book Antiqua" w:hAnsi="Book Antiqua"/>
          <w:color w:val="000000" w:themeColor="text1"/>
          <w:sz w:val="24"/>
          <w:szCs w:val="24"/>
        </w:rPr>
        <w:t>-dimethyl-4-aminobiphenyl and N-Methyl-N</w:t>
      </w:r>
      <w:r w:rsidR="008353D9" w:rsidRPr="000749B2">
        <w:rPr>
          <w:rFonts w:ascii="Book Antiqua" w:hAnsi="Book Antiqua"/>
          <w:color w:val="000000" w:themeColor="text1"/>
          <w:sz w:val="24"/>
          <w:szCs w:val="24"/>
        </w:rPr>
        <w:t>’</w:t>
      </w:r>
      <w:r w:rsidR="00CE591C" w:rsidRPr="000749B2">
        <w:rPr>
          <w:rFonts w:ascii="Book Antiqua" w:hAnsi="Book Antiqua"/>
          <w:color w:val="000000" w:themeColor="text1"/>
          <w:sz w:val="24"/>
          <w:szCs w:val="24"/>
        </w:rPr>
        <w:t xml:space="preserve">-nitro-N-nitrosoguanidine of which the </w:t>
      </w:r>
      <w:r w:rsidR="002502B4" w:rsidRPr="000749B2">
        <w:rPr>
          <w:rFonts w:ascii="Book Antiqua" w:hAnsi="Book Antiqua"/>
          <w:color w:val="000000" w:themeColor="text1"/>
          <w:sz w:val="24"/>
          <w:szCs w:val="24"/>
        </w:rPr>
        <w:t>l</w:t>
      </w:r>
      <w:r w:rsidR="00CE591C" w:rsidRPr="000749B2">
        <w:rPr>
          <w:rFonts w:ascii="Book Antiqua" w:hAnsi="Book Antiqua"/>
          <w:color w:val="000000" w:themeColor="text1"/>
          <w:sz w:val="24"/>
          <w:szCs w:val="24"/>
        </w:rPr>
        <w:t>atter two are traditionally used in rats</w:t>
      </w:r>
      <w:r w:rsidR="008353D9" w:rsidRPr="000749B2">
        <w:rPr>
          <w:rFonts w:ascii="Book Antiqua" w:hAnsi="Book Antiqua"/>
          <w:color w:val="000000" w:themeColor="text1"/>
          <w:sz w:val="24"/>
          <w:szCs w:val="24"/>
          <w:vertAlign w:val="superscript"/>
        </w:rPr>
        <w:t>[27-29]</w:t>
      </w:r>
      <w:r w:rsidR="00EE1C23" w:rsidRPr="000749B2">
        <w:rPr>
          <w:rFonts w:ascii="Book Antiqua" w:hAnsi="Book Antiqua"/>
          <w:color w:val="000000" w:themeColor="text1"/>
          <w:sz w:val="24"/>
          <w:szCs w:val="24"/>
        </w:rPr>
        <w:t>.</w:t>
      </w:r>
    </w:p>
    <w:p w14:paraId="5A264F26" w14:textId="27A2CA0D" w:rsidR="00CE591C" w:rsidRPr="000749B2" w:rsidRDefault="00CE591C" w:rsidP="000B4309">
      <w:pPr>
        <w:spacing w:after="0" w:line="360" w:lineRule="auto"/>
        <w:ind w:firstLineChars="100" w:firstLine="240"/>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Other carcinogens gained attention in connection with the association between meat consumption and increased </w:t>
      </w:r>
      <w:r w:rsidR="003647DC" w:rsidRPr="000749B2">
        <w:rPr>
          <w:rFonts w:ascii="Book Antiqua" w:hAnsi="Book Antiqua"/>
          <w:color w:val="000000" w:themeColor="text1"/>
          <w:sz w:val="24"/>
          <w:szCs w:val="24"/>
        </w:rPr>
        <w:t>CRC</w:t>
      </w:r>
      <w:r w:rsidRPr="000749B2">
        <w:rPr>
          <w:rFonts w:ascii="Book Antiqua" w:hAnsi="Book Antiqua"/>
          <w:color w:val="000000" w:themeColor="text1"/>
          <w:sz w:val="24"/>
          <w:szCs w:val="24"/>
        </w:rPr>
        <w:t xml:space="preserve"> </w:t>
      </w:r>
      <w:proofErr w:type="gramStart"/>
      <w:r w:rsidRPr="000749B2">
        <w:rPr>
          <w:rFonts w:ascii="Book Antiqua" w:hAnsi="Book Antiqua"/>
          <w:color w:val="000000" w:themeColor="text1"/>
          <w:sz w:val="24"/>
          <w:szCs w:val="24"/>
        </w:rPr>
        <w:t>risk</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30]</w:t>
      </w:r>
      <w:r w:rsidR="00EE1C23"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Heterocyclic aromatic amines (H</w:t>
      </w:r>
      <w:r w:rsidR="00583332" w:rsidRPr="000749B2">
        <w:rPr>
          <w:rFonts w:ascii="Book Antiqua" w:hAnsi="Book Antiqua"/>
          <w:color w:val="000000" w:themeColor="text1"/>
          <w:sz w:val="24"/>
          <w:szCs w:val="24"/>
        </w:rPr>
        <w:t>A</w:t>
      </w:r>
      <w:r w:rsidRPr="000749B2">
        <w:rPr>
          <w:rFonts w:ascii="Book Antiqua" w:hAnsi="Book Antiqua"/>
          <w:color w:val="000000" w:themeColor="text1"/>
          <w:sz w:val="24"/>
          <w:szCs w:val="24"/>
        </w:rPr>
        <w:t>A) form from the reaction between free amino acids, sugars and creatine at high temperatures during the cooking process of meat and fish</w:t>
      </w:r>
      <w:r w:rsidR="008353D9" w:rsidRPr="000749B2">
        <w:rPr>
          <w:rFonts w:ascii="Book Antiqua" w:hAnsi="Book Antiqua"/>
          <w:color w:val="000000" w:themeColor="text1"/>
          <w:sz w:val="24"/>
          <w:szCs w:val="24"/>
          <w:vertAlign w:val="superscript"/>
        </w:rPr>
        <w:t>[31]</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whereby </w:t>
      </w:r>
      <w:r w:rsidR="008E53A4" w:rsidRPr="000749B2">
        <w:rPr>
          <w:rFonts w:ascii="Book Antiqua" w:hAnsi="Book Antiqua"/>
          <w:sz w:val="24"/>
          <w:szCs w:val="24"/>
        </w:rPr>
        <w:t>2-amino-1-methyl-6-phenylimidazo[4,5-b]pyridine</w:t>
      </w:r>
      <w:r w:rsidR="008E53A4"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(PhIP) and 2-Amino-9H-pyrido[2,3-b]indole </w:t>
      </w:r>
      <w:r w:rsidR="00583332" w:rsidRPr="000749B2">
        <w:rPr>
          <w:rFonts w:ascii="Book Antiqua" w:hAnsi="Book Antiqua"/>
          <w:color w:val="000000" w:themeColor="text1"/>
          <w:sz w:val="24"/>
          <w:szCs w:val="24"/>
        </w:rPr>
        <w:t>are the most abundant HAA in various foods</w:t>
      </w:r>
      <w:r w:rsidR="008353D9" w:rsidRPr="000749B2">
        <w:rPr>
          <w:rFonts w:ascii="Book Antiqua" w:hAnsi="Book Antiqua"/>
          <w:color w:val="000000" w:themeColor="text1"/>
          <w:sz w:val="24"/>
          <w:szCs w:val="24"/>
          <w:vertAlign w:val="superscript"/>
        </w:rPr>
        <w:t>[32]</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PhIP is metabolized by the liver </w:t>
      </w:r>
      <w:r w:rsidRPr="000749B2">
        <w:rPr>
          <w:rFonts w:ascii="Book Antiqua" w:hAnsi="Book Antiqua"/>
          <w:color w:val="000000" w:themeColor="text1"/>
          <w:sz w:val="24"/>
          <w:szCs w:val="24"/>
        </w:rPr>
        <w:lastRenderedPageBreak/>
        <w:t>enzyme CYP1A2 to N2-Hydroxy-PhIP, which then</w:t>
      </w:r>
      <w:r w:rsidR="003647DC"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after sulfation or acetylation</w:t>
      </w:r>
      <w:r w:rsidR="003647DC"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forms activated esters </w:t>
      </w:r>
      <w:r w:rsidR="003647DC" w:rsidRPr="000749B2">
        <w:rPr>
          <w:rFonts w:ascii="Book Antiqua" w:hAnsi="Book Antiqua"/>
          <w:color w:val="000000" w:themeColor="text1"/>
          <w:sz w:val="24"/>
          <w:szCs w:val="24"/>
        </w:rPr>
        <w:t>capable of</w:t>
      </w:r>
      <w:r w:rsidRPr="000749B2">
        <w:rPr>
          <w:rFonts w:ascii="Book Antiqua" w:hAnsi="Book Antiqua"/>
          <w:color w:val="000000" w:themeColor="text1"/>
          <w:sz w:val="24"/>
          <w:szCs w:val="24"/>
        </w:rPr>
        <w:t xml:space="preserve"> DNA</w:t>
      </w:r>
      <w:r w:rsidR="00B275EA"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adduct</w:t>
      </w:r>
      <w:r w:rsidR="00B275EA" w:rsidRPr="000749B2">
        <w:rPr>
          <w:rFonts w:ascii="Book Antiqua" w:hAnsi="Book Antiqua"/>
          <w:color w:val="000000" w:themeColor="text1"/>
          <w:sz w:val="24"/>
          <w:szCs w:val="24"/>
        </w:rPr>
        <w:t xml:space="preserve"> </w:t>
      </w:r>
      <w:proofErr w:type="gramStart"/>
      <w:r w:rsidR="00B275EA" w:rsidRPr="000749B2">
        <w:rPr>
          <w:rFonts w:ascii="Book Antiqua" w:hAnsi="Book Antiqua"/>
          <w:color w:val="000000" w:themeColor="text1"/>
          <w:sz w:val="24"/>
          <w:szCs w:val="24"/>
        </w:rPr>
        <w:t>formation</w:t>
      </w:r>
      <w:r w:rsidR="008353D9" w:rsidRPr="000749B2">
        <w:rPr>
          <w:rFonts w:ascii="Book Antiqua" w:hAnsi="Book Antiqua"/>
          <w:color w:val="000000" w:themeColor="text1"/>
          <w:sz w:val="24"/>
          <w:szCs w:val="24"/>
          <w:vertAlign w:val="superscript"/>
          <w:lang w:eastAsia="zh-CN"/>
        </w:rPr>
        <w:t>[</w:t>
      </w:r>
      <w:proofErr w:type="gramEnd"/>
      <w:r w:rsidR="008353D9" w:rsidRPr="000749B2">
        <w:rPr>
          <w:rFonts w:ascii="Book Antiqua" w:hAnsi="Book Antiqua"/>
          <w:color w:val="000000" w:themeColor="text1"/>
          <w:sz w:val="24"/>
          <w:szCs w:val="24"/>
          <w:vertAlign w:val="superscript"/>
          <w:lang w:eastAsia="zh-CN"/>
        </w:rPr>
        <w:t>33]</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Detoxification of PhIP and its metabolites is driven by </w:t>
      </w:r>
      <w:r w:rsidR="00C33BB8" w:rsidRPr="000749B2">
        <w:rPr>
          <w:rFonts w:ascii="Book Antiqua" w:hAnsi="Book Antiqua"/>
          <w:color w:val="000000" w:themeColor="text1"/>
          <w:sz w:val="24"/>
          <w:szCs w:val="24"/>
        </w:rPr>
        <w:t>glutathione</w:t>
      </w:r>
      <w:r w:rsidRPr="000749B2">
        <w:rPr>
          <w:rFonts w:ascii="Book Antiqua" w:hAnsi="Book Antiqua"/>
          <w:color w:val="000000" w:themeColor="text1"/>
          <w:sz w:val="24"/>
          <w:szCs w:val="24"/>
        </w:rPr>
        <w:t xml:space="preserve"> conjugation and </w:t>
      </w:r>
      <w:proofErr w:type="gramStart"/>
      <w:r w:rsidR="00C33BB8" w:rsidRPr="000749B2">
        <w:rPr>
          <w:rFonts w:ascii="Book Antiqua" w:hAnsi="Book Antiqua"/>
          <w:color w:val="000000" w:themeColor="text1"/>
          <w:sz w:val="24"/>
          <w:szCs w:val="24"/>
        </w:rPr>
        <w:t>glucuronidation</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34,35]</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Gluc</w:t>
      </w:r>
      <w:r w:rsidR="00992C6F" w:rsidRPr="000749B2">
        <w:rPr>
          <w:rFonts w:ascii="Book Antiqua" w:hAnsi="Book Antiqua"/>
          <w:color w:val="000000" w:themeColor="text1"/>
          <w:sz w:val="24"/>
          <w:szCs w:val="24"/>
        </w:rPr>
        <w:t>u</w:t>
      </w:r>
      <w:r w:rsidRPr="000749B2">
        <w:rPr>
          <w:rFonts w:ascii="Book Antiqua" w:hAnsi="Book Antiqua"/>
          <w:color w:val="000000" w:themeColor="text1"/>
          <w:sz w:val="24"/>
          <w:szCs w:val="24"/>
        </w:rPr>
        <w:t>ro</w:t>
      </w:r>
      <w:r w:rsidR="00992C6F" w:rsidRPr="000749B2">
        <w:rPr>
          <w:rFonts w:ascii="Book Antiqua" w:hAnsi="Book Antiqua"/>
          <w:color w:val="000000" w:themeColor="text1"/>
          <w:sz w:val="24"/>
          <w:szCs w:val="24"/>
        </w:rPr>
        <w:t>nide</w:t>
      </w:r>
      <w:r w:rsidRPr="000749B2">
        <w:rPr>
          <w:rFonts w:ascii="Book Antiqua" w:hAnsi="Book Antiqua"/>
          <w:color w:val="000000" w:themeColor="text1"/>
          <w:sz w:val="24"/>
          <w:szCs w:val="24"/>
        </w:rPr>
        <w:t xml:space="preserve"> conjugates are excreted through urine </w:t>
      </w:r>
      <w:r w:rsidR="00B80B4C" w:rsidRPr="000749B2">
        <w:rPr>
          <w:rFonts w:ascii="Book Antiqua" w:hAnsi="Book Antiqua"/>
          <w:color w:val="000000" w:themeColor="text1"/>
          <w:sz w:val="24"/>
          <w:szCs w:val="24"/>
        </w:rPr>
        <w:t>and</w:t>
      </w:r>
      <w:r w:rsidRPr="000749B2">
        <w:rPr>
          <w:rFonts w:ascii="Book Antiqua" w:hAnsi="Book Antiqua"/>
          <w:color w:val="000000" w:themeColor="text1"/>
          <w:sz w:val="24"/>
          <w:szCs w:val="24"/>
        </w:rPr>
        <w:t xml:space="preserve"> </w:t>
      </w:r>
      <w:proofErr w:type="gramStart"/>
      <w:r w:rsidRPr="000749B2">
        <w:rPr>
          <w:rFonts w:ascii="Book Antiqua" w:hAnsi="Book Antiqua"/>
          <w:color w:val="000000" w:themeColor="text1"/>
          <w:sz w:val="24"/>
          <w:szCs w:val="24"/>
        </w:rPr>
        <w:t>bile</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36]</w:t>
      </w:r>
      <w:r w:rsidR="00F32955" w:rsidRPr="000749B2">
        <w:rPr>
          <w:rFonts w:ascii="Book Antiqua" w:hAnsi="Book Antiqua"/>
          <w:color w:val="000000" w:themeColor="text1"/>
          <w:sz w:val="24"/>
          <w:szCs w:val="24"/>
        </w:rPr>
        <w:t xml:space="preserve">. </w:t>
      </w:r>
      <w:r w:rsidR="00B80B4C" w:rsidRPr="000749B2">
        <w:rPr>
          <w:rFonts w:ascii="Book Antiqua" w:hAnsi="Book Antiqua"/>
          <w:color w:val="000000" w:themeColor="text1"/>
          <w:sz w:val="24"/>
          <w:szCs w:val="24"/>
        </w:rPr>
        <w:t>In case of</w:t>
      </w:r>
      <w:r w:rsidRPr="000749B2">
        <w:rPr>
          <w:rFonts w:ascii="Book Antiqua" w:hAnsi="Book Antiqua"/>
          <w:color w:val="000000" w:themeColor="text1"/>
          <w:sz w:val="24"/>
          <w:szCs w:val="24"/>
        </w:rPr>
        <w:t xml:space="preserve"> the latter</w:t>
      </w:r>
      <w:r w:rsidR="00B80B4C"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hydrolyz</w:t>
      </w:r>
      <w:r w:rsidR="00B80B4C" w:rsidRPr="000749B2">
        <w:rPr>
          <w:rFonts w:ascii="Book Antiqua" w:hAnsi="Book Antiqua"/>
          <w:color w:val="000000" w:themeColor="text1"/>
          <w:sz w:val="24"/>
          <w:szCs w:val="24"/>
        </w:rPr>
        <w:t>ation</w:t>
      </w:r>
      <w:r w:rsidRPr="000749B2">
        <w:rPr>
          <w:rFonts w:ascii="Book Antiqua" w:hAnsi="Book Antiqua"/>
          <w:color w:val="000000" w:themeColor="text1"/>
          <w:sz w:val="24"/>
          <w:szCs w:val="24"/>
        </w:rPr>
        <w:t xml:space="preserve"> by bacterial beta-glucuronidases in the intestines liberat</w:t>
      </w:r>
      <w:r w:rsidR="00B80B4C" w:rsidRPr="000749B2">
        <w:rPr>
          <w:rFonts w:ascii="Book Antiqua" w:hAnsi="Book Antiqua"/>
          <w:color w:val="000000" w:themeColor="text1"/>
          <w:sz w:val="24"/>
          <w:szCs w:val="24"/>
        </w:rPr>
        <w:t>e</w:t>
      </w:r>
      <w:r w:rsidRPr="000749B2">
        <w:rPr>
          <w:rFonts w:ascii="Book Antiqua" w:hAnsi="Book Antiqua"/>
          <w:color w:val="000000" w:themeColor="text1"/>
          <w:sz w:val="24"/>
          <w:szCs w:val="24"/>
        </w:rPr>
        <w:t xml:space="preserve"> reactive PhIP</w:t>
      </w:r>
      <w:r w:rsidR="00992C6F"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metabolites, which not only affect the intestinal mucosa, but undergo enterohepatic </w:t>
      </w:r>
      <w:proofErr w:type="gramStart"/>
      <w:r w:rsidRPr="000749B2">
        <w:rPr>
          <w:rFonts w:ascii="Book Antiqua" w:hAnsi="Book Antiqua"/>
          <w:color w:val="000000" w:themeColor="text1"/>
          <w:sz w:val="24"/>
          <w:szCs w:val="24"/>
        </w:rPr>
        <w:t>circulation</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37]</w:t>
      </w:r>
      <w:r w:rsidR="00F32955" w:rsidRPr="000749B2">
        <w:rPr>
          <w:rFonts w:ascii="Book Antiqua" w:hAnsi="Book Antiqua"/>
          <w:color w:val="000000" w:themeColor="text1"/>
          <w:sz w:val="24"/>
          <w:szCs w:val="24"/>
        </w:rPr>
        <w:t xml:space="preserve">. </w:t>
      </w:r>
      <w:r w:rsidR="00B80B4C" w:rsidRPr="000749B2">
        <w:rPr>
          <w:rFonts w:ascii="Book Antiqua" w:hAnsi="Book Antiqua"/>
          <w:color w:val="000000" w:themeColor="text1"/>
          <w:sz w:val="24"/>
          <w:szCs w:val="24"/>
        </w:rPr>
        <w:t>Important to consider is, that</w:t>
      </w:r>
      <w:r w:rsidRPr="000749B2">
        <w:rPr>
          <w:rFonts w:ascii="Book Antiqua" w:hAnsi="Book Antiqua"/>
          <w:color w:val="000000" w:themeColor="text1"/>
          <w:sz w:val="24"/>
          <w:szCs w:val="24"/>
        </w:rPr>
        <w:t xml:space="preserve"> the metabolism of PhIP in rodents results in less reactive metabolites</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than in humans, </w:t>
      </w:r>
      <w:r w:rsidR="00B80B4C" w:rsidRPr="000749B2">
        <w:rPr>
          <w:rFonts w:ascii="Book Antiqua" w:hAnsi="Book Antiqua"/>
          <w:color w:val="000000" w:themeColor="text1"/>
          <w:sz w:val="24"/>
          <w:szCs w:val="24"/>
        </w:rPr>
        <w:t>and</w:t>
      </w:r>
      <w:r w:rsidRPr="000749B2">
        <w:rPr>
          <w:rFonts w:ascii="Book Antiqua" w:hAnsi="Book Antiqua"/>
          <w:color w:val="000000" w:themeColor="text1"/>
          <w:sz w:val="24"/>
          <w:szCs w:val="24"/>
        </w:rPr>
        <w:t xml:space="preserve"> its carcinogenic potential </w:t>
      </w:r>
      <w:r w:rsidR="00B80B4C" w:rsidRPr="000749B2">
        <w:rPr>
          <w:rFonts w:ascii="Book Antiqua" w:hAnsi="Book Antiqua"/>
          <w:color w:val="000000" w:themeColor="text1"/>
          <w:sz w:val="24"/>
          <w:szCs w:val="24"/>
        </w:rPr>
        <w:t xml:space="preserve">measured </w:t>
      </w:r>
      <w:r w:rsidRPr="000749B2">
        <w:rPr>
          <w:rFonts w:ascii="Book Antiqua" w:hAnsi="Book Antiqua"/>
          <w:color w:val="000000" w:themeColor="text1"/>
          <w:sz w:val="24"/>
          <w:szCs w:val="24"/>
        </w:rPr>
        <w:t>in animal studies</w:t>
      </w:r>
      <w:r w:rsidR="00B80B4C" w:rsidRPr="000749B2">
        <w:rPr>
          <w:rFonts w:ascii="Book Antiqua" w:hAnsi="Book Antiqua"/>
          <w:color w:val="000000" w:themeColor="text1"/>
          <w:sz w:val="24"/>
          <w:szCs w:val="24"/>
        </w:rPr>
        <w:t xml:space="preserve"> might be even higher in humans</w:t>
      </w:r>
      <w:r w:rsidR="008353D9" w:rsidRPr="000749B2">
        <w:rPr>
          <w:rFonts w:ascii="Book Antiqua" w:hAnsi="Book Antiqua"/>
          <w:color w:val="000000" w:themeColor="text1"/>
          <w:sz w:val="24"/>
          <w:szCs w:val="24"/>
          <w:vertAlign w:val="superscript"/>
        </w:rPr>
        <w:t>[38]</w:t>
      </w:r>
      <w:r w:rsidR="00B80B4C"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Nakagama </w:t>
      </w:r>
      <w:r w:rsidRPr="000749B2">
        <w:rPr>
          <w:rFonts w:ascii="Book Antiqua" w:hAnsi="Book Antiqua"/>
          <w:i/>
          <w:iCs/>
          <w:color w:val="000000" w:themeColor="text1"/>
          <w:sz w:val="24"/>
          <w:szCs w:val="24"/>
        </w:rPr>
        <w:t>et al</w:t>
      </w:r>
      <w:r w:rsidR="008E53A4" w:rsidRPr="000749B2">
        <w:rPr>
          <w:rFonts w:ascii="Book Antiqua" w:hAnsi="Book Antiqua"/>
          <w:color w:val="000000" w:themeColor="text1"/>
          <w:sz w:val="24"/>
          <w:szCs w:val="24"/>
          <w:vertAlign w:val="superscript"/>
        </w:rPr>
        <w:t>[39]</w:t>
      </w:r>
      <w:r w:rsidRPr="000749B2">
        <w:rPr>
          <w:rFonts w:ascii="Book Antiqua" w:hAnsi="Book Antiqua"/>
          <w:color w:val="000000" w:themeColor="text1"/>
          <w:sz w:val="24"/>
          <w:szCs w:val="24"/>
        </w:rPr>
        <w:t xml:space="preserve">, by combining a high fat diet with PhIP intake, showed the tumor enhancing properties of this food borne agent simulating the carcinogenic effects of the </w:t>
      </w:r>
      <w:r w:rsidR="004F6A36" w:rsidRPr="000749B2">
        <w:rPr>
          <w:rFonts w:ascii="Book Antiqua" w:hAnsi="Book Antiqua"/>
          <w:color w:val="000000" w:themeColor="text1"/>
          <w:sz w:val="24"/>
          <w:szCs w:val="24"/>
        </w:rPr>
        <w:t>s.c.</w:t>
      </w:r>
      <w:r w:rsidRPr="000749B2">
        <w:rPr>
          <w:rFonts w:ascii="Book Antiqua" w:hAnsi="Book Antiqua"/>
          <w:color w:val="000000" w:themeColor="text1"/>
          <w:sz w:val="24"/>
          <w:szCs w:val="24"/>
        </w:rPr>
        <w:t xml:space="preserve"> “western diet”</w:t>
      </w:r>
      <w:r w:rsidR="00F32955" w:rsidRPr="000749B2">
        <w:rPr>
          <w:rFonts w:ascii="Book Antiqua" w:hAnsi="Book Antiqua"/>
          <w:color w:val="000000" w:themeColor="text1"/>
          <w:sz w:val="24"/>
          <w:szCs w:val="24"/>
        </w:rPr>
        <w:t xml:space="preserve">. </w:t>
      </w:r>
      <w:r w:rsidR="00583332" w:rsidRPr="000749B2">
        <w:rPr>
          <w:rFonts w:ascii="Book Antiqua" w:hAnsi="Book Antiqua"/>
          <w:color w:val="000000" w:themeColor="text1"/>
          <w:sz w:val="24"/>
          <w:szCs w:val="24"/>
        </w:rPr>
        <w:t>Moreover</w:t>
      </w:r>
      <w:r w:rsidRPr="000749B2">
        <w:rPr>
          <w:rFonts w:ascii="Book Antiqua" w:hAnsi="Book Antiqua"/>
          <w:color w:val="000000" w:themeColor="text1"/>
          <w:sz w:val="24"/>
          <w:szCs w:val="24"/>
        </w:rPr>
        <w:t xml:space="preserve">, PhIP </w:t>
      </w:r>
      <w:r w:rsidR="00B80B4C" w:rsidRPr="000749B2">
        <w:rPr>
          <w:rFonts w:ascii="Book Antiqua" w:hAnsi="Book Antiqua"/>
          <w:color w:val="000000" w:themeColor="text1"/>
          <w:sz w:val="24"/>
          <w:szCs w:val="24"/>
        </w:rPr>
        <w:t xml:space="preserve">led </w:t>
      </w:r>
      <w:r w:rsidRPr="000749B2">
        <w:rPr>
          <w:rFonts w:ascii="Book Antiqua" w:hAnsi="Book Antiqua"/>
          <w:color w:val="000000" w:themeColor="text1"/>
          <w:sz w:val="24"/>
          <w:szCs w:val="24"/>
        </w:rPr>
        <w:t xml:space="preserve">to the formation of high-grade dysplasia and adenocarcinomas in a mouse model of chemical induced </w:t>
      </w:r>
      <w:proofErr w:type="gramStart"/>
      <w:r w:rsidRPr="000749B2">
        <w:rPr>
          <w:rFonts w:ascii="Book Antiqua" w:hAnsi="Book Antiqua"/>
          <w:color w:val="000000" w:themeColor="text1"/>
          <w:sz w:val="24"/>
          <w:szCs w:val="24"/>
        </w:rPr>
        <w:t>colitis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40]</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Although other common foodborne HA</w:t>
      </w:r>
      <w:r w:rsidR="00B80B4C" w:rsidRPr="000749B2">
        <w:rPr>
          <w:rFonts w:ascii="Book Antiqua" w:hAnsi="Book Antiqua"/>
          <w:color w:val="000000" w:themeColor="text1"/>
          <w:sz w:val="24"/>
          <w:szCs w:val="24"/>
        </w:rPr>
        <w:t>A</w:t>
      </w:r>
      <w:r w:rsidRPr="000749B2">
        <w:rPr>
          <w:rFonts w:ascii="Book Antiqua" w:hAnsi="Book Antiqua"/>
          <w:color w:val="000000" w:themeColor="text1"/>
          <w:sz w:val="24"/>
          <w:szCs w:val="24"/>
        </w:rPr>
        <w:t>s</w:t>
      </w:r>
      <w:r w:rsidR="001566C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have shown to induce dysplasia and carcinomas in </w:t>
      </w:r>
      <w:proofErr w:type="gramStart"/>
      <w:r w:rsidRPr="000749B2">
        <w:rPr>
          <w:rFonts w:ascii="Book Antiqua" w:hAnsi="Book Antiqua"/>
          <w:color w:val="000000" w:themeColor="text1"/>
          <w:sz w:val="24"/>
          <w:szCs w:val="24"/>
        </w:rPr>
        <w:t>rodents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41]</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they are </w:t>
      </w:r>
      <w:r w:rsidR="00B80B4C" w:rsidRPr="000749B2">
        <w:rPr>
          <w:rFonts w:ascii="Book Antiqua" w:hAnsi="Book Antiqua"/>
          <w:color w:val="000000" w:themeColor="text1"/>
          <w:sz w:val="24"/>
          <w:szCs w:val="24"/>
        </w:rPr>
        <w:t xml:space="preserve">rarely </w:t>
      </w:r>
      <w:r w:rsidRPr="000749B2">
        <w:rPr>
          <w:rFonts w:ascii="Book Antiqua" w:hAnsi="Book Antiqua"/>
          <w:color w:val="000000" w:themeColor="text1"/>
          <w:sz w:val="24"/>
          <w:szCs w:val="24"/>
        </w:rPr>
        <w:t>used for modelling colon carcinogenesis. Polycyclic aromatic hydrocarbons, as benzo[a]pyrene</w:t>
      </w:r>
      <w:r w:rsidR="002239E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may be </w:t>
      </w:r>
      <w:r w:rsidR="00F424D2" w:rsidRPr="000749B2">
        <w:rPr>
          <w:rFonts w:ascii="Book Antiqua" w:hAnsi="Book Antiqua"/>
          <w:color w:val="000000" w:themeColor="text1"/>
          <w:sz w:val="24"/>
          <w:szCs w:val="24"/>
        </w:rPr>
        <w:t>used for</w:t>
      </w:r>
      <w:r w:rsidRPr="000749B2">
        <w:rPr>
          <w:rFonts w:ascii="Book Antiqua" w:hAnsi="Book Antiqua"/>
          <w:color w:val="000000" w:themeColor="text1"/>
          <w:sz w:val="24"/>
          <w:szCs w:val="24"/>
        </w:rPr>
        <w:t xml:space="preserve"> chemoprevention studies but are insignificant for CRC modeling in general</w:t>
      </w:r>
      <w:r w:rsidR="008353D9" w:rsidRPr="000749B2">
        <w:rPr>
          <w:rFonts w:ascii="Book Antiqua" w:hAnsi="Book Antiqua"/>
          <w:color w:val="000000" w:themeColor="text1"/>
          <w:sz w:val="24"/>
          <w:szCs w:val="24"/>
          <w:vertAlign w:val="superscript"/>
        </w:rPr>
        <w:t>[42,43]</w:t>
      </w:r>
      <w:r w:rsidR="00F32955" w:rsidRPr="000749B2">
        <w:rPr>
          <w:rFonts w:ascii="Book Antiqua" w:hAnsi="Book Antiqua"/>
          <w:color w:val="000000" w:themeColor="text1"/>
          <w:sz w:val="24"/>
          <w:szCs w:val="24"/>
        </w:rPr>
        <w:t>.</w:t>
      </w:r>
      <w:r w:rsidR="00216E2A" w:rsidRPr="000749B2">
        <w:rPr>
          <w:rFonts w:ascii="Book Antiqua" w:hAnsi="Book Antiqua"/>
          <w:color w:val="000000" w:themeColor="text1"/>
          <w:sz w:val="24"/>
          <w:szCs w:val="24"/>
        </w:rPr>
        <w:t xml:space="preserve"> </w:t>
      </w:r>
      <w:r w:rsidR="00B275EA" w:rsidRPr="000749B2">
        <w:rPr>
          <w:rFonts w:ascii="Book Antiqua" w:hAnsi="Book Antiqua"/>
          <w:color w:val="000000" w:themeColor="text1"/>
          <w:sz w:val="24"/>
          <w:szCs w:val="24"/>
        </w:rPr>
        <w:t>Dextran sodium sulfate (DSS) must also be mentioned when discussing chemical-induced CRC mouse models</w:t>
      </w:r>
      <w:r w:rsidRPr="000749B2">
        <w:rPr>
          <w:rFonts w:ascii="Book Antiqua" w:hAnsi="Book Antiqua"/>
          <w:color w:val="000000" w:themeColor="text1"/>
          <w:sz w:val="24"/>
          <w:szCs w:val="24"/>
        </w:rPr>
        <w:t xml:space="preserve">. Since the first report of an DSS-induced colitis model nearly 30 years </w:t>
      </w:r>
      <w:proofErr w:type="gramStart"/>
      <w:r w:rsidRPr="000749B2">
        <w:rPr>
          <w:rFonts w:ascii="Book Antiqua" w:hAnsi="Book Antiqua"/>
          <w:color w:val="000000" w:themeColor="text1"/>
          <w:sz w:val="24"/>
          <w:szCs w:val="24"/>
        </w:rPr>
        <w:t>ago</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44]</w:t>
      </w:r>
      <w:r w:rsidRPr="000749B2">
        <w:rPr>
          <w:rFonts w:ascii="Book Antiqua" w:hAnsi="Book Antiqua"/>
          <w:color w:val="000000" w:themeColor="text1"/>
          <w:sz w:val="24"/>
          <w:szCs w:val="24"/>
        </w:rPr>
        <w:t xml:space="preserve">, countless studies used DSS to simulate chronic inflammatory bowel diseases and we would recommend the reader to refer to excellent reviews discussing </w:t>
      </w:r>
      <w:r w:rsidR="008E53A4" w:rsidRPr="000749B2">
        <w:rPr>
          <w:rFonts w:ascii="Book Antiqua" w:hAnsi="Book Antiqua"/>
          <w:color w:val="000000" w:themeColor="text1"/>
          <w:sz w:val="24"/>
          <w:szCs w:val="24"/>
        </w:rPr>
        <w:t xml:space="preserve">inflammatory bowel diseases </w:t>
      </w:r>
      <w:r w:rsidRPr="000749B2">
        <w:rPr>
          <w:rFonts w:ascii="Book Antiqua" w:hAnsi="Book Antiqua"/>
          <w:color w:val="000000" w:themeColor="text1"/>
          <w:sz w:val="24"/>
          <w:szCs w:val="24"/>
        </w:rPr>
        <w:t>and DSS</w:t>
      </w:r>
      <w:r w:rsidR="008353D9" w:rsidRPr="000749B2">
        <w:rPr>
          <w:rFonts w:ascii="Book Antiqua" w:hAnsi="Book Antiqua"/>
          <w:color w:val="000000" w:themeColor="text1"/>
          <w:sz w:val="24"/>
          <w:szCs w:val="24"/>
          <w:vertAlign w:val="superscript"/>
        </w:rPr>
        <w:t>[45]</w:t>
      </w:r>
      <w:r w:rsidRPr="000749B2">
        <w:rPr>
          <w:rFonts w:ascii="Book Antiqua" w:hAnsi="Book Antiqua"/>
          <w:color w:val="000000" w:themeColor="text1"/>
          <w:sz w:val="24"/>
          <w:szCs w:val="24"/>
        </w:rPr>
        <w:t>. As a sulfated polysaccharide</w:t>
      </w:r>
      <w:r w:rsidR="00B80B4C"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DSS directly damages the colonic epithelium resulting in an impairment of the mucosal barrier with consecutive entry of luminal bacteria and associated antigens into the mucosa</w:t>
      </w:r>
      <w:r w:rsidR="00ED7BD7"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triggering </w:t>
      </w:r>
      <w:proofErr w:type="gramStart"/>
      <w:r w:rsidRPr="000749B2">
        <w:rPr>
          <w:rFonts w:ascii="Book Antiqua" w:hAnsi="Book Antiqua"/>
          <w:color w:val="000000" w:themeColor="text1"/>
          <w:sz w:val="24"/>
          <w:szCs w:val="24"/>
        </w:rPr>
        <w:t>inflammation</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46]</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Depending on the animal strain, DSS dosage and administration regimen</w:t>
      </w:r>
      <w:r w:rsidR="00ED7BD7"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mice can develop acute </w:t>
      </w:r>
      <w:r w:rsidR="00ED7BD7" w:rsidRPr="000749B2">
        <w:rPr>
          <w:rFonts w:ascii="Book Antiqua" w:hAnsi="Book Antiqua"/>
          <w:color w:val="000000" w:themeColor="text1"/>
          <w:sz w:val="24"/>
          <w:szCs w:val="24"/>
        </w:rPr>
        <w:t>and</w:t>
      </w:r>
      <w:r w:rsidRPr="000749B2">
        <w:rPr>
          <w:rFonts w:ascii="Book Antiqua" w:hAnsi="Book Antiqua"/>
          <w:color w:val="000000" w:themeColor="text1"/>
          <w:sz w:val="24"/>
          <w:szCs w:val="24"/>
        </w:rPr>
        <w:t xml:space="preserve"> chronic colitis or even colitis</w:t>
      </w:r>
      <w:r w:rsidR="00ED7BD7"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induced dysplastic </w:t>
      </w:r>
      <w:proofErr w:type="gramStart"/>
      <w:r w:rsidRPr="000749B2">
        <w:rPr>
          <w:rFonts w:ascii="Book Antiqua" w:hAnsi="Book Antiqua"/>
          <w:color w:val="000000" w:themeColor="text1"/>
          <w:sz w:val="24"/>
          <w:szCs w:val="24"/>
        </w:rPr>
        <w:t>lesions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47-50]</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DSS in combination with carcinogenic compounds, primarily AOM, has been proven useful for the research of colitis-induced </w:t>
      </w:r>
      <w:proofErr w:type="gramStart"/>
      <w:r w:rsidRPr="000749B2">
        <w:rPr>
          <w:rFonts w:ascii="Book Antiqua" w:hAnsi="Book Antiqua"/>
          <w:color w:val="000000" w:themeColor="text1"/>
          <w:sz w:val="24"/>
          <w:szCs w:val="24"/>
        </w:rPr>
        <w:t>cancer</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51]</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By use of mice with germline </w:t>
      </w:r>
      <w:r w:rsidRPr="000749B2">
        <w:rPr>
          <w:rFonts w:ascii="Book Antiqua" w:hAnsi="Book Antiqua"/>
          <w:i/>
          <w:iCs/>
          <w:color w:val="000000" w:themeColor="text1"/>
          <w:sz w:val="24"/>
          <w:szCs w:val="24"/>
        </w:rPr>
        <w:t>A</w:t>
      </w:r>
      <w:r w:rsidR="00E37B13" w:rsidRPr="000749B2">
        <w:rPr>
          <w:rFonts w:ascii="Book Antiqua" w:hAnsi="Book Antiqua"/>
          <w:i/>
          <w:iCs/>
          <w:color w:val="000000" w:themeColor="text1"/>
          <w:sz w:val="24"/>
          <w:szCs w:val="24"/>
        </w:rPr>
        <w:t>pc</w:t>
      </w:r>
      <w:r w:rsidR="00E37B13" w:rsidRPr="000749B2">
        <w:rPr>
          <w:rFonts w:ascii="Book Antiqua" w:hAnsi="Book Antiqua"/>
          <w:color w:val="000000" w:themeColor="text1"/>
          <w:sz w:val="24"/>
          <w:szCs w:val="24"/>
        </w:rPr>
        <w:t xml:space="preserve"> </w:t>
      </w:r>
      <w:r w:rsidR="00246893" w:rsidRPr="000749B2">
        <w:rPr>
          <w:rFonts w:ascii="Book Antiqua" w:hAnsi="Book Antiqua"/>
          <w:color w:val="000000" w:themeColor="text1"/>
          <w:sz w:val="24"/>
          <w:szCs w:val="24"/>
        </w:rPr>
        <w:t>mutation</w:t>
      </w:r>
      <w:r w:rsidRPr="000749B2">
        <w:rPr>
          <w:rFonts w:ascii="Book Antiqua" w:hAnsi="Book Antiqua"/>
          <w:color w:val="000000" w:themeColor="text1"/>
          <w:sz w:val="24"/>
          <w:szCs w:val="24"/>
        </w:rPr>
        <w:t xml:space="preserve"> (</w:t>
      </w:r>
      <w:r w:rsidR="00E37B13" w:rsidRPr="000749B2">
        <w:rPr>
          <w:rFonts w:ascii="Book Antiqua" w:eastAsia="Calibri" w:hAnsi="Book Antiqua" w:cs="Times New Roman"/>
          <w:bCs/>
          <w:iCs/>
          <w:color w:val="000000" w:themeColor="text1"/>
          <w:sz w:val="24"/>
          <w:szCs w:val="24"/>
        </w:rPr>
        <w:t>APC</w:t>
      </w:r>
      <w:r w:rsidR="000D3BA0" w:rsidRPr="000749B2">
        <w:rPr>
          <w:rFonts w:ascii="Book Antiqua" w:eastAsia="Calibri" w:hAnsi="Book Antiqua" w:cs="Times New Roman"/>
          <w:bCs/>
          <w:iCs/>
          <w:color w:val="000000" w:themeColor="text1"/>
          <w:sz w:val="24"/>
          <w:szCs w:val="24"/>
          <w:vertAlign w:val="superscript"/>
        </w:rPr>
        <w:t>Min</w:t>
      </w:r>
      <w:r w:rsidR="00E37B13"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mice) for DSS </w:t>
      </w:r>
      <w:r w:rsidR="00ED7BD7" w:rsidRPr="000749B2">
        <w:rPr>
          <w:rFonts w:ascii="Book Antiqua" w:hAnsi="Book Antiqua"/>
          <w:color w:val="000000" w:themeColor="text1"/>
          <w:sz w:val="24"/>
          <w:szCs w:val="24"/>
        </w:rPr>
        <w:t>treatment</w:t>
      </w:r>
      <w:r w:rsidRPr="000749B2">
        <w:rPr>
          <w:rFonts w:ascii="Book Antiqua" w:hAnsi="Book Antiqua"/>
          <w:color w:val="000000" w:themeColor="text1"/>
          <w:sz w:val="24"/>
          <w:szCs w:val="24"/>
        </w:rPr>
        <w:t xml:space="preserve">, the rate of dysplasia and carcinoma formation </w:t>
      </w:r>
      <w:r w:rsidR="00ED7BD7" w:rsidRPr="000749B2">
        <w:rPr>
          <w:rFonts w:ascii="Book Antiqua" w:hAnsi="Book Antiqua"/>
          <w:color w:val="000000" w:themeColor="text1"/>
          <w:sz w:val="24"/>
          <w:szCs w:val="24"/>
        </w:rPr>
        <w:t>was</w:t>
      </w:r>
      <w:r w:rsidRPr="000749B2">
        <w:rPr>
          <w:rFonts w:ascii="Book Antiqua" w:hAnsi="Book Antiqua"/>
          <w:color w:val="000000" w:themeColor="text1"/>
          <w:sz w:val="24"/>
          <w:szCs w:val="24"/>
        </w:rPr>
        <w:t xml:space="preserve"> further </w:t>
      </w:r>
      <w:proofErr w:type="gramStart"/>
      <w:r w:rsidRPr="000749B2">
        <w:rPr>
          <w:rFonts w:ascii="Book Antiqua" w:hAnsi="Book Antiqua"/>
          <w:color w:val="000000" w:themeColor="text1"/>
          <w:sz w:val="24"/>
          <w:szCs w:val="24"/>
        </w:rPr>
        <w:t>enhanced</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52]</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Cooper </w:t>
      </w:r>
      <w:r w:rsidRPr="000749B2">
        <w:rPr>
          <w:rFonts w:ascii="Book Antiqua" w:hAnsi="Book Antiqua"/>
          <w:i/>
          <w:iCs/>
          <w:color w:val="000000" w:themeColor="text1"/>
          <w:sz w:val="24"/>
          <w:szCs w:val="24"/>
        </w:rPr>
        <w:t xml:space="preserve">et </w:t>
      </w:r>
      <w:proofErr w:type="gramStart"/>
      <w:r w:rsidRPr="000749B2">
        <w:rPr>
          <w:rFonts w:ascii="Book Antiqua" w:hAnsi="Book Antiqua"/>
          <w:i/>
          <w:iCs/>
          <w:color w:val="000000" w:themeColor="text1"/>
          <w:sz w:val="24"/>
          <w:szCs w:val="24"/>
        </w:rPr>
        <w:t>a</w:t>
      </w:r>
      <w:r w:rsidR="00E37B13" w:rsidRPr="000749B2">
        <w:rPr>
          <w:rFonts w:ascii="Book Antiqua" w:hAnsi="Book Antiqua"/>
          <w:i/>
          <w:iCs/>
          <w:color w:val="000000" w:themeColor="text1"/>
          <w:sz w:val="24"/>
          <w:szCs w:val="24"/>
        </w:rPr>
        <w:t>l</w:t>
      </w:r>
      <w:r w:rsidR="008E53A4" w:rsidRPr="000749B2">
        <w:rPr>
          <w:rFonts w:ascii="Book Antiqua" w:hAnsi="Book Antiqua"/>
          <w:color w:val="000000" w:themeColor="text1"/>
          <w:sz w:val="24"/>
          <w:szCs w:val="24"/>
          <w:vertAlign w:val="superscript"/>
        </w:rPr>
        <w:t>[</w:t>
      </w:r>
      <w:proofErr w:type="gramEnd"/>
      <w:r w:rsidR="008E53A4" w:rsidRPr="000749B2">
        <w:rPr>
          <w:rFonts w:ascii="Book Antiqua" w:hAnsi="Book Antiqua"/>
          <w:color w:val="000000" w:themeColor="text1"/>
          <w:sz w:val="24"/>
          <w:szCs w:val="24"/>
          <w:vertAlign w:val="superscript"/>
        </w:rPr>
        <w:t>53]</w:t>
      </w:r>
      <w:r w:rsidRPr="000749B2">
        <w:rPr>
          <w:rFonts w:ascii="Book Antiqua" w:hAnsi="Book Antiqua"/>
          <w:color w:val="000000" w:themeColor="text1"/>
          <w:sz w:val="24"/>
          <w:szCs w:val="24"/>
        </w:rPr>
        <w:t xml:space="preserve"> reported an increased </w:t>
      </w:r>
      <w:r w:rsidR="00ED7BD7" w:rsidRPr="000749B2">
        <w:rPr>
          <w:rFonts w:ascii="Book Antiqua" w:hAnsi="Book Antiqua"/>
          <w:color w:val="000000" w:themeColor="text1"/>
          <w:sz w:val="24"/>
          <w:szCs w:val="24"/>
        </w:rPr>
        <w:t>CRC</w:t>
      </w:r>
      <w:r w:rsidRPr="000749B2">
        <w:rPr>
          <w:rFonts w:ascii="Book Antiqua" w:hAnsi="Book Antiqua"/>
          <w:color w:val="000000" w:themeColor="text1"/>
          <w:sz w:val="24"/>
          <w:szCs w:val="24"/>
        </w:rPr>
        <w:t xml:space="preserve"> incidence of 40% in </w:t>
      </w:r>
      <w:r w:rsidR="00E37B13" w:rsidRPr="000749B2">
        <w:rPr>
          <w:rFonts w:ascii="Book Antiqua" w:eastAsia="Calibri" w:hAnsi="Book Antiqua" w:cs="Times New Roman"/>
          <w:bCs/>
          <w:iCs/>
          <w:color w:val="000000" w:themeColor="text1"/>
          <w:sz w:val="24"/>
          <w:szCs w:val="24"/>
        </w:rPr>
        <w:t>APC</w:t>
      </w:r>
      <w:r w:rsidR="000D3BA0" w:rsidRPr="000749B2">
        <w:rPr>
          <w:rFonts w:ascii="Book Antiqua" w:eastAsia="Calibri" w:hAnsi="Book Antiqua" w:cs="Times New Roman"/>
          <w:bCs/>
          <w:iCs/>
          <w:color w:val="000000" w:themeColor="text1"/>
          <w:sz w:val="24"/>
          <w:szCs w:val="24"/>
          <w:vertAlign w:val="superscript"/>
        </w:rPr>
        <w:t>Min</w:t>
      </w:r>
      <w:r w:rsidRPr="000749B2">
        <w:rPr>
          <w:rFonts w:ascii="Book Antiqua" w:hAnsi="Book Antiqua"/>
          <w:color w:val="000000" w:themeColor="text1"/>
          <w:sz w:val="24"/>
          <w:szCs w:val="24"/>
        </w:rPr>
        <w:t xml:space="preserve"> mice after two cycles of 4% </w:t>
      </w:r>
      <w:r w:rsidRPr="000749B2">
        <w:rPr>
          <w:rFonts w:ascii="Book Antiqua" w:hAnsi="Book Antiqua"/>
          <w:color w:val="000000" w:themeColor="text1"/>
          <w:sz w:val="24"/>
          <w:szCs w:val="24"/>
        </w:rPr>
        <w:lastRenderedPageBreak/>
        <w:t xml:space="preserve">DSS treatment compared to untreated control animals </w:t>
      </w:r>
      <w:r w:rsidR="00ED7BD7" w:rsidRPr="000749B2">
        <w:rPr>
          <w:rFonts w:ascii="Book Antiqua" w:hAnsi="Book Antiqua"/>
          <w:color w:val="000000" w:themeColor="text1"/>
          <w:sz w:val="24"/>
          <w:szCs w:val="24"/>
        </w:rPr>
        <w:t>and identified the</w:t>
      </w:r>
      <w:r w:rsidRPr="000749B2">
        <w:rPr>
          <w:rFonts w:ascii="Book Antiqua" w:hAnsi="Book Antiqua"/>
          <w:color w:val="000000" w:themeColor="text1"/>
          <w:sz w:val="24"/>
          <w:szCs w:val="24"/>
        </w:rPr>
        <w:t xml:space="preserve"> loss of </w:t>
      </w:r>
      <w:r w:rsidR="00ED7BD7" w:rsidRPr="000749B2">
        <w:rPr>
          <w:rFonts w:ascii="Book Antiqua" w:hAnsi="Book Antiqua"/>
          <w:color w:val="000000" w:themeColor="text1"/>
          <w:sz w:val="24"/>
          <w:szCs w:val="24"/>
        </w:rPr>
        <w:t>heterozygosity</w:t>
      </w:r>
      <w:r w:rsidRPr="000749B2">
        <w:rPr>
          <w:rFonts w:ascii="Book Antiqua" w:hAnsi="Book Antiqua"/>
          <w:color w:val="000000" w:themeColor="text1"/>
          <w:sz w:val="24"/>
          <w:szCs w:val="24"/>
        </w:rPr>
        <w:t xml:space="preserve"> </w:t>
      </w:r>
      <w:r w:rsidR="00633742" w:rsidRPr="000749B2">
        <w:rPr>
          <w:rFonts w:ascii="Book Antiqua" w:hAnsi="Book Antiqua"/>
          <w:color w:val="000000" w:themeColor="text1"/>
          <w:sz w:val="24"/>
          <w:szCs w:val="24"/>
        </w:rPr>
        <w:t>(LOH)</w:t>
      </w:r>
      <w:r w:rsidR="00E37B13" w:rsidRPr="000749B2">
        <w:rPr>
          <w:rFonts w:ascii="Book Antiqua" w:hAnsi="Book Antiqua"/>
          <w:color w:val="000000" w:themeColor="text1"/>
          <w:sz w:val="24"/>
          <w:szCs w:val="24"/>
        </w:rPr>
        <w:t xml:space="preserve"> </w:t>
      </w:r>
      <w:r w:rsidR="00ED7BD7" w:rsidRPr="000749B2">
        <w:rPr>
          <w:rFonts w:ascii="Book Antiqua" w:hAnsi="Book Antiqua"/>
          <w:color w:val="000000" w:themeColor="text1"/>
          <w:sz w:val="24"/>
          <w:szCs w:val="24"/>
        </w:rPr>
        <w:t xml:space="preserve">of </w:t>
      </w:r>
      <w:r w:rsidRPr="000749B2">
        <w:rPr>
          <w:rFonts w:ascii="Book Antiqua" w:hAnsi="Book Antiqua"/>
          <w:i/>
          <w:iCs/>
          <w:color w:val="000000" w:themeColor="text1"/>
          <w:sz w:val="24"/>
          <w:szCs w:val="24"/>
        </w:rPr>
        <w:t>A</w:t>
      </w:r>
      <w:r w:rsidR="00E37B13" w:rsidRPr="000749B2">
        <w:rPr>
          <w:rFonts w:ascii="Book Antiqua" w:hAnsi="Book Antiqua"/>
          <w:i/>
          <w:iCs/>
          <w:color w:val="000000" w:themeColor="text1"/>
          <w:sz w:val="24"/>
          <w:szCs w:val="24"/>
        </w:rPr>
        <w:t>pc</w:t>
      </w:r>
      <w:r w:rsidRPr="000749B2">
        <w:rPr>
          <w:rFonts w:ascii="Book Antiqua" w:hAnsi="Book Antiqua"/>
          <w:color w:val="000000" w:themeColor="text1"/>
          <w:sz w:val="24"/>
          <w:szCs w:val="24"/>
        </w:rPr>
        <w:t xml:space="preserve"> </w:t>
      </w:r>
      <w:r w:rsidR="00ED7BD7" w:rsidRPr="000749B2">
        <w:rPr>
          <w:rFonts w:ascii="Book Antiqua" w:hAnsi="Book Antiqua"/>
          <w:color w:val="000000" w:themeColor="text1"/>
          <w:sz w:val="24"/>
          <w:szCs w:val="24"/>
        </w:rPr>
        <w:t>as underlying cause</w:t>
      </w:r>
      <w:r w:rsidR="00F32955" w:rsidRPr="000749B2">
        <w:rPr>
          <w:rFonts w:ascii="Book Antiqua" w:hAnsi="Book Antiqua"/>
          <w:color w:val="000000" w:themeColor="text1"/>
          <w:sz w:val="24"/>
          <w:szCs w:val="24"/>
        </w:rPr>
        <w:t>.</w:t>
      </w:r>
    </w:p>
    <w:p w14:paraId="5CFA7A1D" w14:textId="72F1C318" w:rsidR="007172D4" w:rsidRPr="000749B2" w:rsidRDefault="00CE591C" w:rsidP="000B4309">
      <w:pPr>
        <w:spacing w:after="0" w:line="360" w:lineRule="auto"/>
        <w:ind w:firstLineChars="100" w:firstLine="240"/>
        <w:jc w:val="both"/>
        <w:rPr>
          <w:rFonts w:ascii="Book Antiqua" w:hAnsi="Book Antiqua"/>
          <w:color w:val="000000" w:themeColor="text1"/>
          <w:sz w:val="24"/>
          <w:szCs w:val="24"/>
        </w:rPr>
      </w:pPr>
      <w:r w:rsidRPr="000749B2">
        <w:rPr>
          <w:rFonts w:ascii="Book Antiqua" w:hAnsi="Book Antiqua"/>
          <w:color w:val="000000" w:themeColor="text1"/>
          <w:sz w:val="24"/>
          <w:szCs w:val="24"/>
        </w:rPr>
        <w:t>Chemical</w:t>
      </w:r>
      <w:r w:rsidR="00ED7BD7" w:rsidRPr="000749B2">
        <w:rPr>
          <w:rFonts w:ascii="Book Antiqua" w:hAnsi="Book Antiqua"/>
          <w:color w:val="000000" w:themeColor="text1"/>
          <w:sz w:val="24"/>
          <w:szCs w:val="24"/>
        </w:rPr>
        <w:t>-</w:t>
      </w:r>
      <w:r w:rsidRPr="000749B2">
        <w:rPr>
          <w:rFonts w:ascii="Book Antiqua" w:hAnsi="Book Antiqua"/>
          <w:color w:val="000000" w:themeColor="text1"/>
          <w:sz w:val="24"/>
          <w:szCs w:val="24"/>
        </w:rPr>
        <w:t>induced mouse models are not homogenous and</w:t>
      </w:r>
      <w:r w:rsidR="00B275EA" w:rsidRPr="000749B2">
        <w:rPr>
          <w:rFonts w:ascii="Book Antiqua" w:hAnsi="Book Antiqua"/>
          <w:color w:val="000000" w:themeColor="text1"/>
          <w:sz w:val="24"/>
          <w:szCs w:val="24"/>
        </w:rPr>
        <w:t xml:space="preserve"> </w:t>
      </w:r>
      <w:r w:rsidR="00ED7BD7" w:rsidRPr="000749B2">
        <w:rPr>
          <w:rFonts w:ascii="Book Antiqua" w:hAnsi="Book Antiqua"/>
          <w:color w:val="000000" w:themeColor="text1"/>
          <w:sz w:val="24"/>
          <w:szCs w:val="24"/>
        </w:rPr>
        <w:t>possess</w:t>
      </w:r>
      <w:r w:rsidRPr="000749B2">
        <w:rPr>
          <w:rFonts w:ascii="Book Antiqua" w:hAnsi="Book Antiqua"/>
          <w:color w:val="000000" w:themeColor="text1"/>
          <w:sz w:val="24"/>
          <w:szCs w:val="24"/>
        </w:rPr>
        <w:t xml:space="preserve"> specific advantages and disadvantages. They are by far the oldest method </w:t>
      </w:r>
      <w:r w:rsidR="00ED7BD7" w:rsidRPr="000749B2">
        <w:rPr>
          <w:rFonts w:ascii="Book Antiqua" w:hAnsi="Book Antiqua"/>
          <w:color w:val="000000" w:themeColor="text1"/>
          <w:sz w:val="24"/>
          <w:szCs w:val="24"/>
        </w:rPr>
        <w:t>induc</w:t>
      </w:r>
      <w:r w:rsidRPr="000749B2">
        <w:rPr>
          <w:rFonts w:ascii="Book Antiqua" w:hAnsi="Book Antiqua"/>
          <w:color w:val="000000" w:themeColor="text1"/>
          <w:sz w:val="24"/>
          <w:szCs w:val="24"/>
        </w:rPr>
        <w:t xml:space="preserve">ing </w:t>
      </w:r>
      <w:r w:rsidR="00ED7BD7" w:rsidRPr="000749B2">
        <w:rPr>
          <w:rFonts w:ascii="Book Antiqua" w:hAnsi="Book Antiqua"/>
          <w:color w:val="000000" w:themeColor="text1"/>
          <w:sz w:val="24"/>
          <w:szCs w:val="24"/>
        </w:rPr>
        <w:t>CRC</w:t>
      </w:r>
      <w:r w:rsidRPr="000749B2">
        <w:rPr>
          <w:rFonts w:ascii="Book Antiqua" w:hAnsi="Book Antiqua"/>
          <w:color w:val="000000" w:themeColor="text1"/>
          <w:sz w:val="24"/>
          <w:szCs w:val="24"/>
        </w:rPr>
        <w:t xml:space="preserve"> in animals and a multitude of studies has been traditionally carried out in rats and other rodents diminishing the comparability of older data with more recent results</w:t>
      </w:r>
      <w:r w:rsidR="008F65E1"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Most models reflect very well the progression from aberrant crypt foci to adenomas to carcinomas </w:t>
      </w:r>
      <w:r w:rsidR="00ED7BD7" w:rsidRPr="000749B2">
        <w:rPr>
          <w:rFonts w:ascii="Book Antiqua" w:hAnsi="Book Antiqua"/>
          <w:color w:val="000000" w:themeColor="text1"/>
          <w:sz w:val="24"/>
          <w:szCs w:val="24"/>
        </w:rPr>
        <w:t>of</w:t>
      </w:r>
      <w:r w:rsidRPr="000749B2">
        <w:rPr>
          <w:rFonts w:ascii="Book Antiqua" w:hAnsi="Book Antiqua"/>
          <w:color w:val="000000" w:themeColor="text1"/>
          <w:sz w:val="24"/>
          <w:szCs w:val="24"/>
        </w:rPr>
        <w:t xml:space="preserve"> the human adenoma-carcinoma </w:t>
      </w:r>
      <w:proofErr w:type="gramStart"/>
      <w:r w:rsidRPr="000749B2">
        <w:rPr>
          <w:rFonts w:ascii="Book Antiqua" w:hAnsi="Book Antiqua"/>
          <w:color w:val="000000" w:themeColor="text1"/>
          <w:sz w:val="24"/>
          <w:szCs w:val="24"/>
        </w:rPr>
        <w:t>sequence</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54]</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Therefore, they </w:t>
      </w:r>
      <w:r w:rsidR="00ED7BD7" w:rsidRPr="000749B2">
        <w:rPr>
          <w:rFonts w:ascii="Book Antiqua" w:hAnsi="Book Antiqua"/>
          <w:color w:val="000000" w:themeColor="text1"/>
          <w:sz w:val="24"/>
          <w:szCs w:val="24"/>
        </w:rPr>
        <w:t>are still useful</w:t>
      </w:r>
      <w:r w:rsidRPr="000749B2">
        <w:rPr>
          <w:rFonts w:ascii="Book Antiqua" w:hAnsi="Book Antiqua"/>
          <w:color w:val="000000" w:themeColor="text1"/>
          <w:sz w:val="24"/>
          <w:szCs w:val="24"/>
        </w:rPr>
        <w:t xml:space="preserve"> to evaluate the influence of </w:t>
      </w:r>
      <w:proofErr w:type="gramStart"/>
      <w:r w:rsidRPr="000749B2">
        <w:rPr>
          <w:rFonts w:ascii="Book Antiqua" w:hAnsi="Book Antiqua"/>
          <w:color w:val="000000" w:themeColor="text1"/>
          <w:sz w:val="24"/>
          <w:szCs w:val="24"/>
        </w:rPr>
        <w:t>diet</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55]</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dietary supplements</w:t>
      </w:r>
      <w:r w:rsidR="008353D9" w:rsidRPr="000749B2">
        <w:rPr>
          <w:rFonts w:ascii="Book Antiqua" w:hAnsi="Book Antiqua"/>
          <w:color w:val="000000" w:themeColor="text1"/>
          <w:sz w:val="24"/>
          <w:szCs w:val="24"/>
          <w:vertAlign w:val="superscript"/>
        </w:rPr>
        <w:t>[56,57]</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chemopreventive interventions</w:t>
      </w:r>
      <w:r w:rsidR="008353D9" w:rsidRPr="000749B2">
        <w:rPr>
          <w:rFonts w:ascii="Book Antiqua" w:hAnsi="Book Antiqua"/>
          <w:color w:val="000000" w:themeColor="text1"/>
          <w:sz w:val="24"/>
          <w:szCs w:val="24"/>
          <w:vertAlign w:val="superscript"/>
        </w:rPr>
        <w:t>[58,59]</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and the gut microbiome</w:t>
      </w:r>
      <w:r w:rsidR="008353D9" w:rsidRPr="000749B2">
        <w:rPr>
          <w:rFonts w:ascii="Book Antiqua" w:hAnsi="Book Antiqua"/>
          <w:color w:val="000000" w:themeColor="text1"/>
          <w:sz w:val="24"/>
          <w:szCs w:val="24"/>
          <w:vertAlign w:val="superscript"/>
        </w:rPr>
        <w:t>[60]</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Especially the combination of DSS with carcinogenic agents provided many insights in the link between CRC and </w:t>
      </w:r>
      <w:proofErr w:type="gramStart"/>
      <w:r w:rsidRPr="000749B2">
        <w:rPr>
          <w:rFonts w:ascii="Book Antiqua" w:hAnsi="Book Antiqua"/>
          <w:color w:val="000000" w:themeColor="text1"/>
          <w:sz w:val="24"/>
          <w:szCs w:val="24"/>
        </w:rPr>
        <w:t>inflammation</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61]</w:t>
      </w:r>
      <w:r w:rsidR="00F3295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However, chemical</w:t>
      </w:r>
      <w:r w:rsidR="00ED7BD7"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induced carcinomas rarely show invasive properties and local or distant metastases are usually absent. </w:t>
      </w:r>
      <w:r w:rsidR="00ED7BD7" w:rsidRPr="000749B2">
        <w:rPr>
          <w:rFonts w:ascii="Book Antiqua" w:hAnsi="Book Antiqua"/>
          <w:color w:val="000000" w:themeColor="text1"/>
          <w:sz w:val="24"/>
          <w:szCs w:val="24"/>
        </w:rPr>
        <w:t>Albeit</w:t>
      </w:r>
      <w:r w:rsidRPr="000749B2">
        <w:rPr>
          <w:rFonts w:ascii="Book Antiqua" w:hAnsi="Book Antiqua"/>
          <w:color w:val="000000" w:themeColor="text1"/>
          <w:sz w:val="24"/>
          <w:szCs w:val="24"/>
        </w:rPr>
        <w:t xml:space="preserve"> Yang </w:t>
      </w:r>
      <w:r w:rsidRPr="000749B2">
        <w:rPr>
          <w:rFonts w:ascii="Book Antiqua" w:hAnsi="Book Antiqua"/>
          <w:i/>
          <w:iCs/>
          <w:color w:val="000000" w:themeColor="text1"/>
          <w:sz w:val="24"/>
          <w:szCs w:val="24"/>
        </w:rPr>
        <w:t xml:space="preserve">et </w:t>
      </w:r>
      <w:proofErr w:type="gramStart"/>
      <w:r w:rsidRPr="000749B2">
        <w:rPr>
          <w:rFonts w:ascii="Book Antiqua" w:hAnsi="Book Antiqua"/>
          <w:i/>
          <w:iCs/>
          <w:color w:val="000000" w:themeColor="text1"/>
          <w:sz w:val="24"/>
          <w:szCs w:val="24"/>
        </w:rPr>
        <w:t>al</w:t>
      </w:r>
      <w:r w:rsidR="008E53A4" w:rsidRPr="000749B2">
        <w:rPr>
          <w:rFonts w:ascii="Book Antiqua" w:hAnsi="Book Antiqua"/>
          <w:color w:val="000000" w:themeColor="text1"/>
          <w:sz w:val="24"/>
          <w:szCs w:val="24"/>
          <w:vertAlign w:val="superscript"/>
        </w:rPr>
        <w:t>[</w:t>
      </w:r>
      <w:proofErr w:type="gramEnd"/>
      <w:r w:rsidR="008E53A4" w:rsidRPr="000749B2">
        <w:rPr>
          <w:rFonts w:ascii="Book Antiqua" w:hAnsi="Book Antiqua"/>
          <w:color w:val="000000" w:themeColor="text1"/>
          <w:sz w:val="24"/>
          <w:szCs w:val="24"/>
          <w:vertAlign w:val="superscript"/>
        </w:rPr>
        <w:t>62]</w:t>
      </w:r>
      <w:r w:rsidRPr="000749B2">
        <w:rPr>
          <w:rFonts w:ascii="Book Antiqua" w:hAnsi="Book Antiqua"/>
          <w:color w:val="000000" w:themeColor="text1"/>
          <w:sz w:val="24"/>
          <w:szCs w:val="24"/>
        </w:rPr>
        <w:t xml:space="preserve"> reported lymph node metastases in an intrarectal MNU-model, the use of shrews (phylogenetic </w:t>
      </w:r>
      <w:r w:rsidR="00ED7BD7" w:rsidRPr="000749B2">
        <w:rPr>
          <w:rFonts w:ascii="Book Antiqua" w:hAnsi="Book Antiqua"/>
          <w:color w:val="000000" w:themeColor="text1"/>
          <w:sz w:val="24"/>
          <w:szCs w:val="24"/>
        </w:rPr>
        <w:t>un</w:t>
      </w:r>
      <w:r w:rsidRPr="000749B2">
        <w:rPr>
          <w:rFonts w:ascii="Book Antiqua" w:hAnsi="Book Antiqua"/>
          <w:color w:val="000000" w:themeColor="text1"/>
          <w:sz w:val="24"/>
          <w:szCs w:val="24"/>
        </w:rPr>
        <w:t>related to rodents) as test animals interdicts the comparison to rodent animal model</w:t>
      </w:r>
      <w:r w:rsidR="00ED7BD7" w:rsidRPr="000749B2">
        <w:rPr>
          <w:rFonts w:ascii="Book Antiqua" w:hAnsi="Book Antiqua"/>
          <w:color w:val="000000" w:themeColor="text1"/>
          <w:sz w:val="24"/>
          <w:szCs w:val="24"/>
        </w:rPr>
        <w:t>s</w:t>
      </w:r>
      <w:r w:rsidR="00A62C41"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A further exception is the work of Derry </w:t>
      </w:r>
      <w:r w:rsidRPr="000749B2">
        <w:rPr>
          <w:rFonts w:ascii="Book Antiqua" w:hAnsi="Book Antiqua"/>
          <w:i/>
          <w:iCs/>
          <w:color w:val="000000" w:themeColor="text1"/>
          <w:sz w:val="24"/>
          <w:szCs w:val="24"/>
        </w:rPr>
        <w:t xml:space="preserve">et </w:t>
      </w:r>
      <w:proofErr w:type="gramStart"/>
      <w:r w:rsidRPr="000749B2">
        <w:rPr>
          <w:rFonts w:ascii="Book Antiqua" w:hAnsi="Book Antiqua"/>
          <w:i/>
          <w:iCs/>
          <w:color w:val="000000" w:themeColor="text1"/>
          <w:sz w:val="24"/>
          <w:szCs w:val="24"/>
        </w:rPr>
        <w:t>al</w:t>
      </w:r>
      <w:r w:rsidR="008E53A4" w:rsidRPr="000749B2">
        <w:rPr>
          <w:rFonts w:ascii="Book Antiqua" w:hAnsi="Book Antiqua"/>
          <w:color w:val="000000" w:themeColor="text1"/>
          <w:sz w:val="24"/>
          <w:szCs w:val="24"/>
          <w:vertAlign w:val="superscript"/>
        </w:rPr>
        <w:t>[</w:t>
      </w:r>
      <w:proofErr w:type="gramEnd"/>
      <w:r w:rsidR="008E53A4" w:rsidRPr="000749B2">
        <w:rPr>
          <w:rFonts w:ascii="Book Antiqua" w:hAnsi="Book Antiqua"/>
          <w:color w:val="000000" w:themeColor="text1"/>
          <w:sz w:val="24"/>
          <w:szCs w:val="24"/>
          <w:vertAlign w:val="superscript"/>
        </w:rPr>
        <w:t>63]</w:t>
      </w:r>
      <w:r w:rsidRPr="000749B2">
        <w:rPr>
          <w:rFonts w:ascii="Book Antiqua" w:hAnsi="Book Antiqua"/>
          <w:color w:val="000000" w:themeColor="text1"/>
          <w:sz w:val="24"/>
          <w:szCs w:val="24"/>
        </w:rPr>
        <w:t>, who could observe a relevant number of lung metastases in an AOM-induced mouse model, which is to our knowledge the only report of metastatic spread in a chemical</w:t>
      </w:r>
      <w:r w:rsidR="00ED7BD7" w:rsidRPr="000749B2">
        <w:rPr>
          <w:rFonts w:ascii="Book Antiqua" w:hAnsi="Book Antiqua"/>
          <w:color w:val="000000" w:themeColor="text1"/>
          <w:sz w:val="24"/>
          <w:szCs w:val="24"/>
        </w:rPr>
        <w:t>-</w:t>
      </w:r>
      <w:r w:rsidRPr="000749B2">
        <w:rPr>
          <w:rFonts w:ascii="Book Antiqua" w:hAnsi="Book Antiqua"/>
          <w:color w:val="000000" w:themeColor="text1"/>
          <w:sz w:val="24"/>
          <w:szCs w:val="24"/>
        </w:rPr>
        <w:t>induced mouse model</w:t>
      </w:r>
      <w:r w:rsidR="00A62C41"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Besides the lack of invasiveness, a lot of </w:t>
      </w:r>
      <w:r w:rsidR="00B275EA" w:rsidRPr="000749B2">
        <w:rPr>
          <w:rFonts w:ascii="Book Antiqua" w:hAnsi="Book Antiqua"/>
          <w:color w:val="000000" w:themeColor="text1"/>
          <w:sz w:val="24"/>
          <w:szCs w:val="24"/>
        </w:rPr>
        <w:t>CIM</w:t>
      </w:r>
      <w:r w:rsidRPr="000749B2">
        <w:rPr>
          <w:rFonts w:ascii="Book Antiqua" w:hAnsi="Book Antiqua"/>
          <w:color w:val="000000" w:themeColor="text1"/>
          <w:sz w:val="24"/>
          <w:szCs w:val="24"/>
        </w:rPr>
        <w:t xml:space="preserve"> show a high latency from the first application to tumor development. Depending on the carcinogen, dosing protocol and mouse strain, latencies from 24 to 50 wk were </w:t>
      </w:r>
      <w:proofErr w:type="gramStart"/>
      <w:r w:rsidRPr="000749B2">
        <w:rPr>
          <w:rFonts w:ascii="Book Antiqua" w:hAnsi="Book Antiqua"/>
          <w:color w:val="000000" w:themeColor="text1"/>
          <w:sz w:val="24"/>
          <w:szCs w:val="24"/>
        </w:rPr>
        <w:t>reported</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64-66]</w:t>
      </w:r>
      <w:r w:rsidR="00A62C41"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By combining the carcinogen with DSS, the time to tumor development can be notably shortened to 10-18 </w:t>
      </w:r>
      <w:proofErr w:type="gramStart"/>
      <w:r w:rsidRPr="000749B2">
        <w:rPr>
          <w:rFonts w:ascii="Book Antiqua" w:hAnsi="Book Antiqua"/>
          <w:color w:val="000000" w:themeColor="text1"/>
          <w:sz w:val="24"/>
          <w:szCs w:val="24"/>
        </w:rPr>
        <w:t>wk</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23,67]</w:t>
      </w:r>
      <w:r w:rsidR="00A62C41"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Although the minority of sporadic CRC patients show synchronous </w:t>
      </w:r>
      <w:proofErr w:type="gramStart"/>
      <w:r w:rsidRPr="000749B2">
        <w:rPr>
          <w:rFonts w:ascii="Book Antiqua" w:hAnsi="Book Antiqua"/>
          <w:color w:val="000000" w:themeColor="text1"/>
          <w:sz w:val="24"/>
          <w:szCs w:val="24"/>
        </w:rPr>
        <w:t>adenomas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68,69]</w:t>
      </w:r>
      <w:r w:rsidRPr="000749B2">
        <w:rPr>
          <w:rFonts w:ascii="Book Antiqua" w:hAnsi="Book Antiqua"/>
          <w:color w:val="000000" w:themeColor="text1"/>
          <w:sz w:val="24"/>
          <w:szCs w:val="24"/>
        </w:rPr>
        <w:t>, nearly all CIM show a “carpeting” of the colonic mucosa with polyps</w:t>
      </w:r>
      <w:r w:rsidR="008353D9" w:rsidRPr="000749B2">
        <w:rPr>
          <w:rFonts w:ascii="Book Antiqua" w:hAnsi="Book Antiqua"/>
          <w:color w:val="000000" w:themeColor="text1"/>
          <w:sz w:val="24"/>
          <w:szCs w:val="24"/>
          <w:vertAlign w:val="superscript"/>
        </w:rPr>
        <w:t>[70]</w:t>
      </w:r>
      <w:r w:rsidR="00A62C41"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Tumor formation is not restricted to the colon, but can be commonly observed in the whole gastrointestinal </w:t>
      </w:r>
      <w:proofErr w:type="gramStart"/>
      <w:r w:rsidRPr="000749B2">
        <w:rPr>
          <w:rFonts w:ascii="Book Antiqua" w:hAnsi="Book Antiqua"/>
          <w:color w:val="000000" w:themeColor="text1"/>
          <w:sz w:val="24"/>
          <w:szCs w:val="24"/>
        </w:rPr>
        <w:t>tract</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71,72]</w:t>
      </w:r>
      <w:r w:rsidR="00A62C41"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Moreover, MNU additionally induces leukemia and lung </w:t>
      </w:r>
      <w:proofErr w:type="gramStart"/>
      <w:r w:rsidRPr="000749B2">
        <w:rPr>
          <w:rFonts w:ascii="Book Antiqua" w:hAnsi="Book Antiqua"/>
          <w:color w:val="000000" w:themeColor="text1"/>
          <w:sz w:val="24"/>
          <w:szCs w:val="24"/>
        </w:rPr>
        <w:t>adenomas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73]</w:t>
      </w:r>
      <w:r w:rsidR="00A62C41"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and PhIP leads to formation of mammary and prostate neoplasia</w:t>
      </w:r>
      <w:r w:rsidR="008353D9" w:rsidRPr="000749B2">
        <w:rPr>
          <w:rFonts w:ascii="Book Antiqua" w:hAnsi="Book Antiqua"/>
          <w:color w:val="000000" w:themeColor="text1"/>
          <w:sz w:val="24"/>
          <w:szCs w:val="24"/>
          <w:vertAlign w:val="superscript"/>
        </w:rPr>
        <w:t>[74]</w:t>
      </w:r>
      <w:r w:rsidR="00A62C41"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Another complexing aspect of CIM concerns the genetic aberrations associated with the adenoma-carcinoma sequence</w:t>
      </w:r>
      <w:r w:rsidR="00472568" w:rsidRPr="000749B2">
        <w:rPr>
          <w:rFonts w:ascii="Book Antiqua" w:hAnsi="Book Antiqua"/>
          <w:color w:val="000000" w:themeColor="text1"/>
          <w:sz w:val="24"/>
          <w:szCs w:val="24"/>
        </w:rPr>
        <w:t xml:space="preserve">, </w:t>
      </w:r>
      <w:r w:rsidR="00472568" w:rsidRPr="000749B2">
        <w:rPr>
          <w:rFonts w:ascii="Book Antiqua" w:hAnsi="Book Antiqua"/>
          <w:i/>
          <w:iCs/>
          <w:color w:val="000000" w:themeColor="text1"/>
          <w:sz w:val="24"/>
          <w:szCs w:val="24"/>
        </w:rPr>
        <w:t>i.e.</w:t>
      </w:r>
      <w:r w:rsidR="004F5C5B" w:rsidRPr="000749B2">
        <w:rPr>
          <w:rFonts w:ascii="Book Antiqua" w:hAnsi="Book Antiqua"/>
          <w:color w:val="000000" w:themeColor="text1"/>
          <w:sz w:val="24"/>
          <w:szCs w:val="24"/>
          <w:lang w:eastAsia="zh-CN"/>
        </w:rPr>
        <w:t>,</w:t>
      </w:r>
      <w:r w:rsidR="00472568" w:rsidRPr="000749B2">
        <w:rPr>
          <w:rFonts w:ascii="Book Antiqua" w:hAnsi="Book Antiqua"/>
          <w:color w:val="000000" w:themeColor="text1"/>
          <w:sz w:val="24"/>
          <w:szCs w:val="24"/>
        </w:rPr>
        <w:t xml:space="preserve"> </w:t>
      </w:r>
      <w:r w:rsidR="00E253B6" w:rsidRPr="000749B2">
        <w:rPr>
          <w:rFonts w:ascii="Book Antiqua" w:hAnsi="Book Antiqua"/>
          <w:color w:val="000000" w:themeColor="text1"/>
          <w:sz w:val="24"/>
          <w:szCs w:val="24"/>
        </w:rPr>
        <w:t>the</w:t>
      </w:r>
      <w:r w:rsidRPr="000749B2">
        <w:rPr>
          <w:rFonts w:ascii="Book Antiqua" w:hAnsi="Book Antiqua"/>
          <w:color w:val="000000" w:themeColor="text1"/>
          <w:sz w:val="24"/>
          <w:szCs w:val="24"/>
        </w:rPr>
        <w:t xml:space="preserve"> accumulation of mutations, predominantly </w:t>
      </w:r>
      <w:r w:rsidR="00E253B6" w:rsidRPr="000749B2">
        <w:rPr>
          <w:rFonts w:ascii="Book Antiqua" w:hAnsi="Book Antiqua"/>
          <w:color w:val="000000" w:themeColor="text1"/>
          <w:sz w:val="24"/>
          <w:szCs w:val="24"/>
        </w:rPr>
        <w:t xml:space="preserve">affecting </w:t>
      </w:r>
      <w:r w:rsidRPr="000749B2">
        <w:rPr>
          <w:rFonts w:ascii="Book Antiqua" w:hAnsi="Book Antiqua"/>
          <w:i/>
          <w:iCs/>
          <w:color w:val="000000" w:themeColor="text1"/>
          <w:sz w:val="24"/>
          <w:szCs w:val="24"/>
        </w:rPr>
        <w:t>A</w:t>
      </w:r>
      <w:r w:rsidR="00A62C41" w:rsidRPr="000749B2">
        <w:rPr>
          <w:rFonts w:ascii="Book Antiqua" w:hAnsi="Book Antiqua"/>
          <w:i/>
          <w:iCs/>
          <w:color w:val="000000" w:themeColor="text1"/>
          <w:sz w:val="24"/>
          <w:szCs w:val="24"/>
        </w:rPr>
        <w:t>PC</w:t>
      </w:r>
      <w:r w:rsidRPr="000749B2">
        <w:rPr>
          <w:rFonts w:ascii="Book Antiqua" w:hAnsi="Book Antiqua"/>
          <w:i/>
          <w:iCs/>
          <w:color w:val="000000" w:themeColor="text1"/>
          <w:sz w:val="24"/>
          <w:szCs w:val="24"/>
        </w:rPr>
        <w:t>,</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K</w:t>
      </w:r>
      <w:r w:rsidR="00A62C41" w:rsidRPr="000749B2">
        <w:rPr>
          <w:rFonts w:ascii="Book Antiqua" w:hAnsi="Book Antiqua"/>
          <w:i/>
          <w:iCs/>
          <w:color w:val="000000" w:themeColor="text1"/>
          <w:sz w:val="24"/>
          <w:szCs w:val="24"/>
        </w:rPr>
        <w:t>RAS</w:t>
      </w:r>
      <w:r w:rsidRPr="000749B2">
        <w:rPr>
          <w:rFonts w:ascii="Book Antiqua" w:hAnsi="Book Antiqua"/>
          <w:color w:val="000000" w:themeColor="text1"/>
          <w:sz w:val="24"/>
          <w:szCs w:val="24"/>
        </w:rPr>
        <w:t xml:space="preserve"> and </w:t>
      </w:r>
      <w:r w:rsidR="002B519C" w:rsidRPr="000749B2">
        <w:rPr>
          <w:rFonts w:ascii="Book Antiqua" w:hAnsi="Book Antiqua"/>
          <w:i/>
          <w:iCs/>
          <w:color w:val="000000" w:themeColor="text1"/>
          <w:sz w:val="24"/>
          <w:szCs w:val="24"/>
        </w:rPr>
        <w:t>P</w:t>
      </w:r>
      <w:r w:rsidRPr="000749B2">
        <w:rPr>
          <w:rFonts w:ascii="Book Antiqua" w:hAnsi="Book Antiqua"/>
          <w:i/>
          <w:iCs/>
          <w:color w:val="000000" w:themeColor="text1"/>
          <w:sz w:val="24"/>
          <w:szCs w:val="24"/>
        </w:rPr>
        <w:t>53</w:t>
      </w:r>
      <w:r w:rsidR="008353D9" w:rsidRPr="000749B2">
        <w:rPr>
          <w:rFonts w:ascii="Book Antiqua" w:hAnsi="Book Antiqua"/>
          <w:color w:val="000000" w:themeColor="text1"/>
          <w:sz w:val="24"/>
          <w:szCs w:val="24"/>
          <w:vertAlign w:val="superscript"/>
        </w:rPr>
        <w:t>[75]</w:t>
      </w:r>
      <w:r w:rsidR="00673418" w:rsidRPr="000749B2">
        <w:rPr>
          <w:rFonts w:ascii="Book Antiqua" w:hAnsi="Book Antiqua"/>
          <w:i/>
          <w:iCs/>
          <w:color w:val="000000" w:themeColor="text1"/>
          <w:sz w:val="24"/>
          <w:szCs w:val="24"/>
        </w:rPr>
        <w:t xml:space="preserve">. </w:t>
      </w:r>
      <w:r w:rsidRPr="000749B2">
        <w:rPr>
          <w:rFonts w:ascii="Book Antiqua" w:hAnsi="Book Antiqua"/>
          <w:color w:val="000000" w:themeColor="text1"/>
          <w:sz w:val="24"/>
          <w:szCs w:val="24"/>
        </w:rPr>
        <w:t xml:space="preserve">While the AOM model shows frequent </w:t>
      </w:r>
      <w:r w:rsidRPr="000749B2">
        <w:rPr>
          <w:rFonts w:ascii="Book Antiqua" w:hAnsi="Book Antiqua"/>
          <w:i/>
          <w:iCs/>
          <w:color w:val="000000" w:themeColor="text1"/>
          <w:sz w:val="24"/>
          <w:szCs w:val="24"/>
        </w:rPr>
        <w:t>Kras</w:t>
      </w:r>
      <w:r w:rsidRPr="000749B2">
        <w:rPr>
          <w:rFonts w:ascii="Book Antiqua" w:hAnsi="Book Antiqua"/>
          <w:color w:val="000000" w:themeColor="text1"/>
          <w:sz w:val="24"/>
          <w:szCs w:val="24"/>
        </w:rPr>
        <w:t xml:space="preserve"> and </w:t>
      </w:r>
      <w:r w:rsidR="00D26179" w:rsidRPr="000749B2">
        <w:rPr>
          <w:rFonts w:ascii="Book Antiqua" w:hAnsi="Book Antiqua" w:cstheme="minorHAnsi"/>
          <w:i/>
          <w:iCs/>
          <w:color w:val="000000" w:themeColor="text1"/>
          <w:sz w:val="24"/>
          <w:szCs w:val="24"/>
        </w:rPr>
        <w:t>β</w:t>
      </w:r>
      <w:r w:rsidRPr="000749B2">
        <w:rPr>
          <w:rFonts w:ascii="Book Antiqua" w:hAnsi="Book Antiqua"/>
          <w:i/>
          <w:iCs/>
          <w:color w:val="000000" w:themeColor="text1"/>
          <w:sz w:val="24"/>
          <w:szCs w:val="24"/>
        </w:rPr>
        <w:t>-catenin</w:t>
      </w:r>
      <w:r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lastRenderedPageBreak/>
        <w:t xml:space="preserve">mutations, </w:t>
      </w:r>
      <w:r w:rsidRPr="000749B2">
        <w:rPr>
          <w:rFonts w:ascii="Book Antiqua" w:hAnsi="Book Antiqua"/>
          <w:i/>
          <w:iCs/>
          <w:color w:val="000000" w:themeColor="text1"/>
          <w:sz w:val="24"/>
          <w:szCs w:val="24"/>
        </w:rPr>
        <w:t>A</w:t>
      </w:r>
      <w:r w:rsidR="00D26179" w:rsidRPr="000749B2">
        <w:rPr>
          <w:rFonts w:ascii="Book Antiqua" w:hAnsi="Book Antiqua"/>
          <w:i/>
          <w:iCs/>
          <w:color w:val="000000" w:themeColor="text1"/>
          <w:sz w:val="24"/>
          <w:szCs w:val="24"/>
        </w:rPr>
        <w:t>pc</w:t>
      </w:r>
      <w:r w:rsidRPr="000749B2">
        <w:rPr>
          <w:rFonts w:ascii="Book Antiqua" w:hAnsi="Book Antiqua"/>
          <w:color w:val="000000" w:themeColor="text1"/>
          <w:sz w:val="24"/>
          <w:szCs w:val="24"/>
        </w:rPr>
        <w:t xml:space="preserve"> and </w:t>
      </w:r>
      <w:r w:rsidR="00D26179" w:rsidRPr="000749B2">
        <w:rPr>
          <w:rFonts w:ascii="Book Antiqua" w:hAnsi="Book Antiqua"/>
          <w:i/>
          <w:iCs/>
          <w:color w:val="000000" w:themeColor="text1"/>
          <w:sz w:val="24"/>
          <w:szCs w:val="24"/>
        </w:rPr>
        <w:t>P53</w:t>
      </w:r>
      <w:r w:rsidRPr="000749B2">
        <w:rPr>
          <w:rFonts w:ascii="Book Antiqua" w:hAnsi="Book Antiqua"/>
          <w:color w:val="000000" w:themeColor="text1"/>
          <w:sz w:val="24"/>
          <w:szCs w:val="24"/>
        </w:rPr>
        <w:t xml:space="preserve"> are rarely </w:t>
      </w:r>
      <w:proofErr w:type="gramStart"/>
      <w:r w:rsidRPr="000749B2">
        <w:rPr>
          <w:rFonts w:ascii="Book Antiqua" w:hAnsi="Book Antiqua"/>
          <w:color w:val="000000" w:themeColor="text1"/>
          <w:sz w:val="24"/>
          <w:szCs w:val="24"/>
        </w:rPr>
        <w:t>affected</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76-79]</w:t>
      </w:r>
      <w:r w:rsidR="00673418"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In contrast PhIP, IQ and MNU lead to </w:t>
      </w:r>
      <w:r w:rsidR="00D26179"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rPr>
        <w:t xml:space="preserve"> mutations, but show no </w:t>
      </w:r>
      <w:r w:rsidR="00D26179" w:rsidRPr="000749B2">
        <w:rPr>
          <w:rFonts w:ascii="Book Antiqua" w:hAnsi="Book Antiqua"/>
          <w:i/>
          <w:iCs/>
          <w:color w:val="000000" w:themeColor="text1"/>
          <w:sz w:val="24"/>
          <w:szCs w:val="24"/>
        </w:rPr>
        <w:t>P53</w:t>
      </w:r>
      <w:r w:rsidRPr="000749B2">
        <w:rPr>
          <w:rFonts w:ascii="Book Antiqua" w:hAnsi="Book Antiqua"/>
          <w:color w:val="000000" w:themeColor="text1"/>
          <w:sz w:val="24"/>
          <w:szCs w:val="24"/>
        </w:rPr>
        <w:t xml:space="preserve"> or </w:t>
      </w:r>
      <w:r w:rsidR="00D26179" w:rsidRPr="000749B2">
        <w:rPr>
          <w:rFonts w:ascii="Book Antiqua" w:hAnsi="Book Antiqua"/>
          <w:i/>
          <w:iCs/>
          <w:color w:val="000000" w:themeColor="text1"/>
          <w:sz w:val="24"/>
          <w:szCs w:val="24"/>
        </w:rPr>
        <w:t>Kras</w:t>
      </w:r>
      <w:r w:rsidRPr="000749B2">
        <w:rPr>
          <w:rFonts w:ascii="Book Antiqua" w:hAnsi="Book Antiqua"/>
          <w:color w:val="000000" w:themeColor="text1"/>
          <w:sz w:val="24"/>
          <w:szCs w:val="24"/>
        </w:rPr>
        <w:t xml:space="preserve"> </w:t>
      </w:r>
      <w:proofErr w:type="gramStart"/>
      <w:r w:rsidRPr="000749B2">
        <w:rPr>
          <w:rFonts w:ascii="Book Antiqua" w:hAnsi="Book Antiqua"/>
          <w:color w:val="000000" w:themeColor="text1"/>
          <w:sz w:val="24"/>
          <w:szCs w:val="24"/>
        </w:rPr>
        <w:t>mutations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21]</w:t>
      </w:r>
      <w:r w:rsidR="008317AF"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In general, the vast quantity </w:t>
      </w:r>
      <w:r w:rsidR="00E253B6" w:rsidRPr="000749B2">
        <w:rPr>
          <w:rFonts w:ascii="Book Antiqua" w:hAnsi="Book Antiqua"/>
          <w:color w:val="000000" w:themeColor="text1"/>
          <w:sz w:val="24"/>
          <w:szCs w:val="24"/>
        </w:rPr>
        <w:t xml:space="preserve">of </w:t>
      </w:r>
      <w:r w:rsidRPr="000749B2">
        <w:rPr>
          <w:rFonts w:ascii="Book Antiqua" w:hAnsi="Book Antiqua"/>
          <w:color w:val="000000" w:themeColor="text1"/>
          <w:sz w:val="24"/>
          <w:szCs w:val="24"/>
        </w:rPr>
        <w:t>different dosing protocol</w:t>
      </w:r>
      <w:r w:rsidR="00E253B6" w:rsidRPr="000749B2">
        <w:rPr>
          <w:rFonts w:ascii="Book Antiqua" w:hAnsi="Book Antiqua"/>
          <w:color w:val="000000" w:themeColor="text1"/>
          <w:sz w:val="24"/>
          <w:szCs w:val="24"/>
        </w:rPr>
        <w:t>s</w:t>
      </w:r>
      <w:r w:rsidRPr="000749B2">
        <w:rPr>
          <w:rFonts w:ascii="Book Antiqua" w:hAnsi="Book Antiqua"/>
          <w:color w:val="000000" w:themeColor="text1"/>
          <w:sz w:val="24"/>
          <w:szCs w:val="24"/>
        </w:rPr>
        <w:t>, application forms and animal strains, makes direct comparison</w:t>
      </w:r>
      <w:r w:rsidR="00E253B6" w:rsidRPr="000749B2">
        <w:rPr>
          <w:rFonts w:ascii="Book Antiqua" w:hAnsi="Book Antiqua"/>
          <w:color w:val="000000" w:themeColor="text1"/>
          <w:sz w:val="24"/>
          <w:szCs w:val="24"/>
        </w:rPr>
        <w:t>s</w:t>
      </w:r>
      <w:r w:rsidRPr="000749B2">
        <w:rPr>
          <w:rFonts w:ascii="Book Antiqua" w:hAnsi="Book Antiqua"/>
          <w:color w:val="000000" w:themeColor="text1"/>
          <w:sz w:val="24"/>
          <w:szCs w:val="24"/>
        </w:rPr>
        <w:t xml:space="preserve"> and the selection of the right </w:t>
      </w:r>
      <w:r w:rsidR="00E253B6" w:rsidRPr="000749B2">
        <w:rPr>
          <w:rFonts w:ascii="Book Antiqua" w:hAnsi="Book Antiqua"/>
          <w:color w:val="000000" w:themeColor="text1"/>
          <w:sz w:val="24"/>
          <w:szCs w:val="24"/>
        </w:rPr>
        <w:t xml:space="preserve">CIM </w:t>
      </w:r>
      <w:proofErr w:type="gramStart"/>
      <w:r w:rsidRPr="000749B2">
        <w:rPr>
          <w:rFonts w:ascii="Book Antiqua" w:hAnsi="Book Antiqua"/>
          <w:color w:val="000000" w:themeColor="text1"/>
          <w:sz w:val="24"/>
          <w:szCs w:val="24"/>
        </w:rPr>
        <w:t>difficult</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54]</w:t>
      </w:r>
      <w:r w:rsidR="008317AF"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Another aspect, not </w:t>
      </w:r>
      <w:r w:rsidR="00E253B6" w:rsidRPr="000749B2">
        <w:rPr>
          <w:rFonts w:ascii="Book Antiqua" w:hAnsi="Book Antiqua"/>
          <w:color w:val="000000" w:themeColor="text1"/>
          <w:sz w:val="24"/>
          <w:szCs w:val="24"/>
        </w:rPr>
        <w:t xml:space="preserve">to </w:t>
      </w:r>
      <w:r w:rsidRPr="000749B2">
        <w:rPr>
          <w:rFonts w:ascii="Book Antiqua" w:hAnsi="Book Antiqua"/>
          <w:color w:val="000000" w:themeColor="text1"/>
          <w:sz w:val="24"/>
          <w:szCs w:val="24"/>
        </w:rPr>
        <w:t>be neglected</w:t>
      </w:r>
      <w:r w:rsidR="00472568"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is the agenda of animal welfare. Quite a few protocols lead to significant weight loss and diarrhea, which is</w:t>
      </w:r>
      <w:r w:rsidR="00E253B6"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in combination with often long study </w:t>
      </w:r>
      <w:r w:rsidR="00E253B6" w:rsidRPr="000749B2">
        <w:rPr>
          <w:rFonts w:ascii="Book Antiqua" w:hAnsi="Book Antiqua"/>
          <w:color w:val="000000" w:themeColor="text1"/>
          <w:sz w:val="24"/>
          <w:szCs w:val="24"/>
        </w:rPr>
        <w:t>durations</w:t>
      </w:r>
      <w:r w:rsidRPr="000749B2">
        <w:rPr>
          <w:rFonts w:ascii="Book Antiqua" w:hAnsi="Book Antiqua"/>
          <w:color w:val="000000" w:themeColor="text1"/>
          <w:sz w:val="24"/>
          <w:szCs w:val="24"/>
        </w:rPr>
        <w:t xml:space="preserve">, detrimental for the animal </w:t>
      </w:r>
      <w:proofErr w:type="gramStart"/>
      <w:r w:rsidRPr="000749B2">
        <w:rPr>
          <w:rFonts w:ascii="Book Antiqua" w:hAnsi="Book Antiqua"/>
          <w:color w:val="000000" w:themeColor="text1"/>
          <w:sz w:val="24"/>
          <w:szCs w:val="24"/>
        </w:rPr>
        <w:t>wellbeing</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80]</w:t>
      </w:r>
      <w:r w:rsidR="008317AF" w:rsidRPr="000749B2">
        <w:rPr>
          <w:rFonts w:ascii="Book Antiqua" w:hAnsi="Book Antiqua"/>
          <w:color w:val="000000" w:themeColor="text1"/>
          <w:sz w:val="24"/>
          <w:szCs w:val="24"/>
        </w:rPr>
        <w:t>.</w:t>
      </w:r>
    </w:p>
    <w:p w14:paraId="6C0741ED" w14:textId="77777777" w:rsidR="00AE58BD" w:rsidRPr="000749B2" w:rsidRDefault="00AE58BD" w:rsidP="000B4309">
      <w:pPr>
        <w:spacing w:after="0" w:line="360" w:lineRule="auto"/>
        <w:jc w:val="both"/>
        <w:rPr>
          <w:rFonts w:ascii="Book Antiqua" w:hAnsi="Book Antiqua"/>
          <w:color w:val="000000" w:themeColor="text1"/>
          <w:sz w:val="24"/>
          <w:szCs w:val="24"/>
        </w:rPr>
      </w:pPr>
    </w:p>
    <w:p w14:paraId="12A52C76" w14:textId="5F628F63" w:rsidR="00CE591C" w:rsidRPr="000749B2" w:rsidRDefault="00AE58BD" w:rsidP="000B4309">
      <w:pPr>
        <w:spacing w:after="0" w:line="360" w:lineRule="auto"/>
        <w:jc w:val="both"/>
        <w:rPr>
          <w:rFonts w:ascii="Book Antiqua" w:hAnsi="Book Antiqua"/>
          <w:b/>
          <w:bCs/>
          <w:color w:val="000000" w:themeColor="text1"/>
          <w:sz w:val="24"/>
          <w:szCs w:val="24"/>
          <w:u w:val="single"/>
        </w:rPr>
      </w:pPr>
      <w:r w:rsidRPr="000749B2">
        <w:rPr>
          <w:rFonts w:ascii="Book Antiqua" w:eastAsia="Calibri" w:hAnsi="Book Antiqua" w:cs="Times New Roman"/>
          <w:b/>
          <w:bCs/>
          <w:color w:val="000000" w:themeColor="text1"/>
          <w:sz w:val="24"/>
          <w:szCs w:val="24"/>
          <w:u w:val="single"/>
        </w:rPr>
        <w:t xml:space="preserve">GENETICALLY ENGINEERED MOUSE MODELS OF </w:t>
      </w:r>
      <w:r w:rsidR="00DD1819" w:rsidRPr="000749B2">
        <w:rPr>
          <w:rFonts w:ascii="Book Antiqua" w:eastAsia="Times New Roman" w:hAnsi="Book Antiqua" w:cs="Times New Roman"/>
          <w:b/>
          <w:bCs/>
          <w:color w:val="000000" w:themeColor="text1"/>
          <w:sz w:val="24"/>
          <w:szCs w:val="24"/>
          <w:u w:val="single"/>
        </w:rPr>
        <w:t>COLORECTAL CANCER</w:t>
      </w:r>
    </w:p>
    <w:p w14:paraId="65A769A8" w14:textId="636DE12F" w:rsidR="00CE591C" w:rsidRPr="000749B2" w:rsidRDefault="00CE591C" w:rsidP="000B4309">
      <w:pPr>
        <w:spacing w:after="0" w:line="360" w:lineRule="auto"/>
        <w:jc w:val="both"/>
        <w:rPr>
          <w:rFonts w:ascii="Book Antiqua" w:eastAsia="Calibri" w:hAnsi="Book Antiqua" w:cs="Times New Roman"/>
          <w:bCs/>
          <w:iCs/>
          <w:color w:val="000000" w:themeColor="text1"/>
          <w:sz w:val="24"/>
          <w:szCs w:val="24"/>
        </w:rPr>
      </w:pPr>
      <w:r w:rsidRPr="000749B2">
        <w:rPr>
          <w:rFonts w:ascii="Book Antiqua" w:eastAsia="Calibri" w:hAnsi="Book Antiqua" w:cs="Times New Roman"/>
          <w:bCs/>
          <w:iCs/>
          <w:color w:val="000000" w:themeColor="text1"/>
          <w:sz w:val="24"/>
          <w:szCs w:val="24"/>
        </w:rPr>
        <w:t xml:space="preserve">With </w:t>
      </w:r>
      <w:r w:rsidR="00F24130" w:rsidRPr="000749B2">
        <w:rPr>
          <w:rFonts w:ascii="Book Antiqua" w:eastAsia="Calibri" w:hAnsi="Book Antiqua" w:cs="Times New Roman"/>
          <w:bCs/>
          <w:iCs/>
          <w:color w:val="000000" w:themeColor="text1"/>
          <w:sz w:val="24"/>
          <w:szCs w:val="24"/>
        </w:rPr>
        <w:t xml:space="preserve">the </w:t>
      </w:r>
      <w:r w:rsidRPr="000749B2">
        <w:rPr>
          <w:rFonts w:ascii="Book Antiqua" w:eastAsia="Calibri" w:hAnsi="Book Antiqua" w:cs="Times New Roman"/>
          <w:bCs/>
          <w:iCs/>
          <w:color w:val="000000" w:themeColor="text1"/>
          <w:sz w:val="24"/>
          <w:szCs w:val="24"/>
        </w:rPr>
        <w:t xml:space="preserve">knowledge </w:t>
      </w:r>
      <w:r w:rsidR="00F24130" w:rsidRPr="000749B2">
        <w:rPr>
          <w:rFonts w:ascii="Book Antiqua" w:eastAsia="Calibri" w:hAnsi="Book Antiqua" w:cs="Times New Roman"/>
          <w:bCs/>
          <w:iCs/>
          <w:color w:val="000000" w:themeColor="text1"/>
          <w:sz w:val="24"/>
          <w:szCs w:val="24"/>
        </w:rPr>
        <w:t>explosion concerning</w:t>
      </w:r>
      <w:r w:rsidRPr="000749B2">
        <w:rPr>
          <w:rFonts w:ascii="Book Antiqua" w:eastAsia="Calibri" w:hAnsi="Book Antiqua" w:cs="Times New Roman"/>
          <w:bCs/>
          <w:iCs/>
          <w:color w:val="000000" w:themeColor="text1"/>
          <w:sz w:val="24"/>
          <w:szCs w:val="24"/>
        </w:rPr>
        <w:t xml:space="preserve"> the genetic pathways altered in </w:t>
      </w:r>
      <w:r w:rsidR="002F52A5" w:rsidRPr="000749B2">
        <w:rPr>
          <w:rFonts w:ascii="Book Antiqua" w:eastAsia="Calibri" w:hAnsi="Book Antiqua" w:cs="Times New Roman"/>
          <w:bCs/>
          <w:iCs/>
          <w:color w:val="000000" w:themeColor="text1"/>
          <w:sz w:val="24"/>
          <w:szCs w:val="24"/>
        </w:rPr>
        <w:t>CRC</w:t>
      </w:r>
      <w:r w:rsidRPr="000749B2">
        <w:rPr>
          <w:rFonts w:ascii="Book Antiqua" w:eastAsia="Calibri" w:hAnsi="Book Antiqua" w:cs="Times New Roman"/>
          <w:bCs/>
          <w:iCs/>
          <w:color w:val="000000" w:themeColor="text1"/>
          <w:sz w:val="24"/>
          <w:szCs w:val="24"/>
        </w:rPr>
        <w:t xml:space="preserve"> at the </w:t>
      </w:r>
      <w:r w:rsidR="00F24130" w:rsidRPr="000749B2">
        <w:rPr>
          <w:rFonts w:ascii="Book Antiqua" w:eastAsia="Calibri" w:hAnsi="Book Antiqua" w:cs="Times New Roman"/>
          <w:bCs/>
          <w:iCs/>
          <w:color w:val="000000" w:themeColor="text1"/>
          <w:sz w:val="24"/>
          <w:szCs w:val="24"/>
        </w:rPr>
        <w:t>end</w:t>
      </w:r>
      <w:r w:rsidRPr="000749B2">
        <w:rPr>
          <w:rFonts w:ascii="Book Antiqua" w:eastAsia="Calibri" w:hAnsi="Book Antiqua" w:cs="Times New Roman"/>
          <w:bCs/>
          <w:iCs/>
          <w:color w:val="000000" w:themeColor="text1"/>
          <w:sz w:val="24"/>
          <w:szCs w:val="24"/>
        </w:rPr>
        <w:t xml:space="preserve"> of the 20</w:t>
      </w:r>
      <w:r w:rsidRPr="000749B2">
        <w:rPr>
          <w:rFonts w:ascii="Book Antiqua" w:eastAsia="Calibri" w:hAnsi="Book Antiqua" w:cs="Times New Roman"/>
          <w:bCs/>
          <w:iCs/>
          <w:color w:val="000000" w:themeColor="text1"/>
          <w:sz w:val="24"/>
          <w:szCs w:val="24"/>
          <w:vertAlign w:val="superscript"/>
        </w:rPr>
        <w:t>th</w:t>
      </w:r>
      <w:r w:rsidRPr="000749B2">
        <w:rPr>
          <w:rFonts w:ascii="Book Antiqua" w:eastAsia="Calibri" w:hAnsi="Book Antiqua" w:cs="Times New Roman"/>
          <w:bCs/>
          <w:iCs/>
          <w:color w:val="000000" w:themeColor="text1"/>
          <w:sz w:val="24"/>
          <w:szCs w:val="24"/>
        </w:rPr>
        <w:t xml:space="preserve"> century, the scientific community demanded specific genetic mouse models to focus on certain molecular mechanisms of colorectal carcinogenesis</w:t>
      </w:r>
      <w:r w:rsidR="00C8456D" w:rsidRPr="000749B2">
        <w:rPr>
          <w:rFonts w:ascii="Book Antiqua" w:eastAsia="Calibri" w:hAnsi="Book Antiqua" w:cs="Times New Roman"/>
          <w:bCs/>
          <w:iCs/>
          <w:color w:val="000000" w:themeColor="text1"/>
          <w:sz w:val="24"/>
          <w:szCs w:val="24"/>
        </w:rPr>
        <w:t>.</w:t>
      </w:r>
    </w:p>
    <w:p w14:paraId="628D3F9D" w14:textId="6F177AC3" w:rsidR="00CE591C" w:rsidRPr="000749B2" w:rsidRDefault="00CF01EF" w:rsidP="000B4309">
      <w:pPr>
        <w:spacing w:after="0" w:line="360" w:lineRule="auto"/>
        <w:jc w:val="both"/>
        <w:rPr>
          <w:rFonts w:ascii="Book Antiqua" w:eastAsia="Calibri" w:hAnsi="Book Antiqua" w:cs="Times New Roman"/>
          <w:bCs/>
          <w:iCs/>
          <w:color w:val="000000" w:themeColor="text1"/>
          <w:sz w:val="24"/>
          <w:szCs w:val="24"/>
        </w:rPr>
      </w:pPr>
      <w:r w:rsidRPr="000749B2">
        <w:rPr>
          <w:rFonts w:ascii="Book Antiqua" w:eastAsia="Calibri" w:hAnsi="Book Antiqua" w:cs="Times New Roman"/>
          <w:color w:val="000000" w:themeColor="text1"/>
          <w:sz w:val="24"/>
          <w:szCs w:val="24"/>
        </w:rPr>
        <w:t xml:space="preserve">In the 1980s, </w:t>
      </w:r>
      <w:r w:rsidR="006D3307" w:rsidRPr="000749B2">
        <w:rPr>
          <w:rFonts w:ascii="Book Antiqua" w:eastAsia="Calibri" w:hAnsi="Book Antiqua" w:cs="Times New Roman"/>
          <w:color w:val="000000" w:themeColor="text1"/>
          <w:sz w:val="24"/>
          <w:szCs w:val="24"/>
        </w:rPr>
        <w:t xml:space="preserve">the first genetically engineered mouse models </w:t>
      </w:r>
      <w:r w:rsidR="00031742" w:rsidRPr="000749B2">
        <w:rPr>
          <w:rFonts w:ascii="Book Antiqua" w:eastAsia="Calibri" w:hAnsi="Book Antiqua" w:cs="Times New Roman"/>
          <w:bCs/>
          <w:iCs/>
          <w:color w:val="000000" w:themeColor="text1"/>
          <w:sz w:val="24"/>
          <w:szCs w:val="24"/>
        </w:rPr>
        <w:t xml:space="preserve">(GEMM) </w:t>
      </w:r>
      <w:r w:rsidR="006D3307" w:rsidRPr="000749B2">
        <w:rPr>
          <w:rFonts w:ascii="Book Antiqua" w:eastAsia="Calibri" w:hAnsi="Book Antiqua" w:cs="Times New Roman"/>
          <w:color w:val="000000" w:themeColor="text1"/>
          <w:sz w:val="24"/>
          <w:szCs w:val="24"/>
        </w:rPr>
        <w:t>of brain tumors, lymphoma, pancreatic cancer, breast cancer and osteosarcoma</w:t>
      </w:r>
      <w:r w:rsidRPr="000749B2">
        <w:rPr>
          <w:rFonts w:ascii="Book Antiqua" w:eastAsia="Calibri" w:hAnsi="Book Antiqua" w:cs="Times New Roman"/>
          <w:color w:val="000000" w:themeColor="text1"/>
          <w:sz w:val="24"/>
          <w:szCs w:val="24"/>
        </w:rPr>
        <w:t xml:space="preserve"> </w:t>
      </w:r>
      <w:proofErr w:type="gramStart"/>
      <w:r w:rsidR="006D3307" w:rsidRPr="000749B2">
        <w:rPr>
          <w:rFonts w:ascii="Book Antiqua" w:eastAsia="Calibri" w:hAnsi="Book Antiqua" w:cs="Times New Roman"/>
          <w:color w:val="000000" w:themeColor="text1"/>
          <w:sz w:val="24"/>
          <w:szCs w:val="24"/>
        </w:rPr>
        <w:t>emerged</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81-87]</w:t>
      </w:r>
      <w:r w:rsidR="006D3307"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Based on the groundbreaking work of Evans, Smithies and Capecchi</w:t>
      </w:r>
      <w:r w:rsidR="008353D9" w:rsidRPr="000749B2">
        <w:rPr>
          <w:rFonts w:ascii="Book Antiqua" w:hAnsi="Book Antiqua"/>
          <w:color w:val="000000" w:themeColor="text1"/>
          <w:sz w:val="24"/>
          <w:szCs w:val="24"/>
          <w:vertAlign w:val="superscript"/>
        </w:rPr>
        <w:t>[88]</w:t>
      </w:r>
      <w:r w:rsidRPr="000749B2">
        <w:rPr>
          <w:rFonts w:ascii="Book Antiqua" w:eastAsia="Calibri" w:hAnsi="Book Antiqua" w:cs="Times New Roman"/>
          <w:color w:val="000000" w:themeColor="text1"/>
          <w:sz w:val="24"/>
          <w:szCs w:val="24"/>
        </w:rPr>
        <w:t xml:space="preserve"> on gene targeting, the first tumor suppressor knock-out mouse models emerged in the early 1990s</w:t>
      </w:r>
      <w:r w:rsidR="008353D9" w:rsidRPr="000749B2">
        <w:rPr>
          <w:rFonts w:ascii="Book Antiqua" w:hAnsi="Book Antiqua"/>
          <w:color w:val="000000" w:themeColor="text1"/>
          <w:sz w:val="24"/>
          <w:szCs w:val="24"/>
          <w:vertAlign w:val="superscript"/>
        </w:rPr>
        <w:t>[89,90]</w:t>
      </w:r>
      <w:r w:rsidRPr="000749B2">
        <w:rPr>
          <w:rFonts w:ascii="Book Antiqua" w:eastAsia="Calibri" w:hAnsi="Book Antiqua" w:cs="Times New Roman"/>
          <w:color w:val="000000" w:themeColor="text1"/>
          <w:sz w:val="24"/>
          <w:szCs w:val="24"/>
        </w:rPr>
        <w:t xml:space="preserve">. To circumvent the obstacle of frequent embryonic lethality caused by germline knock-outs of tumor suppressors, </w:t>
      </w:r>
      <w:r w:rsidRPr="000749B2">
        <w:rPr>
          <w:rFonts w:ascii="Book Antiqua" w:eastAsia="Calibri" w:hAnsi="Book Antiqua" w:cs="Times New Roman"/>
          <w:i/>
          <w:iCs/>
          <w:color w:val="000000" w:themeColor="text1"/>
          <w:sz w:val="24"/>
          <w:szCs w:val="24"/>
        </w:rPr>
        <w:t>Cre-loxP</w:t>
      </w:r>
      <w:r w:rsidRPr="000749B2">
        <w:rPr>
          <w:rFonts w:ascii="Book Antiqua" w:eastAsia="Calibri" w:hAnsi="Book Antiqua" w:cs="Times New Roman"/>
          <w:color w:val="000000" w:themeColor="text1"/>
          <w:sz w:val="24"/>
          <w:szCs w:val="24"/>
        </w:rPr>
        <w:t xml:space="preserve"> mediated mouse models were designed to allow the tissue specific and conditional knock-out of tumor suppressor genes or activation of oncogenes, </w:t>
      </w:r>
      <w:proofErr w:type="gramStart"/>
      <w:r w:rsidRPr="000749B2">
        <w:rPr>
          <w:rFonts w:ascii="Book Antiqua" w:eastAsia="Calibri" w:hAnsi="Book Antiqua" w:cs="Times New Roman"/>
          <w:color w:val="000000" w:themeColor="text1"/>
          <w:sz w:val="24"/>
          <w:szCs w:val="24"/>
        </w:rPr>
        <w:t>respectively</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91-93]</w:t>
      </w:r>
      <w:r w:rsidR="00035230" w:rsidRPr="000749B2">
        <w:rPr>
          <w:rFonts w:ascii="Book Antiqua" w:eastAsia="Calibri" w:hAnsi="Book Antiqua" w:cs="Times New Roman"/>
          <w:color w:val="000000" w:themeColor="text1"/>
          <w:sz w:val="24"/>
          <w:szCs w:val="24"/>
        </w:rPr>
        <w:t>.</w:t>
      </w:r>
      <w:r w:rsidR="00481D62" w:rsidRPr="000749B2">
        <w:rPr>
          <w:rFonts w:ascii="Book Antiqua" w:eastAsia="Calibri" w:hAnsi="Book Antiqua" w:cs="Times New Roman"/>
          <w:color w:val="000000" w:themeColor="text1"/>
          <w:sz w:val="24"/>
          <w:szCs w:val="24"/>
        </w:rPr>
        <w:t xml:space="preserve"> </w:t>
      </w:r>
      <w:r w:rsidR="00035230" w:rsidRPr="000749B2">
        <w:rPr>
          <w:rFonts w:ascii="Book Antiqua" w:eastAsia="Calibri" w:hAnsi="Book Antiqua" w:cs="Times New Roman"/>
          <w:bCs/>
          <w:iCs/>
          <w:color w:val="000000" w:themeColor="text1"/>
          <w:sz w:val="24"/>
          <w:szCs w:val="24"/>
        </w:rPr>
        <w:t>Interestingly, the very first GEMM of CRC</w:t>
      </w:r>
      <w:r w:rsidR="00EE1D22" w:rsidRPr="000749B2">
        <w:rPr>
          <w:rFonts w:ascii="Book Antiqua" w:eastAsia="Calibri" w:hAnsi="Book Antiqua" w:cs="Times New Roman"/>
          <w:bCs/>
          <w:iCs/>
          <w:color w:val="000000" w:themeColor="text1"/>
          <w:sz w:val="24"/>
          <w:szCs w:val="24"/>
        </w:rPr>
        <w:t>, the APC</w:t>
      </w:r>
      <w:r w:rsidR="00EE1D22" w:rsidRPr="000749B2">
        <w:rPr>
          <w:rFonts w:ascii="Book Antiqua" w:eastAsia="Calibri" w:hAnsi="Book Antiqua" w:cs="Times New Roman"/>
          <w:bCs/>
          <w:iCs/>
          <w:color w:val="000000" w:themeColor="text1"/>
          <w:sz w:val="24"/>
          <w:szCs w:val="24"/>
          <w:vertAlign w:val="superscript"/>
        </w:rPr>
        <w:t>Min</w:t>
      </w:r>
      <w:r w:rsidR="00EE1D22" w:rsidRPr="000749B2">
        <w:rPr>
          <w:rFonts w:ascii="Book Antiqua" w:eastAsia="Calibri" w:hAnsi="Book Antiqua" w:cs="Times New Roman"/>
          <w:bCs/>
          <w:iCs/>
          <w:color w:val="000000" w:themeColor="text1"/>
          <w:sz w:val="24"/>
          <w:szCs w:val="24"/>
        </w:rPr>
        <w:t xml:space="preserve"> mouse, was</w:t>
      </w:r>
      <w:r w:rsidR="00035230" w:rsidRPr="000749B2">
        <w:rPr>
          <w:rFonts w:ascii="Book Antiqua" w:eastAsia="Calibri" w:hAnsi="Book Antiqua" w:cs="Times New Roman"/>
          <w:bCs/>
          <w:iCs/>
          <w:color w:val="000000" w:themeColor="text1"/>
          <w:sz w:val="24"/>
          <w:szCs w:val="24"/>
        </w:rPr>
        <w:t xml:space="preserve"> created without </w:t>
      </w:r>
      <w:r w:rsidR="00EE1D22" w:rsidRPr="000749B2">
        <w:rPr>
          <w:rFonts w:ascii="Book Antiqua" w:eastAsia="Calibri" w:hAnsi="Book Antiqua" w:cs="Times New Roman"/>
          <w:bCs/>
          <w:iCs/>
          <w:color w:val="000000" w:themeColor="text1"/>
          <w:sz w:val="24"/>
          <w:szCs w:val="24"/>
        </w:rPr>
        <w:t xml:space="preserve">sophisticated methods. </w:t>
      </w:r>
      <w:r w:rsidR="00CE591C" w:rsidRPr="000749B2">
        <w:rPr>
          <w:rFonts w:ascii="Book Antiqua" w:eastAsia="Calibri" w:hAnsi="Book Antiqua" w:cs="Times New Roman"/>
          <w:bCs/>
          <w:iCs/>
          <w:color w:val="000000" w:themeColor="text1"/>
          <w:sz w:val="24"/>
          <w:szCs w:val="24"/>
        </w:rPr>
        <w:t xml:space="preserve">Moser </w:t>
      </w:r>
      <w:r w:rsidR="00CE591C" w:rsidRPr="000749B2">
        <w:rPr>
          <w:rFonts w:ascii="Book Antiqua" w:eastAsia="Calibri" w:hAnsi="Book Antiqua" w:cs="Times New Roman"/>
          <w:bCs/>
          <w:i/>
          <w:color w:val="000000" w:themeColor="text1"/>
          <w:sz w:val="24"/>
          <w:szCs w:val="24"/>
        </w:rPr>
        <w:t xml:space="preserve">et </w:t>
      </w:r>
      <w:proofErr w:type="gramStart"/>
      <w:r w:rsidR="00CE591C" w:rsidRPr="000749B2">
        <w:rPr>
          <w:rFonts w:ascii="Book Antiqua" w:eastAsia="Calibri" w:hAnsi="Book Antiqua" w:cs="Times New Roman"/>
          <w:bCs/>
          <w:i/>
          <w:color w:val="000000" w:themeColor="text1"/>
          <w:sz w:val="24"/>
          <w:szCs w:val="24"/>
        </w:rPr>
        <w:t>al</w:t>
      </w:r>
      <w:r w:rsidR="001E5907" w:rsidRPr="000749B2">
        <w:rPr>
          <w:rFonts w:ascii="Book Antiqua" w:hAnsi="Book Antiqua"/>
          <w:color w:val="000000" w:themeColor="text1"/>
          <w:sz w:val="24"/>
          <w:szCs w:val="24"/>
          <w:vertAlign w:val="superscript"/>
        </w:rPr>
        <w:t>[</w:t>
      </w:r>
      <w:proofErr w:type="gramEnd"/>
      <w:r w:rsidR="001E5907" w:rsidRPr="000749B2">
        <w:rPr>
          <w:rFonts w:ascii="Book Antiqua" w:hAnsi="Book Antiqua"/>
          <w:color w:val="000000" w:themeColor="text1"/>
          <w:sz w:val="24"/>
          <w:szCs w:val="24"/>
          <w:vertAlign w:val="superscript"/>
        </w:rPr>
        <w:t>94]</w:t>
      </w:r>
      <w:r w:rsidR="00CE591C" w:rsidRPr="000749B2">
        <w:rPr>
          <w:rFonts w:ascii="Book Antiqua" w:eastAsia="Calibri" w:hAnsi="Book Antiqua" w:cs="Times New Roman"/>
          <w:bCs/>
          <w:iCs/>
          <w:color w:val="000000" w:themeColor="text1"/>
          <w:sz w:val="24"/>
          <w:szCs w:val="24"/>
        </w:rPr>
        <w:t xml:space="preserve"> showed, that the application of N-ethyl-N-nitrosourea leads to nonsense</w:t>
      </w:r>
      <w:r w:rsidR="002E14EC" w:rsidRPr="000749B2">
        <w:rPr>
          <w:rFonts w:ascii="Book Antiqua" w:eastAsia="Calibri" w:hAnsi="Book Antiqua" w:cs="Times New Roman"/>
          <w:bCs/>
          <w:iCs/>
          <w:color w:val="000000" w:themeColor="text1"/>
          <w:sz w:val="24"/>
          <w:szCs w:val="24"/>
        </w:rPr>
        <w:t xml:space="preserve"> </w:t>
      </w:r>
      <w:r w:rsidR="00246893" w:rsidRPr="000749B2">
        <w:rPr>
          <w:rFonts w:ascii="Book Antiqua" w:eastAsia="Calibri" w:hAnsi="Book Antiqua" w:cs="Times New Roman"/>
          <w:bCs/>
          <w:iCs/>
          <w:color w:val="000000" w:themeColor="text1"/>
          <w:sz w:val="24"/>
          <w:szCs w:val="24"/>
        </w:rPr>
        <w:t>mutation</w:t>
      </w:r>
      <w:r w:rsidR="000D7DDD" w:rsidRPr="000749B2">
        <w:rPr>
          <w:rFonts w:ascii="Book Antiqua" w:eastAsia="Calibri" w:hAnsi="Book Antiqua" w:cs="Times New Roman"/>
          <w:bCs/>
          <w:iCs/>
          <w:color w:val="000000" w:themeColor="text1"/>
          <w:sz w:val="24"/>
          <w:szCs w:val="24"/>
        </w:rPr>
        <w:t>s</w:t>
      </w:r>
      <w:r w:rsidR="00CE591C" w:rsidRPr="000749B2">
        <w:rPr>
          <w:rFonts w:ascii="Book Antiqua" w:eastAsia="Calibri" w:hAnsi="Book Antiqua" w:cs="Times New Roman"/>
          <w:bCs/>
          <w:iCs/>
          <w:color w:val="000000" w:themeColor="text1"/>
          <w:sz w:val="24"/>
          <w:szCs w:val="24"/>
        </w:rPr>
        <w:t xml:space="preserve"> in codon 380 of the </w:t>
      </w:r>
      <w:r w:rsidR="000D7DDD" w:rsidRPr="000749B2">
        <w:rPr>
          <w:rFonts w:ascii="Book Antiqua" w:eastAsia="Calibri" w:hAnsi="Book Antiqua" w:cs="Times New Roman"/>
          <w:bCs/>
          <w:i/>
          <w:color w:val="000000" w:themeColor="text1"/>
          <w:sz w:val="24"/>
          <w:szCs w:val="24"/>
        </w:rPr>
        <w:t>Apc</w:t>
      </w:r>
      <w:r w:rsidR="000D7DDD"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gene and subsequent breeding of these animals established the first model for multiple intestinal neoplasia</w:t>
      </w:r>
      <w:r w:rsidR="00673418" w:rsidRPr="000749B2">
        <w:rPr>
          <w:rFonts w:ascii="Book Antiqua" w:eastAsia="Calibri" w:hAnsi="Book Antiqua" w:cs="Times New Roman"/>
          <w:bCs/>
          <w:iCs/>
          <w:color w:val="000000" w:themeColor="text1"/>
          <w:sz w:val="24"/>
          <w:szCs w:val="24"/>
        </w:rPr>
        <w:t>.</w:t>
      </w:r>
      <w:r w:rsidR="001F2075" w:rsidRPr="000749B2">
        <w:rPr>
          <w:rFonts w:ascii="Book Antiqua" w:eastAsia="Calibri" w:hAnsi="Book Antiqua" w:cs="Times New Roman"/>
          <w:bCs/>
          <w:iCs/>
          <w:color w:val="000000" w:themeColor="text1"/>
          <w:sz w:val="24"/>
          <w:szCs w:val="24"/>
        </w:rPr>
        <w:t xml:space="preserve"> </w:t>
      </w:r>
      <w:r w:rsidR="000D3BA0" w:rsidRPr="000749B2">
        <w:rPr>
          <w:rFonts w:ascii="Book Antiqua" w:eastAsia="Calibri" w:hAnsi="Book Antiqua" w:cs="Times New Roman"/>
          <w:bCs/>
          <w:iCs/>
          <w:color w:val="000000" w:themeColor="text1"/>
          <w:sz w:val="24"/>
          <w:szCs w:val="24"/>
        </w:rPr>
        <w:t>APC</w:t>
      </w:r>
      <w:r w:rsidR="000D3BA0" w:rsidRPr="000749B2">
        <w:rPr>
          <w:rFonts w:ascii="Book Antiqua" w:eastAsia="Calibri" w:hAnsi="Book Antiqua" w:cs="Times New Roman"/>
          <w:bCs/>
          <w:iCs/>
          <w:color w:val="000000" w:themeColor="text1"/>
          <w:sz w:val="24"/>
          <w:szCs w:val="24"/>
          <w:vertAlign w:val="superscript"/>
        </w:rPr>
        <w:t>Min</w:t>
      </w:r>
      <w:r w:rsidR="000D3BA0"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mice develop </w:t>
      </w:r>
      <w:r w:rsidR="002F52A5" w:rsidRPr="000749B2">
        <w:rPr>
          <w:rFonts w:ascii="Book Antiqua" w:eastAsia="Calibri" w:hAnsi="Book Antiqua" w:cs="Times New Roman"/>
          <w:bCs/>
          <w:iCs/>
          <w:color w:val="000000" w:themeColor="text1"/>
          <w:sz w:val="24"/>
          <w:szCs w:val="24"/>
        </w:rPr>
        <w:t>a</w:t>
      </w:r>
      <w:r w:rsidR="00CE591C" w:rsidRPr="000749B2">
        <w:rPr>
          <w:rFonts w:ascii="Book Antiqua" w:eastAsia="Calibri" w:hAnsi="Book Antiqua" w:cs="Times New Roman"/>
          <w:bCs/>
          <w:iCs/>
          <w:color w:val="000000" w:themeColor="text1"/>
          <w:sz w:val="24"/>
          <w:szCs w:val="24"/>
        </w:rPr>
        <w:t xml:space="preserve"> large number of adenomas in the </w:t>
      </w:r>
      <w:r w:rsidR="007B4D64" w:rsidRPr="000749B2">
        <w:rPr>
          <w:rFonts w:ascii="Book Antiqua" w:eastAsia="Calibri" w:hAnsi="Book Antiqua" w:cs="Times New Roman"/>
          <w:bCs/>
          <w:iCs/>
          <w:color w:val="000000" w:themeColor="text1"/>
          <w:sz w:val="24"/>
          <w:szCs w:val="24"/>
        </w:rPr>
        <w:t>small intestine</w:t>
      </w:r>
      <w:r w:rsidR="00CE591C" w:rsidRPr="000749B2">
        <w:rPr>
          <w:rFonts w:ascii="Book Antiqua" w:eastAsia="Calibri" w:hAnsi="Book Antiqua" w:cs="Times New Roman"/>
          <w:bCs/>
          <w:iCs/>
          <w:color w:val="000000" w:themeColor="text1"/>
          <w:sz w:val="24"/>
          <w:szCs w:val="24"/>
        </w:rPr>
        <w:t xml:space="preserve"> after 120-140 d due to </w:t>
      </w:r>
      <w:r w:rsidR="00633742" w:rsidRPr="000749B2">
        <w:rPr>
          <w:rFonts w:ascii="Book Antiqua" w:eastAsia="Calibri" w:hAnsi="Book Antiqua" w:cs="Times New Roman"/>
          <w:bCs/>
          <w:iCs/>
          <w:color w:val="000000" w:themeColor="text1"/>
          <w:sz w:val="24"/>
          <w:szCs w:val="24"/>
        </w:rPr>
        <w:t>LOH</w:t>
      </w:r>
      <w:r w:rsidR="00CE591C" w:rsidRPr="000749B2">
        <w:rPr>
          <w:rFonts w:ascii="Book Antiqua" w:eastAsia="Calibri" w:hAnsi="Book Antiqua" w:cs="Times New Roman"/>
          <w:bCs/>
          <w:iCs/>
          <w:color w:val="000000" w:themeColor="text1"/>
          <w:sz w:val="24"/>
          <w:szCs w:val="24"/>
        </w:rPr>
        <w:t xml:space="preserve"> and show a high mortality with increasing age as a result of intestinal obstruction and anemia without progression to invasive </w:t>
      </w:r>
      <w:proofErr w:type="gramStart"/>
      <w:r w:rsidR="00CE591C" w:rsidRPr="000749B2">
        <w:rPr>
          <w:rFonts w:ascii="Book Antiqua" w:eastAsia="Calibri" w:hAnsi="Book Antiqua" w:cs="Times New Roman"/>
          <w:bCs/>
          <w:iCs/>
          <w:color w:val="000000" w:themeColor="text1"/>
          <w:sz w:val="24"/>
          <w:szCs w:val="24"/>
        </w:rPr>
        <w:t>carcinoma</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95]</w:t>
      </w:r>
      <w:r w:rsidR="00673418"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While these models contributed to the understanding of the early stages of FAP, they do not reflect the majority of spontaneous </w:t>
      </w:r>
      <w:proofErr w:type="gramStart"/>
      <w:r w:rsidR="00F24130" w:rsidRPr="000749B2">
        <w:rPr>
          <w:rFonts w:ascii="Book Antiqua" w:eastAsia="Calibri" w:hAnsi="Book Antiqua" w:cs="Times New Roman"/>
          <w:bCs/>
          <w:iCs/>
          <w:color w:val="000000" w:themeColor="text1"/>
          <w:sz w:val="24"/>
          <w:szCs w:val="24"/>
        </w:rPr>
        <w:t>CRC</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96]</w:t>
      </w:r>
      <w:r w:rsidR="007B4D64" w:rsidRPr="000749B2">
        <w:rPr>
          <w:rFonts w:ascii="Book Antiqua" w:eastAsia="Calibri" w:hAnsi="Book Antiqua" w:cs="Times New Roman"/>
          <w:bCs/>
          <w:iCs/>
          <w:color w:val="000000" w:themeColor="text1"/>
          <w:sz w:val="24"/>
          <w:szCs w:val="24"/>
        </w:rPr>
        <w:t>.</w:t>
      </w:r>
      <w:r w:rsidR="00CE591C" w:rsidRPr="000749B2">
        <w:rPr>
          <w:rFonts w:ascii="Book Antiqua" w:eastAsia="Calibri" w:hAnsi="Book Antiqua" w:cs="Times New Roman"/>
          <w:bCs/>
          <w:iCs/>
          <w:color w:val="000000" w:themeColor="text1"/>
          <w:sz w:val="24"/>
          <w:szCs w:val="24"/>
        </w:rPr>
        <w:t xml:space="preserve"> </w:t>
      </w:r>
      <w:r w:rsidR="007B4D64" w:rsidRPr="000749B2">
        <w:rPr>
          <w:rFonts w:ascii="Book Antiqua" w:eastAsia="Calibri" w:hAnsi="Book Antiqua" w:cs="Times New Roman"/>
          <w:bCs/>
          <w:iCs/>
          <w:color w:val="000000" w:themeColor="text1"/>
          <w:sz w:val="24"/>
          <w:szCs w:val="24"/>
        </w:rPr>
        <w:t>Since a</w:t>
      </w:r>
      <w:r w:rsidR="00CE591C" w:rsidRPr="000749B2">
        <w:rPr>
          <w:rFonts w:ascii="Book Antiqua" w:eastAsia="Calibri" w:hAnsi="Book Antiqua" w:cs="Times New Roman"/>
          <w:bCs/>
          <w:iCs/>
          <w:color w:val="000000" w:themeColor="text1"/>
          <w:sz w:val="24"/>
          <w:szCs w:val="24"/>
        </w:rPr>
        <w:t xml:space="preserve"> homozygous </w:t>
      </w:r>
      <w:r w:rsidR="000D7DDD" w:rsidRPr="000749B2">
        <w:rPr>
          <w:rFonts w:ascii="Book Antiqua" w:eastAsia="Calibri" w:hAnsi="Book Antiqua" w:cs="Times New Roman"/>
          <w:bCs/>
          <w:i/>
          <w:color w:val="000000" w:themeColor="text1"/>
          <w:sz w:val="24"/>
          <w:szCs w:val="24"/>
        </w:rPr>
        <w:t>Apc</w:t>
      </w:r>
      <w:r w:rsidR="00CE591C" w:rsidRPr="000749B2">
        <w:rPr>
          <w:rFonts w:ascii="Book Antiqua" w:eastAsia="Calibri" w:hAnsi="Book Antiqua" w:cs="Times New Roman"/>
          <w:bCs/>
          <w:iCs/>
          <w:color w:val="000000" w:themeColor="text1"/>
          <w:sz w:val="24"/>
          <w:szCs w:val="24"/>
        </w:rPr>
        <w:t xml:space="preserve"> mutation is </w:t>
      </w:r>
      <w:r w:rsidR="007B4D64" w:rsidRPr="000749B2">
        <w:rPr>
          <w:rFonts w:ascii="Book Antiqua" w:eastAsia="Calibri" w:hAnsi="Book Antiqua" w:cs="Times New Roman"/>
          <w:bCs/>
          <w:iCs/>
          <w:color w:val="000000" w:themeColor="text1"/>
          <w:sz w:val="24"/>
          <w:szCs w:val="24"/>
        </w:rPr>
        <w:t xml:space="preserve">lethal during embryonic development, breeding of homozygous </w:t>
      </w:r>
      <w:r w:rsidR="000D3BA0" w:rsidRPr="000749B2">
        <w:rPr>
          <w:rFonts w:ascii="Book Antiqua" w:eastAsia="Calibri" w:hAnsi="Book Antiqua" w:cs="Times New Roman"/>
          <w:bCs/>
          <w:iCs/>
          <w:color w:val="000000" w:themeColor="text1"/>
          <w:sz w:val="24"/>
          <w:szCs w:val="24"/>
        </w:rPr>
        <w:t>APC</w:t>
      </w:r>
      <w:r w:rsidR="000D3BA0" w:rsidRPr="000749B2">
        <w:rPr>
          <w:rFonts w:ascii="Book Antiqua" w:eastAsia="Calibri" w:hAnsi="Book Antiqua" w:cs="Times New Roman"/>
          <w:bCs/>
          <w:iCs/>
          <w:color w:val="000000" w:themeColor="text1"/>
          <w:sz w:val="24"/>
          <w:szCs w:val="24"/>
          <w:vertAlign w:val="superscript"/>
        </w:rPr>
        <w:t>Min</w:t>
      </w:r>
      <w:r w:rsidR="000D3BA0" w:rsidRPr="000749B2">
        <w:rPr>
          <w:rFonts w:ascii="Book Antiqua" w:eastAsia="Calibri" w:hAnsi="Book Antiqua" w:cs="Times New Roman"/>
          <w:bCs/>
          <w:iCs/>
          <w:color w:val="000000" w:themeColor="text1"/>
          <w:sz w:val="24"/>
          <w:szCs w:val="24"/>
        </w:rPr>
        <w:t xml:space="preserve"> </w:t>
      </w:r>
      <w:r w:rsidR="007B4D64" w:rsidRPr="000749B2">
        <w:rPr>
          <w:rFonts w:ascii="Book Antiqua" w:eastAsia="Calibri" w:hAnsi="Book Antiqua" w:cs="Times New Roman"/>
          <w:bCs/>
          <w:iCs/>
          <w:color w:val="000000" w:themeColor="text1"/>
          <w:sz w:val="24"/>
          <w:szCs w:val="24"/>
        </w:rPr>
        <w:t xml:space="preserve">mice is </w:t>
      </w:r>
      <w:proofErr w:type="gramStart"/>
      <w:r w:rsidR="007B4D64" w:rsidRPr="000749B2">
        <w:rPr>
          <w:rFonts w:ascii="Book Antiqua" w:eastAsia="Calibri" w:hAnsi="Book Antiqua" w:cs="Times New Roman"/>
          <w:bCs/>
          <w:iCs/>
          <w:color w:val="000000" w:themeColor="text1"/>
          <w:sz w:val="24"/>
          <w:szCs w:val="24"/>
        </w:rPr>
        <w:t>impossible</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97]</w:t>
      </w:r>
      <w:r w:rsidR="00673418"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However, additional treatment of </w:t>
      </w:r>
      <w:r w:rsidR="000D3BA0" w:rsidRPr="000749B2">
        <w:rPr>
          <w:rFonts w:ascii="Book Antiqua" w:eastAsia="Calibri" w:hAnsi="Book Antiqua" w:cs="Times New Roman"/>
          <w:bCs/>
          <w:iCs/>
          <w:color w:val="000000" w:themeColor="text1"/>
          <w:sz w:val="24"/>
          <w:szCs w:val="24"/>
        </w:rPr>
        <w:t>APC</w:t>
      </w:r>
      <w:r w:rsidR="000D3BA0" w:rsidRPr="000749B2">
        <w:rPr>
          <w:rFonts w:ascii="Book Antiqua" w:eastAsia="Calibri" w:hAnsi="Book Antiqua" w:cs="Times New Roman"/>
          <w:bCs/>
          <w:iCs/>
          <w:color w:val="000000" w:themeColor="text1"/>
          <w:sz w:val="24"/>
          <w:szCs w:val="24"/>
          <w:vertAlign w:val="superscript"/>
        </w:rPr>
        <w:t>Min</w:t>
      </w:r>
      <w:r w:rsidR="000D3BA0"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mice with AOM or other carcinogenic compounds </w:t>
      </w:r>
      <w:r w:rsidR="00CE591C" w:rsidRPr="000749B2">
        <w:rPr>
          <w:rFonts w:ascii="Book Antiqua" w:eastAsia="Calibri" w:hAnsi="Book Antiqua" w:cs="Times New Roman"/>
          <w:bCs/>
          <w:iCs/>
          <w:color w:val="000000" w:themeColor="text1"/>
          <w:sz w:val="24"/>
          <w:szCs w:val="24"/>
        </w:rPr>
        <w:lastRenderedPageBreak/>
        <w:t xml:space="preserve">increases malignancy of the resulting tumors and simultaneously shortens the time to tumor </w:t>
      </w:r>
      <w:proofErr w:type="gramStart"/>
      <w:r w:rsidR="00CE591C" w:rsidRPr="000749B2">
        <w:rPr>
          <w:rFonts w:ascii="Book Antiqua" w:eastAsia="Calibri" w:hAnsi="Book Antiqua" w:cs="Times New Roman"/>
          <w:bCs/>
          <w:iCs/>
          <w:color w:val="000000" w:themeColor="text1"/>
          <w:sz w:val="24"/>
          <w:szCs w:val="24"/>
        </w:rPr>
        <w:t>development</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98-100]</w:t>
      </w:r>
      <w:r w:rsidR="006974D2"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Till the present day, these models </w:t>
      </w:r>
      <w:r w:rsidR="007B4D64" w:rsidRPr="000749B2">
        <w:rPr>
          <w:rFonts w:ascii="Book Antiqua" w:eastAsia="Calibri" w:hAnsi="Book Antiqua" w:cs="Times New Roman"/>
          <w:bCs/>
          <w:iCs/>
          <w:color w:val="000000" w:themeColor="text1"/>
          <w:sz w:val="24"/>
          <w:szCs w:val="24"/>
        </w:rPr>
        <w:t>are in</w:t>
      </w:r>
      <w:r w:rsidR="00CE591C" w:rsidRPr="000749B2">
        <w:rPr>
          <w:rFonts w:ascii="Book Antiqua" w:eastAsia="Calibri" w:hAnsi="Book Antiqua" w:cs="Times New Roman"/>
          <w:bCs/>
          <w:iCs/>
          <w:color w:val="000000" w:themeColor="text1"/>
          <w:sz w:val="24"/>
          <w:szCs w:val="24"/>
        </w:rPr>
        <w:t xml:space="preserve"> use for chemoprevention </w:t>
      </w:r>
      <w:proofErr w:type="gramStart"/>
      <w:r w:rsidR="00CE591C" w:rsidRPr="000749B2">
        <w:rPr>
          <w:rFonts w:ascii="Book Antiqua" w:eastAsia="Calibri" w:hAnsi="Book Antiqua" w:cs="Times New Roman"/>
          <w:bCs/>
          <w:iCs/>
          <w:color w:val="000000" w:themeColor="text1"/>
          <w:sz w:val="24"/>
          <w:szCs w:val="24"/>
        </w:rPr>
        <w:t>studies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101,102]</w:t>
      </w:r>
      <w:r w:rsidR="006974D2"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and have enormously contributed to the understanding of the early tumor initiating events</w:t>
      </w:r>
      <w:r w:rsidR="008353D9" w:rsidRPr="000749B2">
        <w:rPr>
          <w:rFonts w:ascii="Book Antiqua" w:hAnsi="Book Antiqua"/>
          <w:color w:val="000000" w:themeColor="text1"/>
          <w:sz w:val="24"/>
          <w:szCs w:val="24"/>
          <w:vertAlign w:val="superscript"/>
        </w:rPr>
        <w:t>[103]</w:t>
      </w:r>
      <w:r w:rsidR="006974D2"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color w:val="000000" w:themeColor="text1"/>
          <w:sz w:val="24"/>
          <w:szCs w:val="24"/>
        </w:rPr>
        <w:t>Interestingly, a change from C57BL/6 to a hybrid</w:t>
      </w:r>
      <w:r w:rsidR="002C649E" w:rsidRPr="000749B2">
        <w:rPr>
          <w:rFonts w:ascii="Book Antiqua" w:eastAsia="Calibri" w:hAnsi="Book Antiqua" w:cs="Times New Roman"/>
          <w:color w:val="000000" w:themeColor="text1"/>
          <w:sz w:val="24"/>
          <w:szCs w:val="24"/>
        </w:rPr>
        <w:t xml:space="preserve"> genetic</w:t>
      </w:r>
      <w:r w:rsidR="00CE591C" w:rsidRPr="000749B2">
        <w:rPr>
          <w:rFonts w:ascii="Book Antiqua" w:eastAsia="Calibri" w:hAnsi="Book Antiqua" w:cs="Times New Roman"/>
          <w:color w:val="000000" w:themeColor="text1"/>
          <w:sz w:val="24"/>
          <w:szCs w:val="24"/>
        </w:rPr>
        <w:t xml:space="preserve"> background can </w:t>
      </w:r>
      <w:r w:rsidR="00F36F19" w:rsidRPr="000749B2">
        <w:rPr>
          <w:rFonts w:ascii="Book Antiqua" w:eastAsia="Calibri" w:hAnsi="Book Antiqua" w:cs="Times New Roman"/>
          <w:color w:val="000000" w:themeColor="text1"/>
          <w:sz w:val="24"/>
          <w:szCs w:val="24"/>
        </w:rPr>
        <w:t xml:space="preserve">extend </w:t>
      </w:r>
      <w:r w:rsidR="00CE591C" w:rsidRPr="000749B2">
        <w:rPr>
          <w:rFonts w:ascii="Book Antiqua" w:eastAsia="Calibri" w:hAnsi="Book Antiqua" w:cs="Times New Roman"/>
          <w:color w:val="000000" w:themeColor="text1"/>
          <w:sz w:val="24"/>
          <w:szCs w:val="24"/>
        </w:rPr>
        <w:t>the lifespan of APC</w:t>
      </w:r>
      <w:r w:rsidR="000D3BA0" w:rsidRPr="000749B2">
        <w:rPr>
          <w:rFonts w:ascii="Book Antiqua" w:eastAsia="Calibri" w:hAnsi="Book Antiqua" w:cs="Times New Roman"/>
          <w:color w:val="000000" w:themeColor="text1"/>
          <w:sz w:val="24"/>
          <w:szCs w:val="24"/>
          <w:vertAlign w:val="superscript"/>
        </w:rPr>
        <w:t>M</w:t>
      </w:r>
      <w:r w:rsidR="00CE591C" w:rsidRPr="000749B2">
        <w:rPr>
          <w:rFonts w:ascii="Book Antiqua" w:eastAsia="Calibri" w:hAnsi="Book Antiqua" w:cs="Times New Roman"/>
          <w:color w:val="000000" w:themeColor="text1"/>
          <w:sz w:val="24"/>
          <w:szCs w:val="24"/>
          <w:vertAlign w:val="superscript"/>
        </w:rPr>
        <w:t>in</w:t>
      </w:r>
      <w:r w:rsidR="00CE591C" w:rsidRPr="000749B2">
        <w:rPr>
          <w:rFonts w:ascii="Book Antiqua" w:eastAsia="Calibri" w:hAnsi="Book Antiqua" w:cs="Times New Roman"/>
          <w:color w:val="000000" w:themeColor="text1"/>
          <w:sz w:val="24"/>
          <w:szCs w:val="24"/>
        </w:rPr>
        <w:t xml:space="preserve"> mice beyond one year</w:t>
      </w:r>
      <w:r w:rsidR="00F24130" w:rsidRPr="000749B2">
        <w:rPr>
          <w:rFonts w:ascii="Book Antiqua" w:eastAsia="Calibri" w:hAnsi="Book Antiqua" w:cs="Times New Roman"/>
          <w:color w:val="000000" w:themeColor="text1"/>
          <w:sz w:val="24"/>
          <w:szCs w:val="24"/>
        </w:rPr>
        <w:t>,</w:t>
      </w:r>
      <w:r w:rsidR="00CE591C" w:rsidRPr="000749B2">
        <w:rPr>
          <w:rFonts w:ascii="Book Antiqua" w:eastAsia="Calibri" w:hAnsi="Book Antiqua" w:cs="Times New Roman"/>
          <w:color w:val="000000" w:themeColor="text1"/>
          <w:sz w:val="24"/>
          <w:szCs w:val="24"/>
        </w:rPr>
        <w:t xml:space="preserve"> resulting in a high proportion of invasive </w:t>
      </w:r>
      <w:proofErr w:type="gramStart"/>
      <w:r w:rsidR="00CE591C" w:rsidRPr="000749B2">
        <w:rPr>
          <w:rFonts w:ascii="Book Antiqua" w:eastAsia="Calibri" w:hAnsi="Book Antiqua" w:cs="Times New Roman"/>
          <w:color w:val="000000" w:themeColor="text1"/>
          <w:sz w:val="24"/>
          <w:szCs w:val="24"/>
        </w:rPr>
        <w:t>adenocarcinoma</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104]</w:t>
      </w:r>
      <w:r w:rsidR="006974D2"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Sødring </w:t>
      </w:r>
      <w:r w:rsidR="00CE591C" w:rsidRPr="000749B2">
        <w:rPr>
          <w:rFonts w:ascii="Book Antiqua" w:eastAsia="Calibri" w:hAnsi="Book Antiqua" w:cs="Times New Roman"/>
          <w:i/>
          <w:iCs/>
          <w:color w:val="000000" w:themeColor="text1"/>
          <w:sz w:val="24"/>
          <w:szCs w:val="24"/>
        </w:rPr>
        <w:t xml:space="preserve">et </w:t>
      </w:r>
      <w:proofErr w:type="gramStart"/>
      <w:r w:rsidR="00CE591C" w:rsidRPr="000749B2">
        <w:rPr>
          <w:rFonts w:ascii="Book Antiqua" w:eastAsia="Calibri" w:hAnsi="Book Antiqua" w:cs="Times New Roman"/>
          <w:i/>
          <w:iCs/>
          <w:color w:val="000000" w:themeColor="text1"/>
          <w:sz w:val="24"/>
          <w:szCs w:val="24"/>
        </w:rPr>
        <w:t>al</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105]</w:t>
      </w:r>
      <w:r w:rsidR="00CE591C" w:rsidRPr="000749B2">
        <w:rPr>
          <w:rFonts w:ascii="Book Antiqua" w:eastAsia="Calibri" w:hAnsi="Book Antiqua" w:cs="Times New Roman"/>
          <w:color w:val="000000" w:themeColor="text1"/>
          <w:sz w:val="24"/>
          <w:szCs w:val="24"/>
        </w:rPr>
        <w:t xml:space="preserve"> changed the APC</w:t>
      </w:r>
      <w:r w:rsidR="000D3BA0" w:rsidRPr="000749B2">
        <w:rPr>
          <w:rFonts w:ascii="Book Antiqua" w:eastAsia="Calibri" w:hAnsi="Book Antiqua" w:cs="Times New Roman"/>
          <w:color w:val="000000" w:themeColor="text1"/>
          <w:sz w:val="24"/>
          <w:szCs w:val="24"/>
          <w:vertAlign w:val="superscript"/>
        </w:rPr>
        <w:t>M</w:t>
      </w:r>
      <w:r w:rsidR="00CE591C" w:rsidRPr="000749B2">
        <w:rPr>
          <w:rFonts w:ascii="Book Antiqua" w:eastAsia="Calibri" w:hAnsi="Book Antiqua" w:cs="Times New Roman"/>
          <w:color w:val="000000" w:themeColor="text1"/>
          <w:sz w:val="24"/>
          <w:szCs w:val="24"/>
          <w:vertAlign w:val="superscript"/>
        </w:rPr>
        <w:t>in</w:t>
      </w:r>
      <w:r w:rsidR="00CE591C" w:rsidRPr="000749B2">
        <w:rPr>
          <w:rFonts w:ascii="Book Antiqua" w:eastAsia="Calibri" w:hAnsi="Book Antiqua" w:cs="Times New Roman"/>
          <w:color w:val="000000" w:themeColor="text1"/>
          <w:sz w:val="24"/>
          <w:szCs w:val="24"/>
        </w:rPr>
        <w:t xml:space="preserve"> genetic background from C57BL/6 to A/J mice resulting in increased tumor formation in the colon</w:t>
      </w:r>
      <w:r w:rsidR="00F24130" w:rsidRPr="000749B2">
        <w:rPr>
          <w:rFonts w:ascii="Book Antiqua" w:eastAsia="Calibri" w:hAnsi="Book Antiqua" w:cs="Times New Roman"/>
          <w:color w:val="000000" w:themeColor="text1"/>
          <w:sz w:val="24"/>
          <w:szCs w:val="24"/>
        </w:rPr>
        <w:t>,</w:t>
      </w:r>
      <w:r w:rsidR="00CE591C" w:rsidRPr="000749B2">
        <w:rPr>
          <w:rFonts w:ascii="Book Antiqua" w:eastAsia="Calibri" w:hAnsi="Book Antiqua" w:cs="Times New Roman"/>
          <w:color w:val="000000" w:themeColor="text1"/>
          <w:sz w:val="24"/>
          <w:szCs w:val="24"/>
        </w:rPr>
        <w:t xml:space="preserve"> with a reasonable number of </w:t>
      </w:r>
      <w:r w:rsidR="007B4D64" w:rsidRPr="000749B2">
        <w:rPr>
          <w:rFonts w:ascii="Book Antiqua" w:eastAsia="Calibri" w:hAnsi="Book Antiqua" w:cs="Times New Roman"/>
          <w:color w:val="000000" w:themeColor="text1"/>
          <w:sz w:val="24"/>
          <w:szCs w:val="24"/>
        </w:rPr>
        <w:t>tumors</w:t>
      </w:r>
      <w:r w:rsidR="00CE591C" w:rsidRPr="000749B2">
        <w:rPr>
          <w:rFonts w:ascii="Book Antiqua" w:eastAsia="Calibri" w:hAnsi="Book Antiqua" w:cs="Times New Roman"/>
          <w:color w:val="000000" w:themeColor="text1"/>
          <w:sz w:val="24"/>
          <w:szCs w:val="24"/>
        </w:rPr>
        <w:t xml:space="preserve"> progressing to carcinomas</w:t>
      </w:r>
      <w:r w:rsidR="00577224"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Transgenic mice with alternative </w:t>
      </w:r>
      <w:r w:rsidR="00F859AD" w:rsidRPr="000749B2">
        <w:rPr>
          <w:rFonts w:ascii="Book Antiqua" w:eastAsia="Calibri" w:hAnsi="Book Antiqua" w:cs="Times New Roman"/>
          <w:bCs/>
          <w:i/>
          <w:color w:val="000000" w:themeColor="text1"/>
          <w:sz w:val="24"/>
          <w:szCs w:val="24"/>
        </w:rPr>
        <w:t>Apc</w:t>
      </w:r>
      <w:r w:rsidR="00CE591C" w:rsidRPr="000749B2">
        <w:rPr>
          <w:rFonts w:ascii="Book Antiqua" w:eastAsia="Calibri" w:hAnsi="Book Antiqua" w:cs="Times New Roman"/>
          <w:bCs/>
          <w:iCs/>
          <w:color w:val="000000" w:themeColor="text1"/>
          <w:sz w:val="24"/>
          <w:szCs w:val="24"/>
        </w:rPr>
        <w:t xml:space="preserve"> mutations, like the APC</w:t>
      </w:r>
      <w:r w:rsidR="00CE591C" w:rsidRPr="000749B2">
        <w:rPr>
          <w:rFonts w:ascii="Book Antiqua" w:eastAsia="Calibri" w:hAnsi="Book Antiqua" w:cs="Times New Roman"/>
          <w:bCs/>
          <w:iCs/>
          <w:color w:val="000000" w:themeColor="text1"/>
          <w:sz w:val="24"/>
          <w:szCs w:val="24"/>
          <w:vertAlign w:val="superscript"/>
        </w:rPr>
        <w:t>+/1638</w:t>
      </w:r>
      <w:r w:rsidR="00CE591C" w:rsidRPr="000749B2">
        <w:rPr>
          <w:rFonts w:ascii="Book Antiqua" w:eastAsia="Calibri" w:hAnsi="Book Antiqua" w:cs="Times New Roman"/>
          <w:bCs/>
          <w:iCs/>
          <w:color w:val="000000" w:themeColor="text1"/>
          <w:sz w:val="24"/>
          <w:szCs w:val="24"/>
        </w:rPr>
        <w:t xml:space="preserve"> </w:t>
      </w:r>
      <w:proofErr w:type="gramStart"/>
      <w:r w:rsidR="00CE591C" w:rsidRPr="000749B2">
        <w:rPr>
          <w:rFonts w:ascii="Book Antiqua" w:eastAsia="Calibri" w:hAnsi="Book Antiqua" w:cs="Times New Roman"/>
          <w:bCs/>
          <w:iCs/>
          <w:color w:val="000000" w:themeColor="text1"/>
          <w:sz w:val="24"/>
          <w:szCs w:val="24"/>
        </w:rPr>
        <w:t>mouse</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106,107]</w:t>
      </w:r>
      <w:r w:rsidR="00CE591C" w:rsidRPr="000749B2">
        <w:rPr>
          <w:rFonts w:ascii="Book Antiqua" w:eastAsia="Calibri" w:hAnsi="Book Antiqua" w:cs="Times New Roman"/>
          <w:bCs/>
          <w:iCs/>
          <w:color w:val="000000" w:themeColor="text1"/>
          <w:sz w:val="24"/>
          <w:szCs w:val="24"/>
        </w:rPr>
        <w:t xml:space="preserve">, </w:t>
      </w:r>
      <w:r w:rsidR="00F24130" w:rsidRPr="000749B2">
        <w:rPr>
          <w:rFonts w:ascii="Book Antiqua" w:eastAsia="Calibri" w:hAnsi="Book Antiqua" w:cs="Times New Roman"/>
          <w:bCs/>
          <w:iCs/>
          <w:color w:val="000000" w:themeColor="text1"/>
          <w:sz w:val="24"/>
          <w:szCs w:val="24"/>
        </w:rPr>
        <w:t xml:space="preserve">the </w:t>
      </w:r>
      <w:r w:rsidR="00CE591C" w:rsidRPr="000749B2">
        <w:rPr>
          <w:rFonts w:ascii="Book Antiqua" w:eastAsia="Calibri" w:hAnsi="Book Antiqua" w:cs="Times New Roman"/>
          <w:bCs/>
          <w:iCs/>
          <w:color w:val="000000" w:themeColor="text1"/>
          <w:sz w:val="24"/>
          <w:szCs w:val="24"/>
        </w:rPr>
        <w:t>APC</w:t>
      </w:r>
      <w:r w:rsidR="00CE591C" w:rsidRPr="000749B2">
        <w:rPr>
          <w:rFonts w:ascii="Book Antiqua" w:eastAsia="Calibri" w:hAnsi="Book Antiqua" w:cs="Times New Roman"/>
          <w:bCs/>
          <w:iCs/>
          <w:color w:val="000000" w:themeColor="text1"/>
          <w:sz w:val="24"/>
          <w:szCs w:val="24"/>
          <w:vertAlign w:val="superscript"/>
        </w:rPr>
        <w:sym w:font="Symbol" w:char="F044"/>
      </w:r>
      <w:r w:rsidR="00CE591C" w:rsidRPr="000749B2">
        <w:rPr>
          <w:rFonts w:ascii="Book Antiqua" w:eastAsia="Calibri" w:hAnsi="Book Antiqua" w:cs="Times New Roman"/>
          <w:bCs/>
          <w:iCs/>
          <w:color w:val="000000" w:themeColor="text1"/>
          <w:sz w:val="24"/>
          <w:szCs w:val="24"/>
          <w:vertAlign w:val="superscript"/>
        </w:rPr>
        <w:t>716</w:t>
      </w:r>
      <w:r w:rsidR="00CE591C" w:rsidRPr="000749B2">
        <w:rPr>
          <w:rFonts w:ascii="Book Antiqua" w:eastAsia="Calibri" w:hAnsi="Book Antiqua" w:cs="Times New Roman"/>
          <w:bCs/>
          <w:iCs/>
          <w:color w:val="000000" w:themeColor="text1"/>
          <w:sz w:val="24"/>
          <w:szCs w:val="24"/>
        </w:rPr>
        <w:t xml:space="preserve"> mouse</w:t>
      </w:r>
      <w:r w:rsidR="008353D9" w:rsidRPr="000749B2">
        <w:rPr>
          <w:rFonts w:ascii="Book Antiqua" w:hAnsi="Book Antiqua"/>
          <w:color w:val="000000" w:themeColor="text1"/>
          <w:sz w:val="24"/>
          <w:szCs w:val="24"/>
          <w:vertAlign w:val="superscript"/>
        </w:rPr>
        <w:t>[108]</w:t>
      </w:r>
      <w:r w:rsidR="00CE591C" w:rsidRPr="000749B2">
        <w:rPr>
          <w:rFonts w:ascii="Book Antiqua" w:eastAsia="Calibri" w:hAnsi="Book Antiqua" w:cs="Times New Roman"/>
          <w:bCs/>
          <w:iCs/>
          <w:color w:val="000000" w:themeColor="text1"/>
          <w:sz w:val="24"/>
          <w:szCs w:val="24"/>
        </w:rPr>
        <w:t xml:space="preserve"> and </w:t>
      </w:r>
      <w:r w:rsidR="00F24130" w:rsidRPr="000749B2">
        <w:rPr>
          <w:rFonts w:ascii="Book Antiqua" w:eastAsia="Calibri" w:hAnsi="Book Antiqua" w:cs="Times New Roman"/>
          <w:bCs/>
          <w:iCs/>
          <w:color w:val="000000" w:themeColor="text1"/>
          <w:sz w:val="24"/>
          <w:szCs w:val="24"/>
        </w:rPr>
        <w:t xml:space="preserve">the </w:t>
      </w:r>
      <w:r w:rsidR="00F24130" w:rsidRPr="000749B2">
        <w:rPr>
          <w:rFonts w:ascii="Book Antiqua" w:eastAsia="Calibri" w:hAnsi="Book Antiqua" w:cs="Times New Roman"/>
          <w:iCs/>
          <w:color w:val="000000" w:themeColor="text1"/>
          <w:sz w:val="24"/>
          <w:szCs w:val="24"/>
        </w:rPr>
        <w:t>APC</w:t>
      </w:r>
      <w:r w:rsidR="00F24130" w:rsidRPr="000749B2">
        <w:rPr>
          <w:rFonts w:ascii="Book Antiqua" w:eastAsia="Calibri" w:hAnsi="Book Antiqua" w:cs="Times New Roman"/>
          <w:i/>
          <w:iCs/>
          <w:color w:val="000000" w:themeColor="text1"/>
          <w:sz w:val="24"/>
          <w:szCs w:val="24"/>
          <w:vertAlign w:val="superscript"/>
          <w:lang w:val="de-DE"/>
        </w:rPr>
        <w:t>Δ</w:t>
      </w:r>
      <w:r w:rsidR="00F24130" w:rsidRPr="000749B2">
        <w:rPr>
          <w:rFonts w:ascii="Book Antiqua" w:eastAsia="Calibri" w:hAnsi="Book Antiqua" w:cs="Times New Roman"/>
          <w:i/>
          <w:iCs/>
          <w:color w:val="000000" w:themeColor="text1"/>
          <w:sz w:val="24"/>
          <w:szCs w:val="24"/>
          <w:vertAlign w:val="superscript"/>
        </w:rPr>
        <w:t>242</w:t>
      </w:r>
      <w:r w:rsidR="00CE591C" w:rsidRPr="000749B2">
        <w:rPr>
          <w:rFonts w:ascii="Book Antiqua" w:eastAsia="Calibri" w:hAnsi="Book Antiqua" w:cs="Times New Roman"/>
          <w:color w:val="000000" w:themeColor="text1"/>
          <w:sz w:val="24"/>
          <w:szCs w:val="24"/>
          <w:vertAlign w:val="superscript"/>
        </w:rPr>
        <w:t>/+</w:t>
      </w:r>
      <w:r w:rsidR="00CE591C" w:rsidRPr="000749B2">
        <w:rPr>
          <w:rFonts w:ascii="Book Antiqua" w:eastAsia="Calibri" w:hAnsi="Book Antiqua" w:cs="Times New Roman"/>
          <w:color w:val="000000" w:themeColor="text1"/>
          <w:sz w:val="24"/>
          <w:szCs w:val="24"/>
        </w:rPr>
        <w:t xml:space="preserve"> mouse</w:t>
      </w:r>
      <w:r w:rsidR="008353D9" w:rsidRPr="000749B2">
        <w:rPr>
          <w:rFonts w:ascii="Book Antiqua" w:hAnsi="Book Antiqua"/>
          <w:color w:val="000000" w:themeColor="text1"/>
          <w:sz w:val="24"/>
          <w:szCs w:val="24"/>
          <w:vertAlign w:val="superscript"/>
        </w:rPr>
        <w:t>[109]</w:t>
      </w:r>
      <w:r w:rsidR="00055575"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vary in tumor count and histopathology. Tumor formation predominantly in the </w:t>
      </w:r>
      <w:r w:rsidR="007B4D64" w:rsidRPr="000749B2">
        <w:rPr>
          <w:rFonts w:ascii="Book Antiqua" w:eastAsia="Calibri" w:hAnsi="Book Antiqua" w:cs="Times New Roman"/>
          <w:bCs/>
          <w:iCs/>
          <w:color w:val="000000" w:themeColor="text1"/>
          <w:sz w:val="24"/>
          <w:szCs w:val="24"/>
        </w:rPr>
        <w:t>small intestine</w:t>
      </w:r>
      <w:r w:rsidR="00CE591C" w:rsidRPr="000749B2">
        <w:rPr>
          <w:rFonts w:ascii="Book Antiqua" w:eastAsia="Calibri" w:hAnsi="Book Antiqua" w:cs="Times New Roman"/>
          <w:bCs/>
          <w:iCs/>
          <w:color w:val="000000" w:themeColor="text1"/>
          <w:sz w:val="24"/>
          <w:szCs w:val="24"/>
        </w:rPr>
        <w:t xml:space="preserve"> instead of the colon is the major flaw of most </w:t>
      </w:r>
      <w:r w:rsidR="00577224" w:rsidRPr="000749B2">
        <w:rPr>
          <w:rFonts w:ascii="Book Antiqua" w:eastAsia="Calibri" w:hAnsi="Book Antiqua" w:cs="Times New Roman"/>
          <w:bCs/>
          <w:i/>
          <w:color w:val="000000" w:themeColor="text1"/>
          <w:sz w:val="24"/>
          <w:szCs w:val="24"/>
        </w:rPr>
        <w:t>Apc</w:t>
      </w:r>
      <w:r w:rsidR="00CE591C" w:rsidRPr="000749B2">
        <w:rPr>
          <w:rFonts w:ascii="Book Antiqua" w:eastAsia="Calibri" w:hAnsi="Book Antiqua" w:cs="Times New Roman"/>
          <w:bCs/>
          <w:iCs/>
          <w:color w:val="000000" w:themeColor="text1"/>
          <w:sz w:val="24"/>
          <w:szCs w:val="24"/>
        </w:rPr>
        <w:t xml:space="preserve">-based mouse models. Colnot </w:t>
      </w:r>
      <w:r w:rsidR="00CE591C" w:rsidRPr="000749B2">
        <w:rPr>
          <w:rFonts w:ascii="Book Antiqua" w:eastAsia="Calibri" w:hAnsi="Book Antiqua" w:cs="Times New Roman"/>
          <w:bCs/>
          <w:i/>
          <w:color w:val="000000" w:themeColor="text1"/>
          <w:sz w:val="24"/>
          <w:szCs w:val="24"/>
        </w:rPr>
        <w:t>et al</w:t>
      </w:r>
      <w:r w:rsidR="008353D9" w:rsidRPr="000749B2">
        <w:rPr>
          <w:rFonts w:ascii="Book Antiqua" w:hAnsi="Book Antiqua"/>
          <w:color w:val="000000" w:themeColor="text1"/>
          <w:sz w:val="24"/>
          <w:szCs w:val="24"/>
          <w:vertAlign w:val="superscript"/>
        </w:rPr>
        <w:t>[110]</w:t>
      </w:r>
      <w:r w:rsidR="00CE591C" w:rsidRPr="000749B2">
        <w:rPr>
          <w:rFonts w:ascii="Book Antiqua" w:eastAsia="Calibri" w:hAnsi="Book Antiqua" w:cs="Times New Roman"/>
          <w:bCs/>
          <w:iCs/>
          <w:color w:val="000000" w:themeColor="text1"/>
          <w:sz w:val="24"/>
          <w:szCs w:val="24"/>
        </w:rPr>
        <w:t xml:space="preserve"> designed the A</w:t>
      </w:r>
      <w:r w:rsidR="00F24130" w:rsidRPr="000749B2">
        <w:rPr>
          <w:rFonts w:ascii="Book Antiqua" w:eastAsia="Calibri" w:hAnsi="Book Antiqua" w:cs="Times New Roman"/>
          <w:bCs/>
          <w:iCs/>
          <w:color w:val="000000" w:themeColor="text1"/>
          <w:sz w:val="24"/>
          <w:szCs w:val="24"/>
        </w:rPr>
        <w:t>PC</w:t>
      </w:r>
      <w:r w:rsidR="00CE591C" w:rsidRPr="000749B2">
        <w:rPr>
          <w:rFonts w:ascii="Book Antiqua" w:eastAsia="Calibri" w:hAnsi="Book Antiqua" w:cs="Times New Roman"/>
          <w:bCs/>
          <w:iCs/>
          <w:color w:val="000000" w:themeColor="text1"/>
          <w:sz w:val="24"/>
          <w:szCs w:val="24"/>
          <w:vertAlign w:val="superscript"/>
        </w:rPr>
        <w:t xml:space="preserve">Δ14/+ </w:t>
      </w:r>
      <w:r w:rsidR="00CE591C" w:rsidRPr="000749B2">
        <w:rPr>
          <w:rFonts w:ascii="Book Antiqua" w:eastAsia="Calibri" w:hAnsi="Book Antiqua" w:cs="Times New Roman"/>
          <w:bCs/>
          <w:iCs/>
          <w:color w:val="000000" w:themeColor="text1"/>
          <w:sz w:val="24"/>
          <w:szCs w:val="24"/>
        </w:rPr>
        <w:t xml:space="preserve">mouse, which shows a more severe phenotype with invasion of the muscularis, an increased lethality and a higher colonic tumor burden compared to </w:t>
      </w:r>
      <w:r w:rsidR="000D3BA0" w:rsidRPr="000749B2">
        <w:rPr>
          <w:rFonts w:ascii="Book Antiqua" w:eastAsia="Calibri" w:hAnsi="Book Antiqua" w:cs="Times New Roman"/>
          <w:bCs/>
          <w:iCs/>
          <w:color w:val="000000" w:themeColor="text1"/>
          <w:sz w:val="24"/>
          <w:szCs w:val="24"/>
        </w:rPr>
        <w:t>APC</w:t>
      </w:r>
      <w:r w:rsidR="000D3BA0" w:rsidRPr="000749B2">
        <w:rPr>
          <w:rFonts w:ascii="Book Antiqua" w:eastAsia="Calibri" w:hAnsi="Book Antiqua" w:cs="Times New Roman"/>
          <w:bCs/>
          <w:iCs/>
          <w:color w:val="000000" w:themeColor="text1"/>
          <w:sz w:val="24"/>
          <w:szCs w:val="24"/>
          <w:vertAlign w:val="superscript"/>
        </w:rPr>
        <w:t>Min</w:t>
      </w:r>
      <w:r w:rsidR="000D3BA0"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mice but unfavorably still shows relevant tumor development in the </w:t>
      </w:r>
      <w:r w:rsidR="007B4D64" w:rsidRPr="000749B2">
        <w:rPr>
          <w:rFonts w:ascii="Book Antiqua" w:eastAsia="Calibri" w:hAnsi="Book Antiqua" w:cs="Times New Roman"/>
          <w:bCs/>
          <w:iCs/>
          <w:color w:val="000000" w:themeColor="text1"/>
          <w:sz w:val="24"/>
          <w:szCs w:val="24"/>
        </w:rPr>
        <w:t>small intestine</w:t>
      </w:r>
      <w:r w:rsidR="00577224"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Early attempts of combining </w:t>
      </w:r>
      <w:r w:rsidR="00CE591C" w:rsidRPr="000749B2">
        <w:rPr>
          <w:rFonts w:ascii="Book Antiqua" w:eastAsia="Calibri" w:hAnsi="Book Antiqua" w:cs="Times New Roman"/>
          <w:bCs/>
          <w:i/>
          <w:color w:val="000000" w:themeColor="text1"/>
          <w:sz w:val="24"/>
          <w:szCs w:val="24"/>
        </w:rPr>
        <w:t>A</w:t>
      </w:r>
      <w:r w:rsidR="00F859AD" w:rsidRPr="000749B2">
        <w:rPr>
          <w:rFonts w:ascii="Book Antiqua" w:eastAsia="Calibri" w:hAnsi="Book Antiqua" w:cs="Times New Roman"/>
          <w:bCs/>
          <w:i/>
          <w:color w:val="000000" w:themeColor="text1"/>
          <w:sz w:val="24"/>
          <w:szCs w:val="24"/>
        </w:rPr>
        <w:t>pc</w:t>
      </w:r>
      <w:r w:rsidR="00CE591C" w:rsidRPr="000749B2">
        <w:rPr>
          <w:rFonts w:ascii="Book Antiqua" w:eastAsia="Calibri" w:hAnsi="Book Antiqua" w:cs="Times New Roman"/>
          <w:bCs/>
          <w:iCs/>
          <w:color w:val="000000" w:themeColor="text1"/>
          <w:sz w:val="24"/>
          <w:szCs w:val="24"/>
        </w:rPr>
        <w:t xml:space="preserve"> mutations with homozygous </w:t>
      </w:r>
      <w:r w:rsidR="00CE591C" w:rsidRPr="000749B2">
        <w:rPr>
          <w:rFonts w:ascii="Book Antiqua" w:eastAsia="Calibri" w:hAnsi="Book Antiqua" w:cs="Times New Roman"/>
          <w:bCs/>
          <w:i/>
          <w:color w:val="000000" w:themeColor="text1"/>
          <w:sz w:val="24"/>
          <w:szCs w:val="24"/>
        </w:rPr>
        <w:t>P53</w:t>
      </w:r>
      <w:r w:rsidR="00CE591C" w:rsidRPr="000749B2">
        <w:rPr>
          <w:rFonts w:ascii="Book Antiqua" w:eastAsia="Calibri" w:hAnsi="Book Antiqua" w:cs="Times New Roman"/>
          <w:bCs/>
          <w:iCs/>
          <w:color w:val="000000" w:themeColor="text1"/>
          <w:sz w:val="24"/>
          <w:szCs w:val="24"/>
        </w:rPr>
        <w:t xml:space="preserve"> knockouts yielded conflicting results, with either no </w:t>
      </w:r>
      <w:proofErr w:type="gramStart"/>
      <w:r w:rsidR="00CE591C" w:rsidRPr="000749B2">
        <w:rPr>
          <w:rFonts w:ascii="Book Antiqua" w:eastAsia="Calibri" w:hAnsi="Book Antiqua" w:cs="Times New Roman"/>
          <w:bCs/>
          <w:iCs/>
          <w:color w:val="000000" w:themeColor="text1"/>
          <w:sz w:val="24"/>
          <w:szCs w:val="24"/>
        </w:rPr>
        <w:t>increase</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111,112]</w:t>
      </w:r>
      <w:r w:rsidR="00CE591C" w:rsidRPr="000749B2">
        <w:rPr>
          <w:rFonts w:ascii="Book Antiqua" w:eastAsia="Calibri" w:hAnsi="Book Antiqua" w:cs="Times New Roman"/>
          <w:bCs/>
          <w:iCs/>
          <w:color w:val="000000" w:themeColor="text1"/>
          <w:sz w:val="24"/>
          <w:szCs w:val="24"/>
        </w:rPr>
        <w:t>, or a small increase of gastrointestinal malignancy</w:t>
      </w:r>
      <w:r w:rsidR="008353D9" w:rsidRPr="000749B2">
        <w:rPr>
          <w:rFonts w:ascii="Book Antiqua" w:hAnsi="Book Antiqua"/>
          <w:color w:val="000000" w:themeColor="text1"/>
          <w:sz w:val="24"/>
          <w:szCs w:val="24"/>
          <w:vertAlign w:val="superscript"/>
        </w:rPr>
        <w:t>[113]</w:t>
      </w:r>
      <w:r w:rsidR="00577224" w:rsidRPr="000749B2">
        <w:rPr>
          <w:rFonts w:ascii="Book Antiqua" w:eastAsia="Calibri" w:hAnsi="Book Antiqua" w:cs="Times New Roman"/>
          <w:bCs/>
          <w:iCs/>
          <w:color w:val="000000" w:themeColor="text1"/>
          <w:sz w:val="24"/>
          <w:szCs w:val="24"/>
        </w:rPr>
        <w:t xml:space="preserve">. </w:t>
      </w:r>
      <w:r w:rsidR="00573A11" w:rsidRPr="000749B2">
        <w:rPr>
          <w:rFonts w:ascii="Book Antiqua" w:eastAsia="Calibri" w:hAnsi="Book Antiqua" w:cs="Times New Roman"/>
          <w:bCs/>
          <w:iCs/>
          <w:color w:val="000000" w:themeColor="text1"/>
          <w:sz w:val="24"/>
          <w:szCs w:val="24"/>
        </w:rPr>
        <w:t xml:space="preserve">The most likely explanation is that in </w:t>
      </w:r>
      <w:r w:rsidR="00CE591C" w:rsidRPr="000749B2">
        <w:rPr>
          <w:rFonts w:ascii="Book Antiqua" w:eastAsia="Calibri" w:hAnsi="Book Antiqua" w:cs="Times New Roman"/>
          <w:bCs/>
          <w:iCs/>
          <w:color w:val="000000" w:themeColor="text1"/>
          <w:sz w:val="24"/>
          <w:szCs w:val="24"/>
        </w:rPr>
        <w:t xml:space="preserve">human cancers </w:t>
      </w:r>
      <w:r w:rsidR="00CE591C" w:rsidRPr="000749B2">
        <w:rPr>
          <w:rFonts w:ascii="Book Antiqua" w:eastAsia="Calibri" w:hAnsi="Book Antiqua" w:cs="Times New Roman"/>
          <w:bCs/>
          <w:i/>
          <w:color w:val="000000" w:themeColor="text1"/>
          <w:sz w:val="24"/>
          <w:szCs w:val="24"/>
        </w:rPr>
        <w:t>P53</w:t>
      </w:r>
      <w:r w:rsidR="00CE591C" w:rsidRPr="000749B2">
        <w:rPr>
          <w:rFonts w:ascii="Book Antiqua" w:eastAsia="Calibri" w:hAnsi="Book Antiqua" w:cs="Times New Roman"/>
          <w:bCs/>
          <w:iCs/>
          <w:color w:val="000000" w:themeColor="text1"/>
          <w:sz w:val="24"/>
          <w:szCs w:val="24"/>
        </w:rPr>
        <w:t xml:space="preserve"> </w:t>
      </w:r>
      <w:r w:rsidR="00573A11" w:rsidRPr="000749B2">
        <w:rPr>
          <w:rFonts w:ascii="Book Antiqua" w:eastAsia="Calibri" w:hAnsi="Book Antiqua" w:cs="Times New Roman"/>
          <w:bCs/>
          <w:iCs/>
          <w:color w:val="000000" w:themeColor="text1"/>
          <w:sz w:val="24"/>
          <w:szCs w:val="24"/>
        </w:rPr>
        <w:t xml:space="preserve">missense </w:t>
      </w:r>
      <w:r w:rsidR="00CE591C" w:rsidRPr="000749B2">
        <w:rPr>
          <w:rFonts w:ascii="Book Antiqua" w:eastAsia="Calibri" w:hAnsi="Book Antiqua" w:cs="Times New Roman"/>
          <w:bCs/>
          <w:iCs/>
          <w:color w:val="000000" w:themeColor="text1"/>
          <w:sz w:val="24"/>
          <w:szCs w:val="24"/>
        </w:rPr>
        <w:t>mutations</w:t>
      </w:r>
      <w:r w:rsidR="00573A11" w:rsidRPr="000749B2">
        <w:rPr>
          <w:rFonts w:ascii="Book Antiqua" w:eastAsia="Calibri" w:hAnsi="Book Antiqua" w:cs="Times New Roman"/>
          <w:bCs/>
          <w:iCs/>
          <w:color w:val="000000" w:themeColor="text1"/>
          <w:sz w:val="24"/>
          <w:szCs w:val="24"/>
        </w:rPr>
        <w:t xml:space="preserve"> frequently</w:t>
      </w:r>
      <w:r w:rsidR="00CE591C" w:rsidRPr="000749B2">
        <w:rPr>
          <w:rFonts w:ascii="Book Antiqua" w:eastAsia="Calibri" w:hAnsi="Book Antiqua" w:cs="Times New Roman"/>
          <w:bCs/>
          <w:iCs/>
          <w:color w:val="000000" w:themeColor="text1"/>
          <w:sz w:val="24"/>
          <w:szCs w:val="24"/>
        </w:rPr>
        <w:t xml:space="preserve"> act in a dominant negative fashion</w:t>
      </w:r>
      <w:r w:rsidR="00F24130" w:rsidRPr="000749B2">
        <w:rPr>
          <w:rFonts w:ascii="Book Antiqua" w:eastAsia="Calibri" w:hAnsi="Book Antiqua" w:cs="Times New Roman"/>
          <w:bCs/>
          <w:iCs/>
          <w:color w:val="000000" w:themeColor="text1"/>
          <w:sz w:val="24"/>
          <w:szCs w:val="24"/>
        </w:rPr>
        <w:t>, overruling the tumor-suppressive function</w:t>
      </w:r>
      <w:r w:rsidR="00573A11" w:rsidRPr="000749B2">
        <w:rPr>
          <w:rFonts w:ascii="Book Antiqua" w:eastAsia="Calibri" w:hAnsi="Book Antiqua" w:cs="Times New Roman"/>
          <w:bCs/>
          <w:iCs/>
          <w:color w:val="000000" w:themeColor="text1"/>
          <w:sz w:val="24"/>
          <w:szCs w:val="24"/>
        </w:rPr>
        <w:t xml:space="preserve"> of the wildtype </w:t>
      </w:r>
      <w:proofErr w:type="gramStart"/>
      <w:r w:rsidR="00573A11" w:rsidRPr="000749B2">
        <w:rPr>
          <w:rFonts w:ascii="Book Antiqua" w:eastAsia="Calibri" w:hAnsi="Book Antiqua" w:cs="Times New Roman"/>
          <w:bCs/>
          <w:iCs/>
          <w:color w:val="000000" w:themeColor="text1"/>
          <w:sz w:val="24"/>
          <w:szCs w:val="24"/>
        </w:rPr>
        <w:t>allel</w:t>
      </w:r>
      <w:r w:rsidR="002C649E" w:rsidRPr="000749B2">
        <w:rPr>
          <w:rFonts w:ascii="Book Antiqua" w:eastAsia="Calibri" w:hAnsi="Book Antiqua" w:cs="Times New Roman"/>
          <w:bCs/>
          <w:iCs/>
          <w:color w:val="000000" w:themeColor="text1"/>
          <w:sz w:val="24"/>
          <w:szCs w:val="24"/>
        </w:rPr>
        <w:t>e</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114,115]</w:t>
      </w:r>
      <w:r w:rsidR="00CE591C" w:rsidRPr="000749B2">
        <w:rPr>
          <w:rFonts w:ascii="Book Antiqua" w:eastAsia="Calibri" w:hAnsi="Book Antiqua" w:cs="Times New Roman"/>
          <w:bCs/>
          <w:iCs/>
          <w:color w:val="000000" w:themeColor="text1"/>
          <w:sz w:val="24"/>
          <w:szCs w:val="24"/>
        </w:rPr>
        <w:t xml:space="preserve">. In contrast, targeting </w:t>
      </w:r>
      <w:r w:rsidR="00F24130" w:rsidRPr="000749B2">
        <w:rPr>
          <w:rFonts w:ascii="Book Antiqua" w:eastAsia="Calibri" w:hAnsi="Book Antiqua" w:cs="Times New Roman"/>
          <w:bCs/>
          <w:i/>
          <w:color w:val="000000" w:themeColor="text1"/>
          <w:sz w:val="24"/>
          <w:szCs w:val="24"/>
        </w:rPr>
        <w:t>K</w:t>
      </w:r>
      <w:r w:rsidR="00F859AD" w:rsidRPr="000749B2">
        <w:rPr>
          <w:rFonts w:ascii="Book Antiqua" w:eastAsia="Calibri" w:hAnsi="Book Antiqua" w:cs="Times New Roman"/>
          <w:bCs/>
          <w:i/>
          <w:color w:val="000000" w:themeColor="text1"/>
          <w:sz w:val="24"/>
          <w:szCs w:val="24"/>
        </w:rPr>
        <w:t>ras</w:t>
      </w:r>
      <w:r w:rsidR="00F859AD"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without tissue specific </w:t>
      </w:r>
      <w:r w:rsidR="00F24130" w:rsidRPr="000749B2">
        <w:rPr>
          <w:rFonts w:ascii="Book Antiqua" w:eastAsia="Calibri" w:hAnsi="Book Antiqua" w:cs="Times New Roman"/>
          <w:bCs/>
          <w:iCs/>
          <w:color w:val="000000" w:themeColor="text1"/>
          <w:sz w:val="24"/>
          <w:szCs w:val="24"/>
        </w:rPr>
        <w:t xml:space="preserve">promoters </w:t>
      </w:r>
      <w:r w:rsidR="00CE591C" w:rsidRPr="000749B2">
        <w:rPr>
          <w:rFonts w:ascii="Book Antiqua" w:eastAsia="Calibri" w:hAnsi="Book Antiqua" w:cs="Times New Roman"/>
          <w:bCs/>
          <w:iCs/>
          <w:color w:val="000000" w:themeColor="text1"/>
          <w:sz w:val="24"/>
          <w:szCs w:val="24"/>
        </w:rPr>
        <w:t>leads e</w:t>
      </w:r>
      <w:r w:rsidR="00573A11" w:rsidRPr="000749B2">
        <w:rPr>
          <w:rFonts w:ascii="Book Antiqua" w:eastAsia="Calibri" w:hAnsi="Book Antiqua" w:cs="Times New Roman"/>
          <w:bCs/>
          <w:iCs/>
          <w:color w:val="000000" w:themeColor="text1"/>
          <w:sz w:val="24"/>
          <w:szCs w:val="24"/>
        </w:rPr>
        <w:t>i</w:t>
      </w:r>
      <w:r w:rsidR="00CE591C" w:rsidRPr="000749B2">
        <w:rPr>
          <w:rFonts w:ascii="Book Antiqua" w:eastAsia="Calibri" w:hAnsi="Book Antiqua" w:cs="Times New Roman"/>
          <w:bCs/>
          <w:iCs/>
          <w:color w:val="000000" w:themeColor="text1"/>
          <w:sz w:val="24"/>
          <w:szCs w:val="24"/>
        </w:rPr>
        <w:t xml:space="preserve">ther to embryogenic </w:t>
      </w:r>
      <w:proofErr w:type="gramStart"/>
      <w:r w:rsidR="00CE591C" w:rsidRPr="000749B2">
        <w:rPr>
          <w:rFonts w:ascii="Book Antiqua" w:eastAsia="Calibri" w:hAnsi="Book Antiqua" w:cs="Times New Roman"/>
          <w:bCs/>
          <w:iCs/>
          <w:color w:val="000000" w:themeColor="text1"/>
          <w:sz w:val="24"/>
          <w:szCs w:val="24"/>
        </w:rPr>
        <w:t>lethality</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116]</w:t>
      </w:r>
      <w:r w:rsidR="006974D2"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or few viable animals succumb</w:t>
      </w:r>
      <w:r w:rsidR="00F24130" w:rsidRPr="000749B2">
        <w:rPr>
          <w:rFonts w:ascii="Book Antiqua" w:eastAsia="Calibri" w:hAnsi="Book Antiqua" w:cs="Times New Roman"/>
          <w:bCs/>
          <w:iCs/>
          <w:color w:val="000000" w:themeColor="text1"/>
          <w:sz w:val="24"/>
          <w:szCs w:val="24"/>
        </w:rPr>
        <w:t>ing</w:t>
      </w:r>
      <w:r w:rsidR="00CE591C" w:rsidRPr="000749B2">
        <w:rPr>
          <w:rFonts w:ascii="Book Antiqua" w:eastAsia="Calibri" w:hAnsi="Book Antiqua" w:cs="Times New Roman"/>
          <w:bCs/>
          <w:iCs/>
          <w:color w:val="000000" w:themeColor="text1"/>
          <w:sz w:val="24"/>
          <w:szCs w:val="24"/>
        </w:rPr>
        <w:t xml:space="preserve"> to rapidly developing </w:t>
      </w:r>
      <w:r w:rsidR="00D64EE8" w:rsidRPr="000749B2">
        <w:rPr>
          <w:rFonts w:ascii="Book Antiqua" w:eastAsia="Calibri" w:hAnsi="Book Antiqua" w:cs="Times New Roman"/>
          <w:bCs/>
          <w:iCs/>
          <w:color w:val="000000" w:themeColor="text1"/>
          <w:sz w:val="24"/>
          <w:szCs w:val="24"/>
        </w:rPr>
        <w:t>lung</w:t>
      </w:r>
      <w:r w:rsidR="00CE591C" w:rsidRPr="000749B2">
        <w:rPr>
          <w:rFonts w:ascii="Book Antiqua" w:eastAsia="Calibri" w:hAnsi="Book Antiqua" w:cs="Times New Roman"/>
          <w:bCs/>
          <w:iCs/>
          <w:color w:val="000000" w:themeColor="text1"/>
          <w:sz w:val="24"/>
          <w:szCs w:val="24"/>
        </w:rPr>
        <w:t xml:space="preserve"> tumors</w:t>
      </w:r>
      <w:r w:rsidR="008353D9" w:rsidRPr="000749B2">
        <w:rPr>
          <w:rFonts w:ascii="Book Antiqua" w:hAnsi="Book Antiqua"/>
          <w:color w:val="000000" w:themeColor="text1"/>
          <w:sz w:val="24"/>
          <w:szCs w:val="24"/>
          <w:vertAlign w:val="superscript"/>
        </w:rPr>
        <w:t>[117]</w:t>
      </w:r>
      <w:r w:rsidR="00CE591C" w:rsidRPr="000749B2">
        <w:rPr>
          <w:rFonts w:ascii="Book Antiqua" w:eastAsia="Calibri" w:hAnsi="Book Antiqua" w:cs="Times New Roman"/>
          <w:bCs/>
          <w:iCs/>
          <w:color w:val="000000" w:themeColor="text1"/>
          <w:sz w:val="24"/>
          <w:szCs w:val="24"/>
        </w:rPr>
        <w:t xml:space="preserve">. To avoid abundant distribution of mutations in the whole organism, transgene expression controlled by a tissue specific gene promotor, most commonly by application of the </w:t>
      </w:r>
      <w:r w:rsidR="00CE591C" w:rsidRPr="000749B2">
        <w:rPr>
          <w:rFonts w:ascii="Book Antiqua" w:eastAsia="Calibri" w:hAnsi="Book Antiqua" w:cs="Times New Roman"/>
          <w:bCs/>
          <w:i/>
          <w:color w:val="000000" w:themeColor="text1"/>
          <w:sz w:val="24"/>
          <w:szCs w:val="24"/>
        </w:rPr>
        <w:t>Cre-loxP</w:t>
      </w:r>
      <w:r w:rsidR="00CE591C" w:rsidRPr="000749B2">
        <w:rPr>
          <w:rFonts w:ascii="Book Antiqua" w:eastAsia="Calibri" w:hAnsi="Book Antiqua" w:cs="Times New Roman"/>
          <w:bCs/>
          <w:iCs/>
          <w:color w:val="000000" w:themeColor="text1"/>
          <w:sz w:val="24"/>
          <w:szCs w:val="24"/>
        </w:rPr>
        <w:t>-</w:t>
      </w:r>
      <w:proofErr w:type="gramStart"/>
      <w:r w:rsidR="00CE591C" w:rsidRPr="000749B2">
        <w:rPr>
          <w:rFonts w:ascii="Book Antiqua" w:eastAsia="Calibri" w:hAnsi="Book Antiqua" w:cs="Times New Roman"/>
          <w:bCs/>
          <w:iCs/>
          <w:color w:val="000000" w:themeColor="text1"/>
          <w:sz w:val="24"/>
          <w:szCs w:val="24"/>
        </w:rPr>
        <w:t>system</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91]</w:t>
      </w:r>
      <w:r w:rsidR="00CE591C" w:rsidRPr="000749B2">
        <w:rPr>
          <w:rFonts w:ascii="Book Antiqua" w:eastAsia="Calibri" w:hAnsi="Book Antiqua" w:cs="Times New Roman"/>
          <w:bCs/>
          <w:iCs/>
          <w:color w:val="000000" w:themeColor="text1"/>
          <w:sz w:val="24"/>
          <w:szCs w:val="24"/>
        </w:rPr>
        <w:t xml:space="preserve">, has proven to be </w:t>
      </w:r>
      <w:r w:rsidR="006438B0" w:rsidRPr="000749B2">
        <w:rPr>
          <w:rFonts w:ascii="Book Antiqua" w:eastAsia="Calibri" w:hAnsi="Book Antiqua" w:cs="Times New Roman"/>
          <w:bCs/>
          <w:iCs/>
          <w:color w:val="000000" w:themeColor="text1"/>
          <w:sz w:val="24"/>
          <w:szCs w:val="24"/>
        </w:rPr>
        <w:t>extraordinarily</w:t>
      </w:r>
      <w:r w:rsidR="00CE591C" w:rsidRPr="000749B2">
        <w:rPr>
          <w:rFonts w:ascii="Book Antiqua" w:eastAsia="Calibri" w:hAnsi="Book Antiqua" w:cs="Times New Roman"/>
          <w:bCs/>
          <w:iCs/>
          <w:color w:val="000000" w:themeColor="text1"/>
          <w:sz w:val="24"/>
          <w:szCs w:val="24"/>
        </w:rPr>
        <w:t xml:space="preserve"> useful. Many workgroups used </w:t>
      </w:r>
      <w:r w:rsidR="00007842" w:rsidRPr="000749B2">
        <w:rPr>
          <w:rFonts w:ascii="Book Antiqua" w:eastAsia="Calibri" w:hAnsi="Book Antiqua" w:cs="Times New Roman"/>
          <w:bCs/>
          <w:i/>
          <w:color w:val="000000" w:themeColor="text1"/>
          <w:sz w:val="24"/>
          <w:szCs w:val="24"/>
        </w:rPr>
        <w:t>V</w:t>
      </w:r>
      <w:r w:rsidR="00CE591C" w:rsidRPr="000749B2">
        <w:rPr>
          <w:rFonts w:ascii="Book Antiqua" w:eastAsia="Calibri" w:hAnsi="Book Antiqua" w:cs="Times New Roman"/>
          <w:bCs/>
          <w:i/>
          <w:color w:val="000000" w:themeColor="text1"/>
          <w:sz w:val="24"/>
          <w:szCs w:val="24"/>
        </w:rPr>
        <w:t>illin-Cre</w:t>
      </w:r>
      <w:r w:rsidR="00CE591C" w:rsidRPr="000749B2">
        <w:rPr>
          <w:rFonts w:ascii="Book Antiqua" w:eastAsia="Calibri" w:hAnsi="Book Antiqua" w:cs="Times New Roman"/>
          <w:bCs/>
          <w:iCs/>
          <w:color w:val="000000" w:themeColor="text1"/>
          <w:sz w:val="24"/>
          <w:szCs w:val="24"/>
        </w:rPr>
        <w:t xml:space="preserve"> transgenes to restrict recombination of </w:t>
      </w:r>
      <w:r w:rsidR="00CE591C" w:rsidRPr="000749B2">
        <w:rPr>
          <w:rFonts w:ascii="Book Antiqua" w:eastAsia="Calibri" w:hAnsi="Book Antiqua" w:cs="Times New Roman"/>
          <w:bCs/>
          <w:i/>
          <w:color w:val="000000" w:themeColor="text1"/>
          <w:sz w:val="24"/>
          <w:szCs w:val="24"/>
        </w:rPr>
        <w:t>floxP</w:t>
      </w:r>
      <w:r w:rsidR="00CE591C" w:rsidRPr="000749B2">
        <w:rPr>
          <w:rFonts w:ascii="Book Antiqua" w:eastAsia="Calibri" w:hAnsi="Book Antiqua" w:cs="Times New Roman"/>
          <w:bCs/>
          <w:iCs/>
          <w:color w:val="000000" w:themeColor="text1"/>
          <w:sz w:val="24"/>
          <w:szCs w:val="24"/>
        </w:rPr>
        <w:t>-flanked genes to the epithelial cells of the small and large intestines either with a constitutive expression (Vil-Cre) or with a tamoxifen-inducible expression (Vil-Cre-ER</w:t>
      </w:r>
      <w:r w:rsidR="00CE591C" w:rsidRPr="000749B2">
        <w:rPr>
          <w:rFonts w:ascii="Book Antiqua" w:eastAsia="Calibri" w:hAnsi="Book Antiqua" w:cs="Times New Roman"/>
          <w:bCs/>
          <w:iCs/>
          <w:color w:val="000000" w:themeColor="text1"/>
          <w:sz w:val="24"/>
          <w:szCs w:val="24"/>
          <w:vertAlign w:val="superscript"/>
        </w:rPr>
        <w:t>T2</w:t>
      </w:r>
      <w:proofErr w:type="gramStart"/>
      <w:r w:rsidR="00CE591C" w:rsidRPr="000749B2">
        <w:rPr>
          <w:rFonts w:ascii="Book Antiqua" w:eastAsia="Calibri" w:hAnsi="Book Antiqua" w:cs="Times New Roman"/>
          <w:bCs/>
          <w:iCs/>
          <w:color w:val="000000" w:themeColor="text1"/>
          <w:sz w:val="24"/>
          <w:szCs w:val="24"/>
        </w:rPr>
        <w:t>)</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118]</w:t>
      </w:r>
      <w:r w:rsidR="00CE591C" w:rsidRPr="000749B2">
        <w:rPr>
          <w:rFonts w:ascii="Book Antiqua" w:eastAsia="Calibri" w:hAnsi="Book Antiqua" w:cs="Times New Roman"/>
          <w:bCs/>
          <w:iCs/>
          <w:color w:val="000000" w:themeColor="text1"/>
          <w:sz w:val="24"/>
          <w:szCs w:val="24"/>
        </w:rPr>
        <w:t>. Another option of site</w:t>
      </w:r>
      <w:r w:rsidR="002C649E" w:rsidRPr="000749B2">
        <w:rPr>
          <w:rFonts w:ascii="Book Antiqua" w:eastAsia="Calibri" w:hAnsi="Book Antiqua" w:cs="Times New Roman"/>
          <w:bCs/>
          <w:iCs/>
          <w:color w:val="000000" w:themeColor="text1"/>
          <w:sz w:val="24"/>
          <w:szCs w:val="24"/>
        </w:rPr>
        <w:t>-</w:t>
      </w:r>
      <w:r w:rsidR="00CE591C" w:rsidRPr="000749B2">
        <w:rPr>
          <w:rFonts w:ascii="Book Antiqua" w:eastAsia="Calibri" w:hAnsi="Book Antiqua" w:cs="Times New Roman"/>
          <w:bCs/>
          <w:iCs/>
          <w:color w:val="000000" w:themeColor="text1"/>
          <w:sz w:val="24"/>
          <w:szCs w:val="24"/>
        </w:rPr>
        <w:t xml:space="preserve">specific </w:t>
      </w:r>
      <w:r w:rsidR="00CE591C" w:rsidRPr="000749B2">
        <w:rPr>
          <w:rFonts w:ascii="Book Antiqua" w:eastAsia="Calibri" w:hAnsi="Book Antiqua" w:cs="Times New Roman"/>
          <w:bCs/>
          <w:i/>
          <w:color w:val="000000" w:themeColor="text1"/>
          <w:sz w:val="24"/>
          <w:szCs w:val="24"/>
        </w:rPr>
        <w:t>Cre</w:t>
      </w:r>
      <w:r w:rsidR="00F408D0"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expression is the </w:t>
      </w:r>
      <w:r w:rsidR="00F24130" w:rsidRPr="000749B2">
        <w:rPr>
          <w:rFonts w:ascii="Book Antiqua" w:eastAsia="Calibri" w:hAnsi="Book Antiqua" w:cs="Times New Roman"/>
          <w:bCs/>
          <w:iCs/>
          <w:color w:val="000000" w:themeColor="text1"/>
          <w:sz w:val="24"/>
          <w:szCs w:val="24"/>
        </w:rPr>
        <w:t>f</w:t>
      </w:r>
      <w:r w:rsidR="00CE591C" w:rsidRPr="000749B2">
        <w:rPr>
          <w:rFonts w:ascii="Book Antiqua" w:eastAsia="Calibri" w:hAnsi="Book Antiqua" w:cs="Times New Roman"/>
          <w:bCs/>
          <w:iCs/>
          <w:color w:val="000000" w:themeColor="text1"/>
          <w:sz w:val="24"/>
          <w:szCs w:val="24"/>
        </w:rPr>
        <w:t>atty acid binding protein liver</w:t>
      </w:r>
      <w:r w:rsidR="00F812D5"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Cre transgene (</w:t>
      </w:r>
      <w:r w:rsidR="00CE591C" w:rsidRPr="000749B2">
        <w:rPr>
          <w:rFonts w:ascii="Book Antiqua" w:eastAsia="Calibri" w:hAnsi="Book Antiqua" w:cs="Times New Roman"/>
          <w:bCs/>
          <w:i/>
          <w:color w:val="000000" w:themeColor="text1"/>
          <w:sz w:val="24"/>
          <w:szCs w:val="24"/>
        </w:rPr>
        <w:t>Fabpl</w:t>
      </w:r>
      <w:r w:rsidR="00F408D0" w:rsidRPr="000749B2">
        <w:rPr>
          <w:rFonts w:ascii="Book Antiqua" w:eastAsia="Calibri" w:hAnsi="Book Antiqua" w:cs="Times New Roman"/>
          <w:bCs/>
          <w:i/>
          <w:color w:val="000000" w:themeColor="text1"/>
          <w:sz w:val="24"/>
          <w:szCs w:val="24"/>
        </w:rPr>
        <w:t xml:space="preserve"> </w:t>
      </w:r>
      <w:r w:rsidR="00CE591C" w:rsidRPr="000749B2">
        <w:rPr>
          <w:rFonts w:ascii="Book Antiqua" w:eastAsia="Calibri" w:hAnsi="Book Antiqua" w:cs="Times New Roman"/>
          <w:bCs/>
          <w:i/>
          <w:color w:val="000000" w:themeColor="text1"/>
          <w:sz w:val="24"/>
          <w:szCs w:val="24"/>
        </w:rPr>
        <w:t>Cre</w:t>
      </w:r>
      <w:r w:rsidR="00CE591C" w:rsidRPr="000749B2">
        <w:rPr>
          <w:rFonts w:ascii="Book Antiqua" w:eastAsia="Calibri" w:hAnsi="Book Antiqua" w:cs="Times New Roman"/>
          <w:bCs/>
          <w:iCs/>
          <w:color w:val="000000" w:themeColor="text1"/>
          <w:sz w:val="24"/>
          <w:szCs w:val="24"/>
        </w:rPr>
        <w:t xml:space="preserve">), which </w:t>
      </w:r>
      <w:r w:rsidR="002C649E" w:rsidRPr="000749B2">
        <w:rPr>
          <w:rFonts w:ascii="Book Antiqua" w:eastAsia="Calibri" w:hAnsi="Book Antiqua" w:cs="Times New Roman"/>
          <w:bCs/>
          <w:iCs/>
          <w:color w:val="000000" w:themeColor="text1"/>
          <w:sz w:val="24"/>
          <w:szCs w:val="24"/>
        </w:rPr>
        <w:t>can be combined</w:t>
      </w:r>
      <w:r w:rsidR="00CE591C" w:rsidRPr="000749B2">
        <w:rPr>
          <w:rFonts w:ascii="Book Antiqua" w:eastAsia="Calibri" w:hAnsi="Book Antiqua" w:cs="Times New Roman"/>
          <w:bCs/>
          <w:iCs/>
          <w:color w:val="000000" w:themeColor="text1"/>
          <w:sz w:val="24"/>
          <w:szCs w:val="24"/>
        </w:rPr>
        <w:t xml:space="preserve"> with a tetracycline-inducible tet-on </w:t>
      </w:r>
      <w:proofErr w:type="gramStart"/>
      <w:r w:rsidR="00CE591C" w:rsidRPr="000749B2">
        <w:rPr>
          <w:rFonts w:ascii="Book Antiqua" w:eastAsia="Calibri" w:hAnsi="Book Antiqua" w:cs="Times New Roman"/>
          <w:bCs/>
          <w:iCs/>
          <w:color w:val="000000" w:themeColor="text1"/>
          <w:sz w:val="24"/>
          <w:szCs w:val="24"/>
        </w:rPr>
        <w:t>system</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119]</w:t>
      </w:r>
      <w:r w:rsidR="00CE591C" w:rsidRPr="000749B2">
        <w:rPr>
          <w:rFonts w:ascii="Book Antiqua" w:eastAsia="Calibri" w:hAnsi="Book Antiqua" w:cs="Times New Roman"/>
          <w:bCs/>
          <w:iCs/>
          <w:color w:val="000000" w:themeColor="text1"/>
          <w:sz w:val="24"/>
          <w:szCs w:val="24"/>
        </w:rPr>
        <w:t>.</w:t>
      </w:r>
      <w:r w:rsidR="00D64EE8"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Yet, both transgenes</w:t>
      </w:r>
      <w:r w:rsidR="002C649E" w:rsidRPr="000749B2">
        <w:rPr>
          <w:rFonts w:ascii="Book Antiqua" w:eastAsia="Calibri" w:hAnsi="Book Antiqua" w:cs="Times New Roman"/>
          <w:bCs/>
          <w:iCs/>
          <w:color w:val="000000" w:themeColor="text1"/>
          <w:sz w:val="24"/>
          <w:szCs w:val="24"/>
        </w:rPr>
        <w:t>’</w:t>
      </w:r>
      <w:r w:rsidR="00CE591C"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lastRenderedPageBreak/>
        <w:t xml:space="preserve">expression is not limited to the large intestine: While </w:t>
      </w:r>
      <w:r w:rsidR="00055575" w:rsidRPr="000749B2">
        <w:rPr>
          <w:rFonts w:ascii="Book Antiqua" w:eastAsia="Calibri" w:hAnsi="Book Antiqua" w:cs="Times New Roman"/>
          <w:bCs/>
          <w:i/>
          <w:color w:val="000000" w:themeColor="text1"/>
          <w:sz w:val="24"/>
          <w:szCs w:val="24"/>
        </w:rPr>
        <w:t>V</w:t>
      </w:r>
      <w:r w:rsidR="00CE591C" w:rsidRPr="000749B2">
        <w:rPr>
          <w:rFonts w:ascii="Book Antiqua" w:eastAsia="Calibri" w:hAnsi="Book Antiqua" w:cs="Times New Roman"/>
          <w:bCs/>
          <w:i/>
          <w:color w:val="000000" w:themeColor="text1"/>
          <w:sz w:val="24"/>
          <w:szCs w:val="24"/>
        </w:rPr>
        <w:t>illin-Cre</w:t>
      </w:r>
      <w:r w:rsidR="00CE591C" w:rsidRPr="000749B2">
        <w:rPr>
          <w:rFonts w:ascii="Book Antiqua" w:eastAsia="Calibri" w:hAnsi="Book Antiqua" w:cs="Times New Roman"/>
          <w:bCs/>
          <w:iCs/>
          <w:color w:val="000000" w:themeColor="text1"/>
          <w:sz w:val="24"/>
          <w:szCs w:val="24"/>
        </w:rPr>
        <w:t xml:space="preserve"> is expressed in the epithelial cells of the whole intestines, </w:t>
      </w:r>
      <w:r w:rsidR="00CE591C" w:rsidRPr="000749B2">
        <w:rPr>
          <w:rFonts w:ascii="Book Antiqua" w:eastAsia="Calibri" w:hAnsi="Book Antiqua" w:cs="Times New Roman"/>
          <w:bCs/>
          <w:i/>
          <w:color w:val="000000" w:themeColor="text1"/>
          <w:sz w:val="24"/>
          <w:szCs w:val="24"/>
        </w:rPr>
        <w:t>Fabpl-Cre</w:t>
      </w:r>
      <w:r w:rsidR="00CE591C" w:rsidRPr="000749B2">
        <w:rPr>
          <w:rFonts w:ascii="Book Antiqua" w:eastAsia="Calibri" w:hAnsi="Book Antiqua" w:cs="Times New Roman"/>
          <w:bCs/>
          <w:iCs/>
          <w:color w:val="000000" w:themeColor="text1"/>
          <w:sz w:val="24"/>
          <w:szCs w:val="24"/>
        </w:rPr>
        <w:t xml:space="preserve"> expression can be detected in the distal </w:t>
      </w:r>
      <w:r w:rsidR="007B4D64" w:rsidRPr="000749B2">
        <w:rPr>
          <w:rFonts w:ascii="Book Antiqua" w:eastAsia="Calibri" w:hAnsi="Book Antiqua" w:cs="Times New Roman"/>
          <w:bCs/>
          <w:iCs/>
          <w:color w:val="000000" w:themeColor="text1"/>
          <w:sz w:val="24"/>
          <w:szCs w:val="24"/>
        </w:rPr>
        <w:t>small intestine</w:t>
      </w:r>
      <w:r w:rsidR="00CE591C" w:rsidRPr="000749B2">
        <w:rPr>
          <w:rFonts w:ascii="Book Antiqua" w:eastAsia="Calibri" w:hAnsi="Book Antiqua" w:cs="Times New Roman"/>
          <w:bCs/>
          <w:iCs/>
          <w:color w:val="000000" w:themeColor="text1"/>
          <w:sz w:val="24"/>
          <w:szCs w:val="24"/>
        </w:rPr>
        <w:t xml:space="preserve">, cecum and </w:t>
      </w:r>
      <w:proofErr w:type="gramStart"/>
      <w:r w:rsidR="00CE591C" w:rsidRPr="000749B2">
        <w:rPr>
          <w:rFonts w:ascii="Book Antiqua" w:eastAsia="Calibri" w:hAnsi="Book Antiqua" w:cs="Times New Roman"/>
          <w:bCs/>
          <w:iCs/>
          <w:color w:val="000000" w:themeColor="text1"/>
          <w:sz w:val="24"/>
          <w:szCs w:val="24"/>
        </w:rPr>
        <w:t>colon</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119,120]</w:t>
      </w:r>
      <w:r w:rsidR="00CE591C" w:rsidRPr="000749B2">
        <w:rPr>
          <w:rFonts w:ascii="Book Antiqua" w:eastAsia="Calibri" w:hAnsi="Book Antiqua" w:cs="Times New Roman"/>
          <w:bCs/>
          <w:iCs/>
          <w:color w:val="000000" w:themeColor="text1"/>
          <w:sz w:val="24"/>
          <w:szCs w:val="24"/>
        </w:rPr>
        <w:t>. Also</w:t>
      </w:r>
      <w:r w:rsidR="00261F8C" w:rsidRPr="000749B2">
        <w:rPr>
          <w:rFonts w:ascii="Book Antiqua" w:eastAsia="Calibri" w:hAnsi="Book Antiqua" w:cs="Times New Roman"/>
          <w:bCs/>
          <w:iCs/>
          <w:color w:val="000000" w:themeColor="text1"/>
          <w:sz w:val="24"/>
          <w:szCs w:val="24"/>
        </w:rPr>
        <w:t>,</w:t>
      </w:r>
      <w:r w:rsidR="00CE591C" w:rsidRPr="000749B2">
        <w:rPr>
          <w:rFonts w:ascii="Book Antiqua" w:eastAsia="Calibri" w:hAnsi="Book Antiqua" w:cs="Times New Roman"/>
          <w:bCs/>
          <w:iCs/>
          <w:color w:val="000000" w:themeColor="text1"/>
          <w:sz w:val="24"/>
          <w:szCs w:val="24"/>
        </w:rPr>
        <w:t xml:space="preserve"> the AhCre strain, carrying Cre under control of the Cyp1A promotor, is commonly used for colon cancer </w:t>
      </w:r>
      <w:proofErr w:type="gramStart"/>
      <w:r w:rsidR="00CE591C" w:rsidRPr="000749B2">
        <w:rPr>
          <w:rFonts w:ascii="Book Antiqua" w:eastAsia="Calibri" w:hAnsi="Book Antiqua" w:cs="Times New Roman"/>
          <w:bCs/>
          <w:iCs/>
          <w:color w:val="000000" w:themeColor="text1"/>
          <w:sz w:val="24"/>
          <w:szCs w:val="24"/>
        </w:rPr>
        <w:t>models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121,122]</w:t>
      </w:r>
      <w:r w:rsidR="00055575"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Here, </w:t>
      </w:r>
      <w:r w:rsidR="00CE591C" w:rsidRPr="000749B2">
        <w:rPr>
          <w:rFonts w:ascii="Book Antiqua" w:eastAsia="Calibri" w:hAnsi="Book Antiqua" w:cs="Times New Roman"/>
          <w:bCs/>
          <w:i/>
          <w:color w:val="000000" w:themeColor="text1"/>
          <w:sz w:val="24"/>
          <w:szCs w:val="24"/>
        </w:rPr>
        <w:t>Cre</w:t>
      </w:r>
      <w:r w:rsidR="00CE591C" w:rsidRPr="000749B2">
        <w:rPr>
          <w:rFonts w:ascii="Book Antiqua" w:eastAsia="Calibri" w:hAnsi="Book Antiqua" w:cs="Times New Roman"/>
          <w:bCs/>
          <w:iCs/>
          <w:color w:val="000000" w:themeColor="text1"/>
          <w:sz w:val="24"/>
          <w:szCs w:val="24"/>
        </w:rPr>
        <w:t>-expression is induced by β-naphthoflavone in the liver and intestines, but constitutive recombination</w:t>
      </w:r>
      <w:r w:rsidR="00261F8C"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can be observed in other tissue</w:t>
      </w:r>
      <w:r w:rsidR="002C649E" w:rsidRPr="000749B2">
        <w:rPr>
          <w:rFonts w:ascii="Book Antiqua" w:eastAsia="Calibri" w:hAnsi="Book Antiqua" w:cs="Times New Roman"/>
          <w:bCs/>
          <w:iCs/>
          <w:color w:val="000000" w:themeColor="text1"/>
          <w:sz w:val="24"/>
          <w:szCs w:val="24"/>
        </w:rPr>
        <w:t>s</w:t>
      </w:r>
      <w:r w:rsidR="00CE591C" w:rsidRPr="000749B2">
        <w:rPr>
          <w:rFonts w:ascii="Book Antiqua" w:eastAsia="Calibri" w:hAnsi="Book Antiqua" w:cs="Times New Roman"/>
          <w:bCs/>
          <w:iCs/>
          <w:color w:val="000000" w:themeColor="text1"/>
          <w:sz w:val="24"/>
          <w:szCs w:val="24"/>
        </w:rPr>
        <w:t xml:space="preserve"> like the renal </w:t>
      </w:r>
      <w:proofErr w:type="gramStart"/>
      <w:r w:rsidR="00CE591C" w:rsidRPr="000749B2">
        <w:rPr>
          <w:rFonts w:ascii="Book Antiqua" w:eastAsia="Calibri" w:hAnsi="Book Antiqua" w:cs="Times New Roman"/>
          <w:bCs/>
          <w:iCs/>
          <w:color w:val="000000" w:themeColor="text1"/>
          <w:sz w:val="24"/>
          <w:szCs w:val="24"/>
        </w:rPr>
        <w:t>epithelium</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123]</w:t>
      </w:r>
      <w:r w:rsidR="00055575"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To achieve a more colon specific expression of </w:t>
      </w:r>
      <w:r w:rsidR="00CE591C" w:rsidRPr="000749B2">
        <w:rPr>
          <w:rFonts w:ascii="Book Antiqua" w:eastAsia="Calibri" w:hAnsi="Book Antiqua" w:cs="Times New Roman"/>
          <w:bCs/>
          <w:i/>
          <w:color w:val="000000" w:themeColor="text1"/>
          <w:sz w:val="24"/>
          <w:szCs w:val="24"/>
        </w:rPr>
        <w:t>Cre</w:t>
      </w:r>
      <w:r w:rsidR="00CE591C" w:rsidRPr="000749B2">
        <w:rPr>
          <w:rFonts w:ascii="Book Antiqua" w:eastAsia="Calibri" w:hAnsi="Book Antiqua" w:cs="Times New Roman"/>
          <w:bCs/>
          <w:iCs/>
          <w:color w:val="000000" w:themeColor="text1"/>
          <w:sz w:val="24"/>
          <w:szCs w:val="24"/>
        </w:rPr>
        <w:t xml:space="preserve">-recombinase, Hinoi </w:t>
      </w:r>
      <w:r w:rsidR="00CE591C" w:rsidRPr="000749B2">
        <w:rPr>
          <w:rFonts w:ascii="Book Antiqua" w:eastAsia="Calibri" w:hAnsi="Book Antiqua" w:cs="Times New Roman"/>
          <w:bCs/>
          <w:i/>
          <w:color w:val="000000" w:themeColor="text1"/>
          <w:sz w:val="24"/>
          <w:szCs w:val="24"/>
        </w:rPr>
        <w:t xml:space="preserve">et </w:t>
      </w:r>
      <w:proofErr w:type="gramStart"/>
      <w:r w:rsidR="00CE591C" w:rsidRPr="000749B2">
        <w:rPr>
          <w:rFonts w:ascii="Book Antiqua" w:eastAsia="Calibri" w:hAnsi="Book Antiqua" w:cs="Times New Roman"/>
          <w:bCs/>
          <w:i/>
          <w:color w:val="000000" w:themeColor="text1"/>
          <w:sz w:val="24"/>
          <w:szCs w:val="24"/>
        </w:rPr>
        <w:t>al</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124]</w:t>
      </w:r>
      <w:r w:rsidR="00CE591C" w:rsidRPr="000749B2">
        <w:rPr>
          <w:rFonts w:ascii="Book Antiqua" w:eastAsia="Calibri" w:hAnsi="Book Antiqua" w:cs="Times New Roman"/>
          <w:bCs/>
          <w:iCs/>
          <w:color w:val="000000" w:themeColor="text1"/>
          <w:sz w:val="24"/>
          <w:szCs w:val="24"/>
        </w:rPr>
        <w:t xml:space="preserve"> constructed a transgene of </w:t>
      </w:r>
      <w:r w:rsidR="00CE591C" w:rsidRPr="000749B2">
        <w:rPr>
          <w:rFonts w:ascii="Book Antiqua" w:eastAsia="Calibri" w:hAnsi="Book Antiqua" w:cs="Times New Roman"/>
          <w:bCs/>
          <w:i/>
          <w:color w:val="000000" w:themeColor="text1"/>
          <w:sz w:val="24"/>
          <w:szCs w:val="24"/>
        </w:rPr>
        <w:t>Cre</w:t>
      </w:r>
      <w:r w:rsidR="00CE591C" w:rsidRPr="000749B2">
        <w:rPr>
          <w:rFonts w:ascii="Book Antiqua" w:eastAsia="Calibri" w:hAnsi="Book Antiqua" w:cs="Times New Roman"/>
          <w:bCs/>
          <w:iCs/>
          <w:color w:val="000000" w:themeColor="text1"/>
          <w:sz w:val="24"/>
          <w:szCs w:val="24"/>
        </w:rPr>
        <w:t xml:space="preserve"> and the promotor region of the </w:t>
      </w:r>
      <w:r w:rsidR="00CE591C" w:rsidRPr="000749B2">
        <w:rPr>
          <w:rFonts w:ascii="Book Antiqua" w:eastAsia="Calibri" w:hAnsi="Book Antiqua" w:cs="Times New Roman"/>
          <w:bCs/>
          <w:i/>
          <w:color w:val="000000" w:themeColor="text1"/>
          <w:sz w:val="24"/>
          <w:szCs w:val="24"/>
        </w:rPr>
        <w:t>CDX2</w:t>
      </w:r>
      <w:r w:rsidR="00CE591C" w:rsidRPr="000749B2">
        <w:rPr>
          <w:rFonts w:ascii="Book Antiqua" w:eastAsia="Calibri" w:hAnsi="Book Antiqua" w:cs="Times New Roman"/>
          <w:bCs/>
          <w:iCs/>
          <w:color w:val="000000" w:themeColor="text1"/>
          <w:sz w:val="24"/>
          <w:szCs w:val="24"/>
        </w:rPr>
        <w:t xml:space="preserve"> </w:t>
      </w:r>
      <w:r w:rsidR="00965F53" w:rsidRPr="000749B2">
        <w:rPr>
          <w:rFonts w:ascii="Book Antiqua" w:eastAsia="Calibri" w:hAnsi="Book Antiqua" w:cs="Times New Roman"/>
          <w:bCs/>
          <w:iCs/>
          <w:color w:val="000000" w:themeColor="text1"/>
          <w:sz w:val="24"/>
          <w:szCs w:val="24"/>
        </w:rPr>
        <w:t>homeobox</w:t>
      </w:r>
      <w:r w:rsidR="00CE591C" w:rsidRPr="000749B2">
        <w:rPr>
          <w:rFonts w:ascii="Book Antiqua" w:eastAsia="Calibri" w:hAnsi="Book Antiqua" w:cs="Times New Roman"/>
          <w:bCs/>
          <w:iCs/>
          <w:color w:val="000000" w:themeColor="text1"/>
          <w:sz w:val="24"/>
          <w:szCs w:val="24"/>
        </w:rPr>
        <w:t xml:space="preserve"> gene. By inserting a guanine repeat tract to this transgene (</w:t>
      </w:r>
      <w:r w:rsidR="00CE591C" w:rsidRPr="000749B2">
        <w:rPr>
          <w:rFonts w:ascii="Book Antiqua" w:eastAsia="Calibri" w:hAnsi="Book Antiqua" w:cs="Times New Roman"/>
          <w:bCs/>
          <w:i/>
          <w:color w:val="000000" w:themeColor="text1"/>
          <w:sz w:val="24"/>
          <w:szCs w:val="24"/>
        </w:rPr>
        <w:t>CDX2P9.5-G22Cre</w:t>
      </w:r>
      <w:r w:rsidR="00CE591C" w:rsidRPr="000749B2">
        <w:rPr>
          <w:rFonts w:ascii="Book Antiqua" w:eastAsia="Calibri" w:hAnsi="Book Antiqua" w:cs="Times New Roman"/>
          <w:bCs/>
          <w:iCs/>
          <w:color w:val="000000" w:themeColor="text1"/>
          <w:sz w:val="24"/>
          <w:szCs w:val="24"/>
        </w:rPr>
        <w:t xml:space="preserve">), stochastic activation of </w:t>
      </w:r>
      <w:r w:rsidR="00CE591C" w:rsidRPr="000749B2">
        <w:rPr>
          <w:rFonts w:ascii="Book Antiqua" w:eastAsia="Calibri" w:hAnsi="Book Antiqua" w:cs="Times New Roman"/>
          <w:bCs/>
          <w:i/>
          <w:color w:val="000000" w:themeColor="text1"/>
          <w:sz w:val="24"/>
          <w:szCs w:val="24"/>
        </w:rPr>
        <w:t>Cre-</w:t>
      </w:r>
      <w:r w:rsidR="00CE591C" w:rsidRPr="000749B2">
        <w:rPr>
          <w:rFonts w:ascii="Book Antiqua" w:eastAsia="Calibri" w:hAnsi="Book Antiqua" w:cs="Times New Roman"/>
          <w:bCs/>
          <w:iCs/>
          <w:color w:val="000000" w:themeColor="text1"/>
          <w:sz w:val="24"/>
          <w:szCs w:val="24"/>
        </w:rPr>
        <w:t xml:space="preserve">expression by means of spontaneous frameshift mutations leads to a mosaic-like recombination in the mucosa of the terminal ileum, cecum, and </w:t>
      </w:r>
      <w:proofErr w:type="gramStart"/>
      <w:r w:rsidR="00CE591C" w:rsidRPr="000749B2">
        <w:rPr>
          <w:rFonts w:ascii="Book Antiqua" w:eastAsia="Calibri" w:hAnsi="Book Antiqua" w:cs="Times New Roman"/>
          <w:bCs/>
          <w:iCs/>
          <w:color w:val="000000" w:themeColor="text1"/>
          <w:sz w:val="24"/>
          <w:szCs w:val="24"/>
        </w:rPr>
        <w:t>colon</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125]</w:t>
      </w:r>
      <w:r w:rsidR="00055575"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At last, carbonic anhydrase 1 promoter/enhancer-Cre recombinase transgene (</w:t>
      </w:r>
      <w:r w:rsidR="00CE591C" w:rsidRPr="000749B2">
        <w:rPr>
          <w:rFonts w:ascii="Book Antiqua" w:eastAsia="Calibri" w:hAnsi="Book Antiqua" w:cs="Times New Roman"/>
          <w:bCs/>
          <w:i/>
          <w:color w:val="000000" w:themeColor="text1"/>
          <w:sz w:val="24"/>
          <w:szCs w:val="24"/>
        </w:rPr>
        <w:t>CAC</w:t>
      </w:r>
      <w:r w:rsidR="00CE591C" w:rsidRPr="000749B2">
        <w:rPr>
          <w:rFonts w:ascii="Book Antiqua" w:eastAsia="Calibri" w:hAnsi="Book Antiqua" w:cs="Times New Roman"/>
          <w:bCs/>
          <w:iCs/>
          <w:color w:val="000000" w:themeColor="text1"/>
          <w:sz w:val="24"/>
          <w:szCs w:val="24"/>
        </w:rPr>
        <w:t xml:space="preserve">) facilitates recombination strictly limited to the large </w:t>
      </w:r>
      <w:proofErr w:type="gramStart"/>
      <w:r w:rsidR="00CE591C" w:rsidRPr="000749B2">
        <w:rPr>
          <w:rFonts w:ascii="Book Antiqua" w:eastAsia="Calibri" w:hAnsi="Book Antiqua" w:cs="Times New Roman"/>
          <w:bCs/>
          <w:iCs/>
          <w:color w:val="000000" w:themeColor="text1"/>
          <w:sz w:val="24"/>
          <w:szCs w:val="24"/>
        </w:rPr>
        <w:t>intestine</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126]</w:t>
      </w:r>
      <w:r w:rsidR="00055575" w:rsidRPr="000749B2">
        <w:rPr>
          <w:rFonts w:ascii="Book Antiqua" w:eastAsia="Calibri" w:hAnsi="Book Antiqua" w:cs="Times New Roman"/>
          <w:bCs/>
          <w:iCs/>
          <w:color w:val="000000" w:themeColor="text1"/>
          <w:sz w:val="24"/>
          <w:szCs w:val="24"/>
        </w:rPr>
        <w:t>.</w:t>
      </w:r>
      <w:r w:rsidR="00A72A0C"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Paralleling </w:t>
      </w:r>
      <w:r w:rsidR="00CE591C" w:rsidRPr="000749B2">
        <w:rPr>
          <w:rFonts w:ascii="Book Antiqua" w:eastAsia="Calibri" w:hAnsi="Book Antiqua" w:cs="Times New Roman"/>
          <w:bCs/>
          <w:i/>
          <w:color w:val="000000" w:themeColor="text1"/>
          <w:sz w:val="24"/>
          <w:szCs w:val="24"/>
        </w:rPr>
        <w:t>Cre</w:t>
      </w:r>
      <w:r w:rsidR="00CE591C" w:rsidRPr="000749B2">
        <w:rPr>
          <w:rFonts w:ascii="Book Antiqua" w:eastAsia="Calibri" w:hAnsi="Book Antiqua" w:cs="Times New Roman"/>
          <w:bCs/>
          <w:iCs/>
          <w:color w:val="000000" w:themeColor="text1"/>
          <w:sz w:val="24"/>
          <w:szCs w:val="24"/>
        </w:rPr>
        <w:t xml:space="preserve">-transgene implementation, others achieved spatiotemporal oncogene expression in the large intestine by delivering Cre by viral transfection </w:t>
      </w:r>
      <w:r w:rsidR="002C649E" w:rsidRPr="000749B2">
        <w:rPr>
          <w:rFonts w:ascii="Book Antiqua" w:eastAsia="Calibri" w:hAnsi="Book Antiqua" w:cs="Times New Roman"/>
          <w:bCs/>
          <w:i/>
          <w:color w:val="000000" w:themeColor="text1"/>
          <w:sz w:val="24"/>
          <w:szCs w:val="24"/>
        </w:rPr>
        <w:t>via</w:t>
      </w:r>
      <w:r w:rsidR="00CE591C" w:rsidRPr="000749B2">
        <w:rPr>
          <w:rFonts w:ascii="Book Antiqua" w:eastAsia="Calibri" w:hAnsi="Book Antiqua" w:cs="Times New Roman"/>
          <w:bCs/>
          <w:iCs/>
          <w:color w:val="000000" w:themeColor="text1"/>
          <w:sz w:val="24"/>
          <w:szCs w:val="24"/>
        </w:rPr>
        <w:t xml:space="preserve"> transanal injection, surgery or colonoscopy</w:t>
      </w:r>
      <w:r w:rsidR="008353D9" w:rsidRPr="000749B2">
        <w:rPr>
          <w:rFonts w:ascii="Book Antiqua" w:hAnsi="Book Antiqua"/>
          <w:color w:val="000000" w:themeColor="text1"/>
          <w:sz w:val="24"/>
          <w:szCs w:val="24"/>
          <w:vertAlign w:val="superscript"/>
        </w:rPr>
        <w:t>[127-129]</w:t>
      </w:r>
      <w:r w:rsidR="00055575"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leading to exquisite models of </w:t>
      </w:r>
      <w:r w:rsidR="002C649E" w:rsidRPr="000749B2">
        <w:rPr>
          <w:rFonts w:ascii="Book Antiqua" w:eastAsia="Calibri" w:hAnsi="Book Antiqua" w:cs="Times New Roman"/>
          <w:bCs/>
          <w:iCs/>
          <w:color w:val="000000" w:themeColor="text1"/>
          <w:sz w:val="24"/>
          <w:szCs w:val="24"/>
        </w:rPr>
        <w:t>CRC</w:t>
      </w:r>
      <w:r w:rsidR="00CE591C" w:rsidRPr="000749B2">
        <w:rPr>
          <w:rFonts w:ascii="Book Antiqua" w:eastAsia="Calibri" w:hAnsi="Book Antiqua" w:cs="Times New Roman"/>
          <w:bCs/>
          <w:iCs/>
          <w:color w:val="000000" w:themeColor="text1"/>
          <w:sz w:val="24"/>
          <w:szCs w:val="24"/>
        </w:rPr>
        <w:t xml:space="preserve"> with metastatic spread</w:t>
      </w:r>
      <w:r w:rsidR="008353D9" w:rsidRPr="000749B2">
        <w:rPr>
          <w:rFonts w:ascii="Book Antiqua" w:hAnsi="Book Antiqua"/>
          <w:color w:val="000000" w:themeColor="text1"/>
          <w:sz w:val="24"/>
          <w:szCs w:val="24"/>
          <w:vertAlign w:val="superscript"/>
        </w:rPr>
        <w:t>[130]</w:t>
      </w:r>
      <w:r w:rsidR="00055575" w:rsidRPr="000749B2">
        <w:rPr>
          <w:rFonts w:ascii="Book Antiqua" w:eastAsia="Calibri" w:hAnsi="Book Antiqua" w:cs="Times New Roman"/>
          <w:bCs/>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Supplied with t</w:t>
      </w:r>
      <w:r w:rsidR="00CE591C" w:rsidRPr="000749B2">
        <w:rPr>
          <w:rFonts w:ascii="Book Antiqua" w:eastAsia="Calibri" w:hAnsi="Book Antiqua" w:cs="Times New Roman"/>
          <w:color w:val="000000" w:themeColor="text1"/>
          <w:sz w:val="24"/>
          <w:szCs w:val="24"/>
        </w:rPr>
        <w:t>his</w:t>
      </w:r>
      <w:r w:rsidR="00CE591C" w:rsidRPr="000749B2">
        <w:rPr>
          <w:rFonts w:ascii="Book Antiqua" w:eastAsia="Calibri" w:hAnsi="Book Antiqua" w:cs="Times New Roman"/>
          <w:b/>
          <w:bCs/>
          <w:i/>
          <w:iCs/>
          <w:color w:val="000000" w:themeColor="text1"/>
          <w:sz w:val="24"/>
          <w:szCs w:val="24"/>
        </w:rPr>
        <w:t xml:space="preserve"> </w:t>
      </w:r>
      <w:r w:rsidR="00CE591C" w:rsidRPr="000749B2">
        <w:rPr>
          <w:rFonts w:ascii="Book Antiqua" w:eastAsia="Calibri" w:hAnsi="Book Antiqua" w:cs="Times New Roman"/>
          <w:bCs/>
          <w:iCs/>
          <w:color w:val="000000" w:themeColor="text1"/>
          <w:sz w:val="24"/>
          <w:szCs w:val="24"/>
        </w:rPr>
        <w:t xml:space="preserve">comprehensive genetic toolbox, a plethora of CRC mouse models </w:t>
      </w:r>
      <w:r w:rsidR="002C649E" w:rsidRPr="000749B2">
        <w:rPr>
          <w:rFonts w:ascii="Book Antiqua" w:eastAsia="Calibri" w:hAnsi="Book Antiqua" w:cs="Times New Roman"/>
          <w:bCs/>
          <w:iCs/>
          <w:color w:val="000000" w:themeColor="text1"/>
          <w:sz w:val="24"/>
          <w:szCs w:val="24"/>
        </w:rPr>
        <w:t xml:space="preserve">were generated and used </w:t>
      </w:r>
      <w:r w:rsidR="00CE591C" w:rsidRPr="000749B2">
        <w:rPr>
          <w:rFonts w:ascii="Book Antiqua" w:eastAsia="Calibri" w:hAnsi="Book Antiqua" w:cs="Times New Roman"/>
          <w:bCs/>
          <w:iCs/>
          <w:color w:val="000000" w:themeColor="text1"/>
          <w:sz w:val="24"/>
          <w:szCs w:val="24"/>
        </w:rPr>
        <w:t xml:space="preserve">to evaluate the role of different mutations and their interplay. </w:t>
      </w:r>
      <w:r w:rsidR="00CE591C" w:rsidRPr="000749B2">
        <w:rPr>
          <w:rFonts w:ascii="Book Antiqua" w:eastAsia="Calibri" w:hAnsi="Book Antiqua" w:cs="Times New Roman"/>
          <w:color w:val="000000" w:themeColor="text1"/>
          <w:sz w:val="24"/>
          <w:szCs w:val="24"/>
        </w:rPr>
        <w:t xml:space="preserve">Among the non-hypermutated tumors, the most frequently mutated genes are </w:t>
      </w:r>
      <w:r w:rsidR="00CE591C" w:rsidRPr="000749B2">
        <w:rPr>
          <w:rFonts w:ascii="Book Antiqua" w:eastAsia="Calibri" w:hAnsi="Book Antiqua" w:cs="Times New Roman"/>
          <w:i/>
          <w:iCs/>
          <w:color w:val="000000" w:themeColor="text1"/>
          <w:sz w:val="24"/>
          <w:szCs w:val="24"/>
        </w:rPr>
        <w:t>APC</w:t>
      </w:r>
      <w:r w:rsidR="00CE591C"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i/>
          <w:iCs/>
          <w:color w:val="000000" w:themeColor="text1"/>
          <w:sz w:val="24"/>
          <w:szCs w:val="24"/>
        </w:rPr>
        <w:t>P53</w:t>
      </w:r>
      <w:r w:rsidR="00CE591C"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i/>
          <w:iCs/>
          <w:color w:val="000000" w:themeColor="text1"/>
          <w:sz w:val="24"/>
          <w:szCs w:val="24"/>
        </w:rPr>
        <w:t>KRAS</w:t>
      </w:r>
      <w:r w:rsidR="00CE591C"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i/>
          <w:iCs/>
          <w:color w:val="000000" w:themeColor="text1"/>
          <w:sz w:val="24"/>
          <w:szCs w:val="24"/>
        </w:rPr>
        <w:t>PIK3CA</w:t>
      </w:r>
      <w:r w:rsidR="00CE591C"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i/>
          <w:iCs/>
          <w:color w:val="000000" w:themeColor="text1"/>
          <w:sz w:val="24"/>
          <w:szCs w:val="24"/>
        </w:rPr>
        <w:t>FBXW7</w:t>
      </w:r>
      <w:r w:rsidR="00CE591C"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i/>
          <w:iCs/>
          <w:color w:val="000000" w:themeColor="text1"/>
          <w:sz w:val="24"/>
          <w:szCs w:val="24"/>
        </w:rPr>
        <w:t>SMAD4</w:t>
      </w:r>
      <w:r w:rsidR="00CE591C" w:rsidRPr="000749B2">
        <w:rPr>
          <w:rFonts w:ascii="Book Antiqua" w:eastAsia="Calibri" w:hAnsi="Book Antiqua" w:cs="Times New Roman"/>
          <w:color w:val="000000" w:themeColor="text1"/>
          <w:sz w:val="24"/>
          <w:szCs w:val="24"/>
        </w:rPr>
        <w:t xml:space="preserve">, and </w:t>
      </w:r>
      <w:r w:rsidR="00CE591C" w:rsidRPr="000749B2">
        <w:rPr>
          <w:rFonts w:ascii="Book Antiqua" w:eastAsia="Calibri" w:hAnsi="Book Antiqua" w:cs="Times New Roman"/>
          <w:i/>
          <w:iCs/>
          <w:color w:val="000000" w:themeColor="text1"/>
          <w:sz w:val="24"/>
          <w:szCs w:val="24"/>
        </w:rPr>
        <w:t>TCF7L2</w:t>
      </w:r>
      <w:r w:rsidR="008353D9" w:rsidRPr="000749B2">
        <w:rPr>
          <w:rFonts w:ascii="Book Antiqua" w:hAnsi="Book Antiqua"/>
          <w:color w:val="000000" w:themeColor="text1"/>
          <w:sz w:val="24"/>
          <w:szCs w:val="24"/>
          <w:vertAlign w:val="superscript"/>
        </w:rPr>
        <w:t>[13]</w:t>
      </w:r>
      <w:r w:rsidR="00CE591C" w:rsidRPr="000749B2">
        <w:rPr>
          <w:rFonts w:ascii="Book Antiqua" w:eastAsia="Calibri" w:hAnsi="Book Antiqua" w:cs="Times New Roman"/>
          <w:color w:val="000000" w:themeColor="text1"/>
          <w:sz w:val="24"/>
          <w:szCs w:val="24"/>
        </w:rPr>
        <w:t xml:space="preserve">. The role of </w:t>
      </w:r>
      <w:r w:rsidR="00965F53" w:rsidRPr="000749B2">
        <w:rPr>
          <w:rFonts w:ascii="Book Antiqua" w:eastAsia="Calibri" w:hAnsi="Book Antiqua" w:cs="Times New Roman"/>
          <w:i/>
          <w:iCs/>
          <w:color w:val="000000" w:themeColor="text1"/>
          <w:sz w:val="24"/>
          <w:szCs w:val="24"/>
        </w:rPr>
        <w:t>Apc</w:t>
      </w:r>
      <w:r w:rsidR="00965F53" w:rsidRPr="000749B2">
        <w:rPr>
          <w:rFonts w:ascii="Book Antiqua" w:eastAsia="Calibri" w:hAnsi="Book Antiqua" w:cs="Times New Roman"/>
          <w:color w:val="000000" w:themeColor="text1"/>
          <w:sz w:val="24"/>
          <w:szCs w:val="24"/>
        </w:rPr>
        <w:t xml:space="preserve"> LOH</w:t>
      </w:r>
      <w:r w:rsidR="00F859AD"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as a driver mutation is highlighted in several mouse models. While generalized deletion of both </w:t>
      </w:r>
      <w:r w:rsidR="00965F53" w:rsidRPr="000749B2">
        <w:rPr>
          <w:rFonts w:ascii="Book Antiqua" w:eastAsia="Calibri" w:hAnsi="Book Antiqua" w:cs="Times New Roman"/>
          <w:i/>
          <w:iCs/>
          <w:color w:val="000000" w:themeColor="text1"/>
          <w:sz w:val="24"/>
          <w:szCs w:val="24"/>
        </w:rPr>
        <w:t>Apc</w:t>
      </w:r>
      <w:r w:rsidR="00CE591C" w:rsidRPr="000749B2">
        <w:rPr>
          <w:rFonts w:ascii="Book Antiqua" w:eastAsia="Calibri" w:hAnsi="Book Antiqua" w:cs="Times New Roman"/>
          <w:color w:val="000000" w:themeColor="text1"/>
          <w:sz w:val="24"/>
          <w:szCs w:val="24"/>
        </w:rPr>
        <w:t xml:space="preserve"> alleles (</w:t>
      </w:r>
      <w:bookmarkStart w:id="14" w:name="_Hlk26119648"/>
      <w:r w:rsidR="00CE591C" w:rsidRPr="000749B2">
        <w:rPr>
          <w:rFonts w:ascii="Book Antiqua" w:eastAsia="Calibri" w:hAnsi="Book Antiqua" w:cs="Times New Roman"/>
          <w:i/>
          <w:iCs/>
          <w:color w:val="000000" w:themeColor="text1"/>
          <w:sz w:val="24"/>
          <w:szCs w:val="24"/>
        </w:rPr>
        <w:t>A</w:t>
      </w:r>
      <w:r w:rsidR="00965F53" w:rsidRPr="000749B2">
        <w:rPr>
          <w:rFonts w:ascii="Book Antiqua" w:eastAsia="Calibri" w:hAnsi="Book Antiqua" w:cs="Times New Roman"/>
          <w:i/>
          <w:iCs/>
          <w:color w:val="000000" w:themeColor="text1"/>
          <w:sz w:val="24"/>
          <w:szCs w:val="24"/>
        </w:rPr>
        <w:t>pc</w:t>
      </w:r>
      <w:bookmarkEnd w:id="14"/>
      <w:r w:rsidR="00CE591C" w:rsidRPr="000749B2">
        <w:rPr>
          <w:rFonts w:ascii="Book Antiqua" w:eastAsia="Calibri" w:hAnsi="Book Antiqua" w:cs="Times New Roman"/>
          <w:color w:val="000000" w:themeColor="text1"/>
          <w:sz w:val="24"/>
          <w:szCs w:val="24"/>
          <w:vertAlign w:val="superscript"/>
        </w:rPr>
        <w:t>flox/flox</w:t>
      </w:r>
      <w:r w:rsidR="00CE591C" w:rsidRPr="000749B2">
        <w:rPr>
          <w:rFonts w:ascii="Book Antiqua" w:eastAsia="Calibri" w:hAnsi="Book Antiqua" w:cs="Times New Roman"/>
          <w:color w:val="000000" w:themeColor="text1"/>
          <w:sz w:val="24"/>
          <w:szCs w:val="24"/>
        </w:rPr>
        <w:t xml:space="preserve">) leads to rapid death by disorder of cell </w:t>
      </w:r>
      <w:proofErr w:type="gramStart"/>
      <w:r w:rsidR="00CE591C" w:rsidRPr="000749B2">
        <w:rPr>
          <w:rFonts w:ascii="Book Antiqua" w:eastAsia="Calibri" w:hAnsi="Book Antiqua" w:cs="Times New Roman"/>
          <w:color w:val="000000" w:themeColor="text1"/>
          <w:sz w:val="24"/>
          <w:szCs w:val="24"/>
        </w:rPr>
        <w:t>differentiation</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131]</w:t>
      </w:r>
      <w:r w:rsidR="0074062F"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mice with a mosaic–like deletion of both </w:t>
      </w:r>
      <w:r w:rsidR="00CE591C" w:rsidRPr="000749B2">
        <w:rPr>
          <w:rFonts w:ascii="Book Antiqua" w:eastAsia="Calibri" w:hAnsi="Book Antiqua" w:cs="Times New Roman"/>
          <w:i/>
          <w:iCs/>
          <w:color w:val="000000" w:themeColor="text1"/>
          <w:sz w:val="24"/>
          <w:szCs w:val="24"/>
        </w:rPr>
        <w:t>A</w:t>
      </w:r>
      <w:r w:rsidR="00F812D5" w:rsidRPr="000749B2">
        <w:rPr>
          <w:rFonts w:ascii="Book Antiqua" w:eastAsia="Calibri" w:hAnsi="Book Antiqua" w:cs="Times New Roman"/>
          <w:i/>
          <w:iCs/>
          <w:color w:val="000000" w:themeColor="text1"/>
          <w:sz w:val="24"/>
          <w:szCs w:val="24"/>
        </w:rPr>
        <w:t>pc</w:t>
      </w:r>
      <w:r w:rsidR="00CE591C" w:rsidRPr="000749B2">
        <w:rPr>
          <w:rFonts w:ascii="Book Antiqua" w:eastAsia="Calibri" w:hAnsi="Book Antiqua" w:cs="Times New Roman"/>
          <w:color w:val="000000" w:themeColor="text1"/>
          <w:sz w:val="24"/>
          <w:szCs w:val="24"/>
        </w:rPr>
        <w:t xml:space="preserve"> genes d</w:t>
      </w:r>
      <w:r w:rsidR="00F812D5" w:rsidRPr="000749B2">
        <w:rPr>
          <w:rFonts w:ascii="Book Antiqua" w:eastAsia="Calibri" w:hAnsi="Book Antiqua" w:cs="Times New Roman"/>
          <w:color w:val="000000" w:themeColor="text1"/>
          <w:sz w:val="24"/>
          <w:szCs w:val="24"/>
        </w:rPr>
        <w:t>i</w:t>
      </w:r>
      <w:r w:rsidR="00CE591C" w:rsidRPr="000749B2">
        <w:rPr>
          <w:rFonts w:ascii="Book Antiqua" w:eastAsia="Calibri" w:hAnsi="Book Antiqua" w:cs="Times New Roman"/>
          <w:color w:val="000000" w:themeColor="text1"/>
          <w:sz w:val="24"/>
          <w:szCs w:val="24"/>
        </w:rPr>
        <w:t>e rapidly from florid polyposis</w:t>
      </w:r>
      <w:r w:rsidR="008353D9" w:rsidRPr="000749B2">
        <w:rPr>
          <w:rFonts w:ascii="Book Antiqua" w:hAnsi="Book Antiqua"/>
          <w:color w:val="000000" w:themeColor="text1"/>
          <w:sz w:val="24"/>
          <w:szCs w:val="24"/>
          <w:vertAlign w:val="superscript"/>
        </w:rPr>
        <w:t>[125]</w:t>
      </w:r>
      <w:r w:rsidR="0074062F"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Depending on the type and modality of </w:t>
      </w:r>
      <w:r w:rsidR="00F812D5" w:rsidRPr="000749B2">
        <w:rPr>
          <w:rFonts w:ascii="Book Antiqua" w:eastAsia="Calibri" w:hAnsi="Book Antiqua" w:cs="Times New Roman"/>
          <w:i/>
          <w:iCs/>
          <w:color w:val="000000" w:themeColor="text1"/>
          <w:sz w:val="24"/>
          <w:szCs w:val="24"/>
        </w:rPr>
        <w:t>Apc</w:t>
      </w:r>
      <w:r w:rsidR="00CE591C" w:rsidRPr="000749B2">
        <w:rPr>
          <w:rFonts w:ascii="Book Antiqua" w:eastAsia="Calibri" w:hAnsi="Book Antiqua" w:cs="Times New Roman"/>
          <w:i/>
          <w:iCs/>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mutation, heterozygotes develop adenomas or invasive </w:t>
      </w:r>
      <w:proofErr w:type="gramStart"/>
      <w:r w:rsidR="00CE591C" w:rsidRPr="000749B2">
        <w:rPr>
          <w:rFonts w:ascii="Book Antiqua" w:eastAsia="Calibri" w:hAnsi="Book Antiqua" w:cs="Times New Roman"/>
          <w:color w:val="000000" w:themeColor="text1"/>
          <w:sz w:val="24"/>
          <w:szCs w:val="24"/>
        </w:rPr>
        <w:t>adenocarcinomas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120,132,133]</w:t>
      </w:r>
      <w:r w:rsidR="00CE591C" w:rsidRPr="000749B2">
        <w:rPr>
          <w:rFonts w:ascii="Book Antiqua" w:eastAsia="Calibri" w:hAnsi="Book Antiqua" w:cs="Times New Roman"/>
          <w:color w:val="000000" w:themeColor="text1"/>
          <w:sz w:val="24"/>
          <w:szCs w:val="24"/>
        </w:rPr>
        <w:t xml:space="preserve">. Whilst mutated </w:t>
      </w:r>
      <w:r w:rsidR="0074062F" w:rsidRPr="000749B2">
        <w:rPr>
          <w:rFonts w:ascii="Book Antiqua" w:eastAsia="Calibri" w:hAnsi="Book Antiqua" w:cs="Times New Roman"/>
          <w:i/>
          <w:iCs/>
          <w:color w:val="000000" w:themeColor="text1"/>
          <w:sz w:val="24"/>
          <w:szCs w:val="24"/>
        </w:rPr>
        <w:t>Kras</w:t>
      </w:r>
      <w:r w:rsidR="002C649E"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alone is insufficient to induce colorectal tumorigenesis, it increases the susceptibility of the intestinal mucosa to chemical </w:t>
      </w:r>
      <w:proofErr w:type="gramStart"/>
      <w:r w:rsidR="00CE591C" w:rsidRPr="000749B2">
        <w:rPr>
          <w:rFonts w:ascii="Book Antiqua" w:eastAsia="Calibri" w:hAnsi="Book Antiqua" w:cs="Times New Roman"/>
          <w:color w:val="000000" w:themeColor="text1"/>
          <w:sz w:val="24"/>
          <w:szCs w:val="24"/>
        </w:rPr>
        <w:t>carcinogenesis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134]</w:t>
      </w:r>
      <w:r w:rsidR="00F12604"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and leads to accelerated tumor formation in combination with </w:t>
      </w:r>
      <w:r w:rsidR="0074062F" w:rsidRPr="000749B2">
        <w:rPr>
          <w:rFonts w:ascii="Book Antiqua" w:eastAsia="Calibri" w:hAnsi="Book Antiqua" w:cs="Times New Roman"/>
          <w:i/>
          <w:iCs/>
          <w:color w:val="000000" w:themeColor="text1"/>
          <w:sz w:val="24"/>
          <w:szCs w:val="24"/>
        </w:rPr>
        <w:t>Apc</w:t>
      </w:r>
      <w:r w:rsidR="00CE591C" w:rsidRPr="000749B2">
        <w:rPr>
          <w:rFonts w:ascii="Book Antiqua" w:eastAsia="Calibri" w:hAnsi="Book Antiqua" w:cs="Times New Roman"/>
          <w:color w:val="000000" w:themeColor="text1"/>
          <w:sz w:val="24"/>
          <w:szCs w:val="24"/>
        </w:rPr>
        <w:t xml:space="preserve"> loss</w:t>
      </w:r>
      <w:r w:rsidR="008353D9" w:rsidRPr="000749B2">
        <w:rPr>
          <w:rFonts w:ascii="Book Antiqua" w:hAnsi="Book Antiqua"/>
          <w:color w:val="000000" w:themeColor="text1"/>
          <w:sz w:val="24"/>
          <w:szCs w:val="24"/>
          <w:vertAlign w:val="superscript"/>
        </w:rPr>
        <w:t>[122,135]</w:t>
      </w:r>
      <w:r w:rsidR="0074062F" w:rsidRPr="000749B2">
        <w:rPr>
          <w:rFonts w:ascii="Book Antiqua" w:eastAsia="Calibri" w:hAnsi="Book Antiqua" w:cs="Times New Roman"/>
          <w:color w:val="000000" w:themeColor="text1"/>
          <w:sz w:val="24"/>
          <w:szCs w:val="24"/>
        </w:rPr>
        <w:t xml:space="preserve">. </w:t>
      </w:r>
      <w:r w:rsidR="0074062F" w:rsidRPr="000749B2">
        <w:rPr>
          <w:rFonts w:ascii="Book Antiqua" w:eastAsia="Calibri" w:hAnsi="Book Antiqua" w:cs="Times New Roman"/>
          <w:i/>
          <w:iCs/>
          <w:color w:val="000000" w:themeColor="text1"/>
          <w:sz w:val="24"/>
          <w:szCs w:val="24"/>
        </w:rPr>
        <w:t>Nras</w:t>
      </w:r>
      <w:r w:rsidR="002C649E"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mutation, in contrast, does not alter the effect of </w:t>
      </w:r>
      <w:r w:rsidR="0074062F" w:rsidRPr="000749B2">
        <w:rPr>
          <w:rFonts w:ascii="Book Antiqua" w:eastAsia="Calibri" w:hAnsi="Book Antiqua" w:cs="Times New Roman"/>
          <w:i/>
          <w:iCs/>
          <w:color w:val="000000" w:themeColor="text1"/>
          <w:sz w:val="24"/>
          <w:szCs w:val="24"/>
        </w:rPr>
        <w:t>Apc</w:t>
      </w:r>
      <w:r w:rsidR="00CE591C" w:rsidRPr="000749B2">
        <w:rPr>
          <w:rFonts w:ascii="Book Antiqua" w:eastAsia="Calibri" w:hAnsi="Book Antiqua" w:cs="Times New Roman"/>
          <w:color w:val="000000" w:themeColor="text1"/>
          <w:sz w:val="24"/>
          <w:szCs w:val="24"/>
        </w:rPr>
        <w:t xml:space="preserve"> </w:t>
      </w:r>
      <w:proofErr w:type="gramStart"/>
      <w:r w:rsidR="00CE591C" w:rsidRPr="000749B2">
        <w:rPr>
          <w:rFonts w:ascii="Book Antiqua" w:eastAsia="Calibri" w:hAnsi="Book Antiqua" w:cs="Times New Roman"/>
          <w:color w:val="000000" w:themeColor="text1"/>
          <w:sz w:val="24"/>
          <w:szCs w:val="24"/>
        </w:rPr>
        <w:t>loss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136]</w:t>
      </w:r>
      <w:r w:rsidR="00CE591C" w:rsidRPr="000749B2">
        <w:rPr>
          <w:rFonts w:ascii="Book Antiqua" w:eastAsia="Calibri" w:hAnsi="Book Antiqua" w:cs="Times New Roman"/>
          <w:color w:val="000000" w:themeColor="text1"/>
          <w:sz w:val="24"/>
          <w:szCs w:val="24"/>
        </w:rPr>
        <w:t xml:space="preserve">. In humans, </w:t>
      </w:r>
      <w:r w:rsidR="00965F53" w:rsidRPr="000749B2">
        <w:rPr>
          <w:rFonts w:ascii="Book Antiqua" w:eastAsia="Calibri" w:hAnsi="Book Antiqua" w:cs="Times New Roman"/>
          <w:i/>
          <w:iCs/>
          <w:color w:val="000000" w:themeColor="text1"/>
          <w:sz w:val="24"/>
          <w:szCs w:val="24"/>
        </w:rPr>
        <w:t>P</w:t>
      </w:r>
      <w:r w:rsidR="00CE591C" w:rsidRPr="000749B2">
        <w:rPr>
          <w:rFonts w:ascii="Book Antiqua" w:eastAsia="Calibri" w:hAnsi="Book Antiqua" w:cs="Times New Roman"/>
          <w:i/>
          <w:iCs/>
          <w:color w:val="000000" w:themeColor="text1"/>
          <w:sz w:val="24"/>
          <w:szCs w:val="24"/>
        </w:rPr>
        <w:t>53</w:t>
      </w:r>
      <w:r w:rsidR="00CE591C" w:rsidRPr="000749B2">
        <w:rPr>
          <w:rFonts w:ascii="Book Antiqua" w:eastAsia="Calibri" w:hAnsi="Book Antiqua" w:cs="Times New Roman"/>
          <w:color w:val="000000" w:themeColor="text1"/>
          <w:sz w:val="24"/>
          <w:szCs w:val="24"/>
        </w:rPr>
        <w:t xml:space="preserve"> mutations are often associated with vascular and lymphatic invasion and advanced</w:t>
      </w:r>
      <w:r w:rsidR="00F12604"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cancer </w:t>
      </w:r>
      <w:proofErr w:type="gramStart"/>
      <w:r w:rsidR="00CE591C" w:rsidRPr="000749B2">
        <w:rPr>
          <w:rFonts w:ascii="Book Antiqua" w:eastAsia="Calibri" w:hAnsi="Book Antiqua" w:cs="Times New Roman"/>
          <w:color w:val="000000" w:themeColor="text1"/>
          <w:sz w:val="24"/>
          <w:szCs w:val="24"/>
        </w:rPr>
        <w:t>stages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137,138]</w:t>
      </w:r>
      <w:r w:rsidR="0074062F"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In fact, the combination of </w:t>
      </w:r>
      <w:r w:rsidR="0074062F" w:rsidRPr="000749B2">
        <w:rPr>
          <w:rFonts w:ascii="Book Antiqua" w:eastAsia="Calibri" w:hAnsi="Book Antiqua" w:cs="Times New Roman"/>
          <w:i/>
          <w:iCs/>
          <w:color w:val="000000" w:themeColor="text1"/>
          <w:sz w:val="24"/>
          <w:szCs w:val="24"/>
        </w:rPr>
        <w:t>Apc</w:t>
      </w:r>
      <w:r w:rsidR="00CE591C" w:rsidRPr="000749B2">
        <w:rPr>
          <w:rFonts w:ascii="Book Antiqua" w:eastAsia="Calibri" w:hAnsi="Book Antiqua" w:cs="Times New Roman"/>
          <w:color w:val="000000" w:themeColor="text1"/>
          <w:sz w:val="24"/>
          <w:szCs w:val="24"/>
        </w:rPr>
        <w:t xml:space="preserve"> mutation with a </w:t>
      </w:r>
      <w:r w:rsidR="00CE591C" w:rsidRPr="000749B2">
        <w:rPr>
          <w:rFonts w:ascii="Book Antiqua" w:eastAsia="Calibri" w:hAnsi="Book Antiqua" w:cs="Times New Roman"/>
          <w:color w:val="000000" w:themeColor="text1"/>
          <w:sz w:val="24"/>
          <w:szCs w:val="24"/>
        </w:rPr>
        <w:lastRenderedPageBreak/>
        <w:t xml:space="preserve">dominant-negative </w:t>
      </w:r>
      <w:r w:rsidR="0074062F" w:rsidRPr="000749B2">
        <w:rPr>
          <w:rFonts w:ascii="Book Antiqua" w:eastAsia="Calibri" w:hAnsi="Book Antiqua" w:cs="Times New Roman"/>
          <w:i/>
          <w:iCs/>
          <w:color w:val="000000" w:themeColor="text1"/>
          <w:sz w:val="24"/>
          <w:szCs w:val="24"/>
        </w:rPr>
        <w:t>P53</w:t>
      </w:r>
      <w:r w:rsidR="00CE591C" w:rsidRPr="000749B2">
        <w:rPr>
          <w:rFonts w:ascii="Book Antiqua" w:eastAsia="Calibri" w:hAnsi="Book Antiqua" w:cs="Times New Roman"/>
          <w:color w:val="000000" w:themeColor="text1"/>
          <w:sz w:val="24"/>
          <w:szCs w:val="24"/>
        </w:rPr>
        <w:t xml:space="preserve"> mutation leads to increased invasiveness of intestinal tumors with signs of epithelial to mesenchymal </w:t>
      </w:r>
      <w:proofErr w:type="gramStart"/>
      <w:r w:rsidR="00CE591C" w:rsidRPr="000749B2">
        <w:rPr>
          <w:rFonts w:ascii="Book Antiqua" w:eastAsia="Calibri" w:hAnsi="Book Antiqua" w:cs="Times New Roman"/>
          <w:color w:val="000000" w:themeColor="text1"/>
          <w:sz w:val="24"/>
          <w:szCs w:val="24"/>
        </w:rPr>
        <w:t>transition</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139,140]</w:t>
      </w:r>
      <w:r w:rsidR="00CE591C" w:rsidRPr="000749B2">
        <w:rPr>
          <w:rFonts w:ascii="Book Antiqua" w:eastAsia="Calibri" w:hAnsi="Book Antiqua" w:cs="Times New Roman"/>
          <w:color w:val="000000" w:themeColor="text1"/>
          <w:sz w:val="24"/>
          <w:szCs w:val="24"/>
        </w:rPr>
        <w:t xml:space="preserve">. Also, loss of </w:t>
      </w:r>
      <w:r w:rsidR="00CE591C" w:rsidRPr="000749B2">
        <w:rPr>
          <w:rFonts w:ascii="Book Antiqua" w:eastAsia="Calibri" w:hAnsi="Book Antiqua" w:cs="Times New Roman"/>
          <w:i/>
          <w:iCs/>
          <w:color w:val="000000" w:themeColor="text1"/>
          <w:sz w:val="24"/>
          <w:szCs w:val="24"/>
        </w:rPr>
        <w:t>P53</w:t>
      </w:r>
      <w:r w:rsidR="00CE591C" w:rsidRPr="000749B2">
        <w:rPr>
          <w:rFonts w:ascii="Book Antiqua" w:eastAsia="Calibri" w:hAnsi="Book Antiqua" w:cs="Times New Roman"/>
          <w:color w:val="000000" w:themeColor="text1"/>
          <w:sz w:val="24"/>
          <w:szCs w:val="24"/>
        </w:rPr>
        <w:t xml:space="preserve"> in a constitutively active N</w:t>
      </w:r>
      <w:r w:rsidR="00F812D5" w:rsidRPr="000749B2">
        <w:rPr>
          <w:rFonts w:ascii="Book Antiqua" w:eastAsia="Calibri" w:hAnsi="Book Antiqua" w:cs="Times New Roman"/>
          <w:color w:val="000000" w:themeColor="text1"/>
          <w:sz w:val="24"/>
          <w:szCs w:val="24"/>
        </w:rPr>
        <w:t xml:space="preserve">otch </w:t>
      </w:r>
      <w:r w:rsidR="00CE591C" w:rsidRPr="000749B2">
        <w:rPr>
          <w:rFonts w:ascii="Book Antiqua" w:eastAsia="Calibri" w:hAnsi="Book Antiqua" w:cs="Times New Roman"/>
          <w:color w:val="000000" w:themeColor="text1"/>
          <w:sz w:val="24"/>
          <w:szCs w:val="24"/>
        </w:rPr>
        <w:t xml:space="preserve">signaling background leads to intestinal tumor formation and </w:t>
      </w:r>
      <w:proofErr w:type="gramStart"/>
      <w:r w:rsidR="00CE591C" w:rsidRPr="000749B2">
        <w:rPr>
          <w:rFonts w:ascii="Book Antiqua" w:eastAsia="Calibri" w:hAnsi="Book Antiqua" w:cs="Times New Roman"/>
          <w:color w:val="000000" w:themeColor="text1"/>
          <w:sz w:val="24"/>
          <w:szCs w:val="24"/>
        </w:rPr>
        <w:t>metastasis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141]</w:t>
      </w:r>
      <w:r w:rsidR="0074062F"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whereas N</w:t>
      </w:r>
      <w:r w:rsidR="00F812D5" w:rsidRPr="000749B2">
        <w:rPr>
          <w:rFonts w:ascii="Book Antiqua" w:eastAsia="Calibri" w:hAnsi="Book Antiqua" w:cs="Times New Roman"/>
          <w:color w:val="000000" w:themeColor="text1"/>
          <w:sz w:val="24"/>
          <w:szCs w:val="24"/>
        </w:rPr>
        <w:t xml:space="preserve">otch </w:t>
      </w:r>
      <w:r w:rsidR="00CE591C" w:rsidRPr="000749B2">
        <w:rPr>
          <w:rFonts w:ascii="Book Antiqua" w:eastAsia="Calibri" w:hAnsi="Book Antiqua" w:cs="Times New Roman"/>
          <w:color w:val="000000" w:themeColor="text1"/>
          <w:sz w:val="24"/>
          <w:szCs w:val="24"/>
        </w:rPr>
        <w:t>signaling does not cooperate with the Wnt-pathway</w:t>
      </w:r>
      <w:r w:rsidR="008353D9" w:rsidRPr="000749B2">
        <w:rPr>
          <w:rFonts w:ascii="Book Antiqua" w:hAnsi="Book Antiqua"/>
          <w:color w:val="000000" w:themeColor="text1"/>
          <w:sz w:val="24"/>
          <w:szCs w:val="24"/>
          <w:vertAlign w:val="superscript"/>
        </w:rPr>
        <w:t>[142]</w:t>
      </w:r>
      <w:r w:rsidR="00CE591C" w:rsidRPr="000749B2">
        <w:rPr>
          <w:rFonts w:ascii="Book Antiqua" w:eastAsia="Calibri" w:hAnsi="Book Antiqua" w:cs="Times New Roman"/>
          <w:color w:val="000000" w:themeColor="text1"/>
          <w:sz w:val="24"/>
          <w:szCs w:val="24"/>
        </w:rPr>
        <w:t xml:space="preserve">. Nevertheless, </w:t>
      </w:r>
      <w:bookmarkStart w:id="15" w:name="_Hlk26117391"/>
      <w:r w:rsidR="00CE591C" w:rsidRPr="000749B2">
        <w:rPr>
          <w:rFonts w:ascii="Book Antiqua" w:eastAsia="Calibri" w:hAnsi="Book Antiqua" w:cs="Times New Roman"/>
          <w:i/>
          <w:iCs/>
          <w:color w:val="000000" w:themeColor="text1"/>
          <w:sz w:val="24"/>
          <w:szCs w:val="24"/>
        </w:rPr>
        <w:t>A</w:t>
      </w:r>
      <w:r w:rsidR="00246893" w:rsidRPr="000749B2">
        <w:rPr>
          <w:rFonts w:ascii="Book Antiqua" w:eastAsia="Calibri" w:hAnsi="Book Antiqua" w:cs="Times New Roman"/>
          <w:i/>
          <w:iCs/>
          <w:color w:val="000000" w:themeColor="text1"/>
          <w:sz w:val="24"/>
          <w:szCs w:val="24"/>
        </w:rPr>
        <w:t>pc</w:t>
      </w:r>
      <w:bookmarkEnd w:id="15"/>
      <w:r w:rsidR="00CE591C" w:rsidRPr="000749B2">
        <w:rPr>
          <w:rFonts w:ascii="Book Antiqua" w:eastAsia="Calibri" w:hAnsi="Book Antiqua" w:cs="Times New Roman"/>
          <w:color w:val="000000" w:themeColor="text1"/>
          <w:sz w:val="24"/>
          <w:szCs w:val="24"/>
        </w:rPr>
        <w:t xml:space="preserve"> defi</w:t>
      </w:r>
      <w:r w:rsidR="00261F8C" w:rsidRPr="000749B2">
        <w:rPr>
          <w:rFonts w:ascii="Book Antiqua" w:eastAsia="Calibri" w:hAnsi="Book Antiqua" w:cs="Times New Roman"/>
          <w:color w:val="000000" w:themeColor="text1"/>
          <w:sz w:val="24"/>
          <w:szCs w:val="24"/>
        </w:rPr>
        <w:t>ci</w:t>
      </w:r>
      <w:r w:rsidR="00CE591C" w:rsidRPr="000749B2">
        <w:rPr>
          <w:rFonts w:ascii="Book Antiqua" w:eastAsia="Calibri" w:hAnsi="Book Antiqua" w:cs="Times New Roman"/>
          <w:color w:val="000000" w:themeColor="text1"/>
          <w:sz w:val="24"/>
          <w:szCs w:val="24"/>
        </w:rPr>
        <w:t>ency seems to</w:t>
      </w:r>
      <w:r w:rsidR="009A577A" w:rsidRPr="000749B2">
        <w:rPr>
          <w:rFonts w:ascii="Book Antiqua" w:eastAsia="Calibri" w:hAnsi="Book Antiqua" w:cs="Times New Roman"/>
          <w:color w:val="000000" w:themeColor="text1"/>
          <w:sz w:val="24"/>
          <w:szCs w:val="24"/>
        </w:rPr>
        <w:t xml:space="preserve"> represent a</w:t>
      </w:r>
      <w:r w:rsidR="00CE591C" w:rsidRPr="000749B2">
        <w:rPr>
          <w:rFonts w:ascii="Book Antiqua" w:eastAsia="Calibri" w:hAnsi="Book Antiqua" w:cs="Times New Roman"/>
          <w:color w:val="000000" w:themeColor="text1"/>
          <w:sz w:val="24"/>
          <w:szCs w:val="24"/>
        </w:rPr>
        <w:t xml:space="preserve"> key prerequisite </w:t>
      </w:r>
      <w:r w:rsidR="009A577A" w:rsidRPr="000749B2">
        <w:rPr>
          <w:rFonts w:ascii="Book Antiqua" w:eastAsia="Calibri" w:hAnsi="Book Antiqua" w:cs="Times New Roman"/>
          <w:color w:val="000000" w:themeColor="text1"/>
          <w:sz w:val="24"/>
          <w:szCs w:val="24"/>
        </w:rPr>
        <w:t xml:space="preserve">of </w:t>
      </w:r>
      <w:r w:rsidR="00CE591C" w:rsidRPr="000749B2">
        <w:rPr>
          <w:rFonts w:ascii="Book Antiqua" w:eastAsia="Calibri" w:hAnsi="Book Antiqua" w:cs="Times New Roman"/>
          <w:color w:val="000000" w:themeColor="text1"/>
          <w:sz w:val="24"/>
          <w:szCs w:val="24"/>
        </w:rPr>
        <w:t xml:space="preserve">cancer progression, since </w:t>
      </w:r>
      <w:r w:rsidR="00246893" w:rsidRPr="000749B2">
        <w:rPr>
          <w:rFonts w:ascii="Book Antiqua" w:eastAsia="Calibri" w:hAnsi="Book Antiqua" w:cs="Times New Roman"/>
          <w:i/>
          <w:iCs/>
          <w:color w:val="000000" w:themeColor="text1"/>
          <w:sz w:val="24"/>
          <w:szCs w:val="24"/>
        </w:rPr>
        <w:t>Apc</w:t>
      </w:r>
      <w:r w:rsidR="00CE591C" w:rsidRPr="000749B2">
        <w:rPr>
          <w:rFonts w:ascii="Book Antiqua" w:eastAsia="Calibri" w:hAnsi="Book Antiqua" w:cs="Times New Roman"/>
          <w:color w:val="000000" w:themeColor="text1"/>
          <w:sz w:val="24"/>
          <w:szCs w:val="24"/>
        </w:rPr>
        <w:t xml:space="preserve"> restoration leads to spontaneous tumor regression of </w:t>
      </w:r>
      <w:r w:rsidR="00CE591C" w:rsidRPr="000749B2">
        <w:rPr>
          <w:rFonts w:ascii="Book Antiqua" w:eastAsia="Calibri" w:hAnsi="Book Antiqua" w:cs="Times New Roman"/>
          <w:i/>
          <w:iCs/>
          <w:color w:val="000000" w:themeColor="text1"/>
          <w:sz w:val="24"/>
          <w:szCs w:val="24"/>
        </w:rPr>
        <w:t>K</w:t>
      </w:r>
      <w:r w:rsidR="00246893" w:rsidRPr="000749B2">
        <w:rPr>
          <w:rFonts w:ascii="Book Antiqua" w:eastAsia="Calibri" w:hAnsi="Book Antiqua" w:cs="Times New Roman"/>
          <w:i/>
          <w:iCs/>
          <w:color w:val="000000" w:themeColor="text1"/>
          <w:sz w:val="24"/>
          <w:szCs w:val="24"/>
        </w:rPr>
        <w:t>ras</w:t>
      </w:r>
      <w:r w:rsidR="00CE591C" w:rsidRPr="000749B2">
        <w:rPr>
          <w:rFonts w:ascii="Book Antiqua" w:eastAsia="Calibri" w:hAnsi="Book Antiqua" w:cs="Times New Roman"/>
          <w:color w:val="000000" w:themeColor="text1"/>
          <w:sz w:val="24"/>
          <w:szCs w:val="24"/>
        </w:rPr>
        <w:t xml:space="preserve">-mutated, </w:t>
      </w:r>
      <w:r w:rsidR="00246893" w:rsidRPr="000749B2">
        <w:rPr>
          <w:rFonts w:ascii="Book Antiqua" w:eastAsia="Calibri" w:hAnsi="Book Antiqua" w:cs="Times New Roman"/>
          <w:i/>
          <w:iCs/>
          <w:color w:val="000000" w:themeColor="text1"/>
          <w:sz w:val="24"/>
          <w:szCs w:val="24"/>
        </w:rPr>
        <w:t>P</w:t>
      </w:r>
      <w:r w:rsidR="00CE591C" w:rsidRPr="000749B2">
        <w:rPr>
          <w:rFonts w:ascii="Book Antiqua" w:eastAsia="Calibri" w:hAnsi="Book Antiqua" w:cs="Times New Roman"/>
          <w:i/>
          <w:iCs/>
          <w:color w:val="000000" w:themeColor="text1"/>
          <w:sz w:val="24"/>
          <w:szCs w:val="24"/>
        </w:rPr>
        <w:t>53</w:t>
      </w:r>
      <w:r w:rsidR="00CE591C" w:rsidRPr="000749B2">
        <w:rPr>
          <w:rFonts w:ascii="Book Antiqua" w:eastAsia="Calibri" w:hAnsi="Book Antiqua" w:cs="Times New Roman"/>
          <w:color w:val="000000" w:themeColor="text1"/>
          <w:sz w:val="24"/>
          <w:szCs w:val="24"/>
        </w:rPr>
        <w:t xml:space="preserve">-deficient </w:t>
      </w:r>
      <w:proofErr w:type="gramStart"/>
      <w:r w:rsidR="00CE591C" w:rsidRPr="000749B2">
        <w:rPr>
          <w:rFonts w:ascii="Book Antiqua" w:eastAsia="Calibri" w:hAnsi="Book Antiqua" w:cs="Times New Roman"/>
          <w:color w:val="000000" w:themeColor="text1"/>
          <w:sz w:val="24"/>
          <w:szCs w:val="24"/>
        </w:rPr>
        <w:t>adenocarcinomas</w:t>
      </w:r>
      <w:r w:rsidR="008353D9" w:rsidRPr="000749B2">
        <w:rPr>
          <w:rFonts w:ascii="Book Antiqua" w:hAnsi="Book Antiqua"/>
          <w:color w:val="000000" w:themeColor="text1"/>
          <w:sz w:val="24"/>
          <w:szCs w:val="24"/>
          <w:vertAlign w:val="superscript"/>
        </w:rPr>
        <w:t>[</w:t>
      </w:r>
      <w:proofErr w:type="gramEnd"/>
      <w:r w:rsidR="008353D9" w:rsidRPr="000749B2">
        <w:rPr>
          <w:rFonts w:ascii="Book Antiqua" w:hAnsi="Book Antiqua"/>
          <w:color w:val="000000" w:themeColor="text1"/>
          <w:sz w:val="24"/>
          <w:szCs w:val="24"/>
          <w:vertAlign w:val="superscript"/>
        </w:rPr>
        <w:t>143]</w:t>
      </w:r>
      <w:r w:rsidR="00CE591C"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i/>
          <w:iCs/>
          <w:color w:val="000000" w:themeColor="text1"/>
          <w:sz w:val="24"/>
          <w:szCs w:val="24"/>
        </w:rPr>
        <w:t>FBXW7</w:t>
      </w:r>
      <w:r w:rsidR="00CE591C" w:rsidRPr="000749B2">
        <w:rPr>
          <w:rFonts w:ascii="Book Antiqua" w:eastAsia="Calibri" w:hAnsi="Book Antiqua" w:cs="Times New Roman"/>
          <w:color w:val="000000" w:themeColor="text1"/>
          <w:sz w:val="24"/>
          <w:szCs w:val="24"/>
        </w:rPr>
        <w:t xml:space="preserve"> codes for the F-box/WD repeat-containing protein 7, the substrate receptor of a ubiquitin ligase, which degrades several proto-oncogenes like </w:t>
      </w:r>
      <w:r w:rsidR="00453E83" w:rsidRPr="000749B2">
        <w:rPr>
          <w:rFonts w:ascii="Book Antiqua" w:eastAsia="Calibri" w:hAnsi="Book Antiqua" w:cs="Times New Roman"/>
          <w:i/>
          <w:iCs/>
          <w:color w:val="000000" w:themeColor="text1"/>
          <w:sz w:val="24"/>
          <w:szCs w:val="24"/>
        </w:rPr>
        <w:t>MYC</w:t>
      </w:r>
      <w:r w:rsidR="00CE591C" w:rsidRPr="000749B2">
        <w:rPr>
          <w:rFonts w:ascii="Book Antiqua" w:eastAsia="Calibri" w:hAnsi="Book Antiqua" w:cs="Times New Roman"/>
          <w:i/>
          <w:iCs/>
          <w:color w:val="000000" w:themeColor="text1"/>
          <w:sz w:val="24"/>
          <w:szCs w:val="24"/>
        </w:rPr>
        <w:t xml:space="preserve">, </w:t>
      </w:r>
      <w:r w:rsidR="00453E83" w:rsidRPr="000749B2">
        <w:rPr>
          <w:rFonts w:ascii="Book Antiqua" w:eastAsia="Calibri" w:hAnsi="Book Antiqua" w:cs="Times New Roman"/>
          <w:i/>
          <w:iCs/>
          <w:color w:val="000000" w:themeColor="text1"/>
          <w:sz w:val="24"/>
          <w:szCs w:val="24"/>
        </w:rPr>
        <w:t>CCNE1</w:t>
      </w:r>
      <w:r w:rsidR="00CE591C" w:rsidRPr="000749B2">
        <w:rPr>
          <w:rFonts w:ascii="Book Antiqua" w:eastAsia="Calibri" w:hAnsi="Book Antiqua" w:cs="Times New Roman"/>
          <w:i/>
          <w:iCs/>
          <w:color w:val="000000" w:themeColor="text1"/>
          <w:sz w:val="24"/>
          <w:szCs w:val="24"/>
        </w:rPr>
        <w:t xml:space="preserve">, </w:t>
      </w:r>
      <w:r w:rsidR="00453E83" w:rsidRPr="000749B2">
        <w:rPr>
          <w:rFonts w:ascii="Book Antiqua" w:eastAsia="Calibri" w:hAnsi="Book Antiqua" w:cs="Times New Roman"/>
          <w:i/>
          <w:iCs/>
          <w:color w:val="000000" w:themeColor="text1"/>
          <w:sz w:val="24"/>
          <w:szCs w:val="24"/>
        </w:rPr>
        <w:t>NOTCH1</w:t>
      </w:r>
      <w:r w:rsidR="00453E83"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and </w:t>
      </w:r>
      <w:r w:rsidR="00CE591C" w:rsidRPr="000749B2">
        <w:rPr>
          <w:rFonts w:ascii="Book Antiqua" w:eastAsia="Calibri" w:hAnsi="Book Antiqua" w:cs="Times New Roman"/>
          <w:i/>
          <w:iCs/>
          <w:color w:val="000000" w:themeColor="text1"/>
          <w:sz w:val="24"/>
          <w:szCs w:val="24"/>
        </w:rPr>
        <w:t>J</w:t>
      </w:r>
      <w:r w:rsidR="00453E83" w:rsidRPr="000749B2">
        <w:rPr>
          <w:rFonts w:ascii="Book Antiqua" w:eastAsia="Calibri" w:hAnsi="Book Antiqua" w:cs="Times New Roman"/>
          <w:i/>
          <w:iCs/>
          <w:color w:val="000000" w:themeColor="text1"/>
          <w:sz w:val="24"/>
          <w:szCs w:val="24"/>
        </w:rPr>
        <w:t>UN</w:t>
      </w:r>
      <w:r w:rsidR="00CE591C" w:rsidRPr="000749B2">
        <w:rPr>
          <w:rFonts w:ascii="Book Antiqua" w:eastAsia="Calibri" w:hAnsi="Book Antiqua" w:cs="Times New Roman"/>
          <w:color w:val="000000" w:themeColor="text1"/>
          <w:sz w:val="24"/>
          <w:szCs w:val="24"/>
        </w:rPr>
        <w:t xml:space="preserve"> and acts synergistically with </w:t>
      </w:r>
      <w:r w:rsidR="00A106C5" w:rsidRPr="000749B2">
        <w:rPr>
          <w:rFonts w:ascii="Book Antiqua" w:eastAsia="Calibri" w:hAnsi="Book Antiqua" w:cs="Times New Roman"/>
          <w:i/>
          <w:iCs/>
          <w:color w:val="000000" w:themeColor="text1"/>
          <w:sz w:val="24"/>
          <w:szCs w:val="24"/>
        </w:rPr>
        <w:t>P53</w:t>
      </w:r>
      <w:r w:rsidR="00A106C5"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as</w:t>
      </w:r>
      <w:r w:rsidR="000D7DDD"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haploinsufficient tumor </w:t>
      </w:r>
      <w:proofErr w:type="gramStart"/>
      <w:r w:rsidR="00CE591C" w:rsidRPr="000749B2">
        <w:rPr>
          <w:rFonts w:ascii="Book Antiqua" w:eastAsia="Calibri" w:hAnsi="Book Antiqua" w:cs="Times New Roman"/>
          <w:color w:val="000000" w:themeColor="text1"/>
          <w:sz w:val="24"/>
          <w:szCs w:val="24"/>
        </w:rPr>
        <w:t>suppressor</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144-146]</w:t>
      </w:r>
      <w:r w:rsidR="002E77ED"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Intestinal </w:t>
      </w:r>
      <w:r w:rsidR="00A106C5" w:rsidRPr="000749B2">
        <w:rPr>
          <w:rFonts w:ascii="Book Antiqua" w:eastAsia="Calibri" w:hAnsi="Book Antiqua" w:cs="Times New Roman"/>
          <w:i/>
          <w:color w:val="000000" w:themeColor="text1"/>
          <w:sz w:val="24"/>
          <w:szCs w:val="24"/>
        </w:rPr>
        <w:t>F</w:t>
      </w:r>
      <w:r w:rsidR="00246893" w:rsidRPr="000749B2">
        <w:rPr>
          <w:rFonts w:ascii="Book Antiqua" w:eastAsia="Calibri" w:hAnsi="Book Antiqua" w:cs="Times New Roman"/>
          <w:i/>
          <w:color w:val="000000" w:themeColor="text1"/>
          <w:sz w:val="24"/>
          <w:szCs w:val="24"/>
        </w:rPr>
        <w:t>bxw7</w:t>
      </w:r>
      <w:r w:rsidR="00A106C5"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deletion enhances tumor development in an </w:t>
      </w:r>
      <w:r w:rsidR="00CE591C" w:rsidRPr="000749B2">
        <w:rPr>
          <w:rFonts w:ascii="Book Antiqua" w:eastAsia="Calibri" w:hAnsi="Book Antiqua" w:cs="Times New Roman"/>
          <w:i/>
          <w:iCs/>
          <w:color w:val="000000" w:themeColor="text1"/>
          <w:sz w:val="24"/>
          <w:szCs w:val="24"/>
        </w:rPr>
        <w:t>A</w:t>
      </w:r>
      <w:r w:rsidR="00246893" w:rsidRPr="000749B2">
        <w:rPr>
          <w:rFonts w:ascii="Book Antiqua" w:eastAsia="Calibri" w:hAnsi="Book Antiqua" w:cs="Times New Roman"/>
          <w:i/>
          <w:iCs/>
          <w:color w:val="000000" w:themeColor="text1"/>
          <w:sz w:val="24"/>
          <w:szCs w:val="24"/>
        </w:rPr>
        <w:t>p</w:t>
      </w:r>
      <w:r w:rsidR="00246893" w:rsidRPr="000749B2">
        <w:rPr>
          <w:rFonts w:ascii="Book Antiqua" w:eastAsia="Calibri" w:hAnsi="Book Antiqua" w:cs="Times New Roman"/>
          <w:color w:val="000000" w:themeColor="text1"/>
          <w:sz w:val="24"/>
          <w:szCs w:val="24"/>
        </w:rPr>
        <w:t>c</w:t>
      </w:r>
      <w:r w:rsidR="000D3BA0" w:rsidRPr="000749B2">
        <w:rPr>
          <w:rFonts w:ascii="Book Antiqua" w:eastAsia="Calibri" w:hAnsi="Book Antiqua" w:cs="Times New Roman"/>
          <w:color w:val="000000" w:themeColor="text1"/>
          <w:sz w:val="24"/>
          <w:szCs w:val="24"/>
          <w:vertAlign w:val="superscript"/>
        </w:rPr>
        <w:t>M</w:t>
      </w:r>
      <w:r w:rsidR="00CE591C" w:rsidRPr="000749B2">
        <w:rPr>
          <w:rFonts w:ascii="Book Antiqua" w:eastAsia="Calibri" w:hAnsi="Book Antiqua" w:cs="Times New Roman"/>
          <w:color w:val="000000" w:themeColor="text1"/>
          <w:sz w:val="24"/>
          <w:szCs w:val="24"/>
          <w:vertAlign w:val="superscript"/>
        </w:rPr>
        <w:t>in/+</w:t>
      </w:r>
      <w:proofErr w:type="gramStart"/>
      <w:r w:rsidR="00CE591C" w:rsidRPr="000749B2">
        <w:rPr>
          <w:rFonts w:ascii="Book Antiqua" w:eastAsia="Calibri" w:hAnsi="Book Antiqua" w:cs="Times New Roman"/>
          <w:color w:val="000000" w:themeColor="text1"/>
          <w:sz w:val="24"/>
          <w:szCs w:val="24"/>
        </w:rPr>
        <w:t>background</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147]</w:t>
      </w:r>
      <w:r w:rsidR="004077FE"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and a combined deletion of </w:t>
      </w:r>
      <w:r w:rsidR="00246893" w:rsidRPr="000749B2">
        <w:rPr>
          <w:rFonts w:ascii="Book Antiqua" w:eastAsia="Calibri" w:hAnsi="Book Antiqua" w:cs="Times New Roman"/>
          <w:i/>
          <w:color w:val="000000" w:themeColor="text1"/>
          <w:sz w:val="24"/>
          <w:szCs w:val="24"/>
        </w:rPr>
        <w:t>Fbxw7</w:t>
      </w:r>
      <w:r w:rsidR="00A106C5"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and </w:t>
      </w:r>
      <w:r w:rsidR="002E77ED" w:rsidRPr="000749B2">
        <w:rPr>
          <w:rFonts w:ascii="Book Antiqua" w:eastAsia="Calibri" w:hAnsi="Book Antiqua" w:cs="Times New Roman"/>
          <w:i/>
          <w:iCs/>
          <w:color w:val="000000" w:themeColor="text1"/>
          <w:sz w:val="24"/>
          <w:szCs w:val="24"/>
        </w:rPr>
        <w:t>P</w:t>
      </w:r>
      <w:r w:rsidR="00CE591C" w:rsidRPr="000749B2">
        <w:rPr>
          <w:rFonts w:ascii="Book Antiqua" w:eastAsia="Calibri" w:hAnsi="Book Antiqua" w:cs="Times New Roman"/>
          <w:i/>
          <w:iCs/>
          <w:color w:val="000000" w:themeColor="text1"/>
          <w:sz w:val="24"/>
          <w:szCs w:val="24"/>
        </w:rPr>
        <w:t>53</w:t>
      </w:r>
      <w:r w:rsidR="00CE591C" w:rsidRPr="000749B2">
        <w:rPr>
          <w:rFonts w:ascii="Book Antiqua" w:eastAsia="Calibri" w:hAnsi="Book Antiqua" w:cs="Times New Roman"/>
          <w:color w:val="000000" w:themeColor="text1"/>
          <w:sz w:val="24"/>
          <w:szCs w:val="24"/>
        </w:rPr>
        <w:t xml:space="preserve"> results in highly aggressive intestinal cancers with metastatic spread to the lymph nodes and liver</w:t>
      </w:r>
      <w:r w:rsidR="00C42D1B" w:rsidRPr="000749B2">
        <w:rPr>
          <w:rFonts w:ascii="Book Antiqua" w:hAnsi="Book Antiqua"/>
          <w:color w:val="000000" w:themeColor="text1"/>
          <w:sz w:val="24"/>
          <w:szCs w:val="24"/>
          <w:vertAlign w:val="superscript"/>
        </w:rPr>
        <w:t>[148]</w:t>
      </w:r>
      <w:r w:rsidR="002E77ED"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The </w:t>
      </w:r>
      <w:r w:rsidR="00A106C5" w:rsidRPr="000749B2">
        <w:rPr>
          <w:rFonts w:ascii="Book Antiqua" w:eastAsia="Calibri" w:hAnsi="Book Antiqua" w:cs="Times New Roman"/>
          <w:color w:val="000000" w:themeColor="text1"/>
          <w:sz w:val="24"/>
          <w:szCs w:val="24"/>
        </w:rPr>
        <w:t>PI3K</w:t>
      </w:r>
      <w:r w:rsidR="00CE591C" w:rsidRPr="000749B2">
        <w:rPr>
          <w:rFonts w:ascii="Book Antiqua" w:eastAsia="Calibri" w:hAnsi="Book Antiqua" w:cs="Times New Roman"/>
          <w:color w:val="000000" w:themeColor="text1"/>
          <w:sz w:val="24"/>
          <w:szCs w:val="24"/>
        </w:rPr>
        <w:t>/A</w:t>
      </w:r>
      <w:r w:rsidR="00246893" w:rsidRPr="000749B2">
        <w:rPr>
          <w:rFonts w:ascii="Book Antiqua" w:eastAsia="Calibri" w:hAnsi="Book Antiqua" w:cs="Times New Roman"/>
          <w:color w:val="000000" w:themeColor="text1"/>
          <w:sz w:val="24"/>
          <w:szCs w:val="24"/>
        </w:rPr>
        <w:t>KT-</w:t>
      </w:r>
      <w:r w:rsidR="00CE591C" w:rsidRPr="000749B2">
        <w:rPr>
          <w:rFonts w:ascii="Book Antiqua" w:eastAsia="Calibri" w:hAnsi="Book Antiqua" w:cs="Times New Roman"/>
          <w:color w:val="000000" w:themeColor="text1"/>
          <w:sz w:val="24"/>
          <w:szCs w:val="24"/>
        </w:rPr>
        <w:t xml:space="preserve"> pathway is </w:t>
      </w:r>
      <w:r w:rsidR="009A577A" w:rsidRPr="000749B2">
        <w:rPr>
          <w:rFonts w:ascii="Book Antiqua" w:eastAsia="Calibri" w:hAnsi="Book Antiqua" w:cs="Times New Roman"/>
          <w:color w:val="000000" w:themeColor="text1"/>
          <w:sz w:val="24"/>
          <w:szCs w:val="24"/>
        </w:rPr>
        <w:t>well known</w:t>
      </w:r>
      <w:r w:rsidR="00CE591C" w:rsidRPr="000749B2">
        <w:rPr>
          <w:rFonts w:ascii="Book Antiqua" w:eastAsia="Calibri" w:hAnsi="Book Antiqua" w:cs="Times New Roman"/>
          <w:color w:val="000000" w:themeColor="text1"/>
          <w:sz w:val="24"/>
          <w:szCs w:val="24"/>
        </w:rPr>
        <w:t xml:space="preserve"> for its pro-oncogenic and anti-apoptotic signaling and </w:t>
      </w:r>
      <w:r w:rsidR="00CE591C" w:rsidRPr="000749B2">
        <w:rPr>
          <w:rFonts w:ascii="Book Antiqua" w:eastAsia="Calibri" w:hAnsi="Book Antiqua" w:cs="Times New Roman"/>
          <w:i/>
          <w:iCs/>
          <w:color w:val="000000" w:themeColor="text1"/>
          <w:sz w:val="24"/>
          <w:szCs w:val="24"/>
        </w:rPr>
        <w:t>PI3K</w:t>
      </w:r>
      <w:r w:rsidR="00CE591C" w:rsidRPr="000749B2">
        <w:rPr>
          <w:rFonts w:ascii="Book Antiqua" w:eastAsia="Calibri" w:hAnsi="Book Antiqua" w:cs="Times New Roman"/>
          <w:color w:val="000000" w:themeColor="text1"/>
          <w:sz w:val="24"/>
          <w:szCs w:val="24"/>
        </w:rPr>
        <w:t xml:space="preserve"> mutations are common in CRC and many other human </w:t>
      </w:r>
      <w:proofErr w:type="gramStart"/>
      <w:r w:rsidR="00CE591C" w:rsidRPr="000749B2">
        <w:rPr>
          <w:rFonts w:ascii="Book Antiqua" w:eastAsia="Calibri" w:hAnsi="Book Antiqua" w:cs="Times New Roman"/>
          <w:color w:val="000000" w:themeColor="text1"/>
          <w:sz w:val="24"/>
          <w:szCs w:val="24"/>
        </w:rPr>
        <w:t>cancers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149]</w:t>
      </w:r>
      <w:r w:rsidR="002E77ED"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As demonstrated by Leystra </w:t>
      </w:r>
      <w:r w:rsidR="00A72A0C" w:rsidRPr="000749B2">
        <w:rPr>
          <w:rFonts w:ascii="Book Antiqua" w:eastAsia="Calibri" w:hAnsi="Book Antiqua" w:cs="Times New Roman"/>
          <w:i/>
          <w:iCs/>
          <w:color w:val="000000" w:themeColor="text1"/>
          <w:sz w:val="24"/>
          <w:szCs w:val="24"/>
        </w:rPr>
        <w:t xml:space="preserve">et </w:t>
      </w:r>
      <w:proofErr w:type="gramStart"/>
      <w:r w:rsidR="00A72A0C" w:rsidRPr="000749B2">
        <w:rPr>
          <w:rFonts w:ascii="Book Antiqua" w:eastAsia="Calibri" w:hAnsi="Book Antiqua" w:cs="Times New Roman"/>
          <w:i/>
          <w:iCs/>
          <w:color w:val="000000" w:themeColor="text1"/>
          <w:sz w:val="24"/>
          <w:szCs w:val="24"/>
        </w:rPr>
        <w:t>al</w:t>
      </w:r>
      <w:r w:rsidR="00A72A0C" w:rsidRPr="000749B2">
        <w:rPr>
          <w:rFonts w:ascii="Book Antiqua" w:hAnsi="Book Antiqua"/>
          <w:color w:val="000000" w:themeColor="text1"/>
          <w:sz w:val="24"/>
          <w:szCs w:val="24"/>
          <w:vertAlign w:val="superscript"/>
        </w:rPr>
        <w:t>[</w:t>
      </w:r>
      <w:proofErr w:type="gramEnd"/>
      <w:r w:rsidR="00A72A0C" w:rsidRPr="000749B2">
        <w:rPr>
          <w:rFonts w:ascii="Book Antiqua" w:hAnsi="Book Antiqua"/>
          <w:color w:val="000000" w:themeColor="text1"/>
          <w:sz w:val="24"/>
          <w:szCs w:val="24"/>
          <w:vertAlign w:val="superscript"/>
        </w:rPr>
        <w:t>150]</w:t>
      </w:r>
      <w:r w:rsidR="00CE591C" w:rsidRPr="000749B2">
        <w:rPr>
          <w:rFonts w:ascii="Book Antiqua" w:eastAsia="Calibri" w:hAnsi="Book Antiqua" w:cs="Times New Roman"/>
          <w:color w:val="000000" w:themeColor="text1"/>
          <w:sz w:val="24"/>
          <w:szCs w:val="24"/>
        </w:rPr>
        <w:t xml:space="preserve">, the intestinal expression of a constitutively active </w:t>
      </w:r>
      <w:r w:rsidR="00CE591C" w:rsidRPr="000749B2">
        <w:rPr>
          <w:rFonts w:ascii="Book Antiqua" w:eastAsia="Calibri" w:hAnsi="Book Antiqua" w:cs="Times New Roman"/>
          <w:i/>
          <w:iCs/>
          <w:color w:val="000000" w:themeColor="text1"/>
          <w:sz w:val="24"/>
          <w:szCs w:val="24"/>
        </w:rPr>
        <w:t>P</w:t>
      </w:r>
      <w:r w:rsidR="001A0041" w:rsidRPr="000749B2">
        <w:rPr>
          <w:rFonts w:ascii="Book Antiqua" w:eastAsia="Calibri" w:hAnsi="Book Antiqua" w:cs="Times New Roman"/>
          <w:i/>
          <w:iCs/>
          <w:color w:val="000000" w:themeColor="text1"/>
          <w:sz w:val="24"/>
          <w:szCs w:val="24"/>
        </w:rPr>
        <w:t>i3k</w:t>
      </w:r>
      <w:r w:rsidR="00CE591C" w:rsidRPr="000749B2">
        <w:rPr>
          <w:rFonts w:ascii="Book Antiqua" w:eastAsia="Calibri" w:hAnsi="Book Antiqua" w:cs="Times New Roman"/>
          <w:i/>
          <w:iCs/>
          <w:color w:val="000000" w:themeColor="text1"/>
          <w:sz w:val="24"/>
          <w:szCs w:val="24"/>
        </w:rPr>
        <w:t xml:space="preserve"> </w:t>
      </w:r>
      <w:r w:rsidR="00CE591C" w:rsidRPr="000749B2">
        <w:rPr>
          <w:rFonts w:ascii="Book Antiqua" w:eastAsia="Calibri" w:hAnsi="Book Antiqua" w:cs="Times New Roman"/>
          <w:color w:val="000000" w:themeColor="text1"/>
          <w:sz w:val="24"/>
          <w:szCs w:val="24"/>
        </w:rPr>
        <w:t>(</w:t>
      </w:r>
      <w:r w:rsidR="00965F53" w:rsidRPr="000749B2">
        <w:rPr>
          <w:rFonts w:ascii="Book Antiqua" w:eastAsia="Calibri" w:hAnsi="Book Antiqua" w:cs="Times New Roman"/>
          <w:color w:val="000000" w:themeColor="text1"/>
          <w:sz w:val="24"/>
          <w:szCs w:val="24"/>
        </w:rPr>
        <w:t>PIK3ca</w:t>
      </w:r>
      <w:r w:rsidR="00CE591C" w:rsidRPr="000749B2">
        <w:rPr>
          <w:rFonts w:ascii="Book Antiqua" w:eastAsia="Calibri" w:hAnsi="Book Antiqua" w:cs="Times New Roman"/>
          <w:color w:val="000000" w:themeColor="text1"/>
          <w:sz w:val="24"/>
          <w:szCs w:val="24"/>
        </w:rPr>
        <w:t xml:space="preserve">) is </w:t>
      </w:r>
      <w:r w:rsidR="009A577A" w:rsidRPr="000749B2">
        <w:rPr>
          <w:rFonts w:ascii="Book Antiqua" w:eastAsia="Calibri" w:hAnsi="Book Antiqua" w:cs="Times New Roman"/>
          <w:color w:val="000000" w:themeColor="text1"/>
          <w:sz w:val="24"/>
          <w:szCs w:val="24"/>
        </w:rPr>
        <w:t xml:space="preserve">a </w:t>
      </w:r>
      <w:r w:rsidR="00CE591C" w:rsidRPr="000749B2">
        <w:rPr>
          <w:rFonts w:ascii="Book Antiqua" w:eastAsia="Calibri" w:hAnsi="Book Antiqua" w:cs="Times New Roman"/>
          <w:color w:val="000000" w:themeColor="text1"/>
          <w:sz w:val="24"/>
          <w:szCs w:val="24"/>
        </w:rPr>
        <w:t>sufficient driver mutation to induce rapid tumorigenesis with invasion of adjacent organs</w:t>
      </w:r>
      <w:r w:rsidR="002E77ED"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and</w:t>
      </w:r>
      <w:r w:rsidR="001F2075"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addition of PIK3ca to a homozygous loss of </w:t>
      </w:r>
      <w:r w:rsidR="00965F53" w:rsidRPr="000749B2">
        <w:rPr>
          <w:rFonts w:ascii="Book Antiqua" w:eastAsia="Calibri" w:hAnsi="Book Antiqua" w:cs="Times New Roman"/>
          <w:i/>
          <w:iCs/>
          <w:color w:val="000000" w:themeColor="text1"/>
          <w:sz w:val="24"/>
          <w:szCs w:val="24"/>
        </w:rPr>
        <w:t>Apc</w:t>
      </w:r>
      <w:r w:rsidR="00965F53" w:rsidRPr="000749B2">
        <w:rPr>
          <w:rFonts w:ascii="Book Antiqua" w:eastAsia="Calibri" w:hAnsi="Book Antiqua" w:cs="Times New Roman"/>
          <w:color w:val="000000" w:themeColor="text1"/>
          <w:sz w:val="24"/>
          <w:szCs w:val="24"/>
        </w:rPr>
        <w:t>,</w:t>
      </w:r>
      <w:r w:rsidR="00CE591C" w:rsidRPr="000749B2">
        <w:rPr>
          <w:rFonts w:ascii="Book Antiqua" w:eastAsia="Calibri" w:hAnsi="Book Antiqua" w:cs="Times New Roman"/>
          <w:color w:val="000000" w:themeColor="text1"/>
          <w:sz w:val="24"/>
          <w:szCs w:val="24"/>
        </w:rPr>
        <w:t xml:space="preserve"> drives adenoma-to-carcinoma progression with metastatic spread</w:t>
      </w:r>
      <w:r w:rsidR="00C42D1B" w:rsidRPr="000749B2">
        <w:rPr>
          <w:rFonts w:ascii="Book Antiqua" w:hAnsi="Book Antiqua"/>
          <w:color w:val="000000" w:themeColor="text1"/>
          <w:sz w:val="24"/>
          <w:szCs w:val="24"/>
          <w:vertAlign w:val="superscript"/>
        </w:rPr>
        <w:t>[129]</w:t>
      </w:r>
      <w:r w:rsidR="00CE591C" w:rsidRPr="000749B2">
        <w:rPr>
          <w:rFonts w:ascii="Book Antiqua" w:eastAsia="Calibri" w:hAnsi="Book Antiqua" w:cs="Times New Roman"/>
          <w:color w:val="000000" w:themeColor="text1"/>
          <w:sz w:val="24"/>
          <w:szCs w:val="24"/>
        </w:rPr>
        <w:t xml:space="preserve">. Although loss of </w:t>
      </w:r>
      <w:r w:rsidR="00CE591C" w:rsidRPr="000749B2">
        <w:rPr>
          <w:rFonts w:ascii="Book Antiqua" w:eastAsia="Calibri" w:hAnsi="Book Antiqua" w:cs="Times New Roman"/>
          <w:i/>
          <w:iCs/>
          <w:color w:val="000000" w:themeColor="text1"/>
          <w:sz w:val="24"/>
          <w:szCs w:val="24"/>
        </w:rPr>
        <w:t>P</w:t>
      </w:r>
      <w:r w:rsidR="001A0041" w:rsidRPr="000749B2">
        <w:rPr>
          <w:rFonts w:ascii="Book Antiqua" w:eastAsia="Calibri" w:hAnsi="Book Antiqua" w:cs="Times New Roman"/>
          <w:i/>
          <w:iCs/>
          <w:color w:val="000000" w:themeColor="text1"/>
          <w:sz w:val="24"/>
          <w:szCs w:val="24"/>
        </w:rPr>
        <w:t>ten</w:t>
      </w:r>
      <w:r w:rsidR="00CE591C" w:rsidRPr="000749B2">
        <w:rPr>
          <w:rFonts w:ascii="Book Antiqua" w:eastAsia="Calibri" w:hAnsi="Book Antiqua" w:cs="Times New Roman"/>
          <w:color w:val="000000" w:themeColor="text1"/>
          <w:sz w:val="24"/>
          <w:szCs w:val="24"/>
        </w:rPr>
        <w:t xml:space="preserve">, the counterpart of </w:t>
      </w:r>
      <w:r w:rsidR="001A0041" w:rsidRPr="000749B2">
        <w:rPr>
          <w:rFonts w:ascii="Book Antiqua" w:eastAsia="Calibri" w:hAnsi="Book Antiqua" w:cs="Times New Roman"/>
          <w:i/>
          <w:iCs/>
          <w:color w:val="000000" w:themeColor="text1"/>
          <w:sz w:val="24"/>
          <w:szCs w:val="24"/>
        </w:rPr>
        <w:t>Pik3</w:t>
      </w:r>
      <w:r w:rsidR="00CE591C" w:rsidRPr="000749B2">
        <w:rPr>
          <w:rFonts w:ascii="Book Antiqua" w:eastAsia="Calibri" w:hAnsi="Book Antiqua" w:cs="Times New Roman"/>
          <w:color w:val="000000" w:themeColor="text1"/>
          <w:sz w:val="24"/>
          <w:szCs w:val="24"/>
        </w:rPr>
        <w:t>, does not affect intestinal cell proliferation</w:t>
      </w:r>
      <w:r w:rsidR="009A577A" w:rsidRPr="000749B2">
        <w:rPr>
          <w:rFonts w:ascii="Book Antiqua" w:eastAsia="Calibri" w:hAnsi="Book Antiqua" w:cs="Times New Roman"/>
          <w:color w:val="000000" w:themeColor="text1"/>
          <w:sz w:val="24"/>
          <w:szCs w:val="24"/>
        </w:rPr>
        <w:t>;</w:t>
      </w:r>
      <w:r w:rsidR="00CE591C" w:rsidRPr="000749B2">
        <w:rPr>
          <w:rFonts w:ascii="Book Antiqua" w:eastAsia="Calibri" w:hAnsi="Book Antiqua" w:cs="Times New Roman"/>
          <w:color w:val="000000" w:themeColor="text1"/>
          <w:sz w:val="24"/>
          <w:szCs w:val="24"/>
        </w:rPr>
        <w:t xml:space="preserve"> in the context of </w:t>
      </w:r>
      <w:r w:rsidR="00CE591C" w:rsidRPr="000749B2">
        <w:rPr>
          <w:rFonts w:ascii="Book Antiqua" w:eastAsia="Calibri" w:hAnsi="Book Antiqua" w:cs="Times New Roman"/>
          <w:i/>
          <w:iCs/>
          <w:color w:val="000000" w:themeColor="text1"/>
          <w:sz w:val="24"/>
          <w:szCs w:val="24"/>
        </w:rPr>
        <w:t>A</w:t>
      </w:r>
      <w:r w:rsidR="001A0041" w:rsidRPr="000749B2">
        <w:rPr>
          <w:rFonts w:ascii="Book Antiqua" w:eastAsia="Calibri" w:hAnsi="Book Antiqua" w:cs="Times New Roman"/>
          <w:i/>
          <w:iCs/>
          <w:color w:val="000000" w:themeColor="text1"/>
          <w:sz w:val="24"/>
          <w:szCs w:val="24"/>
        </w:rPr>
        <w:t>pc</w:t>
      </w:r>
      <w:r w:rsidR="00CE591C" w:rsidRPr="000749B2">
        <w:rPr>
          <w:rFonts w:ascii="Book Antiqua" w:eastAsia="Calibri" w:hAnsi="Book Antiqua" w:cs="Times New Roman"/>
          <w:color w:val="000000" w:themeColor="text1"/>
          <w:sz w:val="24"/>
          <w:szCs w:val="24"/>
        </w:rPr>
        <w:t xml:space="preserve"> deficiency or other mutations, it promotes cancer </w:t>
      </w:r>
      <w:proofErr w:type="gramStart"/>
      <w:r w:rsidR="00CE591C" w:rsidRPr="000749B2">
        <w:rPr>
          <w:rFonts w:ascii="Book Antiqua" w:eastAsia="Calibri" w:hAnsi="Book Antiqua" w:cs="Times New Roman"/>
          <w:color w:val="000000" w:themeColor="text1"/>
          <w:sz w:val="24"/>
          <w:szCs w:val="24"/>
        </w:rPr>
        <w:t>progression</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151-153]</w:t>
      </w:r>
      <w:r w:rsidR="00CE591C"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i/>
          <w:iCs/>
          <w:color w:val="000000" w:themeColor="text1"/>
          <w:sz w:val="24"/>
          <w:szCs w:val="24"/>
        </w:rPr>
        <w:t>SMAD4</w:t>
      </w:r>
      <w:r w:rsidR="00A106C5" w:rsidRPr="000749B2">
        <w:rPr>
          <w:rFonts w:ascii="Book Antiqua" w:eastAsia="Calibri" w:hAnsi="Book Antiqua" w:cs="Times New Roman"/>
          <w:color w:val="000000" w:themeColor="text1"/>
          <w:sz w:val="24"/>
          <w:szCs w:val="24"/>
        </w:rPr>
        <w:t xml:space="preserve"> is considered as a tumor suppressor</w:t>
      </w:r>
      <w:r w:rsidR="00CE591C" w:rsidRPr="000749B2">
        <w:rPr>
          <w:rFonts w:ascii="Book Antiqua" w:eastAsia="Calibri" w:hAnsi="Book Antiqua" w:cs="Times New Roman"/>
          <w:color w:val="000000" w:themeColor="text1"/>
          <w:sz w:val="24"/>
          <w:szCs w:val="24"/>
        </w:rPr>
        <w:t xml:space="preserve">, </w:t>
      </w:r>
      <w:r w:rsidR="00A106C5" w:rsidRPr="000749B2">
        <w:rPr>
          <w:rFonts w:ascii="Book Antiqua" w:eastAsia="Calibri" w:hAnsi="Book Antiqua" w:cs="Times New Roman"/>
          <w:color w:val="000000" w:themeColor="text1"/>
          <w:sz w:val="24"/>
          <w:szCs w:val="24"/>
        </w:rPr>
        <w:t>similar to</w:t>
      </w:r>
      <w:r w:rsidR="00CE591C" w:rsidRPr="000749B2">
        <w:rPr>
          <w:rFonts w:ascii="Book Antiqua" w:eastAsia="Calibri" w:hAnsi="Book Antiqua" w:cs="Times New Roman"/>
          <w:color w:val="000000" w:themeColor="text1"/>
          <w:sz w:val="24"/>
          <w:szCs w:val="24"/>
        </w:rPr>
        <w:t xml:space="preserve"> other constitutes of the TGFβ-</w:t>
      </w:r>
      <w:proofErr w:type="gramStart"/>
      <w:r w:rsidR="00CE591C" w:rsidRPr="000749B2">
        <w:rPr>
          <w:rFonts w:ascii="Book Antiqua" w:eastAsia="Calibri" w:hAnsi="Book Antiqua" w:cs="Times New Roman"/>
          <w:color w:val="000000" w:themeColor="text1"/>
          <w:sz w:val="24"/>
          <w:szCs w:val="24"/>
        </w:rPr>
        <w:t>pathway</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154,155]</w:t>
      </w:r>
      <w:r w:rsidR="002E77ED"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Since </w:t>
      </w:r>
      <w:r w:rsidR="00A07AE2" w:rsidRPr="000749B2">
        <w:rPr>
          <w:rFonts w:ascii="Book Antiqua" w:eastAsia="Calibri" w:hAnsi="Book Antiqua" w:cs="Times New Roman"/>
          <w:color w:val="000000" w:themeColor="text1"/>
          <w:sz w:val="24"/>
          <w:szCs w:val="24"/>
        </w:rPr>
        <w:t xml:space="preserve">the </w:t>
      </w:r>
      <w:r w:rsidR="00CE591C" w:rsidRPr="000749B2">
        <w:rPr>
          <w:rFonts w:ascii="Book Antiqua" w:eastAsia="Calibri" w:hAnsi="Book Antiqua" w:cs="Times New Roman"/>
          <w:color w:val="000000" w:themeColor="text1"/>
          <w:sz w:val="24"/>
          <w:szCs w:val="24"/>
        </w:rPr>
        <w:t xml:space="preserve">genes </w:t>
      </w:r>
      <w:r w:rsidR="00CE591C" w:rsidRPr="000749B2">
        <w:rPr>
          <w:rFonts w:ascii="Book Antiqua" w:eastAsia="Calibri" w:hAnsi="Book Antiqua" w:cs="Times New Roman"/>
          <w:i/>
          <w:iCs/>
          <w:color w:val="000000" w:themeColor="text1"/>
          <w:sz w:val="24"/>
          <w:szCs w:val="24"/>
        </w:rPr>
        <w:t>A</w:t>
      </w:r>
      <w:r w:rsidR="001A0041" w:rsidRPr="000749B2">
        <w:rPr>
          <w:rFonts w:ascii="Book Antiqua" w:eastAsia="Calibri" w:hAnsi="Book Antiqua" w:cs="Times New Roman"/>
          <w:i/>
          <w:iCs/>
          <w:color w:val="000000" w:themeColor="text1"/>
          <w:sz w:val="24"/>
          <w:szCs w:val="24"/>
        </w:rPr>
        <w:t>pc</w:t>
      </w:r>
      <w:r w:rsidR="001A0041" w:rsidRPr="000749B2">
        <w:rPr>
          <w:rFonts w:ascii="Book Antiqua" w:eastAsia="Calibri" w:hAnsi="Book Antiqua" w:cs="Times New Roman"/>
          <w:color w:val="000000" w:themeColor="text1"/>
          <w:sz w:val="24"/>
          <w:szCs w:val="24"/>
        </w:rPr>
        <w:t>,</w:t>
      </w:r>
      <w:r w:rsidR="00CE591C"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i/>
          <w:iCs/>
          <w:color w:val="000000" w:themeColor="text1"/>
          <w:sz w:val="24"/>
          <w:szCs w:val="24"/>
        </w:rPr>
        <w:t>S</w:t>
      </w:r>
      <w:r w:rsidR="001A0041" w:rsidRPr="000749B2">
        <w:rPr>
          <w:rFonts w:ascii="Book Antiqua" w:eastAsia="Calibri" w:hAnsi="Book Antiqua" w:cs="Times New Roman"/>
          <w:i/>
          <w:iCs/>
          <w:color w:val="000000" w:themeColor="text1"/>
          <w:sz w:val="24"/>
          <w:szCs w:val="24"/>
        </w:rPr>
        <w:t>mad</w:t>
      </w:r>
      <w:r w:rsidR="00CE591C" w:rsidRPr="000749B2">
        <w:rPr>
          <w:rFonts w:ascii="Book Antiqua" w:eastAsia="Calibri" w:hAnsi="Book Antiqua" w:cs="Times New Roman"/>
          <w:i/>
          <w:iCs/>
          <w:color w:val="000000" w:themeColor="text1"/>
          <w:sz w:val="24"/>
          <w:szCs w:val="24"/>
        </w:rPr>
        <w:t>2</w:t>
      </w:r>
      <w:r w:rsidR="00CE591C" w:rsidRPr="000749B2">
        <w:rPr>
          <w:rFonts w:ascii="Book Antiqua" w:eastAsia="Calibri" w:hAnsi="Book Antiqua" w:cs="Times New Roman"/>
          <w:color w:val="000000" w:themeColor="text1"/>
          <w:sz w:val="24"/>
          <w:szCs w:val="24"/>
        </w:rPr>
        <w:t xml:space="preserve"> and</w:t>
      </w:r>
      <w:r w:rsidR="00CE591C" w:rsidRPr="000749B2">
        <w:rPr>
          <w:rFonts w:ascii="Book Antiqua" w:eastAsia="Calibri" w:hAnsi="Book Antiqua" w:cs="Times New Roman"/>
          <w:i/>
          <w:iCs/>
          <w:color w:val="000000" w:themeColor="text1"/>
          <w:sz w:val="24"/>
          <w:szCs w:val="24"/>
        </w:rPr>
        <w:t xml:space="preserve"> S</w:t>
      </w:r>
      <w:r w:rsidR="001A0041" w:rsidRPr="000749B2">
        <w:rPr>
          <w:rFonts w:ascii="Book Antiqua" w:eastAsia="Calibri" w:hAnsi="Book Antiqua" w:cs="Times New Roman"/>
          <w:i/>
          <w:iCs/>
          <w:color w:val="000000" w:themeColor="text1"/>
          <w:sz w:val="24"/>
          <w:szCs w:val="24"/>
        </w:rPr>
        <w:t>mad</w:t>
      </w:r>
      <w:r w:rsidR="00CE591C" w:rsidRPr="000749B2">
        <w:rPr>
          <w:rFonts w:ascii="Book Antiqua" w:eastAsia="Calibri" w:hAnsi="Book Antiqua" w:cs="Times New Roman"/>
          <w:i/>
          <w:iCs/>
          <w:color w:val="000000" w:themeColor="text1"/>
          <w:sz w:val="24"/>
          <w:szCs w:val="24"/>
        </w:rPr>
        <w:t>4</w:t>
      </w:r>
      <w:r w:rsidR="00CE591C" w:rsidRPr="000749B2">
        <w:rPr>
          <w:rFonts w:ascii="Book Antiqua" w:eastAsia="Calibri" w:hAnsi="Book Antiqua" w:cs="Times New Roman"/>
          <w:color w:val="000000" w:themeColor="text1"/>
          <w:sz w:val="24"/>
          <w:szCs w:val="24"/>
        </w:rPr>
        <w:t xml:space="preserve"> are all located on chromosome 18 in the mouse, they are suited to generate distinct cis- and trans compound heterozygotes by meiotic recombination. Compared to their single mutation littermates, mice with combined </w:t>
      </w:r>
      <w:r w:rsidR="001A0041" w:rsidRPr="000749B2">
        <w:rPr>
          <w:rFonts w:ascii="Book Antiqua" w:eastAsia="Calibri" w:hAnsi="Book Antiqua" w:cs="Times New Roman"/>
          <w:i/>
          <w:iCs/>
          <w:color w:val="000000" w:themeColor="text1"/>
          <w:sz w:val="24"/>
          <w:szCs w:val="24"/>
        </w:rPr>
        <w:t>Apc</w:t>
      </w:r>
      <w:r w:rsidR="00CE591C" w:rsidRPr="000749B2">
        <w:rPr>
          <w:rFonts w:ascii="Book Antiqua" w:eastAsia="Calibri" w:hAnsi="Book Antiqua" w:cs="Times New Roman"/>
          <w:color w:val="000000" w:themeColor="text1"/>
          <w:sz w:val="24"/>
          <w:szCs w:val="24"/>
        </w:rPr>
        <w:t xml:space="preserve"> and </w:t>
      </w:r>
      <w:r w:rsidR="00CE591C" w:rsidRPr="000749B2">
        <w:rPr>
          <w:rFonts w:ascii="Book Antiqua" w:eastAsia="Calibri" w:hAnsi="Book Antiqua" w:cs="Times New Roman"/>
          <w:i/>
          <w:iCs/>
          <w:color w:val="000000" w:themeColor="text1"/>
          <w:sz w:val="24"/>
          <w:szCs w:val="24"/>
        </w:rPr>
        <w:t>S</w:t>
      </w:r>
      <w:r w:rsidR="001A0041" w:rsidRPr="000749B2">
        <w:rPr>
          <w:rFonts w:ascii="Book Antiqua" w:eastAsia="Calibri" w:hAnsi="Book Antiqua" w:cs="Times New Roman"/>
          <w:i/>
          <w:iCs/>
          <w:color w:val="000000" w:themeColor="text1"/>
          <w:sz w:val="24"/>
          <w:szCs w:val="24"/>
        </w:rPr>
        <w:t>mad</w:t>
      </w:r>
      <w:r w:rsidR="00CE591C" w:rsidRPr="000749B2">
        <w:rPr>
          <w:rFonts w:ascii="Book Antiqua" w:eastAsia="Calibri" w:hAnsi="Book Antiqua" w:cs="Times New Roman"/>
          <w:i/>
          <w:iCs/>
          <w:color w:val="000000" w:themeColor="text1"/>
          <w:sz w:val="24"/>
          <w:szCs w:val="24"/>
        </w:rPr>
        <w:t xml:space="preserve">4 </w:t>
      </w:r>
      <w:r w:rsidR="00CE591C" w:rsidRPr="000749B2">
        <w:rPr>
          <w:rFonts w:ascii="Book Antiqua" w:eastAsia="Calibri" w:hAnsi="Book Antiqua" w:cs="Times New Roman"/>
          <w:color w:val="000000" w:themeColor="text1"/>
          <w:sz w:val="24"/>
          <w:szCs w:val="24"/>
        </w:rPr>
        <w:t>mutation</w:t>
      </w:r>
      <w:r w:rsidR="000D7DDD" w:rsidRPr="000749B2">
        <w:rPr>
          <w:rFonts w:ascii="Book Antiqua" w:eastAsia="Calibri" w:hAnsi="Book Antiqua" w:cs="Times New Roman"/>
          <w:color w:val="000000" w:themeColor="text1"/>
          <w:sz w:val="24"/>
          <w:szCs w:val="24"/>
        </w:rPr>
        <w:t>s</w:t>
      </w:r>
      <w:r w:rsidR="00CE591C" w:rsidRPr="000749B2">
        <w:rPr>
          <w:rFonts w:ascii="Book Antiqua" w:eastAsia="Calibri" w:hAnsi="Book Antiqua" w:cs="Times New Roman"/>
          <w:color w:val="000000" w:themeColor="text1"/>
          <w:sz w:val="24"/>
          <w:szCs w:val="24"/>
        </w:rPr>
        <w:t xml:space="preserve">, show accelerated tumor </w:t>
      </w:r>
      <w:proofErr w:type="gramStart"/>
      <w:r w:rsidR="00CE591C" w:rsidRPr="000749B2">
        <w:rPr>
          <w:rFonts w:ascii="Book Antiqua" w:eastAsia="Calibri" w:hAnsi="Book Antiqua" w:cs="Times New Roman"/>
          <w:color w:val="000000" w:themeColor="text1"/>
          <w:sz w:val="24"/>
          <w:szCs w:val="24"/>
        </w:rPr>
        <w:t>development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156]</w:t>
      </w:r>
      <w:r w:rsidR="0090022B"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and increased malignancy</w:t>
      </w:r>
      <w:r w:rsidR="00C42D1B" w:rsidRPr="000749B2">
        <w:rPr>
          <w:rFonts w:ascii="Book Antiqua" w:hAnsi="Book Antiqua"/>
          <w:color w:val="000000" w:themeColor="text1"/>
          <w:sz w:val="24"/>
          <w:szCs w:val="24"/>
          <w:vertAlign w:val="superscript"/>
        </w:rPr>
        <w:t>[157,158]</w:t>
      </w:r>
      <w:r w:rsidR="00CE591C" w:rsidRPr="000749B2">
        <w:rPr>
          <w:rFonts w:ascii="Book Antiqua" w:eastAsia="Calibri" w:hAnsi="Book Antiqua" w:cs="Times New Roman"/>
          <w:color w:val="000000" w:themeColor="text1"/>
          <w:sz w:val="24"/>
          <w:szCs w:val="24"/>
        </w:rPr>
        <w:t xml:space="preserve">. In contrast, compound heterozygotes of </w:t>
      </w:r>
      <w:r w:rsidR="001A0041" w:rsidRPr="000749B2">
        <w:rPr>
          <w:rFonts w:ascii="Book Antiqua" w:eastAsia="Calibri" w:hAnsi="Book Antiqua" w:cs="Times New Roman"/>
          <w:i/>
          <w:iCs/>
          <w:color w:val="000000" w:themeColor="text1"/>
          <w:sz w:val="24"/>
          <w:szCs w:val="24"/>
        </w:rPr>
        <w:t>Apc</w:t>
      </w:r>
      <w:r w:rsidR="00CE591C" w:rsidRPr="000749B2">
        <w:rPr>
          <w:rFonts w:ascii="Book Antiqua" w:eastAsia="Calibri" w:hAnsi="Book Antiqua" w:cs="Times New Roman"/>
          <w:color w:val="000000" w:themeColor="text1"/>
          <w:sz w:val="24"/>
          <w:szCs w:val="24"/>
        </w:rPr>
        <w:t xml:space="preserve"> and </w:t>
      </w:r>
      <w:r w:rsidR="00CE591C" w:rsidRPr="000749B2">
        <w:rPr>
          <w:rFonts w:ascii="Book Antiqua" w:eastAsia="Calibri" w:hAnsi="Book Antiqua" w:cs="Times New Roman"/>
          <w:i/>
          <w:iCs/>
          <w:color w:val="000000" w:themeColor="text1"/>
          <w:sz w:val="24"/>
          <w:szCs w:val="24"/>
        </w:rPr>
        <w:t>S</w:t>
      </w:r>
      <w:r w:rsidR="001A0041" w:rsidRPr="000749B2">
        <w:rPr>
          <w:rFonts w:ascii="Book Antiqua" w:eastAsia="Calibri" w:hAnsi="Book Antiqua" w:cs="Times New Roman"/>
          <w:i/>
          <w:iCs/>
          <w:color w:val="000000" w:themeColor="text1"/>
          <w:sz w:val="24"/>
          <w:szCs w:val="24"/>
        </w:rPr>
        <w:t>mad</w:t>
      </w:r>
      <w:r w:rsidR="00CE591C" w:rsidRPr="000749B2">
        <w:rPr>
          <w:rFonts w:ascii="Book Antiqua" w:eastAsia="Calibri" w:hAnsi="Book Antiqua" w:cs="Times New Roman"/>
          <w:i/>
          <w:iCs/>
          <w:color w:val="000000" w:themeColor="text1"/>
          <w:sz w:val="24"/>
          <w:szCs w:val="24"/>
        </w:rPr>
        <w:t>2</w:t>
      </w:r>
      <w:r w:rsidR="00CE591C" w:rsidRPr="000749B2">
        <w:rPr>
          <w:rFonts w:ascii="Book Antiqua" w:eastAsia="Calibri" w:hAnsi="Book Antiqua" w:cs="Times New Roman"/>
          <w:color w:val="000000" w:themeColor="text1"/>
          <w:sz w:val="24"/>
          <w:szCs w:val="24"/>
        </w:rPr>
        <w:t xml:space="preserve"> mutations show no increased tumor development compared to littermates with a single </w:t>
      </w:r>
      <w:r w:rsidR="001A0041" w:rsidRPr="000749B2">
        <w:rPr>
          <w:rFonts w:ascii="Book Antiqua" w:eastAsia="Calibri" w:hAnsi="Book Antiqua" w:cs="Times New Roman"/>
          <w:i/>
          <w:iCs/>
          <w:color w:val="000000" w:themeColor="text1"/>
          <w:sz w:val="24"/>
          <w:szCs w:val="24"/>
        </w:rPr>
        <w:t>Apc</w:t>
      </w:r>
      <w:r w:rsidR="00CE591C" w:rsidRPr="000749B2">
        <w:rPr>
          <w:rFonts w:ascii="Book Antiqua" w:eastAsia="Calibri" w:hAnsi="Book Antiqua" w:cs="Times New Roman"/>
          <w:color w:val="000000" w:themeColor="text1"/>
          <w:sz w:val="24"/>
          <w:szCs w:val="24"/>
        </w:rPr>
        <w:t xml:space="preserve"> </w:t>
      </w:r>
      <w:proofErr w:type="gramStart"/>
      <w:r w:rsidR="00CE591C" w:rsidRPr="000749B2">
        <w:rPr>
          <w:rFonts w:ascii="Book Antiqua" w:eastAsia="Calibri" w:hAnsi="Book Antiqua" w:cs="Times New Roman"/>
          <w:color w:val="000000" w:themeColor="text1"/>
          <w:sz w:val="24"/>
          <w:szCs w:val="24"/>
        </w:rPr>
        <w:t>mutation</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159]</w:t>
      </w:r>
      <w:r w:rsidR="0090022B"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Notably, homozygous </w:t>
      </w:r>
      <w:r w:rsidR="00CE591C" w:rsidRPr="000749B2">
        <w:rPr>
          <w:rFonts w:ascii="Book Antiqua" w:eastAsia="Calibri" w:hAnsi="Book Antiqua" w:cs="Times New Roman"/>
          <w:i/>
          <w:iCs/>
          <w:color w:val="000000" w:themeColor="text1"/>
          <w:sz w:val="24"/>
          <w:szCs w:val="24"/>
        </w:rPr>
        <w:t>S</w:t>
      </w:r>
      <w:r w:rsidR="001A0041" w:rsidRPr="000749B2">
        <w:rPr>
          <w:rFonts w:ascii="Book Antiqua" w:eastAsia="Calibri" w:hAnsi="Book Antiqua" w:cs="Times New Roman"/>
          <w:i/>
          <w:iCs/>
          <w:color w:val="000000" w:themeColor="text1"/>
          <w:sz w:val="24"/>
          <w:szCs w:val="24"/>
        </w:rPr>
        <w:t>mad</w:t>
      </w:r>
      <w:r w:rsidR="00CE591C" w:rsidRPr="000749B2">
        <w:rPr>
          <w:rFonts w:ascii="Book Antiqua" w:eastAsia="Calibri" w:hAnsi="Book Antiqua" w:cs="Times New Roman"/>
          <w:i/>
          <w:iCs/>
          <w:color w:val="000000" w:themeColor="text1"/>
          <w:sz w:val="24"/>
          <w:szCs w:val="24"/>
        </w:rPr>
        <w:t>3</w:t>
      </w:r>
      <w:r w:rsidR="00CE591C" w:rsidRPr="000749B2">
        <w:rPr>
          <w:rFonts w:ascii="Book Antiqua" w:eastAsia="Calibri" w:hAnsi="Book Antiqua" w:cs="Times New Roman"/>
          <w:color w:val="000000" w:themeColor="text1"/>
          <w:sz w:val="24"/>
          <w:szCs w:val="24"/>
        </w:rPr>
        <w:t xml:space="preserve"> mutation leads to aggressive </w:t>
      </w:r>
      <w:r w:rsidR="00A106C5" w:rsidRPr="000749B2">
        <w:rPr>
          <w:rFonts w:ascii="Book Antiqua" w:eastAsia="Calibri" w:hAnsi="Book Antiqua" w:cs="Times New Roman"/>
          <w:color w:val="000000" w:themeColor="text1"/>
          <w:sz w:val="24"/>
          <w:szCs w:val="24"/>
        </w:rPr>
        <w:t>CRC</w:t>
      </w:r>
      <w:r w:rsidR="00CE591C" w:rsidRPr="000749B2">
        <w:rPr>
          <w:rFonts w:ascii="Book Antiqua" w:eastAsia="Calibri" w:hAnsi="Book Antiqua" w:cs="Times New Roman"/>
          <w:color w:val="000000" w:themeColor="text1"/>
          <w:sz w:val="24"/>
          <w:szCs w:val="24"/>
        </w:rPr>
        <w:t xml:space="preserve"> with lymphatic spread and, upon </w:t>
      </w:r>
      <w:r w:rsidR="001A0041" w:rsidRPr="000749B2">
        <w:rPr>
          <w:rFonts w:ascii="Book Antiqua" w:eastAsia="Calibri" w:hAnsi="Book Antiqua" w:cs="Times New Roman"/>
          <w:i/>
          <w:iCs/>
          <w:color w:val="000000" w:themeColor="text1"/>
          <w:sz w:val="24"/>
          <w:szCs w:val="24"/>
        </w:rPr>
        <w:t>Apc</w:t>
      </w:r>
      <w:r w:rsidR="001A0041"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deficiency, drastically reduced life </w:t>
      </w:r>
      <w:proofErr w:type="gramStart"/>
      <w:r w:rsidR="00CE591C" w:rsidRPr="000749B2">
        <w:rPr>
          <w:rFonts w:ascii="Book Antiqua" w:eastAsia="Calibri" w:hAnsi="Book Antiqua" w:cs="Times New Roman"/>
          <w:color w:val="000000" w:themeColor="text1"/>
          <w:sz w:val="24"/>
          <w:szCs w:val="24"/>
        </w:rPr>
        <w:t>span</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160,161]</w:t>
      </w:r>
      <w:r w:rsidR="0090022B"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but </w:t>
      </w:r>
      <w:r w:rsidR="001A0041" w:rsidRPr="000749B2">
        <w:rPr>
          <w:rFonts w:ascii="Book Antiqua" w:eastAsia="Calibri" w:hAnsi="Book Antiqua" w:cs="Times New Roman"/>
          <w:i/>
          <w:iCs/>
          <w:color w:val="000000" w:themeColor="text1"/>
          <w:sz w:val="24"/>
          <w:szCs w:val="24"/>
        </w:rPr>
        <w:t>SMAD3</w:t>
      </w:r>
      <w:r w:rsidR="00A106C5"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is rarely </w:t>
      </w:r>
      <w:r w:rsidR="00CE591C" w:rsidRPr="000749B2">
        <w:rPr>
          <w:rFonts w:ascii="Book Antiqua" w:eastAsia="Calibri" w:hAnsi="Book Antiqua" w:cs="Times New Roman"/>
          <w:color w:val="000000" w:themeColor="text1"/>
          <w:sz w:val="24"/>
          <w:szCs w:val="24"/>
        </w:rPr>
        <w:lastRenderedPageBreak/>
        <w:t>mutated in human CRC</w:t>
      </w:r>
      <w:r w:rsidR="00C42D1B" w:rsidRPr="000749B2">
        <w:rPr>
          <w:rFonts w:ascii="Book Antiqua" w:hAnsi="Book Antiqua"/>
          <w:color w:val="000000" w:themeColor="text1"/>
          <w:sz w:val="24"/>
          <w:szCs w:val="24"/>
          <w:vertAlign w:val="superscript"/>
        </w:rPr>
        <w:t>[162]</w:t>
      </w:r>
      <w:r w:rsidR="00CE591C" w:rsidRPr="000749B2">
        <w:rPr>
          <w:rFonts w:ascii="Book Antiqua" w:eastAsia="Calibri" w:hAnsi="Book Antiqua" w:cs="Times New Roman"/>
          <w:color w:val="000000" w:themeColor="text1"/>
          <w:sz w:val="24"/>
          <w:szCs w:val="24"/>
        </w:rPr>
        <w:t xml:space="preserve">. Findings from several CRC-GEMM highlight the role of TGFβ-signaling as a strong tumor suppressor, since </w:t>
      </w:r>
      <w:proofErr w:type="gramStart"/>
      <w:r w:rsidR="00CE591C" w:rsidRPr="000749B2">
        <w:rPr>
          <w:rFonts w:ascii="Book Antiqua" w:eastAsia="Calibri" w:hAnsi="Book Antiqua" w:cs="Times New Roman"/>
          <w:i/>
          <w:iCs/>
          <w:color w:val="000000" w:themeColor="text1"/>
          <w:sz w:val="24"/>
          <w:szCs w:val="24"/>
        </w:rPr>
        <w:t>T</w:t>
      </w:r>
      <w:r w:rsidR="001A0041" w:rsidRPr="000749B2">
        <w:rPr>
          <w:rFonts w:ascii="Book Antiqua" w:eastAsia="Calibri" w:hAnsi="Book Antiqua" w:cs="Times New Roman"/>
          <w:i/>
          <w:iCs/>
          <w:color w:val="000000" w:themeColor="text1"/>
          <w:sz w:val="24"/>
          <w:szCs w:val="24"/>
        </w:rPr>
        <w:t>gf</w:t>
      </w:r>
      <w:r w:rsidR="001A0041" w:rsidRPr="000749B2">
        <w:rPr>
          <w:rFonts w:ascii="Book Antiqua" w:eastAsia="Calibri" w:hAnsi="Book Antiqua" w:cs="Calibri"/>
          <w:i/>
          <w:iCs/>
          <w:color w:val="000000" w:themeColor="text1"/>
          <w:sz w:val="24"/>
          <w:szCs w:val="24"/>
        </w:rPr>
        <w:t>β</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163-165]</w:t>
      </w:r>
      <w:r w:rsidR="00CE591C" w:rsidRPr="000749B2">
        <w:rPr>
          <w:rFonts w:ascii="Book Antiqua" w:eastAsia="Calibri" w:hAnsi="Book Antiqua" w:cs="Times New Roman"/>
          <w:color w:val="000000" w:themeColor="text1"/>
          <w:sz w:val="24"/>
          <w:szCs w:val="24"/>
        </w:rPr>
        <w:t xml:space="preserve">, as well as </w:t>
      </w:r>
      <w:r w:rsidR="001A0041" w:rsidRPr="000749B2">
        <w:rPr>
          <w:rFonts w:ascii="Book Antiqua" w:eastAsia="Calibri" w:hAnsi="Book Antiqua" w:cs="Times New Roman"/>
          <w:i/>
          <w:iCs/>
          <w:color w:val="000000" w:themeColor="text1"/>
          <w:sz w:val="24"/>
          <w:szCs w:val="24"/>
        </w:rPr>
        <w:t>Tgf</w:t>
      </w:r>
      <w:r w:rsidR="001A0041" w:rsidRPr="000749B2">
        <w:rPr>
          <w:rFonts w:ascii="Book Antiqua" w:eastAsia="Calibri" w:hAnsi="Book Antiqua" w:cs="Calibri"/>
          <w:i/>
          <w:iCs/>
          <w:color w:val="000000" w:themeColor="text1"/>
          <w:sz w:val="24"/>
          <w:szCs w:val="24"/>
        </w:rPr>
        <w:t>β</w:t>
      </w:r>
      <w:r w:rsidR="00CE591C" w:rsidRPr="000749B2">
        <w:rPr>
          <w:rFonts w:ascii="Book Antiqua" w:eastAsia="Calibri" w:hAnsi="Book Antiqua" w:cs="Times New Roman"/>
          <w:color w:val="000000" w:themeColor="text1"/>
          <w:sz w:val="24"/>
          <w:szCs w:val="24"/>
        </w:rPr>
        <w:t>-receptor 2</w:t>
      </w:r>
      <w:r w:rsidR="00C42D1B" w:rsidRPr="000749B2">
        <w:rPr>
          <w:rFonts w:ascii="Book Antiqua" w:hAnsi="Book Antiqua"/>
          <w:color w:val="000000" w:themeColor="text1"/>
          <w:sz w:val="24"/>
          <w:szCs w:val="24"/>
          <w:vertAlign w:val="superscript"/>
        </w:rPr>
        <w:t>[140,166,167]</w:t>
      </w:r>
      <w:r w:rsidR="00CE591C" w:rsidRPr="000749B2">
        <w:rPr>
          <w:rFonts w:ascii="Book Antiqua" w:eastAsia="Calibri" w:hAnsi="Book Antiqua" w:cs="Times New Roman"/>
          <w:color w:val="000000" w:themeColor="text1"/>
          <w:sz w:val="24"/>
          <w:szCs w:val="24"/>
        </w:rPr>
        <w:t xml:space="preserve"> knockout, induce local invasion and metastatic spread</w:t>
      </w:r>
      <w:r w:rsidR="00C03987"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Regarding the role of </w:t>
      </w:r>
      <w:r w:rsidR="00CE591C" w:rsidRPr="000749B2">
        <w:rPr>
          <w:rFonts w:ascii="Book Antiqua" w:eastAsia="Calibri" w:hAnsi="Book Antiqua" w:cs="Times New Roman"/>
          <w:i/>
          <w:iCs/>
          <w:color w:val="000000" w:themeColor="text1"/>
          <w:sz w:val="24"/>
          <w:szCs w:val="24"/>
        </w:rPr>
        <w:t>TCF7L2</w:t>
      </w:r>
      <w:r w:rsidR="00CE591C" w:rsidRPr="000749B2">
        <w:rPr>
          <w:rFonts w:ascii="Book Antiqua" w:eastAsia="Calibri" w:hAnsi="Book Antiqua" w:cs="Times New Roman"/>
          <w:color w:val="000000" w:themeColor="text1"/>
          <w:sz w:val="24"/>
          <w:szCs w:val="24"/>
        </w:rPr>
        <w:t xml:space="preserve"> mutations in CRC, so far</w:t>
      </w:r>
      <w:r w:rsidR="00F812D5"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no GEMM of CRC addressing this topic </w:t>
      </w:r>
      <w:r w:rsidR="00A07AE2" w:rsidRPr="000749B2">
        <w:rPr>
          <w:rFonts w:ascii="Book Antiqua" w:eastAsia="Calibri" w:hAnsi="Book Antiqua" w:cs="Times New Roman"/>
          <w:color w:val="000000" w:themeColor="text1"/>
          <w:sz w:val="24"/>
          <w:szCs w:val="24"/>
        </w:rPr>
        <w:t>have been published</w:t>
      </w:r>
      <w:r w:rsidR="00CE591C" w:rsidRPr="000749B2">
        <w:rPr>
          <w:rFonts w:ascii="Book Antiqua" w:eastAsia="Calibri" w:hAnsi="Book Antiqua" w:cs="Times New Roman"/>
          <w:color w:val="000000" w:themeColor="text1"/>
          <w:sz w:val="24"/>
          <w:szCs w:val="24"/>
        </w:rPr>
        <w:t xml:space="preserve">. Besides the conventional adenoma-carcinoma sequence, the serrated pathway represents an alternative route of </w:t>
      </w:r>
      <w:r w:rsidR="00A106C5" w:rsidRPr="000749B2">
        <w:rPr>
          <w:rFonts w:ascii="Book Antiqua" w:eastAsia="Calibri" w:hAnsi="Book Antiqua" w:cs="Times New Roman"/>
          <w:color w:val="000000" w:themeColor="text1"/>
          <w:sz w:val="24"/>
          <w:szCs w:val="24"/>
        </w:rPr>
        <w:t>CRC</w:t>
      </w:r>
      <w:r w:rsidR="00CE591C" w:rsidRPr="000749B2">
        <w:rPr>
          <w:rFonts w:ascii="Book Antiqua" w:eastAsia="Calibri" w:hAnsi="Book Antiqua" w:cs="Times New Roman"/>
          <w:color w:val="000000" w:themeColor="text1"/>
          <w:sz w:val="24"/>
          <w:szCs w:val="24"/>
        </w:rPr>
        <w:t xml:space="preserve"> development with distinct molecular and clinical features. The underlying </w:t>
      </w:r>
      <w:r w:rsidR="00CE591C" w:rsidRPr="000749B2">
        <w:rPr>
          <w:rFonts w:ascii="Book Antiqua" w:eastAsia="Calibri" w:hAnsi="Book Antiqua" w:cs="Times New Roman"/>
          <w:i/>
          <w:iCs/>
          <w:color w:val="000000" w:themeColor="text1"/>
          <w:sz w:val="24"/>
          <w:szCs w:val="24"/>
        </w:rPr>
        <w:t>BRAF</w:t>
      </w:r>
      <w:r w:rsidR="00CE591C" w:rsidRPr="000749B2">
        <w:rPr>
          <w:rFonts w:ascii="Book Antiqua" w:eastAsia="Calibri" w:hAnsi="Book Antiqua" w:cs="Times New Roman"/>
          <w:i/>
          <w:iCs/>
          <w:color w:val="000000" w:themeColor="text1"/>
          <w:sz w:val="24"/>
          <w:szCs w:val="24"/>
          <w:vertAlign w:val="superscript"/>
        </w:rPr>
        <w:t>V600E</w:t>
      </w:r>
      <w:r w:rsidR="00CE591C" w:rsidRPr="000749B2">
        <w:rPr>
          <w:rFonts w:ascii="Book Antiqua" w:eastAsia="Calibri" w:hAnsi="Book Antiqua" w:cs="Times New Roman"/>
          <w:color w:val="000000" w:themeColor="text1"/>
          <w:sz w:val="24"/>
          <w:szCs w:val="24"/>
        </w:rPr>
        <w:t xml:space="preserve"> mutation occurs in 15</w:t>
      </w:r>
      <w:r w:rsidR="00A72A0C" w:rsidRPr="000749B2">
        <w:rPr>
          <w:rFonts w:ascii="Book Antiqua" w:eastAsia="Calibri" w:hAnsi="Book Antiqua" w:cs="Times New Roman"/>
          <w:color w:val="000000" w:themeColor="text1"/>
          <w:sz w:val="24"/>
          <w:szCs w:val="24"/>
        </w:rPr>
        <w:t>%</w:t>
      </w:r>
      <w:r w:rsidR="00CE591C" w:rsidRPr="000749B2">
        <w:rPr>
          <w:rFonts w:ascii="Book Antiqua" w:eastAsia="Calibri" w:hAnsi="Book Antiqua" w:cs="Times New Roman"/>
          <w:color w:val="000000" w:themeColor="text1"/>
          <w:sz w:val="24"/>
          <w:szCs w:val="24"/>
        </w:rPr>
        <w:t>-20% of sporadic CRC, causes a constitutive activation of the MAPK/ERK pathway and is strongly associated with the CpG Island methylator phenotype and</w:t>
      </w:r>
      <w:r w:rsidR="00A07AE2" w:rsidRPr="000749B2">
        <w:rPr>
          <w:rFonts w:ascii="Book Antiqua" w:eastAsia="Calibri" w:hAnsi="Book Antiqua" w:cs="Times New Roman"/>
          <w:color w:val="000000" w:themeColor="text1"/>
          <w:sz w:val="24"/>
          <w:szCs w:val="24"/>
        </w:rPr>
        <w:t xml:space="preserve"> microsatellite instability</w:t>
      </w:r>
      <w:r w:rsidR="00CE591C" w:rsidRPr="000749B2">
        <w:rPr>
          <w:rFonts w:ascii="Book Antiqua" w:eastAsia="Calibri" w:hAnsi="Book Antiqua" w:cs="Times New Roman"/>
          <w:color w:val="000000" w:themeColor="text1"/>
          <w:sz w:val="24"/>
          <w:szCs w:val="24"/>
        </w:rPr>
        <w:t xml:space="preserve"> </w:t>
      </w:r>
      <w:r w:rsidR="00A07AE2" w:rsidRPr="000749B2">
        <w:rPr>
          <w:rFonts w:ascii="Book Antiqua" w:eastAsia="Calibri" w:hAnsi="Book Antiqua" w:cs="Times New Roman"/>
          <w:color w:val="000000" w:themeColor="text1"/>
          <w:sz w:val="24"/>
          <w:szCs w:val="24"/>
        </w:rPr>
        <w:t>(</w:t>
      </w:r>
      <w:r w:rsidR="00CE591C" w:rsidRPr="000749B2">
        <w:rPr>
          <w:rFonts w:ascii="Book Antiqua" w:eastAsia="Calibri" w:hAnsi="Book Antiqua" w:cs="Times New Roman"/>
          <w:color w:val="000000" w:themeColor="text1"/>
          <w:sz w:val="24"/>
          <w:szCs w:val="24"/>
        </w:rPr>
        <w:t>MSI</w:t>
      </w:r>
      <w:r w:rsidR="00A07AE2" w:rsidRPr="000749B2">
        <w:rPr>
          <w:rFonts w:ascii="Book Antiqua" w:eastAsia="Calibri" w:hAnsi="Book Antiqua" w:cs="Times New Roman"/>
          <w:color w:val="000000" w:themeColor="text1"/>
          <w:sz w:val="24"/>
          <w:szCs w:val="24"/>
        </w:rPr>
        <w:t>)</w:t>
      </w:r>
      <w:r w:rsidR="00CE591C" w:rsidRPr="000749B2">
        <w:rPr>
          <w:rFonts w:ascii="Book Antiqua" w:eastAsia="Calibri" w:hAnsi="Book Antiqua" w:cs="Times New Roman"/>
          <w:color w:val="000000" w:themeColor="text1"/>
          <w:sz w:val="24"/>
          <w:szCs w:val="24"/>
        </w:rPr>
        <w:t xml:space="preserve"> due to </w:t>
      </w:r>
      <w:r w:rsidR="00CE591C" w:rsidRPr="000749B2">
        <w:rPr>
          <w:rFonts w:ascii="Book Antiqua" w:eastAsia="Calibri" w:hAnsi="Book Antiqua" w:cs="Times New Roman"/>
          <w:i/>
          <w:iCs/>
          <w:color w:val="000000" w:themeColor="text1"/>
          <w:sz w:val="24"/>
          <w:szCs w:val="24"/>
        </w:rPr>
        <w:t>MLH-1</w:t>
      </w:r>
      <w:r w:rsidR="00CE591C" w:rsidRPr="000749B2">
        <w:rPr>
          <w:rFonts w:ascii="Book Antiqua" w:eastAsia="Calibri" w:hAnsi="Book Antiqua" w:cs="Times New Roman"/>
          <w:color w:val="000000" w:themeColor="text1"/>
          <w:sz w:val="24"/>
          <w:szCs w:val="24"/>
        </w:rPr>
        <w:t xml:space="preserve"> </w:t>
      </w:r>
      <w:proofErr w:type="gramStart"/>
      <w:r w:rsidR="00CE591C" w:rsidRPr="000749B2">
        <w:rPr>
          <w:rFonts w:ascii="Book Antiqua" w:eastAsia="Calibri" w:hAnsi="Book Antiqua" w:cs="Times New Roman"/>
          <w:color w:val="000000" w:themeColor="text1"/>
          <w:sz w:val="24"/>
          <w:szCs w:val="24"/>
        </w:rPr>
        <w:t>methylation</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168-170]</w:t>
      </w:r>
      <w:r w:rsidR="001B747A"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i/>
          <w:iCs/>
          <w:color w:val="000000" w:themeColor="text1"/>
          <w:sz w:val="24"/>
          <w:szCs w:val="24"/>
        </w:rPr>
        <w:t>B</w:t>
      </w:r>
      <w:r w:rsidR="00FD5205" w:rsidRPr="000749B2">
        <w:rPr>
          <w:rFonts w:ascii="Book Antiqua" w:eastAsia="Calibri" w:hAnsi="Book Antiqua" w:cs="Times New Roman"/>
          <w:i/>
          <w:iCs/>
          <w:color w:val="000000" w:themeColor="text1"/>
          <w:sz w:val="24"/>
          <w:szCs w:val="24"/>
        </w:rPr>
        <w:t>raf</w:t>
      </w:r>
      <w:r w:rsidR="00CE591C" w:rsidRPr="000749B2">
        <w:rPr>
          <w:rFonts w:ascii="Book Antiqua" w:eastAsia="Calibri" w:hAnsi="Book Antiqua" w:cs="Times New Roman"/>
          <w:i/>
          <w:iCs/>
          <w:color w:val="000000" w:themeColor="text1"/>
          <w:sz w:val="24"/>
          <w:szCs w:val="24"/>
          <w:vertAlign w:val="superscript"/>
        </w:rPr>
        <w:t>V600E</w:t>
      </w:r>
      <w:r w:rsidR="00CE591C" w:rsidRPr="000749B2">
        <w:rPr>
          <w:rFonts w:ascii="Book Antiqua" w:eastAsia="Calibri" w:hAnsi="Book Antiqua" w:cs="Times New Roman"/>
          <w:color w:val="000000" w:themeColor="text1"/>
          <w:sz w:val="24"/>
          <w:szCs w:val="24"/>
        </w:rPr>
        <w:t xml:space="preserve"> causes crypt hyperplasia and combined with </w:t>
      </w:r>
      <w:r w:rsidR="00FD5205" w:rsidRPr="000749B2">
        <w:rPr>
          <w:rFonts w:ascii="Book Antiqua" w:eastAsia="Calibri" w:hAnsi="Book Antiqua" w:cs="Times New Roman"/>
          <w:i/>
          <w:iCs/>
          <w:color w:val="000000" w:themeColor="text1"/>
          <w:sz w:val="24"/>
          <w:szCs w:val="24"/>
        </w:rPr>
        <w:t>Apc</w:t>
      </w:r>
      <w:r w:rsidR="00A106C5" w:rsidRPr="000749B2">
        <w:rPr>
          <w:rFonts w:ascii="Book Antiqua" w:eastAsia="Calibri" w:hAnsi="Book Antiqua" w:cs="Times New Roman"/>
          <w:color w:val="000000" w:themeColor="text1"/>
          <w:sz w:val="24"/>
          <w:szCs w:val="24"/>
        </w:rPr>
        <w:t xml:space="preserve"> or </w:t>
      </w:r>
      <w:r w:rsidR="00A106C5" w:rsidRPr="000749B2">
        <w:rPr>
          <w:rFonts w:ascii="Book Antiqua" w:eastAsia="Calibri" w:hAnsi="Book Antiqua" w:cs="Times New Roman"/>
          <w:i/>
          <w:iCs/>
          <w:color w:val="000000" w:themeColor="text1"/>
          <w:sz w:val="24"/>
          <w:szCs w:val="24"/>
        </w:rPr>
        <w:t>P53</w:t>
      </w:r>
      <w:r w:rsidR="00A106C5"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mutations</w:t>
      </w:r>
      <w:r w:rsidR="00FD5205" w:rsidRPr="000749B2">
        <w:rPr>
          <w:rFonts w:ascii="Book Antiqua" w:eastAsia="Calibri" w:hAnsi="Book Antiqua" w:cs="Times New Roman"/>
          <w:color w:val="000000" w:themeColor="text1"/>
          <w:sz w:val="24"/>
          <w:szCs w:val="24"/>
        </w:rPr>
        <w:t xml:space="preserve">, </w:t>
      </w:r>
      <w:r w:rsidR="00A106C5" w:rsidRPr="000749B2">
        <w:rPr>
          <w:rFonts w:ascii="Book Antiqua" w:eastAsia="Calibri" w:hAnsi="Book Antiqua" w:cs="Times New Roman"/>
          <w:color w:val="000000" w:themeColor="text1"/>
          <w:sz w:val="24"/>
          <w:szCs w:val="24"/>
        </w:rPr>
        <w:t>as well as mutations affecting</w:t>
      </w:r>
      <w:r w:rsidR="00CE591C"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i/>
          <w:iCs/>
          <w:color w:val="000000" w:themeColor="text1"/>
          <w:sz w:val="24"/>
          <w:szCs w:val="24"/>
        </w:rPr>
        <w:t>Ink</w:t>
      </w:r>
      <w:r w:rsidR="00CE591C" w:rsidRPr="000749B2">
        <w:rPr>
          <w:rFonts w:ascii="Book Antiqua" w:eastAsia="Calibri" w:hAnsi="Book Antiqua" w:cs="Times New Roman"/>
          <w:i/>
          <w:iCs/>
          <w:color w:val="000000" w:themeColor="text1"/>
          <w:sz w:val="24"/>
          <w:szCs w:val="24"/>
          <w:vertAlign w:val="superscript"/>
        </w:rPr>
        <w:t>4A/</w:t>
      </w:r>
      <w:r w:rsidR="00FD5205" w:rsidRPr="000749B2">
        <w:rPr>
          <w:rFonts w:ascii="Book Antiqua" w:eastAsia="Calibri" w:hAnsi="Book Antiqua" w:cs="Times New Roman"/>
          <w:i/>
          <w:iCs/>
          <w:color w:val="000000" w:themeColor="text1"/>
          <w:sz w:val="24"/>
          <w:szCs w:val="24"/>
          <w:vertAlign w:val="superscript"/>
        </w:rPr>
        <w:t>Arf</w:t>
      </w:r>
      <w:r w:rsidR="00FD5205" w:rsidRPr="000749B2">
        <w:rPr>
          <w:rFonts w:ascii="Book Antiqua" w:eastAsia="Calibri" w:hAnsi="Book Antiqua" w:cs="Times New Roman"/>
          <w:color w:val="000000" w:themeColor="text1"/>
          <w:sz w:val="24"/>
          <w:szCs w:val="24"/>
        </w:rPr>
        <w:t>, gives</w:t>
      </w:r>
      <w:r w:rsidR="00CE591C" w:rsidRPr="000749B2">
        <w:rPr>
          <w:rFonts w:ascii="Book Antiqua" w:eastAsia="Calibri" w:hAnsi="Book Antiqua" w:cs="Times New Roman"/>
          <w:color w:val="000000" w:themeColor="text1"/>
          <w:sz w:val="24"/>
          <w:szCs w:val="24"/>
        </w:rPr>
        <w:t xml:space="preserve"> rise to invasive </w:t>
      </w:r>
      <w:proofErr w:type="gramStart"/>
      <w:r w:rsidR="00CE591C" w:rsidRPr="000749B2">
        <w:rPr>
          <w:rFonts w:ascii="Book Antiqua" w:eastAsia="Calibri" w:hAnsi="Book Antiqua" w:cs="Times New Roman"/>
          <w:color w:val="000000" w:themeColor="text1"/>
          <w:sz w:val="24"/>
          <w:szCs w:val="24"/>
        </w:rPr>
        <w:t>carcinomas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171-174]</w:t>
      </w:r>
      <w:r w:rsidR="00F12604"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Although not common in human CRC, mutation of the GSK3-β phosphorylation site causes </w:t>
      </w:r>
      <w:r w:rsidR="00965F53" w:rsidRPr="000749B2">
        <w:rPr>
          <w:rFonts w:ascii="Book Antiqua" w:eastAsia="Calibri" w:hAnsi="Book Antiqua" w:cs="Times New Roman"/>
          <w:color w:val="000000" w:themeColor="text1"/>
          <w:sz w:val="24"/>
          <w:szCs w:val="24"/>
        </w:rPr>
        <w:t>degradation</w:t>
      </w:r>
      <w:r w:rsidR="00CE591C" w:rsidRPr="000749B2">
        <w:rPr>
          <w:rFonts w:ascii="Book Antiqua" w:eastAsia="Calibri" w:hAnsi="Book Antiqua" w:cs="Times New Roman"/>
          <w:color w:val="000000" w:themeColor="text1"/>
          <w:sz w:val="24"/>
          <w:szCs w:val="24"/>
        </w:rPr>
        <w:t>-resistant β-</w:t>
      </w:r>
      <w:proofErr w:type="gramStart"/>
      <w:r w:rsidR="00CE591C" w:rsidRPr="000749B2">
        <w:rPr>
          <w:rFonts w:ascii="Book Antiqua" w:eastAsia="Calibri" w:hAnsi="Book Antiqua" w:cs="Times New Roman"/>
          <w:color w:val="000000" w:themeColor="text1"/>
          <w:sz w:val="24"/>
          <w:szCs w:val="24"/>
        </w:rPr>
        <w:t>catenin</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175,176]</w:t>
      </w:r>
      <w:r w:rsidR="00F12604"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and has been remodeled in the mouse. GSK3β-resistant β-catenin increases proliferation of the intestinal epithelium and causes adenoma formation, but does not mediate malignant </w:t>
      </w:r>
      <w:proofErr w:type="gramStart"/>
      <w:r w:rsidR="00CE591C" w:rsidRPr="000749B2">
        <w:rPr>
          <w:rFonts w:ascii="Book Antiqua" w:eastAsia="Calibri" w:hAnsi="Book Antiqua" w:cs="Times New Roman"/>
          <w:color w:val="000000" w:themeColor="text1"/>
          <w:sz w:val="24"/>
          <w:szCs w:val="24"/>
        </w:rPr>
        <w:t>progression</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177-179]</w:t>
      </w:r>
      <w:r w:rsidR="00F12604"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Paralleling the research on canonical cancer pathways, there has been reasonable effort to reproduce </w:t>
      </w:r>
      <w:r w:rsidR="00A07AE2" w:rsidRPr="000749B2">
        <w:rPr>
          <w:rFonts w:ascii="Book Antiqua" w:eastAsia="Calibri" w:hAnsi="Book Antiqua" w:cs="Times New Roman"/>
          <w:color w:val="000000" w:themeColor="text1"/>
          <w:sz w:val="24"/>
          <w:szCs w:val="24"/>
        </w:rPr>
        <w:t>MSI,</w:t>
      </w:r>
      <w:r w:rsidR="00CE591C" w:rsidRPr="000749B2">
        <w:rPr>
          <w:rFonts w:ascii="Book Antiqua" w:eastAsia="Calibri" w:hAnsi="Book Antiqua" w:cs="Times New Roman"/>
          <w:color w:val="000000" w:themeColor="text1"/>
          <w:sz w:val="24"/>
          <w:szCs w:val="24"/>
        </w:rPr>
        <w:t xml:space="preserve"> a hypermutable phenotype caused by </w:t>
      </w:r>
      <w:r w:rsidR="009B7D0B" w:rsidRPr="000749B2">
        <w:rPr>
          <w:rFonts w:ascii="Book Antiqua" w:eastAsia="Calibri" w:hAnsi="Book Antiqua" w:cs="Times New Roman"/>
          <w:color w:val="000000" w:themeColor="text1"/>
          <w:sz w:val="24"/>
          <w:szCs w:val="24"/>
        </w:rPr>
        <w:t xml:space="preserve">malfunction of </w:t>
      </w:r>
      <w:r w:rsidR="00CE591C" w:rsidRPr="000749B2">
        <w:rPr>
          <w:rFonts w:ascii="Book Antiqua" w:eastAsia="Calibri" w:hAnsi="Book Antiqua" w:cs="Times New Roman"/>
          <w:color w:val="000000" w:themeColor="text1"/>
          <w:sz w:val="24"/>
          <w:szCs w:val="24"/>
        </w:rPr>
        <w:t xml:space="preserve">DNA mismatch repair </w:t>
      </w:r>
      <w:r w:rsidR="009B7D0B" w:rsidRPr="000749B2">
        <w:rPr>
          <w:rFonts w:ascii="Book Antiqua" w:eastAsia="Calibri" w:hAnsi="Book Antiqua" w:cs="Times New Roman"/>
          <w:color w:val="000000" w:themeColor="text1"/>
          <w:sz w:val="24"/>
          <w:szCs w:val="24"/>
        </w:rPr>
        <w:t xml:space="preserve">(MMR) </w:t>
      </w:r>
      <w:proofErr w:type="gramStart"/>
      <w:r w:rsidR="009B7D0B" w:rsidRPr="000749B2">
        <w:rPr>
          <w:rFonts w:ascii="Book Antiqua" w:eastAsia="Calibri" w:hAnsi="Book Antiqua" w:cs="Times New Roman"/>
          <w:color w:val="000000" w:themeColor="text1"/>
          <w:sz w:val="24"/>
          <w:szCs w:val="24"/>
        </w:rPr>
        <w:t>enzymes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180,181]</w:t>
      </w:r>
      <w:r w:rsidR="00F12604"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MSI-CRC can occur in the context of hereditary MMR gene mutations</w:t>
      </w:r>
      <w:r w:rsidR="009B7D0B" w:rsidRPr="000749B2">
        <w:rPr>
          <w:rFonts w:ascii="Book Antiqua" w:eastAsia="Calibri" w:hAnsi="Book Antiqua" w:cs="Times New Roman"/>
          <w:color w:val="000000" w:themeColor="text1"/>
          <w:sz w:val="24"/>
          <w:szCs w:val="24"/>
        </w:rPr>
        <w:t xml:space="preserve"> (</w:t>
      </w:r>
      <w:r w:rsidR="00633742" w:rsidRPr="000749B2">
        <w:rPr>
          <w:rFonts w:ascii="Book Antiqua" w:eastAsia="Calibri" w:hAnsi="Book Antiqua" w:cs="Times New Roman"/>
          <w:color w:val="000000" w:themeColor="text1"/>
          <w:sz w:val="24"/>
          <w:szCs w:val="24"/>
        </w:rPr>
        <w:t>LS</w:t>
      </w:r>
      <w:r w:rsidR="009B7D0B" w:rsidRPr="000749B2">
        <w:rPr>
          <w:rFonts w:ascii="Book Antiqua" w:eastAsia="Calibri" w:hAnsi="Book Antiqua" w:cs="Times New Roman"/>
          <w:color w:val="000000" w:themeColor="text1"/>
          <w:sz w:val="24"/>
          <w:szCs w:val="24"/>
        </w:rPr>
        <w:t>)</w:t>
      </w:r>
      <w:r w:rsidR="00CE591C" w:rsidRPr="000749B2">
        <w:rPr>
          <w:rFonts w:ascii="Book Antiqua" w:eastAsia="Calibri" w:hAnsi="Book Antiqua" w:cs="Times New Roman"/>
          <w:color w:val="000000" w:themeColor="text1"/>
          <w:sz w:val="24"/>
          <w:szCs w:val="24"/>
        </w:rPr>
        <w:t xml:space="preserve"> or can be detected in up to 15% of spontaneous CRC, caused by hypermethylation of MMR genes (spMSI</w:t>
      </w:r>
      <w:proofErr w:type="gramStart"/>
      <w:r w:rsidR="00CE591C" w:rsidRPr="000749B2">
        <w:rPr>
          <w:rFonts w:ascii="Book Antiqua" w:eastAsia="Calibri" w:hAnsi="Book Antiqua" w:cs="Times New Roman"/>
          <w:color w:val="000000" w:themeColor="text1"/>
          <w:sz w:val="24"/>
          <w:szCs w:val="24"/>
        </w:rPr>
        <w: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182,183]</w:t>
      </w:r>
      <w:r w:rsidR="0089467C"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The constitutes of the MMR machinery have been extensively studied by somatic knockout models. Since the knockout of </w:t>
      </w:r>
      <w:r w:rsidR="001F2075" w:rsidRPr="000749B2">
        <w:rPr>
          <w:rFonts w:ascii="Book Antiqua" w:eastAsia="Calibri" w:hAnsi="Book Antiqua" w:cs="Times New Roman"/>
          <w:color w:val="000000" w:themeColor="text1"/>
          <w:sz w:val="24"/>
          <w:szCs w:val="24"/>
        </w:rPr>
        <w:t xml:space="preserve">the MMR genes </w:t>
      </w:r>
      <w:r w:rsidR="00CE591C" w:rsidRPr="000749B2">
        <w:rPr>
          <w:rFonts w:ascii="Book Antiqua" w:eastAsia="Calibri" w:hAnsi="Book Antiqua" w:cs="Times New Roman"/>
          <w:i/>
          <w:iCs/>
          <w:color w:val="000000" w:themeColor="text1"/>
          <w:sz w:val="24"/>
          <w:szCs w:val="24"/>
        </w:rPr>
        <w:t>MLH1</w:t>
      </w:r>
      <w:r w:rsidR="00C42D1B" w:rsidRPr="000749B2">
        <w:rPr>
          <w:rFonts w:ascii="Book Antiqua" w:hAnsi="Book Antiqua"/>
          <w:color w:val="000000" w:themeColor="text1"/>
          <w:sz w:val="24"/>
          <w:szCs w:val="24"/>
          <w:vertAlign w:val="superscript"/>
        </w:rPr>
        <w:t>[184]</w:t>
      </w:r>
      <w:r w:rsidR="00CE591C"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i/>
          <w:iCs/>
          <w:color w:val="000000" w:themeColor="text1"/>
          <w:sz w:val="24"/>
          <w:szCs w:val="24"/>
        </w:rPr>
        <w:t>MSH2</w:t>
      </w:r>
      <w:r w:rsidR="00C42D1B" w:rsidRPr="000749B2">
        <w:rPr>
          <w:rFonts w:ascii="Book Antiqua" w:hAnsi="Book Antiqua"/>
          <w:color w:val="000000" w:themeColor="text1"/>
          <w:sz w:val="24"/>
          <w:szCs w:val="24"/>
          <w:vertAlign w:val="superscript"/>
        </w:rPr>
        <w:t>[185,186]</w:t>
      </w:r>
      <w:r w:rsidR="00CE591C"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i/>
          <w:iCs/>
          <w:color w:val="000000" w:themeColor="text1"/>
          <w:sz w:val="24"/>
          <w:szCs w:val="24"/>
        </w:rPr>
        <w:t>MSH6</w:t>
      </w:r>
      <w:r w:rsidR="00C42D1B" w:rsidRPr="000749B2">
        <w:rPr>
          <w:rFonts w:ascii="Book Antiqua" w:hAnsi="Book Antiqua"/>
          <w:color w:val="000000" w:themeColor="text1"/>
          <w:sz w:val="24"/>
          <w:szCs w:val="24"/>
          <w:vertAlign w:val="superscript"/>
        </w:rPr>
        <w:t>[187]</w:t>
      </w:r>
      <w:r w:rsidR="00CE591C" w:rsidRPr="000749B2">
        <w:rPr>
          <w:rFonts w:ascii="Book Antiqua" w:eastAsia="Calibri" w:hAnsi="Book Antiqua" w:cs="Times New Roman"/>
          <w:color w:val="000000" w:themeColor="text1"/>
          <w:sz w:val="24"/>
          <w:szCs w:val="24"/>
        </w:rPr>
        <w:t xml:space="preserve"> and </w:t>
      </w:r>
      <w:r w:rsidR="00CE591C" w:rsidRPr="000749B2">
        <w:rPr>
          <w:rFonts w:ascii="Book Antiqua" w:eastAsia="Calibri" w:hAnsi="Book Antiqua" w:cs="Times New Roman"/>
          <w:i/>
          <w:iCs/>
          <w:color w:val="000000" w:themeColor="text1"/>
          <w:sz w:val="24"/>
          <w:szCs w:val="24"/>
        </w:rPr>
        <w:t>PMS2</w:t>
      </w:r>
      <w:r w:rsidR="00C42D1B" w:rsidRPr="000749B2">
        <w:rPr>
          <w:rFonts w:ascii="Book Antiqua" w:hAnsi="Book Antiqua"/>
          <w:color w:val="000000" w:themeColor="text1"/>
          <w:sz w:val="24"/>
          <w:szCs w:val="24"/>
          <w:vertAlign w:val="superscript"/>
        </w:rPr>
        <w:t>[188]</w:t>
      </w:r>
      <w:r w:rsidR="00CE591C" w:rsidRPr="000749B2">
        <w:rPr>
          <w:rFonts w:ascii="Book Antiqua" w:eastAsia="Calibri" w:hAnsi="Book Antiqua" w:cs="Times New Roman"/>
          <w:color w:val="000000" w:themeColor="text1"/>
          <w:sz w:val="24"/>
          <w:szCs w:val="24"/>
        </w:rPr>
        <w:t xml:space="preserve"> </w:t>
      </w:r>
      <w:r w:rsidR="001F2075" w:rsidRPr="000749B2">
        <w:rPr>
          <w:rFonts w:ascii="Book Antiqua" w:eastAsia="Calibri" w:hAnsi="Book Antiqua" w:cs="Times New Roman"/>
          <w:color w:val="000000" w:themeColor="text1"/>
          <w:sz w:val="24"/>
          <w:szCs w:val="24"/>
        </w:rPr>
        <w:t xml:space="preserve">predominantly </w:t>
      </w:r>
      <w:r w:rsidR="00CE591C" w:rsidRPr="000749B2">
        <w:rPr>
          <w:rFonts w:ascii="Book Antiqua" w:eastAsia="Calibri" w:hAnsi="Book Antiqua" w:cs="Times New Roman"/>
          <w:color w:val="000000" w:themeColor="text1"/>
          <w:sz w:val="24"/>
          <w:szCs w:val="24"/>
        </w:rPr>
        <w:t xml:space="preserve">cause hematopoietic malignancies with consecutive reduced lifespan </w:t>
      </w:r>
      <w:r w:rsidR="00192F06" w:rsidRPr="000749B2">
        <w:rPr>
          <w:rFonts w:ascii="Book Antiqua" w:eastAsia="Calibri" w:hAnsi="Book Antiqua" w:cs="Times New Roman"/>
          <w:color w:val="000000" w:themeColor="text1"/>
          <w:sz w:val="24"/>
          <w:szCs w:val="24"/>
        </w:rPr>
        <w:t xml:space="preserve">in the mouse </w:t>
      </w:r>
      <w:r w:rsidR="00CE591C" w:rsidRPr="000749B2">
        <w:rPr>
          <w:rFonts w:ascii="Book Antiqua" w:eastAsia="Calibri" w:hAnsi="Book Antiqua" w:cs="Times New Roman"/>
          <w:color w:val="000000" w:themeColor="text1"/>
          <w:sz w:val="24"/>
          <w:szCs w:val="24"/>
        </w:rPr>
        <w:t xml:space="preserve">and </w:t>
      </w:r>
      <w:r w:rsidR="001F2075" w:rsidRPr="000749B2">
        <w:rPr>
          <w:rFonts w:ascii="Book Antiqua" w:eastAsia="Calibri" w:hAnsi="Book Antiqua" w:cs="Times New Roman"/>
          <w:color w:val="000000" w:themeColor="text1"/>
          <w:sz w:val="24"/>
          <w:szCs w:val="24"/>
        </w:rPr>
        <w:t xml:space="preserve">consequently only a minor fraction of homozygotes develop </w:t>
      </w:r>
      <w:r w:rsidR="00CE591C" w:rsidRPr="000749B2">
        <w:rPr>
          <w:rFonts w:ascii="Book Antiqua" w:eastAsia="Calibri" w:hAnsi="Book Antiqua" w:cs="Times New Roman"/>
          <w:color w:val="000000" w:themeColor="text1"/>
          <w:sz w:val="24"/>
          <w:szCs w:val="24"/>
        </w:rPr>
        <w:t>intestinal neoplasia</w:t>
      </w:r>
      <w:r w:rsidR="00C42D1B" w:rsidRPr="000749B2">
        <w:rPr>
          <w:rFonts w:ascii="Book Antiqua" w:hAnsi="Book Antiqua"/>
          <w:color w:val="000000" w:themeColor="text1"/>
          <w:sz w:val="24"/>
          <w:szCs w:val="24"/>
          <w:vertAlign w:val="superscript"/>
        </w:rPr>
        <w:t>[189,190]</w:t>
      </w:r>
      <w:r w:rsidR="00CE591C" w:rsidRPr="000749B2">
        <w:rPr>
          <w:rFonts w:ascii="Book Antiqua" w:eastAsia="Calibri" w:hAnsi="Book Antiqua" w:cs="Times New Roman"/>
          <w:color w:val="000000" w:themeColor="text1"/>
          <w:sz w:val="24"/>
          <w:szCs w:val="24"/>
        </w:rPr>
        <w:t>, these knockouts were frequently put in an APC</w:t>
      </w:r>
      <w:r w:rsidR="000D3BA0"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deficient setting, to increase intestinal carcinogenesis</w:t>
      </w:r>
      <w:r w:rsidR="00C42D1B" w:rsidRPr="000749B2">
        <w:rPr>
          <w:rFonts w:ascii="Book Antiqua" w:hAnsi="Book Antiqua"/>
          <w:color w:val="000000" w:themeColor="text1"/>
          <w:sz w:val="24"/>
          <w:szCs w:val="24"/>
          <w:vertAlign w:val="superscript"/>
        </w:rPr>
        <w:t>[184,191,192]</w:t>
      </w:r>
      <w:r w:rsidR="00141F95"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Kucherlapati </w:t>
      </w:r>
      <w:r w:rsidR="00CE591C" w:rsidRPr="000749B2">
        <w:rPr>
          <w:rFonts w:ascii="Book Antiqua" w:eastAsia="Calibri" w:hAnsi="Book Antiqua" w:cs="Times New Roman"/>
          <w:i/>
          <w:iCs/>
          <w:color w:val="000000" w:themeColor="text1"/>
          <w:sz w:val="24"/>
          <w:szCs w:val="24"/>
        </w:rPr>
        <w:t xml:space="preserve">et </w:t>
      </w:r>
      <w:proofErr w:type="gramStart"/>
      <w:r w:rsidR="00CE591C" w:rsidRPr="000749B2">
        <w:rPr>
          <w:rFonts w:ascii="Book Antiqua" w:eastAsia="Calibri" w:hAnsi="Book Antiqua" w:cs="Times New Roman"/>
          <w:i/>
          <w:iCs/>
          <w:color w:val="000000" w:themeColor="text1"/>
          <w:sz w:val="24"/>
          <w:szCs w:val="24"/>
        </w:rPr>
        <w:t>al</w:t>
      </w:r>
      <w:r w:rsidR="00127775" w:rsidRPr="000749B2">
        <w:rPr>
          <w:rFonts w:ascii="Book Antiqua" w:hAnsi="Book Antiqua"/>
          <w:color w:val="000000" w:themeColor="text1"/>
          <w:sz w:val="24"/>
          <w:szCs w:val="24"/>
          <w:vertAlign w:val="superscript"/>
        </w:rPr>
        <w:t>[</w:t>
      </w:r>
      <w:proofErr w:type="gramEnd"/>
      <w:r w:rsidR="00127775" w:rsidRPr="000749B2">
        <w:rPr>
          <w:rFonts w:ascii="Book Antiqua" w:hAnsi="Book Antiqua"/>
          <w:color w:val="000000" w:themeColor="text1"/>
          <w:sz w:val="24"/>
          <w:szCs w:val="24"/>
          <w:vertAlign w:val="superscript"/>
        </w:rPr>
        <w:t>193,194]</w:t>
      </w:r>
      <w:r w:rsidR="00CE591C" w:rsidRPr="000749B2">
        <w:rPr>
          <w:rFonts w:ascii="Book Antiqua" w:eastAsia="Calibri" w:hAnsi="Book Antiqua" w:cs="Times New Roman"/>
          <w:color w:val="000000" w:themeColor="text1"/>
          <w:sz w:val="24"/>
          <w:szCs w:val="24"/>
        </w:rPr>
        <w:t xml:space="preserve"> demonstrated, that mutations of </w:t>
      </w:r>
      <w:r w:rsidR="00CE591C" w:rsidRPr="000749B2">
        <w:rPr>
          <w:rFonts w:ascii="Book Antiqua" w:eastAsia="Calibri" w:hAnsi="Book Antiqua" w:cs="Times New Roman"/>
          <w:i/>
          <w:iCs/>
          <w:color w:val="000000" w:themeColor="text1"/>
          <w:sz w:val="24"/>
          <w:szCs w:val="24"/>
        </w:rPr>
        <w:t>F</w:t>
      </w:r>
      <w:r w:rsidR="00FD5205" w:rsidRPr="000749B2">
        <w:rPr>
          <w:rFonts w:ascii="Book Antiqua" w:eastAsia="Calibri" w:hAnsi="Book Antiqua" w:cs="Times New Roman"/>
          <w:i/>
          <w:iCs/>
          <w:color w:val="000000" w:themeColor="text1"/>
          <w:sz w:val="24"/>
          <w:szCs w:val="24"/>
        </w:rPr>
        <w:t>en</w:t>
      </w:r>
      <w:r w:rsidR="00CE591C" w:rsidRPr="000749B2">
        <w:rPr>
          <w:rFonts w:ascii="Book Antiqua" w:eastAsia="Calibri" w:hAnsi="Book Antiqua" w:cs="Times New Roman"/>
          <w:i/>
          <w:iCs/>
          <w:color w:val="000000" w:themeColor="text1"/>
          <w:sz w:val="24"/>
          <w:szCs w:val="24"/>
        </w:rPr>
        <w:t>1</w:t>
      </w:r>
      <w:r w:rsidR="00CE591C" w:rsidRPr="000749B2">
        <w:rPr>
          <w:rFonts w:ascii="Book Antiqua" w:eastAsia="Calibri" w:hAnsi="Book Antiqua" w:cs="Times New Roman"/>
          <w:color w:val="000000" w:themeColor="text1"/>
          <w:sz w:val="24"/>
          <w:szCs w:val="24"/>
        </w:rPr>
        <w:t xml:space="preserve"> and/ or </w:t>
      </w:r>
      <w:r w:rsidR="001F2075" w:rsidRPr="000749B2">
        <w:rPr>
          <w:rFonts w:ascii="Book Antiqua" w:eastAsia="Calibri" w:hAnsi="Book Antiqua" w:cs="Times New Roman"/>
          <w:i/>
          <w:iCs/>
          <w:color w:val="000000" w:themeColor="text1"/>
          <w:sz w:val="24"/>
          <w:szCs w:val="24"/>
        </w:rPr>
        <w:t>E</w:t>
      </w:r>
      <w:r w:rsidR="00FD5205" w:rsidRPr="000749B2">
        <w:rPr>
          <w:rFonts w:ascii="Book Antiqua" w:eastAsia="Calibri" w:hAnsi="Book Antiqua" w:cs="Times New Roman"/>
          <w:i/>
          <w:iCs/>
          <w:color w:val="000000" w:themeColor="text1"/>
          <w:sz w:val="24"/>
          <w:szCs w:val="24"/>
        </w:rPr>
        <w:t>xo</w:t>
      </w:r>
      <w:r w:rsidR="001F2075" w:rsidRPr="000749B2">
        <w:rPr>
          <w:rFonts w:ascii="Book Antiqua" w:eastAsia="Calibri" w:hAnsi="Book Antiqua" w:cs="Times New Roman"/>
          <w:i/>
          <w:iCs/>
          <w:color w:val="000000" w:themeColor="text1"/>
          <w:sz w:val="24"/>
          <w:szCs w:val="24"/>
        </w:rPr>
        <w:t>1</w:t>
      </w:r>
      <w:r w:rsidR="00CE591C" w:rsidRPr="000749B2">
        <w:rPr>
          <w:rFonts w:ascii="Book Antiqua" w:eastAsia="Calibri" w:hAnsi="Book Antiqua" w:cs="Times New Roman"/>
          <w:color w:val="000000" w:themeColor="text1"/>
          <w:sz w:val="24"/>
          <w:szCs w:val="24"/>
        </w:rPr>
        <w:t>, both cooperation partners of MMR enzymes, lead to similar patterns of MSI tumor development</w:t>
      </w:r>
      <w:r w:rsidR="00141F95"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However, MSI-high tumors </w:t>
      </w:r>
      <w:r w:rsidR="009D6FE9" w:rsidRPr="000749B2">
        <w:rPr>
          <w:rFonts w:ascii="Book Antiqua" w:eastAsia="Calibri" w:hAnsi="Book Antiqua" w:cs="Times New Roman"/>
          <w:color w:val="000000" w:themeColor="text1"/>
          <w:sz w:val="24"/>
          <w:szCs w:val="24"/>
        </w:rPr>
        <w:t xml:space="preserve">rarely </w:t>
      </w:r>
      <w:r w:rsidR="00CE591C" w:rsidRPr="000749B2">
        <w:rPr>
          <w:rFonts w:ascii="Book Antiqua" w:eastAsia="Calibri" w:hAnsi="Book Antiqua" w:cs="Times New Roman"/>
          <w:color w:val="000000" w:themeColor="text1"/>
          <w:sz w:val="24"/>
          <w:szCs w:val="24"/>
        </w:rPr>
        <w:t xml:space="preserve">show activation of the Wnt-pathway and are typically chromosomal stable, whereas </w:t>
      </w:r>
      <w:r w:rsidR="00FD5205" w:rsidRPr="000749B2">
        <w:rPr>
          <w:rFonts w:ascii="Book Antiqua" w:eastAsia="Calibri" w:hAnsi="Book Antiqua" w:cs="Times New Roman"/>
          <w:i/>
          <w:iCs/>
          <w:color w:val="000000" w:themeColor="text1"/>
          <w:sz w:val="24"/>
          <w:szCs w:val="24"/>
        </w:rPr>
        <w:t>A</w:t>
      </w:r>
      <w:r w:rsidR="00141F95" w:rsidRPr="000749B2">
        <w:rPr>
          <w:rFonts w:ascii="Book Antiqua" w:eastAsia="Calibri" w:hAnsi="Book Antiqua" w:cs="Times New Roman"/>
          <w:i/>
          <w:iCs/>
          <w:color w:val="000000" w:themeColor="text1"/>
          <w:sz w:val="24"/>
          <w:szCs w:val="24"/>
        </w:rPr>
        <w:t>PC</w:t>
      </w:r>
      <w:r w:rsidR="00CE591C" w:rsidRPr="000749B2">
        <w:rPr>
          <w:rFonts w:ascii="Book Antiqua" w:eastAsia="Calibri" w:hAnsi="Book Antiqua" w:cs="Times New Roman"/>
          <w:i/>
          <w:iCs/>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mutations are typically associated with a </w:t>
      </w:r>
      <w:r w:rsidR="00CE591C" w:rsidRPr="000749B2">
        <w:rPr>
          <w:rFonts w:ascii="Book Antiqua" w:eastAsia="Calibri" w:hAnsi="Book Antiqua" w:cs="Times New Roman"/>
          <w:color w:val="000000" w:themeColor="text1"/>
          <w:sz w:val="24"/>
          <w:szCs w:val="24"/>
        </w:rPr>
        <w:lastRenderedPageBreak/>
        <w:t xml:space="preserve">chromosomal instable </w:t>
      </w:r>
      <w:proofErr w:type="gramStart"/>
      <w:r w:rsidR="00CE591C" w:rsidRPr="000749B2">
        <w:rPr>
          <w:rFonts w:ascii="Book Antiqua" w:eastAsia="Calibri" w:hAnsi="Book Antiqua" w:cs="Times New Roman"/>
          <w:color w:val="000000" w:themeColor="text1"/>
          <w:sz w:val="24"/>
          <w:szCs w:val="24"/>
        </w:rPr>
        <w:t>phenotype</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195,196]</w:t>
      </w:r>
      <w:r w:rsidR="00141F95"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Therefore, these models do not adequately recapitulate Lynch-type or spMSI tumors. To overcome the aforementioned obstacles, a floxed </w:t>
      </w:r>
      <w:r w:rsidR="00CE591C" w:rsidRPr="000749B2">
        <w:rPr>
          <w:rFonts w:ascii="Book Antiqua" w:eastAsia="Calibri" w:hAnsi="Book Antiqua" w:cs="Times New Roman"/>
          <w:i/>
          <w:iCs/>
          <w:color w:val="000000" w:themeColor="text1"/>
          <w:sz w:val="24"/>
          <w:szCs w:val="24"/>
        </w:rPr>
        <w:t>M</w:t>
      </w:r>
      <w:r w:rsidR="00B367D3" w:rsidRPr="000749B2">
        <w:rPr>
          <w:rFonts w:ascii="Book Antiqua" w:eastAsia="Calibri" w:hAnsi="Book Antiqua" w:cs="Times New Roman"/>
          <w:i/>
          <w:iCs/>
          <w:color w:val="000000" w:themeColor="text1"/>
          <w:sz w:val="24"/>
          <w:szCs w:val="24"/>
        </w:rPr>
        <w:t>sh2</w:t>
      </w:r>
      <w:r w:rsidR="00CE591C" w:rsidRPr="000749B2">
        <w:rPr>
          <w:rFonts w:ascii="Book Antiqua" w:eastAsia="Calibri" w:hAnsi="Book Antiqua" w:cs="Times New Roman"/>
          <w:color w:val="000000" w:themeColor="text1"/>
          <w:sz w:val="24"/>
          <w:szCs w:val="24"/>
        </w:rPr>
        <w:t xml:space="preserve"> allele was combined with either a L</w:t>
      </w:r>
      <w:r w:rsidR="00633742" w:rsidRPr="000749B2">
        <w:rPr>
          <w:rFonts w:ascii="Book Antiqua" w:eastAsia="Calibri" w:hAnsi="Book Antiqua" w:cs="Times New Roman"/>
          <w:color w:val="000000" w:themeColor="text1"/>
          <w:sz w:val="24"/>
          <w:szCs w:val="24"/>
        </w:rPr>
        <w:t xml:space="preserve">S </w:t>
      </w:r>
      <w:r w:rsidR="00CE591C" w:rsidRPr="000749B2">
        <w:rPr>
          <w:rFonts w:ascii="Book Antiqua" w:eastAsia="Calibri" w:hAnsi="Book Antiqua" w:cs="Times New Roman"/>
          <w:color w:val="000000" w:themeColor="text1"/>
          <w:sz w:val="24"/>
          <w:szCs w:val="24"/>
        </w:rPr>
        <w:t>related missense mutation (</w:t>
      </w:r>
      <w:r w:rsidR="00CE591C" w:rsidRPr="000749B2">
        <w:rPr>
          <w:rFonts w:ascii="Book Antiqua" w:eastAsia="Calibri" w:hAnsi="Book Antiqua" w:cs="Times New Roman"/>
          <w:i/>
          <w:iCs/>
          <w:color w:val="000000" w:themeColor="text1"/>
          <w:sz w:val="24"/>
          <w:szCs w:val="24"/>
        </w:rPr>
        <w:t>Msh2</w:t>
      </w:r>
      <w:r w:rsidR="00CE591C" w:rsidRPr="000749B2">
        <w:rPr>
          <w:rFonts w:ascii="Book Antiqua" w:eastAsia="Calibri" w:hAnsi="Book Antiqua" w:cs="Times New Roman"/>
          <w:color w:val="000000" w:themeColor="text1"/>
          <w:sz w:val="24"/>
          <w:szCs w:val="24"/>
          <w:vertAlign w:val="superscript"/>
        </w:rPr>
        <w:t>G674D</w:t>
      </w:r>
      <w:r w:rsidR="00CE591C" w:rsidRPr="000749B2">
        <w:rPr>
          <w:rFonts w:ascii="Book Antiqua" w:eastAsia="Calibri" w:hAnsi="Book Antiqua" w:cs="Times New Roman"/>
          <w:color w:val="000000" w:themeColor="text1"/>
          <w:sz w:val="24"/>
          <w:szCs w:val="24"/>
        </w:rPr>
        <w:t xml:space="preserve">) or an </w:t>
      </w:r>
      <w:r w:rsidR="00CE591C" w:rsidRPr="000749B2">
        <w:rPr>
          <w:rFonts w:ascii="Book Antiqua" w:eastAsia="Calibri" w:hAnsi="Book Antiqua" w:cs="Times New Roman"/>
          <w:i/>
          <w:iCs/>
          <w:color w:val="000000" w:themeColor="text1"/>
          <w:sz w:val="24"/>
          <w:szCs w:val="24"/>
        </w:rPr>
        <w:t>Msh</w:t>
      </w:r>
      <w:r w:rsidR="00CE591C" w:rsidRPr="000749B2">
        <w:rPr>
          <w:rFonts w:ascii="Book Antiqua" w:eastAsia="Calibri" w:hAnsi="Book Antiqua" w:cs="Times New Roman"/>
          <w:color w:val="000000" w:themeColor="text1"/>
          <w:sz w:val="24"/>
          <w:szCs w:val="24"/>
        </w:rPr>
        <w:t>2</w:t>
      </w:r>
      <w:r w:rsidR="00CE591C" w:rsidRPr="000749B2">
        <w:rPr>
          <w:rFonts w:ascii="Book Antiqua" w:eastAsia="Calibri" w:hAnsi="Book Antiqua" w:cs="Times New Roman"/>
          <w:color w:val="000000" w:themeColor="text1"/>
          <w:sz w:val="24"/>
          <w:szCs w:val="24"/>
          <w:vertAlign w:val="superscript"/>
        </w:rPr>
        <w:t>Δ7</w:t>
      </w:r>
      <w:r w:rsidR="00C42D1B" w:rsidRPr="000749B2">
        <w:rPr>
          <w:rFonts w:ascii="Book Antiqua" w:eastAsia="Calibri" w:hAnsi="Book Antiqua" w:cs="Times New Roman"/>
          <w:color w:val="000000" w:themeColor="text1"/>
          <w:sz w:val="24"/>
          <w:szCs w:val="24"/>
        </w:rPr>
        <w:t xml:space="preserve"> </w:t>
      </w:r>
      <w:r w:rsidR="00CE591C" w:rsidRPr="000749B2">
        <w:rPr>
          <w:rFonts w:ascii="Book Antiqua" w:eastAsia="Calibri" w:hAnsi="Book Antiqua" w:cs="Times New Roman"/>
          <w:color w:val="000000" w:themeColor="text1"/>
          <w:sz w:val="24"/>
          <w:szCs w:val="24"/>
        </w:rPr>
        <w:t xml:space="preserve">null mutation in mice carrying a </w:t>
      </w:r>
      <w:r w:rsidR="00CE591C" w:rsidRPr="000749B2">
        <w:rPr>
          <w:rFonts w:ascii="Book Antiqua" w:eastAsia="Calibri" w:hAnsi="Book Antiqua" w:cs="Times New Roman"/>
          <w:i/>
          <w:iCs/>
          <w:color w:val="000000" w:themeColor="text1"/>
          <w:sz w:val="24"/>
          <w:szCs w:val="24"/>
        </w:rPr>
        <w:t>Villin-Cre</w:t>
      </w:r>
      <w:r w:rsidR="00CE591C" w:rsidRPr="000749B2">
        <w:rPr>
          <w:rFonts w:ascii="Book Antiqua" w:eastAsia="Calibri" w:hAnsi="Book Antiqua" w:cs="Times New Roman"/>
          <w:color w:val="000000" w:themeColor="text1"/>
          <w:sz w:val="24"/>
          <w:szCs w:val="24"/>
        </w:rPr>
        <w:t xml:space="preserve"> transgene, leading to intestinal carcinogenesis and chemoresistanc</w:t>
      </w:r>
      <w:r w:rsidR="001F2075" w:rsidRPr="000749B2">
        <w:rPr>
          <w:rFonts w:ascii="Book Antiqua" w:eastAsia="Calibri" w:hAnsi="Book Antiqua" w:cs="Times New Roman"/>
          <w:color w:val="000000" w:themeColor="text1"/>
          <w:sz w:val="24"/>
          <w:szCs w:val="24"/>
        </w:rPr>
        <w:t>e</w:t>
      </w:r>
      <w:r w:rsidR="00CE591C" w:rsidRPr="000749B2">
        <w:rPr>
          <w:rFonts w:ascii="Book Antiqua" w:eastAsia="Calibri" w:hAnsi="Book Antiqua" w:cs="Times New Roman"/>
          <w:color w:val="000000" w:themeColor="text1"/>
          <w:sz w:val="24"/>
          <w:szCs w:val="24"/>
        </w:rPr>
        <w:t xml:space="preserve"> typical for MSI</w:t>
      </w:r>
      <w:r w:rsidR="001F2075" w:rsidRPr="000749B2">
        <w:rPr>
          <w:rFonts w:ascii="Book Antiqua" w:eastAsia="Calibri" w:hAnsi="Book Antiqua" w:cs="Times New Roman"/>
          <w:color w:val="000000" w:themeColor="text1"/>
          <w:sz w:val="24"/>
          <w:szCs w:val="24"/>
        </w:rPr>
        <w:t>-high</w:t>
      </w:r>
      <w:r w:rsidR="00CE591C" w:rsidRPr="000749B2">
        <w:rPr>
          <w:rFonts w:ascii="Book Antiqua" w:eastAsia="Calibri" w:hAnsi="Book Antiqua" w:cs="Times New Roman"/>
          <w:color w:val="000000" w:themeColor="text1"/>
          <w:sz w:val="24"/>
          <w:szCs w:val="24"/>
        </w:rPr>
        <w:t xml:space="preserve"> </w:t>
      </w:r>
      <w:proofErr w:type="gramStart"/>
      <w:r w:rsidR="009B7D0B" w:rsidRPr="000749B2">
        <w:rPr>
          <w:rFonts w:ascii="Book Antiqua" w:eastAsia="Calibri" w:hAnsi="Book Antiqua" w:cs="Times New Roman"/>
          <w:color w:val="000000" w:themeColor="text1"/>
          <w:sz w:val="24"/>
          <w:szCs w:val="24"/>
        </w:rPr>
        <w:t>tumors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197]</w:t>
      </w:r>
      <w:r w:rsidR="00CE591C" w:rsidRPr="000749B2">
        <w:rPr>
          <w:rFonts w:ascii="Book Antiqua" w:eastAsia="Calibri" w:hAnsi="Book Antiqua" w:cs="Times New Roman"/>
          <w:color w:val="000000" w:themeColor="text1"/>
          <w:sz w:val="24"/>
          <w:szCs w:val="24"/>
        </w:rPr>
        <w:t xml:space="preserve">. </w:t>
      </w:r>
      <w:r w:rsidR="009B7D0B" w:rsidRPr="000749B2">
        <w:rPr>
          <w:rFonts w:ascii="Book Antiqua" w:eastAsia="Calibri" w:hAnsi="Book Antiqua" w:cs="Times New Roman"/>
          <w:color w:val="000000" w:themeColor="text1"/>
          <w:sz w:val="24"/>
          <w:szCs w:val="24"/>
        </w:rPr>
        <w:t>An overview of the above addressed mutations can be found in</w:t>
      </w:r>
      <w:r w:rsidR="005D0FCD" w:rsidRPr="000749B2">
        <w:rPr>
          <w:rFonts w:ascii="Book Antiqua" w:eastAsia="Calibri" w:hAnsi="Book Antiqua" w:cs="Times New Roman"/>
          <w:color w:val="000000" w:themeColor="text1"/>
          <w:sz w:val="24"/>
          <w:szCs w:val="24"/>
        </w:rPr>
        <w:t xml:space="preserve"> Figure 1 and are summarized in </w:t>
      </w:r>
      <w:r w:rsidR="000D7DDD" w:rsidRPr="000749B2">
        <w:rPr>
          <w:rFonts w:ascii="Book Antiqua" w:eastAsia="Calibri" w:hAnsi="Book Antiqua" w:cs="Times New Roman"/>
          <w:color w:val="000000" w:themeColor="text1"/>
          <w:sz w:val="24"/>
          <w:szCs w:val="24"/>
        </w:rPr>
        <w:t>T</w:t>
      </w:r>
      <w:r w:rsidR="009B7D0B" w:rsidRPr="000749B2">
        <w:rPr>
          <w:rFonts w:ascii="Book Antiqua" w:eastAsia="Calibri" w:hAnsi="Book Antiqua" w:cs="Times New Roman"/>
          <w:color w:val="000000" w:themeColor="text1"/>
          <w:sz w:val="24"/>
          <w:szCs w:val="24"/>
        </w:rPr>
        <w:t>able 1.</w:t>
      </w:r>
    </w:p>
    <w:p w14:paraId="4135E7BF" w14:textId="527E8362" w:rsidR="00AE58BD" w:rsidRPr="000749B2" w:rsidRDefault="00CE591C" w:rsidP="000B4309">
      <w:pPr>
        <w:spacing w:after="0" w:line="360" w:lineRule="auto"/>
        <w:ind w:firstLineChars="100" w:firstLine="240"/>
        <w:jc w:val="both"/>
        <w:rPr>
          <w:rFonts w:ascii="Book Antiqua" w:eastAsia="Times New Roman" w:hAnsi="Book Antiqua" w:cs="Times New Roman"/>
          <w:color w:val="000000" w:themeColor="text1"/>
          <w:sz w:val="24"/>
          <w:szCs w:val="24"/>
        </w:rPr>
      </w:pPr>
      <w:r w:rsidRPr="000749B2">
        <w:rPr>
          <w:rFonts w:ascii="Book Antiqua" w:eastAsia="Calibri" w:hAnsi="Book Antiqua" w:cs="Times New Roman"/>
          <w:color w:val="000000" w:themeColor="text1"/>
          <w:sz w:val="24"/>
          <w:szCs w:val="24"/>
        </w:rPr>
        <w:t>In summary</w:t>
      </w:r>
      <w:r w:rsidR="00EF67C9" w:rsidRPr="000749B2">
        <w:rPr>
          <w:rFonts w:ascii="Book Antiqua" w:eastAsia="Calibri" w:hAnsi="Book Antiqua" w:cs="Times New Roman"/>
          <w:color w:val="000000" w:themeColor="text1"/>
          <w:sz w:val="24"/>
          <w:szCs w:val="24"/>
        </w:rPr>
        <w:t>,</w:t>
      </w:r>
      <w:r w:rsidRPr="000749B2">
        <w:rPr>
          <w:rFonts w:ascii="Book Antiqua" w:eastAsia="Calibri" w:hAnsi="Book Antiqua" w:cs="Times New Roman"/>
          <w:color w:val="000000" w:themeColor="text1"/>
          <w:sz w:val="24"/>
          <w:szCs w:val="24"/>
        </w:rPr>
        <w:t xml:space="preserve"> </w:t>
      </w:r>
      <w:r w:rsidR="001F2075" w:rsidRPr="000749B2">
        <w:rPr>
          <w:rFonts w:ascii="Book Antiqua" w:eastAsia="Calibri" w:hAnsi="Book Antiqua" w:cs="Times New Roman"/>
          <w:color w:val="000000" w:themeColor="text1"/>
          <w:sz w:val="24"/>
          <w:szCs w:val="24"/>
        </w:rPr>
        <w:t>GEMM</w:t>
      </w:r>
      <w:r w:rsidRPr="000749B2">
        <w:rPr>
          <w:rFonts w:ascii="Book Antiqua" w:eastAsia="Calibri" w:hAnsi="Book Antiqua" w:cs="Times New Roman"/>
          <w:color w:val="000000" w:themeColor="text1"/>
          <w:sz w:val="24"/>
          <w:szCs w:val="24"/>
        </w:rPr>
        <w:t xml:space="preserve"> have contributed enormously to </w:t>
      </w:r>
      <w:r w:rsidR="00EF67C9" w:rsidRPr="000749B2">
        <w:rPr>
          <w:rFonts w:ascii="Book Antiqua" w:eastAsia="Calibri" w:hAnsi="Book Antiqua" w:cs="Times New Roman"/>
          <w:color w:val="000000" w:themeColor="text1"/>
          <w:sz w:val="24"/>
          <w:szCs w:val="24"/>
        </w:rPr>
        <w:t xml:space="preserve">the </w:t>
      </w:r>
      <w:r w:rsidRPr="000749B2">
        <w:rPr>
          <w:rFonts w:ascii="Book Antiqua" w:eastAsia="Calibri" w:hAnsi="Book Antiqua" w:cs="Times New Roman"/>
          <w:color w:val="000000" w:themeColor="text1"/>
          <w:sz w:val="24"/>
          <w:szCs w:val="24"/>
        </w:rPr>
        <w:t xml:space="preserve">understanding of the molecular processes </w:t>
      </w:r>
      <w:r w:rsidR="00B367D3" w:rsidRPr="000749B2">
        <w:rPr>
          <w:rFonts w:ascii="Book Antiqua" w:eastAsia="Calibri" w:hAnsi="Book Antiqua" w:cs="Times New Roman"/>
          <w:color w:val="000000" w:themeColor="text1"/>
          <w:sz w:val="24"/>
          <w:szCs w:val="24"/>
        </w:rPr>
        <w:t>of CRC</w:t>
      </w:r>
      <w:r w:rsidRPr="000749B2">
        <w:rPr>
          <w:rFonts w:ascii="Book Antiqua" w:eastAsia="Calibri" w:hAnsi="Book Antiqua" w:cs="Times New Roman"/>
          <w:color w:val="000000" w:themeColor="text1"/>
          <w:sz w:val="24"/>
          <w:szCs w:val="24"/>
        </w:rPr>
        <w:t xml:space="preserve"> initiation</w:t>
      </w:r>
      <w:r w:rsidR="00EF67C9" w:rsidRPr="000749B2">
        <w:rPr>
          <w:rFonts w:ascii="Book Antiqua" w:eastAsia="Calibri" w:hAnsi="Book Antiqua" w:cs="Times New Roman"/>
          <w:color w:val="000000" w:themeColor="text1"/>
          <w:sz w:val="24"/>
          <w:szCs w:val="24"/>
        </w:rPr>
        <w:t>,</w:t>
      </w:r>
      <w:r w:rsidR="001F2075"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progression a</w:t>
      </w:r>
      <w:r w:rsidR="00EF67C9" w:rsidRPr="000749B2">
        <w:rPr>
          <w:rFonts w:ascii="Book Antiqua" w:eastAsia="Calibri" w:hAnsi="Book Antiqua" w:cs="Times New Roman"/>
          <w:color w:val="000000" w:themeColor="text1"/>
          <w:sz w:val="24"/>
          <w:szCs w:val="24"/>
        </w:rPr>
        <w:t>nd</w:t>
      </w:r>
      <w:r w:rsidRPr="000749B2">
        <w:rPr>
          <w:rFonts w:ascii="Book Antiqua" w:eastAsia="Calibri" w:hAnsi="Book Antiqua" w:cs="Times New Roman"/>
          <w:color w:val="000000" w:themeColor="text1"/>
          <w:sz w:val="24"/>
          <w:szCs w:val="24"/>
        </w:rPr>
        <w:t xml:space="preserve"> </w:t>
      </w:r>
      <w:r w:rsidR="00EF67C9" w:rsidRPr="000749B2">
        <w:rPr>
          <w:rFonts w:ascii="Book Antiqua" w:eastAsia="Calibri" w:hAnsi="Book Antiqua" w:cs="Times New Roman"/>
          <w:color w:val="000000" w:themeColor="text1"/>
          <w:sz w:val="24"/>
          <w:szCs w:val="24"/>
        </w:rPr>
        <w:t>crosstalk of common cancer-associated pathways</w:t>
      </w:r>
      <w:r w:rsidRPr="000749B2">
        <w:rPr>
          <w:rFonts w:ascii="Book Antiqua" w:eastAsia="Calibri" w:hAnsi="Book Antiqua" w:cs="Times New Roman"/>
          <w:color w:val="000000" w:themeColor="text1"/>
          <w:sz w:val="24"/>
          <w:szCs w:val="24"/>
        </w:rPr>
        <w:t xml:space="preserve">. Besides the models for spontaneous CRC and common cancer syndromes, like </w:t>
      </w:r>
      <w:r w:rsidR="00127775" w:rsidRPr="000749B2">
        <w:rPr>
          <w:rFonts w:ascii="Book Antiqua" w:eastAsia="Calibri" w:hAnsi="Book Antiqua" w:cs="Times New Roman"/>
          <w:color w:val="000000" w:themeColor="text1"/>
          <w:sz w:val="24"/>
          <w:szCs w:val="24"/>
        </w:rPr>
        <w:t xml:space="preserve">Familiar Adenomatius Polyposis </w:t>
      </w:r>
      <w:r w:rsidRPr="000749B2">
        <w:rPr>
          <w:rFonts w:ascii="Book Antiqua" w:eastAsia="Calibri" w:hAnsi="Book Antiqua" w:cs="Times New Roman"/>
          <w:color w:val="000000" w:themeColor="text1"/>
          <w:sz w:val="24"/>
          <w:szCs w:val="24"/>
        </w:rPr>
        <w:t>and L</w:t>
      </w:r>
      <w:r w:rsidR="001F2075" w:rsidRPr="000749B2">
        <w:rPr>
          <w:rFonts w:ascii="Book Antiqua" w:eastAsia="Calibri" w:hAnsi="Book Antiqua" w:cs="Times New Roman"/>
          <w:color w:val="000000" w:themeColor="text1"/>
          <w:sz w:val="24"/>
          <w:szCs w:val="24"/>
        </w:rPr>
        <w:t>S</w:t>
      </w:r>
      <w:r w:rsidRPr="000749B2">
        <w:rPr>
          <w:rFonts w:ascii="Book Antiqua" w:eastAsia="Calibri" w:hAnsi="Book Antiqua" w:cs="Times New Roman"/>
          <w:color w:val="000000" w:themeColor="text1"/>
          <w:sz w:val="24"/>
          <w:szCs w:val="24"/>
        </w:rPr>
        <w:t>, several models recapitulate metastatic disease, either a</w:t>
      </w:r>
      <w:r w:rsidR="00EF67C9" w:rsidRPr="000749B2">
        <w:rPr>
          <w:rFonts w:ascii="Book Antiqua" w:eastAsia="Calibri" w:hAnsi="Book Antiqua" w:cs="Times New Roman"/>
          <w:color w:val="000000" w:themeColor="text1"/>
          <w:sz w:val="24"/>
          <w:szCs w:val="24"/>
        </w:rPr>
        <w:t xml:space="preserve">s </w:t>
      </w:r>
      <w:r w:rsidR="00127775" w:rsidRPr="000749B2">
        <w:rPr>
          <w:rFonts w:ascii="Book Antiqua" w:eastAsia="Calibri" w:hAnsi="Book Antiqua" w:cs="Times New Roman"/>
          <w:color w:val="000000" w:themeColor="text1"/>
          <w:sz w:val="24"/>
          <w:szCs w:val="24"/>
        </w:rPr>
        <w:t>“</w:t>
      </w:r>
      <w:r w:rsidRPr="000749B2">
        <w:rPr>
          <w:rFonts w:ascii="Book Antiqua" w:eastAsia="Calibri" w:hAnsi="Book Antiqua" w:cs="Times New Roman"/>
          <w:color w:val="000000" w:themeColor="text1"/>
          <w:sz w:val="24"/>
          <w:szCs w:val="24"/>
        </w:rPr>
        <w:t>classic</w:t>
      </w:r>
      <w:r w:rsidR="001F2075" w:rsidRPr="000749B2">
        <w:rPr>
          <w:rFonts w:ascii="Book Antiqua" w:eastAsia="Calibri" w:hAnsi="Book Antiqua" w:cs="Times New Roman"/>
          <w:color w:val="000000" w:themeColor="text1"/>
          <w:sz w:val="24"/>
          <w:szCs w:val="24"/>
        </w:rPr>
        <w:t>”</w:t>
      </w:r>
      <w:r w:rsidRPr="000749B2">
        <w:rPr>
          <w:rFonts w:ascii="Book Antiqua" w:eastAsia="Calibri" w:hAnsi="Book Antiqua" w:cs="Times New Roman"/>
          <w:color w:val="000000" w:themeColor="text1"/>
          <w:sz w:val="24"/>
          <w:szCs w:val="24"/>
        </w:rPr>
        <w:t xml:space="preserve"> </w:t>
      </w:r>
      <w:proofErr w:type="gramStart"/>
      <w:r w:rsidRPr="000749B2">
        <w:rPr>
          <w:rFonts w:ascii="Book Antiqua" w:eastAsia="Calibri" w:hAnsi="Book Antiqua" w:cs="Times New Roman"/>
          <w:color w:val="000000" w:themeColor="text1"/>
          <w:sz w:val="24"/>
          <w:szCs w:val="24"/>
        </w:rPr>
        <w:t>GEM</w:t>
      </w:r>
      <w:r w:rsidR="001F2075" w:rsidRPr="000749B2">
        <w:rPr>
          <w:rFonts w:ascii="Book Antiqua" w:eastAsia="Calibri" w:hAnsi="Book Antiqua" w:cs="Times New Roman"/>
          <w:color w:val="000000" w:themeColor="text1"/>
          <w:sz w:val="24"/>
          <w:szCs w:val="24"/>
        </w:rPr>
        <w:t>M</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141,148,166,198]</w:t>
      </w:r>
      <w:r w:rsidR="00141F95"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 xml:space="preserve">or upon viral </w:t>
      </w:r>
      <w:r w:rsidRPr="000749B2">
        <w:rPr>
          <w:rFonts w:ascii="Book Antiqua" w:eastAsia="Calibri" w:hAnsi="Book Antiqua" w:cs="Times New Roman"/>
          <w:i/>
          <w:iCs/>
          <w:color w:val="000000" w:themeColor="text1"/>
          <w:sz w:val="24"/>
          <w:szCs w:val="24"/>
        </w:rPr>
        <w:t>Cre</w:t>
      </w:r>
      <w:r w:rsidRPr="000749B2">
        <w:rPr>
          <w:rFonts w:ascii="Book Antiqua" w:eastAsia="Calibri" w:hAnsi="Book Antiqua" w:cs="Times New Roman"/>
          <w:color w:val="000000" w:themeColor="text1"/>
          <w:sz w:val="24"/>
          <w:szCs w:val="24"/>
        </w:rPr>
        <w:t xml:space="preserve"> delivery</w:t>
      </w:r>
      <w:r w:rsidR="00C42D1B" w:rsidRPr="000749B2">
        <w:rPr>
          <w:rFonts w:ascii="Book Antiqua" w:hAnsi="Book Antiqua"/>
          <w:color w:val="000000" w:themeColor="text1"/>
          <w:sz w:val="24"/>
          <w:szCs w:val="24"/>
          <w:vertAlign w:val="superscript"/>
        </w:rPr>
        <w:t>[129,130]</w:t>
      </w:r>
      <w:r w:rsidR="00141F95"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 xml:space="preserve">Yet, these models have several limitations. First of all, cancer development </w:t>
      </w:r>
      <w:r w:rsidR="00F70C6F" w:rsidRPr="000749B2">
        <w:rPr>
          <w:rFonts w:ascii="Book Antiqua" w:eastAsia="Calibri" w:hAnsi="Book Antiqua" w:cs="Times New Roman"/>
          <w:color w:val="000000" w:themeColor="text1"/>
          <w:sz w:val="24"/>
          <w:szCs w:val="24"/>
        </w:rPr>
        <w:t>is</w:t>
      </w:r>
      <w:r w:rsidRPr="000749B2">
        <w:rPr>
          <w:rFonts w:ascii="Book Antiqua" w:eastAsia="Calibri" w:hAnsi="Book Antiqua" w:cs="Times New Roman"/>
          <w:color w:val="000000" w:themeColor="text1"/>
          <w:sz w:val="24"/>
          <w:szCs w:val="24"/>
        </w:rPr>
        <w:t xml:space="preserve"> a step-wise process with an initial driver</w:t>
      </w:r>
      <w:r w:rsidR="002C6E97" w:rsidRPr="000749B2">
        <w:rPr>
          <w:rFonts w:ascii="Book Antiqua" w:eastAsia="Calibri" w:hAnsi="Book Antiqua" w:cs="Times New Roman"/>
          <w:color w:val="000000" w:themeColor="text1"/>
          <w:sz w:val="24"/>
          <w:szCs w:val="24"/>
        </w:rPr>
        <w:t xml:space="preserve"> </w:t>
      </w:r>
      <w:r w:rsidR="00246893" w:rsidRPr="000749B2">
        <w:rPr>
          <w:rFonts w:ascii="Book Antiqua" w:eastAsia="Calibri" w:hAnsi="Book Antiqua" w:cs="Times New Roman"/>
          <w:color w:val="000000" w:themeColor="text1"/>
          <w:sz w:val="24"/>
          <w:szCs w:val="24"/>
        </w:rPr>
        <w:t>mutation</w:t>
      </w:r>
      <w:r w:rsidRPr="000749B2">
        <w:rPr>
          <w:rFonts w:ascii="Book Antiqua" w:eastAsia="Calibri" w:hAnsi="Book Antiqua" w:cs="Times New Roman"/>
          <w:color w:val="000000" w:themeColor="text1"/>
          <w:sz w:val="24"/>
          <w:szCs w:val="24"/>
        </w:rPr>
        <w:t xml:space="preserve"> and subsequent acquisition of further </w:t>
      </w:r>
      <w:proofErr w:type="gramStart"/>
      <w:r w:rsidRPr="000749B2">
        <w:rPr>
          <w:rFonts w:ascii="Book Antiqua" w:eastAsia="Calibri" w:hAnsi="Book Antiqua" w:cs="Times New Roman"/>
          <w:color w:val="000000" w:themeColor="text1"/>
          <w:sz w:val="24"/>
          <w:szCs w:val="24"/>
        </w:rPr>
        <w:t>mutations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199]</w:t>
      </w:r>
      <w:r w:rsidR="00F70C6F" w:rsidRPr="000749B2">
        <w:rPr>
          <w:rFonts w:ascii="Book Antiqua" w:eastAsia="Calibri" w:hAnsi="Book Antiqua" w:cs="Times New Roman"/>
          <w:color w:val="000000" w:themeColor="text1"/>
          <w:sz w:val="24"/>
          <w:szCs w:val="24"/>
        </w:rPr>
        <w:t xml:space="preserve">, and thus </w:t>
      </w:r>
      <w:r w:rsidRPr="000749B2">
        <w:rPr>
          <w:rFonts w:ascii="Book Antiqua" w:eastAsia="Calibri" w:hAnsi="Book Antiqua" w:cs="Times New Roman"/>
          <w:color w:val="000000" w:themeColor="text1"/>
          <w:sz w:val="24"/>
          <w:szCs w:val="24"/>
        </w:rPr>
        <w:t xml:space="preserve">can only be partly reflected in tumor mouse models by the combination of a constitutively active with </w:t>
      </w:r>
      <w:r w:rsidR="00EF67C9" w:rsidRPr="000749B2">
        <w:rPr>
          <w:rFonts w:ascii="Book Antiqua" w:eastAsia="Calibri" w:hAnsi="Book Antiqua" w:cs="Times New Roman"/>
          <w:color w:val="000000" w:themeColor="text1"/>
          <w:sz w:val="24"/>
          <w:szCs w:val="24"/>
        </w:rPr>
        <w:t>an</w:t>
      </w:r>
      <w:r w:rsidRPr="000749B2">
        <w:rPr>
          <w:rFonts w:ascii="Book Antiqua" w:eastAsia="Calibri" w:hAnsi="Book Antiqua" w:cs="Times New Roman"/>
          <w:color w:val="000000" w:themeColor="text1"/>
          <w:sz w:val="24"/>
          <w:szCs w:val="24"/>
        </w:rPr>
        <w:t xml:space="preserve"> inducible mutation</w:t>
      </w:r>
      <w:r w:rsidR="00C42D1B" w:rsidRPr="000749B2">
        <w:rPr>
          <w:rFonts w:ascii="Book Antiqua" w:hAnsi="Book Antiqua"/>
          <w:color w:val="000000" w:themeColor="text1"/>
          <w:sz w:val="24"/>
          <w:szCs w:val="24"/>
          <w:vertAlign w:val="superscript"/>
        </w:rPr>
        <w:t>[172]</w:t>
      </w:r>
      <w:r w:rsidR="002C6E97"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 xml:space="preserve">Roper </w:t>
      </w:r>
      <w:r w:rsidRPr="000749B2">
        <w:rPr>
          <w:rFonts w:ascii="Book Antiqua" w:eastAsia="Calibri" w:hAnsi="Book Antiqua" w:cs="Times New Roman"/>
          <w:i/>
          <w:iCs/>
          <w:color w:val="000000" w:themeColor="text1"/>
          <w:sz w:val="24"/>
          <w:szCs w:val="24"/>
        </w:rPr>
        <w:t xml:space="preserve">et </w:t>
      </w:r>
      <w:proofErr w:type="gramStart"/>
      <w:r w:rsidRPr="000749B2">
        <w:rPr>
          <w:rFonts w:ascii="Book Antiqua" w:eastAsia="Calibri" w:hAnsi="Book Antiqua" w:cs="Times New Roman"/>
          <w:i/>
          <w:iCs/>
          <w:color w:val="000000" w:themeColor="text1"/>
          <w:sz w:val="24"/>
          <w:szCs w:val="24"/>
        </w:rPr>
        <w:t>al</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128]</w:t>
      </w:r>
      <w:r w:rsidRPr="000749B2">
        <w:rPr>
          <w:rFonts w:ascii="Book Antiqua" w:eastAsia="Calibri" w:hAnsi="Book Antiqua" w:cs="Times New Roman"/>
          <w:color w:val="000000" w:themeColor="text1"/>
          <w:sz w:val="24"/>
          <w:szCs w:val="24"/>
        </w:rPr>
        <w:t xml:space="preserve"> recently demonstrated </w:t>
      </w:r>
      <w:r w:rsidRPr="000749B2">
        <w:rPr>
          <w:rFonts w:ascii="Book Antiqua" w:eastAsia="Calibri" w:hAnsi="Book Antiqua" w:cs="Times New Roman"/>
          <w:i/>
          <w:iCs/>
          <w:color w:val="000000" w:themeColor="text1"/>
          <w:sz w:val="24"/>
          <w:szCs w:val="24"/>
        </w:rPr>
        <w:t>in vivo</w:t>
      </w:r>
      <w:r w:rsidRPr="000749B2">
        <w:rPr>
          <w:rFonts w:ascii="Book Antiqua" w:eastAsia="Calibri" w:hAnsi="Book Antiqua" w:cs="Times New Roman"/>
          <w:color w:val="000000" w:themeColor="text1"/>
          <w:sz w:val="24"/>
          <w:szCs w:val="24"/>
        </w:rPr>
        <w:t xml:space="preserve"> genome editing of </w:t>
      </w:r>
      <w:r w:rsidRPr="000749B2">
        <w:rPr>
          <w:rFonts w:ascii="Book Antiqua" w:eastAsia="Calibri" w:hAnsi="Book Antiqua" w:cs="Times New Roman"/>
          <w:i/>
          <w:iCs/>
          <w:color w:val="000000" w:themeColor="text1"/>
          <w:sz w:val="24"/>
          <w:szCs w:val="24"/>
        </w:rPr>
        <w:t>A</w:t>
      </w:r>
      <w:r w:rsidR="002C6E97" w:rsidRPr="000749B2">
        <w:rPr>
          <w:rFonts w:ascii="Book Antiqua" w:eastAsia="Calibri" w:hAnsi="Book Antiqua" w:cs="Times New Roman"/>
          <w:i/>
          <w:iCs/>
          <w:color w:val="000000" w:themeColor="text1"/>
          <w:sz w:val="24"/>
          <w:szCs w:val="24"/>
        </w:rPr>
        <w:t>pc</w:t>
      </w:r>
      <w:r w:rsidRPr="000749B2">
        <w:rPr>
          <w:rFonts w:ascii="Book Antiqua" w:eastAsia="Calibri" w:hAnsi="Book Antiqua" w:cs="Times New Roman"/>
          <w:i/>
          <w:iCs/>
          <w:color w:val="000000" w:themeColor="text1"/>
          <w:sz w:val="24"/>
          <w:szCs w:val="24"/>
        </w:rPr>
        <w:t xml:space="preserve"> </w:t>
      </w:r>
      <w:r w:rsidRPr="000749B2">
        <w:rPr>
          <w:rFonts w:ascii="Book Antiqua" w:eastAsia="Calibri" w:hAnsi="Book Antiqua" w:cs="Times New Roman"/>
          <w:color w:val="000000" w:themeColor="text1"/>
          <w:sz w:val="24"/>
          <w:szCs w:val="24"/>
        </w:rPr>
        <w:t xml:space="preserve">and </w:t>
      </w:r>
      <w:r w:rsidRPr="000749B2">
        <w:rPr>
          <w:rFonts w:ascii="Book Antiqua" w:eastAsia="Calibri" w:hAnsi="Book Antiqua" w:cs="Times New Roman"/>
          <w:i/>
          <w:iCs/>
          <w:color w:val="000000" w:themeColor="text1"/>
          <w:sz w:val="24"/>
          <w:szCs w:val="24"/>
        </w:rPr>
        <w:t>P53</w:t>
      </w:r>
      <w:r w:rsidRPr="000749B2">
        <w:rPr>
          <w:rFonts w:ascii="Book Antiqua" w:eastAsia="Calibri" w:hAnsi="Book Antiqua" w:cs="Times New Roman"/>
          <w:color w:val="000000" w:themeColor="text1"/>
          <w:sz w:val="24"/>
          <w:szCs w:val="24"/>
        </w:rPr>
        <w:t xml:space="preserve"> by viral delivery of the correspondent sgRNA in mice expressing CRI</w:t>
      </w:r>
      <w:r w:rsidR="006968F5" w:rsidRPr="000749B2">
        <w:rPr>
          <w:rFonts w:ascii="Book Antiqua" w:eastAsia="Calibri" w:hAnsi="Book Antiqua" w:cs="Times New Roman"/>
          <w:color w:val="000000" w:themeColor="text1"/>
          <w:sz w:val="24"/>
          <w:szCs w:val="24"/>
        </w:rPr>
        <w:t>S</w:t>
      </w:r>
      <w:r w:rsidRPr="000749B2">
        <w:rPr>
          <w:rFonts w:ascii="Book Antiqua" w:eastAsia="Calibri" w:hAnsi="Book Antiqua" w:cs="Times New Roman"/>
          <w:color w:val="000000" w:themeColor="text1"/>
          <w:sz w:val="24"/>
          <w:szCs w:val="24"/>
        </w:rPr>
        <w:t xml:space="preserve">PR-Cas9 under the control of a </w:t>
      </w:r>
      <w:r w:rsidR="00007842" w:rsidRPr="000749B2">
        <w:rPr>
          <w:rFonts w:ascii="Book Antiqua" w:eastAsia="Calibri" w:hAnsi="Book Antiqua" w:cs="Times New Roman"/>
          <w:i/>
          <w:iCs/>
          <w:color w:val="000000" w:themeColor="text1"/>
          <w:sz w:val="24"/>
          <w:szCs w:val="24"/>
        </w:rPr>
        <w:t>V</w:t>
      </w:r>
      <w:r w:rsidRPr="000749B2">
        <w:rPr>
          <w:rFonts w:ascii="Book Antiqua" w:eastAsia="Calibri" w:hAnsi="Book Antiqua" w:cs="Times New Roman"/>
          <w:i/>
          <w:iCs/>
          <w:color w:val="000000" w:themeColor="text1"/>
          <w:sz w:val="24"/>
          <w:szCs w:val="24"/>
        </w:rPr>
        <w:t>illin-Cre</w:t>
      </w:r>
      <w:r w:rsidRPr="000749B2">
        <w:rPr>
          <w:rFonts w:ascii="Book Antiqua" w:eastAsia="Calibri" w:hAnsi="Book Antiqua" w:cs="Times New Roman"/>
          <w:color w:val="000000" w:themeColor="text1"/>
          <w:sz w:val="24"/>
          <w:szCs w:val="24"/>
        </w:rPr>
        <w:t xml:space="preserve"> transgene</w:t>
      </w:r>
      <w:r w:rsidR="00C22892"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 xml:space="preserve">Second, the number of combined mutations is limited in the mouse, since the resulting phenotype shows often a drastically reduced </w:t>
      </w:r>
      <w:proofErr w:type="gramStart"/>
      <w:r w:rsidRPr="000749B2">
        <w:rPr>
          <w:rFonts w:ascii="Book Antiqua" w:eastAsia="Calibri" w:hAnsi="Book Antiqua" w:cs="Times New Roman"/>
          <w:color w:val="000000" w:themeColor="text1"/>
          <w:sz w:val="24"/>
          <w:szCs w:val="24"/>
        </w:rPr>
        <w:t>lifespan</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152]</w:t>
      </w:r>
      <w:r w:rsidR="002C6E97"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Triple mutant (</w:t>
      </w:r>
      <w:r w:rsidRPr="000749B2">
        <w:rPr>
          <w:rFonts w:ascii="Book Antiqua" w:eastAsia="Calibri" w:hAnsi="Book Antiqua" w:cs="Times New Roman"/>
          <w:i/>
          <w:iCs/>
          <w:color w:val="000000" w:themeColor="text1"/>
          <w:sz w:val="24"/>
          <w:szCs w:val="24"/>
        </w:rPr>
        <w:t>Car1</w:t>
      </w:r>
      <w:r w:rsidRPr="000749B2">
        <w:rPr>
          <w:rFonts w:ascii="Book Antiqua" w:eastAsia="Calibri" w:hAnsi="Book Antiqua" w:cs="Times New Roman"/>
          <w:color w:val="000000" w:themeColor="text1"/>
          <w:sz w:val="24"/>
          <w:szCs w:val="24"/>
          <w:vertAlign w:val="superscript"/>
        </w:rPr>
        <w:t>CreER/+</w:t>
      </w:r>
      <w:r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i/>
          <w:iCs/>
          <w:color w:val="000000" w:themeColor="text1"/>
          <w:sz w:val="24"/>
          <w:szCs w:val="24"/>
        </w:rPr>
        <w:t>Apc</w:t>
      </w:r>
      <w:r w:rsidRPr="000749B2">
        <w:rPr>
          <w:rFonts w:ascii="Book Antiqua" w:eastAsia="Calibri" w:hAnsi="Book Antiqua" w:cs="Times New Roman"/>
          <w:color w:val="000000" w:themeColor="text1"/>
          <w:sz w:val="24"/>
          <w:szCs w:val="24"/>
          <w:vertAlign w:val="superscript"/>
        </w:rPr>
        <w:t>fl/f</w:t>
      </w:r>
      <w:r w:rsidRPr="000749B2">
        <w:rPr>
          <w:rFonts w:ascii="Book Antiqua" w:eastAsia="Calibri" w:hAnsi="Book Antiqua" w:cs="Times New Roman"/>
          <w:i/>
          <w:iCs/>
          <w:color w:val="000000" w:themeColor="text1"/>
          <w:sz w:val="24"/>
          <w:szCs w:val="24"/>
          <w:vertAlign w:val="superscript"/>
        </w:rPr>
        <w:t>l</w:t>
      </w:r>
      <w:r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i/>
          <w:iCs/>
          <w:color w:val="000000" w:themeColor="text1"/>
          <w:sz w:val="24"/>
          <w:szCs w:val="24"/>
        </w:rPr>
        <w:t>Kras</w:t>
      </w:r>
      <w:r w:rsidRPr="000749B2">
        <w:rPr>
          <w:rFonts w:ascii="Book Antiqua" w:eastAsia="Calibri" w:hAnsi="Book Antiqua" w:cs="Times New Roman"/>
          <w:color w:val="000000" w:themeColor="text1"/>
          <w:sz w:val="24"/>
          <w:szCs w:val="24"/>
          <w:vertAlign w:val="superscript"/>
        </w:rPr>
        <w:t>LSL–G12D/+</w:t>
      </w:r>
      <w:r w:rsidRPr="000749B2">
        <w:rPr>
          <w:rFonts w:ascii="Book Antiqua" w:eastAsia="Calibri" w:hAnsi="Book Antiqua" w:cs="Times New Roman"/>
          <w:color w:val="000000" w:themeColor="text1"/>
          <w:sz w:val="24"/>
          <w:szCs w:val="24"/>
        </w:rPr>
        <w:t>) and quadruple mutant mice (</w:t>
      </w:r>
      <w:r w:rsidRPr="000749B2">
        <w:rPr>
          <w:rFonts w:ascii="Book Antiqua" w:eastAsia="Calibri" w:hAnsi="Book Antiqua" w:cs="Times New Roman"/>
          <w:i/>
          <w:iCs/>
          <w:color w:val="000000" w:themeColor="text1"/>
          <w:sz w:val="24"/>
          <w:szCs w:val="24"/>
        </w:rPr>
        <w:t>Car1</w:t>
      </w:r>
      <w:r w:rsidRPr="000749B2">
        <w:rPr>
          <w:rFonts w:ascii="Book Antiqua" w:eastAsia="Calibri" w:hAnsi="Book Antiqua" w:cs="Times New Roman"/>
          <w:color w:val="000000" w:themeColor="text1"/>
          <w:sz w:val="24"/>
          <w:szCs w:val="24"/>
          <w:vertAlign w:val="superscript"/>
        </w:rPr>
        <w:t>CreER/+</w:t>
      </w:r>
      <w:r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i/>
          <w:iCs/>
          <w:color w:val="000000" w:themeColor="text1"/>
          <w:sz w:val="24"/>
          <w:szCs w:val="24"/>
        </w:rPr>
        <w:t>Apc</w:t>
      </w:r>
      <w:r w:rsidRPr="000749B2">
        <w:rPr>
          <w:rFonts w:ascii="Book Antiqua" w:eastAsia="Calibri" w:hAnsi="Book Antiqua" w:cs="Times New Roman"/>
          <w:color w:val="000000" w:themeColor="text1"/>
          <w:sz w:val="24"/>
          <w:szCs w:val="24"/>
          <w:vertAlign w:val="superscript"/>
        </w:rPr>
        <w:t>fl/fl</w:t>
      </w:r>
      <w:r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i/>
          <w:iCs/>
          <w:color w:val="000000" w:themeColor="text1"/>
          <w:sz w:val="24"/>
          <w:szCs w:val="24"/>
        </w:rPr>
        <w:t>Kras</w:t>
      </w:r>
      <w:r w:rsidRPr="000749B2">
        <w:rPr>
          <w:rFonts w:ascii="Book Antiqua" w:eastAsia="Calibri" w:hAnsi="Book Antiqua" w:cs="Times New Roman"/>
          <w:color w:val="000000" w:themeColor="text1"/>
          <w:sz w:val="24"/>
          <w:szCs w:val="24"/>
          <w:vertAlign w:val="superscript"/>
        </w:rPr>
        <w:t>LSL–G12D/+</w:t>
      </w:r>
      <w:r w:rsidRPr="000749B2">
        <w:rPr>
          <w:rFonts w:ascii="Book Antiqua" w:eastAsia="Calibri" w:hAnsi="Book Antiqua" w:cs="Times New Roman"/>
          <w:color w:val="000000" w:themeColor="text1"/>
          <w:sz w:val="24"/>
          <w:szCs w:val="24"/>
        </w:rPr>
        <w:t xml:space="preserve">; </w:t>
      </w:r>
      <w:r w:rsidR="002C6E97" w:rsidRPr="000749B2">
        <w:rPr>
          <w:rFonts w:ascii="Book Antiqua" w:eastAsia="Calibri" w:hAnsi="Book Antiqua" w:cs="Times New Roman"/>
          <w:i/>
          <w:iCs/>
          <w:color w:val="000000" w:themeColor="text1"/>
          <w:sz w:val="24"/>
          <w:szCs w:val="24"/>
        </w:rPr>
        <w:t>P</w:t>
      </w:r>
      <w:r w:rsidRPr="000749B2">
        <w:rPr>
          <w:rFonts w:ascii="Book Antiqua" w:eastAsia="Calibri" w:hAnsi="Book Antiqua" w:cs="Times New Roman"/>
          <w:i/>
          <w:iCs/>
          <w:color w:val="000000" w:themeColor="text1"/>
          <w:sz w:val="24"/>
          <w:szCs w:val="24"/>
        </w:rPr>
        <w:t>53</w:t>
      </w:r>
      <w:r w:rsidRPr="000749B2">
        <w:rPr>
          <w:rFonts w:ascii="Book Antiqua" w:eastAsia="Calibri" w:hAnsi="Book Antiqua" w:cs="Times New Roman"/>
          <w:color w:val="000000" w:themeColor="text1"/>
          <w:sz w:val="24"/>
          <w:szCs w:val="24"/>
        </w:rPr>
        <w:t>KO</w:t>
      </w:r>
      <w:r w:rsidRPr="000749B2">
        <w:rPr>
          <w:rFonts w:ascii="Book Antiqua" w:eastAsia="Calibri" w:hAnsi="Book Antiqua" w:cs="Times New Roman"/>
          <w:i/>
          <w:iCs/>
          <w:color w:val="000000" w:themeColor="text1"/>
          <w:sz w:val="24"/>
          <w:szCs w:val="24"/>
        </w:rPr>
        <w:t>; Smad4</w:t>
      </w:r>
      <w:r w:rsidRPr="000749B2">
        <w:rPr>
          <w:rFonts w:ascii="Book Antiqua" w:eastAsia="Calibri" w:hAnsi="Book Antiqua" w:cs="Times New Roman"/>
          <w:color w:val="000000" w:themeColor="text1"/>
          <w:sz w:val="24"/>
          <w:szCs w:val="24"/>
          <w:vertAlign w:val="superscript"/>
        </w:rPr>
        <w:t>fl/fl</w:t>
      </w:r>
      <w:r w:rsidRPr="000749B2">
        <w:rPr>
          <w:rFonts w:ascii="Book Antiqua" w:eastAsia="Calibri" w:hAnsi="Book Antiqua" w:cs="Times New Roman"/>
          <w:color w:val="000000" w:themeColor="text1"/>
          <w:sz w:val="24"/>
          <w:szCs w:val="24"/>
        </w:rPr>
        <w:t>) showed a reduced lifespan of merely one month</w:t>
      </w:r>
      <w:sdt>
        <w:sdtPr>
          <w:rPr>
            <w:rFonts w:ascii="Book Antiqua" w:eastAsia="Calibri" w:hAnsi="Book Antiqua" w:cs="Times New Roman"/>
            <w:color w:val="000000" w:themeColor="text1"/>
            <w:sz w:val="24"/>
            <w:szCs w:val="24"/>
          </w:rPr>
          <w:alias w:val="Don't edit this field"/>
          <w:tag w:val="CitaviPlaceholder#67f6c4a6-34fd-441a-ad84-9f6d36436aaa"/>
          <w:id w:val="-1695761586"/>
          <w:placeholder>
            <w:docPart w:val="DefaultPlaceholder_-1854013440"/>
          </w:placeholder>
        </w:sdtPr>
        <w:sdtEndPr/>
        <w:sdtContent>
          <w:r w:rsidR="002C6E97" w:rsidRPr="000749B2">
            <w:rPr>
              <w:rFonts w:ascii="Book Antiqua" w:eastAsia="Calibri" w:hAnsi="Book Antiqua" w:cs="Times New Roman"/>
              <w:color w:val="000000" w:themeColor="text1"/>
              <w:sz w:val="24"/>
              <w:szCs w:val="24"/>
            </w:rPr>
            <w:fldChar w:fldCharType="begin"/>
          </w:r>
          <w:r w:rsidR="00967752" w:rsidRPr="000749B2">
            <w:rPr>
              <w:rFonts w:ascii="Book Antiqua" w:eastAsia="Calibri" w:hAnsi="Book Antiqua" w:cs="Times New Roman"/>
              <w:color w:val="000000" w:themeColor="text1"/>
              <w:sz w:val="24"/>
              <w:szCs w:val="24"/>
            </w:rPr>
            <w:instrText>ADDIN CitaviPlaceholder{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}</w:instrText>
          </w:r>
          <w:r w:rsidR="002C6E97" w:rsidRPr="000749B2">
            <w:rPr>
              <w:rFonts w:ascii="Book Antiqua" w:eastAsia="Calibri" w:hAnsi="Book Antiqua" w:cs="Times New Roman"/>
              <w:color w:val="000000" w:themeColor="text1"/>
              <w:sz w:val="24"/>
              <w:szCs w:val="24"/>
            </w:rPr>
            <w:fldChar w:fldCharType="separate"/>
          </w:r>
          <w:r w:rsidR="003C16C9" w:rsidRPr="000749B2">
            <w:rPr>
              <w:rFonts w:ascii="Book Antiqua" w:eastAsia="Calibri" w:hAnsi="Book Antiqua" w:cs="Times New Roman"/>
              <w:color w:val="000000" w:themeColor="text1"/>
              <w:sz w:val="24"/>
              <w:szCs w:val="24"/>
              <w:vertAlign w:val="superscript"/>
            </w:rPr>
            <w:t>[158]</w:t>
          </w:r>
          <w:r w:rsidR="002C6E97" w:rsidRPr="000749B2">
            <w:rPr>
              <w:rFonts w:ascii="Book Antiqua" w:eastAsia="Calibri" w:hAnsi="Book Antiqua" w:cs="Times New Roman"/>
              <w:color w:val="000000" w:themeColor="text1"/>
              <w:sz w:val="24"/>
              <w:szCs w:val="24"/>
            </w:rPr>
            <w:fldChar w:fldCharType="end"/>
          </w:r>
        </w:sdtContent>
      </w:sdt>
      <w:r w:rsidR="002C6E97" w:rsidRPr="000749B2">
        <w:rPr>
          <w:rFonts w:ascii="Book Antiqua" w:eastAsia="Calibri" w:hAnsi="Book Antiqua" w:cs="Times New Roman"/>
          <w:color w:val="000000" w:themeColor="text1"/>
          <w:sz w:val="24"/>
          <w:szCs w:val="24"/>
        </w:rPr>
        <w:t xml:space="preserve">. </w:t>
      </w:r>
      <w:r w:rsidR="00B367D3" w:rsidRPr="000749B2">
        <w:rPr>
          <w:rFonts w:ascii="Book Antiqua" w:eastAsia="Calibri" w:hAnsi="Book Antiqua" w:cs="Times New Roman"/>
          <w:color w:val="000000" w:themeColor="text1"/>
          <w:sz w:val="24"/>
          <w:szCs w:val="24"/>
        </w:rPr>
        <w:t>Moreover, GEMM</w:t>
      </w:r>
      <w:r w:rsidRPr="000749B2">
        <w:rPr>
          <w:rFonts w:ascii="Book Antiqua" w:eastAsia="Calibri" w:hAnsi="Book Antiqua" w:cs="Times New Roman"/>
          <w:color w:val="000000" w:themeColor="text1"/>
          <w:sz w:val="24"/>
          <w:szCs w:val="24"/>
        </w:rPr>
        <w:t xml:space="preserve"> are time consuming and expensive, since breeding of the transgen</w:t>
      </w:r>
      <w:r w:rsidR="006968F5" w:rsidRPr="000749B2">
        <w:rPr>
          <w:rFonts w:ascii="Book Antiqua" w:eastAsia="Calibri" w:hAnsi="Book Antiqua" w:cs="Times New Roman"/>
          <w:color w:val="000000" w:themeColor="text1"/>
          <w:sz w:val="24"/>
          <w:szCs w:val="24"/>
        </w:rPr>
        <w:t>ic</w:t>
      </w:r>
      <w:r w:rsidRPr="000749B2">
        <w:rPr>
          <w:rFonts w:ascii="Book Antiqua" w:eastAsia="Calibri" w:hAnsi="Book Antiqua" w:cs="Times New Roman"/>
          <w:color w:val="000000" w:themeColor="text1"/>
          <w:sz w:val="24"/>
          <w:szCs w:val="24"/>
        </w:rPr>
        <w:t xml:space="preserve"> mice often takes multiple generations and requires careful interbreeding to yield the desired alterations. </w:t>
      </w:r>
      <w:r w:rsidR="006968F5" w:rsidRPr="000749B2">
        <w:rPr>
          <w:rFonts w:ascii="Book Antiqua" w:eastAsia="Calibri" w:hAnsi="Book Antiqua" w:cs="Times New Roman"/>
          <w:color w:val="000000" w:themeColor="text1"/>
          <w:sz w:val="24"/>
          <w:szCs w:val="24"/>
        </w:rPr>
        <w:t>In terms of animal welfare</w:t>
      </w:r>
      <w:r w:rsidR="00B46191" w:rsidRPr="000749B2">
        <w:rPr>
          <w:rFonts w:ascii="Book Antiqua" w:eastAsia="Calibri" w:hAnsi="Book Antiqua" w:cs="Times New Roman"/>
          <w:color w:val="000000" w:themeColor="text1"/>
          <w:sz w:val="24"/>
          <w:szCs w:val="24"/>
        </w:rPr>
        <w:t>,</w:t>
      </w:r>
      <w:r w:rsidR="006968F5" w:rsidRPr="000749B2">
        <w:rPr>
          <w:rFonts w:ascii="Book Antiqua" w:eastAsia="Calibri" w:hAnsi="Book Antiqua" w:cs="Times New Roman"/>
          <w:color w:val="000000" w:themeColor="text1"/>
          <w:sz w:val="24"/>
          <w:szCs w:val="24"/>
        </w:rPr>
        <w:t xml:space="preserve"> it should be noted that the breeding process yields many</w:t>
      </w:r>
      <w:r w:rsidR="00B46191" w:rsidRPr="000749B2">
        <w:rPr>
          <w:rFonts w:ascii="Book Antiqua" w:eastAsia="Calibri" w:hAnsi="Book Antiqua" w:cs="Times New Roman"/>
          <w:color w:val="000000" w:themeColor="text1"/>
          <w:sz w:val="24"/>
          <w:szCs w:val="24"/>
        </w:rPr>
        <w:t xml:space="preserve"> “reject” mice, which are neither used for further breeding </w:t>
      </w:r>
      <w:r w:rsidR="00FF6DDC" w:rsidRPr="000749B2">
        <w:rPr>
          <w:rFonts w:ascii="Book Antiqua" w:eastAsia="Calibri" w:hAnsi="Book Antiqua" w:cs="Times New Roman"/>
          <w:color w:val="000000" w:themeColor="text1"/>
          <w:sz w:val="24"/>
          <w:szCs w:val="24"/>
        </w:rPr>
        <w:t>n</w:t>
      </w:r>
      <w:r w:rsidR="00B46191" w:rsidRPr="000749B2">
        <w:rPr>
          <w:rFonts w:ascii="Book Antiqua" w:eastAsia="Calibri" w:hAnsi="Book Antiqua" w:cs="Times New Roman"/>
          <w:color w:val="000000" w:themeColor="text1"/>
          <w:sz w:val="24"/>
          <w:szCs w:val="24"/>
        </w:rPr>
        <w:t xml:space="preserve">or </w:t>
      </w:r>
      <w:r w:rsidR="00FF6DDC" w:rsidRPr="000749B2">
        <w:rPr>
          <w:rFonts w:ascii="Book Antiqua" w:eastAsia="Calibri" w:hAnsi="Book Antiqua" w:cs="Times New Roman"/>
          <w:color w:val="000000" w:themeColor="text1"/>
          <w:sz w:val="24"/>
          <w:szCs w:val="24"/>
        </w:rPr>
        <w:t xml:space="preserve">for </w:t>
      </w:r>
      <w:r w:rsidR="00B46191" w:rsidRPr="000749B2">
        <w:rPr>
          <w:rFonts w:ascii="Book Antiqua" w:eastAsia="Calibri" w:hAnsi="Book Antiqua" w:cs="Times New Roman"/>
          <w:color w:val="000000" w:themeColor="text1"/>
          <w:sz w:val="24"/>
          <w:szCs w:val="24"/>
        </w:rPr>
        <w:t xml:space="preserve">research. </w:t>
      </w:r>
      <w:r w:rsidRPr="000749B2">
        <w:rPr>
          <w:rFonts w:ascii="Book Antiqua" w:eastAsia="Calibri" w:hAnsi="Book Antiqua" w:cs="Times New Roman"/>
          <w:color w:val="000000" w:themeColor="text1"/>
          <w:sz w:val="24"/>
          <w:szCs w:val="24"/>
        </w:rPr>
        <w:t>Also, the construct of the transgene, or the viral vector, respectively</w:t>
      </w:r>
      <w:r w:rsidR="006968F5" w:rsidRPr="000749B2">
        <w:rPr>
          <w:rFonts w:ascii="Book Antiqua" w:eastAsia="Calibri" w:hAnsi="Book Antiqua" w:cs="Times New Roman"/>
          <w:color w:val="000000" w:themeColor="text1"/>
          <w:sz w:val="24"/>
          <w:szCs w:val="24"/>
        </w:rPr>
        <w:t>,</w:t>
      </w:r>
      <w:r w:rsidRPr="000749B2">
        <w:rPr>
          <w:rFonts w:ascii="Book Antiqua" w:eastAsia="Calibri" w:hAnsi="Book Antiqua" w:cs="Times New Roman"/>
          <w:color w:val="000000" w:themeColor="text1"/>
          <w:sz w:val="24"/>
          <w:szCs w:val="24"/>
        </w:rPr>
        <w:t xml:space="preserve"> is complicated.</w:t>
      </w:r>
      <w:r w:rsidR="00B46191" w:rsidRPr="000749B2">
        <w:rPr>
          <w:rFonts w:ascii="Book Antiqua" w:eastAsia="Calibri" w:hAnsi="Book Antiqua" w:cs="Times New Roman"/>
          <w:color w:val="000000" w:themeColor="text1"/>
          <w:sz w:val="24"/>
          <w:szCs w:val="24"/>
        </w:rPr>
        <w:t xml:space="preserve"> While GEMM represent a valuable tool for basic research, their use for preclinical studies is limited due to a lack of genetic heterogeneity on </w:t>
      </w:r>
      <w:r w:rsidR="00FF6DDC" w:rsidRPr="000749B2">
        <w:rPr>
          <w:rFonts w:ascii="Book Antiqua" w:eastAsia="Calibri" w:hAnsi="Book Antiqua" w:cs="Times New Roman"/>
          <w:color w:val="000000" w:themeColor="text1"/>
          <w:sz w:val="24"/>
          <w:szCs w:val="24"/>
        </w:rPr>
        <w:t xml:space="preserve">the </w:t>
      </w:r>
      <w:r w:rsidR="00B46191" w:rsidRPr="000749B2">
        <w:rPr>
          <w:rFonts w:ascii="Book Antiqua" w:eastAsia="Calibri" w:hAnsi="Book Antiqua" w:cs="Times New Roman"/>
          <w:color w:val="000000" w:themeColor="text1"/>
          <w:sz w:val="24"/>
          <w:szCs w:val="24"/>
        </w:rPr>
        <w:t xml:space="preserve">one hand, and discrepancies to the human </w:t>
      </w:r>
      <w:r w:rsidR="00FF6DDC" w:rsidRPr="000749B2">
        <w:rPr>
          <w:rFonts w:ascii="Book Antiqua" w:eastAsia="Calibri" w:hAnsi="Book Antiqua" w:cs="Times New Roman"/>
          <w:color w:val="000000" w:themeColor="text1"/>
          <w:sz w:val="24"/>
          <w:szCs w:val="24"/>
        </w:rPr>
        <w:t xml:space="preserve">tumor </w:t>
      </w:r>
      <w:r w:rsidR="00B46191" w:rsidRPr="000749B2">
        <w:rPr>
          <w:rFonts w:ascii="Book Antiqua" w:eastAsia="Calibri" w:hAnsi="Book Antiqua" w:cs="Times New Roman"/>
          <w:color w:val="000000" w:themeColor="text1"/>
          <w:sz w:val="24"/>
          <w:szCs w:val="24"/>
        </w:rPr>
        <w:t>development on the other hand.</w:t>
      </w:r>
      <w:r w:rsidR="001F2075"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 xml:space="preserve">On a final note, it should be </w:t>
      </w:r>
      <w:r w:rsidRPr="000749B2">
        <w:rPr>
          <w:rFonts w:ascii="Book Antiqua" w:eastAsia="Calibri" w:hAnsi="Book Antiqua" w:cs="Times New Roman"/>
          <w:color w:val="000000" w:themeColor="text1"/>
          <w:sz w:val="24"/>
          <w:szCs w:val="24"/>
        </w:rPr>
        <w:lastRenderedPageBreak/>
        <w:t xml:space="preserve">added, that GEMM of </w:t>
      </w:r>
      <w:r w:rsidR="00FF6DDC" w:rsidRPr="000749B2">
        <w:rPr>
          <w:rFonts w:ascii="Book Antiqua" w:eastAsia="Calibri" w:hAnsi="Book Antiqua" w:cs="Times New Roman"/>
          <w:color w:val="000000" w:themeColor="text1"/>
          <w:sz w:val="24"/>
          <w:szCs w:val="24"/>
        </w:rPr>
        <w:t>CRC</w:t>
      </w:r>
      <w:r w:rsidRPr="000749B2">
        <w:rPr>
          <w:rFonts w:ascii="Book Antiqua" w:eastAsia="Calibri" w:hAnsi="Book Antiqua" w:cs="Times New Roman"/>
          <w:color w:val="000000" w:themeColor="text1"/>
          <w:sz w:val="24"/>
          <w:szCs w:val="24"/>
        </w:rPr>
        <w:t xml:space="preserve"> can be applied the other way round: </w:t>
      </w:r>
      <w:r w:rsidR="006968F5" w:rsidRPr="000749B2">
        <w:rPr>
          <w:rFonts w:ascii="Book Antiqua" w:eastAsia="Calibri" w:hAnsi="Book Antiqua" w:cs="Times New Roman"/>
          <w:color w:val="000000" w:themeColor="text1"/>
          <w:sz w:val="24"/>
          <w:szCs w:val="24"/>
        </w:rPr>
        <w:t>m</w:t>
      </w:r>
      <w:r w:rsidRPr="000749B2">
        <w:rPr>
          <w:rFonts w:ascii="Book Antiqua" w:eastAsia="Calibri" w:hAnsi="Book Antiqua" w:cs="Times New Roman"/>
          <w:color w:val="000000" w:themeColor="text1"/>
          <w:sz w:val="24"/>
          <w:szCs w:val="24"/>
        </w:rPr>
        <w:t xml:space="preserve">ice harboring mutagenic </w:t>
      </w:r>
      <w:r w:rsidR="00F70C6F" w:rsidRPr="000749B2">
        <w:rPr>
          <w:rFonts w:ascii="Book Antiqua" w:eastAsia="Calibri" w:hAnsi="Book Antiqua" w:cs="Times New Roman"/>
          <w:i/>
          <w:iCs/>
          <w:color w:val="000000" w:themeColor="text1"/>
          <w:sz w:val="24"/>
          <w:szCs w:val="24"/>
        </w:rPr>
        <w:t>SB</w:t>
      </w:r>
      <w:r w:rsidR="00FF6DDC"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 xml:space="preserve">transposons were crossed to mice expressing SB transposase under control of a </w:t>
      </w:r>
      <w:r w:rsidR="00007842" w:rsidRPr="000749B2">
        <w:rPr>
          <w:rFonts w:ascii="Book Antiqua" w:eastAsia="Calibri" w:hAnsi="Book Antiqua" w:cs="Times New Roman"/>
          <w:i/>
          <w:iCs/>
          <w:color w:val="000000" w:themeColor="text1"/>
          <w:sz w:val="24"/>
          <w:szCs w:val="24"/>
        </w:rPr>
        <w:t>V</w:t>
      </w:r>
      <w:r w:rsidRPr="000749B2">
        <w:rPr>
          <w:rFonts w:ascii="Book Antiqua" w:eastAsia="Calibri" w:hAnsi="Book Antiqua" w:cs="Times New Roman"/>
          <w:i/>
          <w:iCs/>
          <w:color w:val="000000" w:themeColor="text1"/>
          <w:sz w:val="24"/>
          <w:szCs w:val="24"/>
        </w:rPr>
        <w:t>illin-Cre-</w:t>
      </w:r>
      <w:r w:rsidRPr="000749B2">
        <w:rPr>
          <w:rFonts w:ascii="Book Antiqua" w:eastAsia="Calibri" w:hAnsi="Book Antiqua" w:cs="Times New Roman"/>
          <w:color w:val="000000" w:themeColor="text1"/>
          <w:sz w:val="24"/>
          <w:szCs w:val="24"/>
        </w:rPr>
        <w:t xml:space="preserve">transgene, to generate mice, that develop intestinal lesions due to random insertional mutagenesis and can be screened for unknown </w:t>
      </w:r>
      <w:r w:rsidR="00FF6DDC" w:rsidRPr="000749B2">
        <w:rPr>
          <w:rFonts w:ascii="Book Antiqua" w:eastAsia="Calibri" w:hAnsi="Book Antiqua" w:cs="Times New Roman"/>
          <w:color w:val="000000" w:themeColor="text1"/>
          <w:sz w:val="24"/>
          <w:szCs w:val="24"/>
        </w:rPr>
        <w:t xml:space="preserve">CRC </w:t>
      </w:r>
      <w:r w:rsidRPr="000749B2">
        <w:rPr>
          <w:rFonts w:ascii="Book Antiqua" w:eastAsia="Calibri" w:hAnsi="Book Antiqua" w:cs="Times New Roman"/>
          <w:color w:val="000000" w:themeColor="text1"/>
          <w:sz w:val="24"/>
          <w:szCs w:val="24"/>
        </w:rPr>
        <w:t>driver mutations</w:t>
      </w:r>
      <w:r w:rsidR="00C42D1B" w:rsidRPr="000749B2">
        <w:rPr>
          <w:rFonts w:ascii="Book Antiqua" w:hAnsi="Book Antiqua"/>
          <w:color w:val="000000" w:themeColor="text1"/>
          <w:sz w:val="24"/>
          <w:szCs w:val="24"/>
          <w:vertAlign w:val="superscript"/>
        </w:rPr>
        <w:t>[200]</w:t>
      </w:r>
      <w:r w:rsidR="00801D04" w:rsidRPr="000749B2">
        <w:rPr>
          <w:rFonts w:ascii="Book Antiqua" w:eastAsia="Calibri" w:hAnsi="Book Antiqua" w:cs="Times New Roman"/>
          <w:color w:val="000000" w:themeColor="text1"/>
          <w:sz w:val="24"/>
          <w:szCs w:val="24"/>
        </w:rPr>
        <w:t xml:space="preserve">. </w:t>
      </w:r>
      <w:r w:rsidRPr="000749B2">
        <w:rPr>
          <w:rFonts w:ascii="Book Antiqua" w:eastAsia="Calibri" w:hAnsi="Book Antiqua" w:cs="Times New Roman"/>
          <w:color w:val="000000" w:themeColor="text1"/>
          <w:sz w:val="24"/>
          <w:szCs w:val="24"/>
        </w:rPr>
        <w:t>Moreover, by combining this approach with well-known driver mutations</w:t>
      </w:r>
      <w:r w:rsidRPr="000749B2">
        <w:rPr>
          <w:rFonts w:ascii="Book Antiqua" w:eastAsia="Times New Roman" w:hAnsi="Book Antiqua" w:cs="Times New Roman"/>
          <w:color w:val="000000" w:themeColor="text1"/>
          <w:sz w:val="24"/>
          <w:szCs w:val="24"/>
        </w:rPr>
        <w:t>, new pathway</w:t>
      </w:r>
      <w:r w:rsidR="00FF6DDC" w:rsidRPr="000749B2">
        <w:rPr>
          <w:rFonts w:ascii="Book Antiqua" w:eastAsia="Times New Roman" w:hAnsi="Book Antiqua" w:cs="Times New Roman"/>
          <w:color w:val="000000" w:themeColor="text1"/>
          <w:sz w:val="24"/>
          <w:szCs w:val="24"/>
        </w:rPr>
        <w:t>-</w:t>
      </w:r>
      <w:r w:rsidRPr="000749B2">
        <w:rPr>
          <w:rFonts w:ascii="Book Antiqua" w:eastAsia="Times New Roman" w:hAnsi="Book Antiqua" w:cs="Times New Roman"/>
          <w:color w:val="000000" w:themeColor="text1"/>
          <w:sz w:val="24"/>
          <w:szCs w:val="24"/>
        </w:rPr>
        <w:t xml:space="preserve">associated mutations could be </w:t>
      </w:r>
      <w:proofErr w:type="gramStart"/>
      <w:r w:rsidRPr="000749B2">
        <w:rPr>
          <w:rFonts w:ascii="Book Antiqua" w:eastAsia="Times New Roman" w:hAnsi="Book Antiqua" w:cs="Times New Roman"/>
          <w:color w:val="000000" w:themeColor="text1"/>
          <w:sz w:val="24"/>
          <w:szCs w:val="24"/>
        </w:rPr>
        <w:t>identified</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201,202]</w:t>
      </w:r>
      <w:r w:rsidR="00801D04" w:rsidRPr="000749B2">
        <w:rPr>
          <w:rFonts w:ascii="Book Antiqua" w:eastAsia="Times New Roman" w:hAnsi="Book Antiqua" w:cs="Times New Roman"/>
          <w:color w:val="000000" w:themeColor="text1"/>
          <w:sz w:val="24"/>
          <w:szCs w:val="24"/>
        </w:rPr>
        <w:t>.</w:t>
      </w:r>
      <w:bookmarkStart w:id="16" w:name="_Hlk24459264"/>
    </w:p>
    <w:p w14:paraId="6D240C29" w14:textId="77777777" w:rsidR="00AE58BD" w:rsidRPr="000749B2" w:rsidRDefault="00AE58BD" w:rsidP="000B4309">
      <w:pPr>
        <w:spacing w:after="0" w:line="360" w:lineRule="auto"/>
        <w:jc w:val="both"/>
        <w:rPr>
          <w:rFonts w:ascii="Book Antiqua" w:eastAsia="Times New Roman" w:hAnsi="Book Antiqua" w:cs="Times New Roman"/>
          <w:color w:val="000000" w:themeColor="text1"/>
          <w:sz w:val="24"/>
          <w:szCs w:val="24"/>
        </w:rPr>
      </w:pPr>
    </w:p>
    <w:p w14:paraId="3B9A89A5" w14:textId="5BB4DDD0" w:rsidR="00CE591C" w:rsidRPr="000749B2" w:rsidRDefault="00AE58BD" w:rsidP="000B4309">
      <w:pPr>
        <w:spacing w:after="0" w:line="360" w:lineRule="auto"/>
        <w:jc w:val="both"/>
        <w:rPr>
          <w:rFonts w:ascii="Book Antiqua" w:eastAsia="Times New Roman" w:hAnsi="Book Antiqua" w:cs="Times New Roman"/>
          <w:b/>
          <w:bCs/>
          <w:color w:val="000000" w:themeColor="text1"/>
          <w:sz w:val="24"/>
          <w:szCs w:val="24"/>
          <w:u w:val="single"/>
        </w:rPr>
      </w:pPr>
      <w:r w:rsidRPr="000749B2">
        <w:rPr>
          <w:rFonts w:ascii="Book Antiqua" w:hAnsi="Book Antiqua"/>
          <w:b/>
          <w:bCs/>
          <w:color w:val="000000" w:themeColor="text1"/>
          <w:sz w:val="24"/>
          <w:szCs w:val="24"/>
          <w:u w:val="single"/>
        </w:rPr>
        <w:t xml:space="preserve">TRANSPLANT MODELS FOR </w:t>
      </w:r>
      <w:bookmarkEnd w:id="16"/>
      <w:r w:rsidR="004F00C6" w:rsidRPr="000749B2">
        <w:rPr>
          <w:rFonts w:ascii="Book Antiqua" w:eastAsia="Calibri" w:hAnsi="Book Antiqua" w:cs="Times New Roman"/>
          <w:b/>
          <w:bCs/>
          <w:color w:val="000000" w:themeColor="text1"/>
          <w:sz w:val="24"/>
          <w:szCs w:val="24"/>
          <w:u w:val="single"/>
        </w:rPr>
        <w:t>COLORECTAL CANCER</w:t>
      </w:r>
    </w:p>
    <w:p w14:paraId="5136CBF8" w14:textId="60A29487" w:rsidR="00793391" w:rsidRPr="000749B2" w:rsidRDefault="00CE591C" w:rsidP="000B4309">
      <w:pPr>
        <w:spacing w:after="0" w:line="360" w:lineRule="auto"/>
        <w:jc w:val="both"/>
        <w:rPr>
          <w:rFonts w:ascii="Book Antiqua" w:eastAsia="微软雅黑" w:hAnsi="Book Antiqua" w:cs="微软雅黑"/>
          <w:color w:val="000000" w:themeColor="text1"/>
          <w:sz w:val="24"/>
          <w:szCs w:val="24"/>
          <w:lang w:eastAsia="zh-CN"/>
        </w:rPr>
      </w:pPr>
      <w:r w:rsidRPr="000749B2">
        <w:rPr>
          <w:rFonts w:ascii="Book Antiqua" w:hAnsi="Book Antiqua"/>
          <w:color w:val="000000" w:themeColor="text1"/>
          <w:sz w:val="24"/>
          <w:szCs w:val="24"/>
        </w:rPr>
        <w:t>Transplant mouse models can be classified in various ways: Syngeneic tumor transplantation is characterized by tumor tissue or cancer cell line engraftment within the same mouse strain</w:t>
      </w:r>
      <w:r w:rsidR="00576543"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whereas xenogeneic grafts are derived from a different mouse strain or human donors. A</w:t>
      </w:r>
      <w:r w:rsidR="00993FE1" w:rsidRPr="000749B2">
        <w:rPr>
          <w:rFonts w:ascii="Book Antiqua" w:hAnsi="Book Antiqua"/>
          <w:color w:val="000000" w:themeColor="text1"/>
          <w:sz w:val="24"/>
          <w:szCs w:val="24"/>
        </w:rPr>
        <w:t>dditionally</w:t>
      </w:r>
      <w:r w:rsidRPr="000749B2">
        <w:rPr>
          <w:rFonts w:ascii="Book Antiqua" w:hAnsi="Book Antiqua"/>
          <w:color w:val="000000" w:themeColor="text1"/>
          <w:sz w:val="24"/>
          <w:szCs w:val="24"/>
        </w:rPr>
        <w:t>, it can be distinguished between heterotopic and orthotopic models. As cancer grafts tumor cells, organoids and tumor tissue pieces can be employed.</w:t>
      </w:r>
      <w:r w:rsidR="00871F81" w:rsidRPr="000749B2">
        <w:rPr>
          <w:rFonts w:ascii="Book Antiqua" w:hAnsi="Book Antiqua"/>
          <w:color w:val="000000" w:themeColor="text1"/>
          <w:sz w:val="24"/>
          <w:szCs w:val="24"/>
        </w:rPr>
        <w:t xml:space="preserve"> </w:t>
      </w:r>
      <w:r w:rsidR="00481D62" w:rsidRPr="000749B2">
        <w:rPr>
          <w:rFonts w:ascii="Book Antiqua" w:eastAsia="Calibri" w:hAnsi="Book Antiqua" w:cs="Times New Roman"/>
          <w:color w:val="000000" w:themeColor="text1"/>
          <w:sz w:val="24"/>
          <w:szCs w:val="24"/>
        </w:rPr>
        <w:t>In</w:t>
      </w:r>
      <w:r w:rsidR="003A0AF8" w:rsidRPr="000749B2">
        <w:rPr>
          <w:rFonts w:ascii="Book Antiqua" w:eastAsia="Calibri" w:hAnsi="Book Antiqua" w:cs="Times New Roman"/>
          <w:color w:val="000000" w:themeColor="text1"/>
          <w:sz w:val="24"/>
          <w:szCs w:val="24"/>
        </w:rPr>
        <w:t xml:space="preserve"> 1876, Novinsky successfully transferred tumors (likely canine venereal sarcomas) from one dog to another in two independent </w:t>
      </w:r>
      <w:proofErr w:type="gramStart"/>
      <w:r w:rsidR="003A0AF8" w:rsidRPr="000749B2">
        <w:rPr>
          <w:rFonts w:ascii="Book Antiqua" w:eastAsia="Calibri" w:hAnsi="Book Antiqua" w:cs="Times New Roman"/>
          <w:color w:val="000000" w:themeColor="text1"/>
          <w:sz w:val="24"/>
          <w:szCs w:val="24"/>
        </w:rPr>
        <w:t>trials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203]</w:t>
      </w:r>
      <w:r w:rsidR="003A0AF8" w:rsidRPr="000749B2">
        <w:rPr>
          <w:rFonts w:ascii="Book Antiqua" w:eastAsia="Calibri" w:hAnsi="Book Antiqua" w:cs="Times New Roman"/>
          <w:color w:val="000000" w:themeColor="text1"/>
          <w:sz w:val="24"/>
          <w:szCs w:val="24"/>
        </w:rPr>
        <w:t xml:space="preserve">. Shortly thereafter, </w:t>
      </w:r>
      <w:proofErr w:type="gramStart"/>
      <w:r w:rsidR="003A0AF8" w:rsidRPr="000749B2">
        <w:rPr>
          <w:rFonts w:ascii="Book Antiqua" w:eastAsia="Calibri" w:hAnsi="Book Antiqua" w:cs="Times New Roman"/>
          <w:color w:val="000000" w:themeColor="text1"/>
          <w:sz w:val="24"/>
          <w:szCs w:val="24"/>
        </w:rPr>
        <w:t>Hanau</w:t>
      </w:r>
      <w:r w:rsidR="004F00C6" w:rsidRPr="000749B2">
        <w:rPr>
          <w:rFonts w:ascii="Book Antiqua" w:eastAsia="微软雅黑" w:hAnsi="Book Antiqua" w:cs="微软雅黑"/>
          <w:color w:val="000000" w:themeColor="text1"/>
          <w:sz w:val="24"/>
          <w:szCs w:val="24"/>
          <w:vertAlign w:val="superscript"/>
          <w:lang w:eastAsia="zh-CN"/>
        </w:rPr>
        <w:t>[</w:t>
      </w:r>
      <w:proofErr w:type="gramEnd"/>
      <w:r w:rsidR="004F00C6" w:rsidRPr="000749B2">
        <w:rPr>
          <w:rFonts w:ascii="Book Antiqua" w:eastAsia="微软雅黑" w:hAnsi="Book Antiqua" w:cs="微软雅黑"/>
          <w:color w:val="000000" w:themeColor="text1"/>
          <w:sz w:val="24"/>
          <w:szCs w:val="24"/>
          <w:vertAlign w:val="superscript"/>
          <w:lang w:eastAsia="zh-CN"/>
        </w:rPr>
        <w:t>204]</w:t>
      </w:r>
      <w:r w:rsidR="003A0AF8" w:rsidRPr="000749B2">
        <w:rPr>
          <w:rFonts w:ascii="Book Antiqua" w:eastAsia="Calibri" w:hAnsi="Book Antiqua" w:cs="Times New Roman"/>
          <w:color w:val="000000" w:themeColor="text1"/>
          <w:sz w:val="24"/>
          <w:szCs w:val="24"/>
        </w:rPr>
        <w:t xml:space="preserve"> </w:t>
      </w:r>
      <w:r w:rsidR="00481D62" w:rsidRPr="000749B2">
        <w:rPr>
          <w:rFonts w:ascii="Book Antiqua" w:eastAsia="Calibri" w:hAnsi="Book Antiqua" w:cs="Times New Roman"/>
          <w:color w:val="000000" w:themeColor="text1"/>
          <w:sz w:val="24"/>
          <w:szCs w:val="24"/>
        </w:rPr>
        <w:t xml:space="preserve">and </w:t>
      </w:r>
      <w:r w:rsidR="004F00C6" w:rsidRPr="000749B2">
        <w:rPr>
          <w:rFonts w:ascii="Book Antiqua" w:hAnsi="Book Antiqua"/>
          <w:bCs/>
          <w:sz w:val="24"/>
          <w:szCs w:val="24"/>
        </w:rPr>
        <w:t>Triolo</w:t>
      </w:r>
      <w:r w:rsidR="004F00C6" w:rsidRPr="000749B2">
        <w:rPr>
          <w:rFonts w:ascii="Book Antiqua" w:hAnsi="Book Antiqua"/>
          <w:color w:val="000000" w:themeColor="text1"/>
          <w:sz w:val="24"/>
          <w:szCs w:val="24"/>
          <w:vertAlign w:val="superscript"/>
        </w:rPr>
        <w:t>[205]</w:t>
      </w:r>
      <w:r w:rsidR="004F00C6" w:rsidRPr="000749B2">
        <w:rPr>
          <w:rFonts w:ascii="Book Antiqua" w:hAnsi="Book Antiqua"/>
          <w:b/>
          <w:sz w:val="24"/>
          <w:szCs w:val="24"/>
        </w:rPr>
        <w:t xml:space="preserve"> </w:t>
      </w:r>
      <w:r w:rsidR="00481D62" w:rsidRPr="000749B2">
        <w:rPr>
          <w:rFonts w:ascii="Book Antiqua" w:eastAsia="Calibri" w:hAnsi="Book Antiqua" w:cs="Times New Roman"/>
          <w:color w:val="000000" w:themeColor="text1"/>
          <w:sz w:val="24"/>
          <w:szCs w:val="24"/>
        </w:rPr>
        <w:t xml:space="preserve">reported independently </w:t>
      </w:r>
      <w:r w:rsidR="003A0AF8" w:rsidRPr="000749B2">
        <w:rPr>
          <w:rFonts w:ascii="Book Antiqua" w:eastAsia="Calibri" w:hAnsi="Book Antiqua" w:cs="Times New Roman"/>
          <w:color w:val="000000" w:themeColor="text1"/>
          <w:sz w:val="24"/>
          <w:szCs w:val="24"/>
        </w:rPr>
        <w:t xml:space="preserve">the successful passaging of epithelial </w:t>
      </w:r>
      <w:r w:rsidR="00481D62" w:rsidRPr="000749B2">
        <w:rPr>
          <w:rFonts w:ascii="Book Antiqua" w:eastAsia="Calibri" w:hAnsi="Book Antiqua" w:cs="Times New Roman"/>
          <w:color w:val="000000" w:themeColor="text1"/>
          <w:sz w:val="24"/>
          <w:szCs w:val="24"/>
        </w:rPr>
        <w:t>rodent</w:t>
      </w:r>
      <w:r w:rsidR="003A0AF8" w:rsidRPr="000749B2">
        <w:rPr>
          <w:rFonts w:ascii="Book Antiqua" w:eastAsia="Calibri" w:hAnsi="Book Antiqua" w:cs="Times New Roman"/>
          <w:color w:val="000000" w:themeColor="text1"/>
          <w:sz w:val="24"/>
          <w:szCs w:val="24"/>
        </w:rPr>
        <w:t xml:space="preserve"> tumor</w:t>
      </w:r>
      <w:r w:rsidR="00481D62" w:rsidRPr="000749B2">
        <w:rPr>
          <w:rFonts w:ascii="Book Antiqua" w:eastAsia="Calibri" w:hAnsi="Book Antiqua" w:cs="Times New Roman"/>
          <w:color w:val="000000" w:themeColor="text1"/>
          <w:sz w:val="24"/>
          <w:szCs w:val="24"/>
        </w:rPr>
        <w:t>s</w:t>
      </w:r>
      <w:r w:rsidR="00A83C57" w:rsidRPr="000749B2">
        <w:rPr>
          <w:rFonts w:ascii="Book Antiqua" w:eastAsia="Calibri" w:hAnsi="Book Antiqua" w:cs="Times New Roman"/>
          <w:color w:val="000000" w:themeColor="text1"/>
          <w:sz w:val="24"/>
          <w:szCs w:val="24"/>
        </w:rPr>
        <w:t xml:space="preserve">. </w:t>
      </w:r>
      <w:r w:rsidR="003A0AF8" w:rsidRPr="000749B2">
        <w:rPr>
          <w:rFonts w:ascii="Book Antiqua" w:eastAsia="Calibri" w:hAnsi="Book Antiqua" w:cs="Times New Roman"/>
          <w:color w:val="000000" w:themeColor="text1"/>
          <w:sz w:val="24"/>
          <w:szCs w:val="24"/>
        </w:rPr>
        <w:t xml:space="preserve">Around the turn-of-the-century, several transplantable rodent tumors, mostly of a sarcomatoid phenotype, were </w:t>
      </w:r>
      <w:proofErr w:type="gramStart"/>
      <w:r w:rsidR="003A0AF8" w:rsidRPr="000749B2">
        <w:rPr>
          <w:rFonts w:ascii="Book Antiqua" w:eastAsia="Calibri" w:hAnsi="Book Antiqua" w:cs="Times New Roman"/>
          <w:color w:val="000000" w:themeColor="text1"/>
          <w:sz w:val="24"/>
          <w:szCs w:val="24"/>
        </w:rPr>
        <w:t>established</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206]</w:t>
      </w:r>
      <w:r w:rsidR="00A83C57" w:rsidRPr="000749B2">
        <w:rPr>
          <w:rFonts w:ascii="Book Antiqua" w:eastAsia="Calibri" w:hAnsi="Book Antiqua" w:cs="Times New Roman"/>
          <w:color w:val="000000" w:themeColor="text1"/>
          <w:sz w:val="24"/>
          <w:szCs w:val="24"/>
        </w:rPr>
        <w:t xml:space="preserve">. </w:t>
      </w:r>
      <w:r w:rsidR="00793391" w:rsidRPr="000749B2">
        <w:rPr>
          <w:rFonts w:ascii="Book Antiqua" w:eastAsia="Calibri" w:hAnsi="Book Antiqua" w:cs="Times New Roman"/>
          <w:color w:val="000000" w:themeColor="text1"/>
          <w:sz w:val="24"/>
          <w:szCs w:val="24"/>
        </w:rPr>
        <w:t>Later, t</w:t>
      </w:r>
      <w:r w:rsidR="003A0AF8" w:rsidRPr="000749B2">
        <w:rPr>
          <w:rFonts w:ascii="Book Antiqua" w:eastAsia="Calibri" w:hAnsi="Book Antiqua" w:cs="Times New Roman"/>
          <w:color w:val="000000" w:themeColor="text1"/>
          <w:sz w:val="24"/>
          <w:szCs w:val="24"/>
        </w:rPr>
        <w:t xml:space="preserve">he discovery of the human leukocyte antigens and oncogenic viruses elucidated the results of the earlier transplantation </w:t>
      </w:r>
      <w:proofErr w:type="gramStart"/>
      <w:r w:rsidR="003A0AF8" w:rsidRPr="000749B2">
        <w:rPr>
          <w:rFonts w:ascii="Book Antiqua" w:eastAsia="Calibri" w:hAnsi="Book Antiqua" w:cs="Times New Roman"/>
          <w:color w:val="000000" w:themeColor="text1"/>
          <w:sz w:val="24"/>
          <w:szCs w:val="24"/>
        </w:rPr>
        <w:t>studies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207,208]</w:t>
      </w:r>
      <w:r w:rsidR="00793391" w:rsidRPr="000749B2">
        <w:rPr>
          <w:rFonts w:ascii="Book Antiqua" w:eastAsia="Calibri" w:hAnsi="Book Antiqua" w:cs="Times New Roman"/>
          <w:color w:val="000000" w:themeColor="text1"/>
          <w:sz w:val="24"/>
          <w:szCs w:val="24"/>
        </w:rPr>
        <w:t xml:space="preserve">. </w:t>
      </w:r>
      <w:r w:rsidR="003A0AF8" w:rsidRPr="000749B2">
        <w:rPr>
          <w:rFonts w:ascii="Book Antiqua" w:eastAsia="Calibri" w:hAnsi="Book Antiqua" w:cs="Times New Roman"/>
          <w:color w:val="000000" w:themeColor="text1"/>
          <w:sz w:val="24"/>
          <w:szCs w:val="24"/>
        </w:rPr>
        <w:t xml:space="preserve">Toolan pioneered in the xenograft field by attenuating graft rejection through X-radiation and cortisone </w:t>
      </w:r>
      <w:proofErr w:type="gramStart"/>
      <w:r w:rsidR="003A0AF8" w:rsidRPr="000749B2">
        <w:rPr>
          <w:rFonts w:ascii="Book Antiqua" w:eastAsia="Calibri" w:hAnsi="Book Antiqua" w:cs="Times New Roman"/>
          <w:color w:val="000000" w:themeColor="text1"/>
          <w:sz w:val="24"/>
          <w:szCs w:val="24"/>
        </w:rPr>
        <w:t>treatment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209,210]</w:t>
      </w:r>
      <w:r w:rsidR="00AE58BD" w:rsidRPr="000749B2">
        <w:rPr>
          <w:rFonts w:ascii="Book Antiqua" w:eastAsia="微软雅黑" w:hAnsi="Book Antiqua" w:cs="微软雅黑"/>
          <w:color w:val="000000" w:themeColor="text1"/>
          <w:sz w:val="24"/>
          <w:szCs w:val="24"/>
          <w:lang w:eastAsia="zh-CN"/>
        </w:rPr>
        <w:t>.</w:t>
      </w:r>
    </w:p>
    <w:p w14:paraId="1757DD21" w14:textId="77777777" w:rsidR="00AE58BD" w:rsidRPr="000749B2" w:rsidRDefault="00AE58BD" w:rsidP="000B4309">
      <w:pPr>
        <w:spacing w:after="0" w:line="360" w:lineRule="auto"/>
        <w:jc w:val="both"/>
        <w:rPr>
          <w:rFonts w:ascii="Book Antiqua" w:eastAsia="微软雅黑" w:hAnsi="Book Antiqua" w:cs="微软雅黑"/>
          <w:color w:val="000000" w:themeColor="text1"/>
          <w:sz w:val="24"/>
          <w:szCs w:val="24"/>
          <w:lang w:eastAsia="zh-CN"/>
        </w:rPr>
      </w:pPr>
    </w:p>
    <w:p w14:paraId="2354E267" w14:textId="77777777" w:rsidR="00CE591C" w:rsidRPr="000749B2" w:rsidRDefault="00CE591C" w:rsidP="000B4309">
      <w:pPr>
        <w:spacing w:after="0" w:line="360" w:lineRule="auto"/>
        <w:jc w:val="both"/>
        <w:rPr>
          <w:rFonts w:ascii="Book Antiqua" w:hAnsi="Book Antiqua"/>
          <w:b/>
          <w:bCs/>
          <w:i/>
          <w:iCs/>
          <w:color w:val="000000" w:themeColor="text1"/>
          <w:sz w:val="24"/>
          <w:szCs w:val="24"/>
        </w:rPr>
      </w:pPr>
      <w:r w:rsidRPr="000749B2">
        <w:rPr>
          <w:rFonts w:ascii="Book Antiqua" w:hAnsi="Book Antiqua"/>
          <w:b/>
          <w:bCs/>
          <w:i/>
          <w:iCs/>
          <w:color w:val="000000" w:themeColor="text1"/>
          <w:sz w:val="24"/>
          <w:szCs w:val="24"/>
        </w:rPr>
        <w:t>Animals for transplant models</w:t>
      </w:r>
    </w:p>
    <w:p w14:paraId="6980211D" w14:textId="1EB5496B" w:rsidR="00DF0EAA" w:rsidRPr="000749B2" w:rsidRDefault="00CE591C" w:rsidP="000B4309">
      <w:pPr>
        <w:spacing w:after="0"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A fundamental </w:t>
      </w:r>
      <w:r w:rsidR="00A37561" w:rsidRPr="000749B2">
        <w:rPr>
          <w:rFonts w:ascii="Book Antiqua" w:hAnsi="Book Antiqua"/>
          <w:color w:val="000000" w:themeColor="text1"/>
          <w:sz w:val="24"/>
          <w:szCs w:val="24"/>
        </w:rPr>
        <w:t>prerequisite</w:t>
      </w:r>
      <w:r w:rsidRPr="000749B2">
        <w:rPr>
          <w:rFonts w:ascii="Book Antiqua" w:hAnsi="Book Antiqua"/>
          <w:color w:val="000000" w:themeColor="text1"/>
          <w:sz w:val="24"/>
          <w:szCs w:val="24"/>
        </w:rPr>
        <w:t xml:space="preserve"> for the successful engraftment of xenogeneic tissue in mice is the</w:t>
      </w:r>
      <w:r w:rsidR="00993FE1"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impairment of the host immune system. </w:t>
      </w:r>
      <w:r w:rsidR="00993FE1" w:rsidRPr="000749B2">
        <w:rPr>
          <w:rFonts w:ascii="Book Antiqua" w:hAnsi="Book Antiqua"/>
          <w:color w:val="000000" w:themeColor="text1"/>
          <w:sz w:val="24"/>
          <w:szCs w:val="24"/>
        </w:rPr>
        <w:t>A</w:t>
      </w:r>
      <w:r w:rsidRPr="000749B2">
        <w:rPr>
          <w:rFonts w:ascii="Book Antiqua" w:hAnsi="Book Antiqua"/>
          <w:color w:val="000000" w:themeColor="text1"/>
          <w:sz w:val="24"/>
          <w:szCs w:val="24"/>
        </w:rPr>
        <w:t xml:space="preserve"> detailed explanation of the development and sophistication of immunocompromised </w:t>
      </w:r>
      <w:r w:rsidR="00993FE1" w:rsidRPr="000749B2">
        <w:rPr>
          <w:rFonts w:ascii="Book Antiqua" w:hAnsi="Book Antiqua"/>
          <w:color w:val="000000" w:themeColor="text1"/>
          <w:sz w:val="24"/>
          <w:szCs w:val="24"/>
        </w:rPr>
        <w:t xml:space="preserve">mice </w:t>
      </w:r>
      <w:r w:rsidRPr="000749B2">
        <w:rPr>
          <w:rFonts w:ascii="Book Antiqua" w:hAnsi="Book Antiqua"/>
          <w:color w:val="000000" w:themeColor="text1"/>
          <w:sz w:val="24"/>
          <w:szCs w:val="24"/>
        </w:rPr>
        <w:t xml:space="preserve">would fill several </w:t>
      </w:r>
      <w:r w:rsidR="00993FE1" w:rsidRPr="000749B2">
        <w:rPr>
          <w:rFonts w:ascii="Book Antiqua" w:hAnsi="Book Antiqua"/>
          <w:color w:val="000000" w:themeColor="text1"/>
          <w:sz w:val="24"/>
          <w:szCs w:val="24"/>
        </w:rPr>
        <w:t>p</w:t>
      </w:r>
      <w:r w:rsidRPr="000749B2">
        <w:rPr>
          <w:rFonts w:ascii="Book Antiqua" w:hAnsi="Book Antiqua"/>
          <w:color w:val="000000" w:themeColor="text1"/>
          <w:sz w:val="24"/>
          <w:szCs w:val="24"/>
        </w:rPr>
        <w:t xml:space="preserve">ages and is exquisitely reviewed </w:t>
      </w:r>
      <w:proofErr w:type="gramStart"/>
      <w:r w:rsidRPr="000749B2">
        <w:rPr>
          <w:rFonts w:ascii="Book Antiqua" w:hAnsi="Book Antiqua"/>
          <w:color w:val="000000" w:themeColor="text1"/>
          <w:sz w:val="24"/>
          <w:szCs w:val="24"/>
        </w:rPr>
        <w:t>elsewhere</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211]</w:t>
      </w:r>
      <w:r w:rsidRPr="000749B2">
        <w:rPr>
          <w:rFonts w:ascii="Book Antiqua" w:hAnsi="Book Antiqua"/>
          <w:color w:val="000000" w:themeColor="text1"/>
          <w:sz w:val="24"/>
          <w:szCs w:val="24"/>
        </w:rPr>
        <w:t>. In short, with the discovery of “nude” mice (recessive mutation of FOXN1 leading to hairlessness and athymia</w:t>
      </w:r>
      <w:proofErr w:type="gramStart"/>
      <w:r w:rsidRPr="000749B2">
        <w:rPr>
          <w:rFonts w:ascii="Book Antiqua" w:hAnsi="Book Antiqua"/>
          <w:color w:val="000000" w:themeColor="text1"/>
          <w:sz w:val="24"/>
          <w:szCs w:val="24"/>
        </w:rPr>
        <w: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212]</w:t>
      </w:r>
      <w:r w:rsidR="00A77093"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and the subsequent breeding of NMRI</w:t>
      </w:r>
      <w:r w:rsidRPr="000749B2">
        <w:rPr>
          <w:rFonts w:ascii="Book Antiqua" w:hAnsi="Book Antiqua"/>
          <w:color w:val="000000" w:themeColor="text1"/>
          <w:sz w:val="24"/>
          <w:szCs w:val="24"/>
          <w:vertAlign w:val="superscript"/>
        </w:rPr>
        <w:t>nu/nu</w:t>
      </w:r>
      <w:r w:rsidRPr="000749B2">
        <w:rPr>
          <w:rFonts w:ascii="Book Antiqua" w:hAnsi="Book Antiqua"/>
          <w:color w:val="000000" w:themeColor="text1"/>
          <w:sz w:val="24"/>
          <w:szCs w:val="24"/>
        </w:rPr>
        <w:t xml:space="preserve"> mice, xenotransplantation was possible for </w:t>
      </w:r>
      <w:r w:rsidR="00993FE1" w:rsidRPr="000749B2">
        <w:rPr>
          <w:rFonts w:ascii="Book Antiqua" w:hAnsi="Book Antiqua"/>
          <w:color w:val="000000" w:themeColor="text1"/>
          <w:sz w:val="24"/>
          <w:szCs w:val="24"/>
        </w:rPr>
        <w:t xml:space="preserve">the </w:t>
      </w:r>
      <w:r w:rsidRPr="000749B2">
        <w:rPr>
          <w:rFonts w:ascii="Book Antiqua" w:hAnsi="Book Antiqua"/>
          <w:color w:val="000000" w:themeColor="text1"/>
          <w:sz w:val="24"/>
          <w:szCs w:val="24"/>
        </w:rPr>
        <w:t>first time without additional immunoablative treatment</w:t>
      </w:r>
      <w:r w:rsidR="00C42D1B" w:rsidRPr="000749B2">
        <w:rPr>
          <w:rFonts w:ascii="Book Antiqua" w:hAnsi="Book Antiqua"/>
          <w:color w:val="000000" w:themeColor="text1"/>
          <w:sz w:val="24"/>
          <w:szCs w:val="24"/>
          <w:vertAlign w:val="superscript"/>
        </w:rPr>
        <w:t>[213]</w:t>
      </w:r>
      <w:r w:rsidR="00A77093"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A more </w:t>
      </w:r>
      <w:r w:rsidRPr="000749B2">
        <w:rPr>
          <w:rFonts w:ascii="Book Antiqua" w:hAnsi="Book Antiqua"/>
          <w:color w:val="000000" w:themeColor="text1"/>
          <w:sz w:val="24"/>
          <w:szCs w:val="24"/>
        </w:rPr>
        <w:lastRenderedPageBreak/>
        <w:t xml:space="preserve">immunodeficient animal strain, C:B:-17 scid, carrying a homozygous mutation of </w:t>
      </w:r>
      <w:r w:rsidR="00993FE1" w:rsidRPr="000749B2">
        <w:rPr>
          <w:rFonts w:ascii="Book Antiqua" w:hAnsi="Book Antiqua"/>
          <w:color w:val="000000" w:themeColor="text1"/>
          <w:sz w:val="24"/>
          <w:szCs w:val="24"/>
        </w:rPr>
        <w:t xml:space="preserve">the </w:t>
      </w:r>
      <w:r w:rsidRPr="000749B2">
        <w:rPr>
          <w:rFonts w:ascii="Book Antiqua" w:hAnsi="Book Antiqua"/>
          <w:i/>
          <w:iCs/>
          <w:color w:val="000000" w:themeColor="text1"/>
          <w:sz w:val="24"/>
          <w:szCs w:val="24"/>
        </w:rPr>
        <w:t>P</w:t>
      </w:r>
      <w:r w:rsidR="001524F4" w:rsidRPr="000749B2">
        <w:rPr>
          <w:rFonts w:ascii="Book Antiqua" w:hAnsi="Book Antiqua"/>
          <w:i/>
          <w:iCs/>
          <w:color w:val="000000" w:themeColor="text1"/>
          <w:sz w:val="24"/>
          <w:szCs w:val="24"/>
        </w:rPr>
        <w:t>rkdc</w:t>
      </w:r>
      <w:r w:rsidRPr="000749B2">
        <w:rPr>
          <w:rFonts w:ascii="Book Antiqua" w:hAnsi="Book Antiqua"/>
          <w:i/>
          <w:iCs/>
          <w:color w:val="000000" w:themeColor="text1"/>
          <w:sz w:val="24"/>
          <w:szCs w:val="24"/>
        </w:rPr>
        <w:t xml:space="preserve"> </w:t>
      </w:r>
      <w:r w:rsidRPr="000749B2">
        <w:rPr>
          <w:rFonts w:ascii="Book Antiqua" w:hAnsi="Book Antiqua"/>
          <w:color w:val="000000" w:themeColor="text1"/>
          <w:sz w:val="24"/>
          <w:szCs w:val="24"/>
        </w:rPr>
        <w:t xml:space="preserve">gene </w:t>
      </w:r>
      <w:r w:rsidR="00993FE1" w:rsidRPr="000749B2">
        <w:rPr>
          <w:rFonts w:ascii="Book Antiqua" w:hAnsi="Book Antiqua"/>
          <w:color w:val="000000" w:themeColor="text1"/>
          <w:sz w:val="24"/>
          <w:szCs w:val="24"/>
        </w:rPr>
        <w:t>resulting in</w:t>
      </w:r>
      <w:r w:rsidRPr="000749B2">
        <w:rPr>
          <w:rFonts w:ascii="Book Antiqua" w:hAnsi="Book Antiqua"/>
          <w:color w:val="000000" w:themeColor="text1"/>
          <w:sz w:val="24"/>
          <w:szCs w:val="24"/>
        </w:rPr>
        <w:t xml:space="preserve"> a lack of functional B and T</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lymphocytes</w:t>
      </w:r>
      <w:r w:rsidR="00993FE1" w:rsidRPr="000749B2">
        <w:rPr>
          <w:rFonts w:ascii="Book Antiqua" w:hAnsi="Book Antiqua"/>
          <w:color w:val="000000" w:themeColor="text1"/>
          <w:sz w:val="24"/>
          <w:szCs w:val="24"/>
        </w:rPr>
        <w:t>,</w:t>
      </w:r>
      <w:r w:rsidR="001F207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was established by Bosma </w:t>
      </w:r>
      <w:r w:rsidR="004F00C6" w:rsidRPr="000749B2">
        <w:rPr>
          <w:rFonts w:ascii="Book Antiqua" w:hAnsi="Book Antiqua"/>
          <w:i/>
          <w:iCs/>
          <w:color w:val="000000" w:themeColor="text1"/>
          <w:sz w:val="24"/>
          <w:szCs w:val="24"/>
          <w:lang w:eastAsia="zh-CN"/>
        </w:rPr>
        <w:t>et al</w:t>
      </w:r>
      <w:r w:rsidR="004F00C6" w:rsidRPr="000749B2">
        <w:rPr>
          <w:rFonts w:ascii="Book Antiqua" w:hAnsi="Book Antiqua"/>
          <w:color w:val="000000" w:themeColor="text1"/>
          <w:sz w:val="24"/>
          <w:szCs w:val="24"/>
          <w:vertAlign w:val="superscript"/>
        </w:rPr>
        <w:t>[214]</w:t>
      </w:r>
      <w:r w:rsidRPr="000749B2">
        <w:rPr>
          <w:rFonts w:ascii="Book Antiqua" w:hAnsi="Book Antiqua"/>
          <w:color w:val="000000" w:themeColor="text1"/>
          <w:sz w:val="24"/>
          <w:szCs w:val="24"/>
          <w:lang w:eastAsia="zh-CN"/>
        </w:rPr>
        <w:t xml:space="preserve"> </w:t>
      </w:r>
      <w:r w:rsidRPr="000749B2">
        <w:rPr>
          <w:rFonts w:ascii="Book Antiqua" w:hAnsi="Book Antiqua"/>
          <w:color w:val="000000" w:themeColor="text1"/>
          <w:sz w:val="24"/>
          <w:szCs w:val="24"/>
        </w:rPr>
        <w:t>in 1983. To overcome NK cell function</w:t>
      </w:r>
      <w:r w:rsidR="00993FE1"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SCID mice were crossed with non-obese diabetic mice (NOD</w:t>
      </w:r>
      <w:proofErr w:type="gramStart"/>
      <w:r w:rsidRPr="000749B2">
        <w:rPr>
          <w:rFonts w:ascii="Book Antiqua" w:hAnsi="Book Antiqua"/>
          <w:color w:val="000000" w:themeColor="text1"/>
          <w:sz w:val="24"/>
          <w:szCs w:val="24"/>
        </w:rPr>
        <w: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215]</w:t>
      </w:r>
      <w:r w:rsidRPr="000749B2">
        <w:rPr>
          <w:rFonts w:ascii="Book Antiqua" w:hAnsi="Book Antiqua"/>
          <w:color w:val="000000" w:themeColor="text1"/>
          <w:sz w:val="24"/>
          <w:szCs w:val="24"/>
        </w:rPr>
        <w:t xml:space="preserve"> by several workgroups generating NOD/LtSz</w:t>
      </w:r>
      <w:r w:rsidRPr="000749B2">
        <w:rPr>
          <w:rFonts w:ascii="Cambria Math" w:hAnsi="Cambria Math" w:cs="Cambria Math"/>
          <w:color w:val="000000" w:themeColor="text1"/>
          <w:sz w:val="24"/>
          <w:szCs w:val="24"/>
        </w:rPr>
        <w:t>‐</w:t>
      </w:r>
      <w:r w:rsidRPr="000749B2">
        <w:rPr>
          <w:rFonts w:ascii="Book Antiqua" w:hAnsi="Book Antiqua"/>
          <w:color w:val="000000" w:themeColor="text1"/>
          <w:sz w:val="24"/>
          <w:szCs w:val="24"/>
        </w:rPr>
        <w:t>scid</w:t>
      </w:r>
      <w:r w:rsidR="00C42D1B" w:rsidRPr="000749B2">
        <w:rPr>
          <w:rFonts w:ascii="Book Antiqua" w:hAnsi="Book Antiqua"/>
          <w:color w:val="000000" w:themeColor="text1"/>
          <w:sz w:val="24"/>
          <w:szCs w:val="24"/>
          <w:vertAlign w:val="superscript"/>
        </w:rPr>
        <w:t>[216]</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NO</w:t>
      </w:r>
      <w:r w:rsidR="00993FE1" w:rsidRPr="000749B2">
        <w:rPr>
          <w:rFonts w:ascii="Book Antiqua" w:hAnsi="Book Antiqua"/>
          <w:color w:val="000000" w:themeColor="text1"/>
          <w:sz w:val="24"/>
          <w:szCs w:val="24"/>
        </w:rPr>
        <w:t>D/LtSz-</w:t>
      </w:r>
      <w:r w:rsidRPr="000749B2">
        <w:rPr>
          <w:rFonts w:ascii="Book Antiqua" w:hAnsi="Book Antiqua"/>
          <w:color w:val="000000" w:themeColor="text1"/>
          <w:sz w:val="24"/>
          <w:szCs w:val="24"/>
        </w:rPr>
        <w:t>scid β2m</w:t>
      </w:r>
      <w:r w:rsidRPr="000749B2">
        <w:rPr>
          <w:rFonts w:ascii="Book Antiqua" w:hAnsi="Book Antiqua"/>
          <w:color w:val="000000" w:themeColor="text1"/>
          <w:sz w:val="24"/>
          <w:szCs w:val="24"/>
          <w:vertAlign w:val="superscript"/>
        </w:rPr>
        <w:t>null</w:t>
      </w:r>
      <w:r w:rsidR="00C42D1B" w:rsidRPr="000749B2">
        <w:rPr>
          <w:rFonts w:ascii="Book Antiqua" w:hAnsi="Book Antiqua"/>
          <w:color w:val="000000" w:themeColor="text1"/>
          <w:sz w:val="24"/>
          <w:szCs w:val="24"/>
          <w:vertAlign w:val="superscript"/>
        </w:rPr>
        <w:t>[217]</w:t>
      </w:r>
      <w:r w:rsidRPr="000749B2">
        <w:rPr>
          <w:rFonts w:ascii="Book Antiqua" w:hAnsi="Book Antiqua"/>
          <w:color w:val="000000" w:themeColor="text1"/>
          <w:sz w:val="24"/>
          <w:szCs w:val="24"/>
          <w:vertAlign w:val="superscript"/>
        </w:rPr>
        <w:t xml:space="preserve"> </w:t>
      </w:r>
      <w:r w:rsidR="00993FE1" w:rsidRPr="000749B2">
        <w:rPr>
          <w:rFonts w:ascii="Book Antiqua" w:hAnsi="Book Antiqua"/>
          <w:color w:val="000000" w:themeColor="text1"/>
          <w:sz w:val="24"/>
          <w:szCs w:val="24"/>
        </w:rPr>
        <w:t xml:space="preserve">and </w:t>
      </w:r>
      <w:r w:rsidRPr="000749B2">
        <w:rPr>
          <w:rFonts w:ascii="Book Antiqua" w:hAnsi="Book Antiqua"/>
          <w:color w:val="000000" w:themeColor="text1"/>
          <w:sz w:val="24"/>
          <w:szCs w:val="24"/>
        </w:rPr>
        <w:t>NOD/Shi-SCID mice</w:t>
      </w:r>
      <w:r w:rsidR="00C42D1B" w:rsidRPr="000749B2">
        <w:rPr>
          <w:rFonts w:ascii="Book Antiqua" w:hAnsi="Book Antiqua"/>
          <w:color w:val="000000" w:themeColor="text1"/>
          <w:sz w:val="24"/>
          <w:szCs w:val="24"/>
          <w:vertAlign w:val="superscript"/>
        </w:rPr>
        <w:t>[218]</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However, the life span of NOD/SCID mice is limited by the development of thymic </w:t>
      </w:r>
      <w:proofErr w:type="gramStart"/>
      <w:r w:rsidRPr="000749B2">
        <w:rPr>
          <w:rFonts w:ascii="Book Antiqua" w:hAnsi="Book Antiqua"/>
          <w:color w:val="000000" w:themeColor="text1"/>
          <w:sz w:val="24"/>
          <w:szCs w:val="24"/>
        </w:rPr>
        <w:t>lymphomas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219]</w:t>
      </w:r>
      <w:r w:rsidRPr="000749B2">
        <w:rPr>
          <w:rFonts w:ascii="Book Antiqua" w:hAnsi="Book Antiqua"/>
          <w:color w:val="000000" w:themeColor="text1"/>
          <w:sz w:val="24"/>
          <w:szCs w:val="24"/>
        </w:rPr>
        <w:t xml:space="preserve"> and they show relevant “immune leakiness” caused by spontaneous rearrangement of T and B</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cell receptors</w:t>
      </w:r>
      <w:r w:rsidR="00C42D1B" w:rsidRPr="000749B2">
        <w:rPr>
          <w:rFonts w:ascii="Book Antiqua" w:hAnsi="Book Antiqua"/>
          <w:color w:val="000000" w:themeColor="text1"/>
          <w:sz w:val="24"/>
          <w:szCs w:val="24"/>
          <w:vertAlign w:val="superscript"/>
        </w:rPr>
        <w:t>[220,221]</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Lastly, to abolish NK cell activity completely, deficiency of the IL-2 receptor subunit gamma (IL2Rγ) and the Janus kinase 3 (Jak3) were introduced to NOD/SCID mice generating the commonly used strains NOG (NOD/SCID/IL2Rγ</w:t>
      </w:r>
      <w:r w:rsidR="00007233" w:rsidRPr="000749B2">
        <w:rPr>
          <w:rStyle w:val="hscoswrapper"/>
          <w:rFonts w:ascii="Book Antiqua" w:hAnsi="Book Antiqua"/>
          <w:color w:val="000000" w:themeColor="text1"/>
          <w:sz w:val="24"/>
          <w:szCs w:val="24"/>
          <w:vertAlign w:val="superscript"/>
        </w:rPr>
        <w:t>tm1Sug</w:t>
      </w:r>
      <w:r w:rsidRPr="000749B2">
        <w:rPr>
          <w:rFonts w:ascii="Book Antiqua" w:hAnsi="Book Antiqua"/>
          <w:color w:val="000000" w:themeColor="text1"/>
          <w:sz w:val="24"/>
          <w:szCs w:val="24"/>
        </w:rPr>
        <w:t>)</w:t>
      </w:r>
      <w:r w:rsidR="00C42D1B" w:rsidRPr="000749B2">
        <w:rPr>
          <w:rFonts w:ascii="Book Antiqua" w:hAnsi="Book Antiqua"/>
          <w:color w:val="000000" w:themeColor="text1"/>
          <w:sz w:val="24"/>
          <w:szCs w:val="24"/>
          <w:vertAlign w:val="superscript"/>
        </w:rPr>
        <w:t>[222]</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NSG (NOD/SCID/IL2Rγ</w:t>
      </w:r>
      <w:r w:rsidR="00007233" w:rsidRPr="000749B2">
        <w:rPr>
          <w:rFonts w:ascii="Book Antiqua" w:hAnsi="Book Antiqua"/>
          <w:color w:val="000000" w:themeColor="text1"/>
          <w:sz w:val="24"/>
          <w:szCs w:val="24"/>
          <w:vertAlign w:val="superscript"/>
        </w:rPr>
        <w:t>tm1Wjl</w:t>
      </w:r>
      <w:r w:rsidR="00007233" w:rsidRPr="000749B2">
        <w:rPr>
          <w:rFonts w:ascii="Book Antiqua" w:hAnsi="Book Antiqua"/>
          <w:color w:val="000000" w:themeColor="text1"/>
          <w:sz w:val="24"/>
          <w:szCs w:val="24"/>
        </w:rPr>
        <w:t>)</w:t>
      </w:r>
      <w:r w:rsidR="00C42D1B" w:rsidRPr="000749B2">
        <w:rPr>
          <w:rFonts w:ascii="Book Antiqua" w:hAnsi="Book Antiqua"/>
          <w:color w:val="000000" w:themeColor="text1"/>
          <w:sz w:val="24"/>
          <w:szCs w:val="24"/>
          <w:vertAlign w:val="superscript"/>
        </w:rPr>
        <w:t>[223]</w:t>
      </w:r>
      <w:r w:rsidR="001B143E" w:rsidRPr="000749B2">
        <w:rPr>
          <w:rFonts w:ascii="Book Antiqua" w:hAnsi="Book Antiqua"/>
          <w:color w:val="000000" w:themeColor="text1"/>
          <w:sz w:val="24"/>
          <w:szCs w:val="24"/>
          <w:lang w:val="de-DE"/>
        </w:rPr>
        <w:t xml:space="preserve"> </w:t>
      </w:r>
      <w:r w:rsidRPr="000749B2">
        <w:rPr>
          <w:rFonts w:ascii="Book Antiqua" w:hAnsi="Book Antiqua"/>
          <w:color w:val="000000" w:themeColor="text1"/>
          <w:sz w:val="24"/>
          <w:szCs w:val="24"/>
          <w:lang w:val="de-DE"/>
        </w:rPr>
        <w:t>and NOJ (NOD/SCID/Jak3</w:t>
      </w:r>
      <w:r w:rsidRPr="000749B2">
        <w:rPr>
          <w:rFonts w:ascii="Book Antiqua" w:hAnsi="Book Antiqua"/>
          <w:color w:val="000000" w:themeColor="text1"/>
          <w:sz w:val="24"/>
          <w:szCs w:val="24"/>
          <w:vertAlign w:val="superscript"/>
          <w:lang w:val="de-DE"/>
        </w:rPr>
        <w:t>null</w:t>
      </w:r>
      <w:r w:rsidRPr="000749B2">
        <w:rPr>
          <w:rFonts w:ascii="Book Antiqua" w:hAnsi="Book Antiqua"/>
          <w:color w:val="000000" w:themeColor="text1"/>
          <w:sz w:val="24"/>
          <w:szCs w:val="24"/>
          <w:lang w:val="de-DE"/>
        </w:rPr>
        <w:t>)</w:t>
      </w:r>
      <w:r w:rsidR="00C42D1B" w:rsidRPr="000749B2">
        <w:rPr>
          <w:rFonts w:ascii="Book Antiqua" w:hAnsi="Book Antiqua"/>
          <w:color w:val="000000" w:themeColor="text1"/>
          <w:sz w:val="24"/>
          <w:szCs w:val="24"/>
          <w:vertAlign w:val="superscript"/>
        </w:rPr>
        <w:t>[224]</w:t>
      </w:r>
      <w:r w:rsidR="001B143E" w:rsidRPr="000749B2">
        <w:rPr>
          <w:rFonts w:ascii="Book Antiqua" w:hAnsi="Book Antiqua"/>
          <w:color w:val="000000" w:themeColor="text1"/>
          <w:sz w:val="24"/>
          <w:szCs w:val="24"/>
        </w:rPr>
        <w:t xml:space="preserve">. </w:t>
      </w:r>
      <w:r w:rsidR="00007233" w:rsidRPr="000749B2">
        <w:rPr>
          <w:rFonts w:ascii="Book Antiqua" w:hAnsi="Book Antiqua"/>
          <w:color w:val="000000" w:themeColor="text1"/>
          <w:sz w:val="24"/>
          <w:szCs w:val="24"/>
        </w:rPr>
        <w:t xml:space="preserve">Since </w:t>
      </w:r>
      <w:r w:rsidRPr="000749B2">
        <w:rPr>
          <w:rFonts w:ascii="Book Antiqua" w:hAnsi="Book Antiqua"/>
          <w:color w:val="000000" w:themeColor="text1"/>
          <w:sz w:val="24"/>
          <w:szCs w:val="24"/>
        </w:rPr>
        <w:t>the DNA-dependent protein kinase catalytic subunit</w:t>
      </w:r>
      <w:r w:rsidR="00007233" w:rsidRPr="000749B2">
        <w:rPr>
          <w:rFonts w:ascii="Book Antiqua" w:hAnsi="Book Antiqua"/>
          <w:color w:val="000000" w:themeColor="text1"/>
          <w:sz w:val="24"/>
          <w:szCs w:val="24"/>
        </w:rPr>
        <w:t xml:space="preserve">, encoded by the </w:t>
      </w:r>
      <w:r w:rsidR="00007233" w:rsidRPr="000749B2">
        <w:rPr>
          <w:rFonts w:ascii="Book Antiqua" w:hAnsi="Book Antiqua"/>
          <w:i/>
          <w:iCs/>
          <w:color w:val="000000" w:themeColor="text1"/>
          <w:sz w:val="24"/>
          <w:szCs w:val="24"/>
        </w:rPr>
        <w:t>P</w:t>
      </w:r>
      <w:r w:rsidR="001524F4" w:rsidRPr="000749B2">
        <w:rPr>
          <w:rFonts w:ascii="Book Antiqua" w:hAnsi="Book Antiqua"/>
          <w:i/>
          <w:iCs/>
          <w:color w:val="000000" w:themeColor="text1"/>
          <w:sz w:val="24"/>
          <w:szCs w:val="24"/>
        </w:rPr>
        <w:t>rkdc</w:t>
      </w:r>
      <w:r w:rsidR="00007233" w:rsidRPr="000749B2">
        <w:rPr>
          <w:rFonts w:ascii="Book Antiqua" w:hAnsi="Book Antiqua"/>
          <w:color w:val="000000" w:themeColor="text1"/>
          <w:sz w:val="24"/>
          <w:szCs w:val="24"/>
        </w:rPr>
        <w:t xml:space="preserve"> gene,</w:t>
      </w:r>
      <w:r w:rsidRPr="000749B2">
        <w:rPr>
          <w:rFonts w:ascii="Book Antiqua" w:hAnsi="Book Antiqua"/>
          <w:color w:val="000000" w:themeColor="text1"/>
          <w:sz w:val="24"/>
          <w:szCs w:val="24"/>
        </w:rPr>
        <w:t xml:space="preserve"> is also responsible for DNA repair, </w:t>
      </w:r>
      <w:r w:rsidR="00007233" w:rsidRPr="000749B2">
        <w:rPr>
          <w:rFonts w:ascii="Book Antiqua" w:hAnsi="Book Antiqua"/>
          <w:color w:val="000000" w:themeColor="text1"/>
          <w:sz w:val="24"/>
          <w:szCs w:val="24"/>
        </w:rPr>
        <w:t>SCID mice are</w:t>
      </w:r>
      <w:r w:rsidRPr="000749B2">
        <w:rPr>
          <w:rFonts w:ascii="Book Antiqua" w:hAnsi="Book Antiqua"/>
          <w:color w:val="000000" w:themeColor="text1"/>
          <w:sz w:val="24"/>
          <w:szCs w:val="24"/>
        </w:rPr>
        <w:t xml:space="preserve"> very sensitive for radiation and DNA-damaging agents</w:t>
      </w:r>
      <w:r w:rsidR="00007233" w:rsidRPr="000749B2">
        <w:rPr>
          <w:rFonts w:ascii="Book Antiqua" w:hAnsi="Book Antiqua"/>
          <w:color w:val="000000" w:themeColor="text1"/>
          <w:sz w:val="24"/>
          <w:szCs w:val="24"/>
        </w:rPr>
        <w:t xml:space="preserve">. Therefore, </w:t>
      </w:r>
      <w:r w:rsidRPr="000749B2">
        <w:rPr>
          <w:rFonts w:ascii="Book Antiqua" w:hAnsi="Book Antiqua"/>
          <w:color w:val="000000" w:themeColor="text1"/>
          <w:sz w:val="24"/>
          <w:szCs w:val="24"/>
        </w:rPr>
        <w:t xml:space="preserve">Shultz </w:t>
      </w:r>
      <w:r w:rsidRPr="000749B2">
        <w:rPr>
          <w:rFonts w:ascii="Book Antiqua" w:hAnsi="Book Antiqua"/>
          <w:i/>
          <w:iCs/>
          <w:color w:val="000000" w:themeColor="text1"/>
          <w:sz w:val="24"/>
          <w:szCs w:val="24"/>
        </w:rPr>
        <w:t xml:space="preserve">et </w:t>
      </w:r>
      <w:proofErr w:type="gramStart"/>
      <w:r w:rsidRPr="000749B2">
        <w:rPr>
          <w:rFonts w:ascii="Book Antiqua" w:hAnsi="Book Antiqua"/>
          <w:i/>
          <w:iCs/>
          <w:color w:val="000000" w:themeColor="text1"/>
          <w:sz w:val="24"/>
          <w:szCs w:val="24"/>
        </w:rPr>
        <w:t>al</w:t>
      </w:r>
      <w:r w:rsidR="004077FE" w:rsidRPr="000749B2">
        <w:rPr>
          <w:rFonts w:ascii="Book Antiqua" w:hAnsi="Book Antiqua"/>
          <w:color w:val="000000" w:themeColor="text1"/>
          <w:sz w:val="24"/>
          <w:szCs w:val="24"/>
          <w:vertAlign w:val="superscript"/>
        </w:rPr>
        <w:t>[</w:t>
      </w:r>
      <w:proofErr w:type="gramEnd"/>
      <w:r w:rsidR="004077FE" w:rsidRPr="000749B2">
        <w:rPr>
          <w:rFonts w:ascii="Book Antiqua" w:hAnsi="Book Antiqua"/>
          <w:color w:val="000000" w:themeColor="text1"/>
          <w:sz w:val="24"/>
          <w:szCs w:val="24"/>
          <w:vertAlign w:val="superscript"/>
        </w:rPr>
        <w:t>225]</w:t>
      </w:r>
      <w:r w:rsidRPr="000749B2">
        <w:rPr>
          <w:rFonts w:ascii="Book Antiqua" w:hAnsi="Book Antiqua"/>
          <w:color w:val="000000" w:themeColor="text1"/>
          <w:sz w:val="24"/>
          <w:szCs w:val="24"/>
        </w:rPr>
        <w:t xml:space="preserve"> developed the more robust, but equal immunodeficient NOD/LtSz-Rag1</w:t>
      </w:r>
      <w:r w:rsidRPr="000749B2">
        <w:rPr>
          <w:rFonts w:ascii="Book Antiqua" w:hAnsi="Book Antiqua"/>
          <w:color w:val="000000" w:themeColor="text1"/>
          <w:sz w:val="24"/>
          <w:szCs w:val="24"/>
          <w:vertAlign w:val="superscript"/>
        </w:rPr>
        <w:t>null</w:t>
      </w:r>
      <w:r w:rsidRPr="000749B2">
        <w:rPr>
          <w:rFonts w:ascii="Book Antiqua" w:hAnsi="Book Antiqua"/>
          <w:color w:val="000000" w:themeColor="text1"/>
          <w:sz w:val="24"/>
          <w:szCs w:val="24"/>
        </w:rPr>
        <w:t>Pfp</w:t>
      </w:r>
      <w:r w:rsidRPr="000749B2">
        <w:rPr>
          <w:rFonts w:ascii="Book Antiqua" w:hAnsi="Book Antiqua"/>
          <w:color w:val="000000" w:themeColor="text1"/>
          <w:sz w:val="24"/>
          <w:szCs w:val="24"/>
          <w:vertAlign w:val="superscript"/>
        </w:rPr>
        <w:t>null</w:t>
      </w:r>
      <w:r w:rsidRPr="000749B2">
        <w:rPr>
          <w:rFonts w:ascii="Book Antiqua" w:hAnsi="Book Antiqua"/>
          <w:color w:val="000000" w:themeColor="text1"/>
          <w:sz w:val="24"/>
          <w:szCs w:val="24"/>
        </w:rPr>
        <w:t xml:space="preserve"> strain</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Since then, many </w:t>
      </w:r>
      <w:r w:rsidR="00576543" w:rsidRPr="000749B2">
        <w:rPr>
          <w:rFonts w:ascii="Book Antiqua" w:hAnsi="Book Antiqua"/>
          <w:color w:val="000000" w:themeColor="text1"/>
          <w:sz w:val="24"/>
          <w:szCs w:val="24"/>
        </w:rPr>
        <w:t>more</w:t>
      </w:r>
      <w:r w:rsidRPr="000749B2">
        <w:rPr>
          <w:rFonts w:ascii="Book Antiqua" w:hAnsi="Book Antiqua"/>
          <w:color w:val="000000" w:themeColor="text1"/>
          <w:sz w:val="24"/>
          <w:szCs w:val="24"/>
        </w:rPr>
        <w:t xml:space="preserve"> immunodeficient strains, with in part different genetic backgrounds, have been </w:t>
      </w:r>
      <w:proofErr w:type="gramStart"/>
      <w:r w:rsidRPr="000749B2">
        <w:rPr>
          <w:rFonts w:ascii="Book Antiqua" w:hAnsi="Book Antiqua"/>
          <w:color w:val="000000" w:themeColor="text1"/>
          <w:sz w:val="24"/>
          <w:szCs w:val="24"/>
        </w:rPr>
        <w:t>developed</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211,226]</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In general, it can be noted, that the more severe immunodeficient the host, the higher are the engraftment rates. Nevertheless the NMRI</w:t>
      </w:r>
      <w:r w:rsidRPr="000749B2">
        <w:rPr>
          <w:rFonts w:ascii="Book Antiqua" w:hAnsi="Book Antiqua"/>
          <w:color w:val="000000" w:themeColor="text1"/>
          <w:sz w:val="24"/>
          <w:szCs w:val="24"/>
          <w:vertAlign w:val="superscript"/>
        </w:rPr>
        <w:t xml:space="preserve">nu/nu </w:t>
      </w:r>
      <w:r w:rsidRPr="000749B2">
        <w:rPr>
          <w:rFonts w:ascii="Book Antiqua" w:hAnsi="Book Antiqua"/>
          <w:color w:val="000000" w:themeColor="text1"/>
          <w:sz w:val="24"/>
          <w:szCs w:val="24"/>
        </w:rPr>
        <w:t xml:space="preserve">strain </w:t>
      </w:r>
      <w:r w:rsidR="00F9524C" w:rsidRPr="000749B2">
        <w:rPr>
          <w:rFonts w:ascii="Book Antiqua" w:hAnsi="Book Antiqua"/>
          <w:color w:val="000000" w:themeColor="text1"/>
          <w:sz w:val="24"/>
          <w:szCs w:val="24"/>
        </w:rPr>
        <w:t xml:space="preserve">is </w:t>
      </w:r>
      <w:r w:rsidRPr="000749B2">
        <w:rPr>
          <w:rFonts w:ascii="Book Antiqua" w:hAnsi="Book Antiqua"/>
          <w:color w:val="000000" w:themeColor="text1"/>
          <w:sz w:val="24"/>
          <w:szCs w:val="24"/>
        </w:rPr>
        <w:t xml:space="preserve">still of </w:t>
      </w:r>
      <w:r w:rsidR="00576543" w:rsidRPr="000749B2">
        <w:rPr>
          <w:rFonts w:ascii="Book Antiqua" w:hAnsi="Book Antiqua"/>
          <w:color w:val="000000" w:themeColor="text1"/>
          <w:sz w:val="24"/>
          <w:szCs w:val="24"/>
        </w:rPr>
        <w:t xml:space="preserve">high </w:t>
      </w:r>
      <w:r w:rsidRPr="000749B2">
        <w:rPr>
          <w:rFonts w:ascii="Book Antiqua" w:hAnsi="Book Antiqua"/>
          <w:color w:val="000000" w:themeColor="text1"/>
          <w:sz w:val="24"/>
          <w:szCs w:val="24"/>
        </w:rPr>
        <w:t xml:space="preserve">relevance for </w:t>
      </w:r>
      <w:r w:rsidR="001D52D2" w:rsidRPr="000749B2">
        <w:rPr>
          <w:rFonts w:ascii="Book Antiqua" w:hAnsi="Book Antiqua"/>
          <w:color w:val="000000" w:themeColor="text1"/>
          <w:sz w:val="24"/>
          <w:szCs w:val="24"/>
        </w:rPr>
        <w:t>x</w:t>
      </w:r>
      <w:r w:rsidRPr="000749B2">
        <w:rPr>
          <w:rFonts w:ascii="Book Antiqua" w:hAnsi="Book Antiqua"/>
          <w:color w:val="000000" w:themeColor="text1"/>
          <w:sz w:val="24"/>
          <w:szCs w:val="24"/>
        </w:rPr>
        <w:t>enografting: The strain is less prone to opportunistic infections</w:t>
      </w:r>
      <w:r w:rsidR="00C42D1B" w:rsidRPr="000749B2">
        <w:rPr>
          <w:rFonts w:ascii="Book Antiqua" w:hAnsi="Book Antiqua"/>
          <w:color w:val="000000" w:themeColor="text1"/>
          <w:sz w:val="24"/>
          <w:szCs w:val="24"/>
          <w:vertAlign w:val="superscript"/>
        </w:rPr>
        <w:t>[227]</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more tolerant for chemotherapeutic agents and shows reasonable engraftment rates for primary </w:t>
      </w:r>
      <w:r w:rsidR="00D955F8" w:rsidRPr="000749B2">
        <w:rPr>
          <w:rFonts w:ascii="Book Antiqua" w:hAnsi="Book Antiqua"/>
          <w:color w:val="000000" w:themeColor="text1"/>
          <w:sz w:val="24"/>
          <w:szCs w:val="24"/>
        </w:rPr>
        <w:t>patient-derived xenografts (</w:t>
      </w:r>
      <w:r w:rsidRPr="000749B2">
        <w:rPr>
          <w:rFonts w:ascii="Book Antiqua" w:hAnsi="Book Antiqua"/>
          <w:color w:val="000000" w:themeColor="text1"/>
          <w:sz w:val="24"/>
          <w:szCs w:val="24"/>
        </w:rPr>
        <w:t>PDX</w:t>
      </w:r>
      <w:r w:rsidR="00D955F8"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and good engraftment rates for subsequent mouse to mouse passaging</w:t>
      </w:r>
      <w:r w:rsidR="00C42D1B" w:rsidRPr="000749B2">
        <w:rPr>
          <w:rFonts w:ascii="Book Antiqua" w:hAnsi="Book Antiqua"/>
          <w:color w:val="000000" w:themeColor="text1"/>
          <w:sz w:val="24"/>
          <w:szCs w:val="24"/>
          <w:vertAlign w:val="superscript"/>
        </w:rPr>
        <w:t>[228,229]</w:t>
      </w:r>
      <w:r w:rsidRPr="000749B2">
        <w:rPr>
          <w:rFonts w:ascii="Book Antiqua" w:hAnsi="Book Antiqua"/>
          <w:color w:val="000000" w:themeColor="text1"/>
          <w:sz w:val="24"/>
          <w:szCs w:val="24"/>
        </w:rPr>
        <w:t>.</w:t>
      </w:r>
      <w:r w:rsidR="004077FE" w:rsidRPr="000749B2">
        <w:rPr>
          <w:rFonts w:ascii="Book Antiqua" w:hAnsi="Book Antiqua"/>
          <w:color w:val="000000" w:themeColor="text1"/>
          <w:sz w:val="24"/>
          <w:szCs w:val="24"/>
        </w:rPr>
        <w:t xml:space="preserve"> </w:t>
      </w:r>
      <w:r w:rsidR="00087E65" w:rsidRPr="000749B2">
        <w:rPr>
          <w:rFonts w:ascii="Book Antiqua" w:hAnsi="Book Antiqua"/>
          <w:color w:val="000000" w:themeColor="text1"/>
          <w:sz w:val="24"/>
          <w:szCs w:val="24"/>
        </w:rPr>
        <w:t xml:space="preserve">An economical plus is that </w:t>
      </w:r>
      <w:r w:rsidRPr="000749B2">
        <w:rPr>
          <w:rFonts w:ascii="Book Antiqua" w:hAnsi="Book Antiqua"/>
          <w:color w:val="000000" w:themeColor="text1"/>
          <w:sz w:val="24"/>
          <w:szCs w:val="24"/>
        </w:rPr>
        <w:t xml:space="preserve">this mouse strain is </w:t>
      </w:r>
      <w:r w:rsidR="00087E65" w:rsidRPr="000749B2">
        <w:rPr>
          <w:rFonts w:ascii="Book Antiqua" w:hAnsi="Book Antiqua"/>
          <w:color w:val="000000" w:themeColor="text1"/>
          <w:sz w:val="24"/>
          <w:szCs w:val="24"/>
        </w:rPr>
        <w:t xml:space="preserve">the least </w:t>
      </w:r>
      <w:r w:rsidR="00576543" w:rsidRPr="000749B2">
        <w:rPr>
          <w:rFonts w:ascii="Book Antiqua" w:hAnsi="Book Antiqua"/>
          <w:color w:val="000000" w:themeColor="text1"/>
          <w:sz w:val="24"/>
          <w:szCs w:val="24"/>
        </w:rPr>
        <w:t>exp</w:t>
      </w:r>
      <w:r w:rsidR="00087E65" w:rsidRPr="000749B2">
        <w:rPr>
          <w:rFonts w:ascii="Book Antiqua" w:hAnsi="Book Antiqua"/>
          <w:color w:val="000000" w:themeColor="text1"/>
          <w:sz w:val="24"/>
          <w:szCs w:val="24"/>
        </w:rPr>
        <w:t>e</w:t>
      </w:r>
      <w:r w:rsidR="00576543" w:rsidRPr="000749B2">
        <w:rPr>
          <w:rFonts w:ascii="Book Antiqua" w:hAnsi="Book Antiqua"/>
          <w:color w:val="000000" w:themeColor="text1"/>
          <w:sz w:val="24"/>
          <w:szCs w:val="24"/>
        </w:rPr>
        <w:t xml:space="preserve">nsive </w:t>
      </w:r>
      <w:r w:rsidR="00087E65" w:rsidRPr="000749B2">
        <w:rPr>
          <w:rFonts w:ascii="Book Antiqua" w:hAnsi="Book Antiqua"/>
          <w:color w:val="000000" w:themeColor="text1"/>
          <w:sz w:val="24"/>
          <w:szCs w:val="24"/>
        </w:rPr>
        <w:t>immunodeficient one</w:t>
      </w:r>
      <w:r w:rsidRPr="000749B2">
        <w:rPr>
          <w:rFonts w:ascii="Book Antiqua" w:hAnsi="Book Antiqua"/>
          <w:color w:val="000000" w:themeColor="text1"/>
          <w:sz w:val="24"/>
          <w:szCs w:val="24"/>
        </w:rPr>
        <w:t xml:space="preserve">. </w:t>
      </w:r>
      <w:r w:rsidR="00F70C6F" w:rsidRPr="000749B2">
        <w:rPr>
          <w:rFonts w:ascii="Book Antiqua" w:hAnsi="Book Antiqua"/>
          <w:color w:val="000000" w:themeColor="text1"/>
          <w:sz w:val="24"/>
          <w:szCs w:val="24"/>
        </w:rPr>
        <w:t>It is mandatory to house i</w:t>
      </w:r>
      <w:r w:rsidRPr="000749B2">
        <w:rPr>
          <w:rFonts w:ascii="Book Antiqua" w:hAnsi="Book Antiqua"/>
          <w:color w:val="000000" w:themeColor="text1"/>
          <w:sz w:val="24"/>
          <w:szCs w:val="24"/>
        </w:rPr>
        <w:t>mmunodeficient mice</w:t>
      </w:r>
      <w:r w:rsidR="00F70C6F"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in a specific pathogen free environment, using sterile techniques and microisolator caging. For syngeneic mouse models, viz. transplantation of cell or organoids from mice, exact strain conformity of donor and recipient mouse must be guaranteed, since even closely related substrains can differ </w:t>
      </w:r>
      <w:proofErr w:type="gramStart"/>
      <w:r w:rsidRPr="000749B2">
        <w:rPr>
          <w:rFonts w:ascii="Book Antiqua" w:hAnsi="Book Antiqua"/>
          <w:color w:val="000000" w:themeColor="text1"/>
          <w:sz w:val="24"/>
          <w:szCs w:val="24"/>
        </w:rPr>
        <w:t>genetically</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230]</w:t>
      </w:r>
      <w:r w:rsidR="001B143E" w:rsidRPr="000749B2">
        <w:rPr>
          <w:rFonts w:ascii="Book Antiqua" w:hAnsi="Book Antiqua"/>
          <w:color w:val="000000" w:themeColor="text1"/>
          <w:sz w:val="24"/>
          <w:szCs w:val="24"/>
        </w:rPr>
        <w:t>.</w:t>
      </w:r>
    </w:p>
    <w:p w14:paraId="40BBA1DD" w14:textId="77777777" w:rsidR="00AE58BD" w:rsidRPr="000749B2" w:rsidRDefault="00AE58BD" w:rsidP="000B4309">
      <w:pPr>
        <w:spacing w:after="0" w:line="360" w:lineRule="auto"/>
        <w:jc w:val="both"/>
        <w:rPr>
          <w:rFonts w:ascii="Book Antiqua" w:hAnsi="Book Antiqua"/>
          <w:color w:val="000000" w:themeColor="text1"/>
          <w:sz w:val="24"/>
          <w:szCs w:val="24"/>
        </w:rPr>
      </w:pPr>
    </w:p>
    <w:p w14:paraId="2B908539" w14:textId="77777777" w:rsidR="00CE591C" w:rsidRPr="000749B2" w:rsidRDefault="00CE591C" w:rsidP="000B4309">
      <w:pPr>
        <w:spacing w:after="0" w:line="360" w:lineRule="auto"/>
        <w:jc w:val="both"/>
        <w:rPr>
          <w:rFonts w:ascii="Book Antiqua" w:hAnsi="Book Antiqua"/>
          <w:b/>
          <w:bCs/>
          <w:i/>
          <w:iCs/>
          <w:color w:val="000000" w:themeColor="text1"/>
          <w:sz w:val="24"/>
          <w:szCs w:val="24"/>
        </w:rPr>
      </w:pPr>
      <w:r w:rsidRPr="000749B2">
        <w:rPr>
          <w:rFonts w:ascii="Book Antiqua" w:hAnsi="Book Antiqua"/>
          <w:b/>
          <w:bCs/>
          <w:i/>
          <w:iCs/>
          <w:color w:val="000000" w:themeColor="text1"/>
          <w:sz w:val="24"/>
          <w:szCs w:val="24"/>
        </w:rPr>
        <w:t>Heterotopic tumor models</w:t>
      </w:r>
    </w:p>
    <w:p w14:paraId="62539E77" w14:textId="316208AD" w:rsidR="00CE591C" w:rsidRPr="000749B2" w:rsidRDefault="00CE591C" w:rsidP="000B4309">
      <w:pPr>
        <w:spacing w:after="0"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 xml:space="preserve">The advantages of </w:t>
      </w:r>
      <w:r w:rsidR="004F6A36" w:rsidRPr="000749B2">
        <w:rPr>
          <w:rFonts w:ascii="Book Antiqua" w:hAnsi="Book Antiqua"/>
          <w:color w:val="000000" w:themeColor="text1"/>
          <w:sz w:val="24"/>
          <w:szCs w:val="24"/>
        </w:rPr>
        <w:t>s.c.</w:t>
      </w:r>
      <w:r w:rsidRPr="000749B2">
        <w:rPr>
          <w:rFonts w:ascii="Book Antiqua" w:hAnsi="Book Antiqua"/>
          <w:color w:val="000000" w:themeColor="text1"/>
          <w:sz w:val="24"/>
          <w:szCs w:val="24"/>
        </w:rPr>
        <w:t xml:space="preserve"> tumor engraftments are glaring: They require nominal surgical skills, allow high throughput of samples due to time efficacy and tumor growth can be monitored by the naked eye. Early </w:t>
      </w:r>
      <w:r w:rsidR="004F6A36" w:rsidRPr="000749B2">
        <w:rPr>
          <w:rFonts w:ascii="Book Antiqua" w:hAnsi="Book Antiqua"/>
          <w:color w:val="000000" w:themeColor="text1"/>
          <w:sz w:val="24"/>
          <w:szCs w:val="24"/>
        </w:rPr>
        <w:t>s.c.</w:t>
      </w:r>
      <w:r w:rsidRPr="000749B2">
        <w:rPr>
          <w:rFonts w:ascii="Book Antiqua" w:hAnsi="Book Antiqua"/>
          <w:color w:val="000000" w:themeColor="text1"/>
          <w:sz w:val="24"/>
          <w:szCs w:val="24"/>
        </w:rPr>
        <w:t xml:space="preserve"> models of solid tumors were mostly carried out by injection of a tumor cell suspension in</w:t>
      </w:r>
      <w:r w:rsidR="00087E65" w:rsidRPr="000749B2">
        <w:rPr>
          <w:rFonts w:ascii="Book Antiqua" w:hAnsi="Book Antiqua"/>
          <w:color w:val="000000" w:themeColor="text1"/>
          <w:sz w:val="24"/>
          <w:szCs w:val="24"/>
        </w:rPr>
        <w:t>to</w:t>
      </w:r>
      <w:r w:rsidRPr="000749B2">
        <w:rPr>
          <w:rFonts w:ascii="Book Antiqua" w:hAnsi="Book Antiqua"/>
          <w:color w:val="000000" w:themeColor="text1"/>
          <w:sz w:val="24"/>
          <w:szCs w:val="24"/>
        </w:rPr>
        <w:t xml:space="preserve"> the mouse flank. Although some of these models </w:t>
      </w:r>
      <w:r w:rsidR="00087E65" w:rsidRPr="000749B2">
        <w:rPr>
          <w:rFonts w:ascii="Book Antiqua" w:hAnsi="Book Antiqua"/>
          <w:color w:val="000000" w:themeColor="text1"/>
          <w:sz w:val="24"/>
          <w:szCs w:val="24"/>
        </w:rPr>
        <w:t xml:space="preserve">correctly </w:t>
      </w:r>
      <w:r w:rsidRPr="000749B2">
        <w:rPr>
          <w:rFonts w:ascii="Book Antiqua" w:hAnsi="Book Antiqua"/>
          <w:color w:val="000000" w:themeColor="text1"/>
          <w:sz w:val="24"/>
          <w:szCs w:val="24"/>
        </w:rPr>
        <w:t xml:space="preserve">predicted clinical response for specific cancer entities and </w:t>
      </w:r>
      <w:proofErr w:type="gramStart"/>
      <w:r w:rsidRPr="000749B2">
        <w:rPr>
          <w:rFonts w:ascii="Book Antiqua" w:hAnsi="Book Antiqua"/>
          <w:color w:val="000000" w:themeColor="text1"/>
          <w:sz w:val="24"/>
          <w:szCs w:val="24"/>
        </w:rPr>
        <w:t>therapeutics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231]</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large drug screens revealed that these models are of rather modest value for the prediction of clinical response in humans</w:t>
      </w:r>
      <w:r w:rsidR="00C42D1B" w:rsidRPr="000749B2">
        <w:rPr>
          <w:rFonts w:ascii="Book Antiqua" w:hAnsi="Book Antiqua"/>
          <w:color w:val="000000" w:themeColor="text1"/>
          <w:sz w:val="24"/>
          <w:szCs w:val="24"/>
          <w:vertAlign w:val="superscript"/>
        </w:rPr>
        <w:t>[232-235]</w:t>
      </w:r>
      <w:r w:rsidR="001B143E"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Moreover, the resulting tumors from a homogenous cell suspension do not reflect the intratumor-heterogeneity and an adequate tumor microenvironment is </w:t>
      </w:r>
      <w:r w:rsidR="00087E65" w:rsidRPr="000749B2">
        <w:rPr>
          <w:rFonts w:ascii="Book Antiqua" w:hAnsi="Book Antiqua"/>
          <w:color w:val="000000" w:themeColor="text1"/>
          <w:sz w:val="24"/>
          <w:szCs w:val="24"/>
        </w:rPr>
        <w:t xml:space="preserve">also </w:t>
      </w:r>
      <w:proofErr w:type="gramStart"/>
      <w:r w:rsidRPr="000749B2">
        <w:rPr>
          <w:rFonts w:ascii="Book Antiqua" w:hAnsi="Book Antiqua"/>
          <w:color w:val="000000" w:themeColor="text1"/>
          <w:sz w:val="24"/>
          <w:szCs w:val="24"/>
        </w:rPr>
        <w:t>absent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236]</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Especially </w:t>
      </w:r>
      <w:r w:rsidR="00246893" w:rsidRPr="000749B2">
        <w:rPr>
          <w:rFonts w:ascii="Book Antiqua" w:hAnsi="Book Antiqua"/>
          <w:color w:val="000000" w:themeColor="text1"/>
          <w:sz w:val="24"/>
          <w:szCs w:val="24"/>
        </w:rPr>
        <w:t>established CRC</w:t>
      </w:r>
      <w:r w:rsidRPr="000749B2">
        <w:rPr>
          <w:rFonts w:ascii="Book Antiqua" w:hAnsi="Book Antiqua"/>
          <w:color w:val="000000" w:themeColor="text1"/>
          <w:sz w:val="24"/>
          <w:szCs w:val="24"/>
        </w:rPr>
        <w:t xml:space="preserve"> cell lines show low genetic diversity due to high passage and selective </w:t>
      </w:r>
      <w:proofErr w:type="gramStart"/>
      <w:r w:rsidRPr="000749B2">
        <w:rPr>
          <w:rFonts w:ascii="Book Antiqua" w:hAnsi="Book Antiqua"/>
          <w:color w:val="000000" w:themeColor="text1"/>
          <w:sz w:val="24"/>
          <w:szCs w:val="24"/>
        </w:rPr>
        <w:t>pressure</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237]</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On a site note, one of the most cited CRC cell line</w:t>
      </w:r>
      <w:r w:rsidR="001D52D2" w:rsidRPr="000749B2">
        <w:rPr>
          <w:rFonts w:ascii="Book Antiqua" w:hAnsi="Book Antiqua"/>
          <w:color w:val="000000" w:themeColor="text1"/>
          <w:sz w:val="24"/>
          <w:szCs w:val="24"/>
        </w:rPr>
        <w:t>s,</w:t>
      </w:r>
      <w:r w:rsidRPr="000749B2">
        <w:rPr>
          <w:rFonts w:ascii="Book Antiqua" w:hAnsi="Book Antiqua"/>
          <w:color w:val="000000" w:themeColor="text1"/>
          <w:sz w:val="24"/>
          <w:szCs w:val="24"/>
        </w:rPr>
        <w:t xml:space="preserve"> HCT116</w:t>
      </w:r>
      <w:r w:rsidR="001D52D2"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was established almost 40 years ago</w:t>
      </w:r>
      <w:r w:rsidR="00087E65"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enough time for mislabeling, cross-contaminations and high passage </w:t>
      </w:r>
      <w:proofErr w:type="gramStart"/>
      <w:r w:rsidRPr="000749B2">
        <w:rPr>
          <w:rFonts w:ascii="Book Antiqua" w:hAnsi="Book Antiqua"/>
          <w:color w:val="000000" w:themeColor="text1"/>
          <w:sz w:val="24"/>
          <w:szCs w:val="24"/>
        </w:rPr>
        <w:t>selection</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238,239]</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While tumor cell lines in general remain a cornerstone of cancer </w:t>
      </w:r>
      <w:proofErr w:type="gramStart"/>
      <w:r w:rsidRPr="000749B2">
        <w:rPr>
          <w:rFonts w:ascii="Book Antiqua" w:hAnsi="Book Antiqua"/>
          <w:color w:val="000000" w:themeColor="text1"/>
          <w:sz w:val="24"/>
          <w:szCs w:val="24"/>
        </w:rPr>
        <w:t>research</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240,241]</w:t>
      </w:r>
      <w:r w:rsidRPr="000749B2">
        <w:rPr>
          <w:rFonts w:ascii="Book Antiqua" w:hAnsi="Book Antiqua"/>
          <w:color w:val="000000" w:themeColor="text1"/>
          <w:sz w:val="24"/>
          <w:szCs w:val="24"/>
        </w:rPr>
        <w:t xml:space="preserve">, their heterotopic </w:t>
      </w:r>
      <w:r w:rsidRPr="000749B2">
        <w:rPr>
          <w:rFonts w:ascii="Book Antiqua" w:hAnsi="Book Antiqua"/>
          <w:i/>
          <w:iCs/>
          <w:color w:val="000000" w:themeColor="text1"/>
          <w:sz w:val="24"/>
          <w:szCs w:val="24"/>
        </w:rPr>
        <w:t>in vivo</w:t>
      </w:r>
      <w:r w:rsidRPr="000749B2">
        <w:rPr>
          <w:rFonts w:ascii="Book Antiqua" w:hAnsi="Book Antiqua"/>
          <w:color w:val="000000" w:themeColor="text1"/>
          <w:sz w:val="24"/>
          <w:szCs w:val="24"/>
        </w:rPr>
        <w:t xml:space="preserve"> application creates no scientific added value. The creation of a s.c. tumor graft as intermediate step for subsequent orthotopic transplantation can be considered </w:t>
      </w:r>
      <w:r w:rsidR="001D52D2" w:rsidRPr="000749B2">
        <w:rPr>
          <w:rFonts w:ascii="Book Antiqua" w:hAnsi="Book Antiqua"/>
          <w:color w:val="000000" w:themeColor="text1"/>
          <w:sz w:val="24"/>
          <w:szCs w:val="24"/>
        </w:rPr>
        <w:t>as an</w:t>
      </w:r>
      <w:r w:rsidRPr="000749B2">
        <w:rPr>
          <w:rFonts w:ascii="Book Antiqua" w:hAnsi="Book Antiqua"/>
          <w:color w:val="000000" w:themeColor="text1"/>
          <w:sz w:val="24"/>
          <w:szCs w:val="24"/>
        </w:rPr>
        <w:t xml:space="preserve"> exception. Even though these cell-derived grafts are frequently referred to as </w:t>
      </w:r>
      <w:r w:rsidR="00D955F8" w:rsidRPr="000749B2">
        <w:rPr>
          <w:rFonts w:ascii="Book Antiqua" w:hAnsi="Book Antiqua"/>
          <w:color w:val="000000" w:themeColor="text1"/>
          <w:sz w:val="24"/>
          <w:szCs w:val="24"/>
        </w:rPr>
        <w:t>PDX</w:t>
      </w:r>
      <w:r w:rsidR="00087E6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in the literature, we believe that this term should be avoided and “cell line</w:t>
      </w:r>
      <w:r w:rsidR="005473F4" w:rsidRPr="000749B2">
        <w:rPr>
          <w:rFonts w:ascii="Book Antiqua" w:hAnsi="Book Antiqua"/>
          <w:color w:val="000000" w:themeColor="text1"/>
          <w:sz w:val="24"/>
          <w:szCs w:val="24"/>
        </w:rPr>
        <w:t>-derived</w:t>
      </w:r>
      <w:r w:rsidRPr="000749B2">
        <w:rPr>
          <w:rFonts w:ascii="Book Antiqua" w:hAnsi="Book Antiqua"/>
          <w:color w:val="000000" w:themeColor="text1"/>
          <w:sz w:val="24"/>
          <w:szCs w:val="24"/>
        </w:rPr>
        <w:t xml:space="preserve"> xenograft</w:t>
      </w:r>
      <w:r w:rsidR="005473F4" w:rsidRPr="000749B2">
        <w:rPr>
          <w:rFonts w:ascii="Book Antiqua" w:hAnsi="Book Antiqua"/>
          <w:color w:val="000000" w:themeColor="text1"/>
          <w:sz w:val="24"/>
          <w:szCs w:val="24"/>
        </w:rPr>
        <w:t xml:space="preserve"> </w:t>
      </w:r>
      <w:r w:rsidR="00966D45" w:rsidRPr="000749B2">
        <w:rPr>
          <w:rFonts w:ascii="Book Antiqua" w:hAnsi="Book Antiqua"/>
          <w:color w:val="000000" w:themeColor="text1"/>
          <w:sz w:val="24"/>
          <w:szCs w:val="24"/>
        </w:rPr>
        <w:t>-</w:t>
      </w:r>
      <w:r w:rsidR="00087E65" w:rsidRPr="000749B2">
        <w:rPr>
          <w:rFonts w:ascii="Book Antiqua" w:hAnsi="Book Antiqua"/>
          <w:color w:val="000000" w:themeColor="text1"/>
          <w:sz w:val="24"/>
          <w:szCs w:val="24"/>
        </w:rPr>
        <w:t xml:space="preserve"> </w:t>
      </w:r>
      <w:r w:rsidR="005473F4" w:rsidRPr="000749B2">
        <w:rPr>
          <w:rFonts w:ascii="Book Antiqua" w:hAnsi="Book Antiqua"/>
          <w:color w:val="000000" w:themeColor="text1"/>
          <w:sz w:val="24"/>
          <w:szCs w:val="24"/>
        </w:rPr>
        <w:t>CDX</w:t>
      </w:r>
      <w:r w:rsidRPr="000749B2">
        <w:rPr>
          <w:rFonts w:ascii="Book Antiqua" w:hAnsi="Book Antiqua"/>
          <w:color w:val="000000" w:themeColor="text1"/>
          <w:sz w:val="24"/>
          <w:szCs w:val="24"/>
        </w:rPr>
        <w:t xml:space="preserve">” </w:t>
      </w:r>
      <w:r w:rsidR="00087E65" w:rsidRPr="000749B2">
        <w:rPr>
          <w:rFonts w:ascii="Book Antiqua" w:hAnsi="Book Antiqua"/>
          <w:color w:val="000000" w:themeColor="text1"/>
          <w:sz w:val="24"/>
          <w:szCs w:val="24"/>
        </w:rPr>
        <w:t>is</w:t>
      </w:r>
      <w:r w:rsidRPr="000749B2">
        <w:rPr>
          <w:rFonts w:ascii="Book Antiqua" w:hAnsi="Book Antiqua"/>
          <w:color w:val="000000" w:themeColor="text1"/>
          <w:sz w:val="24"/>
          <w:szCs w:val="24"/>
        </w:rPr>
        <w:t xml:space="preserve"> more reasonable. The implantation of tumor cells or tumor pieces under the renal capsule follows the rational that the high vascularized environment propagates better </w:t>
      </w:r>
      <w:proofErr w:type="gramStart"/>
      <w:r w:rsidRPr="000749B2">
        <w:rPr>
          <w:rFonts w:ascii="Book Antiqua" w:hAnsi="Book Antiqua"/>
          <w:color w:val="000000" w:themeColor="text1"/>
          <w:sz w:val="24"/>
          <w:szCs w:val="24"/>
        </w:rPr>
        <w:t>engraftment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242,243]</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and was historically used for the subrenal capsule assay</w:t>
      </w:r>
      <w:r w:rsidR="00C42D1B" w:rsidRPr="000749B2">
        <w:rPr>
          <w:rFonts w:ascii="Book Antiqua" w:hAnsi="Book Antiqua"/>
          <w:color w:val="000000" w:themeColor="text1"/>
          <w:sz w:val="24"/>
          <w:szCs w:val="24"/>
          <w:vertAlign w:val="superscript"/>
        </w:rPr>
        <w:t>[244]</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While this model might be advantageous for some </w:t>
      </w:r>
      <w:proofErr w:type="gramStart"/>
      <w:r w:rsidRPr="000749B2">
        <w:rPr>
          <w:rFonts w:ascii="Book Antiqua" w:hAnsi="Book Antiqua"/>
          <w:color w:val="000000" w:themeColor="text1"/>
          <w:sz w:val="24"/>
          <w:szCs w:val="24"/>
        </w:rPr>
        <w:t>cancers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245]</w:t>
      </w:r>
      <w:r w:rsidR="001B143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we see no advantage for CRC engraftment over the </w:t>
      </w:r>
      <w:r w:rsidR="004F6A36" w:rsidRPr="000749B2">
        <w:rPr>
          <w:rFonts w:ascii="Book Antiqua" w:hAnsi="Book Antiqua"/>
          <w:color w:val="000000" w:themeColor="text1"/>
          <w:sz w:val="24"/>
          <w:szCs w:val="24"/>
        </w:rPr>
        <w:t>s.c.</w:t>
      </w:r>
      <w:r w:rsidRPr="000749B2">
        <w:rPr>
          <w:rFonts w:ascii="Book Antiqua" w:hAnsi="Book Antiqua"/>
          <w:color w:val="000000" w:themeColor="text1"/>
          <w:sz w:val="24"/>
          <w:szCs w:val="24"/>
        </w:rPr>
        <w:t xml:space="preserve"> PDX model,</w:t>
      </w:r>
      <w:r w:rsidRPr="000749B2">
        <w:rPr>
          <w:rFonts w:ascii="Book Antiqua" w:hAnsi="Book Antiqua"/>
          <w:iCs/>
          <w:color w:val="000000" w:themeColor="text1"/>
          <w:sz w:val="24"/>
          <w:szCs w:val="24"/>
        </w:rPr>
        <w:t xml:space="preserve"> a fortiori</w:t>
      </w:r>
      <w:r w:rsidRPr="000749B2">
        <w:rPr>
          <w:rFonts w:ascii="Book Antiqua" w:hAnsi="Book Antiqua"/>
          <w:color w:val="000000" w:themeColor="text1"/>
          <w:sz w:val="24"/>
          <w:szCs w:val="24"/>
        </w:rPr>
        <w:t xml:space="preserve"> comparing practical effort, monitoring of tumor growth and animal welfare. Intravenous injection of cell suspension is often used to simulate hematogenous dissemination of tumor </w:t>
      </w:r>
      <w:proofErr w:type="gramStart"/>
      <w:r w:rsidRPr="000749B2">
        <w:rPr>
          <w:rFonts w:ascii="Book Antiqua" w:hAnsi="Book Antiqua"/>
          <w:color w:val="000000" w:themeColor="text1"/>
          <w:sz w:val="24"/>
          <w:szCs w:val="24"/>
        </w:rPr>
        <w:t>cells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246,247]</w:t>
      </w:r>
      <w:r w:rsidR="003D78BD"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but circumvents crucial steps of metastasis, namely degradation of the surrounding tissue and lymphatic and/or vascular invasion</w:t>
      </w:r>
      <w:r w:rsidR="00C42D1B" w:rsidRPr="000749B2">
        <w:rPr>
          <w:rFonts w:ascii="Book Antiqua" w:hAnsi="Book Antiqua"/>
          <w:color w:val="000000" w:themeColor="text1"/>
          <w:sz w:val="24"/>
          <w:szCs w:val="24"/>
          <w:vertAlign w:val="superscript"/>
        </w:rPr>
        <w:t>[248]</w:t>
      </w:r>
      <w:r w:rsidR="003D78BD"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Thus, the same applies </w:t>
      </w:r>
      <w:r w:rsidR="008A7AAA" w:rsidRPr="000749B2">
        <w:rPr>
          <w:rFonts w:ascii="Book Antiqua" w:hAnsi="Book Antiqua"/>
          <w:color w:val="000000" w:themeColor="text1"/>
          <w:sz w:val="24"/>
          <w:szCs w:val="24"/>
        </w:rPr>
        <w:t xml:space="preserve">to </w:t>
      </w:r>
      <w:r w:rsidRPr="000749B2">
        <w:rPr>
          <w:rFonts w:ascii="Book Antiqua" w:hAnsi="Book Antiqua"/>
          <w:color w:val="000000" w:themeColor="text1"/>
          <w:sz w:val="24"/>
          <w:szCs w:val="24"/>
        </w:rPr>
        <w:t xml:space="preserve">the splenic injection of tumor cells to generate liver </w:t>
      </w:r>
      <w:proofErr w:type="gramStart"/>
      <w:r w:rsidRPr="000749B2">
        <w:rPr>
          <w:rFonts w:ascii="Book Antiqua" w:hAnsi="Book Antiqua"/>
          <w:color w:val="000000" w:themeColor="text1"/>
          <w:sz w:val="24"/>
          <w:szCs w:val="24"/>
        </w:rPr>
        <w:t>metastasis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249,250]</w:t>
      </w:r>
      <w:r w:rsidR="003D78BD"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or the intraperitoneal injection to simulate peritoneal carcinosis</w:t>
      </w:r>
      <w:r w:rsidR="00C42D1B" w:rsidRPr="000749B2">
        <w:rPr>
          <w:rFonts w:ascii="Book Antiqua" w:hAnsi="Book Antiqua"/>
          <w:color w:val="000000" w:themeColor="text1"/>
          <w:sz w:val="24"/>
          <w:szCs w:val="24"/>
          <w:vertAlign w:val="superscript"/>
        </w:rPr>
        <w:t>[251]</w:t>
      </w:r>
      <w:r w:rsidR="003D78BD" w:rsidRPr="000749B2">
        <w:rPr>
          <w:rFonts w:ascii="Book Antiqua" w:hAnsi="Book Antiqua"/>
          <w:color w:val="000000" w:themeColor="text1"/>
          <w:sz w:val="24"/>
          <w:szCs w:val="24"/>
        </w:rPr>
        <w:t>.</w:t>
      </w:r>
    </w:p>
    <w:p w14:paraId="257C92B3" w14:textId="77777777" w:rsidR="00AE58BD" w:rsidRPr="000749B2" w:rsidRDefault="00AE58BD" w:rsidP="000B4309">
      <w:pPr>
        <w:spacing w:after="0" w:line="360" w:lineRule="auto"/>
        <w:jc w:val="both"/>
        <w:rPr>
          <w:rFonts w:ascii="Book Antiqua" w:hAnsi="Book Antiqua"/>
          <w:color w:val="000000" w:themeColor="text1"/>
          <w:sz w:val="24"/>
          <w:szCs w:val="24"/>
        </w:rPr>
      </w:pPr>
    </w:p>
    <w:p w14:paraId="3CF3355D" w14:textId="77777777" w:rsidR="00CE591C" w:rsidRPr="000749B2" w:rsidRDefault="00CE591C" w:rsidP="000B4309">
      <w:pPr>
        <w:spacing w:after="0" w:line="360" w:lineRule="auto"/>
        <w:jc w:val="both"/>
        <w:rPr>
          <w:rFonts w:ascii="Book Antiqua" w:hAnsi="Book Antiqua"/>
          <w:b/>
          <w:bCs/>
          <w:i/>
          <w:iCs/>
          <w:color w:val="000000" w:themeColor="text1"/>
          <w:sz w:val="24"/>
          <w:szCs w:val="24"/>
        </w:rPr>
      </w:pPr>
      <w:r w:rsidRPr="000749B2">
        <w:rPr>
          <w:rFonts w:ascii="Book Antiqua" w:hAnsi="Book Antiqua"/>
          <w:b/>
          <w:bCs/>
          <w:i/>
          <w:iCs/>
          <w:color w:val="000000" w:themeColor="text1"/>
          <w:sz w:val="24"/>
          <w:szCs w:val="24"/>
        </w:rPr>
        <w:lastRenderedPageBreak/>
        <w:t>PDX models</w:t>
      </w:r>
    </w:p>
    <w:p w14:paraId="59530D78" w14:textId="4FE8E399" w:rsidR="00CE591C" w:rsidRPr="000749B2" w:rsidRDefault="00CE591C" w:rsidP="000B4309">
      <w:pPr>
        <w:spacing w:after="0"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PDX differ greatly from the aforementioned heterotopic tumor models. </w:t>
      </w:r>
      <w:r w:rsidR="00087E65" w:rsidRPr="000749B2">
        <w:rPr>
          <w:rFonts w:ascii="Book Antiqua" w:hAnsi="Book Antiqua"/>
          <w:color w:val="000000" w:themeColor="text1"/>
          <w:sz w:val="24"/>
          <w:szCs w:val="24"/>
        </w:rPr>
        <w:t xml:space="preserve">They </w:t>
      </w:r>
      <w:r w:rsidRPr="000749B2">
        <w:rPr>
          <w:rFonts w:ascii="Book Antiqua" w:hAnsi="Book Antiqua"/>
          <w:color w:val="000000" w:themeColor="text1"/>
          <w:sz w:val="24"/>
          <w:szCs w:val="24"/>
        </w:rPr>
        <w:t xml:space="preserve">are established by the </w:t>
      </w:r>
      <w:r w:rsidR="004F6A36" w:rsidRPr="000749B2">
        <w:rPr>
          <w:rFonts w:ascii="Book Antiqua" w:hAnsi="Book Antiqua"/>
          <w:color w:val="000000" w:themeColor="text1"/>
          <w:sz w:val="24"/>
          <w:szCs w:val="24"/>
        </w:rPr>
        <w:t>s.c.</w:t>
      </w:r>
      <w:r w:rsidRPr="000749B2">
        <w:rPr>
          <w:rFonts w:ascii="Book Antiqua" w:hAnsi="Book Antiqua"/>
          <w:color w:val="000000" w:themeColor="text1"/>
          <w:sz w:val="24"/>
          <w:szCs w:val="24"/>
        </w:rPr>
        <w:t xml:space="preserve"> implantation of a tumor piece from a surgical resection or biopsy into the flanks of immunocompromised mice</w:t>
      </w:r>
      <w:r w:rsidR="00087E65"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w:t>
      </w:r>
      <w:r w:rsidR="00017302" w:rsidRPr="000749B2">
        <w:rPr>
          <w:rFonts w:ascii="Book Antiqua" w:hAnsi="Book Antiqua"/>
          <w:color w:val="000000" w:themeColor="text1"/>
          <w:sz w:val="24"/>
          <w:szCs w:val="24"/>
        </w:rPr>
        <w:t>with</w:t>
      </w:r>
      <w:r w:rsidRPr="000749B2">
        <w:rPr>
          <w:rFonts w:ascii="Book Antiqua" w:hAnsi="Book Antiqua"/>
          <w:color w:val="000000" w:themeColor="text1"/>
          <w:sz w:val="24"/>
          <w:szCs w:val="24"/>
        </w:rPr>
        <w:t xml:space="preserve"> lower tumor take rates for biopsy </w:t>
      </w:r>
      <w:proofErr w:type="gramStart"/>
      <w:r w:rsidRPr="000749B2">
        <w:rPr>
          <w:rFonts w:ascii="Book Antiqua" w:hAnsi="Book Antiqua"/>
          <w:color w:val="000000" w:themeColor="text1"/>
          <w:sz w:val="24"/>
          <w:szCs w:val="24"/>
        </w:rPr>
        <w:t>samples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237]</w:t>
      </w:r>
      <w:r w:rsidRPr="000749B2">
        <w:rPr>
          <w:rFonts w:ascii="Book Antiqua" w:hAnsi="Book Antiqua"/>
          <w:color w:val="000000" w:themeColor="text1"/>
          <w:sz w:val="24"/>
          <w:szCs w:val="24"/>
        </w:rPr>
        <w:t xml:space="preserve">. Tissue can either be implanted directly after resection or cryopreserved in fetal calf serum containing 10% DMSO for implantation at a later </w:t>
      </w:r>
      <w:proofErr w:type="gramStart"/>
      <w:r w:rsidRPr="000749B2">
        <w:rPr>
          <w:rFonts w:ascii="Book Antiqua" w:hAnsi="Book Antiqua"/>
          <w:color w:val="000000" w:themeColor="text1"/>
          <w:sz w:val="24"/>
          <w:szCs w:val="24"/>
        </w:rPr>
        <w:t>time</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229]</w:t>
      </w:r>
      <w:r w:rsidR="00E833D8"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Incubation of the tissue in </w:t>
      </w:r>
      <w:r w:rsidR="0023320D" w:rsidRPr="000749B2">
        <w:rPr>
          <w:rFonts w:ascii="Book Antiqua" w:hAnsi="Book Antiqua"/>
          <w:color w:val="000000" w:themeColor="text1"/>
          <w:sz w:val="24"/>
          <w:szCs w:val="24"/>
        </w:rPr>
        <w:t>Matrigel®</w:t>
      </w:r>
      <w:r w:rsidRPr="000749B2">
        <w:rPr>
          <w:rFonts w:ascii="Book Antiqua" w:hAnsi="Book Antiqua"/>
          <w:color w:val="000000" w:themeColor="text1"/>
          <w:sz w:val="24"/>
          <w:szCs w:val="24"/>
          <w:vertAlign w:val="superscript"/>
        </w:rPr>
        <w:t xml:space="preserve"> </w:t>
      </w:r>
      <w:r w:rsidRPr="000749B2">
        <w:rPr>
          <w:rFonts w:ascii="Book Antiqua" w:hAnsi="Book Antiqua"/>
          <w:color w:val="000000" w:themeColor="text1"/>
          <w:sz w:val="24"/>
          <w:szCs w:val="24"/>
        </w:rPr>
        <w:t xml:space="preserve">prior to tumor implantation, significantly increases engraftment </w:t>
      </w:r>
      <w:proofErr w:type="gramStart"/>
      <w:r w:rsidRPr="000749B2">
        <w:rPr>
          <w:rFonts w:ascii="Book Antiqua" w:hAnsi="Book Antiqua"/>
          <w:color w:val="000000" w:themeColor="text1"/>
          <w:sz w:val="24"/>
          <w:szCs w:val="24"/>
        </w:rPr>
        <w:t>rates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228]</w:t>
      </w:r>
      <w:r w:rsidR="00E833D8"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In order to obtain sufficient tumor tissue for larger scale studies, the resulting tumor can be fragmented and re-grafted subsequently. In recent years</w:t>
      </w:r>
      <w:r w:rsidR="005473F4"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our workgroup focused on the build-up of a </w:t>
      </w:r>
      <w:r w:rsidR="00017302" w:rsidRPr="000749B2">
        <w:rPr>
          <w:rFonts w:ascii="Book Antiqua" w:hAnsi="Book Antiqua"/>
          <w:color w:val="000000" w:themeColor="text1"/>
          <w:sz w:val="24"/>
          <w:szCs w:val="24"/>
        </w:rPr>
        <w:t>large CRC</w:t>
      </w:r>
      <w:r w:rsidRPr="000749B2">
        <w:rPr>
          <w:rFonts w:ascii="Book Antiqua" w:hAnsi="Book Antiqua"/>
          <w:color w:val="000000" w:themeColor="text1"/>
          <w:sz w:val="24"/>
          <w:szCs w:val="24"/>
        </w:rPr>
        <w:t xml:space="preserve"> biobank consisting of more than 140 PDX-models</w:t>
      </w:r>
      <w:r w:rsidR="00097E90" w:rsidRPr="000749B2">
        <w:rPr>
          <w:rFonts w:ascii="Book Antiqua" w:hAnsi="Book Antiqua"/>
          <w:color w:val="000000" w:themeColor="text1"/>
          <w:sz w:val="24"/>
          <w:szCs w:val="24"/>
        </w:rPr>
        <w:t xml:space="preserve"> (general procedure is presented in Figure 2)</w:t>
      </w:r>
      <w:r w:rsidRPr="000749B2">
        <w:rPr>
          <w:rFonts w:ascii="Book Antiqua" w:hAnsi="Book Antiqua"/>
          <w:color w:val="000000" w:themeColor="text1"/>
          <w:sz w:val="24"/>
          <w:szCs w:val="24"/>
        </w:rPr>
        <w:t xml:space="preserve">. This PDX panel reflects adequately the clinical and molecular heterogeneity of the patient population undergoing surgical resection of primary </w:t>
      </w:r>
      <w:r w:rsidR="00087E65" w:rsidRPr="000749B2">
        <w:rPr>
          <w:rFonts w:ascii="Book Antiqua" w:hAnsi="Book Antiqua"/>
          <w:color w:val="000000" w:themeColor="text1"/>
          <w:sz w:val="24"/>
          <w:szCs w:val="24"/>
        </w:rPr>
        <w:t xml:space="preserve">or </w:t>
      </w:r>
      <w:r w:rsidRPr="000749B2">
        <w:rPr>
          <w:rFonts w:ascii="Book Antiqua" w:hAnsi="Book Antiqua"/>
          <w:color w:val="000000" w:themeColor="text1"/>
          <w:sz w:val="24"/>
          <w:szCs w:val="24"/>
        </w:rPr>
        <w:t xml:space="preserve">metastatic </w:t>
      </w:r>
      <w:proofErr w:type="gramStart"/>
      <w:r w:rsidRPr="000749B2">
        <w:rPr>
          <w:rFonts w:ascii="Book Antiqua" w:hAnsi="Book Antiqua"/>
          <w:color w:val="000000" w:themeColor="text1"/>
          <w:sz w:val="24"/>
          <w:szCs w:val="24"/>
        </w:rPr>
        <w:t>CRC</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252]</w:t>
      </w:r>
      <w:r w:rsidR="00E833D8"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It is well accepted that PDX closely recapitulate the histology of the original “donor” tumor over several </w:t>
      </w:r>
      <w:proofErr w:type="gramStart"/>
      <w:r w:rsidRPr="000749B2">
        <w:rPr>
          <w:rFonts w:ascii="Book Antiqua" w:hAnsi="Book Antiqua"/>
          <w:color w:val="000000" w:themeColor="text1"/>
          <w:sz w:val="24"/>
          <w:szCs w:val="24"/>
        </w:rPr>
        <w:t>passages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253-255]</w:t>
      </w:r>
      <w:r w:rsidRPr="000749B2">
        <w:rPr>
          <w:rFonts w:ascii="Book Antiqua" w:hAnsi="Book Antiqua"/>
          <w:color w:val="000000" w:themeColor="text1"/>
          <w:sz w:val="24"/>
          <w:szCs w:val="24"/>
        </w:rPr>
        <w:t xml:space="preserve"> and are also genetically stable</w:t>
      </w:r>
      <w:r w:rsidR="00C42D1B" w:rsidRPr="000749B2">
        <w:rPr>
          <w:rFonts w:ascii="Book Antiqua" w:hAnsi="Book Antiqua"/>
          <w:color w:val="000000" w:themeColor="text1"/>
          <w:sz w:val="24"/>
          <w:szCs w:val="24"/>
          <w:vertAlign w:val="superscript"/>
        </w:rPr>
        <w:t>[256,257]</w:t>
      </w:r>
      <w:r w:rsidR="00E833D8"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However, Ben-David </w:t>
      </w:r>
      <w:r w:rsidR="00966D45" w:rsidRPr="000749B2">
        <w:rPr>
          <w:rFonts w:ascii="Book Antiqua" w:hAnsi="Book Antiqua"/>
          <w:i/>
          <w:iCs/>
          <w:color w:val="000000" w:themeColor="text1"/>
          <w:sz w:val="24"/>
          <w:szCs w:val="24"/>
        </w:rPr>
        <w:t xml:space="preserve">et </w:t>
      </w:r>
      <w:proofErr w:type="gramStart"/>
      <w:r w:rsidR="00966D45" w:rsidRPr="000749B2">
        <w:rPr>
          <w:rFonts w:ascii="Book Antiqua" w:hAnsi="Book Antiqua"/>
          <w:i/>
          <w:iCs/>
          <w:color w:val="000000" w:themeColor="text1"/>
          <w:sz w:val="24"/>
          <w:szCs w:val="24"/>
        </w:rPr>
        <w:t>al</w:t>
      </w:r>
      <w:r w:rsidR="00966D45" w:rsidRPr="000749B2">
        <w:rPr>
          <w:rFonts w:ascii="Book Antiqua" w:hAnsi="Book Antiqua"/>
          <w:color w:val="000000" w:themeColor="text1"/>
          <w:sz w:val="24"/>
          <w:szCs w:val="24"/>
          <w:vertAlign w:val="superscript"/>
        </w:rPr>
        <w:t>[</w:t>
      </w:r>
      <w:proofErr w:type="gramEnd"/>
      <w:r w:rsidR="00966D45" w:rsidRPr="000749B2">
        <w:rPr>
          <w:rFonts w:ascii="Book Antiqua" w:hAnsi="Book Antiqua"/>
          <w:color w:val="000000" w:themeColor="text1"/>
          <w:sz w:val="24"/>
          <w:szCs w:val="24"/>
          <w:vertAlign w:val="superscript"/>
        </w:rPr>
        <w:t>258]</w:t>
      </w:r>
      <w:r w:rsidRPr="000749B2">
        <w:rPr>
          <w:rFonts w:ascii="Book Antiqua" w:hAnsi="Book Antiqua"/>
          <w:color w:val="000000" w:themeColor="text1"/>
          <w:sz w:val="24"/>
          <w:szCs w:val="24"/>
        </w:rPr>
        <w:t xml:space="preserve"> demonstrated recently that changes in copy number alterations occurred in early passages of PDX tumors compared with </w:t>
      </w:r>
      <w:r w:rsidR="00353875" w:rsidRPr="000749B2">
        <w:rPr>
          <w:rFonts w:ascii="Book Antiqua" w:hAnsi="Book Antiqua"/>
          <w:color w:val="000000" w:themeColor="text1"/>
          <w:sz w:val="24"/>
          <w:szCs w:val="24"/>
        </w:rPr>
        <w:t xml:space="preserve">both </w:t>
      </w:r>
      <w:r w:rsidRPr="000749B2">
        <w:rPr>
          <w:rFonts w:ascii="Book Antiqua" w:hAnsi="Book Antiqua"/>
          <w:color w:val="000000" w:themeColor="text1"/>
          <w:sz w:val="24"/>
          <w:szCs w:val="24"/>
        </w:rPr>
        <w:t>the P0 PDX and the donor tumor</w:t>
      </w:r>
      <w:r w:rsidR="00E833D8"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A common criticism in heterotopic mouse models is related to the absence of tumor-stroma interaction or </w:t>
      </w:r>
      <w:r w:rsidR="00353875" w:rsidRPr="000749B2">
        <w:rPr>
          <w:rFonts w:ascii="Book Antiqua" w:hAnsi="Book Antiqua"/>
          <w:color w:val="000000" w:themeColor="text1"/>
          <w:sz w:val="24"/>
          <w:szCs w:val="24"/>
        </w:rPr>
        <w:t xml:space="preserve">the </w:t>
      </w:r>
      <w:r w:rsidRPr="000749B2">
        <w:rPr>
          <w:rFonts w:ascii="Book Antiqua" w:hAnsi="Book Antiqua"/>
          <w:color w:val="000000" w:themeColor="text1"/>
          <w:sz w:val="24"/>
          <w:szCs w:val="24"/>
        </w:rPr>
        <w:t>“tumor microenvironment</w:t>
      </w:r>
      <w:proofErr w:type="gramStart"/>
      <w:r w:rsidRPr="000749B2">
        <w:rPr>
          <w:rFonts w:ascii="Book Antiqua" w:hAnsi="Book Antiqua"/>
          <w:color w:val="000000" w:themeColor="text1"/>
          <w:sz w:val="24"/>
          <w:szCs w:val="24"/>
        </w:rPr>
        <w: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259]</w:t>
      </w:r>
      <w:r w:rsidR="00E833D8"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While this </w:t>
      </w:r>
      <w:r w:rsidR="005473F4" w:rsidRPr="000749B2">
        <w:rPr>
          <w:rFonts w:ascii="Book Antiqua" w:hAnsi="Book Antiqua"/>
          <w:color w:val="000000" w:themeColor="text1"/>
          <w:sz w:val="24"/>
          <w:szCs w:val="24"/>
        </w:rPr>
        <w:t xml:space="preserve">is </w:t>
      </w:r>
      <w:r w:rsidRPr="000749B2">
        <w:rPr>
          <w:rFonts w:ascii="Book Antiqua" w:hAnsi="Book Antiqua"/>
          <w:color w:val="000000" w:themeColor="text1"/>
          <w:sz w:val="24"/>
          <w:szCs w:val="24"/>
        </w:rPr>
        <w:t xml:space="preserve">true for immune cells, the stromal component remains intact in </w:t>
      </w:r>
      <w:proofErr w:type="gramStart"/>
      <w:r w:rsidRPr="000749B2">
        <w:rPr>
          <w:rFonts w:ascii="Book Antiqua" w:hAnsi="Book Antiqua"/>
          <w:color w:val="000000" w:themeColor="text1"/>
          <w:sz w:val="24"/>
          <w:szCs w:val="24"/>
        </w:rPr>
        <w:t>PDX</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255]</w:t>
      </w:r>
      <w:r w:rsidR="00E833D8"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Although the human stromal compounds (fibroblasts, blood vessels </w:t>
      </w:r>
      <w:r w:rsidRPr="000749B2">
        <w:rPr>
          <w:rFonts w:ascii="Book Antiqua" w:hAnsi="Book Antiqua"/>
          <w:i/>
          <w:iCs/>
          <w:color w:val="000000" w:themeColor="text1"/>
          <w:sz w:val="24"/>
          <w:szCs w:val="24"/>
        </w:rPr>
        <w:t>etc</w:t>
      </w:r>
      <w:r w:rsidRPr="000749B2">
        <w:rPr>
          <w:rFonts w:ascii="Book Antiqua" w:hAnsi="Book Antiqua"/>
          <w:color w:val="000000" w:themeColor="text1"/>
          <w:sz w:val="24"/>
          <w:szCs w:val="24"/>
        </w:rPr>
        <w:t>.) are</w:t>
      </w:r>
      <w:r w:rsidR="00F70C6F" w:rsidRPr="000749B2">
        <w:rPr>
          <w:rFonts w:ascii="Book Antiqua" w:hAnsi="Book Antiqua"/>
          <w:color w:val="000000" w:themeColor="text1"/>
          <w:sz w:val="24"/>
          <w:szCs w:val="24"/>
        </w:rPr>
        <w:t xml:space="preserve"> quickly and</w:t>
      </w:r>
      <w:r w:rsidRPr="000749B2">
        <w:rPr>
          <w:rFonts w:ascii="Book Antiqua" w:hAnsi="Book Antiqua"/>
          <w:color w:val="000000" w:themeColor="text1"/>
          <w:sz w:val="24"/>
          <w:szCs w:val="24"/>
        </w:rPr>
        <w:t xml:space="preserve"> steadily replaced by their murine counterparts, the overall architecture of the tumor remains unaffected</w:t>
      </w:r>
      <w:r w:rsidR="004860FC" w:rsidRPr="000749B2">
        <w:rPr>
          <w:rFonts w:ascii="Book Antiqua" w:hAnsi="Book Antiqua"/>
          <w:color w:val="000000" w:themeColor="text1"/>
          <w:sz w:val="24"/>
          <w:szCs w:val="24"/>
        </w:rPr>
        <w:t xml:space="preserve"> in the majority of </w:t>
      </w:r>
      <w:proofErr w:type="gramStart"/>
      <w:r w:rsidR="004860FC" w:rsidRPr="000749B2">
        <w:rPr>
          <w:rFonts w:ascii="Book Antiqua" w:hAnsi="Book Antiqua"/>
          <w:color w:val="000000" w:themeColor="text1"/>
          <w:sz w:val="24"/>
          <w:szCs w:val="24"/>
        </w:rPr>
        <w:t>cases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260,261]</w:t>
      </w:r>
      <w:r w:rsidRPr="000749B2">
        <w:rPr>
          <w:rFonts w:ascii="Book Antiqua" w:hAnsi="Book Antiqua"/>
          <w:color w:val="000000" w:themeColor="text1"/>
          <w:sz w:val="24"/>
          <w:szCs w:val="24"/>
        </w:rPr>
        <w:t>. Moreover, these mur</w:t>
      </w:r>
      <w:r w:rsidR="008E29A4" w:rsidRPr="000749B2">
        <w:rPr>
          <w:rFonts w:ascii="Book Antiqua" w:hAnsi="Book Antiqua"/>
          <w:color w:val="000000" w:themeColor="text1"/>
          <w:sz w:val="24"/>
          <w:szCs w:val="24"/>
        </w:rPr>
        <w:t>i</w:t>
      </w:r>
      <w:r w:rsidRPr="000749B2">
        <w:rPr>
          <w:rFonts w:ascii="Book Antiqua" w:hAnsi="Book Antiqua"/>
          <w:color w:val="000000" w:themeColor="text1"/>
          <w:sz w:val="24"/>
          <w:szCs w:val="24"/>
        </w:rPr>
        <w:t xml:space="preserve">ne stroma cells adopt and maintain a human-like metabolic </w:t>
      </w:r>
      <w:proofErr w:type="gramStart"/>
      <w:r w:rsidRPr="000749B2">
        <w:rPr>
          <w:rFonts w:ascii="Book Antiqua" w:hAnsi="Book Antiqua"/>
          <w:color w:val="000000" w:themeColor="text1"/>
          <w:sz w:val="24"/>
          <w:szCs w:val="24"/>
        </w:rPr>
        <w:t>phenotype</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262]</w:t>
      </w:r>
      <w:r w:rsidR="00E833D8"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These features indicate that PDX are </w:t>
      </w:r>
      <w:r w:rsidR="00353875" w:rsidRPr="000749B2">
        <w:rPr>
          <w:rFonts w:ascii="Book Antiqua" w:hAnsi="Book Antiqua"/>
          <w:color w:val="000000" w:themeColor="text1"/>
          <w:sz w:val="24"/>
          <w:szCs w:val="24"/>
        </w:rPr>
        <w:t xml:space="preserve">indeed good and </w:t>
      </w:r>
      <w:r w:rsidRPr="000749B2">
        <w:rPr>
          <w:rFonts w:ascii="Book Antiqua" w:hAnsi="Book Antiqua"/>
          <w:color w:val="000000" w:themeColor="text1"/>
          <w:sz w:val="24"/>
          <w:szCs w:val="24"/>
        </w:rPr>
        <w:t>valuable model</w:t>
      </w:r>
      <w:r w:rsidR="00353875" w:rsidRPr="000749B2">
        <w:rPr>
          <w:rFonts w:ascii="Book Antiqua" w:hAnsi="Book Antiqua"/>
          <w:color w:val="000000" w:themeColor="text1"/>
          <w:sz w:val="24"/>
          <w:szCs w:val="24"/>
        </w:rPr>
        <w:t>s</w:t>
      </w:r>
      <w:r w:rsidRPr="000749B2">
        <w:rPr>
          <w:rFonts w:ascii="Book Antiqua" w:hAnsi="Book Antiqua"/>
          <w:color w:val="000000" w:themeColor="text1"/>
          <w:sz w:val="24"/>
          <w:szCs w:val="24"/>
        </w:rPr>
        <w:t xml:space="preserve"> for preclinical testing of conventional and novel anticancer agents in the era of personalized cancer </w:t>
      </w:r>
      <w:proofErr w:type="gramStart"/>
      <w:r w:rsidRPr="000749B2">
        <w:rPr>
          <w:rFonts w:ascii="Book Antiqua" w:hAnsi="Book Antiqua"/>
          <w:color w:val="000000" w:themeColor="text1"/>
          <w:sz w:val="24"/>
          <w:szCs w:val="24"/>
        </w:rPr>
        <w:t>therapy</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263,264]</w:t>
      </w:r>
      <w:r w:rsidR="00E833D8"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A proof of concept study with advanced refractory cancers demonstrated that drug response</w:t>
      </w:r>
      <w:r w:rsidR="008E29A4" w:rsidRPr="000749B2">
        <w:rPr>
          <w:rFonts w:ascii="Book Antiqua" w:hAnsi="Book Antiqua"/>
          <w:color w:val="000000" w:themeColor="text1"/>
          <w:sz w:val="24"/>
          <w:szCs w:val="24"/>
        </w:rPr>
        <w:t>s measured</w:t>
      </w:r>
      <w:r w:rsidRPr="000749B2">
        <w:rPr>
          <w:rFonts w:ascii="Book Antiqua" w:hAnsi="Book Antiqua"/>
          <w:color w:val="000000" w:themeColor="text1"/>
          <w:sz w:val="24"/>
          <w:szCs w:val="24"/>
        </w:rPr>
        <w:t xml:space="preserve"> in a PDX model, can be used for successful clinical decision </w:t>
      </w:r>
      <w:proofErr w:type="gramStart"/>
      <w:r w:rsidRPr="000749B2">
        <w:rPr>
          <w:rFonts w:ascii="Book Antiqua" w:hAnsi="Book Antiqua"/>
          <w:color w:val="000000" w:themeColor="text1"/>
          <w:sz w:val="24"/>
          <w:szCs w:val="24"/>
        </w:rPr>
        <w:t>making</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265]</w:t>
      </w:r>
      <w:r w:rsidR="00E833D8"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A PDX model of CRC metastases closely resembled the efficacy of cetuximab and identified dru</w:t>
      </w:r>
      <w:r w:rsidR="00353875" w:rsidRPr="000749B2">
        <w:rPr>
          <w:rFonts w:ascii="Book Antiqua" w:hAnsi="Book Antiqua"/>
          <w:color w:val="000000" w:themeColor="text1"/>
          <w:sz w:val="24"/>
          <w:szCs w:val="24"/>
        </w:rPr>
        <w:t>g</w:t>
      </w:r>
      <w:r w:rsidRPr="000749B2">
        <w:rPr>
          <w:rFonts w:ascii="Book Antiqua" w:hAnsi="Book Antiqua"/>
          <w:color w:val="000000" w:themeColor="text1"/>
          <w:sz w:val="24"/>
          <w:szCs w:val="24"/>
        </w:rPr>
        <w:t xml:space="preserve">gable targets in resistant </w:t>
      </w:r>
      <w:proofErr w:type="gramStart"/>
      <w:r w:rsidRPr="000749B2">
        <w:rPr>
          <w:rFonts w:ascii="Book Antiqua" w:hAnsi="Book Antiqua"/>
          <w:color w:val="000000" w:themeColor="text1"/>
          <w:sz w:val="24"/>
          <w:szCs w:val="24"/>
        </w:rPr>
        <w:t>tumors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266]</w:t>
      </w:r>
      <w:r w:rsidR="00E908E7"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Moreover, a PDX clinical trial approach (one animal </w:t>
      </w:r>
      <w:r w:rsidRPr="000749B2">
        <w:rPr>
          <w:rFonts w:ascii="Book Antiqua" w:hAnsi="Book Antiqua"/>
          <w:color w:val="000000" w:themeColor="text1"/>
          <w:sz w:val="24"/>
          <w:szCs w:val="24"/>
        </w:rPr>
        <w:lastRenderedPageBreak/>
        <w:t xml:space="preserve">per model per treatment) reflects well the heterogeneity of the patient population and allows testing </w:t>
      </w:r>
      <w:r w:rsidR="00353875" w:rsidRPr="000749B2">
        <w:rPr>
          <w:rFonts w:ascii="Book Antiqua" w:hAnsi="Book Antiqua"/>
          <w:color w:val="000000" w:themeColor="text1"/>
          <w:sz w:val="24"/>
          <w:szCs w:val="24"/>
        </w:rPr>
        <w:t xml:space="preserve">of </w:t>
      </w:r>
      <w:r w:rsidRPr="000749B2">
        <w:rPr>
          <w:rFonts w:ascii="Book Antiqua" w:hAnsi="Book Antiqua"/>
          <w:color w:val="000000" w:themeColor="text1"/>
          <w:sz w:val="24"/>
          <w:szCs w:val="24"/>
        </w:rPr>
        <w:t xml:space="preserve">new drugs and </w:t>
      </w:r>
      <w:r w:rsidR="008E29A4" w:rsidRPr="000749B2">
        <w:rPr>
          <w:rFonts w:ascii="Book Antiqua" w:hAnsi="Book Antiqua"/>
          <w:color w:val="000000" w:themeColor="text1"/>
          <w:sz w:val="24"/>
          <w:szCs w:val="24"/>
        </w:rPr>
        <w:t xml:space="preserve">combinatorial </w:t>
      </w:r>
      <w:proofErr w:type="gramStart"/>
      <w:r w:rsidR="008E29A4" w:rsidRPr="000749B2">
        <w:rPr>
          <w:rFonts w:ascii="Book Antiqua" w:hAnsi="Book Antiqua"/>
          <w:color w:val="000000" w:themeColor="text1"/>
          <w:sz w:val="24"/>
          <w:szCs w:val="24"/>
        </w:rPr>
        <w:t>regimen</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267]</w:t>
      </w:r>
      <w:r w:rsidR="00E908E7"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A large study with over 1000 PDX models confirmed the consistency between clinical and </w:t>
      </w:r>
      <w:r w:rsidR="00966D45" w:rsidRPr="000749B2">
        <w:rPr>
          <w:rFonts w:ascii="Book Antiqua" w:hAnsi="Book Antiqua"/>
          <w:color w:val="000000" w:themeColor="text1"/>
          <w:sz w:val="24"/>
          <w:szCs w:val="24"/>
        </w:rPr>
        <w:t xml:space="preserve">PDX clinical trial </w:t>
      </w:r>
      <w:r w:rsidRPr="000749B2">
        <w:rPr>
          <w:rFonts w:ascii="Book Antiqua" w:hAnsi="Book Antiqua"/>
          <w:color w:val="000000" w:themeColor="text1"/>
          <w:sz w:val="24"/>
          <w:szCs w:val="24"/>
        </w:rPr>
        <w:t xml:space="preserve">drug </w:t>
      </w:r>
      <w:proofErr w:type="gramStart"/>
      <w:r w:rsidRPr="000749B2">
        <w:rPr>
          <w:rFonts w:ascii="Book Antiqua" w:hAnsi="Book Antiqua"/>
          <w:color w:val="000000" w:themeColor="text1"/>
          <w:sz w:val="24"/>
          <w:szCs w:val="24"/>
        </w:rPr>
        <w:t>response</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268]</w:t>
      </w:r>
      <w:r w:rsidRPr="000749B2">
        <w:rPr>
          <w:rFonts w:ascii="Book Antiqua" w:hAnsi="Book Antiqua"/>
          <w:color w:val="000000" w:themeColor="text1"/>
          <w:sz w:val="24"/>
          <w:szCs w:val="24"/>
        </w:rPr>
        <w:t xml:space="preserve">. The ultimate goal of precision medicine would comprise of the profound genetic and functional characterization of a given tumor to identify relevant drug targets and subsequent validation of potential therapies with aid of a PDX bearing “avatar” mouse to provide the most efficient treatment for the individual </w:t>
      </w:r>
      <w:proofErr w:type="gramStart"/>
      <w:r w:rsidRPr="000749B2">
        <w:rPr>
          <w:rFonts w:ascii="Book Antiqua" w:hAnsi="Book Antiqua"/>
          <w:color w:val="000000" w:themeColor="text1"/>
          <w:sz w:val="24"/>
          <w:szCs w:val="24"/>
        </w:rPr>
        <w:t>patient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264,269]</w:t>
      </w:r>
      <w:r w:rsidRPr="000749B2">
        <w:rPr>
          <w:rFonts w:ascii="Book Antiqua" w:hAnsi="Book Antiqua"/>
          <w:color w:val="000000" w:themeColor="text1"/>
          <w:sz w:val="24"/>
          <w:szCs w:val="24"/>
        </w:rPr>
        <w:t>. Currently</w:t>
      </w:r>
      <w:r w:rsidR="00A10505"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several clinical trials following this approach for </w:t>
      </w:r>
      <w:proofErr w:type="gramStart"/>
      <w:r w:rsidRPr="000749B2">
        <w:rPr>
          <w:rFonts w:ascii="Book Antiqua" w:hAnsi="Book Antiqua"/>
          <w:color w:val="000000" w:themeColor="text1"/>
          <w:sz w:val="24"/>
          <w:szCs w:val="24"/>
        </w:rPr>
        <w:t>colorectal</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270,271]</w:t>
      </w:r>
      <w:r w:rsidRPr="000749B2">
        <w:rPr>
          <w:rFonts w:ascii="Book Antiqua" w:hAnsi="Book Antiqua"/>
          <w:color w:val="000000" w:themeColor="text1"/>
          <w:sz w:val="24"/>
          <w:szCs w:val="24"/>
        </w:rPr>
        <w:t xml:space="preserve"> and pancreatic cancer are</w:t>
      </w:r>
      <w:r w:rsidR="0035387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recruiting</w:t>
      </w:r>
      <w:r w:rsidR="00C42D1B" w:rsidRPr="000749B2">
        <w:rPr>
          <w:rFonts w:ascii="Book Antiqua" w:hAnsi="Book Antiqua"/>
          <w:color w:val="000000" w:themeColor="text1"/>
          <w:sz w:val="24"/>
          <w:szCs w:val="24"/>
          <w:vertAlign w:val="superscript"/>
        </w:rPr>
        <w:t>[272]</w:t>
      </w:r>
      <w:r w:rsidRPr="000749B2">
        <w:rPr>
          <w:rFonts w:ascii="Book Antiqua" w:hAnsi="Book Antiqua"/>
          <w:color w:val="000000" w:themeColor="text1"/>
          <w:sz w:val="24"/>
          <w:szCs w:val="24"/>
        </w:rPr>
        <w:t xml:space="preserve">. Yet, a median duration of 12.2 mo </w:t>
      </w:r>
      <w:r w:rsidR="00353875" w:rsidRPr="000749B2">
        <w:rPr>
          <w:rFonts w:ascii="Book Antiqua" w:hAnsi="Book Antiqua"/>
          <w:color w:val="000000" w:themeColor="text1"/>
          <w:sz w:val="24"/>
          <w:szCs w:val="24"/>
        </w:rPr>
        <w:t>un</w:t>
      </w:r>
      <w:r w:rsidRPr="000749B2">
        <w:rPr>
          <w:rFonts w:ascii="Book Antiqua" w:hAnsi="Book Antiqua"/>
          <w:color w:val="000000" w:themeColor="text1"/>
          <w:sz w:val="24"/>
          <w:szCs w:val="24"/>
        </w:rPr>
        <w:t xml:space="preserve">til PDX model </w:t>
      </w:r>
      <w:proofErr w:type="gramStart"/>
      <w:r w:rsidRPr="000749B2">
        <w:rPr>
          <w:rFonts w:ascii="Book Antiqua" w:hAnsi="Book Antiqua"/>
          <w:color w:val="000000" w:themeColor="text1"/>
          <w:sz w:val="24"/>
          <w:szCs w:val="24"/>
        </w:rPr>
        <w:t>establishment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237]</w:t>
      </w:r>
      <w:r w:rsidR="009A5B6A"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remains an unsolved issue </w:t>
      </w:r>
      <w:r w:rsidR="004860FC" w:rsidRPr="000749B2">
        <w:rPr>
          <w:rFonts w:ascii="Book Antiqua" w:hAnsi="Book Antiqua"/>
          <w:color w:val="000000" w:themeColor="text1"/>
          <w:sz w:val="24"/>
          <w:szCs w:val="24"/>
        </w:rPr>
        <w:t>for</w:t>
      </w:r>
      <w:r w:rsidRPr="000749B2">
        <w:rPr>
          <w:rFonts w:ascii="Book Antiqua" w:hAnsi="Book Antiqua"/>
          <w:color w:val="000000" w:themeColor="text1"/>
          <w:sz w:val="24"/>
          <w:szCs w:val="24"/>
        </w:rPr>
        <w:t xml:space="preserve"> patients urgently </w:t>
      </w:r>
      <w:r w:rsidR="00353875" w:rsidRPr="000749B2">
        <w:rPr>
          <w:rFonts w:ascii="Book Antiqua" w:hAnsi="Book Antiqua"/>
          <w:color w:val="000000" w:themeColor="text1"/>
          <w:sz w:val="24"/>
          <w:szCs w:val="24"/>
        </w:rPr>
        <w:t xml:space="preserve">in </w:t>
      </w:r>
      <w:r w:rsidRPr="000749B2">
        <w:rPr>
          <w:rFonts w:ascii="Book Antiqua" w:hAnsi="Book Antiqua"/>
          <w:color w:val="000000" w:themeColor="text1"/>
          <w:sz w:val="24"/>
          <w:szCs w:val="24"/>
        </w:rPr>
        <w:t>need</w:t>
      </w:r>
      <w:r w:rsidR="00353875" w:rsidRPr="000749B2">
        <w:rPr>
          <w:rFonts w:ascii="Book Antiqua" w:hAnsi="Book Antiqua"/>
          <w:color w:val="000000" w:themeColor="text1"/>
          <w:sz w:val="24"/>
          <w:szCs w:val="24"/>
        </w:rPr>
        <w:t xml:space="preserve"> for</w:t>
      </w:r>
      <w:r w:rsidRPr="000749B2">
        <w:rPr>
          <w:rFonts w:ascii="Book Antiqua" w:hAnsi="Book Antiqua"/>
          <w:color w:val="000000" w:themeColor="text1"/>
          <w:sz w:val="24"/>
          <w:szCs w:val="24"/>
        </w:rPr>
        <w:t xml:space="preserve"> treatment. When it comes to drug testing</w:t>
      </w:r>
      <w:r w:rsidR="00A10505"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it should be considered, that immunotherapy approaches can only be restrictedly evaluated in immunodeficient host mice. A further disadvantage of PDX models is a potential selection </w:t>
      </w:r>
      <w:r w:rsidR="00A10505" w:rsidRPr="000749B2">
        <w:rPr>
          <w:rFonts w:ascii="Book Antiqua" w:hAnsi="Book Antiqua"/>
          <w:color w:val="000000" w:themeColor="text1"/>
          <w:sz w:val="24"/>
          <w:szCs w:val="24"/>
        </w:rPr>
        <w:t>for</w:t>
      </w:r>
      <w:r w:rsidR="0035387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more aggressive tumors. The data concerning the association between successful PDX engraftment and clinical or molecular features is in part conflicting. While we and others could not find </w:t>
      </w:r>
      <w:r w:rsidR="00A10505" w:rsidRPr="000749B2">
        <w:rPr>
          <w:rFonts w:ascii="Book Antiqua" w:hAnsi="Book Antiqua"/>
          <w:color w:val="000000" w:themeColor="text1"/>
          <w:sz w:val="24"/>
          <w:szCs w:val="24"/>
        </w:rPr>
        <w:t>significant</w:t>
      </w:r>
      <w:r w:rsidRPr="000749B2">
        <w:rPr>
          <w:rFonts w:ascii="Book Antiqua" w:hAnsi="Book Antiqua"/>
          <w:color w:val="000000" w:themeColor="text1"/>
          <w:sz w:val="24"/>
          <w:szCs w:val="24"/>
        </w:rPr>
        <w:t xml:space="preserve"> associations between tumor grading and PDX </w:t>
      </w:r>
      <w:proofErr w:type="gramStart"/>
      <w:r w:rsidRPr="000749B2">
        <w:rPr>
          <w:rFonts w:ascii="Book Antiqua" w:hAnsi="Book Antiqua"/>
          <w:color w:val="000000" w:themeColor="text1"/>
          <w:sz w:val="24"/>
          <w:szCs w:val="24"/>
        </w:rPr>
        <w:t>engraftment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237,252]</w:t>
      </w:r>
      <w:r w:rsidR="009A5B6A"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a Korean study observed significant correlations with tumor stag</w:t>
      </w:r>
      <w:r w:rsidR="00A10505" w:rsidRPr="000749B2">
        <w:rPr>
          <w:rFonts w:ascii="Book Antiqua" w:hAnsi="Book Antiqua"/>
          <w:color w:val="000000" w:themeColor="text1"/>
          <w:sz w:val="24"/>
          <w:szCs w:val="24"/>
        </w:rPr>
        <w:t>ing</w:t>
      </w:r>
      <w:r w:rsidRPr="000749B2">
        <w:rPr>
          <w:rFonts w:ascii="Book Antiqua" w:hAnsi="Book Antiqua"/>
          <w:color w:val="000000" w:themeColor="text1"/>
          <w:sz w:val="24"/>
          <w:szCs w:val="24"/>
        </w:rPr>
        <w:t xml:space="preserve"> and grading</w:t>
      </w:r>
      <w:r w:rsidR="00C42D1B" w:rsidRPr="000749B2">
        <w:rPr>
          <w:rFonts w:ascii="Book Antiqua" w:hAnsi="Book Antiqua"/>
          <w:color w:val="000000" w:themeColor="text1"/>
          <w:sz w:val="24"/>
          <w:szCs w:val="24"/>
          <w:vertAlign w:val="superscript"/>
        </w:rPr>
        <w:t>[273]</w:t>
      </w:r>
      <w:r w:rsidRPr="000749B2">
        <w:rPr>
          <w:rFonts w:ascii="Book Antiqua" w:hAnsi="Book Antiqua"/>
          <w:color w:val="000000" w:themeColor="text1"/>
          <w:sz w:val="24"/>
          <w:szCs w:val="24"/>
        </w:rPr>
        <w:t xml:space="preserve">. A smaller study with a high PDX establishment rate found a significant correlation of PDX success with positive nodal status and </w:t>
      </w:r>
      <w:proofErr w:type="gramStart"/>
      <w:r w:rsidRPr="000749B2">
        <w:rPr>
          <w:rFonts w:ascii="Book Antiqua" w:hAnsi="Book Antiqua"/>
          <w:color w:val="000000" w:themeColor="text1"/>
          <w:sz w:val="24"/>
          <w:szCs w:val="24"/>
        </w:rPr>
        <w:t>grading</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274]</w:t>
      </w:r>
      <w:r w:rsidRPr="000749B2">
        <w:rPr>
          <w:rFonts w:ascii="Book Antiqua" w:hAnsi="Book Antiqua"/>
          <w:color w:val="000000" w:themeColor="text1"/>
          <w:sz w:val="24"/>
          <w:szCs w:val="24"/>
        </w:rPr>
        <w:t xml:space="preserve">, while Julien </w:t>
      </w:r>
      <w:r w:rsidRPr="000749B2">
        <w:rPr>
          <w:rFonts w:ascii="Book Antiqua" w:hAnsi="Book Antiqua"/>
          <w:i/>
          <w:iCs/>
          <w:color w:val="000000" w:themeColor="text1"/>
          <w:sz w:val="24"/>
          <w:szCs w:val="24"/>
        </w:rPr>
        <w:t>et al</w:t>
      </w:r>
      <w:r w:rsidR="00C42D1B" w:rsidRPr="000749B2">
        <w:rPr>
          <w:rFonts w:ascii="Book Antiqua" w:hAnsi="Book Antiqua"/>
          <w:color w:val="000000" w:themeColor="text1"/>
          <w:sz w:val="24"/>
          <w:szCs w:val="24"/>
          <w:vertAlign w:val="superscript"/>
        </w:rPr>
        <w:t>[275]</w:t>
      </w:r>
      <w:r w:rsidRPr="000749B2">
        <w:rPr>
          <w:rFonts w:ascii="Book Antiqua" w:hAnsi="Book Antiqua"/>
          <w:color w:val="000000" w:themeColor="text1"/>
          <w:sz w:val="24"/>
          <w:szCs w:val="24"/>
        </w:rPr>
        <w:t xml:space="preserve"> only found significances for the combination of a positive nodal status with an elevated </w:t>
      </w:r>
      <w:r w:rsidR="00966D45" w:rsidRPr="000749B2">
        <w:rPr>
          <w:rFonts w:ascii="Book Antiqua" w:hAnsi="Book Antiqua"/>
          <w:color w:val="000000" w:themeColor="text1"/>
          <w:sz w:val="24"/>
          <w:szCs w:val="24"/>
        </w:rPr>
        <w:t xml:space="preserve">carcinoembryonic antigen </w:t>
      </w:r>
      <w:r w:rsidRPr="000749B2">
        <w:rPr>
          <w:rFonts w:ascii="Book Antiqua" w:hAnsi="Book Antiqua"/>
          <w:color w:val="000000" w:themeColor="text1"/>
          <w:sz w:val="24"/>
          <w:szCs w:val="24"/>
        </w:rPr>
        <w:t>level</w:t>
      </w:r>
      <w:r w:rsidR="009A5B6A" w:rsidRPr="000749B2">
        <w:rPr>
          <w:rFonts w:ascii="Book Antiqua" w:hAnsi="Book Antiqua"/>
          <w:color w:val="000000" w:themeColor="text1"/>
          <w:sz w:val="24"/>
          <w:szCs w:val="24"/>
        </w:rPr>
        <w:t xml:space="preserve">. </w:t>
      </w:r>
      <w:r w:rsidR="00A10505" w:rsidRPr="000749B2">
        <w:rPr>
          <w:rFonts w:ascii="Book Antiqua" w:hAnsi="Book Antiqua"/>
          <w:color w:val="000000" w:themeColor="text1"/>
          <w:sz w:val="24"/>
          <w:szCs w:val="24"/>
        </w:rPr>
        <w:t>Moreover, we observed</w:t>
      </w:r>
      <w:r w:rsidRPr="000749B2">
        <w:rPr>
          <w:rFonts w:ascii="Book Antiqua" w:hAnsi="Book Antiqua"/>
          <w:color w:val="000000" w:themeColor="text1"/>
          <w:sz w:val="24"/>
          <w:szCs w:val="24"/>
        </w:rPr>
        <w:t xml:space="preserve"> a significant correlation between PDX engraftment and</w:t>
      </w:r>
      <w:r w:rsidR="001F207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molecular features like </w:t>
      </w:r>
      <w:r w:rsidR="0023320D" w:rsidRPr="000749B2">
        <w:rPr>
          <w:rFonts w:ascii="Book Antiqua" w:hAnsi="Book Antiqua"/>
          <w:i/>
          <w:iCs/>
          <w:color w:val="000000" w:themeColor="text1"/>
          <w:sz w:val="24"/>
          <w:szCs w:val="24"/>
        </w:rPr>
        <w:t>KRAS</w:t>
      </w:r>
      <w:r w:rsidRPr="000749B2">
        <w:rPr>
          <w:rFonts w:ascii="Book Antiqua" w:hAnsi="Book Antiqua"/>
          <w:color w:val="000000" w:themeColor="text1"/>
          <w:sz w:val="24"/>
          <w:szCs w:val="24"/>
        </w:rPr>
        <w:t xml:space="preserve"> and </w:t>
      </w:r>
      <w:r w:rsidRPr="000749B2">
        <w:rPr>
          <w:rFonts w:ascii="Book Antiqua" w:hAnsi="Book Antiqua"/>
          <w:i/>
          <w:iCs/>
          <w:color w:val="000000" w:themeColor="text1"/>
          <w:sz w:val="24"/>
          <w:szCs w:val="24"/>
        </w:rPr>
        <w:t>B</w:t>
      </w:r>
      <w:r w:rsidR="0023320D" w:rsidRPr="000749B2">
        <w:rPr>
          <w:rFonts w:ascii="Book Antiqua" w:hAnsi="Book Antiqua"/>
          <w:i/>
          <w:iCs/>
          <w:color w:val="000000" w:themeColor="text1"/>
          <w:sz w:val="24"/>
          <w:szCs w:val="24"/>
        </w:rPr>
        <w:t>RAF</w:t>
      </w:r>
      <w:r w:rsidRPr="000749B2">
        <w:rPr>
          <w:rFonts w:ascii="Book Antiqua" w:hAnsi="Book Antiqua"/>
          <w:color w:val="000000" w:themeColor="text1"/>
          <w:sz w:val="24"/>
          <w:szCs w:val="24"/>
        </w:rPr>
        <w:t xml:space="preserve"> mutations as well as </w:t>
      </w:r>
      <w:proofErr w:type="gramStart"/>
      <w:r w:rsidRPr="000749B2">
        <w:rPr>
          <w:rFonts w:ascii="Book Antiqua" w:hAnsi="Book Antiqua"/>
          <w:color w:val="000000" w:themeColor="text1"/>
          <w:sz w:val="24"/>
          <w:szCs w:val="24"/>
        </w:rPr>
        <w:t>MSI</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252]</w:t>
      </w:r>
      <w:r w:rsidR="009A5B6A"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Apart from the tumor biology, choice of the host mouse strain, repeated attempts of engraftment, quantity and quality of the resected tissue as well as previous treatment of the patient are </w:t>
      </w:r>
      <w:r w:rsidR="00A10505" w:rsidRPr="000749B2">
        <w:rPr>
          <w:rFonts w:ascii="Book Antiqua" w:hAnsi="Book Antiqua"/>
          <w:color w:val="000000" w:themeColor="text1"/>
          <w:sz w:val="24"/>
          <w:szCs w:val="24"/>
        </w:rPr>
        <w:t>additional</w:t>
      </w:r>
      <w:r w:rsidRPr="000749B2">
        <w:rPr>
          <w:rFonts w:ascii="Book Antiqua" w:hAnsi="Book Antiqua"/>
          <w:color w:val="000000" w:themeColor="text1"/>
          <w:sz w:val="24"/>
          <w:szCs w:val="24"/>
        </w:rPr>
        <w:t xml:space="preserve"> factors influencing the success of model establishment. Collins </w:t>
      </w:r>
      <w:r w:rsidR="00966D45" w:rsidRPr="000749B2">
        <w:rPr>
          <w:rFonts w:ascii="Book Antiqua" w:hAnsi="Book Antiqua"/>
          <w:i/>
          <w:iCs/>
          <w:color w:val="000000" w:themeColor="text1"/>
          <w:sz w:val="24"/>
          <w:szCs w:val="24"/>
        </w:rPr>
        <w:t xml:space="preserve">et </w:t>
      </w:r>
      <w:proofErr w:type="gramStart"/>
      <w:r w:rsidR="00966D45" w:rsidRPr="000749B2">
        <w:rPr>
          <w:rFonts w:ascii="Book Antiqua" w:hAnsi="Book Antiqua"/>
          <w:i/>
          <w:iCs/>
          <w:color w:val="000000" w:themeColor="text1"/>
          <w:sz w:val="24"/>
          <w:szCs w:val="24"/>
        </w:rPr>
        <w:t>al</w:t>
      </w:r>
      <w:r w:rsidR="00966D45" w:rsidRPr="000749B2">
        <w:rPr>
          <w:rFonts w:ascii="Book Antiqua" w:hAnsi="Book Antiqua"/>
          <w:color w:val="000000" w:themeColor="text1"/>
          <w:sz w:val="24"/>
          <w:szCs w:val="24"/>
          <w:vertAlign w:val="superscript"/>
        </w:rPr>
        <w:t>[</w:t>
      </w:r>
      <w:proofErr w:type="gramEnd"/>
      <w:r w:rsidR="00966D45" w:rsidRPr="000749B2">
        <w:rPr>
          <w:rFonts w:ascii="Book Antiqua" w:hAnsi="Book Antiqua"/>
          <w:color w:val="000000" w:themeColor="text1"/>
          <w:sz w:val="24"/>
          <w:szCs w:val="24"/>
          <w:vertAlign w:val="superscript"/>
        </w:rPr>
        <w:t>276]</w:t>
      </w:r>
      <w:r w:rsidRPr="000749B2">
        <w:rPr>
          <w:rFonts w:ascii="Book Antiqua" w:hAnsi="Book Antiqua"/>
          <w:color w:val="000000" w:themeColor="text1"/>
          <w:sz w:val="24"/>
          <w:szCs w:val="24"/>
        </w:rPr>
        <w:t xml:space="preserve"> recently reported PDX engraftment rates varying from 14 to 100% with a </w:t>
      </w:r>
      <w:r w:rsidR="009B69A6" w:rsidRPr="000749B2">
        <w:rPr>
          <w:rFonts w:ascii="Book Antiqua" w:hAnsi="Book Antiqua"/>
          <w:color w:val="000000" w:themeColor="text1"/>
          <w:sz w:val="24"/>
          <w:szCs w:val="24"/>
        </w:rPr>
        <w:t xml:space="preserve">median </w:t>
      </w:r>
      <w:r w:rsidRPr="000749B2">
        <w:rPr>
          <w:rFonts w:ascii="Book Antiqua" w:hAnsi="Book Antiqua"/>
          <w:color w:val="000000" w:themeColor="text1"/>
          <w:sz w:val="24"/>
          <w:szCs w:val="24"/>
        </w:rPr>
        <w:t>PDX establishment rate of 68% reviewing 14 CRC-PDX studies</w:t>
      </w:r>
      <w:r w:rsidR="009A5B6A"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Compared to establishment rates for primary CRC cell lines of about 10% the PDX is clearly superior</w:t>
      </w:r>
      <w:r w:rsidR="00C42D1B" w:rsidRPr="000749B2">
        <w:rPr>
          <w:rFonts w:ascii="Book Antiqua" w:hAnsi="Book Antiqua"/>
          <w:color w:val="000000" w:themeColor="text1"/>
          <w:sz w:val="24"/>
          <w:szCs w:val="24"/>
          <w:vertAlign w:val="superscript"/>
        </w:rPr>
        <w:t>[252,277]</w:t>
      </w:r>
      <w:r w:rsidR="009A5B6A"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A selection bias relating to cancer biology can be diminished by increasing the number of enrolled patients and molecular characterization of the </w:t>
      </w:r>
      <w:r w:rsidRPr="000749B2">
        <w:rPr>
          <w:rFonts w:ascii="Book Antiqua" w:hAnsi="Book Antiqua"/>
          <w:color w:val="000000" w:themeColor="text1"/>
          <w:sz w:val="24"/>
          <w:szCs w:val="24"/>
        </w:rPr>
        <w:lastRenderedPageBreak/>
        <w:t>individual PDX. In fact, a very recent PDX study found a</w:t>
      </w:r>
      <w:r w:rsidR="009B69A6" w:rsidRPr="000749B2">
        <w:rPr>
          <w:rFonts w:ascii="Book Antiqua" w:hAnsi="Book Antiqua"/>
          <w:color w:val="000000" w:themeColor="text1"/>
          <w:sz w:val="24"/>
          <w:szCs w:val="24"/>
        </w:rPr>
        <w:t>n</w:t>
      </w:r>
      <w:r w:rsidR="007D7A0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underrepresentation of the consensus molecular subtype </w:t>
      </w:r>
      <w:r w:rsidR="0048210D" w:rsidRPr="000749B2">
        <w:rPr>
          <w:rFonts w:ascii="Book Antiqua" w:hAnsi="Book Antiqua"/>
          <w:color w:val="000000" w:themeColor="text1"/>
          <w:sz w:val="24"/>
          <w:szCs w:val="24"/>
        </w:rPr>
        <w:t>number</w:t>
      </w:r>
      <w:r w:rsidRPr="000749B2">
        <w:rPr>
          <w:rFonts w:ascii="Book Antiqua" w:hAnsi="Book Antiqua"/>
          <w:color w:val="000000" w:themeColor="text1"/>
          <w:sz w:val="24"/>
          <w:szCs w:val="24"/>
        </w:rPr>
        <w:t xml:space="preserve"> 2</w:t>
      </w:r>
      <w:r w:rsidR="009B69A6"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due to worse </w:t>
      </w:r>
      <w:proofErr w:type="gramStart"/>
      <w:r w:rsidRPr="000749B2">
        <w:rPr>
          <w:rFonts w:ascii="Book Antiqua" w:hAnsi="Book Antiqua"/>
          <w:color w:val="000000" w:themeColor="text1"/>
          <w:sz w:val="24"/>
          <w:szCs w:val="24"/>
        </w:rPr>
        <w:t>engraftment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278]</w:t>
      </w:r>
      <w:r w:rsidR="009A5B6A"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Another crucial pitfall of the PDX model is the development of EBV-associated lymphomas at the implantation </w:t>
      </w:r>
      <w:r w:rsidR="008B34C5" w:rsidRPr="000749B2">
        <w:rPr>
          <w:rFonts w:ascii="Book Antiqua" w:hAnsi="Book Antiqua"/>
          <w:color w:val="000000" w:themeColor="text1"/>
          <w:sz w:val="24"/>
          <w:szCs w:val="24"/>
        </w:rPr>
        <w:t>site</w:t>
      </w:r>
      <w:r w:rsidRPr="000749B2">
        <w:rPr>
          <w:rFonts w:ascii="Book Antiqua" w:hAnsi="Book Antiqua"/>
          <w:color w:val="000000" w:themeColor="text1"/>
          <w:sz w:val="24"/>
          <w:szCs w:val="24"/>
        </w:rPr>
        <w:t xml:space="preserve">, which can mimic successful </w:t>
      </w:r>
      <w:proofErr w:type="gramStart"/>
      <w:r w:rsidRPr="000749B2">
        <w:rPr>
          <w:rFonts w:ascii="Book Antiqua" w:hAnsi="Book Antiqua"/>
          <w:color w:val="000000" w:themeColor="text1"/>
          <w:sz w:val="24"/>
          <w:szCs w:val="24"/>
        </w:rPr>
        <w:t>engraftment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279]</w:t>
      </w:r>
      <w:r w:rsidRPr="000749B2">
        <w:rPr>
          <w:rFonts w:ascii="Book Antiqua" w:hAnsi="Book Antiqua"/>
          <w:color w:val="000000" w:themeColor="text1"/>
          <w:sz w:val="24"/>
          <w:szCs w:val="24"/>
        </w:rPr>
        <w:t>. Depending on the mouse strain and cancer entity, between 2</w:t>
      </w:r>
      <w:r w:rsidR="00A82A9E"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3% (colorectal) and 75% (prostate cancer) of primary engrafted bona fide xenografts turn out to be human de-novo </w:t>
      </w:r>
      <w:proofErr w:type="gramStart"/>
      <w:r w:rsidRPr="000749B2">
        <w:rPr>
          <w:rFonts w:ascii="Book Antiqua" w:hAnsi="Book Antiqua"/>
          <w:color w:val="000000" w:themeColor="text1"/>
          <w:sz w:val="24"/>
          <w:szCs w:val="24"/>
        </w:rPr>
        <w:t>lymphomas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280-284]</w:t>
      </w:r>
      <w:r w:rsidRPr="000749B2">
        <w:rPr>
          <w:rFonts w:ascii="Book Antiqua" w:hAnsi="Book Antiqua"/>
          <w:color w:val="000000" w:themeColor="text1"/>
          <w:sz w:val="24"/>
          <w:szCs w:val="24"/>
        </w:rPr>
        <w:t>. Since this condition is more frequently reported in NSG and comparable strains,</w:t>
      </w:r>
      <w:r w:rsidR="001F2075" w:rsidRPr="000749B2">
        <w:rPr>
          <w:rFonts w:ascii="Book Antiqua" w:hAnsi="Book Antiqua"/>
          <w:color w:val="000000" w:themeColor="text1"/>
          <w:sz w:val="24"/>
          <w:szCs w:val="24"/>
        </w:rPr>
        <w:t xml:space="preserve"> </w:t>
      </w:r>
      <w:r w:rsidR="009B69A6" w:rsidRPr="000749B2">
        <w:rPr>
          <w:rFonts w:ascii="Book Antiqua" w:hAnsi="Book Antiqua"/>
          <w:color w:val="000000" w:themeColor="text1"/>
          <w:sz w:val="24"/>
          <w:szCs w:val="24"/>
        </w:rPr>
        <w:t>development</w:t>
      </w:r>
      <w:r w:rsidR="001F2075" w:rsidRPr="000749B2">
        <w:rPr>
          <w:rFonts w:ascii="Book Antiqua" w:hAnsi="Book Antiqua"/>
          <w:color w:val="000000" w:themeColor="text1"/>
          <w:sz w:val="24"/>
          <w:szCs w:val="24"/>
        </w:rPr>
        <w:t xml:space="preserve"> </w:t>
      </w:r>
      <w:r w:rsidR="009B69A6" w:rsidRPr="000749B2">
        <w:rPr>
          <w:rFonts w:ascii="Book Antiqua" w:hAnsi="Book Antiqua"/>
          <w:color w:val="000000" w:themeColor="text1"/>
          <w:sz w:val="24"/>
          <w:szCs w:val="24"/>
        </w:rPr>
        <w:t xml:space="preserve">of </w:t>
      </w:r>
      <w:r w:rsidRPr="000749B2">
        <w:rPr>
          <w:rFonts w:ascii="Book Antiqua" w:hAnsi="Book Antiqua"/>
          <w:color w:val="000000" w:themeColor="text1"/>
          <w:sz w:val="24"/>
          <w:szCs w:val="24"/>
        </w:rPr>
        <w:t>de-novo lymphoma in NMRI</w:t>
      </w:r>
      <w:r w:rsidRPr="000749B2">
        <w:rPr>
          <w:rFonts w:ascii="Book Antiqua" w:hAnsi="Book Antiqua"/>
          <w:color w:val="000000" w:themeColor="text1"/>
          <w:sz w:val="24"/>
          <w:szCs w:val="24"/>
          <w:vertAlign w:val="superscript"/>
        </w:rPr>
        <w:t>nu/nu</w:t>
      </w:r>
      <w:r w:rsidRPr="000749B2">
        <w:rPr>
          <w:rFonts w:ascii="Book Antiqua" w:hAnsi="Book Antiqua"/>
          <w:color w:val="000000" w:themeColor="text1"/>
          <w:sz w:val="24"/>
          <w:szCs w:val="24"/>
        </w:rPr>
        <w:t xml:space="preserve"> mice </w:t>
      </w:r>
      <w:r w:rsidR="009B69A6" w:rsidRPr="000749B2">
        <w:rPr>
          <w:rFonts w:ascii="Book Antiqua" w:hAnsi="Book Antiqua"/>
          <w:color w:val="000000" w:themeColor="text1"/>
          <w:sz w:val="24"/>
          <w:szCs w:val="24"/>
        </w:rPr>
        <w:t>might be</w:t>
      </w:r>
      <w:r w:rsidRPr="000749B2">
        <w:rPr>
          <w:rFonts w:ascii="Book Antiqua" w:hAnsi="Book Antiqua"/>
          <w:color w:val="000000" w:themeColor="text1"/>
          <w:sz w:val="24"/>
          <w:szCs w:val="24"/>
        </w:rPr>
        <w:t xml:space="preserve"> hindered by high NK cell </w:t>
      </w:r>
      <w:proofErr w:type="gramStart"/>
      <w:r w:rsidRPr="000749B2">
        <w:rPr>
          <w:rFonts w:ascii="Book Antiqua" w:hAnsi="Book Antiqua"/>
          <w:color w:val="000000" w:themeColor="text1"/>
          <w:sz w:val="24"/>
          <w:szCs w:val="24"/>
        </w:rPr>
        <w:t>activity</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285]</w:t>
      </w:r>
      <w:r w:rsidR="009A5B6A"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Thus, after successful engraftment of a PDX in NSG mice, we conduct the subsequent </w:t>
      </w:r>
      <w:r w:rsidR="007D7A0E" w:rsidRPr="000749B2">
        <w:rPr>
          <w:rFonts w:ascii="Book Antiqua" w:hAnsi="Book Antiqua"/>
          <w:color w:val="000000" w:themeColor="text1"/>
          <w:sz w:val="24"/>
          <w:szCs w:val="24"/>
        </w:rPr>
        <w:t xml:space="preserve">passaging </w:t>
      </w:r>
      <w:r w:rsidRPr="000749B2">
        <w:rPr>
          <w:rFonts w:ascii="Book Antiqua" w:hAnsi="Book Antiqua"/>
          <w:color w:val="000000" w:themeColor="text1"/>
          <w:sz w:val="24"/>
          <w:szCs w:val="24"/>
        </w:rPr>
        <w:t>in NMRI</w:t>
      </w:r>
      <w:r w:rsidRPr="000749B2">
        <w:rPr>
          <w:rFonts w:ascii="Book Antiqua" w:hAnsi="Book Antiqua"/>
          <w:color w:val="000000" w:themeColor="text1"/>
          <w:sz w:val="24"/>
          <w:szCs w:val="24"/>
          <w:vertAlign w:val="superscript"/>
        </w:rPr>
        <w:t>nu</w:t>
      </w:r>
      <w:r w:rsidR="00871F81" w:rsidRPr="000749B2">
        <w:rPr>
          <w:rFonts w:ascii="Book Antiqua" w:hAnsi="Book Antiqua"/>
          <w:color w:val="000000" w:themeColor="text1"/>
          <w:sz w:val="24"/>
          <w:szCs w:val="24"/>
          <w:vertAlign w:val="superscript"/>
        </w:rPr>
        <w:t>/</w:t>
      </w:r>
      <w:r w:rsidRPr="000749B2">
        <w:rPr>
          <w:rFonts w:ascii="Book Antiqua" w:hAnsi="Book Antiqua"/>
          <w:color w:val="000000" w:themeColor="text1"/>
          <w:sz w:val="24"/>
          <w:szCs w:val="24"/>
          <w:vertAlign w:val="superscript"/>
        </w:rPr>
        <w:t xml:space="preserve">nu </w:t>
      </w:r>
      <w:r w:rsidRPr="000749B2">
        <w:rPr>
          <w:rFonts w:ascii="Book Antiqua" w:hAnsi="Book Antiqua"/>
          <w:color w:val="000000" w:themeColor="text1"/>
          <w:sz w:val="24"/>
          <w:szCs w:val="24"/>
        </w:rPr>
        <w:t xml:space="preserve">mice and xenograft histology is frequently evaluated by an experienced pathologist. Interestingly, Butler </w:t>
      </w:r>
      <w:r w:rsidRPr="000749B2">
        <w:rPr>
          <w:rFonts w:ascii="Book Antiqua" w:hAnsi="Book Antiqua"/>
          <w:i/>
          <w:iCs/>
          <w:color w:val="000000" w:themeColor="text1"/>
          <w:sz w:val="24"/>
          <w:szCs w:val="24"/>
        </w:rPr>
        <w:t xml:space="preserve">et </w:t>
      </w:r>
      <w:proofErr w:type="gramStart"/>
      <w:r w:rsidRPr="000749B2">
        <w:rPr>
          <w:rFonts w:ascii="Book Antiqua" w:hAnsi="Book Antiqua"/>
          <w:i/>
          <w:iCs/>
          <w:color w:val="000000" w:themeColor="text1"/>
          <w:sz w:val="24"/>
          <w:szCs w:val="24"/>
        </w:rPr>
        <w:t>al</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286]</w:t>
      </w:r>
      <w:r w:rsidRPr="000749B2">
        <w:rPr>
          <w:rFonts w:ascii="Book Antiqua" w:hAnsi="Book Antiqua"/>
          <w:color w:val="000000" w:themeColor="text1"/>
          <w:sz w:val="24"/>
          <w:szCs w:val="24"/>
        </w:rPr>
        <w:t xml:space="preserve"> significantly reduced the frequency of lymphomas in an ovaria cancer PDX model by a unique dosage of rituximab during implantation</w:t>
      </w:r>
      <w:r w:rsidR="007D7A0E"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Additionally, PDX serve not only in the field of therapy development</w:t>
      </w:r>
      <w:r w:rsidR="004860FC"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they are also a vital tool for the maintenance of a healthy biobank, allowing the establishment of secondary cell lines and supply sufficient tumor samples for the exchange with other work groups</w:t>
      </w:r>
      <w:r w:rsidR="00C42D1B" w:rsidRPr="000749B2">
        <w:rPr>
          <w:rFonts w:ascii="Book Antiqua" w:hAnsi="Book Antiqua"/>
          <w:color w:val="000000" w:themeColor="text1"/>
          <w:sz w:val="24"/>
          <w:szCs w:val="24"/>
          <w:vertAlign w:val="superscript"/>
        </w:rPr>
        <w:t>[252]</w:t>
      </w:r>
      <w:r w:rsidR="009A5B6A" w:rsidRPr="000749B2">
        <w:rPr>
          <w:rFonts w:ascii="Book Antiqua" w:hAnsi="Book Antiqua"/>
          <w:color w:val="000000" w:themeColor="text1"/>
          <w:sz w:val="24"/>
          <w:szCs w:val="24"/>
        </w:rPr>
        <w:t>.</w:t>
      </w:r>
    </w:p>
    <w:p w14:paraId="32B3BC58" w14:textId="4F4355B7" w:rsidR="00CE591C" w:rsidRPr="000749B2" w:rsidRDefault="00CE591C" w:rsidP="000B4309">
      <w:pPr>
        <w:spacing w:after="0"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In summary, w</w:t>
      </w:r>
      <w:r w:rsidR="009B69A6" w:rsidRPr="000749B2">
        <w:rPr>
          <w:rFonts w:ascii="Book Antiqua" w:hAnsi="Book Antiqua"/>
          <w:color w:val="000000" w:themeColor="text1"/>
          <w:sz w:val="24"/>
          <w:szCs w:val="24"/>
        </w:rPr>
        <w:t>e</w:t>
      </w:r>
      <w:r w:rsidRPr="000749B2">
        <w:rPr>
          <w:rFonts w:ascii="Book Antiqua" w:hAnsi="Book Antiqua"/>
          <w:color w:val="000000" w:themeColor="text1"/>
          <w:sz w:val="24"/>
          <w:szCs w:val="24"/>
        </w:rPr>
        <w:t xml:space="preserve"> consider the PDX model as keystone of cancer research</w:t>
      </w:r>
      <w:r w:rsidR="007D7A0E"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holding great potential in the developing field of precision medicine </w:t>
      </w:r>
      <w:r w:rsidR="00A055C6" w:rsidRPr="000749B2">
        <w:rPr>
          <w:rFonts w:ascii="Book Antiqua" w:hAnsi="Book Antiqua"/>
          <w:color w:val="000000" w:themeColor="text1"/>
          <w:sz w:val="24"/>
          <w:szCs w:val="24"/>
        </w:rPr>
        <w:t>for CRC</w:t>
      </w:r>
      <w:r w:rsidRPr="000749B2">
        <w:rPr>
          <w:rFonts w:ascii="Book Antiqua" w:hAnsi="Book Antiqua"/>
          <w:color w:val="000000" w:themeColor="text1"/>
          <w:sz w:val="24"/>
          <w:szCs w:val="24"/>
        </w:rPr>
        <w:t xml:space="preserve">. </w:t>
      </w:r>
    </w:p>
    <w:p w14:paraId="653C2FDC" w14:textId="77777777" w:rsidR="00AE58BD" w:rsidRPr="000749B2" w:rsidRDefault="00AE58BD" w:rsidP="000B4309">
      <w:pPr>
        <w:spacing w:after="0" w:line="360" w:lineRule="auto"/>
        <w:jc w:val="both"/>
        <w:rPr>
          <w:rFonts w:ascii="Book Antiqua" w:hAnsi="Book Antiqua"/>
          <w:color w:val="000000" w:themeColor="text1"/>
          <w:sz w:val="24"/>
          <w:szCs w:val="24"/>
        </w:rPr>
      </w:pPr>
    </w:p>
    <w:p w14:paraId="344D586E" w14:textId="77777777" w:rsidR="00CE591C" w:rsidRPr="000749B2" w:rsidRDefault="00CE591C" w:rsidP="000B4309">
      <w:pPr>
        <w:spacing w:after="0" w:line="360" w:lineRule="auto"/>
        <w:jc w:val="both"/>
        <w:rPr>
          <w:rFonts w:ascii="Book Antiqua" w:hAnsi="Book Antiqua"/>
          <w:b/>
          <w:bCs/>
          <w:i/>
          <w:iCs/>
          <w:color w:val="000000" w:themeColor="text1"/>
          <w:sz w:val="24"/>
          <w:szCs w:val="24"/>
        </w:rPr>
      </w:pPr>
      <w:r w:rsidRPr="000749B2">
        <w:rPr>
          <w:rFonts w:ascii="Book Antiqua" w:hAnsi="Book Antiqua"/>
          <w:b/>
          <w:bCs/>
          <w:i/>
          <w:iCs/>
          <w:color w:val="000000" w:themeColor="text1"/>
          <w:sz w:val="24"/>
          <w:szCs w:val="24"/>
        </w:rPr>
        <w:t>Orthotopic models</w:t>
      </w:r>
    </w:p>
    <w:p w14:paraId="16465359" w14:textId="77777777" w:rsidR="00CE591C" w:rsidRPr="000749B2" w:rsidRDefault="00CE591C" w:rsidP="000B4309">
      <w:pPr>
        <w:spacing w:after="0" w:line="360" w:lineRule="auto"/>
        <w:jc w:val="both"/>
        <w:rPr>
          <w:rFonts w:ascii="Book Antiqua" w:hAnsi="Book Antiqua"/>
          <w:iCs/>
          <w:color w:val="000000" w:themeColor="text1"/>
          <w:sz w:val="24"/>
          <w:szCs w:val="24"/>
        </w:rPr>
      </w:pPr>
      <w:r w:rsidRPr="000749B2">
        <w:rPr>
          <w:rFonts w:ascii="Book Antiqua" w:hAnsi="Book Antiqua"/>
          <w:iCs/>
          <w:color w:val="000000" w:themeColor="text1"/>
          <w:sz w:val="24"/>
          <w:szCs w:val="24"/>
        </w:rPr>
        <w:t xml:space="preserve">Orthotopic CRC models are implemented to overcome the drawbacks of heterotopic models, videlicet lack of an adequate tumor microenvironment and metastatic behavior. </w:t>
      </w:r>
    </w:p>
    <w:p w14:paraId="22F83994" w14:textId="40B3F1D1" w:rsidR="00CE591C" w:rsidRPr="000749B2" w:rsidRDefault="004F6A36" w:rsidP="000B4309">
      <w:pPr>
        <w:spacing w:after="0" w:line="360" w:lineRule="auto"/>
        <w:ind w:firstLineChars="100" w:firstLine="240"/>
        <w:jc w:val="both"/>
        <w:rPr>
          <w:rFonts w:ascii="Book Antiqua" w:hAnsi="Book Antiqua"/>
          <w:iCs/>
          <w:color w:val="000000" w:themeColor="text1"/>
          <w:sz w:val="24"/>
          <w:szCs w:val="24"/>
        </w:rPr>
      </w:pPr>
      <w:r w:rsidRPr="000749B2">
        <w:rPr>
          <w:rFonts w:ascii="Book Antiqua" w:hAnsi="Book Antiqua"/>
          <w:iCs/>
          <w:color w:val="000000" w:themeColor="text1"/>
          <w:sz w:val="24"/>
          <w:szCs w:val="24"/>
        </w:rPr>
        <w:t>At the beginning of the 1980s, the</w:t>
      </w:r>
      <w:r w:rsidR="00CE591C" w:rsidRPr="000749B2">
        <w:rPr>
          <w:rFonts w:ascii="Book Antiqua" w:hAnsi="Book Antiqua"/>
          <w:iCs/>
          <w:color w:val="000000" w:themeColor="text1"/>
          <w:sz w:val="24"/>
          <w:szCs w:val="24"/>
        </w:rPr>
        <w:t xml:space="preserve"> first orthotopic engraftment</w:t>
      </w:r>
      <w:r w:rsidRPr="000749B2">
        <w:rPr>
          <w:rFonts w:ascii="Book Antiqua" w:hAnsi="Book Antiqua"/>
          <w:iCs/>
          <w:color w:val="000000" w:themeColor="text1"/>
          <w:sz w:val="24"/>
          <w:szCs w:val="24"/>
        </w:rPr>
        <w:t>s</w:t>
      </w:r>
      <w:r w:rsidR="00CE591C" w:rsidRPr="000749B2">
        <w:rPr>
          <w:rFonts w:ascii="Book Antiqua" w:hAnsi="Book Antiqua"/>
          <w:iCs/>
          <w:color w:val="000000" w:themeColor="text1"/>
          <w:sz w:val="24"/>
          <w:szCs w:val="24"/>
        </w:rPr>
        <w:t xml:space="preserve"> of</w:t>
      </w:r>
      <w:r w:rsidR="00B367D3" w:rsidRPr="000749B2">
        <w:rPr>
          <w:rFonts w:ascii="Book Antiqua" w:hAnsi="Book Antiqua"/>
          <w:iCs/>
          <w:color w:val="000000" w:themeColor="text1"/>
          <w:sz w:val="24"/>
          <w:szCs w:val="24"/>
        </w:rPr>
        <w:t xml:space="preserve"> CRC</w:t>
      </w:r>
      <w:r w:rsidR="00CE591C" w:rsidRPr="000749B2">
        <w:rPr>
          <w:rFonts w:ascii="Book Antiqua" w:hAnsi="Book Antiqua"/>
          <w:iCs/>
          <w:color w:val="000000" w:themeColor="text1"/>
          <w:sz w:val="24"/>
          <w:szCs w:val="24"/>
        </w:rPr>
        <w:t xml:space="preserve"> cell lines </w:t>
      </w:r>
      <w:r w:rsidR="00A055C6" w:rsidRPr="000749B2">
        <w:rPr>
          <w:rFonts w:ascii="Book Antiqua" w:hAnsi="Book Antiqua"/>
          <w:iCs/>
          <w:color w:val="000000" w:themeColor="text1"/>
          <w:sz w:val="24"/>
          <w:szCs w:val="24"/>
        </w:rPr>
        <w:t>was</w:t>
      </w:r>
      <w:r w:rsidR="00CE591C" w:rsidRPr="000749B2">
        <w:rPr>
          <w:rFonts w:ascii="Book Antiqua" w:hAnsi="Book Antiqua"/>
          <w:iCs/>
          <w:color w:val="000000" w:themeColor="text1"/>
          <w:sz w:val="24"/>
          <w:szCs w:val="24"/>
        </w:rPr>
        <w:t xml:space="preserve"> reported by</w:t>
      </w:r>
      <w:r w:rsidRPr="000749B2">
        <w:rPr>
          <w:rFonts w:ascii="Book Antiqua" w:hAnsi="Book Antiqua"/>
          <w:iCs/>
          <w:color w:val="000000" w:themeColor="text1"/>
          <w:sz w:val="24"/>
          <w:szCs w:val="24"/>
        </w:rPr>
        <w:t xml:space="preserve"> </w:t>
      </w:r>
      <w:proofErr w:type="gramStart"/>
      <w:r w:rsidRPr="000749B2">
        <w:rPr>
          <w:rFonts w:ascii="Book Antiqua" w:hAnsi="Book Antiqua"/>
          <w:iCs/>
          <w:color w:val="000000" w:themeColor="text1"/>
          <w:sz w:val="24"/>
          <w:szCs w:val="24"/>
        </w:rPr>
        <w:t>Snipe</w:t>
      </w:r>
      <w:r w:rsidR="00A055C6" w:rsidRPr="000749B2">
        <w:rPr>
          <w:rFonts w:ascii="Book Antiqua" w:hAnsi="Book Antiqua"/>
          <w:iCs/>
          <w:color w:val="000000" w:themeColor="text1"/>
          <w:sz w:val="24"/>
          <w:szCs w:val="24"/>
        </w:rPr>
        <w:t>s</w:t>
      </w:r>
      <w:r w:rsidR="003437B3" w:rsidRPr="000749B2">
        <w:rPr>
          <w:rFonts w:ascii="Book Antiqua" w:hAnsi="Book Antiqua"/>
          <w:color w:val="000000" w:themeColor="text1"/>
          <w:sz w:val="24"/>
          <w:szCs w:val="24"/>
          <w:vertAlign w:val="superscript"/>
        </w:rPr>
        <w:t>[</w:t>
      </w:r>
      <w:proofErr w:type="gramEnd"/>
      <w:r w:rsidR="003437B3" w:rsidRPr="000749B2">
        <w:rPr>
          <w:rFonts w:ascii="Book Antiqua" w:hAnsi="Book Antiqua"/>
          <w:color w:val="000000" w:themeColor="text1"/>
          <w:sz w:val="24"/>
          <w:szCs w:val="24"/>
          <w:vertAlign w:val="superscript"/>
        </w:rPr>
        <w:t>287]</w:t>
      </w:r>
      <w:r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demonstrating the feasibility of an intramural cell injection causing locally invasive cancer growth</w:t>
      </w:r>
      <w:r w:rsidR="00A055C6"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 xml:space="preserve">A few years later, Bresalier </w:t>
      </w:r>
      <w:r w:rsidR="00B269C5" w:rsidRPr="000749B2">
        <w:rPr>
          <w:rFonts w:ascii="Book Antiqua" w:hAnsi="Book Antiqua"/>
          <w:i/>
          <w:color w:val="000000" w:themeColor="text1"/>
          <w:sz w:val="24"/>
          <w:szCs w:val="24"/>
        </w:rPr>
        <w:t xml:space="preserve">et </w:t>
      </w:r>
      <w:proofErr w:type="gramStart"/>
      <w:r w:rsidR="00B269C5" w:rsidRPr="000749B2">
        <w:rPr>
          <w:rFonts w:ascii="Book Antiqua" w:hAnsi="Book Antiqua"/>
          <w:i/>
          <w:color w:val="000000" w:themeColor="text1"/>
          <w:sz w:val="24"/>
          <w:szCs w:val="24"/>
        </w:rPr>
        <w:t>al</w:t>
      </w:r>
      <w:r w:rsidR="003437B3" w:rsidRPr="000749B2">
        <w:rPr>
          <w:rFonts w:ascii="Book Antiqua" w:hAnsi="Book Antiqua"/>
          <w:color w:val="000000" w:themeColor="text1"/>
          <w:sz w:val="24"/>
          <w:szCs w:val="24"/>
          <w:vertAlign w:val="superscript"/>
        </w:rPr>
        <w:t>[</w:t>
      </w:r>
      <w:proofErr w:type="gramEnd"/>
      <w:r w:rsidR="003437B3" w:rsidRPr="000749B2">
        <w:rPr>
          <w:rFonts w:ascii="Book Antiqua" w:hAnsi="Book Antiqua"/>
          <w:color w:val="000000" w:themeColor="text1"/>
          <w:sz w:val="24"/>
          <w:szCs w:val="24"/>
          <w:vertAlign w:val="superscript"/>
        </w:rPr>
        <w:t>288]</w:t>
      </w:r>
      <w:r w:rsidR="001F2075"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 xml:space="preserve">demonstrated that the </w:t>
      </w:r>
      <w:r w:rsidRPr="000749B2">
        <w:rPr>
          <w:rFonts w:ascii="Book Antiqua" w:hAnsi="Book Antiqua"/>
          <w:iCs/>
          <w:color w:val="000000" w:themeColor="text1"/>
          <w:sz w:val="24"/>
          <w:szCs w:val="24"/>
        </w:rPr>
        <w:t xml:space="preserve">orthotopic </w:t>
      </w:r>
      <w:r w:rsidR="00CE591C" w:rsidRPr="000749B2">
        <w:rPr>
          <w:rFonts w:ascii="Book Antiqua" w:hAnsi="Book Antiqua"/>
          <w:iCs/>
          <w:color w:val="000000" w:themeColor="text1"/>
          <w:sz w:val="24"/>
          <w:szCs w:val="24"/>
        </w:rPr>
        <w:t xml:space="preserve">injection of human CRC cells causes metastases in the liver. In 1991, Fu </w:t>
      </w:r>
      <w:r w:rsidR="00CE591C" w:rsidRPr="000749B2">
        <w:rPr>
          <w:rFonts w:ascii="Book Antiqua" w:hAnsi="Book Antiqua"/>
          <w:i/>
          <w:color w:val="000000" w:themeColor="text1"/>
          <w:sz w:val="24"/>
          <w:szCs w:val="24"/>
        </w:rPr>
        <w:t xml:space="preserve">et </w:t>
      </w:r>
      <w:proofErr w:type="gramStart"/>
      <w:r w:rsidR="00CE591C" w:rsidRPr="000749B2">
        <w:rPr>
          <w:rFonts w:ascii="Book Antiqua" w:hAnsi="Book Antiqua"/>
          <w:i/>
          <w:color w:val="000000" w:themeColor="text1"/>
          <w:sz w:val="24"/>
          <w:szCs w:val="24"/>
        </w:rPr>
        <w:t>al</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289]</w:t>
      </w:r>
      <w:r w:rsidR="00CE591C" w:rsidRPr="000749B2">
        <w:rPr>
          <w:rFonts w:ascii="Book Antiqua" w:hAnsi="Book Antiqua"/>
          <w:iCs/>
          <w:color w:val="000000" w:themeColor="text1"/>
          <w:sz w:val="24"/>
          <w:szCs w:val="24"/>
        </w:rPr>
        <w:t xml:space="preserve"> successfully engrafted 13 patient-derived tumors by removing the serosa and sewing the tumor pieces to the cecal wall. Beside the local tumor outgrowth, lymph node and liver metastases were reported for a few mice</w:t>
      </w:r>
      <w:r w:rsidR="00A055C6"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 xml:space="preserve">Since the murine cecum is relatively large compared to its human counterpart and </w:t>
      </w:r>
      <w:r w:rsidR="00CE591C" w:rsidRPr="000749B2">
        <w:rPr>
          <w:rFonts w:ascii="Book Antiqua" w:hAnsi="Book Antiqua"/>
          <w:iCs/>
          <w:color w:val="000000" w:themeColor="text1"/>
          <w:sz w:val="24"/>
          <w:szCs w:val="24"/>
        </w:rPr>
        <w:lastRenderedPageBreak/>
        <w:t xml:space="preserve">readily accessible by laparotomy, it rapidly became the favored site for orthotopical engraftment by different approaches. Many authors generated a </w:t>
      </w:r>
      <w:r w:rsidRPr="000749B2">
        <w:rPr>
          <w:rFonts w:ascii="Book Antiqua" w:hAnsi="Book Antiqua"/>
          <w:iCs/>
          <w:color w:val="000000" w:themeColor="text1"/>
          <w:sz w:val="24"/>
          <w:szCs w:val="24"/>
        </w:rPr>
        <w:t>s.c.</w:t>
      </w:r>
      <w:r w:rsidR="001826C4"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 xml:space="preserve">cell graft in a donor mouse, of which a small piece </w:t>
      </w:r>
      <w:r w:rsidR="001826C4" w:rsidRPr="000749B2">
        <w:rPr>
          <w:rFonts w:ascii="Book Antiqua" w:hAnsi="Book Antiqua"/>
          <w:iCs/>
          <w:color w:val="000000" w:themeColor="text1"/>
          <w:sz w:val="24"/>
          <w:szCs w:val="24"/>
        </w:rPr>
        <w:t xml:space="preserve">was </w:t>
      </w:r>
      <w:r w:rsidR="00CE591C" w:rsidRPr="000749B2">
        <w:rPr>
          <w:rFonts w:ascii="Book Antiqua" w:hAnsi="Book Antiqua"/>
          <w:iCs/>
          <w:color w:val="000000" w:themeColor="text1"/>
          <w:sz w:val="24"/>
          <w:szCs w:val="24"/>
        </w:rPr>
        <w:t xml:space="preserve">sewed to the cecum after damaging the </w:t>
      </w:r>
      <w:proofErr w:type="gramStart"/>
      <w:r w:rsidR="00CE591C" w:rsidRPr="000749B2">
        <w:rPr>
          <w:rFonts w:ascii="Book Antiqua" w:hAnsi="Book Antiqua"/>
          <w:iCs/>
          <w:color w:val="000000" w:themeColor="text1"/>
          <w:sz w:val="24"/>
          <w:szCs w:val="24"/>
        </w:rPr>
        <w:t>serosa</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290-292]</w:t>
      </w:r>
      <w:r w:rsidR="00CE591C" w:rsidRPr="000749B2">
        <w:rPr>
          <w:rFonts w:ascii="Book Antiqua" w:hAnsi="Book Antiqua"/>
          <w:iCs/>
          <w:color w:val="000000" w:themeColor="text1"/>
          <w:sz w:val="24"/>
          <w:szCs w:val="24"/>
        </w:rPr>
        <w:t>.</w:t>
      </w:r>
      <w:r w:rsidRPr="000749B2">
        <w:rPr>
          <w:rFonts w:ascii="Book Antiqua" w:hAnsi="Book Antiqua"/>
          <w:iCs/>
          <w:color w:val="000000" w:themeColor="text1"/>
          <w:sz w:val="24"/>
          <w:szCs w:val="24"/>
        </w:rPr>
        <w:t xml:space="preserve"> Several</w:t>
      </w:r>
      <w:r w:rsidR="00A36429" w:rsidRPr="000749B2">
        <w:rPr>
          <w:rFonts w:ascii="Book Antiqua" w:hAnsi="Book Antiqua"/>
          <w:iCs/>
          <w:color w:val="000000" w:themeColor="text1"/>
          <w:sz w:val="24"/>
          <w:szCs w:val="24"/>
        </w:rPr>
        <w:t xml:space="preserve"> varieties of this technique can be found in the literature: While some authors removed the mucosa and sew</w:t>
      </w:r>
      <w:r w:rsidR="006101D7" w:rsidRPr="000749B2">
        <w:rPr>
          <w:rFonts w:ascii="Book Antiqua" w:hAnsi="Book Antiqua"/>
          <w:iCs/>
          <w:color w:val="000000" w:themeColor="text1"/>
          <w:sz w:val="24"/>
          <w:szCs w:val="24"/>
        </w:rPr>
        <w:t>ed</w:t>
      </w:r>
      <w:r w:rsidR="00A36429" w:rsidRPr="000749B2">
        <w:rPr>
          <w:rFonts w:ascii="Book Antiqua" w:hAnsi="Book Antiqua"/>
          <w:iCs/>
          <w:color w:val="000000" w:themeColor="text1"/>
          <w:sz w:val="24"/>
          <w:szCs w:val="24"/>
        </w:rPr>
        <w:t xml:space="preserve"> the tumor pieces onto the cecal wall</w:t>
      </w:r>
      <w:r w:rsidR="00C42D1B" w:rsidRPr="000749B2">
        <w:rPr>
          <w:rFonts w:ascii="Book Antiqua" w:hAnsi="Book Antiqua"/>
          <w:color w:val="000000" w:themeColor="text1"/>
          <w:sz w:val="24"/>
          <w:szCs w:val="24"/>
          <w:vertAlign w:val="superscript"/>
        </w:rPr>
        <w:t>[293,294]</w:t>
      </w:r>
      <w:r w:rsidR="00A36429" w:rsidRPr="000749B2">
        <w:rPr>
          <w:rFonts w:ascii="Book Antiqua" w:hAnsi="Book Antiqua"/>
          <w:iCs/>
          <w:color w:val="000000" w:themeColor="text1"/>
          <w:sz w:val="24"/>
          <w:szCs w:val="24"/>
        </w:rPr>
        <w:t>, others formed a subserosal tunnel for tumor inoculation, which was afterwards closed by a suture</w:t>
      </w:r>
      <w:r w:rsidR="00C42D1B" w:rsidRPr="000749B2">
        <w:rPr>
          <w:rFonts w:ascii="Book Antiqua" w:hAnsi="Book Antiqua"/>
          <w:color w:val="000000" w:themeColor="text1"/>
          <w:sz w:val="24"/>
          <w:szCs w:val="24"/>
          <w:vertAlign w:val="superscript"/>
        </w:rPr>
        <w:t>[295]</w:t>
      </w:r>
      <w:r w:rsidR="00A36429" w:rsidRPr="000749B2">
        <w:rPr>
          <w:rFonts w:ascii="Book Antiqua" w:hAnsi="Book Antiqua"/>
          <w:iCs/>
          <w:color w:val="000000" w:themeColor="text1"/>
          <w:sz w:val="24"/>
          <w:szCs w:val="24"/>
        </w:rPr>
        <w:t xml:space="preserve"> or surround</w:t>
      </w:r>
      <w:r w:rsidR="007A29E4" w:rsidRPr="000749B2">
        <w:rPr>
          <w:rFonts w:ascii="Book Antiqua" w:hAnsi="Book Antiqua"/>
          <w:iCs/>
          <w:color w:val="000000" w:themeColor="text1"/>
          <w:sz w:val="24"/>
          <w:szCs w:val="24"/>
        </w:rPr>
        <w:t>ed</w:t>
      </w:r>
      <w:r w:rsidR="00A36429" w:rsidRPr="000749B2">
        <w:rPr>
          <w:rFonts w:ascii="Book Antiqua" w:hAnsi="Book Antiqua"/>
          <w:iCs/>
          <w:color w:val="000000" w:themeColor="text1"/>
          <w:sz w:val="24"/>
          <w:szCs w:val="24"/>
        </w:rPr>
        <w:t xml:space="preserve"> the tumor piece with a “pouch” formed by a serosal duplicature</w:t>
      </w:r>
      <w:r w:rsidR="00C42D1B" w:rsidRPr="000749B2">
        <w:rPr>
          <w:rFonts w:ascii="Book Antiqua" w:hAnsi="Book Antiqua"/>
          <w:color w:val="000000" w:themeColor="text1"/>
          <w:sz w:val="24"/>
          <w:szCs w:val="24"/>
          <w:vertAlign w:val="superscript"/>
        </w:rPr>
        <w:t>[296]</w:t>
      </w:r>
      <w:r w:rsidR="00A36429" w:rsidRPr="000749B2">
        <w:rPr>
          <w:rFonts w:ascii="Book Antiqua" w:hAnsi="Book Antiqua"/>
          <w:iCs/>
          <w:color w:val="000000" w:themeColor="text1"/>
          <w:sz w:val="24"/>
          <w:szCs w:val="24"/>
        </w:rPr>
        <w:t>.</w:t>
      </w:r>
      <w:r w:rsidR="00CE591C" w:rsidRPr="000749B2">
        <w:rPr>
          <w:rFonts w:ascii="Book Antiqua" w:hAnsi="Book Antiqua"/>
          <w:iCs/>
          <w:color w:val="000000" w:themeColor="text1"/>
          <w:sz w:val="24"/>
          <w:szCs w:val="24"/>
        </w:rPr>
        <w:t xml:space="preserve"> Others reported the </w:t>
      </w:r>
      <w:r w:rsidR="001826C4" w:rsidRPr="000749B2">
        <w:rPr>
          <w:rFonts w:ascii="Book Antiqua" w:hAnsi="Book Antiqua"/>
          <w:iCs/>
          <w:color w:val="000000" w:themeColor="text1"/>
          <w:sz w:val="24"/>
          <w:szCs w:val="24"/>
        </w:rPr>
        <w:t xml:space="preserve">technically more challenging </w:t>
      </w:r>
      <w:r w:rsidR="00CE591C" w:rsidRPr="000749B2">
        <w:rPr>
          <w:rFonts w:ascii="Book Antiqua" w:hAnsi="Book Antiqua"/>
          <w:iCs/>
          <w:color w:val="000000" w:themeColor="text1"/>
          <w:sz w:val="24"/>
          <w:szCs w:val="24"/>
        </w:rPr>
        <w:t xml:space="preserve">subserosal injection of a cell suspension into the cecal </w:t>
      </w:r>
      <w:proofErr w:type="gramStart"/>
      <w:r w:rsidR="00CE591C" w:rsidRPr="000749B2">
        <w:rPr>
          <w:rFonts w:ascii="Book Antiqua" w:hAnsi="Book Antiqua"/>
          <w:iCs/>
          <w:color w:val="000000" w:themeColor="text1"/>
          <w:sz w:val="24"/>
          <w:szCs w:val="24"/>
        </w:rPr>
        <w:t>wall</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297]</w:t>
      </w:r>
      <w:r w:rsidR="00CE591C" w:rsidRPr="000749B2">
        <w:rPr>
          <w:rFonts w:ascii="Book Antiqua" w:hAnsi="Book Antiqua"/>
          <w:iCs/>
          <w:color w:val="000000" w:themeColor="text1"/>
          <w:sz w:val="24"/>
          <w:szCs w:val="24"/>
        </w:rPr>
        <w:t xml:space="preserve">. The cell injection method is often referred to as </w:t>
      </w:r>
      <w:proofErr w:type="gramStart"/>
      <w:r w:rsidR="00CE591C" w:rsidRPr="000749B2">
        <w:rPr>
          <w:rFonts w:ascii="Book Antiqua" w:hAnsi="Book Antiqua"/>
          <w:iCs/>
          <w:color w:val="000000" w:themeColor="text1"/>
          <w:sz w:val="24"/>
          <w:szCs w:val="24"/>
        </w:rPr>
        <w:t>subserosal</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298]</w:t>
      </w:r>
      <w:r w:rsidR="00E908E7"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while other work groups describe a submucosal injection</w:t>
      </w:r>
      <w:r w:rsidR="00C42D1B" w:rsidRPr="000749B2">
        <w:rPr>
          <w:rFonts w:ascii="Book Antiqua" w:hAnsi="Book Antiqua"/>
          <w:color w:val="000000" w:themeColor="text1"/>
          <w:sz w:val="24"/>
          <w:szCs w:val="24"/>
          <w:vertAlign w:val="superscript"/>
        </w:rPr>
        <w:t>[299]</w:t>
      </w:r>
      <w:r w:rsidR="001826C4"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both frequently with Matrigel</w:t>
      </w:r>
      <w:r w:rsidR="001826C4" w:rsidRPr="000749B2">
        <w:rPr>
          <w:rFonts w:ascii="Book Antiqua" w:hAnsi="Book Antiqua"/>
          <w:iCs/>
          <w:color w:val="000000" w:themeColor="text1"/>
          <w:sz w:val="24"/>
          <w:szCs w:val="24"/>
        </w:rPr>
        <w:t>®</w:t>
      </w:r>
      <w:r w:rsidR="00CE591C" w:rsidRPr="000749B2">
        <w:rPr>
          <w:rFonts w:ascii="Book Antiqua" w:hAnsi="Book Antiqua"/>
          <w:iCs/>
          <w:color w:val="000000" w:themeColor="text1"/>
          <w:sz w:val="24"/>
          <w:szCs w:val="24"/>
        </w:rPr>
        <w:t xml:space="preserve"> add</w:t>
      </w:r>
      <w:r w:rsidR="001826C4" w:rsidRPr="000749B2">
        <w:rPr>
          <w:rFonts w:ascii="Book Antiqua" w:hAnsi="Book Antiqua"/>
          <w:iCs/>
          <w:color w:val="000000" w:themeColor="text1"/>
          <w:sz w:val="24"/>
          <w:szCs w:val="24"/>
        </w:rPr>
        <w:t>ition</w:t>
      </w:r>
      <w:r w:rsidR="00CE591C" w:rsidRPr="000749B2">
        <w:rPr>
          <w:rFonts w:ascii="Book Antiqua" w:hAnsi="Book Antiqua"/>
          <w:iCs/>
          <w:color w:val="000000" w:themeColor="text1"/>
          <w:sz w:val="24"/>
          <w:szCs w:val="24"/>
        </w:rPr>
        <w:t xml:space="preserve"> to the cell suspension to avoid cell spillage</w:t>
      </w:r>
      <w:r w:rsidR="00C42D1B" w:rsidRPr="000749B2">
        <w:rPr>
          <w:rFonts w:ascii="Book Antiqua" w:hAnsi="Book Antiqua"/>
          <w:color w:val="000000" w:themeColor="text1"/>
          <w:sz w:val="24"/>
          <w:szCs w:val="24"/>
          <w:vertAlign w:val="superscript"/>
        </w:rPr>
        <w:t>[300]</w:t>
      </w:r>
      <w:r w:rsidR="00094C74"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 xml:space="preserve">Considering the gauntness of the cecal wall, we will here refer to both techniques as “intracecal” injection. The possibility of a “preconditioning” </w:t>
      </w:r>
      <w:r w:rsidR="00CE591C" w:rsidRPr="000749B2">
        <w:rPr>
          <w:rFonts w:ascii="Book Antiqua" w:hAnsi="Book Antiqua"/>
          <w:i/>
          <w:color w:val="000000" w:themeColor="text1"/>
          <w:sz w:val="24"/>
          <w:szCs w:val="24"/>
        </w:rPr>
        <w:t>via</w:t>
      </w:r>
      <w:r w:rsidR="00CE591C" w:rsidRPr="000749B2">
        <w:rPr>
          <w:rFonts w:ascii="Book Antiqua" w:hAnsi="Book Antiqua"/>
          <w:iCs/>
          <w:color w:val="000000" w:themeColor="text1"/>
          <w:sz w:val="24"/>
          <w:szCs w:val="24"/>
        </w:rPr>
        <w:t xml:space="preserve"> </w:t>
      </w:r>
      <w:r w:rsidRPr="000749B2">
        <w:rPr>
          <w:rFonts w:ascii="Book Antiqua" w:hAnsi="Book Antiqua"/>
          <w:iCs/>
          <w:color w:val="000000" w:themeColor="text1"/>
          <w:sz w:val="24"/>
          <w:szCs w:val="24"/>
        </w:rPr>
        <w:t>s.</w:t>
      </w:r>
      <w:r w:rsidR="00E908E7" w:rsidRPr="000749B2">
        <w:rPr>
          <w:rFonts w:ascii="Book Antiqua" w:hAnsi="Book Antiqua"/>
          <w:iCs/>
          <w:color w:val="000000" w:themeColor="text1"/>
          <w:sz w:val="24"/>
          <w:szCs w:val="24"/>
        </w:rPr>
        <w:t xml:space="preserve">c. </w:t>
      </w:r>
      <w:r w:rsidR="00CC1E42" w:rsidRPr="000749B2">
        <w:rPr>
          <w:rFonts w:ascii="Book Antiqua" w:hAnsi="Book Antiqua"/>
          <w:iCs/>
          <w:color w:val="000000" w:themeColor="text1"/>
          <w:sz w:val="24"/>
          <w:szCs w:val="24"/>
        </w:rPr>
        <w:t>PDX</w:t>
      </w:r>
      <w:r w:rsidR="00CE591C" w:rsidRPr="000749B2">
        <w:rPr>
          <w:rFonts w:ascii="Book Antiqua" w:hAnsi="Book Antiqua"/>
          <w:iCs/>
          <w:color w:val="000000" w:themeColor="text1"/>
          <w:sz w:val="24"/>
          <w:szCs w:val="24"/>
        </w:rPr>
        <w:t xml:space="preserve"> has also been described for th</w:t>
      </w:r>
      <w:r w:rsidR="00A823EA" w:rsidRPr="000749B2">
        <w:rPr>
          <w:rFonts w:ascii="Book Antiqua" w:hAnsi="Book Antiqua"/>
          <w:iCs/>
          <w:color w:val="000000" w:themeColor="text1"/>
          <w:sz w:val="24"/>
          <w:szCs w:val="24"/>
        </w:rPr>
        <w:t xml:space="preserve">e cell injection </w:t>
      </w:r>
      <w:proofErr w:type="gramStart"/>
      <w:r w:rsidR="00A823EA" w:rsidRPr="000749B2">
        <w:rPr>
          <w:rFonts w:ascii="Book Antiqua" w:hAnsi="Book Antiqua"/>
          <w:iCs/>
          <w:color w:val="000000" w:themeColor="text1"/>
          <w:sz w:val="24"/>
          <w:szCs w:val="24"/>
        </w:rPr>
        <w:t>approach</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301]</w:t>
      </w:r>
      <w:r w:rsidR="00094C74"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 xml:space="preserve">Beside the cecum, other colonic sites like the descending colon can be accessed for cell </w:t>
      </w:r>
      <w:proofErr w:type="gramStart"/>
      <w:r w:rsidR="00CE591C" w:rsidRPr="000749B2">
        <w:rPr>
          <w:rFonts w:ascii="Book Antiqua" w:hAnsi="Book Antiqua"/>
          <w:iCs/>
          <w:color w:val="000000" w:themeColor="text1"/>
          <w:sz w:val="24"/>
          <w:szCs w:val="24"/>
        </w:rPr>
        <w:t>injection</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302,303]</w:t>
      </w:r>
      <w:r w:rsidR="00CE591C" w:rsidRPr="000749B2">
        <w:rPr>
          <w:rFonts w:ascii="Book Antiqua" w:hAnsi="Book Antiqua"/>
          <w:iCs/>
          <w:color w:val="000000" w:themeColor="text1"/>
          <w:sz w:val="24"/>
          <w:szCs w:val="24"/>
        </w:rPr>
        <w:t>. Despite frequent metastas</w:t>
      </w:r>
      <w:r w:rsidR="00CC1E42" w:rsidRPr="000749B2">
        <w:rPr>
          <w:rFonts w:ascii="Book Antiqua" w:hAnsi="Book Antiqua"/>
          <w:iCs/>
          <w:color w:val="000000" w:themeColor="text1"/>
          <w:sz w:val="24"/>
          <w:szCs w:val="24"/>
        </w:rPr>
        <w:t>e</w:t>
      </w:r>
      <w:r w:rsidR="00CE591C" w:rsidRPr="000749B2">
        <w:rPr>
          <w:rFonts w:ascii="Book Antiqua" w:hAnsi="Book Antiqua"/>
          <w:iCs/>
          <w:color w:val="000000" w:themeColor="text1"/>
          <w:sz w:val="24"/>
          <w:szCs w:val="24"/>
        </w:rPr>
        <w:t>s,</w:t>
      </w:r>
      <w:r w:rsidR="00A823EA" w:rsidRPr="000749B2">
        <w:rPr>
          <w:rFonts w:ascii="Book Antiqua" w:hAnsi="Book Antiqua"/>
          <w:iCs/>
          <w:color w:val="000000" w:themeColor="text1"/>
          <w:sz w:val="24"/>
          <w:szCs w:val="24"/>
        </w:rPr>
        <w:t xml:space="preserve"> some aspects of these </w:t>
      </w:r>
      <w:r w:rsidR="00CE591C" w:rsidRPr="000749B2">
        <w:rPr>
          <w:rFonts w:ascii="Book Antiqua" w:hAnsi="Book Antiqua"/>
          <w:iCs/>
          <w:color w:val="000000" w:themeColor="text1"/>
          <w:sz w:val="24"/>
          <w:szCs w:val="24"/>
        </w:rPr>
        <w:t>techniques</w:t>
      </w:r>
      <w:r w:rsidR="00DA7D6F" w:rsidRPr="000749B2">
        <w:rPr>
          <w:rFonts w:ascii="Book Antiqua" w:hAnsi="Book Antiqua"/>
          <w:iCs/>
          <w:color w:val="000000" w:themeColor="text1"/>
          <w:sz w:val="24"/>
          <w:szCs w:val="24"/>
        </w:rPr>
        <w:t xml:space="preserve"> may be viewed critically</w:t>
      </w:r>
      <w:r w:rsidR="00CE591C" w:rsidRPr="000749B2">
        <w:rPr>
          <w:rFonts w:ascii="Book Antiqua" w:hAnsi="Book Antiqua"/>
          <w:iCs/>
          <w:color w:val="000000" w:themeColor="text1"/>
          <w:sz w:val="24"/>
          <w:szCs w:val="24"/>
        </w:rPr>
        <w:t>. First, given the fact that CRC arise from the mucosa, these models cannot be considered as genuine orthotopic</w:t>
      </w:r>
      <w:r w:rsidR="007A29E4" w:rsidRPr="000749B2">
        <w:rPr>
          <w:rFonts w:ascii="Book Antiqua" w:hAnsi="Book Antiqua"/>
          <w:iCs/>
          <w:color w:val="000000" w:themeColor="text1"/>
          <w:sz w:val="24"/>
          <w:szCs w:val="24"/>
        </w:rPr>
        <w:t xml:space="preserve"> and</w:t>
      </w:r>
      <w:r w:rsidR="00CE591C" w:rsidRPr="000749B2">
        <w:rPr>
          <w:rFonts w:ascii="Book Antiqua" w:hAnsi="Book Antiqua"/>
          <w:iCs/>
          <w:color w:val="000000" w:themeColor="text1"/>
          <w:sz w:val="24"/>
          <w:szCs w:val="24"/>
        </w:rPr>
        <w:t xml:space="preserve"> also the injection approach might mimic an advanced CRC. Second, they allow the contact of cancerous tissue with the abdominal cavity, hence it cannot be ruled out that some of the metastases are the result of intraabdominal cell spillage. Moreover, these approaches require the opening of the abdomen and can cause inflammation and morbidity. Nevertheless, the cecal orthotopic model is frequently applied, especially for basic research to </w:t>
      </w:r>
      <w:r w:rsidR="005B5982" w:rsidRPr="000749B2">
        <w:rPr>
          <w:rFonts w:ascii="Book Antiqua" w:hAnsi="Book Antiqua"/>
          <w:iCs/>
          <w:color w:val="000000" w:themeColor="text1"/>
          <w:sz w:val="24"/>
          <w:szCs w:val="24"/>
        </w:rPr>
        <w:t xml:space="preserve">identify </w:t>
      </w:r>
      <w:r w:rsidR="00CE591C" w:rsidRPr="000749B2">
        <w:rPr>
          <w:rFonts w:ascii="Book Antiqua" w:hAnsi="Book Antiqua"/>
          <w:iCs/>
          <w:color w:val="000000" w:themeColor="text1"/>
          <w:sz w:val="24"/>
          <w:szCs w:val="24"/>
        </w:rPr>
        <w:t xml:space="preserve">the underlying mechanisms of metastatic progression, since it can render metastatic, end stage disease within a few </w:t>
      </w:r>
      <w:proofErr w:type="gramStart"/>
      <w:r w:rsidR="00CE591C" w:rsidRPr="000749B2">
        <w:rPr>
          <w:rFonts w:ascii="Book Antiqua" w:hAnsi="Book Antiqua"/>
          <w:iCs/>
          <w:color w:val="000000" w:themeColor="text1"/>
          <w:sz w:val="24"/>
          <w:szCs w:val="24"/>
        </w:rPr>
        <w:t>weeks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304]</w:t>
      </w:r>
      <w:r w:rsidR="00094C74"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 xml:space="preserve">The upregulation of genes associated </w:t>
      </w:r>
      <w:r w:rsidR="00A823EA" w:rsidRPr="000749B2">
        <w:rPr>
          <w:rFonts w:ascii="Book Antiqua" w:hAnsi="Book Antiqua"/>
          <w:iCs/>
          <w:color w:val="000000" w:themeColor="text1"/>
          <w:sz w:val="24"/>
          <w:szCs w:val="24"/>
        </w:rPr>
        <w:t xml:space="preserve">with </w:t>
      </w:r>
      <w:r w:rsidR="00CE591C" w:rsidRPr="000749B2">
        <w:rPr>
          <w:rFonts w:ascii="Book Antiqua" w:hAnsi="Book Antiqua"/>
          <w:iCs/>
          <w:color w:val="000000" w:themeColor="text1"/>
          <w:sz w:val="24"/>
          <w:szCs w:val="24"/>
        </w:rPr>
        <w:t xml:space="preserve">advanced CRC, could also be observed in liver metastasis from an orthotopic </w:t>
      </w:r>
      <w:proofErr w:type="gramStart"/>
      <w:r w:rsidR="00CE591C" w:rsidRPr="000749B2">
        <w:rPr>
          <w:rFonts w:ascii="Book Antiqua" w:hAnsi="Book Antiqua"/>
          <w:iCs/>
          <w:color w:val="000000" w:themeColor="text1"/>
          <w:sz w:val="24"/>
          <w:szCs w:val="24"/>
        </w:rPr>
        <w:t>model</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290,305]</w:t>
      </w:r>
      <w:r w:rsidR="00CE591C" w:rsidRPr="000749B2">
        <w:rPr>
          <w:rFonts w:ascii="Book Antiqua" w:hAnsi="Book Antiqua"/>
          <w:iCs/>
          <w:color w:val="000000" w:themeColor="text1"/>
          <w:sz w:val="24"/>
          <w:szCs w:val="24"/>
        </w:rPr>
        <w:t>. The orthotopic approach</w:t>
      </w:r>
      <w:r w:rsidR="001F2075"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 xml:space="preserve">allows to elucidate the role of certain molecular pathways by direct comparison of the metastatic properties of a given cell with their genetically engineered </w:t>
      </w:r>
      <w:proofErr w:type="gramStart"/>
      <w:r w:rsidR="00CE591C" w:rsidRPr="000749B2">
        <w:rPr>
          <w:rFonts w:ascii="Book Antiqua" w:hAnsi="Book Antiqua"/>
          <w:iCs/>
          <w:color w:val="000000" w:themeColor="text1"/>
          <w:sz w:val="24"/>
          <w:szCs w:val="24"/>
        </w:rPr>
        <w:t>counterpart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306-310]</w:t>
      </w:r>
      <w:r w:rsidR="00CE591C" w:rsidRPr="000749B2">
        <w:rPr>
          <w:rFonts w:ascii="Book Antiqua" w:hAnsi="Book Antiqua"/>
          <w:iCs/>
          <w:color w:val="000000" w:themeColor="text1"/>
          <w:sz w:val="24"/>
          <w:szCs w:val="24"/>
        </w:rPr>
        <w:t xml:space="preserve">. The additional transfection of these cells with </w:t>
      </w:r>
      <w:r w:rsidR="005B5982" w:rsidRPr="000749B2">
        <w:rPr>
          <w:rFonts w:ascii="Book Antiqua" w:hAnsi="Book Antiqua"/>
          <w:iCs/>
          <w:color w:val="000000" w:themeColor="text1"/>
          <w:sz w:val="24"/>
          <w:szCs w:val="24"/>
        </w:rPr>
        <w:t>a</w:t>
      </w:r>
      <w:r w:rsidR="00CC1E42" w:rsidRPr="000749B2">
        <w:rPr>
          <w:rFonts w:ascii="Book Antiqua" w:hAnsi="Book Antiqua"/>
          <w:iCs/>
          <w:color w:val="000000" w:themeColor="text1"/>
          <w:sz w:val="24"/>
          <w:szCs w:val="24"/>
        </w:rPr>
        <w:t xml:space="preserve"> reporter</w:t>
      </w:r>
      <w:r w:rsidR="005B5982"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like GFP</w:t>
      </w:r>
      <w:r w:rsidR="005B5982"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DsRed or luciferase</w:t>
      </w:r>
      <w:r w:rsidR="005B5982" w:rsidRPr="000749B2">
        <w:rPr>
          <w:rFonts w:ascii="Book Antiqua" w:hAnsi="Book Antiqua"/>
          <w:iCs/>
          <w:color w:val="000000" w:themeColor="text1"/>
          <w:sz w:val="24"/>
          <w:szCs w:val="24"/>
        </w:rPr>
        <w:t>,</w:t>
      </w:r>
      <w:r w:rsidR="00CE591C" w:rsidRPr="000749B2">
        <w:rPr>
          <w:rFonts w:ascii="Book Antiqua" w:hAnsi="Book Antiqua"/>
          <w:iCs/>
          <w:color w:val="000000" w:themeColor="text1"/>
          <w:sz w:val="24"/>
          <w:szCs w:val="24"/>
        </w:rPr>
        <w:t xml:space="preserve"> allows monitoring of tumor progress by </w:t>
      </w:r>
      <w:r w:rsidR="00CE591C" w:rsidRPr="000749B2">
        <w:rPr>
          <w:rFonts w:ascii="Book Antiqua" w:hAnsi="Book Antiqua"/>
          <w:i/>
          <w:color w:val="000000" w:themeColor="text1"/>
          <w:sz w:val="24"/>
          <w:szCs w:val="24"/>
        </w:rPr>
        <w:t>in vivo</w:t>
      </w:r>
      <w:r w:rsidR="00CE591C" w:rsidRPr="000749B2">
        <w:rPr>
          <w:rFonts w:ascii="Book Antiqua" w:hAnsi="Book Antiqua"/>
          <w:iCs/>
          <w:color w:val="000000" w:themeColor="text1"/>
          <w:sz w:val="24"/>
          <w:szCs w:val="24"/>
        </w:rPr>
        <w:t xml:space="preserve"> </w:t>
      </w:r>
      <w:proofErr w:type="gramStart"/>
      <w:r w:rsidR="00CE591C" w:rsidRPr="000749B2">
        <w:rPr>
          <w:rFonts w:ascii="Book Antiqua" w:hAnsi="Book Antiqua"/>
          <w:iCs/>
          <w:color w:val="000000" w:themeColor="text1"/>
          <w:sz w:val="24"/>
          <w:szCs w:val="24"/>
        </w:rPr>
        <w:t>imaging</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311-313]</w:t>
      </w:r>
      <w:r w:rsidR="00A823EA" w:rsidRPr="000749B2">
        <w:rPr>
          <w:rFonts w:ascii="Book Antiqua" w:hAnsi="Book Antiqua"/>
          <w:iCs/>
          <w:color w:val="000000" w:themeColor="text1"/>
          <w:sz w:val="24"/>
          <w:szCs w:val="24"/>
        </w:rPr>
        <w:t>.</w:t>
      </w:r>
      <w:r w:rsidR="00CE591C" w:rsidRPr="000749B2">
        <w:rPr>
          <w:rFonts w:ascii="Book Antiqua" w:hAnsi="Book Antiqua"/>
          <w:iCs/>
          <w:color w:val="000000" w:themeColor="text1"/>
          <w:sz w:val="24"/>
          <w:szCs w:val="24"/>
        </w:rPr>
        <w:t xml:space="preserve"> The </w:t>
      </w:r>
      <w:r w:rsidR="00CE591C" w:rsidRPr="000749B2">
        <w:rPr>
          <w:rFonts w:ascii="Book Antiqua" w:hAnsi="Book Antiqua"/>
          <w:iCs/>
          <w:color w:val="000000" w:themeColor="text1"/>
          <w:sz w:val="24"/>
          <w:szCs w:val="24"/>
        </w:rPr>
        <w:lastRenderedPageBreak/>
        <w:t xml:space="preserve">orthotopic approach can be </w:t>
      </w:r>
      <w:r w:rsidR="0048210D" w:rsidRPr="000749B2">
        <w:rPr>
          <w:rFonts w:ascii="Book Antiqua" w:hAnsi="Book Antiqua"/>
          <w:iCs/>
          <w:color w:val="000000" w:themeColor="text1"/>
          <w:sz w:val="24"/>
          <w:szCs w:val="24"/>
        </w:rPr>
        <w:t>used in</w:t>
      </w:r>
      <w:r w:rsidR="0085421C"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 xml:space="preserve">transgenic mice to clarify the role of distinct </w:t>
      </w:r>
      <w:proofErr w:type="gramStart"/>
      <w:r w:rsidR="00CE591C" w:rsidRPr="000749B2">
        <w:rPr>
          <w:rFonts w:ascii="Book Antiqua" w:hAnsi="Book Antiqua"/>
          <w:iCs/>
          <w:color w:val="000000" w:themeColor="text1"/>
          <w:sz w:val="24"/>
          <w:szCs w:val="24"/>
        </w:rPr>
        <w:t>molecules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314]</w:t>
      </w:r>
      <w:r w:rsidR="00094C74"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or certain cell type</w:t>
      </w:r>
      <w:r w:rsidR="00CC1E42" w:rsidRPr="000749B2">
        <w:rPr>
          <w:rFonts w:ascii="Book Antiqua" w:hAnsi="Book Antiqua"/>
          <w:iCs/>
          <w:color w:val="000000" w:themeColor="text1"/>
          <w:sz w:val="24"/>
          <w:szCs w:val="24"/>
        </w:rPr>
        <w:t>s</w:t>
      </w:r>
      <w:r w:rsidR="00C42D1B" w:rsidRPr="000749B2">
        <w:rPr>
          <w:rFonts w:ascii="Book Antiqua" w:hAnsi="Book Antiqua"/>
          <w:color w:val="000000" w:themeColor="text1"/>
          <w:sz w:val="24"/>
          <w:szCs w:val="24"/>
          <w:vertAlign w:val="superscript"/>
        </w:rPr>
        <w:t>[315]</w:t>
      </w:r>
      <w:r w:rsidR="00094C74"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To further stress the functionality of stromal components</w:t>
      </w:r>
      <w:r w:rsidR="00CC1E42" w:rsidRPr="000749B2">
        <w:rPr>
          <w:rFonts w:ascii="Book Antiqua" w:hAnsi="Book Antiqua"/>
          <w:iCs/>
          <w:color w:val="000000" w:themeColor="text1"/>
          <w:sz w:val="24"/>
          <w:szCs w:val="24"/>
        </w:rPr>
        <w:t>,</w:t>
      </w:r>
      <w:r w:rsidR="00CE591C" w:rsidRPr="000749B2">
        <w:rPr>
          <w:rFonts w:ascii="Book Antiqua" w:hAnsi="Book Antiqua"/>
          <w:iCs/>
          <w:color w:val="000000" w:themeColor="text1"/>
          <w:sz w:val="24"/>
          <w:szCs w:val="24"/>
        </w:rPr>
        <w:t xml:space="preserve"> a co-injection of tumor cells and stromal cells is </w:t>
      </w:r>
      <w:proofErr w:type="gramStart"/>
      <w:r w:rsidR="00CE591C" w:rsidRPr="000749B2">
        <w:rPr>
          <w:rFonts w:ascii="Book Antiqua" w:hAnsi="Book Antiqua"/>
          <w:iCs/>
          <w:color w:val="000000" w:themeColor="text1"/>
          <w:sz w:val="24"/>
          <w:szCs w:val="24"/>
        </w:rPr>
        <w:t>feasible</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316-318]</w:t>
      </w:r>
      <w:r w:rsidR="00CE591C" w:rsidRPr="000749B2">
        <w:rPr>
          <w:rFonts w:ascii="Book Antiqua" w:hAnsi="Book Antiqua"/>
          <w:iCs/>
          <w:color w:val="000000" w:themeColor="text1"/>
          <w:sz w:val="24"/>
          <w:szCs w:val="24"/>
        </w:rPr>
        <w:t>. By using NSG mice</w:t>
      </w:r>
      <w:r w:rsidR="00886FCC" w:rsidRPr="000749B2">
        <w:rPr>
          <w:rFonts w:ascii="Book Antiqua" w:hAnsi="Book Antiqua"/>
          <w:iCs/>
          <w:color w:val="000000" w:themeColor="text1"/>
          <w:sz w:val="24"/>
          <w:szCs w:val="24"/>
        </w:rPr>
        <w:t>,</w:t>
      </w:r>
      <w:r w:rsidR="00CE591C" w:rsidRPr="000749B2">
        <w:rPr>
          <w:rFonts w:ascii="Book Antiqua" w:hAnsi="Book Antiqua"/>
          <w:iCs/>
          <w:color w:val="000000" w:themeColor="text1"/>
          <w:sz w:val="24"/>
          <w:szCs w:val="24"/>
        </w:rPr>
        <w:t xml:space="preserve"> the efficiency of an immune cell-based therapy can b</w:t>
      </w:r>
      <w:r w:rsidR="00CC1E42" w:rsidRPr="000749B2">
        <w:rPr>
          <w:rFonts w:ascii="Book Antiqua" w:hAnsi="Book Antiqua"/>
          <w:iCs/>
          <w:color w:val="000000" w:themeColor="text1"/>
          <w:sz w:val="24"/>
          <w:szCs w:val="24"/>
        </w:rPr>
        <w:t>e</w:t>
      </w:r>
      <w:r w:rsidR="00CE591C" w:rsidRPr="000749B2">
        <w:rPr>
          <w:rFonts w:ascii="Book Antiqua" w:hAnsi="Book Antiqua"/>
          <w:iCs/>
          <w:color w:val="000000" w:themeColor="text1"/>
          <w:sz w:val="24"/>
          <w:szCs w:val="24"/>
        </w:rPr>
        <w:t xml:space="preserve"> tested in the context of </w:t>
      </w:r>
      <w:r w:rsidR="00CC1E42" w:rsidRPr="000749B2">
        <w:rPr>
          <w:rFonts w:ascii="Book Antiqua" w:hAnsi="Book Antiqua"/>
          <w:iCs/>
          <w:color w:val="000000" w:themeColor="text1"/>
          <w:sz w:val="24"/>
          <w:szCs w:val="24"/>
        </w:rPr>
        <w:t xml:space="preserve">such </w:t>
      </w:r>
      <w:r w:rsidR="00CE591C" w:rsidRPr="000749B2">
        <w:rPr>
          <w:rFonts w:ascii="Book Antiqua" w:hAnsi="Book Antiqua"/>
          <w:iCs/>
          <w:color w:val="000000" w:themeColor="text1"/>
          <w:sz w:val="24"/>
          <w:szCs w:val="24"/>
        </w:rPr>
        <w:t xml:space="preserve">an orthotopic </w:t>
      </w:r>
      <w:proofErr w:type="gramStart"/>
      <w:r w:rsidR="00CE591C" w:rsidRPr="000749B2">
        <w:rPr>
          <w:rFonts w:ascii="Book Antiqua" w:hAnsi="Book Antiqua"/>
          <w:iCs/>
          <w:color w:val="000000" w:themeColor="text1"/>
          <w:sz w:val="24"/>
          <w:szCs w:val="24"/>
        </w:rPr>
        <w:t>model</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319]</w:t>
      </w:r>
      <w:r w:rsidR="00CE591C" w:rsidRPr="000749B2">
        <w:rPr>
          <w:rFonts w:ascii="Book Antiqua" w:hAnsi="Book Antiqua"/>
          <w:iCs/>
          <w:color w:val="000000" w:themeColor="text1"/>
          <w:sz w:val="24"/>
          <w:szCs w:val="24"/>
        </w:rPr>
        <w:t>.</w:t>
      </w:r>
      <w:r w:rsidR="00CE591C" w:rsidRPr="000749B2">
        <w:rPr>
          <w:rFonts w:ascii="Book Antiqua" w:hAnsi="Book Antiqua"/>
          <w:color w:val="000000" w:themeColor="text1"/>
          <w:sz w:val="24"/>
          <w:szCs w:val="24"/>
        </w:rPr>
        <w:t xml:space="preserve"> </w:t>
      </w:r>
      <w:r w:rsidR="00CE591C" w:rsidRPr="000749B2">
        <w:rPr>
          <w:rFonts w:ascii="Book Antiqua" w:hAnsi="Book Antiqua"/>
          <w:iCs/>
          <w:color w:val="000000" w:themeColor="text1"/>
          <w:sz w:val="24"/>
          <w:szCs w:val="24"/>
        </w:rPr>
        <w:t>Furthermore, circulating tumor cells</w:t>
      </w:r>
      <w:r w:rsidR="005B5982" w:rsidRPr="000749B2">
        <w:rPr>
          <w:rFonts w:ascii="Book Antiqua" w:hAnsi="Book Antiqua"/>
          <w:iCs/>
          <w:color w:val="000000" w:themeColor="text1"/>
          <w:sz w:val="24"/>
          <w:szCs w:val="24"/>
        </w:rPr>
        <w:t xml:space="preserve"> (CTC)</w:t>
      </w:r>
      <w:r w:rsidR="00CE591C" w:rsidRPr="000749B2">
        <w:rPr>
          <w:rFonts w:ascii="Book Antiqua" w:hAnsi="Book Antiqua"/>
          <w:iCs/>
          <w:color w:val="000000" w:themeColor="text1"/>
          <w:sz w:val="24"/>
          <w:szCs w:val="24"/>
        </w:rPr>
        <w:t xml:space="preserve"> </w:t>
      </w:r>
      <w:r w:rsidR="00886FCC" w:rsidRPr="000749B2">
        <w:rPr>
          <w:rFonts w:ascii="Book Antiqua" w:hAnsi="Book Antiqua"/>
          <w:iCs/>
          <w:color w:val="000000" w:themeColor="text1"/>
          <w:sz w:val="24"/>
          <w:szCs w:val="24"/>
        </w:rPr>
        <w:t xml:space="preserve">can </w:t>
      </w:r>
      <w:r w:rsidR="00CE591C" w:rsidRPr="000749B2">
        <w:rPr>
          <w:rFonts w:ascii="Book Antiqua" w:hAnsi="Book Antiqua"/>
          <w:iCs/>
          <w:color w:val="000000" w:themeColor="text1"/>
          <w:sz w:val="24"/>
          <w:szCs w:val="24"/>
        </w:rPr>
        <w:t xml:space="preserve">be </w:t>
      </w:r>
      <w:r w:rsidR="00CC1E42" w:rsidRPr="000749B2">
        <w:rPr>
          <w:rFonts w:ascii="Book Antiqua" w:hAnsi="Book Antiqua"/>
          <w:iCs/>
          <w:color w:val="000000" w:themeColor="text1"/>
          <w:sz w:val="24"/>
          <w:szCs w:val="24"/>
        </w:rPr>
        <w:t xml:space="preserve">isolated from murine </w:t>
      </w:r>
      <w:proofErr w:type="gramStart"/>
      <w:r w:rsidR="00CC1E42" w:rsidRPr="000749B2">
        <w:rPr>
          <w:rFonts w:ascii="Book Antiqua" w:hAnsi="Book Antiqua"/>
          <w:iCs/>
          <w:color w:val="000000" w:themeColor="text1"/>
          <w:sz w:val="24"/>
          <w:szCs w:val="24"/>
        </w:rPr>
        <w:t>blood</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320]</w:t>
      </w:r>
      <w:r w:rsidR="00094C74"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In addition to the above discussed surgical approach</w:t>
      </w:r>
      <w:r w:rsidR="00886FCC" w:rsidRPr="000749B2">
        <w:rPr>
          <w:rFonts w:ascii="Book Antiqua" w:hAnsi="Book Antiqua"/>
          <w:iCs/>
          <w:color w:val="000000" w:themeColor="text1"/>
          <w:sz w:val="24"/>
          <w:szCs w:val="24"/>
        </w:rPr>
        <w:t>es</w:t>
      </w:r>
      <w:r w:rsidR="00CE591C" w:rsidRPr="000749B2">
        <w:rPr>
          <w:rFonts w:ascii="Book Antiqua" w:hAnsi="Book Antiqua"/>
          <w:iCs/>
          <w:color w:val="000000" w:themeColor="text1"/>
          <w:sz w:val="24"/>
          <w:szCs w:val="24"/>
        </w:rPr>
        <w:t>, there are less invasive concepts that do not require surgery and diminish the risk of intra</w:t>
      </w:r>
      <w:r w:rsidR="005B5982" w:rsidRPr="000749B2">
        <w:rPr>
          <w:rFonts w:ascii="Book Antiqua" w:hAnsi="Book Antiqua"/>
          <w:iCs/>
          <w:color w:val="000000" w:themeColor="text1"/>
          <w:sz w:val="24"/>
          <w:szCs w:val="24"/>
        </w:rPr>
        <w:t>a</w:t>
      </w:r>
      <w:r w:rsidR="00CE591C" w:rsidRPr="000749B2">
        <w:rPr>
          <w:rFonts w:ascii="Book Antiqua" w:hAnsi="Book Antiqua"/>
          <w:iCs/>
          <w:color w:val="000000" w:themeColor="text1"/>
          <w:sz w:val="24"/>
          <w:szCs w:val="24"/>
        </w:rPr>
        <w:t xml:space="preserve">bdominal cell spillage. Kashtan </w:t>
      </w:r>
      <w:r w:rsidR="00CE591C" w:rsidRPr="000749B2">
        <w:rPr>
          <w:rFonts w:ascii="Book Antiqua" w:hAnsi="Book Antiqua"/>
          <w:i/>
          <w:color w:val="000000" w:themeColor="text1"/>
          <w:sz w:val="24"/>
          <w:szCs w:val="24"/>
        </w:rPr>
        <w:t xml:space="preserve">et </w:t>
      </w:r>
      <w:proofErr w:type="gramStart"/>
      <w:r w:rsidR="00CE591C" w:rsidRPr="000749B2">
        <w:rPr>
          <w:rFonts w:ascii="Book Antiqua" w:hAnsi="Book Antiqua"/>
          <w:i/>
          <w:color w:val="000000" w:themeColor="text1"/>
          <w:sz w:val="24"/>
          <w:szCs w:val="24"/>
        </w:rPr>
        <w:t>al</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321]</w:t>
      </w:r>
      <w:r w:rsidR="00CE591C" w:rsidRPr="000749B2">
        <w:rPr>
          <w:rFonts w:ascii="Book Antiqua" w:hAnsi="Book Antiqua"/>
          <w:iCs/>
          <w:color w:val="000000" w:themeColor="text1"/>
          <w:sz w:val="24"/>
          <w:szCs w:val="24"/>
        </w:rPr>
        <w:t xml:space="preserve"> demonstrated the successful engraftment of murine tumor cells by submucosal injection in the distal rectum in 1992 and this approach was adapted by several</w:t>
      </w:r>
      <w:r w:rsidR="00230AF7" w:rsidRPr="000749B2">
        <w:rPr>
          <w:rFonts w:ascii="Book Antiqua" w:hAnsi="Book Antiqua"/>
          <w:iCs/>
          <w:color w:val="000000" w:themeColor="text1"/>
          <w:sz w:val="24"/>
          <w:szCs w:val="24"/>
        </w:rPr>
        <w:t xml:space="preserve"> work</w:t>
      </w:r>
      <w:r w:rsidR="00CC1E42"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groups</w:t>
      </w:r>
      <w:r w:rsidR="00C42D1B" w:rsidRPr="000749B2">
        <w:rPr>
          <w:rFonts w:ascii="Book Antiqua" w:hAnsi="Book Antiqua"/>
          <w:color w:val="000000" w:themeColor="text1"/>
          <w:sz w:val="24"/>
          <w:szCs w:val="24"/>
          <w:vertAlign w:val="superscript"/>
        </w:rPr>
        <w:t>[322-324]</w:t>
      </w:r>
      <w:r w:rsidR="00CE591C" w:rsidRPr="000749B2">
        <w:rPr>
          <w:rFonts w:ascii="Book Antiqua" w:hAnsi="Book Antiqua"/>
          <w:iCs/>
          <w:color w:val="000000" w:themeColor="text1"/>
          <w:sz w:val="24"/>
          <w:szCs w:val="24"/>
        </w:rPr>
        <w:t xml:space="preserve">. To reach more proximal parts of the rectum or the descending colon, submucosal cell application can be performed </w:t>
      </w:r>
      <w:r w:rsidR="00CE591C" w:rsidRPr="000749B2">
        <w:rPr>
          <w:rFonts w:ascii="Book Antiqua" w:hAnsi="Book Antiqua"/>
          <w:i/>
          <w:color w:val="000000" w:themeColor="text1"/>
          <w:sz w:val="24"/>
          <w:szCs w:val="24"/>
        </w:rPr>
        <w:t>via</w:t>
      </w:r>
      <w:r w:rsidR="00CE591C" w:rsidRPr="000749B2">
        <w:rPr>
          <w:rFonts w:ascii="Book Antiqua" w:hAnsi="Book Antiqua"/>
          <w:iCs/>
          <w:color w:val="000000" w:themeColor="text1"/>
          <w:sz w:val="24"/>
          <w:szCs w:val="24"/>
        </w:rPr>
        <w:t xml:space="preserve"> small endoscopic </w:t>
      </w:r>
      <w:proofErr w:type="gramStart"/>
      <w:r w:rsidR="00CE591C" w:rsidRPr="000749B2">
        <w:rPr>
          <w:rFonts w:ascii="Book Antiqua" w:hAnsi="Book Antiqua"/>
          <w:iCs/>
          <w:color w:val="000000" w:themeColor="text1"/>
          <w:sz w:val="24"/>
          <w:szCs w:val="24"/>
        </w:rPr>
        <w:t>instruments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325,326]</w:t>
      </w:r>
      <w:r w:rsidR="00094C74"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 xml:space="preserve">Depending on the cell line, liver metastases </w:t>
      </w:r>
      <w:r w:rsidR="00CC1E42" w:rsidRPr="000749B2">
        <w:rPr>
          <w:rFonts w:ascii="Book Antiqua" w:hAnsi="Book Antiqua"/>
          <w:iCs/>
          <w:color w:val="000000" w:themeColor="text1"/>
          <w:sz w:val="24"/>
          <w:szCs w:val="24"/>
        </w:rPr>
        <w:t xml:space="preserve">have been </w:t>
      </w:r>
      <w:proofErr w:type="gramStart"/>
      <w:r w:rsidR="00CC1E42" w:rsidRPr="000749B2">
        <w:rPr>
          <w:rFonts w:ascii="Book Antiqua" w:hAnsi="Book Antiqua"/>
          <w:iCs/>
          <w:color w:val="000000" w:themeColor="text1"/>
          <w:sz w:val="24"/>
          <w:szCs w:val="24"/>
        </w:rPr>
        <w:t>observed</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327]</w:t>
      </w:r>
      <w:r w:rsidR="00094C74"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 xml:space="preserve">Lastly, tumor cells can be inoculated in the colon mucosa by the acid enema approach described by Kishimoto </w:t>
      </w:r>
      <w:r w:rsidR="00CE591C" w:rsidRPr="000749B2">
        <w:rPr>
          <w:rFonts w:ascii="Book Antiqua" w:hAnsi="Book Antiqua"/>
          <w:i/>
          <w:color w:val="000000" w:themeColor="text1"/>
          <w:sz w:val="24"/>
          <w:szCs w:val="24"/>
        </w:rPr>
        <w:t xml:space="preserve">et </w:t>
      </w:r>
      <w:proofErr w:type="gramStart"/>
      <w:r w:rsidR="00CE591C" w:rsidRPr="000749B2">
        <w:rPr>
          <w:rFonts w:ascii="Book Antiqua" w:hAnsi="Book Antiqua"/>
          <w:i/>
          <w:color w:val="000000" w:themeColor="text1"/>
          <w:sz w:val="24"/>
          <w:szCs w:val="24"/>
        </w:rPr>
        <w:t>al</w:t>
      </w:r>
      <w:r w:rsidR="003437B3" w:rsidRPr="000749B2">
        <w:rPr>
          <w:rFonts w:ascii="Book Antiqua" w:hAnsi="Book Antiqua"/>
          <w:color w:val="000000" w:themeColor="text1"/>
          <w:sz w:val="24"/>
          <w:szCs w:val="24"/>
          <w:vertAlign w:val="superscript"/>
        </w:rPr>
        <w:t>[</w:t>
      </w:r>
      <w:proofErr w:type="gramEnd"/>
      <w:r w:rsidR="003437B3" w:rsidRPr="000749B2">
        <w:rPr>
          <w:rFonts w:ascii="Book Antiqua" w:hAnsi="Book Antiqua"/>
          <w:color w:val="000000" w:themeColor="text1"/>
          <w:sz w:val="24"/>
          <w:szCs w:val="24"/>
          <w:vertAlign w:val="superscript"/>
        </w:rPr>
        <w:t>328]</w:t>
      </w:r>
      <w:r w:rsidR="00CC1E42" w:rsidRPr="000749B2">
        <w:rPr>
          <w:rFonts w:ascii="Book Antiqua" w:hAnsi="Book Antiqua"/>
          <w:iCs/>
          <w:color w:val="000000" w:themeColor="text1"/>
          <w:sz w:val="24"/>
          <w:szCs w:val="24"/>
        </w:rPr>
        <w:t>;</w:t>
      </w:r>
      <w:r w:rsidR="00CE591C" w:rsidRPr="000749B2">
        <w:rPr>
          <w:rFonts w:ascii="Book Antiqua" w:hAnsi="Book Antiqua"/>
          <w:iCs/>
          <w:color w:val="000000" w:themeColor="text1"/>
          <w:sz w:val="24"/>
          <w:szCs w:val="24"/>
        </w:rPr>
        <w:t xml:space="preserve"> a true orthotopic model with intramucosal tumor development and liver metastases</w:t>
      </w:r>
      <w:r w:rsidR="00094C74" w:rsidRPr="000749B2">
        <w:rPr>
          <w:rFonts w:ascii="Book Antiqua" w:hAnsi="Book Antiqua"/>
          <w:iCs/>
          <w:color w:val="000000" w:themeColor="text1"/>
          <w:sz w:val="24"/>
          <w:szCs w:val="24"/>
        </w:rPr>
        <w:t xml:space="preserve">. </w:t>
      </w:r>
      <w:r w:rsidR="00CE591C" w:rsidRPr="000749B2">
        <w:rPr>
          <w:rFonts w:ascii="Book Antiqua" w:hAnsi="Book Antiqua"/>
          <w:iCs/>
          <w:color w:val="000000" w:themeColor="text1"/>
          <w:sz w:val="24"/>
          <w:szCs w:val="24"/>
        </w:rPr>
        <w:t xml:space="preserve">In brief, the mucosa </w:t>
      </w:r>
      <w:r w:rsidR="00CC1E42" w:rsidRPr="000749B2">
        <w:rPr>
          <w:rFonts w:ascii="Book Antiqua" w:hAnsi="Book Antiqua"/>
          <w:iCs/>
          <w:color w:val="000000" w:themeColor="text1"/>
          <w:sz w:val="24"/>
          <w:szCs w:val="24"/>
        </w:rPr>
        <w:t>is</w:t>
      </w:r>
      <w:r w:rsidR="00CE591C" w:rsidRPr="000749B2">
        <w:rPr>
          <w:rFonts w:ascii="Book Antiqua" w:hAnsi="Book Antiqua"/>
          <w:iCs/>
          <w:color w:val="000000" w:themeColor="text1"/>
          <w:sz w:val="24"/>
          <w:szCs w:val="24"/>
        </w:rPr>
        <w:t xml:space="preserve"> damaged by 4% acetic acid enema and after neutralization with PBS, </w:t>
      </w:r>
      <w:r w:rsidR="00CC1E42" w:rsidRPr="000749B2">
        <w:rPr>
          <w:rFonts w:ascii="Book Antiqua" w:hAnsi="Book Antiqua"/>
          <w:iCs/>
          <w:color w:val="000000" w:themeColor="text1"/>
          <w:sz w:val="24"/>
          <w:szCs w:val="24"/>
        </w:rPr>
        <w:t xml:space="preserve">a </w:t>
      </w:r>
      <w:r w:rsidR="00CE591C" w:rsidRPr="000749B2">
        <w:rPr>
          <w:rFonts w:ascii="Book Antiqua" w:hAnsi="Book Antiqua"/>
          <w:iCs/>
          <w:color w:val="000000" w:themeColor="text1"/>
          <w:sz w:val="24"/>
          <w:szCs w:val="24"/>
        </w:rPr>
        <w:t xml:space="preserve">tumor cell suspension </w:t>
      </w:r>
      <w:r w:rsidR="00CC1E42" w:rsidRPr="000749B2">
        <w:rPr>
          <w:rFonts w:ascii="Book Antiqua" w:hAnsi="Book Antiqua"/>
          <w:iCs/>
          <w:color w:val="000000" w:themeColor="text1"/>
          <w:sz w:val="24"/>
          <w:szCs w:val="24"/>
        </w:rPr>
        <w:t>i</w:t>
      </w:r>
      <w:r w:rsidR="00CE591C" w:rsidRPr="000749B2">
        <w:rPr>
          <w:rFonts w:ascii="Book Antiqua" w:hAnsi="Book Antiqua"/>
          <w:iCs/>
          <w:color w:val="000000" w:themeColor="text1"/>
          <w:sz w:val="24"/>
          <w:szCs w:val="24"/>
        </w:rPr>
        <w:t>s instilled and the anus temporary</w:t>
      </w:r>
      <w:r w:rsidR="00EB3BF3" w:rsidRPr="000749B2">
        <w:rPr>
          <w:rFonts w:ascii="Book Antiqua" w:hAnsi="Book Antiqua"/>
          <w:iCs/>
          <w:color w:val="000000" w:themeColor="text1"/>
          <w:sz w:val="24"/>
          <w:szCs w:val="24"/>
        </w:rPr>
        <w:t>ly</w:t>
      </w:r>
      <w:r w:rsidR="00CE591C" w:rsidRPr="000749B2">
        <w:rPr>
          <w:rFonts w:ascii="Book Antiqua" w:hAnsi="Book Antiqua"/>
          <w:iCs/>
          <w:color w:val="000000" w:themeColor="text1"/>
          <w:sz w:val="24"/>
          <w:szCs w:val="24"/>
        </w:rPr>
        <w:t xml:space="preserve"> sealed. Hi</w:t>
      </w:r>
      <w:r w:rsidR="00F875CB" w:rsidRPr="000749B2">
        <w:rPr>
          <w:rFonts w:ascii="Book Antiqua" w:hAnsi="Book Antiqua"/>
          <w:iCs/>
          <w:color w:val="000000" w:themeColor="text1"/>
          <w:sz w:val="24"/>
          <w:szCs w:val="24"/>
        </w:rPr>
        <w:t>te</w:t>
      </w:r>
      <w:r w:rsidR="00CE591C" w:rsidRPr="000749B2">
        <w:rPr>
          <w:rFonts w:ascii="Book Antiqua" w:hAnsi="Book Antiqua"/>
          <w:iCs/>
          <w:color w:val="000000" w:themeColor="text1"/>
          <w:sz w:val="24"/>
          <w:szCs w:val="24"/>
        </w:rPr>
        <w:t xml:space="preserve"> </w:t>
      </w:r>
      <w:r w:rsidR="00CE591C" w:rsidRPr="000749B2">
        <w:rPr>
          <w:rFonts w:ascii="Book Antiqua" w:hAnsi="Book Antiqua"/>
          <w:i/>
          <w:color w:val="000000" w:themeColor="text1"/>
          <w:sz w:val="24"/>
          <w:szCs w:val="24"/>
        </w:rPr>
        <w:t xml:space="preserve">et </w:t>
      </w:r>
      <w:proofErr w:type="gramStart"/>
      <w:r w:rsidR="00CE591C" w:rsidRPr="000749B2">
        <w:rPr>
          <w:rFonts w:ascii="Book Antiqua" w:hAnsi="Book Antiqua"/>
          <w:i/>
          <w:color w:val="000000" w:themeColor="text1"/>
          <w:sz w:val="24"/>
          <w:szCs w:val="24"/>
        </w:rPr>
        <w:t>al</w:t>
      </w:r>
      <w:r w:rsidR="004077FE" w:rsidRPr="000749B2">
        <w:rPr>
          <w:rFonts w:ascii="Book Antiqua" w:hAnsi="Book Antiqua"/>
          <w:color w:val="000000" w:themeColor="text1"/>
          <w:sz w:val="24"/>
          <w:szCs w:val="24"/>
          <w:vertAlign w:val="superscript"/>
        </w:rPr>
        <w:t>[</w:t>
      </w:r>
      <w:proofErr w:type="gramEnd"/>
      <w:r w:rsidR="004077FE" w:rsidRPr="000749B2">
        <w:rPr>
          <w:rFonts w:ascii="Book Antiqua" w:hAnsi="Book Antiqua"/>
          <w:color w:val="000000" w:themeColor="text1"/>
          <w:sz w:val="24"/>
          <w:szCs w:val="24"/>
          <w:vertAlign w:val="superscript"/>
        </w:rPr>
        <w:t>329]</w:t>
      </w:r>
      <w:r w:rsidR="00CE591C" w:rsidRPr="000749B2">
        <w:rPr>
          <w:rFonts w:ascii="Book Antiqua" w:hAnsi="Book Antiqua"/>
          <w:iCs/>
          <w:color w:val="000000" w:themeColor="text1"/>
          <w:sz w:val="24"/>
          <w:szCs w:val="24"/>
        </w:rPr>
        <w:t xml:space="preserve"> subjected all three orthotopic models (intracecal injection, transanal submucosal injection and acid enema</w:t>
      </w:r>
      <w:r w:rsidR="00886FCC" w:rsidRPr="000749B2">
        <w:rPr>
          <w:rFonts w:ascii="Book Antiqua" w:hAnsi="Book Antiqua"/>
          <w:iCs/>
          <w:color w:val="000000" w:themeColor="text1"/>
          <w:sz w:val="24"/>
          <w:szCs w:val="24"/>
        </w:rPr>
        <w:t>)</w:t>
      </w:r>
      <w:r w:rsidR="00CE591C" w:rsidRPr="000749B2">
        <w:rPr>
          <w:rFonts w:ascii="Book Antiqua" w:hAnsi="Book Antiqua"/>
          <w:iCs/>
          <w:color w:val="000000" w:themeColor="text1"/>
          <w:sz w:val="24"/>
          <w:szCs w:val="24"/>
        </w:rPr>
        <w:t xml:space="preserve"> to a direct comparison. They found the submucosal injection to be the most efficient in tumor formation and metastatic behavior and at the same time well tolerated by the animals. In contrast, the acid enema approach showed the lowest tumor formation frequency but a considerable mortality of 15</w:t>
      </w:r>
      <w:r w:rsidR="00C42D1B" w:rsidRPr="000749B2">
        <w:rPr>
          <w:rFonts w:ascii="Book Antiqua" w:hAnsi="Book Antiqua"/>
          <w:iCs/>
          <w:color w:val="000000" w:themeColor="text1"/>
          <w:sz w:val="24"/>
          <w:szCs w:val="24"/>
        </w:rPr>
        <w:t>%</w:t>
      </w:r>
      <w:r w:rsidR="00CE591C" w:rsidRPr="000749B2">
        <w:rPr>
          <w:rFonts w:ascii="Book Antiqua" w:hAnsi="Book Antiqua"/>
          <w:iCs/>
          <w:color w:val="000000" w:themeColor="text1"/>
          <w:sz w:val="24"/>
          <w:szCs w:val="24"/>
        </w:rPr>
        <w:t xml:space="preserve">. Enquist </w:t>
      </w:r>
      <w:r w:rsidR="00CE591C" w:rsidRPr="000749B2">
        <w:rPr>
          <w:rFonts w:ascii="Book Antiqua" w:hAnsi="Book Antiqua"/>
          <w:i/>
          <w:color w:val="000000" w:themeColor="text1"/>
          <w:sz w:val="24"/>
          <w:szCs w:val="24"/>
        </w:rPr>
        <w:t xml:space="preserve">et </w:t>
      </w:r>
      <w:proofErr w:type="gramStart"/>
      <w:r w:rsidR="00CE591C" w:rsidRPr="000749B2">
        <w:rPr>
          <w:rFonts w:ascii="Book Antiqua" w:hAnsi="Book Antiqua"/>
          <w:i/>
          <w:color w:val="000000" w:themeColor="text1"/>
          <w:sz w:val="24"/>
          <w:szCs w:val="24"/>
        </w:rPr>
        <w:t>al</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312]</w:t>
      </w:r>
      <w:r w:rsidR="00CE591C" w:rsidRPr="000749B2">
        <w:rPr>
          <w:rFonts w:ascii="Book Antiqua" w:hAnsi="Book Antiqua"/>
          <w:iCs/>
          <w:color w:val="000000" w:themeColor="text1"/>
          <w:sz w:val="24"/>
          <w:szCs w:val="24"/>
        </w:rPr>
        <w:t xml:space="preserve"> pursued a different concept by sewing a tumor piece directly to the mucosa by creating an artificial rectal prolapse. </w:t>
      </w:r>
      <w:r w:rsidR="00886FCC" w:rsidRPr="000749B2">
        <w:rPr>
          <w:rFonts w:ascii="Book Antiqua" w:hAnsi="Book Antiqua"/>
          <w:iCs/>
          <w:color w:val="000000" w:themeColor="text1"/>
          <w:sz w:val="24"/>
          <w:szCs w:val="24"/>
        </w:rPr>
        <w:t>T</w:t>
      </w:r>
      <w:r w:rsidR="00CE591C" w:rsidRPr="000749B2">
        <w:rPr>
          <w:rFonts w:ascii="Book Antiqua" w:hAnsi="Book Antiqua"/>
          <w:iCs/>
          <w:color w:val="000000" w:themeColor="text1"/>
          <w:sz w:val="24"/>
          <w:szCs w:val="24"/>
        </w:rPr>
        <w:t>hey were able to engraft pieces from transgenic A</w:t>
      </w:r>
      <w:r w:rsidR="00CE591C" w:rsidRPr="000749B2">
        <w:rPr>
          <w:rFonts w:ascii="Book Antiqua" w:hAnsi="Book Antiqua"/>
          <w:i/>
          <w:iCs/>
          <w:color w:val="000000" w:themeColor="text1"/>
          <w:sz w:val="24"/>
          <w:szCs w:val="24"/>
        </w:rPr>
        <w:t>pc</w:t>
      </w:r>
      <w:r w:rsidR="00CE591C" w:rsidRPr="000749B2">
        <w:rPr>
          <w:rFonts w:ascii="Book Antiqua" w:hAnsi="Book Antiqua"/>
          <w:i/>
          <w:iCs/>
          <w:color w:val="000000" w:themeColor="text1"/>
          <w:sz w:val="24"/>
          <w:szCs w:val="24"/>
          <w:vertAlign w:val="superscript"/>
        </w:rPr>
        <w:t>Min/+</w:t>
      </w:r>
      <w:proofErr w:type="gramStart"/>
      <w:r w:rsidR="00CE591C" w:rsidRPr="000749B2">
        <w:rPr>
          <w:rFonts w:ascii="Book Antiqua" w:hAnsi="Book Antiqua"/>
          <w:i/>
          <w:iCs/>
          <w:color w:val="000000" w:themeColor="text1"/>
          <w:sz w:val="24"/>
          <w:szCs w:val="24"/>
        </w:rPr>
        <w:t>;Kras</w:t>
      </w:r>
      <w:r w:rsidR="00CE591C" w:rsidRPr="000749B2">
        <w:rPr>
          <w:rFonts w:ascii="Book Antiqua" w:hAnsi="Book Antiqua"/>
          <w:i/>
          <w:iCs/>
          <w:color w:val="000000" w:themeColor="text1"/>
          <w:sz w:val="24"/>
          <w:szCs w:val="24"/>
          <w:vertAlign w:val="superscript"/>
        </w:rPr>
        <w:t>LSLG12D</w:t>
      </w:r>
      <w:proofErr w:type="gramEnd"/>
      <w:r w:rsidR="00CE591C" w:rsidRPr="000749B2">
        <w:rPr>
          <w:rFonts w:ascii="Book Antiqua" w:hAnsi="Book Antiqua"/>
          <w:i/>
          <w:iCs/>
          <w:color w:val="000000" w:themeColor="text1"/>
          <w:sz w:val="24"/>
          <w:szCs w:val="24"/>
          <w:vertAlign w:val="superscript"/>
        </w:rPr>
        <w:t>/+</w:t>
      </w:r>
      <w:r w:rsidR="00CE591C" w:rsidRPr="000749B2">
        <w:rPr>
          <w:rFonts w:ascii="Book Antiqua" w:hAnsi="Book Antiqua"/>
          <w:i/>
          <w:iCs/>
          <w:color w:val="000000" w:themeColor="text1"/>
          <w:sz w:val="24"/>
          <w:szCs w:val="24"/>
        </w:rPr>
        <w:t>;Villin-Cre</w:t>
      </w:r>
      <w:r w:rsidR="00CE591C" w:rsidRPr="000749B2">
        <w:rPr>
          <w:rFonts w:ascii="Book Antiqua" w:hAnsi="Book Antiqua"/>
          <w:color w:val="000000" w:themeColor="text1"/>
          <w:sz w:val="24"/>
          <w:szCs w:val="24"/>
        </w:rPr>
        <w:t xml:space="preserve"> adenomas in the colon </w:t>
      </w:r>
      <w:r w:rsidR="005B5982" w:rsidRPr="000749B2">
        <w:rPr>
          <w:rFonts w:ascii="Book Antiqua" w:hAnsi="Book Antiqua"/>
          <w:color w:val="000000" w:themeColor="text1"/>
          <w:sz w:val="24"/>
          <w:szCs w:val="24"/>
        </w:rPr>
        <w:t xml:space="preserve">of </w:t>
      </w:r>
      <w:r w:rsidR="00CE591C" w:rsidRPr="000749B2">
        <w:rPr>
          <w:rFonts w:ascii="Book Antiqua" w:hAnsi="Book Antiqua"/>
          <w:color w:val="000000" w:themeColor="text1"/>
          <w:sz w:val="24"/>
          <w:szCs w:val="24"/>
        </w:rPr>
        <w:t>syngeneic</w:t>
      </w:r>
      <w:r w:rsidR="005B5982" w:rsidRPr="000749B2">
        <w:rPr>
          <w:rFonts w:ascii="Book Antiqua" w:hAnsi="Book Antiqua"/>
          <w:color w:val="000000" w:themeColor="text1"/>
          <w:sz w:val="24"/>
          <w:szCs w:val="24"/>
        </w:rPr>
        <w:t xml:space="preserve"> animals</w:t>
      </w:r>
      <w:r w:rsidR="00CE591C" w:rsidRPr="000749B2">
        <w:rPr>
          <w:rFonts w:ascii="Book Antiqua" w:hAnsi="Book Antiqua"/>
          <w:color w:val="000000" w:themeColor="text1"/>
          <w:sz w:val="24"/>
          <w:szCs w:val="24"/>
        </w:rPr>
        <w:t xml:space="preserve"> and a small subset of these tumors progressed to carcinomas. More strikingly, the</w:t>
      </w:r>
      <w:r w:rsidR="00886FCC" w:rsidRPr="000749B2">
        <w:rPr>
          <w:rFonts w:ascii="Book Antiqua" w:hAnsi="Book Antiqua"/>
          <w:color w:val="000000" w:themeColor="text1"/>
          <w:sz w:val="24"/>
          <w:szCs w:val="24"/>
        </w:rPr>
        <w:t>y</w:t>
      </w:r>
      <w:r w:rsidR="00CE591C" w:rsidRPr="000749B2">
        <w:rPr>
          <w:rFonts w:ascii="Book Antiqua" w:hAnsi="Book Antiqua"/>
          <w:color w:val="000000" w:themeColor="text1"/>
          <w:sz w:val="24"/>
          <w:szCs w:val="24"/>
        </w:rPr>
        <w:t xml:space="preserve"> managed also to transfer s.c. human PDX to the colons of NSG mice reflecting stage-dependent biologic</w:t>
      </w:r>
      <w:r w:rsidR="0011697C" w:rsidRPr="000749B2">
        <w:rPr>
          <w:rFonts w:ascii="Book Antiqua" w:hAnsi="Book Antiqua"/>
          <w:color w:val="000000" w:themeColor="text1"/>
          <w:sz w:val="24"/>
          <w:szCs w:val="24"/>
        </w:rPr>
        <w:t>al</w:t>
      </w:r>
      <w:r w:rsidR="00CE591C" w:rsidRPr="000749B2">
        <w:rPr>
          <w:rFonts w:ascii="Book Antiqua" w:hAnsi="Book Antiqua"/>
          <w:color w:val="000000" w:themeColor="text1"/>
          <w:sz w:val="24"/>
          <w:szCs w:val="24"/>
        </w:rPr>
        <w:t xml:space="preserve"> behavior as lymph node metastases could be observed for stage III </w:t>
      </w:r>
      <w:proofErr w:type="gramStart"/>
      <w:r w:rsidR="00CC1E42" w:rsidRPr="000749B2">
        <w:rPr>
          <w:rFonts w:ascii="Book Antiqua" w:hAnsi="Book Antiqua"/>
          <w:color w:val="000000" w:themeColor="text1"/>
          <w:sz w:val="24"/>
          <w:szCs w:val="24"/>
        </w:rPr>
        <w:t>PDX</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312]</w:t>
      </w:r>
      <w:r w:rsidR="00C42D1B" w:rsidRPr="000749B2">
        <w:rPr>
          <w:rFonts w:ascii="Book Antiqua" w:hAnsi="Book Antiqua"/>
          <w:color w:val="000000" w:themeColor="text1"/>
          <w:sz w:val="24"/>
          <w:szCs w:val="24"/>
        </w:rPr>
        <w:t>.</w:t>
      </w:r>
    </w:p>
    <w:p w14:paraId="07A3C752" w14:textId="79F23B07" w:rsidR="00AE58BD" w:rsidRPr="000749B2" w:rsidRDefault="00CE591C" w:rsidP="000B4309">
      <w:pPr>
        <w:spacing w:after="0" w:line="360" w:lineRule="auto"/>
        <w:ind w:firstLineChars="100" w:firstLine="240"/>
        <w:jc w:val="both"/>
        <w:rPr>
          <w:rFonts w:ascii="Book Antiqua" w:hAnsi="Book Antiqua"/>
          <w:color w:val="000000" w:themeColor="text1"/>
          <w:sz w:val="24"/>
          <w:szCs w:val="24"/>
        </w:rPr>
      </w:pPr>
      <w:r w:rsidRPr="000749B2">
        <w:rPr>
          <w:rFonts w:ascii="Book Antiqua" w:hAnsi="Book Antiqua"/>
          <w:color w:val="000000" w:themeColor="text1"/>
          <w:sz w:val="24"/>
          <w:szCs w:val="24"/>
        </w:rPr>
        <w:t>Today</w:t>
      </w:r>
      <w:r w:rsidR="00CC1E42"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orthotopic models are copiously used for the </w:t>
      </w:r>
      <w:r w:rsidRPr="000749B2">
        <w:rPr>
          <w:rFonts w:ascii="Book Antiqua" w:hAnsi="Book Antiqua"/>
          <w:i/>
          <w:iCs/>
          <w:color w:val="000000" w:themeColor="text1"/>
          <w:sz w:val="24"/>
          <w:szCs w:val="24"/>
        </w:rPr>
        <w:t>in vivo</w:t>
      </w:r>
      <w:r w:rsidRPr="000749B2">
        <w:rPr>
          <w:rFonts w:ascii="Book Antiqua" w:hAnsi="Book Antiqua"/>
          <w:color w:val="000000" w:themeColor="text1"/>
          <w:sz w:val="24"/>
          <w:szCs w:val="24"/>
        </w:rPr>
        <w:t xml:space="preserve"> validation of new therapeutic compounds and as a proof-of-principle </w:t>
      </w:r>
      <w:proofErr w:type="gramStart"/>
      <w:r w:rsidRPr="000749B2">
        <w:rPr>
          <w:rFonts w:ascii="Book Antiqua" w:hAnsi="Book Antiqua"/>
          <w:color w:val="000000" w:themeColor="text1"/>
          <w:sz w:val="24"/>
          <w:szCs w:val="24"/>
        </w:rPr>
        <w:t>approach</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330-333]</w:t>
      </w:r>
      <w:r w:rsidR="00094C74"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However, their </w:t>
      </w:r>
      <w:r w:rsidRPr="000749B2">
        <w:rPr>
          <w:rFonts w:ascii="Book Antiqua" w:hAnsi="Book Antiqua"/>
          <w:color w:val="000000" w:themeColor="text1"/>
          <w:sz w:val="24"/>
          <w:szCs w:val="24"/>
        </w:rPr>
        <w:lastRenderedPageBreak/>
        <w:t>clinical relevance is limited by the common use of similar, poorly differentiated cell lines. The orthotopic PDX model is promising, but its</w:t>
      </w:r>
      <w:r w:rsidR="001524F4"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tumor take rate is not higher as in the s.c. PDX model.</w:t>
      </w:r>
      <w:r w:rsidR="001F207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A very recently published, “crossover” concept comprising the s.c. engraftment of a PDX, followed by enzymatic disintegration of the PDX to a cell suspension and subsequent orthotopic injection into the rectal submucosa yielded an engraftment rate of 70% for s.c. PDX and 46% for the orthotopic model. Moreover, a metastatic spread was observed for 60% of the tumor</w:t>
      </w:r>
      <w:r w:rsidR="00886FCC" w:rsidRPr="000749B2">
        <w:rPr>
          <w:rFonts w:ascii="Book Antiqua" w:hAnsi="Book Antiqua"/>
          <w:color w:val="000000" w:themeColor="text1"/>
          <w:sz w:val="24"/>
          <w:szCs w:val="24"/>
        </w:rPr>
        <w:t>s</w:t>
      </w:r>
      <w:r w:rsidRPr="000749B2">
        <w:rPr>
          <w:rFonts w:ascii="Book Antiqua" w:hAnsi="Book Antiqua"/>
          <w:color w:val="000000" w:themeColor="text1"/>
          <w:sz w:val="24"/>
          <w:szCs w:val="24"/>
        </w:rPr>
        <w:t xml:space="preserve"> successfully engrafted </w:t>
      </w:r>
      <w:proofErr w:type="gramStart"/>
      <w:r w:rsidRPr="000749B2">
        <w:rPr>
          <w:rFonts w:ascii="Book Antiqua" w:hAnsi="Book Antiqua"/>
          <w:color w:val="000000" w:themeColor="text1"/>
          <w:sz w:val="24"/>
          <w:szCs w:val="24"/>
        </w:rPr>
        <w:t>orthotopically</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334]</w:t>
      </w:r>
      <w:r w:rsidR="00CC1E42" w:rsidRPr="000749B2">
        <w:rPr>
          <w:rFonts w:ascii="Book Antiqua" w:hAnsi="Book Antiqua"/>
          <w:color w:val="000000" w:themeColor="text1"/>
          <w:sz w:val="24"/>
          <w:szCs w:val="24"/>
        </w:rPr>
        <w:t>.</w:t>
      </w:r>
    </w:p>
    <w:p w14:paraId="6FFCB65D" w14:textId="77777777" w:rsidR="00AE58BD" w:rsidRPr="000749B2" w:rsidRDefault="00AE58BD" w:rsidP="000B4309">
      <w:pPr>
        <w:spacing w:after="0" w:line="360" w:lineRule="auto"/>
        <w:jc w:val="both"/>
        <w:rPr>
          <w:rFonts w:ascii="Book Antiqua" w:hAnsi="Book Antiqua"/>
          <w:color w:val="000000" w:themeColor="text1"/>
          <w:sz w:val="24"/>
          <w:szCs w:val="24"/>
        </w:rPr>
      </w:pPr>
    </w:p>
    <w:p w14:paraId="166F58E3" w14:textId="21979844" w:rsidR="00B367D3" w:rsidRPr="000749B2" w:rsidRDefault="00AE58BD" w:rsidP="000B4309">
      <w:pPr>
        <w:spacing w:after="0" w:line="360" w:lineRule="auto"/>
        <w:jc w:val="both"/>
        <w:rPr>
          <w:rFonts w:ascii="Book Antiqua" w:hAnsi="Book Antiqua"/>
          <w:b/>
          <w:bCs/>
          <w:color w:val="000000" w:themeColor="text1"/>
          <w:sz w:val="24"/>
          <w:szCs w:val="24"/>
          <w:u w:val="single"/>
        </w:rPr>
      </w:pPr>
      <w:r w:rsidRPr="000749B2">
        <w:rPr>
          <w:rFonts w:ascii="Book Antiqua" w:hAnsi="Book Antiqua"/>
          <w:b/>
          <w:bCs/>
          <w:color w:val="000000" w:themeColor="text1"/>
          <w:sz w:val="24"/>
          <w:szCs w:val="24"/>
          <w:u w:val="single"/>
        </w:rPr>
        <w:t>RECENT DEVELOPMENTS AND FUTURE PERSPECTIVES</w:t>
      </w:r>
    </w:p>
    <w:p w14:paraId="502ED593" w14:textId="727F93BF" w:rsidR="00CE591C" w:rsidRPr="000749B2" w:rsidRDefault="00CE591C" w:rsidP="000B4309">
      <w:pPr>
        <w:spacing w:after="0"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The increasing field of precision medicine has a growing need for highly translational cancer models</w:t>
      </w:r>
      <w:r w:rsidR="0011697C"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w:t>
      </w:r>
      <w:r w:rsidR="0011697C" w:rsidRPr="000749B2">
        <w:rPr>
          <w:rFonts w:ascii="Book Antiqua" w:hAnsi="Book Antiqua"/>
          <w:color w:val="000000" w:themeColor="text1"/>
          <w:sz w:val="24"/>
          <w:szCs w:val="24"/>
        </w:rPr>
        <w:t>C</w:t>
      </w:r>
      <w:r w:rsidRPr="000749B2">
        <w:rPr>
          <w:rFonts w:ascii="Book Antiqua" w:hAnsi="Book Antiqua"/>
          <w:color w:val="000000" w:themeColor="text1"/>
          <w:sz w:val="24"/>
          <w:szCs w:val="24"/>
        </w:rPr>
        <w:t>onversely</w:t>
      </w:r>
      <w:r w:rsidR="0011697C"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the increasingly negative public perception of animal studies constrains the scientific community to further stress the 3R-principle (replacement, reduction </w:t>
      </w:r>
      <w:r w:rsidR="00C42D1B" w:rsidRPr="000749B2">
        <w:rPr>
          <w:rFonts w:ascii="Book Antiqua" w:hAnsi="Book Antiqua"/>
          <w:color w:val="000000" w:themeColor="text1"/>
          <w:sz w:val="24"/>
          <w:szCs w:val="24"/>
        </w:rPr>
        <w:t>and</w:t>
      </w:r>
      <w:r w:rsidRPr="000749B2">
        <w:rPr>
          <w:rFonts w:ascii="Book Antiqua" w:hAnsi="Book Antiqua"/>
          <w:color w:val="000000" w:themeColor="text1"/>
          <w:sz w:val="24"/>
          <w:szCs w:val="24"/>
        </w:rPr>
        <w:t xml:space="preserve"> refinement) in cancer </w:t>
      </w:r>
      <w:proofErr w:type="gramStart"/>
      <w:r w:rsidRPr="000749B2">
        <w:rPr>
          <w:rFonts w:ascii="Book Antiqua" w:hAnsi="Book Antiqua"/>
          <w:color w:val="000000" w:themeColor="text1"/>
          <w:sz w:val="24"/>
          <w:szCs w:val="24"/>
        </w:rPr>
        <w:t>research</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335]</w:t>
      </w:r>
      <w:r w:rsidRPr="000749B2">
        <w:rPr>
          <w:rFonts w:ascii="Book Antiqua" w:hAnsi="Book Antiqua"/>
          <w:color w:val="000000" w:themeColor="text1"/>
          <w:sz w:val="24"/>
          <w:szCs w:val="24"/>
        </w:rPr>
        <w:t xml:space="preserve">. Aside from the improvement of </w:t>
      </w:r>
      <w:r w:rsidRPr="000749B2">
        <w:rPr>
          <w:rFonts w:ascii="Book Antiqua" w:hAnsi="Book Antiqua"/>
          <w:i/>
          <w:iCs/>
          <w:color w:val="000000" w:themeColor="text1"/>
          <w:sz w:val="24"/>
          <w:szCs w:val="24"/>
        </w:rPr>
        <w:t>in vivo</w:t>
      </w:r>
      <w:r w:rsidRPr="000749B2">
        <w:rPr>
          <w:rFonts w:ascii="Book Antiqua" w:hAnsi="Book Antiqua"/>
          <w:color w:val="000000" w:themeColor="text1"/>
          <w:sz w:val="24"/>
          <w:szCs w:val="24"/>
        </w:rPr>
        <w:t xml:space="preserve"> models, this implies the refinement of </w:t>
      </w:r>
      <w:r w:rsidRPr="000749B2">
        <w:rPr>
          <w:rFonts w:ascii="Book Antiqua" w:hAnsi="Book Antiqua"/>
          <w:i/>
          <w:iCs/>
          <w:color w:val="000000" w:themeColor="text1"/>
          <w:sz w:val="24"/>
          <w:szCs w:val="24"/>
        </w:rPr>
        <w:t>in vitro</w:t>
      </w:r>
      <w:r w:rsidRPr="000749B2">
        <w:rPr>
          <w:rFonts w:ascii="Book Antiqua" w:hAnsi="Book Antiqua"/>
          <w:color w:val="000000" w:themeColor="text1"/>
          <w:sz w:val="24"/>
          <w:szCs w:val="24"/>
        </w:rPr>
        <w:t xml:space="preserve"> methods as well.</w:t>
      </w:r>
    </w:p>
    <w:p w14:paraId="2FC451D4" w14:textId="01B0A60C" w:rsidR="00CE591C" w:rsidRPr="000749B2" w:rsidRDefault="00CE591C" w:rsidP="000B4309">
      <w:pPr>
        <w:spacing w:after="0" w:line="360" w:lineRule="auto"/>
        <w:ind w:firstLineChars="100" w:firstLine="240"/>
        <w:jc w:val="both"/>
        <w:rPr>
          <w:rFonts w:ascii="Book Antiqua" w:hAnsi="Book Antiqua"/>
          <w:color w:val="000000" w:themeColor="text1"/>
          <w:sz w:val="24"/>
          <w:szCs w:val="24"/>
        </w:rPr>
      </w:pPr>
      <w:r w:rsidRPr="000749B2">
        <w:rPr>
          <w:rFonts w:ascii="Book Antiqua" w:hAnsi="Book Antiqua"/>
          <w:color w:val="000000" w:themeColor="text1"/>
          <w:sz w:val="24"/>
          <w:szCs w:val="24"/>
        </w:rPr>
        <w:t>Humanized mice are severely immunocompromised mice, which can be reconstituted with various types of human bone marrow-derived cell</w:t>
      </w:r>
      <w:r w:rsidR="00886FCC" w:rsidRPr="000749B2">
        <w:rPr>
          <w:rFonts w:ascii="Book Antiqua" w:hAnsi="Book Antiqua"/>
          <w:color w:val="000000" w:themeColor="text1"/>
          <w:sz w:val="24"/>
          <w:szCs w:val="24"/>
        </w:rPr>
        <w:t>s</w:t>
      </w:r>
      <w:r w:rsidRPr="000749B2">
        <w:rPr>
          <w:rFonts w:ascii="Book Antiqua" w:hAnsi="Book Antiqua"/>
          <w:color w:val="000000" w:themeColor="text1"/>
          <w:sz w:val="24"/>
          <w:szCs w:val="24"/>
        </w:rPr>
        <w:t xml:space="preserve"> or CD34</w:t>
      </w:r>
      <w:r w:rsidRPr="000749B2">
        <w:rPr>
          <w:rFonts w:ascii="Book Antiqua" w:hAnsi="Book Antiqua"/>
          <w:color w:val="000000" w:themeColor="text1"/>
          <w:sz w:val="24"/>
          <w:szCs w:val="24"/>
          <w:vertAlign w:val="superscript"/>
        </w:rPr>
        <w:t xml:space="preserve">+ </w:t>
      </w:r>
      <w:r w:rsidRPr="000749B2">
        <w:rPr>
          <w:rFonts w:ascii="Book Antiqua" w:hAnsi="Book Antiqua"/>
          <w:color w:val="000000" w:themeColor="text1"/>
          <w:sz w:val="24"/>
          <w:szCs w:val="24"/>
        </w:rPr>
        <w:t xml:space="preserve">hematopoietic stem </w:t>
      </w:r>
      <w:proofErr w:type="gramStart"/>
      <w:r w:rsidRPr="000749B2">
        <w:rPr>
          <w:rFonts w:ascii="Book Antiqua" w:hAnsi="Book Antiqua"/>
          <w:color w:val="000000" w:themeColor="text1"/>
          <w:sz w:val="24"/>
          <w:szCs w:val="24"/>
        </w:rPr>
        <w:t>cells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336,337]</w:t>
      </w:r>
      <w:r w:rsidR="00094C74"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Since human stem and progenitor cells can be attained from umbilical cord blood or from peripheral drawn blood samples after </w:t>
      </w:r>
      <w:r w:rsidR="00334BAF" w:rsidRPr="000749B2">
        <w:rPr>
          <w:rFonts w:ascii="Book Antiqua" w:hAnsi="Book Antiqua"/>
          <w:color w:val="000000" w:themeColor="text1"/>
          <w:sz w:val="24"/>
          <w:szCs w:val="24"/>
        </w:rPr>
        <w:t>GM</w:t>
      </w:r>
      <w:r w:rsidRPr="000749B2">
        <w:rPr>
          <w:rFonts w:ascii="Book Antiqua" w:hAnsi="Book Antiqua"/>
          <w:color w:val="000000" w:themeColor="text1"/>
          <w:sz w:val="24"/>
          <w:szCs w:val="24"/>
        </w:rPr>
        <w:t xml:space="preserve">-CSF treatment and cultured </w:t>
      </w:r>
      <w:r w:rsidRPr="000749B2">
        <w:rPr>
          <w:rFonts w:ascii="Book Antiqua" w:hAnsi="Book Antiqua"/>
          <w:i/>
          <w:iCs/>
          <w:color w:val="000000" w:themeColor="text1"/>
          <w:sz w:val="24"/>
          <w:szCs w:val="24"/>
        </w:rPr>
        <w:t xml:space="preserve">in </w:t>
      </w:r>
      <w:proofErr w:type="gramStart"/>
      <w:r w:rsidRPr="000749B2">
        <w:rPr>
          <w:rFonts w:ascii="Book Antiqua" w:hAnsi="Book Antiqua"/>
          <w:i/>
          <w:iCs/>
          <w:color w:val="000000" w:themeColor="text1"/>
          <w:sz w:val="24"/>
          <w:szCs w:val="24"/>
        </w:rPr>
        <w:t>vi</w:t>
      </w:r>
      <w:r w:rsidR="0048210D" w:rsidRPr="000749B2">
        <w:rPr>
          <w:rFonts w:ascii="Book Antiqua" w:hAnsi="Book Antiqua"/>
          <w:i/>
          <w:iCs/>
          <w:color w:val="000000" w:themeColor="text1"/>
          <w:sz w:val="24"/>
          <w:szCs w:val="24"/>
        </w:rPr>
        <w:t>tro</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338]</w:t>
      </w:r>
      <w:r w:rsidR="00094C74"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these cells can be transferred to sub-lethally irradiated NSG mice. Morton </w:t>
      </w:r>
      <w:r w:rsidRPr="000749B2">
        <w:rPr>
          <w:rFonts w:ascii="Book Antiqua" w:hAnsi="Book Antiqua"/>
          <w:i/>
          <w:iCs/>
          <w:color w:val="000000" w:themeColor="text1"/>
          <w:sz w:val="24"/>
          <w:szCs w:val="24"/>
        </w:rPr>
        <w:t xml:space="preserve">et </w:t>
      </w:r>
      <w:proofErr w:type="gramStart"/>
      <w:r w:rsidRPr="000749B2">
        <w:rPr>
          <w:rFonts w:ascii="Book Antiqua" w:hAnsi="Book Antiqua"/>
          <w:i/>
          <w:iCs/>
          <w:color w:val="000000" w:themeColor="text1"/>
          <w:sz w:val="24"/>
          <w:szCs w:val="24"/>
        </w:rPr>
        <w:t>al</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339]</w:t>
      </w:r>
      <w:r w:rsidRPr="000749B2">
        <w:rPr>
          <w:rFonts w:ascii="Book Antiqua" w:hAnsi="Book Antiqua"/>
          <w:color w:val="000000" w:themeColor="text1"/>
          <w:sz w:val="24"/>
          <w:szCs w:val="24"/>
        </w:rPr>
        <w:t xml:space="preserve"> observed that PDX of head and neck cancer engrafted into these, so called “Xact mice”, are infiltrated with human B and T</w:t>
      </w:r>
      <w:r w:rsidR="00175C0D"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lymphocytes. Many transgenic mice further support engraftment with CD34</w:t>
      </w:r>
      <w:r w:rsidRPr="000749B2">
        <w:rPr>
          <w:rFonts w:ascii="Book Antiqua" w:hAnsi="Book Antiqua"/>
          <w:color w:val="000000" w:themeColor="text1"/>
          <w:sz w:val="24"/>
          <w:szCs w:val="24"/>
          <w:vertAlign w:val="superscript"/>
        </w:rPr>
        <w:t>+</w:t>
      </w:r>
      <w:r w:rsidRPr="000749B2">
        <w:rPr>
          <w:rFonts w:ascii="Book Antiqua" w:hAnsi="Book Antiqua"/>
          <w:color w:val="000000" w:themeColor="text1"/>
          <w:sz w:val="24"/>
          <w:szCs w:val="24"/>
        </w:rPr>
        <w:t xml:space="preserve"> stem cells by overexpression of human interleukins and signaling molecules</w:t>
      </w:r>
      <w:r w:rsidR="009A0379" w:rsidRPr="000749B2">
        <w:rPr>
          <w:rFonts w:ascii="Book Antiqua" w:hAnsi="Book Antiqua"/>
          <w:color w:val="000000" w:themeColor="text1"/>
          <w:sz w:val="24"/>
          <w:szCs w:val="24"/>
        </w:rPr>
        <w:t xml:space="preserve">. </w:t>
      </w:r>
      <w:r w:rsidR="003437B3" w:rsidRPr="000749B2">
        <w:rPr>
          <w:rFonts w:ascii="Book Antiqua" w:hAnsi="Book Antiqua"/>
          <w:color w:val="000000" w:themeColor="text1"/>
          <w:sz w:val="24"/>
          <w:szCs w:val="24"/>
        </w:rPr>
        <w:t xml:space="preserve">Thus </w:t>
      </w:r>
      <w:proofErr w:type="gramStart"/>
      <w:r w:rsidR="003437B3" w:rsidRPr="000749B2">
        <w:rPr>
          <w:rFonts w:ascii="Book Antiqua" w:hAnsi="Book Antiqua"/>
          <w:color w:val="000000" w:themeColor="text1"/>
          <w:sz w:val="24"/>
          <w:szCs w:val="24"/>
        </w:rPr>
        <w:t>NBSGW</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340]</w:t>
      </w:r>
      <w:r w:rsidRPr="000749B2">
        <w:rPr>
          <w:rFonts w:ascii="Book Antiqua" w:hAnsi="Book Antiqua"/>
          <w:color w:val="000000" w:themeColor="text1"/>
          <w:sz w:val="24"/>
          <w:szCs w:val="24"/>
        </w:rPr>
        <w:t>, hIL2-NOG</w:t>
      </w:r>
      <w:r w:rsidR="00C42D1B" w:rsidRPr="000749B2">
        <w:rPr>
          <w:rFonts w:ascii="Book Antiqua" w:hAnsi="Book Antiqua"/>
          <w:color w:val="000000" w:themeColor="text1"/>
          <w:sz w:val="24"/>
          <w:szCs w:val="24"/>
          <w:vertAlign w:val="superscript"/>
        </w:rPr>
        <w:t>[341]</w:t>
      </w:r>
      <w:r w:rsidRPr="000749B2">
        <w:rPr>
          <w:rFonts w:ascii="Book Antiqua" w:hAnsi="Book Antiqua"/>
          <w:color w:val="000000" w:themeColor="text1"/>
          <w:sz w:val="24"/>
          <w:szCs w:val="24"/>
        </w:rPr>
        <w:t>, NSG-SGM3</w:t>
      </w:r>
      <w:r w:rsidR="00C42D1B" w:rsidRPr="000749B2">
        <w:rPr>
          <w:rFonts w:ascii="Book Antiqua" w:hAnsi="Book Antiqua"/>
          <w:color w:val="000000" w:themeColor="text1"/>
          <w:sz w:val="24"/>
          <w:szCs w:val="24"/>
          <w:vertAlign w:val="superscript"/>
        </w:rPr>
        <w:t>[342]</w:t>
      </w:r>
      <w:r w:rsidR="00886FCC" w:rsidRPr="000749B2">
        <w:rPr>
          <w:rFonts w:ascii="Book Antiqua" w:hAnsi="Book Antiqua"/>
          <w:color w:val="000000" w:themeColor="text1"/>
          <w:sz w:val="24"/>
          <w:szCs w:val="24"/>
        </w:rPr>
        <w:t xml:space="preserve"> and</w:t>
      </w:r>
      <w:r w:rsidRPr="000749B2">
        <w:rPr>
          <w:rFonts w:ascii="Book Antiqua" w:hAnsi="Book Antiqua"/>
          <w:color w:val="000000" w:themeColor="text1"/>
          <w:sz w:val="24"/>
          <w:szCs w:val="24"/>
        </w:rPr>
        <w:t xml:space="preserve"> SRG-15 mice</w:t>
      </w:r>
      <w:r w:rsidR="00C42D1B" w:rsidRPr="000749B2">
        <w:rPr>
          <w:rFonts w:ascii="Book Antiqua" w:hAnsi="Book Antiqua"/>
          <w:color w:val="000000" w:themeColor="text1"/>
          <w:sz w:val="24"/>
          <w:szCs w:val="24"/>
          <w:vertAlign w:val="superscript"/>
        </w:rPr>
        <w:t>[343]</w:t>
      </w:r>
      <w:r w:rsidRPr="000749B2">
        <w:rPr>
          <w:rFonts w:ascii="Book Antiqua" w:hAnsi="Book Antiqua"/>
          <w:color w:val="000000" w:themeColor="text1"/>
          <w:sz w:val="24"/>
          <w:szCs w:val="24"/>
        </w:rPr>
        <w:t xml:space="preserve"> have been introduced recently </w:t>
      </w:r>
      <w:r w:rsidR="009A0379" w:rsidRPr="000749B2">
        <w:rPr>
          <w:rFonts w:ascii="Book Antiqua" w:hAnsi="Book Antiqua"/>
          <w:color w:val="000000" w:themeColor="text1"/>
          <w:sz w:val="24"/>
          <w:szCs w:val="24"/>
        </w:rPr>
        <w:t xml:space="preserve">and </w:t>
      </w:r>
      <w:r w:rsidRPr="000749B2">
        <w:rPr>
          <w:rFonts w:ascii="Book Antiqua" w:hAnsi="Book Antiqua"/>
          <w:color w:val="000000" w:themeColor="text1"/>
          <w:sz w:val="24"/>
          <w:szCs w:val="24"/>
        </w:rPr>
        <w:t>antitumor effect</w:t>
      </w:r>
      <w:r w:rsidR="00305A4E" w:rsidRPr="000749B2">
        <w:rPr>
          <w:rFonts w:ascii="Book Antiqua" w:hAnsi="Book Antiqua"/>
          <w:color w:val="000000" w:themeColor="text1"/>
          <w:sz w:val="24"/>
          <w:szCs w:val="24"/>
        </w:rPr>
        <w:t>s</w:t>
      </w:r>
      <w:r w:rsidRPr="000749B2">
        <w:rPr>
          <w:rFonts w:ascii="Book Antiqua" w:hAnsi="Book Antiqua"/>
          <w:color w:val="000000" w:themeColor="text1"/>
          <w:sz w:val="24"/>
          <w:szCs w:val="24"/>
        </w:rPr>
        <w:t xml:space="preserve"> against PDX of different cancers</w:t>
      </w:r>
      <w:r w:rsidR="009A0379" w:rsidRPr="000749B2">
        <w:rPr>
          <w:rFonts w:ascii="Book Antiqua" w:hAnsi="Book Antiqua"/>
          <w:color w:val="000000" w:themeColor="text1"/>
          <w:sz w:val="24"/>
          <w:szCs w:val="24"/>
        </w:rPr>
        <w:t xml:space="preserve"> could be observed</w:t>
      </w:r>
      <w:r w:rsidR="00C42D1B" w:rsidRPr="000749B2">
        <w:rPr>
          <w:rFonts w:ascii="Book Antiqua" w:hAnsi="Book Antiqua"/>
          <w:color w:val="000000" w:themeColor="text1"/>
          <w:sz w:val="24"/>
          <w:szCs w:val="24"/>
          <w:vertAlign w:val="superscript"/>
        </w:rPr>
        <w:t>[341,343]</w:t>
      </w:r>
      <w:r w:rsidRPr="000749B2">
        <w:rPr>
          <w:rFonts w:ascii="Book Antiqua" w:hAnsi="Book Antiqua"/>
          <w:color w:val="000000" w:themeColor="text1"/>
          <w:sz w:val="24"/>
          <w:szCs w:val="24"/>
        </w:rPr>
        <w:t>.</w:t>
      </w:r>
      <w:r w:rsidR="001F2075"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These models hold great promise for the research of CRC immunotherapy, especially for highly immunogenic </w:t>
      </w:r>
      <w:r w:rsidR="009E7978" w:rsidRPr="000749B2">
        <w:rPr>
          <w:rFonts w:ascii="Book Antiqua" w:hAnsi="Book Antiqua"/>
          <w:color w:val="000000" w:themeColor="text1"/>
          <w:sz w:val="24"/>
          <w:szCs w:val="24"/>
        </w:rPr>
        <w:t xml:space="preserve">hypermutated </w:t>
      </w:r>
      <w:r w:rsidR="00633742" w:rsidRPr="000749B2">
        <w:rPr>
          <w:rFonts w:ascii="Book Antiqua" w:hAnsi="Book Antiqua"/>
          <w:color w:val="000000" w:themeColor="text1"/>
          <w:sz w:val="24"/>
          <w:szCs w:val="24"/>
        </w:rPr>
        <w:t>CRC</w:t>
      </w:r>
      <w:r w:rsidRPr="000749B2">
        <w:rPr>
          <w:rFonts w:ascii="Book Antiqua" w:hAnsi="Book Antiqua"/>
          <w:color w:val="000000" w:themeColor="text1"/>
          <w:sz w:val="24"/>
          <w:szCs w:val="24"/>
        </w:rPr>
        <w:t xml:space="preserve">. Capasso </w:t>
      </w:r>
      <w:r w:rsidRPr="000749B2">
        <w:rPr>
          <w:rFonts w:ascii="Book Antiqua" w:hAnsi="Book Antiqua"/>
          <w:i/>
          <w:iCs/>
          <w:color w:val="000000" w:themeColor="text1"/>
          <w:sz w:val="24"/>
          <w:szCs w:val="24"/>
        </w:rPr>
        <w:t xml:space="preserve">et </w:t>
      </w:r>
      <w:proofErr w:type="gramStart"/>
      <w:r w:rsidRPr="000749B2">
        <w:rPr>
          <w:rFonts w:ascii="Book Antiqua" w:hAnsi="Book Antiqua"/>
          <w:i/>
          <w:iCs/>
          <w:color w:val="000000" w:themeColor="text1"/>
          <w:sz w:val="24"/>
          <w:szCs w:val="24"/>
        </w:rPr>
        <w:t>al</w:t>
      </w:r>
      <w:r w:rsidR="003437B3" w:rsidRPr="000749B2">
        <w:rPr>
          <w:rFonts w:ascii="Book Antiqua" w:hAnsi="Book Antiqua"/>
          <w:color w:val="000000" w:themeColor="text1"/>
          <w:sz w:val="24"/>
          <w:szCs w:val="24"/>
          <w:vertAlign w:val="superscript"/>
          <w:lang w:eastAsia="zh-CN"/>
        </w:rPr>
        <w:t>[</w:t>
      </w:r>
      <w:proofErr w:type="gramEnd"/>
      <w:r w:rsidR="003437B3" w:rsidRPr="000749B2">
        <w:rPr>
          <w:rFonts w:ascii="Book Antiqua" w:hAnsi="Book Antiqua"/>
          <w:color w:val="000000" w:themeColor="text1"/>
          <w:sz w:val="24"/>
          <w:szCs w:val="24"/>
          <w:vertAlign w:val="superscript"/>
          <w:lang w:eastAsia="zh-CN"/>
        </w:rPr>
        <w:t>344]</w:t>
      </w:r>
      <w:r w:rsidRPr="000749B2">
        <w:rPr>
          <w:rFonts w:ascii="Book Antiqua" w:hAnsi="Book Antiqua"/>
          <w:color w:val="000000" w:themeColor="text1"/>
          <w:sz w:val="24"/>
          <w:szCs w:val="24"/>
        </w:rPr>
        <w:t xml:space="preserve"> showed very recently that check point inhibition with nivolumab leads to growth inhibition of human MSI-H PDX </w:t>
      </w:r>
      <w:r w:rsidR="009E7978" w:rsidRPr="000749B2">
        <w:rPr>
          <w:rFonts w:ascii="Book Antiqua" w:hAnsi="Book Antiqua"/>
          <w:color w:val="000000" w:themeColor="text1"/>
          <w:sz w:val="24"/>
          <w:szCs w:val="24"/>
        </w:rPr>
        <w:t>thereby accurately reflecting</w:t>
      </w:r>
      <w:r w:rsidRPr="000749B2">
        <w:rPr>
          <w:rFonts w:ascii="Book Antiqua" w:hAnsi="Book Antiqua"/>
          <w:color w:val="000000" w:themeColor="text1"/>
          <w:sz w:val="24"/>
          <w:szCs w:val="24"/>
        </w:rPr>
        <w:t xml:space="preserve"> the clinic</w:t>
      </w:r>
      <w:r w:rsidR="0011697C" w:rsidRPr="000749B2">
        <w:rPr>
          <w:rFonts w:ascii="Book Antiqua" w:hAnsi="Book Antiqua"/>
          <w:color w:val="000000" w:themeColor="text1"/>
          <w:sz w:val="24"/>
          <w:szCs w:val="24"/>
        </w:rPr>
        <w:t>al</w:t>
      </w:r>
      <w:r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lastRenderedPageBreak/>
        <w:t>response of this CRC subtype. In contrast, no sustainable growth inhibition was observed in MSS tumor</w:t>
      </w:r>
      <w:r w:rsidR="009E7978" w:rsidRPr="000749B2">
        <w:rPr>
          <w:rFonts w:ascii="Book Antiqua" w:hAnsi="Book Antiqua"/>
          <w:color w:val="000000" w:themeColor="text1"/>
          <w:sz w:val="24"/>
          <w:szCs w:val="24"/>
        </w:rPr>
        <w:t>s</w:t>
      </w:r>
      <w:r w:rsidRPr="000749B2">
        <w:rPr>
          <w:rFonts w:ascii="Book Antiqua" w:hAnsi="Book Antiqua"/>
          <w:color w:val="000000" w:themeColor="text1"/>
          <w:sz w:val="24"/>
          <w:szCs w:val="24"/>
        </w:rPr>
        <w:t xml:space="preserve"> or MSI-H tumors in “standard” NSG </w:t>
      </w:r>
      <w:proofErr w:type="gramStart"/>
      <w:r w:rsidRPr="000749B2">
        <w:rPr>
          <w:rFonts w:ascii="Book Antiqua" w:hAnsi="Book Antiqua"/>
          <w:color w:val="000000" w:themeColor="text1"/>
          <w:sz w:val="24"/>
          <w:szCs w:val="24"/>
        </w:rPr>
        <w:t>mice</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344,345]</w:t>
      </w:r>
      <w:r w:rsidRPr="000749B2">
        <w:rPr>
          <w:rFonts w:ascii="Book Antiqua" w:hAnsi="Book Antiqua"/>
          <w:color w:val="000000" w:themeColor="text1"/>
          <w:sz w:val="24"/>
          <w:szCs w:val="24"/>
        </w:rPr>
        <w:t>.</w:t>
      </w:r>
    </w:p>
    <w:p w14:paraId="43A7EE0B" w14:textId="77777777" w:rsidR="00B56DC4" w:rsidRPr="000749B2" w:rsidRDefault="00CE591C" w:rsidP="000B4309">
      <w:pPr>
        <w:spacing w:after="0" w:line="360" w:lineRule="auto"/>
        <w:ind w:firstLineChars="100" w:firstLine="240"/>
        <w:jc w:val="both"/>
        <w:rPr>
          <w:rFonts w:ascii="Book Antiqua" w:hAnsi="Book Antiqua"/>
          <w:color w:val="000000" w:themeColor="text1"/>
          <w:sz w:val="24"/>
          <w:szCs w:val="24"/>
        </w:rPr>
      </w:pPr>
      <w:r w:rsidRPr="000749B2">
        <w:rPr>
          <w:rFonts w:ascii="Book Antiqua" w:hAnsi="Book Antiqua"/>
          <w:color w:val="000000" w:themeColor="text1"/>
          <w:sz w:val="24"/>
          <w:szCs w:val="24"/>
        </w:rPr>
        <w:t>Although patient</w:t>
      </w:r>
      <w:r w:rsidR="009E7978"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derived cell cultures are a valuable tool for high-throughput drug screenings, they exhibit considerable </w:t>
      </w:r>
      <w:proofErr w:type="gramStart"/>
      <w:r w:rsidRPr="000749B2">
        <w:rPr>
          <w:rFonts w:ascii="Book Antiqua" w:hAnsi="Book Antiqua"/>
          <w:color w:val="000000" w:themeColor="text1"/>
          <w:sz w:val="24"/>
          <w:szCs w:val="24"/>
        </w:rPr>
        <w:t>shortcomings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346]</w:t>
      </w:r>
      <w:r w:rsidRPr="000749B2">
        <w:rPr>
          <w:rFonts w:ascii="Book Antiqua" w:hAnsi="Book Antiqua"/>
          <w:color w:val="000000" w:themeColor="text1"/>
          <w:sz w:val="24"/>
          <w:szCs w:val="24"/>
        </w:rPr>
        <w:t>. First, the establishment rate of primary patient</w:t>
      </w:r>
      <w:r w:rsidR="009E7978" w:rsidRPr="000749B2">
        <w:rPr>
          <w:rFonts w:ascii="Book Antiqua" w:hAnsi="Book Antiqua"/>
          <w:color w:val="000000" w:themeColor="text1"/>
          <w:sz w:val="24"/>
          <w:szCs w:val="24"/>
        </w:rPr>
        <w:t>-</w:t>
      </w:r>
      <w:r w:rsidRPr="000749B2">
        <w:rPr>
          <w:rFonts w:ascii="Book Antiqua" w:hAnsi="Book Antiqua"/>
          <w:color w:val="000000" w:themeColor="text1"/>
          <w:sz w:val="24"/>
          <w:szCs w:val="24"/>
        </w:rPr>
        <w:t>derived CRC cells with conventional 2D culturing methods approximates some 10</w:t>
      </w:r>
      <w:proofErr w:type="gramStart"/>
      <w:r w:rsidRPr="000749B2">
        <w:rPr>
          <w:rFonts w:ascii="Book Antiqua" w:hAnsi="Book Antiqua"/>
          <w:color w:val="000000" w:themeColor="text1"/>
          <w:sz w:val="24"/>
          <w:szCs w:val="24"/>
        </w:rPr>
        <w:t>%</w:t>
      </w:r>
      <w:r w:rsidR="00C42D1B" w:rsidRPr="000749B2">
        <w:rPr>
          <w:rFonts w:ascii="Book Antiqua" w:hAnsi="Book Antiqua"/>
          <w:color w:val="000000" w:themeColor="text1"/>
          <w:sz w:val="24"/>
          <w:szCs w:val="24"/>
          <w:vertAlign w:val="superscript"/>
        </w:rPr>
        <w:t>[</w:t>
      </w:r>
      <w:proofErr w:type="gramEnd"/>
      <w:r w:rsidR="003437B3" w:rsidRPr="000749B2">
        <w:rPr>
          <w:rFonts w:ascii="Book Antiqua" w:hAnsi="Book Antiqua"/>
          <w:color w:val="000000" w:themeColor="text1"/>
          <w:sz w:val="24"/>
          <w:szCs w:val="24"/>
          <w:vertAlign w:val="superscript"/>
        </w:rPr>
        <w:t>2</w:t>
      </w:r>
      <w:r w:rsidR="00C42D1B" w:rsidRPr="000749B2">
        <w:rPr>
          <w:rFonts w:ascii="Book Antiqua" w:hAnsi="Book Antiqua"/>
          <w:color w:val="000000" w:themeColor="text1"/>
          <w:sz w:val="24"/>
          <w:szCs w:val="24"/>
          <w:vertAlign w:val="superscript"/>
        </w:rPr>
        <w:t>52,</w:t>
      </w:r>
      <w:r w:rsidR="003437B3" w:rsidRPr="000749B2">
        <w:rPr>
          <w:rFonts w:ascii="Book Antiqua" w:hAnsi="Book Antiqua"/>
          <w:color w:val="000000" w:themeColor="text1"/>
          <w:sz w:val="24"/>
          <w:szCs w:val="24"/>
          <w:vertAlign w:val="superscript"/>
        </w:rPr>
        <w:t>2</w:t>
      </w:r>
      <w:r w:rsidR="00C42D1B" w:rsidRPr="000749B2">
        <w:rPr>
          <w:rFonts w:ascii="Book Antiqua" w:hAnsi="Book Antiqua"/>
          <w:color w:val="000000" w:themeColor="text1"/>
          <w:sz w:val="24"/>
          <w:szCs w:val="24"/>
          <w:vertAlign w:val="superscript"/>
        </w:rPr>
        <w:t>75]</w:t>
      </w:r>
      <w:r w:rsidRPr="000749B2">
        <w:rPr>
          <w:rFonts w:ascii="Book Antiqua" w:hAnsi="Book Antiqua"/>
          <w:color w:val="000000" w:themeColor="text1"/>
          <w:sz w:val="24"/>
          <w:szCs w:val="24"/>
        </w:rPr>
        <w:t>, although higher success rates of 40% and more can be found in the literature</w:t>
      </w:r>
      <w:r w:rsidR="00C42D1B" w:rsidRPr="000749B2">
        <w:rPr>
          <w:rFonts w:ascii="Book Antiqua" w:hAnsi="Book Antiqua"/>
          <w:color w:val="000000" w:themeColor="text1"/>
          <w:sz w:val="24"/>
          <w:szCs w:val="24"/>
          <w:vertAlign w:val="superscript"/>
        </w:rPr>
        <w:t>[347,348]</w:t>
      </w:r>
      <w:r w:rsidRPr="000749B2">
        <w:rPr>
          <w:rFonts w:ascii="Book Antiqua" w:hAnsi="Book Antiqua"/>
          <w:color w:val="000000" w:themeColor="text1"/>
          <w:sz w:val="24"/>
          <w:szCs w:val="24"/>
        </w:rPr>
        <w:t xml:space="preserve">. Second, conventional 2D cultures change the biological properties of cells, possibly altering drug response </w:t>
      </w:r>
      <w:r w:rsidRPr="000749B2">
        <w:rPr>
          <w:rFonts w:ascii="Book Antiqua" w:hAnsi="Book Antiqua"/>
          <w:i/>
          <w:iCs/>
          <w:color w:val="000000" w:themeColor="text1"/>
          <w:sz w:val="24"/>
          <w:szCs w:val="24"/>
        </w:rPr>
        <w:t xml:space="preserve">in </w:t>
      </w:r>
      <w:proofErr w:type="gramStart"/>
      <w:r w:rsidRPr="000749B2">
        <w:rPr>
          <w:rFonts w:ascii="Book Antiqua" w:hAnsi="Book Antiqua"/>
          <w:i/>
          <w:iCs/>
          <w:color w:val="000000" w:themeColor="text1"/>
          <w:sz w:val="24"/>
          <w:szCs w:val="24"/>
        </w:rPr>
        <w:t>vitro</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349]</w:t>
      </w:r>
      <w:r w:rsidRPr="000749B2">
        <w:rPr>
          <w:rFonts w:ascii="Book Antiqua" w:hAnsi="Book Antiqua"/>
          <w:color w:val="000000" w:themeColor="text1"/>
          <w:sz w:val="24"/>
          <w:szCs w:val="24"/>
        </w:rPr>
        <w:t xml:space="preserve">. Cell polarization, lack of stroma and abundance of growth factors, nutrients and oxygen are factors that might </w:t>
      </w:r>
      <w:r w:rsidR="009E7978" w:rsidRPr="000749B2">
        <w:rPr>
          <w:rFonts w:ascii="Book Antiqua" w:hAnsi="Book Antiqua"/>
          <w:color w:val="000000" w:themeColor="text1"/>
          <w:sz w:val="24"/>
          <w:szCs w:val="24"/>
        </w:rPr>
        <w:t xml:space="preserve">change </w:t>
      </w:r>
      <w:r w:rsidRPr="000749B2">
        <w:rPr>
          <w:rFonts w:ascii="Book Antiqua" w:hAnsi="Book Antiqua"/>
          <w:color w:val="000000" w:themeColor="text1"/>
          <w:sz w:val="24"/>
          <w:szCs w:val="24"/>
        </w:rPr>
        <w:t xml:space="preserve">the behavior of tumor </w:t>
      </w:r>
      <w:proofErr w:type="gramStart"/>
      <w:r w:rsidRPr="000749B2">
        <w:rPr>
          <w:rFonts w:ascii="Book Antiqua" w:hAnsi="Book Antiqua"/>
          <w:color w:val="000000" w:themeColor="text1"/>
          <w:sz w:val="24"/>
          <w:szCs w:val="24"/>
        </w:rPr>
        <w:t>cells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350]</w:t>
      </w:r>
      <w:r w:rsidR="0023320D"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In recent years, more complex cell culturing methods have emerged. CRC cells, cultured in a</w:t>
      </w:r>
      <w:r w:rsidR="009E7978" w:rsidRPr="000749B2">
        <w:rPr>
          <w:rFonts w:ascii="Book Antiqua" w:hAnsi="Book Antiqua"/>
          <w:color w:val="000000" w:themeColor="text1"/>
          <w:sz w:val="24"/>
          <w:szCs w:val="24"/>
        </w:rPr>
        <w:t>n</w:t>
      </w:r>
      <w:r w:rsidRPr="000749B2">
        <w:rPr>
          <w:rFonts w:ascii="Book Antiqua" w:hAnsi="Book Antiqua"/>
          <w:color w:val="000000" w:themeColor="text1"/>
          <w:sz w:val="24"/>
          <w:szCs w:val="24"/>
        </w:rPr>
        <w:t xml:space="preserve"> extracellular matrix form three dimensional spheres, s</w:t>
      </w:r>
      <w:r w:rsidR="009E7978" w:rsidRPr="000749B2">
        <w:rPr>
          <w:rFonts w:ascii="Book Antiqua" w:hAnsi="Book Antiqua"/>
          <w:color w:val="000000" w:themeColor="text1"/>
          <w:sz w:val="24"/>
          <w:szCs w:val="24"/>
        </w:rPr>
        <w:t xml:space="preserve">o </w:t>
      </w:r>
      <w:r w:rsidRPr="000749B2">
        <w:rPr>
          <w:rFonts w:ascii="Book Antiqua" w:hAnsi="Book Antiqua"/>
          <w:color w:val="000000" w:themeColor="text1"/>
          <w:sz w:val="24"/>
          <w:szCs w:val="24"/>
        </w:rPr>
        <w:t>c</w:t>
      </w:r>
      <w:r w:rsidR="009E7978" w:rsidRPr="000749B2">
        <w:rPr>
          <w:rFonts w:ascii="Book Antiqua" w:hAnsi="Book Antiqua"/>
          <w:color w:val="000000" w:themeColor="text1"/>
          <w:sz w:val="24"/>
          <w:szCs w:val="24"/>
        </w:rPr>
        <w:t>alled</w:t>
      </w:r>
      <w:r w:rsidRPr="000749B2">
        <w:rPr>
          <w:rFonts w:ascii="Book Antiqua" w:hAnsi="Book Antiqua"/>
          <w:color w:val="000000" w:themeColor="text1"/>
          <w:sz w:val="24"/>
          <w:szCs w:val="24"/>
        </w:rPr>
        <w:t xml:space="preserve"> spheroids, that differ in their biological properties from 2D cultured </w:t>
      </w:r>
      <w:proofErr w:type="gramStart"/>
      <w:r w:rsidRPr="000749B2">
        <w:rPr>
          <w:rFonts w:ascii="Book Antiqua" w:hAnsi="Book Antiqua"/>
          <w:color w:val="000000" w:themeColor="text1"/>
          <w:sz w:val="24"/>
          <w:szCs w:val="24"/>
        </w:rPr>
        <w:t>cells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351]</w:t>
      </w:r>
      <w:r w:rsidRPr="000749B2">
        <w:rPr>
          <w:rFonts w:ascii="Book Antiqua" w:hAnsi="Book Antiqua"/>
          <w:color w:val="000000" w:themeColor="text1"/>
          <w:sz w:val="24"/>
          <w:szCs w:val="24"/>
        </w:rPr>
        <w:t xml:space="preserve">. In contrast, organoids are three dimensional structures, derived from intact tumor pieces or tumor stem cells cultured in an extracellular matrix </w:t>
      </w:r>
      <w:proofErr w:type="gramStart"/>
      <w:r w:rsidRPr="000749B2">
        <w:rPr>
          <w:rFonts w:ascii="Book Antiqua" w:hAnsi="Book Antiqua"/>
          <w:color w:val="000000" w:themeColor="text1"/>
          <w:sz w:val="24"/>
          <w:szCs w:val="24"/>
        </w:rPr>
        <w:t>scaffold</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352]</w:t>
      </w:r>
      <w:r w:rsidRPr="000749B2">
        <w:rPr>
          <w:rFonts w:ascii="Book Antiqua" w:hAnsi="Book Antiqua"/>
          <w:color w:val="000000" w:themeColor="text1"/>
          <w:sz w:val="24"/>
          <w:szCs w:val="24"/>
        </w:rPr>
        <w:t>. Patient</w:t>
      </w:r>
      <w:r w:rsidR="009E7978" w:rsidRPr="000749B2">
        <w:rPr>
          <w:rFonts w:ascii="Book Antiqua" w:hAnsi="Book Antiqua"/>
          <w:color w:val="000000" w:themeColor="text1"/>
          <w:sz w:val="24"/>
          <w:szCs w:val="24"/>
        </w:rPr>
        <w:t>-</w:t>
      </w:r>
      <w:r w:rsidRPr="000749B2">
        <w:rPr>
          <w:rFonts w:ascii="Book Antiqua" w:hAnsi="Book Antiqua"/>
          <w:color w:val="000000" w:themeColor="text1"/>
          <w:sz w:val="24"/>
          <w:szCs w:val="24"/>
        </w:rPr>
        <w:t>derived organoids</w:t>
      </w:r>
      <w:r w:rsidR="009E7978" w:rsidRPr="000749B2">
        <w:rPr>
          <w:rFonts w:ascii="Book Antiqua" w:hAnsi="Book Antiqua"/>
          <w:color w:val="000000" w:themeColor="text1"/>
          <w:sz w:val="24"/>
          <w:szCs w:val="24"/>
        </w:rPr>
        <w:t xml:space="preserve"> (PDO)</w:t>
      </w:r>
      <w:r w:rsidRPr="000749B2">
        <w:rPr>
          <w:rFonts w:ascii="Book Antiqua" w:hAnsi="Book Antiqua"/>
          <w:color w:val="000000" w:themeColor="text1"/>
          <w:sz w:val="24"/>
          <w:szCs w:val="24"/>
        </w:rPr>
        <w:t xml:space="preserve">, quite similar to PDX, recapitulate closely the histological and genetic properties of their parental tumors. Moreover, high rates of successful establishment have been </w:t>
      </w:r>
      <w:proofErr w:type="gramStart"/>
      <w:r w:rsidRPr="000749B2">
        <w:rPr>
          <w:rFonts w:ascii="Book Antiqua" w:hAnsi="Book Antiqua"/>
          <w:color w:val="000000" w:themeColor="text1"/>
          <w:sz w:val="24"/>
          <w:szCs w:val="24"/>
        </w:rPr>
        <w:t>reported</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353]</w:t>
      </w:r>
      <w:r w:rsidRPr="000749B2">
        <w:rPr>
          <w:rFonts w:ascii="Book Antiqua" w:hAnsi="Book Antiqua"/>
          <w:color w:val="000000" w:themeColor="text1"/>
          <w:sz w:val="24"/>
          <w:szCs w:val="24"/>
        </w:rPr>
        <w:t xml:space="preserve"> and reliable drug response prediction seems possible</w:t>
      </w:r>
      <w:r w:rsidR="00C42D1B" w:rsidRPr="000749B2">
        <w:rPr>
          <w:rFonts w:ascii="Book Antiqua" w:hAnsi="Book Antiqua"/>
          <w:color w:val="000000" w:themeColor="text1"/>
          <w:sz w:val="24"/>
          <w:szCs w:val="24"/>
          <w:vertAlign w:val="superscript"/>
        </w:rPr>
        <w:t>[354-356]</w:t>
      </w:r>
      <w:r w:rsidRPr="000749B2">
        <w:rPr>
          <w:rFonts w:ascii="Book Antiqua" w:hAnsi="Book Antiqua"/>
          <w:color w:val="000000" w:themeColor="text1"/>
          <w:sz w:val="24"/>
          <w:szCs w:val="24"/>
        </w:rPr>
        <w:t xml:space="preserve">. </w:t>
      </w:r>
      <w:r w:rsidR="009E7978" w:rsidRPr="000749B2">
        <w:rPr>
          <w:rFonts w:ascii="Book Antiqua" w:hAnsi="Book Antiqua"/>
          <w:color w:val="000000" w:themeColor="text1"/>
          <w:sz w:val="24"/>
          <w:szCs w:val="24"/>
        </w:rPr>
        <w:t xml:space="preserve">PDOs </w:t>
      </w:r>
      <w:r w:rsidRPr="000749B2">
        <w:rPr>
          <w:rFonts w:ascii="Book Antiqua" w:hAnsi="Book Antiqua"/>
          <w:color w:val="000000" w:themeColor="text1"/>
          <w:sz w:val="24"/>
          <w:szCs w:val="24"/>
        </w:rPr>
        <w:t>can be implanted s</w:t>
      </w:r>
      <w:r w:rsidR="009E7978" w:rsidRPr="000749B2">
        <w:rPr>
          <w:rFonts w:ascii="Book Antiqua" w:hAnsi="Book Antiqua"/>
          <w:color w:val="000000" w:themeColor="text1"/>
          <w:sz w:val="24"/>
          <w:szCs w:val="24"/>
        </w:rPr>
        <w:t>.c.</w:t>
      </w:r>
      <w:r w:rsidRPr="000749B2">
        <w:rPr>
          <w:rFonts w:ascii="Book Antiqua" w:hAnsi="Book Antiqua"/>
          <w:color w:val="000000" w:themeColor="text1"/>
          <w:sz w:val="24"/>
          <w:szCs w:val="24"/>
        </w:rPr>
        <w:t xml:space="preserve"> or orthotopically into mice, resulting in </w:t>
      </w:r>
      <w:r w:rsidR="007C233E" w:rsidRPr="000749B2">
        <w:rPr>
          <w:rFonts w:ascii="Book Antiqua" w:hAnsi="Book Antiqua"/>
          <w:color w:val="000000" w:themeColor="text1"/>
          <w:sz w:val="24"/>
          <w:szCs w:val="24"/>
        </w:rPr>
        <w:t>PDO</w:t>
      </w:r>
      <w:r w:rsidRPr="000749B2">
        <w:rPr>
          <w:rFonts w:ascii="Book Antiqua" w:hAnsi="Book Antiqua"/>
          <w:color w:val="000000" w:themeColor="text1"/>
          <w:sz w:val="24"/>
          <w:szCs w:val="24"/>
        </w:rPr>
        <w:t xml:space="preserve"> xenografts (PDOX</w:t>
      </w:r>
      <w:proofErr w:type="gramStart"/>
      <w:r w:rsidRPr="000749B2">
        <w:rPr>
          <w:rFonts w:ascii="Book Antiqua" w:hAnsi="Book Antiqua"/>
          <w:color w:val="000000" w:themeColor="text1"/>
          <w:sz w:val="24"/>
          <w:szCs w:val="24"/>
        </w:rPr>
        <w: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264,354,357]</w:t>
      </w:r>
      <w:r w:rsidRPr="000749B2">
        <w:rPr>
          <w:rFonts w:ascii="Book Antiqua" w:hAnsi="Book Antiqua"/>
          <w:color w:val="000000" w:themeColor="text1"/>
          <w:sz w:val="24"/>
          <w:szCs w:val="24"/>
        </w:rPr>
        <w:t xml:space="preserve">. Furthermore, the </w:t>
      </w:r>
      <w:r w:rsidR="0053483C" w:rsidRPr="000749B2">
        <w:rPr>
          <w:rFonts w:ascii="Book Antiqua" w:hAnsi="Book Antiqua"/>
          <w:color w:val="000000" w:themeColor="text1"/>
          <w:sz w:val="24"/>
          <w:szCs w:val="24"/>
        </w:rPr>
        <w:t>Clevers group</w:t>
      </w:r>
      <w:r w:rsidR="0011697C"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pioneered in the inauguration of non-malignant intestinal organoids exploiting the stem cell niche </w:t>
      </w:r>
      <w:r w:rsidRPr="000749B2">
        <w:rPr>
          <w:rFonts w:ascii="Book Antiqua" w:hAnsi="Book Antiqua"/>
          <w:i/>
          <w:iCs/>
          <w:color w:val="000000" w:themeColor="text1"/>
          <w:sz w:val="24"/>
          <w:szCs w:val="24"/>
        </w:rPr>
        <w:t xml:space="preserve">in </w:t>
      </w:r>
      <w:proofErr w:type="gramStart"/>
      <w:r w:rsidRPr="000749B2">
        <w:rPr>
          <w:rFonts w:ascii="Book Antiqua" w:hAnsi="Book Antiqua"/>
          <w:i/>
          <w:iCs/>
          <w:color w:val="000000" w:themeColor="text1"/>
          <w:sz w:val="24"/>
          <w:szCs w:val="24"/>
        </w:rPr>
        <w:t>vitro</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358]</w:t>
      </w:r>
      <w:r w:rsidRPr="000749B2">
        <w:rPr>
          <w:rFonts w:ascii="Book Antiqua" w:hAnsi="Book Antiqua"/>
          <w:color w:val="000000" w:themeColor="text1"/>
          <w:sz w:val="24"/>
          <w:szCs w:val="24"/>
        </w:rPr>
        <w:t xml:space="preserve">. These organoids can be modified </w:t>
      </w:r>
      <w:r w:rsidRPr="000749B2">
        <w:rPr>
          <w:rFonts w:ascii="Book Antiqua" w:hAnsi="Book Antiqua"/>
          <w:i/>
          <w:iCs/>
          <w:color w:val="000000" w:themeColor="text1"/>
          <w:sz w:val="24"/>
          <w:szCs w:val="24"/>
        </w:rPr>
        <w:t>in vitro</w:t>
      </w:r>
      <w:r w:rsidRPr="000749B2">
        <w:rPr>
          <w:rFonts w:ascii="Book Antiqua" w:hAnsi="Book Antiqua"/>
          <w:color w:val="000000" w:themeColor="text1"/>
          <w:sz w:val="24"/>
          <w:szCs w:val="24"/>
        </w:rPr>
        <w:t xml:space="preserve"> to exhibit malignant properties and used to enlighten the role of cancer</w:t>
      </w:r>
      <w:r w:rsidR="009E7978"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driving pathways by </w:t>
      </w:r>
      <w:r w:rsidRPr="000749B2">
        <w:rPr>
          <w:rFonts w:ascii="Book Antiqua" w:hAnsi="Book Antiqua"/>
          <w:i/>
          <w:iCs/>
          <w:color w:val="000000" w:themeColor="text1"/>
          <w:sz w:val="24"/>
          <w:szCs w:val="24"/>
        </w:rPr>
        <w:t>in vivo</w:t>
      </w:r>
      <w:r w:rsidRPr="000749B2">
        <w:rPr>
          <w:rFonts w:ascii="Book Antiqua" w:hAnsi="Book Antiqua"/>
          <w:color w:val="000000" w:themeColor="text1"/>
          <w:sz w:val="24"/>
          <w:szCs w:val="24"/>
        </w:rPr>
        <w:t xml:space="preserve"> </w:t>
      </w:r>
      <w:proofErr w:type="gramStart"/>
      <w:r w:rsidRPr="000749B2">
        <w:rPr>
          <w:rFonts w:ascii="Book Antiqua" w:hAnsi="Book Antiqua"/>
          <w:color w:val="000000" w:themeColor="text1"/>
          <w:sz w:val="24"/>
          <w:szCs w:val="24"/>
        </w:rPr>
        <w:t>engraftment</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359,360]</w:t>
      </w:r>
      <w:r w:rsidRPr="000749B2">
        <w:rPr>
          <w:rFonts w:ascii="Book Antiqua" w:hAnsi="Book Antiqua"/>
          <w:color w:val="000000" w:themeColor="text1"/>
          <w:sz w:val="24"/>
          <w:szCs w:val="24"/>
        </w:rPr>
        <w:t xml:space="preserve">. The available data strongly suggests, that </w:t>
      </w:r>
      <w:r w:rsidR="009E7978" w:rsidRPr="000749B2">
        <w:rPr>
          <w:rFonts w:ascii="Book Antiqua" w:hAnsi="Book Antiqua"/>
          <w:color w:val="000000" w:themeColor="text1"/>
          <w:sz w:val="24"/>
          <w:szCs w:val="24"/>
        </w:rPr>
        <w:t>PDO</w:t>
      </w:r>
      <w:r w:rsidRPr="000749B2">
        <w:rPr>
          <w:rFonts w:ascii="Book Antiqua" w:hAnsi="Book Antiqua"/>
          <w:color w:val="000000" w:themeColor="text1"/>
          <w:sz w:val="24"/>
          <w:szCs w:val="24"/>
        </w:rPr>
        <w:t xml:space="preserve">s reflect more faithfully the biological virtue and drug response of the parental tumor compared to conventional 2D cell </w:t>
      </w:r>
      <w:proofErr w:type="gramStart"/>
      <w:r w:rsidRPr="000749B2">
        <w:rPr>
          <w:rFonts w:ascii="Book Antiqua" w:hAnsi="Book Antiqua"/>
          <w:color w:val="000000" w:themeColor="text1"/>
          <w:sz w:val="24"/>
          <w:szCs w:val="24"/>
        </w:rPr>
        <w:t>cultures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352]</w:t>
      </w:r>
      <w:r w:rsidRPr="000749B2">
        <w:rPr>
          <w:rFonts w:ascii="Book Antiqua" w:hAnsi="Book Antiqua"/>
          <w:color w:val="000000" w:themeColor="text1"/>
          <w:sz w:val="24"/>
          <w:szCs w:val="24"/>
        </w:rPr>
        <w:t xml:space="preserve">. The circumstance, that organoids can be derived from </w:t>
      </w:r>
      <w:r w:rsidR="005B5982" w:rsidRPr="000749B2">
        <w:rPr>
          <w:rFonts w:ascii="Book Antiqua" w:hAnsi="Book Antiqua"/>
          <w:color w:val="000000" w:themeColor="text1"/>
          <w:sz w:val="24"/>
          <w:szCs w:val="24"/>
        </w:rPr>
        <w:t>CTC,</w:t>
      </w:r>
      <w:r w:rsidRPr="000749B2">
        <w:rPr>
          <w:rFonts w:ascii="Book Antiqua" w:hAnsi="Book Antiqua"/>
          <w:color w:val="000000" w:themeColor="text1"/>
          <w:sz w:val="24"/>
          <w:szCs w:val="24"/>
        </w:rPr>
        <w:t xml:space="preserve"> could render them an excellent tool for the preclinical testing of patients with advanced stage cancer that do not under</w:t>
      </w:r>
      <w:r w:rsidR="009E7978" w:rsidRPr="000749B2">
        <w:rPr>
          <w:rFonts w:ascii="Book Antiqua" w:hAnsi="Book Antiqua"/>
          <w:color w:val="000000" w:themeColor="text1"/>
          <w:sz w:val="24"/>
          <w:szCs w:val="24"/>
        </w:rPr>
        <w:t>go</w:t>
      </w:r>
      <w:r w:rsidRPr="000749B2">
        <w:rPr>
          <w:rFonts w:ascii="Book Antiqua" w:hAnsi="Book Antiqua"/>
          <w:color w:val="000000" w:themeColor="text1"/>
          <w:sz w:val="24"/>
          <w:szCs w:val="24"/>
        </w:rPr>
        <w:t xml:space="preserve"> surgery</w:t>
      </w:r>
      <w:r w:rsidR="00C42D1B" w:rsidRPr="000749B2">
        <w:rPr>
          <w:rFonts w:ascii="Book Antiqua" w:hAnsi="Book Antiqua"/>
          <w:color w:val="000000" w:themeColor="text1"/>
          <w:sz w:val="24"/>
          <w:szCs w:val="24"/>
          <w:vertAlign w:val="superscript"/>
        </w:rPr>
        <w:t>[361]</w:t>
      </w:r>
      <w:r w:rsidRPr="000749B2">
        <w:rPr>
          <w:rFonts w:ascii="Book Antiqua" w:hAnsi="Book Antiqua"/>
          <w:color w:val="000000" w:themeColor="text1"/>
          <w:sz w:val="24"/>
          <w:szCs w:val="24"/>
        </w:rPr>
        <w:t xml:space="preserve">. Additionally, CTC reflect genetic changes associated with acquired drug resistance during </w:t>
      </w:r>
      <w:proofErr w:type="gramStart"/>
      <w:r w:rsidRPr="000749B2">
        <w:rPr>
          <w:rFonts w:ascii="Book Antiqua" w:hAnsi="Book Antiqua"/>
          <w:color w:val="000000" w:themeColor="text1"/>
          <w:sz w:val="24"/>
          <w:szCs w:val="24"/>
        </w:rPr>
        <w:t>chemotherapy</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362]</w:t>
      </w:r>
      <w:r w:rsidRPr="000749B2">
        <w:rPr>
          <w:rFonts w:ascii="Book Antiqua" w:hAnsi="Book Antiqua"/>
          <w:color w:val="000000" w:themeColor="text1"/>
          <w:sz w:val="24"/>
          <w:szCs w:val="24"/>
        </w:rPr>
        <w:t xml:space="preserve">. Further steps to a reduction of animal experiments imply the faithful remodeling of the host organism </w:t>
      </w:r>
      <w:r w:rsidRPr="000749B2">
        <w:rPr>
          <w:rFonts w:ascii="Book Antiqua" w:hAnsi="Book Antiqua"/>
          <w:i/>
          <w:iCs/>
          <w:color w:val="000000" w:themeColor="text1"/>
          <w:sz w:val="24"/>
          <w:szCs w:val="24"/>
        </w:rPr>
        <w:t>in vitro</w:t>
      </w:r>
      <w:r w:rsidRPr="000749B2">
        <w:rPr>
          <w:rFonts w:ascii="Book Antiqua" w:hAnsi="Book Antiqua"/>
          <w:color w:val="000000" w:themeColor="text1"/>
          <w:sz w:val="24"/>
          <w:szCs w:val="24"/>
        </w:rPr>
        <w:t xml:space="preserve">. Several research groups created a “cancer on a chip” model that combines the advances of </w:t>
      </w:r>
      <w:r w:rsidRPr="000749B2">
        <w:rPr>
          <w:rFonts w:ascii="Book Antiqua" w:hAnsi="Book Antiqua"/>
          <w:color w:val="000000" w:themeColor="text1"/>
          <w:sz w:val="24"/>
          <w:szCs w:val="24"/>
        </w:rPr>
        <w:lastRenderedPageBreak/>
        <w:t xml:space="preserve">3D cell culture connected with artificial organs that resemble the most common organs of metastatic </w:t>
      </w:r>
      <w:proofErr w:type="gramStart"/>
      <w:r w:rsidRPr="000749B2">
        <w:rPr>
          <w:rFonts w:ascii="Book Antiqua" w:hAnsi="Book Antiqua"/>
          <w:color w:val="000000" w:themeColor="text1"/>
          <w:sz w:val="24"/>
          <w:szCs w:val="24"/>
        </w:rPr>
        <w:t>spread</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363]</w:t>
      </w:r>
      <w:r w:rsidRPr="000749B2">
        <w:rPr>
          <w:rFonts w:ascii="Book Antiqua" w:hAnsi="Book Antiqua"/>
          <w:color w:val="000000" w:themeColor="text1"/>
          <w:sz w:val="24"/>
          <w:szCs w:val="24"/>
        </w:rPr>
        <w:t xml:space="preserve">. Miller and Shuler introduced a “body on a chip model” with 14 artificial organs, which could be modified for cancer </w:t>
      </w:r>
      <w:proofErr w:type="gramStart"/>
      <w:r w:rsidRPr="000749B2">
        <w:rPr>
          <w:rFonts w:ascii="Book Antiqua" w:hAnsi="Book Antiqua"/>
          <w:color w:val="000000" w:themeColor="text1"/>
          <w:sz w:val="24"/>
          <w:szCs w:val="24"/>
        </w:rPr>
        <w:t>research</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364]</w:t>
      </w:r>
      <w:r w:rsidRPr="000749B2">
        <w:rPr>
          <w:rFonts w:ascii="Book Antiqua" w:hAnsi="Book Antiqua"/>
          <w:color w:val="000000" w:themeColor="text1"/>
          <w:sz w:val="24"/>
          <w:szCs w:val="24"/>
        </w:rPr>
        <w:t xml:space="preserve">. At last, the widely acknowledged work of Guinney </w:t>
      </w:r>
      <w:r w:rsidRPr="000749B2">
        <w:rPr>
          <w:rFonts w:ascii="Book Antiqua" w:hAnsi="Book Antiqua"/>
          <w:i/>
          <w:iCs/>
          <w:color w:val="000000" w:themeColor="text1"/>
          <w:sz w:val="24"/>
          <w:szCs w:val="24"/>
        </w:rPr>
        <w:t xml:space="preserve">et </w:t>
      </w:r>
      <w:proofErr w:type="gramStart"/>
      <w:r w:rsidRPr="000749B2">
        <w:rPr>
          <w:rFonts w:ascii="Book Antiqua" w:hAnsi="Book Antiqua"/>
          <w:i/>
          <w:iCs/>
          <w:color w:val="000000" w:themeColor="text1"/>
          <w:sz w:val="24"/>
          <w:szCs w:val="24"/>
        </w:rPr>
        <w:t>al</w:t>
      </w:r>
      <w:r w:rsidR="007C233E" w:rsidRPr="000749B2">
        <w:rPr>
          <w:rFonts w:ascii="Book Antiqua" w:hAnsi="Book Antiqua"/>
          <w:color w:val="000000" w:themeColor="text1"/>
          <w:sz w:val="24"/>
          <w:szCs w:val="24"/>
          <w:vertAlign w:val="superscript"/>
        </w:rPr>
        <w:t>[</w:t>
      </w:r>
      <w:proofErr w:type="gramEnd"/>
      <w:r w:rsidR="007C233E" w:rsidRPr="000749B2">
        <w:rPr>
          <w:rFonts w:ascii="Book Antiqua" w:hAnsi="Book Antiqua"/>
          <w:color w:val="000000" w:themeColor="text1"/>
          <w:sz w:val="24"/>
          <w:szCs w:val="24"/>
          <w:vertAlign w:val="superscript"/>
        </w:rPr>
        <w:t>365]</w:t>
      </w:r>
      <w:r w:rsidRPr="000749B2">
        <w:rPr>
          <w:rFonts w:ascii="Book Antiqua" w:hAnsi="Book Antiqua"/>
          <w:color w:val="000000" w:themeColor="text1"/>
          <w:sz w:val="24"/>
          <w:szCs w:val="24"/>
        </w:rPr>
        <w:t xml:space="preserve"> regarding the consensus molecular subtypes</w:t>
      </w:r>
      <w:r w:rsidR="004077FE"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of CRC draw great attention </w:t>
      </w:r>
      <w:r w:rsidR="002E32DC" w:rsidRPr="000749B2">
        <w:rPr>
          <w:rFonts w:ascii="Book Antiqua" w:hAnsi="Book Antiqua"/>
          <w:color w:val="000000" w:themeColor="text1"/>
          <w:sz w:val="24"/>
          <w:szCs w:val="24"/>
        </w:rPr>
        <w:t xml:space="preserve">to </w:t>
      </w:r>
      <w:r w:rsidRPr="000749B2">
        <w:rPr>
          <w:rFonts w:ascii="Book Antiqua" w:hAnsi="Book Antiqua"/>
          <w:color w:val="000000" w:themeColor="text1"/>
          <w:sz w:val="24"/>
          <w:szCs w:val="24"/>
        </w:rPr>
        <w:t xml:space="preserve">the value of computed models in cancer science and the capabilities of bioinformatic research. Retrospective analysis of clinical trial samples partly demonstrated the association of drug response </w:t>
      </w:r>
      <w:r w:rsidR="004F6A36" w:rsidRPr="000749B2">
        <w:rPr>
          <w:rFonts w:ascii="Book Antiqua" w:hAnsi="Book Antiqua"/>
          <w:color w:val="000000" w:themeColor="text1"/>
          <w:sz w:val="24"/>
          <w:szCs w:val="24"/>
        </w:rPr>
        <w:t xml:space="preserve">with molecular </w:t>
      </w:r>
      <w:proofErr w:type="gramStart"/>
      <w:r w:rsidR="004F6A36" w:rsidRPr="000749B2">
        <w:rPr>
          <w:rFonts w:ascii="Book Antiqua" w:hAnsi="Book Antiqua"/>
          <w:color w:val="000000" w:themeColor="text1"/>
          <w:sz w:val="24"/>
          <w:szCs w:val="24"/>
        </w:rPr>
        <w:t>subtypes</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366]</w:t>
      </w:r>
      <w:r w:rsidR="009E7978"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The constantly growing knowledge of cancer pathways and their crosstalk on the one hand, and the increased inter</w:t>
      </w:r>
      <w:r w:rsidR="00674641"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individual complexity of tumors on the other hand, call for a method to integrate and interpret the overwhelming amount of </w:t>
      </w:r>
      <w:proofErr w:type="gramStart"/>
      <w:r w:rsidRPr="000749B2">
        <w:rPr>
          <w:rFonts w:ascii="Book Antiqua" w:hAnsi="Book Antiqua"/>
          <w:color w:val="000000" w:themeColor="text1"/>
          <w:sz w:val="24"/>
          <w:szCs w:val="24"/>
        </w:rPr>
        <w:t>data</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367]</w:t>
      </w:r>
      <w:r w:rsidRPr="000749B2">
        <w:rPr>
          <w:rFonts w:ascii="Book Antiqua" w:hAnsi="Book Antiqua"/>
          <w:color w:val="000000" w:themeColor="text1"/>
          <w:sz w:val="24"/>
          <w:szCs w:val="24"/>
        </w:rPr>
        <w:t xml:space="preserve">. </w:t>
      </w:r>
      <w:r w:rsidRPr="000749B2">
        <w:rPr>
          <w:rFonts w:ascii="Book Antiqua" w:hAnsi="Book Antiqua"/>
          <w:iCs/>
          <w:color w:val="000000" w:themeColor="text1"/>
          <w:sz w:val="24"/>
          <w:szCs w:val="24"/>
        </w:rPr>
        <w:t>In silico</w:t>
      </w:r>
      <w:r w:rsidRPr="000749B2">
        <w:rPr>
          <w:rFonts w:ascii="Book Antiqua" w:hAnsi="Book Antiqua"/>
          <w:color w:val="000000" w:themeColor="text1"/>
          <w:sz w:val="24"/>
          <w:szCs w:val="24"/>
        </w:rPr>
        <w:t xml:space="preserve"> methods, like data mining, pattern recognition</w:t>
      </w:r>
      <w:r w:rsidR="00674641"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machine learning and network approaches, are able to predict the behavior of “virtual” HCT116 cells</w:t>
      </w:r>
      <w:r w:rsidR="00C42D1B" w:rsidRPr="000749B2">
        <w:rPr>
          <w:rFonts w:ascii="Book Antiqua" w:hAnsi="Book Antiqua"/>
          <w:color w:val="000000" w:themeColor="text1"/>
          <w:sz w:val="24"/>
          <w:szCs w:val="24"/>
          <w:vertAlign w:val="superscript"/>
        </w:rPr>
        <w:t>[368]</w:t>
      </w:r>
      <w:r w:rsidRPr="000749B2">
        <w:rPr>
          <w:rFonts w:ascii="Book Antiqua" w:hAnsi="Book Antiqua"/>
          <w:color w:val="000000" w:themeColor="text1"/>
          <w:sz w:val="24"/>
          <w:szCs w:val="24"/>
        </w:rPr>
        <w:t>, can reveal genetic patterns associated with survival</w:t>
      </w:r>
      <w:r w:rsidR="00C42D1B" w:rsidRPr="000749B2">
        <w:rPr>
          <w:rFonts w:ascii="Book Antiqua" w:hAnsi="Book Antiqua"/>
          <w:color w:val="000000" w:themeColor="text1"/>
          <w:sz w:val="24"/>
          <w:szCs w:val="24"/>
          <w:vertAlign w:val="superscript"/>
        </w:rPr>
        <w:t>[369]</w:t>
      </w:r>
      <w:r w:rsidRPr="000749B2">
        <w:rPr>
          <w:rFonts w:ascii="Book Antiqua" w:hAnsi="Book Antiqua"/>
          <w:color w:val="000000" w:themeColor="text1"/>
          <w:sz w:val="24"/>
          <w:szCs w:val="24"/>
        </w:rPr>
        <w:t>, can be used to detect new biomarkers</w:t>
      </w:r>
      <w:r w:rsidR="00C42D1B" w:rsidRPr="000749B2">
        <w:rPr>
          <w:rFonts w:ascii="Book Antiqua" w:hAnsi="Book Antiqua"/>
          <w:color w:val="000000" w:themeColor="text1"/>
          <w:sz w:val="24"/>
          <w:szCs w:val="24"/>
          <w:vertAlign w:val="superscript"/>
        </w:rPr>
        <w:t>[370]</w:t>
      </w:r>
      <w:r w:rsidRPr="000749B2">
        <w:rPr>
          <w:rFonts w:ascii="Book Antiqua" w:hAnsi="Book Antiqua"/>
          <w:color w:val="000000" w:themeColor="text1"/>
          <w:sz w:val="24"/>
          <w:szCs w:val="24"/>
        </w:rPr>
        <w:t>, allow the identification of unknown driver mutations</w:t>
      </w:r>
      <w:r w:rsidR="00C42D1B" w:rsidRPr="000749B2">
        <w:rPr>
          <w:rFonts w:ascii="Book Antiqua" w:hAnsi="Book Antiqua"/>
          <w:color w:val="000000" w:themeColor="text1"/>
          <w:sz w:val="24"/>
          <w:szCs w:val="24"/>
          <w:vertAlign w:val="superscript"/>
        </w:rPr>
        <w:t>[371]</w:t>
      </w:r>
      <w:r w:rsidR="0023320D"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and potential preclinical compounds</w:t>
      </w:r>
      <w:r w:rsidR="00C42D1B" w:rsidRPr="000749B2">
        <w:rPr>
          <w:rFonts w:ascii="Book Antiqua" w:hAnsi="Book Antiqua"/>
          <w:color w:val="000000" w:themeColor="text1"/>
          <w:sz w:val="24"/>
          <w:szCs w:val="24"/>
          <w:vertAlign w:val="superscript"/>
        </w:rPr>
        <w:t>[372]</w:t>
      </w:r>
      <w:r w:rsidR="00674641" w:rsidRPr="000749B2">
        <w:rPr>
          <w:rFonts w:ascii="Book Antiqua" w:hAnsi="Book Antiqua"/>
          <w:color w:val="000000" w:themeColor="text1"/>
          <w:sz w:val="24"/>
          <w:szCs w:val="24"/>
        </w:rPr>
        <w:t>.</w:t>
      </w:r>
      <w:r w:rsidR="0023320D"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Yet, in silico </w:t>
      </w:r>
      <w:r w:rsidR="00674641" w:rsidRPr="000749B2">
        <w:rPr>
          <w:rFonts w:ascii="Book Antiqua" w:hAnsi="Book Antiqua"/>
          <w:color w:val="000000" w:themeColor="text1"/>
          <w:sz w:val="24"/>
          <w:szCs w:val="24"/>
        </w:rPr>
        <w:t>m</w:t>
      </w:r>
      <w:r w:rsidRPr="000749B2">
        <w:rPr>
          <w:rFonts w:ascii="Book Antiqua" w:hAnsi="Book Antiqua"/>
          <w:color w:val="000000" w:themeColor="text1"/>
          <w:sz w:val="24"/>
          <w:szCs w:val="24"/>
        </w:rPr>
        <w:t>odels often lack explanatory power and need careful interpretation by bioinformaticians</w:t>
      </w:r>
      <w:r w:rsidR="002E32DC"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w:t>
      </w:r>
      <w:r w:rsidR="002E32DC" w:rsidRPr="000749B2">
        <w:rPr>
          <w:rFonts w:ascii="Book Antiqua" w:hAnsi="Book Antiqua"/>
          <w:color w:val="000000" w:themeColor="text1"/>
          <w:sz w:val="24"/>
          <w:szCs w:val="24"/>
        </w:rPr>
        <w:t>T</w:t>
      </w:r>
      <w:r w:rsidRPr="000749B2">
        <w:rPr>
          <w:rFonts w:ascii="Book Antiqua" w:hAnsi="Book Antiqua"/>
          <w:color w:val="000000" w:themeColor="text1"/>
          <w:sz w:val="24"/>
          <w:szCs w:val="24"/>
        </w:rPr>
        <w:t xml:space="preserve">heir ability to correctly predict treatment response for an individual patient to a new compound </w:t>
      </w:r>
      <w:r w:rsidR="002E32DC" w:rsidRPr="000749B2">
        <w:rPr>
          <w:rFonts w:ascii="Book Antiqua" w:hAnsi="Book Antiqua"/>
          <w:color w:val="000000" w:themeColor="text1"/>
          <w:sz w:val="24"/>
          <w:szCs w:val="24"/>
        </w:rPr>
        <w:t xml:space="preserve">is </w:t>
      </w:r>
      <w:r w:rsidRPr="000749B2">
        <w:rPr>
          <w:rFonts w:ascii="Book Antiqua" w:hAnsi="Book Antiqua"/>
          <w:color w:val="000000" w:themeColor="text1"/>
          <w:sz w:val="24"/>
          <w:szCs w:val="24"/>
        </w:rPr>
        <w:t xml:space="preserve">still a long way </w:t>
      </w:r>
      <w:proofErr w:type="gramStart"/>
      <w:r w:rsidRPr="000749B2">
        <w:rPr>
          <w:rFonts w:ascii="Book Antiqua" w:hAnsi="Book Antiqua"/>
          <w:color w:val="000000" w:themeColor="text1"/>
          <w:sz w:val="24"/>
          <w:szCs w:val="24"/>
        </w:rPr>
        <w:t>off</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373]</w:t>
      </w:r>
      <w:r w:rsidR="0023320D" w:rsidRPr="000749B2">
        <w:rPr>
          <w:rFonts w:ascii="Book Antiqua" w:hAnsi="Book Antiqua"/>
          <w:color w:val="000000" w:themeColor="text1"/>
          <w:sz w:val="24"/>
          <w:szCs w:val="24"/>
        </w:rPr>
        <w:t>.</w:t>
      </w:r>
    </w:p>
    <w:p w14:paraId="75910E9A" w14:textId="77777777" w:rsidR="00B56DC4" w:rsidRPr="000749B2" w:rsidRDefault="00B56DC4" w:rsidP="000B4309">
      <w:pPr>
        <w:spacing w:after="0" w:line="360" w:lineRule="auto"/>
        <w:jc w:val="both"/>
        <w:rPr>
          <w:rFonts w:ascii="Book Antiqua" w:hAnsi="Book Antiqua"/>
          <w:color w:val="000000" w:themeColor="text1"/>
          <w:sz w:val="24"/>
          <w:szCs w:val="24"/>
        </w:rPr>
      </w:pPr>
    </w:p>
    <w:p w14:paraId="1D182C98" w14:textId="77777777" w:rsidR="00DD1819" w:rsidRPr="000749B2" w:rsidRDefault="00DD1819" w:rsidP="000B4309">
      <w:pPr>
        <w:pStyle w:val="paragraph"/>
        <w:adjustRightInd w:val="0"/>
        <w:snapToGrid w:val="0"/>
        <w:spacing w:before="0" w:beforeAutospacing="0" w:after="0" w:afterAutospacing="0" w:line="360" w:lineRule="auto"/>
        <w:jc w:val="both"/>
        <w:textAlignment w:val="baseline"/>
        <w:rPr>
          <w:rFonts w:ascii="Book Antiqua" w:hAnsi="Book Antiqua" w:cs="Calibri"/>
          <w:b/>
          <w:u w:val="single"/>
        </w:rPr>
      </w:pPr>
      <w:r w:rsidRPr="000749B2">
        <w:rPr>
          <w:rStyle w:val="normaltextrun"/>
          <w:rFonts w:ascii="Book Antiqua" w:hAnsi="Book Antiqua" w:cs="Calibri"/>
          <w:b/>
          <w:u w:val="single"/>
        </w:rPr>
        <w:t>ACKNOWLEDGEMENTS</w:t>
      </w:r>
    </w:p>
    <w:p w14:paraId="088BF4B3" w14:textId="77777777" w:rsidR="00AE58BD" w:rsidRPr="000749B2" w:rsidRDefault="00AE58BD" w:rsidP="000B4309">
      <w:pPr>
        <w:spacing w:after="0"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We kindly thank Jenny Burmeister, graphical assistant, for the supply with excellent pictures.</w:t>
      </w:r>
    </w:p>
    <w:p w14:paraId="7C3A31CE" w14:textId="33FC9106" w:rsidR="00AE58BD" w:rsidRPr="000749B2" w:rsidRDefault="00AE58BD" w:rsidP="000B4309">
      <w:pPr>
        <w:spacing w:after="0" w:line="360" w:lineRule="auto"/>
        <w:jc w:val="both"/>
        <w:rPr>
          <w:rFonts w:ascii="Book Antiqua" w:hAnsi="Book Antiqua"/>
          <w:color w:val="000000" w:themeColor="text1"/>
          <w:sz w:val="24"/>
          <w:szCs w:val="24"/>
        </w:rPr>
      </w:pPr>
    </w:p>
    <w:p w14:paraId="029F9AB5" w14:textId="77777777" w:rsidR="00DD1819" w:rsidRPr="000749B2" w:rsidRDefault="00DD1819" w:rsidP="000B4309">
      <w:pPr>
        <w:shd w:val="clear" w:color="auto" w:fill="FFFFFF"/>
        <w:spacing w:after="0" w:line="360" w:lineRule="auto"/>
        <w:jc w:val="both"/>
        <w:rPr>
          <w:rFonts w:ascii="Book Antiqua" w:hAnsi="Book Antiqua"/>
          <w:b/>
          <w:color w:val="000000"/>
          <w:sz w:val="24"/>
          <w:szCs w:val="24"/>
          <w:lang w:val="en-GB"/>
        </w:rPr>
      </w:pPr>
      <w:r w:rsidRPr="000749B2">
        <w:rPr>
          <w:rFonts w:ascii="Book Antiqua" w:hAnsi="Book Antiqua"/>
          <w:b/>
          <w:color w:val="000000"/>
          <w:sz w:val="24"/>
          <w:szCs w:val="24"/>
          <w:lang w:val="en-GB"/>
        </w:rPr>
        <w:t>REFERENCES</w:t>
      </w:r>
    </w:p>
    <w:p w14:paraId="17CB72C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 </w:t>
      </w:r>
      <w:r w:rsidRPr="000749B2">
        <w:rPr>
          <w:rFonts w:ascii="Book Antiqua" w:hAnsi="Book Antiqua"/>
          <w:b/>
          <w:sz w:val="24"/>
          <w:szCs w:val="24"/>
        </w:rPr>
        <w:t>Siegel RL</w:t>
      </w:r>
      <w:r w:rsidRPr="000749B2">
        <w:rPr>
          <w:rFonts w:ascii="Book Antiqua" w:hAnsi="Book Antiqua"/>
          <w:sz w:val="24"/>
          <w:szCs w:val="24"/>
        </w:rPr>
        <w:t xml:space="preserve">, Miller KD, Jemal A. Cancer statistics, 2019. </w:t>
      </w:r>
      <w:r w:rsidRPr="000749B2">
        <w:rPr>
          <w:rFonts w:ascii="Book Antiqua" w:hAnsi="Book Antiqua"/>
          <w:i/>
          <w:sz w:val="24"/>
          <w:szCs w:val="24"/>
        </w:rPr>
        <w:t>CA Cancer J Clin</w:t>
      </w:r>
      <w:r w:rsidRPr="000749B2">
        <w:rPr>
          <w:rFonts w:ascii="Book Antiqua" w:hAnsi="Book Antiqua"/>
          <w:sz w:val="24"/>
          <w:szCs w:val="24"/>
        </w:rPr>
        <w:t xml:space="preserve"> 2019; </w:t>
      </w:r>
      <w:r w:rsidRPr="000749B2">
        <w:rPr>
          <w:rFonts w:ascii="Book Antiqua" w:hAnsi="Book Antiqua"/>
          <w:b/>
          <w:sz w:val="24"/>
          <w:szCs w:val="24"/>
        </w:rPr>
        <w:t>69</w:t>
      </w:r>
      <w:r w:rsidRPr="000749B2">
        <w:rPr>
          <w:rFonts w:ascii="Book Antiqua" w:hAnsi="Book Antiqua"/>
          <w:sz w:val="24"/>
          <w:szCs w:val="24"/>
        </w:rPr>
        <w:t>: 7-34 [PMID: 30620402 DOI: 10.3322/caac.21551]</w:t>
      </w:r>
    </w:p>
    <w:p w14:paraId="72FF2EB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 </w:t>
      </w:r>
      <w:r w:rsidRPr="000749B2">
        <w:rPr>
          <w:rFonts w:ascii="Book Antiqua" w:hAnsi="Book Antiqua"/>
          <w:b/>
          <w:sz w:val="24"/>
          <w:szCs w:val="24"/>
        </w:rPr>
        <w:t>Ferlay J</w:t>
      </w:r>
      <w:r w:rsidRPr="000749B2">
        <w:rPr>
          <w:rFonts w:ascii="Book Antiqua" w:hAnsi="Book Antiqua"/>
          <w:sz w:val="24"/>
          <w:szCs w:val="24"/>
        </w:rPr>
        <w:t xml:space="preserve">, Colombet M, Soerjomataram I, Dyba T, Randi G, Bettio M, Gavin A, Visser O, Bray F. Cancer incidence and mortality patterns in Europe: Estimates for 40 countries and 25 major cancers in 2018. </w:t>
      </w:r>
      <w:r w:rsidRPr="000749B2">
        <w:rPr>
          <w:rFonts w:ascii="Book Antiqua" w:hAnsi="Book Antiqua"/>
          <w:i/>
          <w:sz w:val="24"/>
          <w:szCs w:val="24"/>
        </w:rPr>
        <w:t>Eur J Cancer</w:t>
      </w:r>
      <w:r w:rsidRPr="000749B2">
        <w:rPr>
          <w:rFonts w:ascii="Book Antiqua" w:hAnsi="Book Antiqua"/>
          <w:sz w:val="24"/>
          <w:szCs w:val="24"/>
        </w:rPr>
        <w:t xml:space="preserve"> 2018; </w:t>
      </w:r>
      <w:r w:rsidRPr="000749B2">
        <w:rPr>
          <w:rFonts w:ascii="Book Antiqua" w:hAnsi="Book Antiqua"/>
          <w:b/>
          <w:sz w:val="24"/>
          <w:szCs w:val="24"/>
        </w:rPr>
        <w:t>103</w:t>
      </w:r>
      <w:r w:rsidRPr="000749B2">
        <w:rPr>
          <w:rFonts w:ascii="Book Antiqua" w:hAnsi="Book Antiqua"/>
          <w:sz w:val="24"/>
          <w:szCs w:val="24"/>
        </w:rPr>
        <w:t>: 356-387 [PMID: 30100160 DOI: 10.1016/j.ejca.2018.07.005]</w:t>
      </w:r>
    </w:p>
    <w:p w14:paraId="42AFBD9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3 </w:t>
      </w:r>
      <w:r w:rsidRPr="000749B2">
        <w:rPr>
          <w:rFonts w:ascii="Book Antiqua" w:hAnsi="Book Antiqua"/>
          <w:b/>
          <w:sz w:val="24"/>
          <w:szCs w:val="24"/>
        </w:rPr>
        <w:t>Mengual-Ballester M</w:t>
      </w:r>
      <w:r w:rsidRPr="000749B2">
        <w:rPr>
          <w:rFonts w:ascii="Book Antiqua" w:hAnsi="Book Antiqua"/>
          <w:sz w:val="24"/>
          <w:szCs w:val="24"/>
        </w:rPr>
        <w:t xml:space="preserve">, Pellicer-Franco E, Valero-Navarro G, Soria-Aledo V, García-Marín JA, Aguayo-Albasini JL. Increased survival and decreased recurrence in colorectal cancer patients diagnosed in a screening programme. </w:t>
      </w:r>
      <w:r w:rsidRPr="000749B2">
        <w:rPr>
          <w:rFonts w:ascii="Book Antiqua" w:hAnsi="Book Antiqua"/>
          <w:i/>
          <w:sz w:val="24"/>
          <w:szCs w:val="24"/>
        </w:rPr>
        <w:t>Cancer Epidemiol</w:t>
      </w:r>
      <w:r w:rsidRPr="000749B2">
        <w:rPr>
          <w:rFonts w:ascii="Book Antiqua" w:hAnsi="Book Antiqua"/>
          <w:sz w:val="24"/>
          <w:szCs w:val="24"/>
        </w:rPr>
        <w:t xml:space="preserve"> 2016; </w:t>
      </w:r>
      <w:r w:rsidRPr="000749B2">
        <w:rPr>
          <w:rFonts w:ascii="Book Antiqua" w:hAnsi="Book Antiqua"/>
          <w:b/>
          <w:sz w:val="24"/>
          <w:szCs w:val="24"/>
        </w:rPr>
        <w:t>43</w:t>
      </w:r>
      <w:r w:rsidRPr="000749B2">
        <w:rPr>
          <w:rFonts w:ascii="Book Antiqua" w:hAnsi="Book Antiqua"/>
          <w:sz w:val="24"/>
          <w:szCs w:val="24"/>
        </w:rPr>
        <w:t>: 70-75 [PMID: 27399311 DOI: 10.1016/j.canep.2016.06.003]</w:t>
      </w:r>
    </w:p>
    <w:p w14:paraId="6B09B3D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4 </w:t>
      </w:r>
      <w:r w:rsidRPr="000749B2">
        <w:rPr>
          <w:rFonts w:ascii="Book Antiqua" w:hAnsi="Book Antiqua"/>
          <w:b/>
          <w:sz w:val="24"/>
          <w:szCs w:val="24"/>
        </w:rPr>
        <w:t>Hübner J</w:t>
      </w:r>
      <w:r w:rsidRPr="000749B2">
        <w:rPr>
          <w:rFonts w:ascii="Book Antiqua" w:hAnsi="Book Antiqua"/>
          <w:sz w:val="24"/>
          <w:szCs w:val="24"/>
        </w:rPr>
        <w:t xml:space="preserve">, Lewin P, Pritzkuleit R, Eisemann N, Maier W, Katalinic A. Colorectal cancer screening by colonoscopy and trends in disease-specific mortality: a population-based ecological study of 358 German districts. </w:t>
      </w:r>
      <w:r w:rsidRPr="000749B2">
        <w:rPr>
          <w:rFonts w:ascii="Book Antiqua" w:hAnsi="Book Antiqua"/>
          <w:i/>
          <w:sz w:val="24"/>
          <w:szCs w:val="24"/>
        </w:rPr>
        <w:t>Int J Colorectal Dis</w:t>
      </w:r>
      <w:r w:rsidRPr="000749B2">
        <w:rPr>
          <w:rFonts w:ascii="Book Antiqua" w:hAnsi="Book Antiqua"/>
          <w:sz w:val="24"/>
          <w:szCs w:val="24"/>
        </w:rPr>
        <w:t xml:space="preserve"> 2019; </w:t>
      </w:r>
      <w:r w:rsidRPr="000749B2">
        <w:rPr>
          <w:rFonts w:ascii="Book Antiqua" w:hAnsi="Book Antiqua"/>
          <w:b/>
          <w:sz w:val="24"/>
          <w:szCs w:val="24"/>
        </w:rPr>
        <w:t>34</w:t>
      </w:r>
      <w:r w:rsidRPr="000749B2">
        <w:rPr>
          <w:rFonts w:ascii="Book Antiqua" w:hAnsi="Book Antiqua"/>
          <w:sz w:val="24"/>
          <w:szCs w:val="24"/>
        </w:rPr>
        <w:t>: 599-605 [PMID: 30627848 DOI: 10.1007/s00384-018-03226-6]</w:t>
      </w:r>
    </w:p>
    <w:p w14:paraId="6E45BC8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5 </w:t>
      </w:r>
      <w:r w:rsidRPr="000749B2">
        <w:rPr>
          <w:rFonts w:ascii="Book Antiqua" w:hAnsi="Book Antiqua"/>
          <w:b/>
          <w:sz w:val="24"/>
          <w:szCs w:val="24"/>
        </w:rPr>
        <w:t>Kawabata-Shoda E</w:t>
      </w:r>
      <w:r w:rsidRPr="000749B2">
        <w:rPr>
          <w:rFonts w:ascii="Book Antiqua" w:hAnsi="Book Antiqua"/>
          <w:sz w:val="24"/>
          <w:szCs w:val="24"/>
        </w:rPr>
        <w:t xml:space="preserve">, Charvat H, Ikeda A, Inoue M, Sawada N, Iwasaki M, Sasazuki S, Shimazu T, Yamaji T, Kimura H, Masuda S, Tsugane S. Trends in cancer prognosis in a population-based cohort survey: can recent advances in cancer therapy affect the prognosis? </w:t>
      </w:r>
      <w:r w:rsidRPr="000749B2">
        <w:rPr>
          <w:rFonts w:ascii="Book Antiqua" w:hAnsi="Book Antiqua"/>
          <w:i/>
          <w:sz w:val="24"/>
          <w:szCs w:val="24"/>
        </w:rPr>
        <w:t>Cancer Epidemiol</w:t>
      </w:r>
      <w:r w:rsidRPr="000749B2">
        <w:rPr>
          <w:rFonts w:ascii="Book Antiqua" w:hAnsi="Book Antiqua"/>
          <w:sz w:val="24"/>
          <w:szCs w:val="24"/>
        </w:rPr>
        <w:t xml:space="preserve"> 2015; </w:t>
      </w:r>
      <w:r w:rsidRPr="000749B2">
        <w:rPr>
          <w:rFonts w:ascii="Book Antiqua" w:hAnsi="Book Antiqua"/>
          <w:b/>
          <w:sz w:val="24"/>
          <w:szCs w:val="24"/>
        </w:rPr>
        <w:t>39</w:t>
      </w:r>
      <w:r w:rsidRPr="000749B2">
        <w:rPr>
          <w:rFonts w:ascii="Book Antiqua" w:hAnsi="Book Antiqua"/>
          <w:sz w:val="24"/>
          <w:szCs w:val="24"/>
        </w:rPr>
        <w:t>: 97-103 [PMID: 25541411 DOI: 10.1016/j.canep.2014.11.008]</w:t>
      </w:r>
    </w:p>
    <w:p w14:paraId="045DD36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6 </w:t>
      </w:r>
      <w:r w:rsidRPr="000749B2">
        <w:rPr>
          <w:rFonts w:ascii="Book Antiqua" w:hAnsi="Book Antiqua"/>
          <w:b/>
          <w:sz w:val="24"/>
          <w:szCs w:val="24"/>
        </w:rPr>
        <w:t>Johnson CM</w:t>
      </w:r>
      <w:r w:rsidRPr="000749B2">
        <w:rPr>
          <w:rFonts w:ascii="Book Antiqua" w:hAnsi="Book Antiqua"/>
          <w:sz w:val="24"/>
          <w:szCs w:val="24"/>
        </w:rPr>
        <w:t xml:space="preserve">, Wei C, Ensor JE, Smolenski DJ, Amos CI, Levin B, Berry DA. Meta-analyses of colorectal cancer risk factors. </w:t>
      </w:r>
      <w:r w:rsidRPr="000749B2">
        <w:rPr>
          <w:rFonts w:ascii="Book Antiqua" w:hAnsi="Book Antiqua"/>
          <w:i/>
          <w:sz w:val="24"/>
          <w:szCs w:val="24"/>
        </w:rPr>
        <w:t>Cancer Causes Control</w:t>
      </w:r>
      <w:r w:rsidRPr="000749B2">
        <w:rPr>
          <w:rFonts w:ascii="Book Antiqua" w:hAnsi="Book Antiqua"/>
          <w:sz w:val="24"/>
          <w:szCs w:val="24"/>
        </w:rPr>
        <w:t xml:space="preserve"> 2013; </w:t>
      </w:r>
      <w:r w:rsidRPr="000749B2">
        <w:rPr>
          <w:rFonts w:ascii="Book Antiqua" w:hAnsi="Book Antiqua"/>
          <w:b/>
          <w:sz w:val="24"/>
          <w:szCs w:val="24"/>
        </w:rPr>
        <w:t>24</w:t>
      </w:r>
      <w:r w:rsidRPr="000749B2">
        <w:rPr>
          <w:rFonts w:ascii="Book Antiqua" w:hAnsi="Book Antiqua"/>
          <w:sz w:val="24"/>
          <w:szCs w:val="24"/>
        </w:rPr>
        <w:t>: 1207-1222 [PMID: 23563998 DOI: 10.1007/s10552-013-0201-5]</w:t>
      </w:r>
    </w:p>
    <w:p w14:paraId="1E848405" w14:textId="57E0760B"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7 </w:t>
      </w:r>
      <w:r w:rsidRPr="000749B2">
        <w:rPr>
          <w:rFonts w:ascii="Book Antiqua" w:hAnsi="Book Antiqua"/>
          <w:b/>
          <w:sz w:val="24"/>
          <w:szCs w:val="24"/>
        </w:rPr>
        <w:t>Waluga M</w:t>
      </w:r>
      <w:r w:rsidRPr="000749B2">
        <w:rPr>
          <w:rFonts w:ascii="Book Antiqua" w:hAnsi="Book Antiqua"/>
          <w:sz w:val="24"/>
          <w:szCs w:val="24"/>
        </w:rPr>
        <w:t xml:space="preserve">, Zorniak M, Fichna J, Kukla M, Hartleb M. Pharmacological and dietary factors in prevention of colorectal cancer. </w:t>
      </w:r>
      <w:r w:rsidRPr="000749B2">
        <w:rPr>
          <w:rFonts w:ascii="Book Antiqua" w:hAnsi="Book Antiqua"/>
          <w:i/>
          <w:sz w:val="24"/>
          <w:szCs w:val="24"/>
        </w:rPr>
        <w:t>J Physiol Pharmacol</w:t>
      </w:r>
      <w:r w:rsidRPr="000749B2">
        <w:rPr>
          <w:rFonts w:ascii="Book Antiqua" w:hAnsi="Book Antiqua"/>
          <w:sz w:val="24"/>
          <w:szCs w:val="24"/>
        </w:rPr>
        <w:t xml:space="preserve"> 2018; </w:t>
      </w:r>
      <w:r w:rsidRPr="000749B2">
        <w:rPr>
          <w:rFonts w:ascii="Book Antiqua" w:hAnsi="Book Antiqua"/>
          <w:b/>
          <w:sz w:val="24"/>
          <w:szCs w:val="24"/>
        </w:rPr>
        <w:t>69</w:t>
      </w:r>
      <w:r w:rsidRPr="000749B2">
        <w:rPr>
          <w:rFonts w:ascii="Book Antiqua" w:hAnsi="Book Antiqua"/>
          <w:sz w:val="24"/>
          <w:szCs w:val="24"/>
        </w:rPr>
        <w:t>:</w:t>
      </w:r>
      <w:r w:rsidR="004077FE" w:rsidRPr="000749B2">
        <w:rPr>
          <w:rFonts w:ascii="Book Antiqua" w:hAnsi="Book Antiqua"/>
          <w:sz w:val="24"/>
          <w:szCs w:val="24"/>
        </w:rPr>
        <w:t xml:space="preserve"> </w:t>
      </w:r>
      <w:r w:rsidRPr="000749B2">
        <w:rPr>
          <w:rFonts w:ascii="Book Antiqua" w:hAnsi="Book Antiqua"/>
          <w:sz w:val="24"/>
          <w:szCs w:val="24"/>
        </w:rPr>
        <w:t>[PMID: 30149368 DOI: 10.26402/jpp.2018.3.02]</w:t>
      </w:r>
    </w:p>
    <w:p w14:paraId="5CC9669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8 </w:t>
      </w:r>
      <w:r w:rsidRPr="000749B2">
        <w:rPr>
          <w:rFonts w:ascii="Book Antiqua" w:hAnsi="Book Antiqua"/>
          <w:b/>
          <w:sz w:val="24"/>
          <w:szCs w:val="24"/>
        </w:rPr>
        <w:t>Cole BF</w:t>
      </w:r>
      <w:r w:rsidRPr="000749B2">
        <w:rPr>
          <w:rFonts w:ascii="Book Antiqua" w:hAnsi="Book Antiqua"/>
          <w:sz w:val="24"/>
          <w:szCs w:val="24"/>
        </w:rPr>
        <w:t xml:space="preserve">, Logan RF, Halabi S, Benamouzig R, Sandler RS, Grainge MJ, Chaussade S, Baron JA. Aspirin for the chemoprevention of colorectal adenomas: meta-analysis of the randomized trials. </w:t>
      </w:r>
      <w:r w:rsidRPr="000749B2">
        <w:rPr>
          <w:rFonts w:ascii="Book Antiqua" w:hAnsi="Book Antiqua"/>
          <w:i/>
          <w:sz w:val="24"/>
          <w:szCs w:val="24"/>
        </w:rPr>
        <w:t>J Natl Cancer Inst</w:t>
      </w:r>
      <w:r w:rsidRPr="000749B2">
        <w:rPr>
          <w:rFonts w:ascii="Book Antiqua" w:hAnsi="Book Antiqua"/>
          <w:sz w:val="24"/>
          <w:szCs w:val="24"/>
        </w:rPr>
        <w:t xml:space="preserve"> 2009; </w:t>
      </w:r>
      <w:r w:rsidRPr="000749B2">
        <w:rPr>
          <w:rFonts w:ascii="Book Antiqua" w:hAnsi="Book Antiqua"/>
          <w:b/>
          <w:sz w:val="24"/>
          <w:szCs w:val="24"/>
        </w:rPr>
        <w:t>101</w:t>
      </w:r>
      <w:r w:rsidRPr="000749B2">
        <w:rPr>
          <w:rFonts w:ascii="Book Antiqua" w:hAnsi="Book Antiqua"/>
          <w:sz w:val="24"/>
          <w:szCs w:val="24"/>
        </w:rPr>
        <w:t>: 256-266 [PMID: 19211452 DOI: 10.1093/jnci/djn485]</w:t>
      </w:r>
    </w:p>
    <w:p w14:paraId="35729B1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9 </w:t>
      </w:r>
      <w:r w:rsidRPr="000749B2">
        <w:rPr>
          <w:rFonts w:ascii="Book Antiqua" w:hAnsi="Book Antiqua"/>
          <w:b/>
          <w:sz w:val="24"/>
          <w:szCs w:val="24"/>
        </w:rPr>
        <w:t>Jasperson KW</w:t>
      </w:r>
      <w:r w:rsidRPr="000749B2">
        <w:rPr>
          <w:rFonts w:ascii="Book Antiqua" w:hAnsi="Book Antiqua"/>
          <w:sz w:val="24"/>
          <w:szCs w:val="24"/>
        </w:rPr>
        <w:t xml:space="preserve">, Tuohy TM, Neklason DW, Burt RW. Hereditary and familial colon cancer. </w:t>
      </w:r>
      <w:r w:rsidRPr="000749B2">
        <w:rPr>
          <w:rFonts w:ascii="Book Antiqua" w:hAnsi="Book Antiqua"/>
          <w:i/>
          <w:sz w:val="24"/>
          <w:szCs w:val="24"/>
        </w:rPr>
        <w:t>Gastroenterology</w:t>
      </w:r>
      <w:r w:rsidRPr="000749B2">
        <w:rPr>
          <w:rFonts w:ascii="Book Antiqua" w:hAnsi="Book Antiqua"/>
          <w:sz w:val="24"/>
          <w:szCs w:val="24"/>
        </w:rPr>
        <w:t xml:space="preserve"> 2010; </w:t>
      </w:r>
      <w:r w:rsidRPr="000749B2">
        <w:rPr>
          <w:rFonts w:ascii="Book Antiqua" w:hAnsi="Book Antiqua"/>
          <w:b/>
          <w:sz w:val="24"/>
          <w:szCs w:val="24"/>
        </w:rPr>
        <w:t>138</w:t>
      </w:r>
      <w:r w:rsidRPr="000749B2">
        <w:rPr>
          <w:rFonts w:ascii="Book Antiqua" w:hAnsi="Book Antiqua"/>
          <w:sz w:val="24"/>
          <w:szCs w:val="24"/>
        </w:rPr>
        <w:t>: 2044-2058 [PMID: 20420945 DOI: 10.1053/j.gastro.2010.01.054]</w:t>
      </w:r>
    </w:p>
    <w:p w14:paraId="08B44CC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10 </w:t>
      </w:r>
      <w:r w:rsidRPr="000749B2">
        <w:rPr>
          <w:rFonts w:ascii="Book Antiqua" w:hAnsi="Book Antiqua"/>
          <w:b/>
          <w:sz w:val="24"/>
          <w:szCs w:val="24"/>
        </w:rPr>
        <w:t>Bodmer WF</w:t>
      </w:r>
      <w:r w:rsidRPr="000749B2">
        <w:rPr>
          <w:rFonts w:ascii="Book Antiqua" w:hAnsi="Book Antiqua"/>
          <w:sz w:val="24"/>
          <w:szCs w:val="24"/>
        </w:rPr>
        <w:t xml:space="preserve">, Bailey CJ, Bodmer J, Bussey HJ, Ellis A, Gorman P, Lucibello FC, Murday VA, Rider SH, Scambler P. Localization of the gene for familial adenomatous polyposis on chromosome 5. </w:t>
      </w:r>
      <w:r w:rsidRPr="000749B2">
        <w:rPr>
          <w:rFonts w:ascii="Book Antiqua" w:hAnsi="Book Antiqua"/>
          <w:i/>
          <w:sz w:val="24"/>
          <w:szCs w:val="24"/>
        </w:rPr>
        <w:t>Nature</w:t>
      </w:r>
      <w:r w:rsidRPr="000749B2">
        <w:rPr>
          <w:rFonts w:ascii="Book Antiqua" w:hAnsi="Book Antiqua"/>
          <w:sz w:val="24"/>
          <w:szCs w:val="24"/>
        </w:rPr>
        <w:t xml:space="preserve"> 1987; </w:t>
      </w:r>
      <w:r w:rsidRPr="000749B2">
        <w:rPr>
          <w:rFonts w:ascii="Book Antiqua" w:hAnsi="Book Antiqua"/>
          <w:b/>
          <w:sz w:val="24"/>
          <w:szCs w:val="24"/>
        </w:rPr>
        <w:t>328</w:t>
      </w:r>
      <w:r w:rsidRPr="000749B2">
        <w:rPr>
          <w:rFonts w:ascii="Book Antiqua" w:hAnsi="Book Antiqua"/>
          <w:sz w:val="24"/>
          <w:szCs w:val="24"/>
        </w:rPr>
        <w:t>: 614-616 [PMID: 3039373 DOI: 10.1038/328614a0]</w:t>
      </w:r>
    </w:p>
    <w:p w14:paraId="07F1063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11 </w:t>
      </w:r>
      <w:r w:rsidRPr="000749B2">
        <w:rPr>
          <w:rFonts w:ascii="Book Antiqua" w:hAnsi="Book Antiqua"/>
          <w:b/>
          <w:sz w:val="24"/>
          <w:szCs w:val="24"/>
        </w:rPr>
        <w:t>Peltomäki P</w:t>
      </w:r>
      <w:r w:rsidRPr="000749B2">
        <w:rPr>
          <w:rFonts w:ascii="Book Antiqua" w:hAnsi="Book Antiqua"/>
          <w:sz w:val="24"/>
          <w:szCs w:val="24"/>
        </w:rPr>
        <w:t xml:space="preserve">, Aaltonen LA, Sistonen P, Pylkkänen L, Mecklin JP, Järvinen H, Green JS, Jass JR, Weber JL, Leach FS. Genetic mapping of a locus predisposing to human colorectal cancer. </w:t>
      </w:r>
      <w:r w:rsidRPr="000749B2">
        <w:rPr>
          <w:rFonts w:ascii="Book Antiqua" w:hAnsi="Book Antiqua"/>
          <w:i/>
          <w:sz w:val="24"/>
          <w:szCs w:val="24"/>
        </w:rPr>
        <w:t>Science</w:t>
      </w:r>
      <w:r w:rsidRPr="000749B2">
        <w:rPr>
          <w:rFonts w:ascii="Book Antiqua" w:hAnsi="Book Antiqua"/>
          <w:sz w:val="24"/>
          <w:szCs w:val="24"/>
        </w:rPr>
        <w:t xml:space="preserve"> 1993; </w:t>
      </w:r>
      <w:r w:rsidRPr="000749B2">
        <w:rPr>
          <w:rFonts w:ascii="Book Antiqua" w:hAnsi="Book Antiqua"/>
          <w:b/>
          <w:sz w:val="24"/>
          <w:szCs w:val="24"/>
        </w:rPr>
        <w:t>260</w:t>
      </w:r>
      <w:r w:rsidRPr="000749B2">
        <w:rPr>
          <w:rFonts w:ascii="Book Antiqua" w:hAnsi="Book Antiqua"/>
          <w:sz w:val="24"/>
          <w:szCs w:val="24"/>
        </w:rPr>
        <w:t>: 810-812 [PMID: 8484120 DOI: 10.1126/science.8484120]</w:t>
      </w:r>
    </w:p>
    <w:p w14:paraId="44893D9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12 </w:t>
      </w:r>
      <w:r w:rsidRPr="000749B2">
        <w:rPr>
          <w:rFonts w:ascii="Book Antiqua" w:hAnsi="Book Antiqua"/>
          <w:b/>
          <w:sz w:val="24"/>
          <w:szCs w:val="24"/>
        </w:rPr>
        <w:t>Lindblom A</w:t>
      </w:r>
      <w:r w:rsidRPr="000749B2">
        <w:rPr>
          <w:rFonts w:ascii="Book Antiqua" w:hAnsi="Book Antiqua"/>
          <w:sz w:val="24"/>
          <w:szCs w:val="24"/>
        </w:rPr>
        <w:t xml:space="preserve">, Tannergård P, Werelius B, Nordenskjöld M. Genetic mapping of a second locus predisposing to hereditary non-polyposis colon cancer. </w:t>
      </w:r>
      <w:r w:rsidRPr="000749B2">
        <w:rPr>
          <w:rFonts w:ascii="Book Antiqua" w:hAnsi="Book Antiqua"/>
          <w:i/>
          <w:sz w:val="24"/>
          <w:szCs w:val="24"/>
        </w:rPr>
        <w:t>Nat Genet</w:t>
      </w:r>
      <w:r w:rsidRPr="000749B2">
        <w:rPr>
          <w:rFonts w:ascii="Book Antiqua" w:hAnsi="Book Antiqua"/>
          <w:sz w:val="24"/>
          <w:szCs w:val="24"/>
        </w:rPr>
        <w:t xml:space="preserve"> 1993; </w:t>
      </w:r>
      <w:r w:rsidRPr="000749B2">
        <w:rPr>
          <w:rFonts w:ascii="Book Antiqua" w:hAnsi="Book Antiqua"/>
          <w:b/>
          <w:sz w:val="24"/>
          <w:szCs w:val="24"/>
        </w:rPr>
        <w:t>5</w:t>
      </w:r>
      <w:r w:rsidRPr="000749B2">
        <w:rPr>
          <w:rFonts w:ascii="Book Antiqua" w:hAnsi="Book Antiqua"/>
          <w:sz w:val="24"/>
          <w:szCs w:val="24"/>
        </w:rPr>
        <w:t>: 279-282 [PMID: 7903889 DOI: 10.1038/ng1193-279]</w:t>
      </w:r>
    </w:p>
    <w:p w14:paraId="600D4F47" w14:textId="7DDE3E2D"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13 </w:t>
      </w:r>
      <w:r w:rsidRPr="000749B2">
        <w:rPr>
          <w:rFonts w:ascii="Book Antiqua" w:hAnsi="Book Antiqua"/>
          <w:b/>
          <w:sz w:val="24"/>
          <w:szCs w:val="24"/>
        </w:rPr>
        <w:t>Cancer Genome Atlas Network</w:t>
      </w:r>
      <w:r w:rsidRPr="000749B2">
        <w:rPr>
          <w:rFonts w:ascii="Book Antiqua" w:hAnsi="Book Antiqua"/>
          <w:sz w:val="24"/>
          <w:szCs w:val="24"/>
        </w:rPr>
        <w:t xml:space="preserve">. Comprehensive molecular characterization of human colon and rectal cancer. </w:t>
      </w:r>
      <w:r w:rsidRPr="000749B2">
        <w:rPr>
          <w:rFonts w:ascii="Book Antiqua" w:hAnsi="Book Antiqua"/>
          <w:i/>
          <w:sz w:val="24"/>
          <w:szCs w:val="24"/>
        </w:rPr>
        <w:t>Nature</w:t>
      </w:r>
      <w:r w:rsidRPr="000749B2">
        <w:rPr>
          <w:rFonts w:ascii="Book Antiqua" w:hAnsi="Book Antiqua"/>
          <w:sz w:val="24"/>
          <w:szCs w:val="24"/>
        </w:rPr>
        <w:t xml:space="preserve"> 2012; </w:t>
      </w:r>
      <w:r w:rsidRPr="000749B2">
        <w:rPr>
          <w:rFonts w:ascii="Book Antiqua" w:hAnsi="Book Antiqua"/>
          <w:b/>
          <w:sz w:val="24"/>
          <w:szCs w:val="24"/>
        </w:rPr>
        <w:t>487</w:t>
      </w:r>
      <w:r w:rsidRPr="000749B2">
        <w:rPr>
          <w:rFonts w:ascii="Book Antiqua" w:hAnsi="Book Antiqua"/>
          <w:sz w:val="24"/>
          <w:szCs w:val="24"/>
        </w:rPr>
        <w:t>: 330-337 [PMID: 22810696 DOI: 10.1038/nature11252]</w:t>
      </w:r>
    </w:p>
    <w:p w14:paraId="79A74D2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14 </w:t>
      </w:r>
      <w:r w:rsidRPr="000749B2">
        <w:rPr>
          <w:rFonts w:ascii="Book Antiqua" w:hAnsi="Book Antiqua"/>
          <w:b/>
          <w:sz w:val="24"/>
          <w:szCs w:val="24"/>
        </w:rPr>
        <w:t>Yamagiwa K</w:t>
      </w:r>
      <w:r w:rsidRPr="000749B2">
        <w:rPr>
          <w:rFonts w:ascii="Book Antiqua" w:hAnsi="Book Antiqua"/>
          <w:sz w:val="24"/>
          <w:szCs w:val="24"/>
        </w:rPr>
        <w:t xml:space="preserve">, Ichikawa K. Experimental study of the pathogenesis of carcinoma. </w:t>
      </w:r>
      <w:r w:rsidRPr="000749B2">
        <w:rPr>
          <w:rFonts w:ascii="Book Antiqua" w:hAnsi="Book Antiqua"/>
          <w:i/>
          <w:sz w:val="24"/>
          <w:szCs w:val="24"/>
        </w:rPr>
        <w:t>CA Cancer J Clin</w:t>
      </w:r>
      <w:r w:rsidRPr="000749B2">
        <w:rPr>
          <w:rFonts w:ascii="Book Antiqua" w:hAnsi="Book Antiqua"/>
          <w:sz w:val="24"/>
          <w:szCs w:val="24"/>
        </w:rPr>
        <w:t xml:space="preserve"> 1977; </w:t>
      </w:r>
      <w:r w:rsidRPr="000749B2">
        <w:rPr>
          <w:rFonts w:ascii="Book Antiqua" w:hAnsi="Book Antiqua"/>
          <w:b/>
          <w:sz w:val="24"/>
          <w:szCs w:val="24"/>
        </w:rPr>
        <w:t>27</w:t>
      </w:r>
      <w:r w:rsidRPr="000749B2">
        <w:rPr>
          <w:rFonts w:ascii="Book Antiqua" w:hAnsi="Book Antiqua"/>
          <w:sz w:val="24"/>
          <w:szCs w:val="24"/>
        </w:rPr>
        <w:t>: 174-181 [PMID: 406018 DOI: 10.3322/canjclin.27.3.174]</w:t>
      </w:r>
    </w:p>
    <w:p w14:paraId="2248B741" w14:textId="7A7DC1FB"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15 </w:t>
      </w:r>
      <w:r w:rsidRPr="000749B2">
        <w:rPr>
          <w:rFonts w:ascii="Book Antiqua" w:hAnsi="Book Antiqua"/>
          <w:b/>
          <w:sz w:val="24"/>
          <w:szCs w:val="24"/>
        </w:rPr>
        <w:t>Lorenz E,</w:t>
      </w:r>
      <w:r w:rsidR="004077FE" w:rsidRPr="000749B2">
        <w:rPr>
          <w:rFonts w:ascii="Book Antiqua" w:hAnsi="Book Antiqua"/>
          <w:sz w:val="24"/>
          <w:szCs w:val="24"/>
        </w:rPr>
        <w:t xml:space="preserve"> </w:t>
      </w:r>
      <w:r w:rsidRPr="000749B2">
        <w:rPr>
          <w:rFonts w:ascii="Book Antiqua" w:hAnsi="Book Antiqua"/>
          <w:sz w:val="24"/>
          <w:szCs w:val="24"/>
        </w:rPr>
        <w:t xml:space="preserve">Steward HL. Intestinal Carcinoma and Other Lesions in Mice Following Oral Administration of 1,2,5,6-Dibenzanthracene and 20-Methylcholanthrene. </w:t>
      </w:r>
      <w:r w:rsidR="0010656B" w:rsidRPr="000749B2">
        <w:rPr>
          <w:rFonts w:ascii="Book Antiqua" w:hAnsi="Book Antiqua"/>
          <w:i/>
          <w:sz w:val="24"/>
          <w:szCs w:val="24"/>
        </w:rPr>
        <w:t>J Natl Cancer Inst</w:t>
      </w:r>
      <w:r w:rsidR="0010656B" w:rsidRPr="000749B2">
        <w:rPr>
          <w:rFonts w:ascii="Book Antiqua" w:hAnsi="Book Antiqua"/>
          <w:sz w:val="24"/>
          <w:szCs w:val="24"/>
        </w:rPr>
        <w:t xml:space="preserve"> </w:t>
      </w:r>
      <w:r w:rsidRPr="000749B2">
        <w:rPr>
          <w:rFonts w:ascii="Book Antiqua" w:hAnsi="Book Antiqua"/>
          <w:sz w:val="24"/>
          <w:szCs w:val="24"/>
        </w:rPr>
        <w:t>1940</w:t>
      </w:r>
      <w:r w:rsidR="0010656B" w:rsidRPr="000749B2">
        <w:rPr>
          <w:rFonts w:ascii="Book Antiqua" w:hAnsi="Book Antiqua"/>
          <w:sz w:val="24"/>
          <w:szCs w:val="24"/>
        </w:rPr>
        <w:t xml:space="preserve">; </w:t>
      </w:r>
      <w:r w:rsidR="0010656B" w:rsidRPr="000749B2">
        <w:rPr>
          <w:rFonts w:ascii="Book Antiqua" w:hAnsi="Book Antiqua"/>
          <w:b/>
          <w:bCs/>
          <w:sz w:val="24"/>
          <w:szCs w:val="24"/>
        </w:rPr>
        <w:t>1</w:t>
      </w:r>
      <w:r w:rsidR="0010656B" w:rsidRPr="000749B2">
        <w:rPr>
          <w:rFonts w:ascii="Book Antiqua" w:hAnsi="Book Antiqua"/>
          <w:sz w:val="24"/>
          <w:szCs w:val="24"/>
        </w:rPr>
        <w:t>: 17-41</w:t>
      </w:r>
      <w:r w:rsidRPr="000749B2">
        <w:rPr>
          <w:rFonts w:ascii="Book Antiqua" w:hAnsi="Book Antiqua"/>
          <w:sz w:val="24"/>
          <w:szCs w:val="24"/>
        </w:rPr>
        <w:t xml:space="preserve"> [DOI: 10.1093/jnci/1.1.17]</w:t>
      </w:r>
    </w:p>
    <w:p w14:paraId="5AAAEE7C" w14:textId="245BA473"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16 </w:t>
      </w:r>
      <w:r w:rsidRPr="000749B2">
        <w:rPr>
          <w:rFonts w:ascii="Book Antiqua" w:hAnsi="Book Antiqua"/>
          <w:b/>
          <w:sz w:val="24"/>
          <w:szCs w:val="24"/>
        </w:rPr>
        <w:t>Druckrey H,</w:t>
      </w:r>
      <w:r w:rsidR="004077FE" w:rsidRPr="000749B2">
        <w:rPr>
          <w:rFonts w:ascii="Book Antiqua" w:hAnsi="Book Antiqua"/>
          <w:sz w:val="24"/>
          <w:szCs w:val="24"/>
        </w:rPr>
        <w:t xml:space="preserve"> </w:t>
      </w:r>
      <w:r w:rsidRPr="000749B2">
        <w:rPr>
          <w:rFonts w:ascii="Book Antiqua" w:hAnsi="Book Antiqua"/>
          <w:sz w:val="24"/>
          <w:szCs w:val="24"/>
        </w:rPr>
        <w:t xml:space="preserve">Küpfmüller K. Quantitative Analyse der Krebsentstehung. </w:t>
      </w:r>
      <w:r w:rsidRPr="000749B2">
        <w:rPr>
          <w:rFonts w:ascii="Book Antiqua" w:hAnsi="Book Antiqua"/>
          <w:i/>
          <w:iCs/>
          <w:sz w:val="24"/>
          <w:szCs w:val="24"/>
        </w:rPr>
        <w:t>Zeitschrift für Naturforschung B</w:t>
      </w:r>
      <w:r w:rsidRPr="000749B2">
        <w:rPr>
          <w:rFonts w:ascii="Book Antiqua" w:hAnsi="Book Antiqua"/>
          <w:sz w:val="24"/>
          <w:szCs w:val="24"/>
        </w:rPr>
        <w:t xml:space="preserve"> 1948; </w:t>
      </w:r>
      <w:r w:rsidRPr="000749B2">
        <w:rPr>
          <w:rFonts w:ascii="Book Antiqua" w:hAnsi="Book Antiqua"/>
          <w:b/>
          <w:bCs/>
          <w:sz w:val="24"/>
          <w:szCs w:val="24"/>
        </w:rPr>
        <w:t>3</w:t>
      </w:r>
      <w:r w:rsidRPr="000749B2">
        <w:rPr>
          <w:rFonts w:ascii="Book Antiqua" w:hAnsi="Book Antiqua"/>
          <w:sz w:val="24"/>
          <w:szCs w:val="24"/>
        </w:rPr>
        <w:t>: 254–266 [DOI: 10.1515/znb-1948-7-806]</w:t>
      </w:r>
    </w:p>
    <w:p w14:paraId="6A8BFBE3" w14:textId="7F7E8B6A"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17 </w:t>
      </w:r>
      <w:r w:rsidR="0010656B" w:rsidRPr="000749B2">
        <w:rPr>
          <w:rFonts w:ascii="Book Antiqua" w:hAnsi="Book Antiqua"/>
          <w:b/>
          <w:sz w:val="24"/>
          <w:szCs w:val="24"/>
        </w:rPr>
        <w:t xml:space="preserve">Lisco </w:t>
      </w:r>
      <w:r w:rsidRPr="000749B2">
        <w:rPr>
          <w:rFonts w:ascii="Book Antiqua" w:hAnsi="Book Antiqua"/>
          <w:b/>
          <w:sz w:val="24"/>
          <w:szCs w:val="24"/>
        </w:rPr>
        <w:t>H</w:t>
      </w:r>
      <w:r w:rsidRPr="000749B2">
        <w:rPr>
          <w:rFonts w:ascii="Book Antiqua" w:hAnsi="Book Antiqua"/>
          <w:sz w:val="24"/>
          <w:szCs w:val="24"/>
        </w:rPr>
        <w:t xml:space="preserve">, </w:t>
      </w:r>
      <w:r w:rsidR="0010656B" w:rsidRPr="000749B2">
        <w:rPr>
          <w:rFonts w:ascii="Book Antiqua" w:hAnsi="Book Antiqua"/>
          <w:sz w:val="24"/>
          <w:szCs w:val="24"/>
        </w:rPr>
        <w:t xml:space="preserve">Finkel </w:t>
      </w:r>
      <w:r w:rsidRPr="000749B2">
        <w:rPr>
          <w:rFonts w:ascii="Book Antiqua" w:hAnsi="Book Antiqua"/>
          <w:sz w:val="24"/>
          <w:szCs w:val="24"/>
        </w:rPr>
        <w:t xml:space="preserve">MP, </w:t>
      </w:r>
      <w:r w:rsidR="0010656B" w:rsidRPr="000749B2">
        <w:rPr>
          <w:rFonts w:ascii="Book Antiqua" w:hAnsi="Book Antiqua"/>
          <w:sz w:val="24"/>
          <w:szCs w:val="24"/>
        </w:rPr>
        <w:t xml:space="preserve">Brues </w:t>
      </w:r>
      <w:r w:rsidRPr="000749B2">
        <w:rPr>
          <w:rFonts w:ascii="Book Antiqua" w:hAnsi="Book Antiqua"/>
          <w:sz w:val="24"/>
          <w:szCs w:val="24"/>
        </w:rPr>
        <w:t xml:space="preserve">AM. Carcinogenic properties of radioactive fission products and of plutonium. </w:t>
      </w:r>
      <w:r w:rsidRPr="000749B2">
        <w:rPr>
          <w:rFonts w:ascii="Book Antiqua" w:hAnsi="Book Antiqua"/>
          <w:i/>
          <w:sz w:val="24"/>
          <w:szCs w:val="24"/>
        </w:rPr>
        <w:t>Radiology</w:t>
      </w:r>
      <w:r w:rsidRPr="000749B2">
        <w:rPr>
          <w:rFonts w:ascii="Book Antiqua" w:hAnsi="Book Antiqua"/>
          <w:sz w:val="24"/>
          <w:szCs w:val="24"/>
        </w:rPr>
        <w:t xml:space="preserve"> 1947; </w:t>
      </w:r>
      <w:r w:rsidRPr="000749B2">
        <w:rPr>
          <w:rFonts w:ascii="Book Antiqua" w:hAnsi="Book Antiqua"/>
          <w:b/>
          <w:sz w:val="24"/>
          <w:szCs w:val="24"/>
        </w:rPr>
        <w:t>49</w:t>
      </w:r>
      <w:r w:rsidRPr="000749B2">
        <w:rPr>
          <w:rFonts w:ascii="Book Antiqua" w:hAnsi="Book Antiqua"/>
          <w:sz w:val="24"/>
          <w:szCs w:val="24"/>
        </w:rPr>
        <w:t>: 361-363 [PMID: 20266010 DOI: 10.1148/49.3.361]</w:t>
      </w:r>
    </w:p>
    <w:p w14:paraId="174B2270" w14:textId="364DF6AB"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18 </w:t>
      </w:r>
      <w:r w:rsidR="0010656B" w:rsidRPr="000749B2">
        <w:rPr>
          <w:rFonts w:ascii="Book Antiqua" w:hAnsi="Book Antiqua"/>
          <w:b/>
          <w:sz w:val="24"/>
          <w:szCs w:val="24"/>
        </w:rPr>
        <w:t xml:space="preserve">Laqueur </w:t>
      </w:r>
      <w:r w:rsidRPr="000749B2">
        <w:rPr>
          <w:rFonts w:ascii="Book Antiqua" w:hAnsi="Book Antiqua"/>
          <w:b/>
          <w:sz w:val="24"/>
          <w:szCs w:val="24"/>
        </w:rPr>
        <w:t>GL</w:t>
      </w:r>
      <w:r w:rsidRPr="000749B2">
        <w:rPr>
          <w:rFonts w:ascii="Book Antiqua" w:hAnsi="Book Antiqua"/>
          <w:sz w:val="24"/>
          <w:szCs w:val="24"/>
        </w:rPr>
        <w:t xml:space="preserve">. </w:t>
      </w:r>
      <w:r w:rsidR="0010656B" w:rsidRPr="000749B2">
        <w:rPr>
          <w:rFonts w:ascii="Book Antiqua" w:hAnsi="Book Antiqua"/>
          <w:sz w:val="24"/>
          <w:szCs w:val="24"/>
        </w:rPr>
        <w:t>Carcinogenic Effects of Cycad Meal and Cycasin, Methylazoxymethanol Glycoside, in Rats and Effects of Cycasin in Germfree Rats</w:t>
      </w:r>
      <w:r w:rsidRPr="000749B2">
        <w:rPr>
          <w:rFonts w:ascii="Book Antiqua" w:hAnsi="Book Antiqua"/>
          <w:sz w:val="24"/>
          <w:szCs w:val="24"/>
        </w:rPr>
        <w:t xml:space="preserve">. </w:t>
      </w:r>
      <w:r w:rsidRPr="000749B2">
        <w:rPr>
          <w:rFonts w:ascii="Book Antiqua" w:hAnsi="Book Antiqua"/>
          <w:i/>
          <w:sz w:val="24"/>
          <w:szCs w:val="24"/>
        </w:rPr>
        <w:t>Fed Proc</w:t>
      </w:r>
      <w:r w:rsidRPr="000749B2">
        <w:rPr>
          <w:rFonts w:ascii="Book Antiqua" w:hAnsi="Book Antiqua"/>
          <w:sz w:val="24"/>
          <w:szCs w:val="24"/>
        </w:rPr>
        <w:t xml:space="preserve"> 1964; </w:t>
      </w:r>
      <w:r w:rsidRPr="000749B2">
        <w:rPr>
          <w:rFonts w:ascii="Book Antiqua" w:hAnsi="Book Antiqua"/>
          <w:b/>
          <w:sz w:val="24"/>
          <w:szCs w:val="24"/>
        </w:rPr>
        <w:t>23</w:t>
      </w:r>
      <w:r w:rsidRPr="000749B2">
        <w:rPr>
          <w:rFonts w:ascii="Book Antiqua" w:hAnsi="Book Antiqua"/>
          <w:sz w:val="24"/>
          <w:szCs w:val="24"/>
        </w:rPr>
        <w:t>: 1386-1388 [PMID: 14236160]</w:t>
      </w:r>
    </w:p>
    <w:p w14:paraId="3874D68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19 </w:t>
      </w:r>
      <w:r w:rsidRPr="000749B2">
        <w:rPr>
          <w:rFonts w:ascii="Book Antiqua" w:hAnsi="Book Antiqua"/>
          <w:b/>
          <w:sz w:val="24"/>
          <w:szCs w:val="24"/>
        </w:rPr>
        <w:t>Morgan RW</w:t>
      </w:r>
      <w:r w:rsidRPr="000749B2">
        <w:rPr>
          <w:rFonts w:ascii="Book Antiqua" w:hAnsi="Book Antiqua"/>
          <w:sz w:val="24"/>
          <w:szCs w:val="24"/>
        </w:rPr>
        <w:t xml:space="preserve">, Hoffmann GR. Cycasin and its mutagenic metabolites. </w:t>
      </w:r>
      <w:r w:rsidRPr="000749B2">
        <w:rPr>
          <w:rFonts w:ascii="Book Antiqua" w:hAnsi="Book Antiqua"/>
          <w:i/>
          <w:sz w:val="24"/>
          <w:szCs w:val="24"/>
        </w:rPr>
        <w:t>Mutat Res</w:t>
      </w:r>
      <w:r w:rsidRPr="000749B2">
        <w:rPr>
          <w:rFonts w:ascii="Book Antiqua" w:hAnsi="Book Antiqua"/>
          <w:sz w:val="24"/>
          <w:szCs w:val="24"/>
        </w:rPr>
        <w:t xml:space="preserve"> 1983; </w:t>
      </w:r>
      <w:r w:rsidRPr="000749B2">
        <w:rPr>
          <w:rFonts w:ascii="Book Antiqua" w:hAnsi="Book Antiqua"/>
          <w:b/>
          <w:sz w:val="24"/>
          <w:szCs w:val="24"/>
        </w:rPr>
        <w:t>114</w:t>
      </w:r>
      <w:r w:rsidRPr="000749B2">
        <w:rPr>
          <w:rFonts w:ascii="Book Antiqua" w:hAnsi="Book Antiqua"/>
          <w:sz w:val="24"/>
          <w:szCs w:val="24"/>
        </w:rPr>
        <w:t>: 19-58 [PMID: 6338356 DOI: 10.1016/0165-1110(83)90018-0]</w:t>
      </w:r>
    </w:p>
    <w:p w14:paraId="75573A4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20 </w:t>
      </w:r>
      <w:r w:rsidRPr="000749B2">
        <w:rPr>
          <w:rFonts w:ascii="Book Antiqua" w:hAnsi="Book Antiqua"/>
          <w:b/>
          <w:sz w:val="24"/>
          <w:szCs w:val="24"/>
        </w:rPr>
        <w:t>Druckrey H</w:t>
      </w:r>
      <w:r w:rsidRPr="000749B2">
        <w:rPr>
          <w:rFonts w:ascii="Book Antiqua" w:hAnsi="Book Antiqua"/>
          <w:sz w:val="24"/>
          <w:szCs w:val="24"/>
        </w:rPr>
        <w:t xml:space="preserve">, Preussmann R, Ivanković S, Schmidt CH, So BT, Thomas C. [Carcinogenic effect of azoethane and azoxyethane on rats]. </w:t>
      </w:r>
      <w:r w:rsidRPr="000749B2">
        <w:rPr>
          <w:rFonts w:ascii="Book Antiqua" w:hAnsi="Book Antiqua"/>
          <w:i/>
          <w:sz w:val="24"/>
          <w:szCs w:val="24"/>
        </w:rPr>
        <w:t>Z Krebsforsch</w:t>
      </w:r>
      <w:r w:rsidRPr="000749B2">
        <w:rPr>
          <w:rFonts w:ascii="Book Antiqua" w:hAnsi="Book Antiqua"/>
          <w:sz w:val="24"/>
          <w:szCs w:val="24"/>
        </w:rPr>
        <w:t xml:space="preserve"> 1965; </w:t>
      </w:r>
      <w:r w:rsidRPr="000749B2">
        <w:rPr>
          <w:rFonts w:ascii="Book Antiqua" w:hAnsi="Book Antiqua"/>
          <w:b/>
          <w:sz w:val="24"/>
          <w:szCs w:val="24"/>
        </w:rPr>
        <w:t>67</w:t>
      </w:r>
      <w:r w:rsidRPr="000749B2">
        <w:rPr>
          <w:rFonts w:ascii="Book Antiqua" w:hAnsi="Book Antiqua"/>
          <w:sz w:val="24"/>
          <w:szCs w:val="24"/>
        </w:rPr>
        <w:t>: 31-45 [PMID: 4221131]</w:t>
      </w:r>
    </w:p>
    <w:p w14:paraId="2E63C74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21 </w:t>
      </w:r>
      <w:r w:rsidRPr="000749B2">
        <w:rPr>
          <w:rFonts w:ascii="Book Antiqua" w:hAnsi="Book Antiqua"/>
          <w:b/>
          <w:sz w:val="24"/>
          <w:szCs w:val="24"/>
        </w:rPr>
        <w:t>Rosenberg DW</w:t>
      </w:r>
      <w:r w:rsidRPr="000749B2">
        <w:rPr>
          <w:rFonts w:ascii="Book Antiqua" w:hAnsi="Book Antiqua"/>
          <w:sz w:val="24"/>
          <w:szCs w:val="24"/>
        </w:rPr>
        <w:t xml:space="preserve">, Giardina C, Tanaka T. Mouse models for the study of colon carcinogenesis. </w:t>
      </w:r>
      <w:r w:rsidRPr="000749B2">
        <w:rPr>
          <w:rFonts w:ascii="Book Antiqua" w:hAnsi="Book Antiqua"/>
          <w:i/>
          <w:sz w:val="24"/>
          <w:szCs w:val="24"/>
        </w:rPr>
        <w:t>Carcinogenesis</w:t>
      </w:r>
      <w:r w:rsidRPr="000749B2">
        <w:rPr>
          <w:rFonts w:ascii="Book Antiqua" w:hAnsi="Book Antiqua"/>
          <w:sz w:val="24"/>
          <w:szCs w:val="24"/>
        </w:rPr>
        <w:t xml:space="preserve"> 2009; </w:t>
      </w:r>
      <w:r w:rsidRPr="000749B2">
        <w:rPr>
          <w:rFonts w:ascii="Book Antiqua" w:hAnsi="Book Antiqua"/>
          <w:b/>
          <w:sz w:val="24"/>
          <w:szCs w:val="24"/>
        </w:rPr>
        <w:t>30</w:t>
      </w:r>
      <w:r w:rsidRPr="000749B2">
        <w:rPr>
          <w:rFonts w:ascii="Book Antiqua" w:hAnsi="Book Antiqua"/>
          <w:sz w:val="24"/>
          <w:szCs w:val="24"/>
        </w:rPr>
        <w:t>: 183-196 [PMID: 19037092 DOI: 10.1093/carcin/bgn267]</w:t>
      </w:r>
    </w:p>
    <w:p w14:paraId="44E1CB9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22 </w:t>
      </w:r>
      <w:r w:rsidRPr="000749B2">
        <w:rPr>
          <w:rFonts w:ascii="Book Antiqua" w:hAnsi="Book Antiqua"/>
          <w:b/>
          <w:sz w:val="24"/>
          <w:szCs w:val="24"/>
        </w:rPr>
        <w:t>Fiala ES</w:t>
      </w:r>
      <w:r w:rsidRPr="000749B2">
        <w:rPr>
          <w:rFonts w:ascii="Book Antiqua" w:hAnsi="Book Antiqua"/>
          <w:sz w:val="24"/>
          <w:szCs w:val="24"/>
        </w:rPr>
        <w:t xml:space="preserve">, Stathopoulos C. Metabolism of methylazoxymethanol acetate in the F344 rat and strain-2 guinea pig and its inhibition by pyrazole and disulfiram. </w:t>
      </w:r>
      <w:r w:rsidRPr="000749B2">
        <w:rPr>
          <w:rFonts w:ascii="Book Antiqua" w:hAnsi="Book Antiqua"/>
          <w:i/>
          <w:sz w:val="24"/>
          <w:szCs w:val="24"/>
        </w:rPr>
        <w:t>J Cancer Res Clin Oncol</w:t>
      </w:r>
      <w:r w:rsidRPr="000749B2">
        <w:rPr>
          <w:rFonts w:ascii="Book Antiqua" w:hAnsi="Book Antiqua"/>
          <w:sz w:val="24"/>
          <w:szCs w:val="24"/>
        </w:rPr>
        <w:t xml:space="preserve"> 1984; </w:t>
      </w:r>
      <w:r w:rsidRPr="000749B2">
        <w:rPr>
          <w:rFonts w:ascii="Book Antiqua" w:hAnsi="Book Antiqua"/>
          <w:b/>
          <w:sz w:val="24"/>
          <w:szCs w:val="24"/>
        </w:rPr>
        <w:t>108</w:t>
      </w:r>
      <w:r w:rsidRPr="000749B2">
        <w:rPr>
          <w:rFonts w:ascii="Book Antiqua" w:hAnsi="Book Antiqua"/>
          <w:sz w:val="24"/>
          <w:szCs w:val="24"/>
        </w:rPr>
        <w:t>: 129-134 [PMID: 6430908 DOI: 10.1007/bf00390984]</w:t>
      </w:r>
    </w:p>
    <w:p w14:paraId="254C019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23 </w:t>
      </w:r>
      <w:r w:rsidRPr="000749B2">
        <w:rPr>
          <w:rFonts w:ascii="Book Antiqua" w:hAnsi="Book Antiqua"/>
          <w:b/>
          <w:sz w:val="24"/>
          <w:szCs w:val="24"/>
        </w:rPr>
        <w:t>Suzuki R</w:t>
      </w:r>
      <w:r w:rsidRPr="000749B2">
        <w:rPr>
          <w:rFonts w:ascii="Book Antiqua" w:hAnsi="Book Antiqua"/>
          <w:sz w:val="24"/>
          <w:szCs w:val="24"/>
        </w:rPr>
        <w:t xml:space="preserve">, Kohno H, Sugie S, Nakagama H, Tanaka T. Strain differences in the susceptibility to azoxymethane and dextran sodium sulfate-induced colon carcinogenesis in mice. </w:t>
      </w:r>
      <w:r w:rsidRPr="000749B2">
        <w:rPr>
          <w:rFonts w:ascii="Book Antiqua" w:hAnsi="Book Antiqua"/>
          <w:i/>
          <w:sz w:val="24"/>
          <w:szCs w:val="24"/>
        </w:rPr>
        <w:t>Carcinogenesis</w:t>
      </w:r>
      <w:r w:rsidRPr="000749B2">
        <w:rPr>
          <w:rFonts w:ascii="Book Antiqua" w:hAnsi="Book Antiqua"/>
          <w:sz w:val="24"/>
          <w:szCs w:val="24"/>
        </w:rPr>
        <w:t xml:space="preserve"> 2006; </w:t>
      </w:r>
      <w:r w:rsidRPr="000749B2">
        <w:rPr>
          <w:rFonts w:ascii="Book Antiqua" w:hAnsi="Book Antiqua"/>
          <w:b/>
          <w:sz w:val="24"/>
          <w:szCs w:val="24"/>
        </w:rPr>
        <w:t>27</w:t>
      </w:r>
      <w:r w:rsidRPr="000749B2">
        <w:rPr>
          <w:rFonts w:ascii="Book Antiqua" w:hAnsi="Book Antiqua"/>
          <w:sz w:val="24"/>
          <w:szCs w:val="24"/>
        </w:rPr>
        <w:t>: 162-169 [PMID: 16081511 DOI: 10.1093/carcin/bgi205]</w:t>
      </w:r>
    </w:p>
    <w:p w14:paraId="6FE5343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24 </w:t>
      </w:r>
      <w:r w:rsidRPr="000749B2">
        <w:rPr>
          <w:rFonts w:ascii="Book Antiqua" w:hAnsi="Book Antiqua"/>
          <w:b/>
          <w:sz w:val="24"/>
          <w:szCs w:val="24"/>
        </w:rPr>
        <w:t>Turusov VS</w:t>
      </w:r>
      <w:r w:rsidRPr="000749B2">
        <w:rPr>
          <w:rFonts w:ascii="Book Antiqua" w:hAnsi="Book Antiqua"/>
          <w:sz w:val="24"/>
          <w:szCs w:val="24"/>
        </w:rPr>
        <w:t xml:space="preserve">, Lanko NS, Krutovskikh VA, Parfenov YD. Strain differences in susceptibility of female mice to 1,2-dimethylhydrazine. </w:t>
      </w:r>
      <w:r w:rsidRPr="000749B2">
        <w:rPr>
          <w:rFonts w:ascii="Book Antiqua" w:hAnsi="Book Antiqua"/>
          <w:i/>
          <w:sz w:val="24"/>
          <w:szCs w:val="24"/>
        </w:rPr>
        <w:t>Carcinogenesis</w:t>
      </w:r>
      <w:r w:rsidRPr="000749B2">
        <w:rPr>
          <w:rFonts w:ascii="Book Antiqua" w:hAnsi="Book Antiqua"/>
          <w:sz w:val="24"/>
          <w:szCs w:val="24"/>
        </w:rPr>
        <w:t xml:space="preserve"> 1982; </w:t>
      </w:r>
      <w:r w:rsidRPr="000749B2">
        <w:rPr>
          <w:rFonts w:ascii="Book Antiqua" w:hAnsi="Book Antiqua"/>
          <w:b/>
          <w:sz w:val="24"/>
          <w:szCs w:val="24"/>
        </w:rPr>
        <w:t>3</w:t>
      </w:r>
      <w:r w:rsidRPr="000749B2">
        <w:rPr>
          <w:rFonts w:ascii="Book Antiqua" w:hAnsi="Book Antiqua"/>
          <w:sz w:val="24"/>
          <w:szCs w:val="24"/>
        </w:rPr>
        <w:t>: 603-608 [PMID: 7116553 DOI: 10.1093/carcin/3.6.603]</w:t>
      </w:r>
    </w:p>
    <w:p w14:paraId="4710738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25 </w:t>
      </w:r>
      <w:r w:rsidRPr="000749B2">
        <w:rPr>
          <w:rFonts w:ascii="Book Antiqua" w:hAnsi="Book Antiqua"/>
          <w:b/>
          <w:sz w:val="24"/>
          <w:szCs w:val="24"/>
        </w:rPr>
        <w:t>Izumi K</w:t>
      </w:r>
      <w:r w:rsidRPr="000749B2">
        <w:rPr>
          <w:rFonts w:ascii="Book Antiqua" w:hAnsi="Book Antiqua"/>
          <w:sz w:val="24"/>
          <w:szCs w:val="24"/>
        </w:rPr>
        <w:t xml:space="preserve">, Otsuka H, Furuya K, Akagi A. Carcinogenicity of 1,2-dimethylhydrazine dihydrochloride in BALB/c mice. Influence of the route of administration and dosage. </w:t>
      </w:r>
      <w:r w:rsidRPr="000749B2">
        <w:rPr>
          <w:rFonts w:ascii="Book Antiqua" w:hAnsi="Book Antiqua"/>
          <w:i/>
          <w:sz w:val="24"/>
          <w:szCs w:val="24"/>
        </w:rPr>
        <w:t xml:space="preserve">Virchows Arch </w:t>
      </w:r>
      <w:proofErr w:type="gramStart"/>
      <w:r w:rsidRPr="000749B2">
        <w:rPr>
          <w:rFonts w:ascii="Book Antiqua" w:hAnsi="Book Antiqua"/>
          <w:i/>
          <w:sz w:val="24"/>
          <w:szCs w:val="24"/>
        </w:rPr>
        <w:t>A</w:t>
      </w:r>
      <w:proofErr w:type="gramEnd"/>
      <w:r w:rsidRPr="000749B2">
        <w:rPr>
          <w:rFonts w:ascii="Book Antiqua" w:hAnsi="Book Antiqua"/>
          <w:i/>
          <w:sz w:val="24"/>
          <w:szCs w:val="24"/>
        </w:rPr>
        <w:t xml:space="preserve"> Pathol Anat Histol</w:t>
      </w:r>
      <w:r w:rsidRPr="000749B2">
        <w:rPr>
          <w:rFonts w:ascii="Book Antiqua" w:hAnsi="Book Antiqua"/>
          <w:sz w:val="24"/>
          <w:szCs w:val="24"/>
        </w:rPr>
        <w:t xml:space="preserve"> 1979; </w:t>
      </w:r>
      <w:r w:rsidRPr="000749B2">
        <w:rPr>
          <w:rFonts w:ascii="Book Antiqua" w:hAnsi="Book Antiqua"/>
          <w:b/>
          <w:sz w:val="24"/>
          <w:szCs w:val="24"/>
        </w:rPr>
        <w:t>384</w:t>
      </w:r>
      <w:r w:rsidRPr="000749B2">
        <w:rPr>
          <w:rFonts w:ascii="Book Antiqua" w:hAnsi="Book Antiqua"/>
          <w:sz w:val="24"/>
          <w:szCs w:val="24"/>
        </w:rPr>
        <w:t>: 263-267 [PMID: 160118 DOI: 10.1007/bf00428228]</w:t>
      </w:r>
    </w:p>
    <w:p w14:paraId="5D2CC43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26 </w:t>
      </w:r>
      <w:r w:rsidRPr="000749B2">
        <w:rPr>
          <w:rFonts w:ascii="Book Antiqua" w:hAnsi="Book Antiqua"/>
          <w:b/>
          <w:sz w:val="24"/>
          <w:szCs w:val="24"/>
        </w:rPr>
        <w:t>Sohn OS</w:t>
      </w:r>
      <w:r w:rsidRPr="000749B2">
        <w:rPr>
          <w:rFonts w:ascii="Book Antiqua" w:hAnsi="Book Antiqua"/>
          <w:sz w:val="24"/>
          <w:szCs w:val="24"/>
        </w:rPr>
        <w:t xml:space="preserve">, Fiala ES, Requeijo SP, Weisburger JH, Gonzalez FJ. Differential effects of CYP2E1 status on the metabolic activation of the colon carcinogens azoxymethane and methylazoxymethanol. </w:t>
      </w:r>
      <w:r w:rsidRPr="000749B2">
        <w:rPr>
          <w:rFonts w:ascii="Book Antiqua" w:hAnsi="Book Antiqua"/>
          <w:i/>
          <w:sz w:val="24"/>
          <w:szCs w:val="24"/>
        </w:rPr>
        <w:t>Cancer Res</w:t>
      </w:r>
      <w:r w:rsidRPr="000749B2">
        <w:rPr>
          <w:rFonts w:ascii="Book Antiqua" w:hAnsi="Book Antiqua"/>
          <w:sz w:val="24"/>
          <w:szCs w:val="24"/>
        </w:rPr>
        <w:t xml:space="preserve"> 2001; </w:t>
      </w:r>
      <w:r w:rsidRPr="000749B2">
        <w:rPr>
          <w:rFonts w:ascii="Book Antiqua" w:hAnsi="Book Antiqua"/>
          <w:b/>
          <w:sz w:val="24"/>
          <w:szCs w:val="24"/>
        </w:rPr>
        <w:t>61</w:t>
      </w:r>
      <w:r w:rsidRPr="000749B2">
        <w:rPr>
          <w:rFonts w:ascii="Book Antiqua" w:hAnsi="Book Antiqua"/>
          <w:sz w:val="24"/>
          <w:szCs w:val="24"/>
        </w:rPr>
        <w:t>: 8435-8440 [PMID: 11731424]</w:t>
      </w:r>
    </w:p>
    <w:p w14:paraId="196FE7A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27 </w:t>
      </w:r>
      <w:r w:rsidRPr="000749B2">
        <w:rPr>
          <w:rFonts w:ascii="Book Antiqua" w:hAnsi="Book Antiqua"/>
          <w:b/>
          <w:sz w:val="24"/>
          <w:szCs w:val="24"/>
        </w:rPr>
        <w:t>Narisawa T</w:t>
      </w:r>
      <w:r w:rsidRPr="000749B2">
        <w:rPr>
          <w:rFonts w:ascii="Book Antiqua" w:hAnsi="Book Antiqua"/>
          <w:sz w:val="24"/>
          <w:szCs w:val="24"/>
        </w:rPr>
        <w:t xml:space="preserve">, Wong CQ, Maronpot RR, Weisburger JH. Large bowel carcinogenesis in mice and rats by several intrarectal doses of methylnitrosourea and negative effect of nitrite plus methylurea. </w:t>
      </w:r>
      <w:r w:rsidRPr="000749B2">
        <w:rPr>
          <w:rFonts w:ascii="Book Antiqua" w:hAnsi="Book Antiqua"/>
          <w:i/>
          <w:sz w:val="24"/>
          <w:szCs w:val="24"/>
        </w:rPr>
        <w:t>Cancer Res</w:t>
      </w:r>
      <w:r w:rsidRPr="000749B2">
        <w:rPr>
          <w:rFonts w:ascii="Book Antiqua" w:hAnsi="Book Antiqua"/>
          <w:sz w:val="24"/>
          <w:szCs w:val="24"/>
        </w:rPr>
        <w:t xml:space="preserve"> 1976; </w:t>
      </w:r>
      <w:r w:rsidRPr="000749B2">
        <w:rPr>
          <w:rFonts w:ascii="Book Antiqua" w:hAnsi="Book Antiqua"/>
          <w:b/>
          <w:sz w:val="24"/>
          <w:szCs w:val="24"/>
        </w:rPr>
        <w:t>36</w:t>
      </w:r>
      <w:r w:rsidRPr="000749B2">
        <w:rPr>
          <w:rFonts w:ascii="Book Antiqua" w:hAnsi="Book Antiqua"/>
          <w:sz w:val="24"/>
          <w:szCs w:val="24"/>
        </w:rPr>
        <w:t>: 505-510 [PMID: 1260748]</w:t>
      </w:r>
    </w:p>
    <w:p w14:paraId="751655D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28 </w:t>
      </w:r>
      <w:r w:rsidRPr="000749B2">
        <w:rPr>
          <w:rFonts w:ascii="Book Antiqua" w:hAnsi="Book Antiqua"/>
          <w:b/>
          <w:sz w:val="24"/>
          <w:szCs w:val="24"/>
        </w:rPr>
        <w:t>Reddy BS</w:t>
      </w:r>
      <w:r w:rsidRPr="000749B2">
        <w:rPr>
          <w:rFonts w:ascii="Book Antiqua" w:hAnsi="Book Antiqua"/>
          <w:sz w:val="24"/>
          <w:szCs w:val="24"/>
        </w:rPr>
        <w:t xml:space="preserve">, Ohmori T. Effect of intestinal microflora and dietary fat on 3,2'-dimethyl-4-aminobiphenyl-induced colon carcinogenesis in F344 rats. </w:t>
      </w:r>
      <w:r w:rsidRPr="000749B2">
        <w:rPr>
          <w:rFonts w:ascii="Book Antiqua" w:hAnsi="Book Antiqua"/>
          <w:i/>
          <w:sz w:val="24"/>
          <w:szCs w:val="24"/>
        </w:rPr>
        <w:t>Cancer Res</w:t>
      </w:r>
      <w:r w:rsidRPr="000749B2">
        <w:rPr>
          <w:rFonts w:ascii="Book Antiqua" w:hAnsi="Book Antiqua"/>
          <w:sz w:val="24"/>
          <w:szCs w:val="24"/>
        </w:rPr>
        <w:t xml:space="preserve"> 1981; </w:t>
      </w:r>
      <w:r w:rsidRPr="000749B2">
        <w:rPr>
          <w:rFonts w:ascii="Book Antiqua" w:hAnsi="Book Antiqua"/>
          <w:b/>
          <w:sz w:val="24"/>
          <w:szCs w:val="24"/>
        </w:rPr>
        <w:t>41</w:t>
      </w:r>
      <w:r w:rsidRPr="000749B2">
        <w:rPr>
          <w:rFonts w:ascii="Book Antiqua" w:hAnsi="Book Antiqua"/>
          <w:sz w:val="24"/>
          <w:szCs w:val="24"/>
        </w:rPr>
        <w:t>: 1363-1367 [PMID: 7194137]</w:t>
      </w:r>
    </w:p>
    <w:p w14:paraId="74E916F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29 </w:t>
      </w:r>
      <w:r w:rsidRPr="000749B2">
        <w:rPr>
          <w:rFonts w:ascii="Book Antiqua" w:hAnsi="Book Antiqua"/>
          <w:b/>
          <w:sz w:val="24"/>
          <w:szCs w:val="24"/>
        </w:rPr>
        <w:t>Sugimura T</w:t>
      </w:r>
      <w:r w:rsidRPr="000749B2">
        <w:rPr>
          <w:rFonts w:ascii="Book Antiqua" w:hAnsi="Book Antiqua"/>
          <w:sz w:val="24"/>
          <w:szCs w:val="24"/>
        </w:rPr>
        <w:t xml:space="preserve">, Terada M. Experimental chemical carcinogenesis in the stomach and colon. </w:t>
      </w:r>
      <w:r w:rsidRPr="000749B2">
        <w:rPr>
          <w:rFonts w:ascii="Book Antiqua" w:hAnsi="Book Antiqua"/>
          <w:i/>
          <w:sz w:val="24"/>
          <w:szCs w:val="24"/>
        </w:rPr>
        <w:t>Jpn J Clin Oncol</w:t>
      </w:r>
      <w:r w:rsidRPr="000749B2">
        <w:rPr>
          <w:rFonts w:ascii="Book Antiqua" w:hAnsi="Book Antiqua"/>
          <w:sz w:val="24"/>
          <w:szCs w:val="24"/>
        </w:rPr>
        <w:t xml:space="preserve"> 1998; </w:t>
      </w:r>
      <w:r w:rsidRPr="000749B2">
        <w:rPr>
          <w:rFonts w:ascii="Book Antiqua" w:hAnsi="Book Antiqua"/>
          <w:b/>
          <w:sz w:val="24"/>
          <w:szCs w:val="24"/>
        </w:rPr>
        <w:t>28</w:t>
      </w:r>
      <w:r w:rsidRPr="000749B2">
        <w:rPr>
          <w:rFonts w:ascii="Book Antiqua" w:hAnsi="Book Antiqua"/>
          <w:sz w:val="24"/>
          <w:szCs w:val="24"/>
        </w:rPr>
        <w:t>: 163-167 [PMID: 9614437 DOI: 10.1093/jjco/28.3.163]</w:t>
      </w:r>
    </w:p>
    <w:p w14:paraId="2D21E79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30 </w:t>
      </w:r>
      <w:r w:rsidRPr="000749B2">
        <w:rPr>
          <w:rFonts w:ascii="Book Antiqua" w:hAnsi="Book Antiqua"/>
          <w:b/>
          <w:sz w:val="24"/>
          <w:szCs w:val="24"/>
        </w:rPr>
        <w:t>Bouvard V</w:t>
      </w:r>
      <w:r w:rsidRPr="000749B2">
        <w:rPr>
          <w:rFonts w:ascii="Book Antiqua" w:hAnsi="Book Antiqua"/>
          <w:sz w:val="24"/>
          <w:szCs w:val="24"/>
        </w:rPr>
        <w:t xml:space="preserve">, Loomis D, Guyton KZ, Grosse Y, Ghissassi FE, Benbrahim-Tallaa L, Guha N, Mattock H, Straif K; International Agency for Research on Cancer Monograph Working Group. Carcinogenicity of consumption of red and processed meat. </w:t>
      </w:r>
      <w:r w:rsidRPr="000749B2">
        <w:rPr>
          <w:rFonts w:ascii="Book Antiqua" w:hAnsi="Book Antiqua"/>
          <w:i/>
          <w:sz w:val="24"/>
          <w:szCs w:val="24"/>
        </w:rPr>
        <w:t>Lancet Oncol</w:t>
      </w:r>
      <w:r w:rsidRPr="000749B2">
        <w:rPr>
          <w:rFonts w:ascii="Book Antiqua" w:hAnsi="Book Antiqua"/>
          <w:sz w:val="24"/>
          <w:szCs w:val="24"/>
        </w:rPr>
        <w:t xml:space="preserve"> 2015; </w:t>
      </w:r>
      <w:r w:rsidRPr="000749B2">
        <w:rPr>
          <w:rFonts w:ascii="Book Antiqua" w:hAnsi="Book Antiqua"/>
          <w:b/>
          <w:sz w:val="24"/>
          <w:szCs w:val="24"/>
        </w:rPr>
        <w:t>16</w:t>
      </w:r>
      <w:r w:rsidRPr="000749B2">
        <w:rPr>
          <w:rFonts w:ascii="Book Antiqua" w:hAnsi="Book Antiqua"/>
          <w:sz w:val="24"/>
          <w:szCs w:val="24"/>
        </w:rPr>
        <w:t>: 1599-1600 [PMID: 26514947 DOI: 10.1016/S1470-2045(15)00444-1]</w:t>
      </w:r>
    </w:p>
    <w:p w14:paraId="08BEE6E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31 </w:t>
      </w:r>
      <w:r w:rsidRPr="000749B2">
        <w:rPr>
          <w:rFonts w:ascii="Book Antiqua" w:hAnsi="Book Antiqua"/>
          <w:b/>
          <w:sz w:val="24"/>
          <w:szCs w:val="24"/>
        </w:rPr>
        <w:t>Jägerstad M</w:t>
      </w:r>
      <w:r w:rsidRPr="000749B2">
        <w:rPr>
          <w:rFonts w:ascii="Book Antiqua" w:hAnsi="Book Antiqua"/>
          <w:sz w:val="24"/>
          <w:szCs w:val="24"/>
        </w:rPr>
        <w:t xml:space="preserve">, Skog K. Genotoxicity of heat-processed foods. </w:t>
      </w:r>
      <w:r w:rsidRPr="000749B2">
        <w:rPr>
          <w:rFonts w:ascii="Book Antiqua" w:hAnsi="Book Antiqua"/>
          <w:i/>
          <w:sz w:val="24"/>
          <w:szCs w:val="24"/>
        </w:rPr>
        <w:t>Mutat Res</w:t>
      </w:r>
      <w:r w:rsidRPr="000749B2">
        <w:rPr>
          <w:rFonts w:ascii="Book Antiqua" w:hAnsi="Book Antiqua"/>
          <w:sz w:val="24"/>
          <w:szCs w:val="24"/>
        </w:rPr>
        <w:t xml:space="preserve"> 2005; </w:t>
      </w:r>
      <w:r w:rsidRPr="000749B2">
        <w:rPr>
          <w:rFonts w:ascii="Book Antiqua" w:hAnsi="Book Antiqua"/>
          <w:b/>
          <w:sz w:val="24"/>
          <w:szCs w:val="24"/>
        </w:rPr>
        <w:t>574</w:t>
      </w:r>
      <w:r w:rsidRPr="000749B2">
        <w:rPr>
          <w:rFonts w:ascii="Book Antiqua" w:hAnsi="Book Antiqua"/>
          <w:sz w:val="24"/>
          <w:szCs w:val="24"/>
        </w:rPr>
        <w:t>: 156-172 [PMID: 15914214 DOI: 10.1016/j.mrfmmm.2005.01.030]</w:t>
      </w:r>
    </w:p>
    <w:p w14:paraId="1EABD06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32 </w:t>
      </w:r>
      <w:r w:rsidRPr="000749B2">
        <w:rPr>
          <w:rFonts w:ascii="Book Antiqua" w:hAnsi="Book Antiqua"/>
          <w:b/>
          <w:sz w:val="24"/>
          <w:szCs w:val="24"/>
        </w:rPr>
        <w:t>Turesky RJ</w:t>
      </w:r>
      <w:r w:rsidRPr="000749B2">
        <w:rPr>
          <w:rFonts w:ascii="Book Antiqua" w:hAnsi="Book Antiqua"/>
          <w:sz w:val="24"/>
          <w:szCs w:val="24"/>
        </w:rPr>
        <w:t xml:space="preserve">. Formation and biochemistry of carcinogenic heterocyclic aromatic amines in cooked meats. </w:t>
      </w:r>
      <w:r w:rsidRPr="000749B2">
        <w:rPr>
          <w:rFonts w:ascii="Book Antiqua" w:hAnsi="Book Antiqua"/>
          <w:i/>
          <w:sz w:val="24"/>
          <w:szCs w:val="24"/>
        </w:rPr>
        <w:t>Toxicol Lett</w:t>
      </w:r>
      <w:r w:rsidRPr="000749B2">
        <w:rPr>
          <w:rFonts w:ascii="Book Antiqua" w:hAnsi="Book Antiqua"/>
          <w:sz w:val="24"/>
          <w:szCs w:val="24"/>
        </w:rPr>
        <w:t xml:space="preserve"> 2007; </w:t>
      </w:r>
      <w:r w:rsidRPr="000749B2">
        <w:rPr>
          <w:rFonts w:ascii="Book Antiqua" w:hAnsi="Book Antiqua"/>
          <w:b/>
          <w:sz w:val="24"/>
          <w:szCs w:val="24"/>
        </w:rPr>
        <w:t>168</w:t>
      </w:r>
      <w:r w:rsidRPr="000749B2">
        <w:rPr>
          <w:rFonts w:ascii="Book Antiqua" w:hAnsi="Book Antiqua"/>
          <w:sz w:val="24"/>
          <w:szCs w:val="24"/>
        </w:rPr>
        <w:t>: 219-227 [PMID: 17174486 DOI: 10.1016/j.toxlet.2006.10.018]</w:t>
      </w:r>
    </w:p>
    <w:p w14:paraId="4065EB2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33 </w:t>
      </w:r>
      <w:r w:rsidRPr="000749B2">
        <w:rPr>
          <w:rFonts w:ascii="Book Antiqua" w:hAnsi="Book Antiqua"/>
          <w:b/>
          <w:sz w:val="24"/>
          <w:szCs w:val="24"/>
        </w:rPr>
        <w:t>Cheung C</w:t>
      </w:r>
      <w:r w:rsidRPr="000749B2">
        <w:rPr>
          <w:rFonts w:ascii="Book Antiqua" w:hAnsi="Book Antiqua"/>
          <w:sz w:val="24"/>
          <w:szCs w:val="24"/>
        </w:rPr>
        <w:t>, Ma X, Krausz KW, Kimura S, Feigenbaum L, Dalton TP, Nebert DW, Idle JR, Gonzalez FJ. Differential metabolism of 2-amino-1-methyl-6-</w:t>
      </w:r>
      <w:proofErr w:type="gramStart"/>
      <w:r w:rsidRPr="000749B2">
        <w:rPr>
          <w:rFonts w:ascii="Book Antiqua" w:hAnsi="Book Antiqua"/>
          <w:sz w:val="24"/>
          <w:szCs w:val="24"/>
        </w:rPr>
        <w:t>phenylimidazo[</w:t>
      </w:r>
      <w:proofErr w:type="gramEnd"/>
      <w:r w:rsidRPr="000749B2">
        <w:rPr>
          <w:rFonts w:ascii="Book Antiqua" w:hAnsi="Book Antiqua"/>
          <w:sz w:val="24"/>
          <w:szCs w:val="24"/>
        </w:rPr>
        <w:t xml:space="preserve">4,5-b]pyridine (PhIP) in mice humanized for CYP1A1 and CYP1A2. </w:t>
      </w:r>
      <w:r w:rsidRPr="000749B2">
        <w:rPr>
          <w:rFonts w:ascii="Book Antiqua" w:hAnsi="Book Antiqua"/>
          <w:i/>
          <w:sz w:val="24"/>
          <w:szCs w:val="24"/>
        </w:rPr>
        <w:t>Chem Res Toxicol</w:t>
      </w:r>
      <w:r w:rsidRPr="000749B2">
        <w:rPr>
          <w:rFonts w:ascii="Book Antiqua" w:hAnsi="Book Antiqua"/>
          <w:sz w:val="24"/>
          <w:szCs w:val="24"/>
        </w:rPr>
        <w:t xml:space="preserve"> 2005; </w:t>
      </w:r>
      <w:r w:rsidRPr="000749B2">
        <w:rPr>
          <w:rFonts w:ascii="Book Antiqua" w:hAnsi="Book Antiqua"/>
          <w:b/>
          <w:sz w:val="24"/>
          <w:szCs w:val="24"/>
        </w:rPr>
        <w:t>18</w:t>
      </w:r>
      <w:r w:rsidRPr="000749B2">
        <w:rPr>
          <w:rFonts w:ascii="Book Antiqua" w:hAnsi="Book Antiqua"/>
          <w:sz w:val="24"/>
          <w:szCs w:val="24"/>
        </w:rPr>
        <w:t>: 1471-1478 [PMID: 16167840 DOI: 10.1021/tx050136g]</w:t>
      </w:r>
    </w:p>
    <w:p w14:paraId="20FA65A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34 </w:t>
      </w:r>
      <w:r w:rsidRPr="000749B2">
        <w:rPr>
          <w:rFonts w:ascii="Book Antiqua" w:hAnsi="Book Antiqua"/>
          <w:b/>
          <w:sz w:val="24"/>
          <w:szCs w:val="24"/>
        </w:rPr>
        <w:t>Kaderlik KR</w:t>
      </w:r>
      <w:r w:rsidRPr="000749B2">
        <w:rPr>
          <w:rFonts w:ascii="Book Antiqua" w:hAnsi="Book Antiqua"/>
          <w:sz w:val="24"/>
          <w:szCs w:val="24"/>
        </w:rPr>
        <w:t xml:space="preserve">, Mulder GJ, Shaddock JG, Casciano DA, Teitel CH, Kadlubar FF. Effect of glutathione depletion and inhibition of glucuronidation and sulfation on 2-amino-1-methyl-6-phenylimidazo[4,5-b]pyridine (PhIP) metabolism, PhIP-DNA adduct formation and unscheduled DNA synthesis in primary rat hepatocytes. </w:t>
      </w:r>
      <w:r w:rsidRPr="000749B2">
        <w:rPr>
          <w:rFonts w:ascii="Book Antiqua" w:hAnsi="Book Antiqua"/>
          <w:i/>
          <w:sz w:val="24"/>
          <w:szCs w:val="24"/>
        </w:rPr>
        <w:t>Carcinogenesis</w:t>
      </w:r>
      <w:r w:rsidRPr="000749B2">
        <w:rPr>
          <w:rFonts w:ascii="Book Antiqua" w:hAnsi="Book Antiqua"/>
          <w:sz w:val="24"/>
          <w:szCs w:val="24"/>
        </w:rPr>
        <w:t xml:space="preserve"> 1994; </w:t>
      </w:r>
      <w:r w:rsidRPr="000749B2">
        <w:rPr>
          <w:rFonts w:ascii="Book Antiqua" w:hAnsi="Book Antiqua"/>
          <w:b/>
          <w:sz w:val="24"/>
          <w:szCs w:val="24"/>
        </w:rPr>
        <w:t>15</w:t>
      </w:r>
      <w:r w:rsidRPr="000749B2">
        <w:rPr>
          <w:rFonts w:ascii="Book Antiqua" w:hAnsi="Book Antiqua"/>
          <w:sz w:val="24"/>
          <w:szCs w:val="24"/>
        </w:rPr>
        <w:t>: 1711-1716 [PMID: 8055653 DOI: 10.1093/carcin/15.8.1711]</w:t>
      </w:r>
    </w:p>
    <w:p w14:paraId="411A532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35 </w:t>
      </w:r>
      <w:r w:rsidRPr="000749B2">
        <w:rPr>
          <w:rFonts w:ascii="Book Antiqua" w:hAnsi="Book Antiqua"/>
          <w:b/>
          <w:sz w:val="24"/>
          <w:szCs w:val="24"/>
        </w:rPr>
        <w:t>Alexander J</w:t>
      </w:r>
      <w:r w:rsidRPr="000749B2">
        <w:rPr>
          <w:rFonts w:ascii="Book Antiqua" w:hAnsi="Book Antiqua"/>
          <w:sz w:val="24"/>
          <w:szCs w:val="24"/>
        </w:rPr>
        <w:t xml:space="preserve">, Wallin H, Rossland OJ, Solberg KE, Holme JA, Becher G, Andersson R, Grivas S. Formation of a glutathione conjugate and a semistable transportable glucuronide conjugate of N2-oxidized species of 2-amino-1-methyl-6-phenylimidazo[4,5-b]pyridine (PhIP) in rat liver. </w:t>
      </w:r>
      <w:r w:rsidRPr="000749B2">
        <w:rPr>
          <w:rFonts w:ascii="Book Antiqua" w:hAnsi="Book Antiqua"/>
          <w:i/>
          <w:sz w:val="24"/>
          <w:szCs w:val="24"/>
        </w:rPr>
        <w:t>Carcinogenesis</w:t>
      </w:r>
      <w:r w:rsidRPr="000749B2">
        <w:rPr>
          <w:rFonts w:ascii="Book Antiqua" w:hAnsi="Book Antiqua"/>
          <w:sz w:val="24"/>
          <w:szCs w:val="24"/>
        </w:rPr>
        <w:t xml:space="preserve"> 1991; </w:t>
      </w:r>
      <w:r w:rsidRPr="000749B2">
        <w:rPr>
          <w:rFonts w:ascii="Book Antiqua" w:hAnsi="Book Antiqua"/>
          <w:b/>
          <w:sz w:val="24"/>
          <w:szCs w:val="24"/>
        </w:rPr>
        <w:t>12</w:t>
      </w:r>
      <w:r w:rsidRPr="000749B2">
        <w:rPr>
          <w:rFonts w:ascii="Book Antiqua" w:hAnsi="Book Antiqua"/>
          <w:sz w:val="24"/>
          <w:szCs w:val="24"/>
        </w:rPr>
        <w:t>: 2239-2245 [PMID: 1747923 DOI: 10.1093/carcin/12.12.2239]</w:t>
      </w:r>
    </w:p>
    <w:p w14:paraId="29F5658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36 </w:t>
      </w:r>
      <w:r w:rsidRPr="000749B2">
        <w:rPr>
          <w:rFonts w:ascii="Book Antiqua" w:hAnsi="Book Antiqua"/>
          <w:b/>
          <w:sz w:val="24"/>
          <w:szCs w:val="24"/>
        </w:rPr>
        <w:t>Malfatti MA</w:t>
      </w:r>
      <w:r w:rsidRPr="000749B2">
        <w:rPr>
          <w:rFonts w:ascii="Book Antiqua" w:hAnsi="Book Antiqua"/>
          <w:sz w:val="24"/>
          <w:szCs w:val="24"/>
        </w:rPr>
        <w:t>, Kulp KS, Knize MG, Davis C, Massengill JP, Williams S, Nowell S, MacLeod S, Dingley KH, Turteltaub KW, Lang NP, Felton JS. The identification of [2-(14</w:t>
      </w:r>
      <w:proofErr w:type="gramStart"/>
      <w:r w:rsidRPr="000749B2">
        <w:rPr>
          <w:rFonts w:ascii="Book Antiqua" w:hAnsi="Book Antiqua"/>
          <w:sz w:val="24"/>
          <w:szCs w:val="24"/>
        </w:rPr>
        <w:t>)C</w:t>
      </w:r>
      <w:proofErr w:type="gramEnd"/>
      <w:r w:rsidRPr="000749B2">
        <w:rPr>
          <w:rFonts w:ascii="Book Antiqua" w:hAnsi="Book Antiqua"/>
          <w:sz w:val="24"/>
          <w:szCs w:val="24"/>
        </w:rPr>
        <w:t xml:space="preserve">]2-amino-1-methyl-6-phenylimidazo[4,5-b]pyridine metabolites in humans. </w:t>
      </w:r>
      <w:r w:rsidRPr="000749B2">
        <w:rPr>
          <w:rFonts w:ascii="Book Antiqua" w:hAnsi="Book Antiqua"/>
          <w:i/>
          <w:sz w:val="24"/>
          <w:szCs w:val="24"/>
        </w:rPr>
        <w:t>Carcinogenesis</w:t>
      </w:r>
      <w:r w:rsidRPr="000749B2">
        <w:rPr>
          <w:rFonts w:ascii="Book Antiqua" w:hAnsi="Book Antiqua"/>
          <w:sz w:val="24"/>
          <w:szCs w:val="24"/>
        </w:rPr>
        <w:t xml:space="preserve"> 1999; </w:t>
      </w:r>
      <w:r w:rsidRPr="000749B2">
        <w:rPr>
          <w:rFonts w:ascii="Book Antiqua" w:hAnsi="Book Antiqua"/>
          <w:b/>
          <w:sz w:val="24"/>
          <w:szCs w:val="24"/>
        </w:rPr>
        <w:t>20</w:t>
      </w:r>
      <w:r w:rsidRPr="000749B2">
        <w:rPr>
          <w:rFonts w:ascii="Book Antiqua" w:hAnsi="Book Antiqua"/>
          <w:sz w:val="24"/>
          <w:szCs w:val="24"/>
        </w:rPr>
        <w:t>: 705-713 [PMID: 10223203 DOI: 10.1093/carcin/20.4.705]</w:t>
      </w:r>
    </w:p>
    <w:p w14:paraId="4643A0E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37 </w:t>
      </w:r>
      <w:r w:rsidRPr="000749B2">
        <w:rPr>
          <w:rFonts w:ascii="Book Antiqua" w:hAnsi="Book Antiqua"/>
          <w:b/>
          <w:sz w:val="24"/>
          <w:szCs w:val="24"/>
        </w:rPr>
        <w:t>Zhang J</w:t>
      </w:r>
      <w:r w:rsidRPr="000749B2">
        <w:rPr>
          <w:rFonts w:ascii="Book Antiqua" w:hAnsi="Book Antiqua"/>
          <w:sz w:val="24"/>
          <w:szCs w:val="24"/>
        </w:rPr>
        <w:t xml:space="preserve">, Lacroix C, Wortmann E, Ruscheweyh HJ, Sunagawa S, Sturla SJ, Schwab C. Gut microbial beta-glucuronidase and glycerol/diol dehydratase activity contribute to dietary heterocyclic amine biotransformation. </w:t>
      </w:r>
      <w:r w:rsidRPr="000749B2">
        <w:rPr>
          <w:rFonts w:ascii="Book Antiqua" w:hAnsi="Book Antiqua"/>
          <w:i/>
          <w:sz w:val="24"/>
          <w:szCs w:val="24"/>
        </w:rPr>
        <w:t>BMC Microbiol</w:t>
      </w:r>
      <w:r w:rsidRPr="000749B2">
        <w:rPr>
          <w:rFonts w:ascii="Book Antiqua" w:hAnsi="Book Antiqua"/>
          <w:sz w:val="24"/>
          <w:szCs w:val="24"/>
        </w:rPr>
        <w:t xml:space="preserve"> 2019; </w:t>
      </w:r>
      <w:r w:rsidRPr="000749B2">
        <w:rPr>
          <w:rFonts w:ascii="Book Antiqua" w:hAnsi="Book Antiqua"/>
          <w:b/>
          <w:sz w:val="24"/>
          <w:szCs w:val="24"/>
        </w:rPr>
        <w:t>19</w:t>
      </w:r>
      <w:r w:rsidRPr="000749B2">
        <w:rPr>
          <w:rFonts w:ascii="Book Antiqua" w:hAnsi="Book Antiqua"/>
          <w:sz w:val="24"/>
          <w:szCs w:val="24"/>
        </w:rPr>
        <w:t>: 99 [PMID: 31096909 DOI: 10.1186/s12866-019-1483-x]</w:t>
      </w:r>
    </w:p>
    <w:p w14:paraId="2B80FA7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38 </w:t>
      </w:r>
      <w:r w:rsidRPr="000749B2">
        <w:rPr>
          <w:rFonts w:ascii="Book Antiqua" w:hAnsi="Book Antiqua"/>
          <w:b/>
          <w:sz w:val="24"/>
          <w:szCs w:val="24"/>
        </w:rPr>
        <w:t>Frandsen H</w:t>
      </w:r>
      <w:r w:rsidRPr="000749B2">
        <w:rPr>
          <w:rFonts w:ascii="Book Antiqua" w:hAnsi="Book Antiqua"/>
          <w:sz w:val="24"/>
          <w:szCs w:val="24"/>
        </w:rPr>
        <w:t>. Biomonitoring of urinary metabolites of 2-amino-1-methyl-6-</w:t>
      </w:r>
      <w:proofErr w:type="gramStart"/>
      <w:r w:rsidRPr="000749B2">
        <w:rPr>
          <w:rFonts w:ascii="Book Antiqua" w:hAnsi="Book Antiqua"/>
          <w:sz w:val="24"/>
          <w:szCs w:val="24"/>
        </w:rPr>
        <w:t>phenylimidazo[</w:t>
      </w:r>
      <w:proofErr w:type="gramEnd"/>
      <w:r w:rsidRPr="000749B2">
        <w:rPr>
          <w:rFonts w:ascii="Book Antiqua" w:hAnsi="Book Antiqua"/>
          <w:sz w:val="24"/>
          <w:szCs w:val="24"/>
        </w:rPr>
        <w:t xml:space="preserve">4,5-b]pyridine (PhIP) following human consumption of cooked chicken. </w:t>
      </w:r>
      <w:r w:rsidRPr="000749B2">
        <w:rPr>
          <w:rFonts w:ascii="Book Antiqua" w:hAnsi="Book Antiqua"/>
          <w:i/>
          <w:sz w:val="24"/>
          <w:szCs w:val="24"/>
        </w:rPr>
        <w:t>Food Chem Toxicol</w:t>
      </w:r>
      <w:r w:rsidRPr="000749B2">
        <w:rPr>
          <w:rFonts w:ascii="Book Antiqua" w:hAnsi="Book Antiqua"/>
          <w:sz w:val="24"/>
          <w:szCs w:val="24"/>
        </w:rPr>
        <w:t xml:space="preserve"> 2008; </w:t>
      </w:r>
      <w:r w:rsidRPr="000749B2">
        <w:rPr>
          <w:rFonts w:ascii="Book Antiqua" w:hAnsi="Book Antiqua"/>
          <w:b/>
          <w:sz w:val="24"/>
          <w:szCs w:val="24"/>
        </w:rPr>
        <w:t>46</w:t>
      </w:r>
      <w:r w:rsidRPr="000749B2">
        <w:rPr>
          <w:rFonts w:ascii="Book Antiqua" w:hAnsi="Book Antiqua"/>
          <w:sz w:val="24"/>
          <w:szCs w:val="24"/>
        </w:rPr>
        <w:t>: 3200-3205 [PMID: 18692111 DOI: 10.1016/j.fct.2008.07.008]</w:t>
      </w:r>
    </w:p>
    <w:p w14:paraId="0E1474D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39 </w:t>
      </w:r>
      <w:r w:rsidRPr="000749B2">
        <w:rPr>
          <w:rFonts w:ascii="Book Antiqua" w:hAnsi="Book Antiqua"/>
          <w:b/>
          <w:sz w:val="24"/>
          <w:szCs w:val="24"/>
        </w:rPr>
        <w:t>Nakagama H</w:t>
      </w:r>
      <w:r w:rsidRPr="000749B2">
        <w:rPr>
          <w:rFonts w:ascii="Book Antiqua" w:hAnsi="Book Antiqua"/>
          <w:sz w:val="24"/>
          <w:szCs w:val="24"/>
        </w:rPr>
        <w:t>, Ochiai M, Ubagai T, Tajima R, Fujiwara K, Sugimura T, Nagao M. A rat colon cancer model induced by 2-amino-1-methyl-6-</w:t>
      </w:r>
      <w:proofErr w:type="gramStart"/>
      <w:r w:rsidRPr="000749B2">
        <w:rPr>
          <w:rFonts w:ascii="Book Antiqua" w:hAnsi="Book Antiqua"/>
          <w:sz w:val="24"/>
          <w:szCs w:val="24"/>
        </w:rPr>
        <w:t>phenylimidazo[</w:t>
      </w:r>
      <w:proofErr w:type="gramEnd"/>
      <w:r w:rsidRPr="000749B2">
        <w:rPr>
          <w:rFonts w:ascii="Book Antiqua" w:hAnsi="Book Antiqua"/>
          <w:sz w:val="24"/>
          <w:szCs w:val="24"/>
        </w:rPr>
        <w:t xml:space="preserve">4,5-b]pyridine, PhIP. </w:t>
      </w:r>
      <w:r w:rsidRPr="000749B2">
        <w:rPr>
          <w:rFonts w:ascii="Book Antiqua" w:hAnsi="Book Antiqua"/>
          <w:i/>
          <w:sz w:val="24"/>
          <w:szCs w:val="24"/>
        </w:rPr>
        <w:t>Mutat Res</w:t>
      </w:r>
      <w:r w:rsidRPr="000749B2">
        <w:rPr>
          <w:rFonts w:ascii="Book Antiqua" w:hAnsi="Book Antiqua"/>
          <w:sz w:val="24"/>
          <w:szCs w:val="24"/>
        </w:rPr>
        <w:t xml:space="preserve"> 2002; </w:t>
      </w:r>
      <w:r w:rsidRPr="000749B2">
        <w:rPr>
          <w:rFonts w:ascii="Book Antiqua" w:hAnsi="Book Antiqua"/>
          <w:b/>
          <w:sz w:val="24"/>
          <w:szCs w:val="24"/>
        </w:rPr>
        <w:t>506-507</w:t>
      </w:r>
      <w:r w:rsidRPr="000749B2">
        <w:rPr>
          <w:rFonts w:ascii="Book Antiqua" w:hAnsi="Book Antiqua"/>
          <w:sz w:val="24"/>
          <w:szCs w:val="24"/>
        </w:rPr>
        <w:t>: 137-144 [PMID: 12351153 DOI: 10.1016/s0027-5107(02)00160-4]</w:t>
      </w:r>
    </w:p>
    <w:p w14:paraId="41D2B03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40 </w:t>
      </w:r>
      <w:r w:rsidRPr="000749B2">
        <w:rPr>
          <w:rFonts w:ascii="Book Antiqua" w:hAnsi="Book Antiqua"/>
          <w:b/>
          <w:sz w:val="24"/>
          <w:szCs w:val="24"/>
        </w:rPr>
        <w:t>Chen JX</w:t>
      </w:r>
      <w:r w:rsidRPr="000749B2">
        <w:rPr>
          <w:rFonts w:ascii="Book Antiqua" w:hAnsi="Book Antiqua"/>
          <w:sz w:val="24"/>
          <w:szCs w:val="24"/>
        </w:rPr>
        <w:t xml:space="preserve">, Wang H, Liu A, Zhang L, Reuhl K, Yang CS. From the Cover: PhIP/DSS-Induced Colon Carcinogenesis in CYP1A-Humanized Mice and the Possible Role of Lgr5+ Stem Cells. </w:t>
      </w:r>
      <w:r w:rsidRPr="000749B2">
        <w:rPr>
          <w:rFonts w:ascii="Book Antiqua" w:hAnsi="Book Antiqua"/>
          <w:i/>
          <w:sz w:val="24"/>
          <w:szCs w:val="24"/>
        </w:rPr>
        <w:t>Toxicol Sci</w:t>
      </w:r>
      <w:r w:rsidRPr="000749B2">
        <w:rPr>
          <w:rFonts w:ascii="Book Antiqua" w:hAnsi="Book Antiqua"/>
          <w:sz w:val="24"/>
          <w:szCs w:val="24"/>
        </w:rPr>
        <w:t xml:space="preserve"> 2017; </w:t>
      </w:r>
      <w:r w:rsidRPr="000749B2">
        <w:rPr>
          <w:rFonts w:ascii="Book Antiqua" w:hAnsi="Book Antiqua"/>
          <w:b/>
          <w:sz w:val="24"/>
          <w:szCs w:val="24"/>
        </w:rPr>
        <w:t>155</w:t>
      </w:r>
      <w:r w:rsidRPr="000749B2">
        <w:rPr>
          <w:rFonts w:ascii="Book Antiqua" w:hAnsi="Book Antiqua"/>
          <w:sz w:val="24"/>
          <w:szCs w:val="24"/>
        </w:rPr>
        <w:t>: 224-233 [PMID: 27664423 DOI: 10.1093/toxsci/kfw190]</w:t>
      </w:r>
    </w:p>
    <w:p w14:paraId="4ABE5D6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41 </w:t>
      </w:r>
      <w:r w:rsidRPr="000749B2">
        <w:rPr>
          <w:rFonts w:ascii="Book Antiqua" w:hAnsi="Book Antiqua"/>
          <w:b/>
          <w:sz w:val="24"/>
          <w:szCs w:val="24"/>
        </w:rPr>
        <w:t>Sugimura T</w:t>
      </w:r>
      <w:r w:rsidRPr="000749B2">
        <w:rPr>
          <w:rFonts w:ascii="Book Antiqua" w:hAnsi="Book Antiqua"/>
          <w:sz w:val="24"/>
          <w:szCs w:val="24"/>
        </w:rPr>
        <w:t xml:space="preserve">, Wakabayashi K, Nakagama H, Nagao M. Heterocyclic amines: Mutagens/carcinogens produced during cooking of meat and fish. </w:t>
      </w:r>
      <w:r w:rsidRPr="000749B2">
        <w:rPr>
          <w:rFonts w:ascii="Book Antiqua" w:hAnsi="Book Antiqua"/>
          <w:i/>
          <w:sz w:val="24"/>
          <w:szCs w:val="24"/>
        </w:rPr>
        <w:t>Cancer Sci</w:t>
      </w:r>
      <w:r w:rsidRPr="000749B2">
        <w:rPr>
          <w:rFonts w:ascii="Book Antiqua" w:hAnsi="Book Antiqua"/>
          <w:sz w:val="24"/>
          <w:szCs w:val="24"/>
        </w:rPr>
        <w:t xml:space="preserve"> 2004; </w:t>
      </w:r>
      <w:r w:rsidRPr="000749B2">
        <w:rPr>
          <w:rFonts w:ascii="Book Antiqua" w:hAnsi="Book Antiqua"/>
          <w:b/>
          <w:sz w:val="24"/>
          <w:szCs w:val="24"/>
        </w:rPr>
        <w:t>95</w:t>
      </w:r>
      <w:r w:rsidRPr="000749B2">
        <w:rPr>
          <w:rFonts w:ascii="Book Antiqua" w:hAnsi="Book Antiqua"/>
          <w:sz w:val="24"/>
          <w:szCs w:val="24"/>
        </w:rPr>
        <w:t>: 290-299 [PMID: 15072585 DOI: 10.1111/j.1349-7006.2004.tb03205.x]</w:t>
      </w:r>
    </w:p>
    <w:p w14:paraId="04133B0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42 </w:t>
      </w:r>
      <w:r w:rsidRPr="000749B2">
        <w:rPr>
          <w:rFonts w:ascii="Book Antiqua" w:hAnsi="Book Antiqua"/>
          <w:b/>
          <w:sz w:val="24"/>
          <w:szCs w:val="24"/>
        </w:rPr>
        <w:t>Huderson AC</w:t>
      </w:r>
      <w:r w:rsidRPr="000749B2">
        <w:rPr>
          <w:rFonts w:ascii="Book Antiqua" w:hAnsi="Book Antiqua"/>
          <w:sz w:val="24"/>
          <w:szCs w:val="24"/>
        </w:rPr>
        <w:t xml:space="preserve">, Myers JN, Niaz MS, Washington MK, Ramesh A. Chemoprevention of benzo(a)pyrene-induced colon polyps in ApcMin mice by resveratrol. </w:t>
      </w:r>
      <w:r w:rsidRPr="000749B2">
        <w:rPr>
          <w:rFonts w:ascii="Book Antiqua" w:hAnsi="Book Antiqua"/>
          <w:i/>
          <w:sz w:val="24"/>
          <w:szCs w:val="24"/>
        </w:rPr>
        <w:t>J Nutr Biochem</w:t>
      </w:r>
      <w:r w:rsidRPr="000749B2">
        <w:rPr>
          <w:rFonts w:ascii="Book Antiqua" w:hAnsi="Book Antiqua"/>
          <w:sz w:val="24"/>
          <w:szCs w:val="24"/>
        </w:rPr>
        <w:t xml:space="preserve"> 2013; </w:t>
      </w:r>
      <w:r w:rsidRPr="000749B2">
        <w:rPr>
          <w:rFonts w:ascii="Book Antiqua" w:hAnsi="Book Antiqua"/>
          <w:b/>
          <w:sz w:val="24"/>
          <w:szCs w:val="24"/>
        </w:rPr>
        <w:t>24</w:t>
      </w:r>
      <w:r w:rsidRPr="000749B2">
        <w:rPr>
          <w:rFonts w:ascii="Book Antiqua" w:hAnsi="Book Antiqua"/>
          <w:sz w:val="24"/>
          <w:szCs w:val="24"/>
        </w:rPr>
        <w:t>: 713-724 [PMID: 22889612 DOI: 10.1016/j.jnutbio.2012.04.005]</w:t>
      </w:r>
    </w:p>
    <w:p w14:paraId="70CD1F6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43 </w:t>
      </w:r>
      <w:r w:rsidRPr="000749B2">
        <w:rPr>
          <w:rFonts w:ascii="Book Antiqua" w:hAnsi="Book Antiqua"/>
          <w:b/>
          <w:sz w:val="24"/>
          <w:szCs w:val="24"/>
        </w:rPr>
        <w:t>Diggs DL</w:t>
      </w:r>
      <w:r w:rsidRPr="000749B2">
        <w:rPr>
          <w:rFonts w:ascii="Book Antiqua" w:hAnsi="Book Antiqua"/>
          <w:sz w:val="24"/>
          <w:szCs w:val="24"/>
        </w:rPr>
        <w:t xml:space="preserve">, Harris KL, Rekhadevi PV, Ramesh A. Tumor microsomal metabolism of the food toxicant, benzo(a)pyrene, in ApcMin mouse model of colon cancer. </w:t>
      </w:r>
      <w:r w:rsidRPr="000749B2">
        <w:rPr>
          <w:rFonts w:ascii="Book Antiqua" w:hAnsi="Book Antiqua"/>
          <w:i/>
          <w:sz w:val="24"/>
          <w:szCs w:val="24"/>
        </w:rPr>
        <w:t>Tumour Biol</w:t>
      </w:r>
      <w:r w:rsidRPr="000749B2">
        <w:rPr>
          <w:rFonts w:ascii="Book Antiqua" w:hAnsi="Book Antiqua"/>
          <w:sz w:val="24"/>
          <w:szCs w:val="24"/>
        </w:rPr>
        <w:t xml:space="preserve"> 2012; </w:t>
      </w:r>
      <w:r w:rsidRPr="000749B2">
        <w:rPr>
          <w:rFonts w:ascii="Book Antiqua" w:hAnsi="Book Antiqua"/>
          <w:b/>
          <w:sz w:val="24"/>
          <w:szCs w:val="24"/>
        </w:rPr>
        <w:t>33</w:t>
      </w:r>
      <w:r w:rsidRPr="000749B2">
        <w:rPr>
          <w:rFonts w:ascii="Book Antiqua" w:hAnsi="Book Antiqua"/>
          <w:sz w:val="24"/>
          <w:szCs w:val="24"/>
        </w:rPr>
        <w:t>: 1255-1260 [PMID: 22430258 DOI: 10.1007/s13277-012-0375-6]</w:t>
      </w:r>
    </w:p>
    <w:p w14:paraId="083A059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44 </w:t>
      </w:r>
      <w:r w:rsidRPr="000749B2">
        <w:rPr>
          <w:rFonts w:ascii="Book Antiqua" w:hAnsi="Book Antiqua"/>
          <w:b/>
          <w:sz w:val="24"/>
          <w:szCs w:val="24"/>
        </w:rPr>
        <w:t>Okayasu I</w:t>
      </w:r>
      <w:r w:rsidRPr="000749B2">
        <w:rPr>
          <w:rFonts w:ascii="Book Antiqua" w:hAnsi="Book Antiqua"/>
          <w:sz w:val="24"/>
          <w:szCs w:val="24"/>
        </w:rPr>
        <w:t xml:space="preserve">, Hatakeyama S, Yamada M, Ohkusa T, Inagaki Y, Nakaya R. A novel method in the induction of reliable experimental acute and chronic ulcerative colitis in mice. </w:t>
      </w:r>
      <w:r w:rsidRPr="000749B2">
        <w:rPr>
          <w:rFonts w:ascii="Book Antiqua" w:hAnsi="Book Antiqua"/>
          <w:i/>
          <w:sz w:val="24"/>
          <w:szCs w:val="24"/>
        </w:rPr>
        <w:t>Gastroenterology</w:t>
      </w:r>
      <w:r w:rsidRPr="000749B2">
        <w:rPr>
          <w:rFonts w:ascii="Book Antiqua" w:hAnsi="Book Antiqua"/>
          <w:sz w:val="24"/>
          <w:szCs w:val="24"/>
        </w:rPr>
        <w:t xml:space="preserve"> 1990; </w:t>
      </w:r>
      <w:r w:rsidRPr="000749B2">
        <w:rPr>
          <w:rFonts w:ascii="Book Antiqua" w:hAnsi="Book Antiqua"/>
          <w:b/>
          <w:sz w:val="24"/>
          <w:szCs w:val="24"/>
        </w:rPr>
        <w:t>98</w:t>
      </w:r>
      <w:r w:rsidRPr="000749B2">
        <w:rPr>
          <w:rFonts w:ascii="Book Antiqua" w:hAnsi="Book Antiqua"/>
          <w:sz w:val="24"/>
          <w:szCs w:val="24"/>
        </w:rPr>
        <w:t>: 694-702 [PMID: 1688816 DOI: 10.1016/0016-5085(90)90290-h]</w:t>
      </w:r>
    </w:p>
    <w:p w14:paraId="34F61A3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45 </w:t>
      </w:r>
      <w:r w:rsidRPr="000749B2">
        <w:rPr>
          <w:rFonts w:ascii="Book Antiqua" w:hAnsi="Book Antiqua"/>
          <w:b/>
          <w:sz w:val="24"/>
          <w:szCs w:val="24"/>
        </w:rPr>
        <w:t>Kawada M</w:t>
      </w:r>
      <w:r w:rsidRPr="000749B2">
        <w:rPr>
          <w:rFonts w:ascii="Book Antiqua" w:hAnsi="Book Antiqua"/>
          <w:sz w:val="24"/>
          <w:szCs w:val="24"/>
        </w:rPr>
        <w:t xml:space="preserve">, Arihiro A, Mizoguchi E. Insights from advances in research of chemically induced experimental models of human inflammatory bowel disease. </w:t>
      </w:r>
      <w:r w:rsidRPr="000749B2">
        <w:rPr>
          <w:rFonts w:ascii="Book Antiqua" w:hAnsi="Book Antiqua"/>
          <w:i/>
          <w:sz w:val="24"/>
          <w:szCs w:val="24"/>
        </w:rPr>
        <w:t>World J Gastroenterol</w:t>
      </w:r>
      <w:r w:rsidRPr="000749B2">
        <w:rPr>
          <w:rFonts w:ascii="Book Antiqua" w:hAnsi="Book Antiqua"/>
          <w:sz w:val="24"/>
          <w:szCs w:val="24"/>
        </w:rPr>
        <w:t xml:space="preserve"> 2007; </w:t>
      </w:r>
      <w:r w:rsidRPr="000749B2">
        <w:rPr>
          <w:rFonts w:ascii="Book Antiqua" w:hAnsi="Book Antiqua"/>
          <w:b/>
          <w:sz w:val="24"/>
          <w:szCs w:val="24"/>
        </w:rPr>
        <w:t>13</w:t>
      </w:r>
      <w:r w:rsidRPr="000749B2">
        <w:rPr>
          <w:rFonts w:ascii="Book Antiqua" w:hAnsi="Book Antiqua"/>
          <w:sz w:val="24"/>
          <w:szCs w:val="24"/>
        </w:rPr>
        <w:t>: 5581-5593 [PMID: 17948932 DOI: 10.3748/wjg.v13.i42.5581]</w:t>
      </w:r>
    </w:p>
    <w:p w14:paraId="6057D8E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46 </w:t>
      </w:r>
      <w:r w:rsidRPr="000749B2">
        <w:rPr>
          <w:rFonts w:ascii="Book Antiqua" w:hAnsi="Book Antiqua"/>
          <w:b/>
          <w:sz w:val="24"/>
          <w:szCs w:val="24"/>
        </w:rPr>
        <w:t>Eichele DD</w:t>
      </w:r>
      <w:r w:rsidRPr="000749B2">
        <w:rPr>
          <w:rFonts w:ascii="Book Antiqua" w:hAnsi="Book Antiqua"/>
          <w:sz w:val="24"/>
          <w:szCs w:val="24"/>
        </w:rPr>
        <w:t xml:space="preserve">, Kharbanda KK. Dextran sodium sulfate colitis murine model: An indispensable tool for advancing our understanding of inflammatory bowel diseases pathogenesis. </w:t>
      </w:r>
      <w:r w:rsidRPr="000749B2">
        <w:rPr>
          <w:rFonts w:ascii="Book Antiqua" w:hAnsi="Book Antiqua"/>
          <w:i/>
          <w:sz w:val="24"/>
          <w:szCs w:val="24"/>
        </w:rPr>
        <w:t>World J Gastroenterol</w:t>
      </w:r>
      <w:r w:rsidRPr="000749B2">
        <w:rPr>
          <w:rFonts w:ascii="Book Antiqua" w:hAnsi="Book Antiqua"/>
          <w:sz w:val="24"/>
          <w:szCs w:val="24"/>
        </w:rPr>
        <w:t xml:space="preserve"> 2017; </w:t>
      </w:r>
      <w:r w:rsidRPr="000749B2">
        <w:rPr>
          <w:rFonts w:ascii="Book Antiqua" w:hAnsi="Book Antiqua"/>
          <w:b/>
          <w:sz w:val="24"/>
          <w:szCs w:val="24"/>
        </w:rPr>
        <w:t>23</w:t>
      </w:r>
      <w:r w:rsidRPr="000749B2">
        <w:rPr>
          <w:rFonts w:ascii="Book Antiqua" w:hAnsi="Book Antiqua"/>
          <w:sz w:val="24"/>
          <w:szCs w:val="24"/>
        </w:rPr>
        <w:t>: 6016-6029 [PMID: 28970718 DOI: 10.3748/wjg.v23.i33.6016]</w:t>
      </w:r>
    </w:p>
    <w:p w14:paraId="2529604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47 </w:t>
      </w:r>
      <w:r w:rsidRPr="000749B2">
        <w:rPr>
          <w:rFonts w:ascii="Book Antiqua" w:hAnsi="Book Antiqua"/>
          <w:b/>
          <w:sz w:val="24"/>
          <w:szCs w:val="24"/>
        </w:rPr>
        <w:t>Munyaka PM</w:t>
      </w:r>
      <w:r w:rsidRPr="000749B2">
        <w:rPr>
          <w:rFonts w:ascii="Book Antiqua" w:hAnsi="Book Antiqua"/>
          <w:sz w:val="24"/>
          <w:szCs w:val="24"/>
        </w:rPr>
        <w:t xml:space="preserve">, Rabbi MF, Khafipour E, Ghia JE. Acute dextran sulfate sodium (DSS)-induced colitis promotes gut microbial dysbiosis in mice. </w:t>
      </w:r>
      <w:r w:rsidRPr="000749B2">
        <w:rPr>
          <w:rFonts w:ascii="Book Antiqua" w:hAnsi="Book Antiqua"/>
          <w:i/>
          <w:sz w:val="24"/>
          <w:szCs w:val="24"/>
        </w:rPr>
        <w:t>J Basic Microbiol</w:t>
      </w:r>
      <w:r w:rsidRPr="000749B2">
        <w:rPr>
          <w:rFonts w:ascii="Book Antiqua" w:hAnsi="Book Antiqua"/>
          <w:sz w:val="24"/>
          <w:szCs w:val="24"/>
        </w:rPr>
        <w:t xml:space="preserve"> 2016; </w:t>
      </w:r>
      <w:r w:rsidRPr="000749B2">
        <w:rPr>
          <w:rFonts w:ascii="Book Antiqua" w:hAnsi="Book Antiqua"/>
          <w:b/>
          <w:sz w:val="24"/>
          <w:szCs w:val="24"/>
        </w:rPr>
        <w:t>56</w:t>
      </w:r>
      <w:r w:rsidRPr="000749B2">
        <w:rPr>
          <w:rFonts w:ascii="Book Antiqua" w:hAnsi="Book Antiqua"/>
          <w:sz w:val="24"/>
          <w:szCs w:val="24"/>
        </w:rPr>
        <w:t>: 986-998 [PMID: 27112251 DOI: 10.1002/jobm.201500726]</w:t>
      </w:r>
    </w:p>
    <w:p w14:paraId="3F6034E7"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48 </w:t>
      </w:r>
      <w:r w:rsidRPr="000749B2">
        <w:rPr>
          <w:rFonts w:ascii="Book Antiqua" w:hAnsi="Book Antiqua"/>
          <w:b/>
          <w:sz w:val="24"/>
          <w:szCs w:val="24"/>
        </w:rPr>
        <w:t>He X</w:t>
      </w:r>
      <w:r w:rsidRPr="000749B2">
        <w:rPr>
          <w:rFonts w:ascii="Book Antiqua" w:hAnsi="Book Antiqua"/>
          <w:sz w:val="24"/>
          <w:szCs w:val="24"/>
        </w:rPr>
        <w:t xml:space="preserve">, Wei Z, Wang J, Kou J, Liu W, Fu Y, Yang Z. Alpinetin attenuates inflammatory responses by suppressing TLR4 and NLRP3 signaling pathways in DSS-induced acute colitis. </w:t>
      </w:r>
      <w:r w:rsidRPr="000749B2">
        <w:rPr>
          <w:rFonts w:ascii="Book Antiqua" w:hAnsi="Book Antiqua"/>
          <w:i/>
          <w:sz w:val="24"/>
          <w:szCs w:val="24"/>
        </w:rPr>
        <w:t>Sci Rep</w:t>
      </w:r>
      <w:r w:rsidRPr="000749B2">
        <w:rPr>
          <w:rFonts w:ascii="Book Antiqua" w:hAnsi="Book Antiqua"/>
          <w:sz w:val="24"/>
          <w:szCs w:val="24"/>
        </w:rPr>
        <w:t xml:space="preserve"> 2016; </w:t>
      </w:r>
      <w:r w:rsidRPr="000749B2">
        <w:rPr>
          <w:rFonts w:ascii="Book Antiqua" w:hAnsi="Book Antiqua"/>
          <w:b/>
          <w:sz w:val="24"/>
          <w:szCs w:val="24"/>
        </w:rPr>
        <w:t>6</w:t>
      </w:r>
      <w:r w:rsidRPr="000749B2">
        <w:rPr>
          <w:rFonts w:ascii="Book Antiqua" w:hAnsi="Book Antiqua"/>
          <w:sz w:val="24"/>
          <w:szCs w:val="24"/>
        </w:rPr>
        <w:t>: 28370 [PMID: 27321991 DOI: 10.1038/srep28370]</w:t>
      </w:r>
    </w:p>
    <w:p w14:paraId="68DA4DF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49 </w:t>
      </w:r>
      <w:r w:rsidRPr="000749B2">
        <w:rPr>
          <w:rFonts w:ascii="Book Antiqua" w:hAnsi="Book Antiqua"/>
          <w:b/>
          <w:sz w:val="24"/>
          <w:szCs w:val="24"/>
        </w:rPr>
        <w:t>Dieleman LA</w:t>
      </w:r>
      <w:r w:rsidRPr="000749B2">
        <w:rPr>
          <w:rFonts w:ascii="Book Antiqua" w:hAnsi="Book Antiqua"/>
          <w:sz w:val="24"/>
          <w:szCs w:val="24"/>
        </w:rPr>
        <w:t xml:space="preserve">, Palmen MJ, Akol H, Bloemena E, Peña AS, Meuwissen SG, Van Rees EP. Chronic experimental colitis induced by dextran sulphate sodium (DSS) is characterized by Th1 and Th2 cytokines. </w:t>
      </w:r>
      <w:r w:rsidRPr="000749B2">
        <w:rPr>
          <w:rFonts w:ascii="Book Antiqua" w:hAnsi="Book Antiqua"/>
          <w:i/>
          <w:sz w:val="24"/>
          <w:szCs w:val="24"/>
        </w:rPr>
        <w:t>Clin Exp Immunol</w:t>
      </w:r>
      <w:r w:rsidRPr="000749B2">
        <w:rPr>
          <w:rFonts w:ascii="Book Antiqua" w:hAnsi="Book Antiqua"/>
          <w:sz w:val="24"/>
          <w:szCs w:val="24"/>
        </w:rPr>
        <w:t xml:space="preserve"> 1998; </w:t>
      </w:r>
      <w:r w:rsidRPr="000749B2">
        <w:rPr>
          <w:rFonts w:ascii="Book Antiqua" w:hAnsi="Book Antiqua"/>
          <w:b/>
          <w:sz w:val="24"/>
          <w:szCs w:val="24"/>
        </w:rPr>
        <w:t>114</w:t>
      </w:r>
      <w:r w:rsidRPr="000749B2">
        <w:rPr>
          <w:rFonts w:ascii="Book Antiqua" w:hAnsi="Book Antiqua"/>
          <w:sz w:val="24"/>
          <w:szCs w:val="24"/>
        </w:rPr>
        <w:t>: 385-391 [PMID: 9844047 DOI: 10.1046/j.1365-2249.1998.00728.x]</w:t>
      </w:r>
    </w:p>
    <w:p w14:paraId="19EE0AF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50 </w:t>
      </w:r>
      <w:r w:rsidRPr="000749B2">
        <w:rPr>
          <w:rFonts w:ascii="Book Antiqua" w:hAnsi="Book Antiqua"/>
          <w:b/>
          <w:sz w:val="24"/>
          <w:szCs w:val="24"/>
        </w:rPr>
        <w:t>Hoffmann M</w:t>
      </w:r>
      <w:r w:rsidRPr="000749B2">
        <w:rPr>
          <w:rFonts w:ascii="Book Antiqua" w:hAnsi="Book Antiqua"/>
          <w:sz w:val="24"/>
          <w:szCs w:val="24"/>
        </w:rPr>
        <w:t xml:space="preserve">, Schwertassek U, Seydel A, Weber K, Falk W, Hauschildt S, Lehmann J. A refined and translationally relevant model of chronic DSS colitis in BALB/c mice. </w:t>
      </w:r>
      <w:r w:rsidRPr="000749B2">
        <w:rPr>
          <w:rFonts w:ascii="Book Antiqua" w:hAnsi="Book Antiqua"/>
          <w:i/>
          <w:sz w:val="24"/>
          <w:szCs w:val="24"/>
        </w:rPr>
        <w:t>Lab Anim</w:t>
      </w:r>
      <w:r w:rsidRPr="000749B2">
        <w:rPr>
          <w:rFonts w:ascii="Book Antiqua" w:hAnsi="Book Antiqua"/>
          <w:sz w:val="24"/>
          <w:szCs w:val="24"/>
        </w:rPr>
        <w:t xml:space="preserve"> 2018; </w:t>
      </w:r>
      <w:r w:rsidRPr="000749B2">
        <w:rPr>
          <w:rFonts w:ascii="Book Antiqua" w:hAnsi="Book Antiqua"/>
          <w:b/>
          <w:sz w:val="24"/>
          <w:szCs w:val="24"/>
        </w:rPr>
        <w:t>52</w:t>
      </w:r>
      <w:r w:rsidRPr="000749B2">
        <w:rPr>
          <w:rFonts w:ascii="Book Antiqua" w:hAnsi="Book Antiqua"/>
          <w:sz w:val="24"/>
          <w:szCs w:val="24"/>
        </w:rPr>
        <w:t>: 240-252 [PMID: 29192559 DOI: 10.1177/0023677217742681]</w:t>
      </w:r>
    </w:p>
    <w:p w14:paraId="5C26B65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51 </w:t>
      </w:r>
      <w:r w:rsidRPr="000749B2">
        <w:rPr>
          <w:rFonts w:ascii="Book Antiqua" w:hAnsi="Book Antiqua"/>
          <w:b/>
          <w:sz w:val="24"/>
          <w:szCs w:val="24"/>
        </w:rPr>
        <w:t>Sussman DA</w:t>
      </w:r>
      <w:r w:rsidRPr="000749B2">
        <w:rPr>
          <w:rFonts w:ascii="Book Antiqua" w:hAnsi="Book Antiqua"/>
          <w:sz w:val="24"/>
          <w:szCs w:val="24"/>
        </w:rPr>
        <w:t xml:space="preserve">, Santaolalla R, Strobel S, Dheer R, Abreu MT. Cancer in inflammatory bowel disease: lessons from animal models. </w:t>
      </w:r>
      <w:r w:rsidRPr="000749B2">
        <w:rPr>
          <w:rFonts w:ascii="Book Antiqua" w:hAnsi="Book Antiqua"/>
          <w:i/>
          <w:sz w:val="24"/>
          <w:szCs w:val="24"/>
        </w:rPr>
        <w:t>Curr Opin Gastroenterol</w:t>
      </w:r>
      <w:r w:rsidRPr="000749B2">
        <w:rPr>
          <w:rFonts w:ascii="Book Antiqua" w:hAnsi="Book Antiqua"/>
          <w:sz w:val="24"/>
          <w:szCs w:val="24"/>
        </w:rPr>
        <w:t xml:space="preserve"> 2012; </w:t>
      </w:r>
      <w:r w:rsidRPr="000749B2">
        <w:rPr>
          <w:rFonts w:ascii="Book Antiqua" w:hAnsi="Book Antiqua"/>
          <w:b/>
          <w:sz w:val="24"/>
          <w:szCs w:val="24"/>
        </w:rPr>
        <w:t>28</w:t>
      </w:r>
      <w:r w:rsidRPr="000749B2">
        <w:rPr>
          <w:rFonts w:ascii="Book Antiqua" w:hAnsi="Book Antiqua"/>
          <w:sz w:val="24"/>
          <w:szCs w:val="24"/>
        </w:rPr>
        <w:t>: 327-333 [PMID: 22614440 DOI: 10.1097/MOG.0b013e328354cc36]</w:t>
      </w:r>
    </w:p>
    <w:p w14:paraId="542CF11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52 </w:t>
      </w:r>
      <w:r w:rsidRPr="000749B2">
        <w:rPr>
          <w:rFonts w:ascii="Book Antiqua" w:hAnsi="Book Antiqua"/>
          <w:b/>
          <w:sz w:val="24"/>
          <w:szCs w:val="24"/>
        </w:rPr>
        <w:t>Tanaka T</w:t>
      </w:r>
      <w:r w:rsidRPr="000749B2">
        <w:rPr>
          <w:rFonts w:ascii="Book Antiqua" w:hAnsi="Book Antiqua"/>
          <w:sz w:val="24"/>
          <w:szCs w:val="24"/>
        </w:rPr>
        <w:t xml:space="preserve">, Kohno H, Suzuki R, Hata K, Sugie S, Niho N, Sakano K, Takahashi M, Wakabayashi K. Dextran sodium sulfate strongly promotes colorectal carcinogenesis in Apc(Min/+) mice: inflammatory stimuli by dextran sodium sulfate results in development of multiple colonic neoplasms. </w:t>
      </w:r>
      <w:r w:rsidRPr="000749B2">
        <w:rPr>
          <w:rFonts w:ascii="Book Antiqua" w:hAnsi="Book Antiqua"/>
          <w:i/>
          <w:sz w:val="24"/>
          <w:szCs w:val="24"/>
        </w:rPr>
        <w:t>Int J Cancer</w:t>
      </w:r>
      <w:r w:rsidRPr="000749B2">
        <w:rPr>
          <w:rFonts w:ascii="Book Antiqua" w:hAnsi="Book Antiqua"/>
          <w:sz w:val="24"/>
          <w:szCs w:val="24"/>
        </w:rPr>
        <w:t xml:space="preserve"> 2006; </w:t>
      </w:r>
      <w:r w:rsidRPr="000749B2">
        <w:rPr>
          <w:rFonts w:ascii="Book Antiqua" w:hAnsi="Book Antiqua"/>
          <w:b/>
          <w:sz w:val="24"/>
          <w:szCs w:val="24"/>
        </w:rPr>
        <w:t>118</w:t>
      </w:r>
      <w:r w:rsidRPr="000749B2">
        <w:rPr>
          <w:rFonts w:ascii="Book Antiqua" w:hAnsi="Book Antiqua"/>
          <w:sz w:val="24"/>
          <w:szCs w:val="24"/>
        </w:rPr>
        <w:t>: 25-34 [PMID: 16049979 DOI: 10.1002/ijc.21282]</w:t>
      </w:r>
    </w:p>
    <w:p w14:paraId="5B297A2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53 </w:t>
      </w:r>
      <w:r w:rsidRPr="000749B2">
        <w:rPr>
          <w:rFonts w:ascii="Book Antiqua" w:hAnsi="Book Antiqua"/>
          <w:b/>
          <w:sz w:val="24"/>
          <w:szCs w:val="24"/>
        </w:rPr>
        <w:t>Cooper HS</w:t>
      </w:r>
      <w:r w:rsidRPr="000749B2">
        <w:rPr>
          <w:rFonts w:ascii="Book Antiqua" w:hAnsi="Book Antiqua"/>
          <w:sz w:val="24"/>
          <w:szCs w:val="24"/>
        </w:rPr>
        <w:t xml:space="preserve">, Everley L, Chang WC, Pfeiffer G, Lee B, Murthy S, Clapper ML. The role of mutant Apc in the development of dysplasia and cancer in the mouse model of dextran sulfate sodium-induced colitis. </w:t>
      </w:r>
      <w:r w:rsidRPr="000749B2">
        <w:rPr>
          <w:rFonts w:ascii="Book Antiqua" w:hAnsi="Book Antiqua"/>
          <w:i/>
          <w:sz w:val="24"/>
          <w:szCs w:val="24"/>
        </w:rPr>
        <w:t>Gastroenterology</w:t>
      </w:r>
      <w:r w:rsidRPr="000749B2">
        <w:rPr>
          <w:rFonts w:ascii="Book Antiqua" w:hAnsi="Book Antiqua"/>
          <w:sz w:val="24"/>
          <w:szCs w:val="24"/>
        </w:rPr>
        <w:t xml:space="preserve"> 2001; </w:t>
      </w:r>
      <w:r w:rsidRPr="000749B2">
        <w:rPr>
          <w:rFonts w:ascii="Book Antiqua" w:hAnsi="Book Antiqua"/>
          <w:b/>
          <w:sz w:val="24"/>
          <w:szCs w:val="24"/>
        </w:rPr>
        <w:t>121</w:t>
      </w:r>
      <w:r w:rsidRPr="000749B2">
        <w:rPr>
          <w:rFonts w:ascii="Book Antiqua" w:hAnsi="Book Antiqua"/>
          <w:sz w:val="24"/>
          <w:szCs w:val="24"/>
        </w:rPr>
        <w:t>: 1407-1416 [PMID: 11729120 DOI: 10.1053/gast.2001.29609]</w:t>
      </w:r>
    </w:p>
    <w:p w14:paraId="614148D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54 </w:t>
      </w:r>
      <w:r w:rsidRPr="000749B2">
        <w:rPr>
          <w:rFonts w:ascii="Book Antiqua" w:hAnsi="Book Antiqua"/>
          <w:b/>
          <w:sz w:val="24"/>
          <w:szCs w:val="24"/>
        </w:rPr>
        <w:t>De Robertis M</w:t>
      </w:r>
      <w:r w:rsidRPr="000749B2">
        <w:rPr>
          <w:rFonts w:ascii="Book Antiqua" w:hAnsi="Book Antiqua"/>
          <w:sz w:val="24"/>
          <w:szCs w:val="24"/>
        </w:rPr>
        <w:t xml:space="preserve">, Massi E, Poeta ML, Carotti S, Morini S, Cecchetelli L, Signori E, Fazio VM. The AOM/DSS murine model for the study of colon carcinogenesis: From pathways to diagnosis and therapy studies. </w:t>
      </w:r>
      <w:r w:rsidRPr="000749B2">
        <w:rPr>
          <w:rFonts w:ascii="Book Antiqua" w:hAnsi="Book Antiqua"/>
          <w:i/>
          <w:sz w:val="24"/>
          <w:szCs w:val="24"/>
        </w:rPr>
        <w:t>J Carcinog</w:t>
      </w:r>
      <w:r w:rsidRPr="000749B2">
        <w:rPr>
          <w:rFonts w:ascii="Book Antiqua" w:hAnsi="Book Antiqua"/>
          <w:sz w:val="24"/>
          <w:szCs w:val="24"/>
        </w:rPr>
        <w:t xml:space="preserve"> 2011; </w:t>
      </w:r>
      <w:r w:rsidRPr="000749B2">
        <w:rPr>
          <w:rFonts w:ascii="Book Antiqua" w:hAnsi="Book Antiqua"/>
          <w:b/>
          <w:sz w:val="24"/>
          <w:szCs w:val="24"/>
        </w:rPr>
        <w:t>10</w:t>
      </w:r>
      <w:r w:rsidRPr="000749B2">
        <w:rPr>
          <w:rFonts w:ascii="Book Antiqua" w:hAnsi="Book Antiqua"/>
          <w:sz w:val="24"/>
          <w:szCs w:val="24"/>
        </w:rPr>
        <w:t>: 9 [PMID: 21483655 DOI: 10.4103/1477-3163.78279]</w:t>
      </w:r>
    </w:p>
    <w:p w14:paraId="209381C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55 </w:t>
      </w:r>
      <w:r w:rsidRPr="000749B2">
        <w:rPr>
          <w:rFonts w:ascii="Book Antiqua" w:hAnsi="Book Antiqua"/>
          <w:b/>
          <w:sz w:val="24"/>
          <w:szCs w:val="24"/>
        </w:rPr>
        <w:t>Velázquez KT</w:t>
      </w:r>
      <w:r w:rsidRPr="000749B2">
        <w:rPr>
          <w:rFonts w:ascii="Book Antiqua" w:hAnsi="Book Antiqua"/>
          <w:sz w:val="24"/>
          <w:szCs w:val="24"/>
        </w:rPr>
        <w:t xml:space="preserve">, Enos RT, Carson MS, Cranford TL, Bader JE, Chatzistamou I, Singh UP, Nagarkatti PS, Nagarkatti M, Davis JM, Carson JA, Murphy EA. Weight loss following diet-induced obesity does not alter colon tumorigenesis in the AOM mouse model. </w:t>
      </w:r>
      <w:r w:rsidRPr="000749B2">
        <w:rPr>
          <w:rFonts w:ascii="Book Antiqua" w:hAnsi="Book Antiqua"/>
          <w:i/>
          <w:sz w:val="24"/>
          <w:szCs w:val="24"/>
        </w:rPr>
        <w:t>Am J Physiol Gastrointest Liver Physiol</w:t>
      </w:r>
      <w:r w:rsidRPr="000749B2">
        <w:rPr>
          <w:rFonts w:ascii="Book Antiqua" w:hAnsi="Book Antiqua"/>
          <w:sz w:val="24"/>
          <w:szCs w:val="24"/>
        </w:rPr>
        <w:t xml:space="preserve"> 2016; </w:t>
      </w:r>
      <w:r w:rsidRPr="000749B2">
        <w:rPr>
          <w:rFonts w:ascii="Book Antiqua" w:hAnsi="Book Antiqua"/>
          <w:b/>
          <w:sz w:val="24"/>
          <w:szCs w:val="24"/>
        </w:rPr>
        <w:t>311</w:t>
      </w:r>
      <w:r w:rsidRPr="000749B2">
        <w:rPr>
          <w:rFonts w:ascii="Book Antiqua" w:hAnsi="Book Antiqua"/>
          <w:sz w:val="24"/>
          <w:szCs w:val="24"/>
        </w:rPr>
        <w:t>: G699-G712 [PMID: 27609769 DOI: 10.1152/ajpgi.00207.2016]</w:t>
      </w:r>
    </w:p>
    <w:p w14:paraId="55E6487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56 </w:t>
      </w:r>
      <w:r w:rsidRPr="000749B2">
        <w:rPr>
          <w:rFonts w:ascii="Book Antiqua" w:hAnsi="Book Antiqua"/>
          <w:b/>
          <w:sz w:val="24"/>
          <w:szCs w:val="24"/>
        </w:rPr>
        <w:t>Cuellar-Nuñez ML</w:t>
      </w:r>
      <w:r w:rsidRPr="000749B2">
        <w:rPr>
          <w:rFonts w:ascii="Book Antiqua" w:hAnsi="Book Antiqua"/>
          <w:sz w:val="24"/>
          <w:szCs w:val="24"/>
        </w:rPr>
        <w:t xml:space="preserve">, Luzardo-Ocampo I, Campos-Vega R, Gallegos-Corona MA, González de Mejía E, Loarca-Piña G. Physicochemical and nutraceutical properties of moringa (Moringa oleifera) leaves and their effects in an in vivo AOM/DSS-induced colorectal carcinogenesis model. </w:t>
      </w:r>
      <w:r w:rsidRPr="000749B2">
        <w:rPr>
          <w:rFonts w:ascii="Book Antiqua" w:hAnsi="Book Antiqua"/>
          <w:i/>
          <w:sz w:val="24"/>
          <w:szCs w:val="24"/>
        </w:rPr>
        <w:t>Food Res Int</w:t>
      </w:r>
      <w:r w:rsidRPr="000749B2">
        <w:rPr>
          <w:rFonts w:ascii="Book Antiqua" w:hAnsi="Book Antiqua"/>
          <w:sz w:val="24"/>
          <w:szCs w:val="24"/>
        </w:rPr>
        <w:t xml:space="preserve"> 2018; </w:t>
      </w:r>
      <w:r w:rsidRPr="000749B2">
        <w:rPr>
          <w:rFonts w:ascii="Book Antiqua" w:hAnsi="Book Antiqua"/>
          <w:b/>
          <w:sz w:val="24"/>
          <w:szCs w:val="24"/>
        </w:rPr>
        <w:t>105</w:t>
      </w:r>
      <w:r w:rsidRPr="000749B2">
        <w:rPr>
          <w:rFonts w:ascii="Book Antiqua" w:hAnsi="Book Antiqua"/>
          <w:sz w:val="24"/>
          <w:szCs w:val="24"/>
        </w:rPr>
        <w:t>: 159-168 [PMID: 29433203 DOI: 10.1016/j.foodres.2017.11.004]</w:t>
      </w:r>
    </w:p>
    <w:p w14:paraId="7E76FEA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57 </w:t>
      </w:r>
      <w:r w:rsidRPr="000749B2">
        <w:rPr>
          <w:rFonts w:ascii="Book Antiqua" w:hAnsi="Book Antiqua"/>
          <w:b/>
          <w:sz w:val="24"/>
          <w:szCs w:val="24"/>
        </w:rPr>
        <w:t>Canene-Adams K</w:t>
      </w:r>
      <w:r w:rsidRPr="000749B2">
        <w:rPr>
          <w:rFonts w:ascii="Book Antiqua" w:hAnsi="Book Antiqua"/>
          <w:sz w:val="24"/>
          <w:szCs w:val="24"/>
        </w:rPr>
        <w:t xml:space="preserve">, Sfanos KS, Liang CT, Yegnasubramanian S, Nelson WG, Brayton C, De Marzo AM. Dietary chemoprevention of PhIP induced carcinogenesis in male Fischer 344 rats with tomato and broccoli. </w:t>
      </w:r>
      <w:r w:rsidRPr="000749B2">
        <w:rPr>
          <w:rFonts w:ascii="Book Antiqua" w:hAnsi="Book Antiqua"/>
          <w:i/>
          <w:sz w:val="24"/>
          <w:szCs w:val="24"/>
        </w:rPr>
        <w:t>PLoS One</w:t>
      </w:r>
      <w:r w:rsidRPr="000749B2">
        <w:rPr>
          <w:rFonts w:ascii="Book Antiqua" w:hAnsi="Book Antiqua"/>
          <w:sz w:val="24"/>
          <w:szCs w:val="24"/>
        </w:rPr>
        <w:t xml:space="preserve"> 2013; </w:t>
      </w:r>
      <w:r w:rsidRPr="000749B2">
        <w:rPr>
          <w:rFonts w:ascii="Book Antiqua" w:hAnsi="Book Antiqua"/>
          <w:b/>
          <w:sz w:val="24"/>
          <w:szCs w:val="24"/>
        </w:rPr>
        <w:t>8</w:t>
      </w:r>
      <w:r w:rsidRPr="000749B2">
        <w:rPr>
          <w:rFonts w:ascii="Book Antiqua" w:hAnsi="Book Antiqua"/>
          <w:sz w:val="24"/>
          <w:szCs w:val="24"/>
        </w:rPr>
        <w:t>: e79842 [PMID: 24312188 DOI: 10.1371/journal.pone.0079842]</w:t>
      </w:r>
    </w:p>
    <w:p w14:paraId="36135AE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58 </w:t>
      </w:r>
      <w:r w:rsidRPr="000749B2">
        <w:rPr>
          <w:rFonts w:ascii="Book Antiqua" w:hAnsi="Book Antiqua"/>
          <w:b/>
          <w:sz w:val="24"/>
          <w:szCs w:val="24"/>
        </w:rPr>
        <w:t>Chen JX</w:t>
      </w:r>
      <w:r w:rsidRPr="000749B2">
        <w:rPr>
          <w:rFonts w:ascii="Book Antiqua" w:hAnsi="Book Antiqua"/>
          <w:sz w:val="24"/>
          <w:szCs w:val="24"/>
        </w:rPr>
        <w:t xml:space="preserve">, Liu A, Lee MJ, Wang H, Yu S, Chi E, Reuhl K, Suh N, Yang CS. δ- and γ-tocopherols inhibit phIP/DSS-induced colon carcinogenesis by protection against early cellular and DNA damages. </w:t>
      </w:r>
      <w:r w:rsidRPr="000749B2">
        <w:rPr>
          <w:rFonts w:ascii="Book Antiqua" w:hAnsi="Book Antiqua"/>
          <w:i/>
          <w:sz w:val="24"/>
          <w:szCs w:val="24"/>
        </w:rPr>
        <w:t>Mol Carcinog</w:t>
      </w:r>
      <w:r w:rsidRPr="000749B2">
        <w:rPr>
          <w:rFonts w:ascii="Book Antiqua" w:hAnsi="Book Antiqua"/>
          <w:sz w:val="24"/>
          <w:szCs w:val="24"/>
        </w:rPr>
        <w:t xml:space="preserve"> 2017; </w:t>
      </w:r>
      <w:r w:rsidRPr="000749B2">
        <w:rPr>
          <w:rFonts w:ascii="Book Antiqua" w:hAnsi="Book Antiqua"/>
          <w:b/>
          <w:sz w:val="24"/>
          <w:szCs w:val="24"/>
        </w:rPr>
        <w:t>56</w:t>
      </w:r>
      <w:r w:rsidRPr="000749B2">
        <w:rPr>
          <w:rFonts w:ascii="Book Antiqua" w:hAnsi="Book Antiqua"/>
          <w:sz w:val="24"/>
          <w:szCs w:val="24"/>
        </w:rPr>
        <w:t>: 172-183 [PMID: 27175800 DOI: 10.1002/mc.22481]</w:t>
      </w:r>
    </w:p>
    <w:p w14:paraId="1F941A6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59 </w:t>
      </w:r>
      <w:r w:rsidRPr="000749B2">
        <w:rPr>
          <w:rFonts w:ascii="Book Antiqua" w:hAnsi="Book Antiqua"/>
          <w:b/>
          <w:sz w:val="24"/>
          <w:szCs w:val="24"/>
        </w:rPr>
        <w:t>Bi W</w:t>
      </w:r>
      <w:r w:rsidRPr="000749B2">
        <w:rPr>
          <w:rFonts w:ascii="Book Antiqua" w:hAnsi="Book Antiqua"/>
          <w:sz w:val="24"/>
          <w:szCs w:val="24"/>
        </w:rPr>
        <w:t xml:space="preserve">, Liu H, Shen J, Zhang LH, Li P, Peng B, Cao L, Zhang P, He C, Xiao P. Chemopreventive effects of Ku-jin tea against AOM-induced precancerous colorectal lesions in rats and metabolomic analysis. </w:t>
      </w:r>
      <w:r w:rsidRPr="000749B2">
        <w:rPr>
          <w:rFonts w:ascii="Book Antiqua" w:hAnsi="Book Antiqua"/>
          <w:i/>
          <w:sz w:val="24"/>
          <w:szCs w:val="24"/>
        </w:rPr>
        <w:t>Sci Rep</w:t>
      </w:r>
      <w:r w:rsidRPr="000749B2">
        <w:rPr>
          <w:rFonts w:ascii="Book Antiqua" w:hAnsi="Book Antiqua"/>
          <w:sz w:val="24"/>
          <w:szCs w:val="24"/>
        </w:rPr>
        <w:t xml:space="preserve"> 2017; </w:t>
      </w:r>
      <w:r w:rsidRPr="000749B2">
        <w:rPr>
          <w:rFonts w:ascii="Book Antiqua" w:hAnsi="Book Antiqua"/>
          <w:b/>
          <w:sz w:val="24"/>
          <w:szCs w:val="24"/>
        </w:rPr>
        <w:t>7</w:t>
      </w:r>
      <w:r w:rsidRPr="000749B2">
        <w:rPr>
          <w:rFonts w:ascii="Book Antiqua" w:hAnsi="Book Antiqua"/>
          <w:sz w:val="24"/>
          <w:szCs w:val="24"/>
        </w:rPr>
        <w:t>: 15893 [PMID: 29162930 DOI: 10.1038/s41598-017-16237-0]</w:t>
      </w:r>
    </w:p>
    <w:p w14:paraId="0FC6A9C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60 </w:t>
      </w:r>
      <w:r w:rsidRPr="000749B2">
        <w:rPr>
          <w:rFonts w:ascii="Book Antiqua" w:hAnsi="Book Antiqua"/>
          <w:b/>
          <w:sz w:val="24"/>
          <w:szCs w:val="24"/>
        </w:rPr>
        <w:t>Sun MC</w:t>
      </w:r>
      <w:r w:rsidRPr="000749B2">
        <w:rPr>
          <w:rFonts w:ascii="Book Antiqua" w:hAnsi="Book Antiqua"/>
          <w:sz w:val="24"/>
          <w:szCs w:val="24"/>
        </w:rPr>
        <w:t xml:space="preserve">, Zhang FC, Yin X, Cheng BJ, Zhao CH, Wang YL, Zhang ZZ, Hao HW, Zhang TH, Ye HQ. Lactobacillus reuteri F-9-35 Prevents DSS-Induced Colitis by Inhibiting Proinflammatory Gene Expression and Restoring the Gut Microbiota in Mice. </w:t>
      </w:r>
      <w:r w:rsidRPr="000749B2">
        <w:rPr>
          <w:rFonts w:ascii="Book Antiqua" w:hAnsi="Book Antiqua"/>
          <w:i/>
          <w:sz w:val="24"/>
          <w:szCs w:val="24"/>
        </w:rPr>
        <w:t>J Food Sci</w:t>
      </w:r>
      <w:r w:rsidRPr="000749B2">
        <w:rPr>
          <w:rFonts w:ascii="Book Antiqua" w:hAnsi="Book Antiqua"/>
          <w:sz w:val="24"/>
          <w:szCs w:val="24"/>
        </w:rPr>
        <w:t xml:space="preserve"> 2018; </w:t>
      </w:r>
      <w:r w:rsidRPr="000749B2">
        <w:rPr>
          <w:rFonts w:ascii="Book Antiqua" w:hAnsi="Book Antiqua"/>
          <w:b/>
          <w:sz w:val="24"/>
          <w:szCs w:val="24"/>
        </w:rPr>
        <w:t>83</w:t>
      </w:r>
      <w:r w:rsidRPr="000749B2">
        <w:rPr>
          <w:rFonts w:ascii="Book Antiqua" w:hAnsi="Book Antiqua"/>
          <w:sz w:val="24"/>
          <w:szCs w:val="24"/>
        </w:rPr>
        <w:t>: 2645-2652 [PMID: 30216448 DOI: 10.1111/1750-3841.14326]</w:t>
      </w:r>
    </w:p>
    <w:p w14:paraId="536B290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61 </w:t>
      </w:r>
      <w:r w:rsidRPr="000749B2">
        <w:rPr>
          <w:rFonts w:ascii="Book Antiqua" w:hAnsi="Book Antiqua"/>
          <w:b/>
          <w:sz w:val="24"/>
          <w:szCs w:val="24"/>
        </w:rPr>
        <w:t>Snider AJ</w:t>
      </w:r>
      <w:r w:rsidRPr="000749B2">
        <w:rPr>
          <w:rFonts w:ascii="Book Antiqua" w:hAnsi="Book Antiqua"/>
          <w:sz w:val="24"/>
          <w:szCs w:val="24"/>
        </w:rPr>
        <w:t xml:space="preserve">, Bialkowska AB, Ghaleb AM, Yang VW, Obeid LM, Hannun YA. Murine Model for Colitis-Associated Cancer of the Colon. </w:t>
      </w:r>
      <w:r w:rsidRPr="000749B2">
        <w:rPr>
          <w:rFonts w:ascii="Book Antiqua" w:hAnsi="Book Antiqua"/>
          <w:i/>
          <w:sz w:val="24"/>
          <w:szCs w:val="24"/>
        </w:rPr>
        <w:t>Methods Mol Biol</w:t>
      </w:r>
      <w:r w:rsidRPr="000749B2">
        <w:rPr>
          <w:rFonts w:ascii="Book Antiqua" w:hAnsi="Book Antiqua"/>
          <w:sz w:val="24"/>
          <w:szCs w:val="24"/>
        </w:rPr>
        <w:t xml:space="preserve"> 2016; </w:t>
      </w:r>
      <w:r w:rsidRPr="000749B2">
        <w:rPr>
          <w:rFonts w:ascii="Book Antiqua" w:hAnsi="Book Antiqua"/>
          <w:b/>
          <w:sz w:val="24"/>
          <w:szCs w:val="24"/>
        </w:rPr>
        <w:t>1438</w:t>
      </w:r>
      <w:r w:rsidRPr="000749B2">
        <w:rPr>
          <w:rFonts w:ascii="Book Antiqua" w:hAnsi="Book Antiqua"/>
          <w:sz w:val="24"/>
          <w:szCs w:val="24"/>
        </w:rPr>
        <w:t>: 245-254 [PMID: 27150094 DOI: 10.1007/978-1-4939-3661-8_14]</w:t>
      </w:r>
    </w:p>
    <w:p w14:paraId="5110E7A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62 </w:t>
      </w:r>
      <w:r w:rsidRPr="000749B2">
        <w:rPr>
          <w:rFonts w:ascii="Book Antiqua" w:hAnsi="Book Antiqua"/>
          <w:b/>
          <w:sz w:val="24"/>
          <w:szCs w:val="24"/>
        </w:rPr>
        <w:t>Yang J</w:t>
      </w:r>
      <w:r w:rsidRPr="000749B2">
        <w:rPr>
          <w:rFonts w:ascii="Book Antiqua" w:hAnsi="Book Antiqua"/>
          <w:sz w:val="24"/>
          <w:szCs w:val="24"/>
        </w:rPr>
        <w:t xml:space="preserve">, Shikata N, Mizuoka H, Tsubura A. Colon carcinogenesis in shrews by intrarectal infusion of N-methyl-N-nitrosourea. </w:t>
      </w:r>
      <w:r w:rsidRPr="000749B2">
        <w:rPr>
          <w:rFonts w:ascii="Book Antiqua" w:hAnsi="Book Antiqua"/>
          <w:i/>
          <w:sz w:val="24"/>
          <w:szCs w:val="24"/>
        </w:rPr>
        <w:t>Cancer Lett</w:t>
      </w:r>
      <w:r w:rsidRPr="000749B2">
        <w:rPr>
          <w:rFonts w:ascii="Book Antiqua" w:hAnsi="Book Antiqua"/>
          <w:sz w:val="24"/>
          <w:szCs w:val="24"/>
        </w:rPr>
        <w:t xml:space="preserve"> 1996; </w:t>
      </w:r>
      <w:r w:rsidRPr="000749B2">
        <w:rPr>
          <w:rFonts w:ascii="Book Antiqua" w:hAnsi="Book Antiqua"/>
          <w:b/>
          <w:sz w:val="24"/>
          <w:szCs w:val="24"/>
        </w:rPr>
        <w:t>110</w:t>
      </w:r>
      <w:r w:rsidRPr="000749B2">
        <w:rPr>
          <w:rFonts w:ascii="Book Antiqua" w:hAnsi="Book Antiqua"/>
          <w:sz w:val="24"/>
          <w:szCs w:val="24"/>
        </w:rPr>
        <w:t>: 105-112 [PMID: 9018088 DOI: 10.1016/s0304-3835(96)04468-0]</w:t>
      </w:r>
    </w:p>
    <w:p w14:paraId="1094A94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63 </w:t>
      </w:r>
      <w:r w:rsidRPr="000749B2">
        <w:rPr>
          <w:rFonts w:ascii="Book Antiqua" w:hAnsi="Book Antiqua"/>
          <w:b/>
          <w:sz w:val="24"/>
          <w:szCs w:val="24"/>
        </w:rPr>
        <w:t>Derry MM</w:t>
      </w:r>
      <w:r w:rsidRPr="000749B2">
        <w:rPr>
          <w:rFonts w:ascii="Book Antiqua" w:hAnsi="Book Antiqua"/>
          <w:sz w:val="24"/>
          <w:szCs w:val="24"/>
        </w:rPr>
        <w:t xml:space="preserve">, Raina K, Agarwal R, Agarwal C. Characterization of azoxymethane-induced colon tumor metastasis to lung in a mouse model relevant to human sporadic colorectal cancer and evaluation of grape seed extract efficacy. </w:t>
      </w:r>
      <w:r w:rsidRPr="000749B2">
        <w:rPr>
          <w:rFonts w:ascii="Book Antiqua" w:hAnsi="Book Antiqua"/>
          <w:i/>
          <w:sz w:val="24"/>
          <w:szCs w:val="24"/>
        </w:rPr>
        <w:t>Exp Toxicol Pathol</w:t>
      </w:r>
      <w:r w:rsidRPr="000749B2">
        <w:rPr>
          <w:rFonts w:ascii="Book Antiqua" w:hAnsi="Book Antiqua"/>
          <w:sz w:val="24"/>
          <w:szCs w:val="24"/>
        </w:rPr>
        <w:t xml:space="preserve"> 2014; </w:t>
      </w:r>
      <w:r w:rsidRPr="000749B2">
        <w:rPr>
          <w:rFonts w:ascii="Book Antiqua" w:hAnsi="Book Antiqua"/>
          <w:b/>
          <w:sz w:val="24"/>
          <w:szCs w:val="24"/>
        </w:rPr>
        <w:t>66</w:t>
      </w:r>
      <w:r w:rsidRPr="000749B2">
        <w:rPr>
          <w:rFonts w:ascii="Book Antiqua" w:hAnsi="Book Antiqua"/>
          <w:sz w:val="24"/>
          <w:szCs w:val="24"/>
        </w:rPr>
        <w:t>: 235-242 [PMID: 24670932 DOI: 10.1016/j.etp.2014.02.003]</w:t>
      </w:r>
    </w:p>
    <w:p w14:paraId="322F8D1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64 </w:t>
      </w:r>
      <w:r w:rsidRPr="000749B2">
        <w:rPr>
          <w:rFonts w:ascii="Book Antiqua" w:hAnsi="Book Antiqua"/>
          <w:b/>
          <w:sz w:val="24"/>
          <w:szCs w:val="24"/>
        </w:rPr>
        <w:t>Papanikolaou A</w:t>
      </w:r>
      <w:r w:rsidRPr="000749B2">
        <w:rPr>
          <w:rFonts w:ascii="Book Antiqua" w:hAnsi="Book Antiqua"/>
          <w:sz w:val="24"/>
          <w:szCs w:val="24"/>
        </w:rPr>
        <w:t xml:space="preserve">, Wang QS, Papanikolaou D, Whiteley HE, Rosenberg DW. Sequential and morphological analyses of aberrant crypt foci formation in mice of differing susceptibility to azoxymethane-induced colon carcinogenesis. </w:t>
      </w:r>
      <w:r w:rsidRPr="000749B2">
        <w:rPr>
          <w:rFonts w:ascii="Book Antiqua" w:hAnsi="Book Antiqua"/>
          <w:i/>
          <w:sz w:val="24"/>
          <w:szCs w:val="24"/>
        </w:rPr>
        <w:t>Carcinogenesis</w:t>
      </w:r>
      <w:r w:rsidRPr="000749B2">
        <w:rPr>
          <w:rFonts w:ascii="Book Antiqua" w:hAnsi="Book Antiqua"/>
          <w:sz w:val="24"/>
          <w:szCs w:val="24"/>
        </w:rPr>
        <w:t xml:space="preserve"> 2000; </w:t>
      </w:r>
      <w:r w:rsidRPr="000749B2">
        <w:rPr>
          <w:rFonts w:ascii="Book Antiqua" w:hAnsi="Book Antiqua"/>
          <w:b/>
          <w:sz w:val="24"/>
          <w:szCs w:val="24"/>
        </w:rPr>
        <w:t>21</w:t>
      </w:r>
      <w:r w:rsidRPr="000749B2">
        <w:rPr>
          <w:rFonts w:ascii="Book Antiqua" w:hAnsi="Book Antiqua"/>
          <w:sz w:val="24"/>
          <w:szCs w:val="24"/>
        </w:rPr>
        <w:t>: 1567-1572 [PMID: 10910960]</w:t>
      </w:r>
    </w:p>
    <w:p w14:paraId="6544AC4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65 </w:t>
      </w:r>
      <w:r w:rsidRPr="000749B2">
        <w:rPr>
          <w:rFonts w:ascii="Book Antiqua" w:hAnsi="Book Antiqua"/>
          <w:b/>
          <w:sz w:val="24"/>
          <w:szCs w:val="24"/>
        </w:rPr>
        <w:t>Nambiar PR</w:t>
      </w:r>
      <w:r w:rsidRPr="000749B2">
        <w:rPr>
          <w:rFonts w:ascii="Book Antiqua" w:hAnsi="Book Antiqua"/>
          <w:sz w:val="24"/>
          <w:szCs w:val="24"/>
        </w:rPr>
        <w:t xml:space="preserve">, Girnun G, Lillo NA, Guda K, Whiteley HE, Rosenberg DW. Preliminary analysis of azoxymethane induced colon tumors in inbred mice commonly used as transgenic/knockout progenitors. </w:t>
      </w:r>
      <w:r w:rsidRPr="000749B2">
        <w:rPr>
          <w:rFonts w:ascii="Book Antiqua" w:hAnsi="Book Antiqua"/>
          <w:i/>
          <w:sz w:val="24"/>
          <w:szCs w:val="24"/>
        </w:rPr>
        <w:t>Int J Oncol</w:t>
      </w:r>
      <w:r w:rsidRPr="000749B2">
        <w:rPr>
          <w:rFonts w:ascii="Book Antiqua" w:hAnsi="Book Antiqua"/>
          <w:sz w:val="24"/>
          <w:szCs w:val="24"/>
        </w:rPr>
        <w:t xml:space="preserve"> 2003; </w:t>
      </w:r>
      <w:r w:rsidRPr="000749B2">
        <w:rPr>
          <w:rFonts w:ascii="Book Antiqua" w:hAnsi="Book Antiqua"/>
          <w:b/>
          <w:sz w:val="24"/>
          <w:szCs w:val="24"/>
        </w:rPr>
        <w:t>22</w:t>
      </w:r>
      <w:r w:rsidRPr="000749B2">
        <w:rPr>
          <w:rFonts w:ascii="Book Antiqua" w:hAnsi="Book Antiqua"/>
          <w:sz w:val="24"/>
          <w:szCs w:val="24"/>
        </w:rPr>
        <w:t>: 145-150 [PMID: 12469197 DOI: 10.3892/ijo.22.1.145]</w:t>
      </w:r>
    </w:p>
    <w:p w14:paraId="16931D5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66 </w:t>
      </w:r>
      <w:r w:rsidRPr="000749B2">
        <w:rPr>
          <w:rFonts w:ascii="Book Antiqua" w:hAnsi="Book Antiqua"/>
          <w:b/>
          <w:sz w:val="24"/>
          <w:szCs w:val="24"/>
        </w:rPr>
        <w:t>Clapp NK</w:t>
      </w:r>
      <w:r w:rsidRPr="000749B2">
        <w:rPr>
          <w:rFonts w:ascii="Book Antiqua" w:hAnsi="Book Antiqua"/>
          <w:sz w:val="24"/>
          <w:szCs w:val="24"/>
        </w:rPr>
        <w:t xml:space="preserve">, Henke MA, London JF, Shock TL. Enhancement of 1,2-dimethylhydrazine-induced large bowel tumorigenesis in Balb/c mice by corn, soybean, and wheat brans. </w:t>
      </w:r>
      <w:r w:rsidRPr="000749B2">
        <w:rPr>
          <w:rFonts w:ascii="Book Antiqua" w:hAnsi="Book Antiqua"/>
          <w:i/>
          <w:sz w:val="24"/>
          <w:szCs w:val="24"/>
        </w:rPr>
        <w:t>Nutr Cancer</w:t>
      </w:r>
      <w:r w:rsidRPr="000749B2">
        <w:rPr>
          <w:rFonts w:ascii="Book Antiqua" w:hAnsi="Book Antiqua"/>
          <w:sz w:val="24"/>
          <w:szCs w:val="24"/>
        </w:rPr>
        <w:t xml:space="preserve"> 1984; </w:t>
      </w:r>
      <w:r w:rsidRPr="000749B2">
        <w:rPr>
          <w:rFonts w:ascii="Book Antiqua" w:hAnsi="Book Antiqua"/>
          <w:b/>
          <w:sz w:val="24"/>
          <w:szCs w:val="24"/>
        </w:rPr>
        <w:t>6</w:t>
      </w:r>
      <w:r w:rsidRPr="000749B2">
        <w:rPr>
          <w:rFonts w:ascii="Book Antiqua" w:hAnsi="Book Antiqua"/>
          <w:sz w:val="24"/>
          <w:szCs w:val="24"/>
        </w:rPr>
        <w:t>: 77-85 [PMID: 6100660 DOI: 10.1080/0163558850951381]</w:t>
      </w:r>
    </w:p>
    <w:p w14:paraId="24D8F60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67 </w:t>
      </w:r>
      <w:r w:rsidRPr="000749B2">
        <w:rPr>
          <w:rFonts w:ascii="Book Antiqua" w:hAnsi="Book Antiqua"/>
          <w:b/>
          <w:sz w:val="24"/>
          <w:szCs w:val="24"/>
        </w:rPr>
        <w:t>Neufert C</w:t>
      </w:r>
      <w:r w:rsidRPr="000749B2">
        <w:rPr>
          <w:rFonts w:ascii="Book Antiqua" w:hAnsi="Book Antiqua"/>
          <w:sz w:val="24"/>
          <w:szCs w:val="24"/>
        </w:rPr>
        <w:t xml:space="preserve">, Becker C, Neurath MF. An inducible mouse model of colon carcinogenesis for the analysis of sporadic and inflammation-driven tumor progression. </w:t>
      </w:r>
      <w:r w:rsidRPr="000749B2">
        <w:rPr>
          <w:rFonts w:ascii="Book Antiqua" w:hAnsi="Book Antiqua"/>
          <w:i/>
          <w:sz w:val="24"/>
          <w:szCs w:val="24"/>
        </w:rPr>
        <w:t>Nat Protoc</w:t>
      </w:r>
      <w:r w:rsidRPr="000749B2">
        <w:rPr>
          <w:rFonts w:ascii="Book Antiqua" w:hAnsi="Book Antiqua"/>
          <w:sz w:val="24"/>
          <w:szCs w:val="24"/>
        </w:rPr>
        <w:t xml:space="preserve"> 2007; </w:t>
      </w:r>
      <w:r w:rsidRPr="000749B2">
        <w:rPr>
          <w:rFonts w:ascii="Book Antiqua" w:hAnsi="Book Antiqua"/>
          <w:b/>
          <w:sz w:val="24"/>
          <w:szCs w:val="24"/>
        </w:rPr>
        <w:t>2</w:t>
      </w:r>
      <w:r w:rsidRPr="000749B2">
        <w:rPr>
          <w:rFonts w:ascii="Book Antiqua" w:hAnsi="Book Antiqua"/>
          <w:sz w:val="24"/>
          <w:szCs w:val="24"/>
        </w:rPr>
        <w:t>: 1998-2004 [PMID: 17703211 DOI: 10.1038/nprot.2007.279]</w:t>
      </w:r>
    </w:p>
    <w:p w14:paraId="32646F6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68 </w:t>
      </w:r>
      <w:r w:rsidRPr="000749B2">
        <w:rPr>
          <w:rFonts w:ascii="Book Antiqua" w:hAnsi="Book Antiqua"/>
          <w:b/>
          <w:sz w:val="24"/>
          <w:szCs w:val="24"/>
        </w:rPr>
        <w:t>Piñol V</w:t>
      </w:r>
      <w:r w:rsidRPr="000749B2">
        <w:rPr>
          <w:rFonts w:ascii="Book Antiqua" w:hAnsi="Book Antiqua"/>
          <w:sz w:val="24"/>
          <w:szCs w:val="24"/>
        </w:rPr>
        <w:t xml:space="preserve">, Andreu M, Castells A, Payá A, Bessa X, Jover R; Gastrointestinal Oncology Group of the Spanish Gastroenterological Association. Synchronous colorectal neoplasms in patients with colorectal cancer: predisposing individual and familial factors. </w:t>
      </w:r>
      <w:r w:rsidRPr="000749B2">
        <w:rPr>
          <w:rFonts w:ascii="Book Antiqua" w:hAnsi="Book Antiqua"/>
          <w:i/>
          <w:sz w:val="24"/>
          <w:szCs w:val="24"/>
        </w:rPr>
        <w:t>Dis Colon Rectum</w:t>
      </w:r>
      <w:r w:rsidRPr="000749B2">
        <w:rPr>
          <w:rFonts w:ascii="Book Antiqua" w:hAnsi="Book Antiqua"/>
          <w:sz w:val="24"/>
          <w:szCs w:val="24"/>
        </w:rPr>
        <w:t xml:space="preserve"> 2004; </w:t>
      </w:r>
      <w:r w:rsidRPr="000749B2">
        <w:rPr>
          <w:rFonts w:ascii="Book Antiqua" w:hAnsi="Book Antiqua"/>
          <w:b/>
          <w:sz w:val="24"/>
          <w:szCs w:val="24"/>
        </w:rPr>
        <w:t>47</w:t>
      </w:r>
      <w:r w:rsidRPr="000749B2">
        <w:rPr>
          <w:rFonts w:ascii="Book Antiqua" w:hAnsi="Book Antiqua"/>
          <w:sz w:val="24"/>
          <w:szCs w:val="24"/>
        </w:rPr>
        <w:t>: 1192-1200 [PMID: 15164252 DOI: 10.1007/s10350-004-0562-7]</w:t>
      </w:r>
    </w:p>
    <w:p w14:paraId="5213512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69 </w:t>
      </w:r>
      <w:r w:rsidRPr="000749B2">
        <w:rPr>
          <w:rFonts w:ascii="Book Antiqua" w:hAnsi="Book Antiqua"/>
          <w:b/>
          <w:sz w:val="24"/>
          <w:szCs w:val="24"/>
        </w:rPr>
        <w:t>Marqués-Lespier JM</w:t>
      </w:r>
      <w:r w:rsidRPr="000749B2">
        <w:rPr>
          <w:rFonts w:ascii="Book Antiqua" w:hAnsi="Book Antiqua"/>
          <w:sz w:val="24"/>
          <w:szCs w:val="24"/>
        </w:rPr>
        <w:t xml:space="preserve">, Soto-Salgado M, González-Pons M, Méndez V, Freyre K, Beltrán C, Pericchi LR, Cruz-Correa M. Prevalence of Synchronous Oligopolyposis in </w:t>
      </w:r>
      <w:r w:rsidRPr="000749B2">
        <w:rPr>
          <w:rFonts w:ascii="Book Antiqua" w:hAnsi="Book Antiqua"/>
          <w:sz w:val="24"/>
          <w:szCs w:val="24"/>
        </w:rPr>
        <w:lastRenderedPageBreak/>
        <w:t xml:space="preserve">Incident Colorectal Cancer: A Population-Based Study. </w:t>
      </w:r>
      <w:r w:rsidRPr="000749B2">
        <w:rPr>
          <w:rFonts w:ascii="Book Antiqua" w:hAnsi="Book Antiqua"/>
          <w:i/>
          <w:sz w:val="24"/>
          <w:szCs w:val="24"/>
        </w:rPr>
        <w:t>P R Health Sci J</w:t>
      </w:r>
      <w:r w:rsidRPr="000749B2">
        <w:rPr>
          <w:rFonts w:ascii="Book Antiqua" w:hAnsi="Book Antiqua"/>
          <w:sz w:val="24"/>
          <w:szCs w:val="24"/>
        </w:rPr>
        <w:t xml:space="preserve"> 2018; </w:t>
      </w:r>
      <w:r w:rsidRPr="000749B2">
        <w:rPr>
          <w:rFonts w:ascii="Book Antiqua" w:hAnsi="Book Antiqua"/>
          <w:b/>
          <w:sz w:val="24"/>
          <w:szCs w:val="24"/>
        </w:rPr>
        <w:t>37</w:t>
      </w:r>
      <w:r w:rsidRPr="000749B2">
        <w:rPr>
          <w:rFonts w:ascii="Book Antiqua" w:hAnsi="Book Antiqua"/>
          <w:sz w:val="24"/>
          <w:szCs w:val="24"/>
        </w:rPr>
        <w:t>: 39-45 [PMID: 29547683]</w:t>
      </w:r>
    </w:p>
    <w:p w14:paraId="4A1C6975" w14:textId="32D9D579"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70 </w:t>
      </w:r>
      <w:r w:rsidRPr="000749B2">
        <w:rPr>
          <w:rFonts w:ascii="Book Antiqua" w:hAnsi="Book Antiqua"/>
          <w:b/>
          <w:sz w:val="24"/>
          <w:szCs w:val="24"/>
        </w:rPr>
        <w:t>Thaker AI</w:t>
      </w:r>
      <w:r w:rsidRPr="000749B2">
        <w:rPr>
          <w:rFonts w:ascii="Book Antiqua" w:hAnsi="Book Antiqua"/>
          <w:sz w:val="24"/>
          <w:szCs w:val="24"/>
        </w:rPr>
        <w:t xml:space="preserve">, Shaker A, Rao MS, Ciorba MA. Modeling colitis-associated cancer with azoxymethane (AOM) and dextran sulfate sodium (DSS). </w:t>
      </w:r>
      <w:r w:rsidRPr="000749B2">
        <w:rPr>
          <w:rFonts w:ascii="Book Antiqua" w:hAnsi="Book Antiqua"/>
          <w:i/>
          <w:sz w:val="24"/>
          <w:szCs w:val="24"/>
        </w:rPr>
        <w:t>J Vis Exp</w:t>
      </w:r>
      <w:r w:rsidRPr="000749B2">
        <w:rPr>
          <w:rFonts w:ascii="Book Antiqua" w:hAnsi="Book Antiqua"/>
          <w:sz w:val="24"/>
          <w:szCs w:val="24"/>
        </w:rPr>
        <w:t xml:space="preserve"> 2012; </w:t>
      </w:r>
      <w:r w:rsidR="00E27276" w:rsidRPr="000749B2">
        <w:rPr>
          <w:rFonts w:ascii="Book Antiqua" w:hAnsi="Book Antiqua"/>
          <w:b/>
          <w:sz w:val="24"/>
          <w:szCs w:val="24"/>
        </w:rPr>
        <w:t>(67)</w:t>
      </w:r>
      <w:r w:rsidR="00E27276" w:rsidRPr="000749B2">
        <w:rPr>
          <w:rFonts w:ascii="Book Antiqua" w:hAnsi="Book Antiqua"/>
          <w:sz w:val="24"/>
          <w:szCs w:val="24"/>
        </w:rPr>
        <w:t xml:space="preserve"> </w:t>
      </w:r>
      <w:r w:rsidRPr="000749B2">
        <w:rPr>
          <w:rFonts w:ascii="Book Antiqua" w:hAnsi="Book Antiqua"/>
          <w:sz w:val="24"/>
          <w:szCs w:val="24"/>
        </w:rPr>
        <w:t xml:space="preserve">[PMID: </w:t>
      </w:r>
      <w:bookmarkStart w:id="17" w:name="OLE_LINK29"/>
      <w:bookmarkStart w:id="18" w:name="OLE_LINK30"/>
      <w:r w:rsidRPr="000749B2">
        <w:rPr>
          <w:rFonts w:ascii="Book Antiqua" w:hAnsi="Book Antiqua"/>
          <w:sz w:val="24"/>
          <w:szCs w:val="24"/>
        </w:rPr>
        <w:t xml:space="preserve">22990604 </w:t>
      </w:r>
      <w:bookmarkEnd w:id="17"/>
      <w:bookmarkEnd w:id="18"/>
      <w:r w:rsidRPr="000749B2">
        <w:rPr>
          <w:rFonts w:ascii="Book Antiqua" w:hAnsi="Book Antiqua"/>
          <w:sz w:val="24"/>
          <w:szCs w:val="24"/>
        </w:rPr>
        <w:t>DOI: 10.3791/4100]</w:t>
      </w:r>
    </w:p>
    <w:p w14:paraId="3F067AC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71 </w:t>
      </w:r>
      <w:r w:rsidRPr="000749B2">
        <w:rPr>
          <w:rFonts w:ascii="Book Antiqua" w:hAnsi="Book Antiqua"/>
          <w:b/>
          <w:sz w:val="24"/>
          <w:szCs w:val="24"/>
        </w:rPr>
        <w:t>Matsumoto K</w:t>
      </w:r>
      <w:r w:rsidRPr="000749B2">
        <w:rPr>
          <w:rFonts w:ascii="Book Antiqua" w:hAnsi="Book Antiqua"/>
          <w:sz w:val="24"/>
          <w:szCs w:val="24"/>
        </w:rPr>
        <w:t xml:space="preserve">, Iwase T, Hirono I, Nishida Y, Iwahori Y, Hori T, Asamoto M, Takasuka N, Kim DJ, Ushijima T, Nagao M, Tsuda H. Demonstration of ras and p53 gene mutations in carcinomas in the forestomach and intestine and soft tissue sarcomas induced by N-methyl-N-nitrosourea in the rat. </w:t>
      </w:r>
      <w:r w:rsidRPr="000749B2">
        <w:rPr>
          <w:rFonts w:ascii="Book Antiqua" w:hAnsi="Book Antiqua"/>
          <w:i/>
          <w:sz w:val="24"/>
          <w:szCs w:val="24"/>
        </w:rPr>
        <w:t>Jpn J Cancer Res</w:t>
      </w:r>
      <w:r w:rsidRPr="000749B2">
        <w:rPr>
          <w:rFonts w:ascii="Book Antiqua" w:hAnsi="Book Antiqua"/>
          <w:sz w:val="24"/>
          <w:szCs w:val="24"/>
        </w:rPr>
        <w:t xml:space="preserve"> 1997; </w:t>
      </w:r>
      <w:r w:rsidRPr="000749B2">
        <w:rPr>
          <w:rFonts w:ascii="Book Antiqua" w:hAnsi="Book Antiqua"/>
          <w:b/>
          <w:sz w:val="24"/>
          <w:szCs w:val="24"/>
        </w:rPr>
        <w:t>88</w:t>
      </w:r>
      <w:r w:rsidRPr="000749B2">
        <w:rPr>
          <w:rFonts w:ascii="Book Antiqua" w:hAnsi="Book Antiqua"/>
          <w:sz w:val="24"/>
          <w:szCs w:val="24"/>
        </w:rPr>
        <w:t>: 129-136 [PMID: 9119740 DOI: 10.1111/j.1349-7006.1997.tb00357.x]</w:t>
      </w:r>
    </w:p>
    <w:p w14:paraId="76A0225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72 </w:t>
      </w:r>
      <w:r w:rsidRPr="000749B2">
        <w:rPr>
          <w:rFonts w:ascii="Book Antiqua" w:hAnsi="Book Antiqua"/>
          <w:b/>
          <w:sz w:val="24"/>
          <w:szCs w:val="24"/>
        </w:rPr>
        <w:t>Nordlinger B</w:t>
      </w:r>
      <w:r w:rsidRPr="000749B2">
        <w:rPr>
          <w:rFonts w:ascii="Book Antiqua" w:hAnsi="Book Antiqua"/>
          <w:sz w:val="24"/>
          <w:szCs w:val="24"/>
        </w:rPr>
        <w:t xml:space="preserve">, Panis Y, Puts JP, Herve JP, Delelo R, Ballet F. Experimental model of colon cancer: recurrences after surgery alone or associated with intraperitoneal 5-fluorouracil chemotherapy. </w:t>
      </w:r>
      <w:r w:rsidRPr="000749B2">
        <w:rPr>
          <w:rFonts w:ascii="Book Antiqua" w:hAnsi="Book Antiqua"/>
          <w:i/>
          <w:sz w:val="24"/>
          <w:szCs w:val="24"/>
        </w:rPr>
        <w:t>Dis Colon Rectum</w:t>
      </w:r>
      <w:r w:rsidRPr="000749B2">
        <w:rPr>
          <w:rFonts w:ascii="Book Antiqua" w:hAnsi="Book Antiqua"/>
          <w:sz w:val="24"/>
          <w:szCs w:val="24"/>
        </w:rPr>
        <w:t xml:space="preserve"> 1991; </w:t>
      </w:r>
      <w:r w:rsidRPr="000749B2">
        <w:rPr>
          <w:rFonts w:ascii="Book Antiqua" w:hAnsi="Book Antiqua"/>
          <w:b/>
          <w:sz w:val="24"/>
          <w:szCs w:val="24"/>
        </w:rPr>
        <w:t>34</w:t>
      </w:r>
      <w:r w:rsidRPr="000749B2">
        <w:rPr>
          <w:rFonts w:ascii="Book Antiqua" w:hAnsi="Book Antiqua"/>
          <w:sz w:val="24"/>
          <w:szCs w:val="24"/>
        </w:rPr>
        <w:t>: 658-663 [PMID: 1855422 DOI: 10.1007/bf02050346]</w:t>
      </w:r>
    </w:p>
    <w:p w14:paraId="78534B5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73 </w:t>
      </w:r>
      <w:r w:rsidRPr="000749B2">
        <w:rPr>
          <w:rFonts w:ascii="Book Antiqua" w:hAnsi="Book Antiqua"/>
          <w:b/>
          <w:sz w:val="24"/>
          <w:szCs w:val="24"/>
        </w:rPr>
        <w:t>Narisawa T</w:t>
      </w:r>
      <w:r w:rsidRPr="000749B2">
        <w:rPr>
          <w:rFonts w:ascii="Book Antiqua" w:hAnsi="Book Antiqua"/>
          <w:sz w:val="24"/>
          <w:szCs w:val="24"/>
        </w:rPr>
        <w:t xml:space="preserve">, Weisburger JH. Colon cancer induction in mice by intrarectal instillation of N-methylnitosorurea (38498). </w:t>
      </w:r>
      <w:r w:rsidRPr="000749B2">
        <w:rPr>
          <w:rFonts w:ascii="Book Antiqua" w:hAnsi="Book Antiqua"/>
          <w:i/>
          <w:sz w:val="24"/>
          <w:szCs w:val="24"/>
        </w:rPr>
        <w:t>Proc Soc Exp Biol Med</w:t>
      </w:r>
      <w:r w:rsidRPr="000749B2">
        <w:rPr>
          <w:rFonts w:ascii="Book Antiqua" w:hAnsi="Book Antiqua"/>
          <w:sz w:val="24"/>
          <w:szCs w:val="24"/>
        </w:rPr>
        <w:t xml:space="preserve"> 1975; </w:t>
      </w:r>
      <w:r w:rsidRPr="000749B2">
        <w:rPr>
          <w:rFonts w:ascii="Book Antiqua" w:hAnsi="Book Antiqua"/>
          <w:b/>
          <w:sz w:val="24"/>
          <w:szCs w:val="24"/>
        </w:rPr>
        <w:t>148</w:t>
      </w:r>
      <w:r w:rsidRPr="000749B2">
        <w:rPr>
          <w:rFonts w:ascii="Book Antiqua" w:hAnsi="Book Antiqua"/>
          <w:sz w:val="24"/>
          <w:szCs w:val="24"/>
        </w:rPr>
        <w:t>: 166-169 [PMID: 1129255 DOI: 10.3181/00379727-148-38498]</w:t>
      </w:r>
    </w:p>
    <w:p w14:paraId="2E7DFE5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74 </w:t>
      </w:r>
      <w:r w:rsidRPr="000749B2">
        <w:rPr>
          <w:rFonts w:ascii="Book Antiqua" w:hAnsi="Book Antiqua"/>
          <w:b/>
          <w:sz w:val="24"/>
          <w:szCs w:val="24"/>
        </w:rPr>
        <w:t>Hasegawa R</w:t>
      </w:r>
      <w:r w:rsidRPr="000749B2">
        <w:rPr>
          <w:rFonts w:ascii="Book Antiqua" w:hAnsi="Book Antiqua"/>
          <w:sz w:val="24"/>
          <w:szCs w:val="24"/>
        </w:rPr>
        <w:t xml:space="preserve">, Sano M, Tamano S, Imaida K, Shirai T, Nagao M, Sugimura T, Ito N. Dose-dependence of 2-amino-1-methyl-6-phenylimidazo[4,5-b]-pyridine (PhIP) carcinogenicity in rats. </w:t>
      </w:r>
      <w:r w:rsidRPr="000749B2">
        <w:rPr>
          <w:rFonts w:ascii="Book Antiqua" w:hAnsi="Book Antiqua"/>
          <w:i/>
          <w:sz w:val="24"/>
          <w:szCs w:val="24"/>
        </w:rPr>
        <w:t>Carcinogenesis</w:t>
      </w:r>
      <w:r w:rsidRPr="000749B2">
        <w:rPr>
          <w:rFonts w:ascii="Book Antiqua" w:hAnsi="Book Antiqua"/>
          <w:sz w:val="24"/>
          <w:szCs w:val="24"/>
        </w:rPr>
        <w:t xml:space="preserve"> 1993; </w:t>
      </w:r>
      <w:r w:rsidRPr="000749B2">
        <w:rPr>
          <w:rFonts w:ascii="Book Antiqua" w:hAnsi="Book Antiqua"/>
          <w:b/>
          <w:sz w:val="24"/>
          <w:szCs w:val="24"/>
        </w:rPr>
        <w:t>14</w:t>
      </w:r>
      <w:r w:rsidRPr="000749B2">
        <w:rPr>
          <w:rFonts w:ascii="Book Antiqua" w:hAnsi="Book Antiqua"/>
          <w:sz w:val="24"/>
          <w:szCs w:val="24"/>
        </w:rPr>
        <w:t>: 2553-2557 [PMID: 8269626 DOI: 10.1093/carcin/14.12.2553]</w:t>
      </w:r>
    </w:p>
    <w:p w14:paraId="3292BF7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75 </w:t>
      </w:r>
      <w:r w:rsidRPr="000749B2">
        <w:rPr>
          <w:rFonts w:ascii="Book Antiqua" w:hAnsi="Book Antiqua"/>
          <w:b/>
          <w:sz w:val="24"/>
          <w:szCs w:val="24"/>
        </w:rPr>
        <w:t>Leslie A</w:t>
      </w:r>
      <w:r w:rsidRPr="000749B2">
        <w:rPr>
          <w:rFonts w:ascii="Book Antiqua" w:hAnsi="Book Antiqua"/>
          <w:sz w:val="24"/>
          <w:szCs w:val="24"/>
        </w:rPr>
        <w:t xml:space="preserve">, Carey FA, Pratt NR, Steele RJ. The colorectal adenoma-carcinoma sequence. </w:t>
      </w:r>
      <w:r w:rsidRPr="000749B2">
        <w:rPr>
          <w:rFonts w:ascii="Book Antiqua" w:hAnsi="Book Antiqua"/>
          <w:i/>
          <w:sz w:val="24"/>
          <w:szCs w:val="24"/>
        </w:rPr>
        <w:t>Br J Surg</w:t>
      </w:r>
      <w:r w:rsidRPr="000749B2">
        <w:rPr>
          <w:rFonts w:ascii="Book Antiqua" w:hAnsi="Book Antiqua"/>
          <w:sz w:val="24"/>
          <w:szCs w:val="24"/>
        </w:rPr>
        <w:t xml:space="preserve"> 2002; </w:t>
      </w:r>
      <w:r w:rsidRPr="000749B2">
        <w:rPr>
          <w:rFonts w:ascii="Book Antiqua" w:hAnsi="Book Antiqua"/>
          <w:b/>
          <w:sz w:val="24"/>
          <w:szCs w:val="24"/>
        </w:rPr>
        <w:t>89</w:t>
      </w:r>
      <w:r w:rsidRPr="000749B2">
        <w:rPr>
          <w:rFonts w:ascii="Book Antiqua" w:hAnsi="Book Antiqua"/>
          <w:sz w:val="24"/>
          <w:szCs w:val="24"/>
        </w:rPr>
        <w:t>: 845-860 [PMID: 12081733 DOI: 10.1046/j.1365-2168.2002.02120.x]</w:t>
      </w:r>
    </w:p>
    <w:p w14:paraId="42C942F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76 </w:t>
      </w:r>
      <w:r w:rsidRPr="000749B2">
        <w:rPr>
          <w:rFonts w:ascii="Book Antiqua" w:hAnsi="Book Antiqua"/>
          <w:b/>
          <w:sz w:val="24"/>
          <w:szCs w:val="24"/>
        </w:rPr>
        <w:t>Jacoby RF</w:t>
      </w:r>
      <w:r w:rsidRPr="000749B2">
        <w:rPr>
          <w:rFonts w:ascii="Book Antiqua" w:hAnsi="Book Antiqua"/>
          <w:sz w:val="24"/>
          <w:szCs w:val="24"/>
        </w:rPr>
        <w:t xml:space="preserve">, Llor X, Teng BB, Davidson NO, Brasitus TA. Mutations in the K-ras oncogene induced by 1,2-dimethylhydrazine in preneoplastic and neoplastic rat colonic mucosa. </w:t>
      </w:r>
      <w:r w:rsidRPr="000749B2">
        <w:rPr>
          <w:rFonts w:ascii="Book Antiqua" w:hAnsi="Book Antiqua"/>
          <w:i/>
          <w:sz w:val="24"/>
          <w:szCs w:val="24"/>
        </w:rPr>
        <w:t>J Clin Invest</w:t>
      </w:r>
      <w:r w:rsidRPr="000749B2">
        <w:rPr>
          <w:rFonts w:ascii="Book Antiqua" w:hAnsi="Book Antiqua"/>
          <w:sz w:val="24"/>
          <w:szCs w:val="24"/>
        </w:rPr>
        <w:t xml:space="preserve"> 1991; </w:t>
      </w:r>
      <w:r w:rsidRPr="000749B2">
        <w:rPr>
          <w:rFonts w:ascii="Book Antiqua" w:hAnsi="Book Antiqua"/>
          <w:b/>
          <w:sz w:val="24"/>
          <w:szCs w:val="24"/>
        </w:rPr>
        <w:t>87</w:t>
      </w:r>
      <w:r w:rsidRPr="000749B2">
        <w:rPr>
          <w:rFonts w:ascii="Book Antiqua" w:hAnsi="Book Antiqua"/>
          <w:sz w:val="24"/>
          <w:szCs w:val="24"/>
        </w:rPr>
        <w:t>: 624-630 [PMID: 1991846 DOI: 10.1172/JCI115039]</w:t>
      </w:r>
    </w:p>
    <w:p w14:paraId="3E1A5FF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77 </w:t>
      </w:r>
      <w:r w:rsidRPr="000749B2">
        <w:rPr>
          <w:rFonts w:ascii="Book Antiqua" w:hAnsi="Book Antiqua"/>
          <w:b/>
          <w:sz w:val="24"/>
          <w:szCs w:val="24"/>
        </w:rPr>
        <w:t>De Filippo C</w:t>
      </w:r>
      <w:r w:rsidRPr="000749B2">
        <w:rPr>
          <w:rFonts w:ascii="Book Antiqua" w:hAnsi="Book Antiqua"/>
          <w:sz w:val="24"/>
          <w:szCs w:val="24"/>
        </w:rPr>
        <w:t xml:space="preserve">, Caderni G, Bazzicalupo M, Briani C, Giannini A, Fazi M, Dolara P. Mutations of the Apc gene in experimental colorectal carcinogenesis induced by </w:t>
      </w:r>
      <w:r w:rsidRPr="000749B2">
        <w:rPr>
          <w:rFonts w:ascii="Book Antiqua" w:hAnsi="Book Antiqua"/>
          <w:sz w:val="24"/>
          <w:szCs w:val="24"/>
        </w:rPr>
        <w:lastRenderedPageBreak/>
        <w:t xml:space="preserve">azoxymethane in F344 rats. </w:t>
      </w:r>
      <w:r w:rsidRPr="000749B2">
        <w:rPr>
          <w:rFonts w:ascii="Book Antiqua" w:hAnsi="Book Antiqua"/>
          <w:i/>
          <w:sz w:val="24"/>
          <w:szCs w:val="24"/>
        </w:rPr>
        <w:t>Br J Cancer</w:t>
      </w:r>
      <w:r w:rsidRPr="000749B2">
        <w:rPr>
          <w:rFonts w:ascii="Book Antiqua" w:hAnsi="Book Antiqua"/>
          <w:sz w:val="24"/>
          <w:szCs w:val="24"/>
        </w:rPr>
        <w:t xml:space="preserve"> 1998; </w:t>
      </w:r>
      <w:r w:rsidRPr="000749B2">
        <w:rPr>
          <w:rFonts w:ascii="Book Antiqua" w:hAnsi="Book Antiqua"/>
          <w:b/>
          <w:sz w:val="24"/>
          <w:szCs w:val="24"/>
        </w:rPr>
        <w:t>77</w:t>
      </w:r>
      <w:r w:rsidRPr="000749B2">
        <w:rPr>
          <w:rFonts w:ascii="Book Antiqua" w:hAnsi="Book Antiqua"/>
          <w:sz w:val="24"/>
          <w:szCs w:val="24"/>
        </w:rPr>
        <w:t>: 2148-2151 [PMID: 9649126 DOI: 10.1038/bjc.1998.359]</w:t>
      </w:r>
    </w:p>
    <w:p w14:paraId="14E11C1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78 </w:t>
      </w:r>
      <w:r w:rsidRPr="000749B2">
        <w:rPr>
          <w:rFonts w:ascii="Book Antiqua" w:hAnsi="Book Antiqua"/>
          <w:b/>
          <w:sz w:val="24"/>
          <w:szCs w:val="24"/>
        </w:rPr>
        <w:t>Aaltonen LA</w:t>
      </w:r>
      <w:r w:rsidRPr="000749B2">
        <w:rPr>
          <w:rFonts w:ascii="Book Antiqua" w:hAnsi="Book Antiqua"/>
          <w:sz w:val="24"/>
          <w:szCs w:val="24"/>
        </w:rPr>
        <w:t xml:space="preserve">, Peltomäki P, Leach FS, Sistonen P, Pylkkänen L, Mecklin JP, Järvinen H, Powell SM, Jen J, Hamilton SR. Clues to the pathogenesis of familial colorectal cancer. </w:t>
      </w:r>
      <w:r w:rsidRPr="000749B2">
        <w:rPr>
          <w:rFonts w:ascii="Book Antiqua" w:hAnsi="Book Antiqua"/>
          <w:i/>
          <w:sz w:val="24"/>
          <w:szCs w:val="24"/>
        </w:rPr>
        <w:t>Science</w:t>
      </w:r>
      <w:r w:rsidRPr="000749B2">
        <w:rPr>
          <w:rFonts w:ascii="Book Antiqua" w:hAnsi="Book Antiqua"/>
          <w:sz w:val="24"/>
          <w:szCs w:val="24"/>
        </w:rPr>
        <w:t xml:space="preserve"> 1993; </w:t>
      </w:r>
      <w:r w:rsidRPr="000749B2">
        <w:rPr>
          <w:rFonts w:ascii="Book Antiqua" w:hAnsi="Book Antiqua"/>
          <w:b/>
          <w:sz w:val="24"/>
          <w:szCs w:val="24"/>
        </w:rPr>
        <w:t>260</w:t>
      </w:r>
      <w:r w:rsidRPr="000749B2">
        <w:rPr>
          <w:rFonts w:ascii="Book Antiqua" w:hAnsi="Book Antiqua"/>
          <w:sz w:val="24"/>
          <w:szCs w:val="24"/>
        </w:rPr>
        <w:t>: 812-816 [PMID: 8484121 DOI: 10.1126/science.8484121]</w:t>
      </w:r>
    </w:p>
    <w:p w14:paraId="1B006F0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79 </w:t>
      </w:r>
      <w:r w:rsidRPr="000749B2">
        <w:rPr>
          <w:rFonts w:ascii="Book Antiqua" w:hAnsi="Book Antiqua"/>
          <w:b/>
          <w:sz w:val="24"/>
          <w:szCs w:val="24"/>
        </w:rPr>
        <w:t>Pan Q</w:t>
      </w:r>
      <w:r w:rsidRPr="000749B2">
        <w:rPr>
          <w:rFonts w:ascii="Book Antiqua" w:hAnsi="Book Antiqua"/>
          <w:sz w:val="24"/>
          <w:szCs w:val="24"/>
        </w:rPr>
        <w:t xml:space="preserve">, Lou X, Zhang J, Zhu Y, Li F, Shan Q, Chen X, Xie Y, Su S, Wei H, Lin L, Wu L, Liu S. Genomic variants in mouse model induced by azoxymethane and dextran sodium sulfate improperly mimic human colorectal cancer. </w:t>
      </w:r>
      <w:r w:rsidRPr="000749B2">
        <w:rPr>
          <w:rFonts w:ascii="Book Antiqua" w:hAnsi="Book Antiqua"/>
          <w:i/>
          <w:sz w:val="24"/>
          <w:szCs w:val="24"/>
        </w:rPr>
        <w:t>Sci Rep</w:t>
      </w:r>
      <w:r w:rsidRPr="000749B2">
        <w:rPr>
          <w:rFonts w:ascii="Book Antiqua" w:hAnsi="Book Antiqua"/>
          <w:sz w:val="24"/>
          <w:szCs w:val="24"/>
        </w:rPr>
        <w:t xml:space="preserve"> 2017; </w:t>
      </w:r>
      <w:r w:rsidRPr="000749B2">
        <w:rPr>
          <w:rFonts w:ascii="Book Antiqua" w:hAnsi="Book Antiqua"/>
          <w:b/>
          <w:sz w:val="24"/>
          <w:szCs w:val="24"/>
        </w:rPr>
        <w:t>7</w:t>
      </w:r>
      <w:r w:rsidRPr="000749B2">
        <w:rPr>
          <w:rFonts w:ascii="Book Antiqua" w:hAnsi="Book Antiqua"/>
          <w:sz w:val="24"/>
          <w:szCs w:val="24"/>
        </w:rPr>
        <w:t>: 25 [PMID: 28154415 DOI: 10.1038/s41598-017-00057-3]</w:t>
      </w:r>
    </w:p>
    <w:p w14:paraId="7AAF7DD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80 </w:t>
      </w:r>
      <w:r w:rsidRPr="000749B2">
        <w:rPr>
          <w:rFonts w:ascii="Book Antiqua" w:hAnsi="Book Antiqua"/>
          <w:b/>
          <w:sz w:val="24"/>
          <w:szCs w:val="24"/>
        </w:rPr>
        <w:t>Cheung C</w:t>
      </w:r>
      <w:r w:rsidRPr="000749B2">
        <w:rPr>
          <w:rFonts w:ascii="Book Antiqua" w:hAnsi="Book Antiqua"/>
          <w:sz w:val="24"/>
          <w:szCs w:val="24"/>
        </w:rPr>
        <w:t xml:space="preserve">, Loy S, Li GX, Liu AB, Yang CS. Rapid induction of colon carcinogenesis in CYP1A-humanized mice by 2-amino-1-methyl-6-phenylimidazo[4,5-b]pyridine and dextran sodium sulfate. </w:t>
      </w:r>
      <w:r w:rsidRPr="000749B2">
        <w:rPr>
          <w:rFonts w:ascii="Book Antiqua" w:hAnsi="Book Antiqua"/>
          <w:i/>
          <w:sz w:val="24"/>
          <w:szCs w:val="24"/>
        </w:rPr>
        <w:t>Carcinogenesis</w:t>
      </w:r>
      <w:r w:rsidRPr="000749B2">
        <w:rPr>
          <w:rFonts w:ascii="Book Antiqua" w:hAnsi="Book Antiqua"/>
          <w:sz w:val="24"/>
          <w:szCs w:val="24"/>
        </w:rPr>
        <w:t xml:space="preserve"> 2011; </w:t>
      </w:r>
      <w:r w:rsidRPr="000749B2">
        <w:rPr>
          <w:rFonts w:ascii="Book Antiqua" w:hAnsi="Book Antiqua"/>
          <w:b/>
          <w:sz w:val="24"/>
          <w:szCs w:val="24"/>
        </w:rPr>
        <w:t>32</w:t>
      </w:r>
      <w:r w:rsidRPr="000749B2">
        <w:rPr>
          <w:rFonts w:ascii="Book Antiqua" w:hAnsi="Book Antiqua"/>
          <w:sz w:val="24"/>
          <w:szCs w:val="24"/>
        </w:rPr>
        <w:t>: 233-239 [PMID: 21081470 DOI: 10.1093/carcin/bgq235]</w:t>
      </w:r>
    </w:p>
    <w:p w14:paraId="397B59F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81 </w:t>
      </w:r>
      <w:r w:rsidRPr="000749B2">
        <w:rPr>
          <w:rFonts w:ascii="Book Antiqua" w:hAnsi="Book Antiqua"/>
          <w:b/>
          <w:sz w:val="24"/>
          <w:szCs w:val="24"/>
        </w:rPr>
        <w:t>Brinster RL</w:t>
      </w:r>
      <w:r w:rsidRPr="000749B2">
        <w:rPr>
          <w:rFonts w:ascii="Book Antiqua" w:hAnsi="Book Antiqua"/>
          <w:sz w:val="24"/>
          <w:szCs w:val="24"/>
        </w:rPr>
        <w:t xml:space="preserve">, Chen HY, Messing A, van Dyke T, Levine AJ, Palmiter RD. Transgenic mice harboring SV40 T-antigen genes develop characteristic brain tumors. </w:t>
      </w:r>
      <w:r w:rsidRPr="000749B2">
        <w:rPr>
          <w:rFonts w:ascii="Book Antiqua" w:hAnsi="Book Antiqua"/>
          <w:i/>
          <w:sz w:val="24"/>
          <w:szCs w:val="24"/>
        </w:rPr>
        <w:t>Cell</w:t>
      </w:r>
      <w:r w:rsidRPr="000749B2">
        <w:rPr>
          <w:rFonts w:ascii="Book Antiqua" w:hAnsi="Book Antiqua"/>
          <w:sz w:val="24"/>
          <w:szCs w:val="24"/>
        </w:rPr>
        <w:t xml:space="preserve"> 1984; </w:t>
      </w:r>
      <w:r w:rsidRPr="000749B2">
        <w:rPr>
          <w:rFonts w:ascii="Book Antiqua" w:hAnsi="Book Antiqua"/>
          <w:b/>
          <w:sz w:val="24"/>
          <w:szCs w:val="24"/>
        </w:rPr>
        <w:t>37</w:t>
      </w:r>
      <w:r w:rsidRPr="000749B2">
        <w:rPr>
          <w:rFonts w:ascii="Book Antiqua" w:hAnsi="Book Antiqua"/>
          <w:sz w:val="24"/>
          <w:szCs w:val="24"/>
        </w:rPr>
        <w:t>: 367-379 [PMID: 6327063 DOI: 10.1016/0092-8674(84)90367-2]</w:t>
      </w:r>
    </w:p>
    <w:p w14:paraId="4C37A09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82 </w:t>
      </w:r>
      <w:r w:rsidRPr="000749B2">
        <w:rPr>
          <w:rFonts w:ascii="Book Antiqua" w:hAnsi="Book Antiqua"/>
          <w:b/>
          <w:sz w:val="24"/>
          <w:szCs w:val="24"/>
        </w:rPr>
        <w:t>Adams JM</w:t>
      </w:r>
      <w:r w:rsidRPr="000749B2">
        <w:rPr>
          <w:rFonts w:ascii="Book Antiqua" w:hAnsi="Book Antiqua"/>
          <w:sz w:val="24"/>
          <w:szCs w:val="24"/>
        </w:rPr>
        <w:t xml:space="preserve">, Harris AW, Pinkert CA, Corcoran LM, Alexander WS, Cory S, Palmiter RD, Brinster RL. The c-myc oncogene driven by immunoglobulin enhancers induces lymphoid malignancy in transgenic mice. </w:t>
      </w:r>
      <w:r w:rsidRPr="000749B2">
        <w:rPr>
          <w:rFonts w:ascii="Book Antiqua" w:hAnsi="Book Antiqua"/>
          <w:i/>
          <w:sz w:val="24"/>
          <w:szCs w:val="24"/>
        </w:rPr>
        <w:t>Nature</w:t>
      </w:r>
      <w:r w:rsidRPr="000749B2">
        <w:rPr>
          <w:rFonts w:ascii="Book Antiqua" w:hAnsi="Book Antiqua"/>
          <w:sz w:val="24"/>
          <w:szCs w:val="24"/>
        </w:rPr>
        <w:t xml:space="preserve"> 1985; </w:t>
      </w:r>
      <w:r w:rsidRPr="000749B2">
        <w:rPr>
          <w:rFonts w:ascii="Book Antiqua" w:hAnsi="Book Antiqua"/>
          <w:b/>
          <w:sz w:val="24"/>
          <w:szCs w:val="24"/>
        </w:rPr>
        <w:t>318</w:t>
      </w:r>
      <w:r w:rsidRPr="000749B2">
        <w:rPr>
          <w:rFonts w:ascii="Book Antiqua" w:hAnsi="Book Antiqua"/>
          <w:sz w:val="24"/>
          <w:szCs w:val="24"/>
        </w:rPr>
        <w:t>: 533-538 [PMID: 3906410 DOI: 10.1038/318533a0]</w:t>
      </w:r>
    </w:p>
    <w:p w14:paraId="0D179ED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83 </w:t>
      </w:r>
      <w:r w:rsidRPr="000749B2">
        <w:rPr>
          <w:rFonts w:ascii="Book Antiqua" w:hAnsi="Book Antiqua"/>
          <w:b/>
          <w:sz w:val="24"/>
          <w:szCs w:val="24"/>
        </w:rPr>
        <w:t>Ornitz DM</w:t>
      </w:r>
      <w:r w:rsidRPr="000749B2">
        <w:rPr>
          <w:rFonts w:ascii="Book Antiqua" w:hAnsi="Book Antiqua"/>
          <w:sz w:val="24"/>
          <w:szCs w:val="24"/>
        </w:rPr>
        <w:t xml:space="preserve">, Palmiter RD, Messing A, Hammer RE, Pinkert CA, Brinster RL. Elastase I promoter directs expression of human growth hormone and SV40 T antigen genes to pancreatic acinar cells in transgenic mice. </w:t>
      </w:r>
      <w:r w:rsidRPr="000749B2">
        <w:rPr>
          <w:rFonts w:ascii="Book Antiqua" w:hAnsi="Book Antiqua"/>
          <w:i/>
          <w:sz w:val="24"/>
          <w:szCs w:val="24"/>
        </w:rPr>
        <w:t>Cold Spring Harb Symp Quant Biol</w:t>
      </w:r>
      <w:r w:rsidRPr="000749B2">
        <w:rPr>
          <w:rFonts w:ascii="Book Antiqua" w:hAnsi="Book Antiqua"/>
          <w:sz w:val="24"/>
          <w:szCs w:val="24"/>
        </w:rPr>
        <w:t xml:space="preserve"> 1985; </w:t>
      </w:r>
      <w:r w:rsidRPr="000749B2">
        <w:rPr>
          <w:rFonts w:ascii="Book Antiqua" w:hAnsi="Book Antiqua"/>
          <w:b/>
          <w:sz w:val="24"/>
          <w:szCs w:val="24"/>
        </w:rPr>
        <w:t>50</w:t>
      </w:r>
      <w:r w:rsidRPr="000749B2">
        <w:rPr>
          <w:rFonts w:ascii="Book Antiqua" w:hAnsi="Book Antiqua"/>
          <w:sz w:val="24"/>
          <w:szCs w:val="24"/>
        </w:rPr>
        <w:t>: 399-409 [PMID: 3006998 DOI: 10.1101/sqb.1985.050.01.050]</w:t>
      </w:r>
    </w:p>
    <w:p w14:paraId="5E36430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84 </w:t>
      </w:r>
      <w:r w:rsidRPr="000749B2">
        <w:rPr>
          <w:rFonts w:ascii="Book Antiqua" w:hAnsi="Book Antiqua"/>
          <w:b/>
          <w:sz w:val="24"/>
          <w:szCs w:val="24"/>
        </w:rPr>
        <w:t>Quaife CJ</w:t>
      </w:r>
      <w:r w:rsidRPr="000749B2">
        <w:rPr>
          <w:rFonts w:ascii="Book Antiqua" w:hAnsi="Book Antiqua"/>
          <w:sz w:val="24"/>
          <w:szCs w:val="24"/>
        </w:rPr>
        <w:t xml:space="preserve">, Pinkert CA, Ornitz DM, Palmiter RD, Brinster RL. Pancreatic neoplasia induced by ras expression in acinar cells of transgenic mice. </w:t>
      </w:r>
      <w:r w:rsidRPr="000749B2">
        <w:rPr>
          <w:rFonts w:ascii="Book Antiqua" w:hAnsi="Book Antiqua"/>
          <w:i/>
          <w:sz w:val="24"/>
          <w:szCs w:val="24"/>
        </w:rPr>
        <w:t>Cell</w:t>
      </w:r>
      <w:r w:rsidRPr="000749B2">
        <w:rPr>
          <w:rFonts w:ascii="Book Antiqua" w:hAnsi="Book Antiqua"/>
          <w:sz w:val="24"/>
          <w:szCs w:val="24"/>
        </w:rPr>
        <w:t xml:space="preserve"> 1987; </w:t>
      </w:r>
      <w:r w:rsidRPr="000749B2">
        <w:rPr>
          <w:rFonts w:ascii="Book Antiqua" w:hAnsi="Book Antiqua"/>
          <w:b/>
          <w:sz w:val="24"/>
          <w:szCs w:val="24"/>
        </w:rPr>
        <w:t>48</w:t>
      </w:r>
      <w:r w:rsidRPr="000749B2">
        <w:rPr>
          <w:rFonts w:ascii="Book Antiqua" w:hAnsi="Book Antiqua"/>
          <w:sz w:val="24"/>
          <w:szCs w:val="24"/>
        </w:rPr>
        <w:t>: 1023-1034 [PMID: 3470144 DOI: 10.1016/0092-8674(87)90710-0]</w:t>
      </w:r>
    </w:p>
    <w:p w14:paraId="62B5321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85 </w:t>
      </w:r>
      <w:r w:rsidRPr="000749B2">
        <w:rPr>
          <w:rFonts w:ascii="Book Antiqua" w:hAnsi="Book Antiqua"/>
          <w:b/>
          <w:sz w:val="24"/>
          <w:szCs w:val="24"/>
        </w:rPr>
        <w:t>Stewart TA</w:t>
      </w:r>
      <w:r w:rsidRPr="000749B2">
        <w:rPr>
          <w:rFonts w:ascii="Book Antiqua" w:hAnsi="Book Antiqua"/>
          <w:sz w:val="24"/>
          <w:szCs w:val="24"/>
        </w:rPr>
        <w:t xml:space="preserve">, Pattengale PK, Leder P. Spontaneous mammary adenocarcinomas in transgenic mice that carry and express MTV/myc fusion genes. </w:t>
      </w:r>
      <w:r w:rsidRPr="000749B2">
        <w:rPr>
          <w:rFonts w:ascii="Book Antiqua" w:hAnsi="Book Antiqua"/>
          <w:i/>
          <w:sz w:val="24"/>
          <w:szCs w:val="24"/>
        </w:rPr>
        <w:t>Cell</w:t>
      </w:r>
      <w:r w:rsidRPr="000749B2">
        <w:rPr>
          <w:rFonts w:ascii="Book Antiqua" w:hAnsi="Book Antiqua"/>
          <w:sz w:val="24"/>
          <w:szCs w:val="24"/>
        </w:rPr>
        <w:t xml:space="preserve"> 1984; </w:t>
      </w:r>
      <w:r w:rsidRPr="000749B2">
        <w:rPr>
          <w:rFonts w:ascii="Book Antiqua" w:hAnsi="Book Antiqua"/>
          <w:b/>
          <w:sz w:val="24"/>
          <w:szCs w:val="24"/>
        </w:rPr>
        <w:t>38</w:t>
      </w:r>
      <w:r w:rsidRPr="000749B2">
        <w:rPr>
          <w:rFonts w:ascii="Book Antiqua" w:hAnsi="Book Antiqua"/>
          <w:sz w:val="24"/>
          <w:szCs w:val="24"/>
        </w:rPr>
        <w:t>: 627-637 [PMID: 6488314 DOI: 10.1016/0092-8674(84)90257-5]</w:t>
      </w:r>
    </w:p>
    <w:p w14:paraId="5C50579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86 </w:t>
      </w:r>
      <w:r w:rsidRPr="000749B2">
        <w:rPr>
          <w:rFonts w:ascii="Book Antiqua" w:hAnsi="Book Antiqua"/>
          <w:b/>
          <w:sz w:val="24"/>
          <w:szCs w:val="24"/>
        </w:rPr>
        <w:t>Rüther U</w:t>
      </w:r>
      <w:r w:rsidRPr="000749B2">
        <w:rPr>
          <w:rFonts w:ascii="Book Antiqua" w:hAnsi="Book Antiqua"/>
          <w:sz w:val="24"/>
          <w:szCs w:val="24"/>
        </w:rPr>
        <w:t xml:space="preserve">, Garber C, Komitowski D, Müller R, Wagner EF. Deregulated c-fos expression interferes with normal bone development in transgenic mice. </w:t>
      </w:r>
      <w:r w:rsidRPr="000749B2">
        <w:rPr>
          <w:rFonts w:ascii="Book Antiqua" w:hAnsi="Book Antiqua"/>
          <w:i/>
          <w:sz w:val="24"/>
          <w:szCs w:val="24"/>
        </w:rPr>
        <w:t>Nature</w:t>
      </w:r>
      <w:r w:rsidRPr="000749B2">
        <w:rPr>
          <w:rFonts w:ascii="Book Antiqua" w:hAnsi="Book Antiqua"/>
          <w:sz w:val="24"/>
          <w:szCs w:val="24"/>
        </w:rPr>
        <w:t xml:space="preserve"> 1987; </w:t>
      </w:r>
      <w:r w:rsidRPr="000749B2">
        <w:rPr>
          <w:rFonts w:ascii="Book Antiqua" w:hAnsi="Book Antiqua"/>
          <w:b/>
          <w:sz w:val="24"/>
          <w:szCs w:val="24"/>
        </w:rPr>
        <w:t>325</w:t>
      </w:r>
      <w:r w:rsidRPr="000749B2">
        <w:rPr>
          <w:rFonts w:ascii="Book Antiqua" w:hAnsi="Book Antiqua"/>
          <w:sz w:val="24"/>
          <w:szCs w:val="24"/>
        </w:rPr>
        <w:t>: 412-416 [PMID: 3027573 DOI: 10.1038/325412a0]</w:t>
      </w:r>
    </w:p>
    <w:p w14:paraId="113CA8D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87 </w:t>
      </w:r>
      <w:r w:rsidRPr="000749B2">
        <w:rPr>
          <w:rFonts w:ascii="Book Antiqua" w:hAnsi="Book Antiqua"/>
          <w:b/>
          <w:sz w:val="24"/>
          <w:szCs w:val="24"/>
        </w:rPr>
        <w:t>Hanahan D</w:t>
      </w:r>
      <w:r w:rsidRPr="000749B2">
        <w:rPr>
          <w:rFonts w:ascii="Book Antiqua" w:hAnsi="Book Antiqua"/>
          <w:sz w:val="24"/>
          <w:szCs w:val="24"/>
        </w:rPr>
        <w:t xml:space="preserve">. Heritable formation of pancreatic beta-cell tumours in transgenic mice expressing recombinant insulin/simian virus 40 oncogenes. </w:t>
      </w:r>
      <w:r w:rsidRPr="000749B2">
        <w:rPr>
          <w:rFonts w:ascii="Book Antiqua" w:hAnsi="Book Antiqua"/>
          <w:i/>
          <w:sz w:val="24"/>
          <w:szCs w:val="24"/>
        </w:rPr>
        <w:t>Nature</w:t>
      </w:r>
      <w:r w:rsidRPr="000749B2">
        <w:rPr>
          <w:rFonts w:ascii="Book Antiqua" w:hAnsi="Book Antiqua"/>
          <w:sz w:val="24"/>
          <w:szCs w:val="24"/>
        </w:rPr>
        <w:t xml:space="preserve"> 1985; </w:t>
      </w:r>
      <w:r w:rsidRPr="000749B2">
        <w:rPr>
          <w:rFonts w:ascii="Book Antiqua" w:hAnsi="Book Antiqua"/>
          <w:b/>
          <w:sz w:val="24"/>
          <w:szCs w:val="24"/>
        </w:rPr>
        <w:t>315</w:t>
      </w:r>
      <w:r w:rsidRPr="000749B2">
        <w:rPr>
          <w:rFonts w:ascii="Book Antiqua" w:hAnsi="Book Antiqua"/>
          <w:sz w:val="24"/>
          <w:szCs w:val="24"/>
        </w:rPr>
        <w:t>: 115-122 [PMID: 2986015 DOI: 10.1038/315115a0]</w:t>
      </w:r>
    </w:p>
    <w:p w14:paraId="5F257B3F" w14:textId="6663B32A"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88 </w:t>
      </w:r>
      <w:r w:rsidRPr="000749B2">
        <w:rPr>
          <w:rFonts w:ascii="Book Antiqua" w:hAnsi="Book Antiqua"/>
          <w:b/>
          <w:sz w:val="24"/>
          <w:szCs w:val="24"/>
        </w:rPr>
        <w:t>Schäfer C</w:t>
      </w:r>
      <w:r w:rsidRPr="000749B2">
        <w:rPr>
          <w:rFonts w:ascii="Book Antiqua" w:hAnsi="Book Antiqua"/>
          <w:sz w:val="24"/>
          <w:szCs w:val="24"/>
        </w:rPr>
        <w:t xml:space="preserve">. Nobel Price for Medicine 2007. Knockout mice are revolutionizing genetics. </w:t>
      </w:r>
      <w:r w:rsidRPr="000749B2">
        <w:rPr>
          <w:rFonts w:ascii="Book Antiqua" w:hAnsi="Book Antiqua"/>
          <w:i/>
          <w:sz w:val="24"/>
          <w:szCs w:val="24"/>
        </w:rPr>
        <w:t>Ophthalmologe</w:t>
      </w:r>
      <w:r w:rsidRPr="000749B2">
        <w:rPr>
          <w:rFonts w:ascii="Book Antiqua" w:hAnsi="Book Antiqua"/>
          <w:sz w:val="24"/>
          <w:szCs w:val="24"/>
        </w:rPr>
        <w:t xml:space="preserve"> 2007; </w:t>
      </w:r>
      <w:r w:rsidRPr="000749B2">
        <w:rPr>
          <w:rFonts w:ascii="Book Antiqua" w:hAnsi="Book Antiqua"/>
          <w:b/>
          <w:sz w:val="24"/>
          <w:szCs w:val="24"/>
        </w:rPr>
        <w:t>104</w:t>
      </w:r>
      <w:r w:rsidRPr="000749B2">
        <w:rPr>
          <w:rFonts w:ascii="Book Antiqua" w:hAnsi="Book Antiqua"/>
          <w:sz w:val="24"/>
          <w:szCs w:val="24"/>
        </w:rPr>
        <w:t>: 1080-1082 [PMID: 18074163 DOI: 10.1007/s00347-007-1663-1]</w:t>
      </w:r>
    </w:p>
    <w:p w14:paraId="3BF5FC8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89 </w:t>
      </w:r>
      <w:r w:rsidRPr="000749B2">
        <w:rPr>
          <w:rFonts w:ascii="Book Antiqua" w:hAnsi="Book Antiqua"/>
          <w:b/>
          <w:sz w:val="24"/>
          <w:szCs w:val="24"/>
        </w:rPr>
        <w:t>Jacks T</w:t>
      </w:r>
      <w:r w:rsidRPr="000749B2">
        <w:rPr>
          <w:rFonts w:ascii="Book Antiqua" w:hAnsi="Book Antiqua"/>
          <w:sz w:val="24"/>
          <w:szCs w:val="24"/>
        </w:rPr>
        <w:t xml:space="preserve">, Fazeli A, Schmitt EM, Bronson RT, Goodell MA, Weinberg RA. </w:t>
      </w:r>
      <w:proofErr w:type="gramStart"/>
      <w:r w:rsidRPr="000749B2">
        <w:rPr>
          <w:rFonts w:ascii="Book Antiqua" w:hAnsi="Book Antiqua"/>
          <w:sz w:val="24"/>
          <w:szCs w:val="24"/>
        </w:rPr>
        <w:t>Effects of an Rb mutation in the mouse.</w:t>
      </w:r>
      <w:proofErr w:type="gramEnd"/>
      <w:r w:rsidRPr="000749B2">
        <w:rPr>
          <w:rFonts w:ascii="Book Antiqua" w:hAnsi="Book Antiqua"/>
          <w:sz w:val="24"/>
          <w:szCs w:val="24"/>
        </w:rPr>
        <w:t xml:space="preserve"> </w:t>
      </w:r>
      <w:r w:rsidRPr="000749B2">
        <w:rPr>
          <w:rFonts w:ascii="Book Antiqua" w:hAnsi="Book Antiqua"/>
          <w:i/>
          <w:sz w:val="24"/>
          <w:szCs w:val="24"/>
        </w:rPr>
        <w:t>Nature</w:t>
      </w:r>
      <w:r w:rsidRPr="000749B2">
        <w:rPr>
          <w:rFonts w:ascii="Book Antiqua" w:hAnsi="Book Antiqua"/>
          <w:sz w:val="24"/>
          <w:szCs w:val="24"/>
        </w:rPr>
        <w:t xml:space="preserve"> 1992; </w:t>
      </w:r>
      <w:r w:rsidRPr="000749B2">
        <w:rPr>
          <w:rFonts w:ascii="Book Antiqua" w:hAnsi="Book Antiqua"/>
          <w:b/>
          <w:sz w:val="24"/>
          <w:szCs w:val="24"/>
        </w:rPr>
        <w:t>359</w:t>
      </w:r>
      <w:r w:rsidRPr="000749B2">
        <w:rPr>
          <w:rFonts w:ascii="Book Antiqua" w:hAnsi="Book Antiqua"/>
          <w:sz w:val="24"/>
          <w:szCs w:val="24"/>
        </w:rPr>
        <w:t>: 295-300 [PMID: 1406933 DOI: 10.1038/359295a0]</w:t>
      </w:r>
    </w:p>
    <w:p w14:paraId="66E4817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90 </w:t>
      </w:r>
      <w:r w:rsidRPr="000749B2">
        <w:rPr>
          <w:rFonts w:ascii="Book Antiqua" w:hAnsi="Book Antiqua"/>
          <w:b/>
          <w:sz w:val="24"/>
          <w:szCs w:val="24"/>
        </w:rPr>
        <w:t>Donehower LA</w:t>
      </w:r>
      <w:r w:rsidRPr="000749B2">
        <w:rPr>
          <w:rFonts w:ascii="Book Antiqua" w:hAnsi="Book Antiqua"/>
          <w:sz w:val="24"/>
          <w:szCs w:val="24"/>
        </w:rPr>
        <w:t xml:space="preserve">, Harvey M, Slagle BL, McArthur MJ, Montgomery CA Jr, Butel JS, Bradley A. Mice deficient for p53 are developmentally normal but susceptible to spontaneous tumours. </w:t>
      </w:r>
      <w:r w:rsidRPr="000749B2">
        <w:rPr>
          <w:rFonts w:ascii="Book Antiqua" w:hAnsi="Book Antiqua"/>
          <w:i/>
          <w:sz w:val="24"/>
          <w:szCs w:val="24"/>
        </w:rPr>
        <w:t>Nature</w:t>
      </w:r>
      <w:r w:rsidRPr="000749B2">
        <w:rPr>
          <w:rFonts w:ascii="Book Antiqua" w:hAnsi="Book Antiqua"/>
          <w:sz w:val="24"/>
          <w:szCs w:val="24"/>
        </w:rPr>
        <w:t xml:space="preserve"> 1992; </w:t>
      </w:r>
      <w:r w:rsidRPr="000749B2">
        <w:rPr>
          <w:rFonts w:ascii="Book Antiqua" w:hAnsi="Book Antiqua"/>
          <w:b/>
          <w:sz w:val="24"/>
          <w:szCs w:val="24"/>
        </w:rPr>
        <w:t>356</w:t>
      </w:r>
      <w:r w:rsidRPr="000749B2">
        <w:rPr>
          <w:rFonts w:ascii="Book Antiqua" w:hAnsi="Book Antiqua"/>
          <w:sz w:val="24"/>
          <w:szCs w:val="24"/>
        </w:rPr>
        <w:t>: 215-221 [PMID: 1552940 DOI: 10.1038/356215a0]</w:t>
      </w:r>
    </w:p>
    <w:p w14:paraId="67473FD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91 </w:t>
      </w:r>
      <w:r w:rsidRPr="000749B2">
        <w:rPr>
          <w:rFonts w:ascii="Book Antiqua" w:hAnsi="Book Antiqua"/>
          <w:b/>
          <w:sz w:val="24"/>
          <w:szCs w:val="24"/>
        </w:rPr>
        <w:t>Lakso M</w:t>
      </w:r>
      <w:r w:rsidRPr="000749B2">
        <w:rPr>
          <w:rFonts w:ascii="Book Antiqua" w:hAnsi="Book Antiqua"/>
          <w:sz w:val="24"/>
          <w:szCs w:val="24"/>
        </w:rPr>
        <w:t xml:space="preserve">, Sauer B, Mosinger B Jr, Lee EJ, Manning RW, Yu SH, Mulder KL, Westphal H. Targeted oncogene activation by site-specific recombination in transgenic mice. </w:t>
      </w:r>
      <w:r w:rsidRPr="000749B2">
        <w:rPr>
          <w:rFonts w:ascii="Book Antiqua" w:hAnsi="Book Antiqua"/>
          <w:i/>
          <w:sz w:val="24"/>
          <w:szCs w:val="24"/>
        </w:rPr>
        <w:t>Proc Natl Acad Sci U S A</w:t>
      </w:r>
      <w:r w:rsidRPr="000749B2">
        <w:rPr>
          <w:rFonts w:ascii="Book Antiqua" w:hAnsi="Book Antiqua"/>
          <w:sz w:val="24"/>
          <w:szCs w:val="24"/>
        </w:rPr>
        <w:t xml:space="preserve"> 1992; </w:t>
      </w:r>
      <w:r w:rsidRPr="000749B2">
        <w:rPr>
          <w:rFonts w:ascii="Book Antiqua" w:hAnsi="Book Antiqua"/>
          <w:b/>
          <w:sz w:val="24"/>
          <w:szCs w:val="24"/>
        </w:rPr>
        <w:t>89</w:t>
      </w:r>
      <w:r w:rsidRPr="000749B2">
        <w:rPr>
          <w:rFonts w:ascii="Book Antiqua" w:hAnsi="Book Antiqua"/>
          <w:sz w:val="24"/>
          <w:szCs w:val="24"/>
        </w:rPr>
        <w:t>: 6232-6236 [PMID: 1631115 DOI: 10.1073/pnas.89.14.6232]</w:t>
      </w:r>
    </w:p>
    <w:p w14:paraId="336A03B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92 </w:t>
      </w:r>
      <w:r w:rsidRPr="000749B2">
        <w:rPr>
          <w:rFonts w:ascii="Book Antiqua" w:hAnsi="Book Antiqua"/>
          <w:b/>
          <w:sz w:val="24"/>
          <w:szCs w:val="24"/>
        </w:rPr>
        <w:t>Meuwissen R</w:t>
      </w:r>
      <w:r w:rsidRPr="000749B2">
        <w:rPr>
          <w:rFonts w:ascii="Book Antiqua" w:hAnsi="Book Antiqua"/>
          <w:sz w:val="24"/>
          <w:szCs w:val="24"/>
        </w:rPr>
        <w:t xml:space="preserve">, Linn SC, van der Valk M, Mooi WJ, Berns A. Mouse model for lung tumorigenesis through Cre/lox controlled sporadic activation of the K-Ras oncogene. </w:t>
      </w:r>
      <w:r w:rsidRPr="000749B2">
        <w:rPr>
          <w:rFonts w:ascii="Book Antiqua" w:hAnsi="Book Antiqua"/>
          <w:i/>
          <w:sz w:val="24"/>
          <w:szCs w:val="24"/>
        </w:rPr>
        <w:t>Oncogene</w:t>
      </w:r>
      <w:r w:rsidRPr="000749B2">
        <w:rPr>
          <w:rFonts w:ascii="Book Antiqua" w:hAnsi="Book Antiqua"/>
          <w:sz w:val="24"/>
          <w:szCs w:val="24"/>
        </w:rPr>
        <w:t xml:space="preserve"> 2001; </w:t>
      </w:r>
      <w:r w:rsidRPr="000749B2">
        <w:rPr>
          <w:rFonts w:ascii="Book Antiqua" w:hAnsi="Book Antiqua"/>
          <w:b/>
          <w:sz w:val="24"/>
          <w:szCs w:val="24"/>
        </w:rPr>
        <w:t>20</w:t>
      </w:r>
      <w:r w:rsidRPr="000749B2">
        <w:rPr>
          <w:rFonts w:ascii="Book Antiqua" w:hAnsi="Book Antiqua"/>
          <w:sz w:val="24"/>
          <w:szCs w:val="24"/>
        </w:rPr>
        <w:t>: 6551-6558 [PMID: 11641780 DOI: 10.1038/sj.onc.1204837]</w:t>
      </w:r>
    </w:p>
    <w:p w14:paraId="051E263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93 </w:t>
      </w:r>
      <w:r w:rsidRPr="000749B2">
        <w:rPr>
          <w:rFonts w:ascii="Book Antiqua" w:hAnsi="Book Antiqua"/>
          <w:b/>
          <w:sz w:val="24"/>
          <w:szCs w:val="24"/>
        </w:rPr>
        <w:t>Hingorani SR</w:t>
      </w:r>
      <w:r w:rsidRPr="000749B2">
        <w:rPr>
          <w:rFonts w:ascii="Book Antiqua" w:hAnsi="Book Antiqua"/>
          <w:sz w:val="24"/>
          <w:szCs w:val="24"/>
        </w:rPr>
        <w:t xml:space="preserve">, Petricoin EF, Maitra A, Rajapakse V, King C, Jacobetz MA, Ross S, Conrads TP, Veenstra TD, Hitt BA, Kawaguchi Y, Johann D, Liotta LA, Crawford HC, Putt ME, Jacks T, Wright CV, Hruban RH, Lowy AM, Tuveson DA. Preinvasive and invasive ductal pancreatic cancer and its early detection in the mouse. </w:t>
      </w:r>
      <w:r w:rsidRPr="000749B2">
        <w:rPr>
          <w:rFonts w:ascii="Book Antiqua" w:hAnsi="Book Antiqua"/>
          <w:i/>
          <w:sz w:val="24"/>
          <w:szCs w:val="24"/>
        </w:rPr>
        <w:t>Cancer Cell</w:t>
      </w:r>
      <w:r w:rsidRPr="000749B2">
        <w:rPr>
          <w:rFonts w:ascii="Book Antiqua" w:hAnsi="Book Antiqua"/>
          <w:sz w:val="24"/>
          <w:szCs w:val="24"/>
        </w:rPr>
        <w:t xml:space="preserve"> 2003; </w:t>
      </w:r>
      <w:r w:rsidRPr="000749B2">
        <w:rPr>
          <w:rFonts w:ascii="Book Antiqua" w:hAnsi="Book Antiqua"/>
          <w:b/>
          <w:sz w:val="24"/>
          <w:szCs w:val="24"/>
        </w:rPr>
        <w:t>4</w:t>
      </w:r>
      <w:r w:rsidRPr="000749B2">
        <w:rPr>
          <w:rFonts w:ascii="Book Antiqua" w:hAnsi="Book Antiqua"/>
          <w:sz w:val="24"/>
          <w:szCs w:val="24"/>
        </w:rPr>
        <w:t>: 437-450 [PMID: 14706336 DOI: 10.1016/s1535-6108(03)00309-x]</w:t>
      </w:r>
    </w:p>
    <w:p w14:paraId="70AC69B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94 </w:t>
      </w:r>
      <w:r w:rsidRPr="000749B2">
        <w:rPr>
          <w:rFonts w:ascii="Book Antiqua" w:hAnsi="Book Antiqua"/>
          <w:b/>
          <w:sz w:val="24"/>
          <w:szCs w:val="24"/>
        </w:rPr>
        <w:t>Moser AR</w:t>
      </w:r>
      <w:r w:rsidRPr="000749B2">
        <w:rPr>
          <w:rFonts w:ascii="Book Antiqua" w:hAnsi="Book Antiqua"/>
          <w:sz w:val="24"/>
          <w:szCs w:val="24"/>
        </w:rPr>
        <w:t xml:space="preserve">, Pitot HC, Dove WF. A dominant mutation that predisposes to multiple intestinal neoplasia in the mouse. </w:t>
      </w:r>
      <w:r w:rsidRPr="000749B2">
        <w:rPr>
          <w:rFonts w:ascii="Book Antiqua" w:hAnsi="Book Antiqua"/>
          <w:i/>
          <w:sz w:val="24"/>
          <w:szCs w:val="24"/>
        </w:rPr>
        <w:t>Science</w:t>
      </w:r>
      <w:r w:rsidRPr="000749B2">
        <w:rPr>
          <w:rFonts w:ascii="Book Antiqua" w:hAnsi="Book Antiqua"/>
          <w:sz w:val="24"/>
          <w:szCs w:val="24"/>
        </w:rPr>
        <w:t xml:space="preserve"> 1990; </w:t>
      </w:r>
      <w:r w:rsidRPr="000749B2">
        <w:rPr>
          <w:rFonts w:ascii="Book Antiqua" w:hAnsi="Book Antiqua"/>
          <w:b/>
          <w:sz w:val="24"/>
          <w:szCs w:val="24"/>
        </w:rPr>
        <w:t>247</w:t>
      </w:r>
      <w:r w:rsidRPr="000749B2">
        <w:rPr>
          <w:rFonts w:ascii="Book Antiqua" w:hAnsi="Book Antiqua"/>
          <w:sz w:val="24"/>
          <w:szCs w:val="24"/>
        </w:rPr>
        <w:t>: 322-324 [PMID: 2296722 DOI: 10.1126/science.2296722]</w:t>
      </w:r>
    </w:p>
    <w:p w14:paraId="2161512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95 </w:t>
      </w:r>
      <w:r w:rsidRPr="000749B2">
        <w:rPr>
          <w:rFonts w:ascii="Book Antiqua" w:hAnsi="Book Antiqua"/>
          <w:b/>
          <w:sz w:val="24"/>
          <w:szCs w:val="24"/>
        </w:rPr>
        <w:t>Shoemaker AR</w:t>
      </w:r>
      <w:r w:rsidRPr="000749B2">
        <w:rPr>
          <w:rFonts w:ascii="Book Antiqua" w:hAnsi="Book Antiqua"/>
          <w:sz w:val="24"/>
          <w:szCs w:val="24"/>
        </w:rPr>
        <w:t xml:space="preserve">, Gould KA, Luongo C, Moser AR, Dove WF. Studies of neoplasia in the Min mouse. </w:t>
      </w:r>
      <w:r w:rsidRPr="000749B2">
        <w:rPr>
          <w:rFonts w:ascii="Book Antiqua" w:hAnsi="Book Antiqua"/>
          <w:i/>
          <w:sz w:val="24"/>
          <w:szCs w:val="24"/>
        </w:rPr>
        <w:t>Biochim Biophys Acta</w:t>
      </w:r>
      <w:r w:rsidRPr="000749B2">
        <w:rPr>
          <w:rFonts w:ascii="Book Antiqua" w:hAnsi="Book Antiqua"/>
          <w:sz w:val="24"/>
          <w:szCs w:val="24"/>
        </w:rPr>
        <w:t xml:space="preserve"> 1997; </w:t>
      </w:r>
      <w:r w:rsidRPr="000749B2">
        <w:rPr>
          <w:rFonts w:ascii="Book Antiqua" w:hAnsi="Book Antiqua"/>
          <w:b/>
          <w:sz w:val="24"/>
          <w:szCs w:val="24"/>
        </w:rPr>
        <w:t>1332</w:t>
      </w:r>
      <w:r w:rsidRPr="000749B2">
        <w:rPr>
          <w:rFonts w:ascii="Book Antiqua" w:hAnsi="Book Antiqua"/>
          <w:sz w:val="24"/>
          <w:szCs w:val="24"/>
        </w:rPr>
        <w:t>: F25-F48 [PMID: 9141462 DOI: 10.1016/s0304-</w:t>
      </w:r>
      <w:proofErr w:type="gramStart"/>
      <w:r w:rsidRPr="000749B2">
        <w:rPr>
          <w:rFonts w:ascii="Book Antiqua" w:hAnsi="Book Antiqua"/>
          <w:sz w:val="24"/>
          <w:szCs w:val="24"/>
        </w:rPr>
        <w:t>419x(</w:t>
      </w:r>
      <w:proofErr w:type="gramEnd"/>
      <w:r w:rsidRPr="000749B2">
        <w:rPr>
          <w:rFonts w:ascii="Book Antiqua" w:hAnsi="Book Antiqua"/>
          <w:sz w:val="24"/>
          <w:szCs w:val="24"/>
        </w:rPr>
        <w:t>96)00041-8]</w:t>
      </w:r>
    </w:p>
    <w:p w14:paraId="2D720DF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96 </w:t>
      </w:r>
      <w:r w:rsidRPr="000749B2">
        <w:rPr>
          <w:rFonts w:ascii="Book Antiqua" w:hAnsi="Book Antiqua"/>
          <w:b/>
          <w:sz w:val="24"/>
          <w:szCs w:val="24"/>
        </w:rPr>
        <w:t>Yamada Y</w:t>
      </w:r>
      <w:r w:rsidRPr="000749B2">
        <w:rPr>
          <w:rFonts w:ascii="Book Antiqua" w:hAnsi="Book Antiqua"/>
          <w:sz w:val="24"/>
          <w:szCs w:val="24"/>
        </w:rPr>
        <w:t xml:space="preserve">, Mori H. Multistep carcinogenesis of the colon in </w:t>
      </w:r>
      <w:proofErr w:type="gramStart"/>
      <w:r w:rsidRPr="000749B2">
        <w:rPr>
          <w:rFonts w:ascii="Book Antiqua" w:hAnsi="Book Antiqua"/>
          <w:sz w:val="24"/>
          <w:szCs w:val="24"/>
        </w:rPr>
        <w:t>Apc(</w:t>
      </w:r>
      <w:proofErr w:type="gramEnd"/>
      <w:r w:rsidRPr="000749B2">
        <w:rPr>
          <w:rFonts w:ascii="Book Antiqua" w:hAnsi="Book Antiqua"/>
          <w:sz w:val="24"/>
          <w:szCs w:val="24"/>
        </w:rPr>
        <w:t xml:space="preserve">Min/+) mouse. </w:t>
      </w:r>
      <w:r w:rsidRPr="000749B2">
        <w:rPr>
          <w:rFonts w:ascii="Book Antiqua" w:hAnsi="Book Antiqua"/>
          <w:i/>
          <w:sz w:val="24"/>
          <w:szCs w:val="24"/>
        </w:rPr>
        <w:t>Cancer Sci</w:t>
      </w:r>
      <w:r w:rsidRPr="000749B2">
        <w:rPr>
          <w:rFonts w:ascii="Book Antiqua" w:hAnsi="Book Antiqua"/>
          <w:sz w:val="24"/>
          <w:szCs w:val="24"/>
        </w:rPr>
        <w:t xml:space="preserve"> 2007; </w:t>
      </w:r>
      <w:r w:rsidRPr="000749B2">
        <w:rPr>
          <w:rFonts w:ascii="Book Antiqua" w:hAnsi="Book Antiqua"/>
          <w:b/>
          <w:sz w:val="24"/>
          <w:szCs w:val="24"/>
        </w:rPr>
        <w:t>98</w:t>
      </w:r>
      <w:r w:rsidRPr="000749B2">
        <w:rPr>
          <w:rFonts w:ascii="Book Antiqua" w:hAnsi="Book Antiqua"/>
          <w:sz w:val="24"/>
          <w:szCs w:val="24"/>
        </w:rPr>
        <w:t>: 6-10 [PMID: 17052257 DOI: 10.1111/j.1349-7006.2006.00348.x]</w:t>
      </w:r>
    </w:p>
    <w:p w14:paraId="0B8EB8A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97 </w:t>
      </w:r>
      <w:r w:rsidRPr="000749B2">
        <w:rPr>
          <w:rFonts w:ascii="Book Antiqua" w:hAnsi="Book Antiqua"/>
          <w:b/>
          <w:sz w:val="24"/>
          <w:szCs w:val="24"/>
        </w:rPr>
        <w:t>Moser AR</w:t>
      </w:r>
      <w:r w:rsidRPr="000749B2">
        <w:rPr>
          <w:rFonts w:ascii="Book Antiqua" w:hAnsi="Book Antiqua"/>
          <w:sz w:val="24"/>
          <w:szCs w:val="24"/>
        </w:rPr>
        <w:t xml:space="preserve">, Shoemaker AR, Connelly CS, Clipson L, Gould KA, Luongo C, Dove WF, Siggers PH, Gardner RL. Homozygosity for the Min allele of Apc results in disruption of mouse development prior to gastrulation. </w:t>
      </w:r>
      <w:r w:rsidRPr="000749B2">
        <w:rPr>
          <w:rFonts w:ascii="Book Antiqua" w:hAnsi="Book Antiqua"/>
          <w:i/>
          <w:sz w:val="24"/>
          <w:szCs w:val="24"/>
        </w:rPr>
        <w:t>Dev Dyn</w:t>
      </w:r>
      <w:r w:rsidRPr="000749B2">
        <w:rPr>
          <w:rFonts w:ascii="Book Antiqua" w:hAnsi="Book Antiqua"/>
          <w:sz w:val="24"/>
          <w:szCs w:val="24"/>
        </w:rPr>
        <w:t xml:space="preserve"> 1995; </w:t>
      </w:r>
      <w:r w:rsidRPr="000749B2">
        <w:rPr>
          <w:rFonts w:ascii="Book Antiqua" w:hAnsi="Book Antiqua"/>
          <w:b/>
          <w:sz w:val="24"/>
          <w:szCs w:val="24"/>
        </w:rPr>
        <w:t>203</w:t>
      </w:r>
      <w:r w:rsidRPr="000749B2">
        <w:rPr>
          <w:rFonts w:ascii="Book Antiqua" w:hAnsi="Book Antiqua"/>
          <w:sz w:val="24"/>
          <w:szCs w:val="24"/>
        </w:rPr>
        <w:t>: 422-433 [PMID: 7496034 DOI: 10.1002/aja.1002030405]</w:t>
      </w:r>
    </w:p>
    <w:p w14:paraId="7D4F15D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98 </w:t>
      </w:r>
      <w:r w:rsidRPr="000749B2">
        <w:rPr>
          <w:rFonts w:ascii="Book Antiqua" w:hAnsi="Book Antiqua"/>
          <w:b/>
          <w:sz w:val="24"/>
          <w:szCs w:val="24"/>
        </w:rPr>
        <w:t>Møllersen L</w:t>
      </w:r>
      <w:r w:rsidRPr="000749B2">
        <w:rPr>
          <w:rFonts w:ascii="Book Antiqua" w:hAnsi="Book Antiqua"/>
          <w:sz w:val="24"/>
          <w:szCs w:val="24"/>
        </w:rPr>
        <w:t xml:space="preserve">, Paulsen JE, Alexander J. Loss of heterozygosity and nonsense mutation in Apc in azoxymethane-induced colonic tumours in min mice. </w:t>
      </w:r>
      <w:r w:rsidRPr="000749B2">
        <w:rPr>
          <w:rFonts w:ascii="Book Antiqua" w:hAnsi="Book Antiqua"/>
          <w:i/>
          <w:sz w:val="24"/>
          <w:szCs w:val="24"/>
        </w:rPr>
        <w:t>Anticancer Res</w:t>
      </w:r>
      <w:r w:rsidRPr="000749B2">
        <w:rPr>
          <w:rFonts w:ascii="Book Antiqua" w:hAnsi="Book Antiqua"/>
          <w:sz w:val="24"/>
          <w:szCs w:val="24"/>
        </w:rPr>
        <w:t xml:space="preserve"> 2004; </w:t>
      </w:r>
      <w:r w:rsidRPr="000749B2">
        <w:rPr>
          <w:rFonts w:ascii="Book Antiqua" w:hAnsi="Book Antiqua"/>
          <w:b/>
          <w:sz w:val="24"/>
          <w:szCs w:val="24"/>
        </w:rPr>
        <w:t>24</w:t>
      </w:r>
      <w:r w:rsidRPr="000749B2">
        <w:rPr>
          <w:rFonts w:ascii="Book Antiqua" w:hAnsi="Book Antiqua"/>
          <w:sz w:val="24"/>
          <w:szCs w:val="24"/>
        </w:rPr>
        <w:t>: 2595-2599 [PMID: 15517863]</w:t>
      </w:r>
    </w:p>
    <w:p w14:paraId="5E06C3C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99 </w:t>
      </w:r>
      <w:r w:rsidRPr="000749B2">
        <w:rPr>
          <w:rFonts w:ascii="Book Antiqua" w:hAnsi="Book Antiqua"/>
          <w:b/>
          <w:sz w:val="24"/>
          <w:szCs w:val="24"/>
        </w:rPr>
        <w:t>Ju J</w:t>
      </w:r>
      <w:r w:rsidRPr="000749B2">
        <w:rPr>
          <w:rFonts w:ascii="Book Antiqua" w:hAnsi="Book Antiqua"/>
          <w:sz w:val="24"/>
          <w:szCs w:val="24"/>
        </w:rPr>
        <w:t xml:space="preserve">, Nolan B, Cheh M, Bose M, Lin Y, Wagner GC, Yang CS. Voluntary exercise inhibits intestinal tumorigenesis in Apc(Min/+) mice and azoxymethane/dextran sulfate sodium-treated mice. </w:t>
      </w:r>
      <w:r w:rsidRPr="000749B2">
        <w:rPr>
          <w:rFonts w:ascii="Book Antiqua" w:hAnsi="Book Antiqua"/>
          <w:i/>
          <w:sz w:val="24"/>
          <w:szCs w:val="24"/>
        </w:rPr>
        <w:t>BMC Cancer</w:t>
      </w:r>
      <w:r w:rsidRPr="000749B2">
        <w:rPr>
          <w:rFonts w:ascii="Book Antiqua" w:hAnsi="Book Antiqua"/>
          <w:sz w:val="24"/>
          <w:szCs w:val="24"/>
        </w:rPr>
        <w:t xml:space="preserve"> 2008; </w:t>
      </w:r>
      <w:r w:rsidRPr="000749B2">
        <w:rPr>
          <w:rFonts w:ascii="Book Antiqua" w:hAnsi="Book Antiqua"/>
          <w:b/>
          <w:sz w:val="24"/>
          <w:szCs w:val="24"/>
        </w:rPr>
        <w:t>8</w:t>
      </w:r>
      <w:r w:rsidRPr="000749B2">
        <w:rPr>
          <w:rFonts w:ascii="Book Antiqua" w:hAnsi="Book Antiqua"/>
          <w:sz w:val="24"/>
          <w:szCs w:val="24"/>
        </w:rPr>
        <w:t>: 316 [PMID: 18976499 DOI: 10.1186/1471-2407-8-316]</w:t>
      </w:r>
    </w:p>
    <w:p w14:paraId="4490C8B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100 </w:t>
      </w:r>
      <w:r w:rsidRPr="000749B2">
        <w:rPr>
          <w:rFonts w:ascii="Book Antiqua" w:hAnsi="Book Antiqua"/>
          <w:b/>
          <w:sz w:val="24"/>
          <w:szCs w:val="24"/>
        </w:rPr>
        <w:t>Tanaka T</w:t>
      </w:r>
      <w:r w:rsidRPr="000749B2">
        <w:rPr>
          <w:rFonts w:ascii="Book Antiqua" w:hAnsi="Book Antiqua"/>
          <w:sz w:val="24"/>
          <w:szCs w:val="24"/>
        </w:rPr>
        <w:t xml:space="preserve">, Suzuki R, Kohno H, Sugie S, Takahashi M, Wakabayashi K. Colonic adenocarcinomas rapidly induced by the combined treatment with 2-amino-1-methyl-6-phenylimidazo[4,5-b]pyridine and dextran sodium sulfate in male ICR mice possess beta-catenin gene mutations and increases immunoreactivity for beta-catenin, cyclooxygenase-2 and inducible nitric oxide synthase. </w:t>
      </w:r>
      <w:r w:rsidRPr="000749B2">
        <w:rPr>
          <w:rFonts w:ascii="Book Antiqua" w:hAnsi="Book Antiqua"/>
          <w:i/>
          <w:sz w:val="24"/>
          <w:szCs w:val="24"/>
        </w:rPr>
        <w:t>Carcinogenesis</w:t>
      </w:r>
      <w:r w:rsidRPr="000749B2">
        <w:rPr>
          <w:rFonts w:ascii="Book Antiqua" w:hAnsi="Book Antiqua"/>
          <w:sz w:val="24"/>
          <w:szCs w:val="24"/>
        </w:rPr>
        <w:t xml:space="preserve"> 2005; </w:t>
      </w:r>
      <w:r w:rsidRPr="000749B2">
        <w:rPr>
          <w:rFonts w:ascii="Book Antiqua" w:hAnsi="Book Antiqua"/>
          <w:b/>
          <w:sz w:val="24"/>
          <w:szCs w:val="24"/>
        </w:rPr>
        <w:t>26</w:t>
      </w:r>
      <w:r w:rsidRPr="000749B2">
        <w:rPr>
          <w:rFonts w:ascii="Book Antiqua" w:hAnsi="Book Antiqua"/>
          <w:sz w:val="24"/>
          <w:szCs w:val="24"/>
        </w:rPr>
        <w:t>: 229-238 [PMID: 15459021 DOI: 10.1093/carcin/bgh292]</w:t>
      </w:r>
    </w:p>
    <w:p w14:paraId="0170C2C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101 </w:t>
      </w:r>
      <w:r w:rsidRPr="000749B2">
        <w:rPr>
          <w:rFonts w:ascii="Book Antiqua" w:hAnsi="Book Antiqua"/>
          <w:b/>
          <w:sz w:val="24"/>
          <w:szCs w:val="24"/>
        </w:rPr>
        <w:t>Jin D</w:t>
      </w:r>
      <w:r w:rsidRPr="000749B2">
        <w:rPr>
          <w:rFonts w:ascii="Book Antiqua" w:hAnsi="Book Antiqua"/>
          <w:sz w:val="24"/>
          <w:szCs w:val="24"/>
        </w:rPr>
        <w:t xml:space="preserve">, Liu T, Dong W, Zhang Y, Wang S, Xie R, Wang B, Cao H. Dietary feeding of freeze-dried whole cranberry inhibits intestinal tumor development in </w:t>
      </w:r>
      <w:r w:rsidRPr="000749B2">
        <w:rPr>
          <w:rFonts w:ascii="Book Antiqua" w:hAnsi="Book Antiqua"/>
          <w:i/>
          <w:sz w:val="24"/>
          <w:szCs w:val="24"/>
        </w:rPr>
        <w:t>Apc</w:t>
      </w:r>
      <w:r w:rsidRPr="000749B2">
        <w:rPr>
          <w:rFonts w:ascii="Book Antiqua" w:hAnsi="Book Antiqua"/>
          <w:sz w:val="24"/>
          <w:szCs w:val="24"/>
          <w:vertAlign w:val="superscript"/>
        </w:rPr>
        <w:t>min/+</w:t>
      </w:r>
      <w:r w:rsidRPr="000749B2">
        <w:rPr>
          <w:rFonts w:ascii="Book Antiqua" w:hAnsi="Book Antiqua"/>
          <w:sz w:val="24"/>
          <w:szCs w:val="24"/>
        </w:rPr>
        <w:t xml:space="preserve"> mice. </w:t>
      </w:r>
      <w:r w:rsidRPr="000749B2">
        <w:rPr>
          <w:rFonts w:ascii="Book Antiqua" w:hAnsi="Book Antiqua"/>
          <w:i/>
          <w:sz w:val="24"/>
          <w:szCs w:val="24"/>
        </w:rPr>
        <w:t>Oncotarget</w:t>
      </w:r>
      <w:r w:rsidRPr="000749B2">
        <w:rPr>
          <w:rFonts w:ascii="Book Antiqua" w:hAnsi="Book Antiqua"/>
          <w:sz w:val="24"/>
          <w:szCs w:val="24"/>
        </w:rPr>
        <w:t xml:space="preserve"> 2017; </w:t>
      </w:r>
      <w:r w:rsidRPr="000749B2">
        <w:rPr>
          <w:rFonts w:ascii="Book Antiqua" w:hAnsi="Book Antiqua"/>
          <w:b/>
          <w:sz w:val="24"/>
          <w:szCs w:val="24"/>
        </w:rPr>
        <w:t>8</w:t>
      </w:r>
      <w:r w:rsidRPr="000749B2">
        <w:rPr>
          <w:rFonts w:ascii="Book Antiqua" w:hAnsi="Book Antiqua"/>
          <w:sz w:val="24"/>
          <w:szCs w:val="24"/>
        </w:rPr>
        <w:t>: 97787-97800 [PMID: 29228651 DOI: 10.18632/oncotarget.22081]</w:t>
      </w:r>
    </w:p>
    <w:p w14:paraId="5DED7C9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102 </w:t>
      </w:r>
      <w:r w:rsidRPr="000749B2">
        <w:rPr>
          <w:rFonts w:ascii="Book Antiqua" w:hAnsi="Book Antiqua"/>
          <w:b/>
          <w:sz w:val="24"/>
          <w:szCs w:val="24"/>
        </w:rPr>
        <w:t>Ni Y</w:t>
      </w:r>
      <w:r w:rsidRPr="000749B2">
        <w:rPr>
          <w:rFonts w:ascii="Book Antiqua" w:hAnsi="Book Antiqua"/>
          <w:sz w:val="24"/>
          <w:szCs w:val="24"/>
        </w:rPr>
        <w:t xml:space="preserve">, Wong VH, Tai WC, Li J, Wong WY, Lee MM, Fong FL, El-Nezami H, Panagiotou G. A metagenomic study of the preventive effect of Lactobacillus </w:t>
      </w:r>
      <w:r w:rsidRPr="000749B2">
        <w:rPr>
          <w:rFonts w:ascii="Book Antiqua" w:hAnsi="Book Antiqua"/>
          <w:sz w:val="24"/>
          <w:szCs w:val="24"/>
        </w:rPr>
        <w:lastRenderedPageBreak/>
        <w:t>rhamnosus GG on intestinal polyp formation in Apc</w:t>
      </w:r>
      <w:r w:rsidRPr="000749B2">
        <w:rPr>
          <w:rFonts w:ascii="Book Antiqua" w:hAnsi="Book Antiqua"/>
          <w:sz w:val="24"/>
          <w:szCs w:val="24"/>
          <w:vertAlign w:val="superscript"/>
        </w:rPr>
        <w:t>Min/+</w:t>
      </w:r>
      <w:r w:rsidRPr="000749B2">
        <w:rPr>
          <w:rFonts w:ascii="Book Antiqua" w:hAnsi="Book Antiqua"/>
          <w:sz w:val="24"/>
          <w:szCs w:val="24"/>
        </w:rPr>
        <w:t xml:space="preserve"> mice. </w:t>
      </w:r>
      <w:r w:rsidRPr="000749B2">
        <w:rPr>
          <w:rFonts w:ascii="Book Antiqua" w:hAnsi="Book Antiqua"/>
          <w:i/>
          <w:sz w:val="24"/>
          <w:szCs w:val="24"/>
        </w:rPr>
        <w:t>J Appl Microbiol</w:t>
      </w:r>
      <w:r w:rsidRPr="000749B2">
        <w:rPr>
          <w:rFonts w:ascii="Book Antiqua" w:hAnsi="Book Antiqua"/>
          <w:sz w:val="24"/>
          <w:szCs w:val="24"/>
        </w:rPr>
        <w:t xml:space="preserve"> 2017; </w:t>
      </w:r>
      <w:r w:rsidRPr="000749B2">
        <w:rPr>
          <w:rFonts w:ascii="Book Antiqua" w:hAnsi="Book Antiqua"/>
          <w:b/>
          <w:sz w:val="24"/>
          <w:szCs w:val="24"/>
        </w:rPr>
        <w:t>122</w:t>
      </w:r>
      <w:r w:rsidRPr="000749B2">
        <w:rPr>
          <w:rFonts w:ascii="Book Antiqua" w:hAnsi="Book Antiqua"/>
          <w:sz w:val="24"/>
          <w:szCs w:val="24"/>
        </w:rPr>
        <w:t>: 770-784 [PMID: 28004480 DOI: 10.1111/jam.13386]</w:t>
      </w:r>
    </w:p>
    <w:p w14:paraId="7AD1E2C7" w14:textId="5E8ABFC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103 </w:t>
      </w:r>
      <w:r w:rsidRPr="000749B2">
        <w:rPr>
          <w:rFonts w:ascii="Book Antiqua" w:hAnsi="Book Antiqua"/>
          <w:b/>
          <w:sz w:val="24"/>
          <w:szCs w:val="24"/>
        </w:rPr>
        <w:t>Zhang L</w:t>
      </w:r>
      <w:r w:rsidRPr="000749B2">
        <w:rPr>
          <w:rFonts w:ascii="Book Antiqua" w:hAnsi="Book Antiqua"/>
          <w:sz w:val="24"/>
          <w:szCs w:val="24"/>
        </w:rPr>
        <w:t xml:space="preserve">, Shay JW. Multiple Roles of APC and its Therapeutic Implications in Colorectal Cancer. </w:t>
      </w:r>
      <w:r w:rsidRPr="000749B2">
        <w:rPr>
          <w:rFonts w:ascii="Book Antiqua" w:hAnsi="Book Antiqua"/>
          <w:i/>
          <w:sz w:val="24"/>
          <w:szCs w:val="24"/>
        </w:rPr>
        <w:t>J Natl Cancer Inst</w:t>
      </w:r>
      <w:r w:rsidRPr="000749B2">
        <w:rPr>
          <w:rFonts w:ascii="Book Antiqua" w:hAnsi="Book Antiqua"/>
          <w:sz w:val="24"/>
          <w:szCs w:val="24"/>
        </w:rPr>
        <w:t xml:space="preserve"> 2017; </w:t>
      </w:r>
      <w:r w:rsidRPr="000749B2">
        <w:rPr>
          <w:rFonts w:ascii="Book Antiqua" w:hAnsi="Book Antiqua"/>
          <w:b/>
          <w:sz w:val="24"/>
          <w:szCs w:val="24"/>
        </w:rPr>
        <w:t>109</w:t>
      </w:r>
      <w:r w:rsidRPr="000749B2">
        <w:rPr>
          <w:rFonts w:ascii="Book Antiqua" w:hAnsi="Book Antiqua"/>
          <w:sz w:val="24"/>
          <w:szCs w:val="24"/>
        </w:rPr>
        <w:t>:</w:t>
      </w:r>
      <w:r w:rsidR="004077FE" w:rsidRPr="000749B2">
        <w:rPr>
          <w:rFonts w:ascii="Book Antiqua" w:hAnsi="Book Antiqua"/>
          <w:sz w:val="24"/>
          <w:szCs w:val="24"/>
        </w:rPr>
        <w:t xml:space="preserve"> </w:t>
      </w:r>
      <w:r w:rsidRPr="000749B2">
        <w:rPr>
          <w:rFonts w:ascii="Book Antiqua" w:hAnsi="Book Antiqua"/>
          <w:sz w:val="24"/>
          <w:szCs w:val="24"/>
        </w:rPr>
        <w:t>[PMID: 28423402 DOI: 10.1093/jnci/djw332]</w:t>
      </w:r>
    </w:p>
    <w:p w14:paraId="60F5F8D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104 </w:t>
      </w:r>
      <w:r w:rsidRPr="000749B2">
        <w:rPr>
          <w:rFonts w:ascii="Book Antiqua" w:hAnsi="Book Antiqua"/>
          <w:b/>
          <w:sz w:val="24"/>
          <w:szCs w:val="24"/>
        </w:rPr>
        <w:t>Halberg RB</w:t>
      </w:r>
      <w:r w:rsidRPr="000749B2">
        <w:rPr>
          <w:rFonts w:ascii="Book Antiqua" w:hAnsi="Book Antiqua"/>
          <w:sz w:val="24"/>
          <w:szCs w:val="24"/>
        </w:rPr>
        <w:t xml:space="preserve">, Waggoner J, Rasmussen K, White A, Clipson L, Prunuske AJ, Bacher JW, Sullivan R, Washington MK, Pitot HC, Petrini JH, Albertson DG, Dove WF. Long-lived Min mice develop advanced intestinal cancers through a genetically conservative pathway. </w:t>
      </w:r>
      <w:r w:rsidRPr="000749B2">
        <w:rPr>
          <w:rFonts w:ascii="Book Antiqua" w:hAnsi="Book Antiqua"/>
          <w:i/>
          <w:sz w:val="24"/>
          <w:szCs w:val="24"/>
        </w:rPr>
        <w:t>Cancer Res</w:t>
      </w:r>
      <w:r w:rsidRPr="000749B2">
        <w:rPr>
          <w:rFonts w:ascii="Book Antiqua" w:hAnsi="Book Antiqua"/>
          <w:sz w:val="24"/>
          <w:szCs w:val="24"/>
        </w:rPr>
        <w:t xml:space="preserve"> 2009; </w:t>
      </w:r>
      <w:r w:rsidRPr="000749B2">
        <w:rPr>
          <w:rFonts w:ascii="Book Antiqua" w:hAnsi="Book Antiqua"/>
          <w:b/>
          <w:sz w:val="24"/>
          <w:szCs w:val="24"/>
        </w:rPr>
        <w:t>69</w:t>
      </w:r>
      <w:r w:rsidRPr="000749B2">
        <w:rPr>
          <w:rFonts w:ascii="Book Antiqua" w:hAnsi="Book Antiqua"/>
          <w:sz w:val="24"/>
          <w:szCs w:val="24"/>
        </w:rPr>
        <w:t>: 5768-5775 [PMID: 19584276 DOI: 10.1158/0008-5472.CAN-09-0446]</w:t>
      </w:r>
    </w:p>
    <w:p w14:paraId="5758E07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105 </w:t>
      </w:r>
      <w:r w:rsidRPr="000749B2">
        <w:rPr>
          <w:rFonts w:ascii="Book Antiqua" w:hAnsi="Book Antiqua"/>
          <w:b/>
          <w:sz w:val="24"/>
          <w:szCs w:val="24"/>
        </w:rPr>
        <w:t>Sødring M</w:t>
      </w:r>
      <w:r w:rsidRPr="000749B2">
        <w:rPr>
          <w:rFonts w:ascii="Book Antiqua" w:hAnsi="Book Antiqua"/>
          <w:sz w:val="24"/>
          <w:szCs w:val="24"/>
        </w:rPr>
        <w:t xml:space="preserve">, Gunnes G, Paulsen JE. Spontaneous initiation, promotion and progression of colorectal cancer in the novel A/J Min/+ mouse. </w:t>
      </w:r>
      <w:r w:rsidRPr="000749B2">
        <w:rPr>
          <w:rFonts w:ascii="Book Antiqua" w:hAnsi="Book Antiqua"/>
          <w:i/>
          <w:sz w:val="24"/>
          <w:szCs w:val="24"/>
        </w:rPr>
        <w:t>Int J Cancer</w:t>
      </w:r>
      <w:r w:rsidRPr="000749B2">
        <w:rPr>
          <w:rFonts w:ascii="Book Antiqua" w:hAnsi="Book Antiqua"/>
          <w:sz w:val="24"/>
          <w:szCs w:val="24"/>
        </w:rPr>
        <w:t xml:space="preserve"> 2016; </w:t>
      </w:r>
      <w:r w:rsidRPr="000749B2">
        <w:rPr>
          <w:rFonts w:ascii="Book Antiqua" w:hAnsi="Book Antiqua"/>
          <w:b/>
          <w:sz w:val="24"/>
          <w:szCs w:val="24"/>
        </w:rPr>
        <w:t>138</w:t>
      </w:r>
      <w:r w:rsidRPr="000749B2">
        <w:rPr>
          <w:rFonts w:ascii="Book Antiqua" w:hAnsi="Book Antiqua"/>
          <w:sz w:val="24"/>
          <w:szCs w:val="24"/>
        </w:rPr>
        <w:t>: 1936-1946 [PMID: 26566853 DOI: 10.1002/ijc.29928]</w:t>
      </w:r>
    </w:p>
    <w:p w14:paraId="07A83F8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106 </w:t>
      </w:r>
      <w:r w:rsidRPr="000749B2">
        <w:rPr>
          <w:rFonts w:ascii="Book Antiqua" w:hAnsi="Book Antiqua"/>
          <w:b/>
          <w:sz w:val="24"/>
          <w:szCs w:val="24"/>
        </w:rPr>
        <w:t>Fodde R</w:t>
      </w:r>
      <w:r w:rsidRPr="000749B2">
        <w:rPr>
          <w:rFonts w:ascii="Book Antiqua" w:hAnsi="Book Antiqua"/>
          <w:sz w:val="24"/>
          <w:szCs w:val="24"/>
        </w:rPr>
        <w:t xml:space="preserve">, Edelmann W, Yang K, van Leeuwen C, Carlson C, Renault B, Breukel C, Alt E, Lipkin M, Khan PM. A targeted chain-termination mutation in the mouse Apc gene results in multiple intestinal tumors. </w:t>
      </w:r>
      <w:r w:rsidRPr="000749B2">
        <w:rPr>
          <w:rFonts w:ascii="Book Antiqua" w:hAnsi="Book Antiqua"/>
          <w:i/>
          <w:sz w:val="24"/>
          <w:szCs w:val="24"/>
        </w:rPr>
        <w:t>Proc Natl Acad Sci U S A</w:t>
      </w:r>
      <w:r w:rsidRPr="000749B2">
        <w:rPr>
          <w:rFonts w:ascii="Book Antiqua" w:hAnsi="Book Antiqua"/>
          <w:sz w:val="24"/>
          <w:szCs w:val="24"/>
        </w:rPr>
        <w:t xml:space="preserve"> 1994; </w:t>
      </w:r>
      <w:r w:rsidRPr="000749B2">
        <w:rPr>
          <w:rFonts w:ascii="Book Antiqua" w:hAnsi="Book Antiqua"/>
          <w:b/>
          <w:sz w:val="24"/>
          <w:szCs w:val="24"/>
        </w:rPr>
        <w:t>91</w:t>
      </w:r>
      <w:r w:rsidRPr="000749B2">
        <w:rPr>
          <w:rFonts w:ascii="Book Antiqua" w:hAnsi="Book Antiqua"/>
          <w:sz w:val="24"/>
          <w:szCs w:val="24"/>
        </w:rPr>
        <w:t>: 8969-8973 [PMID: 8090754 DOI: 10.1073/pnas.91.19.8969]</w:t>
      </w:r>
    </w:p>
    <w:p w14:paraId="5C9AC38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107 </w:t>
      </w:r>
      <w:r w:rsidRPr="000749B2">
        <w:rPr>
          <w:rFonts w:ascii="Book Antiqua" w:hAnsi="Book Antiqua"/>
          <w:b/>
          <w:sz w:val="24"/>
          <w:szCs w:val="24"/>
        </w:rPr>
        <w:t>Smits R</w:t>
      </w:r>
      <w:r w:rsidRPr="000749B2">
        <w:rPr>
          <w:rFonts w:ascii="Book Antiqua" w:hAnsi="Book Antiqua"/>
          <w:sz w:val="24"/>
          <w:szCs w:val="24"/>
        </w:rPr>
        <w:t xml:space="preserve">, Kartheuser A, Jagmohan-Changur S, Leblanc V, Breukel C, de Vries A, van Kranen H, van Krieken JH, Williamson S, Edelmann W, Kucherlapati R, KhanPM, Fodde R. Loss of Apc and the entire chromosome 18 but absence of mutations at the Ras and Tp53 genes in intestinal tumors from Apc1638N, a mouse model for Apc-driven carcinogenesis. </w:t>
      </w:r>
      <w:r w:rsidRPr="000749B2">
        <w:rPr>
          <w:rFonts w:ascii="Book Antiqua" w:hAnsi="Book Antiqua"/>
          <w:i/>
          <w:sz w:val="24"/>
          <w:szCs w:val="24"/>
        </w:rPr>
        <w:t>Carcinogenesis</w:t>
      </w:r>
      <w:r w:rsidRPr="000749B2">
        <w:rPr>
          <w:rFonts w:ascii="Book Antiqua" w:hAnsi="Book Antiqua"/>
          <w:sz w:val="24"/>
          <w:szCs w:val="24"/>
        </w:rPr>
        <w:t xml:space="preserve"> 1997; </w:t>
      </w:r>
      <w:r w:rsidRPr="000749B2">
        <w:rPr>
          <w:rFonts w:ascii="Book Antiqua" w:hAnsi="Book Antiqua"/>
          <w:b/>
          <w:sz w:val="24"/>
          <w:szCs w:val="24"/>
        </w:rPr>
        <w:t>18</w:t>
      </w:r>
      <w:r w:rsidRPr="000749B2">
        <w:rPr>
          <w:rFonts w:ascii="Book Antiqua" w:hAnsi="Book Antiqua"/>
          <w:sz w:val="24"/>
          <w:szCs w:val="24"/>
        </w:rPr>
        <w:t>: 321-327 [PMID: 9054624 DOI: 10.1093/carcin/18.2.321]</w:t>
      </w:r>
    </w:p>
    <w:p w14:paraId="384C4B4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108 </w:t>
      </w:r>
      <w:r w:rsidRPr="000749B2">
        <w:rPr>
          <w:rFonts w:ascii="Book Antiqua" w:hAnsi="Book Antiqua"/>
          <w:b/>
          <w:sz w:val="24"/>
          <w:szCs w:val="24"/>
        </w:rPr>
        <w:t>Oshima M</w:t>
      </w:r>
      <w:r w:rsidRPr="000749B2">
        <w:rPr>
          <w:rFonts w:ascii="Book Antiqua" w:hAnsi="Book Antiqua"/>
          <w:sz w:val="24"/>
          <w:szCs w:val="24"/>
        </w:rPr>
        <w:t xml:space="preserve">, Oshima H, Kitagawa K, Kobayashi M, Itakura C, Taketo M. Loss of Apc heterozygosity and abnormal tissue building in nascent intestinal polyps in mice carrying a truncated Apc gene. </w:t>
      </w:r>
      <w:r w:rsidRPr="000749B2">
        <w:rPr>
          <w:rFonts w:ascii="Book Antiqua" w:hAnsi="Book Antiqua"/>
          <w:i/>
          <w:sz w:val="24"/>
          <w:szCs w:val="24"/>
        </w:rPr>
        <w:t>Proc Natl Acad Sci U S A</w:t>
      </w:r>
      <w:r w:rsidRPr="000749B2">
        <w:rPr>
          <w:rFonts w:ascii="Book Antiqua" w:hAnsi="Book Antiqua"/>
          <w:sz w:val="24"/>
          <w:szCs w:val="24"/>
        </w:rPr>
        <w:t xml:space="preserve"> 1995; </w:t>
      </w:r>
      <w:r w:rsidRPr="000749B2">
        <w:rPr>
          <w:rFonts w:ascii="Book Antiqua" w:hAnsi="Book Antiqua"/>
          <w:b/>
          <w:sz w:val="24"/>
          <w:szCs w:val="24"/>
        </w:rPr>
        <w:t>92</w:t>
      </w:r>
      <w:r w:rsidRPr="000749B2">
        <w:rPr>
          <w:rFonts w:ascii="Book Antiqua" w:hAnsi="Book Antiqua"/>
          <w:sz w:val="24"/>
          <w:szCs w:val="24"/>
        </w:rPr>
        <w:t>: 4482-4486 [PMID: 7753829 DOI: 10.1073/pnas.92.10.4482]</w:t>
      </w:r>
    </w:p>
    <w:p w14:paraId="61F04A2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109 </w:t>
      </w:r>
      <w:r w:rsidRPr="000749B2">
        <w:rPr>
          <w:rFonts w:ascii="Book Antiqua" w:hAnsi="Book Antiqua"/>
          <w:b/>
          <w:sz w:val="24"/>
          <w:szCs w:val="24"/>
        </w:rPr>
        <w:t>Crist RC</w:t>
      </w:r>
      <w:r w:rsidRPr="000749B2">
        <w:rPr>
          <w:rFonts w:ascii="Book Antiqua" w:hAnsi="Book Antiqua"/>
          <w:sz w:val="24"/>
          <w:szCs w:val="24"/>
        </w:rPr>
        <w:t xml:space="preserve">, Roth JJ, Baran AA, McEntee BJ, Siracusa LD, Buchberg AM. The armadillo repeat domain of Apc suppresses intestinal tumorigenesis. </w:t>
      </w:r>
      <w:r w:rsidRPr="000749B2">
        <w:rPr>
          <w:rFonts w:ascii="Book Antiqua" w:hAnsi="Book Antiqua"/>
          <w:i/>
          <w:sz w:val="24"/>
          <w:szCs w:val="24"/>
        </w:rPr>
        <w:t>Mamm Genome</w:t>
      </w:r>
      <w:r w:rsidRPr="000749B2">
        <w:rPr>
          <w:rFonts w:ascii="Book Antiqua" w:hAnsi="Book Antiqua"/>
          <w:sz w:val="24"/>
          <w:szCs w:val="24"/>
        </w:rPr>
        <w:t xml:space="preserve"> 2010; </w:t>
      </w:r>
      <w:r w:rsidRPr="000749B2">
        <w:rPr>
          <w:rFonts w:ascii="Book Antiqua" w:hAnsi="Book Antiqua"/>
          <w:b/>
          <w:sz w:val="24"/>
          <w:szCs w:val="24"/>
        </w:rPr>
        <w:t>21</w:t>
      </w:r>
      <w:r w:rsidRPr="000749B2">
        <w:rPr>
          <w:rFonts w:ascii="Book Antiqua" w:hAnsi="Book Antiqua"/>
          <w:sz w:val="24"/>
          <w:szCs w:val="24"/>
        </w:rPr>
        <w:t>: 450-457 [PMID: 20886217 DOI: 10.1007/s00335-010-9288-0]</w:t>
      </w:r>
    </w:p>
    <w:p w14:paraId="5A592A2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110 </w:t>
      </w:r>
      <w:r w:rsidRPr="000749B2">
        <w:rPr>
          <w:rFonts w:ascii="Book Antiqua" w:hAnsi="Book Antiqua"/>
          <w:b/>
          <w:sz w:val="24"/>
          <w:szCs w:val="24"/>
        </w:rPr>
        <w:t>Colnot S</w:t>
      </w:r>
      <w:r w:rsidRPr="000749B2">
        <w:rPr>
          <w:rFonts w:ascii="Book Antiqua" w:hAnsi="Book Antiqua"/>
          <w:sz w:val="24"/>
          <w:szCs w:val="24"/>
        </w:rPr>
        <w:t xml:space="preserve">, Niwa-Kawakita M, Hamard G, Godard C, Le Plenier S, Houbron C, Romagnolo B, Berrebi D, Giovannini M, Perret C. Colorectal cancers in a new mouse model of familial adenomatous polyposis: influence of genetic and environmental modifiers. </w:t>
      </w:r>
      <w:r w:rsidRPr="000749B2">
        <w:rPr>
          <w:rFonts w:ascii="Book Antiqua" w:hAnsi="Book Antiqua"/>
          <w:i/>
          <w:sz w:val="24"/>
          <w:szCs w:val="24"/>
        </w:rPr>
        <w:t>Lab Invest</w:t>
      </w:r>
      <w:r w:rsidRPr="000749B2">
        <w:rPr>
          <w:rFonts w:ascii="Book Antiqua" w:hAnsi="Book Antiqua"/>
          <w:sz w:val="24"/>
          <w:szCs w:val="24"/>
        </w:rPr>
        <w:t xml:space="preserve"> 2004; </w:t>
      </w:r>
      <w:r w:rsidRPr="000749B2">
        <w:rPr>
          <w:rFonts w:ascii="Book Antiqua" w:hAnsi="Book Antiqua"/>
          <w:b/>
          <w:sz w:val="24"/>
          <w:szCs w:val="24"/>
        </w:rPr>
        <w:t>84</w:t>
      </w:r>
      <w:r w:rsidRPr="000749B2">
        <w:rPr>
          <w:rFonts w:ascii="Book Antiqua" w:hAnsi="Book Antiqua"/>
          <w:sz w:val="24"/>
          <w:szCs w:val="24"/>
        </w:rPr>
        <w:t>: 1619-1630 [PMID: 15502862 DOI: 10.1038/labinvest.3700180]</w:t>
      </w:r>
    </w:p>
    <w:p w14:paraId="29B2392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111 </w:t>
      </w:r>
      <w:r w:rsidRPr="000749B2">
        <w:rPr>
          <w:rFonts w:ascii="Book Antiqua" w:hAnsi="Book Antiqua"/>
          <w:b/>
          <w:sz w:val="24"/>
          <w:szCs w:val="24"/>
        </w:rPr>
        <w:t>Fazeli A</w:t>
      </w:r>
      <w:r w:rsidRPr="000749B2">
        <w:rPr>
          <w:rFonts w:ascii="Book Antiqua" w:hAnsi="Book Antiqua"/>
          <w:sz w:val="24"/>
          <w:szCs w:val="24"/>
        </w:rPr>
        <w:t xml:space="preserve">, Steen RG, Dickinson SL, Bautista D, Dietrich WF, Bronson RT, Bresalier RS, Lander ES, Costa J, Weinberg RA. Effects of p53 mutations on apoptosis in mouse intestinal and human colonic adenomas. </w:t>
      </w:r>
      <w:r w:rsidRPr="000749B2">
        <w:rPr>
          <w:rFonts w:ascii="Book Antiqua" w:hAnsi="Book Antiqua"/>
          <w:i/>
          <w:sz w:val="24"/>
          <w:szCs w:val="24"/>
        </w:rPr>
        <w:t>Proc Natl Acad Sci U S A</w:t>
      </w:r>
      <w:r w:rsidRPr="000749B2">
        <w:rPr>
          <w:rFonts w:ascii="Book Antiqua" w:hAnsi="Book Antiqua"/>
          <w:sz w:val="24"/>
          <w:szCs w:val="24"/>
        </w:rPr>
        <w:t xml:space="preserve"> 1997; </w:t>
      </w:r>
      <w:r w:rsidRPr="000749B2">
        <w:rPr>
          <w:rFonts w:ascii="Book Antiqua" w:hAnsi="Book Antiqua"/>
          <w:b/>
          <w:sz w:val="24"/>
          <w:szCs w:val="24"/>
        </w:rPr>
        <w:t>94</w:t>
      </w:r>
      <w:r w:rsidRPr="000749B2">
        <w:rPr>
          <w:rFonts w:ascii="Book Antiqua" w:hAnsi="Book Antiqua"/>
          <w:sz w:val="24"/>
          <w:szCs w:val="24"/>
        </w:rPr>
        <w:t>: 10199-10204 [PMID: 9294187 DOI: 10.1073/pnas.94.19.10199]</w:t>
      </w:r>
    </w:p>
    <w:p w14:paraId="3546C4F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112 </w:t>
      </w:r>
      <w:r w:rsidRPr="000749B2">
        <w:rPr>
          <w:rFonts w:ascii="Book Antiqua" w:hAnsi="Book Antiqua"/>
          <w:b/>
          <w:sz w:val="24"/>
          <w:szCs w:val="24"/>
        </w:rPr>
        <w:t>Clarke AR</w:t>
      </w:r>
      <w:r w:rsidRPr="000749B2">
        <w:rPr>
          <w:rFonts w:ascii="Book Antiqua" w:hAnsi="Book Antiqua"/>
          <w:sz w:val="24"/>
          <w:szCs w:val="24"/>
        </w:rPr>
        <w:t xml:space="preserve">, Cummings MC, Harrison DJ. Interaction between murine germline mutations in p53 and APC predisposes to pancreatic neoplasia but not to increased intestinal malignancy. </w:t>
      </w:r>
      <w:r w:rsidRPr="000749B2">
        <w:rPr>
          <w:rFonts w:ascii="Book Antiqua" w:hAnsi="Book Antiqua"/>
          <w:i/>
          <w:sz w:val="24"/>
          <w:szCs w:val="24"/>
        </w:rPr>
        <w:t>Oncogene</w:t>
      </w:r>
      <w:r w:rsidRPr="000749B2">
        <w:rPr>
          <w:rFonts w:ascii="Book Antiqua" w:hAnsi="Book Antiqua"/>
          <w:sz w:val="24"/>
          <w:szCs w:val="24"/>
        </w:rPr>
        <w:t xml:space="preserve"> 1995; </w:t>
      </w:r>
      <w:r w:rsidRPr="000749B2">
        <w:rPr>
          <w:rFonts w:ascii="Book Antiqua" w:hAnsi="Book Antiqua"/>
          <w:b/>
          <w:sz w:val="24"/>
          <w:szCs w:val="24"/>
        </w:rPr>
        <w:t>11</w:t>
      </w:r>
      <w:r w:rsidRPr="000749B2">
        <w:rPr>
          <w:rFonts w:ascii="Book Antiqua" w:hAnsi="Book Antiqua"/>
          <w:sz w:val="24"/>
          <w:szCs w:val="24"/>
        </w:rPr>
        <w:t>: 1913-1920 [PMID: 7478622]</w:t>
      </w:r>
    </w:p>
    <w:p w14:paraId="76FE012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113 </w:t>
      </w:r>
      <w:r w:rsidRPr="000749B2">
        <w:rPr>
          <w:rFonts w:ascii="Book Antiqua" w:hAnsi="Book Antiqua"/>
          <w:b/>
          <w:sz w:val="24"/>
          <w:szCs w:val="24"/>
        </w:rPr>
        <w:t>Halberg RB</w:t>
      </w:r>
      <w:r w:rsidRPr="000749B2">
        <w:rPr>
          <w:rFonts w:ascii="Book Antiqua" w:hAnsi="Book Antiqua"/>
          <w:sz w:val="24"/>
          <w:szCs w:val="24"/>
        </w:rPr>
        <w:t xml:space="preserve">, Katzung DS, Hoff PD, Moser AR, Cole CE, Lubet RA, Donehower LA, Jacoby RF, Dove WF. Tumorigenesis in the multiple intestinal neoplasia mouse: redundancy of negative regulators and specificity of modifiers. </w:t>
      </w:r>
      <w:r w:rsidRPr="000749B2">
        <w:rPr>
          <w:rFonts w:ascii="Book Antiqua" w:hAnsi="Book Antiqua"/>
          <w:i/>
          <w:sz w:val="24"/>
          <w:szCs w:val="24"/>
        </w:rPr>
        <w:t>Proc Natl Acad Sci U S A</w:t>
      </w:r>
      <w:r w:rsidRPr="000749B2">
        <w:rPr>
          <w:rFonts w:ascii="Book Antiqua" w:hAnsi="Book Antiqua"/>
          <w:sz w:val="24"/>
          <w:szCs w:val="24"/>
        </w:rPr>
        <w:t xml:space="preserve"> 2000; </w:t>
      </w:r>
      <w:r w:rsidRPr="000749B2">
        <w:rPr>
          <w:rFonts w:ascii="Book Antiqua" w:hAnsi="Book Antiqua"/>
          <w:b/>
          <w:sz w:val="24"/>
          <w:szCs w:val="24"/>
        </w:rPr>
        <w:t>97</w:t>
      </w:r>
      <w:r w:rsidRPr="000749B2">
        <w:rPr>
          <w:rFonts w:ascii="Book Antiqua" w:hAnsi="Book Antiqua"/>
          <w:sz w:val="24"/>
          <w:szCs w:val="24"/>
        </w:rPr>
        <w:t>: 3461-3466 [PMID: 10716720 DOI: 10.1073/pnas.050585597]</w:t>
      </w:r>
    </w:p>
    <w:p w14:paraId="097E35F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114 </w:t>
      </w:r>
      <w:r w:rsidRPr="000749B2">
        <w:rPr>
          <w:rFonts w:ascii="Book Antiqua" w:hAnsi="Book Antiqua"/>
          <w:b/>
          <w:sz w:val="24"/>
          <w:szCs w:val="24"/>
        </w:rPr>
        <w:t>Maslon MM</w:t>
      </w:r>
      <w:r w:rsidRPr="000749B2">
        <w:rPr>
          <w:rFonts w:ascii="Book Antiqua" w:hAnsi="Book Antiqua"/>
          <w:sz w:val="24"/>
          <w:szCs w:val="24"/>
        </w:rPr>
        <w:t xml:space="preserve">, Hupp TR. Drug discovery and mutant p53. </w:t>
      </w:r>
      <w:r w:rsidRPr="000749B2">
        <w:rPr>
          <w:rFonts w:ascii="Book Antiqua" w:hAnsi="Book Antiqua"/>
          <w:i/>
          <w:sz w:val="24"/>
          <w:szCs w:val="24"/>
        </w:rPr>
        <w:t>Trends Cell Biol</w:t>
      </w:r>
      <w:r w:rsidRPr="000749B2">
        <w:rPr>
          <w:rFonts w:ascii="Book Antiqua" w:hAnsi="Book Antiqua"/>
          <w:sz w:val="24"/>
          <w:szCs w:val="24"/>
        </w:rPr>
        <w:t xml:space="preserve"> 2010; </w:t>
      </w:r>
      <w:r w:rsidRPr="000749B2">
        <w:rPr>
          <w:rFonts w:ascii="Book Antiqua" w:hAnsi="Book Antiqua"/>
          <w:b/>
          <w:sz w:val="24"/>
          <w:szCs w:val="24"/>
        </w:rPr>
        <w:t>20</w:t>
      </w:r>
      <w:r w:rsidRPr="000749B2">
        <w:rPr>
          <w:rFonts w:ascii="Book Antiqua" w:hAnsi="Book Antiqua"/>
          <w:sz w:val="24"/>
          <w:szCs w:val="24"/>
        </w:rPr>
        <w:t>: 542-555 [PMID: 20656489 DOI: 10.1016/j.tcb.2010.06.005]</w:t>
      </w:r>
    </w:p>
    <w:p w14:paraId="49E8283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115 </w:t>
      </w:r>
      <w:r w:rsidRPr="000749B2">
        <w:rPr>
          <w:rFonts w:ascii="Book Antiqua" w:hAnsi="Book Antiqua"/>
          <w:b/>
          <w:sz w:val="24"/>
          <w:szCs w:val="24"/>
        </w:rPr>
        <w:t>Billant O</w:t>
      </w:r>
      <w:r w:rsidRPr="000749B2">
        <w:rPr>
          <w:rFonts w:ascii="Book Antiqua" w:hAnsi="Book Antiqua"/>
          <w:sz w:val="24"/>
          <w:szCs w:val="24"/>
        </w:rPr>
        <w:t xml:space="preserve">, Léon A, Le Guellec S, Friocourt G, Blondel M, Voisset C. The dominant-negative interplay between p53, p63 and p73: A family affair. </w:t>
      </w:r>
      <w:r w:rsidRPr="000749B2">
        <w:rPr>
          <w:rFonts w:ascii="Book Antiqua" w:hAnsi="Book Antiqua"/>
          <w:i/>
          <w:sz w:val="24"/>
          <w:szCs w:val="24"/>
        </w:rPr>
        <w:t>Oncotarget</w:t>
      </w:r>
      <w:r w:rsidRPr="000749B2">
        <w:rPr>
          <w:rFonts w:ascii="Book Antiqua" w:hAnsi="Book Antiqua"/>
          <w:sz w:val="24"/>
          <w:szCs w:val="24"/>
        </w:rPr>
        <w:t xml:space="preserve"> 2016; </w:t>
      </w:r>
      <w:r w:rsidRPr="000749B2">
        <w:rPr>
          <w:rFonts w:ascii="Book Antiqua" w:hAnsi="Book Antiqua"/>
          <w:b/>
          <w:sz w:val="24"/>
          <w:szCs w:val="24"/>
        </w:rPr>
        <w:t>7</w:t>
      </w:r>
      <w:r w:rsidRPr="000749B2">
        <w:rPr>
          <w:rFonts w:ascii="Book Antiqua" w:hAnsi="Book Antiqua"/>
          <w:sz w:val="24"/>
          <w:szCs w:val="24"/>
        </w:rPr>
        <w:t>: 69549-69564 [PMID: 27589690 DOI: 10.18632/oncotarget.11774]</w:t>
      </w:r>
    </w:p>
    <w:p w14:paraId="6A5B41E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116 </w:t>
      </w:r>
      <w:r w:rsidRPr="000749B2">
        <w:rPr>
          <w:rFonts w:ascii="Book Antiqua" w:hAnsi="Book Antiqua"/>
          <w:b/>
          <w:sz w:val="24"/>
          <w:szCs w:val="24"/>
        </w:rPr>
        <w:t>Tuveson DA</w:t>
      </w:r>
      <w:r w:rsidRPr="000749B2">
        <w:rPr>
          <w:rFonts w:ascii="Book Antiqua" w:hAnsi="Book Antiqua"/>
          <w:sz w:val="24"/>
          <w:szCs w:val="24"/>
        </w:rPr>
        <w:t xml:space="preserve">, Shaw AT, Willis NA, Silver DP, Jackson EL, Chang S, Mercer KL, Grochow R, Hock H, Crowley D, Hingorani SR, Zaks T, King C, Jacobetz MA, Wang L, Bronson RT, Orkin SH, DePinho RA, Jacks T. Endogenous oncogenic K-ras(G12D) stimulates proliferation and widespread neoplastic and developmental defects. </w:t>
      </w:r>
      <w:r w:rsidRPr="000749B2">
        <w:rPr>
          <w:rFonts w:ascii="Book Antiqua" w:hAnsi="Book Antiqua"/>
          <w:i/>
          <w:sz w:val="24"/>
          <w:szCs w:val="24"/>
        </w:rPr>
        <w:t>Cancer Cell</w:t>
      </w:r>
      <w:r w:rsidRPr="000749B2">
        <w:rPr>
          <w:rFonts w:ascii="Book Antiqua" w:hAnsi="Book Antiqua"/>
          <w:sz w:val="24"/>
          <w:szCs w:val="24"/>
        </w:rPr>
        <w:t xml:space="preserve"> 2004; </w:t>
      </w:r>
      <w:r w:rsidRPr="000749B2">
        <w:rPr>
          <w:rFonts w:ascii="Book Antiqua" w:hAnsi="Book Antiqua"/>
          <w:b/>
          <w:sz w:val="24"/>
          <w:szCs w:val="24"/>
        </w:rPr>
        <w:t>5</w:t>
      </w:r>
      <w:r w:rsidRPr="000749B2">
        <w:rPr>
          <w:rFonts w:ascii="Book Antiqua" w:hAnsi="Book Antiqua"/>
          <w:sz w:val="24"/>
          <w:szCs w:val="24"/>
        </w:rPr>
        <w:t>: 375-387 [PMID: 15093544 DOI: 10.1016/s1535-6108(04)00085-6]</w:t>
      </w:r>
    </w:p>
    <w:p w14:paraId="49FD4F0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117 </w:t>
      </w:r>
      <w:r w:rsidRPr="000749B2">
        <w:rPr>
          <w:rFonts w:ascii="Book Antiqua" w:hAnsi="Book Antiqua"/>
          <w:b/>
          <w:sz w:val="24"/>
          <w:szCs w:val="24"/>
        </w:rPr>
        <w:t>Guerra C</w:t>
      </w:r>
      <w:r w:rsidRPr="000749B2">
        <w:rPr>
          <w:rFonts w:ascii="Book Antiqua" w:hAnsi="Book Antiqua"/>
          <w:sz w:val="24"/>
          <w:szCs w:val="24"/>
        </w:rPr>
        <w:t xml:space="preserve">, Mijimolle N, Dhawahir A, Dubus P, Barradas M, Serrano M, Campuzano V, Barbacid M. Tumor induction by an endogenous K-ras oncogene is highly dependent on cellular context. </w:t>
      </w:r>
      <w:r w:rsidRPr="000749B2">
        <w:rPr>
          <w:rFonts w:ascii="Book Antiqua" w:hAnsi="Book Antiqua"/>
          <w:i/>
          <w:sz w:val="24"/>
          <w:szCs w:val="24"/>
        </w:rPr>
        <w:t>Cancer Cell</w:t>
      </w:r>
      <w:r w:rsidRPr="000749B2">
        <w:rPr>
          <w:rFonts w:ascii="Book Antiqua" w:hAnsi="Book Antiqua"/>
          <w:sz w:val="24"/>
          <w:szCs w:val="24"/>
        </w:rPr>
        <w:t xml:space="preserve"> 2003; </w:t>
      </w:r>
      <w:r w:rsidRPr="000749B2">
        <w:rPr>
          <w:rFonts w:ascii="Book Antiqua" w:hAnsi="Book Antiqua"/>
          <w:b/>
          <w:sz w:val="24"/>
          <w:szCs w:val="24"/>
        </w:rPr>
        <w:t>4</w:t>
      </w:r>
      <w:r w:rsidRPr="000749B2">
        <w:rPr>
          <w:rFonts w:ascii="Book Antiqua" w:hAnsi="Book Antiqua"/>
          <w:sz w:val="24"/>
          <w:szCs w:val="24"/>
        </w:rPr>
        <w:t>: 111-120 [PMID: 12957286 DOI: 10.1016/s1535-6108(03)00191-0]</w:t>
      </w:r>
    </w:p>
    <w:p w14:paraId="15CCC9C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118 </w:t>
      </w:r>
      <w:r w:rsidRPr="000749B2">
        <w:rPr>
          <w:rFonts w:ascii="Book Antiqua" w:hAnsi="Book Antiqua"/>
          <w:b/>
          <w:sz w:val="24"/>
          <w:szCs w:val="24"/>
        </w:rPr>
        <w:t>el Marjou F</w:t>
      </w:r>
      <w:r w:rsidRPr="000749B2">
        <w:rPr>
          <w:rFonts w:ascii="Book Antiqua" w:hAnsi="Book Antiqua"/>
          <w:sz w:val="24"/>
          <w:szCs w:val="24"/>
        </w:rPr>
        <w:t xml:space="preserve">, Janssen KP, Chang BH, Li M, Hindie V, Chan L, Louvard D, Chambon P, Metzger D, Robine S. Tissue-specific and inducible Cre-mediated recombination in the gut epithelium. </w:t>
      </w:r>
      <w:r w:rsidRPr="000749B2">
        <w:rPr>
          <w:rFonts w:ascii="Book Antiqua" w:hAnsi="Book Antiqua"/>
          <w:i/>
          <w:sz w:val="24"/>
          <w:szCs w:val="24"/>
        </w:rPr>
        <w:t>Genesis</w:t>
      </w:r>
      <w:r w:rsidRPr="000749B2">
        <w:rPr>
          <w:rFonts w:ascii="Book Antiqua" w:hAnsi="Book Antiqua"/>
          <w:sz w:val="24"/>
          <w:szCs w:val="24"/>
        </w:rPr>
        <w:t xml:space="preserve"> 2004; </w:t>
      </w:r>
      <w:r w:rsidRPr="000749B2">
        <w:rPr>
          <w:rFonts w:ascii="Book Antiqua" w:hAnsi="Book Antiqua"/>
          <w:b/>
          <w:sz w:val="24"/>
          <w:szCs w:val="24"/>
        </w:rPr>
        <w:t>39</w:t>
      </w:r>
      <w:r w:rsidRPr="000749B2">
        <w:rPr>
          <w:rFonts w:ascii="Book Antiqua" w:hAnsi="Book Antiqua"/>
          <w:sz w:val="24"/>
          <w:szCs w:val="24"/>
        </w:rPr>
        <w:t>: 186-193 [PMID: 15282745 DOI: 10.1002/gene.20042]</w:t>
      </w:r>
    </w:p>
    <w:p w14:paraId="6C64DCA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119 </w:t>
      </w:r>
      <w:r w:rsidRPr="000749B2">
        <w:rPr>
          <w:rFonts w:ascii="Book Antiqua" w:hAnsi="Book Antiqua"/>
          <w:b/>
          <w:sz w:val="24"/>
          <w:szCs w:val="24"/>
        </w:rPr>
        <w:t>Saam JR</w:t>
      </w:r>
      <w:r w:rsidRPr="000749B2">
        <w:rPr>
          <w:rFonts w:ascii="Book Antiqua" w:hAnsi="Book Antiqua"/>
          <w:sz w:val="24"/>
          <w:szCs w:val="24"/>
        </w:rPr>
        <w:t xml:space="preserve">, Gordon JI. Inducible gene knockouts in the small intestinal and colonic epithelium. </w:t>
      </w:r>
      <w:r w:rsidRPr="000749B2">
        <w:rPr>
          <w:rFonts w:ascii="Book Antiqua" w:hAnsi="Book Antiqua"/>
          <w:i/>
          <w:sz w:val="24"/>
          <w:szCs w:val="24"/>
        </w:rPr>
        <w:t>J Biol Chem</w:t>
      </w:r>
      <w:r w:rsidRPr="000749B2">
        <w:rPr>
          <w:rFonts w:ascii="Book Antiqua" w:hAnsi="Book Antiqua"/>
          <w:sz w:val="24"/>
          <w:szCs w:val="24"/>
        </w:rPr>
        <w:t xml:space="preserve"> 1999; </w:t>
      </w:r>
      <w:r w:rsidRPr="000749B2">
        <w:rPr>
          <w:rFonts w:ascii="Book Antiqua" w:hAnsi="Book Antiqua"/>
          <w:b/>
          <w:sz w:val="24"/>
          <w:szCs w:val="24"/>
        </w:rPr>
        <w:t>274</w:t>
      </w:r>
      <w:r w:rsidRPr="000749B2">
        <w:rPr>
          <w:rFonts w:ascii="Book Antiqua" w:hAnsi="Book Antiqua"/>
          <w:sz w:val="24"/>
          <w:szCs w:val="24"/>
        </w:rPr>
        <w:t>: 38071-38082 [PMID: 10608876 DOI: 10.1074/jbc.274.53.38071]</w:t>
      </w:r>
    </w:p>
    <w:p w14:paraId="747125C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120 </w:t>
      </w:r>
      <w:r w:rsidRPr="000749B2">
        <w:rPr>
          <w:rFonts w:ascii="Book Antiqua" w:hAnsi="Book Antiqua"/>
          <w:b/>
          <w:sz w:val="24"/>
          <w:szCs w:val="24"/>
        </w:rPr>
        <w:t>Robanus-Maandag EC</w:t>
      </w:r>
      <w:r w:rsidRPr="000749B2">
        <w:rPr>
          <w:rFonts w:ascii="Book Antiqua" w:hAnsi="Book Antiqua"/>
          <w:sz w:val="24"/>
          <w:szCs w:val="24"/>
        </w:rPr>
        <w:t xml:space="preserve">, Koelink PJ, Breukel C, Salvatori DC, Jagmohan-Changur SC, Bosch CA, Verspaget HW, Devilee P, Fodde R, Smits R. A new conditional Apc-mutant mouse model for colorectal cancer. </w:t>
      </w:r>
      <w:r w:rsidRPr="000749B2">
        <w:rPr>
          <w:rFonts w:ascii="Book Antiqua" w:hAnsi="Book Antiqua"/>
          <w:i/>
          <w:sz w:val="24"/>
          <w:szCs w:val="24"/>
        </w:rPr>
        <w:t>Carcinogenesis</w:t>
      </w:r>
      <w:r w:rsidRPr="000749B2">
        <w:rPr>
          <w:rFonts w:ascii="Book Antiqua" w:hAnsi="Book Antiqua"/>
          <w:sz w:val="24"/>
          <w:szCs w:val="24"/>
        </w:rPr>
        <w:t xml:space="preserve"> 2010; </w:t>
      </w:r>
      <w:r w:rsidRPr="000749B2">
        <w:rPr>
          <w:rFonts w:ascii="Book Antiqua" w:hAnsi="Book Antiqua"/>
          <w:b/>
          <w:sz w:val="24"/>
          <w:szCs w:val="24"/>
        </w:rPr>
        <w:t>31</w:t>
      </w:r>
      <w:r w:rsidRPr="000749B2">
        <w:rPr>
          <w:rFonts w:ascii="Book Antiqua" w:hAnsi="Book Antiqua"/>
          <w:sz w:val="24"/>
          <w:szCs w:val="24"/>
        </w:rPr>
        <w:t>: 946-952 [PMID: 20176656 DOI: 10.1093/carcin/bgq046]</w:t>
      </w:r>
    </w:p>
    <w:p w14:paraId="33C3A8C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121 </w:t>
      </w:r>
      <w:r w:rsidRPr="000749B2">
        <w:rPr>
          <w:rFonts w:ascii="Book Antiqua" w:hAnsi="Book Antiqua"/>
          <w:b/>
          <w:sz w:val="24"/>
          <w:szCs w:val="24"/>
        </w:rPr>
        <w:t>Ireland H</w:t>
      </w:r>
      <w:r w:rsidRPr="000749B2">
        <w:rPr>
          <w:rFonts w:ascii="Book Antiqua" w:hAnsi="Book Antiqua"/>
          <w:sz w:val="24"/>
          <w:szCs w:val="24"/>
        </w:rPr>
        <w:t xml:space="preserve">, Kemp R, Houghton C, Howard L, Clarke AR, Sansom OJ, Winton DJ. Inducible Cre-mediated control of gene expression in the murine gastrointestinal tract: effect of loss of beta-catenin. </w:t>
      </w:r>
      <w:r w:rsidRPr="000749B2">
        <w:rPr>
          <w:rFonts w:ascii="Book Antiqua" w:hAnsi="Book Antiqua"/>
          <w:i/>
          <w:sz w:val="24"/>
          <w:szCs w:val="24"/>
        </w:rPr>
        <w:t>Gastroenterology</w:t>
      </w:r>
      <w:r w:rsidRPr="000749B2">
        <w:rPr>
          <w:rFonts w:ascii="Book Antiqua" w:hAnsi="Book Antiqua"/>
          <w:sz w:val="24"/>
          <w:szCs w:val="24"/>
        </w:rPr>
        <w:t xml:space="preserve"> 2004; </w:t>
      </w:r>
      <w:r w:rsidRPr="000749B2">
        <w:rPr>
          <w:rFonts w:ascii="Book Antiqua" w:hAnsi="Book Antiqua"/>
          <w:b/>
          <w:sz w:val="24"/>
          <w:szCs w:val="24"/>
        </w:rPr>
        <w:t>126</w:t>
      </w:r>
      <w:r w:rsidRPr="000749B2">
        <w:rPr>
          <w:rFonts w:ascii="Book Antiqua" w:hAnsi="Book Antiqua"/>
          <w:sz w:val="24"/>
          <w:szCs w:val="24"/>
        </w:rPr>
        <w:t>: 1236-1246 [PMID: 15131783 DOI: 10.1053/j.gastro.2004.03.020]</w:t>
      </w:r>
    </w:p>
    <w:p w14:paraId="742F820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122 </w:t>
      </w:r>
      <w:r w:rsidRPr="000749B2">
        <w:rPr>
          <w:rFonts w:ascii="Book Antiqua" w:hAnsi="Book Antiqua"/>
          <w:b/>
          <w:sz w:val="24"/>
          <w:szCs w:val="24"/>
        </w:rPr>
        <w:t>Sansom OJ</w:t>
      </w:r>
      <w:r w:rsidRPr="000749B2">
        <w:rPr>
          <w:rFonts w:ascii="Book Antiqua" w:hAnsi="Book Antiqua"/>
          <w:sz w:val="24"/>
          <w:szCs w:val="24"/>
        </w:rPr>
        <w:t xml:space="preserve">, Meniel V, Wilkins JA, Cole AM, Oien KA, Marsh V, Jamieson TJ, Guerra C, Ashton GH, Barbacid M, Clarke AR. Loss of Apc allows phenotypic manifestation of the transforming properties of an endogenous K-ras oncogene in vivo. </w:t>
      </w:r>
      <w:r w:rsidRPr="000749B2">
        <w:rPr>
          <w:rFonts w:ascii="Book Antiqua" w:hAnsi="Book Antiqua"/>
          <w:i/>
          <w:sz w:val="24"/>
          <w:szCs w:val="24"/>
        </w:rPr>
        <w:t>Proc Natl Acad Sci U S A</w:t>
      </w:r>
      <w:r w:rsidRPr="000749B2">
        <w:rPr>
          <w:rFonts w:ascii="Book Antiqua" w:hAnsi="Book Antiqua"/>
          <w:sz w:val="24"/>
          <w:szCs w:val="24"/>
        </w:rPr>
        <w:t xml:space="preserve"> 2006; </w:t>
      </w:r>
      <w:r w:rsidRPr="000749B2">
        <w:rPr>
          <w:rFonts w:ascii="Book Antiqua" w:hAnsi="Book Antiqua"/>
          <w:b/>
          <w:sz w:val="24"/>
          <w:szCs w:val="24"/>
        </w:rPr>
        <w:t>103</w:t>
      </w:r>
      <w:r w:rsidRPr="000749B2">
        <w:rPr>
          <w:rFonts w:ascii="Book Antiqua" w:hAnsi="Book Antiqua"/>
          <w:sz w:val="24"/>
          <w:szCs w:val="24"/>
        </w:rPr>
        <w:t>: 14122-14127 [PMID: 16959882 DOI: 10.1073/pnas.0604130103]</w:t>
      </w:r>
    </w:p>
    <w:p w14:paraId="5D9C6AA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123 </w:t>
      </w:r>
      <w:r w:rsidRPr="000749B2">
        <w:rPr>
          <w:rFonts w:ascii="Book Antiqua" w:hAnsi="Book Antiqua"/>
          <w:b/>
          <w:sz w:val="24"/>
          <w:szCs w:val="24"/>
        </w:rPr>
        <w:t>Sansom OJ</w:t>
      </w:r>
      <w:r w:rsidRPr="000749B2">
        <w:rPr>
          <w:rFonts w:ascii="Book Antiqua" w:hAnsi="Book Antiqua"/>
          <w:sz w:val="24"/>
          <w:szCs w:val="24"/>
        </w:rPr>
        <w:t xml:space="preserve">, Griffiths DF, Reed KR, Winton DJ, Clarke AR. Apc deficiency predisposes to renal carcinoma in the mouse. </w:t>
      </w:r>
      <w:r w:rsidRPr="000749B2">
        <w:rPr>
          <w:rFonts w:ascii="Book Antiqua" w:hAnsi="Book Antiqua"/>
          <w:i/>
          <w:sz w:val="24"/>
          <w:szCs w:val="24"/>
        </w:rPr>
        <w:t>Oncogene</w:t>
      </w:r>
      <w:r w:rsidRPr="000749B2">
        <w:rPr>
          <w:rFonts w:ascii="Book Antiqua" w:hAnsi="Book Antiqua"/>
          <w:sz w:val="24"/>
          <w:szCs w:val="24"/>
        </w:rPr>
        <w:t xml:space="preserve"> 2005; </w:t>
      </w:r>
      <w:r w:rsidRPr="000749B2">
        <w:rPr>
          <w:rFonts w:ascii="Book Antiqua" w:hAnsi="Book Antiqua"/>
          <w:b/>
          <w:sz w:val="24"/>
          <w:szCs w:val="24"/>
        </w:rPr>
        <w:t>24</w:t>
      </w:r>
      <w:r w:rsidRPr="000749B2">
        <w:rPr>
          <w:rFonts w:ascii="Book Antiqua" w:hAnsi="Book Antiqua"/>
          <w:sz w:val="24"/>
          <w:szCs w:val="24"/>
        </w:rPr>
        <w:t>: 8205-8210 [PMID: 16116480 DOI: 10.1038/sj.onc.1208956]</w:t>
      </w:r>
    </w:p>
    <w:p w14:paraId="54B3C14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124 </w:t>
      </w:r>
      <w:r w:rsidRPr="000749B2">
        <w:rPr>
          <w:rFonts w:ascii="Book Antiqua" w:hAnsi="Book Antiqua"/>
          <w:b/>
          <w:sz w:val="24"/>
          <w:szCs w:val="24"/>
        </w:rPr>
        <w:t>Hinoi T</w:t>
      </w:r>
      <w:r w:rsidRPr="000749B2">
        <w:rPr>
          <w:rFonts w:ascii="Book Antiqua" w:hAnsi="Book Antiqua"/>
          <w:sz w:val="24"/>
          <w:szCs w:val="24"/>
        </w:rPr>
        <w:t xml:space="preserve">, Akyol A, Theisen BK, Ferguson DO, Greenson JK, Williams BO, Cho KR, Fearon ER. Mouse model of colonic adenoma-carcinoma progression based on somatic Apc inactivation. </w:t>
      </w:r>
      <w:r w:rsidRPr="000749B2">
        <w:rPr>
          <w:rFonts w:ascii="Book Antiqua" w:hAnsi="Book Antiqua"/>
          <w:i/>
          <w:sz w:val="24"/>
          <w:szCs w:val="24"/>
        </w:rPr>
        <w:t>Cancer Res</w:t>
      </w:r>
      <w:r w:rsidRPr="000749B2">
        <w:rPr>
          <w:rFonts w:ascii="Book Antiqua" w:hAnsi="Book Antiqua"/>
          <w:sz w:val="24"/>
          <w:szCs w:val="24"/>
        </w:rPr>
        <w:t xml:space="preserve"> 2007; </w:t>
      </w:r>
      <w:r w:rsidRPr="000749B2">
        <w:rPr>
          <w:rFonts w:ascii="Book Antiqua" w:hAnsi="Book Antiqua"/>
          <w:b/>
          <w:sz w:val="24"/>
          <w:szCs w:val="24"/>
        </w:rPr>
        <w:t>67</w:t>
      </w:r>
      <w:r w:rsidRPr="000749B2">
        <w:rPr>
          <w:rFonts w:ascii="Book Antiqua" w:hAnsi="Book Antiqua"/>
          <w:sz w:val="24"/>
          <w:szCs w:val="24"/>
        </w:rPr>
        <w:t>: 9721-9730 [PMID: 17942902 DOI: 10.1158/0008-5472.CAN-07-2735]</w:t>
      </w:r>
    </w:p>
    <w:p w14:paraId="0F09FD3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125 </w:t>
      </w:r>
      <w:r w:rsidRPr="000749B2">
        <w:rPr>
          <w:rFonts w:ascii="Book Antiqua" w:hAnsi="Book Antiqua"/>
          <w:b/>
          <w:sz w:val="24"/>
          <w:szCs w:val="24"/>
        </w:rPr>
        <w:t>Akyol A</w:t>
      </w:r>
      <w:r w:rsidRPr="000749B2">
        <w:rPr>
          <w:rFonts w:ascii="Book Antiqua" w:hAnsi="Book Antiqua"/>
          <w:sz w:val="24"/>
          <w:szCs w:val="24"/>
        </w:rPr>
        <w:t xml:space="preserve">, Hinoi T, Feng Y, Bommer GT, Glaser TM, Fearon ER. Generating somatic mosaicism with a Cre recombinase-microsatellite sequence transgene. </w:t>
      </w:r>
      <w:r w:rsidRPr="000749B2">
        <w:rPr>
          <w:rFonts w:ascii="Book Antiqua" w:hAnsi="Book Antiqua"/>
          <w:i/>
          <w:sz w:val="24"/>
          <w:szCs w:val="24"/>
        </w:rPr>
        <w:t>Nat Methods</w:t>
      </w:r>
      <w:r w:rsidRPr="000749B2">
        <w:rPr>
          <w:rFonts w:ascii="Book Antiqua" w:hAnsi="Book Antiqua"/>
          <w:sz w:val="24"/>
          <w:szCs w:val="24"/>
        </w:rPr>
        <w:t xml:space="preserve"> 2008; </w:t>
      </w:r>
      <w:r w:rsidRPr="000749B2">
        <w:rPr>
          <w:rFonts w:ascii="Book Antiqua" w:hAnsi="Book Antiqua"/>
          <w:b/>
          <w:sz w:val="24"/>
          <w:szCs w:val="24"/>
        </w:rPr>
        <w:t>5</w:t>
      </w:r>
      <w:r w:rsidRPr="000749B2">
        <w:rPr>
          <w:rFonts w:ascii="Book Antiqua" w:hAnsi="Book Antiqua"/>
          <w:sz w:val="24"/>
          <w:szCs w:val="24"/>
        </w:rPr>
        <w:t>: 231-233 [PMID: 18264107 DOI: 10.1038/nmeth.1182]</w:t>
      </w:r>
    </w:p>
    <w:p w14:paraId="0D43BA3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126 </w:t>
      </w:r>
      <w:r w:rsidRPr="000749B2">
        <w:rPr>
          <w:rFonts w:ascii="Book Antiqua" w:hAnsi="Book Antiqua"/>
          <w:b/>
          <w:sz w:val="24"/>
          <w:szCs w:val="24"/>
        </w:rPr>
        <w:t>Xue Y</w:t>
      </w:r>
      <w:r w:rsidRPr="000749B2">
        <w:rPr>
          <w:rFonts w:ascii="Book Antiqua" w:hAnsi="Book Antiqua"/>
          <w:sz w:val="24"/>
          <w:szCs w:val="24"/>
        </w:rPr>
        <w:t xml:space="preserve">, Johnson R, Desmet M, Snyder PW, Fleet JC. Generation of a transgenic mouse for colorectal cancer research with intestinal cre expression limited to the large intestine. </w:t>
      </w:r>
      <w:r w:rsidRPr="000749B2">
        <w:rPr>
          <w:rFonts w:ascii="Book Antiqua" w:hAnsi="Book Antiqua"/>
          <w:i/>
          <w:sz w:val="24"/>
          <w:szCs w:val="24"/>
        </w:rPr>
        <w:t>Mol Cancer Res</w:t>
      </w:r>
      <w:r w:rsidRPr="000749B2">
        <w:rPr>
          <w:rFonts w:ascii="Book Antiqua" w:hAnsi="Book Antiqua"/>
          <w:sz w:val="24"/>
          <w:szCs w:val="24"/>
        </w:rPr>
        <w:t xml:space="preserve"> 2010; </w:t>
      </w:r>
      <w:r w:rsidRPr="000749B2">
        <w:rPr>
          <w:rFonts w:ascii="Book Antiqua" w:hAnsi="Book Antiqua"/>
          <w:b/>
          <w:sz w:val="24"/>
          <w:szCs w:val="24"/>
        </w:rPr>
        <w:t>8</w:t>
      </w:r>
      <w:r w:rsidRPr="000749B2">
        <w:rPr>
          <w:rFonts w:ascii="Book Antiqua" w:hAnsi="Book Antiqua"/>
          <w:sz w:val="24"/>
          <w:szCs w:val="24"/>
        </w:rPr>
        <w:t>: 1095-1104 [PMID: 20663863 DOI: 10.1158/1541-7786.MCR-10-0195]</w:t>
      </w:r>
    </w:p>
    <w:p w14:paraId="7A4C83C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127 </w:t>
      </w:r>
      <w:r w:rsidRPr="000749B2">
        <w:rPr>
          <w:rFonts w:ascii="Book Antiqua" w:hAnsi="Book Antiqua"/>
          <w:b/>
          <w:sz w:val="24"/>
          <w:szCs w:val="24"/>
        </w:rPr>
        <w:t>Shibata H</w:t>
      </w:r>
      <w:r w:rsidRPr="000749B2">
        <w:rPr>
          <w:rFonts w:ascii="Book Antiqua" w:hAnsi="Book Antiqua"/>
          <w:sz w:val="24"/>
          <w:szCs w:val="24"/>
        </w:rPr>
        <w:t xml:space="preserve">, Toyama K, Shioya H, Ito M, Hirota M, Hasegawa S, Matsumoto H, Takano H, Akiyama T, Toyoshima K, Kanamaru R, Kanegae Y, Saito I, Nakamura Y, Shiba K, Noda T. Rapid colorectal adenoma formation initiated by conditional targeting of the Apc gene. </w:t>
      </w:r>
      <w:r w:rsidRPr="000749B2">
        <w:rPr>
          <w:rFonts w:ascii="Book Antiqua" w:hAnsi="Book Antiqua"/>
          <w:i/>
          <w:sz w:val="24"/>
          <w:szCs w:val="24"/>
        </w:rPr>
        <w:t>Science</w:t>
      </w:r>
      <w:r w:rsidRPr="000749B2">
        <w:rPr>
          <w:rFonts w:ascii="Book Antiqua" w:hAnsi="Book Antiqua"/>
          <w:sz w:val="24"/>
          <w:szCs w:val="24"/>
        </w:rPr>
        <w:t xml:space="preserve"> 1997; </w:t>
      </w:r>
      <w:r w:rsidRPr="000749B2">
        <w:rPr>
          <w:rFonts w:ascii="Book Antiqua" w:hAnsi="Book Antiqua"/>
          <w:b/>
          <w:sz w:val="24"/>
          <w:szCs w:val="24"/>
        </w:rPr>
        <w:t>278</w:t>
      </w:r>
      <w:r w:rsidRPr="000749B2">
        <w:rPr>
          <w:rFonts w:ascii="Book Antiqua" w:hAnsi="Book Antiqua"/>
          <w:sz w:val="24"/>
          <w:szCs w:val="24"/>
        </w:rPr>
        <w:t>: 120-123 [PMID: 9311916 DOI: 10.1126/science.278.5335.120]</w:t>
      </w:r>
    </w:p>
    <w:p w14:paraId="646896C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128 </w:t>
      </w:r>
      <w:r w:rsidRPr="000749B2">
        <w:rPr>
          <w:rFonts w:ascii="Book Antiqua" w:hAnsi="Book Antiqua"/>
          <w:b/>
          <w:sz w:val="24"/>
          <w:szCs w:val="24"/>
        </w:rPr>
        <w:t>Roper J</w:t>
      </w:r>
      <w:r w:rsidRPr="000749B2">
        <w:rPr>
          <w:rFonts w:ascii="Book Antiqua" w:hAnsi="Book Antiqua"/>
          <w:sz w:val="24"/>
          <w:szCs w:val="24"/>
        </w:rPr>
        <w:t xml:space="preserve">, Tammela T, Cetinbas NM, Akkad A, Roghanian A, Rickelt S, Almeqdadi M, Wu K, Oberli MA, Sánchez-Rivera FJ, Park YK, Liang X, Eng G, Taylor MS, Azimi R, Kedrin D, Neupane R, Beyaz S, Sicinska ET, Suarez Y, Yoo J, Chen L, Zukerberg L, Katajisto P, Deshpande V, Bass AJ, Tsichlis PN, Lees J, Langer R, Hynes RO, Chen J, Bhutkar A, Jacks T, Yilmaz ÖH. In vivo genome editing and organoid transplantation models of colorectal cancer and metastasis. </w:t>
      </w:r>
      <w:r w:rsidRPr="000749B2">
        <w:rPr>
          <w:rFonts w:ascii="Book Antiqua" w:hAnsi="Book Antiqua"/>
          <w:i/>
          <w:sz w:val="24"/>
          <w:szCs w:val="24"/>
        </w:rPr>
        <w:t>Nat Biotechnol</w:t>
      </w:r>
      <w:r w:rsidRPr="000749B2">
        <w:rPr>
          <w:rFonts w:ascii="Book Antiqua" w:hAnsi="Book Antiqua"/>
          <w:sz w:val="24"/>
          <w:szCs w:val="24"/>
        </w:rPr>
        <w:t xml:space="preserve"> 2017; </w:t>
      </w:r>
      <w:r w:rsidRPr="000749B2">
        <w:rPr>
          <w:rFonts w:ascii="Book Antiqua" w:hAnsi="Book Antiqua"/>
          <w:b/>
          <w:sz w:val="24"/>
          <w:szCs w:val="24"/>
        </w:rPr>
        <w:t>35</w:t>
      </w:r>
      <w:r w:rsidRPr="000749B2">
        <w:rPr>
          <w:rFonts w:ascii="Book Antiqua" w:hAnsi="Book Antiqua"/>
          <w:sz w:val="24"/>
          <w:szCs w:val="24"/>
        </w:rPr>
        <w:t>: 569-576 [PMID: 28459449 DOI: 10.1038/nbt.3836]</w:t>
      </w:r>
    </w:p>
    <w:p w14:paraId="1B6C30C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129 </w:t>
      </w:r>
      <w:r w:rsidRPr="000749B2">
        <w:rPr>
          <w:rFonts w:ascii="Book Antiqua" w:hAnsi="Book Antiqua"/>
          <w:b/>
          <w:sz w:val="24"/>
          <w:szCs w:val="24"/>
        </w:rPr>
        <w:t>Hadac JN</w:t>
      </w:r>
      <w:r w:rsidRPr="000749B2">
        <w:rPr>
          <w:rFonts w:ascii="Book Antiqua" w:hAnsi="Book Antiqua"/>
          <w:sz w:val="24"/>
          <w:szCs w:val="24"/>
        </w:rPr>
        <w:t xml:space="preserve">, Leystra AA, Paul Olson TJ, Maher ME, Payne SN, Yueh AE, Schwartz AR, Albrecht DM, Clipson L, Pasch CA, Matkowskyj KA, Halberg RB, Deming DA. Colon Tumors with the Simultaneous Induction of Driver Mutations in APC, KRAS, and PIK3CA Still Progress through the Adenoma-to-carcinoma Sequence. </w:t>
      </w:r>
      <w:r w:rsidRPr="000749B2">
        <w:rPr>
          <w:rFonts w:ascii="Book Antiqua" w:hAnsi="Book Antiqua"/>
          <w:i/>
          <w:sz w:val="24"/>
          <w:szCs w:val="24"/>
        </w:rPr>
        <w:t>Cancer Prev Res (Phila)</w:t>
      </w:r>
      <w:r w:rsidRPr="000749B2">
        <w:rPr>
          <w:rFonts w:ascii="Book Antiqua" w:hAnsi="Book Antiqua"/>
          <w:sz w:val="24"/>
          <w:szCs w:val="24"/>
        </w:rPr>
        <w:t xml:space="preserve"> 2015; </w:t>
      </w:r>
      <w:r w:rsidRPr="000749B2">
        <w:rPr>
          <w:rFonts w:ascii="Book Antiqua" w:hAnsi="Book Antiqua"/>
          <w:b/>
          <w:sz w:val="24"/>
          <w:szCs w:val="24"/>
        </w:rPr>
        <w:t>8</w:t>
      </w:r>
      <w:r w:rsidRPr="000749B2">
        <w:rPr>
          <w:rFonts w:ascii="Book Antiqua" w:hAnsi="Book Antiqua"/>
          <w:sz w:val="24"/>
          <w:szCs w:val="24"/>
        </w:rPr>
        <w:t>: 952-961 [PMID: 26276752 DOI: 10.1158/1940-6207.CAPR-15-0003]</w:t>
      </w:r>
    </w:p>
    <w:p w14:paraId="2097DA6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130 </w:t>
      </w:r>
      <w:r w:rsidRPr="000749B2">
        <w:rPr>
          <w:rFonts w:ascii="Book Antiqua" w:hAnsi="Book Antiqua"/>
          <w:b/>
          <w:sz w:val="24"/>
          <w:szCs w:val="24"/>
        </w:rPr>
        <w:t>Hung KE</w:t>
      </w:r>
      <w:r w:rsidRPr="000749B2">
        <w:rPr>
          <w:rFonts w:ascii="Book Antiqua" w:hAnsi="Book Antiqua"/>
          <w:sz w:val="24"/>
          <w:szCs w:val="24"/>
        </w:rPr>
        <w:t xml:space="preserve">, Maricevich MA, Richard LG, Chen WY, Richardson MP, Kunin A, Bronson RT, Mahmood U, Kucherlapati R. Development of a mouse model for sporadic and metastatic colon tumors and its use in assessing drug treatment. </w:t>
      </w:r>
      <w:r w:rsidRPr="000749B2">
        <w:rPr>
          <w:rFonts w:ascii="Book Antiqua" w:hAnsi="Book Antiqua"/>
          <w:i/>
          <w:sz w:val="24"/>
          <w:szCs w:val="24"/>
        </w:rPr>
        <w:t>Proc Natl Acad Sci U S A</w:t>
      </w:r>
      <w:r w:rsidRPr="000749B2">
        <w:rPr>
          <w:rFonts w:ascii="Book Antiqua" w:hAnsi="Book Antiqua"/>
          <w:sz w:val="24"/>
          <w:szCs w:val="24"/>
        </w:rPr>
        <w:t xml:space="preserve"> 2010; </w:t>
      </w:r>
      <w:r w:rsidRPr="000749B2">
        <w:rPr>
          <w:rFonts w:ascii="Book Antiqua" w:hAnsi="Book Antiqua"/>
          <w:b/>
          <w:sz w:val="24"/>
          <w:szCs w:val="24"/>
        </w:rPr>
        <w:t>107</w:t>
      </w:r>
      <w:r w:rsidRPr="000749B2">
        <w:rPr>
          <w:rFonts w:ascii="Book Antiqua" w:hAnsi="Book Antiqua"/>
          <w:sz w:val="24"/>
          <w:szCs w:val="24"/>
        </w:rPr>
        <w:t>: 1565-1570 [PMID: 20080688 DOI: 10.1073/pnas.0908682107]</w:t>
      </w:r>
    </w:p>
    <w:p w14:paraId="7CA3277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131 </w:t>
      </w:r>
      <w:r w:rsidRPr="000749B2">
        <w:rPr>
          <w:rFonts w:ascii="Book Antiqua" w:hAnsi="Book Antiqua"/>
          <w:b/>
          <w:sz w:val="24"/>
          <w:szCs w:val="24"/>
        </w:rPr>
        <w:t>Sansom OJ</w:t>
      </w:r>
      <w:r w:rsidRPr="000749B2">
        <w:rPr>
          <w:rFonts w:ascii="Book Antiqua" w:hAnsi="Book Antiqua"/>
          <w:sz w:val="24"/>
          <w:szCs w:val="24"/>
        </w:rPr>
        <w:t xml:space="preserve">, Reed KR, Hayes AJ, Ireland H, Brinkmann H, Newton IP, Batlle E, Simon-Assmann P, Clevers H, Nathke IS, Clarke AR, Winton DJ. Loss of Apc in vivo immediately perturbs Wnt signaling, differentiation, and migration. </w:t>
      </w:r>
      <w:r w:rsidRPr="000749B2">
        <w:rPr>
          <w:rFonts w:ascii="Book Antiqua" w:hAnsi="Book Antiqua"/>
          <w:i/>
          <w:sz w:val="24"/>
          <w:szCs w:val="24"/>
        </w:rPr>
        <w:t>Genes Dev</w:t>
      </w:r>
      <w:r w:rsidRPr="000749B2">
        <w:rPr>
          <w:rFonts w:ascii="Book Antiqua" w:hAnsi="Book Antiqua"/>
          <w:sz w:val="24"/>
          <w:szCs w:val="24"/>
        </w:rPr>
        <w:t xml:space="preserve"> 2004; </w:t>
      </w:r>
      <w:r w:rsidRPr="000749B2">
        <w:rPr>
          <w:rFonts w:ascii="Book Antiqua" w:hAnsi="Book Antiqua"/>
          <w:b/>
          <w:sz w:val="24"/>
          <w:szCs w:val="24"/>
        </w:rPr>
        <w:t>18</w:t>
      </w:r>
      <w:r w:rsidRPr="000749B2">
        <w:rPr>
          <w:rFonts w:ascii="Book Antiqua" w:hAnsi="Book Antiqua"/>
          <w:sz w:val="24"/>
          <w:szCs w:val="24"/>
        </w:rPr>
        <w:t>: 1385-1390 [PMID: 15198980 DOI: 10.1101/gad.287404]</w:t>
      </w:r>
    </w:p>
    <w:p w14:paraId="1A2CFB7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132 </w:t>
      </w:r>
      <w:r w:rsidRPr="000749B2">
        <w:rPr>
          <w:rFonts w:ascii="Book Antiqua" w:hAnsi="Book Antiqua"/>
          <w:b/>
          <w:sz w:val="24"/>
          <w:szCs w:val="24"/>
        </w:rPr>
        <w:t>Cheung AF</w:t>
      </w:r>
      <w:r w:rsidRPr="000749B2">
        <w:rPr>
          <w:rFonts w:ascii="Book Antiqua" w:hAnsi="Book Antiqua"/>
          <w:sz w:val="24"/>
          <w:szCs w:val="24"/>
        </w:rPr>
        <w:t xml:space="preserve">, Carter AM, Kostova KK, Woodruff JF, Crowley D, Bronson RT, Haigis KM, Jacks T. Complete deletion of Apc results in severe polyposis in mice. </w:t>
      </w:r>
      <w:r w:rsidRPr="000749B2">
        <w:rPr>
          <w:rFonts w:ascii="Book Antiqua" w:hAnsi="Book Antiqua"/>
          <w:i/>
          <w:sz w:val="24"/>
          <w:szCs w:val="24"/>
        </w:rPr>
        <w:t>Oncogene</w:t>
      </w:r>
      <w:r w:rsidRPr="000749B2">
        <w:rPr>
          <w:rFonts w:ascii="Book Antiqua" w:hAnsi="Book Antiqua"/>
          <w:sz w:val="24"/>
          <w:szCs w:val="24"/>
        </w:rPr>
        <w:t xml:space="preserve"> 2010; </w:t>
      </w:r>
      <w:r w:rsidRPr="000749B2">
        <w:rPr>
          <w:rFonts w:ascii="Book Antiqua" w:hAnsi="Book Antiqua"/>
          <w:b/>
          <w:sz w:val="24"/>
          <w:szCs w:val="24"/>
        </w:rPr>
        <w:t>29</w:t>
      </w:r>
      <w:r w:rsidRPr="000749B2">
        <w:rPr>
          <w:rFonts w:ascii="Book Antiqua" w:hAnsi="Book Antiqua"/>
          <w:sz w:val="24"/>
          <w:szCs w:val="24"/>
        </w:rPr>
        <w:t>: 1857-1864 [PMID: 20010873 DOI: 10.1038/onc.2009.457]</w:t>
      </w:r>
    </w:p>
    <w:p w14:paraId="4AB7967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133 </w:t>
      </w:r>
      <w:r w:rsidRPr="000749B2">
        <w:rPr>
          <w:rFonts w:ascii="Book Antiqua" w:hAnsi="Book Antiqua"/>
          <w:b/>
          <w:sz w:val="24"/>
          <w:szCs w:val="24"/>
        </w:rPr>
        <w:t>Feng Y</w:t>
      </w:r>
      <w:r w:rsidRPr="000749B2">
        <w:rPr>
          <w:rFonts w:ascii="Book Antiqua" w:hAnsi="Book Antiqua"/>
          <w:sz w:val="24"/>
          <w:szCs w:val="24"/>
        </w:rPr>
        <w:t xml:space="preserve">, Sentani K, Wiese A, Sands E, Green M, Bommer GT, Cho KR, Fearon ER. Sox9 induction, ectopic Paneth cells, and mitotic spindle axis defects in mouse colon adenomatous epithelium arising from conditional biallelic Apc inactivation. </w:t>
      </w:r>
      <w:r w:rsidRPr="000749B2">
        <w:rPr>
          <w:rFonts w:ascii="Book Antiqua" w:hAnsi="Book Antiqua"/>
          <w:i/>
          <w:sz w:val="24"/>
          <w:szCs w:val="24"/>
        </w:rPr>
        <w:t>Am J Pathol</w:t>
      </w:r>
      <w:r w:rsidRPr="000749B2">
        <w:rPr>
          <w:rFonts w:ascii="Book Antiqua" w:hAnsi="Book Antiqua"/>
          <w:sz w:val="24"/>
          <w:szCs w:val="24"/>
        </w:rPr>
        <w:t xml:space="preserve"> 2013; </w:t>
      </w:r>
      <w:r w:rsidRPr="000749B2">
        <w:rPr>
          <w:rFonts w:ascii="Book Antiqua" w:hAnsi="Book Antiqua"/>
          <w:b/>
          <w:sz w:val="24"/>
          <w:szCs w:val="24"/>
        </w:rPr>
        <w:t>183</w:t>
      </w:r>
      <w:r w:rsidRPr="000749B2">
        <w:rPr>
          <w:rFonts w:ascii="Book Antiqua" w:hAnsi="Book Antiqua"/>
          <w:sz w:val="24"/>
          <w:szCs w:val="24"/>
        </w:rPr>
        <w:t>: 493-503 [PMID: 23769888 DOI: 10.1016/j.ajpath.2013.04.013]</w:t>
      </w:r>
    </w:p>
    <w:p w14:paraId="001325D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134 </w:t>
      </w:r>
      <w:r w:rsidRPr="000749B2">
        <w:rPr>
          <w:rFonts w:ascii="Book Antiqua" w:hAnsi="Book Antiqua"/>
          <w:b/>
          <w:sz w:val="24"/>
          <w:szCs w:val="24"/>
        </w:rPr>
        <w:t>Calcagno SR</w:t>
      </w:r>
      <w:r w:rsidRPr="000749B2">
        <w:rPr>
          <w:rFonts w:ascii="Book Antiqua" w:hAnsi="Book Antiqua"/>
          <w:sz w:val="24"/>
          <w:szCs w:val="24"/>
        </w:rPr>
        <w:t xml:space="preserve">, Li S, Colon M, Kreinest PA, Thompson EA, Fields AP, Murray NR. Oncogenic K-ras promotes early carcinogenesis in the mouse proximal colon. </w:t>
      </w:r>
      <w:r w:rsidRPr="000749B2">
        <w:rPr>
          <w:rFonts w:ascii="Book Antiqua" w:hAnsi="Book Antiqua"/>
          <w:i/>
          <w:sz w:val="24"/>
          <w:szCs w:val="24"/>
        </w:rPr>
        <w:t>Int J Cancer</w:t>
      </w:r>
      <w:r w:rsidRPr="000749B2">
        <w:rPr>
          <w:rFonts w:ascii="Book Antiqua" w:hAnsi="Book Antiqua"/>
          <w:sz w:val="24"/>
          <w:szCs w:val="24"/>
        </w:rPr>
        <w:t xml:space="preserve"> 2008; </w:t>
      </w:r>
      <w:r w:rsidRPr="000749B2">
        <w:rPr>
          <w:rFonts w:ascii="Book Antiqua" w:hAnsi="Book Antiqua"/>
          <w:b/>
          <w:sz w:val="24"/>
          <w:szCs w:val="24"/>
        </w:rPr>
        <w:t>122</w:t>
      </w:r>
      <w:r w:rsidRPr="000749B2">
        <w:rPr>
          <w:rFonts w:ascii="Book Antiqua" w:hAnsi="Book Antiqua"/>
          <w:sz w:val="24"/>
          <w:szCs w:val="24"/>
        </w:rPr>
        <w:t>: 2462-2470 [PMID: 18271008 DOI: 10.1002/ijc.23383]</w:t>
      </w:r>
    </w:p>
    <w:p w14:paraId="799FC38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135 </w:t>
      </w:r>
      <w:r w:rsidRPr="000749B2">
        <w:rPr>
          <w:rFonts w:ascii="Book Antiqua" w:hAnsi="Book Antiqua"/>
          <w:b/>
          <w:sz w:val="24"/>
          <w:szCs w:val="24"/>
        </w:rPr>
        <w:t>Luo F</w:t>
      </w:r>
      <w:r w:rsidRPr="000749B2">
        <w:rPr>
          <w:rFonts w:ascii="Book Antiqua" w:hAnsi="Book Antiqua"/>
          <w:sz w:val="24"/>
          <w:szCs w:val="24"/>
        </w:rPr>
        <w:t>, Brooks DG, Ye H, Hamoudi R, Poulogiannis G, Patek CE, Winton DJ, Arends MJ. Mutated K-</w:t>
      </w:r>
      <w:proofErr w:type="gramStart"/>
      <w:r w:rsidRPr="000749B2">
        <w:rPr>
          <w:rFonts w:ascii="Book Antiqua" w:hAnsi="Book Antiqua"/>
          <w:sz w:val="24"/>
          <w:szCs w:val="24"/>
        </w:rPr>
        <w:t>ras(</w:t>
      </w:r>
      <w:proofErr w:type="gramEnd"/>
      <w:r w:rsidRPr="000749B2">
        <w:rPr>
          <w:rFonts w:ascii="Book Antiqua" w:hAnsi="Book Antiqua"/>
          <w:sz w:val="24"/>
          <w:szCs w:val="24"/>
        </w:rPr>
        <w:t xml:space="preserve">Asp12) promotes tumourigenesis in Apc(Min) mice more in the large than the small intestines, with synergistic effects between K-ras and Wnt pathways. </w:t>
      </w:r>
      <w:r w:rsidRPr="000749B2">
        <w:rPr>
          <w:rFonts w:ascii="Book Antiqua" w:hAnsi="Book Antiqua"/>
          <w:i/>
          <w:sz w:val="24"/>
          <w:szCs w:val="24"/>
        </w:rPr>
        <w:t>Int J Exp Pathol</w:t>
      </w:r>
      <w:r w:rsidRPr="000749B2">
        <w:rPr>
          <w:rFonts w:ascii="Book Antiqua" w:hAnsi="Book Antiqua"/>
          <w:sz w:val="24"/>
          <w:szCs w:val="24"/>
        </w:rPr>
        <w:t xml:space="preserve"> 2009; </w:t>
      </w:r>
      <w:r w:rsidRPr="000749B2">
        <w:rPr>
          <w:rFonts w:ascii="Book Antiqua" w:hAnsi="Book Antiqua"/>
          <w:b/>
          <w:sz w:val="24"/>
          <w:szCs w:val="24"/>
        </w:rPr>
        <w:t>90</w:t>
      </w:r>
      <w:r w:rsidRPr="000749B2">
        <w:rPr>
          <w:rFonts w:ascii="Book Antiqua" w:hAnsi="Book Antiqua"/>
          <w:sz w:val="24"/>
          <w:szCs w:val="24"/>
        </w:rPr>
        <w:t>: 558-574 [PMID: 19765110 DOI: 10.1111/j.1365-2613.2009.00667.x]</w:t>
      </w:r>
    </w:p>
    <w:p w14:paraId="011D201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136 </w:t>
      </w:r>
      <w:r w:rsidRPr="000749B2">
        <w:rPr>
          <w:rFonts w:ascii="Book Antiqua" w:hAnsi="Book Antiqua"/>
          <w:b/>
          <w:sz w:val="24"/>
          <w:szCs w:val="24"/>
        </w:rPr>
        <w:t>Haigis KM</w:t>
      </w:r>
      <w:r w:rsidRPr="000749B2">
        <w:rPr>
          <w:rFonts w:ascii="Book Antiqua" w:hAnsi="Book Antiqua"/>
          <w:sz w:val="24"/>
          <w:szCs w:val="24"/>
        </w:rPr>
        <w:t xml:space="preserve">, Kendall KR, Wang Y, Cheung A, Haigis MC, Glickman JN, Niwa-Kawakita M, Sweet-Cordero A, Sebolt-Leopold J, Shannon KM, Settleman J, Giovannini M, Jacks T. Differential effects of oncogenic K-Ras and N-Ras on proliferation, differentiation and tumor progression in the colon. </w:t>
      </w:r>
      <w:r w:rsidRPr="000749B2">
        <w:rPr>
          <w:rFonts w:ascii="Book Antiqua" w:hAnsi="Book Antiqua"/>
          <w:i/>
          <w:sz w:val="24"/>
          <w:szCs w:val="24"/>
        </w:rPr>
        <w:t>Nat Genet</w:t>
      </w:r>
      <w:r w:rsidRPr="000749B2">
        <w:rPr>
          <w:rFonts w:ascii="Book Antiqua" w:hAnsi="Book Antiqua"/>
          <w:sz w:val="24"/>
          <w:szCs w:val="24"/>
        </w:rPr>
        <w:t xml:space="preserve"> 2008; </w:t>
      </w:r>
      <w:r w:rsidRPr="000749B2">
        <w:rPr>
          <w:rFonts w:ascii="Book Antiqua" w:hAnsi="Book Antiqua"/>
          <w:b/>
          <w:sz w:val="24"/>
          <w:szCs w:val="24"/>
        </w:rPr>
        <w:t>40</w:t>
      </w:r>
      <w:r w:rsidRPr="000749B2">
        <w:rPr>
          <w:rFonts w:ascii="Book Antiqua" w:hAnsi="Book Antiqua"/>
          <w:sz w:val="24"/>
          <w:szCs w:val="24"/>
        </w:rPr>
        <w:t>: 600-608 [PMID: 18372904 DOI: 10.1038/ng.115]</w:t>
      </w:r>
    </w:p>
    <w:p w14:paraId="5565A26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137 </w:t>
      </w:r>
      <w:r w:rsidRPr="000749B2">
        <w:rPr>
          <w:rFonts w:ascii="Book Antiqua" w:hAnsi="Book Antiqua"/>
          <w:b/>
          <w:sz w:val="24"/>
          <w:szCs w:val="24"/>
        </w:rPr>
        <w:t>Russo A</w:t>
      </w:r>
      <w:r w:rsidRPr="000749B2">
        <w:rPr>
          <w:rFonts w:ascii="Book Antiqua" w:hAnsi="Book Antiqua"/>
          <w:sz w:val="24"/>
          <w:szCs w:val="24"/>
        </w:rPr>
        <w:t xml:space="preserve">, Bazan V, Iacopetta B, Kerr D, Soussi T, Gebbia N; TP53-CRC Collaborative Study Group. The TP53 colorectal cancer international collaborative study on the prognostic and predictive significance of p53 mutation: influence of tumor site, type of mutation, and adjuvant treatment. </w:t>
      </w:r>
      <w:r w:rsidRPr="000749B2">
        <w:rPr>
          <w:rFonts w:ascii="Book Antiqua" w:hAnsi="Book Antiqua"/>
          <w:i/>
          <w:sz w:val="24"/>
          <w:szCs w:val="24"/>
        </w:rPr>
        <w:t>J Clin Oncol</w:t>
      </w:r>
      <w:r w:rsidRPr="000749B2">
        <w:rPr>
          <w:rFonts w:ascii="Book Antiqua" w:hAnsi="Book Antiqua"/>
          <w:sz w:val="24"/>
          <w:szCs w:val="24"/>
        </w:rPr>
        <w:t xml:space="preserve"> 2005; </w:t>
      </w:r>
      <w:r w:rsidRPr="000749B2">
        <w:rPr>
          <w:rFonts w:ascii="Book Antiqua" w:hAnsi="Book Antiqua"/>
          <w:b/>
          <w:sz w:val="24"/>
          <w:szCs w:val="24"/>
        </w:rPr>
        <w:t>23</w:t>
      </w:r>
      <w:r w:rsidRPr="000749B2">
        <w:rPr>
          <w:rFonts w:ascii="Book Antiqua" w:hAnsi="Book Antiqua"/>
          <w:sz w:val="24"/>
          <w:szCs w:val="24"/>
        </w:rPr>
        <w:t>: 7518-7528 [PMID: 16172461 DOI: 10.1200/JCO.2005.00.471]</w:t>
      </w:r>
    </w:p>
    <w:p w14:paraId="3714D15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138 </w:t>
      </w:r>
      <w:r w:rsidRPr="000749B2">
        <w:rPr>
          <w:rFonts w:ascii="Book Antiqua" w:hAnsi="Book Antiqua"/>
          <w:b/>
          <w:sz w:val="24"/>
          <w:szCs w:val="24"/>
        </w:rPr>
        <w:t>Iacopetta B</w:t>
      </w:r>
      <w:r w:rsidRPr="000749B2">
        <w:rPr>
          <w:rFonts w:ascii="Book Antiqua" w:hAnsi="Book Antiqua"/>
          <w:sz w:val="24"/>
          <w:szCs w:val="24"/>
        </w:rPr>
        <w:t xml:space="preserve">, Russo A, Bazan V, Dardanoni G, Gebbia N, Soussi T, Kerr D, Elsaleh H, Soong R, Kandioler D, Janschek E, Kappel S, Lung M, Leung CS, Ko JM, Yuen S, Ho J, Leung SY, Crapez E, Duffour J, Ychou M, Leahy DT, O'Donoghue DP, Agnese V, Cascio S, Di Fede G, Chieco-Bianchi L, Bertorelle R, Belluco C, Giaretti W, Castagnola P, Ricevuto E, Ficorella C, Bosari S, Arizzi CD, Miyaki M, Onda M, Kampman E, Diergaarde B, Royds J, Lothe RA, Diep CB, Meling GI, Ostrowski J, </w:t>
      </w:r>
      <w:r w:rsidRPr="000749B2">
        <w:rPr>
          <w:rFonts w:ascii="Book Antiqua" w:hAnsi="Book Antiqua"/>
          <w:sz w:val="24"/>
          <w:szCs w:val="24"/>
        </w:rPr>
        <w:lastRenderedPageBreak/>
        <w:t xml:space="preserve">Trzeciak L, Guzinska-Ustymowicz K, Zalewski B, Capellá GM, Moreno V, Peinado MA, Lönnroth C, Lundholm K, Sun XF, Jansson A, Bouzourene H, Hsieh LL, Tang R, Smith DR, Allen-Mersh TG, Khan ZA, Shorthouse AJ, Silverman ML, Kato S, Ishioka C; TP53-CRC Collaborative Group. Functional categories of TP53 mutation in colorectal cancer: results of an International Collaborative Study. </w:t>
      </w:r>
      <w:r w:rsidRPr="000749B2">
        <w:rPr>
          <w:rFonts w:ascii="Book Antiqua" w:hAnsi="Book Antiqua"/>
          <w:i/>
          <w:sz w:val="24"/>
          <w:szCs w:val="24"/>
        </w:rPr>
        <w:t>Ann Oncol</w:t>
      </w:r>
      <w:r w:rsidRPr="000749B2">
        <w:rPr>
          <w:rFonts w:ascii="Book Antiqua" w:hAnsi="Book Antiqua"/>
          <w:sz w:val="24"/>
          <w:szCs w:val="24"/>
        </w:rPr>
        <w:t xml:space="preserve"> 2006; </w:t>
      </w:r>
      <w:r w:rsidRPr="000749B2">
        <w:rPr>
          <w:rFonts w:ascii="Book Antiqua" w:hAnsi="Book Antiqua"/>
          <w:b/>
          <w:sz w:val="24"/>
          <w:szCs w:val="24"/>
        </w:rPr>
        <w:t>17</w:t>
      </w:r>
      <w:r w:rsidRPr="000749B2">
        <w:rPr>
          <w:rFonts w:ascii="Book Antiqua" w:hAnsi="Book Antiqua"/>
          <w:sz w:val="24"/>
          <w:szCs w:val="24"/>
        </w:rPr>
        <w:t>: 842-847 [PMID: 16524972 DOI: 10.1093/annonc/mdl035]</w:t>
      </w:r>
    </w:p>
    <w:p w14:paraId="34AEEBB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139 </w:t>
      </w:r>
      <w:r w:rsidRPr="000749B2">
        <w:rPr>
          <w:rFonts w:ascii="Book Antiqua" w:hAnsi="Book Antiqua"/>
          <w:b/>
          <w:sz w:val="24"/>
          <w:szCs w:val="24"/>
        </w:rPr>
        <w:t>Nakayama M</w:t>
      </w:r>
      <w:r w:rsidRPr="000749B2">
        <w:rPr>
          <w:rFonts w:ascii="Book Antiqua" w:hAnsi="Book Antiqua"/>
          <w:sz w:val="24"/>
          <w:szCs w:val="24"/>
        </w:rPr>
        <w:t xml:space="preserve">, Sakai E, Echizen K, Yamada Y, Oshima H, Han TS, Ohki R, Fujii S, Ochiai A, Robine S, Voon DC, Tanaka T, Taketo MM, Oshima M. Intestinal cancer progression by mutant p53 through the acquisition of invasiveness associated with complex glandular formation. </w:t>
      </w:r>
      <w:r w:rsidRPr="000749B2">
        <w:rPr>
          <w:rFonts w:ascii="Book Antiqua" w:hAnsi="Book Antiqua"/>
          <w:i/>
          <w:sz w:val="24"/>
          <w:szCs w:val="24"/>
        </w:rPr>
        <w:t>Oncogene</w:t>
      </w:r>
      <w:r w:rsidRPr="000749B2">
        <w:rPr>
          <w:rFonts w:ascii="Book Antiqua" w:hAnsi="Book Antiqua"/>
          <w:sz w:val="24"/>
          <w:szCs w:val="24"/>
        </w:rPr>
        <w:t xml:space="preserve"> 2017; </w:t>
      </w:r>
      <w:r w:rsidRPr="000749B2">
        <w:rPr>
          <w:rFonts w:ascii="Book Antiqua" w:hAnsi="Book Antiqua"/>
          <w:b/>
          <w:sz w:val="24"/>
          <w:szCs w:val="24"/>
        </w:rPr>
        <w:t>36</w:t>
      </w:r>
      <w:r w:rsidRPr="000749B2">
        <w:rPr>
          <w:rFonts w:ascii="Book Antiqua" w:hAnsi="Book Antiqua"/>
          <w:sz w:val="24"/>
          <w:szCs w:val="24"/>
        </w:rPr>
        <w:t>: 5885-5896 [PMID: 28628120 DOI: 10.1038/onc.2017.194]</w:t>
      </w:r>
    </w:p>
    <w:p w14:paraId="3594A1E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140 </w:t>
      </w:r>
      <w:r w:rsidRPr="000749B2">
        <w:rPr>
          <w:rFonts w:ascii="Book Antiqua" w:hAnsi="Book Antiqua"/>
          <w:b/>
          <w:sz w:val="24"/>
          <w:szCs w:val="24"/>
        </w:rPr>
        <w:t>Sakai E</w:t>
      </w:r>
      <w:r w:rsidRPr="000749B2">
        <w:rPr>
          <w:rFonts w:ascii="Book Antiqua" w:hAnsi="Book Antiqua"/>
          <w:sz w:val="24"/>
          <w:szCs w:val="24"/>
        </w:rPr>
        <w:t xml:space="preserve">, Nakayama M, Oshima H, Kouyama Y, Niida A, Fujii S, Ochiai A, Nakayama KI, Mimori K, Suzuki Y, Hong CP, Ock CY, Kim SJ, Oshima M. Combined Mutation of </w:t>
      </w:r>
      <w:r w:rsidRPr="000749B2">
        <w:rPr>
          <w:rFonts w:ascii="Book Antiqua" w:hAnsi="Book Antiqua"/>
          <w:i/>
          <w:sz w:val="24"/>
          <w:szCs w:val="24"/>
        </w:rPr>
        <w:t>Apc, Kras</w:t>
      </w:r>
      <w:r w:rsidRPr="000749B2">
        <w:rPr>
          <w:rFonts w:ascii="Book Antiqua" w:hAnsi="Book Antiqua"/>
          <w:sz w:val="24"/>
          <w:szCs w:val="24"/>
        </w:rPr>
        <w:t xml:space="preserve">, and </w:t>
      </w:r>
      <w:r w:rsidRPr="000749B2">
        <w:rPr>
          <w:rFonts w:ascii="Book Antiqua" w:hAnsi="Book Antiqua"/>
          <w:i/>
          <w:sz w:val="24"/>
          <w:szCs w:val="24"/>
        </w:rPr>
        <w:t>Tgfbr2</w:t>
      </w:r>
      <w:r w:rsidRPr="000749B2">
        <w:rPr>
          <w:rFonts w:ascii="Book Antiqua" w:hAnsi="Book Antiqua"/>
          <w:sz w:val="24"/>
          <w:szCs w:val="24"/>
        </w:rPr>
        <w:t xml:space="preserve"> Effectively Drives Metastasis of Intestinal Cancer. </w:t>
      </w:r>
      <w:r w:rsidRPr="000749B2">
        <w:rPr>
          <w:rFonts w:ascii="Book Antiqua" w:hAnsi="Book Antiqua"/>
          <w:i/>
          <w:sz w:val="24"/>
          <w:szCs w:val="24"/>
        </w:rPr>
        <w:t>Cancer Res</w:t>
      </w:r>
      <w:r w:rsidRPr="000749B2">
        <w:rPr>
          <w:rFonts w:ascii="Book Antiqua" w:hAnsi="Book Antiqua"/>
          <w:sz w:val="24"/>
          <w:szCs w:val="24"/>
        </w:rPr>
        <w:t xml:space="preserve"> 2018; </w:t>
      </w:r>
      <w:r w:rsidRPr="000749B2">
        <w:rPr>
          <w:rFonts w:ascii="Book Antiqua" w:hAnsi="Book Antiqua"/>
          <w:b/>
          <w:sz w:val="24"/>
          <w:szCs w:val="24"/>
        </w:rPr>
        <w:t>78</w:t>
      </w:r>
      <w:r w:rsidRPr="000749B2">
        <w:rPr>
          <w:rFonts w:ascii="Book Antiqua" w:hAnsi="Book Antiqua"/>
          <w:sz w:val="24"/>
          <w:szCs w:val="24"/>
        </w:rPr>
        <w:t>: 1334-1346 [PMID: 29282223 DOI: 10.1158/0008-5472.CAN-17-3303]</w:t>
      </w:r>
    </w:p>
    <w:p w14:paraId="22148C3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141 </w:t>
      </w:r>
      <w:r w:rsidRPr="000749B2">
        <w:rPr>
          <w:rFonts w:ascii="Book Antiqua" w:hAnsi="Book Antiqua"/>
          <w:b/>
          <w:sz w:val="24"/>
          <w:szCs w:val="24"/>
        </w:rPr>
        <w:t>Chanrion M</w:t>
      </w:r>
      <w:r w:rsidRPr="000749B2">
        <w:rPr>
          <w:rFonts w:ascii="Book Antiqua" w:hAnsi="Book Antiqua"/>
          <w:sz w:val="24"/>
          <w:szCs w:val="24"/>
        </w:rPr>
        <w:t xml:space="preserve">, Kuperstein I, Barrière C, El Marjou F, Cohen D, Vignjevic D, Stimmer L, Paul-Gilloteaux P, Bièche I, Tavares Sdos R, Boccia GF, Cacheux W, Meseure D, Fre S, Martignetti L, Legoix-Né P, Girard E, Fetler L, Barillot E, Louvard D, Zinovyev A, Robine S. Concomitant Notch activation and p53 deletion trigger epithelial-to-mesenchymal transition and metastasis in mouse gut. </w:t>
      </w:r>
      <w:r w:rsidRPr="000749B2">
        <w:rPr>
          <w:rFonts w:ascii="Book Antiqua" w:hAnsi="Book Antiqua"/>
          <w:i/>
          <w:sz w:val="24"/>
          <w:szCs w:val="24"/>
        </w:rPr>
        <w:t>Nat Commun</w:t>
      </w:r>
      <w:r w:rsidRPr="000749B2">
        <w:rPr>
          <w:rFonts w:ascii="Book Antiqua" w:hAnsi="Book Antiqua"/>
          <w:sz w:val="24"/>
          <w:szCs w:val="24"/>
        </w:rPr>
        <w:t xml:space="preserve"> 2014; </w:t>
      </w:r>
      <w:r w:rsidRPr="000749B2">
        <w:rPr>
          <w:rFonts w:ascii="Book Antiqua" w:hAnsi="Book Antiqua"/>
          <w:b/>
          <w:sz w:val="24"/>
          <w:szCs w:val="24"/>
        </w:rPr>
        <w:t>5</w:t>
      </w:r>
      <w:r w:rsidRPr="000749B2">
        <w:rPr>
          <w:rFonts w:ascii="Book Antiqua" w:hAnsi="Book Antiqua"/>
          <w:sz w:val="24"/>
          <w:szCs w:val="24"/>
        </w:rPr>
        <w:t>: 5005 [PMID: 25295490 DOI: 10.1038/ncomms6005]</w:t>
      </w:r>
    </w:p>
    <w:p w14:paraId="0952E2C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142 </w:t>
      </w:r>
      <w:r w:rsidRPr="000749B2">
        <w:rPr>
          <w:rFonts w:ascii="Book Antiqua" w:hAnsi="Book Antiqua"/>
          <w:b/>
          <w:sz w:val="24"/>
          <w:szCs w:val="24"/>
        </w:rPr>
        <w:t>Fre S</w:t>
      </w:r>
      <w:r w:rsidRPr="000749B2">
        <w:rPr>
          <w:rFonts w:ascii="Book Antiqua" w:hAnsi="Book Antiqua"/>
          <w:sz w:val="24"/>
          <w:szCs w:val="24"/>
        </w:rPr>
        <w:t xml:space="preserve">, Pallavi SK, Huyghe M, Laé M, Janssen KP, Robine S, Artavanis-Tsakonas S, Louvard D. Notch and Wnt signals cooperatively control cell proliferation and tumorigenesis in the intestine. </w:t>
      </w:r>
      <w:r w:rsidRPr="000749B2">
        <w:rPr>
          <w:rFonts w:ascii="Book Antiqua" w:hAnsi="Book Antiqua"/>
          <w:i/>
          <w:sz w:val="24"/>
          <w:szCs w:val="24"/>
        </w:rPr>
        <w:t>Proc Natl Acad Sci U S A</w:t>
      </w:r>
      <w:r w:rsidRPr="000749B2">
        <w:rPr>
          <w:rFonts w:ascii="Book Antiqua" w:hAnsi="Book Antiqua"/>
          <w:sz w:val="24"/>
          <w:szCs w:val="24"/>
        </w:rPr>
        <w:t xml:space="preserve"> 2009; </w:t>
      </w:r>
      <w:r w:rsidRPr="000749B2">
        <w:rPr>
          <w:rFonts w:ascii="Book Antiqua" w:hAnsi="Book Antiqua"/>
          <w:b/>
          <w:sz w:val="24"/>
          <w:szCs w:val="24"/>
        </w:rPr>
        <w:t>106</w:t>
      </w:r>
      <w:r w:rsidRPr="000749B2">
        <w:rPr>
          <w:rFonts w:ascii="Book Antiqua" w:hAnsi="Book Antiqua"/>
          <w:sz w:val="24"/>
          <w:szCs w:val="24"/>
        </w:rPr>
        <w:t>: 6309-6314 [PMID: 19251639 DOI: 10.1073/pnas.0900427106]</w:t>
      </w:r>
    </w:p>
    <w:p w14:paraId="4BD2E83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143 </w:t>
      </w:r>
      <w:r w:rsidRPr="000749B2">
        <w:rPr>
          <w:rFonts w:ascii="Book Antiqua" w:hAnsi="Book Antiqua"/>
          <w:b/>
          <w:sz w:val="24"/>
          <w:szCs w:val="24"/>
        </w:rPr>
        <w:t>Dow LE</w:t>
      </w:r>
      <w:r w:rsidRPr="000749B2">
        <w:rPr>
          <w:rFonts w:ascii="Book Antiqua" w:hAnsi="Book Antiqua"/>
          <w:sz w:val="24"/>
          <w:szCs w:val="24"/>
        </w:rPr>
        <w:t xml:space="preserve">, O'Rourke KP, Simon J, Tschaharganeh DF, van Es JH, Clevers H, Lowe SW. Apc Restoration Promotes Cellular Differentiation and Reestablishes Crypt Homeostasis in Colorectal Cancer. </w:t>
      </w:r>
      <w:r w:rsidRPr="000749B2">
        <w:rPr>
          <w:rFonts w:ascii="Book Antiqua" w:hAnsi="Book Antiqua"/>
          <w:i/>
          <w:sz w:val="24"/>
          <w:szCs w:val="24"/>
        </w:rPr>
        <w:t>Cell</w:t>
      </w:r>
      <w:r w:rsidRPr="000749B2">
        <w:rPr>
          <w:rFonts w:ascii="Book Antiqua" w:hAnsi="Book Antiqua"/>
          <w:sz w:val="24"/>
          <w:szCs w:val="24"/>
        </w:rPr>
        <w:t xml:space="preserve"> 2015; </w:t>
      </w:r>
      <w:r w:rsidRPr="000749B2">
        <w:rPr>
          <w:rFonts w:ascii="Book Antiqua" w:hAnsi="Book Antiqua"/>
          <w:b/>
          <w:sz w:val="24"/>
          <w:szCs w:val="24"/>
        </w:rPr>
        <w:t>161</w:t>
      </w:r>
      <w:r w:rsidRPr="000749B2">
        <w:rPr>
          <w:rFonts w:ascii="Book Antiqua" w:hAnsi="Book Antiqua"/>
          <w:sz w:val="24"/>
          <w:szCs w:val="24"/>
        </w:rPr>
        <w:t>: 1539-1552 [PMID: 26091037 DOI: 10.1016/j.cell.2015.05.033]</w:t>
      </w:r>
    </w:p>
    <w:p w14:paraId="7523BD2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144 </w:t>
      </w:r>
      <w:r w:rsidRPr="000749B2">
        <w:rPr>
          <w:rFonts w:ascii="Book Antiqua" w:hAnsi="Book Antiqua"/>
          <w:b/>
          <w:sz w:val="24"/>
          <w:szCs w:val="24"/>
        </w:rPr>
        <w:t>Mao JH</w:t>
      </w:r>
      <w:r w:rsidRPr="000749B2">
        <w:rPr>
          <w:rFonts w:ascii="Book Antiqua" w:hAnsi="Book Antiqua"/>
          <w:sz w:val="24"/>
          <w:szCs w:val="24"/>
        </w:rPr>
        <w:t xml:space="preserve">, Perez-Losada J, Wu D, Delrosario R, Tsunematsu R, Nakayama KI, Brown K, Bryson S, Balmain A. Fbxw7/Cdc4 is a p53-dependent, haploinsufficient tumour suppressor gene. </w:t>
      </w:r>
      <w:r w:rsidRPr="000749B2">
        <w:rPr>
          <w:rFonts w:ascii="Book Antiqua" w:hAnsi="Book Antiqua"/>
          <w:i/>
          <w:sz w:val="24"/>
          <w:szCs w:val="24"/>
        </w:rPr>
        <w:t>Nature</w:t>
      </w:r>
      <w:r w:rsidRPr="000749B2">
        <w:rPr>
          <w:rFonts w:ascii="Book Antiqua" w:hAnsi="Book Antiqua"/>
          <w:sz w:val="24"/>
          <w:szCs w:val="24"/>
        </w:rPr>
        <w:t xml:space="preserve"> 2004; </w:t>
      </w:r>
      <w:r w:rsidRPr="000749B2">
        <w:rPr>
          <w:rFonts w:ascii="Book Antiqua" w:hAnsi="Book Antiqua"/>
          <w:b/>
          <w:sz w:val="24"/>
          <w:szCs w:val="24"/>
        </w:rPr>
        <w:t>432</w:t>
      </w:r>
      <w:r w:rsidRPr="000749B2">
        <w:rPr>
          <w:rFonts w:ascii="Book Antiqua" w:hAnsi="Book Antiqua"/>
          <w:sz w:val="24"/>
          <w:szCs w:val="24"/>
        </w:rPr>
        <w:t>: 775-779 [PMID: 15592418 DOI: 10.1038/nature03155]</w:t>
      </w:r>
    </w:p>
    <w:p w14:paraId="771D6BD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145 </w:t>
      </w:r>
      <w:r w:rsidRPr="000749B2">
        <w:rPr>
          <w:rFonts w:ascii="Book Antiqua" w:hAnsi="Book Antiqua"/>
          <w:b/>
          <w:sz w:val="24"/>
          <w:szCs w:val="24"/>
        </w:rPr>
        <w:t>Welcker M</w:t>
      </w:r>
      <w:r w:rsidRPr="000749B2">
        <w:rPr>
          <w:rFonts w:ascii="Book Antiqua" w:hAnsi="Book Antiqua"/>
          <w:sz w:val="24"/>
          <w:szCs w:val="24"/>
        </w:rPr>
        <w:t xml:space="preserve">, Clurman BE. FBW7 ubiquitin ligase: a tumour suppressor at the crossroads of cell division, growth and differentiation. </w:t>
      </w:r>
      <w:r w:rsidRPr="000749B2">
        <w:rPr>
          <w:rFonts w:ascii="Book Antiqua" w:hAnsi="Book Antiqua"/>
          <w:i/>
          <w:sz w:val="24"/>
          <w:szCs w:val="24"/>
        </w:rPr>
        <w:t>Nat Rev Cancer</w:t>
      </w:r>
      <w:r w:rsidRPr="000749B2">
        <w:rPr>
          <w:rFonts w:ascii="Book Antiqua" w:hAnsi="Book Antiqua"/>
          <w:sz w:val="24"/>
          <w:szCs w:val="24"/>
        </w:rPr>
        <w:t xml:space="preserve"> 2008; </w:t>
      </w:r>
      <w:r w:rsidRPr="000749B2">
        <w:rPr>
          <w:rFonts w:ascii="Book Antiqua" w:hAnsi="Book Antiqua"/>
          <w:b/>
          <w:sz w:val="24"/>
          <w:szCs w:val="24"/>
        </w:rPr>
        <w:t>8</w:t>
      </w:r>
      <w:r w:rsidRPr="000749B2">
        <w:rPr>
          <w:rFonts w:ascii="Book Antiqua" w:hAnsi="Book Antiqua"/>
          <w:sz w:val="24"/>
          <w:szCs w:val="24"/>
        </w:rPr>
        <w:t>: 83-93 [PMID: 18094723 DOI: 10.1038/nrc2290]</w:t>
      </w:r>
    </w:p>
    <w:p w14:paraId="3EBE368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146 </w:t>
      </w:r>
      <w:r w:rsidRPr="000749B2">
        <w:rPr>
          <w:rFonts w:ascii="Book Antiqua" w:hAnsi="Book Antiqua"/>
          <w:b/>
          <w:sz w:val="24"/>
          <w:szCs w:val="24"/>
        </w:rPr>
        <w:t>Babaei-Jadidi R</w:t>
      </w:r>
      <w:r w:rsidRPr="000749B2">
        <w:rPr>
          <w:rFonts w:ascii="Book Antiqua" w:hAnsi="Book Antiqua"/>
          <w:sz w:val="24"/>
          <w:szCs w:val="24"/>
        </w:rPr>
        <w:t xml:space="preserve">, Li N, Saadeddin A, Spencer-Dene B, Jandke A, Muhammad B, Ibrahim EE, Muraleedharan R, Abuzinadah M, Davis H, Lewis A, Watson S, Behrens A, Tomlinson I, Nateri AS. FBXW7 influences murine intestinal homeostasis and cancer, targeting Notch, Jun, and DEK for degradation. </w:t>
      </w:r>
      <w:r w:rsidRPr="000749B2">
        <w:rPr>
          <w:rFonts w:ascii="Book Antiqua" w:hAnsi="Book Antiqua"/>
          <w:i/>
          <w:sz w:val="24"/>
          <w:szCs w:val="24"/>
        </w:rPr>
        <w:t>J Exp Med</w:t>
      </w:r>
      <w:r w:rsidRPr="000749B2">
        <w:rPr>
          <w:rFonts w:ascii="Book Antiqua" w:hAnsi="Book Antiqua"/>
          <w:sz w:val="24"/>
          <w:szCs w:val="24"/>
        </w:rPr>
        <w:t xml:space="preserve"> 2011; </w:t>
      </w:r>
      <w:r w:rsidRPr="000749B2">
        <w:rPr>
          <w:rFonts w:ascii="Book Antiqua" w:hAnsi="Book Antiqua"/>
          <w:b/>
          <w:sz w:val="24"/>
          <w:szCs w:val="24"/>
        </w:rPr>
        <w:t>208</w:t>
      </w:r>
      <w:r w:rsidRPr="000749B2">
        <w:rPr>
          <w:rFonts w:ascii="Book Antiqua" w:hAnsi="Book Antiqua"/>
          <w:sz w:val="24"/>
          <w:szCs w:val="24"/>
        </w:rPr>
        <w:t>: 295-312 [PMID: 21282377 DOI: 10.1084/jem.20100830]</w:t>
      </w:r>
    </w:p>
    <w:p w14:paraId="223E876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147 </w:t>
      </w:r>
      <w:r w:rsidRPr="000749B2">
        <w:rPr>
          <w:rFonts w:ascii="Book Antiqua" w:hAnsi="Book Antiqua"/>
          <w:b/>
          <w:sz w:val="24"/>
          <w:szCs w:val="24"/>
        </w:rPr>
        <w:t>Sancho R</w:t>
      </w:r>
      <w:r w:rsidRPr="000749B2">
        <w:rPr>
          <w:rFonts w:ascii="Book Antiqua" w:hAnsi="Book Antiqua"/>
          <w:sz w:val="24"/>
          <w:szCs w:val="24"/>
        </w:rPr>
        <w:t xml:space="preserve">, Jandke A, Davis H, Diefenbacher ME, Tomlinson I, Behrens A. F-box and WD repeat domain-containing 7 regulates intestinal cell lineage commitment and is a haploinsufficient tumor suppressor. </w:t>
      </w:r>
      <w:r w:rsidRPr="000749B2">
        <w:rPr>
          <w:rFonts w:ascii="Book Antiqua" w:hAnsi="Book Antiqua"/>
          <w:i/>
          <w:sz w:val="24"/>
          <w:szCs w:val="24"/>
        </w:rPr>
        <w:t>Gastroenterology</w:t>
      </w:r>
      <w:r w:rsidRPr="000749B2">
        <w:rPr>
          <w:rFonts w:ascii="Book Antiqua" w:hAnsi="Book Antiqua"/>
          <w:sz w:val="24"/>
          <w:szCs w:val="24"/>
        </w:rPr>
        <w:t xml:space="preserve"> 2010; </w:t>
      </w:r>
      <w:r w:rsidRPr="000749B2">
        <w:rPr>
          <w:rFonts w:ascii="Book Antiqua" w:hAnsi="Book Antiqua"/>
          <w:b/>
          <w:sz w:val="24"/>
          <w:szCs w:val="24"/>
        </w:rPr>
        <w:t>139</w:t>
      </w:r>
      <w:r w:rsidRPr="000749B2">
        <w:rPr>
          <w:rFonts w:ascii="Book Antiqua" w:hAnsi="Book Antiqua"/>
          <w:sz w:val="24"/>
          <w:szCs w:val="24"/>
        </w:rPr>
        <w:t>: 929-941 [PMID: 20638938 DOI: 10.1053/j.gastro.2010.05.078]</w:t>
      </w:r>
    </w:p>
    <w:p w14:paraId="53DE24C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148 </w:t>
      </w:r>
      <w:r w:rsidRPr="000749B2">
        <w:rPr>
          <w:rFonts w:ascii="Book Antiqua" w:hAnsi="Book Antiqua"/>
          <w:b/>
          <w:sz w:val="24"/>
          <w:szCs w:val="24"/>
        </w:rPr>
        <w:t>Grim JE</w:t>
      </w:r>
      <w:r w:rsidRPr="000749B2">
        <w:rPr>
          <w:rFonts w:ascii="Book Antiqua" w:hAnsi="Book Antiqua"/>
          <w:sz w:val="24"/>
          <w:szCs w:val="24"/>
        </w:rPr>
        <w:t xml:space="preserve">, Knoblaugh SE, Guthrie KA, Hagar A, Swanger J, Hespelt J, Delrow JJ, Small T, Grady WM, Nakayama KI, Clurman BE. Fbw7 and p53 cooperatively suppress advanced and chromosomally unstable intestinal cancer. </w:t>
      </w:r>
      <w:r w:rsidRPr="000749B2">
        <w:rPr>
          <w:rFonts w:ascii="Book Antiqua" w:hAnsi="Book Antiqua"/>
          <w:i/>
          <w:sz w:val="24"/>
          <w:szCs w:val="24"/>
        </w:rPr>
        <w:t>Mol Cell Biol</w:t>
      </w:r>
      <w:r w:rsidRPr="000749B2">
        <w:rPr>
          <w:rFonts w:ascii="Book Antiqua" w:hAnsi="Book Antiqua"/>
          <w:sz w:val="24"/>
          <w:szCs w:val="24"/>
        </w:rPr>
        <w:t xml:space="preserve"> 2012; </w:t>
      </w:r>
      <w:r w:rsidRPr="000749B2">
        <w:rPr>
          <w:rFonts w:ascii="Book Antiqua" w:hAnsi="Book Antiqua"/>
          <w:b/>
          <w:sz w:val="24"/>
          <w:szCs w:val="24"/>
        </w:rPr>
        <w:t>32</w:t>
      </w:r>
      <w:r w:rsidRPr="000749B2">
        <w:rPr>
          <w:rFonts w:ascii="Book Antiqua" w:hAnsi="Book Antiqua"/>
          <w:sz w:val="24"/>
          <w:szCs w:val="24"/>
        </w:rPr>
        <w:t>: 2160-2167 [PMID: 22473991 DOI: 10.1128/MCB.00305-12]</w:t>
      </w:r>
    </w:p>
    <w:p w14:paraId="0C35F1B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149 </w:t>
      </w:r>
      <w:r w:rsidRPr="000749B2">
        <w:rPr>
          <w:rFonts w:ascii="Book Antiqua" w:hAnsi="Book Antiqua"/>
          <w:b/>
          <w:sz w:val="24"/>
          <w:szCs w:val="24"/>
        </w:rPr>
        <w:t>Faes S</w:t>
      </w:r>
      <w:r w:rsidRPr="000749B2">
        <w:rPr>
          <w:rFonts w:ascii="Book Antiqua" w:hAnsi="Book Antiqua"/>
          <w:sz w:val="24"/>
          <w:szCs w:val="24"/>
        </w:rPr>
        <w:t xml:space="preserve">, Dormond O. PI3K and AKT: Unfaithful Partners in Cancer. </w:t>
      </w:r>
      <w:r w:rsidRPr="000749B2">
        <w:rPr>
          <w:rFonts w:ascii="Book Antiqua" w:hAnsi="Book Antiqua"/>
          <w:i/>
          <w:sz w:val="24"/>
          <w:szCs w:val="24"/>
        </w:rPr>
        <w:t>Int J Mol Sci</w:t>
      </w:r>
      <w:r w:rsidRPr="000749B2">
        <w:rPr>
          <w:rFonts w:ascii="Book Antiqua" w:hAnsi="Book Antiqua"/>
          <w:sz w:val="24"/>
          <w:szCs w:val="24"/>
        </w:rPr>
        <w:t xml:space="preserve"> 2015; </w:t>
      </w:r>
      <w:r w:rsidRPr="000749B2">
        <w:rPr>
          <w:rFonts w:ascii="Book Antiqua" w:hAnsi="Book Antiqua"/>
          <w:b/>
          <w:sz w:val="24"/>
          <w:szCs w:val="24"/>
        </w:rPr>
        <w:t>16</w:t>
      </w:r>
      <w:r w:rsidRPr="000749B2">
        <w:rPr>
          <w:rFonts w:ascii="Book Antiqua" w:hAnsi="Book Antiqua"/>
          <w:sz w:val="24"/>
          <w:szCs w:val="24"/>
        </w:rPr>
        <w:t>: 21138-21152 [PMID: 26404259 DOI: 10.3390/ijms160921138]</w:t>
      </w:r>
    </w:p>
    <w:p w14:paraId="0C87946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150 </w:t>
      </w:r>
      <w:r w:rsidRPr="000749B2">
        <w:rPr>
          <w:rFonts w:ascii="Book Antiqua" w:hAnsi="Book Antiqua"/>
          <w:b/>
          <w:sz w:val="24"/>
          <w:szCs w:val="24"/>
        </w:rPr>
        <w:t>Leystra AA</w:t>
      </w:r>
      <w:r w:rsidRPr="000749B2">
        <w:rPr>
          <w:rFonts w:ascii="Book Antiqua" w:hAnsi="Book Antiqua"/>
          <w:sz w:val="24"/>
          <w:szCs w:val="24"/>
        </w:rPr>
        <w:t xml:space="preserve">, Deming DA, Zahm CD, Farhoud M, Olson TJ, Hadac JN, Nettekoven LA, Albrecht DM, Clipson L, Sullivan R, Washington MK, Torrealba JR, Weichert JP, Halberg RB. Mice expressing activated PI3K rapidly develop advanced colon cancer. </w:t>
      </w:r>
      <w:r w:rsidRPr="000749B2">
        <w:rPr>
          <w:rFonts w:ascii="Book Antiqua" w:hAnsi="Book Antiqua"/>
          <w:i/>
          <w:sz w:val="24"/>
          <w:szCs w:val="24"/>
        </w:rPr>
        <w:t>Cancer Res</w:t>
      </w:r>
      <w:r w:rsidRPr="000749B2">
        <w:rPr>
          <w:rFonts w:ascii="Book Antiqua" w:hAnsi="Book Antiqua"/>
          <w:sz w:val="24"/>
          <w:szCs w:val="24"/>
        </w:rPr>
        <w:t xml:space="preserve"> 2012; </w:t>
      </w:r>
      <w:r w:rsidRPr="000749B2">
        <w:rPr>
          <w:rFonts w:ascii="Book Antiqua" w:hAnsi="Book Antiqua"/>
          <w:b/>
          <w:sz w:val="24"/>
          <w:szCs w:val="24"/>
        </w:rPr>
        <w:t>72</w:t>
      </w:r>
      <w:r w:rsidRPr="000749B2">
        <w:rPr>
          <w:rFonts w:ascii="Book Antiqua" w:hAnsi="Book Antiqua"/>
          <w:sz w:val="24"/>
          <w:szCs w:val="24"/>
        </w:rPr>
        <w:t>: 2931-2936 [PMID: 22525701 DOI: 10.1158/0008-5472.CAN-11-4097]</w:t>
      </w:r>
    </w:p>
    <w:p w14:paraId="4855553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151 </w:t>
      </w:r>
      <w:r w:rsidRPr="000749B2">
        <w:rPr>
          <w:rFonts w:ascii="Book Antiqua" w:hAnsi="Book Antiqua"/>
          <w:b/>
          <w:sz w:val="24"/>
          <w:szCs w:val="24"/>
        </w:rPr>
        <w:t>Marsh V</w:t>
      </w:r>
      <w:r w:rsidRPr="000749B2">
        <w:rPr>
          <w:rFonts w:ascii="Book Antiqua" w:hAnsi="Book Antiqua"/>
          <w:sz w:val="24"/>
          <w:szCs w:val="24"/>
        </w:rPr>
        <w:t xml:space="preserve">, Winton DJ, Williams GT, Dubois N, Trumpp A, Sansom OJ, Clarke AR. Epithelial Pten is dispensable for intestinal homeostasis but suppresses adenoma development and progression after Apc mutation. </w:t>
      </w:r>
      <w:r w:rsidRPr="000749B2">
        <w:rPr>
          <w:rFonts w:ascii="Book Antiqua" w:hAnsi="Book Antiqua"/>
          <w:i/>
          <w:sz w:val="24"/>
          <w:szCs w:val="24"/>
        </w:rPr>
        <w:t>Nat Genet</w:t>
      </w:r>
      <w:r w:rsidRPr="000749B2">
        <w:rPr>
          <w:rFonts w:ascii="Book Antiqua" w:hAnsi="Book Antiqua"/>
          <w:sz w:val="24"/>
          <w:szCs w:val="24"/>
        </w:rPr>
        <w:t xml:space="preserve"> 2008; </w:t>
      </w:r>
      <w:r w:rsidRPr="000749B2">
        <w:rPr>
          <w:rFonts w:ascii="Book Antiqua" w:hAnsi="Book Antiqua"/>
          <w:b/>
          <w:sz w:val="24"/>
          <w:szCs w:val="24"/>
        </w:rPr>
        <w:t>40</w:t>
      </w:r>
      <w:r w:rsidRPr="000749B2">
        <w:rPr>
          <w:rFonts w:ascii="Book Antiqua" w:hAnsi="Book Antiqua"/>
          <w:sz w:val="24"/>
          <w:szCs w:val="24"/>
        </w:rPr>
        <w:t>: 1436-1444 [PMID: 19011632 DOI: 10.1038/ng.256]</w:t>
      </w:r>
    </w:p>
    <w:p w14:paraId="0CB1F28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152 </w:t>
      </w:r>
      <w:r w:rsidRPr="000749B2">
        <w:rPr>
          <w:rFonts w:ascii="Book Antiqua" w:hAnsi="Book Antiqua"/>
          <w:b/>
          <w:sz w:val="24"/>
          <w:szCs w:val="24"/>
        </w:rPr>
        <w:t>Davies EJ</w:t>
      </w:r>
      <w:r w:rsidRPr="000749B2">
        <w:rPr>
          <w:rFonts w:ascii="Book Antiqua" w:hAnsi="Book Antiqua"/>
          <w:sz w:val="24"/>
          <w:szCs w:val="24"/>
        </w:rPr>
        <w:t xml:space="preserve">, Marsh Durban V, Meniel V, Williams GT, Clarke AR. PTEN loss and KRAS activation leads to the formation of serrated adenomas and metastatic carcinoma in the mouse intestine. </w:t>
      </w:r>
      <w:r w:rsidRPr="000749B2">
        <w:rPr>
          <w:rFonts w:ascii="Book Antiqua" w:hAnsi="Book Antiqua"/>
          <w:i/>
          <w:sz w:val="24"/>
          <w:szCs w:val="24"/>
        </w:rPr>
        <w:t>J Pathol</w:t>
      </w:r>
      <w:r w:rsidRPr="000749B2">
        <w:rPr>
          <w:rFonts w:ascii="Book Antiqua" w:hAnsi="Book Antiqua"/>
          <w:sz w:val="24"/>
          <w:szCs w:val="24"/>
        </w:rPr>
        <w:t xml:space="preserve"> 2014; </w:t>
      </w:r>
      <w:r w:rsidRPr="000749B2">
        <w:rPr>
          <w:rFonts w:ascii="Book Antiqua" w:hAnsi="Book Antiqua"/>
          <w:b/>
          <w:sz w:val="24"/>
          <w:szCs w:val="24"/>
        </w:rPr>
        <w:t>233</w:t>
      </w:r>
      <w:r w:rsidRPr="000749B2">
        <w:rPr>
          <w:rFonts w:ascii="Book Antiqua" w:hAnsi="Book Antiqua"/>
          <w:sz w:val="24"/>
          <w:szCs w:val="24"/>
        </w:rPr>
        <w:t>: 27-38 [PMID: 24293351 DOI: 10.1002/path.4312]</w:t>
      </w:r>
    </w:p>
    <w:p w14:paraId="21B0C6B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153 </w:t>
      </w:r>
      <w:r w:rsidRPr="000749B2">
        <w:rPr>
          <w:rFonts w:ascii="Book Antiqua" w:hAnsi="Book Antiqua"/>
          <w:b/>
          <w:sz w:val="24"/>
          <w:szCs w:val="24"/>
        </w:rPr>
        <w:t>Yu M</w:t>
      </w:r>
      <w:r w:rsidRPr="000749B2">
        <w:rPr>
          <w:rFonts w:ascii="Book Antiqua" w:hAnsi="Book Antiqua"/>
          <w:sz w:val="24"/>
          <w:szCs w:val="24"/>
        </w:rPr>
        <w:t xml:space="preserve">, Trobridge P, Wang Y, Kanngurn S, Morris SM, Knoblaugh S, Grady WM. Inactivation of TGF-β signaling and loss of PTEN cooperate to induce colon cancer in vivo. </w:t>
      </w:r>
      <w:r w:rsidRPr="000749B2">
        <w:rPr>
          <w:rFonts w:ascii="Book Antiqua" w:hAnsi="Book Antiqua"/>
          <w:i/>
          <w:sz w:val="24"/>
          <w:szCs w:val="24"/>
        </w:rPr>
        <w:t>Oncogene</w:t>
      </w:r>
      <w:r w:rsidRPr="000749B2">
        <w:rPr>
          <w:rFonts w:ascii="Book Antiqua" w:hAnsi="Book Antiqua"/>
          <w:sz w:val="24"/>
          <w:szCs w:val="24"/>
        </w:rPr>
        <w:t xml:space="preserve"> 2014; </w:t>
      </w:r>
      <w:r w:rsidRPr="000749B2">
        <w:rPr>
          <w:rFonts w:ascii="Book Antiqua" w:hAnsi="Book Antiqua"/>
          <w:b/>
          <w:sz w:val="24"/>
          <w:szCs w:val="24"/>
        </w:rPr>
        <w:t>33</w:t>
      </w:r>
      <w:r w:rsidRPr="000749B2">
        <w:rPr>
          <w:rFonts w:ascii="Book Antiqua" w:hAnsi="Book Antiqua"/>
          <w:sz w:val="24"/>
          <w:szCs w:val="24"/>
        </w:rPr>
        <w:t>: 1538-1547 [PMID: 23604118 DOI: 10.1038/onc.2013.102]</w:t>
      </w:r>
    </w:p>
    <w:p w14:paraId="15C4D08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154 </w:t>
      </w:r>
      <w:r w:rsidRPr="000749B2">
        <w:rPr>
          <w:rFonts w:ascii="Book Antiqua" w:hAnsi="Book Antiqua"/>
          <w:b/>
          <w:sz w:val="24"/>
          <w:szCs w:val="24"/>
        </w:rPr>
        <w:t>Syed V</w:t>
      </w:r>
      <w:r w:rsidRPr="000749B2">
        <w:rPr>
          <w:rFonts w:ascii="Book Antiqua" w:hAnsi="Book Antiqua"/>
          <w:sz w:val="24"/>
          <w:szCs w:val="24"/>
        </w:rPr>
        <w:t xml:space="preserve">. TGF-β Signaling in Cancer. </w:t>
      </w:r>
      <w:r w:rsidRPr="000749B2">
        <w:rPr>
          <w:rFonts w:ascii="Book Antiqua" w:hAnsi="Book Antiqua"/>
          <w:i/>
          <w:sz w:val="24"/>
          <w:szCs w:val="24"/>
        </w:rPr>
        <w:t>J Cell Biochem</w:t>
      </w:r>
      <w:r w:rsidRPr="000749B2">
        <w:rPr>
          <w:rFonts w:ascii="Book Antiqua" w:hAnsi="Book Antiqua"/>
          <w:sz w:val="24"/>
          <w:szCs w:val="24"/>
        </w:rPr>
        <w:t xml:space="preserve"> 2016; </w:t>
      </w:r>
      <w:r w:rsidRPr="000749B2">
        <w:rPr>
          <w:rFonts w:ascii="Book Antiqua" w:hAnsi="Book Antiqua"/>
          <w:b/>
          <w:sz w:val="24"/>
          <w:szCs w:val="24"/>
        </w:rPr>
        <w:t>117</w:t>
      </w:r>
      <w:r w:rsidRPr="000749B2">
        <w:rPr>
          <w:rFonts w:ascii="Book Antiqua" w:hAnsi="Book Antiqua"/>
          <w:sz w:val="24"/>
          <w:szCs w:val="24"/>
        </w:rPr>
        <w:t>: 1279-1287 [PMID: 26774024 DOI: 10.1002/jcb.25496]</w:t>
      </w:r>
    </w:p>
    <w:p w14:paraId="3A8151D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155 </w:t>
      </w:r>
      <w:r w:rsidRPr="000749B2">
        <w:rPr>
          <w:rFonts w:ascii="Book Antiqua" w:hAnsi="Book Antiqua"/>
          <w:b/>
          <w:sz w:val="24"/>
          <w:szCs w:val="24"/>
        </w:rPr>
        <w:t>Nagaraj NS</w:t>
      </w:r>
      <w:r w:rsidRPr="000749B2">
        <w:rPr>
          <w:rFonts w:ascii="Book Antiqua" w:hAnsi="Book Antiqua"/>
          <w:sz w:val="24"/>
          <w:szCs w:val="24"/>
        </w:rPr>
        <w:t xml:space="preserve">, Datta PK. Targeting the transforming growth factor-beta signaling pathway in human cancer. </w:t>
      </w:r>
      <w:r w:rsidRPr="000749B2">
        <w:rPr>
          <w:rFonts w:ascii="Book Antiqua" w:hAnsi="Book Antiqua"/>
          <w:i/>
          <w:sz w:val="24"/>
          <w:szCs w:val="24"/>
        </w:rPr>
        <w:t>Expert Opin Investig Drugs</w:t>
      </w:r>
      <w:r w:rsidRPr="000749B2">
        <w:rPr>
          <w:rFonts w:ascii="Book Antiqua" w:hAnsi="Book Antiqua"/>
          <w:sz w:val="24"/>
          <w:szCs w:val="24"/>
        </w:rPr>
        <w:t xml:space="preserve"> 2010; </w:t>
      </w:r>
      <w:r w:rsidRPr="000749B2">
        <w:rPr>
          <w:rFonts w:ascii="Book Antiqua" w:hAnsi="Book Antiqua"/>
          <w:b/>
          <w:sz w:val="24"/>
          <w:szCs w:val="24"/>
        </w:rPr>
        <w:t>19</w:t>
      </w:r>
      <w:r w:rsidRPr="000749B2">
        <w:rPr>
          <w:rFonts w:ascii="Book Antiqua" w:hAnsi="Book Antiqua"/>
          <w:sz w:val="24"/>
          <w:szCs w:val="24"/>
        </w:rPr>
        <w:t>: 77-91 [PMID: 20001556 DOI: 10.1517/13543780903382609]</w:t>
      </w:r>
    </w:p>
    <w:p w14:paraId="0E2C994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156 </w:t>
      </w:r>
      <w:r w:rsidRPr="000749B2">
        <w:rPr>
          <w:rFonts w:ascii="Book Antiqua" w:hAnsi="Book Antiqua"/>
          <w:b/>
          <w:sz w:val="24"/>
          <w:szCs w:val="24"/>
        </w:rPr>
        <w:t>Alberici P</w:t>
      </w:r>
      <w:r w:rsidRPr="000749B2">
        <w:rPr>
          <w:rFonts w:ascii="Book Antiqua" w:hAnsi="Book Antiqua"/>
          <w:sz w:val="24"/>
          <w:szCs w:val="24"/>
        </w:rPr>
        <w:t xml:space="preserve">, Jagmohan-Changur S, De Pater E, Van Der Valk M, Smits R, Hohenstein P, Fodde R. Smad4 haploinsufficiency in mouse models for intestinal cancer. </w:t>
      </w:r>
      <w:r w:rsidRPr="000749B2">
        <w:rPr>
          <w:rFonts w:ascii="Book Antiqua" w:hAnsi="Book Antiqua"/>
          <w:i/>
          <w:sz w:val="24"/>
          <w:szCs w:val="24"/>
        </w:rPr>
        <w:t>Oncogene</w:t>
      </w:r>
      <w:r w:rsidRPr="000749B2">
        <w:rPr>
          <w:rFonts w:ascii="Book Antiqua" w:hAnsi="Book Antiqua"/>
          <w:sz w:val="24"/>
          <w:szCs w:val="24"/>
        </w:rPr>
        <w:t xml:space="preserve"> 2006; </w:t>
      </w:r>
      <w:r w:rsidRPr="000749B2">
        <w:rPr>
          <w:rFonts w:ascii="Book Antiqua" w:hAnsi="Book Antiqua"/>
          <w:b/>
          <w:sz w:val="24"/>
          <w:szCs w:val="24"/>
        </w:rPr>
        <w:t>25</w:t>
      </w:r>
      <w:r w:rsidRPr="000749B2">
        <w:rPr>
          <w:rFonts w:ascii="Book Antiqua" w:hAnsi="Book Antiqua"/>
          <w:sz w:val="24"/>
          <w:szCs w:val="24"/>
        </w:rPr>
        <w:t>: 1841-1851 [PMID: 16288217 DOI: 10.1038/sj.onc.1209226]</w:t>
      </w:r>
    </w:p>
    <w:p w14:paraId="600187F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157 </w:t>
      </w:r>
      <w:r w:rsidRPr="000749B2">
        <w:rPr>
          <w:rFonts w:ascii="Book Antiqua" w:hAnsi="Book Antiqua"/>
          <w:b/>
          <w:sz w:val="24"/>
          <w:szCs w:val="24"/>
        </w:rPr>
        <w:t>Takaku K</w:t>
      </w:r>
      <w:r w:rsidRPr="000749B2">
        <w:rPr>
          <w:rFonts w:ascii="Book Antiqua" w:hAnsi="Book Antiqua"/>
          <w:sz w:val="24"/>
          <w:szCs w:val="24"/>
        </w:rPr>
        <w:t xml:space="preserve">, Oshima M, Miyoshi H, Matsui M, Seldin MF, Taketo MM. Intestinal tumorigenesis in compound mutant mice of both Dpc4 (Smad4) and Apc genes. </w:t>
      </w:r>
      <w:r w:rsidRPr="000749B2">
        <w:rPr>
          <w:rFonts w:ascii="Book Antiqua" w:hAnsi="Book Antiqua"/>
          <w:i/>
          <w:sz w:val="24"/>
          <w:szCs w:val="24"/>
        </w:rPr>
        <w:t>Cell</w:t>
      </w:r>
      <w:r w:rsidRPr="000749B2">
        <w:rPr>
          <w:rFonts w:ascii="Book Antiqua" w:hAnsi="Book Antiqua"/>
          <w:sz w:val="24"/>
          <w:szCs w:val="24"/>
        </w:rPr>
        <w:t xml:space="preserve"> 1998; </w:t>
      </w:r>
      <w:r w:rsidRPr="000749B2">
        <w:rPr>
          <w:rFonts w:ascii="Book Antiqua" w:hAnsi="Book Antiqua"/>
          <w:b/>
          <w:sz w:val="24"/>
          <w:szCs w:val="24"/>
        </w:rPr>
        <w:t>92</w:t>
      </w:r>
      <w:r w:rsidRPr="000749B2">
        <w:rPr>
          <w:rFonts w:ascii="Book Antiqua" w:hAnsi="Book Antiqua"/>
          <w:sz w:val="24"/>
          <w:szCs w:val="24"/>
        </w:rPr>
        <w:t>: 645-656 [PMID: 9506519 DOI: 10.1016/s0092-8674(00)81132-0]</w:t>
      </w:r>
    </w:p>
    <w:p w14:paraId="35CA180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158 </w:t>
      </w:r>
      <w:r w:rsidRPr="000749B2">
        <w:rPr>
          <w:rFonts w:ascii="Book Antiqua" w:hAnsi="Book Antiqua"/>
          <w:b/>
          <w:sz w:val="24"/>
          <w:szCs w:val="24"/>
        </w:rPr>
        <w:t>Tetteh PW</w:t>
      </w:r>
      <w:r w:rsidRPr="000749B2">
        <w:rPr>
          <w:rFonts w:ascii="Book Antiqua" w:hAnsi="Book Antiqua"/>
          <w:sz w:val="24"/>
          <w:szCs w:val="24"/>
        </w:rPr>
        <w:t xml:space="preserve">, Kretzschmar K, Begthel H, van den Born M, Korving J, Morsink F, Farin H, van Es JH, Offerhaus GJ, Clevers H. Generation of an inducible colon-specific Cre enzyme mouse line for colon cancer research. </w:t>
      </w:r>
      <w:r w:rsidRPr="000749B2">
        <w:rPr>
          <w:rFonts w:ascii="Book Antiqua" w:hAnsi="Book Antiqua"/>
          <w:i/>
          <w:sz w:val="24"/>
          <w:szCs w:val="24"/>
        </w:rPr>
        <w:t>Proc Natl Acad Sci U S A</w:t>
      </w:r>
      <w:r w:rsidRPr="000749B2">
        <w:rPr>
          <w:rFonts w:ascii="Book Antiqua" w:hAnsi="Book Antiqua"/>
          <w:sz w:val="24"/>
          <w:szCs w:val="24"/>
        </w:rPr>
        <w:t xml:space="preserve"> 2016; </w:t>
      </w:r>
      <w:r w:rsidRPr="000749B2">
        <w:rPr>
          <w:rFonts w:ascii="Book Antiqua" w:hAnsi="Book Antiqua"/>
          <w:b/>
          <w:sz w:val="24"/>
          <w:szCs w:val="24"/>
        </w:rPr>
        <w:t>113</w:t>
      </w:r>
      <w:r w:rsidRPr="000749B2">
        <w:rPr>
          <w:rFonts w:ascii="Book Antiqua" w:hAnsi="Book Antiqua"/>
          <w:sz w:val="24"/>
          <w:szCs w:val="24"/>
        </w:rPr>
        <w:t>: 11859-11864 [PMID: 27708166 DOI: 10.1073/pnas.1614057113]</w:t>
      </w:r>
    </w:p>
    <w:p w14:paraId="250788D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159 </w:t>
      </w:r>
      <w:r w:rsidRPr="000749B2">
        <w:rPr>
          <w:rFonts w:ascii="Book Antiqua" w:hAnsi="Book Antiqua"/>
          <w:b/>
          <w:sz w:val="24"/>
          <w:szCs w:val="24"/>
        </w:rPr>
        <w:t>Takaku K</w:t>
      </w:r>
      <w:r w:rsidRPr="000749B2">
        <w:rPr>
          <w:rFonts w:ascii="Book Antiqua" w:hAnsi="Book Antiqua"/>
          <w:sz w:val="24"/>
          <w:szCs w:val="24"/>
        </w:rPr>
        <w:t xml:space="preserve">, Wrana JL, Robertson EJ, Taketo MM. No effects of Smad2 (madh2) null mutation on malignant progression of intestinal polyps in Apc(delta716) knockout mice. </w:t>
      </w:r>
      <w:r w:rsidRPr="000749B2">
        <w:rPr>
          <w:rFonts w:ascii="Book Antiqua" w:hAnsi="Book Antiqua"/>
          <w:i/>
          <w:sz w:val="24"/>
          <w:szCs w:val="24"/>
        </w:rPr>
        <w:t>Cancer Res</w:t>
      </w:r>
      <w:r w:rsidRPr="000749B2">
        <w:rPr>
          <w:rFonts w:ascii="Book Antiqua" w:hAnsi="Book Antiqua"/>
          <w:sz w:val="24"/>
          <w:szCs w:val="24"/>
        </w:rPr>
        <w:t xml:space="preserve"> 2002; </w:t>
      </w:r>
      <w:r w:rsidRPr="000749B2">
        <w:rPr>
          <w:rFonts w:ascii="Book Antiqua" w:hAnsi="Book Antiqua"/>
          <w:b/>
          <w:sz w:val="24"/>
          <w:szCs w:val="24"/>
        </w:rPr>
        <w:t>62</w:t>
      </w:r>
      <w:r w:rsidRPr="000749B2">
        <w:rPr>
          <w:rFonts w:ascii="Book Antiqua" w:hAnsi="Book Antiqua"/>
          <w:sz w:val="24"/>
          <w:szCs w:val="24"/>
        </w:rPr>
        <w:t>: 4558-4561 [PMID: 12183405]</w:t>
      </w:r>
    </w:p>
    <w:p w14:paraId="2D19C64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160 </w:t>
      </w:r>
      <w:r w:rsidRPr="000749B2">
        <w:rPr>
          <w:rFonts w:ascii="Book Antiqua" w:hAnsi="Book Antiqua"/>
          <w:b/>
          <w:sz w:val="24"/>
          <w:szCs w:val="24"/>
        </w:rPr>
        <w:t>Zhu Y</w:t>
      </w:r>
      <w:r w:rsidRPr="000749B2">
        <w:rPr>
          <w:rFonts w:ascii="Book Antiqua" w:hAnsi="Book Antiqua"/>
          <w:sz w:val="24"/>
          <w:szCs w:val="24"/>
        </w:rPr>
        <w:t xml:space="preserve">, Richardson JA, Parada LF, Graff JM. Smad3 mutant mice develop metastatic colorectal cancer. </w:t>
      </w:r>
      <w:r w:rsidRPr="000749B2">
        <w:rPr>
          <w:rFonts w:ascii="Book Antiqua" w:hAnsi="Book Antiqua"/>
          <w:i/>
          <w:sz w:val="24"/>
          <w:szCs w:val="24"/>
        </w:rPr>
        <w:t>Cell</w:t>
      </w:r>
      <w:r w:rsidRPr="000749B2">
        <w:rPr>
          <w:rFonts w:ascii="Book Antiqua" w:hAnsi="Book Antiqua"/>
          <w:sz w:val="24"/>
          <w:szCs w:val="24"/>
        </w:rPr>
        <w:t xml:space="preserve"> 1998; </w:t>
      </w:r>
      <w:r w:rsidRPr="000749B2">
        <w:rPr>
          <w:rFonts w:ascii="Book Antiqua" w:hAnsi="Book Antiqua"/>
          <w:b/>
          <w:sz w:val="24"/>
          <w:szCs w:val="24"/>
        </w:rPr>
        <w:t>94</w:t>
      </w:r>
      <w:r w:rsidRPr="000749B2">
        <w:rPr>
          <w:rFonts w:ascii="Book Antiqua" w:hAnsi="Book Antiqua"/>
          <w:sz w:val="24"/>
          <w:szCs w:val="24"/>
        </w:rPr>
        <w:t>: 703-714 [PMID: 9753318 DOI: 10.1016/s0092-8674(00)81730-4]</w:t>
      </w:r>
    </w:p>
    <w:p w14:paraId="50D926C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161 </w:t>
      </w:r>
      <w:r w:rsidRPr="000749B2">
        <w:rPr>
          <w:rFonts w:ascii="Book Antiqua" w:hAnsi="Book Antiqua"/>
          <w:b/>
          <w:sz w:val="24"/>
          <w:szCs w:val="24"/>
        </w:rPr>
        <w:t>Sodir NM</w:t>
      </w:r>
      <w:r w:rsidRPr="000749B2">
        <w:rPr>
          <w:rFonts w:ascii="Book Antiqua" w:hAnsi="Book Antiqua"/>
          <w:sz w:val="24"/>
          <w:szCs w:val="24"/>
        </w:rPr>
        <w:t xml:space="preserve">, Chen X, Park R, Nickel AE, Conti PS, Moats R, Bading JR, Shibata D, Laird PW. Smad3 deficiency promotes tumorigenesis in the distal colon of </w:t>
      </w:r>
      <w:r w:rsidRPr="000749B2">
        <w:rPr>
          <w:rFonts w:ascii="Book Antiqua" w:hAnsi="Book Antiqua"/>
          <w:sz w:val="24"/>
          <w:szCs w:val="24"/>
        </w:rPr>
        <w:lastRenderedPageBreak/>
        <w:t xml:space="preserve">ApcMin/+ mice. </w:t>
      </w:r>
      <w:r w:rsidRPr="000749B2">
        <w:rPr>
          <w:rFonts w:ascii="Book Antiqua" w:hAnsi="Book Antiqua"/>
          <w:i/>
          <w:sz w:val="24"/>
          <w:szCs w:val="24"/>
        </w:rPr>
        <w:t>Cancer Res</w:t>
      </w:r>
      <w:r w:rsidRPr="000749B2">
        <w:rPr>
          <w:rFonts w:ascii="Book Antiqua" w:hAnsi="Book Antiqua"/>
          <w:sz w:val="24"/>
          <w:szCs w:val="24"/>
        </w:rPr>
        <w:t xml:space="preserve"> 2006; </w:t>
      </w:r>
      <w:r w:rsidRPr="000749B2">
        <w:rPr>
          <w:rFonts w:ascii="Book Antiqua" w:hAnsi="Book Antiqua"/>
          <w:b/>
          <w:sz w:val="24"/>
          <w:szCs w:val="24"/>
        </w:rPr>
        <w:t>66</w:t>
      </w:r>
      <w:r w:rsidRPr="000749B2">
        <w:rPr>
          <w:rFonts w:ascii="Book Antiqua" w:hAnsi="Book Antiqua"/>
          <w:sz w:val="24"/>
          <w:szCs w:val="24"/>
        </w:rPr>
        <w:t>: 8430-8438 [PMID: 16951153 DOI: 10.1158/0008-5472.CAN-06-1437]</w:t>
      </w:r>
    </w:p>
    <w:p w14:paraId="35B2747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162 </w:t>
      </w:r>
      <w:r w:rsidRPr="000749B2">
        <w:rPr>
          <w:rFonts w:ascii="Book Antiqua" w:hAnsi="Book Antiqua"/>
          <w:b/>
          <w:sz w:val="24"/>
          <w:szCs w:val="24"/>
        </w:rPr>
        <w:t>Fleming NI</w:t>
      </w:r>
      <w:r w:rsidRPr="000749B2">
        <w:rPr>
          <w:rFonts w:ascii="Book Antiqua" w:hAnsi="Book Antiqua"/>
          <w:sz w:val="24"/>
          <w:szCs w:val="24"/>
        </w:rPr>
        <w:t xml:space="preserve">, Jorissen RN, Mouradov D, Christie M, Sakthianandeswaren A, Palmieri M, Day F, Li S, Tsui C, Lipton L, Desai J, Jones IT, McLaughlin S, Ward RL, Hawkins NJ, Ruszkiewicz AR, Moore J, Zhu HJ, Mariadason JM, Burgess AW, Busam D, Zhao Q, Strausberg RL, Gibbs P, Sieber OM. SMAD2, SMAD3 and SMAD4 mutations in colorectal cancer. </w:t>
      </w:r>
      <w:r w:rsidRPr="000749B2">
        <w:rPr>
          <w:rFonts w:ascii="Book Antiqua" w:hAnsi="Book Antiqua"/>
          <w:i/>
          <w:sz w:val="24"/>
          <w:szCs w:val="24"/>
        </w:rPr>
        <w:t>Cancer Res</w:t>
      </w:r>
      <w:r w:rsidRPr="000749B2">
        <w:rPr>
          <w:rFonts w:ascii="Book Antiqua" w:hAnsi="Book Antiqua"/>
          <w:sz w:val="24"/>
          <w:szCs w:val="24"/>
        </w:rPr>
        <w:t xml:space="preserve"> 2013; </w:t>
      </w:r>
      <w:r w:rsidRPr="000749B2">
        <w:rPr>
          <w:rFonts w:ascii="Book Antiqua" w:hAnsi="Book Antiqua"/>
          <w:b/>
          <w:sz w:val="24"/>
          <w:szCs w:val="24"/>
        </w:rPr>
        <w:t>73</w:t>
      </w:r>
      <w:r w:rsidRPr="000749B2">
        <w:rPr>
          <w:rFonts w:ascii="Book Antiqua" w:hAnsi="Book Antiqua"/>
          <w:sz w:val="24"/>
          <w:szCs w:val="24"/>
        </w:rPr>
        <w:t>: 725-735 [PMID: 23139211 DOI: 10.1158/0008-5472.CAN-12-2706]</w:t>
      </w:r>
    </w:p>
    <w:p w14:paraId="1A2AEBF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163 </w:t>
      </w:r>
      <w:r w:rsidRPr="000749B2">
        <w:rPr>
          <w:rFonts w:ascii="Book Antiqua" w:hAnsi="Book Antiqua"/>
          <w:b/>
          <w:sz w:val="24"/>
          <w:szCs w:val="24"/>
        </w:rPr>
        <w:t>Engle SJ</w:t>
      </w:r>
      <w:r w:rsidRPr="000749B2">
        <w:rPr>
          <w:rFonts w:ascii="Book Antiqua" w:hAnsi="Book Antiqua"/>
          <w:sz w:val="24"/>
          <w:szCs w:val="24"/>
        </w:rPr>
        <w:t xml:space="preserve">, Hoying JB, Boivin GP, Ormsby I, Gartside PS, Doetschman T. Transforming growth factor beta1 suppresses nonmetastatic colon cancer at an early stage of tumorigenesis. </w:t>
      </w:r>
      <w:r w:rsidRPr="000749B2">
        <w:rPr>
          <w:rFonts w:ascii="Book Antiqua" w:hAnsi="Book Antiqua"/>
          <w:i/>
          <w:sz w:val="24"/>
          <w:szCs w:val="24"/>
        </w:rPr>
        <w:t>Cancer Res</w:t>
      </w:r>
      <w:r w:rsidRPr="000749B2">
        <w:rPr>
          <w:rFonts w:ascii="Book Antiqua" w:hAnsi="Book Antiqua"/>
          <w:sz w:val="24"/>
          <w:szCs w:val="24"/>
        </w:rPr>
        <w:t xml:space="preserve"> 1999; </w:t>
      </w:r>
      <w:r w:rsidRPr="000749B2">
        <w:rPr>
          <w:rFonts w:ascii="Book Antiqua" w:hAnsi="Book Antiqua"/>
          <w:b/>
          <w:sz w:val="24"/>
          <w:szCs w:val="24"/>
        </w:rPr>
        <w:t>59</w:t>
      </w:r>
      <w:r w:rsidRPr="000749B2">
        <w:rPr>
          <w:rFonts w:ascii="Book Antiqua" w:hAnsi="Book Antiqua"/>
          <w:sz w:val="24"/>
          <w:szCs w:val="24"/>
        </w:rPr>
        <w:t>: 3379-3386 [PMID: 10416598]</w:t>
      </w:r>
    </w:p>
    <w:p w14:paraId="7BAA804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164 </w:t>
      </w:r>
      <w:r w:rsidRPr="000749B2">
        <w:rPr>
          <w:rFonts w:ascii="Book Antiqua" w:hAnsi="Book Antiqua"/>
          <w:b/>
          <w:sz w:val="24"/>
          <w:szCs w:val="24"/>
        </w:rPr>
        <w:t>Biswas S</w:t>
      </w:r>
      <w:r w:rsidRPr="000749B2">
        <w:rPr>
          <w:rFonts w:ascii="Book Antiqua" w:hAnsi="Book Antiqua"/>
          <w:sz w:val="24"/>
          <w:szCs w:val="24"/>
        </w:rPr>
        <w:t xml:space="preserve">, Guix M, Rinehart C, Dugger TC, Chytil A, Moses HL, Freeman ML, Arteaga CL. Inhibition of TGF-beta with neutralizing antibodies prevents radiation-induced acceleration of metastatic cancer progression. </w:t>
      </w:r>
      <w:r w:rsidRPr="000749B2">
        <w:rPr>
          <w:rFonts w:ascii="Book Antiqua" w:hAnsi="Book Antiqua"/>
          <w:i/>
          <w:sz w:val="24"/>
          <w:szCs w:val="24"/>
        </w:rPr>
        <w:t>J Clin Invest</w:t>
      </w:r>
      <w:r w:rsidRPr="000749B2">
        <w:rPr>
          <w:rFonts w:ascii="Book Antiqua" w:hAnsi="Book Antiqua"/>
          <w:sz w:val="24"/>
          <w:szCs w:val="24"/>
        </w:rPr>
        <w:t xml:space="preserve"> 2007; </w:t>
      </w:r>
      <w:r w:rsidRPr="000749B2">
        <w:rPr>
          <w:rFonts w:ascii="Book Antiqua" w:hAnsi="Book Antiqua"/>
          <w:b/>
          <w:sz w:val="24"/>
          <w:szCs w:val="24"/>
        </w:rPr>
        <w:t>117</w:t>
      </w:r>
      <w:r w:rsidRPr="000749B2">
        <w:rPr>
          <w:rFonts w:ascii="Book Antiqua" w:hAnsi="Book Antiqua"/>
          <w:sz w:val="24"/>
          <w:szCs w:val="24"/>
        </w:rPr>
        <w:t>: 1305-1313 [PMID: 17415413 DOI: 10.1172/JCI30740]</w:t>
      </w:r>
    </w:p>
    <w:p w14:paraId="5707E3B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165 </w:t>
      </w:r>
      <w:r w:rsidRPr="000749B2">
        <w:rPr>
          <w:rFonts w:ascii="Book Antiqua" w:hAnsi="Book Antiqua"/>
          <w:b/>
          <w:sz w:val="24"/>
          <w:szCs w:val="24"/>
        </w:rPr>
        <w:t>Oshima H</w:t>
      </w:r>
      <w:r w:rsidRPr="000749B2">
        <w:rPr>
          <w:rFonts w:ascii="Book Antiqua" w:hAnsi="Book Antiqua"/>
          <w:sz w:val="24"/>
          <w:szCs w:val="24"/>
        </w:rPr>
        <w:t xml:space="preserve">, Nakayama M, Han TS, Naoi K, Ju X, Maeda Y, Robine S, Tsuchiya K, Sato T, Sato H, Taketo MM, Oshima M. Suppressing TGFβ signaling in regenerating epithelia in an inflammatory microenvironment is sufficient to cause invasive intestinal cancer. </w:t>
      </w:r>
      <w:r w:rsidRPr="000749B2">
        <w:rPr>
          <w:rFonts w:ascii="Book Antiqua" w:hAnsi="Book Antiqua"/>
          <w:i/>
          <w:sz w:val="24"/>
          <w:szCs w:val="24"/>
        </w:rPr>
        <w:t>Cancer Res</w:t>
      </w:r>
      <w:r w:rsidRPr="000749B2">
        <w:rPr>
          <w:rFonts w:ascii="Book Antiqua" w:hAnsi="Book Antiqua"/>
          <w:sz w:val="24"/>
          <w:szCs w:val="24"/>
        </w:rPr>
        <w:t xml:space="preserve"> 2015; </w:t>
      </w:r>
      <w:r w:rsidRPr="000749B2">
        <w:rPr>
          <w:rFonts w:ascii="Book Antiqua" w:hAnsi="Book Antiqua"/>
          <w:b/>
          <w:sz w:val="24"/>
          <w:szCs w:val="24"/>
        </w:rPr>
        <w:t>75</w:t>
      </w:r>
      <w:r w:rsidRPr="000749B2">
        <w:rPr>
          <w:rFonts w:ascii="Book Antiqua" w:hAnsi="Book Antiqua"/>
          <w:sz w:val="24"/>
          <w:szCs w:val="24"/>
        </w:rPr>
        <w:t>: 766-776 [PMID: 25687406 DOI: 10.1158/0008-5472.CAN-14-2036]</w:t>
      </w:r>
    </w:p>
    <w:p w14:paraId="64B76E5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166 </w:t>
      </w:r>
      <w:r w:rsidRPr="000749B2">
        <w:rPr>
          <w:rFonts w:ascii="Book Antiqua" w:hAnsi="Book Antiqua"/>
          <w:b/>
          <w:sz w:val="24"/>
          <w:szCs w:val="24"/>
        </w:rPr>
        <w:t>Trobridge P</w:t>
      </w:r>
      <w:r w:rsidRPr="000749B2">
        <w:rPr>
          <w:rFonts w:ascii="Book Antiqua" w:hAnsi="Book Antiqua"/>
          <w:sz w:val="24"/>
          <w:szCs w:val="24"/>
        </w:rPr>
        <w:t xml:space="preserve">, Knoblaugh S, Washington MK, Munoz NM, Tsuchiya KD, Rojas A, Song X, Ulrich CM, Sasazuki T, Shirasawa S, Grady WM. TGF-beta receptor inactivation and mutant Kras induce intestinal neoplasms in mice via a beta-catenin-independent pathway. </w:t>
      </w:r>
      <w:r w:rsidRPr="000749B2">
        <w:rPr>
          <w:rFonts w:ascii="Book Antiqua" w:hAnsi="Book Antiqua"/>
          <w:i/>
          <w:sz w:val="24"/>
          <w:szCs w:val="24"/>
        </w:rPr>
        <w:t>Gastroenterology</w:t>
      </w:r>
      <w:r w:rsidRPr="000749B2">
        <w:rPr>
          <w:rFonts w:ascii="Book Antiqua" w:hAnsi="Book Antiqua"/>
          <w:sz w:val="24"/>
          <w:szCs w:val="24"/>
        </w:rPr>
        <w:t xml:space="preserve"> 2009; </w:t>
      </w:r>
      <w:r w:rsidRPr="000749B2">
        <w:rPr>
          <w:rFonts w:ascii="Book Antiqua" w:hAnsi="Book Antiqua"/>
          <w:b/>
          <w:sz w:val="24"/>
          <w:szCs w:val="24"/>
        </w:rPr>
        <w:t>136</w:t>
      </w:r>
      <w:r w:rsidRPr="000749B2">
        <w:rPr>
          <w:rFonts w:ascii="Book Antiqua" w:hAnsi="Book Antiqua"/>
          <w:sz w:val="24"/>
          <w:szCs w:val="24"/>
        </w:rPr>
        <w:t>: 1680-8.e7 [PMID: 19208363 DOI: 10.1053/j.gastro.2009.01.066]</w:t>
      </w:r>
    </w:p>
    <w:p w14:paraId="6C110CC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167 </w:t>
      </w:r>
      <w:r w:rsidRPr="000749B2">
        <w:rPr>
          <w:rFonts w:ascii="Book Antiqua" w:hAnsi="Book Antiqua"/>
          <w:b/>
          <w:sz w:val="24"/>
          <w:szCs w:val="24"/>
        </w:rPr>
        <w:t>Muñoz NM</w:t>
      </w:r>
      <w:r w:rsidRPr="000749B2">
        <w:rPr>
          <w:rFonts w:ascii="Book Antiqua" w:hAnsi="Book Antiqua"/>
          <w:sz w:val="24"/>
          <w:szCs w:val="24"/>
        </w:rPr>
        <w:t xml:space="preserve">, Upton M, Rojas A, Washington MK, Lin L, Chytil A, Sozmen EG, Madison BB, Pozzi A, Moon RT, Moses HL, Grady WM. Transforming growth factor beta receptor type II inactivation induces the malignant transformation of intestinal neoplasms initiated by Apc mutation. </w:t>
      </w:r>
      <w:r w:rsidRPr="000749B2">
        <w:rPr>
          <w:rFonts w:ascii="Book Antiqua" w:hAnsi="Book Antiqua"/>
          <w:i/>
          <w:sz w:val="24"/>
          <w:szCs w:val="24"/>
        </w:rPr>
        <w:t>Cancer Res</w:t>
      </w:r>
      <w:r w:rsidRPr="000749B2">
        <w:rPr>
          <w:rFonts w:ascii="Book Antiqua" w:hAnsi="Book Antiqua"/>
          <w:sz w:val="24"/>
          <w:szCs w:val="24"/>
        </w:rPr>
        <w:t xml:space="preserve"> 2006; </w:t>
      </w:r>
      <w:r w:rsidRPr="000749B2">
        <w:rPr>
          <w:rFonts w:ascii="Book Antiqua" w:hAnsi="Book Antiqua"/>
          <w:b/>
          <w:sz w:val="24"/>
          <w:szCs w:val="24"/>
        </w:rPr>
        <w:t>66</w:t>
      </w:r>
      <w:r w:rsidRPr="000749B2">
        <w:rPr>
          <w:rFonts w:ascii="Book Antiqua" w:hAnsi="Book Antiqua"/>
          <w:sz w:val="24"/>
          <w:szCs w:val="24"/>
        </w:rPr>
        <w:t>: 9837-9844 [PMID: 17047044 DOI: 10.1158/0008-5472.CAN-06-0890]</w:t>
      </w:r>
    </w:p>
    <w:p w14:paraId="6523C37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168 </w:t>
      </w:r>
      <w:r w:rsidRPr="000749B2">
        <w:rPr>
          <w:rFonts w:ascii="Book Antiqua" w:hAnsi="Book Antiqua"/>
          <w:b/>
          <w:sz w:val="24"/>
          <w:szCs w:val="24"/>
        </w:rPr>
        <w:t>Rajagopalan H</w:t>
      </w:r>
      <w:r w:rsidRPr="000749B2">
        <w:rPr>
          <w:rFonts w:ascii="Book Antiqua" w:hAnsi="Book Antiqua"/>
          <w:sz w:val="24"/>
          <w:szCs w:val="24"/>
        </w:rPr>
        <w:t xml:space="preserve">, Bardelli A, Lengauer C, Kinzler KW, Vogelstein B, Velculescu VE. Tumorigenesis: RAF/RAS oncogenes and mismatch-repair status. </w:t>
      </w:r>
      <w:r w:rsidRPr="000749B2">
        <w:rPr>
          <w:rFonts w:ascii="Book Antiqua" w:hAnsi="Book Antiqua"/>
          <w:i/>
          <w:sz w:val="24"/>
          <w:szCs w:val="24"/>
        </w:rPr>
        <w:t>Nature</w:t>
      </w:r>
      <w:r w:rsidRPr="000749B2">
        <w:rPr>
          <w:rFonts w:ascii="Book Antiqua" w:hAnsi="Book Antiqua"/>
          <w:sz w:val="24"/>
          <w:szCs w:val="24"/>
        </w:rPr>
        <w:t xml:space="preserve"> 2002; </w:t>
      </w:r>
      <w:r w:rsidRPr="000749B2">
        <w:rPr>
          <w:rFonts w:ascii="Book Antiqua" w:hAnsi="Book Antiqua"/>
          <w:b/>
          <w:sz w:val="24"/>
          <w:szCs w:val="24"/>
        </w:rPr>
        <w:t>418</w:t>
      </w:r>
      <w:r w:rsidRPr="000749B2">
        <w:rPr>
          <w:rFonts w:ascii="Book Antiqua" w:hAnsi="Book Antiqua"/>
          <w:sz w:val="24"/>
          <w:szCs w:val="24"/>
        </w:rPr>
        <w:t>: 934 [PMID: 12198537 DOI: 10.1038/418934a]</w:t>
      </w:r>
    </w:p>
    <w:p w14:paraId="280FC89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169 </w:t>
      </w:r>
      <w:r w:rsidRPr="000749B2">
        <w:rPr>
          <w:rFonts w:ascii="Book Antiqua" w:hAnsi="Book Antiqua"/>
          <w:b/>
          <w:sz w:val="24"/>
          <w:szCs w:val="24"/>
        </w:rPr>
        <w:t>Hinoue T</w:t>
      </w:r>
      <w:r w:rsidRPr="000749B2">
        <w:rPr>
          <w:rFonts w:ascii="Book Antiqua" w:hAnsi="Book Antiqua"/>
          <w:sz w:val="24"/>
          <w:szCs w:val="24"/>
        </w:rPr>
        <w:t xml:space="preserve">, Weisenberger DJ, Lange CP, Shen H, Byun HM, Van Den Berg D, Malik S, Pan F, Noushmehr H, van Dijk CM, Tollenaar RA, Laird PW. Genome-scale analysis of aberrant DNA methylation in colorectal cancer. </w:t>
      </w:r>
      <w:r w:rsidRPr="000749B2">
        <w:rPr>
          <w:rFonts w:ascii="Book Antiqua" w:hAnsi="Book Antiqua"/>
          <w:i/>
          <w:sz w:val="24"/>
          <w:szCs w:val="24"/>
        </w:rPr>
        <w:t>Genome Res</w:t>
      </w:r>
      <w:r w:rsidRPr="000749B2">
        <w:rPr>
          <w:rFonts w:ascii="Book Antiqua" w:hAnsi="Book Antiqua"/>
          <w:sz w:val="24"/>
          <w:szCs w:val="24"/>
        </w:rPr>
        <w:t xml:space="preserve"> 2012; </w:t>
      </w:r>
      <w:r w:rsidRPr="000749B2">
        <w:rPr>
          <w:rFonts w:ascii="Book Antiqua" w:hAnsi="Book Antiqua"/>
          <w:b/>
          <w:sz w:val="24"/>
          <w:szCs w:val="24"/>
        </w:rPr>
        <w:t>22</w:t>
      </w:r>
      <w:r w:rsidRPr="000749B2">
        <w:rPr>
          <w:rFonts w:ascii="Book Antiqua" w:hAnsi="Book Antiqua"/>
          <w:sz w:val="24"/>
          <w:szCs w:val="24"/>
        </w:rPr>
        <w:t>: 271-282 [PMID: 21659424 DOI: 10.1101/gr.117523.110]</w:t>
      </w:r>
    </w:p>
    <w:p w14:paraId="008E059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170 </w:t>
      </w:r>
      <w:r w:rsidRPr="000749B2">
        <w:rPr>
          <w:rFonts w:ascii="Book Antiqua" w:hAnsi="Book Antiqua"/>
          <w:b/>
          <w:sz w:val="24"/>
          <w:szCs w:val="24"/>
        </w:rPr>
        <w:t>Bond CE</w:t>
      </w:r>
      <w:r w:rsidRPr="000749B2">
        <w:rPr>
          <w:rFonts w:ascii="Book Antiqua" w:hAnsi="Book Antiqua"/>
          <w:sz w:val="24"/>
          <w:szCs w:val="24"/>
        </w:rPr>
        <w:t xml:space="preserve">, Whitehall VLJ. How the </w:t>
      </w:r>
      <w:r w:rsidRPr="000749B2">
        <w:rPr>
          <w:rFonts w:ascii="Book Antiqua" w:hAnsi="Book Antiqua"/>
          <w:i/>
          <w:sz w:val="24"/>
          <w:szCs w:val="24"/>
        </w:rPr>
        <w:t>BRAF</w:t>
      </w:r>
      <w:r w:rsidRPr="000749B2">
        <w:rPr>
          <w:rFonts w:ascii="Book Antiqua" w:hAnsi="Book Antiqua"/>
          <w:sz w:val="24"/>
          <w:szCs w:val="24"/>
        </w:rPr>
        <w:t xml:space="preserve"> V600E Mutation Defines a Distinct Subgroup of Colorectal Cancer: Molecular and Clinical Implications. </w:t>
      </w:r>
      <w:r w:rsidRPr="000749B2">
        <w:rPr>
          <w:rFonts w:ascii="Book Antiqua" w:hAnsi="Book Antiqua"/>
          <w:i/>
          <w:sz w:val="24"/>
          <w:szCs w:val="24"/>
        </w:rPr>
        <w:t>Gastroenterol Res Pract</w:t>
      </w:r>
      <w:r w:rsidRPr="000749B2">
        <w:rPr>
          <w:rFonts w:ascii="Book Antiqua" w:hAnsi="Book Antiqua"/>
          <w:sz w:val="24"/>
          <w:szCs w:val="24"/>
        </w:rPr>
        <w:t xml:space="preserve"> 2018; </w:t>
      </w:r>
      <w:r w:rsidRPr="000749B2">
        <w:rPr>
          <w:rFonts w:ascii="Book Antiqua" w:hAnsi="Book Antiqua"/>
          <w:b/>
          <w:sz w:val="24"/>
          <w:szCs w:val="24"/>
        </w:rPr>
        <w:t>2018</w:t>
      </w:r>
      <w:r w:rsidRPr="000749B2">
        <w:rPr>
          <w:rFonts w:ascii="Book Antiqua" w:hAnsi="Book Antiqua"/>
          <w:sz w:val="24"/>
          <w:szCs w:val="24"/>
        </w:rPr>
        <w:t>: 9250757 [PMID: 30598662 DOI: 10.1155/2018/9250757]</w:t>
      </w:r>
    </w:p>
    <w:p w14:paraId="6379646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171 </w:t>
      </w:r>
      <w:r w:rsidRPr="000749B2">
        <w:rPr>
          <w:rFonts w:ascii="Book Antiqua" w:hAnsi="Book Antiqua"/>
          <w:b/>
          <w:sz w:val="24"/>
          <w:szCs w:val="24"/>
        </w:rPr>
        <w:t>Carragher LA</w:t>
      </w:r>
      <w:r w:rsidRPr="000749B2">
        <w:rPr>
          <w:rFonts w:ascii="Book Antiqua" w:hAnsi="Book Antiqua"/>
          <w:sz w:val="24"/>
          <w:szCs w:val="24"/>
        </w:rPr>
        <w:t xml:space="preserve">, Snell KR, Giblett SM, Aldridge VS, Patel B, Cook SJ, Winton DJ, Marais R, Pritchard CA. V600EBraf induces gastrointestinal crypt senescence and promotes tumour progression through enhanced CpG methylation of p16INK4a. </w:t>
      </w:r>
      <w:r w:rsidRPr="000749B2">
        <w:rPr>
          <w:rFonts w:ascii="Book Antiqua" w:hAnsi="Book Antiqua"/>
          <w:i/>
          <w:sz w:val="24"/>
          <w:szCs w:val="24"/>
        </w:rPr>
        <w:t>EMBO Mol Med</w:t>
      </w:r>
      <w:r w:rsidRPr="000749B2">
        <w:rPr>
          <w:rFonts w:ascii="Book Antiqua" w:hAnsi="Book Antiqua"/>
          <w:sz w:val="24"/>
          <w:szCs w:val="24"/>
        </w:rPr>
        <w:t xml:space="preserve"> 2010; </w:t>
      </w:r>
      <w:r w:rsidRPr="000749B2">
        <w:rPr>
          <w:rFonts w:ascii="Book Antiqua" w:hAnsi="Book Antiqua"/>
          <w:b/>
          <w:sz w:val="24"/>
          <w:szCs w:val="24"/>
        </w:rPr>
        <w:t>2</w:t>
      </w:r>
      <w:r w:rsidRPr="000749B2">
        <w:rPr>
          <w:rFonts w:ascii="Book Antiqua" w:hAnsi="Book Antiqua"/>
          <w:sz w:val="24"/>
          <w:szCs w:val="24"/>
        </w:rPr>
        <w:t>: 458-471 [PMID: 20941790 DOI: 10.1002/emmm.201000099]</w:t>
      </w:r>
    </w:p>
    <w:p w14:paraId="430E52A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172 </w:t>
      </w:r>
      <w:r w:rsidRPr="000749B2">
        <w:rPr>
          <w:rFonts w:ascii="Book Antiqua" w:hAnsi="Book Antiqua"/>
          <w:b/>
          <w:sz w:val="24"/>
          <w:szCs w:val="24"/>
        </w:rPr>
        <w:t>Coffee EM</w:t>
      </w:r>
      <w:r w:rsidRPr="000749B2">
        <w:rPr>
          <w:rFonts w:ascii="Book Antiqua" w:hAnsi="Book Antiqua"/>
          <w:sz w:val="24"/>
          <w:szCs w:val="24"/>
        </w:rPr>
        <w:t xml:space="preserve">, Faber AC, Roper J, Sinnamon MJ, Goel G, Keung L, Wang WV, Vecchione L, de Vriendt V, Weinstein BJ, Bronson RT, Tejpar S, Xavier RJ, Engelman JA, Martin ES, Hung KE. Concomitant BRAF and PI3K/mTOR blockade is required for effective treatment of BRAF(V600E) colorectal cancer. </w:t>
      </w:r>
      <w:r w:rsidRPr="000749B2">
        <w:rPr>
          <w:rFonts w:ascii="Book Antiqua" w:hAnsi="Book Antiqua"/>
          <w:i/>
          <w:sz w:val="24"/>
          <w:szCs w:val="24"/>
        </w:rPr>
        <w:t>Clin Cancer Res</w:t>
      </w:r>
      <w:r w:rsidRPr="000749B2">
        <w:rPr>
          <w:rFonts w:ascii="Book Antiqua" w:hAnsi="Book Antiqua"/>
          <w:sz w:val="24"/>
          <w:szCs w:val="24"/>
        </w:rPr>
        <w:t xml:space="preserve"> 2013; </w:t>
      </w:r>
      <w:r w:rsidRPr="000749B2">
        <w:rPr>
          <w:rFonts w:ascii="Book Antiqua" w:hAnsi="Book Antiqua"/>
          <w:b/>
          <w:sz w:val="24"/>
          <w:szCs w:val="24"/>
        </w:rPr>
        <w:t>19</w:t>
      </w:r>
      <w:r w:rsidRPr="000749B2">
        <w:rPr>
          <w:rFonts w:ascii="Book Antiqua" w:hAnsi="Book Antiqua"/>
          <w:sz w:val="24"/>
          <w:szCs w:val="24"/>
        </w:rPr>
        <w:t>: 2688-2698 [PMID: 23549875 DOI: 10.1158/1078-0432.CCR-12-2556]</w:t>
      </w:r>
    </w:p>
    <w:p w14:paraId="1785F10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173 </w:t>
      </w:r>
      <w:r w:rsidRPr="000749B2">
        <w:rPr>
          <w:rFonts w:ascii="Book Antiqua" w:hAnsi="Book Antiqua"/>
          <w:b/>
          <w:sz w:val="24"/>
          <w:szCs w:val="24"/>
        </w:rPr>
        <w:t>Anderson RL</w:t>
      </w:r>
      <w:r w:rsidRPr="000749B2">
        <w:rPr>
          <w:rFonts w:ascii="Book Antiqua" w:hAnsi="Book Antiqua"/>
          <w:sz w:val="24"/>
          <w:szCs w:val="24"/>
        </w:rPr>
        <w:t xml:space="preserve">, Balasas T, Callaghan J, Coombes RC, Evans J, Hall JA, Kinrade S, Jones D, Jones PS, Jones R, Marshall JF, Panico MB, Shaw JA, Steeg PS, Sullivan M, Tong W, Westwell AD, Ritchie JWA; Cancer Research UK and Cancer Therapeutics CRC Australia Metastasis Working Group. A framework for the development of effective anti-metastatic agents. </w:t>
      </w:r>
      <w:r w:rsidRPr="000749B2">
        <w:rPr>
          <w:rFonts w:ascii="Book Antiqua" w:hAnsi="Book Antiqua"/>
          <w:i/>
          <w:sz w:val="24"/>
          <w:szCs w:val="24"/>
        </w:rPr>
        <w:t>Nat Rev Clin Oncol</w:t>
      </w:r>
      <w:r w:rsidRPr="000749B2">
        <w:rPr>
          <w:rFonts w:ascii="Book Antiqua" w:hAnsi="Book Antiqua"/>
          <w:sz w:val="24"/>
          <w:szCs w:val="24"/>
        </w:rPr>
        <w:t xml:space="preserve"> 2019; </w:t>
      </w:r>
      <w:r w:rsidRPr="000749B2">
        <w:rPr>
          <w:rFonts w:ascii="Book Antiqua" w:hAnsi="Book Antiqua"/>
          <w:b/>
          <w:sz w:val="24"/>
          <w:szCs w:val="24"/>
        </w:rPr>
        <w:t>16</w:t>
      </w:r>
      <w:r w:rsidRPr="000749B2">
        <w:rPr>
          <w:rFonts w:ascii="Book Antiqua" w:hAnsi="Book Antiqua"/>
          <w:sz w:val="24"/>
          <w:szCs w:val="24"/>
        </w:rPr>
        <w:t>: 185-204 [PMID: 30514977 DOI: 10.1038/s41571-018-0134-8]</w:t>
      </w:r>
    </w:p>
    <w:p w14:paraId="087BF53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174 </w:t>
      </w:r>
      <w:r w:rsidRPr="000749B2">
        <w:rPr>
          <w:rFonts w:ascii="Book Antiqua" w:hAnsi="Book Antiqua"/>
          <w:b/>
          <w:sz w:val="24"/>
          <w:szCs w:val="24"/>
        </w:rPr>
        <w:t>Rad R</w:t>
      </w:r>
      <w:r w:rsidRPr="000749B2">
        <w:rPr>
          <w:rFonts w:ascii="Book Antiqua" w:hAnsi="Book Antiqua"/>
          <w:sz w:val="24"/>
          <w:szCs w:val="24"/>
        </w:rPr>
        <w:t xml:space="preserve">, Cadiñanos J, Rad L, Varela I, Strong A, Kriegl L, Constantino-Casas F, Eser S, Hieber M, Seidler B, Price S, Fraga MF, Calvanese V, Hoffman G, Ponstingl H, Schneider G, Yusa K, Grove C, Schmid RM, Wang W, Vassiliou G, Kirchner T, McDermott U, Liu P, Saur D, Bradley A. A genetic progression model of Braf(V600E)-induced intestinal tumorigenesis reveals targets for therapeutic </w:t>
      </w:r>
      <w:r w:rsidRPr="000749B2">
        <w:rPr>
          <w:rFonts w:ascii="Book Antiqua" w:hAnsi="Book Antiqua"/>
          <w:sz w:val="24"/>
          <w:szCs w:val="24"/>
        </w:rPr>
        <w:lastRenderedPageBreak/>
        <w:t xml:space="preserve">intervention. </w:t>
      </w:r>
      <w:r w:rsidRPr="000749B2">
        <w:rPr>
          <w:rFonts w:ascii="Book Antiqua" w:hAnsi="Book Antiqua"/>
          <w:i/>
          <w:sz w:val="24"/>
          <w:szCs w:val="24"/>
        </w:rPr>
        <w:t>Cancer Cell</w:t>
      </w:r>
      <w:r w:rsidRPr="000749B2">
        <w:rPr>
          <w:rFonts w:ascii="Book Antiqua" w:hAnsi="Book Antiqua"/>
          <w:sz w:val="24"/>
          <w:szCs w:val="24"/>
        </w:rPr>
        <w:t xml:space="preserve"> 2013; </w:t>
      </w:r>
      <w:r w:rsidRPr="000749B2">
        <w:rPr>
          <w:rFonts w:ascii="Book Antiqua" w:hAnsi="Book Antiqua"/>
          <w:b/>
          <w:sz w:val="24"/>
          <w:szCs w:val="24"/>
        </w:rPr>
        <w:t>24</w:t>
      </w:r>
      <w:r w:rsidRPr="000749B2">
        <w:rPr>
          <w:rFonts w:ascii="Book Antiqua" w:hAnsi="Book Antiqua"/>
          <w:sz w:val="24"/>
          <w:szCs w:val="24"/>
        </w:rPr>
        <w:t>: 15-29 [PMID: 23845441 DOI: 10.1016/j.ccr.2013.05.014]</w:t>
      </w:r>
    </w:p>
    <w:p w14:paraId="167AA21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175 </w:t>
      </w:r>
      <w:r w:rsidRPr="000749B2">
        <w:rPr>
          <w:rFonts w:ascii="Book Antiqua" w:hAnsi="Book Antiqua"/>
          <w:b/>
          <w:sz w:val="24"/>
          <w:szCs w:val="24"/>
        </w:rPr>
        <w:t>Anwar M</w:t>
      </w:r>
      <w:r w:rsidRPr="000749B2">
        <w:rPr>
          <w:rFonts w:ascii="Book Antiqua" w:hAnsi="Book Antiqua"/>
          <w:sz w:val="24"/>
          <w:szCs w:val="24"/>
        </w:rPr>
        <w:t xml:space="preserve">, Kochhar R, Singh R, Bhatia A, Vaiphei K, Mahmood A, Mahmood S. Frequent activation of the β-catenin gene in sporadic colorectal carcinomas: A mutational &amp; expression analysis. </w:t>
      </w:r>
      <w:r w:rsidRPr="000749B2">
        <w:rPr>
          <w:rFonts w:ascii="Book Antiqua" w:hAnsi="Book Antiqua"/>
          <w:i/>
          <w:sz w:val="24"/>
          <w:szCs w:val="24"/>
        </w:rPr>
        <w:t>Mol Carcinog</w:t>
      </w:r>
      <w:r w:rsidRPr="000749B2">
        <w:rPr>
          <w:rFonts w:ascii="Book Antiqua" w:hAnsi="Book Antiqua"/>
          <w:sz w:val="24"/>
          <w:szCs w:val="24"/>
        </w:rPr>
        <w:t xml:space="preserve"> 2016; </w:t>
      </w:r>
      <w:r w:rsidRPr="000749B2">
        <w:rPr>
          <w:rFonts w:ascii="Book Antiqua" w:hAnsi="Book Antiqua"/>
          <w:b/>
          <w:sz w:val="24"/>
          <w:szCs w:val="24"/>
        </w:rPr>
        <w:t>55</w:t>
      </w:r>
      <w:r w:rsidRPr="000749B2">
        <w:rPr>
          <w:rFonts w:ascii="Book Antiqua" w:hAnsi="Book Antiqua"/>
          <w:sz w:val="24"/>
          <w:szCs w:val="24"/>
        </w:rPr>
        <w:t>: 1627-1638 [PMID: 26373808 DOI: 10.1002/mc.22414]</w:t>
      </w:r>
    </w:p>
    <w:p w14:paraId="79A7EEF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176 </w:t>
      </w:r>
      <w:r w:rsidRPr="000749B2">
        <w:rPr>
          <w:rFonts w:ascii="Book Antiqua" w:hAnsi="Book Antiqua"/>
          <w:b/>
          <w:sz w:val="24"/>
          <w:szCs w:val="24"/>
        </w:rPr>
        <w:t>Abdelmaksoud-Damak R</w:t>
      </w:r>
      <w:r w:rsidRPr="000749B2">
        <w:rPr>
          <w:rFonts w:ascii="Book Antiqua" w:hAnsi="Book Antiqua"/>
          <w:sz w:val="24"/>
          <w:szCs w:val="24"/>
        </w:rPr>
        <w:t xml:space="preserve">, Miladi-Abdennadher I, Triki M, Khabir A, Charfi S, Ayadi L, Frikha M, Sellami-Boudawara T, Mokdad-Gargouri R. Expression and mutation pattern of β-catenin and adenomatous polyposis coli in colorectal cancer patients. </w:t>
      </w:r>
      <w:r w:rsidRPr="000749B2">
        <w:rPr>
          <w:rFonts w:ascii="Book Antiqua" w:hAnsi="Book Antiqua"/>
          <w:i/>
          <w:sz w:val="24"/>
          <w:szCs w:val="24"/>
        </w:rPr>
        <w:t>Arch Med Res</w:t>
      </w:r>
      <w:r w:rsidRPr="000749B2">
        <w:rPr>
          <w:rFonts w:ascii="Book Antiqua" w:hAnsi="Book Antiqua"/>
          <w:sz w:val="24"/>
          <w:szCs w:val="24"/>
        </w:rPr>
        <w:t xml:space="preserve"> 2015; </w:t>
      </w:r>
      <w:r w:rsidRPr="000749B2">
        <w:rPr>
          <w:rFonts w:ascii="Book Antiqua" w:hAnsi="Book Antiqua"/>
          <w:b/>
          <w:sz w:val="24"/>
          <w:szCs w:val="24"/>
        </w:rPr>
        <w:t>46</w:t>
      </w:r>
      <w:r w:rsidRPr="000749B2">
        <w:rPr>
          <w:rFonts w:ascii="Book Antiqua" w:hAnsi="Book Antiqua"/>
          <w:sz w:val="24"/>
          <w:szCs w:val="24"/>
        </w:rPr>
        <w:t>: 54-62 [PMID: 25660336 DOI: 10.1016/j.arcmed.2015.01.001]</w:t>
      </w:r>
    </w:p>
    <w:p w14:paraId="3A86770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177 </w:t>
      </w:r>
      <w:r w:rsidRPr="000749B2">
        <w:rPr>
          <w:rFonts w:ascii="Book Antiqua" w:hAnsi="Book Antiqua"/>
          <w:b/>
          <w:sz w:val="24"/>
          <w:szCs w:val="24"/>
        </w:rPr>
        <w:t>Schwitalla S</w:t>
      </w:r>
      <w:r w:rsidRPr="000749B2">
        <w:rPr>
          <w:rFonts w:ascii="Book Antiqua" w:hAnsi="Book Antiqua"/>
          <w:sz w:val="24"/>
          <w:szCs w:val="24"/>
        </w:rPr>
        <w:t xml:space="preserve">, Fingerle AA, Cammareri P, Nebelsiek T, Göktuna SI, Ziegler PK, Canli O, Heijmans J, Huels DJ, Moreaux G, Rupec RA, Gerhard M, Schmid R, Barker N, Clevers H, Lang R, Neumann J, Kirchner T, Taketo MM, van den Brink GR, Sansom OJ, Arkan MC, Greten FR. Intestinal tumorigenesis initiated by dedifferentiation and acquisition of stem-cell-like properties. </w:t>
      </w:r>
      <w:r w:rsidRPr="000749B2">
        <w:rPr>
          <w:rFonts w:ascii="Book Antiqua" w:hAnsi="Book Antiqua"/>
          <w:i/>
          <w:sz w:val="24"/>
          <w:szCs w:val="24"/>
        </w:rPr>
        <w:t>Cell</w:t>
      </w:r>
      <w:r w:rsidRPr="000749B2">
        <w:rPr>
          <w:rFonts w:ascii="Book Antiqua" w:hAnsi="Book Antiqua"/>
          <w:sz w:val="24"/>
          <w:szCs w:val="24"/>
        </w:rPr>
        <w:t xml:space="preserve"> 2013; </w:t>
      </w:r>
      <w:r w:rsidRPr="000749B2">
        <w:rPr>
          <w:rFonts w:ascii="Book Antiqua" w:hAnsi="Book Antiqua"/>
          <w:b/>
          <w:sz w:val="24"/>
          <w:szCs w:val="24"/>
        </w:rPr>
        <w:t>152</w:t>
      </w:r>
      <w:r w:rsidRPr="000749B2">
        <w:rPr>
          <w:rFonts w:ascii="Book Antiqua" w:hAnsi="Book Antiqua"/>
          <w:sz w:val="24"/>
          <w:szCs w:val="24"/>
        </w:rPr>
        <w:t>: 25-38 [PMID: 23273993 DOI: 10.1016/j.cell.2012.12.012]</w:t>
      </w:r>
    </w:p>
    <w:p w14:paraId="5392365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178 </w:t>
      </w:r>
      <w:r w:rsidRPr="000749B2">
        <w:rPr>
          <w:rFonts w:ascii="Book Antiqua" w:hAnsi="Book Antiqua"/>
          <w:b/>
          <w:sz w:val="24"/>
          <w:szCs w:val="24"/>
        </w:rPr>
        <w:t>Harada N</w:t>
      </w:r>
      <w:r w:rsidRPr="000749B2">
        <w:rPr>
          <w:rFonts w:ascii="Book Antiqua" w:hAnsi="Book Antiqua"/>
          <w:sz w:val="24"/>
          <w:szCs w:val="24"/>
        </w:rPr>
        <w:t xml:space="preserve">, Tamai Y, Ishikawa T, Sauer B, Takaku K, Oshima M, Taketo MM. Intestinal polyposis in mice with a dominant stable mutation of the beta-catenin gene. </w:t>
      </w:r>
      <w:r w:rsidRPr="000749B2">
        <w:rPr>
          <w:rFonts w:ascii="Book Antiqua" w:hAnsi="Book Antiqua"/>
          <w:i/>
          <w:sz w:val="24"/>
          <w:szCs w:val="24"/>
        </w:rPr>
        <w:t>EMBO J</w:t>
      </w:r>
      <w:r w:rsidRPr="000749B2">
        <w:rPr>
          <w:rFonts w:ascii="Book Antiqua" w:hAnsi="Book Antiqua"/>
          <w:sz w:val="24"/>
          <w:szCs w:val="24"/>
        </w:rPr>
        <w:t xml:space="preserve"> 1999; </w:t>
      </w:r>
      <w:r w:rsidRPr="000749B2">
        <w:rPr>
          <w:rFonts w:ascii="Book Antiqua" w:hAnsi="Book Antiqua"/>
          <w:b/>
          <w:sz w:val="24"/>
          <w:szCs w:val="24"/>
        </w:rPr>
        <w:t>18</w:t>
      </w:r>
      <w:r w:rsidRPr="000749B2">
        <w:rPr>
          <w:rFonts w:ascii="Book Antiqua" w:hAnsi="Book Antiqua"/>
          <w:sz w:val="24"/>
          <w:szCs w:val="24"/>
        </w:rPr>
        <w:t>: 5931-5942 [PMID: 10545105 DOI: 10.1093/emboj/18.21.5931]</w:t>
      </w:r>
    </w:p>
    <w:p w14:paraId="2B3AA04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179 </w:t>
      </w:r>
      <w:r w:rsidRPr="000749B2">
        <w:rPr>
          <w:rFonts w:ascii="Book Antiqua" w:hAnsi="Book Antiqua"/>
          <w:b/>
          <w:sz w:val="24"/>
          <w:szCs w:val="24"/>
        </w:rPr>
        <w:t>Perekatt AO</w:t>
      </w:r>
      <w:r w:rsidRPr="000749B2">
        <w:rPr>
          <w:rFonts w:ascii="Book Antiqua" w:hAnsi="Book Antiqua"/>
          <w:sz w:val="24"/>
          <w:szCs w:val="24"/>
        </w:rPr>
        <w:t xml:space="preserve">, Shah PP, Cheung S, Jariwala N, Wu A, Gandhi V, Kumar N, Feng Q, Patel N, Chen L, Joshi S, Zhou A, Taketo MM, Xing J, White E, Gao N, Gatza ML, Verzi MP. SMAD4 Suppresses WNT-Driven Dedifferentiation and Oncogenesis in the Differentiated Gut Epithelium. </w:t>
      </w:r>
      <w:r w:rsidRPr="000749B2">
        <w:rPr>
          <w:rFonts w:ascii="Book Antiqua" w:hAnsi="Book Antiqua"/>
          <w:i/>
          <w:sz w:val="24"/>
          <w:szCs w:val="24"/>
        </w:rPr>
        <w:t>Cancer Res</w:t>
      </w:r>
      <w:r w:rsidRPr="000749B2">
        <w:rPr>
          <w:rFonts w:ascii="Book Antiqua" w:hAnsi="Book Antiqua"/>
          <w:sz w:val="24"/>
          <w:szCs w:val="24"/>
        </w:rPr>
        <w:t xml:space="preserve"> 2018; </w:t>
      </w:r>
      <w:r w:rsidRPr="000749B2">
        <w:rPr>
          <w:rFonts w:ascii="Book Antiqua" w:hAnsi="Book Antiqua"/>
          <w:b/>
          <w:sz w:val="24"/>
          <w:szCs w:val="24"/>
        </w:rPr>
        <w:t>78</w:t>
      </w:r>
      <w:r w:rsidRPr="000749B2">
        <w:rPr>
          <w:rFonts w:ascii="Book Antiqua" w:hAnsi="Book Antiqua"/>
          <w:sz w:val="24"/>
          <w:szCs w:val="24"/>
        </w:rPr>
        <w:t>: 4878-4890 [PMID: 29986996 DOI: 10.1158/0008-5472.CAN-18-0043]</w:t>
      </w:r>
    </w:p>
    <w:p w14:paraId="0323E8B7"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180 </w:t>
      </w:r>
      <w:r w:rsidRPr="000749B2">
        <w:rPr>
          <w:rFonts w:ascii="Book Antiqua" w:hAnsi="Book Antiqua"/>
          <w:b/>
          <w:sz w:val="24"/>
          <w:szCs w:val="24"/>
        </w:rPr>
        <w:t>Ionov Y</w:t>
      </w:r>
      <w:r w:rsidRPr="000749B2">
        <w:rPr>
          <w:rFonts w:ascii="Book Antiqua" w:hAnsi="Book Antiqua"/>
          <w:sz w:val="24"/>
          <w:szCs w:val="24"/>
        </w:rPr>
        <w:t xml:space="preserve">, Peinado MA, Malkhosyan S, Shibata D, Perucho M. Ubiquitous somatic mutations in simple repeated sequences reveal a new mechanism for colonic carcinogenesis. </w:t>
      </w:r>
      <w:r w:rsidRPr="000749B2">
        <w:rPr>
          <w:rFonts w:ascii="Book Antiqua" w:hAnsi="Book Antiqua"/>
          <w:i/>
          <w:sz w:val="24"/>
          <w:szCs w:val="24"/>
        </w:rPr>
        <w:t>Nature</w:t>
      </w:r>
      <w:r w:rsidRPr="000749B2">
        <w:rPr>
          <w:rFonts w:ascii="Book Antiqua" w:hAnsi="Book Antiqua"/>
          <w:sz w:val="24"/>
          <w:szCs w:val="24"/>
        </w:rPr>
        <w:t xml:space="preserve"> 1993; </w:t>
      </w:r>
      <w:r w:rsidRPr="000749B2">
        <w:rPr>
          <w:rFonts w:ascii="Book Antiqua" w:hAnsi="Book Antiqua"/>
          <w:b/>
          <w:sz w:val="24"/>
          <w:szCs w:val="24"/>
        </w:rPr>
        <w:t>363</w:t>
      </w:r>
      <w:r w:rsidRPr="000749B2">
        <w:rPr>
          <w:rFonts w:ascii="Book Antiqua" w:hAnsi="Book Antiqua"/>
          <w:sz w:val="24"/>
          <w:szCs w:val="24"/>
        </w:rPr>
        <w:t>: 558-561 [PMID: 8505985 DOI: 10.1038/363558a0]</w:t>
      </w:r>
    </w:p>
    <w:p w14:paraId="13A35FF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181 </w:t>
      </w:r>
      <w:r w:rsidRPr="000749B2">
        <w:rPr>
          <w:rFonts w:ascii="Book Antiqua" w:hAnsi="Book Antiqua"/>
          <w:b/>
          <w:sz w:val="24"/>
          <w:szCs w:val="24"/>
        </w:rPr>
        <w:t>Thibodeau SN</w:t>
      </w:r>
      <w:r w:rsidRPr="000749B2">
        <w:rPr>
          <w:rFonts w:ascii="Book Antiqua" w:hAnsi="Book Antiqua"/>
          <w:sz w:val="24"/>
          <w:szCs w:val="24"/>
        </w:rPr>
        <w:t xml:space="preserve">, Bren G, Schaid D. Microsatellite instability in cancer of the proximal colon. </w:t>
      </w:r>
      <w:r w:rsidRPr="000749B2">
        <w:rPr>
          <w:rFonts w:ascii="Book Antiqua" w:hAnsi="Book Antiqua"/>
          <w:i/>
          <w:sz w:val="24"/>
          <w:szCs w:val="24"/>
        </w:rPr>
        <w:t>Science</w:t>
      </w:r>
      <w:r w:rsidRPr="000749B2">
        <w:rPr>
          <w:rFonts w:ascii="Book Antiqua" w:hAnsi="Book Antiqua"/>
          <w:sz w:val="24"/>
          <w:szCs w:val="24"/>
        </w:rPr>
        <w:t xml:space="preserve"> 1993; </w:t>
      </w:r>
      <w:r w:rsidRPr="000749B2">
        <w:rPr>
          <w:rFonts w:ascii="Book Antiqua" w:hAnsi="Book Antiqua"/>
          <w:b/>
          <w:sz w:val="24"/>
          <w:szCs w:val="24"/>
        </w:rPr>
        <w:t>260</w:t>
      </w:r>
      <w:r w:rsidRPr="000749B2">
        <w:rPr>
          <w:rFonts w:ascii="Book Antiqua" w:hAnsi="Book Antiqua"/>
          <w:sz w:val="24"/>
          <w:szCs w:val="24"/>
        </w:rPr>
        <w:t>: 816-819 [PMID: 8484122 DOI: 10.1126/science.8484122]</w:t>
      </w:r>
    </w:p>
    <w:p w14:paraId="7DA4618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182 </w:t>
      </w:r>
      <w:r w:rsidRPr="000749B2">
        <w:rPr>
          <w:rFonts w:ascii="Book Antiqua" w:hAnsi="Book Antiqua"/>
          <w:b/>
          <w:sz w:val="24"/>
          <w:szCs w:val="24"/>
        </w:rPr>
        <w:t>Peltomäki P</w:t>
      </w:r>
      <w:r w:rsidRPr="000749B2">
        <w:rPr>
          <w:rFonts w:ascii="Book Antiqua" w:hAnsi="Book Antiqua"/>
          <w:sz w:val="24"/>
          <w:szCs w:val="24"/>
        </w:rPr>
        <w:t xml:space="preserve">, Lothe RA, Aaltonen LA, Pylkkänen L, Nyström-Lahti M, Seruca R, David L, Holm R, Ryberg D, Haugen A. Microsatellite instability is associated with tumors that characterize the hereditary non-polyposis colorectal carcinoma syndrome. </w:t>
      </w:r>
      <w:r w:rsidRPr="000749B2">
        <w:rPr>
          <w:rFonts w:ascii="Book Antiqua" w:hAnsi="Book Antiqua"/>
          <w:i/>
          <w:sz w:val="24"/>
          <w:szCs w:val="24"/>
        </w:rPr>
        <w:t>Cancer Res</w:t>
      </w:r>
      <w:r w:rsidRPr="000749B2">
        <w:rPr>
          <w:rFonts w:ascii="Book Antiqua" w:hAnsi="Book Antiqua"/>
          <w:sz w:val="24"/>
          <w:szCs w:val="24"/>
        </w:rPr>
        <w:t xml:space="preserve"> 1993; </w:t>
      </w:r>
      <w:r w:rsidRPr="000749B2">
        <w:rPr>
          <w:rFonts w:ascii="Book Antiqua" w:hAnsi="Book Antiqua"/>
          <w:b/>
          <w:sz w:val="24"/>
          <w:szCs w:val="24"/>
        </w:rPr>
        <w:t>53</w:t>
      </w:r>
      <w:r w:rsidRPr="000749B2">
        <w:rPr>
          <w:rFonts w:ascii="Book Antiqua" w:hAnsi="Book Antiqua"/>
          <w:sz w:val="24"/>
          <w:szCs w:val="24"/>
        </w:rPr>
        <w:t>: 5853-5855 [PMID: 8261393]</w:t>
      </w:r>
    </w:p>
    <w:p w14:paraId="263DE1F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183 </w:t>
      </w:r>
      <w:r w:rsidRPr="000749B2">
        <w:rPr>
          <w:rFonts w:ascii="Book Antiqua" w:hAnsi="Book Antiqua"/>
          <w:b/>
          <w:sz w:val="24"/>
          <w:szCs w:val="24"/>
        </w:rPr>
        <w:t>Yamamoto H</w:t>
      </w:r>
      <w:r w:rsidRPr="000749B2">
        <w:rPr>
          <w:rFonts w:ascii="Book Antiqua" w:hAnsi="Book Antiqua"/>
          <w:sz w:val="24"/>
          <w:szCs w:val="24"/>
        </w:rPr>
        <w:t xml:space="preserve">, Imai K. Microsatellite instability: an update. </w:t>
      </w:r>
      <w:r w:rsidRPr="000749B2">
        <w:rPr>
          <w:rFonts w:ascii="Book Antiqua" w:hAnsi="Book Antiqua"/>
          <w:i/>
          <w:sz w:val="24"/>
          <w:szCs w:val="24"/>
        </w:rPr>
        <w:t>Arch Toxicol</w:t>
      </w:r>
      <w:r w:rsidRPr="000749B2">
        <w:rPr>
          <w:rFonts w:ascii="Book Antiqua" w:hAnsi="Book Antiqua"/>
          <w:sz w:val="24"/>
          <w:szCs w:val="24"/>
        </w:rPr>
        <w:t xml:space="preserve"> 2015; </w:t>
      </w:r>
      <w:r w:rsidRPr="000749B2">
        <w:rPr>
          <w:rFonts w:ascii="Book Antiqua" w:hAnsi="Book Antiqua"/>
          <w:b/>
          <w:sz w:val="24"/>
          <w:szCs w:val="24"/>
        </w:rPr>
        <w:t>89</w:t>
      </w:r>
      <w:r w:rsidRPr="000749B2">
        <w:rPr>
          <w:rFonts w:ascii="Book Antiqua" w:hAnsi="Book Antiqua"/>
          <w:sz w:val="24"/>
          <w:szCs w:val="24"/>
        </w:rPr>
        <w:t>: 899-921 [PMID: 25701956 DOI: 10.1007/s00204-015-1474-0]</w:t>
      </w:r>
    </w:p>
    <w:p w14:paraId="2F119E1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184 </w:t>
      </w:r>
      <w:r w:rsidRPr="000749B2">
        <w:rPr>
          <w:rFonts w:ascii="Book Antiqua" w:hAnsi="Book Antiqua"/>
          <w:b/>
          <w:sz w:val="24"/>
          <w:szCs w:val="24"/>
        </w:rPr>
        <w:t>Edelmann W</w:t>
      </w:r>
      <w:r w:rsidRPr="000749B2">
        <w:rPr>
          <w:rFonts w:ascii="Book Antiqua" w:hAnsi="Book Antiqua"/>
          <w:sz w:val="24"/>
          <w:szCs w:val="24"/>
        </w:rPr>
        <w:t xml:space="preserve">, Yang K, Kuraguchi M, Heyer J, Lia M, Kneitz B, Fan K, Brown AM, Lipkin M, Kucherlapati R. Tumorigenesis in Mlh1 and Mlh1/Apc1638N mutant mice. </w:t>
      </w:r>
      <w:r w:rsidRPr="000749B2">
        <w:rPr>
          <w:rFonts w:ascii="Book Antiqua" w:hAnsi="Book Antiqua"/>
          <w:i/>
          <w:sz w:val="24"/>
          <w:szCs w:val="24"/>
        </w:rPr>
        <w:t>Cancer Res</w:t>
      </w:r>
      <w:r w:rsidRPr="000749B2">
        <w:rPr>
          <w:rFonts w:ascii="Book Antiqua" w:hAnsi="Book Antiqua"/>
          <w:sz w:val="24"/>
          <w:szCs w:val="24"/>
        </w:rPr>
        <w:t xml:space="preserve"> 1999; </w:t>
      </w:r>
      <w:r w:rsidRPr="000749B2">
        <w:rPr>
          <w:rFonts w:ascii="Book Antiqua" w:hAnsi="Book Antiqua"/>
          <w:b/>
          <w:sz w:val="24"/>
          <w:szCs w:val="24"/>
        </w:rPr>
        <w:t>59</w:t>
      </w:r>
      <w:r w:rsidRPr="000749B2">
        <w:rPr>
          <w:rFonts w:ascii="Book Antiqua" w:hAnsi="Book Antiqua"/>
          <w:sz w:val="24"/>
          <w:szCs w:val="24"/>
        </w:rPr>
        <w:t>: 1301-1307 [PMID: 10096563]</w:t>
      </w:r>
    </w:p>
    <w:p w14:paraId="51E9988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185 </w:t>
      </w:r>
      <w:r w:rsidRPr="000749B2">
        <w:rPr>
          <w:rFonts w:ascii="Book Antiqua" w:hAnsi="Book Antiqua"/>
          <w:b/>
          <w:sz w:val="24"/>
          <w:szCs w:val="24"/>
        </w:rPr>
        <w:t>Reitmair AH</w:t>
      </w:r>
      <w:r w:rsidRPr="000749B2">
        <w:rPr>
          <w:rFonts w:ascii="Book Antiqua" w:hAnsi="Book Antiqua"/>
          <w:sz w:val="24"/>
          <w:szCs w:val="24"/>
        </w:rPr>
        <w:t xml:space="preserve">, Schmits R, Ewel A, Bapat B, Redston M, Mitri A, Waterhouse P, Mittrücker HW, Wakeham A, Liu B. MSH2 deficient mice are viable and susceptible to lymphoid tumours. </w:t>
      </w:r>
      <w:r w:rsidRPr="000749B2">
        <w:rPr>
          <w:rFonts w:ascii="Book Antiqua" w:hAnsi="Book Antiqua"/>
          <w:i/>
          <w:sz w:val="24"/>
          <w:szCs w:val="24"/>
        </w:rPr>
        <w:t>Nat Genet</w:t>
      </w:r>
      <w:r w:rsidRPr="000749B2">
        <w:rPr>
          <w:rFonts w:ascii="Book Antiqua" w:hAnsi="Book Antiqua"/>
          <w:sz w:val="24"/>
          <w:szCs w:val="24"/>
        </w:rPr>
        <w:t xml:space="preserve"> 1995; </w:t>
      </w:r>
      <w:r w:rsidRPr="000749B2">
        <w:rPr>
          <w:rFonts w:ascii="Book Antiqua" w:hAnsi="Book Antiqua"/>
          <w:b/>
          <w:sz w:val="24"/>
          <w:szCs w:val="24"/>
        </w:rPr>
        <w:t>11</w:t>
      </w:r>
      <w:r w:rsidRPr="000749B2">
        <w:rPr>
          <w:rFonts w:ascii="Book Antiqua" w:hAnsi="Book Antiqua"/>
          <w:sz w:val="24"/>
          <w:szCs w:val="24"/>
        </w:rPr>
        <w:t>: 64-70 [PMID: 7550317 DOI: 10.1038/ng0995-64]</w:t>
      </w:r>
    </w:p>
    <w:p w14:paraId="098DBFF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186 </w:t>
      </w:r>
      <w:r w:rsidRPr="000749B2">
        <w:rPr>
          <w:rFonts w:ascii="Book Antiqua" w:hAnsi="Book Antiqua"/>
          <w:b/>
          <w:sz w:val="24"/>
          <w:szCs w:val="24"/>
        </w:rPr>
        <w:t>de Wind N</w:t>
      </w:r>
      <w:r w:rsidRPr="000749B2">
        <w:rPr>
          <w:rFonts w:ascii="Book Antiqua" w:hAnsi="Book Antiqua"/>
          <w:sz w:val="24"/>
          <w:szCs w:val="24"/>
        </w:rPr>
        <w:t xml:space="preserve">, Dekker M, Berns A, Radman M, te Riele H. Inactivation of the mouse Msh2 gene results in mismatch repair deficiency, methylation tolerance, hyperrecombination, and predisposition to cancer. </w:t>
      </w:r>
      <w:r w:rsidRPr="000749B2">
        <w:rPr>
          <w:rFonts w:ascii="Book Antiqua" w:hAnsi="Book Antiqua"/>
          <w:i/>
          <w:sz w:val="24"/>
          <w:szCs w:val="24"/>
        </w:rPr>
        <w:t>Cell</w:t>
      </w:r>
      <w:r w:rsidRPr="000749B2">
        <w:rPr>
          <w:rFonts w:ascii="Book Antiqua" w:hAnsi="Book Antiqua"/>
          <w:sz w:val="24"/>
          <w:szCs w:val="24"/>
        </w:rPr>
        <w:t xml:space="preserve"> 1995; </w:t>
      </w:r>
      <w:r w:rsidRPr="000749B2">
        <w:rPr>
          <w:rFonts w:ascii="Book Antiqua" w:hAnsi="Book Antiqua"/>
          <w:b/>
          <w:sz w:val="24"/>
          <w:szCs w:val="24"/>
        </w:rPr>
        <w:t>82</w:t>
      </w:r>
      <w:r w:rsidRPr="000749B2">
        <w:rPr>
          <w:rFonts w:ascii="Book Antiqua" w:hAnsi="Book Antiqua"/>
          <w:sz w:val="24"/>
          <w:szCs w:val="24"/>
        </w:rPr>
        <w:t>: 321-330 [PMID: 7628020 DOI: 10.1016/0092-8674(95)90319-4]</w:t>
      </w:r>
    </w:p>
    <w:p w14:paraId="1E0A852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187 </w:t>
      </w:r>
      <w:r w:rsidRPr="000749B2">
        <w:rPr>
          <w:rFonts w:ascii="Book Antiqua" w:hAnsi="Book Antiqua"/>
          <w:b/>
          <w:sz w:val="24"/>
          <w:szCs w:val="24"/>
        </w:rPr>
        <w:t>Edelmann W</w:t>
      </w:r>
      <w:r w:rsidRPr="000749B2">
        <w:rPr>
          <w:rFonts w:ascii="Book Antiqua" w:hAnsi="Book Antiqua"/>
          <w:sz w:val="24"/>
          <w:szCs w:val="24"/>
        </w:rPr>
        <w:t xml:space="preserve">, Yang K, Umar A, Heyer J, Lau K, Fan K, Liedtke W, Cohen PE, Kane MF, Lipford JR, Yu N, Crouse GF, Pollard JW, Kunkel T, Lipkin M, Kolodner R, Kucherlapati R. Mutation in the mismatch repair gene Msh6 causes cancer susceptibility. </w:t>
      </w:r>
      <w:r w:rsidRPr="000749B2">
        <w:rPr>
          <w:rFonts w:ascii="Book Antiqua" w:hAnsi="Book Antiqua"/>
          <w:i/>
          <w:sz w:val="24"/>
          <w:szCs w:val="24"/>
        </w:rPr>
        <w:t>Cell</w:t>
      </w:r>
      <w:r w:rsidRPr="000749B2">
        <w:rPr>
          <w:rFonts w:ascii="Book Antiqua" w:hAnsi="Book Antiqua"/>
          <w:sz w:val="24"/>
          <w:szCs w:val="24"/>
        </w:rPr>
        <w:t xml:space="preserve"> 1997; </w:t>
      </w:r>
      <w:r w:rsidRPr="000749B2">
        <w:rPr>
          <w:rFonts w:ascii="Book Antiqua" w:hAnsi="Book Antiqua"/>
          <w:b/>
          <w:sz w:val="24"/>
          <w:szCs w:val="24"/>
        </w:rPr>
        <w:t>91</w:t>
      </w:r>
      <w:r w:rsidRPr="000749B2">
        <w:rPr>
          <w:rFonts w:ascii="Book Antiqua" w:hAnsi="Book Antiqua"/>
          <w:sz w:val="24"/>
          <w:szCs w:val="24"/>
        </w:rPr>
        <w:t>: 467-477 [PMID: 9390556 DOI: 10.1016/s0092-8674(00)80433-x]</w:t>
      </w:r>
    </w:p>
    <w:p w14:paraId="14A21C6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188 </w:t>
      </w:r>
      <w:r w:rsidRPr="000749B2">
        <w:rPr>
          <w:rFonts w:ascii="Book Antiqua" w:hAnsi="Book Antiqua"/>
          <w:b/>
          <w:sz w:val="24"/>
          <w:szCs w:val="24"/>
        </w:rPr>
        <w:t>Prolla TA</w:t>
      </w:r>
      <w:r w:rsidRPr="000749B2">
        <w:rPr>
          <w:rFonts w:ascii="Book Antiqua" w:hAnsi="Book Antiqua"/>
          <w:sz w:val="24"/>
          <w:szCs w:val="24"/>
        </w:rPr>
        <w:t xml:space="preserve">, Baker SM, Harris AC, Tsao JL, Yao X, Bronner CE, Zheng B, Gordon M, Reneker J, Arnheim N, Shibata D, Bradley A, Liskay RM. Tumour susceptibility and spontaneous mutation in mice deficient in Mlh1, Pms1 and Pms2 DNA mismatch repair. </w:t>
      </w:r>
      <w:r w:rsidRPr="000749B2">
        <w:rPr>
          <w:rFonts w:ascii="Book Antiqua" w:hAnsi="Book Antiqua"/>
          <w:i/>
          <w:sz w:val="24"/>
          <w:szCs w:val="24"/>
        </w:rPr>
        <w:t>Nat Genet</w:t>
      </w:r>
      <w:r w:rsidRPr="000749B2">
        <w:rPr>
          <w:rFonts w:ascii="Book Antiqua" w:hAnsi="Book Antiqua"/>
          <w:sz w:val="24"/>
          <w:szCs w:val="24"/>
        </w:rPr>
        <w:t xml:space="preserve"> 1998; </w:t>
      </w:r>
      <w:r w:rsidRPr="000749B2">
        <w:rPr>
          <w:rFonts w:ascii="Book Antiqua" w:hAnsi="Book Antiqua"/>
          <w:b/>
          <w:sz w:val="24"/>
          <w:szCs w:val="24"/>
        </w:rPr>
        <w:t>18</w:t>
      </w:r>
      <w:r w:rsidRPr="000749B2">
        <w:rPr>
          <w:rFonts w:ascii="Book Antiqua" w:hAnsi="Book Antiqua"/>
          <w:sz w:val="24"/>
          <w:szCs w:val="24"/>
        </w:rPr>
        <w:t>: 276-279 [PMID: 9500552 DOI: 10.1038/ng0398-276]</w:t>
      </w:r>
    </w:p>
    <w:p w14:paraId="2A278377"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189 </w:t>
      </w:r>
      <w:r w:rsidRPr="000749B2">
        <w:rPr>
          <w:rFonts w:ascii="Book Antiqua" w:hAnsi="Book Antiqua"/>
          <w:b/>
          <w:sz w:val="24"/>
          <w:szCs w:val="24"/>
        </w:rPr>
        <w:t>Baker SM</w:t>
      </w:r>
      <w:r w:rsidRPr="000749B2">
        <w:rPr>
          <w:rFonts w:ascii="Book Antiqua" w:hAnsi="Book Antiqua"/>
          <w:sz w:val="24"/>
          <w:szCs w:val="24"/>
        </w:rPr>
        <w:t xml:space="preserve">, Plug AW, Prolla TA, Bronner CE, Harris AC, Yao X, Christie DM, Monell C, Arnheim N, Bradley A, Ashley T, Liskay RM. Involvement of mouse Mlh1 in DNA mismatch repair and meiotic crossing over. </w:t>
      </w:r>
      <w:r w:rsidRPr="000749B2">
        <w:rPr>
          <w:rFonts w:ascii="Book Antiqua" w:hAnsi="Book Antiqua"/>
          <w:i/>
          <w:sz w:val="24"/>
          <w:szCs w:val="24"/>
        </w:rPr>
        <w:t>Nat Genet</w:t>
      </w:r>
      <w:r w:rsidRPr="000749B2">
        <w:rPr>
          <w:rFonts w:ascii="Book Antiqua" w:hAnsi="Book Antiqua"/>
          <w:sz w:val="24"/>
          <w:szCs w:val="24"/>
        </w:rPr>
        <w:t xml:space="preserve"> 1996; </w:t>
      </w:r>
      <w:r w:rsidRPr="000749B2">
        <w:rPr>
          <w:rFonts w:ascii="Book Antiqua" w:hAnsi="Book Antiqua"/>
          <w:b/>
          <w:sz w:val="24"/>
          <w:szCs w:val="24"/>
        </w:rPr>
        <w:t>13</w:t>
      </w:r>
      <w:r w:rsidRPr="000749B2">
        <w:rPr>
          <w:rFonts w:ascii="Book Antiqua" w:hAnsi="Book Antiqua"/>
          <w:sz w:val="24"/>
          <w:szCs w:val="24"/>
        </w:rPr>
        <w:t>: 336-342 [PMID: 8673133 DOI: 10.1038/ng0796-336]</w:t>
      </w:r>
    </w:p>
    <w:p w14:paraId="48EB37F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190 </w:t>
      </w:r>
      <w:r w:rsidRPr="000749B2">
        <w:rPr>
          <w:rFonts w:ascii="Book Antiqua" w:hAnsi="Book Antiqua"/>
          <w:b/>
          <w:sz w:val="24"/>
          <w:szCs w:val="24"/>
        </w:rPr>
        <w:t>Yang G</w:t>
      </w:r>
      <w:r w:rsidRPr="000749B2">
        <w:rPr>
          <w:rFonts w:ascii="Book Antiqua" w:hAnsi="Book Antiqua"/>
          <w:sz w:val="24"/>
          <w:szCs w:val="24"/>
        </w:rPr>
        <w:t xml:space="preserve">, Scherer SJ, Shell SS, Yang K, Kim M, Lipkin M, Kucherlapati R, Kolodner RD, Edelmann W. Dominant effects of an Msh6 missense mutation on DNA repair and cancer susceptibility. </w:t>
      </w:r>
      <w:r w:rsidRPr="000749B2">
        <w:rPr>
          <w:rFonts w:ascii="Book Antiqua" w:hAnsi="Book Antiqua"/>
          <w:i/>
          <w:sz w:val="24"/>
          <w:szCs w:val="24"/>
        </w:rPr>
        <w:t>Cancer Cell</w:t>
      </w:r>
      <w:r w:rsidRPr="000749B2">
        <w:rPr>
          <w:rFonts w:ascii="Book Antiqua" w:hAnsi="Book Antiqua"/>
          <w:sz w:val="24"/>
          <w:szCs w:val="24"/>
        </w:rPr>
        <w:t xml:space="preserve"> 2004; </w:t>
      </w:r>
      <w:r w:rsidRPr="000749B2">
        <w:rPr>
          <w:rFonts w:ascii="Book Antiqua" w:hAnsi="Book Antiqua"/>
          <w:b/>
          <w:sz w:val="24"/>
          <w:szCs w:val="24"/>
        </w:rPr>
        <w:t>6</w:t>
      </w:r>
      <w:r w:rsidRPr="000749B2">
        <w:rPr>
          <w:rFonts w:ascii="Book Antiqua" w:hAnsi="Book Antiqua"/>
          <w:sz w:val="24"/>
          <w:szCs w:val="24"/>
        </w:rPr>
        <w:t>: 139-150 [PMID: 15324697 DOI: 10.1016/j.ccr.2004.06.024]</w:t>
      </w:r>
    </w:p>
    <w:p w14:paraId="02CF8A87"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191 </w:t>
      </w:r>
      <w:r w:rsidRPr="000749B2">
        <w:rPr>
          <w:rFonts w:ascii="Book Antiqua" w:hAnsi="Book Antiqua"/>
          <w:b/>
          <w:sz w:val="24"/>
          <w:szCs w:val="24"/>
        </w:rPr>
        <w:t>Reitmair AH</w:t>
      </w:r>
      <w:r w:rsidRPr="000749B2">
        <w:rPr>
          <w:rFonts w:ascii="Book Antiqua" w:hAnsi="Book Antiqua"/>
          <w:sz w:val="24"/>
          <w:szCs w:val="24"/>
        </w:rPr>
        <w:t xml:space="preserve">, Cai JC, Bjerknes M, Redston M, Cheng H, Pind MT, Hay K, Mitri A, Bapat BV, Mak TW, Gallinger S. MSH2 deficiency contributes to accelerated APC-mediated intestinal tumorigenesis. </w:t>
      </w:r>
      <w:r w:rsidRPr="000749B2">
        <w:rPr>
          <w:rFonts w:ascii="Book Antiqua" w:hAnsi="Book Antiqua"/>
          <w:i/>
          <w:sz w:val="24"/>
          <w:szCs w:val="24"/>
        </w:rPr>
        <w:t>Cancer Res</w:t>
      </w:r>
      <w:r w:rsidRPr="000749B2">
        <w:rPr>
          <w:rFonts w:ascii="Book Antiqua" w:hAnsi="Book Antiqua"/>
          <w:sz w:val="24"/>
          <w:szCs w:val="24"/>
        </w:rPr>
        <w:t xml:space="preserve"> 1996; </w:t>
      </w:r>
      <w:r w:rsidRPr="000749B2">
        <w:rPr>
          <w:rFonts w:ascii="Book Antiqua" w:hAnsi="Book Antiqua"/>
          <w:b/>
          <w:sz w:val="24"/>
          <w:szCs w:val="24"/>
        </w:rPr>
        <w:t>56</w:t>
      </w:r>
      <w:r w:rsidRPr="000749B2">
        <w:rPr>
          <w:rFonts w:ascii="Book Antiqua" w:hAnsi="Book Antiqua"/>
          <w:sz w:val="24"/>
          <w:szCs w:val="24"/>
        </w:rPr>
        <w:t>: 2922-2926 [PMID: 8674041]</w:t>
      </w:r>
    </w:p>
    <w:p w14:paraId="6F02178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192 </w:t>
      </w:r>
      <w:r w:rsidRPr="000749B2">
        <w:rPr>
          <w:rFonts w:ascii="Book Antiqua" w:hAnsi="Book Antiqua"/>
          <w:b/>
          <w:sz w:val="24"/>
          <w:szCs w:val="24"/>
        </w:rPr>
        <w:t>Smits R</w:t>
      </w:r>
      <w:r w:rsidRPr="000749B2">
        <w:rPr>
          <w:rFonts w:ascii="Book Antiqua" w:hAnsi="Book Antiqua"/>
          <w:sz w:val="24"/>
          <w:szCs w:val="24"/>
        </w:rPr>
        <w:t xml:space="preserve">, Hofland N, Edelmann W, Geugien M, Jagmohan-Changur S, Albuquerque C, Breukel C, Kucherlapati R, Kielman MF, Fodde R. Somatic Apc mutations are selected upon their capacity to inactivate the beta-catenin downregulating activity. </w:t>
      </w:r>
      <w:r w:rsidRPr="000749B2">
        <w:rPr>
          <w:rFonts w:ascii="Book Antiqua" w:hAnsi="Book Antiqua"/>
          <w:i/>
          <w:sz w:val="24"/>
          <w:szCs w:val="24"/>
        </w:rPr>
        <w:t>Genes Chromosomes Cancer</w:t>
      </w:r>
      <w:r w:rsidRPr="000749B2">
        <w:rPr>
          <w:rFonts w:ascii="Book Antiqua" w:hAnsi="Book Antiqua"/>
          <w:sz w:val="24"/>
          <w:szCs w:val="24"/>
        </w:rPr>
        <w:t xml:space="preserve"> 2000; </w:t>
      </w:r>
      <w:r w:rsidRPr="000749B2">
        <w:rPr>
          <w:rFonts w:ascii="Book Antiqua" w:hAnsi="Book Antiqua"/>
          <w:b/>
          <w:sz w:val="24"/>
          <w:szCs w:val="24"/>
        </w:rPr>
        <w:t>29</w:t>
      </w:r>
      <w:r w:rsidRPr="000749B2">
        <w:rPr>
          <w:rFonts w:ascii="Book Antiqua" w:hAnsi="Book Antiqua"/>
          <w:sz w:val="24"/>
          <w:szCs w:val="24"/>
        </w:rPr>
        <w:t>: 229-239 [PMID: 10992298]</w:t>
      </w:r>
    </w:p>
    <w:p w14:paraId="3E4EC3D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193 </w:t>
      </w:r>
      <w:r w:rsidRPr="000749B2">
        <w:rPr>
          <w:rFonts w:ascii="Book Antiqua" w:hAnsi="Book Antiqua"/>
          <w:b/>
          <w:sz w:val="24"/>
          <w:szCs w:val="24"/>
        </w:rPr>
        <w:t>Kucherlapati M</w:t>
      </w:r>
      <w:r w:rsidRPr="000749B2">
        <w:rPr>
          <w:rFonts w:ascii="Book Antiqua" w:hAnsi="Book Antiqua"/>
          <w:sz w:val="24"/>
          <w:szCs w:val="24"/>
        </w:rPr>
        <w:t xml:space="preserve">, Yang K, Kuraguchi M, Zhao J, Lia M, Heyer J, Kane MF, Fan K, Russell R, Brown AM, Kneitz B, Edelmann W, Kolodner RD, Lipkin M, Kucherlapati R. Haploinsufficiency of Flap endonuclease (Fen1) leads to rapid tumor progression. </w:t>
      </w:r>
      <w:r w:rsidRPr="000749B2">
        <w:rPr>
          <w:rFonts w:ascii="Book Antiqua" w:hAnsi="Book Antiqua"/>
          <w:i/>
          <w:sz w:val="24"/>
          <w:szCs w:val="24"/>
        </w:rPr>
        <w:t>Proc Natl Acad Sci U S A</w:t>
      </w:r>
      <w:r w:rsidRPr="000749B2">
        <w:rPr>
          <w:rFonts w:ascii="Book Antiqua" w:hAnsi="Book Antiqua"/>
          <w:sz w:val="24"/>
          <w:szCs w:val="24"/>
        </w:rPr>
        <w:t xml:space="preserve"> 2002; </w:t>
      </w:r>
      <w:r w:rsidRPr="000749B2">
        <w:rPr>
          <w:rFonts w:ascii="Book Antiqua" w:hAnsi="Book Antiqua"/>
          <w:b/>
          <w:sz w:val="24"/>
          <w:szCs w:val="24"/>
        </w:rPr>
        <w:t>99</w:t>
      </w:r>
      <w:r w:rsidRPr="000749B2">
        <w:rPr>
          <w:rFonts w:ascii="Book Antiqua" w:hAnsi="Book Antiqua"/>
          <w:sz w:val="24"/>
          <w:szCs w:val="24"/>
        </w:rPr>
        <w:t>: 9924-9929 [PMID: 12119409 DOI: 10.1073/pnas.152321699]</w:t>
      </w:r>
    </w:p>
    <w:p w14:paraId="6EBBAF1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194 </w:t>
      </w:r>
      <w:r w:rsidRPr="000749B2">
        <w:rPr>
          <w:rFonts w:ascii="Book Antiqua" w:hAnsi="Book Antiqua"/>
          <w:b/>
          <w:sz w:val="24"/>
          <w:szCs w:val="24"/>
        </w:rPr>
        <w:t>Kucherlapati M</w:t>
      </w:r>
      <w:r w:rsidRPr="000749B2">
        <w:rPr>
          <w:rFonts w:ascii="Book Antiqua" w:hAnsi="Book Antiqua"/>
          <w:sz w:val="24"/>
          <w:szCs w:val="24"/>
        </w:rPr>
        <w:t xml:space="preserve">, Nguyen A, Kuraguchi M, Yang K, Fan K, Bronson R, Wei K, Lipkin M, Edelmann W, Kucherlapati R. Tumor progression in Apc(1638N) mice with Exo1 and Fen1 deficiencies. </w:t>
      </w:r>
      <w:r w:rsidRPr="000749B2">
        <w:rPr>
          <w:rFonts w:ascii="Book Antiqua" w:hAnsi="Book Antiqua"/>
          <w:i/>
          <w:sz w:val="24"/>
          <w:szCs w:val="24"/>
        </w:rPr>
        <w:t>Oncogene</w:t>
      </w:r>
      <w:r w:rsidRPr="000749B2">
        <w:rPr>
          <w:rFonts w:ascii="Book Antiqua" w:hAnsi="Book Antiqua"/>
          <w:sz w:val="24"/>
          <w:szCs w:val="24"/>
        </w:rPr>
        <w:t xml:space="preserve"> 2007; </w:t>
      </w:r>
      <w:r w:rsidRPr="000749B2">
        <w:rPr>
          <w:rFonts w:ascii="Book Antiqua" w:hAnsi="Book Antiqua"/>
          <w:b/>
          <w:sz w:val="24"/>
          <w:szCs w:val="24"/>
        </w:rPr>
        <w:t>26</w:t>
      </w:r>
      <w:r w:rsidRPr="000749B2">
        <w:rPr>
          <w:rFonts w:ascii="Book Antiqua" w:hAnsi="Book Antiqua"/>
          <w:sz w:val="24"/>
          <w:szCs w:val="24"/>
        </w:rPr>
        <w:t>: 6297-6306 [PMID: 17452984 DOI: 10.1038/sj.onc.1210453]</w:t>
      </w:r>
    </w:p>
    <w:p w14:paraId="3139416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195 </w:t>
      </w:r>
      <w:r w:rsidRPr="000749B2">
        <w:rPr>
          <w:rFonts w:ascii="Book Antiqua" w:hAnsi="Book Antiqua"/>
          <w:b/>
          <w:sz w:val="24"/>
          <w:szCs w:val="24"/>
        </w:rPr>
        <w:t>Panarelli NC</w:t>
      </w:r>
      <w:r w:rsidRPr="000749B2">
        <w:rPr>
          <w:rFonts w:ascii="Book Antiqua" w:hAnsi="Book Antiqua"/>
          <w:sz w:val="24"/>
          <w:szCs w:val="24"/>
        </w:rPr>
        <w:t xml:space="preserve">, Vaughn CP, Samowitz WS, Yantiss RK. Sporadic microsatellite instability-high colon cancers rarely display immunohistochemical evidence of Wnt signaling activation. </w:t>
      </w:r>
      <w:r w:rsidRPr="000749B2">
        <w:rPr>
          <w:rFonts w:ascii="Book Antiqua" w:hAnsi="Book Antiqua"/>
          <w:i/>
          <w:sz w:val="24"/>
          <w:szCs w:val="24"/>
        </w:rPr>
        <w:t>Am J Surg Pathol</w:t>
      </w:r>
      <w:r w:rsidRPr="000749B2">
        <w:rPr>
          <w:rFonts w:ascii="Book Antiqua" w:hAnsi="Book Antiqua"/>
          <w:sz w:val="24"/>
          <w:szCs w:val="24"/>
        </w:rPr>
        <w:t xml:space="preserve"> 2015; </w:t>
      </w:r>
      <w:r w:rsidRPr="000749B2">
        <w:rPr>
          <w:rFonts w:ascii="Book Antiqua" w:hAnsi="Book Antiqua"/>
          <w:b/>
          <w:sz w:val="24"/>
          <w:szCs w:val="24"/>
        </w:rPr>
        <w:t>39</w:t>
      </w:r>
      <w:r w:rsidRPr="000749B2">
        <w:rPr>
          <w:rFonts w:ascii="Book Antiqua" w:hAnsi="Book Antiqua"/>
          <w:sz w:val="24"/>
          <w:szCs w:val="24"/>
        </w:rPr>
        <w:t>: 313-317 [PMID: 25602793 DOI: 10.1097/PAS.0000000000000380]</w:t>
      </w:r>
    </w:p>
    <w:p w14:paraId="7C8FC97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196 </w:t>
      </w:r>
      <w:r w:rsidRPr="000749B2">
        <w:rPr>
          <w:rFonts w:ascii="Book Antiqua" w:hAnsi="Book Antiqua"/>
          <w:b/>
          <w:sz w:val="24"/>
          <w:szCs w:val="24"/>
        </w:rPr>
        <w:t>Marisa L</w:t>
      </w:r>
      <w:r w:rsidRPr="000749B2">
        <w:rPr>
          <w:rFonts w:ascii="Book Antiqua" w:hAnsi="Book Antiqua"/>
          <w:sz w:val="24"/>
          <w:szCs w:val="24"/>
        </w:rPr>
        <w:t xml:space="preserve">, de Reyniès A, Duval A, Selves J, Gaub MP, Vescovo L, Etienne-Grimaldi MC, Schiappa R, Guenot D, Ayadi M, Kirzin S, Chazal M, Fléjou JF, Benchimol D, Berger A, Lagarde A, Pencreach E, Piard F, Elias D, Parc Y, Olschwang S, Milano G, Laurent-Puig P, Boige V. Gene expression classification of colon cancer into molecular subtypes: characterization, validation, and prognostic value. </w:t>
      </w:r>
      <w:r w:rsidRPr="000749B2">
        <w:rPr>
          <w:rFonts w:ascii="Book Antiqua" w:hAnsi="Book Antiqua"/>
          <w:i/>
          <w:sz w:val="24"/>
          <w:szCs w:val="24"/>
        </w:rPr>
        <w:t>PLoS Med</w:t>
      </w:r>
      <w:r w:rsidRPr="000749B2">
        <w:rPr>
          <w:rFonts w:ascii="Book Antiqua" w:hAnsi="Book Antiqua"/>
          <w:sz w:val="24"/>
          <w:szCs w:val="24"/>
        </w:rPr>
        <w:t xml:space="preserve"> 2013; </w:t>
      </w:r>
      <w:r w:rsidRPr="000749B2">
        <w:rPr>
          <w:rFonts w:ascii="Book Antiqua" w:hAnsi="Book Antiqua"/>
          <w:b/>
          <w:sz w:val="24"/>
          <w:szCs w:val="24"/>
        </w:rPr>
        <w:t>10</w:t>
      </w:r>
      <w:r w:rsidRPr="000749B2">
        <w:rPr>
          <w:rFonts w:ascii="Book Antiqua" w:hAnsi="Book Antiqua"/>
          <w:sz w:val="24"/>
          <w:szCs w:val="24"/>
        </w:rPr>
        <w:t>: e1001453 [PMID: 23700391 DOI: 10.1371/journal.pmed.1001453]</w:t>
      </w:r>
    </w:p>
    <w:p w14:paraId="332FBB8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197 </w:t>
      </w:r>
      <w:r w:rsidRPr="000749B2">
        <w:rPr>
          <w:rFonts w:ascii="Book Antiqua" w:hAnsi="Book Antiqua"/>
          <w:b/>
          <w:sz w:val="24"/>
          <w:szCs w:val="24"/>
        </w:rPr>
        <w:t>Kucherlapati MH</w:t>
      </w:r>
      <w:r w:rsidRPr="000749B2">
        <w:rPr>
          <w:rFonts w:ascii="Book Antiqua" w:hAnsi="Book Antiqua"/>
          <w:sz w:val="24"/>
          <w:szCs w:val="24"/>
        </w:rPr>
        <w:t xml:space="preserve">, Lee K, Nguyen AA, Clark AB, Hou H Jr, Rosulek A, Li H, Yang K, Fan K, Lipkin M, Bronson RT, Jelicks L, Kunkel TA, Kucherlapati R, Edelmann W. An Msh2 conditional knockout mouse for studying intestinal cancer and testing anticancer agents. </w:t>
      </w:r>
      <w:r w:rsidRPr="000749B2">
        <w:rPr>
          <w:rFonts w:ascii="Book Antiqua" w:hAnsi="Book Antiqua"/>
          <w:i/>
          <w:sz w:val="24"/>
          <w:szCs w:val="24"/>
        </w:rPr>
        <w:t>Gastroenterology</w:t>
      </w:r>
      <w:r w:rsidRPr="000749B2">
        <w:rPr>
          <w:rFonts w:ascii="Book Antiqua" w:hAnsi="Book Antiqua"/>
          <w:sz w:val="24"/>
          <w:szCs w:val="24"/>
        </w:rPr>
        <w:t xml:space="preserve"> 2010; </w:t>
      </w:r>
      <w:r w:rsidRPr="000749B2">
        <w:rPr>
          <w:rFonts w:ascii="Book Antiqua" w:hAnsi="Book Antiqua"/>
          <w:b/>
          <w:sz w:val="24"/>
          <w:szCs w:val="24"/>
        </w:rPr>
        <w:t>138</w:t>
      </w:r>
      <w:r w:rsidRPr="000749B2">
        <w:rPr>
          <w:rFonts w:ascii="Book Antiqua" w:hAnsi="Book Antiqua"/>
          <w:sz w:val="24"/>
          <w:szCs w:val="24"/>
        </w:rPr>
        <w:t>: 993-1002.e1 [PMID: 19931261 DOI: 10.1053/j.gastro.2009.11.009]</w:t>
      </w:r>
    </w:p>
    <w:p w14:paraId="493A355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198 </w:t>
      </w:r>
      <w:r w:rsidRPr="000749B2">
        <w:rPr>
          <w:rFonts w:ascii="Book Antiqua" w:hAnsi="Book Antiqua"/>
          <w:b/>
          <w:sz w:val="24"/>
          <w:szCs w:val="24"/>
        </w:rPr>
        <w:t>Bennecke M</w:t>
      </w:r>
      <w:r w:rsidRPr="000749B2">
        <w:rPr>
          <w:rFonts w:ascii="Book Antiqua" w:hAnsi="Book Antiqua"/>
          <w:sz w:val="24"/>
          <w:szCs w:val="24"/>
        </w:rPr>
        <w:t xml:space="preserve">, Kriegl L, Bajbouj M, Retzlaff K, Robine S, Jung A, Arkan MC, Kirchner T, Greten FR. Ink4a/Arf and oncogene-induced senescence prevent tumor progression during alternative colorectal tumorigenesis. </w:t>
      </w:r>
      <w:r w:rsidRPr="000749B2">
        <w:rPr>
          <w:rFonts w:ascii="Book Antiqua" w:hAnsi="Book Antiqua"/>
          <w:i/>
          <w:sz w:val="24"/>
          <w:szCs w:val="24"/>
        </w:rPr>
        <w:t>Cancer Cell</w:t>
      </w:r>
      <w:r w:rsidRPr="000749B2">
        <w:rPr>
          <w:rFonts w:ascii="Book Antiqua" w:hAnsi="Book Antiqua"/>
          <w:sz w:val="24"/>
          <w:szCs w:val="24"/>
        </w:rPr>
        <w:t xml:space="preserve"> 2010; </w:t>
      </w:r>
      <w:r w:rsidRPr="000749B2">
        <w:rPr>
          <w:rFonts w:ascii="Book Antiqua" w:hAnsi="Book Antiqua"/>
          <w:b/>
          <w:sz w:val="24"/>
          <w:szCs w:val="24"/>
        </w:rPr>
        <w:t>18</w:t>
      </w:r>
      <w:r w:rsidRPr="000749B2">
        <w:rPr>
          <w:rFonts w:ascii="Book Antiqua" w:hAnsi="Book Antiqua"/>
          <w:sz w:val="24"/>
          <w:szCs w:val="24"/>
        </w:rPr>
        <w:t>: 135-146 [PMID: 20708155 DOI: 10.1016/j.ccr.2010.06.013]</w:t>
      </w:r>
    </w:p>
    <w:p w14:paraId="591CF16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199 </w:t>
      </w:r>
      <w:r w:rsidRPr="000749B2">
        <w:rPr>
          <w:rFonts w:ascii="Book Antiqua" w:hAnsi="Book Antiqua"/>
          <w:b/>
          <w:sz w:val="24"/>
          <w:szCs w:val="24"/>
        </w:rPr>
        <w:t>Huang D</w:t>
      </w:r>
      <w:r w:rsidRPr="000749B2">
        <w:rPr>
          <w:rFonts w:ascii="Book Antiqua" w:hAnsi="Book Antiqua"/>
          <w:sz w:val="24"/>
          <w:szCs w:val="24"/>
        </w:rPr>
        <w:t xml:space="preserve">, Sun W, Zhou Y, Li P, Chen F, Chen H, Xia D, Xu E, Lai M, Wu Y, Zhang H. Mutations of key driver genes in colorectal cancer progression and metastasis. </w:t>
      </w:r>
      <w:r w:rsidRPr="000749B2">
        <w:rPr>
          <w:rFonts w:ascii="Book Antiqua" w:hAnsi="Book Antiqua"/>
          <w:i/>
          <w:sz w:val="24"/>
          <w:szCs w:val="24"/>
        </w:rPr>
        <w:t>Cancer Metastasis Rev</w:t>
      </w:r>
      <w:r w:rsidRPr="000749B2">
        <w:rPr>
          <w:rFonts w:ascii="Book Antiqua" w:hAnsi="Book Antiqua"/>
          <w:sz w:val="24"/>
          <w:szCs w:val="24"/>
        </w:rPr>
        <w:t xml:space="preserve"> 2018; </w:t>
      </w:r>
      <w:r w:rsidRPr="000749B2">
        <w:rPr>
          <w:rFonts w:ascii="Book Antiqua" w:hAnsi="Book Antiqua"/>
          <w:b/>
          <w:sz w:val="24"/>
          <w:szCs w:val="24"/>
        </w:rPr>
        <w:t>37</w:t>
      </w:r>
      <w:r w:rsidRPr="000749B2">
        <w:rPr>
          <w:rFonts w:ascii="Book Antiqua" w:hAnsi="Book Antiqua"/>
          <w:sz w:val="24"/>
          <w:szCs w:val="24"/>
        </w:rPr>
        <w:t>: 173-187 [PMID: 29322354 DOI: 10.1007/s10555-017-9726-5]</w:t>
      </w:r>
    </w:p>
    <w:p w14:paraId="4666732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200 </w:t>
      </w:r>
      <w:r w:rsidRPr="000749B2">
        <w:rPr>
          <w:rFonts w:ascii="Book Antiqua" w:hAnsi="Book Antiqua"/>
          <w:b/>
          <w:sz w:val="24"/>
          <w:szCs w:val="24"/>
        </w:rPr>
        <w:t>Starr TK</w:t>
      </w:r>
      <w:r w:rsidRPr="000749B2">
        <w:rPr>
          <w:rFonts w:ascii="Book Antiqua" w:hAnsi="Book Antiqua"/>
          <w:sz w:val="24"/>
          <w:szCs w:val="24"/>
        </w:rPr>
        <w:t xml:space="preserve">, Allaei R, Silverstein KA, Staggs RA, Sarver AL, Bergemann TL, Gupta M, O'Sullivan MG, Matise I, Dupuy AJ, Collier LS, Powers S, Oberg AL, Asmann YW, Thibodeau SN, Tessarollo L, Copeland NG, Jenkins NA, Cormier RT, Largaespada DA. A transposon-based genetic screen in mice identifies genes altered in colorectal cancer. </w:t>
      </w:r>
      <w:r w:rsidRPr="000749B2">
        <w:rPr>
          <w:rFonts w:ascii="Book Antiqua" w:hAnsi="Book Antiqua"/>
          <w:i/>
          <w:sz w:val="24"/>
          <w:szCs w:val="24"/>
        </w:rPr>
        <w:t>Science</w:t>
      </w:r>
      <w:r w:rsidRPr="000749B2">
        <w:rPr>
          <w:rFonts w:ascii="Book Antiqua" w:hAnsi="Book Antiqua"/>
          <w:sz w:val="24"/>
          <w:szCs w:val="24"/>
        </w:rPr>
        <w:t xml:space="preserve"> 2009; </w:t>
      </w:r>
      <w:r w:rsidRPr="000749B2">
        <w:rPr>
          <w:rFonts w:ascii="Book Antiqua" w:hAnsi="Book Antiqua"/>
          <w:b/>
          <w:sz w:val="24"/>
          <w:szCs w:val="24"/>
        </w:rPr>
        <w:t>323</w:t>
      </w:r>
      <w:r w:rsidRPr="000749B2">
        <w:rPr>
          <w:rFonts w:ascii="Book Antiqua" w:hAnsi="Book Antiqua"/>
          <w:sz w:val="24"/>
          <w:szCs w:val="24"/>
        </w:rPr>
        <w:t>: 1747-1750 [PMID: 19251594 DOI: 10.1126/science.1163040]</w:t>
      </w:r>
    </w:p>
    <w:p w14:paraId="635CA4D7"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201 </w:t>
      </w:r>
      <w:r w:rsidRPr="000749B2">
        <w:rPr>
          <w:rFonts w:ascii="Book Antiqua" w:hAnsi="Book Antiqua"/>
          <w:b/>
          <w:sz w:val="24"/>
          <w:szCs w:val="24"/>
        </w:rPr>
        <w:t>Takeda H</w:t>
      </w:r>
      <w:r w:rsidRPr="000749B2">
        <w:rPr>
          <w:rFonts w:ascii="Book Antiqua" w:hAnsi="Book Antiqua"/>
          <w:sz w:val="24"/>
          <w:szCs w:val="24"/>
        </w:rPr>
        <w:t xml:space="preserve">, Wei Z, Koso H, Rust AG, Yew CC, Mann MB, Ward JM, Adams DJ, Copeland NG, Jenkins NA. Transposon mutagenesis identifies genes and evolutionary forces driving gastrointestinal tract tumor progression. </w:t>
      </w:r>
      <w:r w:rsidRPr="000749B2">
        <w:rPr>
          <w:rFonts w:ascii="Book Antiqua" w:hAnsi="Book Antiqua"/>
          <w:i/>
          <w:sz w:val="24"/>
          <w:szCs w:val="24"/>
        </w:rPr>
        <w:t>Nat Genet</w:t>
      </w:r>
      <w:r w:rsidRPr="000749B2">
        <w:rPr>
          <w:rFonts w:ascii="Book Antiqua" w:hAnsi="Book Antiqua"/>
          <w:sz w:val="24"/>
          <w:szCs w:val="24"/>
        </w:rPr>
        <w:t xml:space="preserve"> 2015; </w:t>
      </w:r>
      <w:r w:rsidRPr="000749B2">
        <w:rPr>
          <w:rFonts w:ascii="Book Antiqua" w:hAnsi="Book Antiqua"/>
          <w:b/>
          <w:sz w:val="24"/>
          <w:szCs w:val="24"/>
        </w:rPr>
        <w:t>47</w:t>
      </w:r>
      <w:r w:rsidRPr="000749B2">
        <w:rPr>
          <w:rFonts w:ascii="Book Antiqua" w:hAnsi="Book Antiqua"/>
          <w:sz w:val="24"/>
          <w:szCs w:val="24"/>
        </w:rPr>
        <w:t>: 142-150 [PMID: 25559195 DOI: 10.1038/ng.3175]</w:t>
      </w:r>
    </w:p>
    <w:p w14:paraId="742CA7B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202 </w:t>
      </w:r>
      <w:r w:rsidRPr="000749B2">
        <w:rPr>
          <w:rFonts w:ascii="Book Antiqua" w:hAnsi="Book Antiqua"/>
          <w:b/>
          <w:sz w:val="24"/>
          <w:szCs w:val="24"/>
        </w:rPr>
        <w:t>Morris SM</w:t>
      </w:r>
      <w:r w:rsidRPr="000749B2">
        <w:rPr>
          <w:rFonts w:ascii="Book Antiqua" w:hAnsi="Book Antiqua"/>
          <w:sz w:val="24"/>
          <w:szCs w:val="24"/>
        </w:rPr>
        <w:t xml:space="preserve">, Davison J, Carter KT, O'Leary RM, Trobridge P, Knoblaugh SE, Myeroff LL, Markowitz SD, Brett BT, Scheetz TE, Dupuy AJ, Starr TK, Grady WM. Transposon mutagenesis identifies candidate genes that cooperate with loss of transforming growth factor-beta signaling in mouse intestinal neoplasms. </w:t>
      </w:r>
      <w:r w:rsidRPr="000749B2">
        <w:rPr>
          <w:rFonts w:ascii="Book Antiqua" w:hAnsi="Book Antiqua"/>
          <w:i/>
          <w:sz w:val="24"/>
          <w:szCs w:val="24"/>
        </w:rPr>
        <w:t>Int J Cancer</w:t>
      </w:r>
      <w:r w:rsidRPr="000749B2">
        <w:rPr>
          <w:rFonts w:ascii="Book Antiqua" w:hAnsi="Book Antiqua"/>
          <w:sz w:val="24"/>
          <w:szCs w:val="24"/>
        </w:rPr>
        <w:t xml:space="preserve"> 2017; </w:t>
      </w:r>
      <w:r w:rsidRPr="000749B2">
        <w:rPr>
          <w:rFonts w:ascii="Book Antiqua" w:hAnsi="Book Antiqua"/>
          <w:b/>
          <w:sz w:val="24"/>
          <w:szCs w:val="24"/>
        </w:rPr>
        <w:t>140</w:t>
      </w:r>
      <w:r w:rsidRPr="000749B2">
        <w:rPr>
          <w:rFonts w:ascii="Book Antiqua" w:hAnsi="Book Antiqua"/>
          <w:sz w:val="24"/>
          <w:szCs w:val="24"/>
        </w:rPr>
        <w:t>: 853-863 [PMID: 27790711 DOI: 10.1002/ijc.30491]</w:t>
      </w:r>
    </w:p>
    <w:p w14:paraId="702C037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203 </w:t>
      </w:r>
      <w:r w:rsidRPr="000749B2">
        <w:rPr>
          <w:rFonts w:ascii="Book Antiqua" w:hAnsi="Book Antiqua"/>
          <w:b/>
          <w:sz w:val="24"/>
          <w:szCs w:val="24"/>
        </w:rPr>
        <w:t>Shabad LM</w:t>
      </w:r>
      <w:r w:rsidRPr="000749B2">
        <w:rPr>
          <w:rFonts w:ascii="Book Antiqua" w:hAnsi="Book Antiqua"/>
          <w:sz w:val="24"/>
          <w:szCs w:val="24"/>
        </w:rPr>
        <w:t xml:space="preserve">. Mstislav Novinsky, pioneer of tumour transplantation. </w:t>
      </w:r>
      <w:r w:rsidRPr="000749B2">
        <w:rPr>
          <w:rFonts w:ascii="Book Antiqua" w:hAnsi="Book Antiqua"/>
          <w:i/>
          <w:sz w:val="24"/>
          <w:szCs w:val="24"/>
        </w:rPr>
        <w:t>Cancer Lett</w:t>
      </w:r>
      <w:r w:rsidRPr="000749B2">
        <w:rPr>
          <w:rFonts w:ascii="Book Antiqua" w:hAnsi="Book Antiqua"/>
          <w:sz w:val="24"/>
          <w:szCs w:val="24"/>
        </w:rPr>
        <w:t xml:space="preserve"> 1976; </w:t>
      </w:r>
      <w:r w:rsidRPr="000749B2">
        <w:rPr>
          <w:rFonts w:ascii="Book Antiqua" w:hAnsi="Book Antiqua"/>
          <w:b/>
          <w:sz w:val="24"/>
          <w:szCs w:val="24"/>
        </w:rPr>
        <w:t>2</w:t>
      </w:r>
      <w:r w:rsidRPr="000749B2">
        <w:rPr>
          <w:rFonts w:ascii="Book Antiqua" w:hAnsi="Book Antiqua"/>
          <w:sz w:val="24"/>
          <w:szCs w:val="24"/>
        </w:rPr>
        <w:t>: 1-3 [PMID: 797444 DOI: 10.1016/s0304-3835(76)80002-x]</w:t>
      </w:r>
    </w:p>
    <w:p w14:paraId="638E6F6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204 </w:t>
      </w:r>
      <w:r w:rsidRPr="000749B2">
        <w:rPr>
          <w:rFonts w:ascii="Book Antiqua" w:hAnsi="Book Antiqua"/>
          <w:b/>
          <w:bCs/>
          <w:sz w:val="24"/>
          <w:szCs w:val="24"/>
        </w:rPr>
        <w:t>Hanau A</w:t>
      </w:r>
      <w:r w:rsidRPr="000749B2">
        <w:rPr>
          <w:rFonts w:ascii="Book Antiqua" w:hAnsi="Book Antiqua"/>
          <w:sz w:val="24"/>
          <w:szCs w:val="24"/>
        </w:rPr>
        <w:t xml:space="preserve">. Erfolgreiche Übertragung von Carcinom. </w:t>
      </w:r>
      <w:r w:rsidRPr="000749B2">
        <w:rPr>
          <w:rFonts w:ascii="Book Antiqua" w:hAnsi="Book Antiqua"/>
          <w:i/>
          <w:iCs/>
          <w:sz w:val="24"/>
          <w:szCs w:val="24"/>
        </w:rPr>
        <w:t>Fortschr d Med</w:t>
      </w:r>
      <w:r w:rsidRPr="000749B2">
        <w:rPr>
          <w:rFonts w:ascii="Book Antiqua" w:hAnsi="Book Antiqua"/>
          <w:sz w:val="24"/>
          <w:szCs w:val="24"/>
        </w:rPr>
        <w:t xml:space="preserve"> 1889; </w:t>
      </w:r>
      <w:r w:rsidRPr="000749B2">
        <w:rPr>
          <w:rFonts w:ascii="Book Antiqua" w:hAnsi="Book Antiqua"/>
          <w:b/>
          <w:bCs/>
          <w:sz w:val="24"/>
          <w:szCs w:val="24"/>
        </w:rPr>
        <w:t>7</w:t>
      </w:r>
      <w:r w:rsidRPr="000749B2">
        <w:rPr>
          <w:rFonts w:ascii="Book Antiqua" w:hAnsi="Book Antiqua"/>
          <w:sz w:val="24"/>
          <w:szCs w:val="24"/>
        </w:rPr>
        <w:t>: 321</w:t>
      </w:r>
    </w:p>
    <w:p w14:paraId="6A54CE02" w14:textId="2033241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205 </w:t>
      </w:r>
      <w:r w:rsidR="0010656B" w:rsidRPr="000749B2">
        <w:rPr>
          <w:rFonts w:ascii="Book Antiqua" w:hAnsi="Book Antiqua"/>
          <w:b/>
          <w:sz w:val="24"/>
          <w:szCs w:val="24"/>
        </w:rPr>
        <w:t xml:space="preserve">Triolo </w:t>
      </w:r>
      <w:r w:rsidRPr="000749B2">
        <w:rPr>
          <w:rFonts w:ascii="Book Antiqua" w:hAnsi="Book Antiqua"/>
          <w:b/>
          <w:sz w:val="24"/>
          <w:szCs w:val="24"/>
        </w:rPr>
        <w:t>VA</w:t>
      </w:r>
      <w:r w:rsidRPr="000749B2">
        <w:rPr>
          <w:rFonts w:ascii="Book Antiqua" w:hAnsi="Book Antiqua"/>
          <w:sz w:val="24"/>
          <w:szCs w:val="24"/>
        </w:rPr>
        <w:t xml:space="preserve">. </w:t>
      </w:r>
      <w:r w:rsidR="0010656B" w:rsidRPr="000749B2">
        <w:rPr>
          <w:rFonts w:ascii="Book Antiqua" w:hAnsi="Book Antiqua"/>
          <w:sz w:val="24"/>
          <w:szCs w:val="24"/>
        </w:rPr>
        <w:t>Nineteenth century foundations of cancer research. Origins of experimental research</w:t>
      </w:r>
      <w:r w:rsidRPr="000749B2">
        <w:rPr>
          <w:rFonts w:ascii="Book Antiqua" w:hAnsi="Book Antiqua"/>
          <w:sz w:val="24"/>
          <w:szCs w:val="24"/>
        </w:rPr>
        <w:t xml:space="preserve">. </w:t>
      </w:r>
      <w:r w:rsidRPr="000749B2">
        <w:rPr>
          <w:rFonts w:ascii="Book Antiqua" w:hAnsi="Book Antiqua"/>
          <w:i/>
          <w:sz w:val="24"/>
          <w:szCs w:val="24"/>
        </w:rPr>
        <w:t>Cancer Res</w:t>
      </w:r>
      <w:r w:rsidRPr="000749B2">
        <w:rPr>
          <w:rFonts w:ascii="Book Antiqua" w:hAnsi="Book Antiqua"/>
          <w:sz w:val="24"/>
          <w:szCs w:val="24"/>
        </w:rPr>
        <w:t xml:space="preserve"> 1964; </w:t>
      </w:r>
      <w:r w:rsidRPr="000749B2">
        <w:rPr>
          <w:rFonts w:ascii="Book Antiqua" w:hAnsi="Book Antiqua"/>
          <w:b/>
          <w:sz w:val="24"/>
          <w:szCs w:val="24"/>
        </w:rPr>
        <w:t>24</w:t>
      </w:r>
      <w:r w:rsidRPr="000749B2">
        <w:rPr>
          <w:rFonts w:ascii="Book Antiqua" w:hAnsi="Book Antiqua"/>
          <w:sz w:val="24"/>
          <w:szCs w:val="24"/>
        </w:rPr>
        <w:t>: 4-27 [PMID: 14106160]</w:t>
      </w:r>
    </w:p>
    <w:p w14:paraId="52700BC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206 </w:t>
      </w:r>
      <w:r w:rsidRPr="000749B2">
        <w:rPr>
          <w:rFonts w:ascii="Book Antiqua" w:hAnsi="Book Antiqua"/>
          <w:b/>
          <w:sz w:val="24"/>
          <w:szCs w:val="24"/>
        </w:rPr>
        <w:t>DeVita VT Jr</w:t>
      </w:r>
      <w:r w:rsidRPr="000749B2">
        <w:rPr>
          <w:rFonts w:ascii="Book Antiqua" w:hAnsi="Book Antiqua"/>
          <w:sz w:val="24"/>
          <w:szCs w:val="24"/>
        </w:rPr>
        <w:t xml:space="preserve">, Chu E. A history of cancer chemotherapy. </w:t>
      </w:r>
      <w:r w:rsidRPr="000749B2">
        <w:rPr>
          <w:rFonts w:ascii="Book Antiqua" w:hAnsi="Book Antiqua"/>
          <w:i/>
          <w:sz w:val="24"/>
          <w:szCs w:val="24"/>
        </w:rPr>
        <w:t>Cancer Res</w:t>
      </w:r>
      <w:r w:rsidRPr="000749B2">
        <w:rPr>
          <w:rFonts w:ascii="Book Antiqua" w:hAnsi="Book Antiqua"/>
          <w:sz w:val="24"/>
          <w:szCs w:val="24"/>
        </w:rPr>
        <w:t xml:space="preserve"> 2008; </w:t>
      </w:r>
      <w:r w:rsidRPr="000749B2">
        <w:rPr>
          <w:rFonts w:ascii="Book Antiqua" w:hAnsi="Book Antiqua"/>
          <w:b/>
          <w:sz w:val="24"/>
          <w:szCs w:val="24"/>
        </w:rPr>
        <w:t>68</w:t>
      </w:r>
      <w:r w:rsidRPr="000749B2">
        <w:rPr>
          <w:rFonts w:ascii="Book Antiqua" w:hAnsi="Book Antiqua"/>
          <w:sz w:val="24"/>
          <w:szCs w:val="24"/>
        </w:rPr>
        <w:t>: 8643-8653 [PMID: 18974103 DOI: 10.1158/0008-5472.CAN-07-6611]</w:t>
      </w:r>
    </w:p>
    <w:p w14:paraId="2F809E1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207 </w:t>
      </w:r>
      <w:r w:rsidRPr="000749B2">
        <w:rPr>
          <w:rFonts w:ascii="Book Antiqua" w:hAnsi="Book Antiqua"/>
          <w:b/>
          <w:sz w:val="24"/>
          <w:szCs w:val="24"/>
        </w:rPr>
        <w:t>Thorsby E</w:t>
      </w:r>
      <w:r w:rsidRPr="000749B2">
        <w:rPr>
          <w:rFonts w:ascii="Book Antiqua" w:hAnsi="Book Antiqua"/>
          <w:sz w:val="24"/>
          <w:szCs w:val="24"/>
        </w:rPr>
        <w:t xml:space="preserve">. A short history of HLA. </w:t>
      </w:r>
      <w:r w:rsidRPr="000749B2">
        <w:rPr>
          <w:rFonts w:ascii="Book Antiqua" w:hAnsi="Book Antiqua"/>
          <w:i/>
          <w:sz w:val="24"/>
          <w:szCs w:val="24"/>
        </w:rPr>
        <w:t>Tissue Antigens</w:t>
      </w:r>
      <w:r w:rsidRPr="000749B2">
        <w:rPr>
          <w:rFonts w:ascii="Book Antiqua" w:hAnsi="Book Antiqua"/>
          <w:sz w:val="24"/>
          <w:szCs w:val="24"/>
        </w:rPr>
        <w:t xml:space="preserve"> 2009; </w:t>
      </w:r>
      <w:r w:rsidRPr="000749B2">
        <w:rPr>
          <w:rFonts w:ascii="Book Antiqua" w:hAnsi="Book Antiqua"/>
          <w:b/>
          <w:sz w:val="24"/>
          <w:szCs w:val="24"/>
        </w:rPr>
        <w:t>74</w:t>
      </w:r>
      <w:r w:rsidRPr="000749B2">
        <w:rPr>
          <w:rFonts w:ascii="Book Antiqua" w:hAnsi="Book Antiqua"/>
          <w:sz w:val="24"/>
          <w:szCs w:val="24"/>
        </w:rPr>
        <w:t>: 101-116 [PMID: 19523022 DOI: 10.1111/j.1399-0039.2009.01291.x]</w:t>
      </w:r>
    </w:p>
    <w:p w14:paraId="743DDF8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208 </w:t>
      </w:r>
      <w:r w:rsidRPr="000749B2">
        <w:rPr>
          <w:rFonts w:ascii="Book Antiqua" w:hAnsi="Book Antiqua"/>
          <w:b/>
          <w:sz w:val="24"/>
          <w:szCs w:val="24"/>
        </w:rPr>
        <w:t>Wyke JA</w:t>
      </w:r>
      <w:r w:rsidRPr="000749B2">
        <w:rPr>
          <w:rFonts w:ascii="Book Antiqua" w:hAnsi="Book Antiqua"/>
          <w:sz w:val="24"/>
          <w:szCs w:val="24"/>
        </w:rPr>
        <w:t xml:space="preserve">. Oncogenic viruses. </w:t>
      </w:r>
      <w:r w:rsidRPr="000749B2">
        <w:rPr>
          <w:rFonts w:ascii="Book Antiqua" w:hAnsi="Book Antiqua"/>
          <w:i/>
          <w:sz w:val="24"/>
          <w:szCs w:val="24"/>
        </w:rPr>
        <w:t>J Pathol</w:t>
      </w:r>
      <w:r w:rsidRPr="000749B2">
        <w:rPr>
          <w:rFonts w:ascii="Book Antiqua" w:hAnsi="Book Antiqua"/>
          <w:sz w:val="24"/>
          <w:szCs w:val="24"/>
        </w:rPr>
        <w:t xml:space="preserve"> 1981; </w:t>
      </w:r>
      <w:r w:rsidRPr="000749B2">
        <w:rPr>
          <w:rFonts w:ascii="Book Antiqua" w:hAnsi="Book Antiqua"/>
          <w:b/>
          <w:sz w:val="24"/>
          <w:szCs w:val="24"/>
        </w:rPr>
        <w:t>135</w:t>
      </w:r>
      <w:r w:rsidRPr="000749B2">
        <w:rPr>
          <w:rFonts w:ascii="Book Antiqua" w:hAnsi="Book Antiqua"/>
          <w:sz w:val="24"/>
          <w:szCs w:val="24"/>
        </w:rPr>
        <w:t>: 39-85 [PMID: 6271940 DOI: 10.1002/path.1711350105]</w:t>
      </w:r>
    </w:p>
    <w:p w14:paraId="04B50B9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209 </w:t>
      </w:r>
      <w:r w:rsidRPr="000749B2">
        <w:rPr>
          <w:rFonts w:ascii="Book Antiqua" w:hAnsi="Book Antiqua"/>
          <w:b/>
          <w:sz w:val="24"/>
          <w:szCs w:val="24"/>
        </w:rPr>
        <w:t>TOOLAN HW</w:t>
      </w:r>
      <w:r w:rsidRPr="000749B2">
        <w:rPr>
          <w:rFonts w:ascii="Book Antiqua" w:hAnsi="Book Antiqua"/>
          <w:sz w:val="24"/>
          <w:szCs w:val="24"/>
        </w:rPr>
        <w:t xml:space="preserve">. Successful subcutaneous growth and transplantation of human tumors in X-irradiated laboratory animals. </w:t>
      </w:r>
      <w:r w:rsidRPr="000749B2">
        <w:rPr>
          <w:rFonts w:ascii="Book Antiqua" w:hAnsi="Book Antiqua"/>
          <w:i/>
          <w:sz w:val="24"/>
          <w:szCs w:val="24"/>
        </w:rPr>
        <w:t>Proc Soc Exp Biol Med</w:t>
      </w:r>
      <w:r w:rsidRPr="000749B2">
        <w:rPr>
          <w:rFonts w:ascii="Book Antiqua" w:hAnsi="Book Antiqua"/>
          <w:sz w:val="24"/>
          <w:szCs w:val="24"/>
        </w:rPr>
        <w:t xml:space="preserve"> 1951; </w:t>
      </w:r>
      <w:r w:rsidRPr="000749B2">
        <w:rPr>
          <w:rFonts w:ascii="Book Antiqua" w:hAnsi="Book Antiqua"/>
          <w:b/>
          <w:sz w:val="24"/>
          <w:szCs w:val="24"/>
        </w:rPr>
        <w:t>77</w:t>
      </w:r>
      <w:r w:rsidRPr="000749B2">
        <w:rPr>
          <w:rFonts w:ascii="Book Antiqua" w:hAnsi="Book Antiqua"/>
          <w:sz w:val="24"/>
          <w:szCs w:val="24"/>
        </w:rPr>
        <w:t>: 572-578 [PMID: 14864665 DOI: 10.3181/00379727-77-18854]</w:t>
      </w:r>
    </w:p>
    <w:p w14:paraId="308AA00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210 </w:t>
      </w:r>
      <w:r w:rsidRPr="000749B2">
        <w:rPr>
          <w:rFonts w:ascii="Book Antiqua" w:hAnsi="Book Antiqua"/>
          <w:b/>
          <w:sz w:val="24"/>
          <w:szCs w:val="24"/>
        </w:rPr>
        <w:t>TOOLAN HW</w:t>
      </w:r>
      <w:r w:rsidRPr="000749B2">
        <w:rPr>
          <w:rFonts w:ascii="Book Antiqua" w:hAnsi="Book Antiqua"/>
          <w:sz w:val="24"/>
          <w:szCs w:val="24"/>
        </w:rPr>
        <w:t xml:space="preserve">. Transplantable human neoplasms maintained in cortisone-treated laboratory animals: H.S. No. 1; H.Ep. No. 1; H.Ep. No. 2; H.Ep. </w:t>
      </w:r>
      <w:proofErr w:type="gramStart"/>
      <w:r w:rsidRPr="000749B2">
        <w:rPr>
          <w:rFonts w:ascii="Book Antiqua" w:hAnsi="Book Antiqua"/>
          <w:sz w:val="24"/>
          <w:szCs w:val="24"/>
        </w:rPr>
        <w:t>No. 3; and H.Emb.Rh.</w:t>
      </w:r>
      <w:proofErr w:type="gramEnd"/>
      <w:r w:rsidRPr="000749B2">
        <w:rPr>
          <w:rFonts w:ascii="Book Antiqua" w:hAnsi="Book Antiqua"/>
          <w:sz w:val="24"/>
          <w:szCs w:val="24"/>
        </w:rPr>
        <w:t xml:space="preserve"> No. 1. </w:t>
      </w:r>
      <w:r w:rsidRPr="000749B2">
        <w:rPr>
          <w:rFonts w:ascii="Book Antiqua" w:hAnsi="Book Antiqua"/>
          <w:i/>
          <w:sz w:val="24"/>
          <w:szCs w:val="24"/>
        </w:rPr>
        <w:t>Cancer Res</w:t>
      </w:r>
      <w:r w:rsidRPr="000749B2">
        <w:rPr>
          <w:rFonts w:ascii="Book Antiqua" w:hAnsi="Book Antiqua"/>
          <w:sz w:val="24"/>
          <w:szCs w:val="24"/>
        </w:rPr>
        <w:t xml:space="preserve"> 1954; </w:t>
      </w:r>
      <w:r w:rsidRPr="000749B2">
        <w:rPr>
          <w:rFonts w:ascii="Book Antiqua" w:hAnsi="Book Antiqua"/>
          <w:b/>
          <w:sz w:val="24"/>
          <w:szCs w:val="24"/>
        </w:rPr>
        <w:t>14</w:t>
      </w:r>
      <w:r w:rsidRPr="000749B2">
        <w:rPr>
          <w:rFonts w:ascii="Book Antiqua" w:hAnsi="Book Antiqua"/>
          <w:sz w:val="24"/>
          <w:szCs w:val="24"/>
        </w:rPr>
        <w:t>: 660-666 [PMID: 13209540]</w:t>
      </w:r>
    </w:p>
    <w:p w14:paraId="512B311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211 </w:t>
      </w:r>
      <w:r w:rsidRPr="000749B2">
        <w:rPr>
          <w:rFonts w:ascii="Book Antiqua" w:hAnsi="Book Antiqua"/>
          <w:b/>
          <w:sz w:val="24"/>
          <w:szCs w:val="24"/>
        </w:rPr>
        <w:t>Yong KSM</w:t>
      </w:r>
      <w:r w:rsidRPr="000749B2">
        <w:rPr>
          <w:rFonts w:ascii="Book Antiqua" w:hAnsi="Book Antiqua"/>
          <w:sz w:val="24"/>
          <w:szCs w:val="24"/>
        </w:rPr>
        <w:t xml:space="preserve">, Her Z, Chen Q. Humanized Mice as Unique Tools for Human-Specific Studies. </w:t>
      </w:r>
      <w:r w:rsidRPr="000749B2">
        <w:rPr>
          <w:rFonts w:ascii="Book Antiqua" w:hAnsi="Book Antiqua"/>
          <w:i/>
          <w:sz w:val="24"/>
          <w:szCs w:val="24"/>
        </w:rPr>
        <w:t>Arch Immunol Ther Exp (Warsz)</w:t>
      </w:r>
      <w:r w:rsidRPr="000749B2">
        <w:rPr>
          <w:rFonts w:ascii="Book Antiqua" w:hAnsi="Book Antiqua"/>
          <w:sz w:val="24"/>
          <w:szCs w:val="24"/>
        </w:rPr>
        <w:t xml:space="preserve"> 2018; </w:t>
      </w:r>
      <w:r w:rsidRPr="000749B2">
        <w:rPr>
          <w:rFonts w:ascii="Book Antiqua" w:hAnsi="Book Antiqua"/>
          <w:b/>
          <w:sz w:val="24"/>
          <w:szCs w:val="24"/>
        </w:rPr>
        <w:t>66</w:t>
      </w:r>
      <w:r w:rsidRPr="000749B2">
        <w:rPr>
          <w:rFonts w:ascii="Book Antiqua" w:hAnsi="Book Antiqua"/>
          <w:sz w:val="24"/>
          <w:szCs w:val="24"/>
        </w:rPr>
        <w:t>: 245-266 [PMID: 29411049 DOI: 10.1007/s00005-018-0506-x]</w:t>
      </w:r>
    </w:p>
    <w:p w14:paraId="01084BA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212 </w:t>
      </w:r>
      <w:r w:rsidRPr="000749B2">
        <w:rPr>
          <w:rFonts w:ascii="Book Antiqua" w:hAnsi="Book Antiqua"/>
          <w:b/>
          <w:sz w:val="24"/>
          <w:szCs w:val="24"/>
        </w:rPr>
        <w:t>Flanagan SP</w:t>
      </w:r>
      <w:r w:rsidRPr="000749B2">
        <w:rPr>
          <w:rFonts w:ascii="Book Antiqua" w:hAnsi="Book Antiqua"/>
          <w:sz w:val="24"/>
          <w:szCs w:val="24"/>
        </w:rPr>
        <w:t xml:space="preserve">. 'Nude', a new hairless gene with pleiotropic effects in the mouse. </w:t>
      </w:r>
      <w:r w:rsidRPr="000749B2">
        <w:rPr>
          <w:rFonts w:ascii="Book Antiqua" w:hAnsi="Book Antiqua"/>
          <w:i/>
          <w:sz w:val="24"/>
          <w:szCs w:val="24"/>
        </w:rPr>
        <w:t>Genet Res</w:t>
      </w:r>
      <w:r w:rsidRPr="000749B2">
        <w:rPr>
          <w:rFonts w:ascii="Book Antiqua" w:hAnsi="Book Antiqua"/>
          <w:sz w:val="24"/>
          <w:szCs w:val="24"/>
        </w:rPr>
        <w:t xml:space="preserve"> 1966; </w:t>
      </w:r>
      <w:r w:rsidRPr="000749B2">
        <w:rPr>
          <w:rFonts w:ascii="Book Antiqua" w:hAnsi="Book Antiqua"/>
          <w:b/>
          <w:sz w:val="24"/>
          <w:szCs w:val="24"/>
        </w:rPr>
        <w:t>8</w:t>
      </w:r>
      <w:r w:rsidRPr="000749B2">
        <w:rPr>
          <w:rFonts w:ascii="Book Antiqua" w:hAnsi="Book Antiqua"/>
          <w:sz w:val="24"/>
          <w:szCs w:val="24"/>
        </w:rPr>
        <w:t>: 295-309 [PMID: 5980117 DOI: 10.1017/s0016672300010168]</w:t>
      </w:r>
    </w:p>
    <w:p w14:paraId="364B13E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213 </w:t>
      </w:r>
      <w:r w:rsidRPr="000749B2">
        <w:rPr>
          <w:rFonts w:ascii="Book Antiqua" w:hAnsi="Book Antiqua"/>
          <w:b/>
          <w:sz w:val="24"/>
          <w:szCs w:val="24"/>
        </w:rPr>
        <w:t>Rygaard J</w:t>
      </w:r>
      <w:r w:rsidRPr="000749B2">
        <w:rPr>
          <w:rFonts w:ascii="Book Antiqua" w:hAnsi="Book Antiqua"/>
          <w:sz w:val="24"/>
          <w:szCs w:val="24"/>
        </w:rPr>
        <w:t xml:space="preserve">, Povlsen CO. Heterotransplantation of a human malignant tumour to "Nude" mice. </w:t>
      </w:r>
      <w:r w:rsidRPr="000749B2">
        <w:rPr>
          <w:rFonts w:ascii="Book Antiqua" w:hAnsi="Book Antiqua"/>
          <w:i/>
          <w:sz w:val="24"/>
          <w:szCs w:val="24"/>
        </w:rPr>
        <w:t>Acta Pathol Microbiol Scand</w:t>
      </w:r>
      <w:r w:rsidRPr="000749B2">
        <w:rPr>
          <w:rFonts w:ascii="Book Antiqua" w:hAnsi="Book Antiqua"/>
          <w:sz w:val="24"/>
          <w:szCs w:val="24"/>
        </w:rPr>
        <w:t xml:space="preserve"> 1969; </w:t>
      </w:r>
      <w:r w:rsidRPr="000749B2">
        <w:rPr>
          <w:rFonts w:ascii="Book Antiqua" w:hAnsi="Book Antiqua"/>
          <w:b/>
          <w:sz w:val="24"/>
          <w:szCs w:val="24"/>
        </w:rPr>
        <w:t>77</w:t>
      </w:r>
      <w:r w:rsidRPr="000749B2">
        <w:rPr>
          <w:rFonts w:ascii="Book Antiqua" w:hAnsi="Book Antiqua"/>
          <w:sz w:val="24"/>
          <w:szCs w:val="24"/>
        </w:rPr>
        <w:t>: 758-760 [PMID: 5383844 DOI: 10.1111/j.1699-0463.1969.tb04520.x]</w:t>
      </w:r>
    </w:p>
    <w:p w14:paraId="794703F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214 </w:t>
      </w:r>
      <w:r w:rsidRPr="000749B2">
        <w:rPr>
          <w:rFonts w:ascii="Book Antiqua" w:hAnsi="Book Antiqua"/>
          <w:b/>
          <w:sz w:val="24"/>
          <w:szCs w:val="24"/>
        </w:rPr>
        <w:t>Bosma GC</w:t>
      </w:r>
      <w:r w:rsidRPr="000749B2">
        <w:rPr>
          <w:rFonts w:ascii="Book Antiqua" w:hAnsi="Book Antiqua"/>
          <w:sz w:val="24"/>
          <w:szCs w:val="24"/>
        </w:rPr>
        <w:t xml:space="preserve">, Custer RP, Bosma MJ. A severe combined immunodeficiency mutation in the mouse. </w:t>
      </w:r>
      <w:r w:rsidRPr="000749B2">
        <w:rPr>
          <w:rFonts w:ascii="Book Antiqua" w:hAnsi="Book Antiqua"/>
          <w:i/>
          <w:sz w:val="24"/>
          <w:szCs w:val="24"/>
        </w:rPr>
        <w:t>Nature</w:t>
      </w:r>
      <w:r w:rsidRPr="000749B2">
        <w:rPr>
          <w:rFonts w:ascii="Book Antiqua" w:hAnsi="Book Antiqua"/>
          <w:sz w:val="24"/>
          <w:szCs w:val="24"/>
        </w:rPr>
        <w:t xml:space="preserve"> 1983; </w:t>
      </w:r>
      <w:r w:rsidRPr="000749B2">
        <w:rPr>
          <w:rFonts w:ascii="Book Antiqua" w:hAnsi="Book Antiqua"/>
          <w:b/>
          <w:sz w:val="24"/>
          <w:szCs w:val="24"/>
        </w:rPr>
        <w:t>301</w:t>
      </w:r>
      <w:r w:rsidRPr="000749B2">
        <w:rPr>
          <w:rFonts w:ascii="Book Antiqua" w:hAnsi="Book Antiqua"/>
          <w:sz w:val="24"/>
          <w:szCs w:val="24"/>
        </w:rPr>
        <w:t>: 527-530 [PMID: 6823332 DOI: 10.1038/301527a0]</w:t>
      </w:r>
    </w:p>
    <w:p w14:paraId="346F325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215 </w:t>
      </w:r>
      <w:r w:rsidRPr="000749B2">
        <w:rPr>
          <w:rFonts w:ascii="Book Antiqua" w:hAnsi="Book Antiqua"/>
          <w:b/>
          <w:sz w:val="24"/>
          <w:szCs w:val="24"/>
        </w:rPr>
        <w:t>Makino S</w:t>
      </w:r>
      <w:r w:rsidRPr="000749B2">
        <w:rPr>
          <w:rFonts w:ascii="Book Antiqua" w:hAnsi="Book Antiqua"/>
          <w:sz w:val="24"/>
          <w:szCs w:val="24"/>
        </w:rPr>
        <w:t xml:space="preserve">, Kunimoto K, Muraoka Y, Mizushima Y, Katagiri K, Tochino Y. Breeding of a non-obese, diabetic strain of mice. </w:t>
      </w:r>
      <w:r w:rsidRPr="000749B2">
        <w:rPr>
          <w:rFonts w:ascii="Book Antiqua" w:hAnsi="Book Antiqua"/>
          <w:i/>
          <w:sz w:val="24"/>
          <w:szCs w:val="24"/>
        </w:rPr>
        <w:t>Jikken Dobutsu</w:t>
      </w:r>
      <w:r w:rsidRPr="000749B2">
        <w:rPr>
          <w:rFonts w:ascii="Book Antiqua" w:hAnsi="Book Antiqua"/>
          <w:sz w:val="24"/>
          <w:szCs w:val="24"/>
        </w:rPr>
        <w:t xml:space="preserve"> 1980; </w:t>
      </w:r>
      <w:r w:rsidRPr="000749B2">
        <w:rPr>
          <w:rFonts w:ascii="Book Antiqua" w:hAnsi="Book Antiqua"/>
          <w:b/>
          <w:sz w:val="24"/>
          <w:szCs w:val="24"/>
        </w:rPr>
        <w:t>29</w:t>
      </w:r>
      <w:r w:rsidRPr="000749B2">
        <w:rPr>
          <w:rFonts w:ascii="Book Antiqua" w:hAnsi="Book Antiqua"/>
          <w:sz w:val="24"/>
          <w:szCs w:val="24"/>
        </w:rPr>
        <w:t>: 1-13 [PMID: 6995140 DOI: 10.1538/expanim1978.29.1_1]</w:t>
      </w:r>
    </w:p>
    <w:p w14:paraId="28EBA60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216 </w:t>
      </w:r>
      <w:r w:rsidRPr="000749B2">
        <w:rPr>
          <w:rFonts w:ascii="Book Antiqua" w:hAnsi="Book Antiqua"/>
          <w:b/>
          <w:sz w:val="24"/>
          <w:szCs w:val="24"/>
        </w:rPr>
        <w:t>Greiner DL</w:t>
      </w:r>
      <w:r w:rsidRPr="000749B2">
        <w:rPr>
          <w:rFonts w:ascii="Book Antiqua" w:hAnsi="Book Antiqua"/>
          <w:sz w:val="24"/>
          <w:szCs w:val="24"/>
        </w:rPr>
        <w:t xml:space="preserve">, Shultz LD, Yates J, Appel MC, Perdrizet G, Hesselton RM, Schweitzer I, Beamer WG, Shultz KL, Pelsue SC. Improved engraftment of human </w:t>
      </w:r>
      <w:r w:rsidRPr="000749B2">
        <w:rPr>
          <w:rFonts w:ascii="Book Antiqua" w:hAnsi="Book Antiqua"/>
          <w:sz w:val="24"/>
          <w:szCs w:val="24"/>
        </w:rPr>
        <w:lastRenderedPageBreak/>
        <w:t xml:space="preserve">spleen cells in NOD/LtSz-scid/scid mice as compared with C.B-17-scid/scid mice. </w:t>
      </w:r>
      <w:r w:rsidRPr="000749B2">
        <w:rPr>
          <w:rFonts w:ascii="Book Antiqua" w:hAnsi="Book Antiqua"/>
          <w:i/>
          <w:sz w:val="24"/>
          <w:szCs w:val="24"/>
        </w:rPr>
        <w:t>Am J Pathol</w:t>
      </w:r>
      <w:r w:rsidRPr="000749B2">
        <w:rPr>
          <w:rFonts w:ascii="Book Antiqua" w:hAnsi="Book Antiqua"/>
          <w:sz w:val="24"/>
          <w:szCs w:val="24"/>
        </w:rPr>
        <w:t xml:space="preserve"> 1995; </w:t>
      </w:r>
      <w:r w:rsidRPr="000749B2">
        <w:rPr>
          <w:rFonts w:ascii="Book Antiqua" w:hAnsi="Book Antiqua"/>
          <w:b/>
          <w:sz w:val="24"/>
          <w:szCs w:val="24"/>
        </w:rPr>
        <w:t>146</w:t>
      </w:r>
      <w:r w:rsidRPr="000749B2">
        <w:rPr>
          <w:rFonts w:ascii="Book Antiqua" w:hAnsi="Book Antiqua"/>
          <w:sz w:val="24"/>
          <w:szCs w:val="24"/>
        </w:rPr>
        <w:t>: 888-902 [PMID: 7717456]</w:t>
      </w:r>
    </w:p>
    <w:p w14:paraId="734C18C7"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217 </w:t>
      </w:r>
      <w:r w:rsidRPr="000749B2">
        <w:rPr>
          <w:rFonts w:ascii="Book Antiqua" w:hAnsi="Book Antiqua"/>
          <w:b/>
          <w:sz w:val="24"/>
          <w:szCs w:val="24"/>
        </w:rPr>
        <w:t>Christianson SW</w:t>
      </w:r>
      <w:r w:rsidRPr="000749B2">
        <w:rPr>
          <w:rFonts w:ascii="Book Antiqua" w:hAnsi="Book Antiqua"/>
          <w:sz w:val="24"/>
          <w:szCs w:val="24"/>
        </w:rPr>
        <w:t xml:space="preserve">, Greiner DL, Hesselton RA, Leif JH, Wagar EJ, Schweitzer IB, Rajan TV, Gott B, Roopenian DC, Shultz LD. Enhanced human CD4+ T cell engraftment in beta2-microglobulin-deficient NOD-scid mice. </w:t>
      </w:r>
      <w:r w:rsidRPr="000749B2">
        <w:rPr>
          <w:rFonts w:ascii="Book Antiqua" w:hAnsi="Book Antiqua"/>
          <w:i/>
          <w:sz w:val="24"/>
          <w:szCs w:val="24"/>
        </w:rPr>
        <w:t>J Immunol</w:t>
      </w:r>
      <w:r w:rsidRPr="000749B2">
        <w:rPr>
          <w:rFonts w:ascii="Book Antiqua" w:hAnsi="Book Antiqua"/>
          <w:sz w:val="24"/>
          <w:szCs w:val="24"/>
        </w:rPr>
        <w:t xml:space="preserve"> 1997; </w:t>
      </w:r>
      <w:r w:rsidRPr="000749B2">
        <w:rPr>
          <w:rFonts w:ascii="Book Antiqua" w:hAnsi="Book Antiqua"/>
          <w:b/>
          <w:sz w:val="24"/>
          <w:szCs w:val="24"/>
        </w:rPr>
        <w:t>158</w:t>
      </w:r>
      <w:r w:rsidRPr="000749B2">
        <w:rPr>
          <w:rFonts w:ascii="Book Antiqua" w:hAnsi="Book Antiqua"/>
          <w:sz w:val="24"/>
          <w:szCs w:val="24"/>
        </w:rPr>
        <w:t>: 3578-3586 [PMID: 9103418]</w:t>
      </w:r>
    </w:p>
    <w:p w14:paraId="495F6EC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218 </w:t>
      </w:r>
      <w:r w:rsidRPr="000749B2">
        <w:rPr>
          <w:rFonts w:ascii="Book Antiqua" w:hAnsi="Book Antiqua"/>
          <w:b/>
          <w:sz w:val="24"/>
          <w:szCs w:val="24"/>
        </w:rPr>
        <w:t>Ueda T</w:t>
      </w:r>
      <w:r w:rsidRPr="000749B2">
        <w:rPr>
          <w:rFonts w:ascii="Book Antiqua" w:hAnsi="Book Antiqua"/>
          <w:sz w:val="24"/>
          <w:szCs w:val="24"/>
        </w:rPr>
        <w:t xml:space="preserve">, Tsuji K, Yoshino H, Ebihara Y, Yagasaki H, Hisakawa H, Mitsui T, Manabe A, Tanaka R, Kobayashi K, Ito M, Yasukawa K, Nakahata T. Expansion of human NOD/SCID-repopulating cells by stem cell factor, Flk2/Flt3 ligand, thrombopoietin, IL-6, and soluble IL-6 receptor. </w:t>
      </w:r>
      <w:r w:rsidRPr="000749B2">
        <w:rPr>
          <w:rFonts w:ascii="Book Antiqua" w:hAnsi="Book Antiqua"/>
          <w:i/>
          <w:sz w:val="24"/>
          <w:szCs w:val="24"/>
        </w:rPr>
        <w:t>J Clin Invest</w:t>
      </w:r>
      <w:r w:rsidRPr="000749B2">
        <w:rPr>
          <w:rFonts w:ascii="Book Antiqua" w:hAnsi="Book Antiqua"/>
          <w:sz w:val="24"/>
          <w:szCs w:val="24"/>
        </w:rPr>
        <w:t xml:space="preserve"> 2000; </w:t>
      </w:r>
      <w:r w:rsidRPr="000749B2">
        <w:rPr>
          <w:rFonts w:ascii="Book Antiqua" w:hAnsi="Book Antiqua"/>
          <w:b/>
          <w:sz w:val="24"/>
          <w:szCs w:val="24"/>
        </w:rPr>
        <w:t>105</w:t>
      </w:r>
      <w:r w:rsidRPr="000749B2">
        <w:rPr>
          <w:rFonts w:ascii="Book Antiqua" w:hAnsi="Book Antiqua"/>
          <w:sz w:val="24"/>
          <w:szCs w:val="24"/>
        </w:rPr>
        <w:t>: 1013-1021 [PMID: 10749580 DOI: 10.1172/JCI8583]</w:t>
      </w:r>
    </w:p>
    <w:p w14:paraId="6D296BB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219 </w:t>
      </w:r>
      <w:r w:rsidRPr="000749B2">
        <w:rPr>
          <w:rFonts w:ascii="Book Antiqua" w:hAnsi="Book Antiqua"/>
          <w:b/>
          <w:sz w:val="24"/>
          <w:szCs w:val="24"/>
        </w:rPr>
        <w:t>Santagostino SF</w:t>
      </w:r>
      <w:r w:rsidRPr="000749B2">
        <w:rPr>
          <w:rFonts w:ascii="Book Antiqua" w:hAnsi="Book Antiqua"/>
          <w:sz w:val="24"/>
          <w:szCs w:val="24"/>
        </w:rPr>
        <w:t xml:space="preserve">, Arbona RJR, Nashat MA, White JR, Monette S. Pathology of Aging in NOD scid gamma Female Mice. </w:t>
      </w:r>
      <w:r w:rsidRPr="000749B2">
        <w:rPr>
          <w:rFonts w:ascii="Book Antiqua" w:hAnsi="Book Antiqua"/>
          <w:i/>
          <w:sz w:val="24"/>
          <w:szCs w:val="24"/>
        </w:rPr>
        <w:t>Vet Pathol</w:t>
      </w:r>
      <w:r w:rsidRPr="000749B2">
        <w:rPr>
          <w:rFonts w:ascii="Book Antiqua" w:hAnsi="Book Antiqua"/>
          <w:sz w:val="24"/>
          <w:szCs w:val="24"/>
        </w:rPr>
        <w:t xml:space="preserve"> 2017; </w:t>
      </w:r>
      <w:r w:rsidRPr="000749B2">
        <w:rPr>
          <w:rFonts w:ascii="Book Antiqua" w:hAnsi="Book Antiqua"/>
          <w:b/>
          <w:sz w:val="24"/>
          <w:szCs w:val="24"/>
        </w:rPr>
        <w:t>54</w:t>
      </w:r>
      <w:r w:rsidRPr="000749B2">
        <w:rPr>
          <w:rFonts w:ascii="Book Antiqua" w:hAnsi="Book Antiqua"/>
          <w:sz w:val="24"/>
          <w:szCs w:val="24"/>
        </w:rPr>
        <w:t>: 855-869 [PMID: 28355107 DOI: 10.1177/0300985817698210]</w:t>
      </w:r>
    </w:p>
    <w:p w14:paraId="6916E1E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220 </w:t>
      </w:r>
      <w:r w:rsidRPr="000749B2">
        <w:rPr>
          <w:rFonts w:ascii="Book Antiqua" w:hAnsi="Book Antiqua"/>
          <w:b/>
          <w:sz w:val="24"/>
          <w:szCs w:val="24"/>
        </w:rPr>
        <w:t>Nonoyama S</w:t>
      </w:r>
      <w:r w:rsidRPr="000749B2">
        <w:rPr>
          <w:rFonts w:ascii="Book Antiqua" w:hAnsi="Book Antiqua"/>
          <w:sz w:val="24"/>
          <w:szCs w:val="24"/>
        </w:rPr>
        <w:t xml:space="preserve">, Smith FO, Bernstein ID, Ochs HD. Strain-dependent leakiness of mice with severe combined immune deficiency. </w:t>
      </w:r>
      <w:r w:rsidRPr="000749B2">
        <w:rPr>
          <w:rFonts w:ascii="Book Antiqua" w:hAnsi="Book Antiqua"/>
          <w:i/>
          <w:sz w:val="24"/>
          <w:szCs w:val="24"/>
        </w:rPr>
        <w:t>J Immunol</w:t>
      </w:r>
      <w:r w:rsidRPr="000749B2">
        <w:rPr>
          <w:rFonts w:ascii="Book Antiqua" w:hAnsi="Book Antiqua"/>
          <w:sz w:val="24"/>
          <w:szCs w:val="24"/>
        </w:rPr>
        <w:t xml:space="preserve"> 1993; </w:t>
      </w:r>
      <w:r w:rsidRPr="000749B2">
        <w:rPr>
          <w:rFonts w:ascii="Book Antiqua" w:hAnsi="Book Antiqua"/>
          <w:b/>
          <w:sz w:val="24"/>
          <w:szCs w:val="24"/>
        </w:rPr>
        <w:t>150</w:t>
      </w:r>
      <w:r w:rsidRPr="000749B2">
        <w:rPr>
          <w:rFonts w:ascii="Book Antiqua" w:hAnsi="Book Antiqua"/>
          <w:sz w:val="24"/>
          <w:szCs w:val="24"/>
        </w:rPr>
        <w:t>: 3817-3824 [PMID: 8473734]</w:t>
      </w:r>
    </w:p>
    <w:p w14:paraId="2DE5A6F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221 </w:t>
      </w:r>
      <w:r w:rsidRPr="000749B2">
        <w:rPr>
          <w:rFonts w:ascii="Book Antiqua" w:hAnsi="Book Antiqua"/>
          <w:b/>
          <w:sz w:val="24"/>
          <w:szCs w:val="24"/>
        </w:rPr>
        <w:t>Shultz LD</w:t>
      </w:r>
      <w:r w:rsidRPr="000749B2">
        <w:rPr>
          <w:rFonts w:ascii="Book Antiqua" w:hAnsi="Book Antiqua"/>
          <w:sz w:val="24"/>
          <w:szCs w:val="24"/>
        </w:rPr>
        <w:t xml:space="preserve">, Ishikawa F, Greiner DL. Humanized mice in translational biomedical research. </w:t>
      </w:r>
      <w:r w:rsidRPr="000749B2">
        <w:rPr>
          <w:rFonts w:ascii="Book Antiqua" w:hAnsi="Book Antiqua"/>
          <w:i/>
          <w:sz w:val="24"/>
          <w:szCs w:val="24"/>
        </w:rPr>
        <w:t>Nat Rev Immunol</w:t>
      </w:r>
      <w:r w:rsidRPr="000749B2">
        <w:rPr>
          <w:rFonts w:ascii="Book Antiqua" w:hAnsi="Book Antiqua"/>
          <w:sz w:val="24"/>
          <w:szCs w:val="24"/>
        </w:rPr>
        <w:t xml:space="preserve"> 2007; </w:t>
      </w:r>
      <w:r w:rsidRPr="000749B2">
        <w:rPr>
          <w:rFonts w:ascii="Book Antiqua" w:hAnsi="Book Antiqua"/>
          <w:b/>
          <w:sz w:val="24"/>
          <w:szCs w:val="24"/>
        </w:rPr>
        <w:t>7</w:t>
      </w:r>
      <w:r w:rsidRPr="000749B2">
        <w:rPr>
          <w:rFonts w:ascii="Book Antiqua" w:hAnsi="Book Antiqua"/>
          <w:sz w:val="24"/>
          <w:szCs w:val="24"/>
        </w:rPr>
        <w:t>: 118-130 [PMID: 17259968 DOI: 10.1038/nri2017]</w:t>
      </w:r>
    </w:p>
    <w:p w14:paraId="5E42830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222 </w:t>
      </w:r>
      <w:r w:rsidRPr="000749B2">
        <w:rPr>
          <w:rFonts w:ascii="Book Antiqua" w:hAnsi="Book Antiqua"/>
          <w:b/>
          <w:sz w:val="24"/>
          <w:szCs w:val="24"/>
        </w:rPr>
        <w:t>Ito M</w:t>
      </w:r>
      <w:r w:rsidRPr="000749B2">
        <w:rPr>
          <w:rFonts w:ascii="Book Antiqua" w:hAnsi="Book Antiqua"/>
          <w:sz w:val="24"/>
          <w:szCs w:val="24"/>
        </w:rPr>
        <w:t xml:space="preserve">, Hiramatsu H, Kobayashi K, Suzue K, Kawahata M, Hioki K, Ueyama Y, Koyanagi Y, Sugamura K, Tsuji K, Heike T, Nakahata T. NOD/SCID/gamma(c)(null) mouse: an excellent recipient mouse model for engraftment of human cells. </w:t>
      </w:r>
      <w:r w:rsidRPr="000749B2">
        <w:rPr>
          <w:rFonts w:ascii="Book Antiqua" w:hAnsi="Book Antiqua"/>
          <w:i/>
          <w:sz w:val="24"/>
          <w:szCs w:val="24"/>
        </w:rPr>
        <w:t>Blood</w:t>
      </w:r>
      <w:r w:rsidRPr="000749B2">
        <w:rPr>
          <w:rFonts w:ascii="Book Antiqua" w:hAnsi="Book Antiqua"/>
          <w:sz w:val="24"/>
          <w:szCs w:val="24"/>
        </w:rPr>
        <w:t xml:space="preserve"> 2002; </w:t>
      </w:r>
      <w:r w:rsidRPr="000749B2">
        <w:rPr>
          <w:rFonts w:ascii="Book Antiqua" w:hAnsi="Book Antiqua"/>
          <w:b/>
          <w:sz w:val="24"/>
          <w:szCs w:val="24"/>
        </w:rPr>
        <w:t>100</w:t>
      </w:r>
      <w:r w:rsidRPr="000749B2">
        <w:rPr>
          <w:rFonts w:ascii="Book Antiqua" w:hAnsi="Book Antiqua"/>
          <w:sz w:val="24"/>
          <w:szCs w:val="24"/>
        </w:rPr>
        <w:t>: 3175-3182 [PMID: 12384415 DOI: 10.1182/blood-2001-12-0207]</w:t>
      </w:r>
    </w:p>
    <w:p w14:paraId="38AA949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223 </w:t>
      </w:r>
      <w:r w:rsidRPr="000749B2">
        <w:rPr>
          <w:rFonts w:ascii="Book Antiqua" w:hAnsi="Book Antiqua"/>
          <w:b/>
          <w:sz w:val="24"/>
          <w:szCs w:val="24"/>
        </w:rPr>
        <w:t>Shultz LD</w:t>
      </w:r>
      <w:r w:rsidRPr="000749B2">
        <w:rPr>
          <w:rFonts w:ascii="Book Antiqua" w:hAnsi="Book Antiqua"/>
          <w:sz w:val="24"/>
          <w:szCs w:val="24"/>
        </w:rPr>
        <w:t xml:space="preserve">, Lyons BL, Burzenski LM, Gott B, Chen X, Chaleff S, Kotb M, Gillies SD, King M, Mangada J, Greiner DL, Handgretinger R. Human lymphoid and myeloid cell development in NOD/LtSz-scid IL2R gamma null mice engrafted with mobilized human hemopoietic stem cells. </w:t>
      </w:r>
      <w:r w:rsidRPr="000749B2">
        <w:rPr>
          <w:rFonts w:ascii="Book Antiqua" w:hAnsi="Book Antiqua"/>
          <w:i/>
          <w:sz w:val="24"/>
          <w:szCs w:val="24"/>
        </w:rPr>
        <w:t>J Immunol</w:t>
      </w:r>
      <w:r w:rsidRPr="000749B2">
        <w:rPr>
          <w:rFonts w:ascii="Book Antiqua" w:hAnsi="Book Antiqua"/>
          <w:sz w:val="24"/>
          <w:szCs w:val="24"/>
        </w:rPr>
        <w:t xml:space="preserve"> 2005; </w:t>
      </w:r>
      <w:r w:rsidRPr="000749B2">
        <w:rPr>
          <w:rFonts w:ascii="Book Antiqua" w:hAnsi="Book Antiqua"/>
          <w:b/>
          <w:sz w:val="24"/>
          <w:szCs w:val="24"/>
        </w:rPr>
        <w:t>174</w:t>
      </w:r>
      <w:r w:rsidRPr="000749B2">
        <w:rPr>
          <w:rFonts w:ascii="Book Antiqua" w:hAnsi="Book Antiqua"/>
          <w:sz w:val="24"/>
          <w:szCs w:val="24"/>
        </w:rPr>
        <w:t>: 6477-6489 [PMID: 15879151 DOI: 10.4049/jimmunol.174.10.6477]</w:t>
      </w:r>
    </w:p>
    <w:p w14:paraId="0312486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224 </w:t>
      </w:r>
      <w:r w:rsidRPr="000749B2">
        <w:rPr>
          <w:rFonts w:ascii="Book Antiqua" w:hAnsi="Book Antiqua"/>
          <w:b/>
          <w:sz w:val="24"/>
          <w:szCs w:val="24"/>
        </w:rPr>
        <w:t>Suzuki K</w:t>
      </w:r>
      <w:r w:rsidRPr="000749B2">
        <w:rPr>
          <w:rFonts w:ascii="Book Antiqua" w:hAnsi="Book Antiqua"/>
          <w:sz w:val="24"/>
          <w:szCs w:val="24"/>
        </w:rPr>
        <w:t xml:space="preserve">, Nakajima H, Saito Y, Saito T, Leonard WJ, Iwamoto I. Janus kinase 3 (Jak3) is essential for common cytokine receptor gamma chain (gamma(c))-dependent signaling: comparative analysis of gamma(c), Jak3, and gamma(c) and </w:t>
      </w:r>
      <w:r w:rsidRPr="000749B2">
        <w:rPr>
          <w:rFonts w:ascii="Book Antiqua" w:hAnsi="Book Antiqua"/>
          <w:sz w:val="24"/>
          <w:szCs w:val="24"/>
        </w:rPr>
        <w:lastRenderedPageBreak/>
        <w:t xml:space="preserve">Jak3 double-deficient mice. </w:t>
      </w:r>
      <w:r w:rsidRPr="000749B2">
        <w:rPr>
          <w:rFonts w:ascii="Book Antiqua" w:hAnsi="Book Antiqua"/>
          <w:i/>
          <w:sz w:val="24"/>
          <w:szCs w:val="24"/>
        </w:rPr>
        <w:t>Int Immunol</w:t>
      </w:r>
      <w:r w:rsidRPr="000749B2">
        <w:rPr>
          <w:rFonts w:ascii="Book Antiqua" w:hAnsi="Book Antiqua"/>
          <w:sz w:val="24"/>
          <w:szCs w:val="24"/>
        </w:rPr>
        <w:t xml:space="preserve"> 2000; </w:t>
      </w:r>
      <w:r w:rsidRPr="000749B2">
        <w:rPr>
          <w:rFonts w:ascii="Book Antiqua" w:hAnsi="Book Antiqua"/>
          <w:b/>
          <w:sz w:val="24"/>
          <w:szCs w:val="24"/>
        </w:rPr>
        <w:t>12</w:t>
      </w:r>
      <w:r w:rsidRPr="000749B2">
        <w:rPr>
          <w:rFonts w:ascii="Book Antiqua" w:hAnsi="Book Antiqua"/>
          <w:sz w:val="24"/>
          <w:szCs w:val="24"/>
        </w:rPr>
        <w:t>: 123-132 [PMID: 10653847 DOI: 10.1093/intimm/12.2.123]</w:t>
      </w:r>
    </w:p>
    <w:p w14:paraId="6F708D6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225 </w:t>
      </w:r>
      <w:r w:rsidRPr="000749B2">
        <w:rPr>
          <w:rFonts w:ascii="Book Antiqua" w:hAnsi="Book Antiqua"/>
          <w:b/>
          <w:sz w:val="24"/>
          <w:szCs w:val="24"/>
        </w:rPr>
        <w:t>Shultz LD</w:t>
      </w:r>
      <w:r w:rsidRPr="000749B2">
        <w:rPr>
          <w:rFonts w:ascii="Book Antiqua" w:hAnsi="Book Antiqua"/>
          <w:sz w:val="24"/>
          <w:szCs w:val="24"/>
        </w:rPr>
        <w:t xml:space="preserve">, Banuelos S, Lyons B, Samuels R, Burzenski L, Gott B, Lang P, Leif J, Appel M, Rossini A, Greiner DL. NOD/LtSz-Rag1nullPfpnull mice: a new model system with increased levels of human peripheral leukocyte and hematopoietic stem-cell engraftment. </w:t>
      </w:r>
      <w:r w:rsidRPr="000749B2">
        <w:rPr>
          <w:rFonts w:ascii="Book Antiqua" w:hAnsi="Book Antiqua"/>
          <w:i/>
          <w:sz w:val="24"/>
          <w:szCs w:val="24"/>
        </w:rPr>
        <w:t>Transplantation</w:t>
      </w:r>
      <w:r w:rsidRPr="000749B2">
        <w:rPr>
          <w:rFonts w:ascii="Book Antiqua" w:hAnsi="Book Antiqua"/>
          <w:sz w:val="24"/>
          <w:szCs w:val="24"/>
        </w:rPr>
        <w:t xml:space="preserve"> 2003; </w:t>
      </w:r>
      <w:r w:rsidRPr="000749B2">
        <w:rPr>
          <w:rFonts w:ascii="Book Antiqua" w:hAnsi="Book Antiqua"/>
          <w:b/>
          <w:sz w:val="24"/>
          <w:szCs w:val="24"/>
        </w:rPr>
        <w:t>76</w:t>
      </w:r>
      <w:r w:rsidRPr="000749B2">
        <w:rPr>
          <w:rFonts w:ascii="Book Antiqua" w:hAnsi="Book Antiqua"/>
          <w:sz w:val="24"/>
          <w:szCs w:val="24"/>
        </w:rPr>
        <w:t>: 1036-1042 [PMID: 14557749 DOI: 10.1097/01.TP.0000083041.44829.2C]</w:t>
      </w:r>
    </w:p>
    <w:p w14:paraId="4BEE920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226 </w:t>
      </w:r>
      <w:r w:rsidRPr="000749B2">
        <w:rPr>
          <w:rFonts w:ascii="Book Antiqua" w:hAnsi="Book Antiqua"/>
          <w:b/>
          <w:sz w:val="24"/>
          <w:szCs w:val="24"/>
        </w:rPr>
        <w:t>Pearson T</w:t>
      </w:r>
      <w:r w:rsidRPr="000749B2">
        <w:rPr>
          <w:rFonts w:ascii="Book Antiqua" w:hAnsi="Book Antiqua"/>
          <w:sz w:val="24"/>
          <w:szCs w:val="24"/>
        </w:rPr>
        <w:t xml:space="preserve">, Greiner DL, Shultz LD. Creation of "humanized" mice to study human immunity. </w:t>
      </w:r>
      <w:r w:rsidRPr="000749B2">
        <w:rPr>
          <w:rFonts w:ascii="Book Antiqua" w:hAnsi="Book Antiqua"/>
          <w:i/>
          <w:sz w:val="24"/>
          <w:szCs w:val="24"/>
        </w:rPr>
        <w:t>Curr Protoc Immunol</w:t>
      </w:r>
      <w:r w:rsidRPr="000749B2">
        <w:rPr>
          <w:rFonts w:ascii="Book Antiqua" w:hAnsi="Book Antiqua"/>
          <w:sz w:val="24"/>
          <w:szCs w:val="24"/>
        </w:rPr>
        <w:t xml:space="preserve"> 2008; </w:t>
      </w:r>
      <w:r w:rsidRPr="000749B2">
        <w:rPr>
          <w:rFonts w:ascii="Book Antiqua" w:hAnsi="Book Antiqua"/>
          <w:b/>
          <w:sz w:val="24"/>
          <w:szCs w:val="24"/>
        </w:rPr>
        <w:t>Chapter 15</w:t>
      </w:r>
      <w:r w:rsidRPr="000749B2">
        <w:rPr>
          <w:rFonts w:ascii="Book Antiqua" w:hAnsi="Book Antiqua"/>
          <w:sz w:val="24"/>
          <w:szCs w:val="24"/>
        </w:rPr>
        <w:t>: Unit 15.21 [PMID: 18491294 DOI: 10.1002/0471142735.im1521s81]</w:t>
      </w:r>
    </w:p>
    <w:p w14:paraId="1A64D1A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227 </w:t>
      </w:r>
      <w:r w:rsidRPr="000749B2">
        <w:rPr>
          <w:rFonts w:ascii="Book Antiqua" w:hAnsi="Book Antiqua"/>
          <w:b/>
          <w:sz w:val="24"/>
          <w:szCs w:val="24"/>
        </w:rPr>
        <w:t>Foreman O</w:t>
      </w:r>
      <w:r w:rsidRPr="000749B2">
        <w:rPr>
          <w:rFonts w:ascii="Book Antiqua" w:hAnsi="Book Antiqua"/>
          <w:sz w:val="24"/>
          <w:szCs w:val="24"/>
        </w:rPr>
        <w:t xml:space="preserve">, Kavirayani AM, Griffey SM, Reader R, Shultz LD. Opportunistic bacterial infections in breeding colonies of the NSG mouse strain. </w:t>
      </w:r>
      <w:r w:rsidRPr="000749B2">
        <w:rPr>
          <w:rFonts w:ascii="Book Antiqua" w:hAnsi="Book Antiqua"/>
          <w:i/>
          <w:sz w:val="24"/>
          <w:szCs w:val="24"/>
        </w:rPr>
        <w:t>Vet Pathol</w:t>
      </w:r>
      <w:r w:rsidRPr="000749B2">
        <w:rPr>
          <w:rFonts w:ascii="Book Antiqua" w:hAnsi="Book Antiqua"/>
          <w:sz w:val="24"/>
          <w:szCs w:val="24"/>
        </w:rPr>
        <w:t xml:space="preserve"> 2011; </w:t>
      </w:r>
      <w:r w:rsidRPr="000749B2">
        <w:rPr>
          <w:rFonts w:ascii="Book Antiqua" w:hAnsi="Book Antiqua"/>
          <w:b/>
          <w:sz w:val="24"/>
          <w:szCs w:val="24"/>
        </w:rPr>
        <w:t>48</w:t>
      </w:r>
      <w:r w:rsidRPr="000749B2">
        <w:rPr>
          <w:rFonts w:ascii="Book Antiqua" w:hAnsi="Book Antiqua"/>
          <w:sz w:val="24"/>
          <w:szCs w:val="24"/>
        </w:rPr>
        <w:t>: 495-499 [PMID: 20817888 DOI: 10.1177/0300985810378282]</w:t>
      </w:r>
    </w:p>
    <w:p w14:paraId="28CC264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228 </w:t>
      </w:r>
      <w:r w:rsidRPr="000749B2">
        <w:rPr>
          <w:rFonts w:ascii="Book Antiqua" w:hAnsi="Book Antiqua"/>
          <w:b/>
          <w:sz w:val="24"/>
          <w:szCs w:val="24"/>
        </w:rPr>
        <w:t>Gock M</w:t>
      </w:r>
      <w:r w:rsidRPr="000749B2">
        <w:rPr>
          <w:rFonts w:ascii="Book Antiqua" w:hAnsi="Book Antiqua"/>
          <w:sz w:val="24"/>
          <w:szCs w:val="24"/>
        </w:rPr>
        <w:t xml:space="preserve">, Kühn F, Mullins CS, Krohn M, Prall F, Klar E, Linnebacher M. Tumor Take Rate Optimization for Colorectal Carcinoma Patient-Derived Xenograft Models. </w:t>
      </w:r>
      <w:r w:rsidRPr="000749B2">
        <w:rPr>
          <w:rFonts w:ascii="Book Antiqua" w:hAnsi="Book Antiqua"/>
          <w:i/>
          <w:sz w:val="24"/>
          <w:szCs w:val="24"/>
        </w:rPr>
        <w:t>Biomed Res Int</w:t>
      </w:r>
      <w:r w:rsidRPr="000749B2">
        <w:rPr>
          <w:rFonts w:ascii="Book Antiqua" w:hAnsi="Book Antiqua"/>
          <w:sz w:val="24"/>
          <w:szCs w:val="24"/>
        </w:rPr>
        <w:t xml:space="preserve"> 2016; </w:t>
      </w:r>
      <w:r w:rsidRPr="000749B2">
        <w:rPr>
          <w:rFonts w:ascii="Book Antiqua" w:hAnsi="Book Antiqua"/>
          <w:b/>
          <w:sz w:val="24"/>
          <w:szCs w:val="24"/>
        </w:rPr>
        <w:t>2016</w:t>
      </w:r>
      <w:r w:rsidRPr="000749B2">
        <w:rPr>
          <w:rFonts w:ascii="Book Antiqua" w:hAnsi="Book Antiqua"/>
          <w:sz w:val="24"/>
          <w:szCs w:val="24"/>
        </w:rPr>
        <w:t>: 1715053 [PMID: 27999790 DOI: 10.1155/2016/1715053]</w:t>
      </w:r>
    </w:p>
    <w:p w14:paraId="3AE60CA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229 </w:t>
      </w:r>
      <w:r w:rsidRPr="000749B2">
        <w:rPr>
          <w:rFonts w:ascii="Book Antiqua" w:hAnsi="Book Antiqua"/>
          <w:b/>
          <w:sz w:val="24"/>
          <w:szCs w:val="24"/>
        </w:rPr>
        <w:t>Linnebacher M</w:t>
      </w:r>
      <w:r w:rsidRPr="000749B2">
        <w:rPr>
          <w:rFonts w:ascii="Book Antiqua" w:hAnsi="Book Antiqua"/>
          <w:sz w:val="24"/>
          <w:szCs w:val="24"/>
        </w:rPr>
        <w:t xml:space="preserve">, Maletzki C, Ostwald C, Klier U, Krohn M, Klar E, Prall F. Cryopreservation of human colorectal carcinomas prior to xenografting. </w:t>
      </w:r>
      <w:r w:rsidRPr="000749B2">
        <w:rPr>
          <w:rFonts w:ascii="Book Antiqua" w:hAnsi="Book Antiqua"/>
          <w:i/>
          <w:sz w:val="24"/>
          <w:szCs w:val="24"/>
        </w:rPr>
        <w:t>BMC Cancer</w:t>
      </w:r>
      <w:r w:rsidRPr="000749B2">
        <w:rPr>
          <w:rFonts w:ascii="Book Antiqua" w:hAnsi="Book Antiqua"/>
          <w:sz w:val="24"/>
          <w:szCs w:val="24"/>
        </w:rPr>
        <w:t xml:space="preserve"> 2010; </w:t>
      </w:r>
      <w:r w:rsidRPr="000749B2">
        <w:rPr>
          <w:rFonts w:ascii="Book Antiqua" w:hAnsi="Book Antiqua"/>
          <w:b/>
          <w:sz w:val="24"/>
          <w:szCs w:val="24"/>
        </w:rPr>
        <w:t>10</w:t>
      </w:r>
      <w:r w:rsidRPr="000749B2">
        <w:rPr>
          <w:rFonts w:ascii="Book Antiqua" w:hAnsi="Book Antiqua"/>
          <w:sz w:val="24"/>
          <w:szCs w:val="24"/>
        </w:rPr>
        <w:t>: 362 [PMID: 20615215 DOI: 10.1186/1471-2407-10-362]</w:t>
      </w:r>
    </w:p>
    <w:p w14:paraId="26800A6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230 </w:t>
      </w:r>
      <w:r w:rsidRPr="000749B2">
        <w:rPr>
          <w:rFonts w:ascii="Book Antiqua" w:hAnsi="Book Antiqua"/>
          <w:b/>
          <w:sz w:val="24"/>
          <w:szCs w:val="24"/>
        </w:rPr>
        <w:t>Simon MM</w:t>
      </w:r>
      <w:r w:rsidRPr="000749B2">
        <w:rPr>
          <w:rFonts w:ascii="Book Antiqua" w:hAnsi="Book Antiqua"/>
          <w:sz w:val="24"/>
          <w:szCs w:val="24"/>
        </w:rPr>
        <w:t xml:space="preserve">, Greenaway S, White JK, Fuchs H, Gailus-Durner V, Wells S, Sorg T, Wong K, Bedu E, Cartwright EJ, Dacquin R, Djebali S, Estabel J, Graw J, Ingham NJ, Jackson IJ, Lengeling A, Mandillo S, Marvel J, Meziane H, Preitner F, Puk O, Roux M, Adams DJ, Atkins S, Ayadi A, Becker L, Blake A, Brooker D, Cater H, Champy MF, Combe R, Danecek P, di Fenza A, Gates H, Gerdin AK, Golini E, Hancock JM, Hans W, Hölter SM, Hough T, Jurdic P, Keane TM, Morgan H, Müller W, Neff F, Nicholson G, Pasche B, Roberson LA, Rozman J, Sanderson M, Santos L, Selloum M, Shannon C, Southwell A, Tocchini-Valentini GP, Vancollie VE, Westerberg H, Wurst W, Zi M, Yalcin B, Ramirez-Solis R, Steel KP, Mallon AM, de Angelis MH, Herault Y, Brown SD. A comparative phenotypic and genomic analysis of C57BL/6J and C57BL/6N mouse strains. </w:t>
      </w:r>
      <w:r w:rsidRPr="000749B2">
        <w:rPr>
          <w:rFonts w:ascii="Book Antiqua" w:hAnsi="Book Antiqua"/>
          <w:i/>
          <w:sz w:val="24"/>
          <w:szCs w:val="24"/>
        </w:rPr>
        <w:t>Genome Biol</w:t>
      </w:r>
      <w:r w:rsidRPr="000749B2">
        <w:rPr>
          <w:rFonts w:ascii="Book Antiqua" w:hAnsi="Book Antiqua"/>
          <w:sz w:val="24"/>
          <w:szCs w:val="24"/>
        </w:rPr>
        <w:t xml:space="preserve"> 2013; </w:t>
      </w:r>
      <w:r w:rsidRPr="000749B2">
        <w:rPr>
          <w:rFonts w:ascii="Book Antiqua" w:hAnsi="Book Antiqua"/>
          <w:b/>
          <w:sz w:val="24"/>
          <w:szCs w:val="24"/>
        </w:rPr>
        <w:t>14</w:t>
      </w:r>
      <w:r w:rsidRPr="000749B2">
        <w:rPr>
          <w:rFonts w:ascii="Book Antiqua" w:hAnsi="Book Antiqua"/>
          <w:sz w:val="24"/>
          <w:szCs w:val="24"/>
        </w:rPr>
        <w:t>: R82 [PMID: 23902802 DOI: 10.1186/gb-2013-14-7-r82]</w:t>
      </w:r>
    </w:p>
    <w:p w14:paraId="191B0F6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231 </w:t>
      </w:r>
      <w:r w:rsidRPr="000749B2">
        <w:rPr>
          <w:rFonts w:ascii="Book Antiqua" w:hAnsi="Book Antiqua"/>
          <w:b/>
          <w:sz w:val="24"/>
          <w:szCs w:val="24"/>
        </w:rPr>
        <w:t>Houghton PJ</w:t>
      </w:r>
      <w:r w:rsidRPr="000749B2">
        <w:rPr>
          <w:rFonts w:ascii="Book Antiqua" w:hAnsi="Book Antiqua"/>
          <w:sz w:val="24"/>
          <w:szCs w:val="24"/>
        </w:rPr>
        <w:t xml:space="preserve">, Morton CL, Tucker C, Payne D, Favours E, Cole C, Gorlick R, Kolb EA, Zhang W, Lock R, Carol H, Tajbakhsh M, Reynolds CP, Maris JM, Courtright J, Keir ST, Friedman HS, Stopford C, Zeidner J, Wu J, Liu T, Billups CA, Khan J, Ansher S, Zhang J, Smith MA. The pediatric preclinical testing program: description of models and early testing results. </w:t>
      </w:r>
      <w:r w:rsidRPr="000749B2">
        <w:rPr>
          <w:rFonts w:ascii="Book Antiqua" w:hAnsi="Book Antiqua"/>
          <w:i/>
          <w:sz w:val="24"/>
          <w:szCs w:val="24"/>
        </w:rPr>
        <w:t>Pediatr Blood Cancer</w:t>
      </w:r>
      <w:r w:rsidRPr="000749B2">
        <w:rPr>
          <w:rFonts w:ascii="Book Antiqua" w:hAnsi="Book Antiqua"/>
          <w:sz w:val="24"/>
          <w:szCs w:val="24"/>
        </w:rPr>
        <w:t xml:space="preserve"> 2007; </w:t>
      </w:r>
      <w:r w:rsidRPr="000749B2">
        <w:rPr>
          <w:rFonts w:ascii="Book Antiqua" w:hAnsi="Book Antiqua"/>
          <w:b/>
          <w:sz w:val="24"/>
          <w:szCs w:val="24"/>
        </w:rPr>
        <w:t>49</w:t>
      </w:r>
      <w:r w:rsidRPr="000749B2">
        <w:rPr>
          <w:rFonts w:ascii="Book Antiqua" w:hAnsi="Book Antiqua"/>
          <w:sz w:val="24"/>
          <w:szCs w:val="24"/>
        </w:rPr>
        <w:t>: 928-940 [PMID: 17066459 DOI: 10.1002/pbc.21078]</w:t>
      </w:r>
    </w:p>
    <w:p w14:paraId="3E2B5017"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232 </w:t>
      </w:r>
      <w:r w:rsidRPr="000749B2">
        <w:rPr>
          <w:rFonts w:ascii="Book Antiqua" w:hAnsi="Book Antiqua"/>
          <w:b/>
          <w:sz w:val="24"/>
          <w:szCs w:val="24"/>
        </w:rPr>
        <w:t>Johnson JI</w:t>
      </w:r>
      <w:r w:rsidRPr="000749B2">
        <w:rPr>
          <w:rFonts w:ascii="Book Antiqua" w:hAnsi="Book Antiqua"/>
          <w:sz w:val="24"/>
          <w:szCs w:val="24"/>
        </w:rPr>
        <w:t xml:space="preserve">, Decker S, Zaharevitz D, Rubinstein LV, Venditti JM, Schepartz S, Kalyandrug S, Christian M, Arbuck S, Hollingshead M, Sausville EA. Relationships between drug activity in NCI preclinical in vitro and in vivo models and early clinical trials. </w:t>
      </w:r>
      <w:r w:rsidRPr="000749B2">
        <w:rPr>
          <w:rFonts w:ascii="Book Antiqua" w:hAnsi="Book Antiqua"/>
          <w:i/>
          <w:sz w:val="24"/>
          <w:szCs w:val="24"/>
        </w:rPr>
        <w:t>Br J Cancer</w:t>
      </w:r>
      <w:r w:rsidRPr="000749B2">
        <w:rPr>
          <w:rFonts w:ascii="Book Antiqua" w:hAnsi="Book Antiqua"/>
          <w:sz w:val="24"/>
          <w:szCs w:val="24"/>
        </w:rPr>
        <w:t xml:space="preserve"> 2001; </w:t>
      </w:r>
      <w:r w:rsidRPr="000749B2">
        <w:rPr>
          <w:rFonts w:ascii="Book Antiqua" w:hAnsi="Book Antiqua"/>
          <w:b/>
          <w:sz w:val="24"/>
          <w:szCs w:val="24"/>
        </w:rPr>
        <w:t>84</w:t>
      </w:r>
      <w:r w:rsidRPr="000749B2">
        <w:rPr>
          <w:rFonts w:ascii="Book Antiqua" w:hAnsi="Book Antiqua"/>
          <w:sz w:val="24"/>
          <w:szCs w:val="24"/>
        </w:rPr>
        <w:t>: 1424-1431 [PMID: 11355958 DOI: 10.1054/bjoc.2001.1796]</w:t>
      </w:r>
    </w:p>
    <w:p w14:paraId="1EAC627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233 </w:t>
      </w:r>
      <w:r w:rsidRPr="000749B2">
        <w:rPr>
          <w:rFonts w:ascii="Book Antiqua" w:hAnsi="Book Antiqua"/>
          <w:b/>
          <w:sz w:val="24"/>
          <w:szCs w:val="24"/>
        </w:rPr>
        <w:t>Talmadge JE</w:t>
      </w:r>
      <w:r w:rsidRPr="000749B2">
        <w:rPr>
          <w:rFonts w:ascii="Book Antiqua" w:hAnsi="Book Antiqua"/>
          <w:sz w:val="24"/>
          <w:szCs w:val="24"/>
        </w:rPr>
        <w:t xml:space="preserve">, Singh RK, Fidler IJ, Raz A. Murine models to evaluate novel and conventional therapeutic strategies for cancer. </w:t>
      </w:r>
      <w:r w:rsidRPr="000749B2">
        <w:rPr>
          <w:rFonts w:ascii="Book Antiqua" w:hAnsi="Book Antiqua"/>
          <w:i/>
          <w:sz w:val="24"/>
          <w:szCs w:val="24"/>
        </w:rPr>
        <w:t>Am J Pathol</w:t>
      </w:r>
      <w:r w:rsidRPr="000749B2">
        <w:rPr>
          <w:rFonts w:ascii="Book Antiqua" w:hAnsi="Book Antiqua"/>
          <w:sz w:val="24"/>
          <w:szCs w:val="24"/>
        </w:rPr>
        <w:t xml:space="preserve"> 2007; </w:t>
      </w:r>
      <w:r w:rsidRPr="000749B2">
        <w:rPr>
          <w:rFonts w:ascii="Book Antiqua" w:hAnsi="Book Antiqua"/>
          <w:b/>
          <w:sz w:val="24"/>
          <w:szCs w:val="24"/>
        </w:rPr>
        <w:t>170</w:t>
      </w:r>
      <w:r w:rsidRPr="000749B2">
        <w:rPr>
          <w:rFonts w:ascii="Book Antiqua" w:hAnsi="Book Antiqua"/>
          <w:sz w:val="24"/>
          <w:szCs w:val="24"/>
        </w:rPr>
        <w:t>: 793-804 [PMID: 17322365 DOI: 10.2353/ajpath.2007.060929]</w:t>
      </w:r>
    </w:p>
    <w:p w14:paraId="564B30F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234 </w:t>
      </w:r>
      <w:r w:rsidRPr="000749B2">
        <w:rPr>
          <w:rFonts w:ascii="Book Antiqua" w:hAnsi="Book Antiqua"/>
          <w:b/>
          <w:sz w:val="24"/>
          <w:szCs w:val="24"/>
        </w:rPr>
        <w:t>Boven E</w:t>
      </w:r>
      <w:r w:rsidRPr="000749B2">
        <w:rPr>
          <w:rFonts w:ascii="Book Antiqua" w:hAnsi="Book Antiqua"/>
          <w:sz w:val="24"/>
          <w:szCs w:val="24"/>
        </w:rPr>
        <w:t xml:space="preserve">, Winograd B, Berger DP, Dumont MP, Braakhuis BJ, Fodstad O, Langdon S, Fiebig HH. Phase II preclinical drug screening in human tumor xenografts: a first European multicenter collaborative study. </w:t>
      </w:r>
      <w:r w:rsidRPr="000749B2">
        <w:rPr>
          <w:rFonts w:ascii="Book Antiqua" w:hAnsi="Book Antiqua"/>
          <w:i/>
          <w:sz w:val="24"/>
          <w:szCs w:val="24"/>
        </w:rPr>
        <w:t>Cancer Res</w:t>
      </w:r>
      <w:r w:rsidRPr="000749B2">
        <w:rPr>
          <w:rFonts w:ascii="Book Antiqua" w:hAnsi="Book Antiqua"/>
          <w:sz w:val="24"/>
          <w:szCs w:val="24"/>
        </w:rPr>
        <w:t xml:space="preserve"> 1992; </w:t>
      </w:r>
      <w:r w:rsidRPr="000749B2">
        <w:rPr>
          <w:rFonts w:ascii="Book Antiqua" w:hAnsi="Book Antiqua"/>
          <w:b/>
          <w:sz w:val="24"/>
          <w:szCs w:val="24"/>
        </w:rPr>
        <w:t>52</w:t>
      </w:r>
      <w:r w:rsidRPr="000749B2">
        <w:rPr>
          <w:rFonts w:ascii="Book Antiqua" w:hAnsi="Book Antiqua"/>
          <w:sz w:val="24"/>
          <w:szCs w:val="24"/>
        </w:rPr>
        <w:t>: 5940-5947 [PMID: 1394220]</w:t>
      </w:r>
    </w:p>
    <w:p w14:paraId="1DA298F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235 </w:t>
      </w:r>
      <w:r w:rsidRPr="000749B2">
        <w:rPr>
          <w:rFonts w:ascii="Book Antiqua" w:hAnsi="Book Antiqua"/>
          <w:b/>
          <w:sz w:val="24"/>
          <w:szCs w:val="24"/>
        </w:rPr>
        <w:t>Voskoglou-Nomikos T</w:t>
      </w:r>
      <w:r w:rsidRPr="000749B2">
        <w:rPr>
          <w:rFonts w:ascii="Book Antiqua" w:hAnsi="Book Antiqua"/>
          <w:sz w:val="24"/>
          <w:szCs w:val="24"/>
        </w:rPr>
        <w:t xml:space="preserve">, Pater JL, Seymour L. Clinical predictive value of the in vitro cell line, human xenograft, and mouse allograft preclinical cancer models. </w:t>
      </w:r>
      <w:r w:rsidRPr="000749B2">
        <w:rPr>
          <w:rFonts w:ascii="Book Antiqua" w:hAnsi="Book Antiqua"/>
          <w:i/>
          <w:sz w:val="24"/>
          <w:szCs w:val="24"/>
        </w:rPr>
        <w:t>Clin Cancer Res</w:t>
      </w:r>
      <w:r w:rsidRPr="000749B2">
        <w:rPr>
          <w:rFonts w:ascii="Book Antiqua" w:hAnsi="Book Antiqua"/>
          <w:sz w:val="24"/>
          <w:szCs w:val="24"/>
        </w:rPr>
        <w:t xml:space="preserve"> 2003; </w:t>
      </w:r>
      <w:r w:rsidRPr="000749B2">
        <w:rPr>
          <w:rFonts w:ascii="Book Antiqua" w:hAnsi="Book Antiqua"/>
          <w:b/>
          <w:sz w:val="24"/>
          <w:szCs w:val="24"/>
        </w:rPr>
        <w:t>9</w:t>
      </w:r>
      <w:r w:rsidRPr="000749B2">
        <w:rPr>
          <w:rFonts w:ascii="Book Antiqua" w:hAnsi="Book Antiqua"/>
          <w:sz w:val="24"/>
          <w:szCs w:val="24"/>
        </w:rPr>
        <w:t>: 4227-4239 [PMID: 14519650]</w:t>
      </w:r>
    </w:p>
    <w:p w14:paraId="01D2699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236 </w:t>
      </w:r>
      <w:r w:rsidRPr="000749B2">
        <w:rPr>
          <w:rFonts w:ascii="Book Antiqua" w:hAnsi="Book Antiqua"/>
          <w:b/>
          <w:sz w:val="24"/>
          <w:szCs w:val="24"/>
        </w:rPr>
        <w:t>Golovko D</w:t>
      </w:r>
      <w:r w:rsidRPr="000749B2">
        <w:rPr>
          <w:rFonts w:ascii="Book Antiqua" w:hAnsi="Book Antiqua"/>
          <w:sz w:val="24"/>
          <w:szCs w:val="24"/>
        </w:rPr>
        <w:t xml:space="preserve">, Kedrin D, Yilmaz ÖH, Roper J. Colorectal cancer models for novel drug discovery. </w:t>
      </w:r>
      <w:r w:rsidRPr="000749B2">
        <w:rPr>
          <w:rFonts w:ascii="Book Antiqua" w:hAnsi="Book Antiqua"/>
          <w:i/>
          <w:sz w:val="24"/>
          <w:szCs w:val="24"/>
        </w:rPr>
        <w:t>Expert Opin Drug Discov</w:t>
      </w:r>
      <w:r w:rsidRPr="000749B2">
        <w:rPr>
          <w:rFonts w:ascii="Book Antiqua" w:hAnsi="Book Antiqua"/>
          <w:sz w:val="24"/>
          <w:szCs w:val="24"/>
        </w:rPr>
        <w:t xml:space="preserve"> 2015; </w:t>
      </w:r>
      <w:r w:rsidRPr="000749B2">
        <w:rPr>
          <w:rFonts w:ascii="Book Antiqua" w:hAnsi="Book Antiqua"/>
          <w:b/>
          <w:sz w:val="24"/>
          <w:szCs w:val="24"/>
        </w:rPr>
        <w:t>10</w:t>
      </w:r>
      <w:r w:rsidRPr="000749B2">
        <w:rPr>
          <w:rFonts w:ascii="Book Antiqua" w:hAnsi="Book Antiqua"/>
          <w:sz w:val="24"/>
          <w:szCs w:val="24"/>
        </w:rPr>
        <w:t>: 1217-1229 [PMID: 26295972 DOI: 10.1517/17460441.2015.1079618]</w:t>
      </w:r>
    </w:p>
    <w:p w14:paraId="002A5C8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237 </w:t>
      </w:r>
      <w:r w:rsidRPr="000749B2">
        <w:rPr>
          <w:rFonts w:ascii="Book Antiqua" w:hAnsi="Book Antiqua"/>
          <w:b/>
          <w:sz w:val="24"/>
          <w:szCs w:val="24"/>
        </w:rPr>
        <w:t>Katsiampoura A</w:t>
      </w:r>
      <w:r w:rsidRPr="000749B2">
        <w:rPr>
          <w:rFonts w:ascii="Book Antiqua" w:hAnsi="Book Antiqua"/>
          <w:sz w:val="24"/>
          <w:szCs w:val="24"/>
        </w:rPr>
        <w:t xml:space="preserve">, Raghav K, Jiang ZQ, Menter DG, Varkaris A, Morelli MP, Manuel S, Wu J, Sorokin AV, Rizi BS, Bristow C, Tian F, Airhart S, Cheng M, Broom BM, Morris J, Overman MJ, Powis G, Kopetz S. Modeling of Patient-Derived Xenografts in Colorectal Cancer. </w:t>
      </w:r>
      <w:r w:rsidRPr="000749B2">
        <w:rPr>
          <w:rFonts w:ascii="Book Antiqua" w:hAnsi="Book Antiqua"/>
          <w:i/>
          <w:sz w:val="24"/>
          <w:szCs w:val="24"/>
        </w:rPr>
        <w:t>Mol Cancer Ther</w:t>
      </w:r>
      <w:r w:rsidRPr="000749B2">
        <w:rPr>
          <w:rFonts w:ascii="Book Antiqua" w:hAnsi="Book Antiqua"/>
          <w:sz w:val="24"/>
          <w:szCs w:val="24"/>
        </w:rPr>
        <w:t xml:space="preserve"> 2017; </w:t>
      </w:r>
      <w:r w:rsidRPr="000749B2">
        <w:rPr>
          <w:rFonts w:ascii="Book Antiqua" w:hAnsi="Book Antiqua"/>
          <w:b/>
          <w:sz w:val="24"/>
          <w:szCs w:val="24"/>
        </w:rPr>
        <w:t>16</w:t>
      </w:r>
      <w:r w:rsidRPr="000749B2">
        <w:rPr>
          <w:rFonts w:ascii="Book Antiqua" w:hAnsi="Book Antiqua"/>
          <w:sz w:val="24"/>
          <w:szCs w:val="24"/>
        </w:rPr>
        <w:t>: 1435-1442 [PMID: 28468778 DOI: 10.1158/1535-7163.MCT-16-0721]</w:t>
      </w:r>
    </w:p>
    <w:p w14:paraId="742BFB6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238 </w:t>
      </w:r>
      <w:r w:rsidRPr="000749B2">
        <w:rPr>
          <w:rFonts w:ascii="Book Antiqua" w:hAnsi="Book Antiqua"/>
          <w:b/>
          <w:sz w:val="24"/>
          <w:szCs w:val="24"/>
        </w:rPr>
        <w:t>Brattain MG</w:t>
      </w:r>
      <w:r w:rsidRPr="000749B2">
        <w:rPr>
          <w:rFonts w:ascii="Book Antiqua" w:hAnsi="Book Antiqua"/>
          <w:sz w:val="24"/>
          <w:szCs w:val="24"/>
        </w:rPr>
        <w:t xml:space="preserve">, Fine WD, Khaled FM, Thompson J, Brattain DE. Heterogeneity of malignant cells from a human colonic carcinoma. </w:t>
      </w:r>
      <w:r w:rsidRPr="000749B2">
        <w:rPr>
          <w:rFonts w:ascii="Book Antiqua" w:hAnsi="Book Antiqua"/>
          <w:i/>
          <w:sz w:val="24"/>
          <w:szCs w:val="24"/>
        </w:rPr>
        <w:t>Cancer Res</w:t>
      </w:r>
      <w:r w:rsidRPr="000749B2">
        <w:rPr>
          <w:rFonts w:ascii="Book Antiqua" w:hAnsi="Book Antiqua"/>
          <w:sz w:val="24"/>
          <w:szCs w:val="24"/>
        </w:rPr>
        <w:t xml:space="preserve"> 1981; </w:t>
      </w:r>
      <w:r w:rsidRPr="000749B2">
        <w:rPr>
          <w:rFonts w:ascii="Book Antiqua" w:hAnsi="Book Antiqua"/>
          <w:b/>
          <w:sz w:val="24"/>
          <w:szCs w:val="24"/>
        </w:rPr>
        <w:t>41</w:t>
      </w:r>
      <w:r w:rsidRPr="000749B2">
        <w:rPr>
          <w:rFonts w:ascii="Book Antiqua" w:hAnsi="Book Antiqua"/>
          <w:sz w:val="24"/>
          <w:szCs w:val="24"/>
        </w:rPr>
        <w:t>: 1751-1756 [PMID: 7214343]</w:t>
      </w:r>
    </w:p>
    <w:p w14:paraId="5659CD1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239 </w:t>
      </w:r>
      <w:r w:rsidRPr="000749B2">
        <w:rPr>
          <w:rFonts w:ascii="Book Antiqua" w:hAnsi="Book Antiqua"/>
          <w:b/>
          <w:sz w:val="24"/>
          <w:szCs w:val="24"/>
        </w:rPr>
        <w:t>Horbach SPJM</w:t>
      </w:r>
      <w:r w:rsidRPr="000749B2">
        <w:rPr>
          <w:rFonts w:ascii="Book Antiqua" w:hAnsi="Book Antiqua"/>
          <w:sz w:val="24"/>
          <w:szCs w:val="24"/>
        </w:rPr>
        <w:t xml:space="preserve">, Halffman W. The ghosts of HeLa: How cell line misidentification contaminates the scientific literature. </w:t>
      </w:r>
      <w:r w:rsidRPr="000749B2">
        <w:rPr>
          <w:rFonts w:ascii="Book Antiqua" w:hAnsi="Book Antiqua"/>
          <w:i/>
          <w:sz w:val="24"/>
          <w:szCs w:val="24"/>
        </w:rPr>
        <w:t>PLoS One</w:t>
      </w:r>
      <w:r w:rsidRPr="000749B2">
        <w:rPr>
          <w:rFonts w:ascii="Book Antiqua" w:hAnsi="Book Antiqua"/>
          <w:sz w:val="24"/>
          <w:szCs w:val="24"/>
        </w:rPr>
        <w:t xml:space="preserve"> 2017; </w:t>
      </w:r>
      <w:r w:rsidRPr="000749B2">
        <w:rPr>
          <w:rFonts w:ascii="Book Antiqua" w:hAnsi="Book Antiqua"/>
          <w:b/>
          <w:sz w:val="24"/>
          <w:szCs w:val="24"/>
        </w:rPr>
        <w:t>12</w:t>
      </w:r>
      <w:r w:rsidRPr="000749B2">
        <w:rPr>
          <w:rFonts w:ascii="Book Antiqua" w:hAnsi="Book Antiqua"/>
          <w:sz w:val="24"/>
          <w:szCs w:val="24"/>
        </w:rPr>
        <w:t>: e0186281 [PMID: 29023500 DOI: 10.1371/journal.pone.0186281]</w:t>
      </w:r>
    </w:p>
    <w:p w14:paraId="4E1E2AC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240 </w:t>
      </w:r>
      <w:r w:rsidRPr="000749B2">
        <w:rPr>
          <w:rFonts w:ascii="Book Antiqua" w:hAnsi="Book Antiqua"/>
          <w:b/>
          <w:sz w:val="24"/>
          <w:szCs w:val="24"/>
        </w:rPr>
        <w:t>Mouradov D</w:t>
      </w:r>
      <w:r w:rsidRPr="000749B2">
        <w:rPr>
          <w:rFonts w:ascii="Book Antiqua" w:hAnsi="Book Antiqua"/>
          <w:sz w:val="24"/>
          <w:szCs w:val="24"/>
        </w:rPr>
        <w:t xml:space="preserve">, Sloggett C, Jorissen RN, Love CG, Li S, Burgess AW, Arango D, Strausberg RL, Buchanan D, Wormald S, O'Connor L, Wilding JL, Bicknell D, Tomlinson IP, Bodmer WF, Mariadason JM, Sieber OM. Colorectal cancer cell lines are representative models of the main molecular subtypes of primary cancer. </w:t>
      </w:r>
      <w:r w:rsidRPr="000749B2">
        <w:rPr>
          <w:rFonts w:ascii="Book Antiqua" w:hAnsi="Book Antiqua"/>
          <w:i/>
          <w:sz w:val="24"/>
          <w:szCs w:val="24"/>
        </w:rPr>
        <w:t>Cancer Res</w:t>
      </w:r>
      <w:r w:rsidRPr="000749B2">
        <w:rPr>
          <w:rFonts w:ascii="Book Antiqua" w:hAnsi="Book Antiqua"/>
          <w:sz w:val="24"/>
          <w:szCs w:val="24"/>
        </w:rPr>
        <w:t xml:space="preserve"> 2014; </w:t>
      </w:r>
      <w:r w:rsidRPr="000749B2">
        <w:rPr>
          <w:rFonts w:ascii="Book Antiqua" w:hAnsi="Book Antiqua"/>
          <w:b/>
          <w:sz w:val="24"/>
          <w:szCs w:val="24"/>
        </w:rPr>
        <w:t>74</w:t>
      </w:r>
      <w:r w:rsidRPr="000749B2">
        <w:rPr>
          <w:rFonts w:ascii="Book Antiqua" w:hAnsi="Book Antiqua"/>
          <w:sz w:val="24"/>
          <w:szCs w:val="24"/>
        </w:rPr>
        <w:t>: 3238-3247 [PMID: 24755471 DOI: 10.1158/0008-5472.CAN-14-0013]</w:t>
      </w:r>
    </w:p>
    <w:p w14:paraId="765CB17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241 </w:t>
      </w:r>
      <w:r w:rsidRPr="000749B2">
        <w:rPr>
          <w:rFonts w:ascii="Book Antiqua" w:hAnsi="Book Antiqua"/>
          <w:b/>
          <w:sz w:val="24"/>
          <w:szCs w:val="24"/>
        </w:rPr>
        <w:t>Wilding JL</w:t>
      </w:r>
      <w:r w:rsidRPr="000749B2">
        <w:rPr>
          <w:rFonts w:ascii="Book Antiqua" w:hAnsi="Book Antiqua"/>
          <w:sz w:val="24"/>
          <w:szCs w:val="24"/>
        </w:rPr>
        <w:t xml:space="preserve">, Bodmer WF. Cancer cell lines for drug discovery and development. </w:t>
      </w:r>
      <w:r w:rsidRPr="000749B2">
        <w:rPr>
          <w:rFonts w:ascii="Book Antiqua" w:hAnsi="Book Antiqua"/>
          <w:i/>
          <w:sz w:val="24"/>
          <w:szCs w:val="24"/>
        </w:rPr>
        <w:t>Cancer Res</w:t>
      </w:r>
      <w:r w:rsidRPr="000749B2">
        <w:rPr>
          <w:rFonts w:ascii="Book Antiqua" w:hAnsi="Book Antiqua"/>
          <w:sz w:val="24"/>
          <w:szCs w:val="24"/>
        </w:rPr>
        <w:t xml:space="preserve"> 2014; </w:t>
      </w:r>
      <w:r w:rsidRPr="000749B2">
        <w:rPr>
          <w:rFonts w:ascii="Book Antiqua" w:hAnsi="Book Antiqua"/>
          <w:b/>
          <w:sz w:val="24"/>
          <w:szCs w:val="24"/>
        </w:rPr>
        <w:t>74</w:t>
      </w:r>
      <w:r w:rsidRPr="000749B2">
        <w:rPr>
          <w:rFonts w:ascii="Book Antiqua" w:hAnsi="Book Antiqua"/>
          <w:sz w:val="24"/>
          <w:szCs w:val="24"/>
        </w:rPr>
        <w:t>: 2377-2384 [PMID: 24717177 DOI: 10.1158/0008-5472.CAN-13-2971]</w:t>
      </w:r>
    </w:p>
    <w:p w14:paraId="5D112ED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242 </w:t>
      </w:r>
      <w:r w:rsidRPr="000749B2">
        <w:rPr>
          <w:rFonts w:ascii="Book Antiqua" w:hAnsi="Book Antiqua"/>
          <w:b/>
          <w:sz w:val="24"/>
          <w:szCs w:val="24"/>
        </w:rPr>
        <w:t>Tanaka Y</w:t>
      </w:r>
      <w:r w:rsidRPr="000749B2">
        <w:rPr>
          <w:rFonts w:ascii="Book Antiqua" w:hAnsi="Book Antiqua"/>
          <w:sz w:val="24"/>
          <w:szCs w:val="24"/>
        </w:rPr>
        <w:t xml:space="preserve">, Wu AY, Ikekawa N, Iseki K, Kawai M, Kobayashi Y. Inhibition of HT-29 human colon cancer growth under the renal capsule of severe combined immunodeficient mice by an analogue of 1,25-dihydroxyvitamin D3, DD-003. </w:t>
      </w:r>
      <w:r w:rsidRPr="000749B2">
        <w:rPr>
          <w:rFonts w:ascii="Book Antiqua" w:hAnsi="Book Antiqua"/>
          <w:i/>
          <w:sz w:val="24"/>
          <w:szCs w:val="24"/>
        </w:rPr>
        <w:t>Cancer Res</w:t>
      </w:r>
      <w:r w:rsidRPr="000749B2">
        <w:rPr>
          <w:rFonts w:ascii="Book Antiqua" w:hAnsi="Book Antiqua"/>
          <w:sz w:val="24"/>
          <w:szCs w:val="24"/>
        </w:rPr>
        <w:t xml:space="preserve"> 1994; </w:t>
      </w:r>
      <w:r w:rsidRPr="000749B2">
        <w:rPr>
          <w:rFonts w:ascii="Book Antiqua" w:hAnsi="Book Antiqua"/>
          <w:b/>
          <w:sz w:val="24"/>
          <w:szCs w:val="24"/>
        </w:rPr>
        <w:t>54</w:t>
      </w:r>
      <w:r w:rsidRPr="000749B2">
        <w:rPr>
          <w:rFonts w:ascii="Book Antiqua" w:hAnsi="Book Antiqua"/>
          <w:sz w:val="24"/>
          <w:szCs w:val="24"/>
        </w:rPr>
        <w:t>: 5148-5153 [PMID: 7923132]</w:t>
      </w:r>
    </w:p>
    <w:p w14:paraId="773FF89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243 </w:t>
      </w:r>
      <w:r w:rsidRPr="000749B2">
        <w:rPr>
          <w:rFonts w:ascii="Book Antiqua" w:hAnsi="Book Antiqua"/>
          <w:b/>
          <w:sz w:val="24"/>
          <w:szCs w:val="24"/>
        </w:rPr>
        <w:t>Lawrentschuk N</w:t>
      </w:r>
      <w:r w:rsidRPr="000749B2">
        <w:rPr>
          <w:rFonts w:ascii="Book Antiqua" w:hAnsi="Book Antiqua"/>
          <w:sz w:val="24"/>
          <w:szCs w:val="24"/>
        </w:rPr>
        <w:t xml:space="preserve">, Rigopoulos A, Lee FT, Davis ID, Scott AM, Bolton DM. Xenografting tumour beneath the renal capsule using modern surgical equipment. </w:t>
      </w:r>
      <w:r w:rsidRPr="000749B2">
        <w:rPr>
          <w:rFonts w:ascii="Book Antiqua" w:hAnsi="Book Antiqua"/>
          <w:i/>
          <w:sz w:val="24"/>
          <w:szCs w:val="24"/>
        </w:rPr>
        <w:t>Eur Surg Res</w:t>
      </w:r>
      <w:r w:rsidRPr="000749B2">
        <w:rPr>
          <w:rFonts w:ascii="Book Antiqua" w:hAnsi="Book Antiqua"/>
          <w:sz w:val="24"/>
          <w:szCs w:val="24"/>
        </w:rPr>
        <w:t xml:space="preserve"> 2006; </w:t>
      </w:r>
      <w:r w:rsidRPr="000749B2">
        <w:rPr>
          <w:rFonts w:ascii="Book Antiqua" w:hAnsi="Book Antiqua"/>
          <w:b/>
          <w:sz w:val="24"/>
          <w:szCs w:val="24"/>
        </w:rPr>
        <w:t>38</w:t>
      </w:r>
      <w:r w:rsidRPr="000749B2">
        <w:rPr>
          <w:rFonts w:ascii="Book Antiqua" w:hAnsi="Book Antiqua"/>
          <w:sz w:val="24"/>
          <w:szCs w:val="24"/>
        </w:rPr>
        <w:t>: 340-346 [PMID: 16791005 DOI: 10.1159/000094093]</w:t>
      </w:r>
    </w:p>
    <w:p w14:paraId="6C3112B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244 </w:t>
      </w:r>
      <w:r w:rsidRPr="000749B2">
        <w:rPr>
          <w:rFonts w:ascii="Book Antiqua" w:hAnsi="Book Antiqua"/>
          <w:b/>
          <w:sz w:val="24"/>
          <w:szCs w:val="24"/>
        </w:rPr>
        <w:t>Edelstein MB</w:t>
      </w:r>
      <w:r w:rsidRPr="000749B2">
        <w:rPr>
          <w:rFonts w:ascii="Book Antiqua" w:hAnsi="Book Antiqua"/>
          <w:sz w:val="24"/>
          <w:szCs w:val="24"/>
        </w:rPr>
        <w:t xml:space="preserve">. The subrenal capsule assay: a critical commentary. </w:t>
      </w:r>
      <w:r w:rsidRPr="000749B2">
        <w:rPr>
          <w:rFonts w:ascii="Book Antiqua" w:hAnsi="Book Antiqua"/>
          <w:i/>
          <w:sz w:val="24"/>
          <w:szCs w:val="24"/>
        </w:rPr>
        <w:t>Eur J Cancer Clin Oncol</w:t>
      </w:r>
      <w:r w:rsidRPr="000749B2">
        <w:rPr>
          <w:rFonts w:ascii="Book Antiqua" w:hAnsi="Book Antiqua"/>
          <w:sz w:val="24"/>
          <w:szCs w:val="24"/>
        </w:rPr>
        <w:t xml:space="preserve"> 1986; </w:t>
      </w:r>
      <w:r w:rsidRPr="000749B2">
        <w:rPr>
          <w:rFonts w:ascii="Book Antiqua" w:hAnsi="Book Antiqua"/>
          <w:b/>
          <w:sz w:val="24"/>
          <w:szCs w:val="24"/>
        </w:rPr>
        <w:t>22</w:t>
      </w:r>
      <w:r w:rsidRPr="000749B2">
        <w:rPr>
          <w:rFonts w:ascii="Book Antiqua" w:hAnsi="Book Antiqua"/>
          <w:sz w:val="24"/>
          <w:szCs w:val="24"/>
        </w:rPr>
        <w:t>: 757-760 [PMID: 3533556 DOI: 10.1016/0277-5379(86)90359-7]</w:t>
      </w:r>
    </w:p>
    <w:p w14:paraId="31A90B5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245 </w:t>
      </w:r>
      <w:r w:rsidRPr="000749B2">
        <w:rPr>
          <w:rFonts w:ascii="Book Antiqua" w:hAnsi="Book Antiqua"/>
          <w:b/>
          <w:sz w:val="24"/>
          <w:szCs w:val="24"/>
        </w:rPr>
        <w:t>Wang Y</w:t>
      </w:r>
      <w:r w:rsidRPr="000749B2">
        <w:rPr>
          <w:rFonts w:ascii="Book Antiqua" w:hAnsi="Book Antiqua"/>
          <w:sz w:val="24"/>
          <w:szCs w:val="24"/>
        </w:rPr>
        <w:t xml:space="preserve">, Wang JX, Xue H, Lin D, Dong X, Gout PW, Gao X, Pang J. Subrenal capsule grafting technology in human cancer modeling and translational cancer research. </w:t>
      </w:r>
      <w:r w:rsidRPr="000749B2">
        <w:rPr>
          <w:rFonts w:ascii="Book Antiqua" w:hAnsi="Book Antiqua"/>
          <w:i/>
          <w:sz w:val="24"/>
          <w:szCs w:val="24"/>
        </w:rPr>
        <w:t>Differentiation</w:t>
      </w:r>
      <w:r w:rsidRPr="000749B2">
        <w:rPr>
          <w:rFonts w:ascii="Book Antiqua" w:hAnsi="Book Antiqua"/>
          <w:sz w:val="24"/>
          <w:szCs w:val="24"/>
        </w:rPr>
        <w:t xml:space="preserve"> 2016; </w:t>
      </w:r>
      <w:r w:rsidRPr="000749B2">
        <w:rPr>
          <w:rFonts w:ascii="Book Antiqua" w:hAnsi="Book Antiqua"/>
          <w:b/>
          <w:sz w:val="24"/>
          <w:szCs w:val="24"/>
        </w:rPr>
        <w:t>91</w:t>
      </w:r>
      <w:r w:rsidRPr="000749B2">
        <w:rPr>
          <w:rFonts w:ascii="Book Antiqua" w:hAnsi="Book Antiqua"/>
          <w:sz w:val="24"/>
          <w:szCs w:val="24"/>
        </w:rPr>
        <w:t>: 15-19 [PMID: 26547391 DOI: 10.1016/j.diff.2015.10.012]</w:t>
      </w:r>
    </w:p>
    <w:p w14:paraId="3D240BD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246 </w:t>
      </w:r>
      <w:r w:rsidRPr="000749B2">
        <w:rPr>
          <w:rFonts w:ascii="Book Antiqua" w:hAnsi="Book Antiqua"/>
          <w:b/>
          <w:sz w:val="24"/>
          <w:szCs w:val="24"/>
        </w:rPr>
        <w:t>Li C</w:t>
      </w:r>
      <w:r w:rsidRPr="000749B2">
        <w:rPr>
          <w:rFonts w:ascii="Book Antiqua" w:hAnsi="Book Antiqua"/>
          <w:sz w:val="24"/>
          <w:szCs w:val="24"/>
        </w:rPr>
        <w:t xml:space="preserve">, Wang J, Kong J, Tang J, Wu Y, Xu E, Zhang H, Lai M. GDF15 promotes EMT and metastasis in colorectal cancer. </w:t>
      </w:r>
      <w:r w:rsidRPr="000749B2">
        <w:rPr>
          <w:rFonts w:ascii="Book Antiqua" w:hAnsi="Book Antiqua"/>
          <w:i/>
          <w:sz w:val="24"/>
          <w:szCs w:val="24"/>
        </w:rPr>
        <w:t>Oncotarget</w:t>
      </w:r>
      <w:r w:rsidRPr="000749B2">
        <w:rPr>
          <w:rFonts w:ascii="Book Antiqua" w:hAnsi="Book Antiqua"/>
          <w:sz w:val="24"/>
          <w:szCs w:val="24"/>
        </w:rPr>
        <w:t xml:space="preserve"> 2016; </w:t>
      </w:r>
      <w:r w:rsidRPr="000749B2">
        <w:rPr>
          <w:rFonts w:ascii="Book Antiqua" w:hAnsi="Book Antiqua"/>
          <w:b/>
          <w:sz w:val="24"/>
          <w:szCs w:val="24"/>
        </w:rPr>
        <w:t>7</w:t>
      </w:r>
      <w:r w:rsidRPr="000749B2">
        <w:rPr>
          <w:rFonts w:ascii="Book Antiqua" w:hAnsi="Book Antiqua"/>
          <w:sz w:val="24"/>
          <w:szCs w:val="24"/>
        </w:rPr>
        <w:t>: 860-872 [PMID: 26497212 DOI: 10.18632/oncotarget.6205]</w:t>
      </w:r>
    </w:p>
    <w:p w14:paraId="2AE7737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247 </w:t>
      </w:r>
      <w:r w:rsidRPr="000749B2">
        <w:rPr>
          <w:rFonts w:ascii="Book Antiqua" w:hAnsi="Book Antiqua"/>
          <w:b/>
          <w:sz w:val="24"/>
          <w:szCs w:val="24"/>
        </w:rPr>
        <w:t>Murdocca M</w:t>
      </w:r>
      <w:r w:rsidRPr="000749B2">
        <w:rPr>
          <w:rFonts w:ascii="Book Antiqua" w:hAnsi="Book Antiqua"/>
          <w:sz w:val="24"/>
          <w:szCs w:val="24"/>
        </w:rPr>
        <w:t xml:space="preserve">, Capuano R, Pucci S, Cicconi R, Polidoro C, Catini A, Martinelli E, Paolesse R, Orlandi A, Mango R, Novelli G, Di Natale C, Sangiuolo F. Targeting LOX-1 Inhibits Colorectal Cancer Metastasis in an Animal Model. </w:t>
      </w:r>
      <w:r w:rsidRPr="000749B2">
        <w:rPr>
          <w:rFonts w:ascii="Book Antiqua" w:hAnsi="Book Antiqua"/>
          <w:i/>
          <w:sz w:val="24"/>
          <w:szCs w:val="24"/>
        </w:rPr>
        <w:t>Front Oncol</w:t>
      </w:r>
      <w:r w:rsidRPr="000749B2">
        <w:rPr>
          <w:rFonts w:ascii="Book Antiqua" w:hAnsi="Book Antiqua"/>
          <w:sz w:val="24"/>
          <w:szCs w:val="24"/>
        </w:rPr>
        <w:t xml:space="preserve"> 2019; </w:t>
      </w:r>
      <w:r w:rsidRPr="000749B2">
        <w:rPr>
          <w:rFonts w:ascii="Book Antiqua" w:hAnsi="Book Antiqua"/>
          <w:b/>
          <w:sz w:val="24"/>
          <w:szCs w:val="24"/>
        </w:rPr>
        <w:t>9</w:t>
      </w:r>
      <w:r w:rsidRPr="000749B2">
        <w:rPr>
          <w:rFonts w:ascii="Book Antiqua" w:hAnsi="Book Antiqua"/>
          <w:sz w:val="24"/>
          <w:szCs w:val="24"/>
        </w:rPr>
        <w:t>: 927 [PMID: 31608230 DOI: 10.3389/fonc.2019.00927]</w:t>
      </w:r>
    </w:p>
    <w:p w14:paraId="0C45DB87"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248 </w:t>
      </w:r>
      <w:r w:rsidRPr="000749B2">
        <w:rPr>
          <w:rFonts w:ascii="Book Antiqua" w:hAnsi="Book Antiqua"/>
          <w:b/>
          <w:sz w:val="24"/>
          <w:szCs w:val="24"/>
        </w:rPr>
        <w:t>Hanahan D</w:t>
      </w:r>
      <w:r w:rsidRPr="000749B2">
        <w:rPr>
          <w:rFonts w:ascii="Book Antiqua" w:hAnsi="Book Antiqua"/>
          <w:sz w:val="24"/>
          <w:szCs w:val="24"/>
        </w:rPr>
        <w:t xml:space="preserve">, Weinberg RA. Hallmarks of cancer: the next generation. </w:t>
      </w:r>
      <w:r w:rsidRPr="000749B2">
        <w:rPr>
          <w:rFonts w:ascii="Book Antiqua" w:hAnsi="Book Antiqua"/>
          <w:i/>
          <w:sz w:val="24"/>
          <w:szCs w:val="24"/>
        </w:rPr>
        <w:t>Cell</w:t>
      </w:r>
      <w:r w:rsidRPr="000749B2">
        <w:rPr>
          <w:rFonts w:ascii="Book Antiqua" w:hAnsi="Book Antiqua"/>
          <w:sz w:val="24"/>
          <w:szCs w:val="24"/>
        </w:rPr>
        <w:t xml:space="preserve"> 2011; </w:t>
      </w:r>
      <w:r w:rsidRPr="000749B2">
        <w:rPr>
          <w:rFonts w:ascii="Book Antiqua" w:hAnsi="Book Antiqua"/>
          <w:b/>
          <w:sz w:val="24"/>
          <w:szCs w:val="24"/>
        </w:rPr>
        <w:t>144</w:t>
      </w:r>
      <w:r w:rsidRPr="000749B2">
        <w:rPr>
          <w:rFonts w:ascii="Book Antiqua" w:hAnsi="Book Antiqua"/>
          <w:sz w:val="24"/>
          <w:szCs w:val="24"/>
        </w:rPr>
        <w:t>: 646-674 [PMID: 21376230 DOI: 10.1016/j.cell.2011.02.013]</w:t>
      </w:r>
    </w:p>
    <w:p w14:paraId="6F03731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249 </w:t>
      </w:r>
      <w:r w:rsidRPr="000749B2">
        <w:rPr>
          <w:rFonts w:ascii="Book Antiqua" w:hAnsi="Book Antiqua"/>
          <w:b/>
          <w:sz w:val="24"/>
          <w:szCs w:val="24"/>
        </w:rPr>
        <w:t>Brand MI</w:t>
      </w:r>
      <w:r w:rsidRPr="000749B2">
        <w:rPr>
          <w:rFonts w:ascii="Book Antiqua" w:hAnsi="Book Antiqua"/>
          <w:sz w:val="24"/>
          <w:szCs w:val="24"/>
        </w:rPr>
        <w:t xml:space="preserve">, Casillas S, Dietz DW, Milsom JW, Vladisavljevic A. Development of a reliable colorectal cancer liver metastasis model. </w:t>
      </w:r>
      <w:r w:rsidRPr="000749B2">
        <w:rPr>
          <w:rFonts w:ascii="Book Antiqua" w:hAnsi="Book Antiqua"/>
          <w:i/>
          <w:sz w:val="24"/>
          <w:szCs w:val="24"/>
        </w:rPr>
        <w:t>J Surg Res</w:t>
      </w:r>
      <w:r w:rsidRPr="000749B2">
        <w:rPr>
          <w:rFonts w:ascii="Book Antiqua" w:hAnsi="Book Antiqua"/>
          <w:sz w:val="24"/>
          <w:szCs w:val="24"/>
        </w:rPr>
        <w:t xml:space="preserve"> 1996; </w:t>
      </w:r>
      <w:r w:rsidRPr="000749B2">
        <w:rPr>
          <w:rFonts w:ascii="Book Antiqua" w:hAnsi="Book Antiqua"/>
          <w:b/>
          <w:sz w:val="24"/>
          <w:szCs w:val="24"/>
        </w:rPr>
        <w:t>63</w:t>
      </w:r>
      <w:r w:rsidRPr="000749B2">
        <w:rPr>
          <w:rFonts w:ascii="Book Antiqua" w:hAnsi="Book Antiqua"/>
          <w:sz w:val="24"/>
          <w:szCs w:val="24"/>
        </w:rPr>
        <w:t>: 425-432 [PMID: 8661237 DOI: 10.1006/jsre.1996.0287]</w:t>
      </w:r>
    </w:p>
    <w:p w14:paraId="72639AF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250 </w:t>
      </w:r>
      <w:r w:rsidRPr="000749B2">
        <w:rPr>
          <w:rFonts w:ascii="Book Antiqua" w:hAnsi="Book Antiqua"/>
          <w:b/>
          <w:sz w:val="24"/>
          <w:szCs w:val="24"/>
        </w:rPr>
        <w:t>Fleten KG</w:t>
      </w:r>
      <w:r w:rsidRPr="000749B2">
        <w:rPr>
          <w:rFonts w:ascii="Book Antiqua" w:hAnsi="Book Antiqua"/>
          <w:sz w:val="24"/>
          <w:szCs w:val="24"/>
        </w:rPr>
        <w:t xml:space="preserve">, Bakke KM, Mælandsmo GM, Abildgaard A, Redalen KR, Flatmark K. Use of non-invasive imaging to monitor response to aflibercept treatment in murine models of colorectal cancer liver metastases. </w:t>
      </w:r>
      <w:r w:rsidRPr="000749B2">
        <w:rPr>
          <w:rFonts w:ascii="Book Antiqua" w:hAnsi="Book Antiqua"/>
          <w:i/>
          <w:sz w:val="24"/>
          <w:szCs w:val="24"/>
        </w:rPr>
        <w:t>Clin Exp Metastasis</w:t>
      </w:r>
      <w:r w:rsidRPr="000749B2">
        <w:rPr>
          <w:rFonts w:ascii="Book Antiqua" w:hAnsi="Book Antiqua"/>
          <w:sz w:val="24"/>
          <w:szCs w:val="24"/>
        </w:rPr>
        <w:t xml:space="preserve"> 2017; </w:t>
      </w:r>
      <w:r w:rsidRPr="000749B2">
        <w:rPr>
          <w:rFonts w:ascii="Book Antiqua" w:hAnsi="Book Antiqua"/>
          <w:b/>
          <w:sz w:val="24"/>
          <w:szCs w:val="24"/>
        </w:rPr>
        <w:t>34</w:t>
      </w:r>
      <w:r w:rsidRPr="000749B2">
        <w:rPr>
          <w:rFonts w:ascii="Book Antiqua" w:hAnsi="Book Antiqua"/>
          <w:sz w:val="24"/>
          <w:szCs w:val="24"/>
        </w:rPr>
        <w:t>: 51-62 [PMID: 27812769 DOI: 10.1007/s10585-016-9829-3]</w:t>
      </w:r>
    </w:p>
    <w:p w14:paraId="723CCC9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251 </w:t>
      </w:r>
      <w:r w:rsidRPr="000749B2">
        <w:rPr>
          <w:rFonts w:ascii="Book Antiqua" w:hAnsi="Book Antiqua"/>
          <w:b/>
          <w:sz w:val="24"/>
          <w:szCs w:val="24"/>
        </w:rPr>
        <w:t>Li Z</w:t>
      </w:r>
      <w:r w:rsidRPr="000749B2">
        <w:rPr>
          <w:rFonts w:ascii="Book Antiqua" w:hAnsi="Book Antiqua"/>
          <w:sz w:val="24"/>
          <w:szCs w:val="24"/>
        </w:rPr>
        <w:t xml:space="preserve">, Wang J, Zhou T, Ye X. Establishment of a colorectal cancer nude mouse visualization model of HIF-1α overexpression. </w:t>
      </w:r>
      <w:r w:rsidRPr="000749B2">
        <w:rPr>
          <w:rFonts w:ascii="Book Antiqua" w:hAnsi="Book Antiqua"/>
          <w:i/>
          <w:sz w:val="24"/>
          <w:szCs w:val="24"/>
        </w:rPr>
        <w:t>Oncol Lett</w:t>
      </w:r>
      <w:r w:rsidRPr="000749B2">
        <w:rPr>
          <w:rFonts w:ascii="Book Antiqua" w:hAnsi="Book Antiqua"/>
          <w:sz w:val="24"/>
          <w:szCs w:val="24"/>
        </w:rPr>
        <w:t xml:space="preserve"> 2016; </w:t>
      </w:r>
      <w:r w:rsidRPr="000749B2">
        <w:rPr>
          <w:rFonts w:ascii="Book Antiqua" w:hAnsi="Book Antiqua"/>
          <w:b/>
          <w:sz w:val="24"/>
          <w:szCs w:val="24"/>
        </w:rPr>
        <w:t>11</w:t>
      </w:r>
      <w:r w:rsidRPr="000749B2">
        <w:rPr>
          <w:rFonts w:ascii="Book Antiqua" w:hAnsi="Book Antiqua"/>
          <w:sz w:val="24"/>
          <w:szCs w:val="24"/>
        </w:rPr>
        <w:t>: 2725-2732 [PMID: 27073543 DOI: 10.3892/ol.2016.4287]</w:t>
      </w:r>
    </w:p>
    <w:p w14:paraId="2180EAF6" w14:textId="7CD35D14"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252 </w:t>
      </w:r>
      <w:r w:rsidRPr="000749B2">
        <w:rPr>
          <w:rFonts w:ascii="Book Antiqua" w:hAnsi="Book Antiqua"/>
          <w:b/>
          <w:sz w:val="24"/>
          <w:szCs w:val="24"/>
        </w:rPr>
        <w:t>Mullins CS</w:t>
      </w:r>
      <w:r w:rsidRPr="000749B2">
        <w:rPr>
          <w:rFonts w:ascii="Book Antiqua" w:hAnsi="Book Antiqua"/>
          <w:sz w:val="24"/>
          <w:szCs w:val="24"/>
        </w:rPr>
        <w:t xml:space="preserve">, Micheel B, Matschos S, Leuchter M, Bürtin F, Krohn M, Hühns M, Klar E, Prall F, Linnebacher M. Integrated Biobanking and Tumor Model Establishment of Human Colorectal Carcinoma Provides Excellent Tools for Preclinical Research. </w:t>
      </w:r>
      <w:r w:rsidRPr="000749B2">
        <w:rPr>
          <w:rFonts w:ascii="Book Antiqua" w:hAnsi="Book Antiqua"/>
          <w:i/>
          <w:sz w:val="24"/>
          <w:szCs w:val="24"/>
        </w:rPr>
        <w:t>Cancers (Basel)</w:t>
      </w:r>
      <w:r w:rsidRPr="000749B2">
        <w:rPr>
          <w:rFonts w:ascii="Book Antiqua" w:hAnsi="Book Antiqua"/>
          <w:sz w:val="24"/>
          <w:szCs w:val="24"/>
        </w:rPr>
        <w:t xml:space="preserve"> 2019; </w:t>
      </w:r>
      <w:r w:rsidRPr="000749B2">
        <w:rPr>
          <w:rFonts w:ascii="Book Antiqua" w:hAnsi="Book Antiqua"/>
          <w:b/>
          <w:sz w:val="24"/>
          <w:szCs w:val="24"/>
        </w:rPr>
        <w:t>11</w:t>
      </w:r>
      <w:r w:rsidRPr="000749B2">
        <w:rPr>
          <w:rFonts w:ascii="Book Antiqua" w:hAnsi="Book Antiqua"/>
          <w:sz w:val="24"/>
          <w:szCs w:val="24"/>
        </w:rPr>
        <w:t>:</w:t>
      </w:r>
      <w:r w:rsidR="004077FE" w:rsidRPr="000749B2">
        <w:rPr>
          <w:rFonts w:ascii="Book Antiqua" w:hAnsi="Book Antiqua"/>
          <w:sz w:val="24"/>
          <w:szCs w:val="24"/>
        </w:rPr>
        <w:t xml:space="preserve"> </w:t>
      </w:r>
      <w:r w:rsidRPr="000749B2">
        <w:rPr>
          <w:rFonts w:ascii="Book Antiqua" w:hAnsi="Book Antiqua"/>
          <w:sz w:val="24"/>
          <w:szCs w:val="24"/>
        </w:rPr>
        <w:t>[PMID: 31601052 DOI: 10.3390/cancers11101520]</w:t>
      </w:r>
    </w:p>
    <w:p w14:paraId="69C2A4D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253 </w:t>
      </w:r>
      <w:r w:rsidRPr="000749B2">
        <w:rPr>
          <w:rFonts w:ascii="Book Antiqua" w:hAnsi="Book Antiqua"/>
          <w:b/>
          <w:sz w:val="24"/>
          <w:szCs w:val="24"/>
        </w:rPr>
        <w:t>Prall F</w:t>
      </w:r>
      <w:r w:rsidRPr="000749B2">
        <w:rPr>
          <w:rFonts w:ascii="Book Antiqua" w:hAnsi="Book Antiqua"/>
          <w:sz w:val="24"/>
          <w:szCs w:val="24"/>
        </w:rPr>
        <w:t xml:space="preserve">, Maletzki C, Hühns M, Krohn M, Linnebacher M. Colorectal carcinoma tumour budding and podia formation in the xenograft microenvironment. </w:t>
      </w:r>
      <w:r w:rsidRPr="000749B2">
        <w:rPr>
          <w:rFonts w:ascii="Book Antiqua" w:hAnsi="Book Antiqua"/>
          <w:i/>
          <w:sz w:val="24"/>
          <w:szCs w:val="24"/>
        </w:rPr>
        <w:t>PLoS One</w:t>
      </w:r>
      <w:r w:rsidRPr="000749B2">
        <w:rPr>
          <w:rFonts w:ascii="Book Antiqua" w:hAnsi="Book Antiqua"/>
          <w:sz w:val="24"/>
          <w:szCs w:val="24"/>
        </w:rPr>
        <w:t xml:space="preserve"> 2017; </w:t>
      </w:r>
      <w:r w:rsidRPr="000749B2">
        <w:rPr>
          <w:rFonts w:ascii="Book Antiqua" w:hAnsi="Book Antiqua"/>
          <w:b/>
          <w:sz w:val="24"/>
          <w:szCs w:val="24"/>
        </w:rPr>
        <w:t>12</w:t>
      </w:r>
      <w:r w:rsidRPr="000749B2">
        <w:rPr>
          <w:rFonts w:ascii="Book Antiqua" w:hAnsi="Book Antiqua"/>
          <w:sz w:val="24"/>
          <w:szCs w:val="24"/>
        </w:rPr>
        <w:t>: e0186271 [PMID: 29040282 DOI: 10.1371/journal.pone.0186271]</w:t>
      </w:r>
    </w:p>
    <w:p w14:paraId="6B3A1B1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254 </w:t>
      </w:r>
      <w:r w:rsidRPr="000749B2">
        <w:rPr>
          <w:rFonts w:ascii="Book Antiqua" w:hAnsi="Book Antiqua"/>
          <w:b/>
          <w:sz w:val="24"/>
          <w:szCs w:val="24"/>
        </w:rPr>
        <w:t>Guenot D</w:t>
      </w:r>
      <w:r w:rsidRPr="000749B2">
        <w:rPr>
          <w:rFonts w:ascii="Book Antiqua" w:hAnsi="Book Antiqua"/>
          <w:sz w:val="24"/>
          <w:szCs w:val="24"/>
        </w:rPr>
        <w:t xml:space="preserve">, Guérin E, Aguillon-Romain S, Pencreach E, Schneider A, Neuville A, Chenard MP, Duluc I, Du Manoir S, Brigand C, Oudet P, Kedinger M, Gaub MP. Primary tumour genetic alterations and intra-tumoral heterogeneity are maintained in xenografts of human colon cancers showing chromosome instability. </w:t>
      </w:r>
      <w:r w:rsidRPr="000749B2">
        <w:rPr>
          <w:rFonts w:ascii="Book Antiqua" w:hAnsi="Book Antiqua"/>
          <w:i/>
          <w:sz w:val="24"/>
          <w:szCs w:val="24"/>
        </w:rPr>
        <w:t>J Pathol</w:t>
      </w:r>
      <w:r w:rsidRPr="000749B2">
        <w:rPr>
          <w:rFonts w:ascii="Book Antiqua" w:hAnsi="Book Antiqua"/>
          <w:sz w:val="24"/>
          <w:szCs w:val="24"/>
        </w:rPr>
        <w:t xml:space="preserve"> 2006; </w:t>
      </w:r>
      <w:r w:rsidRPr="000749B2">
        <w:rPr>
          <w:rFonts w:ascii="Book Antiqua" w:hAnsi="Book Antiqua"/>
          <w:b/>
          <w:sz w:val="24"/>
          <w:szCs w:val="24"/>
        </w:rPr>
        <w:t>208</w:t>
      </w:r>
      <w:r w:rsidRPr="000749B2">
        <w:rPr>
          <w:rFonts w:ascii="Book Antiqua" w:hAnsi="Book Antiqua"/>
          <w:sz w:val="24"/>
          <w:szCs w:val="24"/>
        </w:rPr>
        <w:t>: 643-652 [PMID: 16450341 DOI: 10.1002/path.1936]</w:t>
      </w:r>
    </w:p>
    <w:p w14:paraId="2F2E963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255 </w:t>
      </w:r>
      <w:r w:rsidRPr="000749B2">
        <w:rPr>
          <w:rFonts w:ascii="Book Antiqua" w:hAnsi="Book Antiqua"/>
          <w:b/>
          <w:sz w:val="24"/>
          <w:szCs w:val="24"/>
        </w:rPr>
        <w:t>Burgenske DM</w:t>
      </w:r>
      <w:r w:rsidRPr="000749B2">
        <w:rPr>
          <w:rFonts w:ascii="Book Antiqua" w:hAnsi="Book Antiqua"/>
          <w:sz w:val="24"/>
          <w:szCs w:val="24"/>
        </w:rPr>
        <w:t xml:space="preserve">, Monsma DJ, Dylewski D, Scott SB, Sayfie AD, Kim DG, Luchtefeld M, Martin KR, Stephenson P, Hostetter G, Dujovny N, MacKeigan JP. </w:t>
      </w:r>
      <w:r w:rsidRPr="000749B2">
        <w:rPr>
          <w:rFonts w:ascii="Book Antiqua" w:hAnsi="Book Antiqua"/>
          <w:sz w:val="24"/>
          <w:szCs w:val="24"/>
        </w:rPr>
        <w:lastRenderedPageBreak/>
        <w:t xml:space="preserve">Establishment of genetically diverse patient-derived xenografts of colorectal cancer. </w:t>
      </w:r>
      <w:r w:rsidRPr="000749B2">
        <w:rPr>
          <w:rFonts w:ascii="Book Antiqua" w:hAnsi="Book Antiqua"/>
          <w:i/>
          <w:sz w:val="24"/>
          <w:szCs w:val="24"/>
        </w:rPr>
        <w:t>Am J Cancer Res</w:t>
      </w:r>
      <w:r w:rsidRPr="000749B2">
        <w:rPr>
          <w:rFonts w:ascii="Book Antiqua" w:hAnsi="Book Antiqua"/>
          <w:sz w:val="24"/>
          <w:szCs w:val="24"/>
        </w:rPr>
        <w:t xml:space="preserve"> 2014; </w:t>
      </w:r>
      <w:r w:rsidRPr="000749B2">
        <w:rPr>
          <w:rFonts w:ascii="Book Antiqua" w:hAnsi="Book Antiqua"/>
          <w:b/>
          <w:sz w:val="24"/>
          <w:szCs w:val="24"/>
        </w:rPr>
        <w:t>4</w:t>
      </w:r>
      <w:r w:rsidRPr="000749B2">
        <w:rPr>
          <w:rFonts w:ascii="Book Antiqua" w:hAnsi="Book Antiqua"/>
          <w:sz w:val="24"/>
          <w:szCs w:val="24"/>
        </w:rPr>
        <w:t>: 824-837 [PMID: 25520871]</w:t>
      </w:r>
    </w:p>
    <w:p w14:paraId="29460A8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256 </w:t>
      </w:r>
      <w:r w:rsidRPr="000749B2">
        <w:rPr>
          <w:rFonts w:ascii="Book Antiqua" w:hAnsi="Book Antiqua"/>
          <w:b/>
          <w:sz w:val="24"/>
          <w:szCs w:val="24"/>
        </w:rPr>
        <w:t>Mattie M</w:t>
      </w:r>
      <w:r w:rsidRPr="000749B2">
        <w:rPr>
          <w:rFonts w:ascii="Book Antiqua" w:hAnsi="Book Antiqua"/>
          <w:sz w:val="24"/>
          <w:szCs w:val="24"/>
        </w:rPr>
        <w:t xml:space="preserve">, Christensen A, Chang MS, Yeh W, Said S, Shostak Y, Capo L, Verlinsky A, An Z, Joseph I, Zhang Y, Kumar-Ganesan S, Morrison K, Stover D, Challita-Eid P. Molecular characterization of patient-derived human pancreatic tumor xenograft models for preclinical and translational development of cancer therapeutics. </w:t>
      </w:r>
      <w:r w:rsidRPr="000749B2">
        <w:rPr>
          <w:rFonts w:ascii="Book Antiqua" w:hAnsi="Book Antiqua"/>
          <w:i/>
          <w:sz w:val="24"/>
          <w:szCs w:val="24"/>
        </w:rPr>
        <w:t>Neoplasia</w:t>
      </w:r>
      <w:r w:rsidRPr="000749B2">
        <w:rPr>
          <w:rFonts w:ascii="Book Antiqua" w:hAnsi="Book Antiqua"/>
          <w:sz w:val="24"/>
          <w:szCs w:val="24"/>
        </w:rPr>
        <w:t xml:space="preserve"> 2013; </w:t>
      </w:r>
      <w:r w:rsidRPr="000749B2">
        <w:rPr>
          <w:rFonts w:ascii="Book Antiqua" w:hAnsi="Book Antiqua"/>
          <w:b/>
          <w:sz w:val="24"/>
          <w:szCs w:val="24"/>
        </w:rPr>
        <w:t>15</w:t>
      </w:r>
      <w:r w:rsidRPr="000749B2">
        <w:rPr>
          <w:rFonts w:ascii="Book Antiqua" w:hAnsi="Book Antiqua"/>
          <w:sz w:val="24"/>
          <w:szCs w:val="24"/>
        </w:rPr>
        <w:t>: 1138-1150 [PMID: 24204193 DOI: 10.1593/neo.13922]</w:t>
      </w:r>
    </w:p>
    <w:p w14:paraId="7F0FE17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257 </w:t>
      </w:r>
      <w:r w:rsidRPr="000749B2">
        <w:rPr>
          <w:rFonts w:ascii="Book Antiqua" w:hAnsi="Book Antiqua"/>
          <w:b/>
          <w:sz w:val="24"/>
          <w:szCs w:val="24"/>
        </w:rPr>
        <w:t>Cho YB</w:t>
      </w:r>
      <w:r w:rsidRPr="000749B2">
        <w:rPr>
          <w:rFonts w:ascii="Book Antiqua" w:hAnsi="Book Antiqua"/>
          <w:sz w:val="24"/>
          <w:szCs w:val="24"/>
        </w:rPr>
        <w:t xml:space="preserve">, Hong HK, Choi YL, Oh E, Joo KM, Jin J, Nam DH, Ko YH, Lee WY. Colorectal cancer patient-derived xenografted tumors maintain characteristic features of the original tumors. </w:t>
      </w:r>
      <w:r w:rsidRPr="000749B2">
        <w:rPr>
          <w:rFonts w:ascii="Book Antiqua" w:hAnsi="Book Antiqua"/>
          <w:i/>
          <w:sz w:val="24"/>
          <w:szCs w:val="24"/>
        </w:rPr>
        <w:t>J Surg Res</w:t>
      </w:r>
      <w:r w:rsidRPr="000749B2">
        <w:rPr>
          <w:rFonts w:ascii="Book Antiqua" w:hAnsi="Book Antiqua"/>
          <w:sz w:val="24"/>
          <w:szCs w:val="24"/>
        </w:rPr>
        <w:t xml:space="preserve"> 2014; </w:t>
      </w:r>
      <w:r w:rsidRPr="000749B2">
        <w:rPr>
          <w:rFonts w:ascii="Book Antiqua" w:hAnsi="Book Antiqua"/>
          <w:b/>
          <w:sz w:val="24"/>
          <w:szCs w:val="24"/>
        </w:rPr>
        <w:t>187</w:t>
      </w:r>
      <w:r w:rsidRPr="000749B2">
        <w:rPr>
          <w:rFonts w:ascii="Book Antiqua" w:hAnsi="Book Antiqua"/>
          <w:sz w:val="24"/>
          <w:szCs w:val="24"/>
        </w:rPr>
        <w:t>: 502-509 [PMID: 24332554 DOI: 10.1016/j.jss.2013.11.010]</w:t>
      </w:r>
    </w:p>
    <w:p w14:paraId="1F49AA6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258 </w:t>
      </w:r>
      <w:r w:rsidRPr="000749B2">
        <w:rPr>
          <w:rFonts w:ascii="Book Antiqua" w:hAnsi="Book Antiqua"/>
          <w:b/>
          <w:sz w:val="24"/>
          <w:szCs w:val="24"/>
        </w:rPr>
        <w:t>Ben-David U</w:t>
      </w:r>
      <w:r w:rsidRPr="000749B2">
        <w:rPr>
          <w:rFonts w:ascii="Book Antiqua" w:hAnsi="Book Antiqua"/>
          <w:sz w:val="24"/>
          <w:szCs w:val="24"/>
        </w:rPr>
        <w:t xml:space="preserve">, Ha G, Tseng YY, Greenwald NF, Oh C, Shih J, McFarland JM, Wong B, Boehm JS, Beroukhim R, Golub TR. Patient-derived xenografts undergo mouse-specific tumor evolution. </w:t>
      </w:r>
      <w:r w:rsidRPr="000749B2">
        <w:rPr>
          <w:rFonts w:ascii="Book Antiqua" w:hAnsi="Book Antiqua"/>
          <w:i/>
          <w:sz w:val="24"/>
          <w:szCs w:val="24"/>
        </w:rPr>
        <w:t>Nat Genet</w:t>
      </w:r>
      <w:r w:rsidRPr="000749B2">
        <w:rPr>
          <w:rFonts w:ascii="Book Antiqua" w:hAnsi="Book Antiqua"/>
          <w:sz w:val="24"/>
          <w:szCs w:val="24"/>
        </w:rPr>
        <w:t xml:space="preserve"> 2017; </w:t>
      </w:r>
      <w:r w:rsidRPr="000749B2">
        <w:rPr>
          <w:rFonts w:ascii="Book Antiqua" w:hAnsi="Book Antiqua"/>
          <w:b/>
          <w:sz w:val="24"/>
          <w:szCs w:val="24"/>
        </w:rPr>
        <w:t>49</w:t>
      </w:r>
      <w:r w:rsidRPr="000749B2">
        <w:rPr>
          <w:rFonts w:ascii="Book Antiqua" w:hAnsi="Book Antiqua"/>
          <w:sz w:val="24"/>
          <w:szCs w:val="24"/>
        </w:rPr>
        <w:t>: 1567-1575 [PMID: 28991255 DOI: 10.1038/ng.3967]</w:t>
      </w:r>
    </w:p>
    <w:p w14:paraId="681B54A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259 </w:t>
      </w:r>
      <w:r w:rsidRPr="000749B2">
        <w:rPr>
          <w:rFonts w:ascii="Book Antiqua" w:hAnsi="Book Antiqua"/>
          <w:b/>
          <w:sz w:val="24"/>
          <w:szCs w:val="24"/>
        </w:rPr>
        <w:t>Sebolt-Leopold JS</w:t>
      </w:r>
      <w:r w:rsidRPr="000749B2">
        <w:rPr>
          <w:rFonts w:ascii="Book Antiqua" w:hAnsi="Book Antiqua"/>
          <w:sz w:val="24"/>
          <w:szCs w:val="24"/>
        </w:rPr>
        <w:t xml:space="preserve">. Development of Preclinical Models to Understand and Treat Colorectal Cancer. </w:t>
      </w:r>
      <w:r w:rsidRPr="000749B2">
        <w:rPr>
          <w:rFonts w:ascii="Book Antiqua" w:hAnsi="Book Antiqua"/>
          <w:i/>
          <w:sz w:val="24"/>
          <w:szCs w:val="24"/>
        </w:rPr>
        <w:t>Clin Colon Rectal Surg</w:t>
      </w:r>
      <w:r w:rsidRPr="000749B2">
        <w:rPr>
          <w:rFonts w:ascii="Book Antiqua" w:hAnsi="Book Antiqua"/>
          <w:sz w:val="24"/>
          <w:szCs w:val="24"/>
        </w:rPr>
        <w:t xml:space="preserve"> 2018; </w:t>
      </w:r>
      <w:r w:rsidRPr="000749B2">
        <w:rPr>
          <w:rFonts w:ascii="Book Antiqua" w:hAnsi="Book Antiqua"/>
          <w:b/>
          <w:sz w:val="24"/>
          <w:szCs w:val="24"/>
        </w:rPr>
        <w:t>31</w:t>
      </w:r>
      <w:r w:rsidRPr="000749B2">
        <w:rPr>
          <w:rFonts w:ascii="Book Antiqua" w:hAnsi="Book Antiqua"/>
          <w:sz w:val="24"/>
          <w:szCs w:val="24"/>
        </w:rPr>
        <w:t>: 199-204 [PMID: 29720906 DOI: 10.1055/s-0037-1602240]</w:t>
      </w:r>
    </w:p>
    <w:p w14:paraId="7B8CB5E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260 </w:t>
      </w:r>
      <w:r w:rsidRPr="000749B2">
        <w:rPr>
          <w:rFonts w:ascii="Book Antiqua" w:hAnsi="Book Antiqua"/>
          <w:b/>
          <w:sz w:val="24"/>
          <w:szCs w:val="24"/>
        </w:rPr>
        <w:t>Moro M</w:t>
      </w:r>
      <w:r w:rsidRPr="000749B2">
        <w:rPr>
          <w:rFonts w:ascii="Book Antiqua" w:hAnsi="Book Antiqua"/>
          <w:sz w:val="24"/>
          <w:szCs w:val="24"/>
        </w:rPr>
        <w:t xml:space="preserve">, Bertolini G, Tortoreto M, Pastorino U, Sozzi G, Roz L. Patient-derived xenografts of non small cell lung cancer: resurgence of an old model for investigation of modern concepts of tailored therapy and cancer stem cells. </w:t>
      </w:r>
      <w:r w:rsidRPr="000749B2">
        <w:rPr>
          <w:rFonts w:ascii="Book Antiqua" w:hAnsi="Book Antiqua"/>
          <w:i/>
          <w:sz w:val="24"/>
          <w:szCs w:val="24"/>
        </w:rPr>
        <w:t>J Biomed Biotechnol</w:t>
      </w:r>
      <w:r w:rsidRPr="000749B2">
        <w:rPr>
          <w:rFonts w:ascii="Book Antiqua" w:hAnsi="Book Antiqua"/>
          <w:sz w:val="24"/>
          <w:szCs w:val="24"/>
        </w:rPr>
        <w:t xml:space="preserve"> 2012; </w:t>
      </w:r>
      <w:r w:rsidRPr="000749B2">
        <w:rPr>
          <w:rFonts w:ascii="Book Antiqua" w:hAnsi="Book Antiqua"/>
          <w:b/>
          <w:sz w:val="24"/>
          <w:szCs w:val="24"/>
        </w:rPr>
        <w:t>2012</w:t>
      </w:r>
      <w:r w:rsidRPr="000749B2">
        <w:rPr>
          <w:rFonts w:ascii="Book Antiqua" w:hAnsi="Book Antiqua"/>
          <w:sz w:val="24"/>
          <w:szCs w:val="24"/>
        </w:rPr>
        <w:t>: 568567 [PMID: 22547927 DOI: 10.1155/2012/568567]</w:t>
      </w:r>
    </w:p>
    <w:p w14:paraId="602B7A8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261 </w:t>
      </w:r>
      <w:r w:rsidRPr="000749B2">
        <w:rPr>
          <w:rFonts w:ascii="Book Antiqua" w:hAnsi="Book Antiqua"/>
          <w:b/>
          <w:sz w:val="24"/>
          <w:szCs w:val="24"/>
        </w:rPr>
        <w:t>Hylander BL</w:t>
      </w:r>
      <w:r w:rsidRPr="000749B2">
        <w:rPr>
          <w:rFonts w:ascii="Book Antiqua" w:hAnsi="Book Antiqua"/>
          <w:sz w:val="24"/>
          <w:szCs w:val="24"/>
        </w:rPr>
        <w:t xml:space="preserve">, Punt N, Tang H, Hillman J, Vaughan M, Bshara W, Pitoniak R, Repasky EA. Origin of the vasculature supporting growth of primary patient tumor xenografts. </w:t>
      </w:r>
      <w:r w:rsidRPr="000749B2">
        <w:rPr>
          <w:rFonts w:ascii="Book Antiqua" w:hAnsi="Book Antiqua"/>
          <w:i/>
          <w:sz w:val="24"/>
          <w:szCs w:val="24"/>
        </w:rPr>
        <w:t>J Transl Med</w:t>
      </w:r>
      <w:r w:rsidRPr="000749B2">
        <w:rPr>
          <w:rFonts w:ascii="Book Antiqua" w:hAnsi="Book Antiqua"/>
          <w:sz w:val="24"/>
          <w:szCs w:val="24"/>
        </w:rPr>
        <w:t xml:space="preserve"> 2013; </w:t>
      </w:r>
      <w:r w:rsidRPr="000749B2">
        <w:rPr>
          <w:rFonts w:ascii="Book Antiqua" w:hAnsi="Book Antiqua"/>
          <w:b/>
          <w:sz w:val="24"/>
          <w:szCs w:val="24"/>
        </w:rPr>
        <w:t>11</w:t>
      </w:r>
      <w:r w:rsidRPr="000749B2">
        <w:rPr>
          <w:rFonts w:ascii="Book Antiqua" w:hAnsi="Book Antiqua"/>
          <w:sz w:val="24"/>
          <w:szCs w:val="24"/>
        </w:rPr>
        <w:t>: 110 [PMID: 23639003 DOI: 10.1186/1479-5876-11-110]</w:t>
      </w:r>
    </w:p>
    <w:p w14:paraId="7F090AA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262 </w:t>
      </w:r>
      <w:r w:rsidRPr="000749B2">
        <w:rPr>
          <w:rFonts w:ascii="Book Antiqua" w:hAnsi="Book Antiqua"/>
          <w:b/>
          <w:sz w:val="24"/>
          <w:szCs w:val="24"/>
        </w:rPr>
        <w:t>Blomme A</w:t>
      </w:r>
      <w:r w:rsidRPr="000749B2">
        <w:rPr>
          <w:rFonts w:ascii="Book Antiqua" w:hAnsi="Book Antiqua"/>
          <w:sz w:val="24"/>
          <w:szCs w:val="24"/>
        </w:rPr>
        <w:t xml:space="preserve">, Van Simaeys G, Doumont G, Costanza B, Bellier J, Otaka Y, Sherer F, Lovinfosse P, Boutry S, Palacios AP, De Pauw E, Hirano T, Yokobori T, Hustinx R, Bellahcène A, Delvenne P, Detry O, Goldman S, Nishiyama M, Castronovo V, Turtoi A. Murine stroma adopts a human-like metabolic phenotype in the PDX model of </w:t>
      </w:r>
      <w:r w:rsidRPr="000749B2">
        <w:rPr>
          <w:rFonts w:ascii="Book Antiqua" w:hAnsi="Book Antiqua"/>
          <w:sz w:val="24"/>
          <w:szCs w:val="24"/>
        </w:rPr>
        <w:lastRenderedPageBreak/>
        <w:t xml:space="preserve">colorectal cancer and liver metastases. </w:t>
      </w:r>
      <w:r w:rsidRPr="000749B2">
        <w:rPr>
          <w:rFonts w:ascii="Book Antiqua" w:hAnsi="Book Antiqua"/>
          <w:i/>
          <w:sz w:val="24"/>
          <w:szCs w:val="24"/>
        </w:rPr>
        <w:t>Oncogene</w:t>
      </w:r>
      <w:r w:rsidRPr="000749B2">
        <w:rPr>
          <w:rFonts w:ascii="Book Antiqua" w:hAnsi="Book Antiqua"/>
          <w:sz w:val="24"/>
          <w:szCs w:val="24"/>
        </w:rPr>
        <w:t xml:space="preserve"> 2018; </w:t>
      </w:r>
      <w:r w:rsidRPr="000749B2">
        <w:rPr>
          <w:rFonts w:ascii="Book Antiqua" w:hAnsi="Book Antiqua"/>
          <w:b/>
          <w:sz w:val="24"/>
          <w:szCs w:val="24"/>
        </w:rPr>
        <w:t>37</w:t>
      </w:r>
      <w:r w:rsidRPr="000749B2">
        <w:rPr>
          <w:rFonts w:ascii="Book Antiqua" w:hAnsi="Book Antiqua"/>
          <w:sz w:val="24"/>
          <w:szCs w:val="24"/>
        </w:rPr>
        <w:t>: 1237-1250 [PMID: 29242606 DOI: 10.1038/s41388-017-0018-x]</w:t>
      </w:r>
    </w:p>
    <w:p w14:paraId="18EB631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263 </w:t>
      </w:r>
      <w:r w:rsidRPr="000749B2">
        <w:rPr>
          <w:rFonts w:ascii="Book Antiqua" w:hAnsi="Book Antiqua"/>
          <w:b/>
          <w:sz w:val="24"/>
          <w:szCs w:val="24"/>
        </w:rPr>
        <w:t>Lazzari L</w:t>
      </w:r>
      <w:r w:rsidRPr="000749B2">
        <w:rPr>
          <w:rFonts w:ascii="Book Antiqua" w:hAnsi="Book Antiqua"/>
          <w:sz w:val="24"/>
          <w:szCs w:val="24"/>
        </w:rPr>
        <w:t xml:space="preserve">, Corti G, Picco G, Isella C, Montone M, Arcella P, Durinikova E, Zanella ER, Novara L, Barbosa F, Cassingena A, Cancelliere C, Medico E, Sartore-Bianchi A, Siena S, Garnett MJ, Bertotti A, Trusolino L, Di Nicolantonio F, Linnebacher M, Bardelli A, Arena S. Patient-Derived Xenografts and Matched Cell Lines Identify Pharmacogenomic Vulnerabilities in Colorectal Cancer. </w:t>
      </w:r>
      <w:r w:rsidRPr="000749B2">
        <w:rPr>
          <w:rFonts w:ascii="Book Antiqua" w:hAnsi="Book Antiqua"/>
          <w:i/>
          <w:sz w:val="24"/>
          <w:szCs w:val="24"/>
        </w:rPr>
        <w:t>Clin Cancer Res</w:t>
      </w:r>
      <w:r w:rsidRPr="000749B2">
        <w:rPr>
          <w:rFonts w:ascii="Book Antiqua" w:hAnsi="Book Antiqua"/>
          <w:sz w:val="24"/>
          <w:szCs w:val="24"/>
        </w:rPr>
        <w:t xml:space="preserve"> 2019; </w:t>
      </w:r>
      <w:r w:rsidRPr="000749B2">
        <w:rPr>
          <w:rFonts w:ascii="Book Antiqua" w:hAnsi="Book Antiqua"/>
          <w:b/>
          <w:sz w:val="24"/>
          <w:szCs w:val="24"/>
        </w:rPr>
        <w:t>25</w:t>
      </w:r>
      <w:r w:rsidRPr="000749B2">
        <w:rPr>
          <w:rFonts w:ascii="Book Antiqua" w:hAnsi="Book Antiqua"/>
          <w:sz w:val="24"/>
          <w:szCs w:val="24"/>
        </w:rPr>
        <w:t>: 6243-6259 [PMID: 31375513 DOI: 10.1158/1078-0432.CCR-18-3440]</w:t>
      </w:r>
    </w:p>
    <w:p w14:paraId="1944635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264 </w:t>
      </w:r>
      <w:r w:rsidRPr="000749B2">
        <w:rPr>
          <w:rFonts w:ascii="Book Antiqua" w:hAnsi="Book Antiqua"/>
          <w:b/>
          <w:sz w:val="24"/>
          <w:szCs w:val="24"/>
        </w:rPr>
        <w:t>Pauli C</w:t>
      </w:r>
      <w:r w:rsidRPr="000749B2">
        <w:rPr>
          <w:rFonts w:ascii="Book Antiqua" w:hAnsi="Book Antiqua"/>
          <w:sz w:val="24"/>
          <w:szCs w:val="24"/>
        </w:rPr>
        <w:t xml:space="preserve">, Hopkins BD, Prandi D, Shaw R, Fedrizzi T, Sboner A, Sailer V, Augello M, Puca L, Rosati R, McNary TJ, Churakova Y, Cheung C, Triscott J, Pisapia D, Rao R, Mosquera JM, Robinson B, Faltas BM, Emerling BE, Gadi VK, Bernard B, Elemento O, Beltran H, Demichelis F, Kemp CJ, Grandori C, Cantley LC, Rubin MA. Personalized </w:t>
      </w:r>
      <w:r w:rsidRPr="000749B2">
        <w:rPr>
          <w:rFonts w:ascii="Book Antiqua" w:hAnsi="Book Antiqua"/>
          <w:i/>
          <w:sz w:val="24"/>
          <w:szCs w:val="24"/>
        </w:rPr>
        <w:t>In Vitro</w:t>
      </w:r>
      <w:r w:rsidRPr="000749B2">
        <w:rPr>
          <w:rFonts w:ascii="Book Antiqua" w:hAnsi="Book Antiqua"/>
          <w:sz w:val="24"/>
          <w:szCs w:val="24"/>
        </w:rPr>
        <w:t xml:space="preserve"> and </w:t>
      </w:r>
      <w:r w:rsidRPr="000749B2">
        <w:rPr>
          <w:rFonts w:ascii="Book Antiqua" w:hAnsi="Book Antiqua"/>
          <w:i/>
          <w:sz w:val="24"/>
          <w:szCs w:val="24"/>
        </w:rPr>
        <w:t>In Vivo</w:t>
      </w:r>
      <w:r w:rsidRPr="000749B2">
        <w:rPr>
          <w:rFonts w:ascii="Book Antiqua" w:hAnsi="Book Antiqua"/>
          <w:sz w:val="24"/>
          <w:szCs w:val="24"/>
        </w:rPr>
        <w:t xml:space="preserve"> Cancer Models to Guide Precision Medicine. </w:t>
      </w:r>
      <w:r w:rsidRPr="000749B2">
        <w:rPr>
          <w:rFonts w:ascii="Book Antiqua" w:hAnsi="Book Antiqua"/>
          <w:i/>
          <w:sz w:val="24"/>
          <w:szCs w:val="24"/>
        </w:rPr>
        <w:t>Cancer Discov</w:t>
      </w:r>
      <w:r w:rsidRPr="000749B2">
        <w:rPr>
          <w:rFonts w:ascii="Book Antiqua" w:hAnsi="Book Antiqua"/>
          <w:sz w:val="24"/>
          <w:szCs w:val="24"/>
        </w:rPr>
        <w:t xml:space="preserve"> 2017; </w:t>
      </w:r>
      <w:r w:rsidRPr="000749B2">
        <w:rPr>
          <w:rFonts w:ascii="Book Antiqua" w:hAnsi="Book Antiqua"/>
          <w:b/>
          <w:sz w:val="24"/>
          <w:szCs w:val="24"/>
        </w:rPr>
        <w:t>7</w:t>
      </w:r>
      <w:r w:rsidRPr="000749B2">
        <w:rPr>
          <w:rFonts w:ascii="Book Antiqua" w:hAnsi="Book Antiqua"/>
          <w:sz w:val="24"/>
          <w:szCs w:val="24"/>
        </w:rPr>
        <w:t>: 462-477 [PMID: 28331002 DOI: 10.1158/2159-8290.CD-16-1154]</w:t>
      </w:r>
    </w:p>
    <w:p w14:paraId="6FA2A94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265 </w:t>
      </w:r>
      <w:r w:rsidRPr="000749B2">
        <w:rPr>
          <w:rFonts w:ascii="Book Antiqua" w:hAnsi="Book Antiqua"/>
          <w:b/>
          <w:sz w:val="24"/>
          <w:szCs w:val="24"/>
        </w:rPr>
        <w:t>Hidalgo M</w:t>
      </w:r>
      <w:r w:rsidRPr="000749B2">
        <w:rPr>
          <w:rFonts w:ascii="Book Antiqua" w:hAnsi="Book Antiqua"/>
          <w:sz w:val="24"/>
          <w:szCs w:val="24"/>
        </w:rPr>
        <w:t xml:space="preserve">, Bruckheimer E, Rajeshkumar NV, Garrido-Laguna I, De Oliveira E, Rubio-Viqueira B, Strawn S, Wick MJ, Martell J, Sidransky D. A pilot clinical study of treatment guided by personalized tumorgrafts in patients with advanced cancer. </w:t>
      </w:r>
      <w:r w:rsidRPr="000749B2">
        <w:rPr>
          <w:rFonts w:ascii="Book Antiqua" w:hAnsi="Book Antiqua"/>
          <w:i/>
          <w:sz w:val="24"/>
          <w:szCs w:val="24"/>
        </w:rPr>
        <w:t>Mol Cancer Ther</w:t>
      </w:r>
      <w:r w:rsidRPr="000749B2">
        <w:rPr>
          <w:rFonts w:ascii="Book Antiqua" w:hAnsi="Book Antiqua"/>
          <w:sz w:val="24"/>
          <w:szCs w:val="24"/>
        </w:rPr>
        <w:t xml:space="preserve"> 2011; </w:t>
      </w:r>
      <w:r w:rsidRPr="000749B2">
        <w:rPr>
          <w:rFonts w:ascii="Book Antiqua" w:hAnsi="Book Antiqua"/>
          <w:b/>
          <w:sz w:val="24"/>
          <w:szCs w:val="24"/>
        </w:rPr>
        <w:t>10</w:t>
      </w:r>
      <w:r w:rsidRPr="000749B2">
        <w:rPr>
          <w:rFonts w:ascii="Book Antiqua" w:hAnsi="Book Antiqua"/>
          <w:sz w:val="24"/>
          <w:szCs w:val="24"/>
        </w:rPr>
        <w:t>: 1311-1316 [PMID: 21673092 DOI: 10.1158/1535-7163.MCT-11-0233]</w:t>
      </w:r>
    </w:p>
    <w:p w14:paraId="4E4447D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266 </w:t>
      </w:r>
      <w:r w:rsidRPr="000749B2">
        <w:rPr>
          <w:rFonts w:ascii="Book Antiqua" w:hAnsi="Book Antiqua"/>
          <w:b/>
          <w:sz w:val="24"/>
          <w:szCs w:val="24"/>
        </w:rPr>
        <w:t>Bertotti A</w:t>
      </w:r>
      <w:r w:rsidRPr="000749B2">
        <w:rPr>
          <w:rFonts w:ascii="Book Antiqua" w:hAnsi="Book Antiqua"/>
          <w:sz w:val="24"/>
          <w:szCs w:val="24"/>
        </w:rPr>
        <w:t xml:space="preserve">, Migliardi G, Galimi F, Sassi F, Torti D, Isella C, Corà D, Di Nicolantonio F, Buscarino M, Petti C, Ribero D, Russolillo N, Muratore A, Massucco P, Pisacane A, Molinaro L, Valtorta E, Sartore-Bianchi A, Risio M, Capussotti L, Gambacorta M, Siena S, Medico E, Sapino A, Marsoni S, Comoglio PM, Bardelli A, Trusolino L. A molecularly annotated platform of patient-derived xenografts ("xenopatients") identifies HER2 as an effective therapeutic target in cetuximab-resistant colorectal cancer. </w:t>
      </w:r>
      <w:r w:rsidRPr="000749B2">
        <w:rPr>
          <w:rFonts w:ascii="Book Antiqua" w:hAnsi="Book Antiqua"/>
          <w:i/>
          <w:sz w:val="24"/>
          <w:szCs w:val="24"/>
        </w:rPr>
        <w:t>Cancer Discov</w:t>
      </w:r>
      <w:r w:rsidRPr="000749B2">
        <w:rPr>
          <w:rFonts w:ascii="Book Antiqua" w:hAnsi="Book Antiqua"/>
          <w:sz w:val="24"/>
          <w:szCs w:val="24"/>
        </w:rPr>
        <w:t xml:space="preserve"> 2011; </w:t>
      </w:r>
      <w:r w:rsidRPr="000749B2">
        <w:rPr>
          <w:rFonts w:ascii="Book Antiqua" w:hAnsi="Book Antiqua"/>
          <w:b/>
          <w:sz w:val="24"/>
          <w:szCs w:val="24"/>
        </w:rPr>
        <w:t>1</w:t>
      </w:r>
      <w:r w:rsidRPr="000749B2">
        <w:rPr>
          <w:rFonts w:ascii="Book Antiqua" w:hAnsi="Book Antiqua"/>
          <w:sz w:val="24"/>
          <w:szCs w:val="24"/>
        </w:rPr>
        <w:t>: 508-523 [PMID: 22586653 DOI: 10.1158/2159-8290.CD-11-0109]</w:t>
      </w:r>
    </w:p>
    <w:p w14:paraId="2C847DC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267 </w:t>
      </w:r>
      <w:r w:rsidRPr="000749B2">
        <w:rPr>
          <w:rFonts w:ascii="Book Antiqua" w:hAnsi="Book Antiqua"/>
          <w:b/>
          <w:sz w:val="24"/>
          <w:szCs w:val="24"/>
        </w:rPr>
        <w:t>Migliardi G</w:t>
      </w:r>
      <w:r w:rsidRPr="000749B2">
        <w:rPr>
          <w:rFonts w:ascii="Book Antiqua" w:hAnsi="Book Antiqua"/>
          <w:sz w:val="24"/>
          <w:szCs w:val="24"/>
        </w:rPr>
        <w:t xml:space="preserve">, Sassi F, Torti D, Galimi F, Zanella ER, Buscarino M, Ribero D, Muratore A, Massucco P, Pisacane A, Risio M, Capussotti L, Marsoni S, Di Nicolantonio F, Bardelli A, Comoglio PM, Trusolino L, Bertotti A. Inhibition of MEK and PI3K/mTOR suppresses tumor growth but does not cause tumor regression in </w:t>
      </w:r>
      <w:r w:rsidRPr="000749B2">
        <w:rPr>
          <w:rFonts w:ascii="Book Antiqua" w:hAnsi="Book Antiqua"/>
          <w:sz w:val="24"/>
          <w:szCs w:val="24"/>
        </w:rPr>
        <w:lastRenderedPageBreak/>
        <w:t xml:space="preserve">patient-derived xenografts of RAS-mutant colorectal carcinomas. </w:t>
      </w:r>
      <w:r w:rsidRPr="000749B2">
        <w:rPr>
          <w:rFonts w:ascii="Book Antiqua" w:hAnsi="Book Antiqua"/>
          <w:i/>
          <w:sz w:val="24"/>
          <w:szCs w:val="24"/>
        </w:rPr>
        <w:t>Clin Cancer Res</w:t>
      </w:r>
      <w:r w:rsidRPr="000749B2">
        <w:rPr>
          <w:rFonts w:ascii="Book Antiqua" w:hAnsi="Book Antiqua"/>
          <w:sz w:val="24"/>
          <w:szCs w:val="24"/>
        </w:rPr>
        <w:t xml:space="preserve"> 2012; </w:t>
      </w:r>
      <w:r w:rsidRPr="000749B2">
        <w:rPr>
          <w:rFonts w:ascii="Book Antiqua" w:hAnsi="Book Antiqua"/>
          <w:b/>
          <w:sz w:val="24"/>
          <w:szCs w:val="24"/>
        </w:rPr>
        <w:t>18</w:t>
      </w:r>
      <w:r w:rsidRPr="000749B2">
        <w:rPr>
          <w:rFonts w:ascii="Book Antiqua" w:hAnsi="Book Antiqua"/>
          <w:sz w:val="24"/>
          <w:szCs w:val="24"/>
        </w:rPr>
        <w:t>: 2515-2525 [PMID: 22392911 DOI: 10.1158/1078-0432.CCR-11-2683]</w:t>
      </w:r>
    </w:p>
    <w:p w14:paraId="71DA65D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268 </w:t>
      </w:r>
      <w:r w:rsidRPr="000749B2">
        <w:rPr>
          <w:rFonts w:ascii="Book Antiqua" w:hAnsi="Book Antiqua"/>
          <w:b/>
          <w:sz w:val="24"/>
          <w:szCs w:val="24"/>
        </w:rPr>
        <w:t>Gao H</w:t>
      </w:r>
      <w:r w:rsidRPr="000749B2">
        <w:rPr>
          <w:rFonts w:ascii="Book Antiqua" w:hAnsi="Book Antiqua"/>
          <w:sz w:val="24"/>
          <w:szCs w:val="24"/>
        </w:rPr>
        <w:t xml:space="preserve">, Korn JM, Ferretti S, Monahan JE, Wang Y, Singh M, Zhang C, Schnell C, Yang G, Zhang Y, Balbin OA, Barbe S, Cai H, Casey F, Chatterjee S, Chiang DY, Chuai S, Cogan SM, Collins SD, Dammassa E, Ebel N, Embry M, Green J, Kauffmann A, Kowal C, Leary RJ, Lehar J, Liang Y, Loo A, Lorenzana E, Robert McDonald E 3rd, McLaughlin ME, Merkin J, Meyer R, Naylor TL, Patawaran M, Reddy A, Röelli C, Ruddy DA, Salangsang F, Santacroce F, Singh AP, Tang Y, Tinetto W, Tobler S, Velazquez R, Venkatesan K, Von Arx F, Wang HQ, Wang Z, Wiesmann M, Wyss D, Xu F, Bitter H, Atadja P, Lees E, Hofmann F, Li E, Keen N, Cozens R, Jensen MR, Pryer NK, Williams JA, Sellers WR. High-throughput screening using patient-derived tumor xenografts to predict clinical trial drug response. </w:t>
      </w:r>
      <w:r w:rsidRPr="000749B2">
        <w:rPr>
          <w:rFonts w:ascii="Book Antiqua" w:hAnsi="Book Antiqua"/>
          <w:i/>
          <w:sz w:val="24"/>
          <w:szCs w:val="24"/>
        </w:rPr>
        <w:t>Nat Med</w:t>
      </w:r>
      <w:r w:rsidRPr="000749B2">
        <w:rPr>
          <w:rFonts w:ascii="Book Antiqua" w:hAnsi="Book Antiqua"/>
          <w:sz w:val="24"/>
          <w:szCs w:val="24"/>
        </w:rPr>
        <w:t xml:space="preserve"> 2015; </w:t>
      </w:r>
      <w:r w:rsidRPr="000749B2">
        <w:rPr>
          <w:rFonts w:ascii="Book Antiqua" w:hAnsi="Book Antiqua"/>
          <w:b/>
          <w:sz w:val="24"/>
          <w:szCs w:val="24"/>
        </w:rPr>
        <w:t>21</w:t>
      </w:r>
      <w:r w:rsidRPr="000749B2">
        <w:rPr>
          <w:rFonts w:ascii="Book Antiqua" w:hAnsi="Book Antiqua"/>
          <w:sz w:val="24"/>
          <w:szCs w:val="24"/>
        </w:rPr>
        <w:t>: 1318-1325 [PMID: 26479923 DOI: 10.1038/nm.3954]</w:t>
      </w:r>
    </w:p>
    <w:p w14:paraId="62815FB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269 </w:t>
      </w:r>
      <w:r w:rsidRPr="000749B2">
        <w:rPr>
          <w:rFonts w:ascii="Book Antiqua" w:hAnsi="Book Antiqua"/>
          <w:b/>
          <w:sz w:val="24"/>
          <w:szCs w:val="24"/>
        </w:rPr>
        <w:t>Witkiewicz AK</w:t>
      </w:r>
      <w:r w:rsidRPr="000749B2">
        <w:rPr>
          <w:rFonts w:ascii="Book Antiqua" w:hAnsi="Book Antiqua"/>
          <w:sz w:val="24"/>
          <w:szCs w:val="24"/>
        </w:rPr>
        <w:t xml:space="preserve">, Balaji U, Eslinger C, McMillan E, Conway W, Posner B, Mills GB, O'Reilly EM, Knudsen ES. Integrated Patient-Derived Models Delineate Individualized Therapeutic Vulnerabilities of Pancreatic Cancer. </w:t>
      </w:r>
      <w:r w:rsidRPr="000749B2">
        <w:rPr>
          <w:rFonts w:ascii="Book Antiqua" w:hAnsi="Book Antiqua"/>
          <w:i/>
          <w:sz w:val="24"/>
          <w:szCs w:val="24"/>
        </w:rPr>
        <w:t>Cell Rep</w:t>
      </w:r>
      <w:r w:rsidRPr="000749B2">
        <w:rPr>
          <w:rFonts w:ascii="Book Antiqua" w:hAnsi="Book Antiqua"/>
          <w:sz w:val="24"/>
          <w:szCs w:val="24"/>
        </w:rPr>
        <w:t xml:space="preserve"> 2016; </w:t>
      </w:r>
      <w:r w:rsidRPr="000749B2">
        <w:rPr>
          <w:rFonts w:ascii="Book Antiqua" w:hAnsi="Book Antiqua"/>
          <w:b/>
          <w:sz w:val="24"/>
          <w:szCs w:val="24"/>
        </w:rPr>
        <w:t>16</w:t>
      </w:r>
      <w:r w:rsidRPr="000749B2">
        <w:rPr>
          <w:rFonts w:ascii="Book Antiqua" w:hAnsi="Book Antiqua"/>
          <w:sz w:val="24"/>
          <w:szCs w:val="24"/>
        </w:rPr>
        <w:t>: 2017-2031 [PMID: 27498862 DOI: 10.1016/j.celrep.2016.07.023]</w:t>
      </w:r>
    </w:p>
    <w:p w14:paraId="1842BAE4" w14:textId="4293919B"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270 </w:t>
      </w:r>
      <w:r w:rsidRPr="000749B2">
        <w:rPr>
          <w:rFonts w:ascii="Book Antiqua" w:hAnsi="Book Antiqua"/>
          <w:b/>
          <w:bCs/>
          <w:sz w:val="24"/>
          <w:szCs w:val="24"/>
        </w:rPr>
        <w:t>Cescon D</w:t>
      </w:r>
      <w:r w:rsidRPr="000749B2">
        <w:rPr>
          <w:rFonts w:ascii="Book Antiqua" w:hAnsi="Book Antiqua"/>
          <w:sz w:val="24"/>
          <w:szCs w:val="24"/>
        </w:rPr>
        <w:t>. Personalized Patient Derived Xenograft (pPDX) Modeling to Test Drug Response in Matching Host (REFLECT). [accessed 2019 Oct 25]. In: ClinicalTrials.gov [Internet]. Bethesda (MD): U.S. National Library of Medicine. Available from: https://clinicaltrials.gov/ct2/show/record/NCT02732860 ClinicalTrials.gov Identifier: NCT02732860</w:t>
      </w:r>
    </w:p>
    <w:p w14:paraId="53087F8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271 </w:t>
      </w:r>
      <w:r w:rsidRPr="000749B2">
        <w:rPr>
          <w:rFonts w:ascii="Book Antiqua" w:hAnsi="Book Antiqua"/>
          <w:b/>
          <w:bCs/>
          <w:sz w:val="24"/>
          <w:szCs w:val="24"/>
        </w:rPr>
        <w:t>Heinemann V</w:t>
      </w:r>
      <w:r w:rsidRPr="000749B2">
        <w:rPr>
          <w:rFonts w:ascii="Book Antiqua" w:hAnsi="Book Antiqua"/>
          <w:sz w:val="24"/>
          <w:szCs w:val="24"/>
        </w:rPr>
        <w:t>. Optimization of Individualized Therapy for CRCs With Secondary RESISTance Towards Anti-EGFR Targeted Therapy Using an Avatar Model. [accessed 2019 Oct 25]. In: ClinicalTrials.gov [Internet]. Bethesda (MD): U.S. National Library of Medicine. Available from: https://clinicaltrials.gov/ct2/show/NCT03263663 ClinicalTrials.gov Identifier: NCT03263663</w:t>
      </w:r>
    </w:p>
    <w:p w14:paraId="0810B7C2" w14:textId="3D437959"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272 </w:t>
      </w:r>
      <w:r w:rsidRPr="000749B2">
        <w:rPr>
          <w:rFonts w:ascii="Book Antiqua" w:hAnsi="Book Antiqua"/>
          <w:b/>
          <w:sz w:val="24"/>
          <w:szCs w:val="24"/>
        </w:rPr>
        <w:t>Perea S,</w:t>
      </w:r>
      <w:r w:rsidR="004077FE" w:rsidRPr="000749B2">
        <w:rPr>
          <w:rFonts w:ascii="Book Antiqua" w:hAnsi="Book Antiqua"/>
          <w:sz w:val="24"/>
          <w:szCs w:val="24"/>
        </w:rPr>
        <w:t xml:space="preserve"> </w:t>
      </w:r>
      <w:r w:rsidRPr="000749B2">
        <w:rPr>
          <w:rFonts w:ascii="Book Antiqua" w:hAnsi="Book Antiqua"/>
          <w:sz w:val="24"/>
          <w:szCs w:val="24"/>
        </w:rPr>
        <w:t xml:space="preserve">Sarno F. Personalised Therapy for Metastatic ADPC Determined by Genetic Testing and Avatar Model Generation (AVATAR). [accessed 2019 Oct 25]. In: ClinicalTrials.gov [Internet]. Bethesda (MD): U.S. National Library of Medicine. </w:t>
      </w:r>
      <w:r w:rsidRPr="000749B2">
        <w:rPr>
          <w:rFonts w:ascii="Book Antiqua" w:hAnsi="Book Antiqua"/>
          <w:sz w:val="24"/>
          <w:szCs w:val="24"/>
        </w:rPr>
        <w:lastRenderedPageBreak/>
        <w:t>Available from: https://clinicaltrials.gov/ct2/show/NCT02795650 ClinicalTrials.gov Identifier: NCT02795650</w:t>
      </w:r>
    </w:p>
    <w:p w14:paraId="046647E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273 </w:t>
      </w:r>
      <w:r w:rsidRPr="000749B2">
        <w:rPr>
          <w:rFonts w:ascii="Book Antiqua" w:hAnsi="Book Antiqua"/>
          <w:b/>
          <w:sz w:val="24"/>
          <w:szCs w:val="24"/>
        </w:rPr>
        <w:t>Oh BY</w:t>
      </w:r>
      <w:r w:rsidRPr="000749B2">
        <w:rPr>
          <w:rFonts w:ascii="Book Antiqua" w:hAnsi="Book Antiqua"/>
          <w:sz w:val="24"/>
          <w:szCs w:val="24"/>
        </w:rPr>
        <w:t xml:space="preserve">, Lee WY, Jung S, Hong HK, Nam DH, Park YA, Huh JW, Yun SH, Kim HC, Chun HK, Cho YB. Correlation between tumor engraftment in patient-derived xenograft models and clinical outcomes in colorectal cancer patients. </w:t>
      </w:r>
      <w:r w:rsidRPr="000749B2">
        <w:rPr>
          <w:rFonts w:ascii="Book Antiqua" w:hAnsi="Book Antiqua"/>
          <w:i/>
          <w:sz w:val="24"/>
          <w:szCs w:val="24"/>
        </w:rPr>
        <w:t>Oncotarget</w:t>
      </w:r>
      <w:r w:rsidRPr="000749B2">
        <w:rPr>
          <w:rFonts w:ascii="Book Antiqua" w:hAnsi="Book Antiqua"/>
          <w:sz w:val="24"/>
          <w:szCs w:val="24"/>
        </w:rPr>
        <w:t xml:space="preserve"> 2015; </w:t>
      </w:r>
      <w:r w:rsidRPr="000749B2">
        <w:rPr>
          <w:rFonts w:ascii="Book Antiqua" w:hAnsi="Book Antiqua"/>
          <w:b/>
          <w:sz w:val="24"/>
          <w:szCs w:val="24"/>
        </w:rPr>
        <w:t>6</w:t>
      </w:r>
      <w:r w:rsidRPr="000749B2">
        <w:rPr>
          <w:rFonts w:ascii="Book Antiqua" w:hAnsi="Book Antiqua"/>
          <w:sz w:val="24"/>
          <w:szCs w:val="24"/>
        </w:rPr>
        <w:t>: 16059-16068 [PMID: 25965827 DOI: 10.18632/oncotarget.3863]</w:t>
      </w:r>
    </w:p>
    <w:p w14:paraId="62E1F64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274 </w:t>
      </w:r>
      <w:r w:rsidRPr="000749B2">
        <w:rPr>
          <w:rFonts w:ascii="Book Antiqua" w:hAnsi="Book Antiqua"/>
          <w:b/>
          <w:sz w:val="24"/>
          <w:szCs w:val="24"/>
        </w:rPr>
        <w:t>Puig I</w:t>
      </w:r>
      <w:r w:rsidRPr="000749B2">
        <w:rPr>
          <w:rFonts w:ascii="Book Antiqua" w:hAnsi="Book Antiqua"/>
          <w:sz w:val="24"/>
          <w:szCs w:val="24"/>
        </w:rPr>
        <w:t xml:space="preserve">, Chicote I, Tenbaum SP, Arqués O, Herance JR, Gispert JD, Jimenez J, Landolfi S, Caci K, Allende H, Mendizabal L, Moreno D, Charco R, Espín E, Prat A, Elez ME, Argilés G, Vivancos A, Tabernero J, Rojas S, Palmer HG. A personalized preclinical model to evaluate the metastatic potential of patient-derived colon cancer initiating cells. </w:t>
      </w:r>
      <w:r w:rsidRPr="000749B2">
        <w:rPr>
          <w:rFonts w:ascii="Book Antiqua" w:hAnsi="Book Antiqua"/>
          <w:i/>
          <w:sz w:val="24"/>
          <w:szCs w:val="24"/>
        </w:rPr>
        <w:t>Clin Cancer Res</w:t>
      </w:r>
      <w:r w:rsidRPr="000749B2">
        <w:rPr>
          <w:rFonts w:ascii="Book Antiqua" w:hAnsi="Book Antiqua"/>
          <w:sz w:val="24"/>
          <w:szCs w:val="24"/>
        </w:rPr>
        <w:t xml:space="preserve"> 2013; </w:t>
      </w:r>
      <w:r w:rsidRPr="000749B2">
        <w:rPr>
          <w:rFonts w:ascii="Book Antiqua" w:hAnsi="Book Antiqua"/>
          <w:b/>
          <w:sz w:val="24"/>
          <w:szCs w:val="24"/>
        </w:rPr>
        <w:t>19</w:t>
      </w:r>
      <w:r w:rsidRPr="000749B2">
        <w:rPr>
          <w:rFonts w:ascii="Book Antiqua" w:hAnsi="Book Antiqua"/>
          <w:sz w:val="24"/>
          <w:szCs w:val="24"/>
        </w:rPr>
        <w:t>: 6787-6801 [PMID: 24170545 DOI: 10.1158/1078-0432.CCR-12-1740]</w:t>
      </w:r>
    </w:p>
    <w:p w14:paraId="11B2284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275 </w:t>
      </w:r>
      <w:r w:rsidRPr="000749B2">
        <w:rPr>
          <w:rFonts w:ascii="Book Antiqua" w:hAnsi="Book Antiqua"/>
          <w:b/>
          <w:sz w:val="24"/>
          <w:szCs w:val="24"/>
        </w:rPr>
        <w:t>Julien S</w:t>
      </w:r>
      <w:r w:rsidRPr="000749B2">
        <w:rPr>
          <w:rFonts w:ascii="Book Antiqua" w:hAnsi="Book Antiqua"/>
          <w:sz w:val="24"/>
          <w:szCs w:val="24"/>
        </w:rPr>
        <w:t xml:space="preserve">, Merino-Trigo A, Lacroix L, Pocard M, Goéré D, Mariani P, Landron S, Bigot L, Nemati F, Dartigues P, Weiswald LB, Lantuas D, Morgand L, Pham E, Gonin P, Dangles-Marie V, Job B, Dessen P, Bruno A, Pierré A, De Thé H, Soliman H, Nunes M, Lardier G, Calvet L, Demers B, Prévost G, Vrignaud P, Roman-Roman S, Duchamp O, Berthet C. Characterization of a large panel of patient-derived tumor xenografts representing the clinical heterogeneity of human colorectal cancer. </w:t>
      </w:r>
      <w:r w:rsidRPr="000749B2">
        <w:rPr>
          <w:rFonts w:ascii="Book Antiqua" w:hAnsi="Book Antiqua"/>
          <w:i/>
          <w:sz w:val="24"/>
          <w:szCs w:val="24"/>
        </w:rPr>
        <w:t>Clin Cancer Res</w:t>
      </w:r>
      <w:r w:rsidRPr="000749B2">
        <w:rPr>
          <w:rFonts w:ascii="Book Antiqua" w:hAnsi="Book Antiqua"/>
          <w:sz w:val="24"/>
          <w:szCs w:val="24"/>
        </w:rPr>
        <w:t xml:space="preserve"> 2012; </w:t>
      </w:r>
      <w:r w:rsidRPr="000749B2">
        <w:rPr>
          <w:rFonts w:ascii="Book Antiqua" w:hAnsi="Book Antiqua"/>
          <w:b/>
          <w:sz w:val="24"/>
          <w:szCs w:val="24"/>
        </w:rPr>
        <w:t>18</w:t>
      </w:r>
      <w:r w:rsidRPr="000749B2">
        <w:rPr>
          <w:rFonts w:ascii="Book Antiqua" w:hAnsi="Book Antiqua"/>
          <w:sz w:val="24"/>
          <w:szCs w:val="24"/>
        </w:rPr>
        <w:t>: 5314-5328 [PMID: 22825584 DOI: 10.1158/1078-0432.CCR-12-0372]</w:t>
      </w:r>
    </w:p>
    <w:p w14:paraId="7AC0433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276 </w:t>
      </w:r>
      <w:r w:rsidRPr="000749B2">
        <w:rPr>
          <w:rFonts w:ascii="Book Antiqua" w:hAnsi="Book Antiqua"/>
          <w:b/>
          <w:sz w:val="24"/>
          <w:szCs w:val="24"/>
        </w:rPr>
        <w:t>Collins AT</w:t>
      </w:r>
      <w:r w:rsidRPr="000749B2">
        <w:rPr>
          <w:rFonts w:ascii="Book Antiqua" w:hAnsi="Book Antiqua"/>
          <w:sz w:val="24"/>
          <w:szCs w:val="24"/>
        </w:rPr>
        <w:t xml:space="preserve">, Lang SH. A systematic review of the validity of patient derived xenograft (PDX) models: the implications for translational research and personalised medicine. </w:t>
      </w:r>
      <w:r w:rsidRPr="000749B2">
        <w:rPr>
          <w:rFonts w:ascii="Book Antiqua" w:hAnsi="Book Antiqua"/>
          <w:i/>
          <w:sz w:val="24"/>
          <w:szCs w:val="24"/>
        </w:rPr>
        <w:t>PeerJ</w:t>
      </w:r>
      <w:r w:rsidRPr="000749B2">
        <w:rPr>
          <w:rFonts w:ascii="Book Antiqua" w:hAnsi="Book Antiqua"/>
          <w:sz w:val="24"/>
          <w:szCs w:val="24"/>
        </w:rPr>
        <w:t xml:space="preserve"> 2018; </w:t>
      </w:r>
      <w:r w:rsidRPr="000749B2">
        <w:rPr>
          <w:rFonts w:ascii="Book Antiqua" w:hAnsi="Book Antiqua"/>
          <w:b/>
          <w:sz w:val="24"/>
          <w:szCs w:val="24"/>
        </w:rPr>
        <w:t>6</w:t>
      </w:r>
      <w:r w:rsidRPr="000749B2">
        <w:rPr>
          <w:rFonts w:ascii="Book Antiqua" w:hAnsi="Book Antiqua"/>
          <w:sz w:val="24"/>
          <w:szCs w:val="24"/>
        </w:rPr>
        <w:t>: e5981 [PMID: 30498642 DOI: 10.7717/peerj.5981]</w:t>
      </w:r>
    </w:p>
    <w:p w14:paraId="3CDFBF3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277 </w:t>
      </w:r>
      <w:r w:rsidRPr="000749B2">
        <w:rPr>
          <w:rFonts w:ascii="Book Antiqua" w:hAnsi="Book Antiqua"/>
          <w:b/>
          <w:sz w:val="24"/>
          <w:szCs w:val="24"/>
        </w:rPr>
        <w:t>Dangles-Marie V</w:t>
      </w:r>
      <w:r w:rsidRPr="000749B2">
        <w:rPr>
          <w:rFonts w:ascii="Book Antiqua" w:hAnsi="Book Antiqua"/>
          <w:sz w:val="24"/>
          <w:szCs w:val="24"/>
        </w:rPr>
        <w:t xml:space="preserve">, Pocard M, Richon S, Weiswald LB, Assayag F, Saulnier P, Judde JG, Janneau JL, Auger N, Validire P, Dutrillaux B, Praz F, Bellet D, Poupon MF. Establishment of human colon cancer cell lines from fresh tumors versus xenografts: comparison of success rate and cell line features. </w:t>
      </w:r>
      <w:r w:rsidRPr="000749B2">
        <w:rPr>
          <w:rFonts w:ascii="Book Antiqua" w:hAnsi="Book Antiqua"/>
          <w:i/>
          <w:sz w:val="24"/>
          <w:szCs w:val="24"/>
        </w:rPr>
        <w:t>Cancer Res</w:t>
      </w:r>
      <w:r w:rsidRPr="000749B2">
        <w:rPr>
          <w:rFonts w:ascii="Book Antiqua" w:hAnsi="Book Antiqua"/>
          <w:sz w:val="24"/>
          <w:szCs w:val="24"/>
        </w:rPr>
        <w:t xml:space="preserve"> 2007; </w:t>
      </w:r>
      <w:r w:rsidRPr="000749B2">
        <w:rPr>
          <w:rFonts w:ascii="Book Antiqua" w:hAnsi="Book Antiqua"/>
          <w:b/>
          <w:sz w:val="24"/>
          <w:szCs w:val="24"/>
        </w:rPr>
        <w:t>67</w:t>
      </w:r>
      <w:r w:rsidRPr="000749B2">
        <w:rPr>
          <w:rFonts w:ascii="Book Antiqua" w:hAnsi="Book Antiqua"/>
          <w:sz w:val="24"/>
          <w:szCs w:val="24"/>
        </w:rPr>
        <w:t>: 398-407 [PMID: 17210723 DOI: 10.1158/0008-5472.CAN-06-0594]</w:t>
      </w:r>
    </w:p>
    <w:p w14:paraId="6EB7953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278 </w:t>
      </w:r>
      <w:r w:rsidRPr="000749B2">
        <w:rPr>
          <w:rFonts w:ascii="Book Antiqua" w:hAnsi="Book Antiqua"/>
          <w:b/>
          <w:sz w:val="24"/>
          <w:szCs w:val="24"/>
        </w:rPr>
        <w:t>Prasetyanti PR</w:t>
      </w:r>
      <w:r w:rsidRPr="000749B2">
        <w:rPr>
          <w:rFonts w:ascii="Book Antiqua" w:hAnsi="Book Antiqua"/>
          <w:sz w:val="24"/>
          <w:szCs w:val="24"/>
        </w:rPr>
        <w:t xml:space="preserve">, van Hooff SR, van Herwaarden T, de Vries N, Kalloe K, Rodermond H, van Leersum R, de Jong JH, Franitza M, Nürnberg P, Todaro M, Stassi G, Medema JP. Capturing colorectal cancer inter-tumor heterogeneity in </w:t>
      </w:r>
      <w:r w:rsidRPr="000749B2">
        <w:rPr>
          <w:rFonts w:ascii="Book Antiqua" w:hAnsi="Book Antiqua"/>
          <w:sz w:val="24"/>
          <w:szCs w:val="24"/>
        </w:rPr>
        <w:lastRenderedPageBreak/>
        <w:t xml:space="preserve">patient-derived xenograft (PDX) models. </w:t>
      </w:r>
      <w:r w:rsidRPr="000749B2">
        <w:rPr>
          <w:rFonts w:ascii="Book Antiqua" w:hAnsi="Book Antiqua"/>
          <w:i/>
          <w:sz w:val="24"/>
          <w:szCs w:val="24"/>
        </w:rPr>
        <w:t>Int J Cancer</w:t>
      </w:r>
      <w:r w:rsidRPr="000749B2">
        <w:rPr>
          <w:rFonts w:ascii="Book Antiqua" w:hAnsi="Book Antiqua"/>
          <w:sz w:val="24"/>
          <w:szCs w:val="24"/>
        </w:rPr>
        <w:t xml:space="preserve"> 2019; </w:t>
      </w:r>
      <w:r w:rsidRPr="000749B2">
        <w:rPr>
          <w:rFonts w:ascii="Book Antiqua" w:hAnsi="Book Antiqua"/>
          <w:b/>
          <w:sz w:val="24"/>
          <w:szCs w:val="24"/>
        </w:rPr>
        <w:t>144</w:t>
      </w:r>
      <w:r w:rsidRPr="000749B2">
        <w:rPr>
          <w:rFonts w:ascii="Book Antiqua" w:hAnsi="Book Antiqua"/>
          <w:sz w:val="24"/>
          <w:szCs w:val="24"/>
        </w:rPr>
        <w:t>: 366-371 [PMID: 30151914 DOI: 10.1002/ijc.31767]</w:t>
      </w:r>
    </w:p>
    <w:p w14:paraId="13E36E7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279 </w:t>
      </w:r>
      <w:r w:rsidRPr="000749B2">
        <w:rPr>
          <w:rFonts w:ascii="Book Antiqua" w:hAnsi="Book Antiqua"/>
          <w:b/>
          <w:sz w:val="24"/>
          <w:szCs w:val="24"/>
        </w:rPr>
        <w:t>Wetterauer C</w:t>
      </w:r>
      <w:r w:rsidRPr="000749B2">
        <w:rPr>
          <w:rFonts w:ascii="Book Antiqua" w:hAnsi="Book Antiqua"/>
          <w:sz w:val="24"/>
          <w:szCs w:val="24"/>
        </w:rPr>
        <w:t xml:space="preserve">, Vlajnic T, Schüler J, Gsponer JR, Thalmann GN, Cecchini M, Schneider J, Zellweger T, Pueschel H, Bachmann A, Ruiz C, Dirnhofer S, Bubendorf L, Rentsch CA. Early development of human lymphomas in a prostate cancer xenograft program using triple knock-out immunocompromised mice. </w:t>
      </w:r>
      <w:r w:rsidRPr="000749B2">
        <w:rPr>
          <w:rFonts w:ascii="Book Antiqua" w:hAnsi="Book Antiqua"/>
          <w:i/>
          <w:sz w:val="24"/>
          <w:szCs w:val="24"/>
        </w:rPr>
        <w:t>Prostate</w:t>
      </w:r>
      <w:r w:rsidRPr="000749B2">
        <w:rPr>
          <w:rFonts w:ascii="Book Antiqua" w:hAnsi="Book Antiqua"/>
          <w:sz w:val="24"/>
          <w:szCs w:val="24"/>
        </w:rPr>
        <w:t xml:space="preserve"> 2015; </w:t>
      </w:r>
      <w:r w:rsidRPr="000749B2">
        <w:rPr>
          <w:rFonts w:ascii="Book Antiqua" w:hAnsi="Book Antiqua"/>
          <w:b/>
          <w:sz w:val="24"/>
          <w:szCs w:val="24"/>
        </w:rPr>
        <w:t>75</w:t>
      </w:r>
      <w:r w:rsidRPr="000749B2">
        <w:rPr>
          <w:rFonts w:ascii="Book Antiqua" w:hAnsi="Book Antiqua"/>
          <w:sz w:val="24"/>
          <w:szCs w:val="24"/>
        </w:rPr>
        <w:t>: 585-592 [PMID: 25585936 DOI: 10.1002/pros.22939]</w:t>
      </w:r>
    </w:p>
    <w:p w14:paraId="17109F6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280 </w:t>
      </w:r>
      <w:r w:rsidRPr="000749B2">
        <w:rPr>
          <w:rFonts w:ascii="Book Antiqua" w:hAnsi="Book Antiqua"/>
          <w:b/>
          <w:sz w:val="24"/>
          <w:szCs w:val="24"/>
        </w:rPr>
        <w:t>Zhang L</w:t>
      </w:r>
      <w:r w:rsidRPr="000749B2">
        <w:rPr>
          <w:rFonts w:ascii="Book Antiqua" w:hAnsi="Book Antiqua"/>
          <w:sz w:val="24"/>
          <w:szCs w:val="24"/>
        </w:rPr>
        <w:t xml:space="preserve">, Liu Y, Wang X, Tang Z, Li S, Hu Y, Zong X, Wu X, Bu Z, Wu A, Li Z, Li Z, Huang X, Jia L, Kang Q, Liu Y, Sutton D, Wang L, Luo L, Ji J. The extent of inflammatory infiltration in primary cancer tissues is associated with lymphomagenesis in immunodeficient mice. </w:t>
      </w:r>
      <w:r w:rsidRPr="000749B2">
        <w:rPr>
          <w:rFonts w:ascii="Book Antiqua" w:hAnsi="Book Antiqua"/>
          <w:i/>
          <w:sz w:val="24"/>
          <w:szCs w:val="24"/>
        </w:rPr>
        <w:t>Sci Rep</w:t>
      </w:r>
      <w:r w:rsidRPr="000749B2">
        <w:rPr>
          <w:rFonts w:ascii="Book Antiqua" w:hAnsi="Book Antiqua"/>
          <w:sz w:val="24"/>
          <w:szCs w:val="24"/>
        </w:rPr>
        <w:t xml:space="preserve"> 2015; </w:t>
      </w:r>
      <w:r w:rsidRPr="000749B2">
        <w:rPr>
          <w:rFonts w:ascii="Book Antiqua" w:hAnsi="Book Antiqua"/>
          <w:b/>
          <w:sz w:val="24"/>
          <w:szCs w:val="24"/>
        </w:rPr>
        <w:t>5</w:t>
      </w:r>
      <w:r w:rsidRPr="000749B2">
        <w:rPr>
          <w:rFonts w:ascii="Book Antiqua" w:hAnsi="Book Antiqua"/>
          <w:sz w:val="24"/>
          <w:szCs w:val="24"/>
        </w:rPr>
        <w:t>: 9447 [PMID: 25819560 DOI: 10.1038/srep09447]</w:t>
      </w:r>
    </w:p>
    <w:p w14:paraId="73C0B8D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281 </w:t>
      </w:r>
      <w:r w:rsidRPr="000749B2">
        <w:rPr>
          <w:rFonts w:ascii="Book Antiqua" w:hAnsi="Book Antiqua"/>
          <w:b/>
          <w:sz w:val="24"/>
          <w:szCs w:val="24"/>
        </w:rPr>
        <w:t>Bondarenko G</w:t>
      </w:r>
      <w:r w:rsidRPr="000749B2">
        <w:rPr>
          <w:rFonts w:ascii="Book Antiqua" w:hAnsi="Book Antiqua"/>
          <w:sz w:val="24"/>
          <w:szCs w:val="24"/>
        </w:rPr>
        <w:t xml:space="preserve">, Ugolkov A, Rohan S, Kulesza P, Dubrovskyi O, Gursel D, Mathews J, O'Halloran TV, Wei JJ, Mazar AP. Patient-Derived Tumor Xenografts Are Susceptible to Formation of Human Lymphocytic Tumors. </w:t>
      </w:r>
      <w:r w:rsidRPr="000749B2">
        <w:rPr>
          <w:rFonts w:ascii="Book Antiqua" w:hAnsi="Book Antiqua"/>
          <w:i/>
          <w:sz w:val="24"/>
          <w:szCs w:val="24"/>
        </w:rPr>
        <w:t>Neoplasia</w:t>
      </w:r>
      <w:r w:rsidRPr="000749B2">
        <w:rPr>
          <w:rFonts w:ascii="Book Antiqua" w:hAnsi="Book Antiqua"/>
          <w:sz w:val="24"/>
          <w:szCs w:val="24"/>
        </w:rPr>
        <w:t xml:space="preserve"> 2015; </w:t>
      </w:r>
      <w:r w:rsidRPr="000749B2">
        <w:rPr>
          <w:rFonts w:ascii="Book Antiqua" w:hAnsi="Book Antiqua"/>
          <w:b/>
          <w:sz w:val="24"/>
          <w:szCs w:val="24"/>
        </w:rPr>
        <w:t>17</w:t>
      </w:r>
      <w:r w:rsidRPr="000749B2">
        <w:rPr>
          <w:rFonts w:ascii="Book Antiqua" w:hAnsi="Book Antiqua"/>
          <w:sz w:val="24"/>
          <w:szCs w:val="24"/>
        </w:rPr>
        <w:t>: 735-741 [PMID: 26476081 DOI: 10.1016/j.neo.2015.09.004]</w:t>
      </w:r>
    </w:p>
    <w:p w14:paraId="437F07D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282 </w:t>
      </w:r>
      <w:r w:rsidRPr="000749B2">
        <w:rPr>
          <w:rFonts w:ascii="Book Antiqua" w:hAnsi="Book Antiqua"/>
          <w:b/>
          <w:sz w:val="24"/>
          <w:szCs w:val="24"/>
        </w:rPr>
        <w:t>Chen K</w:t>
      </w:r>
      <w:r w:rsidRPr="000749B2">
        <w:rPr>
          <w:rFonts w:ascii="Book Antiqua" w:hAnsi="Book Antiqua"/>
          <w:sz w:val="24"/>
          <w:szCs w:val="24"/>
        </w:rPr>
        <w:t xml:space="preserve">, Ahmed S, Adeyi O, Dick JE, Ghanekar A. Human solid tumor xenografts in immunodeficient mice are vulnerable to lymphomagenesis associated with Epstein-Barr virus. </w:t>
      </w:r>
      <w:r w:rsidRPr="000749B2">
        <w:rPr>
          <w:rFonts w:ascii="Book Antiqua" w:hAnsi="Book Antiqua"/>
          <w:i/>
          <w:sz w:val="24"/>
          <w:szCs w:val="24"/>
        </w:rPr>
        <w:t>PLoS One</w:t>
      </w:r>
      <w:r w:rsidRPr="000749B2">
        <w:rPr>
          <w:rFonts w:ascii="Book Antiqua" w:hAnsi="Book Antiqua"/>
          <w:sz w:val="24"/>
          <w:szCs w:val="24"/>
        </w:rPr>
        <w:t xml:space="preserve"> 2012; </w:t>
      </w:r>
      <w:r w:rsidRPr="000749B2">
        <w:rPr>
          <w:rFonts w:ascii="Book Antiqua" w:hAnsi="Book Antiqua"/>
          <w:b/>
          <w:sz w:val="24"/>
          <w:szCs w:val="24"/>
        </w:rPr>
        <w:t>7</w:t>
      </w:r>
      <w:r w:rsidRPr="000749B2">
        <w:rPr>
          <w:rFonts w:ascii="Book Antiqua" w:hAnsi="Book Antiqua"/>
          <w:sz w:val="24"/>
          <w:szCs w:val="24"/>
        </w:rPr>
        <w:t>: e39294 [PMID: 22723990 DOI: 10.1371/journal.pone.0039294]</w:t>
      </w:r>
    </w:p>
    <w:p w14:paraId="7B5B80F7"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283 </w:t>
      </w:r>
      <w:r w:rsidRPr="000749B2">
        <w:rPr>
          <w:rFonts w:ascii="Book Antiqua" w:hAnsi="Book Antiqua"/>
          <w:b/>
          <w:sz w:val="24"/>
          <w:szCs w:val="24"/>
        </w:rPr>
        <w:t>Taurozzi AJ</w:t>
      </w:r>
      <w:r w:rsidRPr="000749B2">
        <w:rPr>
          <w:rFonts w:ascii="Book Antiqua" w:hAnsi="Book Antiqua"/>
          <w:sz w:val="24"/>
          <w:szCs w:val="24"/>
        </w:rPr>
        <w:t xml:space="preserve">, Beekharry R, Wantoch M, Labarthe MC, Walker HF, Seed RI, Simms M, Rodrigues G, Bradford J, van der Horst G, van der Pluijm G, Collins AT. Spontaneous development of Epstein-Barr Virus associated human lymphomas in a prostate cancer xenograft program. </w:t>
      </w:r>
      <w:r w:rsidRPr="000749B2">
        <w:rPr>
          <w:rFonts w:ascii="Book Antiqua" w:hAnsi="Book Antiqua"/>
          <w:i/>
          <w:sz w:val="24"/>
          <w:szCs w:val="24"/>
        </w:rPr>
        <w:t>PLoS One</w:t>
      </w:r>
      <w:r w:rsidRPr="000749B2">
        <w:rPr>
          <w:rFonts w:ascii="Book Antiqua" w:hAnsi="Book Antiqua"/>
          <w:sz w:val="24"/>
          <w:szCs w:val="24"/>
        </w:rPr>
        <w:t xml:space="preserve"> 2017; </w:t>
      </w:r>
      <w:r w:rsidRPr="000749B2">
        <w:rPr>
          <w:rFonts w:ascii="Book Antiqua" w:hAnsi="Book Antiqua"/>
          <w:b/>
          <w:sz w:val="24"/>
          <w:szCs w:val="24"/>
        </w:rPr>
        <w:t>12</w:t>
      </w:r>
      <w:r w:rsidRPr="000749B2">
        <w:rPr>
          <w:rFonts w:ascii="Book Antiqua" w:hAnsi="Book Antiqua"/>
          <w:sz w:val="24"/>
          <w:szCs w:val="24"/>
        </w:rPr>
        <w:t>: e0188228 [PMID: 29145505 DOI: 10.1371/journal.pone.0188228]</w:t>
      </w:r>
    </w:p>
    <w:p w14:paraId="006F6BB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284 </w:t>
      </w:r>
      <w:r w:rsidRPr="000749B2">
        <w:rPr>
          <w:rFonts w:ascii="Book Antiqua" w:hAnsi="Book Antiqua"/>
          <w:b/>
          <w:sz w:val="24"/>
          <w:szCs w:val="24"/>
        </w:rPr>
        <w:t>John T</w:t>
      </w:r>
      <w:r w:rsidRPr="000749B2">
        <w:rPr>
          <w:rFonts w:ascii="Book Antiqua" w:hAnsi="Book Antiqua"/>
          <w:sz w:val="24"/>
          <w:szCs w:val="24"/>
        </w:rPr>
        <w:t xml:space="preserve">, Yanagawa N, Kohler D, Craddock KJ, Bandarchi-Chamkhaleh B, Pintilie M, Sykes J, To C, Li M, Panchal D, Chen W, Shepherd FA, Tsao MS. Characterization of lymphomas developing in immunodeficient mice implanted with primary human non-small cell lung cancer. </w:t>
      </w:r>
      <w:r w:rsidRPr="000749B2">
        <w:rPr>
          <w:rFonts w:ascii="Book Antiqua" w:hAnsi="Book Antiqua"/>
          <w:i/>
          <w:sz w:val="24"/>
          <w:szCs w:val="24"/>
        </w:rPr>
        <w:t>J Thorac Oncol</w:t>
      </w:r>
      <w:r w:rsidRPr="000749B2">
        <w:rPr>
          <w:rFonts w:ascii="Book Antiqua" w:hAnsi="Book Antiqua"/>
          <w:sz w:val="24"/>
          <w:szCs w:val="24"/>
        </w:rPr>
        <w:t xml:space="preserve"> 2012; </w:t>
      </w:r>
      <w:r w:rsidRPr="000749B2">
        <w:rPr>
          <w:rFonts w:ascii="Book Antiqua" w:hAnsi="Book Antiqua"/>
          <w:b/>
          <w:sz w:val="24"/>
          <w:szCs w:val="24"/>
        </w:rPr>
        <w:t>7</w:t>
      </w:r>
      <w:r w:rsidRPr="000749B2">
        <w:rPr>
          <w:rFonts w:ascii="Book Antiqua" w:hAnsi="Book Antiqua"/>
          <w:sz w:val="24"/>
          <w:szCs w:val="24"/>
        </w:rPr>
        <w:t>: 1101-1108 [PMID: 22617243 DOI: 10.1097/JTO.0b013e3182519d4d]</w:t>
      </w:r>
    </w:p>
    <w:p w14:paraId="4D84C34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285 </w:t>
      </w:r>
      <w:r w:rsidRPr="000749B2">
        <w:rPr>
          <w:rFonts w:ascii="Book Antiqua" w:hAnsi="Book Antiqua"/>
          <w:b/>
          <w:sz w:val="24"/>
          <w:szCs w:val="24"/>
        </w:rPr>
        <w:t>McCormick KH</w:t>
      </w:r>
      <w:r w:rsidRPr="000749B2">
        <w:rPr>
          <w:rFonts w:ascii="Book Antiqua" w:hAnsi="Book Antiqua"/>
          <w:sz w:val="24"/>
          <w:szCs w:val="24"/>
        </w:rPr>
        <w:t xml:space="preserve">, Giovanella BC, Klein G, Nilsson K, Stehlin JS. Diploid human lymphoblastoid and Burkitt lymphoma cell lines: susceptibility to murine NK cells and heterotransplantation to nude mice. </w:t>
      </w:r>
      <w:r w:rsidRPr="000749B2">
        <w:rPr>
          <w:rFonts w:ascii="Book Antiqua" w:hAnsi="Book Antiqua"/>
          <w:i/>
          <w:sz w:val="24"/>
          <w:szCs w:val="24"/>
        </w:rPr>
        <w:t>Int J Cancer</w:t>
      </w:r>
      <w:r w:rsidRPr="000749B2">
        <w:rPr>
          <w:rFonts w:ascii="Book Antiqua" w:hAnsi="Book Antiqua"/>
          <w:sz w:val="24"/>
          <w:szCs w:val="24"/>
        </w:rPr>
        <w:t xml:space="preserve"> 1981; </w:t>
      </w:r>
      <w:r w:rsidRPr="000749B2">
        <w:rPr>
          <w:rFonts w:ascii="Book Antiqua" w:hAnsi="Book Antiqua"/>
          <w:b/>
          <w:sz w:val="24"/>
          <w:szCs w:val="24"/>
        </w:rPr>
        <w:t>28</w:t>
      </w:r>
      <w:r w:rsidRPr="000749B2">
        <w:rPr>
          <w:rFonts w:ascii="Book Antiqua" w:hAnsi="Book Antiqua"/>
          <w:sz w:val="24"/>
          <w:szCs w:val="24"/>
        </w:rPr>
        <w:t>: 455-458 [PMID: 6273332 DOI: 10.1002/ijc.2910280410]</w:t>
      </w:r>
    </w:p>
    <w:p w14:paraId="7943FBD7"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286 </w:t>
      </w:r>
      <w:r w:rsidRPr="000749B2">
        <w:rPr>
          <w:rFonts w:ascii="Book Antiqua" w:hAnsi="Book Antiqua"/>
          <w:b/>
          <w:sz w:val="24"/>
          <w:szCs w:val="24"/>
        </w:rPr>
        <w:t>Butler KA</w:t>
      </w:r>
      <w:r w:rsidRPr="000749B2">
        <w:rPr>
          <w:rFonts w:ascii="Book Antiqua" w:hAnsi="Book Antiqua"/>
          <w:sz w:val="24"/>
          <w:szCs w:val="24"/>
        </w:rPr>
        <w:t xml:space="preserve">, Hou X, Becker MA, Zanfagnin V, Enderica-Gonzalez S, Visscher D, Kalli KR, Tienchaianada P, Haluska P, Weroha SJ. Prevention of Human Lymphoproliferative Tumor Formation in Ovarian Cancer Patient-Derived Xenografts. </w:t>
      </w:r>
      <w:r w:rsidRPr="000749B2">
        <w:rPr>
          <w:rFonts w:ascii="Book Antiqua" w:hAnsi="Book Antiqua"/>
          <w:i/>
          <w:sz w:val="24"/>
          <w:szCs w:val="24"/>
        </w:rPr>
        <w:t>Neoplasia</w:t>
      </w:r>
      <w:r w:rsidRPr="000749B2">
        <w:rPr>
          <w:rFonts w:ascii="Book Antiqua" w:hAnsi="Book Antiqua"/>
          <w:sz w:val="24"/>
          <w:szCs w:val="24"/>
        </w:rPr>
        <w:t xml:space="preserve"> 2017; </w:t>
      </w:r>
      <w:r w:rsidRPr="000749B2">
        <w:rPr>
          <w:rFonts w:ascii="Book Antiqua" w:hAnsi="Book Antiqua"/>
          <w:b/>
          <w:sz w:val="24"/>
          <w:szCs w:val="24"/>
        </w:rPr>
        <w:t>19</w:t>
      </w:r>
      <w:r w:rsidRPr="000749B2">
        <w:rPr>
          <w:rFonts w:ascii="Book Antiqua" w:hAnsi="Book Antiqua"/>
          <w:sz w:val="24"/>
          <w:szCs w:val="24"/>
        </w:rPr>
        <w:t>: 628-636 [PMID: 28658648 DOI: 10.1016/j.neo.2017.04.007]</w:t>
      </w:r>
    </w:p>
    <w:p w14:paraId="4021613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287 </w:t>
      </w:r>
      <w:r w:rsidRPr="000749B2">
        <w:rPr>
          <w:rFonts w:ascii="Book Antiqua" w:hAnsi="Book Antiqua"/>
          <w:b/>
          <w:sz w:val="24"/>
          <w:szCs w:val="24"/>
        </w:rPr>
        <w:t>Snipes RL</w:t>
      </w:r>
      <w:r w:rsidRPr="000749B2">
        <w:rPr>
          <w:rFonts w:ascii="Book Antiqua" w:hAnsi="Book Antiqua"/>
          <w:sz w:val="24"/>
          <w:szCs w:val="24"/>
        </w:rPr>
        <w:t xml:space="preserve">. Anatomy of the cecum of the laboratory mouse and rat. </w:t>
      </w:r>
      <w:r w:rsidRPr="000749B2">
        <w:rPr>
          <w:rFonts w:ascii="Book Antiqua" w:hAnsi="Book Antiqua"/>
          <w:i/>
          <w:sz w:val="24"/>
          <w:szCs w:val="24"/>
        </w:rPr>
        <w:t>Anat Embryol (Berl)</w:t>
      </w:r>
      <w:r w:rsidRPr="000749B2">
        <w:rPr>
          <w:rFonts w:ascii="Book Antiqua" w:hAnsi="Book Antiqua"/>
          <w:sz w:val="24"/>
          <w:szCs w:val="24"/>
        </w:rPr>
        <w:t xml:space="preserve"> 1981; </w:t>
      </w:r>
      <w:r w:rsidRPr="000749B2">
        <w:rPr>
          <w:rFonts w:ascii="Book Antiqua" w:hAnsi="Book Antiqua"/>
          <w:b/>
          <w:sz w:val="24"/>
          <w:szCs w:val="24"/>
        </w:rPr>
        <w:t>162</w:t>
      </w:r>
      <w:r w:rsidRPr="000749B2">
        <w:rPr>
          <w:rFonts w:ascii="Book Antiqua" w:hAnsi="Book Antiqua"/>
          <w:sz w:val="24"/>
          <w:szCs w:val="24"/>
        </w:rPr>
        <w:t>: 455-474 [PMID: 7347499 DOI: 10.1007/bf00301871]</w:t>
      </w:r>
    </w:p>
    <w:p w14:paraId="5B9C3DF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288 </w:t>
      </w:r>
      <w:r w:rsidRPr="000749B2">
        <w:rPr>
          <w:rFonts w:ascii="Book Antiqua" w:hAnsi="Book Antiqua"/>
          <w:b/>
          <w:sz w:val="24"/>
          <w:szCs w:val="24"/>
        </w:rPr>
        <w:t>Bresalier RS</w:t>
      </w:r>
      <w:r w:rsidRPr="000749B2">
        <w:rPr>
          <w:rFonts w:ascii="Book Antiqua" w:hAnsi="Book Antiqua"/>
          <w:sz w:val="24"/>
          <w:szCs w:val="24"/>
        </w:rPr>
        <w:t xml:space="preserve">, Raper SE, Hujanen ES, Kim YS. A new animal model for human colon cancer metastasis. </w:t>
      </w:r>
      <w:r w:rsidRPr="000749B2">
        <w:rPr>
          <w:rFonts w:ascii="Book Antiqua" w:hAnsi="Book Antiqua"/>
          <w:i/>
          <w:sz w:val="24"/>
          <w:szCs w:val="24"/>
        </w:rPr>
        <w:t>Int J Cancer</w:t>
      </w:r>
      <w:r w:rsidRPr="000749B2">
        <w:rPr>
          <w:rFonts w:ascii="Book Antiqua" w:hAnsi="Book Antiqua"/>
          <w:sz w:val="24"/>
          <w:szCs w:val="24"/>
        </w:rPr>
        <w:t xml:space="preserve"> 1987; </w:t>
      </w:r>
      <w:r w:rsidRPr="000749B2">
        <w:rPr>
          <w:rFonts w:ascii="Book Antiqua" w:hAnsi="Book Antiqua"/>
          <w:b/>
          <w:sz w:val="24"/>
          <w:szCs w:val="24"/>
        </w:rPr>
        <w:t>39</w:t>
      </w:r>
      <w:r w:rsidRPr="000749B2">
        <w:rPr>
          <w:rFonts w:ascii="Book Antiqua" w:hAnsi="Book Antiqua"/>
          <w:sz w:val="24"/>
          <w:szCs w:val="24"/>
        </w:rPr>
        <w:t>: 625-630 [PMID: 3032811 DOI: 10.1002/ijc.2910390514]</w:t>
      </w:r>
    </w:p>
    <w:p w14:paraId="14033B8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289 </w:t>
      </w:r>
      <w:r w:rsidRPr="000749B2">
        <w:rPr>
          <w:rFonts w:ascii="Book Antiqua" w:hAnsi="Book Antiqua"/>
          <w:b/>
          <w:sz w:val="24"/>
          <w:szCs w:val="24"/>
        </w:rPr>
        <w:t>Fu XY</w:t>
      </w:r>
      <w:r w:rsidRPr="000749B2">
        <w:rPr>
          <w:rFonts w:ascii="Book Antiqua" w:hAnsi="Book Antiqua"/>
          <w:sz w:val="24"/>
          <w:szCs w:val="24"/>
        </w:rPr>
        <w:t xml:space="preserve">, Besterman JM, Monosov A, Hoffman RM. Models of human metastatic colon cancer in nude mice orthotopically constructed by using histologically intact patient specimens. </w:t>
      </w:r>
      <w:r w:rsidRPr="000749B2">
        <w:rPr>
          <w:rFonts w:ascii="Book Antiqua" w:hAnsi="Book Antiqua"/>
          <w:i/>
          <w:sz w:val="24"/>
          <w:szCs w:val="24"/>
        </w:rPr>
        <w:t>Proc Natl Acad Sci U S A</w:t>
      </w:r>
      <w:r w:rsidRPr="000749B2">
        <w:rPr>
          <w:rFonts w:ascii="Book Antiqua" w:hAnsi="Book Antiqua"/>
          <w:sz w:val="24"/>
          <w:szCs w:val="24"/>
        </w:rPr>
        <w:t xml:space="preserve"> 1991; </w:t>
      </w:r>
      <w:r w:rsidRPr="000749B2">
        <w:rPr>
          <w:rFonts w:ascii="Book Antiqua" w:hAnsi="Book Antiqua"/>
          <w:b/>
          <w:sz w:val="24"/>
          <w:szCs w:val="24"/>
        </w:rPr>
        <w:t>88</w:t>
      </w:r>
      <w:r w:rsidRPr="000749B2">
        <w:rPr>
          <w:rFonts w:ascii="Book Antiqua" w:hAnsi="Book Antiqua"/>
          <w:sz w:val="24"/>
          <w:szCs w:val="24"/>
        </w:rPr>
        <w:t>: 9345-9349 [PMID: 1924398]</w:t>
      </w:r>
    </w:p>
    <w:p w14:paraId="5B0E6B8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290 </w:t>
      </w:r>
      <w:r w:rsidRPr="000749B2">
        <w:rPr>
          <w:rFonts w:ascii="Book Antiqua" w:hAnsi="Book Antiqua"/>
          <w:b/>
          <w:sz w:val="24"/>
          <w:szCs w:val="24"/>
        </w:rPr>
        <w:t>Rajput A</w:t>
      </w:r>
      <w:r w:rsidRPr="000749B2">
        <w:rPr>
          <w:rFonts w:ascii="Book Antiqua" w:hAnsi="Book Antiqua"/>
          <w:sz w:val="24"/>
          <w:szCs w:val="24"/>
        </w:rPr>
        <w:t xml:space="preserve">, Agarwal E, Leiphrakpam P, Brattain MG, Chowdhury S. Establishment and Validation of an Orthotopic Metastatic Mouse Model of Colorectal Cancer. </w:t>
      </w:r>
      <w:r w:rsidRPr="000749B2">
        <w:rPr>
          <w:rFonts w:ascii="Book Antiqua" w:hAnsi="Book Antiqua"/>
          <w:i/>
          <w:sz w:val="24"/>
          <w:szCs w:val="24"/>
        </w:rPr>
        <w:t>ISRN Hepatol</w:t>
      </w:r>
      <w:r w:rsidRPr="000749B2">
        <w:rPr>
          <w:rFonts w:ascii="Book Antiqua" w:hAnsi="Book Antiqua"/>
          <w:sz w:val="24"/>
          <w:szCs w:val="24"/>
        </w:rPr>
        <w:t xml:space="preserve"> 2013; </w:t>
      </w:r>
      <w:r w:rsidRPr="000749B2">
        <w:rPr>
          <w:rFonts w:ascii="Book Antiqua" w:hAnsi="Book Antiqua"/>
          <w:b/>
          <w:sz w:val="24"/>
          <w:szCs w:val="24"/>
        </w:rPr>
        <w:t>2013</w:t>
      </w:r>
      <w:r w:rsidRPr="000749B2">
        <w:rPr>
          <w:rFonts w:ascii="Book Antiqua" w:hAnsi="Book Antiqua"/>
          <w:sz w:val="24"/>
          <w:szCs w:val="24"/>
        </w:rPr>
        <w:t>: 206875 [PMID: 27340651 DOI: 10.1155/2013/206875]</w:t>
      </w:r>
    </w:p>
    <w:p w14:paraId="533EEAB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291 </w:t>
      </w:r>
      <w:r w:rsidRPr="000749B2">
        <w:rPr>
          <w:rFonts w:ascii="Book Antiqua" w:hAnsi="Book Antiqua"/>
          <w:b/>
          <w:sz w:val="24"/>
          <w:szCs w:val="24"/>
        </w:rPr>
        <w:t>Chow AK</w:t>
      </w:r>
      <w:r w:rsidRPr="000749B2">
        <w:rPr>
          <w:rFonts w:ascii="Book Antiqua" w:hAnsi="Book Antiqua"/>
          <w:sz w:val="24"/>
          <w:szCs w:val="24"/>
        </w:rPr>
        <w:t xml:space="preserve">, Cheng NS, Lam CS, Ng L, Wong SK, Wan TM, Man JH, Cheung AH, Yau TC, Poon JT, Law WL, Pang RW. Preclinical analysis of the anti-tumor and anti-metastatic effects of Raf265 on colon cancer cells and CD26(+) cancer stem cells in colorectal carcinoma. </w:t>
      </w:r>
      <w:r w:rsidRPr="000749B2">
        <w:rPr>
          <w:rFonts w:ascii="Book Antiqua" w:hAnsi="Book Antiqua"/>
          <w:i/>
          <w:sz w:val="24"/>
          <w:szCs w:val="24"/>
        </w:rPr>
        <w:t>Mol Cancer</w:t>
      </w:r>
      <w:r w:rsidRPr="000749B2">
        <w:rPr>
          <w:rFonts w:ascii="Book Antiqua" w:hAnsi="Book Antiqua"/>
          <w:sz w:val="24"/>
          <w:szCs w:val="24"/>
        </w:rPr>
        <w:t xml:space="preserve"> 2015; </w:t>
      </w:r>
      <w:r w:rsidRPr="000749B2">
        <w:rPr>
          <w:rFonts w:ascii="Book Antiqua" w:hAnsi="Book Antiqua"/>
          <w:b/>
          <w:sz w:val="24"/>
          <w:szCs w:val="24"/>
        </w:rPr>
        <w:t>14</w:t>
      </w:r>
      <w:r w:rsidRPr="000749B2">
        <w:rPr>
          <w:rFonts w:ascii="Book Antiqua" w:hAnsi="Book Antiqua"/>
          <w:sz w:val="24"/>
          <w:szCs w:val="24"/>
        </w:rPr>
        <w:t>: 80 [PMID: 25884645 DOI: 10.1186/s12943-015-0352-y]</w:t>
      </w:r>
    </w:p>
    <w:p w14:paraId="2FBF207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292 </w:t>
      </w:r>
      <w:r w:rsidRPr="000749B2">
        <w:rPr>
          <w:rFonts w:ascii="Book Antiqua" w:hAnsi="Book Antiqua"/>
          <w:b/>
          <w:sz w:val="24"/>
          <w:szCs w:val="24"/>
        </w:rPr>
        <w:t>Abou-Elkacem L</w:t>
      </w:r>
      <w:r w:rsidRPr="000749B2">
        <w:rPr>
          <w:rFonts w:ascii="Book Antiqua" w:hAnsi="Book Antiqua"/>
          <w:sz w:val="24"/>
          <w:szCs w:val="24"/>
        </w:rPr>
        <w:t xml:space="preserve">, Arns S, Brix G, Gremse F, Zopf D, Kiessling F, Lederle W. Regorafenib inhibits growth, angiogenesis, and metastasis in a highly aggressive, orthotopic colon cancer model. </w:t>
      </w:r>
      <w:r w:rsidRPr="000749B2">
        <w:rPr>
          <w:rFonts w:ascii="Book Antiqua" w:hAnsi="Book Antiqua"/>
          <w:i/>
          <w:sz w:val="24"/>
          <w:szCs w:val="24"/>
        </w:rPr>
        <w:t>Mol Cancer Ther</w:t>
      </w:r>
      <w:r w:rsidRPr="000749B2">
        <w:rPr>
          <w:rFonts w:ascii="Book Antiqua" w:hAnsi="Book Antiqua"/>
          <w:sz w:val="24"/>
          <w:szCs w:val="24"/>
        </w:rPr>
        <w:t xml:space="preserve"> 2013; </w:t>
      </w:r>
      <w:r w:rsidRPr="000749B2">
        <w:rPr>
          <w:rFonts w:ascii="Book Antiqua" w:hAnsi="Book Antiqua"/>
          <w:b/>
          <w:sz w:val="24"/>
          <w:szCs w:val="24"/>
        </w:rPr>
        <w:t>12</w:t>
      </w:r>
      <w:r w:rsidRPr="000749B2">
        <w:rPr>
          <w:rFonts w:ascii="Book Antiqua" w:hAnsi="Book Antiqua"/>
          <w:sz w:val="24"/>
          <w:szCs w:val="24"/>
        </w:rPr>
        <w:t>: 1322-1331 [PMID: 23619301 DOI: 10.1158/1535-7163.MCT-12-1162]</w:t>
      </w:r>
    </w:p>
    <w:p w14:paraId="524D084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293 </w:t>
      </w:r>
      <w:r w:rsidRPr="000749B2">
        <w:rPr>
          <w:rFonts w:ascii="Book Antiqua" w:hAnsi="Book Antiqua"/>
          <w:b/>
          <w:sz w:val="24"/>
          <w:szCs w:val="24"/>
        </w:rPr>
        <w:t>Zhao L</w:t>
      </w:r>
      <w:r w:rsidRPr="000749B2">
        <w:rPr>
          <w:rFonts w:ascii="Book Antiqua" w:hAnsi="Book Antiqua"/>
          <w:sz w:val="24"/>
          <w:szCs w:val="24"/>
        </w:rPr>
        <w:t xml:space="preserve">, Liu L, Wang S, Zhang YF, Yu L, Ding YQ. Differential proteomic analysis of human colorectal carcinoma cell lines metastasis-associated proteins. </w:t>
      </w:r>
      <w:r w:rsidRPr="000749B2">
        <w:rPr>
          <w:rFonts w:ascii="Book Antiqua" w:hAnsi="Book Antiqua"/>
          <w:i/>
          <w:sz w:val="24"/>
          <w:szCs w:val="24"/>
        </w:rPr>
        <w:t>J Cancer Res Clin Oncol</w:t>
      </w:r>
      <w:r w:rsidRPr="000749B2">
        <w:rPr>
          <w:rFonts w:ascii="Book Antiqua" w:hAnsi="Book Antiqua"/>
          <w:sz w:val="24"/>
          <w:szCs w:val="24"/>
        </w:rPr>
        <w:t xml:space="preserve"> 2007; </w:t>
      </w:r>
      <w:r w:rsidRPr="000749B2">
        <w:rPr>
          <w:rFonts w:ascii="Book Antiqua" w:hAnsi="Book Antiqua"/>
          <w:b/>
          <w:sz w:val="24"/>
          <w:szCs w:val="24"/>
        </w:rPr>
        <w:t>133</w:t>
      </w:r>
      <w:r w:rsidRPr="000749B2">
        <w:rPr>
          <w:rFonts w:ascii="Book Antiqua" w:hAnsi="Book Antiqua"/>
          <w:sz w:val="24"/>
          <w:szCs w:val="24"/>
        </w:rPr>
        <w:t>: 771-782 [PMID: 17503081 DOI: 10.1007/s00432-007-0222-0]</w:t>
      </w:r>
    </w:p>
    <w:p w14:paraId="7042D16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294 </w:t>
      </w:r>
      <w:r w:rsidRPr="000749B2">
        <w:rPr>
          <w:rFonts w:ascii="Book Antiqua" w:hAnsi="Book Antiqua"/>
          <w:b/>
          <w:sz w:val="24"/>
          <w:szCs w:val="24"/>
        </w:rPr>
        <w:t>Chunhua L</w:t>
      </w:r>
      <w:r w:rsidRPr="000749B2">
        <w:rPr>
          <w:rFonts w:ascii="Book Antiqua" w:hAnsi="Book Antiqua"/>
          <w:sz w:val="24"/>
          <w:szCs w:val="24"/>
        </w:rPr>
        <w:t xml:space="preserve">, Donglan L, Xiuqiong F, Lihua Z, Qin F, Yawei L, Liang Z, Ge W, Linlin J, Ping Z, Kun L, Xuegang S. Apigenin up-regulates transgelin and inhibits invasion and migration of colorectal cancer through decreased phosphorylation of AKT. </w:t>
      </w:r>
      <w:r w:rsidRPr="000749B2">
        <w:rPr>
          <w:rFonts w:ascii="Book Antiqua" w:hAnsi="Book Antiqua"/>
          <w:i/>
          <w:sz w:val="24"/>
          <w:szCs w:val="24"/>
        </w:rPr>
        <w:t>J Nutr Biochem</w:t>
      </w:r>
      <w:r w:rsidRPr="000749B2">
        <w:rPr>
          <w:rFonts w:ascii="Book Antiqua" w:hAnsi="Book Antiqua"/>
          <w:sz w:val="24"/>
          <w:szCs w:val="24"/>
        </w:rPr>
        <w:t xml:space="preserve"> 2013; </w:t>
      </w:r>
      <w:r w:rsidRPr="000749B2">
        <w:rPr>
          <w:rFonts w:ascii="Book Antiqua" w:hAnsi="Book Antiqua"/>
          <w:b/>
          <w:sz w:val="24"/>
          <w:szCs w:val="24"/>
        </w:rPr>
        <w:t>24</w:t>
      </w:r>
      <w:r w:rsidRPr="000749B2">
        <w:rPr>
          <w:rFonts w:ascii="Book Antiqua" w:hAnsi="Book Antiqua"/>
          <w:sz w:val="24"/>
          <w:szCs w:val="24"/>
        </w:rPr>
        <w:t>: 1766-1775 [PMID: 23773626 DOI: 10.1016/j.jnutbio.2013.03.006]</w:t>
      </w:r>
    </w:p>
    <w:p w14:paraId="4E69095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295 </w:t>
      </w:r>
      <w:r w:rsidRPr="000749B2">
        <w:rPr>
          <w:rFonts w:ascii="Book Antiqua" w:hAnsi="Book Antiqua"/>
          <w:b/>
          <w:sz w:val="24"/>
          <w:szCs w:val="24"/>
        </w:rPr>
        <w:t>Wang J</w:t>
      </w:r>
      <w:r w:rsidRPr="000749B2">
        <w:rPr>
          <w:rFonts w:ascii="Book Antiqua" w:hAnsi="Book Antiqua"/>
          <w:sz w:val="24"/>
          <w:szCs w:val="24"/>
        </w:rPr>
        <w:t xml:space="preserve">, Rajput A, Kan JL, Rose R, Liu XQ, Kuropatwinski K, Hauser J, Beko A, Dominquez I, Sharratt EA, Brattain L, Levea C, Sun FL, Keane DM, Gibson NW, Brattain MG. Knockdown of Ron kinase inhibits mutant phosphatidylinositol 3-kinase and reduces metastasis in human colon carcinoma. </w:t>
      </w:r>
      <w:r w:rsidRPr="000749B2">
        <w:rPr>
          <w:rFonts w:ascii="Book Antiqua" w:hAnsi="Book Antiqua"/>
          <w:i/>
          <w:sz w:val="24"/>
          <w:szCs w:val="24"/>
        </w:rPr>
        <w:t>J Biol Chem</w:t>
      </w:r>
      <w:r w:rsidRPr="000749B2">
        <w:rPr>
          <w:rFonts w:ascii="Book Antiqua" w:hAnsi="Book Antiqua"/>
          <w:sz w:val="24"/>
          <w:szCs w:val="24"/>
        </w:rPr>
        <w:t xml:space="preserve"> 2009; </w:t>
      </w:r>
      <w:r w:rsidRPr="000749B2">
        <w:rPr>
          <w:rFonts w:ascii="Book Antiqua" w:hAnsi="Book Antiqua"/>
          <w:b/>
          <w:sz w:val="24"/>
          <w:szCs w:val="24"/>
        </w:rPr>
        <w:t>284</w:t>
      </w:r>
      <w:r w:rsidRPr="000749B2">
        <w:rPr>
          <w:rFonts w:ascii="Book Antiqua" w:hAnsi="Book Antiqua"/>
          <w:sz w:val="24"/>
          <w:szCs w:val="24"/>
        </w:rPr>
        <w:t>: 10912-10922 [PMID: 19224914 DOI: 10.1074/jbc.M809551200]</w:t>
      </w:r>
    </w:p>
    <w:p w14:paraId="2E97C757"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296 </w:t>
      </w:r>
      <w:r w:rsidRPr="000749B2">
        <w:rPr>
          <w:rFonts w:ascii="Book Antiqua" w:hAnsi="Book Antiqua"/>
          <w:b/>
          <w:sz w:val="24"/>
          <w:szCs w:val="24"/>
        </w:rPr>
        <w:t>Lin W</w:t>
      </w:r>
      <w:r w:rsidRPr="000749B2">
        <w:rPr>
          <w:rFonts w:ascii="Book Antiqua" w:hAnsi="Book Antiqua"/>
          <w:sz w:val="24"/>
          <w:szCs w:val="24"/>
        </w:rPr>
        <w:t xml:space="preserve">, Zhuang Q, Zheng L, Cao Z, Shen A, Li Q, Fu C, Feng J, Peng J. Pien Tze Huang inhibits liver metastasis by targeting TGF-β signaling in an orthotopic model of colorectal cancer. </w:t>
      </w:r>
      <w:r w:rsidRPr="000749B2">
        <w:rPr>
          <w:rFonts w:ascii="Book Antiqua" w:hAnsi="Book Antiqua"/>
          <w:i/>
          <w:sz w:val="24"/>
          <w:szCs w:val="24"/>
        </w:rPr>
        <w:t>Oncol Rep</w:t>
      </w:r>
      <w:r w:rsidRPr="000749B2">
        <w:rPr>
          <w:rFonts w:ascii="Book Antiqua" w:hAnsi="Book Antiqua"/>
          <w:sz w:val="24"/>
          <w:szCs w:val="24"/>
        </w:rPr>
        <w:t xml:space="preserve"> 2015; </w:t>
      </w:r>
      <w:r w:rsidRPr="000749B2">
        <w:rPr>
          <w:rFonts w:ascii="Book Antiqua" w:hAnsi="Book Antiqua"/>
          <w:b/>
          <w:sz w:val="24"/>
          <w:szCs w:val="24"/>
        </w:rPr>
        <w:t>33</w:t>
      </w:r>
      <w:r w:rsidRPr="000749B2">
        <w:rPr>
          <w:rFonts w:ascii="Book Antiqua" w:hAnsi="Book Antiqua"/>
          <w:sz w:val="24"/>
          <w:szCs w:val="24"/>
        </w:rPr>
        <w:t>: 1922-1928 [PMID: 25653118 DOI: 10.3892/or.2015.3784]</w:t>
      </w:r>
    </w:p>
    <w:p w14:paraId="0FC716B2" w14:textId="12C69B69"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297 </w:t>
      </w:r>
      <w:r w:rsidRPr="000749B2">
        <w:rPr>
          <w:rFonts w:ascii="Book Antiqua" w:hAnsi="Book Antiqua"/>
          <w:b/>
          <w:sz w:val="24"/>
          <w:szCs w:val="24"/>
        </w:rPr>
        <w:t>Kochall S</w:t>
      </w:r>
      <w:r w:rsidRPr="000749B2">
        <w:rPr>
          <w:rFonts w:ascii="Book Antiqua" w:hAnsi="Book Antiqua"/>
          <w:sz w:val="24"/>
          <w:szCs w:val="24"/>
        </w:rPr>
        <w:t xml:space="preserve">, Thepkaysone ML, García SA, Betzler AM, Weitz J, Reissfelder C, Schölch S. Isolation of Circulating Tumor Cells in an Orthotopic Mouse Model of Colorectal Cancer. </w:t>
      </w:r>
      <w:r w:rsidRPr="000749B2">
        <w:rPr>
          <w:rFonts w:ascii="Book Antiqua" w:hAnsi="Book Antiqua"/>
          <w:i/>
          <w:sz w:val="24"/>
          <w:szCs w:val="24"/>
        </w:rPr>
        <w:t>J Vis Exp</w:t>
      </w:r>
      <w:r w:rsidRPr="000749B2">
        <w:rPr>
          <w:rFonts w:ascii="Book Antiqua" w:hAnsi="Book Antiqua"/>
          <w:sz w:val="24"/>
          <w:szCs w:val="24"/>
        </w:rPr>
        <w:t xml:space="preserve"> 2017; </w:t>
      </w:r>
      <w:r w:rsidR="002F3C42" w:rsidRPr="000749B2">
        <w:rPr>
          <w:rFonts w:ascii="Book Antiqua" w:hAnsi="Book Antiqua"/>
          <w:b/>
          <w:sz w:val="24"/>
          <w:szCs w:val="24"/>
        </w:rPr>
        <w:t>(125)</w:t>
      </w:r>
      <w:r w:rsidR="004077FE" w:rsidRPr="000749B2">
        <w:rPr>
          <w:rFonts w:ascii="Book Antiqua" w:hAnsi="Book Antiqua"/>
          <w:sz w:val="24"/>
          <w:szCs w:val="24"/>
        </w:rPr>
        <w:t xml:space="preserve"> </w:t>
      </w:r>
      <w:r w:rsidRPr="000749B2">
        <w:rPr>
          <w:rFonts w:ascii="Book Antiqua" w:hAnsi="Book Antiqua"/>
          <w:sz w:val="24"/>
          <w:szCs w:val="24"/>
        </w:rPr>
        <w:t xml:space="preserve">[PMID: </w:t>
      </w:r>
      <w:bookmarkStart w:id="19" w:name="OLE_LINK31"/>
      <w:bookmarkStart w:id="20" w:name="OLE_LINK32"/>
      <w:r w:rsidRPr="000749B2">
        <w:rPr>
          <w:rFonts w:ascii="Book Antiqua" w:hAnsi="Book Antiqua"/>
          <w:sz w:val="24"/>
          <w:szCs w:val="24"/>
        </w:rPr>
        <w:t xml:space="preserve">28745637 </w:t>
      </w:r>
      <w:bookmarkEnd w:id="19"/>
      <w:bookmarkEnd w:id="20"/>
      <w:r w:rsidRPr="000749B2">
        <w:rPr>
          <w:rFonts w:ascii="Book Antiqua" w:hAnsi="Book Antiqua"/>
          <w:sz w:val="24"/>
          <w:szCs w:val="24"/>
        </w:rPr>
        <w:t>DOI: 10.3791/55357]</w:t>
      </w:r>
    </w:p>
    <w:p w14:paraId="63BE6615" w14:textId="6D4A288F"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298 </w:t>
      </w:r>
      <w:r w:rsidRPr="000749B2">
        <w:rPr>
          <w:rFonts w:ascii="Book Antiqua" w:hAnsi="Book Antiqua"/>
          <w:b/>
          <w:sz w:val="24"/>
          <w:szCs w:val="24"/>
        </w:rPr>
        <w:t>Yang JL,</w:t>
      </w:r>
      <w:r w:rsidR="004077FE" w:rsidRPr="000749B2">
        <w:rPr>
          <w:rFonts w:ascii="Book Antiqua" w:hAnsi="Book Antiqua"/>
          <w:sz w:val="24"/>
          <w:szCs w:val="24"/>
        </w:rPr>
        <w:t xml:space="preserve"> </w:t>
      </w:r>
      <w:r w:rsidRPr="000749B2">
        <w:rPr>
          <w:rFonts w:ascii="Book Antiqua" w:hAnsi="Book Antiqua"/>
          <w:sz w:val="24"/>
          <w:szCs w:val="24"/>
        </w:rPr>
        <w:t>Seetoo D</w:t>
      </w:r>
      <w:r w:rsidR="0010656B" w:rsidRPr="000749B2">
        <w:rPr>
          <w:rFonts w:ascii="Book Antiqua" w:hAnsi="Book Antiqua"/>
          <w:sz w:val="24"/>
          <w:szCs w:val="24"/>
        </w:rPr>
        <w:t>Q</w:t>
      </w:r>
      <w:r w:rsidRPr="000749B2">
        <w:rPr>
          <w:rFonts w:ascii="Book Antiqua" w:hAnsi="Book Antiqua"/>
          <w:sz w:val="24"/>
          <w:szCs w:val="24"/>
        </w:rPr>
        <w:t xml:space="preserve">, Wang Y, Ranson M, Berney CR, Ham JM, Russell PJ, Crowe PJ. Urokinase-type plasminogen activator and its receptor in colorectal cancer: Independent prognostic factors of metastasis and cancer-specific survival and potential therapeutic targets. </w:t>
      </w:r>
      <w:r w:rsidRPr="000749B2">
        <w:rPr>
          <w:rFonts w:ascii="Book Antiqua" w:hAnsi="Book Antiqua"/>
          <w:i/>
          <w:iCs/>
          <w:sz w:val="24"/>
          <w:szCs w:val="24"/>
        </w:rPr>
        <w:t>Int J Cancer</w:t>
      </w:r>
      <w:r w:rsidRPr="000749B2">
        <w:rPr>
          <w:rFonts w:ascii="Book Antiqua" w:hAnsi="Book Antiqua"/>
          <w:sz w:val="24"/>
          <w:szCs w:val="24"/>
        </w:rPr>
        <w:t xml:space="preserve"> 2000; </w:t>
      </w:r>
      <w:r w:rsidRPr="000749B2">
        <w:rPr>
          <w:rFonts w:ascii="Book Antiqua" w:hAnsi="Book Antiqua"/>
          <w:b/>
          <w:bCs/>
          <w:sz w:val="24"/>
          <w:szCs w:val="24"/>
        </w:rPr>
        <w:t>89</w:t>
      </w:r>
      <w:r w:rsidRPr="000749B2">
        <w:rPr>
          <w:rFonts w:ascii="Book Antiqua" w:hAnsi="Book Antiqua"/>
          <w:sz w:val="24"/>
          <w:szCs w:val="24"/>
        </w:rPr>
        <w:t xml:space="preserve">: 431–439 [DOI: </w:t>
      </w:r>
      <w:r w:rsidR="000E7006" w:rsidRPr="000749B2">
        <w:rPr>
          <w:rFonts w:ascii="Book Antiqua" w:hAnsi="Book Antiqua"/>
          <w:sz w:val="24"/>
          <w:szCs w:val="24"/>
        </w:rPr>
        <w:t>10.1002/1097-0215(20000920)89:53.0.CO;2-V</w:t>
      </w:r>
      <w:r w:rsidRPr="000749B2">
        <w:rPr>
          <w:rFonts w:ascii="Book Antiqua" w:hAnsi="Book Antiqua"/>
          <w:sz w:val="24"/>
          <w:szCs w:val="24"/>
        </w:rPr>
        <w:t>]</w:t>
      </w:r>
    </w:p>
    <w:p w14:paraId="1A5F0F0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299 </w:t>
      </w:r>
      <w:r w:rsidRPr="000749B2">
        <w:rPr>
          <w:rFonts w:ascii="Book Antiqua" w:hAnsi="Book Antiqua"/>
          <w:b/>
          <w:sz w:val="24"/>
          <w:szCs w:val="24"/>
        </w:rPr>
        <w:t>Céspedes MV</w:t>
      </w:r>
      <w:r w:rsidRPr="000749B2">
        <w:rPr>
          <w:rFonts w:ascii="Book Antiqua" w:hAnsi="Book Antiqua"/>
          <w:sz w:val="24"/>
          <w:szCs w:val="24"/>
        </w:rPr>
        <w:t xml:space="preserve">, Espina C, García-Cabezas MA, Trias M, Boluda A, Gómez del Pulgar MT, Sancho FJ, Nistal M, Lacal JC, Mangues R. Orthotopic microinjection of human colon cancer cells in nude mice induces tumor foci in all clinically relevant metastatic sites. </w:t>
      </w:r>
      <w:r w:rsidRPr="000749B2">
        <w:rPr>
          <w:rFonts w:ascii="Book Antiqua" w:hAnsi="Book Antiqua"/>
          <w:i/>
          <w:sz w:val="24"/>
          <w:szCs w:val="24"/>
        </w:rPr>
        <w:t>Am J Pathol</w:t>
      </w:r>
      <w:r w:rsidRPr="000749B2">
        <w:rPr>
          <w:rFonts w:ascii="Book Antiqua" w:hAnsi="Book Antiqua"/>
          <w:sz w:val="24"/>
          <w:szCs w:val="24"/>
        </w:rPr>
        <w:t xml:space="preserve"> 2007; </w:t>
      </w:r>
      <w:r w:rsidRPr="000749B2">
        <w:rPr>
          <w:rFonts w:ascii="Book Antiqua" w:hAnsi="Book Antiqua"/>
          <w:b/>
          <w:sz w:val="24"/>
          <w:szCs w:val="24"/>
        </w:rPr>
        <w:t>170</w:t>
      </w:r>
      <w:r w:rsidRPr="000749B2">
        <w:rPr>
          <w:rFonts w:ascii="Book Antiqua" w:hAnsi="Book Antiqua"/>
          <w:sz w:val="24"/>
          <w:szCs w:val="24"/>
        </w:rPr>
        <w:t>: 1077-1085 [PMID: 17322390 DOI: 10.2353/ajpath.2007.060773]</w:t>
      </w:r>
    </w:p>
    <w:p w14:paraId="4BD0E38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300 </w:t>
      </w:r>
      <w:r w:rsidRPr="000749B2">
        <w:rPr>
          <w:rFonts w:ascii="Book Antiqua" w:hAnsi="Book Antiqua"/>
          <w:b/>
          <w:sz w:val="24"/>
          <w:szCs w:val="24"/>
        </w:rPr>
        <w:t>Klose J</w:t>
      </w:r>
      <w:r w:rsidRPr="000749B2">
        <w:rPr>
          <w:rFonts w:ascii="Book Antiqua" w:hAnsi="Book Antiqua"/>
          <w:sz w:val="24"/>
          <w:szCs w:val="24"/>
        </w:rPr>
        <w:t>, Eissele J, Volz C, Schmitt S, Ritter A, Ying S, Schmidt T, Heger U, Schneider M, Ulrich A. Salinomycin inhibits metastatic colorectal cancer growth and interferes with Wnt/β-catenin signaling in CD133</w:t>
      </w:r>
      <w:r w:rsidRPr="000749B2">
        <w:rPr>
          <w:rFonts w:ascii="Book Antiqua" w:hAnsi="Book Antiqua"/>
          <w:sz w:val="24"/>
          <w:szCs w:val="24"/>
          <w:vertAlign w:val="superscript"/>
        </w:rPr>
        <w:t>+</w:t>
      </w:r>
      <w:r w:rsidRPr="000749B2">
        <w:rPr>
          <w:rFonts w:ascii="Book Antiqua" w:hAnsi="Book Antiqua"/>
          <w:sz w:val="24"/>
          <w:szCs w:val="24"/>
        </w:rPr>
        <w:t xml:space="preserve"> human colorectal cancer cells. </w:t>
      </w:r>
      <w:r w:rsidRPr="000749B2">
        <w:rPr>
          <w:rFonts w:ascii="Book Antiqua" w:hAnsi="Book Antiqua"/>
          <w:i/>
          <w:sz w:val="24"/>
          <w:szCs w:val="24"/>
        </w:rPr>
        <w:t>BMC Cancer</w:t>
      </w:r>
      <w:r w:rsidRPr="000749B2">
        <w:rPr>
          <w:rFonts w:ascii="Book Antiqua" w:hAnsi="Book Antiqua"/>
          <w:sz w:val="24"/>
          <w:szCs w:val="24"/>
        </w:rPr>
        <w:t xml:space="preserve"> 2016; </w:t>
      </w:r>
      <w:r w:rsidRPr="000749B2">
        <w:rPr>
          <w:rFonts w:ascii="Book Antiqua" w:hAnsi="Book Antiqua"/>
          <w:b/>
          <w:sz w:val="24"/>
          <w:szCs w:val="24"/>
        </w:rPr>
        <w:t>16</w:t>
      </w:r>
      <w:r w:rsidRPr="000749B2">
        <w:rPr>
          <w:rFonts w:ascii="Book Antiqua" w:hAnsi="Book Antiqua"/>
          <w:sz w:val="24"/>
          <w:szCs w:val="24"/>
        </w:rPr>
        <w:t>: 896 [PMID: 27855654 DOI: 10.1186/s12885-016-2879-8]</w:t>
      </w:r>
    </w:p>
    <w:p w14:paraId="27B667C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301 </w:t>
      </w:r>
      <w:r w:rsidRPr="000749B2">
        <w:rPr>
          <w:rFonts w:ascii="Book Antiqua" w:hAnsi="Book Antiqua"/>
          <w:b/>
          <w:sz w:val="24"/>
          <w:szCs w:val="24"/>
        </w:rPr>
        <w:t>Alamo P</w:t>
      </w:r>
      <w:r w:rsidRPr="000749B2">
        <w:rPr>
          <w:rFonts w:ascii="Book Antiqua" w:hAnsi="Book Antiqua"/>
          <w:sz w:val="24"/>
          <w:szCs w:val="24"/>
        </w:rPr>
        <w:t xml:space="preserve">, Gallardo A, Pavón MA, Casanova I, Trias M, Mangues MA, Vázquez E, Villaverde A, Mangues R, Céspedes MV. Subcutaneous preconditioning increases invasion and metastatic dissemination in mouse colorectal cancer models. </w:t>
      </w:r>
      <w:r w:rsidRPr="000749B2">
        <w:rPr>
          <w:rFonts w:ascii="Book Antiqua" w:hAnsi="Book Antiqua"/>
          <w:i/>
          <w:sz w:val="24"/>
          <w:szCs w:val="24"/>
        </w:rPr>
        <w:t>Dis Model Mech</w:t>
      </w:r>
      <w:r w:rsidRPr="000749B2">
        <w:rPr>
          <w:rFonts w:ascii="Book Antiqua" w:hAnsi="Book Antiqua"/>
          <w:sz w:val="24"/>
          <w:szCs w:val="24"/>
        </w:rPr>
        <w:t xml:space="preserve"> 2014; </w:t>
      </w:r>
      <w:r w:rsidRPr="000749B2">
        <w:rPr>
          <w:rFonts w:ascii="Book Antiqua" w:hAnsi="Book Antiqua"/>
          <w:b/>
          <w:sz w:val="24"/>
          <w:szCs w:val="24"/>
        </w:rPr>
        <w:t>7</w:t>
      </w:r>
      <w:r w:rsidRPr="000749B2">
        <w:rPr>
          <w:rFonts w:ascii="Book Antiqua" w:hAnsi="Book Antiqua"/>
          <w:sz w:val="24"/>
          <w:szCs w:val="24"/>
        </w:rPr>
        <w:t>: 387-396 [PMID: 24487410 DOI: 10.1242/dmm.013995]</w:t>
      </w:r>
    </w:p>
    <w:p w14:paraId="1BB8D334" w14:textId="26106FC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302 </w:t>
      </w:r>
      <w:r w:rsidRPr="000749B2">
        <w:rPr>
          <w:rFonts w:ascii="Book Antiqua" w:hAnsi="Book Antiqua"/>
          <w:b/>
          <w:sz w:val="24"/>
          <w:szCs w:val="24"/>
        </w:rPr>
        <w:t>Schulz P,</w:t>
      </w:r>
      <w:r w:rsidR="004077FE" w:rsidRPr="000749B2">
        <w:rPr>
          <w:rFonts w:ascii="Book Antiqua" w:hAnsi="Book Antiqua"/>
          <w:sz w:val="24"/>
          <w:szCs w:val="24"/>
        </w:rPr>
        <w:t xml:space="preserve"> </w:t>
      </w:r>
      <w:r w:rsidRPr="000749B2">
        <w:rPr>
          <w:rFonts w:ascii="Book Antiqua" w:hAnsi="Book Antiqua"/>
          <w:sz w:val="24"/>
          <w:szCs w:val="24"/>
        </w:rPr>
        <w:t xml:space="preserve">Dierkes C, Wiedenmann B, Grötzinger C. Near-Infrared Confocal Laser Endomicroscopy Detects Colorectal Cancer via an Integrin αvβ3 Optical Probe. </w:t>
      </w:r>
      <w:r w:rsidRPr="000749B2">
        <w:rPr>
          <w:rFonts w:ascii="Book Antiqua" w:hAnsi="Book Antiqua"/>
          <w:i/>
          <w:iCs/>
          <w:sz w:val="24"/>
          <w:szCs w:val="24"/>
        </w:rPr>
        <w:t>Mol Imaging Bio</w:t>
      </w:r>
      <w:r w:rsidRPr="000749B2">
        <w:rPr>
          <w:rFonts w:ascii="Book Antiqua" w:hAnsi="Book Antiqua"/>
          <w:sz w:val="24"/>
          <w:szCs w:val="24"/>
        </w:rPr>
        <w:t xml:space="preserve"> 2015; </w:t>
      </w:r>
      <w:r w:rsidRPr="000749B2">
        <w:rPr>
          <w:rFonts w:ascii="Book Antiqua" w:hAnsi="Book Antiqua"/>
          <w:b/>
          <w:bCs/>
          <w:sz w:val="24"/>
          <w:szCs w:val="24"/>
        </w:rPr>
        <w:t>17</w:t>
      </w:r>
      <w:r w:rsidRPr="000749B2">
        <w:rPr>
          <w:rFonts w:ascii="Book Antiqua" w:hAnsi="Book Antiqua"/>
          <w:sz w:val="24"/>
          <w:szCs w:val="24"/>
        </w:rPr>
        <w:t xml:space="preserve">: 450–460 </w:t>
      </w:r>
      <w:r w:rsidR="000E7006" w:rsidRPr="000749B2">
        <w:rPr>
          <w:rFonts w:ascii="Book Antiqua" w:hAnsi="Book Antiqua"/>
          <w:sz w:val="24"/>
          <w:szCs w:val="24"/>
        </w:rPr>
        <w:t xml:space="preserve">[DOI: </w:t>
      </w:r>
      <w:r w:rsidRPr="000749B2">
        <w:rPr>
          <w:rFonts w:ascii="Book Antiqua" w:hAnsi="Book Antiqua"/>
          <w:sz w:val="24"/>
          <w:szCs w:val="24"/>
        </w:rPr>
        <w:t>10.1007/s11307-015-0825-9</w:t>
      </w:r>
      <w:r w:rsidR="000E7006" w:rsidRPr="000749B2">
        <w:rPr>
          <w:rFonts w:ascii="Book Antiqua" w:hAnsi="Book Antiqua"/>
          <w:sz w:val="24"/>
          <w:szCs w:val="24"/>
        </w:rPr>
        <w:t>]</w:t>
      </w:r>
    </w:p>
    <w:p w14:paraId="1C8B406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303 </w:t>
      </w:r>
      <w:r w:rsidRPr="000749B2">
        <w:rPr>
          <w:rFonts w:ascii="Book Antiqua" w:hAnsi="Book Antiqua"/>
          <w:b/>
          <w:sz w:val="24"/>
          <w:szCs w:val="24"/>
        </w:rPr>
        <w:t>Künzli BM</w:t>
      </w:r>
      <w:r w:rsidRPr="000749B2">
        <w:rPr>
          <w:rFonts w:ascii="Book Antiqua" w:hAnsi="Book Antiqua"/>
          <w:sz w:val="24"/>
          <w:szCs w:val="24"/>
        </w:rPr>
        <w:t xml:space="preserve">, Bernlochner MI, Rath S, Käser S, Csizmadia E, Enjyoji K, Cowan P, d'Apice A, Dwyer K, Rosenberg R, Perren A, Friess H, Maurer CA, Robson SC. Impact of CD39 and purinergic signalling on the growth and metastasis of colorectal cancer. </w:t>
      </w:r>
      <w:r w:rsidRPr="000749B2">
        <w:rPr>
          <w:rFonts w:ascii="Book Antiqua" w:hAnsi="Book Antiqua"/>
          <w:i/>
          <w:sz w:val="24"/>
          <w:szCs w:val="24"/>
        </w:rPr>
        <w:t>Purinergic Signal</w:t>
      </w:r>
      <w:r w:rsidRPr="000749B2">
        <w:rPr>
          <w:rFonts w:ascii="Book Antiqua" w:hAnsi="Book Antiqua"/>
          <w:sz w:val="24"/>
          <w:szCs w:val="24"/>
        </w:rPr>
        <w:t xml:space="preserve"> 2011; </w:t>
      </w:r>
      <w:r w:rsidRPr="000749B2">
        <w:rPr>
          <w:rFonts w:ascii="Book Antiqua" w:hAnsi="Book Antiqua"/>
          <w:b/>
          <w:sz w:val="24"/>
          <w:szCs w:val="24"/>
        </w:rPr>
        <w:t>7</w:t>
      </w:r>
      <w:r w:rsidRPr="000749B2">
        <w:rPr>
          <w:rFonts w:ascii="Book Antiqua" w:hAnsi="Book Antiqua"/>
          <w:sz w:val="24"/>
          <w:szCs w:val="24"/>
        </w:rPr>
        <w:t>: 231-241 [PMID: 21484085 DOI: 10.1007/s11302-011-9228-9]</w:t>
      </w:r>
    </w:p>
    <w:p w14:paraId="25330A2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304 </w:t>
      </w:r>
      <w:r w:rsidRPr="000749B2">
        <w:rPr>
          <w:rFonts w:ascii="Book Antiqua" w:hAnsi="Book Antiqua"/>
          <w:b/>
          <w:sz w:val="24"/>
          <w:szCs w:val="24"/>
        </w:rPr>
        <w:t>Lee WY</w:t>
      </w:r>
      <w:r w:rsidRPr="000749B2">
        <w:rPr>
          <w:rFonts w:ascii="Book Antiqua" w:hAnsi="Book Antiqua"/>
          <w:sz w:val="24"/>
          <w:szCs w:val="24"/>
        </w:rPr>
        <w:t xml:space="preserve">, Hong HK, Ham SK, Kim CI, Cho YB. Comparison of colorectal cancer in differentially established liver metastasis models. </w:t>
      </w:r>
      <w:r w:rsidRPr="000749B2">
        <w:rPr>
          <w:rFonts w:ascii="Book Antiqua" w:hAnsi="Book Antiqua"/>
          <w:i/>
          <w:sz w:val="24"/>
          <w:szCs w:val="24"/>
        </w:rPr>
        <w:t>Anticancer Res</w:t>
      </w:r>
      <w:r w:rsidRPr="000749B2">
        <w:rPr>
          <w:rFonts w:ascii="Book Antiqua" w:hAnsi="Book Antiqua"/>
          <w:sz w:val="24"/>
          <w:szCs w:val="24"/>
        </w:rPr>
        <w:t xml:space="preserve"> 2014; </w:t>
      </w:r>
      <w:r w:rsidRPr="000749B2">
        <w:rPr>
          <w:rFonts w:ascii="Book Antiqua" w:hAnsi="Book Antiqua"/>
          <w:b/>
          <w:sz w:val="24"/>
          <w:szCs w:val="24"/>
        </w:rPr>
        <w:t>34</w:t>
      </w:r>
      <w:r w:rsidRPr="000749B2">
        <w:rPr>
          <w:rFonts w:ascii="Book Antiqua" w:hAnsi="Book Antiqua"/>
          <w:sz w:val="24"/>
          <w:szCs w:val="24"/>
        </w:rPr>
        <w:t>: 3321-3328 [PMID: 24982336]</w:t>
      </w:r>
    </w:p>
    <w:p w14:paraId="32189C3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305 </w:t>
      </w:r>
      <w:r w:rsidRPr="000749B2">
        <w:rPr>
          <w:rFonts w:ascii="Book Antiqua" w:hAnsi="Book Antiqua"/>
          <w:b/>
          <w:sz w:val="24"/>
          <w:szCs w:val="24"/>
        </w:rPr>
        <w:t>Sasaki H</w:t>
      </w:r>
      <w:r w:rsidRPr="000749B2">
        <w:rPr>
          <w:rFonts w:ascii="Book Antiqua" w:hAnsi="Book Antiqua"/>
          <w:sz w:val="24"/>
          <w:szCs w:val="24"/>
        </w:rPr>
        <w:t xml:space="preserve">, Miura K, Horii A, Kaneko N, Fujibuchi W, Kiseleva L, Gu Z, Murata Y, Karasawa H, Mizoi T, Kobayashi T, Kinouchi M, Ohnuma S, Yazaki N, Unno M, Sasaki I. Orthotopic implantation mouse model and cDNA microarray analysis indicates several genes potentially involved in lymph node metastasis of colorectal cancer. </w:t>
      </w:r>
      <w:r w:rsidRPr="000749B2">
        <w:rPr>
          <w:rFonts w:ascii="Book Antiqua" w:hAnsi="Book Antiqua"/>
          <w:i/>
          <w:sz w:val="24"/>
          <w:szCs w:val="24"/>
        </w:rPr>
        <w:t>Cancer Sci</w:t>
      </w:r>
      <w:r w:rsidRPr="000749B2">
        <w:rPr>
          <w:rFonts w:ascii="Book Antiqua" w:hAnsi="Book Antiqua"/>
          <w:sz w:val="24"/>
          <w:szCs w:val="24"/>
        </w:rPr>
        <w:t xml:space="preserve"> 2008; </w:t>
      </w:r>
      <w:r w:rsidRPr="000749B2">
        <w:rPr>
          <w:rFonts w:ascii="Book Antiqua" w:hAnsi="Book Antiqua"/>
          <w:b/>
          <w:sz w:val="24"/>
          <w:szCs w:val="24"/>
        </w:rPr>
        <w:t>99</w:t>
      </w:r>
      <w:r w:rsidRPr="000749B2">
        <w:rPr>
          <w:rFonts w:ascii="Book Antiqua" w:hAnsi="Book Antiqua"/>
          <w:sz w:val="24"/>
          <w:szCs w:val="24"/>
        </w:rPr>
        <w:t>: 711-719 [PMID: 18307535 DOI: 10.1111/j.1349-7006.2008.00725.x]</w:t>
      </w:r>
    </w:p>
    <w:p w14:paraId="752D7FA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306 </w:t>
      </w:r>
      <w:r w:rsidRPr="000749B2">
        <w:rPr>
          <w:rFonts w:ascii="Book Antiqua" w:hAnsi="Book Antiqua"/>
          <w:b/>
          <w:sz w:val="24"/>
          <w:szCs w:val="24"/>
        </w:rPr>
        <w:t>Tang W</w:t>
      </w:r>
      <w:r w:rsidRPr="000749B2">
        <w:rPr>
          <w:rFonts w:ascii="Book Antiqua" w:hAnsi="Book Antiqua"/>
          <w:sz w:val="24"/>
          <w:szCs w:val="24"/>
        </w:rPr>
        <w:t xml:space="preserve">, Zhu Y, Gao J, Fu J, Liu C, Liu Y, Song C, Zhu S, Leng Y, Wang G, Chen W, Du P, Huang S, Zhou X, Kang J, Cui L. MicroRNA-29a promotes colorectal cancer metastasis by regulating matrix metalloproteinase 2 and E-cadherin via KLF4. </w:t>
      </w:r>
      <w:r w:rsidRPr="000749B2">
        <w:rPr>
          <w:rFonts w:ascii="Book Antiqua" w:hAnsi="Book Antiqua"/>
          <w:i/>
          <w:sz w:val="24"/>
          <w:szCs w:val="24"/>
        </w:rPr>
        <w:t>Br J Cancer</w:t>
      </w:r>
      <w:r w:rsidRPr="000749B2">
        <w:rPr>
          <w:rFonts w:ascii="Book Antiqua" w:hAnsi="Book Antiqua"/>
          <w:sz w:val="24"/>
          <w:szCs w:val="24"/>
        </w:rPr>
        <w:t xml:space="preserve"> 2014; </w:t>
      </w:r>
      <w:r w:rsidRPr="000749B2">
        <w:rPr>
          <w:rFonts w:ascii="Book Antiqua" w:hAnsi="Book Antiqua"/>
          <w:b/>
          <w:sz w:val="24"/>
          <w:szCs w:val="24"/>
        </w:rPr>
        <w:t>110</w:t>
      </w:r>
      <w:r w:rsidRPr="000749B2">
        <w:rPr>
          <w:rFonts w:ascii="Book Antiqua" w:hAnsi="Book Antiqua"/>
          <w:sz w:val="24"/>
          <w:szCs w:val="24"/>
        </w:rPr>
        <w:t>: 450-458 [PMID: 24281002 DOI: 10.1038/bjc.2013.724]</w:t>
      </w:r>
    </w:p>
    <w:p w14:paraId="6D8656A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307 </w:t>
      </w:r>
      <w:r w:rsidRPr="000749B2">
        <w:rPr>
          <w:rFonts w:ascii="Book Antiqua" w:hAnsi="Book Antiqua"/>
          <w:b/>
          <w:sz w:val="24"/>
          <w:szCs w:val="24"/>
        </w:rPr>
        <w:t>Alamo P</w:t>
      </w:r>
      <w:r w:rsidRPr="000749B2">
        <w:rPr>
          <w:rFonts w:ascii="Book Antiqua" w:hAnsi="Book Antiqua"/>
          <w:sz w:val="24"/>
          <w:szCs w:val="24"/>
        </w:rPr>
        <w:t xml:space="preserve">, Gallardo A, Di Nicolantonio F, Pavón MA, Casanova I, Trias M, Mangues MA, Lopez-Pousa A, Villaverde A, Vázquez E, Bardelli A, Céspedes MV, </w:t>
      </w:r>
      <w:r w:rsidRPr="000749B2">
        <w:rPr>
          <w:rFonts w:ascii="Book Antiqua" w:hAnsi="Book Antiqua"/>
          <w:sz w:val="24"/>
          <w:szCs w:val="24"/>
        </w:rPr>
        <w:lastRenderedPageBreak/>
        <w:t xml:space="preserve">Mangues R. Higher metastatic efficiency of KRas G12V than KRas G13D in a colorectal cancer model. </w:t>
      </w:r>
      <w:r w:rsidRPr="000749B2">
        <w:rPr>
          <w:rFonts w:ascii="Book Antiqua" w:hAnsi="Book Antiqua"/>
          <w:i/>
          <w:sz w:val="24"/>
          <w:szCs w:val="24"/>
        </w:rPr>
        <w:t>FASEB J</w:t>
      </w:r>
      <w:r w:rsidRPr="000749B2">
        <w:rPr>
          <w:rFonts w:ascii="Book Antiqua" w:hAnsi="Book Antiqua"/>
          <w:sz w:val="24"/>
          <w:szCs w:val="24"/>
        </w:rPr>
        <w:t xml:space="preserve"> 2015; </w:t>
      </w:r>
      <w:r w:rsidRPr="000749B2">
        <w:rPr>
          <w:rFonts w:ascii="Book Antiqua" w:hAnsi="Book Antiqua"/>
          <w:b/>
          <w:sz w:val="24"/>
          <w:szCs w:val="24"/>
        </w:rPr>
        <w:t>29</w:t>
      </w:r>
      <w:r w:rsidRPr="000749B2">
        <w:rPr>
          <w:rFonts w:ascii="Book Antiqua" w:hAnsi="Book Antiqua"/>
          <w:sz w:val="24"/>
          <w:szCs w:val="24"/>
        </w:rPr>
        <w:t>: 464-476 [PMID: 25359494 DOI: 10.1096/fj.14-262303]</w:t>
      </w:r>
    </w:p>
    <w:p w14:paraId="55B6EE4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308 </w:t>
      </w:r>
      <w:r w:rsidRPr="000749B2">
        <w:rPr>
          <w:rFonts w:ascii="Book Antiqua" w:hAnsi="Book Antiqua"/>
          <w:b/>
          <w:sz w:val="24"/>
          <w:szCs w:val="24"/>
        </w:rPr>
        <w:t>Chen HN</w:t>
      </w:r>
      <w:r w:rsidRPr="000749B2">
        <w:rPr>
          <w:rFonts w:ascii="Book Antiqua" w:hAnsi="Book Antiqua"/>
          <w:sz w:val="24"/>
          <w:szCs w:val="24"/>
        </w:rPr>
        <w:t xml:space="preserve">, Yuan K, Xie N, Wang K, Huang Z, Chen Y, Dou Q, Wu M, Nice EC, Zhou ZG, Huang C. PDLIM1 Stabilizes the E-Cadherin/β-Catenin Complex to Prevent Epithelial-Mesenchymal Transition and Metastatic Potential of Colorectal Cancer Cells. </w:t>
      </w:r>
      <w:r w:rsidRPr="000749B2">
        <w:rPr>
          <w:rFonts w:ascii="Book Antiqua" w:hAnsi="Book Antiqua"/>
          <w:i/>
          <w:sz w:val="24"/>
          <w:szCs w:val="24"/>
        </w:rPr>
        <w:t>Cancer Res</w:t>
      </w:r>
      <w:r w:rsidRPr="000749B2">
        <w:rPr>
          <w:rFonts w:ascii="Book Antiqua" w:hAnsi="Book Antiqua"/>
          <w:sz w:val="24"/>
          <w:szCs w:val="24"/>
        </w:rPr>
        <w:t xml:space="preserve"> 2016; </w:t>
      </w:r>
      <w:r w:rsidRPr="000749B2">
        <w:rPr>
          <w:rFonts w:ascii="Book Antiqua" w:hAnsi="Book Antiqua"/>
          <w:b/>
          <w:sz w:val="24"/>
          <w:szCs w:val="24"/>
        </w:rPr>
        <w:t>76</w:t>
      </w:r>
      <w:r w:rsidRPr="000749B2">
        <w:rPr>
          <w:rFonts w:ascii="Book Antiqua" w:hAnsi="Book Antiqua"/>
          <w:sz w:val="24"/>
          <w:szCs w:val="24"/>
        </w:rPr>
        <w:t>: 1122-1134 [PMID: 26701804 DOI: 10.1158/0008-5472.CAN-15-1962]</w:t>
      </w:r>
    </w:p>
    <w:p w14:paraId="65DF064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309 </w:t>
      </w:r>
      <w:r w:rsidRPr="000749B2">
        <w:rPr>
          <w:rFonts w:ascii="Book Antiqua" w:hAnsi="Book Antiqua"/>
          <w:b/>
          <w:sz w:val="24"/>
          <w:szCs w:val="24"/>
        </w:rPr>
        <w:t>Meunier K</w:t>
      </w:r>
      <w:r w:rsidRPr="000749B2">
        <w:rPr>
          <w:rFonts w:ascii="Book Antiqua" w:hAnsi="Book Antiqua"/>
          <w:sz w:val="24"/>
          <w:szCs w:val="24"/>
        </w:rPr>
        <w:t xml:space="preserve">, Ferron M, Calmel C, Fléjou JF, Pocard M, Praz F. Impact of MLH1 expression on tumor evolution after curative surgical tumor resection in a murine orthotopic xenograft model for human MSI colon cancer. </w:t>
      </w:r>
      <w:r w:rsidRPr="000749B2">
        <w:rPr>
          <w:rFonts w:ascii="Book Antiqua" w:hAnsi="Book Antiqua"/>
          <w:i/>
          <w:sz w:val="24"/>
          <w:szCs w:val="24"/>
        </w:rPr>
        <w:t>Genes Chromosomes Cancer</w:t>
      </w:r>
      <w:r w:rsidRPr="000749B2">
        <w:rPr>
          <w:rFonts w:ascii="Book Antiqua" w:hAnsi="Book Antiqua"/>
          <w:sz w:val="24"/>
          <w:szCs w:val="24"/>
        </w:rPr>
        <w:t xml:space="preserve"> 2017; </w:t>
      </w:r>
      <w:r w:rsidRPr="000749B2">
        <w:rPr>
          <w:rFonts w:ascii="Book Antiqua" w:hAnsi="Book Antiqua"/>
          <w:b/>
          <w:sz w:val="24"/>
          <w:szCs w:val="24"/>
        </w:rPr>
        <w:t>56</w:t>
      </w:r>
      <w:r w:rsidRPr="000749B2">
        <w:rPr>
          <w:rFonts w:ascii="Book Antiqua" w:hAnsi="Book Antiqua"/>
          <w:sz w:val="24"/>
          <w:szCs w:val="24"/>
        </w:rPr>
        <w:t>: 681-690 [PMID: 28512763 DOI: 10.1002/gcc.22472]</w:t>
      </w:r>
    </w:p>
    <w:p w14:paraId="37FFF93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310 </w:t>
      </w:r>
      <w:r w:rsidRPr="000749B2">
        <w:rPr>
          <w:rFonts w:ascii="Book Antiqua" w:hAnsi="Book Antiqua"/>
          <w:b/>
          <w:sz w:val="24"/>
          <w:szCs w:val="24"/>
        </w:rPr>
        <w:t>Xu H</w:t>
      </w:r>
      <w:r w:rsidRPr="000749B2">
        <w:rPr>
          <w:rFonts w:ascii="Book Antiqua" w:hAnsi="Book Antiqua"/>
          <w:sz w:val="24"/>
          <w:szCs w:val="24"/>
        </w:rPr>
        <w:t xml:space="preserve">, Zhang Y, Peña MM, Pirisi L, Creek KE. Six1 promotes colorectal cancer growth and metastasis by stimulating angiogenesis and recruiting tumor-associated macrophages. </w:t>
      </w:r>
      <w:r w:rsidRPr="000749B2">
        <w:rPr>
          <w:rFonts w:ascii="Book Antiqua" w:hAnsi="Book Antiqua"/>
          <w:i/>
          <w:sz w:val="24"/>
          <w:szCs w:val="24"/>
        </w:rPr>
        <w:t>Carcinogenesis</w:t>
      </w:r>
      <w:r w:rsidRPr="000749B2">
        <w:rPr>
          <w:rFonts w:ascii="Book Antiqua" w:hAnsi="Book Antiqua"/>
          <w:sz w:val="24"/>
          <w:szCs w:val="24"/>
        </w:rPr>
        <w:t xml:space="preserve"> 2017; </w:t>
      </w:r>
      <w:r w:rsidRPr="000749B2">
        <w:rPr>
          <w:rFonts w:ascii="Book Antiqua" w:hAnsi="Book Antiqua"/>
          <w:b/>
          <w:sz w:val="24"/>
          <w:szCs w:val="24"/>
        </w:rPr>
        <w:t>38</w:t>
      </w:r>
      <w:r w:rsidRPr="000749B2">
        <w:rPr>
          <w:rFonts w:ascii="Book Antiqua" w:hAnsi="Book Antiqua"/>
          <w:sz w:val="24"/>
          <w:szCs w:val="24"/>
        </w:rPr>
        <w:t>: 281-292 [PMID: 28199476 DOI: 10.1093/carcin/bgw121]</w:t>
      </w:r>
    </w:p>
    <w:p w14:paraId="72090B7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311 </w:t>
      </w:r>
      <w:r w:rsidRPr="000749B2">
        <w:rPr>
          <w:rFonts w:ascii="Book Antiqua" w:hAnsi="Book Antiqua"/>
          <w:b/>
          <w:sz w:val="24"/>
          <w:szCs w:val="24"/>
        </w:rPr>
        <w:t>Paulson B</w:t>
      </w:r>
      <w:r w:rsidRPr="000749B2">
        <w:rPr>
          <w:rFonts w:ascii="Book Antiqua" w:hAnsi="Book Antiqua"/>
          <w:sz w:val="24"/>
          <w:szCs w:val="24"/>
        </w:rPr>
        <w:t xml:space="preserve">, Kim IH, Namgoong JM, Kim YG, Lee S, Moon Y, Shin DM, Choo MS, Kim JK. Longitudinal micro-endoscopic monitoring of high-success intramucosal xenografts for mouse models of colorectal cancer. </w:t>
      </w:r>
      <w:r w:rsidRPr="000749B2">
        <w:rPr>
          <w:rFonts w:ascii="Book Antiqua" w:hAnsi="Book Antiqua"/>
          <w:i/>
          <w:sz w:val="24"/>
          <w:szCs w:val="24"/>
        </w:rPr>
        <w:t>Int J Med Sci</w:t>
      </w:r>
      <w:r w:rsidRPr="000749B2">
        <w:rPr>
          <w:rFonts w:ascii="Book Antiqua" w:hAnsi="Book Antiqua"/>
          <w:sz w:val="24"/>
          <w:szCs w:val="24"/>
        </w:rPr>
        <w:t xml:space="preserve"> 2019; </w:t>
      </w:r>
      <w:r w:rsidRPr="000749B2">
        <w:rPr>
          <w:rFonts w:ascii="Book Antiqua" w:hAnsi="Book Antiqua"/>
          <w:b/>
          <w:sz w:val="24"/>
          <w:szCs w:val="24"/>
        </w:rPr>
        <w:t>16</w:t>
      </w:r>
      <w:r w:rsidRPr="000749B2">
        <w:rPr>
          <w:rFonts w:ascii="Book Antiqua" w:hAnsi="Book Antiqua"/>
          <w:sz w:val="24"/>
          <w:szCs w:val="24"/>
        </w:rPr>
        <w:t>: 1453-1460 [PMID: 31673236 DOI: 10.7150/ijms.35666]</w:t>
      </w:r>
    </w:p>
    <w:p w14:paraId="60090B6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312 </w:t>
      </w:r>
      <w:r w:rsidRPr="000749B2">
        <w:rPr>
          <w:rFonts w:ascii="Book Antiqua" w:hAnsi="Book Antiqua"/>
          <w:b/>
          <w:sz w:val="24"/>
          <w:szCs w:val="24"/>
        </w:rPr>
        <w:t>Enquist IB</w:t>
      </w:r>
      <w:r w:rsidRPr="000749B2">
        <w:rPr>
          <w:rFonts w:ascii="Book Antiqua" w:hAnsi="Book Antiqua"/>
          <w:sz w:val="24"/>
          <w:szCs w:val="24"/>
        </w:rPr>
        <w:t xml:space="preserve">, Good Z, Jubb AM, Fuh G, Wang X, Junttila MR, Jackson EL, Leong KG. Lymph node-independent liver metastasis in a model of metastatic colorectal cancer. </w:t>
      </w:r>
      <w:r w:rsidRPr="000749B2">
        <w:rPr>
          <w:rFonts w:ascii="Book Antiqua" w:hAnsi="Book Antiqua"/>
          <w:i/>
          <w:sz w:val="24"/>
          <w:szCs w:val="24"/>
        </w:rPr>
        <w:t>Nat Commun</w:t>
      </w:r>
      <w:r w:rsidRPr="000749B2">
        <w:rPr>
          <w:rFonts w:ascii="Book Antiqua" w:hAnsi="Book Antiqua"/>
          <w:sz w:val="24"/>
          <w:szCs w:val="24"/>
        </w:rPr>
        <w:t xml:space="preserve"> 2014; </w:t>
      </w:r>
      <w:r w:rsidRPr="000749B2">
        <w:rPr>
          <w:rFonts w:ascii="Book Antiqua" w:hAnsi="Book Antiqua"/>
          <w:b/>
          <w:sz w:val="24"/>
          <w:szCs w:val="24"/>
        </w:rPr>
        <w:t>5</w:t>
      </w:r>
      <w:r w:rsidRPr="000749B2">
        <w:rPr>
          <w:rFonts w:ascii="Book Antiqua" w:hAnsi="Book Antiqua"/>
          <w:sz w:val="24"/>
          <w:szCs w:val="24"/>
        </w:rPr>
        <w:t>: 3530 [PMID: 24667486 DOI: 10.1038/ncomms4530]</w:t>
      </w:r>
    </w:p>
    <w:p w14:paraId="560732F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313 </w:t>
      </w:r>
      <w:r w:rsidRPr="000749B2">
        <w:rPr>
          <w:rFonts w:ascii="Book Antiqua" w:hAnsi="Book Antiqua"/>
          <w:b/>
          <w:sz w:val="24"/>
          <w:szCs w:val="24"/>
        </w:rPr>
        <w:t>Rapic S</w:t>
      </w:r>
      <w:r w:rsidRPr="000749B2">
        <w:rPr>
          <w:rFonts w:ascii="Book Antiqua" w:hAnsi="Book Antiqua"/>
          <w:sz w:val="24"/>
          <w:szCs w:val="24"/>
        </w:rPr>
        <w:t xml:space="preserve">, Vangestel C, Verhaeghe J, Van den Wyngaert T, Hinz R, Verhoye M, Pauwels P, Staelens S, Stroobants S. Characterization of an Orthotopic Colorectal Cancer Mouse Model and Its Feasibility for Accurate Quantification in Positron Emission Tomography. </w:t>
      </w:r>
      <w:r w:rsidRPr="000749B2">
        <w:rPr>
          <w:rFonts w:ascii="Book Antiqua" w:hAnsi="Book Antiqua"/>
          <w:i/>
          <w:sz w:val="24"/>
          <w:szCs w:val="24"/>
        </w:rPr>
        <w:t>Mol Imaging Biol</w:t>
      </w:r>
      <w:r w:rsidRPr="000749B2">
        <w:rPr>
          <w:rFonts w:ascii="Book Antiqua" w:hAnsi="Book Antiqua"/>
          <w:sz w:val="24"/>
          <w:szCs w:val="24"/>
        </w:rPr>
        <w:t xml:space="preserve"> 2017; </w:t>
      </w:r>
      <w:r w:rsidRPr="000749B2">
        <w:rPr>
          <w:rFonts w:ascii="Book Antiqua" w:hAnsi="Book Antiqua"/>
          <w:b/>
          <w:sz w:val="24"/>
          <w:szCs w:val="24"/>
        </w:rPr>
        <w:t>19</w:t>
      </w:r>
      <w:r w:rsidRPr="000749B2">
        <w:rPr>
          <w:rFonts w:ascii="Book Antiqua" w:hAnsi="Book Antiqua"/>
          <w:sz w:val="24"/>
          <w:szCs w:val="24"/>
        </w:rPr>
        <w:t>: 762-771 [PMID: 28194632 DOI: 10.1007/s11307-017-1051-4]</w:t>
      </w:r>
    </w:p>
    <w:p w14:paraId="6D3B826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314 </w:t>
      </w:r>
      <w:r w:rsidRPr="000749B2">
        <w:rPr>
          <w:rFonts w:ascii="Book Antiqua" w:hAnsi="Book Antiqua"/>
          <w:b/>
          <w:sz w:val="24"/>
          <w:szCs w:val="24"/>
        </w:rPr>
        <w:t>Mira A</w:t>
      </w:r>
      <w:r w:rsidRPr="000749B2">
        <w:rPr>
          <w:rFonts w:ascii="Book Antiqua" w:hAnsi="Book Antiqua"/>
          <w:sz w:val="24"/>
          <w:szCs w:val="24"/>
        </w:rPr>
        <w:t xml:space="preserve">, Morello V, Céspedes MV, Perera T, Comoglio PM, Mangues R, Michieli P. Stroma-derived HGF drives metabolic adaptation of colorectal cancer to </w:t>
      </w:r>
      <w:r w:rsidRPr="000749B2">
        <w:rPr>
          <w:rFonts w:ascii="Book Antiqua" w:hAnsi="Book Antiqua"/>
          <w:sz w:val="24"/>
          <w:szCs w:val="24"/>
        </w:rPr>
        <w:lastRenderedPageBreak/>
        <w:t xml:space="preserve">angiogenesis inhibitors. </w:t>
      </w:r>
      <w:r w:rsidRPr="000749B2">
        <w:rPr>
          <w:rFonts w:ascii="Book Antiqua" w:hAnsi="Book Antiqua"/>
          <w:i/>
          <w:sz w:val="24"/>
          <w:szCs w:val="24"/>
        </w:rPr>
        <w:t>Oncotarget</w:t>
      </w:r>
      <w:r w:rsidRPr="000749B2">
        <w:rPr>
          <w:rFonts w:ascii="Book Antiqua" w:hAnsi="Book Antiqua"/>
          <w:sz w:val="24"/>
          <w:szCs w:val="24"/>
        </w:rPr>
        <w:t xml:space="preserve"> 2017; </w:t>
      </w:r>
      <w:r w:rsidRPr="000749B2">
        <w:rPr>
          <w:rFonts w:ascii="Book Antiqua" w:hAnsi="Book Antiqua"/>
          <w:b/>
          <w:sz w:val="24"/>
          <w:szCs w:val="24"/>
        </w:rPr>
        <w:t>8</w:t>
      </w:r>
      <w:r w:rsidRPr="000749B2">
        <w:rPr>
          <w:rFonts w:ascii="Book Antiqua" w:hAnsi="Book Antiqua"/>
          <w:sz w:val="24"/>
          <w:szCs w:val="24"/>
        </w:rPr>
        <w:t>: 38193-38213 [PMID: 28445144 DOI: 10.18632/oncotarget.16942]</w:t>
      </w:r>
    </w:p>
    <w:p w14:paraId="1F0589C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315 </w:t>
      </w:r>
      <w:r w:rsidRPr="000749B2">
        <w:rPr>
          <w:rFonts w:ascii="Book Antiqua" w:hAnsi="Book Antiqua"/>
          <w:b/>
          <w:sz w:val="24"/>
          <w:szCs w:val="24"/>
        </w:rPr>
        <w:t>Afik R</w:t>
      </w:r>
      <w:r w:rsidRPr="000749B2">
        <w:rPr>
          <w:rFonts w:ascii="Book Antiqua" w:hAnsi="Book Antiqua"/>
          <w:sz w:val="24"/>
          <w:szCs w:val="24"/>
        </w:rPr>
        <w:t xml:space="preserve">, Zigmond E, Vugman M, Klepfish M, Shimshoni E, Pasmanik-Chor M, Shenoy A, Bassat E, Halpern Z, Geiger T, Sagi I, Varol C. Tumor macrophages are pivotal constructors of tumor collagenous matrix. </w:t>
      </w:r>
      <w:r w:rsidRPr="000749B2">
        <w:rPr>
          <w:rFonts w:ascii="Book Antiqua" w:hAnsi="Book Antiqua"/>
          <w:i/>
          <w:sz w:val="24"/>
          <w:szCs w:val="24"/>
        </w:rPr>
        <w:t>J Exp Med</w:t>
      </w:r>
      <w:r w:rsidRPr="000749B2">
        <w:rPr>
          <w:rFonts w:ascii="Book Antiqua" w:hAnsi="Book Antiqua"/>
          <w:sz w:val="24"/>
          <w:szCs w:val="24"/>
        </w:rPr>
        <w:t xml:space="preserve"> 2016; </w:t>
      </w:r>
      <w:r w:rsidRPr="000749B2">
        <w:rPr>
          <w:rFonts w:ascii="Book Antiqua" w:hAnsi="Book Antiqua"/>
          <w:b/>
          <w:sz w:val="24"/>
          <w:szCs w:val="24"/>
        </w:rPr>
        <w:t>213</w:t>
      </w:r>
      <w:r w:rsidRPr="000749B2">
        <w:rPr>
          <w:rFonts w:ascii="Book Antiqua" w:hAnsi="Book Antiqua"/>
          <w:sz w:val="24"/>
          <w:szCs w:val="24"/>
        </w:rPr>
        <w:t>: 2315-2331 [PMID: 27697834 DOI: 10.1084/jem.20151193]</w:t>
      </w:r>
    </w:p>
    <w:p w14:paraId="32823B6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316 </w:t>
      </w:r>
      <w:r w:rsidRPr="000749B2">
        <w:rPr>
          <w:rFonts w:ascii="Book Antiqua" w:hAnsi="Book Antiqua"/>
          <w:b/>
          <w:sz w:val="24"/>
          <w:szCs w:val="24"/>
        </w:rPr>
        <w:t>Hu CT</w:t>
      </w:r>
      <w:r w:rsidRPr="000749B2">
        <w:rPr>
          <w:rFonts w:ascii="Book Antiqua" w:hAnsi="Book Antiqua"/>
          <w:sz w:val="24"/>
          <w:szCs w:val="24"/>
        </w:rPr>
        <w:t xml:space="preserve">, Guo LL, Feng N, Zhang L, Zhou N, Ma LL, Shen L, Tong GH, Yan QW, Zhu SJ, Bian XW, Lai MD, Deng YJ, Ding YQ. MIF, secreted by human hepatic sinusoidal endothelial cells, promotes chemotaxis and outgrowth of colorectal cancer in liver prometastasis. </w:t>
      </w:r>
      <w:r w:rsidRPr="000749B2">
        <w:rPr>
          <w:rFonts w:ascii="Book Antiqua" w:hAnsi="Book Antiqua"/>
          <w:i/>
          <w:sz w:val="24"/>
          <w:szCs w:val="24"/>
        </w:rPr>
        <w:t>Oncotarget</w:t>
      </w:r>
      <w:r w:rsidRPr="000749B2">
        <w:rPr>
          <w:rFonts w:ascii="Book Antiqua" w:hAnsi="Book Antiqua"/>
          <w:sz w:val="24"/>
          <w:szCs w:val="24"/>
        </w:rPr>
        <w:t xml:space="preserve"> 2015; </w:t>
      </w:r>
      <w:r w:rsidRPr="000749B2">
        <w:rPr>
          <w:rFonts w:ascii="Book Antiqua" w:hAnsi="Book Antiqua"/>
          <w:b/>
          <w:sz w:val="24"/>
          <w:szCs w:val="24"/>
        </w:rPr>
        <w:t>6</w:t>
      </w:r>
      <w:r w:rsidRPr="000749B2">
        <w:rPr>
          <w:rFonts w:ascii="Book Antiqua" w:hAnsi="Book Antiqua"/>
          <w:sz w:val="24"/>
          <w:szCs w:val="24"/>
        </w:rPr>
        <w:t>: 22410-22423 [PMID: 26087187 DOI: 10.18632/oncotarget.4198]</w:t>
      </w:r>
    </w:p>
    <w:p w14:paraId="492CCDA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317 </w:t>
      </w:r>
      <w:r w:rsidRPr="000749B2">
        <w:rPr>
          <w:rFonts w:ascii="Book Antiqua" w:hAnsi="Book Antiqua"/>
          <w:b/>
          <w:sz w:val="24"/>
          <w:szCs w:val="24"/>
        </w:rPr>
        <w:t>Basilico C</w:t>
      </w:r>
      <w:r w:rsidRPr="000749B2">
        <w:rPr>
          <w:rFonts w:ascii="Book Antiqua" w:hAnsi="Book Antiqua"/>
          <w:sz w:val="24"/>
          <w:szCs w:val="24"/>
        </w:rPr>
        <w:t xml:space="preserve">, Hultberg A, Blanchetot C, de Jonge N, Festjens E, Hanssens V, Osepa SI, De Boeck G, Mira A, Cazzanti M, Morello V, Dreier T, Saunders M, de Haard H, Michieli P. Four individually druggable MET hotspots mediate HGF-driven tumor progression. </w:t>
      </w:r>
      <w:r w:rsidRPr="000749B2">
        <w:rPr>
          <w:rFonts w:ascii="Book Antiqua" w:hAnsi="Book Antiqua"/>
          <w:i/>
          <w:sz w:val="24"/>
          <w:szCs w:val="24"/>
        </w:rPr>
        <w:t>J Clin Invest</w:t>
      </w:r>
      <w:r w:rsidRPr="000749B2">
        <w:rPr>
          <w:rFonts w:ascii="Book Antiqua" w:hAnsi="Book Antiqua"/>
          <w:sz w:val="24"/>
          <w:szCs w:val="24"/>
        </w:rPr>
        <w:t xml:space="preserve"> 2014; </w:t>
      </w:r>
      <w:r w:rsidRPr="000749B2">
        <w:rPr>
          <w:rFonts w:ascii="Book Antiqua" w:hAnsi="Book Antiqua"/>
          <w:b/>
          <w:sz w:val="24"/>
          <w:szCs w:val="24"/>
        </w:rPr>
        <w:t>124</w:t>
      </w:r>
      <w:r w:rsidRPr="000749B2">
        <w:rPr>
          <w:rFonts w:ascii="Book Antiqua" w:hAnsi="Book Antiqua"/>
          <w:sz w:val="24"/>
          <w:szCs w:val="24"/>
        </w:rPr>
        <w:t>: 3172-3186 [PMID: 24865428 DOI: 10.1172/JCI72316]</w:t>
      </w:r>
    </w:p>
    <w:p w14:paraId="56DA829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318 </w:t>
      </w:r>
      <w:r w:rsidRPr="000749B2">
        <w:rPr>
          <w:rFonts w:ascii="Book Antiqua" w:hAnsi="Book Antiqua"/>
          <w:b/>
          <w:sz w:val="24"/>
          <w:szCs w:val="24"/>
        </w:rPr>
        <w:t>Margolin DA</w:t>
      </w:r>
      <w:r w:rsidRPr="000749B2">
        <w:rPr>
          <w:rFonts w:ascii="Book Antiqua" w:hAnsi="Book Antiqua"/>
          <w:sz w:val="24"/>
          <w:szCs w:val="24"/>
        </w:rPr>
        <w:t xml:space="preserve">, Myers T, Zhang X, Bertoni DM, Reuter BA, Obokhare I, Borgovan T, Grimes C, Green H, Driscoll T, Lee CG, Davis NK, Li L. The critical roles of tumor-initiating cells and the lymph node stromal microenvironment in human colorectal cancer extranodal metastasis using a unique humanized orthotopic mouse model. </w:t>
      </w:r>
      <w:r w:rsidRPr="000749B2">
        <w:rPr>
          <w:rFonts w:ascii="Book Antiqua" w:hAnsi="Book Antiqua"/>
          <w:i/>
          <w:sz w:val="24"/>
          <w:szCs w:val="24"/>
        </w:rPr>
        <w:t>FASEB J</w:t>
      </w:r>
      <w:r w:rsidRPr="000749B2">
        <w:rPr>
          <w:rFonts w:ascii="Book Antiqua" w:hAnsi="Book Antiqua"/>
          <w:sz w:val="24"/>
          <w:szCs w:val="24"/>
        </w:rPr>
        <w:t xml:space="preserve"> 2015; </w:t>
      </w:r>
      <w:r w:rsidRPr="000749B2">
        <w:rPr>
          <w:rFonts w:ascii="Book Antiqua" w:hAnsi="Book Antiqua"/>
          <w:b/>
          <w:sz w:val="24"/>
          <w:szCs w:val="24"/>
        </w:rPr>
        <w:t>29</w:t>
      </w:r>
      <w:r w:rsidRPr="000749B2">
        <w:rPr>
          <w:rFonts w:ascii="Book Antiqua" w:hAnsi="Book Antiqua"/>
          <w:sz w:val="24"/>
          <w:szCs w:val="24"/>
        </w:rPr>
        <w:t>: 3571-3581 [PMID: 25962655 DOI: 10.1096/fj.14-268938]</w:t>
      </w:r>
    </w:p>
    <w:p w14:paraId="17CFDB0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319 </w:t>
      </w:r>
      <w:r w:rsidRPr="000749B2">
        <w:rPr>
          <w:rFonts w:ascii="Book Antiqua" w:hAnsi="Book Antiqua"/>
          <w:b/>
          <w:sz w:val="24"/>
          <w:szCs w:val="24"/>
        </w:rPr>
        <w:t>Devaud C</w:t>
      </w:r>
      <w:r w:rsidRPr="000749B2">
        <w:rPr>
          <w:rFonts w:ascii="Book Antiqua" w:hAnsi="Book Antiqua"/>
          <w:sz w:val="24"/>
          <w:szCs w:val="24"/>
        </w:rPr>
        <w:t xml:space="preserve">, Rousseau B, Netzer S, Pitard V, Paroissin C, Khairallah C, Costet P, Moreau JF, Couillaud F, Dechanet-Merville J, Capone M. Anti-metastatic potential of human Vδ1(+) γδ T cells in an orthotopic mouse xenograft model of colon carcinoma. </w:t>
      </w:r>
      <w:r w:rsidRPr="000749B2">
        <w:rPr>
          <w:rFonts w:ascii="Book Antiqua" w:hAnsi="Book Antiqua"/>
          <w:i/>
          <w:sz w:val="24"/>
          <w:szCs w:val="24"/>
        </w:rPr>
        <w:t>Cancer Immunol Immunother</w:t>
      </w:r>
      <w:r w:rsidRPr="000749B2">
        <w:rPr>
          <w:rFonts w:ascii="Book Antiqua" w:hAnsi="Book Antiqua"/>
          <w:sz w:val="24"/>
          <w:szCs w:val="24"/>
        </w:rPr>
        <w:t xml:space="preserve"> 2013; </w:t>
      </w:r>
      <w:r w:rsidRPr="000749B2">
        <w:rPr>
          <w:rFonts w:ascii="Book Antiqua" w:hAnsi="Book Antiqua"/>
          <w:b/>
          <w:sz w:val="24"/>
          <w:szCs w:val="24"/>
        </w:rPr>
        <w:t>62</w:t>
      </w:r>
      <w:r w:rsidRPr="000749B2">
        <w:rPr>
          <w:rFonts w:ascii="Book Antiqua" w:hAnsi="Book Antiqua"/>
          <w:sz w:val="24"/>
          <w:szCs w:val="24"/>
        </w:rPr>
        <w:t>: 1199-1210 [PMID: 23619975 DOI: 10.1007/s00262-013-1402-1]</w:t>
      </w:r>
    </w:p>
    <w:p w14:paraId="1C127A0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320 </w:t>
      </w:r>
      <w:r w:rsidRPr="000749B2">
        <w:rPr>
          <w:rFonts w:ascii="Book Antiqua" w:hAnsi="Book Antiqua"/>
          <w:b/>
          <w:sz w:val="24"/>
          <w:szCs w:val="24"/>
        </w:rPr>
        <w:t>Schölch S</w:t>
      </w:r>
      <w:r w:rsidRPr="000749B2">
        <w:rPr>
          <w:rFonts w:ascii="Book Antiqua" w:hAnsi="Book Antiqua"/>
          <w:sz w:val="24"/>
          <w:szCs w:val="24"/>
        </w:rPr>
        <w:t xml:space="preserve">, García SA, Iwata N, Niemietz T, Betzler AM, Nanduri LK, Bork U, Kahlert C, Thepkaysone ML, Swiersy A, Büchler MW, Reissfelder C, Weitz J, Rahbari NN. Circulating tumor cells exhibit stem cell characteristics in an orthotopic mouse model of colorectal cancer. </w:t>
      </w:r>
      <w:r w:rsidRPr="000749B2">
        <w:rPr>
          <w:rFonts w:ascii="Book Antiqua" w:hAnsi="Book Antiqua"/>
          <w:i/>
          <w:sz w:val="24"/>
          <w:szCs w:val="24"/>
        </w:rPr>
        <w:t>Oncotarget</w:t>
      </w:r>
      <w:r w:rsidRPr="000749B2">
        <w:rPr>
          <w:rFonts w:ascii="Book Antiqua" w:hAnsi="Book Antiqua"/>
          <w:sz w:val="24"/>
          <w:szCs w:val="24"/>
        </w:rPr>
        <w:t xml:space="preserve"> 2016; </w:t>
      </w:r>
      <w:r w:rsidRPr="000749B2">
        <w:rPr>
          <w:rFonts w:ascii="Book Antiqua" w:hAnsi="Book Antiqua"/>
          <w:b/>
          <w:sz w:val="24"/>
          <w:szCs w:val="24"/>
        </w:rPr>
        <w:t>7</w:t>
      </w:r>
      <w:r w:rsidRPr="000749B2">
        <w:rPr>
          <w:rFonts w:ascii="Book Antiqua" w:hAnsi="Book Antiqua"/>
          <w:sz w:val="24"/>
          <w:szCs w:val="24"/>
        </w:rPr>
        <w:t>: 27232-27242 [PMID: 27029058 DOI: 10.18632/oncotarget.8373]</w:t>
      </w:r>
    </w:p>
    <w:p w14:paraId="0BE03A4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321 </w:t>
      </w:r>
      <w:r w:rsidRPr="000749B2">
        <w:rPr>
          <w:rFonts w:ascii="Book Antiqua" w:hAnsi="Book Antiqua"/>
          <w:b/>
          <w:sz w:val="24"/>
          <w:szCs w:val="24"/>
        </w:rPr>
        <w:t>Kashtan H</w:t>
      </w:r>
      <w:r w:rsidRPr="000749B2">
        <w:rPr>
          <w:rFonts w:ascii="Book Antiqua" w:hAnsi="Book Antiqua"/>
          <w:sz w:val="24"/>
          <w:szCs w:val="24"/>
        </w:rPr>
        <w:t xml:space="preserve">, Rabau M, Mullen JB, Wong AH, Roder JC, Shpitz B, Stern HS, Gallinger S. Intra-rectal injection of tumour cells: a novel animal model of rectal cancer. </w:t>
      </w:r>
      <w:r w:rsidRPr="000749B2">
        <w:rPr>
          <w:rFonts w:ascii="Book Antiqua" w:hAnsi="Book Antiqua"/>
          <w:i/>
          <w:sz w:val="24"/>
          <w:szCs w:val="24"/>
        </w:rPr>
        <w:t>Surg Oncol</w:t>
      </w:r>
      <w:r w:rsidRPr="000749B2">
        <w:rPr>
          <w:rFonts w:ascii="Book Antiqua" w:hAnsi="Book Antiqua"/>
          <w:sz w:val="24"/>
          <w:szCs w:val="24"/>
        </w:rPr>
        <w:t xml:space="preserve"> 1992; </w:t>
      </w:r>
      <w:r w:rsidRPr="000749B2">
        <w:rPr>
          <w:rFonts w:ascii="Book Antiqua" w:hAnsi="Book Antiqua"/>
          <w:b/>
          <w:sz w:val="24"/>
          <w:szCs w:val="24"/>
        </w:rPr>
        <w:t>1</w:t>
      </w:r>
      <w:r w:rsidRPr="000749B2">
        <w:rPr>
          <w:rFonts w:ascii="Book Antiqua" w:hAnsi="Book Antiqua"/>
          <w:sz w:val="24"/>
          <w:szCs w:val="24"/>
        </w:rPr>
        <w:t>: 251-256 [PMID: 1341258 DOI: 10.1016/0960-7404(92)90072-s]</w:t>
      </w:r>
    </w:p>
    <w:p w14:paraId="3427B60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322 </w:t>
      </w:r>
      <w:r w:rsidRPr="000749B2">
        <w:rPr>
          <w:rFonts w:ascii="Book Antiqua" w:hAnsi="Book Antiqua"/>
          <w:b/>
          <w:sz w:val="24"/>
          <w:szCs w:val="24"/>
        </w:rPr>
        <w:t>Donigan M</w:t>
      </w:r>
      <w:r w:rsidRPr="000749B2">
        <w:rPr>
          <w:rFonts w:ascii="Book Antiqua" w:hAnsi="Book Antiqua"/>
          <w:sz w:val="24"/>
          <w:szCs w:val="24"/>
        </w:rPr>
        <w:t xml:space="preserve">, Norcross LS, Aversa J, Colon J, Smith J, Madero-Visbal R, Li S, McCollum N, Ferrara A, Gallagher JT, Baker CH. Novel murine model for colon cancer: non-operative trans-anal rectal injection. </w:t>
      </w:r>
      <w:r w:rsidRPr="000749B2">
        <w:rPr>
          <w:rFonts w:ascii="Book Antiqua" w:hAnsi="Book Antiqua"/>
          <w:i/>
          <w:sz w:val="24"/>
          <w:szCs w:val="24"/>
        </w:rPr>
        <w:t>J Surg Res</w:t>
      </w:r>
      <w:r w:rsidRPr="000749B2">
        <w:rPr>
          <w:rFonts w:ascii="Book Antiqua" w:hAnsi="Book Antiqua"/>
          <w:sz w:val="24"/>
          <w:szCs w:val="24"/>
        </w:rPr>
        <w:t xml:space="preserve"> 2009; </w:t>
      </w:r>
      <w:r w:rsidRPr="000749B2">
        <w:rPr>
          <w:rFonts w:ascii="Book Antiqua" w:hAnsi="Book Antiqua"/>
          <w:b/>
          <w:sz w:val="24"/>
          <w:szCs w:val="24"/>
        </w:rPr>
        <w:t>154</w:t>
      </w:r>
      <w:r w:rsidRPr="000749B2">
        <w:rPr>
          <w:rFonts w:ascii="Book Antiqua" w:hAnsi="Book Antiqua"/>
          <w:sz w:val="24"/>
          <w:szCs w:val="24"/>
        </w:rPr>
        <w:t>: 299-303 [PMID: 19101690 DOI: 10.1016/j.jss.2008.05.028]</w:t>
      </w:r>
    </w:p>
    <w:p w14:paraId="727F831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323 </w:t>
      </w:r>
      <w:r w:rsidRPr="000749B2">
        <w:rPr>
          <w:rFonts w:ascii="Book Antiqua" w:hAnsi="Book Antiqua"/>
          <w:b/>
          <w:sz w:val="24"/>
          <w:szCs w:val="24"/>
        </w:rPr>
        <w:t>Cohen G</w:t>
      </w:r>
      <w:r w:rsidRPr="000749B2">
        <w:rPr>
          <w:rFonts w:ascii="Book Antiqua" w:hAnsi="Book Antiqua"/>
          <w:sz w:val="24"/>
          <w:szCs w:val="24"/>
        </w:rPr>
        <w:t xml:space="preserve">, Lecht S, Arien-Zakay H, Ettinger K, Amsalem O, Oron-Herman M, Yavin E, Prus D, Benita S, Nissan A, Lazarovici P. Bio-imaging of colorectal cancer models using near infrared labeled epidermal growth factor. </w:t>
      </w:r>
      <w:r w:rsidRPr="000749B2">
        <w:rPr>
          <w:rFonts w:ascii="Book Antiqua" w:hAnsi="Book Antiqua"/>
          <w:i/>
          <w:sz w:val="24"/>
          <w:szCs w:val="24"/>
        </w:rPr>
        <w:t>PLoS One</w:t>
      </w:r>
      <w:r w:rsidRPr="000749B2">
        <w:rPr>
          <w:rFonts w:ascii="Book Antiqua" w:hAnsi="Book Antiqua"/>
          <w:sz w:val="24"/>
          <w:szCs w:val="24"/>
        </w:rPr>
        <w:t xml:space="preserve"> 2012; </w:t>
      </w:r>
      <w:r w:rsidRPr="000749B2">
        <w:rPr>
          <w:rFonts w:ascii="Book Antiqua" w:hAnsi="Book Antiqua"/>
          <w:b/>
          <w:sz w:val="24"/>
          <w:szCs w:val="24"/>
        </w:rPr>
        <w:t>7</w:t>
      </w:r>
      <w:r w:rsidRPr="000749B2">
        <w:rPr>
          <w:rFonts w:ascii="Book Antiqua" w:hAnsi="Book Antiqua"/>
          <w:sz w:val="24"/>
          <w:szCs w:val="24"/>
        </w:rPr>
        <w:t>: e48803 [PMID: 23144978 DOI: 10.1371/journal.pone.0048803]</w:t>
      </w:r>
    </w:p>
    <w:p w14:paraId="20D4BA9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324 </w:t>
      </w:r>
      <w:r w:rsidRPr="000749B2">
        <w:rPr>
          <w:rFonts w:ascii="Book Antiqua" w:hAnsi="Book Antiqua"/>
          <w:b/>
          <w:sz w:val="24"/>
          <w:szCs w:val="24"/>
        </w:rPr>
        <w:t>Kim YI</w:t>
      </w:r>
      <w:r w:rsidRPr="000749B2">
        <w:rPr>
          <w:rFonts w:ascii="Book Antiqua" w:hAnsi="Book Antiqua"/>
          <w:sz w:val="24"/>
          <w:szCs w:val="24"/>
        </w:rPr>
        <w:t xml:space="preserve">, Jeong S, Jung KO, Song MG, Lee CH, Chung SJ, Park JY, Cha MG, Lee SG, Jun BH, Lee YS, Hwang DW, Youn H, Kang KW, Lee YS, Jeong DH, Lee DS. Simultaneous Detection of EGFR and VEGF in Colorectal Cancer using Fluorescence-Raman Endoscopy. </w:t>
      </w:r>
      <w:r w:rsidRPr="000749B2">
        <w:rPr>
          <w:rFonts w:ascii="Book Antiqua" w:hAnsi="Book Antiqua"/>
          <w:i/>
          <w:sz w:val="24"/>
          <w:szCs w:val="24"/>
        </w:rPr>
        <w:t>Sci Rep</w:t>
      </w:r>
      <w:r w:rsidRPr="000749B2">
        <w:rPr>
          <w:rFonts w:ascii="Book Antiqua" w:hAnsi="Book Antiqua"/>
          <w:sz w:val="24"/>
          <w:szCs w:val="24"/>
        </w:rPr>
        <w:t xml:space="preserve"> 2017; </w:t>
      </w:r>
      <w:r w:rsidRPr="000749B2">
        <w:rPr>
          <w:rFonts w:ascii="Book Antiqua" w:hAnsi="Book Antiqua"/>
          <w:b/>
          <w:sz w:val="24"/>
          <w:szCs w:val="24"/>
        </w:rPr>
        <w:t>7</w:t>
      </w:r>
      <w:r w:rsidRPr="000749B2">
        <w:rPr>
          <w:rFonts w:ascii="Book Antiqua" w:hAnsi="Book Antiqua"/>
          <w:sz w:val="24"/>
          <w:szCs w:val="24"/>
        </w:rPr>
        <w:t>: 1035 [PMID: 28432289 DOI: 10.1038/s41598-017-01020-y]</w:t>
      </w:r>
    </w:p>
    <w:p w14:paraId="1C06CD0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325 </w:t>
      </w:r>
      <w:r w:rsidRPr="000749B2">
        <w:rPr>
          <w:rFonts w:ascii="Book Antiqua" w:hAnsi="Book Antiqua"/>
          <w:b/>
          <w:sz w:val="24"/>
          <w:szCs w:val="24"/>
        </w:rPr>
        <w:t>Zigmond E</w:t>
      </w:r>
      <w:r w:rsidRPr="000749B2">
        <w:rPr>
          <w:rFonts w:ascii="Book Antiqua" w:hAnsi="Book Antiqua"/>
          <w:sz w:val="24"/>
          <w:szCs w:val="24"/>
        </w:rPr>
        <w:t xml:space="preserve">, Halpern Z, Elinav E, Brazowski E, Jung S, Varol C. Utilization of murine colonoscopy for orthotopic implantation of colorectal cancer. </w:t>
      </w:r>
      <w:r w:rsidRPr="000749B2">
        <w:rPr>
          <w:rFonts w:ascii="Book Antiqua" w:hAnsi="Book Antiqua"/>
          <w:i/>
          <w:sz w:val="24"/>
          <w:szCs w:val="24"/>
        </w:rPr>
        <w:t>PLoS One</w:t>
      </w:r>
      <w:r w:rsidRPr="000749B2">
        <w:rPr>
          <w:rFonts w:ascii="Book Antiqua" w:hAnsi="Book Antiqua"/>
          <w:sz w:val="24"/>
          <w:szCs w:val="24"/>
        </w:rPr>
        <w:t xml:space="preserve"> 2011; </w:t>
      </w:r>
      <w:r w:rsidRPr="000749B2">
        <w:rPr>
          <w:rFonts w:ascii="Book Antiqua" w:hAnsi="Book Antiqua"/>
          <w:b/>
          <w:sz w:val="24"/>
          <w:szCs w:val="24"/>
        </w:rPr>
        <w:t>6</w:t>
      </w:r>
      <w:r w:rsidRPr="000749B2">
        <w:rPr>
          <w:rFonts w:ascii="Book Antiqua" w:hAnsi="Book Antiqua"/>
          <w:sz w:val="24"/>
          <w:szCs w:val="24"/>
        </w:rPr>
        <w:t>: e28858 [PMID: 22174916 DOI: 10.1371/journal.pone.0028858]</w:t>
      </w:r>
    </w:p>
    <w:p w14:paraId="4BF3884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326 </w:t>
      </w:r>
      <w:r w:rsidRPr="000749B2">
        <w:rPr>
          <w:rFonts w:ascii="Book Antiqua" w:hAnsi="Book Antiqua"/>
          <w:b/>
          <w:sz w:val="24"/>
          <w:szCs w:val="24"/>
        </w:rPr>
        <w:t>Zaytseva YY</w:t>
      </w:r>
      <w:r w:rsidRPr="000749B2">
        <w:rPr>
          <w:rFonts w:ascii="Book Antiqua" w:hAnsi="Book Antiqua"/>
          <w:sz w:val="24"/>
          <w:szCs w:val="24"/>
        </w:rPr>
        <w:t xml:space="preserve">, Elliott VA, Rychahou P, Mustain WC, Kim JT, Valentino J, Gao T, O'Connor KL, Neltner JM, Lee EY, Weiss HL, Evers BM. Cancer cell-associated fatty acid synthase activates endothelial cells and promotes angiogenesis in colorectal cancer. </w:t>
      </w:r>
      <w:r w:rsidRPr="000749B2">
        <w:rPr>
          <w:rFonts w:ascii="Book Antiqua" w:hAnsi="Book Antiqua"/>
          <w:i/>
          <w:sz w:val="24"/>
          <w:szCs w:val="24"/>
        </w:rPr>
        <w:t>Carcinogenesis</w:t>
      </w:r>
      <w:r w:rsidRPr="000749B2">
        <w:rPr>
          <w:rFonts w:ascii="Book Antiqua" w:hAnsi="Book Antiqua"/>
          <w:sz w:val="24"/>
          <w:szCs w:val="24"/>
        </w:rPr>
        <w:t xml:space="preserve"> 2014; </w:t>
      </w:r>
      <w:r w:rsidRPr="000749B2">
        <w:rPr>
          <w:rFonts w:ascii="Book Antiqua" w:hAnsi="Book Antiqua"/>
          <w:b/>
          <w:sz w:val="24"/>
          <w:szCs w:val="24"/>
        </w:rPr>
        <w:t>35</w:t>
      </w:r>
      <w:r w:rsidRPr="000749B2">
        <w:rPr>
          <w:rFonts w:ascii="Book Antiqua" w:hAnsi="Book Antiqua"/>
          <w:sz w:val="24"/>
          <w:szCs w:val="24"/>
        </w:rPr>
        <w:t>: 1341-1351 [PMID: 24510238 DOI: 10.1093/carcin/bgu042]</w:t>
      </w:r>
    </w:p>
    <w:p w14:paraId="58BF579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327 </w:t>
      </w:r>
      <w:r w:rsidRPr="000749B2">
        <w:rPr>
          <w:rFonts w:ascii="Book Antiqua" w:hAnsi="Book Antiqua"/>
          <w:b/>
          <w:sz w:val="24"/>
          <w:szCs w:val="24"/>
        </w:rPr>
        <w:t>Bettenworth D</w:t>
      </w:r>
      <w:r w:rsidRPr="000749B2">
        <w:rPr>
          <w:rFonts w:ascii="Book Antiqua" w:hAnsi="Book Antiqua"/>
          <w:sz w:val="24"/>
          <w:szCs w:val="24"/>
        </w:rPr>
        <w:t xml:space="preserve">, Mücke MM, Schwegmann K, Faust A, Poremba C, Schäfers M, Domagk D, Lenz P. Endoscopy-guided orthotopic implantation of colorectal cancer cells results in metastatic colorectal cancer in mice. </w:t>
      </w:r>
      <w:r w:rsidRPr="000749B2">
        <w:rPr>
          <w:rFonts w:ascii="Book Antiqua" w:hAnsi="Book Antiqua"/>
          <w:i/>
          <w:sz w:val="24"/>
          <w:szCs w:val="24"/>
        </w:rPr>
        <w:t>Clin Exp Metastasis</w:t>
      </w:r>
      <w:r w:rsidRPr="000749B2">
        <w:rPr>
          <w:rFonts w:ascii="Book Antiqua" w:hAnsi="Book Antiqua"/>
          <w:sz w:val="24"/>
          <w:szCs w:val="24"/>
        </w:rPr>
        <w:t xml:space="preserve"> 2016; </w:t>
      </w:r>
      <w:r w:rsidRPr="000749B2">
        <w:rPr>
          <w:rFonts w:ascii="Book Antiqua" w:hAnsi="Book Antiqua"/>
          <w:b/>
          <w:sz w:val="24"/>
          <w:szCs w:val="24"/>
        </w:rPr>
        <w:t>33</w:t>
      </w:r>
      <w:r w:rsidRPr="000749B2">
        <w:rPr>
          <w:rFonts w:ascii="Book Antiqua" w:hAnsi="Book Antiqua"/>
          <w:sz w:val="24"/>
          <w:szCs w:val="24"/>
        </w:rPr>
        <w:t>: 551-562 [PMID: 27146063 DOI: 10.1007/s10585-016-9797-7]</w:t>
      </w:r>
    </w:p>
    <w:p w14:paraId="3F8F3EB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328 </w:t>
      </w:r>
      <w:r w:rsidRPr="000749B2">
        <w:rPr>
          <w:rFonts w:ascii="Book Antiqua" w:hAnsi="Book Antiqua"/>
          <w:b/>
          <w:sz w:val="24"/>
          <w:szCs w:val="24"/>
        </w:rPr>
        <w:t>Kishimoto H</w:t>
      </w:r>
      <w:r w:rsidRPr="000749B2">
        <w:rPr>
          <w:rFonts w:ascii="Book Antiqua" w:hAnsi="Book Antiqua"/>
          <w:sz w:val="24"/>
          <w:szCs w:val="24"/>
        </w:rPr>
        <w:t xml:space="preserve">, Momiyama M, Aki R, Kimura H, Suetsugu A, Bouvet M, Fujiwara T, Hoffman RM. Development of a clinically-precise mouse model of rectal cancer. </w:t>
      </w:r>
      <w:r w:rsidRPr="000749B2">
        <w:rPr>
          <w:rFonts w:ascii="Book Antiqua" w:hAnsi="Book Antiqua"/>
          <w:i/>
          <w:sz w:val="24"/>
          <w:szCs w:val="24"/>
        </w:rPr>
        <w:t>PLoS One</w:t>
      </w:r>
      <w:r w:rsidRPr="000749B2">
        <w:rPr>
          <w:rFonts w:ascii="Book Antiqua" w:hAnsi="Book Antiqua"/>
          <w:sz w:val="24"/>
          <w:szCs w:val="24"/>
        </w:rPr>
        <w:t xml:space="preserve"> 2013; </w:t>
      </w:r>
      <w:r w:rsidRPr="000749B2">
        <w:rPr>
          <w:rFonts w:ascii="Book Antiqua" w:hAnsi="Book Antiqua"/>
          <w:b/>
          <w:sz w:val="24"/>
          <w:szCs w:val="24"/>
        </w:rPr>
        <w:t>8</w:t>
      </w:r>
      <w:r w:rsidRPr="000749B2">
        <w:rPr>
          <w:rFonts w:ascii="Book Antiqua" w:hAnsi="Book Antiqua"/>
          <w:sz w:val="24"/>
          <w:szCs w:val="24"/>
        </w:rPr>
        <w:t>: e79453 [PMID: 24265772 DOI: 10.1371/journal.pone.0079453]</w:t>
      </w:r>
    </w:p>
    <w:p w14:paraId="7566325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329 </w:t>
      </w:r>
      <w:r w:rsidRPr="000749B2">
        <w:rPr>
          <w:rFonts w:ascii="Book Antiqua" w:hAnsi="Book Antiqua"/>
          <w:b/>
          <w:sz w:val="24"/>
          <w:szCs w:val="24"/>
        </w:rPr>
        <w:t>Hite N</w:t>
      </w:r>
      <w:r w:rsidRPr="000749B2">
        <w:rPr>
          <w:rFonts w:ascii="Book Antiqua" w:hAnsi="Book Antiqua"/>
          <w:sz w:val="24"/>
          <w:szCs w:val="24"/>
        </w:rPr>
        <w:t xml:space="preserve">, Klinger A, Hellmers L, Maresh GA, Miller PE, Zhang X, Li L, Margolin DA. An Optimal Orthotopic Mouse Model for Human Colorectal Cancer Primary Tumor Growth and Spontaneous Metastasis. </w:t>
      </w:r>
      <w:r w:rsidRPr="000749B2">
        <w:rPr>
          <w:rFonts w:ascii="Book Antiqua" w:hAnsi="Book Antiqua"/>
          <w:i/>
          <w:sz w:val="24"/>
          <w:szCs w:val="24"/>
        </w:rPr>
        <w:t>Dis Colon Rectum</w:t>
      </w:r>
      <w:r w:rsidRPr="000749B2">
        <w:rPr>
          <w:rFonts w:ascii="Book Antiqua" w:hAnsi="Book Antiqua"/>
          <w:sz w:val="24"/>
          <w:szCs w:val="24"/>
        </w:rPr>
        <w:t xml:space="preserve"> 2018; </w:t>
      </w:r>
      <w:r w:rsidRPr="000749B2">
        <w:rPr>
          <w:rFonts w:ascii="Book Antiqua" w:hAnsi="Book Antiqua"/>
          <w:b/>
          <w:sz w:val="24"/>
          <w:szCs w:val="24"/>
        </w:rPr>
        <w:t>61</w:t>
      </w:r>
      <w:r w:rsidRPr="000749B2">
        <w:rPr>
          <w:rFonts w:ascii="Book Antiqua" w:hAnsi="Book Antiqua"/>
          <w:sz w:val="24"/>
          <w:szCs w:val="24"/>
        </w:rPr>
        <w:t>: 698-705 [PMID: 29722728 DOI: 10.1097/DCR.0000000000001096]</w:t>
      </w:r>
    </w:p>
    <w:p w14:paraId="6CA7475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330 </w:t>
      </w:r>
      <w:r w:rsidRPr="000749B2">
        <w:rPr>
          <w:rFonts w:ascii="Book Antiqua" w:hAnsi="Book Antiqua"/>
          <w:b/>
          <w:sz w:val="24"/>
          <w:szCs w:val="24"/>
        </w:rPr>
        <w:t>Prasad S</w:t>
      </w:r>
      <w:r w:rsidRPr="000749B2">
        <w:rPr>
          <w:rFonts w:ascii="Book Antiqua" w:hAnsi="Book Antiqua"/>
          <w:sz w:val="24"/>
          <w:szCs w:val="24"/>
        </w:rPr>
        <w:t xml:space="preserve">, Yadav VR, Sung B, Reuter S, Kannappan R, Deorukhkar A, Diagaradjane P, Wei C, Baladandayuthapani V, Krishnan S, Guha S, Aggarwal BB. Ursolic acid inhibits growth and metastasis of human colorectal cancer in an orthotopic nude mouse model by targeting multiple cell signaling pathways: chemosensitization with capecitabine. </w:t>
      </w:r>
      <w:r w:rsidRPr="000749B2">
        <w:rPr>
          <w:rFonts w:ascii="Book Antiqua" w:hAnsi="Book Antiqua"/>
          <w:i/>
          <w:sz w:val="24"/>
          <w:szCs w:val="24"/>
        </w:rPr>
        <w:t>Clin Cancer Res</w:t>
      </w:r>
      <w:r w:rsidRPr="000749B2">
        <w:rPr>
          <w:rFonts w:ascii="Book Antiqua" w:hAnsi="Book Antiqua"/>
          <w:sz w:val="24"/>
          <w:szCs w:val="24"/>
        </w:rPr>
        <w:t xml:space="preserve"> 2012; </w:t>
      </w:r>
      <w:r w:rsidRPr="000749B2">
        <w:rPr>
          <w:rFonts w:ascii="Book Antiqua" w:hAnsi="Book Antiqua"/>
          <w:b/>
          <w:sz w:val="24"/>
          <w:szCs w:val="24"/>
        </w:rPr>
        <w:t>18</w:t>
      </w:r>
      <w:r w:rsidRPr="000749B2">
        <w:rPr>
          <w:rFonts w:ascii="Book Antiqua" w:hAnsi="Book Antiqua"/>
          <w:sz w:val="24"/>
          <w:szCs w:val="24"/>
        </w:rPr>
        <w:t>: 4942-4953 [PMID: 22832932 DOI: 10.1158/1078-0432.CCR-11-2805]</w:t>
      </w:r>
    </w:p>
    <w:p w14:paraId="6867E25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331 </w:t>
      </w:r>
      <w:r w:rsidRPr="000749B2">
        <w:rPr>
          <w:rFonts w:ascii="Book Antiqua" w:hAnsi="Book Antiqua"/>
          <w:b/>
          <w:sz w:val="24"/>
          <w:szCs w:val="24"/>
        </w:rPr>
        <w:t>Wang J</w:t>
      </w:r>
      <w:r w:rsidRPr="000749B2">
        <w:rPr>
          <w:rFonts w:ascii="Book Antiqua" w:hAnsi="Book Antiqua"/>
          <w:sz w:val="24"/>
          <w:szCs w:val="24"/>
        </w:rPr>
        <w:t xml:space="preserve">, Chen C, Wang S, Zhang Y, Yin P, Gao Z, Xu J, Feng D, Zuo Q, Zhao R, Chen T. Bufalin Inhibits HCT116 Colon Cancer Cells and Its Orthotopic Xenograft Tumor in Mice Model through Genes Related to Apoptotic and PTEN/AKT Pathways. </w:t>
      </w:r>
      <w:r w:rsidRPr="000749B2">
        <w:rPr>
          <w:rFonts w:ascii="Book Antiqua" w:hAnsi="Book Antiqua"/>
          <w:i/>
          <w:sz w:val="24"/>
          <w:szCs w:val="24"/>
        </w:rPr>
        <w:t>Gastroenterol Res Pract</w:t>
      </w:r>
      <w:r w:rsidRPr="000749B2">
        <w:rPr>
          <w:rFonts w:ascii="Book Antiqua" w:hAnsi="Book Antiqua"/>
          <w:sz w:val="24"/>
          <w:szCs w:val="24"/>
        </w:rPr>
        <w:t xml:space="preserve"> 2015; </w:t>
      </w:r>
      <w:r w:rsidRPr="000749B2">
        <w:rPr>
          <w:rFonts w:ascii="Book Antiqua" w:hAnsi="Book Antiqua"/>
          <w:b/>
          <w:sz w:val="24"/>
          <w:szCs w:val="24"/>
        </w:rPr>
        <w:t>2015</w:t>
      </w:r>
      <w:r w:rsidRPr="000749B2">
        <w:rPr>
          <w:rFonts w:ascii="Book Antiqua" w:hAnsi="Book Antiqua"/>
          <w:sz w:val="24"/>
          <w:szCs w:val="24"/>
        </w:rPr>
        <w:t>: 457193 [PMID: 26770191 DOI: 10.1155/2015/457193]</w:t>
      </w:r>
    </w:p>
    <w:p w14:paraId="7462FD7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332 </w:t>
      </w:r>
      <w:r w:rsidRPr="000749B2">
        <w:rPr>
          <w:rFonts w:ascii="Book Antiqua" w:hAnsi="Book Antiqua"/>
          <w:b/>
          <w:sz w:val="24"/>
          <w:szCs w:val="24"/>
        </w:rPr>
        <w:t>Bhome R</w:t>
      </w:r>
      <w:r w:rsidRPr="000749B2">
        <w:rPr>
          <w:rFonts w:ascii="Book Antiqua" w:hAnsi="Book Antiqua"/>
          <w:sz w:val="24"/>
          <w:szCs w:val="24"/>
        </w:rPr>
        <w:t xml:space="preserve">, Goh RW, Bullock MD, Pillar N, Thirdborough SM, Mellone M, Mirnezami R, Galea D, Veselkov K, Gu Q, Underwood TJ, Primrose JN, De Wever O, Shomron N, Sayan AE, Mirnezami AH. Exosomal microRNAs derived from colorectal cancer-associated fibroblasts: role in driving cancer progression. </w:t>
      </w:r>
      <w:r w:rsidRPr="000749B2">
        <w:rPr>
          <w:rFonts w:ascii="Book Antiqua" w:hAnsi="Book Antiqua"/>
          <w:i/>
          <w:sz w:val="24"/>
          <w:szCs w:val="24"/>
        </w:rPr>
        <w:t>Aging (Albany NY)</w:t>
      </w:r>
      <w:r w:rsidRPr="000749B2">
        <w:rPr>
          <w:rFonts w:ascii="Book Antiqua" w:hAnsi="Book Antiqua"/>
          <w:sz w:val="24"/>
          <w:szCs w:val="24"/>
        </w:rPr>
        <w:t xml:space="preserve"> 2017; </w:t>
      </w:r>
      <w:r w:rsidRPr="000749B2">
        <w:rPr>
          <w:rFonts w:ascii="Book Antiqua" w:hAnsi="Book Antiqua"/>
          <w:b/>
          <w:sz w:val="24"/>
          <w:szCs w:val="24"/>
        </w:rPr>
        <w:t>9</w:t>
      </w:r>
      <w:r w:rsidRPr="000749B2">
        <w:rPr>
          <w:rFonts w:ascii="Book Antiqua" w:hAnsi="Book Antiqua"/>
          <w:sz w:val="24"/>
          <w:szCs w:val="24"/>
        </w:rPr>
        <w:t>: 2666-2694 [PMID: 29283887 DOI: 10.18632/aging.101355]</w:t>
      </w:r>
    </w:p>
    <w:p w14:paraId="14A1D017"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333 </w:t>
      </w:r>
      <w:r w:rsidRPr="000749B2">
        <w:rPr>
          <w:rFonts w:ascii="Book Antiqua" w:hAnsi="Book Antiqua"/>
          <w:b/>
          <w:sz w:val="24"/>
          <w:szCs w:val="24"/>
        </w:rPr>
        <w:t>Tan X</w:t>
      </w:r>
      <w:r w:rsidRPr="000749B2">
        <w:rPr>
          <w:rFonts w:ascii="Book Antiqua" w:hAnsi="Book Antiqua"/>
          <w:sz w:val="24"/>
          <w:szCs w:val="24"/>
        </w:rPr>
        <w:t xml:space="preserve">, Zhang Z, Yao H, Shen L. Tim-4 promotes the growth of colorectal cancer by activating angiogenesis and recruiting tumor-associated macrophages via the PI3K/AKT/mTOR signaling pathway. </w:t>
      </w:r>
      <w:r w:rsidRPr="000749B2">
        <w:rPr>
          <w:rFonts w:ascii="Book Antiqua" w:hAnsi="Book Antiqua"/>
          <w:i/>
          <w:sz w:val="24"/>
          <w:szCs w:val="24"/>
        </w:rPr>
        <w:t>Cancer Lett</w:t>
      </w:r>
      <w:r w:rsidRPr="000749B2">
        <w:rPr>
          <w:rFonts w:ascii="Book Antiqua" w:hAnsi="Book Antiqua"/>
          <w:sz w:val="24"/>
          <w:szCs w:val="24"/>
        </w:rPr>
        <w:t xml:space="preserve"> 2018; </w:t>
      </w:r>
      <w:r w:rsidRPr="000749B2">
        <w:rPr>
          <w:rFonts w:ascii="Book Antiqua" w:hAnsi="Book Antiqua"/>
          <w:b/>
          <w:sz w:val="24"/>
          <w:szCs w:val="24"/>
        </w:rPr>
        <w:t>436</w:t>
      </w:r>
      <w:r w:rsidRPr="000749B2">
        <w:rPr>
          <w:rFonts w:ascii="Book Antiqua" w:hAnsi="Book Antiqua"/>
          <w:sz w:val="24"/>
          <w:szCs w:val="24"/>
        </w:rPr>
        <w:t>: 119-128 [PMID: 30118845 DOI: 10.1016/j.canlet.2018.08.012]</w:t>
      </w:r>
    </w:p>
    <w:p w14:paraId="1EB8B589" w14:textId="5E0D6BD1"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334 </w:t>
      </w:r>
      <w:r w:rsidRPr="000749B2">
        <w:rPr>
          <w:rFonts w:ascii="Book Antiqua" w:hAnsi="Book Antiqua"/>
          <w:b/>
          <w:sz w:val="24"/>
          <w:szCs w:val="24"/>
        </w:rPr>
        <w:t>Mizukoshi K</w:t>
      </w:r>
      <w:r w:rsidRPr="000749B2">
        <w:rPr>
          <w:rFonts w:ascii="Book Antiqua" w:hAnsi="Book Antiqua"/>
          <w:sz w:val="24"/>
          <w:szCs w:val="24"/>
        </w:rPr>
        <w:t xml:space="preserve">, Okazawa Y, Haeno H, Koyama Y, Sulidan K, Komiyama H, Saeki H, Ohtsuji N, Ito Y, Kojima Y, Goto M, Habu S, Hino O, Sakamoto K, Orimo A. Metastatic seeding of human colon cancer cell clusters expressing the hybrid </w:t>
      </w:r>
      <w:r w:rsidRPr="000749B2">
        <w:rPr>
          <w:rFonts w:ascii="Book Antiqua" w:hAnsi="Book Antiqua"/>
          <w:sz w:val="24"/>
          <w:szCs w:val="24"/>
        </w:rPr>
        <w:lastRenderedPageBreak/>
        <w:t xml:space="preserve">epithelial/mesenchymal state. </w:t>
      </w:r>
      <w:r w:rsidRPr="000749B2">
        <w:rPr>
          <w:rFonts w:ascii="Book Antiqua" w:hAnsi="Book Antiqua"/>
          <w:i/>
          <w:sz w:val="24"/>
          <w:szCs w:val="24"/>
        </w:rPr>
        <w:t>Int J Cancer</w:t>
      </w:r>
      <w:r w:rsidRPr="000749B2">
        <w:rPr>
          <w:rFonts w:ascii="Book Antiqua" w:hAnsi="Book Antiqua"/>
          <w:sz w:val="24"/>
          <w:szCs w:val="24"/>
        </w:rPr>
        <w:t xml:space="preserve"> 2019</w:t>
      </w:r>
      <w:r w:rsidR="004077FE" w:rsidRPr="000749B2">
        <w:rPr>
          <w:rFonts w:ascii="Book Antiqua" w:hAnsi="Book Antiqua"/>
          <w:sz w:val="24"/>
          <w:szCs w:val="24"/>
        </w:rPr>
        <w:t xml:space="preserve"> </w:t>
      </w:r>
      <w:r w:rsidRPr="000749B2">
        <w:rPr>
          <w:rFonts w:ascii="Book Antiqua" w:hAnsi="Book Antiqua"/>
          <w:sz w:val="24"/>
          <w:szCs w:val="24"/>
        </w:rPr>
        <w:t>[PMID: 31506938 DOI: 10.1002/ijc.32672]</w:t>
      </w:r>
    </w:p>
    <w:p w14:paraId="2F18FE92" w14:textId="310704A3"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335 </w:t>
      </w:r>
      <w:r w:rsidRPr="000749B2">
        <w:rPr>
          <w:rFonts w:ascii="Book Antiqua" w:hAnsi="Book Antiqua"/>
          <w:b/>
          <w:sz w:val="24"/>
          <w:szCs w:val="24"/>
        </w:rPr>
        <w:t>Russell WMS,</w:t>
      </w:r>
      <w:r w:rsidR="004077FE" w:rsidRPr="000749B2">
        <w:rPr>
          <w:rFonts w:ascii="Book Antiqua" w:hAnsi="Book Antiqua"/>
          <w:sz w:val="24"/>
          <w:szCs w:val="24"/>
        </w:rPr>
        <w:t xml:space="preserve"> </w:t>
      </w:r>
      <w:r w:rsidRPr="000749B2">
        <w:rPr>
          <w:rFonts w:ascii="Book Antiqua" w:hAnsi="Book Antiqua"/>
          <w:sz w:val="24"/>
          <w:szCs w:val="24"/>
        </w:rPr>
        <w:t>Burch RL. The principles of humane experimental technique. London: Methuen</w:t>
      </w:r>
      <w:r w:rsidR="000E7006" w:rsidRPr="000749B2">
        <w:rPr>
          <w:rFonts w:ascii="Book Antiqua" w:hAnsi="Book Antiqua"/>
          <w:sz w:val="24"/>
          <w:szCs w:val="24"/>
        </w:rPr>
        <w:t>&amp;</w:t>
      </w:r>
      <w:r w:rsidRPr="000749B2">
        <w:rPr>
          <w:rFonts w:ascii="Book Antiqua" w:hAnsi="Book Antiqua"/>
          <w:sz w:val="24"/>
          <w:szCs w:val="24"/>
        </w:rPr>
        <w:t>Co. Ltd., 1959</w:t>
      </w:r>
    </w:p>
    <w:p w14:paraId="6CEAEA8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336 </w:t>
      </w:r>
      <w:r w:rsidRPr="000749B2">
        <w:rPr>
          <w:rFonts w:ascii="Book Antiqua" w:hAnsi="Book Antiqua"/>
          <w:b/>
          <w:sz w:val="24"/>
          <w:szCs w:val="24"/>
        </w:rPr>
        <w:t>Wege AK</w:t>
      </w:r>
      <w:r w:rsidRPr="000749B2">
        <w:rPr>
          <w:rFonts w:ascii="Book Antiqua" w:hAnsi="Book Antiqua"/>
          <w:sz w:val="24"/>
          <w:szCs w:val="24"/>
        </w:rPr>
        <w:t xml:space="preserve">, Ernst W, Eckl J, Frankenberger B, Vollmann-Zwerenz A, Männel DN, Ortmann O, Kroemer A, Brockhoff G. Humanized tumor mice--a new model to study and manipulate the immune response in advanced cancer therapy. </w:t>
      </w:r>
      <w:r w:rsidRPr="000749B2">
        <w:rPr>
          <w:rFonts w:ascii="Book Antiqua" w:hAnsi="Book Antiqua"/>
          <w:i/>
          <w:sz w:val="24"/>
          <w:szCs w:val="24"/>
        </w:rPr>
        <w:t>Int J Cancer</w:t>
      </w:r>
      <w:r w:rsidRPr="000749B2">
        <w:rPr>
          <w:rFonts w:ascii="Book Antiqua" w:hAnsi="Book Antiqua"/>
          <w:sz w:val="24"/>
          <w:szCs w:val="24"/>
        </w:rPr>
        <w:t xml:space="preserve"> 2011; </w:t>
      </w:r>
      <w:r w:rsidRPr="000749B2">
        <w:rPr>
          <w:rFonts w:ascii="Book Antiqua" w:hAnsi="Book Antiqua"/>
          <w:b/>
          <w:sz w:val="24"/>
          <w:szCs w:val="24"/>
        </w:rPr>
        <w:t>129</w:t>
      </w:r>
      <w:r w:rsidRPr="000749B2">
        <w:rPr>
          <w:rFonts w:ascii="Book Antiqua" w:hAnsi="Book Antiqua"/>
          <w:sz w:val="24"/>
          <w:szCs w:val="24"/>
        </w:rPr>
        <w:t>: 2194-2206 [PMID: 21544806 DOI: 10.1002/ijc.26159]</w:t>
      </w:r>
    </w:p>
    <w:p w14:paraId="0B34EFF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337 </w:t>
      </w:r>
      <w:r w:rsidRPr="000749B2">
        <w:rPr>
          <w:rFonts w:ascii="Book Antiqua" w:hAnsi="Book Antiqua"/>
          <w:b/>
          <w:sz w:val="24"/>
          <w:szCs w:val="24"/>
        </w:rPr>
        <w:t>Choi Y</w:t>
      </w:r>
      <w:r w:rsidRPr="000749B2">
        <w:rPr>
          <w:rFonts w:ascii="Book Antiqua" w:hAnsi="Book Antiqua"/>
          <w:sz w:val="24"/>
          <w:szCs w:val="24"/>
        </w:rPr>
        <w:t xml:space="preserve">, Lee S, Kim K, Kim SH, Chung YJ, Lee C. Studying cancer immunotherapy using patient-derived xenografts (PDXs) in humanized mice. </w:t>
      </w:r>
      <w:r w:rsidRPr="000749B2">
        <w:rPr>
          <w:rFonts w:ascii="Book Antiqua" w:hAnsi="Book Antiqua"/>
          <w:i/>
          <w:sz w:val="24"/>
          <w:szCs w:val="24"/>
        </w:rPr>
        <w:t>Exp Mol Med</w:t>
      </w:r>
      <w:r w:rsidRPr="000749B2">
        <w:rPr>
          <w:rFonts w:ascii="Book Antiqua" w:hAnsi="Book Antiqua"/>
          <w:sz w:val="24"/>
          <w:szCs w:val="24"/>
        </w:rPr>
        <w:t xml:space="preserve"> 2018; </w:t>
      </w:r>
      <w:r w:rsidRPr="000749B2">
        <w:rPr>
          <w:rFonts w:ascii="Book Antiqua" w:hAnsi="Book Antiqua"/>
          <w:b/>
          <w:sz w:val="24"/>
          <w:szCs w:val="24"/>
        </w:rPr>
        <w:t>50</w:t>
      </w:r>
      <w:r w:rsidRPr="000749B2">
        <w:rPr>
          <w:rFonts w:ascii="Book Antiqua" w:hAnsi="Book Antiqua"/>
          <w:sz w:val="24"/>
          <w:szCs w:val="24"/>
        </w:rPr>
        <w:t>: 99 [PMID: 30089794 DOI: 10.1038/s12276-018-0115-0]</w:t>
      </w:r>
    </w:p>
    <w:p w14:paraId="08E6171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338 </w:t>
      </w:r>
      <w:r w:rsidRPr="000749B2">
        <w:rPr>
          <w:rFonts w:ascii="Book Antiqua" w:hAnsi="Book Antiqua"/>
          <w:b/>
          <w:sz w:val="24"/>
          <w:szCs w:val="24"/>
        </w:rPr>
        <w:t>Bird GA</w:t>
      </w:r>
      <w:r w:rsidRPr="000749B2">
        <w:rPr>
          <w:rFonts w:ascii="Book Antiqua" w:hAnsi="Book Antiqua"/>
          <w:sz w:val="24"/>
          <w:szCs w:val="24"/>
        </w:rPr>
        <w:t xml:space="preserve">, Polsky A, Estes P, Hanlon T, Hamilton H, Morton JJ, Gutman J, Jimeno A, Turner BC, Refaeli Y. Expansion of human and murine hematopoietic stem and progenitor cells ex vivo without genetic modification using MYC and Bcl-2 fusion proteins. </w:t>
      </w:r>
      <w:r w:rsidRPr="000749B2">
        <w:rPr>
          <w:rFonts w:ascii="Book Antiqua" w:hAnsi="Book Antiqua"/>
          <w:i/>
          <w:sz w:val="24"/>
          <w:szCs w:val="24"/>
        </w:rPr>
        <w:t>PLoS One</w:t>
      </w:r>
      <w:r w:rsidRPr="000749B2">
        <w:rPr>
          <w:rFonts w:ascii="Book Antiqua" w:hAnsi="Book Antiqua"/>
          <w:sz w:val="24"/>
          <w:szCs w:val="24"/>
        </w:rPr>
        <w:t xml:space="preserve"> 2014; </w:t>
      </w:r>
      <w:r w:rsidRPr="000749B2">
        <w:rPr>
          <w:rFonts w:ascii="Book Antiqua" w:hAnsi="Book Antiqua"/>
          <w:b/>
          <w:sz w:val="24"/>
          <w:szCs w:val="24"/>
        </w:rPr>
        <w:t>9</w:t>
      </w:r>
      <w:r w:rsidRPr="000749B2">
        <w:rPr>
          <w:rFonts w:ascii="Book Antiqua" w:hAnsi="Book Antiqua"/>
          <w:sz w:val="24"/>
          <w:szCs w:val="24"/>
        </w:rPr>
        <w:t>: e105525 [PMID: 25170611 DOI: 10.1371/journal.pone.0105525]</w:t>
      </w:r>
    </w:p>
    <w:p w14:paraId="7E11AB9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339 </w:t>
      </w:r>
      <w:r w:rsidRPr="000749B2">
        <w:rPr>
          <w:rFonts w:ascii="Book Antiqua" w:hAnsi="Book Antiqua"/>
          <w:b/>
          <w:sz w:val="24"/>
          <w:szCs w:val="24"/>
        </w:rPr>
        <w:t>Morton JJ</w:t>
      </w:r>
      <w:r w:rsidRPr="000749B2">
        <w:rPr>
          <w:rFonts w:ascii="Book Antiqua" w:hAnsi="Book Antiqua"/>
          <w:sz w:val="24"/>
          <w:szCs w:val="24"/>
        </w:rPr>
        <w:t xml:space="preserve">, Bird G, Keysar SB, Astling DP, Lyons TR, Anderson RT, Glogowska MJ, Estes P, Eagles JR, Le PN, Gan G, McGettigan B, Fernandez P, Padilla-Just N, Varella-Garcia M, Song JI, Bowles DW, Schedin P, Tan AC, Roop DR, Wang XJ, Refaeli Y, Jimeno A. XactMice: humanizing mouse bone marrow enables microenvironment reconstitution in a patient-derived xenograft model of head and neck cancer. </w:t>
      </w:r>
      <w:r w:rsidRPr="000749B2">
        <w:rPr>
          <w:rFonts w:ascii="Book Antiqua" w:hAnsi="Book Antiqua"/>
          <w:i/>
          <w:sz w:val="24"/>
          <w:szCs w:val="24"/>
        </w:rPr>
        <w:t>Oncogene</w:t>
      </w:r>
      <w:r w:rsidRPr="000749B2">
        <w:rPr>
          <w:rFonts w:ascii="Book Antiqua" w:hAnsi="Book Antiqua"/>
          <w:sz w:val="24"/>
          <w:szCs w:val="24"/>
        </w:rPr>
        <w:t xml:space="preserve"> 2016; </w:t>
      </w:r>
      <w:r w:rsidRPr="000749B2">
        <w:rPr>
          <w:rFonts w:ascii="Book Antiqua" w:hAnsi="Book Antiqua"/>
          <w:b/>
          <w:sz w:val="24"/>
          <w:szCs w:val="24"/>
        </w:rPr>
        <w:t>35</w:t>
      </w:r>
      <w:r w:rsidRPr="000749B2">
        <w:rPr>
          <w:rFonts w:ascii="Book Antiqua" w:hAnsi="Book Antiqua"/>
          <w:sz w:val="24"/>
          <w:szCs w:val="24"/>
        </w:rPr>
        <w:t>: 290-300 [PMID: 25893296 DOI: 10.1038/onc.2015.94]</w:t>
      </w:r>
    </w:p>
    <w:p w14:paraId="06EFD96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340 </w:t>
      </w:r>
      <w:r w:rsidRPr="000749B2">
        <w:rPr>
          <w:rFonts w:ascii="Book Antiqua" w:hAnsi="Book Antiqua"/>
          <w:b/>
          <w:sz w:val="24"/>
          <w:szCs w:val="24"/>
        </w:rPr>
        <w:t>McIntosh BE</w:t>
      </w:r>
      <w:r w:rsidRPr="000749B2">
        <w:rPr>
          <w:rFonts w:ascii="Book Antiqua" w:hAnsi="Book Antiqua"/>
          <w:sz w:val="24"/>
          <w:szCs w:val="24"/>
        </w:rPr>
        <w:t>, Brown ME, Duffin BM, Maufort JP, Vereide DT, Slukvin II, Thomson JA. Nonirradiated NOD</w:t>
      </w:r>
      <w:proofErr w:type="gramStart"/>
      <w:r w:rsidRPr="000749B2">
        <w:rPr>
          <w:rFonts w:ascii="Book Antiqua" w:hAnsi="Book Antiqua"/>
          <w:sz w:val="24"/>
          <w:szCs w:val="24"/>
        </w:rPr>
        <w:t>,B6.SCID</w:t>
      </w:r>
      <w:proofErr w:type="gramEnd"/>
      <w:r w:rsidRPr="000749B2">
        <w:rPr>
          <w:rFonts w:ascii="Book Antiqua" w:hAnsi="Book Antiqua"/>
          <w:sz w:val="24"/>
          <w:szCs w:val="24"/>
        </w:rPr>
        <w:t xml:space="preserve"> Il2rγ-/- Kit(W41/W41) (NBSGW) mice support multilineage engraftment of human hematopoietic cells. </w:t>
      </w:r>
      <w:r w:rsidRPr="000749B2">
        <w:rPr>
          <w:rFonts w:ascii="Book Antiqua" w:hAnsi="Book Antiqua"/>
          <w:i/>
          <w:sz w:val="24"/>
          <w:szCs w:val="24"/>
        </w:rPr>
        <w:t>Stem Cell Reports</w:t>
      </w:r>
      <w:r w:rsidRPr="000749B2">
        <w:rPr>
          <w:rFonts w:ascii="Book Antiqua" w:hAnsi="Book Antiqua"/>
          <w:sz w:val="24"/>
          <w:szCs w:val="24"/>
        </w:rPr>
        <w:t xml:space="preserve"> 2015; </w:t>
      </w:r>
      <w:r w:rsidRPr="000749B2">
        <w:rPr>
          <w:rFonts w:ascii="Book Antiqua" w:hAnsi="Book Antiqua"/>
          <w:b/>
          <w:sz w:val="24"/>
          <w:szCs w:val="24"/>
        </w:rPr>
        <w:t>4</w:t>
      </w:r>
      <w:r w:rsidRPr="000749B2">
        <w:rPr>
          <w:rFonts w:ascii="Book Antiqua" w:hAnsi="Book Antiqua"/>
          <w:sz w:val="24"/>
          <w:szCs w:val="24"/>
        </w:rPr>
        <w:t>: 171-180 [PMID: 25601207 DOI: 10.1016/j.stemcr.2014.12.005]</w:t>
      </w:r>
    </w:p>
    <w:p w14:paraId="3A751F4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341 </w:t>
      </w:r>
      <w:r w:rsidRPr="000749B2">
        <w:rPr>
          <w:rFonts w:ascii="Book Antiqua" w:hAnsi="Book Antiqua"/>
          <w:b/>
          <w:sz w:val="24"/>
          <w:szCs w:val="24"/>
        </w:rPr>
        <w:t>Jespersen H</w:t>
      </w:r>
      <w:r w:rsidRPr="000749B2">
        <w:rPr>
          <w:rFonts w:ascii="Book Antiqua" w:hAnsi="Book Antiqua"/>
          <w:sz w:val="24"/>
          <w:szCs w:val="24"/>
        </w:rPr>
        <w:t xml:space="preserve">, Lindberg MF, Donia M, Söderberg EMV, Andersen R, Keller U, Ny L, Svane IM, Nilsson LM, Nilsson JA. Clinical responses to adoptive T-cell transfer can be modeled in an autologous immune-humanized mouse model. </w:t>
      </w:r>
      <w:r w:rsidRPr="000749B2">
        <w:rPr>
          <w:rFonts w:ascii="Book Antiqua" w:hAnsi="Book Antiqua"/>
          <w:i/>
          <w:sz w:val="24"/>
          <w:szCs w:val="24"/>
        </w:rPr>
        <w:t>Nat Commun</w:t>
      </w:r>
      <w:r w:rsidRPr="000749B2">
        <w:rPr>
          <w:rFonts w:ascii="Book Antiqua" w:hAnsi="Book Antiqua"/>
          <w:sz w:val="24"/>
          <w:szCs w:val="24"/>
        </w:rPr>
        <w:t xml:space="preserve"> 2017; </w:t>
      </w:r>
      <w:r w:rsidRPr="000749B2">
        <w:rPr>
          <w:rFonts w:ascii="Book Antiqua" w:hAnsi="Book Antiqua"/>
          <w:b/>
          <w:sz w:val="24"/>
          <w:szCs w:val="24"/>
        </w:rPr>
        <w:t>8</w:t>
      </w:r>
      <w:r w:rsidRPr="000749B2">
        <w:rPr>
          <w:rFonts w:ascii="Book Antiqua" w:hAnsi="Book Antiqua"/>
          <w:sz w:val="24"/>
          <w:szCs w:val="24"/>
        </w:rPr>
        <w:t>: 707 [PMID: 28955032 DOI: 10.1038/s41467-017-00786-z]</w:t>
      </w:r>
    </w:p>
    <w:p w14:paraId="3A3D201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342 </w:t>
      </w:r>
      <w:r w:rsidRPr="000749B2">
        <w:rPr>
          <w:rFonts w:ascii="Book Antiqua" w:hAnsi="Book Antiqua"/>
          <w:b/>
          <w:sz w:val="24"/>
          <w:szCs w:val="24"/>
        </w:rPr>
        <w:t>Jangalwe S</w:t>
      </w:r>
      <w:r w:rsidRPr="000749B2">
        <w:rPr>
          <w:rFonts w:ascii="Book Antiqua" w:hAnsi="Book Antiqua"/>
          <w:sz w:val="24"/>
          <w:szCs w:val="24"/>
        </w:rPr>
        <w:t>, Shultz LD, Mathew A, Brehm MA. Improved B cell development in humanized NOD</w:t>
      </w:r>
      <w:r w:rsidRPr="000749B2">
        <w:rPr>
          <w:rFonts w:ascii="Book Antiqua" w:hAnsi="Book Antiqua"/>
          <w:i/>
          <w:sz w:val="24"/>
          <w:szCs w:val="24"/>
        </w:rPr>
        <w:t>-scid IL2Rγ</w:t>
      </w:r>
      <w:r w:rsidRPr="000749B2">
        <w:rPr>
          <w:rFonts w:ascii="Book Antiqua" w:hAnsi="Book Antiqua"/>
          <w:i/>
          <w:sz w:val="24"/>
          <w:szCs w:val="24"/>
          <w:vertAlign w:val="superscript"/>
        </w:rPr>
        <w:t>null</w:t>
      </w:r>
      <w:r w:rsidRPr="000749B2">
        <w:rPr>
          <w:rFonts w:ascii="Book Antiqua" w:hAnsi="Book Antiqua"/>
          <w:sz w:val="24"/>
          <w:szCs w:val="24"/>
        </w:rPr>
        <w:t xml:space="preserve"> mice transgenically expressing human stem cell factor, granulocyte-macrophage colony-stimulating factor and interleukin-3. </w:t>
      </w:r>
      <w:r w:rsidRPr="000749B2">
        <w:rPr>
          <w:rFonts w:ascii="Book Antiqua" w:hAnsi="Book Antiqua"/>
          <w:i/>
          <w:sz w:val="24"/>
          <w:szCs w:val="24"/>
        </w:rPr>
        <w:t>Immun Inflamm Dis</w:t>
      </w:r>
      <w:r w:rsidRPr="000749B2">
        <w:rPr>
          <w:rFonts w:ascii="Book Antiqua" w:hAnsi="Book Antiqua"/>
          <w:sz w:val="24"/>
          <w:szCs w:val="24"/>
        </w:rPr>
        <w:t xml:space="preserve"> 2016; </w:t>
      </w:r>
      <w:r w:rsidRPr="000749B2">
        <w:rPr>
          <w:rFonts w:ascii="Book Antiqua" w:hAnsi="Book Antiqua"/>
          <w:b/>
          <w:sz w:val="24"/>
          <w:szCs w:val="24"/>
        </w:rPr>
        <w:t>4</w:t>
      </w:r>
      <w:r w:rsidRPr="000749B2">
        <w:rPr>
          <w:rFonts w:ascii="Book Antiqua" w:hAnsi="Book Antiqua"/>
          <w:sz w:val="24"/>
          <w:szCs w:val="24"/>
        </w:rPr>
        <w:t>: 427-440 [PMID: 27980777 DOI: 10.1002/iid3.124]</w:t>
      </w:r>
    </w:p>
    <w:p w14:paraId="5603CDA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343 </w:t>
      </w:r>
      <w:r w:rsidRPr="000749B2">
        <w:rPr>
          <w:rFonts w:ascii="Book Antiqua" w:hAnsi="Book Antiqua"/>
          <w:b/>
          <w:sz w:val="24"/>
          <w:szCs w:val="24"/>
        </w:rPr>
        <w:t>Herndler-Brandstetter D</w:t>
      </w:r>
      <w:r w:rsidRPr="000749B2">
        <w:rPr>
          <w:rFonts w:ascii="Book Antiqua" w:hAnsi="Book Antiqua"/>
          <w:sz w:val="24"/>
          <w:szCs w:val="24"/>
        </w:rPr>
        <w:t xml:space="preserve">, Shan L, Yao Y, Stecher C, Plajer V, Lietzenmayer M, Strowig T, de Zoete MR, Palm NW, Chen J, Blish CA, Frleta D, Gurer C, Macdonald LE, Murphy AJ, Yancopoulos GD, Montgomery RR, Flavell RA. Humanized mouse model supports development, function, and tissue residency of human natural killer cells. </w:t>
      </w:r>
      <w:r w:rsidRPr="000749B2">
        <w:rPr>
          <w:rFonts w:ascii="Book Antiqua" w:hAnsi="Book Antiqua"/>
          <w:i/>
          <w:sz w:val="24"/>
          <w:szCs w:val="24"/>
        </w:rPr>
        <w:t>Proc Natl Acad Sci U S A</w:t>
      </w:r>
      <w:r w:rsidRPr="000749B2">
        <w:rPr>
          <w:rFonts w:ascii="Book Antiqua" w:hAnsi="Book Antiqua"/>
          <w:sz w:val="24"/>
          <w:szCs w:val="24"/>
        </w:rPr>
        <w:t xml:space="preserve"> 2017; </w:t>
      </w:r>
      <w:r w:rsidRPr="000749B2">
        <w:rPr>
          <w:rFonts w:ascii="Book Antiqua" w:hAnsi="Book Antiqua"/>
          <w:b/>
          <w:sz w:val="24"/>
          <w:szCs w:val="24"/>
        </w:rPr>
        <w:t>114</w:t>
      </w:r>
      <w:r w:rsidRPr="000749B2">
        <w:rPr>
          <w:rFonts w:ascii="Book Antiqua" w:hAnsi="Book Antiqua"/>
          <w:sz w:val="24"/>
          <w:szCs w:val="24"/>
        </w:rPr>
        <w:t>: E9626-E9634 [PMID: 29078283 DOI: 10.1073/pnas.1705301114]</w:t>
      </w:r>
    </w:p>
    <w:p w14:paraId="6AF5FA6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344 </w:t>
      </w:r>
      <w:r w:rsidRPr="000749B2">
        <w:rPr>
          <w:rFonts w:ascii="Book Antiqua" w:hAnsi="Book Antiqua"/>
          <w:b/>
          <w:sz w:val="24"/>
          <w:szCs w:val="24"/>
        </w:rPr>
        <w:t>Capasso A</w:t>
      </w:r>
      <w:r w:rsidRPr="000749B2">
        <w:rPr>
          <w:rFonts w:ascii="Book Antiqua" w:hAnsi="Book Antiqua"/>
          <w:sz w:val="24"/>
          <w:szCs w:val="24"/>
        </w:rPr>
        <w:t xml:space="preserve">, Lang J, Pitts TM, Jordan KR, Lieu CH, Davis SL, Diamond JR, Kopetz S, Barbee J, Peterson J, Freed BM, Yacob BW, Bagby SM, Messersmith WA, Slansky JE, Pelanda R, Eckhardt SG. Characterization of immune responses to anti-PD-1 mono and combination immunotherapy in hematopoietic humanized mice implanted with tumor xenografts. </w:t>
      </w:r>
      <w:r w:rsidRPr="000749B2">
        <w:rPr>
          <w:rFonts w:ascii="Book Antiqua" w:hAnsi="Book Antiqua"/>
          <w:i/>
          <w:sz w:val="24"/>
          <w:szCs w:val="24"/>
        </w:rPr>
        <w:t>J Immunother Cancer</w:t>
      </w:r>
      <w:r w:rsidRPr="000749B2">
        <w:rPr>
          <w:rFonts w:ascii="Book Antiqua" w:hAnsi="Book Antiqua"/>
          <w:sz w:val="24"/>
          <w:szCs w:val="24"/>
        </w:rPr>
        <w:t xml:space="preserve"> 2019; </w:t>
      </w:r>
      <w:r w:rsidRPr="000749B2">
        <w:rPr>
          <w:rFonts w:ascii="Book Antiqua" w:hAnsi="Book Antiqua"/>
          <w:b/>
          <w:sz w:val="24"/>
          <w:szCs w:val="24"/>
        </w:rPr>
        <w:t>7</w:t>
      </w:r>
      <w:r w:rsidRPr="000749B2">
        <w:rPr>
          <w:rFonts w:ascii="Book Antiqua" w:hAnsi="Book Antiqua"/>
          <w:sz w:val="24"/>
          <w:szCs w:val="24"/>
        </w:rPr>
        <w:t>: 37 [PMID: 30736857 DOI: 10.1186/s40425-019-0518-z]</w:t>
      </w:r>
    </w:p>
    <w:p w14:paraId="79932C3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345 </w:t>
      </w:r>
      <w:r w:rsidRPr="000749B2">
        <w:rPr>
          <w:rFonts w:ascii="Book Antiqua" w:hAnsi="Book Antiqua"/>
          <w:b/>
          <w:sz w:val="24"/>
          <w:szCs w:val="24"/>
        </w:rPr>
        <w:t>Overman MJ</w:t>
      </w:r>
      <w:r w:rsidRPr="000749B2">
        <w:rPr>
          <w:rFonts w:ascii="Book Antiqua" w:hAnsi="Book Antiqua"/>
          <w:sz w:val="24"/>
          <w:szCs w:val="24"/>
        </w:rPr>
        <w:t xml:space="preserve">, Lonardi S, Wong KYM, Lenz HJ, Gelsomino F, Aglietta M, Morse MA, Van Cutsem E, McDermott R, Hill A, Sawyer MB, Hendlisz A, Neyns B, Svrcek M, Moss RA, Ledeine JM, Cao ZA, Kamble S, Kopetz S, André T. Durable Clinical Benefit With Nivolumab Plus Ipilimumab in DNA Mismatch Repair-Deficient/Microsatellite Instability-High Metastatic Colorectal Cancer. </w:t>
      </w:r>
      <w:r w:rsidRPr="000749B2">
        <w:rPr>
          <w:rFonts w:ascii="Book Antiqua" w:hAnsi="Book Antiqua"/>
          <w:i/>
          <w:sz w:val="24"/>
          <w:szCs w:val="24"/>
        </w:rPr>
        <w:t>J Clin Oncol</w:t>
      </w:r>
      <w:r w:rsidRPr="000749B2">
        <w:rPr>
          <w:rFonts w:ascii="Book Antiqua" w:hAnsi="Book Antiqua"/>
          <w:sz w:val="24"/>
          <w:szCs w:val="24"/>
        </w:rPr>
        <w:t xml:space="preserve"> 2018; </w:t>
      </w:r>
      <w:r w:rsidRPr="000749B2">
        <w:rPr>
          <w:rFonts w:ascii="Book Antiqua" w:hAnsi="Book Antiqua"/>
          <w:b/>
          <w:sz w:val="24"/>
          <w:szCs w:val="24"/>
        </w:rPr>
        <w:t>36</w:t>
      </w:r>
      <w:r w:rsidRPr="000749B2">
        <w:rPr>
          <w:rFonts w:ascii="Book Antiqua" w:hAnsi="Book Antiqua"/>
          <w:sz w:val="24"/>
          <w:szCs w:val="24"/>
        </w:rPr>
        <w:t>: 773-779 [PMID: 29355075 DOI: 10.1200/JCO.2017.76.9901]</w:t>
      </w:r>
    </w:p>
    <w:p w14:paraId="1E14E14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346 </w:t>
      </w:r>
      <w:r w:rsidRPr="000749B2">
        <w:rPr>
          <w:rFonts w:ascii="Book Antiqua" w:hAnsi="Book Antiqua"/>
          <w:b/>
          <w:sz w:val="24"/>
          <w:szCs w:val="24"/>
        </w:rPr>
        <w:t>Barretina J</w:t>
      </w:r>
      <w:r w:rsidRPr="000749B2">
        <w:rPr>
          <w:rFonts w:ascii="Book Antiqua" w:hAnsi="Book Antiqua"/>
          <w:sz w:val="24"/>
          <w:szCs w:val="24"/>
        </w:rPr>
        <w:t xml:space="preserve">, Caponigro G, Stransky N, Venkatesan K, Margolin AA, Kim S, Wilson CJ, Lehár J, Kryukov GV, Sonkin D, Reddy A, Liu M, Murray L, Berger MF, Monahan JE, Morais P, Meltzer J, Korejwa A, Jané-Valbuena J, Mapa FA, Thibault J, Bric-Furlong E, Raman P, Shipway A, Engels IH, Cheng J, Yu GK, Yu J, Aspesi P Jr, de Silva M, Jagtap K, Jones MD, Wang L, Hatton C, Palescandolo E, Gupta S, Mahan S, Sougnez C, Onofrio RC, Liefeld T, MacConaill L, Winckler W, Reich M, Li N, Mesirov JP, Gabriel SB, Getz G, Ardlie K, Chan V, Myer VE, Weber BL, Porter J, Warmuth M, Finan P, Harris JL, Meyerson M, Golub TR, Morrissey MP, Sellers WR, Schlegel R, Garraway LA. The Cancer Cell Line Encyclopedia enables predictive </w:t>
      </w:r>
      <w:r w:rsidRPr="000749B2">
        <w:rPr>
          <w:rFonts w:ascii="Book Antiqua" w:hAnsi="Book Antiqua"/>
          <w:sz w:val="24"/>
          <w:szCs w:val="24"/>
        </w:rPr>
        <w:lastRenderedPageBreak/>
        <w:t xml:space="preserve">modelling of anticancer drug sensitivity. </w:t>
      </w:r>
      <w:r w:rsidRPr="000749B2">
        <w:rPr>
          <w:rFonts w:ascii="Book Antiqua" w:hAnsi="Book Antiqua"/>
          <w:i/>
          <w:sz w:val="24"/>
          <w:szCs w:val="24"/>
        </w:rPr>
        <w:t>Nature</w:t>
      </w:r>
      <w:r w:rsidRPr="000749B2">
        <w:rPr>
          <w:rFonts w:ascii="Book Antiqua" w:hAnsi="Book Antiqua"/>
          <w:sz w:val="24"/>
          <w:szCs w:val="24"/>
        </w:rPr>
        <w:t xml:space="preserve"> 2012; </w:t>
      </w:r>
      <w:r w:rsidRPr="000749B2">
        <w:rPr>
          <w:rFonts w:ascii="Book Antiqua" w:hAnsi="Book Antiqua"/>
          <w:b/>
          <w:sz w:val="24"/>
          <w:szCs w:val="24"/>
        </w:rPr>
        <w:t>483</w:t>
      </w:r>
      <w:r w:rsidRPr="000749B2">
        <w:rPr>
          <w:rFonts w:ascii="Book Antiqua" w:hAnsi="Book Antiqua"/>
          <w:sz w:val="24"/>
          <w:szCs w:val="24"/>
        </w:rPr>
        <w:t>: 603-607 [PMID: 22460905 DOI: 10.1038/nature11003]</w:t>
      </w:r>
    </w:p>
    <w:p w14:paraId="22130E6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347 </w:t>
      </w:r>
      <w:r w:rsidRPr="000749B2">
        <w:rPr>
          <w:rFonts w:ascii="Book Antiqua" w:hAnsi="Book Antiqua"/>
          <w:b/>
          <w:sz w:val="24"/>
          <w:szCs w:val="24"/>
        </w:rPr>
        <w:t>Krbal L</w:t>
      </w:r>
      <w:r w:rsidRPr="000749B2">
        <w:rPr>
          <w:rFonts w:ascii="Book Antiqua" w:hAnsi="Book Antiqua"/>
          <w:sz w:val="24"/>
          <w:szCs w:val="24"/>
        </w:rPr>
        <w:t xml:space="preserve">, Soukup J, Stanislav J, Hanusova V. Derivation and basic characterization of colorectal carcinoma primary cell lines. </w:t>
      </w:r>
      <w:r w:rsidRPr="000749B2">
        <w:rPr>
          <w:rFonts w:ascii="Book Antiqua" w:hAnsi="Book Antiqua"/>
          <w:i/>
          <w:sz w:val="24"/>
          <w:szCs w:val="24"/>
        </w:rPr>
        <w:t>Biomed Pap Med Fac Univ Palacky Olomouc Czech Repub</w:t>
      </w:r>
      <w:r w:rsidRPr="000749B2">
        <w:rPr>
          <w:rFonts w:ascii="Book Antiqua" w:hAnsi="Book Antiqua"/>
          <w:sz w:val="24"/>
          <w:szCs w:val="24"/>
        </w:rPr>
        <w:t xml:space="preserve"> 2017; </w:t>
      </w:r>
      <w:r w:rsidRPr="000749B2">
        <w:rPr>
          <w:rFonts w:ascii="Book Antiqua" w:hAnsi="Book Antiqua"/>
          <w:b/>
          <w:sz w:val="24"/>
          <w:szCs w:val="24"/>
        </w:rPr>
        <w:t>161</w:t>
      </w:r>
      <w:r w:rsidRPr="000749B2">
        <w:rPr>
          <w:rFonts w:ascii="Book Antiqua" w:hAnsi="Book Antiqua"/>
          <w:sz w:val="24"/>
          <w:szCs w:val="24"/>
        </w:rPr>
        <w:t>: 360-368 [PMID: 29042709 DOI: 10.5507/bp.2017.040]</w:t>
      </w:r>
    </w:p>
    <w:p w14:paraId="501D36D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348 </w:t>
      </w:r>
      <w:r w:rsidRPr="000749B2">
        <w:rPr>
          <w:rFonts w:ascii="Book Antiqua" w:hAnsi="Book Antiqua"/>
          <w:b/>
          <w:sz w:val="24"/>
          <w:szCs w:val="24"/>
        </w:rPr>
        <w:t>Bolck HA</w:t>
      </w:r>
      <w:r w:rsidRPr="000749B2">
        <w:rPr>
          <w:rFonts w:ascii="Book Antiqua" w:hAnsi="Book Antiqua"/>
          <w:sz w:val="24"/>
          <w:szCs w:val="24"/>
        </w:rPr>
        <w:t xml:space="preserve">, Pauli C, Göbel E, Mühlbauer K, Dettwiler S, Moch H, Schraml P. Cancer Sample Biobanking at the Next Level: Combining Tissue With Living Cell Repositories to Promote Precision Medicine. </w:t>
      </w:r>
      <w:r w:rsidRPr="000749B2">
        <w:rPr>
          <w:rFonts w:ascii="Book Antiqua" w:hAnsi="Book Antiqua"/>
          <w:i/>
          <w:sz w:val="24"/>
          <w:szCs w:val="24"/>
        </w:rPr>
        <w:t>Front Cell Dev Biol</w:t>
      </w:r>
      <w:r w:rsidRPr="000749B2">
        <w:rPr>
          <w:rFonts w:ascii="Book Antiqua" w:hAnsi="Book Antiqua"/>
          <w:sz w:val="24"/>
          <w:szCs w:val="24"/>
        </w:rPr>
        <w:t xml:space="preserve"> 2019; </w:t>
      </w:r>
      <w:r w:rsidRPr="000749B2">
        <w:rPr>
          <w:rFonts w:ascii="Book Antiqua" w:hAnsi="Book Antiqua"/>
          <w:b/>
          <w:sz w:val="24"/>
          <w:szCs w:val="24"/>
        </w:rPr>
        <w:t>7</w:t>
      </w:r>
      <w:r w:rsidRPr="000749B2">
        <w:rPr>
          <w:rFonts w:ascii="Book Antiqua" w:hAnsi="Book Antiqua"/>
          <w:sz w:val="24"/>
          <w:szCs w:val="24"/>
        </w:rPr>
        <w:t>: 246 [PMID: 31696117 DOI: 10.3389/fcell.2019.00246]</w:t>
      </w:r>
    </w:p>
    <w:p w14:paraId="0BCD249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349 </w:t>
      </w:r>
      <w:r w:rsidRPr="000749B2">
        <w:rPr>
          <w:rFonts w:ascii="Book Antiqua" w:hAnsi="Book Antiqua"/>
          <w:b/>
          <w:sz w:val="24"/>
          <w:szCs w:val="24"/>
        </w:rPr>
        <w:t>Kang Y</w:t>
      </w:r>
      <w:r w:rsidRPr="000749B2">
        <w:rPr>
          <w:rFonts w:ascii="Book Antiqua" w:hAnsi="Book Antiqua"/>
          <w:sz w:val="24"/>
          <w:szCs w:val="24"/>
        </w:rPr>
        <w:t xml:space="preserve">, Zhang R, Suzuki R, Li SQ, Roife D, Truty MJ, Chatterjee D, Thomas RM, Cardwell J, Wang Y, Wang H, Katz MH, Fleming JB. Two-dimensional culture of human pancreatic adenocarcinoma cells results in an irreversible transition from epithelial to mesenchymal phenotype. </w:t>
      </w:r>
      <w:r w:rsidRPr="000749B2">
        <w:rPr>
          <w:rFonts w:ascii="Book Antiqua" w:hAnsi="Book Antiqua"/>
          <w:i/>
          <w:sz w:val="24"/>
          <w:szCs w:val="24"/>
        </w:rPr>
        <w:t>Lab Invest</w:t>
      </w:r>
      <w:r w:rsidRPr="000749B2">
        <w:rPr>
          <w:rFonts w:ascii="Book Antiqua" w:hAnsi="Book Antiqua"/>
          <w:sz w:val="24"/>
          <w:szCs w:val="24"/>
        </w:rPr>
        <w:t xml:space="preserve"> 2015; </w:t>
      </w:r>
      <w:r w:rsidRPr="000749B2">
        <w:rPr>
          <w:rFonts w:ascii="Book Antiqua" w:hAnsi="Book Antiqua"/>
          <w:b/>
          <w:sz w:val="24"/>
          <w:szCs w:val="24"/>
        </w:rPr>
        <w:t>95</w:t>
      </w:r>
      <w:r w:rsidRPr="000749B2">
        <w:rPr>
          <w:rFonts w:ascii="Book Antiqua" w:hAnsi="Book Antiqua"/>
          <w:sz w:val="24"/>
          <w:szCs w:val="24"/>
        </w:rPr>
        <w:t>: 207-222 [PMID: 25485535 DOI: 10.1038/labinvest.2014.143]</w:t>
      </w:r>
    </w:p>
    <w:p w14:paraId="58011922"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350 </w:t>
      </w:r>
      <w:r w:rsidRPr="000749B2">
        <w:rPr>
          <w:rFonts w:ascii="Book Antiqua" w:hAnsi="Book Antiqua"/>
          <w:b/>
          <w:sz w:val="24"/>
          <w:szCs w:val="24"/>
        </w:rPr>
        <w:t>Hickman JA</w:t>
      </w:r>
      <w:r w:rsidRPr="000749B2">
        <w:rPr>
          <w:rFonts w:ascii="Book Antiqua" w:hAnsi="Book Antiqua"/>
          <w:sz w:val="24"/>
          <w:szCs w:val="24"/>
        </w:rPr>
        <w:t xml:space="preserve">, Graeser R, de Hoogt R, Vidic S, Brito C, Gutekunst M, van der Kuip H; IMI PREDECT Consortium. Three-dimensional models of cancer for pharmacology and cancer cell biology: capturing tumor complexity in vitro/ex vivo. </w:t>
      </w:r>
      <w:r w:rsidRPr="000749B2">
        <w:rPr>
          <w:rFonts w:ascii="Book Antiqua" w:hAnsi="Book Antiqua"/>
          <w:i/>
          <w:sz w:val="24"/>
          <w:szCs w:val="24"/>
        </w:rPr>
        <w:t>Biotechnol J</w:t>
      </w:r>
      <w:r w:rsidRPr="000749B2">
        <w:rPr>
          <w:rFonts w:ascii="Book Antiqua" w:hAnsi="Book Antiqua"/>
          <w:sz w:val="24"/>
          <w:szCs w:val="24"/>
        </w:rPr>
        <w:t xml:space="preserve"> 2014; </w:t>
      </w:r>
      <w:r w:rsidRPr="000749B2">
        <w:rPr>
          <w:rFonts w:ascii="Book Antiqua" w:hAnsi="Book Antiqua"/>
          <w:b/>
          <w:sz w:val="24"/>
          <w:szCs w:val="24"/>
        </w:rPr>
        <w:t>9</w:t>
      </w:r>
      <w:r w:rsidRPr="000749B2">
        <w:rPr>
          <w:rFonts w:ascii="Book Antiqua" w:hAnsi="Book Antiqua"/>
          <w:sz w:val="24"/>
          <w:szCs w:val="24"/>
        </w:rPr>
        <w:t>: 1115-1128 [PMID: 25174503 DOI: 10.1002/biot.201300492]</w:t>
      </w:r>
    </w:p>
    <w:p w14:paraId="3D2DFF4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351 </w:t>
      </w:r>
      <w:r w:rsidRPr="000749B2">
        <w:rPr>
          <w:rFonts w:ascii="Book Antiqua" w:hAnsi="Book Antiqua"/>
          <w:b/>
          <w:sz w:val="24"/>
          <w:szCs w:val="24"/>
        </w:rPr>
        <w:t>Luca AC</w:t>
      </w:r>
      <w:r w:rsidRPr="000749B2">
        <w:rPr>
          <w:rFonts w:ascii="Book Antiqua" w:hAnsi="Book Antiqua"/>
          <w:sz w:val="24"/>
          <w:szCs w:val="24"/>
        </w:rPr>
        <w:t xml:space="preserve">, Mersch S, Deenen R, Schmidt S, Messner I, Schäfer KL, Baldus SE, Huckenbeck W, Piekorz RP, Knoefel WT, Krieg A, Stoecklein NH. Impact of the 3D microenvironment on phenotype, gene expression, and EGFR inhibition of colorectal cancer cell lines. </w:t>
      </w:r>
      <w:r w:rsidRPr="000749B2">
        <w:rPr>
          <w:rFonts w:ascii="Book Antiqua" w:hAnsi="Book Antiqua"/>
          <w:i/>
          <w:sz w:val="24"/>
          <w:szCs w:val="24"/>
        </w:rPr>
        <w:t>PLoS One</w:t>
      </w:r>
      <w:r w:rsidRPr="000749B2">
        <w:rPr>
          <w:rFonts w:ascii="Book Antiqua" w:hAnsi="Book Antiqua"/>
          <w:sz w:val="24"/>
          <w:szCs w:val="24"/>
        </w:rPr>
        <w:t xml:space="preserve"> 2013; </w:t>
      </w:r>
      <w:r w:rsidRPr="000749B2">
        <w:rPr>
          <w:rFonts w:ascii="Book Antiqua" w:hAnsi="Book Antiqua"/>
          <w:b/>
          <w:sz w:val="24"/>
          <w:szCs w:val="24"/>
        </w:rPr>
        <w:t>8</w:t>
      </w:r>
      <w:r w:rsidRPr="000749B2">
        <w:rPr>
          <w:rFonts w:ascii="Book Antiqua" w:hAnsi="Book Antiqua"/>
          <w:sz w:val="24"/>
          <w:szCs w:val="24"/>
        </w:rPr>
        <w:t>: e59689 [PMID: 23555746 DOI: 10.1371/journal.pone.0059689]</w:t>
      </w:r>
    </w:p>
    <w:p w14:paraId="28A6022F" w14:textId="6FBFD91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352 </w:t>
      </w:r>
      <w:r w:rsidRPr="000749B2">
        <w:rPr>
          <w:rFonts w:ascii="Book Antiqua" w:hAnsi="Book Antiqua"/>
          <w:b/>
          <w:sz w:val="24"/>
          <w:szCs w:val="24"/>
        </w:rPr>
        <w:t>van Tienderen GS</w:t>
      </w:r>
      <w:r w:rsidRPr="000749B2">
        <w:rPr>
          <w:rFonts w:ascii="Book Antiqua" w:hAnsi="Book Antiqua"/>
          <w:sz w:val="24"/>
          <w:szCs w:val="24"/>
        </w:rPr>
        <w:t xml:space="preserve">, Groot Koerkamp B, IJzermans JNM, van der Laan LJW, Verstegen MMA. Recreating Tumour Complexity in a Dish: Organoid Models to Study Liver Cancer Cells and their Extracellular Environment. </w:t>
      </w:r>
      <w:r w:rsidRPr="000749B2">
        <w:rPr>
          <w:rFonts w:ascii="Book Antiqua" w:hAnsi="Book Antiqua"/>
          <w:i/>
          <w:sz w:val="24"/>
          <w:szCs w:val="24"/>
        </w:rPr>
        <w:t>Cancers (Basel)</w:t>
      </w:r>
      <w:r w:rsidRPr="000749B2">
        <w:rPr>
          <w:rFonts w:ascii="Book Antiqua" w:hAnsi="Book Antiqua"/>
          <w:sz w:val="24"/>
          <w:szCs w:val="24"/>
        </w:rPr>
        <w:t xml:space="preserve"> 2019; </w:t>
      </w:r>
      <w:r w:rsidRPr="000749B2">
        <w:rPr>
          <w:rFonts w:ascii="Book Antiqua" w:hAnsi="Book Antiqua"/>
          <w:b/>
          <w:sz w:val="24"/>
          <w:szCs w:val="24"/>
        </w:rPr>
        <w:t>11</w:t>
      </w:r>
      <w:r w:rsidRPr="000749B2">
        <w:rPr>
          <w:rFonts w:ascii="Book Antiqua" w:hAnsi="Book Antiqua"/>
          <w:sz w:val="24"/>
          <w:szCs w:val="24"/>
        </w:rPr>
        <w:t>:</w:t>
      </w:r>
      <w:r w:rsidR="004077FE" w:rsidRPr="000749B2">
        <w:rPr>
          <w:rFonts w:ascii="Book Antiqua" w:hAnsi="Book Antiqua"/>
          <w:sz w:val="24"/>
          <w:szCs w:val="24"/>
        </w:rPr>
        <w:t xml:space="preserve"> </w:t>
      </w:r>
      <w:r w:rsidRPr="000749B2">
        <w:rPr>
          <w:rFonts w:ascii="Book Antiqua" w:hAnsi="Book Antiqua"/>
          <w:sz w:val="24"/>
          <w:szCs w:val="24"/>
        </w:rPr>
        <w:t>[PMID: 31683901 DOI: 10.3390/cancers11111706]</w:t>
      </w:r>
    </w:p>
    <w:p w14:paraId="03AE86F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353 </w:t>
      </w:r>
      <w:r w:rsidRPr="000749B2">
        <w:rPr>
          <w:rFonts w:ascii="Book Antiqua" w:hAnsi="Book Antiqua"/>
          <w:b/>
          <w:sz w:val="24"/>
          <w:szCs w:val="24"/>
        </w:rPr>
        <w:t>van de Wetering M</w:t>
      </w:r>
      <w:r w:rsidRPr="000749B2">
        <w:rPr>
          <w:rFonts w:ascii="Book Antiqua" w:hAnsi="Book Antiqua"/>
          <w:sz w:val="24"/>
          <w:szCs w:val="24"/>
        </w:rPr>
        <w:t xml:space="preserve">, Francies HE, Francis JM, Bounova G, Iorio F, Pronk A, van Houdt W, van Gorp J, Taylor-Weiner A, Kester L, McLaren-Douglas A, Blokker J, Jaksani S, Bartfeld S, Volckman R, van Sluis P, Li VS, Seepo S, Sekhar Pedamallu C, </w:t>
      </w:r>
      <w:r w:rsidRPr="000749B2">
        <w:rPr>
          <w:rFonts w:ascii="Book Antiqua" w:hAnsi="Book Antiqua"/>
          <w:sz w:val="24"/>
          <w:szCs w:val="24"/>
        </w:rPr>
        <w:lastRenderedPageBreak/>
        <w:t xml:space="preserve">Cibulskis K, Carter SL, McKenna A, Lawrence MS, Lichtenstein L, Stewart C, Koster J, Versteeg R, van Oudenaarden A, Saez-Rodriguez J, Vries RG, Getz G, Wessels L, Stratton MR, McDermott U, Meyerson M, Garnett MJ, Clevers H. Prospective derivation of a living organoid biobank of colorectal cancer patients. </w:t>
      </w:r>
      <w:r w:rsidRPr="000749B2">
        <w:rPr>
          <w:rFonts w:ascii="Book Antiqua" w:hAnsi="Book Antiqua"/>
          <w:i/>
          <w:sz w:val="24"/>
          <w:szCs w:val="24"/>
        </w:rPr>
        <w:t>Cell</w:t>
      </w:r>
      <w:r w:rsidRPr="000749B2">
        <w:rPr>
          <w:rFonts w:ascii="Book Antiqua" w:hAnsi="Book Antiqua"/>
          <w:sz w:val="24"/>
          <w:szCs w:val="24"/>
        </w:rPr>
        <w:t xml:space="preserve"> 2015; </w:t>
      </w:r>
      <w:r w:rsidRPr="000749B2">
        <w:rPr>
          <w:rFonts w:ascii="Book Antiqua" w:hAnsi="Book Antiqua"/>
          <w:b/>
          <w:sz w:val="24"/>
          <w:szCs w:val="24"/>
        </w:rPr>
        <w:t>161</w:t>
      </w:r>
      <w:r w:rsidRPr="000749B2">
        <w:rPr>
          <w:rFonts w:ascii="Book Antiqua" w:hAnsi="Book Antiqua"/>
          <w:sz w:val="24"/>
          <w:szCs w:val="24"/>
        </w:rPr>
        <w:t>: 933-945 [PMID: 25957691 DOI: 10.1016/j.cell.2015.03.053]</w:t>
      </w:r>
    </w:p>
    <w:p w14:paraId="597B721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354 </w:t>
      </w:r>
      <w:r w:rsidRPr="000749B2">
        <w:rPr>
          <w:rFonts w:ascii="Book Antiqua" w:hAnsi="Book Antiqua"/>
          <w:b/>
          <w:sz w:val="24"/>
          <w:szCs w:val="24"/>
        </w:rPr>
        <w:t>Vlachogiannis G</w:t>
      </w:r>
      <w:r w:rsidRPr="000749B2">
        <w:rPr>
          <w:rFonts w:ascii="Book Antiqua" w:hAnsi="Book Antiqua"/>
          <w:sz w:val="24"/>
          <w:szCs w:val="24"/>
        </w:rPr>
        <w:t xml:space="preserve">, Hedayat S, Vatsiou A, Jamin Y, Fernández-Mateos J, Khan K, Lampis A, Eason K, Huntingford I, Burke R, Rata M, Koh DM, Tunariu N, Collins D, Hulkki-Wilson S, Ragulan C, Spiteri I, Moorcraft SY, Chau I, Rao S, Watkins D, Fotiadis N, Bali M, Darvish-Damavandi M, Lote H, Eltahir Z, Smyth EC, Begum R, Clarke PA, Hahne JC, Dowsett M, de Bono J, Workman P, Sadanandam A, Fassan M, Sansom OJ, Eccles S, Starling N, Braconi C, Sottoriva A, Robinson SP, Cunningham D, Valeri N. Patient-derived organoids model treatment response of metastatic gastrointestinal cancers. </w:t>
      </w:r>
      <w:r w:rsidRPr="000749B2">
        <w:rPr>
          <w:rFonts w:ascii="Book Antiqua" w:hAnsi="Book Antiqua"/>
          <w:i/>
          <w:sz w:val="24"/>
          <w:szCs w:val="24"/>
        </w:rPr>
        <w:t>Science</w:t>
      </w:r>
      <w:r w:rsidRPr="000749B2">
        <w:rPr>
          <w:rFonts w:ascii="Book Antiqua" w:hAnsi="Book Antiqua"/>
          <w:sz w:val="24"/>
          <w:szCs w:val="24"/>
        </w:rPr>
        <w:t xml:space="preserve"> 2018; </w:t>
      </w:r>
      <w:r w:rsidRPr="000749B2">
        <w:rPr>
          <w:rFonts w:ascii="Book Antiqua" w:hAnsi="Book Antiqua"/>
          <w:b/>
          <w:sz w:val="24"/>
          <w:szCs w:val="24"/>
        </w:rPr>
        <w:t>359</w:t>
      </w:r>
      <w:r w:rsidRPr="000749B2">
        <w:rPr>
          <w:rFonts w:ascii="Book Antiqua" w:hAnsi="Book Antiqua"/>
          <w:sz w:val="24"/>
          <w:szCs w:val="24"/>
        </w:rPr>
        <w:t>: 920-926 [PMID: 29472484 DOI: 10.1126/science.aao2774]</w:t>
      </w:r>
    </w:p>
    <w:p w14:paraId="6FD3B79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355 </w:t>
      </w:r>
      <w:r w:rsidRPr="000749B2">
        <w:rPr>
          <w:rFonts w:ascii="Book Antiqua" w:hAnsi="Book Antiqua"/>
          <w:b/>
          <w:sz w:val="24"/>
          <w:szCs w:val="24"/>
        </w:rPr>
        <w:t>Tiriac H</w:t>
      </w:r>
      <w:r w:rsidRPr="000749B2">
        <w:rPr>
          <w:rFonts w:ascii="Book Antiqua" w:hAnsi="Book Antiqua"/>
          <w:sz w:val="24"/>
          <w:szCs w:val="24"/>
        </w:rPr>
        <w:t xml:space="preserve">, Belleau P, Engle DD, Plenker D, Deschênes A, Somerville TDD, Froeling FEM, Burkhart RA, Denroche RE, Jang GH, Miyabayashi K, Young CM, Patel H, Ma M, LaComb JF, Palmaira RLD, Javed AA, Huynh JC, Johnson M, Arora K, Robine N, Shah M, Sanghvi R, Goetz AB, Lowder CY, Martello L, Driehuis E, LeComte N, Askan G, Iacobuzio-Donahue CA, Clevers H, Wood LD, Hruban RH, Thompson E, Aguirre AJ, Wolpin BM, Sasson A, Kim J, Wu M, Bucobo JC, Allen P, Sejpal DV, Nealon W, Sullivan JD, Winter JM, Gimotty PA, Grem JL, DiMaio DJ, Buscaglia JM, Grandgenett PM, Brody JR, Hollingsworth MA, O'Kane GM, Notta F, Kim E, Crawford JM, Devoe C, Ocean A, Wolfgang CL, Yu KH, Li E, Vakoc CR, Hubert B, Fischer SE, Wilson JM, Moffitt R, Knox J, Krasnitz A, Gallinger S, Tuveson DA. Organoid Profiling Identifies Common Responders to Chemotherapy in Pancreatic Cancer. </w:t>
      </w:r>
      <w:r w:rsidRPr="000749B2">
        <w:rPr>
          <w:rFonts w:ascii="Book Antiqua" w:hAnsi="Book Antiqua"/>
          <w:i/>
          <w:sz w:val="24"/>
          <w:szCs w:val="24"/>
        </w:rPr>
        <w:t>Cancer Discov</w:t>
      </w:r>
      <w:r w:rsidRPr="000749B2">
        <w:rPr>
          <w:rFonts w:ascii="Book Antiqua" w:hAnsi="Book Antiqua"/>
          <w:sz w:val="24"/>
          <w:szCs w:val="24"/>
        </w:rPr>
        <w:t xml:space="preserve"> 2018; </w:t>
      </w:r>
      <w:r w:rsidRPr="000749B2">
        <w:rPr>
          <w:rFonts w:ascii="Book Antiqua" w:hAnsi="Book Antiqua"/>
          <w:b/>
          <w:sz w:val="24"/>
          <w:szCs w:val="24"/>
        </w:rPr>
        <w:t>8</w:t>
      </w:r>
      <w:r w:rsidRPr="000749B2">
        <w:rPr>
          <w:rFonts w:ascii="Book Antiqua" w:hAnsi="Book Antiqua"/>
          <w:sz w:val="24"/>
          <w:szCs w:val="24"/>
        </w:rPr>
        <w:t>: 1112-1129 [PMID: 29853643 DOI: 10.1158/2159-8290.CD-18-0349]</w:t>
      </w:r>
    </w:p>
    <w:p w14:paraId="2836E54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356 </w:t>
      </w:r>
      <w:r w:rsidRPr="000749B2">
        <w:rPr>
          <w:rFonts w:ascii="Book Antiqua" w:hAnsi="Book Antiqua"/>
          <w:b/>
          <w:sz w:val="24"/>
          <w:szCs w:val="24"/>
        </w:rPr>
        <w:t>Yan HHN</w:t>
      </w:r>
      <w:r w:rsidRPr="000749B2">
        <w:rPr>
          <w:rFonts w:ascii="Book Antiqua" w:hAnsi="Book Antiqua"/>
          <w:sz w:val="24"/>
          <w:szCs w:val="24"/>
        </w:rPr>
        <w:t xml:space="preserve">, Siu HC, Law S, Ho SL, Yue SSK, Tsui WY, Chan D, Chan AS, Ma S, Lam KO, Bartfeld S, Man AHY, Lee BCH, Chan ASY, Wong JWH, Cheng PSW, Chan AKW, Zhang J, Shi J, Fan X, Kwong DLW, Mak TW, Yuen ST, Clevers H, Leung SY. A Comprehensive Human Gastric Cancer Organoid Biobank Captures Tumor </w:t>
      </w:r>
      <w:r w:rsidRPr="000749B2">
        <w:rPr>
          <w:rFonts w:ascii="Book Antiqua" w:hAnsi="Book Antiqua"/>
          <w:sz w:val="24"/>
          <w:szCs w:val="24"/>
        </w:rPr>
        <w:lastRenderedPageBreak/>
        <w:t xml:space="preserve">Subtype Heterogeneity and Enables Therapeutic Screening. </w:t>
      </w:r>
      <w:r w:rsidRPr="000749B2">
        <w:rPr>
          <w:rFonts w:ascii="Book Antiqua" w:hAnsi="Book Antiqua"/>
          <w:i/>
          <w:sz w:val="24"/>
          <w:szCs w:val="24"/>
        </w:rPr>
        <w:t>Cell Stem Cell</w:t>
      </w:r>
      <w:r w:rsidRPr="000749B2">
        <w:rPr>
          <w:rFonts w:ascii="Book Antiqua" w:hAnsi="Book Antiqua"/>
          <w:sz w:val="24"/>
          <w:szCs w:val="24"/>
        </w:rPr>
        <w:t xml:space="preserve"> 2018; </w:t>
      </w:r>
      <w:r w:rsidRPr="000749B2">
        <w:rPr>
          <w:rFonts w:ascii="Book Antiqua" w:hAnsi="Book Antiqua"/>
          <w:b/>
          <w:sz w:val="24"/>
          <w:szCs w:val="24"/>
        </w:rPr>
        <w:t>23</w:t>
      </w:r>
      <w:r w:rsidRPr="000749B2">
        <w:rPr>
          <w:rFonts w:ascii="Book Antiqua" w:hAnsi="Book Antiqua"/>
          <w:sz w:val="24"/>
          <w:szCs w:val="24"/>
        </w:rPr>
        <w:t>: 882-897.e11 [PMID: 30344100 DOI: 10.1016/j.stem.2018.09.016]</w:t>
      </w:r>
    </w:p>
    <w:p w14:paraId="5D06FBA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357 </w:t>
      </w:r>
      <w:r w:rsidRPr="000749B2">
        <w:rPr>
          <w:rFonts w:ascii="Book Antiqua" w:hAnsi="Book Antiqua"/>
          <w:b/>
          <w:sz w:val="24"/>
          <w:szCs w:val="24"/>
        </w:rPr>
        <w:t>Lee SH</w:t>
      </w:r>
      <w:r w:rsidRPr="000749B2">
        <w:rPr>
          <w:rFonts w:ascii="Book Antiqua" w:hAnsi="Book Antiqua"/>
          <w:sz w:val="24"/>
          <w:szCs w:val="24"/>
        </w:rPr>
        <w:t xml:space="preserve">, Hong JH, Park HK, Park JS, Kim BK, Lee JY, Jeong JY, Yoon GS, Inoue M, Choi GS, Lee IK. Colorectal cancer-derived tumor spheroids retain the characteristics of original tumors. </w:t>
      </w:r>
      <w:r w:rsidRPr="000749B2">
        <w:rPr>
          <w:rFonts w:ascii="Book Antiqua" w:hAnsi="Book Antiqua"/>
          <w:i/>
          <w:sz w:val="24"/>
          <w:szCs w:val="24"/>
        </w:rPr>
        <w:t>Cancer Lett</w:t>
      </w:r>
      <w:r w:rsidRPr="000749B2">
        <w:rPr>
          <w:rFonts w:ascii="Book Antiqua" w:hAnsi="Book Antiqua"/>
          <w:sz w:val="24"/>
          <w:szCs w:val="24"/>
        </w:rPr>
        <w:t xml:space="preserve"> 2015; </w:t>
      </w:r>
      <w:r w:rsidRPr="000749B2">
        <w:rPr>
          <w:rFonts w:ascii="Book Antiqua" w:hAnsi="Book Antiqua"/>
          <w:b/>
          <w:sz w:val="24"/>
          <w:szCs w:val="24"/>
        </w:rPr>
        <w:t>367</w:t>
      </w:r>
      <w:r w:rsidRPr="000749B2">
        <w:rPr>
          <w:rFonts w:ascii="Book Antiqua" w:hAnsi="Book Antiqua"/>
          <w:sz w:val="24"/>
          <w:szCs w:val="24"/>
        </w:rPr>
        <w:t>: 34-42 [PMID: 26185002 DOI: 10.1016/j.canlet.2015.06.024]</w:t>
      </w:r>
    </w:p>
    <w:p w14:paraId="6FF1499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358 </w:t>
      </w:r>
      <w:r w:rsidRPr="000749B2">
        <w:rPr>
          <w:rFonts w:ascii="Book Antiqua" w:hAnsi="Book Antiqua"/>
          <w:b/>
          <w:sz w:val="24"/>
          <w:szCs w:val="24"/>
        </w:rPr>
        <w:t>Sato T</w:t>
      </w:r>
      <w:r w:rsidRPr="000749B2">
        <w:rPr>
          <w:rFonts w:ascii="Book Antiqua" w:hAnsi="Book Antiqua"/>
          <w:sz w:val="24"/>
          <w:szCs w:val="24"/>
        </w:rPr>
        <w:t xml:space="preserve">, Vries RG, Snippert HJ, van de Wetering M, Barker N, Stange DE, van Es JH, Abo A, Kujala P, Peters PJ, Clevers H. Single Lgr5 stem cells build crypt-villus structures in vitro without a mesenchymal niche. </w:t>
      </w:r>
      <w:r w:rsidRPr="000749B2">
        <w:rPr>
          <w:rFonts w:ascii="Book Antiqua" w:hAnsi="Book Antiqua"/>
          <w:i/>
          <w:sz w:val="24"/>
          <w:szCs w:val="24"/>
        </w:rPr>
        <w:t>Nature</w:t>
      </w:r>
      <w:r w:rsidRPr="000749B2">
        <w:rPr>
          <w:rFonts w:ascii="Book Antiqua" w:hAnsi="Book Antiqua"/>
          <w:sz w:val="24"/>
          <w:szCs w:val="24"/>
        </w:rPr>
        <w:t xml:space="preserve"> 2009; </w:t>
      </w:r>
      <w:r w:rsidRPr="000749B2">
        <w:rPr>
          <w:rFonts w:ascii="Book Antiqua" w:hAnsi="Book Antiqua"/>
          <w:b/>
          <w:sz w:val="24"/>
          <w:szCs w:val="24"/>
        </w:rPr>
        <w:t>459</w:t>
      </w:r>
      <w:r w:rsidRPr="000749B2">
        <w:rPr>
          <w:rFonts w:ascii="Book Antiqua" w:hAnsi="Book Antiqua"/>
          <w:sz w:val="24"/>
          <w:szCs w:val="24"/>
        </w:rPr>
        <w:t>: 262-265 [PMID: 19329995 DOI: 10.1038/nature07935]</w:t>
      </w:r>
    </w:p>
    <w:p w14:paraId="16A07BA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359 </w:t>
      </w:r>
      <w:r w:rsidRPr="000749B2">
        <w:rPr>
          <w:rFonts w:ascii="Book Antiqua" w:hAnsi="Book Antiqua"/>
          <w:b/>
          <w:sz w:val="24"/>
          <w:szCs w:val="24"/>
        </w:rPr>
        <w:t>Drost J</w:t>
      </w:r>
      <w:r w:rsidRPr="000749B2">
        <w:rPr>
          <w:rFonts w:ascii="Book Antiqua" w:hAnsi="Book Antiqua"/>
          <w:sz w:val="24"/>
          <w:szCs w:val="24"/>
        </w:rPr>
        <w:t xml:space="preserve">, van Jaarsveld RH, Ponsioen B, Zimberlin C, van Boxtel R, Buijs A, Sachs N, Overmeer RM, Offerhaus GJ, Begthel H, Korving J, van de Wetering M, Schwank G, Logtenberg M, Cuppen E, Snippert HJ, Medema JP, Kops GJ, Clevers H. Sequential cancer mutations in cultured human intestinal stem cells. </w:t>
      </w:r>
      <w:r w:rsidRPr="000749B2">
        <w:rPr>
          <w:rFonts w:ascii="Book Antiqua" w:hAnsi="Book Antiqua"/>
          <w:i/>
          <w:sz w:val="24"/>
          <w:szCs w:val="24"/>
        </w:rPr>
        <w:t>Nature</w:t>
      </w:r>
      <w:r w:rsidRPr="000749B2">
        <w:rPr>
          <w:rFonts w:ascii="Book Antiqua" w:hAnsi="Book Antiqua"/>
          <w:sz w:val="24"/>
          <w:szCs w:val="24"/>
        </w:rPr>
        <w:t xml:space="preserve"> 2015; </w:t>
      </w:r>
      <w:r w:rsidRPr="000749B2">
        <w:rPr>
          <w:rFonts w:ascii="Book Antiqua" w:hAnsi="Book Antiqua"/>
          <w:b/>
          <w:sz w:val="24"/>
          <w:szCs w:val="24"/>
        </w:rPr>
        <w:t>521</w:t>
      </w:r>
      <w:r w:rsidRPr="000749B2">
        <w:rPr>
          <w:rFonts w:ascii="Book Antiqua" w:hAnsi="Book Antiqua"/>
          <w:sz w:val="24"/>
          <w:szCs w:val="24"/>
        </w:rPr>
        <w:t>: 43-47 [PMID: 25924068 DOI: 10.1038/nature14415]</w:t>
      </w:r>
    </w:p>
    <w:p w14:paraId="25B5454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360 </w:t>
      </w:r>
      <w:r w:rsidRPr="000749B2">
        <w:rPr>
          <w:rFonts w:ascii="Book Antiqua" w:hAnsi="Book Antiqua"/>
          <w:b/>
          <w:sz w:val="24"/>
          <w:szCs w:val="24"/>
        </w:rPr>
        <w:t>Fumagalli A</w:t>
      </w:r>
      <w:r w:rsidRPr="000749B2">
        <w:rPr>
          <w:rFonts w:ascii="Book Antiqua" w:hAnsi="Book Antiqua"/>
          <w:sz w:val="24"/>
          <w:szCs w:val="24"/>
        </w:rPr>
        <w:t xml:space="preserve">, Drost J, Suijkerbuijk SJ, van Boxtel R, de Ligt J, Offerhaus GJ, Begthel H, Beerling E, Tan EH, Sansom OJ, Cuppen E, Clevers H, van Rheenen J. Genetic dissection of colorectal cancer progression by orthotopic transplantation of engineered cancer organoids. </w:t>
      </w:r>
      <w:r w:rsidRPr="000749B2">
        <w:rPr>
          <w:rFonts w:ascii="Book Antiqua" w:hAnsi="Book Antiqua"/>
          <w:i/>
          <w:sz w:val="24"/>
          <w:szCs w:val="24"/>
        </w:rPr>
        <w:t>Proc Natl Acad Sci U S A</w:t>
      </w:r>
      <w:r w:rsidRPr="000749B2">
        <w:rPr>
          <w:rFonts w:ascii="Book Antiqua" w:hAnsi="Book Antiqua"/>
          <w:sz w:val="24"/>
          <w:szCs w:val="24"/>
        </w:rPr>
        <w:t xml:space="preserve"> 2017; </w:t>
      </w:r>
      <w:r w:rsidRPr="000749B2">
        <w:rPr>
          <w:rFonts w:ascii="Book Antiqua" w:hAnsi="Book Antiqua"/>
          <w:b/>
          <w:sz w:val="24"/>
          <w:szCs w:val="24"/>
        </w:rPr>
        <w:t>114</w:t>
      </w:r>
      <w:r w:rsidRPr="000749B2">
        <w:rPr>
          <w:rFonts w:ascii="Book Antiqua" w:hAnsi="Book Antiqua"/>
          <w:sz w:val="24"/>
          <w:szCs w:val="24"/>
        </w:rPr>
        <w:t>: E2357-E2364 [PMID: 28270604 DOI: 10.1073/pnas.1701219114]</w:t>
      </w:r>
    </w:p>
    <w:p w14:paraId="362FC62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361 </w:t>
      </w:r>
      <w:r w:rsidRPr="000749B2">
        <w:rPr>
          <w:rFonts w:ascii="Book Antiqua" w:hAnsi="Book Antiqua"/>
          <w:b/>
          <w:sz w:val="24"/>
          <w:szCs w:val="24"/>
        </w:rPr>
        <w:t>Gao D</w:t>
      </w:r>
      <w:r w:rsidRPr="000749B2">
        <w:rPr>
          <w:rFonts w:ascii="Book Antiqua" w:hAnsi="Book Antiqua"/>
          <w:sz w:val="24"/>
          <w:szCs w:val="24"/>
        </w:rPr>
        <w:t xml:space="preserve">, Vela I, Sboner A, Iaquinta PJ, Karthaus WR, Gopalan A, Dowling C, Wanjala JN, Undvall EA, Arora VK, Wongvipat J, Kossai M, Ramazanoglu S, Barboza LP, Di W, Cao Z, Zhang QF, Sirota I, Ran L, MacDonald TY, Beltran H, Mosquera JM, Touijer KA, Scardino PT, Laudone VP, Curtis KR, Rathkopf DE, Morris MJ, Danila DC, Slovin SF, Solomon SB, Eastham JA, Chi P, Carver B, Rubin MA, Scher HI, Clevers H, Sawyers CL, Chen Y. Organoid cultures derived from patients with advanced prostate cancer. </w:t>
      </w:r>
      <w:r w:rsidRPr="000749B2">
        <w:rPr>
          <w:rFonts w:ascii="Book Antiqua" w:hAnsi="Book Antiqua"/>
          <w:i/>
          <w:sz w:val="24"/>
          <w:szCs w:val="24"/>
        </w:rPr>
        <w:t>Cell</w:t>
      </w:r>
      <w:r w:rsidRPr="000749B2">
        <w:rPr>
          <w:rFonts w:ascii="Book Antiqua" w:hAnsi="Book Antiqua"/>
          <w:sz w:val="24"/>
          <w:szCs w:val="24"/>
        </w:rPr>
        <w:t xml:space="preserve"> 2014; </w:t>
      </w:r>
      <w:r w:rsidRPr="000749B2">
        <w:rPr>
          <w:rFonts w:ascii="Book Antiqua" w:hAnsi="Book Antiqua"/>
          <w:b/>
          <w:sz w:val="24"/>
          <w:szCs w:val="24"/>
        </w:rPr>
        <w:t>159</w:t>
      </w:r>
      <w:r w:rsidRPr="000749B2">
        <w:rPr>
          <w:rFonts w:ascii="Book Antiqua" w:hAnsi="Book Antiqua"/>
          <w:sz w:val="24"/>
          <w:szCs w:val="24"/>
        </w:rPr>
        <w:t>: 176-187 [PMID: 25201530 DOI: 10.1016/j.cell.2014.08.016]</w:t>
      </w:r>
    </w:p>
    <w:p w14:paraId="61D1AEB1" w14:textId="26B063C9"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362 </w:t>
      </w:r>
      <w:r w:rsidRPr="000749B2">
        <w:rPr>
          <w:rFonts w:ascii="Book Antiqua" w:hAnsi="Book Antiqua"/>
          <w:b/>
          <w:sz w:val="24"/>
          <w:szCs w:val="24"/>
        </w:rPr>
        <w:t>Agnoletto C</w:t>
      </w:r>
      <w:r w:rsidRPr="000749B2">
        <w:rPr>
          <w:rFonts w:ascii="Book Antiqua" w:hAnsi="Book Antiqua"/>
          <w:sz w:val="24"/>
          <w:szCs w:val="24"/>
        </w:rPr>
        <w:t xml:space="preserve">, Corrà F, Minotti L, Baldassari F, Crudele F, Cook WJJ, Di Leva G, d'Adamo AP, Gasparini P, Volinia S. Heterogeneity in Circulating Tumor Cells: The </w:t>
      </w:r>
      <w:r w:rsidRPr="000749B2">
        <w:rPr>
          <w:rFonts w:ascii="Book Antiqua" w:hAnsi="Book Antiqua"/>
          <w:sz w:val="24"/>
          <w:szCs w:val="24"/>
        </w:rPr>
        <w:lastRenderedPageBreak/>
        <w:t xml:space="preserve">Relevance of the Stem-Cell Subset. </w:t>
      </w:r>
      <w:r w:rsidRPr="000749B2">
        <w:rPr>
          <w:rFonts w:ascii="Book Antiqua" w:hAnsi="Book Antiqua"/>
          <w:i/>
          <w:sz w:val="24"/>
          <w:szCs w:val="24"/>
        </w:rPr>
        <w:t>Cancers (Basel)</w:t>
      </w:r>
      <w:r w:rsidRPr="000749B2">
        <w:rPr>
          <w:rFonts w:ascii="Book Antiqua" w:hAnsi="Book Antiqua"/>
          <w:sz w:val="24"/>
          <w:szCs w:val="24"/>
        </w:rPr>
        <w:t xml:space="preserve"> 2019; </w:t>
      </w:r>
      <w:r w:rsidRPr="000749B2">
        <w:rPr>
          <w:rFonts w:ascii="Book Antiqua" w:hAnsi="Book Antiqua"/>
          <w:b/>
          <w:sz w:val="24"/>
          <w:szCs w:val="24"/>
        </w:rPr>
        <w:t>11</w:t>
      </w:r>
      <w:r w:rsidRPr="000749B2">
        <w:rPr>
          <w:rFonts w:ascii="Book Antiqua" w:hAnsi="Book Antiqua"/>
          <w:sz w:val="24"/>
          <w:szCs w:val="24"/>
        </w:rPr>
        <w:t>:</w:t>
      </w:r>
      <w:r w:rsidR="004077FE" w:rsidRPr="000749B2">
        <w:rPr>
          <w:rFonts w:ascii="Book Antiqua" w:hAnsi="Book Antiqua"/>
          <w:sz w:val="24"/>
          <w:szCs w:val="24"/>
        </w:rPr>
        <w:t xml:space="preserve"> </w:t>
      </w:r>
      <w:r w:rsidRPr="000749B2">
        <w:rPr>
          <w:rFonts w:ascii="Book Antiqua" w:hAnsi="Book Antiqua"/>
          <w:sz w:val="24"/>
          <w:szCs w:val="24"/>
        </w:rPr>
        <w:t>[PMID: 30959764 DOI: 10.3390/cancers11040483]</w:t>
      </w:r>
    </w:p>
    <w:p w14:paraId="4427A50D"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363 </w:t>
      </w:r>
      <w:r w:rsidRPr="000749B2">
        <w:rPr>
          <w:rFonts w:ascii="Book Antiqua" w:hAnsi="Book Antiqua"/>
          <w:b/>
          <w:sz w:val="24"/>
          <w:szCs w:val="24"/>
        </w:rPr>
        <w:t>Aleman J</w:t>
      </w:r>
      <w:r w:rsidRPr="000749B2">
        <w:rPr>
          <w:rFonts w:ascii="Book Antiqua" w:hAnsi="Book Antiqua"/>
          <w:sz w:val="24"/>
          <w:szCs w:val="24"/>
        </w:rPr>
        <w:t xml:space="preserve">, Skardal A. A multi-site metastasis-on-a-chip microphysiological system for assessing metastatic preference of cancer cells. </w:t>
      </w:r>
      <w:r w:rsidRPr="000749B2">
        <w:rPr>
          <w:rFonts w:ascii="Book Antiqua" w:hAnsi="Book Antiqua"/>
          <w:i/>
          <w:sz w:val="24"/>
          <w:szCs w:val="24"/>
        </w:rPr>
        <w:t>Biotechnol Bioeng</w:t>
      </w:r>
      <w:r w:rsidRPr="000749B2">
        <w:rPr>
          <w:rFonts w:ascii="Book Antiqua" w:hAnsi="Book Antiqua"/>
          <w:sz w:val="24"/>
          <w:szCs w:val="24"/>
        </w:rPr>
        <w:t xml:space="preserve"> 2019; </w:t>
      </w:r>
      <w:r w:rsidRPr="000749B2">
        <w:rPr>
          <w:rFonts w:ascii="Book Antiqua" w:hAnsi="Book Antiqua"/>
          <w:b/>
          <w:sz w:val="24"/>
          <w:szCs w:val="24"/>
        </w:rPr>
        <w:t>116</w:t>
      </w:r>
      <w:r w:rsidRPr="000749B2">
        <w:rPr>
          <w:rFonts w:ascii="Book Antiqua" w:hAnsi="Book Antiqua"/>
          <w:sz w:val="24"/>
          <w:szCs w:val="24"/>
        </w:rPr>
        <w:t>: 936-944 [PMID: 30450540 DOI: 10.1002/bit.26871]</w:t>
      </w:r>
    </w:p>
    <w:p w14:paraId="3FF3BB0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364 </w:t>
      </w:r>
      <w:r w:rsidRPr="000749B2">
        <w:rPr>
          <w:rFonts w:ascii="Book Antiqua" w:hAnsi="Book Antiqua"/>
          <w:b/>
          <w:sz w:val="24"/>
          <w:szCs w:val="24"/>
        </w:rPr>
        <w:t>Miller PG</w:t>
      </w:r>
      <w:r w:rsidRPr="000749B2">
        <w:rPr>
          <w:rFonts w:ascii="Book Antiqua" w:hAnsi="Book Antiqua"/>
          <w:sz w:val="24"/>
          <w:szCs w:val="24"/>
        </w:rPr>
        <w:t xml:space="preserve">, Shuler ML. Design and demonstration of a pumpless 14 compartment microphysiological system. </w:t>
      </w:r>
      <w:r w:rsidRPr="000749B2">
        <w:rPr>
          <w:rFonts w:ascii="Book Antiqua" w:hAnsi="Book Antiqua"/>
          <w:i/>
          <w:sz w:val="24"/>
          <w:szCs w:val="24"/>
        </w:rPr>
        <w:t>Biotechnol Bioeng</w:t>
      </w:r>
      <w:r w:rsidRPr="000749B2">
        <w:rPr>
          <w:rFonts w:ascii="Book Antiqua" w:hAnsi="Book Antiqua"/>
          <w:sz w:val="24"/>
          <w:szCs w:val="24"/>
        </w:rPr>
        <w:t xml:space="preserve"> 2016; </w:t>
      </w:r>
      <w:r w:rsidRPr="000749B2">
        <w:rPr>
          <w:rFonts w:ascii="Book Antiqua" w:hAnsi="Book Antiqua"/>
          <w:b/>
          <w:sz w:val="24"/>
          <w:szCs w:val="24"/>
        </w:rPr>
        <w:t>113</w:t>
      </w:r>
      <w:r w:rsidRPr="000749B2">
        <w:rPr>
          <w:rFonts w:ascii="Book Antiqua" w:hAnsi="Book Antiqua"/>
          <w:sz w:val="24"/>
          <w:szCs w:val="24"/>
        </w:rPr>
        <w:t>: 2213-2227 [PMID: 27070809 DOI: 10.1002/bit.25989]</w:t>
      </w:r>
    </w:p>
    <w:p w14:paraId="045A5363"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365 </w:t>
      </w:r>
      <w:r w:rsidRPr="000749B2">
        <w:rPr>
          <w:rFonts w:ascii="Book Antiqua" w:hAnsi="Book Antiqua"/>
          <w:b/>
          <w:sz w:val="24"/>
          <w:szCs w:val="24"/>
        </w:rPr>
        <w:t>Guinney J</w:t>
      </w:r>
      <w:r w:rsidRPr="000749B2">
        <w:rPr>
          <w:rFonts w:ascii="Book Antiqua" w:hAnsi="Book Antiqua"/>
          <w:sz w:val="24"/>
          <w:szCs w:val="24"/>
        </w:rPr>
        <w:t xml:space="preserve">, Dienstmann R, Wang X, de Reyniès A, Schlicker A, Soneson C, Marisa L, Roepman P, Nyamundanda G, Angelino P, Bot BM, Morris JS, Simon IM, Gerster S, Fessler E, De Sousa E Melo F, Missiaglia E, Ramay H, Barras D, Homicsko K, Maru D, Manyam GC, Broom B, Boige V, Perez-Villamil B, Laderas T, Salazar R, Gray JW, Hanahan D, Tabernero J, Bernards R, Friend SH, Laurent-Puig P, Medema JP, Sadanandam A, Wessels L, Delorenzi M, Kopetz S, Vermeulen L, Tejpar S. The consensus molecular subtypes of colorectal cancer. </w:t>
      </w:r>
      <w:r w:rsidRPr="000749B2">
        <w:rPr>
          <w:rFonts w:ascii="Book Antiqua" w:hAnsi="Book Antiqua"/>
          <w:i/>
          <w:sz w:val="24"/>
          <w:szCs w:val="24"/>
        </w:rPr>
        <w:t>Nat Med</w:t>
      </w:r>
      <w:r w:rsidRPr="000749B2">
        <w:rPr>
          <w:rFonts w:ascii="Book Antiqua" w:hAnsi="Book Antiqua"/>
          <w:sz w:val="24"/>
          <w:szCs w:val="24"/>
        </w:rPr>
        <w:t xml:space="preserve"> 2015; </w:t>
      </w:r>
      <w:r w:rsidRPr="000749B2">
        <w:rPr>
          <w:rFonts w:ascii="Book Antiqua" w:hAnsi="Book Antiqua"/>
          <w:b/>
          <w:sz w:val="24"/>
          <w:szCs w:val="24"/>
        </w:rPr>
        <w:t>21</w:t>
      </w:r>
      <w:r w:rsidRPr="000749B2">
        <w:rPr>
          <w:rFonts w:ascii="Book Antiqua" w:hAnsi="Book Antiqua"/>
          <w:sz w:val="24"/>
          <w:szCs w:val="24"/>
        </w:rPr>
        <w:t>: 1350-1356 [PMID: 26457759 DOI: 10.1038/nm.3967]</w:t>
      </w:r>
    </w:p>
    <w:p w14:paraId="183DA2A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366 </w:t>
      </w:r>
      <w:r w:rsidRPr="000749B2">
        <w:rPr>
          <w:rFonts w:ascii="Book Antiqua" w:hAnsi="Book Antiqua"/>
          <w:b/>
          <w:sz w:val="24"/>
          <w:szCs w:val="24"/>
        </w:rPr>
        <w:t>Mooi JK</w:t>
      </w:r>
      <w:r w:rsidRPr="000749B2">
        <w:rPr>
          <w:rFonts w:ascii="Book Antiqua" w:hAnsi="Book Antiqua"/>
          <w:sz w:val="24"/>
          <w:szCs w:val="24"/>
        </w:rPr>
        <w:t xml:space="preserve">, Wirapati P, Asher R, Lee CK, Savas P, Price TJ, Townsend A, Hardingham J, Buchanan D, Williams D, Tejpar S, Mariadason JM, Tebbutt NC. The prognostic impact of consensus molecular subtypes (CMS) and its predictive effects for bevacizumab benefit in metastatic colorectal cancer: molecular analysis of the AGITG MAX clinical trial. </w:t>
      </w:r>
      <w:r w:rsidRPr="000749B2">
        <w:rPr>
          <w:rFonts w:ascii="Book Antiqua" w:hAnsi="Book Antiqua"/>
          <w:i/>
          <w:sz w:val="24"/>
          <w:szCs w:val="24"/>
        </w:rPr>
        <w:t>Ann Oncol</w:t>
      </w:r>
      <w:r w:rsidRPr="000749B2">
        <w:rPr>
          <w:rFonts w:ascii="Book Antiqua" w:hAnsi="Book Antiqua"/>
          <w:sz w:val="24"/>
          <w:szCs w:val="24"/>
        </w:rPr>
        <w:t xml:space="preserve"> 2018; </w:t>
      </w:r>
      <w:r w:rsidRPr="000749B2">
        <w:rPr>
          <w:rFonts w:ascii="Book Antiqua" w:hAnsi="Book Antiqua"/>
          <w:b/>
          <w:sz w:val="24"/>
          <w:szCs w:val="24"/>
        </w:rPr>
        <w:t>29</w:t>
      </w:r>
      <w:r w:rsidRPr="000749B2">
        <w:rPr>
          <w:rFonts w:ascii="Book Antiqua" w:hAnsi="Book Antiqua"/>
          <w:sz w:val="24"/>
          <w:szCs w:val="24"/>
        </w:rPr>
        <w:t>: 2240-2246 [PMID: 30247524 DOI: 10.1093/annonc/mdy410]</w:t>
      </w:r>
    </w:p>
    <w:p w14:paraId="0F95C886"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367 </w:t>
      </w:r>
      <w:r w:rsidRPr="000749B2">
        <w:rPr>
          <w:rFonts w:ascii="Book Antiqua" w:hAnsi="Book Antiqua"/>
          <w:b/>
          <w:sz w:val="24"/>
          <w:szCs w:val="24"/>
        </w:rPr>
        <w:t>Jean-Quartier C</w:t>
      </w:r>
      <w:r w:rsidRPr="000749B2">
        <w:rPr>
          <w:rFonts w:ascii="Book Antiqua" w:hAnsi="Book Antiqua"/>
          <w:sz w:val="24"/>
          <w:szCs w:val="24"/>
        </w:rPr>
        <w:t xml:space="preserve">, Jeanquartier F, Jurisica I, Holzinger A. In silico cancer research towards 3R. </w:t>
      </w:r>
      <w:r w:rsidRPr="000749B2">
        <w:rPr>
          <w:rFonts w:ascii="Book Antiqua" w:hAnsi="Book Antiqua"/>
          <w:i/>
          <w:sz w:val="24"/>
          <w:szCs w:val="24"/>
        </w:rPr>
        <w:t>BMC Cancer</w:t>
      </w:r>
      <w:r w:rsidRPr="000749B2">
        <w:rPr>
          <w:rFonts w:ascii="Book Antiqua" w:hAnsi="Book Antiqua"/>
          <w:sz w:val="24"/>
          <w:szCs w:val="24"/>
        </w:rPr>
        <w:t xml:space="preserve"> 2018; </w:t>
      </w:r>
      <w:r w:rsidRPr="000749B2">
        <w:rPr>
          <w:rFonts w:ascii="Book Antiqua" w:hAnsi="Book Antiqua"/>
          <w:b/>
          <w:sz w:val="24"/>
          <w:szCs w:val="24"/>
        </w:rPr>
        <w:t>18</w:t>
      </w:r>
      <w:r w:rsidRPr="000749B2">
        <w:rPr>
          <w:rFonts w:ascii="Book Antiqua" w:hAnsi="Book Antiqua"/>
          <w:sz w:val="24"/>
          <w:szCs w:val="24"/>
        </w:rPr>
        <w:t>: 408 [PMID: 29649981 DOI: 10.1186/s12885-018-4302-0]</w:t>
      </w:r>
    </w:p>
    <w:p w14:paraId="003A66B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368 </w:t>
      </w:r>
      <w:r w:rsidRPr="000749B2">
        <w:rPr>
          <w:rFonts w:ascii="Book Antiqua" w:hAnsi="Book Antiqua"/>
          <w:b/>
          <w:sz w:val="24"/>
          <w:szCs w:val="24"/>
        </w:rPr>
        <w:t>Christopher R</w:t>
      </w:r>
      <w:r w:rsidRPr="000749B2">
        <w:rPr>
          <w:rFonts w:ascii="Book Antiqua" w:hAnsi="Book Antiqua"/>
          <w:sz w:val="24"/>
          <w:szCs w:val="24"/>
        </w:rPr>
        <w:t xml:space="preserve">, Dhiman A, Fox J, Gendelman R, Haberitcher T, Kagle D, Spizz G, Khalil IG, Hill C. Data-driven computer simulation of human cancer cell. </w:t>
      </w:r>
      <w:r w:rsidRPr="000749B2">
        <w:rPr>
          <w:rFonts w:ascii="Book Antiqua" w:hAnsi="Book Antiqua"/>
          <w:i/>
          <w:sz w:val="24"/>
          <w:szCs w:val="24"/>
        </w:rPr>
        <w:t>Ann N Y Acad Sci</w:t>
      </w:r>
      <w:r w:rsidRPr="000749B2">
        <w:rPr>
          <w:rFonts w:ascii="Book Antiqua" w:hAnsi="Book Antiqua"/>
          <w:sz w:val="24"/>
          <w:szCs w:val="24"/>
        </w:rPr>
        <w:t xml:space="preserve"> 2004; </w:t>
      </w:r>
      <w:r w:rsidRPr="000749B2">
        <w:rPr>
          <w:rFonts w:ascii="Book Antiqua" w:hAnsi="Book Antiqua"/>
          <w:b/>
          <w:sz w:val="24"/>
          <w:szCs w:val="24"/>
        </w:rPr>
        <w:t>1020</w:t>
      </w:r>
      <w:r w:rsidRPr="000749B2">
        <w:rPr>
          <w:rFonts w:ascii="Book Antiqua" w:hAnsi="Book Antiqua"/>
          <w:sz w:val="24"/>
          <w:szCs w:val="24"/>
        </w:rPr>
        <w:t>: 132-153 [PMID: 15208190 DOI: 10.1196/annals.1310.014]</w:t>
      </w:r>
    </w:p>
    <w:p w14:paraId="5B83507F" w14:textId="513CFBF2"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369 </w:t>
      </w:r>
      <w:r w:rsidRPr="000749B2">
        <w:rPr>
          <w:rFonts w:ascii="Book Antiqua" w:hAnsi="Book Antiqua"/>
          <w:b/>
          <w:sz w:val="24"/>
          <w:szCs w:val="24"/>
        </w:rPr>
        <w:t>Uhlen M</w:t>
      </w:r>
      <w:r w:rsidRPr="000749B2">
        <w:rPr>
          <w:rFonts w:ascii="Book Antiqua" w:hAnsi="Book Antiqua"/>
          <w:sz w:val="24"/>
          <w:szCs w:val="24"/>
        </w:rPr>
        <w:t xml:space="preserve">, Zhang C, Lee S, Sjöstedt E, Fagerberg L, Bidkhori G, Benfeitas R, Arif M, Liu Z, Edfors F, Sanli K, von Feilitzen K, Oksvold P, Lundberg E, Hober S, Nilsson P, Mattsson J, Schwenk JM, Brunnström H, Glimelius B, Sjöblom T, Edqvist </w:t>
      </w:r>
      <w:r w:rsidRPr="000749B2">
        <w:rPr>
          <w:rFonts w:ascii="Book Antiqua" w:hAnsi="Book Antiqua"/>
          <w:sz w:val="24"/>
          <w:szCs w:val="24"/>
        </w:rPr>
        <w:lastRenderedPageBreak/>
        <w:t xml:space="preserve">PH, Djureinovic D, Micke P, Lindskog C, Mardinoglu A, Ponten F. A pathology atlas of the human cancer transcriptome. </w:t>
      </w:r>
      <w:r w:rsidRPr="000749B2">
        <w:rPr>
          <w:rFonts w:ascii="Book Antiqua" w:hAnsi="Book Antiqua"/>
          <w:i/>
          <w:sz w:val="24"/>
          <w:szCs w:val="24"/>
        </w:rPr>
        <w:t>Science</w:t>
      </w:r>
      <w:r w:rsidRPr="000749B2">
        <w:rPr>
          <w:rFonts w:ascii="Book Antiqua" w:hAnsi="Book Antiqua"/>
          <w:sz w:val="24"/>
          <w:szCs w:val="24"/>
        </w:rPr>
        <w:t xml:space="preserve"> 2017; </w:t>
      </w:r>
      <w:r w:rsidRPr="000749B2">
        <w:rPr>
          <w:rFonts w:ascii="Book Antiqua" w:hAnsi="Book Antiqua"/>
          <w:b/>
          <w:sz w:val="24"/>
          <w:szCs w:val="24"/>
        </w:rPr>
        <w:t>357</w:t>
      </w:r>
      <w:r w:rsidRPr="000749B2">
        <w:rPr>
          <w:rFonts w:ascii="Book Antiqua" w:hAnsi="Book Antiqua"/>
          <w:sz w:val="24"/>
          <w:szCs w:val="24"/>
        </w:rPr>
        <w:t>:</w:t>
      </w:r>
      <w:r w:rsidR="004077FE" w:rsidRPr="000749B2">
        <w:rPr>
          <w:rFonts w:ascii="Book Antiqua" w:hAnsi="Book Antiqua"/>
          <w:sz w:val="24"/>
          <w:szCs w:val="24"/>
        </w:rPr>
        <w:t xml:space="preserve"> </w:t>
      </w:r>
      <w:r w:rsidRPr="000749B2">
        <w:rPr>
          <w:rFonts w:ascii="Book Antiqua" w:hAnsi="Book Antiqua"/>
          <w:sz w:val="24"/>
          <w:szCs w:val="24"/>
        </w:rPr>
        <w:t>[PMID: 28818916 DOI: 10.1126/science.aan2507]</w:t>
      </w:r>
    </w:p>
    <w:p w14:paraId="57B4060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370 </w:t>
      </w:r>
      <w:r w:rsidRPr="000749B2">
        <w:rPr>
          <w:rFonts w:ascii="Book Antiqua" w:hAnsi="Book Antiqua"/>
          <w:b/>
          <w:sz w:val="24"/>
          <w:szCs w:val="24"/>
        </w:rPr>
        <w:t>Farshidfar F</w:t>
      </w:r>
      <w:r w:rsidRPr="000749B2">
        <w:rPr>
          <w:rFonts w:ascii="Book Antiqua" w:hAnsi="Book Antiqua"/>
          <w:sz w:val="24"/>
          <w:szCs w:val="24"/>
        </w:rPr>
        <w:t xml:space="preserve">, Weljie AM, Kopciuk KA, Hilsden R, McGregor SE, Buie WD, MacLean A, Vogel HJ, Bathe OF. A validated metabolomic signature for colorectal cancer: exploration of the clinical value of metabolomics. </w:t>
      </w:r>
      <w:r w:rsidRPr="000749B2">
        <w:rPr>
          <w:rFonts w:ascii="Book Antiqua" w:hAnsi="Book Antiqua"/>
          <w:i/>
          <w:sz w:val="24"/>
          <w:szCs w:val="24"/>
        </w:rPr>
        <w:t>Br J Cancer</w:t>
      </w:r>
      <w:r w:rsidRPr="000749B2">
        <w:rPr>
          <w:rFonts w:ascii="Book Antiqua" w:hAnsi="Book Antiqua"/>
          <w:sz w:val="24"/>
          <w:szCs w:val="24"/>
        </w:rPr>
        <w:t xml:space="preserve"> 2016; </w:t>
      </w:r>
      <w:r w:rsidRPr="000749B2">
        <w:rPr>
          <w:rFonts w:ascii="Book Antiqua" w:hAnsi="Book Antiqua"/>
          <w:b/>
          <w:sz w:val="24"/>
          <w:szCs w:val="24"/>
        </w:rPr>
        <w:t>115</w:t>
      </w:r>
      <w:r w:rsidRPr="000749B2">
        <w:rPr>
          <w:rFonts w:ascii="Book Antiqua" w:hAnsi="Book Antiqua"/>
          <w:sz w:val="24"/>
          <w:szCs w:val="24"/>
        </w:rPr>
        <w:t>: 848-857 [PMID: 27560555 DOI: 10.1038/bjc.2016.243]</w:t>
      </w:r>
    </w:p>
    <w:p w14:paraId="3059413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371 </w:t>
      </w:r>
      <w:r w:rsidRPr="000749B2">
        <w:rPr>
          <w:rFonts w:ascii="Book Antiqua" w:hAnsi="Book Antiqua"/>
          <w:b/>
          <w:sz w:val="24"/>
          <w:szCs w:val="24"/>
        </w:rPr>
        <w:t>Porta-Pardo E</w:t>
      </w:r>
      <w:r w:rsidRPr="000749B2">
        <w:rPr>
          <w:rFonts w:ascii="Book Antiqua" w:hAnsi="Book Antiqua"/>
          <w:sz w:val="24"/>
          <w:szCs w:val="24"/>
        </w:rPr>
        <w:t xml:space="preserve">, Garcia-Alonso L, Hrabe T, Dopazo J, Godzik A. A Pan-Cancer Catalogue of Cancer Driver Protein Interaction Interfaces. </w:t>
      </w:r>
      <w:r w:rsidRPr="000749B2">
        <w:rPr>
          <w:rFonts w:ascii="Book Antiqua" w:hAnsi="Book Antiqua"/>
          <w:i/>
          <w:sz w:val="24"/>
          <w:szCs w:val="24"/>
        </w:rPr>
        <w:t>PLoS Comput Biol</w:t>
      </w:r>
      <w:r w:rsidRPr="000749B2">
        <w:rPr>
          <w:rFonts w:ascii="Book Antiqua" w:hAnsi="Book Antiqua"/>
          <w:sz w:val="24"/>
          <w:szCs w:val="24"/>
        </w:rPr>
        <w:t xml:space="preserve"> 2015; </w:t>
      </w:r>
      <w:r w:rsidRPr="000749B2">
        <w:rPr>
          <w:rFonts w:ascii="Book Antiqua" w:hAnsi="Book Antiqua"/>
          <w:b/>
          <w:sz w:val="24"/>
          <w:szCs w:val="24"/>
        </w:rPr>
        <w:t>11</w:t>
      </w:r>
      <w:r w:rsidRPr="000749B2">
        <w:rPr>
          <w:rFonts w:ascii="Book Antiqua" w:hAnsi="Book Antiqua"/>
          <w:sz w:val="24"/>
          <w:szCs w:val="24"/>
        </w:rPr>
        <w:t>: e1004518 [PMID: 26485003 DOI: 10.1371/journal.pcbi.1004518]</w:t>
      </w:r>
    </w:p>
    <w:p w14:paraId="6B27DE07"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372 </w:t>
      </w:r>
      <w:r w:rsidRPr="000749B2">
        <w:rPr>
          <w:rFonts w:ascii="Book Antiqua" w:hAnsi="Book Antiqua"/>
          <w:b/>
          <w:sz w:val="24"/>
          <w:szCs w:val="24"/>
        </w:rPr>
        <w:t>Subramanian A</w:t>
      </w:r>
      <w:r w:rsidRPr="000749B2">
        <w:rPr>
          <w:rFonts w:ascii="Book Antiqua" w:hAnsi="Book Antiqua"/>
          <w:sz w:val="24"/>
          <w:szCs w:val="24"/>
        </w:rPr>
        <w:t xml:space="preserve">, Narayan R, Corsello SM, Peck DD, Natoli TE, Lu X, Gould J, Davis JF, Tubelli AA, Asiedu JK, Lahr DL, Hirschman JE, Liu Z, Donahue M, Julian B, Khan M, Wadden D, Smith IC, Lam D, Liberzon A, Toder C, Bagul M, Orzechowski M, Enache OM, Piccioni F, Johnson SA, Lyons NJ, Berger AH, Shamji AF, Brooks AN, Vrcic A, Flynn C, Rosains J, Takeda DY, Hu R, Davison D, Lamb J, Ardlie K, Hogstrom L, Greenside P, Gray NS, Clemons PA, Silver S, Wu X, Zhao WN, Read-Button W, Wu X, Haggarty SJ, Ronco LV, Boehm JS, Schreiber SL, Doench JG, Bittker JA, Root DE, Wong B, Golub TR. A Next Generation Connectivity Map: L1000 Platform and the First 1,000,000 Profiles. </w:t>
      </w:r>
      <w:r w:rsidRPr="000749B2">
        <w:rPr>
          <w:rFonts w:ascii="Book Antiqua" w:hAnsi="Book Antiqua"/>
          <w:i/>
          <w:sz w:val="24"/>
          <w:szCs w:val="24"/>
        </w:rPr>
        <w:t>Cell</w:t>
      </w:r>
      <w:r w:rsidRPr="000749B2">
        <w:rPr>
          <w:rFonts w:ascii="Book Antiqua" w:hAnsi="Book Antiqua"/>
          <w:sz w:val="24"/>
          <w:szCs w:val="24"/>
        </w:rPr>
        <w:t xml:space="preserve"> 2017; </w:t>
      </w:r>
      <w:r w:rsidRPr="000749B2">
        <w:rPr>
          <w:rFonts w:ascii="Book Antiqua" w:hAnsi="Book Antiqua"/>
          <w:b/>
          <w:sz w:val="24"/>
          <w:szCs w:val="24"/>
        </w:rPr>
        <w:t>171</w:t>
      </w:r>
      <w:r w:rsidRPr="000749B2">
        <w:rPr>
          <w:rFonts w:ascii="Book Antiqua" w:hAnsi="Book Antiqua"/>
          <w:sz w:val="24"/>
          <w:szCs w:val="24"/>
        </w:rPr>
        <w:t>: 1437-1452.e17 [PMID: 29195078 DOI: 10.1016/j.cell.2017.10.049]</w:t>
      </w:r>
    </w:p>
    <w:p w14:paraId="737DA6D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373 </w:t>
      </w:r>
      <w:r w:rsidRPr="000749B2">
        <w:rPr>
          <w:rFonts w:ascii="Book Antiqua" w:hAnsi="Book Antiqua"/>
          <w:b/>
          <w:sz w:val="24"/>
          <w:szCs w:val="24"/>
        </w:rPr>
        <w:t>Kim YA</w:t>
      </w:r>
      <w:r w:rsidRPr="000749B2">
        <w:rPr>
          <w:rFonts w:ascii="Book Antiqua" w:hAnsi="Book Antiqua"/>
          <w:sz w:val="24"/>
          <w:szCs w:val="24"/>
        </w:rPr>
        <w:t xml:space="preserve">, Cho DY, Przytycka TM. Understanding Genotype-Phenotype Effects in Cancer via Network Approaches. </w:t>
      </w:r>
      <w:r w:rsidRPr="000749B2">
        <w:rPr>
          <w:rFonts w:ascii="Book Antiqua" w:hAnsi="Book Antiqua"/>
          <w:i/>
          <w:sz w:val="24"/>
          <w:szCs w:val="24"/>
        </w:rPr>
        <w:t>PLoS Comput Biol</w:t>
      </w:r>
      <w:r w:rsidRPr="000749B2">
        <w:rPr>
          <w:rFonts w:ascii="Book Antiqua" w:hAnsi="Book Antiqua"/>
          <w:sz w:val="24"/>
          <w:szCs w:val="24"/>
        </w:rPr>
        <w:t xml:space="preserve"> 2016; </w:t>
      </w:r>
      <w:r w:rsidRPr="000749B2">
        <w:rPr>
          <w:rFonts w:ascii="Book Antiqua" w:hAnsi="Book Antiqua"/>
          <w:b/>
          <w:sz w:val="24"/>
          <w:szCs w:val="24"/>
        </w:rPr>
        <w:t>12</w:t>
      </w:r>
      <w:r w:rsidRPr="000749B2">
        <w:rPr>
          <w:rFonts w:ascii="Book Antiqua" w:hAnsi="Book Antiqua"/>
          <w:sz w:val="24"/>
          <w:szCs w:val="24"/>
        </w:rPr>
        <w:t>: e1004747 [PMID: 26963104 DOI: 10.1371/journal.pcbi.1004747]</w:t>
      </w:r>
    </w:p>
    <w:p w14:paraId="36760F9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374 </w:t>
      </w:r>
      <w:r w:rsidRPr="000749B2">
        <w:rPr>
          <w:rFonts w:ascii="Book Antiqua" w:hAnsi="Book Antiqua"/>
          <w:b/>
          <w:sz w:val="24"/>
          <w:szCs w:val="24"/>
        </w:rPr>
        <w:t>Aoki K</w:t>
      </w:r>
      <w:r w:rsidRPr="000749B2">
        <w:rPr>
          <w:rFonts w:ascii="Book Antiqua" w:hAnsi="Book Antiqua"/>
          <w:sz w:val="24"/>
          <w:szCs w:val="24"/>
        </w:rPr>
        <w:t xml:space="preserve">, Tamai Y, Horiike S, Oshima M, Taketo MM. Colonic polyposis caused by mTOR-mediated chromosomal instability in Apc+/Delta716 Cdx2+/- compound mutant mice. </w:t>
      </w:r>
      <w:r w:rsidRPr="000749B2">
        <w:rPr>
          <w:rFonts w:ascii="Book Antiqua" w:hAnsi="Book Antiqua"/>
          <w:i/>
          <w:sz w:val="24"/>
          <w:szCs w:val="24"/>
        </w:rPr>
        <w:t>Nat Genet</w:t>
      </w:r>
      <w:r w:rsidRPr="000749B2">
        <w:rPr>
          <w:rFonts w:ascii="Book Antiqua" w:hAnsi="Book Antiqua"/>
          <w:sz w:val="24"/>
          <w:szCs w:val="24"/>
        </w:rPr>
        <w:t xml:space="preserve"> 2003; </w:t>
      </w:r>
      <w:r w:rsidRPr="000749B2">
        <w:rPr>
          <w:rFonts w:ascii="Book Antiqua" w:hAnsi="Book Antiqua"/>
          <w:b/>
          <w:sz w:val="24"/>
          <w:szCs w:val="24"/>
        </w:rPr>
        <w:t>35</w:t>
      </w:r>
      <w:r w:rsidRPr="000749B2">
        <w:rPr>
          <w:rFonts w:ascii="Book Antiqua" w:hAnsi="Book Antiqua"/>
          <w:sz w:val="24"/>
          <w:szCs w:val="24"/>
        </w:rPr>
        <w:t>: 323-330 [PMID: 14625550 DOI: 10.1038/ng1265]</w:t>
      </w:r>
    </w:p>
    <w:p w14:paraId="6A42234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375 </w:t>
      </w:r>
      <w:r w:rsidRPr="000749B2">
        <w:rPr>
          <w:rFonts w:ascii="Book Antiqua" w:hAnsi="Book Antiqua"/>
          <w:b/>
          <w:sz w:val="24"/>
          <w:szCs w:val="24"/>
        </w:rPr>
        <w:t>Rao CV</w:t>
      </w:r>
      <w:r w:rsidRPr="000749B2">
        <w:rPr>
          <w:rFonts w:ascii="Book Antiqua" w:hAnsi="Book Antiqua"/>
          <w:sz w:val="24"/>
          <w:szCs w:val="24"/>
        </w:rPr>
        <w:t xml:space="preserve">, Yang YM, Swamy MV, Liu T, Fang Y, Mahmood R, Jhanwar-Uniyal M, Dai W. Colonic tumorigenesis in BubR1+/-ApcMin/+ compound mutant mice is linked to premature separation of sister chromatids and enhanced genomic instability. </w:t>
      </w:r>
      <w:r w:rsidRPr="000749B2">
        <w:rPr>
          <w:rFonts w:ascii="Book Antiqua" w:hAnsi="Book Antiqua"/>
          <w:i/>
          <w:sz w:val="24"/>
          <w:szCs w:val="24"/>
        </w:rPr>
        <w:t>Proc Natl Acad Sci U S A</w:t>
      </w:r>
      <w:r w:rsidRPr="000749B2">
        <w:rPr>
          <w:rFonts w:ascii="Book Antiqua" w:hAnsi="Book Antiqua"/>
          <w:sz w:val="24"/>
          <w:szCs w:val="24"/>
        </w:rPr>
        <w:t xml:space="preserve"> 2005; </w:t>
      </w:r>
      <w:r w:rsidRPr="000749B2">
        <w:rPr>
          <w:rFonts w:ascii="Book Antiqua" w:hAnsi="Book Antiqua"/>
          <w:b/>
          <w:sz w:val="24"/>
          <w:szCs w:val="24"/>
        </w:rPr>
        <w:t>102</w:t>
      </w:r>
      <w:r w:rsidRPr="000749B2">
        <w:rPr>
          <w:rFonts w:ascii="Book Antiqua" w:hAnsi="Book Antiqua"/>
          <w:sz w:val="24"/>
          <w:szCs w:val="24"/>
        </w:rPr>
        <w:t>: 4365-4370 [PMID: 15767571 DOI: 10.1073/pnas.0407822102]</w:t>
      </w:r>
    </w:p>
    <w:p w14:paraId="065100F7"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lastRenderedPageBreak/>
        <w:t xml:space="preserve">376 </w:t>
      </w:r>
      <w:r w:rsidRPr="000749B2">
        <w:rPr>
          <w:rFonts w:ascii="Book Antiqua" w:hAnsi="Book Antiqua"/>
          <w:b/>
          <w:sz w:val="24"/>
          <w:szCs w:val="24"/>
        </w:rPr>
        <w:t>Hahn MM</w:t>
      </w:r>
      <w:r w:rsidRPr="000749B2">
        <w:rPr>
          <w:rFonts w:ascii="Book Antiqua" w:hAnsi="Book Antiqua"/>
          <w:sz w:val="24"/>
          <w:szCs w:val="24"/>
        </w:rPr>
        <w:t xml:space="preserve">, Vreede L, Bemelmans SA, van der Looij E, van Kessel AG, Schackert HK, Ligtenberg MJ, Hoogerbrugge N, Kuiper RP, de Voer RM. Prevalence of germline mutations in the spindle assembly checkpoint gene BUB1B in individuals with early-onset colorectal cancer. </w:t>
      </w:r>
      <w:r w:rsidRPr="000749B2">
        <w:rPr>
          <w:rFonts w:ascii="Book Antiqua" w:hAnsi="Book Antiqua"/>
          <w:i/>
          <w:sz w:val="24"/>
          <w:szCs w:val="24"/>
        </w:rPr>
        <w:t>Genes Chromosomes Cancer</w:t>
      </w:r>
      <w:r w:rsidRPr="000749B2">
        <w:rPr>
          <w:rFonts w:ascii="Book Antiqua" w:hAnsi="Book Antiqua"/>
          <w:sz w:val="24"/>
          <w:szCs w:val="24"/>
        </w:rPr>
        <w:t xml:space="preserve"> 2016; </w:t>
      </w:r>
      <w:r w:rsidRPr="000749B2">
        <w:rPr>
          <w:rFonts w:ascii="Book Antiqua" w:hAnsi="Book Antiqua"/>
          <w:b/>
          <w:sz w:val="24"/>
          <w:szCs w:val="24"/>
        </w:rPr>
        <w:t>55</w:t>
      </w:r>
      <w:r w:rsidRPr="000749B2">
        <w:rPr>
          <w:rFonts w:ascii="Book Antiqua" w:hAnsi="Book Antiqua"/>
          <w:sz w:val="24"/>
          <w:szCs w:val="24"/>
        </w:rPr>
        <w:t>: 855-863 [PMID: 27239782 DOI: 10.1002/gcc.22385]</w:t>
      </w:r>
    </w:p>
    <w:p w14:paraId="6C9EBBD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377 </w:t>
      </w:r>
      <w:r w:rsidRPr="000749B2">
        <w:rPr>
          <w:rFonts w:ascii="Book Antiqua" w:hAnsi="Book Antiqua"/>
          <w:b/>
          <w:sz w:val="24"/>
          <w:szCs w:val="24"/>
        </w:rPr>
        <w:t>Batlle E</w:t>
      </w:r>
      <w:r w:rsidRPr="000749B2">
        <w:rPr>
          <w:rFonts w:ascii="Book Antiqua" w:hAnsi="Book Antiqua"/>
          <w:sz w:val="24"/>
          <w:szCs w:val="24"/>
        </w:rPr>
        <w:t xml:space="preserve">, Bacani J, Begthel H, Jonkheer S, Gregorieff A, van de Born M, Malats N, Sancho E, Boon E, Pawson T, Gallinger S, Pals S, Clevers H. EphB receptor activity suppresses colorectal cancer progression. </w:t>
      </w:r>
      <w:r w:rsidRPr="000749B2">
        <w:rPr>
          <w:rFonts w:ascii="Book Antiqua" w:hAnsi="Book Antiqua"/>
          <w:i/>
          <w:sz w:val="24"/>
          <w:szCs w:val="24"/>
        </w:rPr>
        <w:t>Nature</w:t>
      </w:r>
      <w:r w:rsidRPr="000749B2">
        <w:rPr>
          <w:rFonts w:ascii="Book Antiqua" w:hAnsi="Book Antiqua"/>
          <w:sz w:val="24"/>
          <w:szCs w:val="24"/>
        </w:rPr>
        <w:t xml:space="preserve"> 2005; </w:t>
      </w:r>
      <w:r w:rsidRPr="000749B2">
        <w:rPr>
          <w:rFonts w:ascii="Book Antiqua" w:hAnsi="Book Antiqua"/>
          <w:b/>
          <w:sz w:val="24"/>
          <w:szCs w:val="24"/>
        </w:rPr>
        <w:t>435</w:t>
      </w:r>
      <w:r w:rsidRPr="000749B2">
        <w:rPr>
          <w:rFonts w:ascii="Book Antiqua" w:hAnsi="Book Antiqua"/>
          <w:sz w:val="24"/>
          <w:szCs w:val="24"/>
        </w:rPr>
        <w:t>: 1126-1130 [PMID: 15973414 DOI: 10.1038/nature03626]</w:t>
      </w:r>
    </w:p>
    <w:p w14:paraId="209975E9"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378 </w:t>
      </w:r>
      <w:r w:rsidRPr="000749B2">
        <w:rPr>
          <w:rFonts w:ascii="Book Antiqua" w:hAnsi="Book Antiqua"/>
          <w:b/>
          <w:sz w:val="24"/>
          <w:szCs w:val="24"/>
        </w:rPr>
        <w:t>Paul Olson TJ</w:t>
      </w:r>
      <w:r w:rsidRPr="000749B2">
        <w:rPr>
          <w:rFonts w:ascii="Book Antiqua" w:hAnsi="Book Antiqua"/>
          <w:sz w:val="24"/>
          <w:szCs w:val="24"/>
        </w:rPr>
        <w:t xml:space="preserve">, Hadac JN, Sievers CK, Leystra AA, Deming DA, Zahm CD, Albrecht DM, Nomura A, Nettekoven LA, Plesh LK, Clipson L, Sullivan R, Newton MA, Schelman WR, Halberg RB. Dynamic tumor growth patterns in a novel murine model of colorectal cancer. </w:t>
      </w:r>
      <w:r w:rsidRPr="000749B2">
        <w:rPr>
          <w:rFonts w:ascii="Book Antiqua" w:hAnsi="Book Antiqua"/>
          <w:i/>
          <w:sz w:val="24"/>
          <w:szCs w:val="24"/>
        </w:rPr>
        <w:t>Cancer Prev Res (Phila)</w:t>
      </w:r>
      <w:r w:rsidRPr="000749B2">
        <w:rPr>
          <w:rFonts w:ascii="Book Antiqua" w:hAnsi="Book Antiqua"/>
          <w:sz w:val="24"/>
          <w:szCs w:val="24"/>
        </w:rPr>
        <w:t xml:space="preserve"> 2014; </w:t>
      </w:r>
      <w:r w:rsidRPr="000749B2">
        <w:rPr>
          <w:rFonts w:ascii="Book Antiqua" w:hAnsi="Book Antiqua"/>
          <w:b/>
          <w:sz w:val="24"/>
          <w:szCs w:val="24"/>
        </w:rPr>
        <w:t>7</w:t>
      </w:r>
      <w:r w:rsidRPr="000749B2">
        <w:rPr>
          <w:rFonts w:ascii="Book Antiqua" w:hAnsi="Book Antiqua"/>
          <w:sz w:val="24"/>
          <w:szCs w:val="24"/>
        </w:rPr>
        <w:t>: 105-113 [PMID: 24196829 DOI: 10.1158/1940-6207.CAPR-13-0163]</w:t>
      </w:r>
    </w:p>
    <w:p w14:paraId="3A4D2BB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379 </w:t>
      </w:r>
      <w:r w:rsidRPr="000749B2">
        <w:rPr>
          <w:rFonts w:ascii="Book Antiqua" w:hAnsi="Book Antiqua"/>
          <w:b/>
          <w:sz w:val="24"/>
          <w:szCs w:val="24"/>
        </w:rPr>
        <w:t>Suzui M</w:t>
      </w:r>
      <w:r w:rsidRPr="000749B2">
        <w:rPr>
          <w:rFonts w:ascii="Book Antiqua" w:hAnsi="Book Antiqua"/>
          <w:sz w:val="24"/>
          <w:szCs w:val="24"/>
        </w:rPr>
        <w:t xml:space="preserve">, Okuno M, Tanaka T, Nakagama H, Moriwaki H. Enhanced colon carcinogenesis induced by azoxymethane in min mice occurs via a mechanism independent of beta-catenin mutation. </w:t>
      </w:r>
      <w:r w:rsidRPr="000749B2">
        <w:rPr>
          <w:rFonts w:ascii="Book Antiqua" w:hAnsi="Book Antiqua"/>
          <w:i/>
          <w:sz w:val="24"/>
          <w:szCs w:val="24"/>
        </w:rPr>
        <w:t>Cancer Lett</w:t>
      </w:r>
      <w:r w:rsidRPr="000749B2">
        <w:rPr>
          <w:rFonts w:ascii="Book Antiqua" w:hAnsi="Book Antiqua"/>
          <w:sz w:val="24"/>
          <w:szCs w:val="24"/>
        </w:rPr>
        <w:t xml:space="preserve"> 2002; </w:t>
      </w:r>
      <w:r w:rsidRPr="000749B2">
        <w:rPr>
          <w:rFonts w:ascii="Book Antiqua" w:hAnsi="Book Antiqua"/>
          <w:b/>
          <w:sz w:val="24"/>
          <w:szCs w:val="24"/>
        </w:rPr>
        <w:t>183</w:t>
      </w:r>
      <w:r w:rsidRPr="000749B2">
        <w:rPr>
          <w:rFonts w:ascii="Book Antiqua" w:hAnsi="Book Antiqua"/>
          <w:sz w:val="24"/>
          <w:szCs w:val="24"/>
        </w:rPr>
        <w:t>: 31-41 [PMID: 12049812 DOI: 10.1016/S0304-3835(02)00114-3]</w:t>
      </w:r>
    </w:p>
    <w:p w14:paraId="3D92A435"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380 </w:t>
      </w:r>
      <w:r w:rsidRPr="000749B2">
        <w:rPr>
          <w:rFonts w:ascii="Book Antiqua" w:hAnsi="Book Antiqua"/>
          <w:b/>
          <w:sz w:val="24"/>
          <w:szCs w:val="24"/>
        </w:rPr>
        <w:t>Møllersen L</w:t>
      </w:r>
      <w:r w:rsidRPr="000749B2">
        <w:rPr>
          <w:rFonts w:ascii="Book Antiqua" w:hAnsi="Book Antiqua"/>
          <w:sz w:val="24"/>
          <w:szCs w:val="24"/>
        </w:rPr>
        <w:t xml:space="preserve">, Vikse R, Andreassen A, Steffensen IL, Mikalsen A, Paulsen JE, Alexander J. Adenomatous polyposis coli truncation mutations in 2-amino-1-methyl-6-phenylimidazo[4,5-b]pyridine (PhIP)-induced intestinal tumours of multiple intestinal neoplasia mice. </w:t>
      </w:r>
      <w:r w:rsidRPr="000749B2">
        <w:rPr>
          <w:rFonts w:ascii="Book Antiqua" w:hAnsi="Book Antiqua"/>
          <w:i/>
          <w:sz w:val="24"/>
          <w:szCs w:val="24"/>
        </w:rPr>
        <w:t>Mutat Res</w:t>
      </w:r>
      <w:r w:rsidRPr="000749B2">
        <w:rPr>
          <w:rFonts w:ascii="Book Antiqua" w:hAnsi="Book Antiqua"/>
          <w:sz w:val="24"/>
          <w:szCs w:val="24"/>
        </w:rPr>
        <w:t xml:space="preserve"> 2004; </w:t>
      </w:r>
      <w:r w:rsidRPr="000749B2">
        <w:rPr>
          <w:rFonts w:ascii="Book Antiqua" w:hAnsi="Book Antiqua"/>
          <w:b/>
          <w:sz w:val="24"/>
          <w:szCs w:val="24"/>
        </w:rPr>
        <w:t>557</w:t>
      </w:r>
      <w:r w:rsidRPr="000749B2">
        <w:rPr>
          <w:rFonts w:ascii="Book Antiqua" w:hAnsi="Book Antiqua"/>
          <w:sz w:val="24"/>
          <w:szCs w:val="24"/>
        </w:rPr>
        <w:t>: 29-40 [PMID: 14706516 DOI: 10.1016/j.mrgentox.2003.09.008]</w:t>
      </w:r>
    </w:p>
    <w:p w14:paraId="3DB25CD8"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381 </w:t>
      </w:r>
      <w:r w:rsidRPr="000749B2">
        <w:rPr>
          <w:rFonts w:ascii="Book Antiqua" w:hAnsi="Book Antiqua"/>
          <w:b/>
          <w:sz w:val="24"/>
          <w:szCs w:val="24"/>
        </w:rPr>
        <w:t>Smits R</w:t>
      </w:r>
      <w:r w:rsidRPr="000749B2">
        <w:rPr>
          <w:rFonts w:ascii="Book Antiqua" w:hAnsi="Book Antiqua"/>
          <w:sz w:val="24"/>
          <w:szCs w:val="24"/>
        </w:rPr>
        <w:t xml:space="preserve">, van der Houven van Oordt W, Luz A, Zurcher C, Jagmohan-Changur S, Breukel C, Khan PM, Fodde R. Apc1638N: a mouse model for familial adenomatous polyposis-associated desmoid tumors and cutaneous cysts. </w:t>
      </w:r>
      <w:r w:rsidRPr="000749B2">
        <w:rPr>
          <w:rFonts w:ascii="Book Antiqua" w:hAnsi="Book Antiqua"/>
          <w:i/>
          <w:sz w:val="24"/>
          <w:szCs w:val="24"/>
        </w:rPr>
        <w:t>Gastroenterology</w:t>
      </w:r>
      <w:r w:rsidRPr="000749B2">
        <w:rPr>
          <w:rFonts w:ascii="Book Antiqua" w:hAnsi="Book Antiqua"/>
          <w:sz w:val="24"/>
          <w:szCs w:val="24"/>
        </w:rPr>
        <w:t xml:space="preserve"> 1998; </w:t>
      </w:r>
      <w:r w:rsidRPr="000749B2">
        <w:rPr>
          <w:rFonts w:ascii="Book Antiqua" w:hAnsi="Book Antiqua"/>
          <w:b/>
          <w:sz w:val="24"/>
          <w:szCs w:val="24"/>
        </w:rPr>
        <w:t>114</w:t>
      </w:r>
      <w:r w:rsidRPr="000749B2">
        <w:rPr>
          <w:rFonts w:ascii="Book Antiqua" w:hAnsi="Book Antiqua"/>
          <w:sz w:val="24"/>
          <w:szCs w:val="24"/>
        </w:rPr>
        <w:t>: 275-283 [PMID: 9453487 DOI: 10.1016/s0016-5085(98)70478-0]</w:t>
      </w:r>
    </w:p>
    <w:p w14:paraId="7EA0B144"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382 </w:t>
      </w:r>
      <w:r w:rsidRPr="000749B2">
        <w:rPr>
          <w:rFonts w:ascii="Book Antiqua" w:hAnsi="Book Antiqua"/>
          <w:b/>
          <w:sz w:val="24"/>
          <w:szCs w:val="24"/>
        </w:rPr>
        <w:t>Xu J</w:t>
      </w:r>
      <w:r w:rsidRPr="000749B2">
        <w:rPr>
          <w:rFonts w:ascii="Book Antiqua" w:hAnsi="Book Antiqua"/>
          <w:sz w:val="24"/>
          <w:szCs w:val="24"/>
        </w:rPr>
        <w:t xml:space="preserve">, Cortellino S, Tricarico R, Chang WC, Scher G, Devarajan K, Slifker M, Moore R, Bassi MR, Caretti E, Clapper M, Cooper H, Bellacosa A. </w:t>
      </w:r>
      <w:r w:rsidRPr="000749B2">
        <w:rPr>
          <w:rFonts w:ascii="Book Antiqua" w:hAnsi="Book Antiqua"/>
          <w:i/>
          <w:sz w:val="24"/>
          <w:szCs w:val="24"/>
        </w:rPr>
        <w:t>Thymine DNA Glycosylase (TDG)</w:t>
      </w:r>
      <w:r w:rsidRPr="000749B2">
        <w:rPr>
          <w:rFonts w:ascii="Book Antiqua" w:hAnsi="Book Antiqua"/>
          <w:sz w:val="24"/>
          <w:szCs w:val="24"/>
        </w:rPr>
        <w:t xml:space="preserve"> is involved in the pathogenesis of intestinal tumors with reduced </w:t>
      </w:r>
      <w:r w:rsidRPr="000749B2">
        <w:rPr>
          <w:rFonts w:ascii="Book Antiqua" w:hAnsi="Book Antiqua"/>
          <w:i/>
          <w:sz w:val="24"/>
          <w:szCs w:val="24"/>
        </w:rPr>
        <w:lastRenderedPageBreak/>
        <w:t>APC</w:t>
      </w:r>
      <w:r w:rsidRPr="000749B2">
        <w:rPr>
          <w:rFonts w:ascii="Book Antiqua" w:hAnsi="Book Antiqua"/>
          <w:sz w:val="24"/>
          <w:szCs w:val="24"/>
        </w:rPr>
        <w:t xml:space="preserve"> expression. </w:t>
      </w:r>
      <w:r w:rsidRPr="000749B2">
        <w:rPr>
          <w:rFonts w:ascii="Book Antiqua" w:hAnsi="Book Antiqua"/>
          <w:i/>
          <w:sz w:val="24"/>
          <w:szCs w:val="24"/>
        </w:rPr>
        <w:t>Oncotarget</w:t>
      </w:r>
      <w:r w:rsidRPr="000749B2">
        <w:rPr>
          <w:rFonts w:ascii="Book Antiqua" w:hAnsi="Book Antiqua"/>
          <w:sz w:val="24"/>
          <w:szCs w:val="24"/>
        </w:rPr>
        <w:t xml:space="preserve"> 2017; </w:t>
      </w:r>
      <w:r w:rsidRPr="000749B2">
        <w:rPr>
          <w:rFonts w:ascii="Book Antiqua" w:hAnsi="Book Antiqua"/>
          <w:b/>
          <w:sz w:val="24"/>
          <w:szCs w:val="24"/>
        </w:rPr>
        <w:t>8</w:t>
      </w:r>
      <w:r w:rsidRPr="000749B2">
        <w:rPr>
          <w:rFonts w:ascii="Book Antiqua" w:hAnsi="Book Antiqua"/>
          <w:sz w:val="24"/>
          <w:szCs w:val="24"/>
        </w:rPr>
        <w:t>: 89988-89997 [PMID: 29163805 DOI: 10.18632/oncotarget.21219]</w:t>
      </w:r>
    </w:p>
    <w:p w14:paraId="75BD85FF"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383 </w:t>
      </w:r>
      <w:r w:rsidRPr="000749B2">
        <w:rPr>
          <w:rFonts w:ascii="Book Antiqua" w:hAnsi="Book Antiqua"/>
          <w:b/>
          <w:sz w:val="24"/>
          <w:szCs w:val="24"/>
        </w:rPr>
        <w:t>Kawaguchi Y</w:t>
      </w:r>
      <w:r w:rsidRPr="000749B2">
        <w:rPr>
          <w:rFonts w:ascii="Book Antiqua" w:hAnsi="Book Antiqua"/>
          <w:sz w:val="24"/>
          <w:szCs w:val="24"/>
        </w:rPr>
        <w:t xml:space="preserve">, Hinoi T, Saito Y, Adachi T, Miguchi M, Niitsu H, Sasada T, Shimomura M, Egi H, Oka S, Tanaka S, Chayama K, Sentani K, Oue N, Yasui W, Ohdan H. Mouse model of proximal colon-specific tumorigenesis driven by microsatellite instability-induced Cre-mediated inactivation of Apc and activation of Kras. </w:t>
      </w:r>
      <w:r w:rsidRPr="000749B2">
        <w:rPr>
          <w:rFonts w:ascii="Book Antiqua" w:hAnsi="Book Antiqua"/>
          <w:i/>
          <w:sz w:val="24"/>
          <w:szCs w:val="24"/>
        </w:rPr>
        <w:t>J Gastroenterol</w:t>
      </w:r>
      <w:r w:rsidRPr="000749B2">
        <w:rPr>
          <w:rFonts w:ascii="Book Antiqua" w:hAnsi="Book Antiqua"/>
          <w:sz w:val="24"/>
          <w:szCs w:val="24"/>
        </w:rPr>
        <w:t xml:space="preserve"> 2016; </w:t>
      </w:r>
      <w:r w:rsidRPr="000749B2">
        <w:rPr>
          <w:rFonts w:ascii="Book Antiqua" w:hAnsi="Book Antiqua"/>
          <w:b/>
          <w:sz w:val="24"/>
          <w:szCs w:val="24"/>
        </w:rPr>
        <w:t>51</w:t>
      </w:r>
      <w:r w:rsidRPr="000749B2">
        <w:rPr>
          <w:rFonts w:ascii="Book Antiqua" w:hAnsi="Book Antiqua"/>
          <w:sz w:val="24"/>
          <w:szCs w:val="24"/>
        </w:rPr>
        <w:t>: 447-457 [PMID: 26361962 DOI: 10.1007/s00535-015-1121-9]</w:t>
      </w:r>
    </w:p>
    <w:p w14:paraId="02CA7111"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384 </w:t>
      </w:r>
      <w:r w:rsidRPr="000749B2">
        <w:rPr>
          <w:rFonts w:ascii="Book Antiqua" w:hAnsi="Book Antiqua"/>
          <w:b/>
          <w:sz w:val="24"/>
          <w:szCs w:val="24"/>
        </w:rPr>
        <w:t>Roper J</w:t>
      </w:r>
      <w:r w:rsidRPr="000749B2">
        <w:rPr>
          <w:rFonts w:ascii="Book Antiqua" w:hAnsi="Book Antiqua"/>
          <w:sz w:val="24"/>
          <w:szCs w:val="24"/>
        </w:rPr>
        <w:t xml:space="preserve">, Richardson MP, Wang WV, Richard LG, Chen W, Coffee EM, Sinnamon MJ, Lee L, Chen PC, Bronson RT, Martin ES, Hung KE. The dual PI3K/mTOR inhibitor NVP-BEZ235 induces tumor regression in a genetically engineered mouse model of PIK3CA wild-type colorectal cancer. </w:t>
      </w:r>
      <w:r w:rsidRPr="000749B2">
        <w:rPr>
          <w:rFonts w:ascii="Book Antiqua" w:hAnsi="Book Antiqua"/>
          <w:i/>
          <w:sz w:val="24"/>
          <w:szCs w:val="24"/>
        </w:rPr>
        <w:t>PLoS One</w:t>
      </w:r>
      <w:r w:rsidRPr="000749B2">
        <w:rPr>
          <w:rFonts w:ascii="Book Antiqua" w:hAnsi="Book Antiqua"/>
          <w:sz w:val="24"/>
          <w:szCs w:val="24"/>
        </w:rPr>
        <w:t xml:space="preserve"> 2011; </w:t>
      </w:r>
      <w:r w:rsidRPr="000749B2">
        <w:rPr>
          <w:rFonts w:ascii="Book Antiqua" w:hAnsi="Book Antiqua"/>
          <w:b/>
          <w:sz w:val="24"/>
          <w:szCs w:val="24"/>
        </w:rPr>
        <w:t>6</w:t>
      </w:r>
      <w:r w:rsidRPr="000749B2">
        <w:rPr>
          <w:rFonts w:ascii="Book Antiqua" w:hAnsi="Book Antiqua"/>
          <w:sz w:val="24"/>
          <w:szCs w:val="24"/>
        </w:rPr>
        <w:t>: e25132 [PMID: 21966435 DOI: 10.1371/journal.pone.0025132]</w:t>
      </w:r>
    </w:p>
    <w:p w14:paraId="2B603C2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385 </w:t>
      </w:r>
      <w:r w:rsidRPr="000749B2">
        <w:rPr>
          <w:rFonts w:ascii="Book Antiqua" w:hAnsi="Book Antiqua"/>
          <w:b/>
          <w:sz w:val="24"/>
          <w:szCs w:val="24"/>
        </w:rPr>
        <w:t>Byun AJ</w:t>
      </w:r>
      <w:r w:rsidRPr="000749B2">
        <w:rPr>
          <w:rFonts w:ascii="Book Antiqua" w:hAnsi="Book Antiqua"/>
          <w:sz w:val="24"/>
          <w:szCs w:val="24"/>
        </w:rPr>
        <w:t xml:space="preserve">, Hung KE, Fleet JC, Bronson RT, Mason JB, Garcia PE, Crott JW. Colon-specific tumorigenesis in mice driven by Cre-mediated inactivation of Apc and activation of mutant Kras. </w:t>
      </w:r>
      <w:r w:rsidRPr="000749B2">
        <w:rPr>
          <w:rFonts w:ascii="Book Antiqua" w:hAnsi="Book Antiqua"/>
          <w:i/>
          <w:sz w:val="24"/>
          <w:szCs w:val="24"/>
        </w:rPr>
        <w:t>Cancer Lett</w:t>
      </w:r>
      <w:r w:rsidRPr="000749B2">
        <w:rPr>
          <w:rFonts w:ascii="Book Antiqua" w:hAnsi="Book Antiqua"/>
          <w:sz w:val="24"/>
          <w:szCs w:val="24"/>
        </w:rPr>
        <w:t xml:space="preserve"> 2014; </w:t>
      </w:r>
      <w:r w:rsidRPr="000749B2">
        <w:rPr>
          <w:rFonts w:ascii="Book Antiqua" w:hAnsi="Book Antiqua"/>
          <w:b/>
          <w:sz w:val="24"/>
          <w:szCs w:val="24"/>
        </w:rPr>
        <w:t>347</w:t>
      </w:r>
      <w:r w:rsidRPr="000749B2">
        <w:rPr>
          <w:rFonts w:ascii="Book Antiqua" w:hAnsi="Book Antiqua"/>
          <w:sz w:val="24"/>
          <w:szCs w:val="24"/>
        </w:rPr>
        <w:t>: 191-195 [PMID: 24632531 DOI: 10.1016/j.canlet.2014.03.004]</w:t>
      </w:r>
    </w:p>
    <w:p w14:paraId="25F110CC"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386 </w:t>
      </w:r>
      <w:r w:rsidRPr="000749B2">
        <w:rPr>
          <w:rFonts w:ascii="Book Antiqua" w:hAnsi="Book Antiqua"/>
          <w:b/>
          <w:sz w:val="24"/>
          <w:szCs w:val="24"/>
        </w:rPr>
        <w:t>Kang DW</w:t>
      </w:r>
      <w:r w:rsidRPr="000749B2">
        <w:rPr>
          <w:rFonts w:ascii="Book Antiqua" w:hAnsi="Book Antiqua"/>
          <w:sz w:val="24"/>
          <w:szCs w:val="24"/>
        </w:rPr>
        <w:t xml:space="preserve">, Lee SW, Hwang WC, Lee BH, Choi YS, Suh YA, Choi KY, Min DS. Phospholipase D1 Acts through Akt/TopBP1 and RB1 to Regulate the E2F1-Dependent Apoptotic Program in Cancer Cells. </w:t>
      </w:r>
      <w:r w:rsidRPr="000749B2">
        <w:rPr>
          <w:rFonts w:ascii="Book Antiqua" w:hAnsi="Book Antiqua"/>
          <w:i/>
          <w:sz w:val="24"/>
          <w:szCs w:val="24"/>
        </w:rPr>
        <w:t>Cancer Res</w:t>
      </w:r>
      <w:r w:rsidRPr="000749B2">
        <w:rPr>
          <w:rFonts w:ascii="Book Antiqua" w:hAnsi="Book Antiqua"/>
          <w:sz w:val="24"/>
          <w:szCs w:val="24"/>
        </w:rPr>
        <w:t xml:space="preserve"> 2017; </w:t>
      </w:r>
      <w:r w:rsidRPr="000749B2">
        <w:rPr>
          <w:rFonts w:ascii="Book Antiqua" w:hAnsi="Book Antiqua"/>
          <w:b/>
          <w:sz w:val="24"/>
          <w:szCs w:val="24"/>
        </w:rPr>
        <w:t>77</w:t>
      </w:r>
      <w:r w:rsidRPr="000749B2">
        <w:rPr>
          <w:rFonts w:ascii="Book Antiqua" w:hAnsi="Book Antiqua"/>
          <w:sz w:val="24"/>
          <w:szCs w:val="24"/>
        </w:rPr>
        <w:t>: 142-152 [PMID: 27793841 DOI: 10.1158/0008-5472.CAN-15-3032]</w:t>
      </w:r>
    </w:p>
    <w:p w14:paraId="2C1E1E0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387 </w:t>
      </w:r>
      <w:r w:rsidRPr="000749B2">
        <w:rPr>
          <w:rFonts w:ascii="Book Antiqua" w:hAnsi="Book Antiqua"/>
          <w:b/>
          <w:sz w:val="24"/>
          <w:szCs w:val="24"/>
        </w:rPr>
        <w:t>Kitamura T</w:t>
      </w:r>
      <w:r w:rsidRPr="000749B2">
        <w:rPr>
          <w:rFonts w:ascii="Book Antiqua" w:hAnsi="Book Antiqua"/>
          <w:sz w:val="24"/>
          <w:szCs w:val="24"/>
        </w:rPr>
        <w:t xml:space="preserve">, Biyajima K, Aoki M, Oshima M, Taketo MM. Matrix metalloproteinase 7 is required for tumor formation, but dispensable for invasion and fibrosis in SMAD4-deficient intestinal adenocarcinomas. </w:t>
      </w:r>
      <w:r w:rsidRPr="000749B2">
        <w:rPr>
          <w:rFonts w:ascii="Book Antiqua" w:hAnsi="Book Antiqua"/>
          <w:i/>
          <w:sz w:val="24"/>
          <w:szCs w:val="24"/>
        </w:rPr>
        <w:t>Lab Invest</w:t>
      </w:r>
      <w:r w:rsidRPr="000749B2">
        <w:rPr>
          <w:rFonts w:ascii="Book Antiqua" w:hAnsi="Book Antiqua"/>
          <w:sz w:val="24"/>
          <w:szCs w:val="24"/>
        </w:rPr>
        <w:t xml:space="preserve"> 2009; </w:t>
      </w:r>
      <w:r w:rsidRPr="000749B2">
        <w:rPr>
          <w:rFonts w:ascii="Book Antiqua" w:hAnsi="Book Antiqua"/>
          <w:b/>
          <w:sz w:val="24"/>
          <w:szCs w:val="24"/>
        </w:rPr>
        <w:t>89</w:t>
      </w:r>
      <w:r w:rsidRPr="000749B2">
        <w:rPr>
          <w:rFonts w:ascii="Book Antiqua" w:hAnsi="Book Antiqua"/>
          <w:sz w:val="24"/>
          <w:szCs w:val="24"/>
        </w:rPr>
        <w:t>: 98-105 [PMID: 19002110 DOI: 10.1038/labinvest.2008.107]</w:t>
      </w:r>
    </w:p>
    <w:p w14:paraId="1A73BE8E"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388 </w:t>
      </w:r>
      <w:r w:rsidRPr="000749B2">
        <w:rPr>
          <w:rFonts w:ascii="Book Antiqua" w:hAnsi="Book Antiqua"/>
          <w:b/>
          <w:sz w:val="24"/>
          <w:szCs w:val="24"/>
        </w:rPr>
        <w:t>Hamamoto T</w:t>
      </w:r>
      <w:r w:rsidRPr="000749B2">
        <w:rPr>
          <w:rFonts w:ascii="Book Antiqua" w:hAnsi="Book Antiqua"/>
          <w:sz w:val="24"/>
          <w:szCs w:val="24"/>
        </w:rPr>
        <w:t xml:space="preserve">, Beppu H, Okada H, Kawabata M, Kitamura T, Miyazono K, Kato M. Compound disruption of smad2 accelerates malignant progression of intestinal tumors in apc knockout mice. </w:t>
      </w:r>
      <w:r w:rsidRPr="000749B2">
        <w:rPr>
          <w:rFonts w:ascii="Book Antiqua" w:hAnsi="Book Antiqua"/>
          <w:i/>
          <w:sz w:val="24"/>
          <w:szCs w:val="24"/>
        </w:rPr>
        <w:t>Cancer Res</w:t>
      </w:r>
      <w:r w:rsidRPr="000749B2">
        <w:rPr>
          <w:rFonts w:ascii="Book Antiqua" w:hAnsi="Book Antiqua"/>
          <w:sz w:val="24"/>
          <w:szCs w:val="24"/>
        </w:rPr>
        <w:t xml:space="preserve"> 2002; </w:t>
      </w:r>
      <w:r w:rsidRPr="000749B2">
        <w:rPr>
          <w:rFonts w:ascii="Book Antiqua" w:hAnsi="Book Antiqua"/>
          <w:b/>
          <w:sz w:val="24"/>
          <w:szCs w:val="24"/>
        </w:rPr>
        <w:t>62</w:t>
      </w:r>
      <w:r w:rsidRPr="000749B2">
        <w:rPr>
          <w:rFonts w:ascii="Book Antiqua" w:hAnsi="Book Antiqua"/>
          <w:sz w:val="24"/>
          <w:szCs w:val="24"/>
        </w:rPr>
        <w:t>: 5955-5961 [PMID: 12384562]</w:t>
      </w:r>
    </w:p>
    <w:p w14:paraId="6561FB4A"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389 </w:t>
      </w:r>
      <w:r w:rsidRPr="000749B2">
        <w:rPr>
          <w:rFonts w:ascii="Book Antiqua" w:hAnsi="Book Antiqua"/>
          <w:b/>
          <w:sz w:val="24"/>
          <w:szCs w:val="24"/>
        </w:rPr>
        <w:t>Luo F</w:t>
      </w:r>
      <w:r w:rsidRPr="000749B2">
        <w:rPr>
          <w:rFonts w:ascii="Book Antiqua" w:hAnsi="Book Antiqua"/>
          <w:sz w:val="24"/>
          <w:szCs w:val="24"/>
        </w:rPr>
        <w:t xml:space="preserve">, Brooks DG, Ye H, Hamoudi R, Poulogiannis G, Patek CE, Winton DJ, Arends MJ. Conditional expression of mutated K-ras accelerates intestinal </w:t>
      </w:r>
      <w:r w:rsidRPr="000749B2">
        <w:rPr>
          <w:rFonts w:ascii="Book Antiqua" w:hAnsi="Book Antiqua"/>
          <w:sz w:val="24"/>
          <w:szCs w:val="24"/>
        </w:rPr>
        <w:lastRenderedPageBreak/>
        <w:t xml:space="preserve">tumorigenesis in Msh2-deficient mice. </w:t>
      </w:r>
      <w:r w:rsidRPr="000749B2">
        <w:rPr>
          <w:rFonts w:ascii="Book Antiqua" w:hAnsi="Book Antiqua"/>
          <w:i/>
          <w:sz w:val="24"/>
          <w:szCs w:val="24"/>
        </w:rPr>
        <w:t>Oncogene</w:t>
      </w:r>
      <w:r w:rsidRPr="000749B2">
        <w:rPr>
          <w:rFonts w:ascii="Book Antiqua" w:hAnsi="Book Antiqua"/>
          <w:sz w:val="24"/>
          <w:szCs w:val="24"/>
        </w:rPr>
        <w:t xml:space="preserve"> 2007; </w:t>
      </w:r>
      <w:r w:rsidRPr="000749B2">
        <w:rPr>
          <w:rFonts w:ascii="Book Antiqua" w:hAnsi="Book Antiqua"/>
          <w:b/>
          <w:sz w:val="24"/>
          <w:szCs w:val="24"/>
        </w:rPr>
        <w:t>26</w:t>
      </w:r>
      <w:r w:rsidRPr="000749B2">
        <w:rPr>
          <w:rFonts w:ascii="Book Antiqua" w:hAnsi="Book Antiqua"/>
          <w:sz w:val="24"/>
          <w:szCs w:val="24"/>
        </w:rPr>
        <w:t>: 4415-4427 [PMID: 17297472 DOI: 10.1038/sj.onc.1210231]</w:t>
      </w:r>
    </w:p>
    <w:p w14:paraId="7AF23E70"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390 </w:t>
      </w:r>
      <w:r w:rsidRPr="000749B2">
        <w:rPr>
          <w:rFonts w:ascii="Book Antiqua" w:hAnsi="Book Antiqua"/>
          <w:b/>
          <w:sz w:val="24"/>
          <w:szCs w:val="24"/>
        </w:rPr>
        <w:t>Edelmann W</w:t>
      </w:r>
      <w:r w:rsidRPr="000749B2">
        <w:rPr>
          <w:rFonts w:ascii="Book Antiqua" w:hAnsi="Book Antiqua"/>
          <w:sz w:val="24"/>
          <w:szCs w:val="24"/>
        </w:rPr>
        <w:t xml:space="preserve">, Umar A, Yang K, Heyer J, Kucherlapati M, Lia M, Kneitz B, Avdievich E, Fan K, Wong E, Crouse G, Kunkel T, Lipkin M, Kolodner RD, Kucherlapati R. The DNA mismatch repair genes Msh3 and Msh6 cooperate in intestinal tumor suppression. </w:t>
      </w:r>
      <w:r w:rsidRPr="000749B2">
        <w:rPr>
          <w:rFonts w:ascii="Book Antiqua" w:hAnsi="Book Antiqua"/>
          <w:i/>
          <w:sz w:val="24"/>
          <w:szCs w:val="24"/>
        </w:rPr>
        <w:t>Cancer Res</w:t>
      </w:r>
      <w:r w:rsidRPr="000749B2">
        <w:rPr>
          <w:rFonts w:ascii="Book Antiqua" w:hAnsi="Book Antiqua"/>
          <w:sz w:val="24"/>
          <w:szCs w:val="24"/>
        </w:rPr>
        <w:t xml:space="preserve"> 2000; </w:t>
      </w:r>
      <w:r w:rsidRPr="000749B2">
        <w:rPr>
          <w:rFonts w:ascii="Book Antiqua" w:hAnsi="Book Antiqua"/>
          <w:b/>
          <w:sz w:val="24"/>
          <w:szCs w:val="24"/>
        </w:rPr>
        <w:t>60</w:t>
      </w:r>
      <w:r w:rsidRPr="000749B2">
        <w:rPr>
          <w:rFonts w:ascii="Book Antiqua" w:hAnsi="Book Antiqua"/>
          <w:sz w:val="24"/>
          <w:szCs w:val="24"/>
        </w:rPr>
        <w:t>: 803-807 [PMID: 10706084]</w:t>
      </w:r>
    </w:p>
    <w:p w14:paraId="3A5258DB" w14:textId="77777777" w:rsidR="008353D9" w:rsidRPr="000749B2" w:rsidRDefault="008353D9" w:rsidP="000B4309">
      <w:pPr>
        <w:spacing w:after="0" w:line="360" w:lineRule="auto"/>
        <w:jc w:val="both"/>
        <w:rPr>
          <w:rFonts w:ascii="Book Antiqua" w:hAnsi="Book Antiqua"/>
          <w:sz w:val="24"/>
          <w:szCs w:val="24"/>
        </w:rPr>
      </w:pPr>
      <w:r w:rsidRPr="000749B2">
        <w:rPr>
          <w:rFonts w:ascii="Book Antiqua" w:hAnsi="Book Antiqua"/>
          <w:sz w:val="24"/>
          <w:szCs w:val="24"/>
        </w:rPr>
        <w:t xml:space="preserve">391 </w:t>
      </w:r>
      <w:r w:rsidRPr="000749B2">
        <w:rPr>
          <w:rFonts w:ascii="Book Antiqua" w:hAnsi="Book Antiqua"/>
          <w:b/>
          <w:sz w:val="24"/>
          <w:szCs w:val="24"/>
        </w:rPr>
        <w:t>Sakamoto K</w:t>
      </w:r>
      <w:r w:rsidRPr="000749B2">
        <w:rPr>
          <w:rFonts w:ascii="Book Antiqua" w:hAnsi="Book Antiqua"/>
          <w:sz w:val="24"/>
          <w:szCs w:val="24"/>
        </w:rPr>
        <w:t xml:space="preserve">, Tominaga Y, Yamauchi K, Nakatsu Y, Sakumi K, Yoshiyama K, Egashira A, Kura S, Yao T, Tsuneyoshi M, Maki H, Nakabeppu Y, Tsuzuki T. MUTYH-null mice are susceptible to spontaneous and oxidative stress induced intestinal tumorigenesis. </w:t>
      </w:r>
      <w:r w:rsidRPr="000749B2">
        <w:rPr>
          <w:rFonts w:ascii="Book Antiqua" w:hAnsi="Book Antiqua"/>
          <w:i/>
          <w:sz w:val="24"/>
          <w:szCs w:val="24"/>
        </w:rPr>
        <w:t>Cancer Res</w:t>
      </w:r>
      <w:r w:rsidRPr="000749B2">
        <w:rPr>
          <w:rFonts w:ascii="Book Antiqua" w:hAnsi="Book Antiqua"/>
          <w:sz w:val="24"/>
          <w:szCs w:val="24"/>
        </w:rPr>
        <w:t xml:space="preserve"> 2007; </w:t>
      </w:r>
      <w:r w:rsidRPr="000749B2">
        <w:rPr>
          <w:rFonts w:ascii="Book Antiqua" w:hAnsi="Book Antiqua"/>
          <w:b/>
          <w:sz w:val="24"/>
          <w:szCs w:val="24"/>
        </w:rPr>
        <w:t>67</w:t>
      </w:r>
      <w:r w:rsidRPr="000749B2">
        <w:rPr>
          <w:rFonts w:ascii="Book Antiqua" w:hAnsi="Book Antiqua"/>
          <w:sz w:val="24"/>
          <w:szCs w:val="24"/>
        </w:rPr>
        <w:t>: 6599-6604 [PMID: 17638869 DOI: 10.1158/0008-5472.CAN-06-4802]</w:t>
      </w:r>
    </w:p>
    <w:p w14:paraId="033B049A" w14:textId="77777777" w:rsidR="008353D9" w:rsidRPr="000749B2" w:rsidRDefault="008353D9" w:rsidP="000B4309">
      <w:pPr>
        <w:spacing w:after="0" w:line="360" w:lineRule="auto"/>
        <w:jc w:val="both"/>
        <w:rPr>
          <w:rFonts w:ascii="Book Antiqua" w:hAnsi="Book Antiqua"/>
          <w:color w:val="000000" w:themeColor="text1"/>
          <w:sz w:val="24"/>
          <w:szCs w:val="24"/>
        </w:rPr>
      </w:pPr>
    </w:p>
    <w:p w14:paraId="3A9A636E" w14:textId="2AA98BA2" w:rsidR="00066382" w:rsidRPr="000749B2" w:rsidRDefault="00066382" w:rsidP="000B4309">
      <w:pPr>
        <w:spacing w:after="0" w:line="360" w:lineRule="auto"/>
        <w:jc w:val="both"/>
        <w:rPr>
          <w:rFonts w:ascii="Book Antiqua" w:hAnsi="Book Antiqua"/>
          <w:color w:val="000000" w:themeColor="text1"/>
          <w:sz w:val="24"/>
          <w:szCs w:val="24"/>
        </w:rPr>
      </w:pPr>
    </w:p>
    <w:p w14:paraId="1D17A72C" w14:textId="77777777" w:rsidR="00AE58BD" w:rsidRPr="000749B2" w:rsidRDefault="00AE58BD" w:rsidP="000B4309">
      <w:pPr>
        <w:spacing w:after="0" w:line="360" w:lineRule="auto"/>
        <w:jc w:val="both"/>
        <w:rPr>
          <w:rFonts w:ascii="Book Antiqua" w:eastAsiaTheme="majorEastAsia" w:hAnsi="Book Antiqua" w:cstheme="majorBidi"/>
          <w:color w:val="000000" w:themeColor="text1"/>
          <w:sz w:val="24"/>
          <w:szCs w:val="24"/>
        </w:rPr>
      </w:pPr>
      <w:r w:rsidRPr="000749B2">
        <w:rPr>
          <w:rFonts w:ascii="Book Antiqua" w:hAnsi="Book Antiqua"/>
          <w:color w:val="000000" w:themeColor="text1"/>
          <w:sz w:val="24"/>
          <w:szCs w:val="24"/>
        </w:rPr>
        <w:br w:type="page"/>
      </w:r>
    </w:p>
    <w:p w14:paraId="27DDAA4A" w14:textId="77777777" w:rsidR="00AE58BD" w:rsidRPr="000749B2" w:rsidRDefault="00AE58BD" w:rsidP="000B4309">
      <w:pPr>
        <w:adjustRightInd w:val="0"/>
        <w:snapToGrid w:val="0"/>
        <w:spacing w:after="0" w:line="360" w:lineRule="auto"/>
        <w:jc w:val="both"/>
        <w:rPr>
          <w:rFonts w:ascii="Book Antiqua" w:hAnsi="Book Antiqua"/>
          <w:b/>
          <w:color w:val="000000" w:themeColor="text1"/>
          <w:sz w:val="24"/>
          <w:szCs w:val="24"/>
        </w:rPr>
      </w:pPr>
      <w:r w:rsidRPr="000749B2">
        <w:rPr>
          <w:rFonts w:ascii="Book Antiqua" w:hAnsi="Book Antiqua"/>
          <w:b/>
          <w:color w:val="000000" w:themeColor="text1"/>
          <w:sz w:val="24"/>
          <w:szCs w:val="24"/>
        </w:rPr>
        <w:lastRenderedPageBreak/>
        <w:t>Footnotes</w:t>
      </w:r>
    </w:p>
    <w:p w14:paraId="19BB96FF" w14:textId="7C499103" w:rsidR="00AE58BD" w:rsidRPr="000749B2" w:rsidRDefault="00AE58BD" w:rsidP="000B4309">
      <w:pPr>
        <w:spacing w:after="0" w:line="360" w:lineRule="auto"/>
        <w:jc w:val="both"/>
        <w:rPr>
          <w:rFonts w:ascii="Book Antiqua" w:hAnsi="Book Antiqua"/>
          <w:color w:val="000000" w:themeColor="text1"/>
          <w:sz w:val="24"/>
          <w:szCs w:val="24"/>
        </w:rPr>
      </w:pPr>
      <w:r w:rsidRPr="000749B2">
        <w:rPr>
          <w:rFonts w:ascii="Book Antiqua" w:hAnsi="Book Antiqua"/>
          <w:b/>
          <w:color w:val="000000" w:themeColor="text1"/>
          <w:sz w:val="24"/>
          <w:szCs w:val="24"/>
        </w:rPr>
        <w:t>Conflict-of-interest statement:</w:t>
      </w:r>
      <w:r w:rsidRPr="000749B2">
        <w:rPr>
          <w:rFonts w:ascii="Book Antiqua" w:eastAsia="宋体" w:hAnsi="Book Antiqua" w:cs="TimesNewRomanPS-BoldItalicMT"/>
          <w:b/>
          <w:bCs/>
          <w:iCs/>
          <w:color w:val="000000" w:themeColor="text1"/>
          <w:sz w:val="24"/>
          <w:szCs w:val="24"/>
          <w:lang w:eastAsia="zh-CN"/>
        </w:rPr>
        <w:t xml:space="preserve"> </w:t>
      </w:r>
      <w:r w:rsidR="000B4309" w:rsidRPr="000749B2">
        <w:rPr>
          <w:rFonts w:ascii="Book Antiqua" w:hAnsi="Book Antiqua" w:cs="Helvetica Neue"/>
          <w:color w:val="000000"/>
          <w:sz w:val="24"/>
          <w:szCs w:val="24"/>
          <w:u w:color="000000"/>
        </w:rPr>
        <w:t>Dr. Linnebacher reports grants from Ministerium für Wirtschaft, Arbeit und Gesundheit Mecklenburg-Vorpommern during the conduct of the study.</w:t>
      </w:r>
    </w:p>
    <w:p w14:paraId="27F6CAD6" w14:textId="77777777" w:rsidR="00AE58BD" w:rsidRPr="000749B2" w:rsidRDefault="00AE58BD" w:rsidP="000B4309">
      <w:pPr>
        <w:adjustRightInd w:val="0"/>
        <w:snapToGrid w:val="0"/>
        <w:spacing w:after="0" w:line="360" w:lineRule="auto"/>
        <w:jc w:val="both"/>
        <w:rPr>
          <w:rFonts w:ascii="Book Antiqua" w:eastAsia="宋体" w:hAnsi="Book Antiqua" w:cs="TimesNewRomanPS-BoldItalicMT"/>
          <w:b/>
          <w:bCs/>
          <w:iCs/>
          <w:color w:val="000000" w:themeColor="text1"/>
          <w:sz w:val="24"/>
          <w:szCs w:val="24"/>
          <w:lang w:eastAsia="zh-CN"/>
        </w:rPr>
      </w:pPr>
    </w:p>
    <w:p w14:paraId="35F2E02E" w14:textId="77777777" w:rsidR="00DD1819" w:rsidRPr="000749B2" w:rsidRDefault="00AE58BD" w:rsidP="000B4309">
      <w:pPr>
        <w:spacing w:after="0" w:line="360" w:lineRule="auto"/>
        <w:jc w:val="both"/>
        <w:rPr>
          <w:rFonts w:ascii="Book Antiqua" w:hAnsi="Book Antiqua"/>
          <w:sz w:val="24"/>
          <w:szCs w:val="24"/>
        </w:rPr>
      </w:pPr>
      <w:r w:rsidRPr="000749B2">
        <w:rPr>
          <w:rFonts w:ascii="Book Antiqua" w:hAnsi="Book Antiqua"/>
          <w:b/>
          <w:color w:val="000000" w:themeColor="text1"/>
          <w:sz w:val="24"/>
          <w:szCs w:val="24"/>
        </w:rPr>
        <w:t>Open-Access:</w:t>
      </w:r>
      <w:r w:rsidRPr="000749B2">
        <w:rPr>
          <w:rFonts w:ascii="Book Antiqua" w:hAnsi="Book Antiqua"/>
          <w:color w:val="000000" w:themeColor="text1"/>
          <w:sz w:val="24"/>
          <w:szCs w:val="24"/>
        </w:rPr>
        <w:t xml:space="preserve"> </w:t>
      </w:r>
      <w:r w:rsidR="00DD1819" w:rsidRPr="000749B2">
        <w:rPr>
          <w:rFonts w:ascii="Book Antiqua" w:hAnsi="Book Antiqua"/>
          <w:color w:val="000000"/>
          <w:sz w:val="24"/>
          <w:szCs w:val="24"/>
        </w:rPr>
        <w:t xml:space="preserve">This article is an open-access </w:t>
      </w:r>
      <w:r w:rsidR="00DD1819" w:rsidRPr="000749B2">
        <w:rPr>
          <w:rFonts w:ascii="Book Antiqua" w:hAnsi="Book Antiqua"/>
          <w:sz w:val="24"/>
          <w:szCs w:val="24"/>
        </w:rPr>
        <w:t xml:space="preserve">article that was selected </w:t>
      </w:r>
      <w:r w:rsidR="00DD1819" w:rsidRPr="000749B2">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E68814" w14:textId="418F18B5" w:rsidR="00AE58BD" w:rsidRPr="000749B2" w:rsidRDefault="00AE58BD" w:rsidP="000B4309">
      <w:pPr>
        <w:spacing w:after="0" w:line="360" w:lineRule="auto"/>
        <w:jc w:val="both"/>
        <w:rPr>
          <w:rFonts w:ascii="Book Antiqua" w:eastAsia="宋体" w:hAnsi="Book Antiqua" w:cs="Times New Roman"/>
          <w:bCs/>
          <w:color w:val="000000" w:themeColor="text1"/>
          <w:sz w:val="24"/>
          <w:szCs w:val="24"/>
          <w:lang w:eastAsia="zh-CN"/>
        </w:rPr>
      </w:pPr>
    </w:p>
    <w:p w14:paraId="37FF538A" w14:textId="4C941805" w:rsidR="00AE58BD" w:rsidRPr="000749B2" w:rsidRDefault="00AE58BD" w:rsidP="000B4309">
      <w:pPr>
        <w:adjustRightInd w:val="0"/>
        <w:snapToGrid w:val="0"/>
        <w:spacing w:after="0" w:line="360" w:lineRule="auto"/>
        <w:jc w:val="both"/>
        <w:rPr>
          <w:rFonts w:ascii="Book Antiqua" w:hAnsi="Book Antiqua"/>
          <w:bCs/>
          <w:color w:val="000000" w:themeColor="text1"/>
          <w:sz w:val="24"/>
          <w:szCs w:val="24"/>
          <w:lang w:eastAsia="zh-CN"/>
        </w:rPr>
      </w:pPr>
      <w:r w:rsidRPr="000749B2">
        <w:rPr>
          <w:rFonts w:ascii="Book Antiqua" w:hAnsi="Book Antiqua"/>
          <w:b/>
          <w:bCs/>
          <w:color w:val="000000" w:themeColor="text1"/>
          <w:sz w:val="24"/>
          <w:szCs w:val="24"/>
          <w:lang w:eastAsia="pl-PL"/>
        </w:rPr>
        <w:t>Manuscript source:</w:t>
      </w:r>
      <w:r w:rsidRPr="000749B2">
        <w:rPr>
          <w:rFonts w:ascii="Book Antiqua" w:hAnsi="Book Antiqua"/>
          <w:b/>
          <w:bCs/>
          <w:color w:val="000000" w:themeColor="text1"/>
          <w:sz w:val="24"/>
          <w:szCs w:val="24"/>
          <w:lang w:eastAsia="zh-CN"/>
        </w:rPr>
        <w:t xml:space="preserve"> </w:t>
      </w:r>
      <w:r w:rsidR="000B4309" w:rsidRPr="000749B2">
        <w:rPr>
          <w:rFonts w:ascii="Book Antiqua" w:hAnsi="Book Antiqua"/>
          <w:bCs/>
          <w:color w:val="000000" w:themeColor="text1"/>
          <w:sz w:val="24"/>
          <w:szCs w:val="24"/>
          <w:lang w:eastAsia="pl-PL"/>
        </w:rPr>
        <w:t xml:space="preserve">Invited </w:t>
      </w:r>
      <w:r w:rsidRPr="000749B2">
        <w:rPr>
          <w:rFonts w:ascii="Book Antiqua" w:hAnsi="Book Antiqua"/>
          <w:bCs/>
          <w:color w:val="000000" w:themeColor="text1"/>
          <w:sz w:val="24"/>
          <w:szCs w:val="24"/>
          <w:lang w:eastAsia="pl-PL"/>
        </w:rPr>
        <w:t>manuscript</w:t>
      </w:r>
    </w:p>
    <w:p w14:paraId="59349AAA" w14:textId="77777777" w:rsidR="00AE58BD" w:rsidRPr="000749B2" w:rsidRDefault="00AE58BD" w:rsidP="000B4309">
      <w:pPr>
        <w:adjustRightInd w:val="0"/>
        <w:snapToGrid w:val="0"/>
        <w:spacing w:after="0" w:line="360" w:lineRule="auto"/>
        <w:jc w:val="both"/>
        <w:rPr>
          <w:rFonts w:ascii="Book Antiqua" w:hAnsi="Book Antiqua"/>
          <w:b/>
          <w:bCs/>
          <w:color w:val="000000" w:themeColor="text1"/>
          <w:sz w:val="24"/>
          <w:szCs w:val="24"/>
          <w:lang w:eastAsia="zh-CN"/>
        </w:rPr>
      </w:pPr>
    </w:p>
    <w:p w14:paraId="22594784" w14:textId="6A2D8D4D" w:rsidR="00AE58BD" w:rsidRPr="000749B2" w:rsidRDefault="00AE58BD" w:rsidP="000B4309">
      <w:pPr>
        <w:spacing w:after="0" w:line="360" w:lineRule="auto"/>
        <w:jc w:val="both"/>
        <w:rPr>
          <w:rFonts w:ascii="Book Antiqua" w:eastAsia="宋体" w:hAnsi="Book Antiqua"/>
          <w:bCs/>
          <w:color w:val="000000" w:themeColor="text1"/>
          <w:sz w:val="24"/>
          <w:szCs w:val="24"/>
          <w:lang w:eastAsia="zh-CN"/>
        </w:rPr>
      </w:pPr>
      <w:r w:rsidRPr="000749B2">
        <w:rPr>
          <w:rFonts w:ascii="Book Antiqua" w:hAnsi="Book Antiqua"/>
          <w:b/>
          <w:color w:val="000000" w:themeColor="text1"/>
          <w:sz w:val="24"/>
          <w:szCs w:val="24"/>
        </w:rPr>
        <w:t>Peer-review started:</w:t>
      </w:r>
      <w:r w:rsidRPr="000749B2">
        <w:rPr>
          <w:rFonts w:ascii="Book Antiqua" w:eastAsia="宋体" w:hAnsi="Book Antiqua"/>
          <w:b/>
          <w:color w:val="000000" w:themeColor="text1"/>
          <w:sz w:val="24"/>
          <w:szCs w:val="24"/>
          <w:lang w:eastAsia="zh-CN"/>
        </w:rPr>
        <w:t xml:space="preserve"> </w:t>
      </w:r>
      <w:r w:rsidR="000B4309" w:rsidRPr="000749B2">
        <w:rPr>
          <w:rFonts w:ascii="Book Antiqua" w:eastAsia="宋体" w:hAnsi="Book Antiqua"/>
          <w:bCs/>
          <w:color w:val="000000" w:themeColor="text1"/>
          <w:sz w:val="24"/>
          <w:szCs w:val="24"/>
          <w:lang w:eastAsia="zh-CN"/>
        </w:rPr>
        <w:t>December 18, 2019</w:t>
      </w:r>
    </w:p>
    <w:p w14:paraId="56195A0F" w14:textId="556DC0FF" w:rsidR="00AE58BD" w:rsidRPr="000749B2" w:rsidRDefault="00AE58BD" w:rsidP="000B4309">
      <w:pPr>
        <w:spacing w:after="0" w:line="360" w:lineRule="auto"/>
        <w:jc w:val="both"/>
        <w:rPr>
          <w:rFonts w:ascii="Book Antiqua" w:eastAsia="宋体" w:hAnsi="Book Antiqua"/>
          <w:bCs/>
          <w:color w:val="000000" w:themeColor="text1"/>
          <w:sz w:val="24"/>
          <w:szCs w:val="24"/>
          <w:lang w:eastAsia="zh-CN"/>
        </w:rPr>
      </w:pPr>
      <w:r w:rsidRPr="000749B2">
        <w:rPr>
          <w:rFonts w:ascii="Book Antiqua" w:hAnsi="Book Antiqua"/>
          <w:b/>
          <w:color w:val="000000" w:themeColor="text1"/>
          <w:sz w:val="24"/>
          <w:szCs w:val="24"/>
        </w:rPr>
        <w:t>First decision:</w:t>
      </w:r>
      <w:r w:rsidRPr="000749B2">
        <w:rPr>
          <w:rFonts w:ascii="Book Antiqua" w:eastAsia="宋体" w:hAnsi="Book Antiqua"/>
          <w:b/>
          <w:color w:val="000000" w:themeColor="text1"/>
          <w:sz w:val="24"/>
          <w:szCs w:val="24"/>
          <w:lang w:eastAsia="zh-CN"/>
        </w:rPr>
        <w:t xml:space="preserve"> </w:t>
      </w:r>
      <w:r w:rsidR="000B4309" w:rsidRPr="000749B2">
        <w:rPr>
          <w:rFonts w:ascii="Book Antiqua" w:eastAsia="宋体" w:hAnsi="Book Antiqua"/>
          <w:bCs/>
          <w:color w:val="000000" w:themeColor="text1"/>
          <w:sz w:val="24"/>
          <w:szCs w:val="24"/>
          <w:lang w:eastAsia="zh-CN"/>
        </w:rPr>
        <w:t>February 18, 2020</w:t>
      </w:r>
    </w:p>
    <w:p w14:paraId="25A0D9C0" w14:textId="15F85F25" w:rsidR="00AE58BD" w:rsidRPr="000749B2" w:rsidRDefault="00AE58BD" w:rsidP="000B4309">
      <w:pPr>
        <w:spacing w:after="0" w:line="360" w:lineRule="auto"/>
        <w:jc w:val="both"/>
        <w:rPr>
          <w:rFonts w:ascii="Book Antiqua" w:hAnsi="Book Antiqua"/>
          <w:b/>
          <w:color w:val="000000" w:themeColor="text1"/>
          <w:sz w:val="24"/>
          <w:szCs w:val="24"/>
        </w:rPr>
      </w:pPr>
      <w:r w:rsidRPr="000749B2">
        <w:rPr>
          <w:rFonts w:ascii="Book Antiqua" w:hAnsi="Book Antiqua"/>
          <w:b/>
          <w:color w:val="000000" w:themeColor="text1"/>
          <w:sz w:val="24"/>
          <w:szCs w:val="24"/>
        </w:rPr>
        <w:t>Article in press:</w:t>
      </w:r>
      <w:r w:rsidR="00374A60" w:rsidRPr="000749B2">
        <w:rPr>
          <w:rFonts w:ascii="Book Antiqua" w:hAnsi="Book Antiqua"/>
          <w:bCs/>
          <w:color w:val="000000" w:themeColor="text1"/>
          <w:sz w:val="24"/>
          <w:szCs w:val="24"/>
        </w:rPr>
        <w:t xml:space="preserve"> </w:t>
      </w:r>
      <w:r w:rsidR="00374A60" w:rsidRPr="000749B2">
        <w:rPr>
          <w:rFonts w:ascii="Book Antiqua" w:hAnsi="Book Antiqua"/>
          <w:bCs/>
          <w:color w:val="000000" w:themeColor="text1"/>
          <w:sz w:val="24"/>
          <w:szCs w:val="24"/>
        </w:rPr>
        <w:t>March 10, 2020</w:t>
      </w:r>
    </w:p>
    <w:p w14:paraId="26CE6E99" w14:textId="77777777" w:rsidR="00AE58BD" w:rsidRPr="000749B2" w:rsidRDefault="00AE58BD" w:rsidP="000B4309">
      <w:pPr>
        <w:spacing w:after="0" w:line="360" w:lineRule="auto"/>
        <w:jc w:val="both"/>
        <w:rPr>
          <w:rFonts w:ascii="Book Antiqua" w:eastAsia="宋体" w:hAnsi="Book Antiqua"/>
          <w:color w:val="000000" w:themeColor="text1"/>
          <w:sz w:val="24"/>
          <w:szCs w:val="24"/>
          <w:lang w:eastAsia="zh-CN"/>
        </w:rPr>
      </w:pPr>
    </w:p>
    <w:p w14:paraId="5875A0DF" w14:textId="0170A5B2" w:rsidR="00AE58BD" w:rsidRPr="000749B2" w:rsidRDefault="00AE58BD" w:rsidP="000B4309">
      <w:pPr>
        <w:widowControl w:val="0"/>
        <w:adjustRightInd w:val="0"/>
        <w:snapToGrid w:val="0"/>
        <w:spacing w:after="0" w:line="360" w:lineRule="auto"/>
        <w:jc w:val="both"/>
        <w:rPr>
          <w:rFonts w:ascii="Book Antiqua" w:eastAsia="微软雅黑" w:hAnsi="Book Antiqua" w:cs="宋体"/>
          <w:color w:val="000000" w:themeColor="text1"/>
          <w:sz w:val="24"/>
          <w:szCs w:val="24"/>
          <w:lang w:eastAsia="zh-CN"/>
        </w:rPr>
      </w:pPr>
      <w:r w:rsidRPr="000749B2">
        <w:rPr>
          <w:rFonts w:ascii="Book Antiqua" w:hAnsi="Book Antiqua" w:cs="宋体"/>
          <w:b/>
          <w:color w:val="000000" w:themeColor="text1"/>
          <w:sz w:val="24"/>
          <w:szCs w:val="24"/>
          <w:lang w:eastAsia="zh-CN"/>
        </w:rPr>
        <w:t xml:space="preserve">Specialty type: </w:t>
      </w:r>
      <w:r w:rsidR="000B4309" w:rsidRPr="000749B2">
        <w:rPr>
          <w:rFonts w:ascii="Book Antiqua" w:eastAsia="微软雅黑" w:hAnsi="Book Antiqua" w:cs="宋体"/>
          <w:color w:val="000000" w:themeColor="text1"/>
          <w:sz w:val="24"/>
          <w:szCs w:val="24"/>
          <w:lang w:eastAsia="zh-CN"/>
        </w:rPr>
        <w:t>Gastroenterology and Hepatology</w:t>
      </w:r>
    </w:p>
    <w:p w14:paraId="33A97B2E" w14:textId="0C16C0E2" w:rsidR="00AE58BD" w:rsidRPr="000749B2" w:rsidRDefault="00AE58BD" w:rsidP="000B4309">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0749B2">
        <w:rPr>
          <w:rFonts w:ascii="Book Antiqua" w:hAnsi="Book Antiqua" w:cs="宋体"/>
          <w:b/>
          <w:color w:val="000000" w:themeColor="text1"/>
          <w:sz w:val="24"/>
          <w:szCs w:val="24"/>
          <w:lang w:eastAsia="zh-CN"/>
        </w:rPr>
        <w:t xml:space="preserve">Country of origin: </w:t>
      </w:r>
      <w:r w:rsidRPr="000749B2">
        <w:rPr>
          <w:rFonts w:ascii="Book Antiqua" w:eastAsia="宋体" w:hAnsi="Book Antiqua"/>
          <w:color w:val="000000" w:themeColor="text1"/>
          <w:sz w:val="24"/>
          <w:szCs w:val="24"/>
          <w:lang w:eastAsia="es-ES_tradnl"/>
        </w:rPr>
        <w:t>Germany</w:t>
      </w:r>
    </w:p>
    <w:p w14:paraId="07E76A55" w14:textId="77777777" w:rsidR="00AE58BD" w:rsidRPr="000749B2" w:rsidRDefault="00AE58BD" w:rsidP="000B4309">
      <w:pPr>
        <w:widowControl w:val="0"/>
        <w:adjustRightInd w:val="0"/>
        <w:snapToGrid w:val="0"/>
        <w:spacing w:after="0" w:line="360" w:lineRule="auto"/>
        <w:jc w:val="both"/>
        <w:rPr>
          <w:rFonts w:ascii="Book Antiqua" w:hAnsi="Book Antiqua" w:cs="宋体"/>
          <w:b/>
          <w:color w:val="000000" w:themeColor="text1"/>
          <w:sz w:val="24"/>
          <w:szCs w:val="24"/>
          <w:lang w:eastAsia="zh-CN"/>
        </w:rPr>
      </w:pPr>
      <w:r w:rsidRPr="000749B2">
        <w:rPr>
          <w:rFonts w:ascii="Book Antiqua" w:hAnsi="Book Antiqua" w:cs="宋体"/>
          <w:b/>
          <w:color w:val="000000" w:themeColor="text1"/>
          <w:sz w:val="24"/>
          <w:szCs w:val="24"/>
          <w:lang w:eastAsia="zh-CN"/>
        </w:rPr>
        <w:t>Peer-review report classification</w:t>
      </w:r>
    </w:p>
    <w:p w14:paraId="53E6F174" w14:textId="6EDCE4AD" w:rsidR="00AE58BD" w:rsidRPr="000749B2" w:rsidRDefault="00AE58BD" w:rsidP="000B4309">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0749B2">
        <w:rPr>
          <w:rFonts w:ascii="Book Antiqua" w:hAnsi="Book Antiqua" w:cs="宋体"/>
          <w:color w:val="000000" w:themeColor="text1"/>
          <w:sz w:val="24"/>
          <w:szCs w:val="24"/>
          <w:lang w:eastAsia="zh-CN"/>
        </w:rPr>
        <w:t>Grade A (Excellent): 0</w:t>
      </w:r>
    </w:p>
    <w:p w14:paraId="5DC9E048" w14:textId="77777777" w:rsidR="00AE58BD" w:rsidRPr="000749B2" w:rsidRDefault="00AE58BD" w:rsidP="000B4309">
      <w:pPr>
        <w:widowControl w:val="0"/>
        <w:adjustRightInd w:val="0"/>
        <w:snapToGrid w:val="0"/>
        <w:spacing w:after="0" w:line="360" w:lineRule="auto"/>
        <w:jc w:val="both"/>
        <w:rPr>
          <w:rFonts w:ascii="Book Antiqua" w:eastAsia="宋体" w:hAnsi="Book Antiqua" w:cs="宋体"/>
          <w:color w:val="000000" w:themeColor="text1"/>
          <w:sz w:val="24"/>
          <w:szCs w:val="24"/>
          <w:lang w:eastAsia="zh-CN"/>
        </w:rPr>
      </w:pPr>
      <w:r w:rsidRPr="000749B2">
        <w:rPr>
          <w:rFonts w:ascii="Book Antiqua" w:hAnsi="Book Antiqua" w:cs="宋体"/>
          <w:color w:val="000000" w:themeColor="text1"/>
          <w:sz w:val="24"/>
          <w:szCs w:val="24"/>
          <w:lang w:eastAsia="zh-CN"/>
        </w:rPr>
        <w:t xml:space="preserve">Grade B (Very good): </w:t>
      </w:r>
      <w:r w:rsidRPr="000749B2">
        <w:rPr>
          <w:rFonts w:ascii="Book Antiqua" w:eastAsia="宋体" w:hAnsi="Book Antiqua" w:cs="宋体"/>
          <w:color w:val="000000" w:themeColor="text1"/>
          <w:sz w:val="24"/>
          <w:szCs w:val="24"/>
          <w:lang w:eastAsia="zh-CN"/>
        </w:rPr>
        <w:t>B, B, B</w:t>
      </w:r>
    </w:p>
    <w:p w14:paraId="24AE0EA3" w14:textId="78833FBB" w:rsidR="00AE58BD" w:rsidRPr="000749B2" w:rsidRDefault="00AE58BD" w:rsidP="000B4309">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0749B2">
        <w:rPr>
          <w:rFonts w:ascii="Book Antiqua" w:hAnsi="Book Antiqua" w:cs="宋体"/>
          <w:color w:val="000000" w:themeColor="text1"/>
          <w:sz w:val="24"/>
          <w:szCs w:val="24"/>
          <w:lang w:eastAsia="zh-CN"/>
        </w:rPr>
        <w:t>Grade C (Good): 0</w:t>
      </w:r>
    </w:p>
    <w:p w14:paraId="44744CF2" w14:textId="77777777" w:rsidR="00AE58BD" w:rsidRPr="000749B2" w:rsidRDefault="00AE58BD" w:rsidP="000B4309">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0749B2">
        <w:rPr>
          <w:rFonts w:ascii="Book Antiqua" w:hAnsi="Book Antiqua" w:cs="宋体"/>
          <w:color w:val="000000" w:themeColor="text1"/>
          <w:sz w:val="24"/>
          <w:szCs w:val="24"/>
          <w:lang w:eastAsia="zh-CN"/>
        </w:rPr>
        <w:t>Grade D (Fair): 0</w:t>
      </w:r>
    </w:p>
    <w:p w14:paraId="3CB8AF90" w14:textId="77777777" w:rsidR="00AE58BD" w:rsidRPr="000749B2" w:rsidRDefault="00AE58BD" w:rsidP="000B4309">
      <w:pPr>
        <w:widowControl w:val="0"/>
        <w:adjustRightInd w:val="0"/>
        <w:snapToGrid w:val="0"/>
        <w:spacing w:after="0" w:line="360" w:lineRule="auto"/>
        <w:jc w:val="both"/>
        <w:rPr>
          <w:rFonts w:ascii="Book Antiqua" w:eastAsia="等线" w:hAnsi="Book Antiqua"/>
          <w:color w:val="000000" w:themeColor="text1"/>
          <w:kern w:val="2"/>
          <w:sz w:val="24"/>
          <w:szCs w:val="24"/>
          <w:lang w:val="hu-HU" w:eastAsia="zh-CN"/>
        </w:rPr>
      </w:pPr>
      <w:r w:rsidRPr="000749B2">
        <w:rPr>
          <w:rFonts w:ascii="Book Antiqua" w:hAnsi="Book Antiqua" w:cs="宋体"/>
          <w:color w:val="000000" w:themeColor="text1"/>
          <w:sz w:val="24"/>
          <w:szCs w:val="24"/>
          <w:lang w:eastAsia="zh-CN"/>
        </w:rPr>
        <w:t>Grade E (Poor): 0</w:t>
      </w:r>
    </w:p>
    <w:p w14:paraId="14340460" w14:textId="77777777" w:rsidR="00AE58BD" w:rsidRPr="000749B2" w:rsidRDefault="00AE58BD" w:rsidP="000B4309">
      <w:pPr>
        <w:spacing w:after="0" w:line="360" w:lineRule="auto"/>
        <w:jc w:val="both"/>
        <w:rPr>
          <w:rFonts w:ascii="Book Antiqua" w:eastAsia="宋体" w:hAnsi="Book Antiqua"/>
          <w:b/>
          <w:color w:val="000000" w:themeColor="text1"/>
          <w:sz w:val="24"/>
          <w:szCs w:val="24"/>
          <w:lang w:val="hu-HU" w:eastAsia="zh-CN"/>
        </w:rPr>
      </w:pPr>
    </w:p>
    <w:p w14:paraId="3C7008CB" w14:textId="65C5AE7A" w:rsidR="00AE58BD" w:rsidRPr="000749B2" w:rsidRDefault="00AE58BD" w:rsidP="000B4309">
      <w:pPr>
        <w:spacing w:after="0" w:line="360" w:lineRule="auto"/>
        <w:jc w:val="both"/>
        <w:rPr>
          <w:rFonts w:ascii="Book Antiqua" w:eastAsia="宋体" w:hAnsi="Book Antiqua" w:hint="eastAsia"/>
          <w:b/>
          <w:color w:val="000000" w:themeColor="text1"/>
          <w:sz w:val="24"/>
          <w:szCs w:val="24"/>
          <w:lang w:eastAsia="zh-CN"/>
        </w:rPr>
      </w:pPr>
      <w:r w:rsidRPr="000749B2">
        <w:rPr>
          <w:rFonts w:ascii="Book Antiqua" w:hAnsi="Book Antiqua"/>
          <w:b/>
          <w:color w:val="000000" w:themeColor="text1"/>
          <w:sz w:val="24"/>
          <w:szCs w:val="24"/>
        </w:rPr>
        <w:t>P- Reviewer:</w:t>
      </w:r>
      <w:r w:rsidR="004077FE" w:rsidRPr="000749B2">
        <w:rPr>
          <w:rFonts w:ascii="Book Antiqua" w:eastAsia="宋体" w:hAnsi="Book Antiqua"/>
          <w:b/>
          <w:color w:val="000000" w:themeColor="text1"/>
          <w:sz w:val="24"/>
          <w:szCs w:val="24"/>
          <w:lang w:eastAsia="zh-CN"/>
        </w:rPr>
        <w:t xml:space="preserve"> </w:t>
      </w:r>
      <w:r w:rsidR="000B4309" w:rsidRPr="000749B2">
        <w:rPr>
          <w:rFonts w:ascii="Book Antiqua" w:eastAsia="宋体" w:hAnsi="Book Antiqua"/>
          <w:bCs/>
          <w:color w:val="000000" w:themeColor="text1"/>
          <w:sz w:val="24"/>
          <w:szCs w:val="24"/>
          <w:lang w:eastAsia="zh-CN"/>
        </w:rPr>
        <w:t>Li Y, Lin JM, Huang ZH</w:t>
      </w:r>
      <w:r w:rsidR="000B4309" w:rsidRPr="000749B2">
        <w:rPr>
          <w:rFonts w:ascii="Book Antiqua" w:eastAsia="宋体" w:hAnsi="Book Antiqua"/>
          <w:b/>
          <w:color w:val="000000" w:themeColor="text1"/>
          <w:sz w:val="24"/>
          <w:szCs w:val="24"/>
          <w:lang w:eastAsia="zh-CN"/>
        </w:rPr>
        <w:t xml:space="preserve"> </w:t>
      </w:r>
      <w:r w:rsidRPr="000749B2">
        <w:rPr>
          <w:rFonts w:ascii="Book Antiqua" w:hAnsi="Book Antiqua"/>
          <w:b/>
          <w:color w:val="000000" w:themeColor="text1"/>
          <w:sz w:val="24"/>
          <w:szCs w:val="24"/>
        </w:rPr>
        <w:t>S- Editor:</w:t>
      </w:r>
      <w:r w:rsidRPr="000749B2">
        <w:rPr>
          <w:rFonts w:ascii="Book Antiqua" w:hAnsi="Book Antiqua"/>
          <w:color w:val="000000" w:themeColor="text1"/>
          <w:sz w:val="24"/>
          <w:szCs w:val="24"/>
        </w:rPr>
        <w:t xml:space="preserve"> Dou Y</w:t>
      </w:r>
      <w:r w:rsidR="004077FE" w:rsidRPr="000749B2">
        <w:rPr>
          <w:rFonts w:ascii="Book Antiqua" w:eastAsia="宋体" w:hAnsi="Book Antiqua"/>
          <w:color w:val="000000" w:themeColor="text1"/>
          <w:sz w:val="24"/>
          <w:szCs w:val="24"/>
          <w:lang w:eastAsia="zh-CN"/>
        </w:rPr>
        <w:t xml:space="preserve"> </w:t>
      </w:r>
      <w:r w:rsidRPr="000749B2">
        <w:rPr>
          <w:rFonts w:ascii="Book Antiqua" w:hAnsi="Book Antiqua"/>
          <w:b/>
          <w:color w:val="000000" w:themeColor="text1"/>
          <w:sz w:val="24"/>
          <w:szCs w:val="24"/>
        </w:rPr>
        <w:t>L- Editor:</w:t>
      </w:r>
      <w:r w:rsidR="00374A60" w:rsidRPr="000749B2">
        <w:rPr>
          <w:rFonts w:ascii="Book Antiqua" w:hAnsi="Book Antiqua" w:hint="eastAsia"/>
          <w:b/>
          <w:color w:val="000000" w:themeColor="text1"/>
          <w:sz w:val="24"/>
          <w:szCs w:val="24"/>
          <w:lang w:eastAsia="zh-CN"/>
        </w:rPr>
        <w:t xml:space="preserve"> </w:t>
      </w:r>
      <w:proofErr w:type="gramStart"/>
      <w:r w:rsidR="00374A60" w:rsidRPr="000749B2">
        <w:rPr>
          <w:rFonts w:ascii="Book Antiqua" w:hAnsi="Book Antiqua" w:hint="eastAsia"/>
          <w:color w:val="000000" w:themeColor="text1"/>
          <w:sz w:val="24"/>
          <w:szCs w:val="24"/>
          <w:lang w:eastAsia="zh-CN"/>
        </w:rPr>
        <w:t>A</w:t>
      </w:r>
      <w:proofErr w:type="gramEnd"/>
      <w:r w:rsidR="00374A60" w:rsidRPr="000749B2">
        <w:rPr>
          <w:rFonts w:ascii="Book Antiqua" w:hAnsi="Book Antiqua" w:hint="eastAsia"/>
          <w:b/>
          <w:color w:val="000000" w:themeColor="text1"/>
          <w:sz w:val="24"/>
          <w:szCs w:val="24"/>
          <w:lang w:eastAsia="zh-CN"/>
        </w:rPr>
        <w:t xml:space="preserve"> A</w:t>
      </w:r>
      <w:r w:rsidRPr="000749B2">
        <w:rPr>
          <w:rFonts w:ascii="Book Antiqua" w:hAnsi="Book Antiqua"/>
          <w:color w:val="000000" w:themeColor="text1"/>
          <w:sz w:val="24"/>
          <w:szCs w:val="24"/>
        </w:rPr>
        <w:t xml:space="preserve"> </w:t>
      </w:r>
      <w:r w:rsidRPr="000749B2">
        <w:rPr>
          <w:rFonts w:ascii="Book Antiqua" w:hAnsi="Book Antiqua"/>
          <w:b/>
          <w:color w:val="000000" w:themeColor="text1"/>
          <w:sz w:val="24"/>
          <w:szCs w:val="24"/>
        </w:rPr>
        <w:t>E- Editor:</w:t>
      </w:r>
      <w:r w:rsidR="00374A60" w:rsidRPr="000749B2">
        <w:rPr>
          <w:rFonts w:ascii="Book Antiqua" w:hAnsi="Book Antiqua" w:hint="eastAsia"/>
          <w:b/>
          <w:color w:val="000000" w:themeColor="text1"/>
          <w:sz w:val="24"/>
          <w:szCs w:val="24"/>
          <w:lang w:eastAsia="zh-CN"/>
        </w:rPr>
        <w:t xml:space="preserve"> </w:t>
      </w:r>
      <w:r w:rsidR="00374A60" w:rsidRPr="000749B2">
        <w:rPr>
          <w:rFonts w:ascii="Book Antiqua" w:hAnsi="Book Antiqua" w:hint="eastAsia"/>
          <w:color w:val="000000" w:themeColor="text1"/>
          <w:sz w:val="24"/>
          <w:szCs w:val="24"/>
          <w:lang w:eastAsia="zh-CN"/>
        </w:rPr>
        <w:t>Ma YJ</w:t>
      </w:r>
    </w:p>
    <w:p w14:paraId="7CBFF906" w14:textId="77777777" w:rsidR="00AE58BD" w:rsidRPr="000749B2" w:rsidRDefault="00AE58BD" w:rsidP="000B4309">
      <w:pPr>
        <w:spacing w:after="0" w:line="360" w:lineRule="auto"/>
        <w:jc w:val="both"/>
        <w:rPr>
          <w:rFonts w:ascii="Book Antiqua" w:hAnsi="Book Antiqua"/>
          <w:b/>
          <w:color w:val="000000" w:themeColor="text1"/>
          <w:sz w:val="24"/>
          <w:szCs w:val="24"/>
        </w:rPr>
      </w:pPr>
      <w:r w:rsidRPr="000749B2">
        <w:rPr>
          <w:rFonts w:ascii="Book Antiqua" w:hAnsi="Book Antiqua"/>
          <w:b/>
          <w:color w:val="000000" w:themeColor="text1"/>
          <w:sz w:val="24"/>
          <w:szCs w:val="24"/>
        </w:rPr>
        <w:br w:type="page"/>
      </w:r>
    </w:p>
    <w:p w14:paraId="310E3215" w14:textId="32338B20" w:rsidR="00AE58BD" w:rsidRPr="000749B2" w:rsidRDefault="00AE58BD" w:rsidP="000B4309">
      <w:pPr>
        <w:adjustRightInd w:val="0"/>
        <w:snapToGrid w:val="0"/>
        <w:spacing w:after="0" w:line="360" w:lineRule="auto"/>
        <w:jc w:val="both"/>
        <w:rPr>
          <w:rFonts w:ascii="Book Antiqua" w:hAnsi="Book Antiqua"/>
          <w:b/>
          <w:color w:val="000000" w:themeColor="text1"/>
          <w:sz w:val="24"/>
          <w:szCs w:val="24"/>
        </w:rPr>
      </w:pPr>
      <w:r w:rsidRPr="000749B2">
        <w:rPr>
          <w:rFonts w:ascii="Book Antiqua" w:hAnsi="Book Antiqua"/>
          <w:b/>
          <w:color w:val="000000" w:themeColor="text1"/>
          <w:sz w:val="24"/>
          <w:szCs w:val="24"/>
        </w:rPr>
        <w:lastRenderedPageBreak/>
        <w:t>Figure Legends</w:t>
      </w:r>
    </w:p>
    <w:p w14:paraId="5CEFC70F" w14:textId="2292DC7A" w:rsidR="00E22C42" w:rsidRPr="000749B2" w:rsidRDefault="00E22C42" w:rsidP="000B4309">
      <w:pPr>
        <w:adjustRightInd w:val="0"/>
        <w:snapToGrid w:val="0"/>
        <w:spacing w:after="0" w:line="360" w:lineRule="auto"/>
        <w:jc w:val="both"/>
        <w:rPr>
          <w:rFonts w:ascii="Book Antiqua" w:eastAsia="宋体" w:hAnsi="Book Antiqua"/>
          <w:b/>
          <w:color w:val="000000" w:themeColor="text1"/>
          <w:sz w:val="24"/>
          <w:szCs w:val="24"/>
          <w:lang w:eastAsia="zh-CN"/>
        </w:rPr>
      </w:pPr>
      <w:r w:rsidRPr="000749B2">
        <w:rPr>
          <w:rFonts w:ascii="Book Antiqua" w:eastAsia="宋体" w:hAnsi="Book Antiqua"/>
          <w:b/>
          <w:noProof/>
          <w:color w:val="000000" w:themeColor="text1"/>
          <w:sz w:val="24"/>
          <w:szCs w:val="24"/>
          <w:lang w:eastAsia="zh-CN"/>
        </w:rPr>
        <w:drawing>
          <wp:inline distT="0" distB="0" distL="0" distR="0" wp14:anchorId="7720F74E" wp14:editId="69492F84">
            <wp:extent cx="5731510" cy="3817554"/>
            <wp:effectExtent l="0" t="0" r="0" b="0"/>
            <wp:docPr id="319" name="Grafik 3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16FB918-73E9-4E63-A131-3A32E5AF4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Grafik 3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16FB918-73E9-4E63-A131-3A32E5AF4350}"/>
                        </a:ext>
                      </a:extLst>
                    </pic:cNvPr>
                    <pic:cNvPicPr>
                      <a:picLocks noChangeAspect="1"/>
                    </pic:cNvPicPr>
                  </pic:nvPicPr>
                  <pic:blipFill>
                    <a:blip r:embed="rId9"/>
                    <a:stretch>
                      <a:fillRect/>
                    </a:stretch>
                  </pic:blipFill>
                  <pic:spPr>
                    <a:xfrm>
                      <a:off x="0" y="0"/>
                      <a:ext cx="5731510" cy="3817554"/>
                    </a:xfrm>
                    <a:prstGeom prst="rect">
                      <a:avLst/>
                    </a:prstGeom>
                  </pic:spPr>
                </pic:pic>
              </a:graphicData>
            </a:graphic>
          </wp:inline>
        </w:drawing>
      </w:r>
    </w:p>
    <w:p w14:paraId="0C0B291D" w14:textId="3317CB56" w:rsidR="00DD4D2B" w:rsidRPr="000749B2" w:rsidRDefault="00AE58BD" w:rsidP="000B4309">
      <w:pPr>
        <w:adjustRightInd w:val="0"/>
        <w:snapToGrid w:val="0"/>
        <w:spacing w:after="0" w:line="360" w:lineRule="auto"/>
        <w:jc w:val="both"/>
        <w:rPr>
          <w:rFonts w:ascii="Book Antiqua" w:hAnsi="Book Antiqua"/>
          <w:b/>
          <w:color w:val="000000" w:themeColor="text1"/>
          <w:sz w:val="24"/>
          <w:szCs w:val="24"/>
        </w:rPr>
      </w:pPr>
      <w:r w:rsidRPr="000749B2">
        <w:rPr>
          <w:rFonts w:ascii="Book Antiqua" w:hAnsi="Book Antiqua"/>
          <w:b/>
          <w:bCs/>
          <w:color w:val="000000" w:themeColor="text1"/>
          <w:sz w:val="24"/>
          <w:szCs w:val="24"/>
        </w:rPr>
        <w:t>Figure 1</w:t>
      </w:r>
      <w:r w:rsidR="00DD4D2B" w:rsidRPr="000749B2">
        <w:rPr>
          <w:rFonts w:ascii="Book Antiqua" w:hAnsi="Book Antiqua"/>
          <w:b/>
          <w:bCs/>
          <w:color w:val="000000" w:themeColor="text1"/>
          <w:sz w:val="24"/>
          <w:szCs w:val="24"/>
        </w:rPr>
        <w:t xml:space="preserve"> Overview of the frequently altered pathways in </w:t>
      </w:r>
      <w:r w:rsidR="000B4309" w:rsidRPr="000749B2">
        <w:rPr>
          <w:rFonts w:ascii="Book Antiqua" w:eastAsia="Times New Roman" w:hAnsi="Book Antiqua" w:cs="Times New Roman"/>
          <w:b/>
          <w:bCs/>
          <w:color w:val="000000" w:themeColor="text1"/>
          <w:sz w:val="24"/>
          <w:szCs w:val="24"/>
        </w:rPr>
        <w:t>colorectal cancer</w:t>
      </w:r>
      <w:r w:rsidR="00DD4D2B" w:rsidRPr="000749B2">
        <w:rPr>
          <w:rFonts w:ascii="Book Antiqua" w:hAnsi="Book Antiqua"/>
          <w:b/>
          <w:bCs/>
          <w:color w:val="000000" w:themeColor="text1"/>
          <w:sz w:val="24"/>
          <w:szCs w:val="24"/>
        </w:rPr>
        <w:t xml:space="preserve">. </w:t>
      </w:r>
      <w:r w:rsidR="00DD4D2B" w:rsidRPr="000749B2">
        <w:rPr>
          <w:rFonts w:ascii="Book Antiqua" w:hAnsi="Book Antiqua"/>
          <w:color w:val="000000" w:themeColor="text1"/>
          <w:sz w:val="24"/>
          <w:szCs w:val="24"/>
        </w:rPr>
        <w:t xml:space="preserve">The numbers in square brackets label the corresponding </w:t>
      </w:r>
      <w:r w:rsidR="00EB5C99" w:rsidRPr="000749B2">
        <w:rPr>
          <w:rFonts w:ascii="Book Antiqua" w:hAnsi="Book Antiqua"/>
          <w:color w:val="000000" w:themeColor="text1"/>
          <w:sz w:val="24"/>
          <w:szCs w:val="24"/>
        </w:rPr>
        <w:t>model descriptions as given</w:t>
      </w:r>
      <w:r w:rsidR="00DD4D2B" w:rsidRPr="000749B2">
        <w:rPr>
          <w:rFonts w:ascii="Book Antiqua" w:hAnsi="Book Antiqua"/>
          <w:color w:val="000000" w:themeColor="text1"/>
          <w:sz w:val="24"/>
          <w:szCs w:val="24"/>
        </w:rPr>
        <w:t xml:space="preserve"> in Table 1.</w:t>
      </w:r>
      <w:r w:rsidR="0020504F" w:rsidRPr="000749B2">
        <w:rPr>
          <w:rFonts w:ascii="Book Antiqua" w:hAnsi="Book Antiqua"/>
          <w:color w:val="000000" w:themeColor="text1"/>
          <w:sz w:val="24"/>
          <w:szCs w:val="24"/>
        </w:rPr>
        <w:t xml:space="preserve"> </w:t>
      </w:r>
    </w:p>
    <w:p w14:paraId="1AB3A43F" w14:textId="77777777" w:rsidR="00AE58BD" w:rsidRPr="000749B2" w:rsidRDefault="00AE58BD" w:rsidP="000B4309">
      <w:pPr>
        <w:spacing w:after="0"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br w:type="page"/>
      </w:r>
    </w:p>
    <w:p w14:paraId="39F6B4F8" w14:textId="73308FA5" w:rsidR="005C13D0" w:rsidRPr="000749B2" w:rsidRDefault="00E22C42" w:rsidP="000B4309">
      <w:pPr>
        <w:spacing w:after="0" w:line="360" w:lineRule="auto"/>
        <w:jc w:val="both"/>
        <w:rPr>
          <w:rFonts w:ascii="Book Antiqua" w:hAnsi="Book Antiqua"/>
          <w:color w:val="000000" w:themeColor="text1"/>
          <w:sz w:val="24"/>
          <w:szCs w:val="24"/>
        </w:rPr>
      </w:pPr>
      <w:r w:rsidRPr="000749B2">
        <w:rPr>
          <w:rFonts w:ascii="Book Antiqua" w:hAnsi="Book Antiqua"/>
          <w:noProof/>
          <w:color w:val="000000" w:themeColor="text1"/>
          <w:sz w:val="24"/>
          <w:szCs w:val="24"/>
          <w:lang w:eastAsia="zh-CN"/>
        </w:rPr>
        <w:lastRenderedPageBreak/>
        <w:drawing>
          <wp:inline distT="0" distB="0" distL="0" distR="0" wp14:anchorId="25F97338" wp14:editId="4F3681B2">
            <wp:extent cx="5731510" cy="3446462"/>
            <wp:effectExtent l="0" t="0" r="2540" b="0"/>
            <wp:docPr id="56" name="Grafik 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E2823C0-3168-4CDA-B640-2143D6220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E2823C0-3168-4CDA-B640-2143D6220983}"/>
                        </a:ext>
                      </a:extLst>
                    </pic:cNvPr>
                    <pic:cNvPicPr>
                      <a:picLocks noChangeAspect="1"/>
                    </pic:cNvPicPr>
                  </pic:nvPicPr>
                  <pic:blipFill>
                    <a:blip r:embed="rId10"/>
                    <a:stretch>
                      <a:fillRect/>
                    </a:stretch>
                  </pic:blipFill>
                  <pic:spPr>
                    <a:xfrm>
                      <a:off x="0" y="0"/>
                      <a:ext cx="5731510" cy="3446462"/>
                    </a:xfrm>
                    <a:prstGeom prst="rect">
                      <a:avLst/>
                    </a:prstGeom>
                  </pic:spPr>
                </pic:pic>
              </a:graphicData>
            </a:graphic>
          </wp:inline>
        </w:drawing>
      </w:r>
    </w:p>
    <w:p w14:paraId="2B3BD140" w14:textId="7A9AEDC9" w:rsidR="005C13D0" w:rsidRPr="000749B2" w:rsidRDefault="00DD4D2B" w:rsidP="000B4309">
      <w:pPr>
        <w:spacing w:after="0" w:line="360" w:lineRule="auto"/>
        <w:jc w:val="both"/>
        <w:rPr>
          <w:rFonts w:ascii="Book Antiqua" w:hAnsi="Book Antiqua"/>
          <w:color w:val="000000" w:themeColor="text1"/>
          <w:sz w:val="24"/>
          <w:szCs w:val="24"/>
        </w:rPr>
      </w:pPr>
      <w:r w:rsidRPr="000749B2">
        <w:rPr>
          <w:rFonts w:ascii="Book Antiqua" w:hAnsi="Book Antiqua"/>
          <w:b/>
          <w:bCs/>
          <w:color w:val="000000" w:themeColor="text1"/>
          <w:sz w:val="24"/>
          <w:szCs w:val="24"/>
        </w:rPr>
        <w:t>Fig</w:t>
      </w:r>
      <w:r w:rsidR="00AE58BD" w:rsidRPr="000749B2">
        <w:rPr>
          <w:rFonts w:ascii="Book Antiqua" w:hAnsi="Book Antiqua"/>
          <w:b/>
          <w:bCs/>
          <w:color w:val="000000" w:themeColor="text1"/>
          <w:sz w:val="24"/>
          <w:szCs w:val="24"/>
        </w:rPr>
        <w:t xml:space="preserve">ure </w:t>
      </w:r>
      <w:r w:rsidRPr="000749B2">
        <w:rPr>
          <w:rFonts w:ascii="Book Antiqua" w:hAnsi="Book Antiqua"/>
          <w:b/>
          <w:bCs/>
          <w:color w:val="000000" w:themeColor="text1"/>
          <w:sz w:val="24"/>
          <w:szCs w:val="24"/>
        </w:rPr>
        <w:t xml:space="preserve">2 After surgery, a small sample of the tumor, which is not needed for pathological diagnosis, is obtained and </w:t>
      </w:r>
      <w:r w:rsidR="003B52EA" w:rsidRPr="000749B2">
        <w:rPr>
          <w:rFonts w:ascii="Book Antiqua" w:hAnsi="Book Antiqua"/>
          <w:b/>
          <w:bCs/>
          <w:color w:val="000000" w:themeColor="text1"/>
          <w:sz w:val="24"/>
          <w:szCs w:val="24"/>
        </w:rPr>
        <w:t>cut into</w:t>
      </w:r>
      <w:r w:rsidRPr="000749B2">
        <w:rPr>
          <w:rFonts w:ascii="Book Antiqua" w:hAnsi="Book Antiqua"/>
          <w:b/>
          <w:bCs/>
          <w:color w:val="000000" w:themeColor="text1"/>
          <w:sz w:val="24"/>
          <w:szCs w:val="24"/>
        </w:rPr>
        <w:t xml:space="preserve"> pieces of </w:t>
      </w:r>
      <w:r w:rsidR="003B52EA" w:rsidRPr="000749B2">
        <w:rPr>
          <w:rFonts w:ascii="Book Antiqua" w:hAnsi="Book Antiqua"/>
          <w:b/>
          <w:bCs/>
          <w:color w:val="000000" w:themeColor="text1"/>
          <w:sz w:val="24"/>
          <w:szCs w:val="24"/>
        </w:rPr>
        <w:t xml:space="preserve">27 </w:t>
      </w:r>
      <w:r w:rsidRPr="000749B2">
        <w:rPr>
          <w:rFonts w:ascii="Book Antiqua" w:hAnsi="Book Antiqua"/>
          <w:b/>
          <w:bCs/>
          <w:color w:val="000000" w:themeColor="text1"/>
          <w:sz w:val="24"/>
          <w:szCs w:val="24"/>
        </w:rPr>
        <w:t>mm</w:t>
      </w:r>
      <w:r w:rsidRPr="000749B2">
        <w:rPr>
          <w:rFonts w:ascii="Book Antiqua" w:hAnsi="Book Antiqua"/>
          <w:b/>
          <w:bCs/>
          <w:color w:val="000000" w:themeColor="text1"/>
          <w:sz w:val="24"/>
          <w:szCs w:val="24"/>
          <w:vertAlign w:val="superscript"/>
        </w:rPr>
        <w:t>3</w:t>
      </w:r>
      <w:r w:rsidRPr="000749B2">
        <w:rPr>
          <w:rFonts w:ascii="Book Antiqua" w:hAnsi="Book Antiqua"/>
          <w:b/>
          <w:bCs/>
          <w:color w:val="000000" w:themeColor="text1"/>
          <w:sz w:val="24"/>
          <w:szCs w:val="24"/>
        </w:rPr>
        <w:t xml:space="preserve">. </w:t>
      </w:r>
      <w:r w:rsidRPr="000749B2">
        <w:rPr>
          <w:rFonts w:ascii="Book Antiqua" w:hAnsi="Book Antiqua"/>
          <w:color w:val="000000" w:themeColor="text1"/>
          <w:sz w:val="24"/>
          <w:szCs w:val="24"/>
        </w:rPr>
        <w:t xml:space="preserve">These can be either implanted immediately </w:t>
      </w:r>
      <w:r w:rsidR="003B52EA" w:rsidRPr="000749B2">
        <w:rPr>
          <w:rFonts w:ascii="Book Antiqua" w:hAnsi="Book Antiqua"/>
          <w:color w:val="000000" w:themeColor="text1"/>
          <w:sz w:val="24"/>
          <w:szCs w:val="24"/>
        </w:rPr>
        <w:t xml:space="preserve">in </w:t>
      </w:r>
      <w:r w:rsidRPr="000749B2">
        <w:rPr>
          <w:rFonts w:ascii="Book Antiqua" w:hAnsi="Book Antiqua"/>
          <w:color w:val="000000" w:themeColor="text1"/>
          <w:sz w:val="24"/>
          <w:szCs w:val="24"/>
        </w:rPr>
        <w:t xml:space="preserve">recipient mice or </w:t>
      </w:r>
      <w:r w:rsidR="003B52EA" w:rsidRPr="000749B2">
        <w:rPr>
          <w:rFonts w:ascii="Book Antiqua" w:hAnsi="Book Antiqua"/>
          <w:color w:val="000000" w:themeColor="text1"/>
          <w:sz w:val="24"/>
          <w:szCs w:val="24"/>
        </w:rPr>
        <w:t xml:space="preserve">vitally </w:t>
      </w:r>
      <w:r w:rsidRPr="000749B2">
        <w:rPr>
          <w:rFonts w:ascii="Book Antiqua" w:hAnsi="Book Antiqua"/>
          <w:color w:val="000000" w:themeColor="text1"/>
          <w:sz w:val="24"/>
          <w:szCs w:val="24"/>
        </w:rPr>
        <w:t>cryo</w:t>
      </w:r>
      <w:r w:rsidR="00387B51" w:rsidRPr="000749B2">
        <w:rPr>
          <w:rFonts w:ascii="Book Antiqua" w:hAnsi="Book Antiqua"/>
          <w:color w:val="000000" w:themeColor="text1"/>
          <w:sz w:val="24"/>
          <w:szCs w:val="24"/>
        </w:rPr>
        <w:t>pre</w:t>
      </w:r>
      <w:r w:rsidRPr="000749B2">
        <w:rPr>
          <w:rFonts w:ascii="Book Antiqua" w:hAnsi="Book Antiqua"/>
          <w:color w:val="000000" w:themeColor="text1"/>
          <w:sz w:val="24"/>
          <w:szCs w:val="24"/>
        </w:rPr>
        <w:t>served in liquid nitrogen.</w:t>
      </w:r>
      <w:r w:rsidR="00387B51" w:rsidRPr="000749B2">
        <w:rPr>
          <w:rFonts w:ascii="Book Antiqua" w:hAnsi="Book Antiqua"/>
          <w:color w:val="000000" w:themeColor="text1"/>
          <w:sz w:val="24"/>
          <w:szCs w:val="24"/>
        </w:rPr>
        <w:t xml:space="preserve"> The resulting </w:t>
      </w:r>
      <w:r w:rsidR="000B4309" w:rsidRPr="000749B2">
        <w:rPr>
          <w:rFonts w:ascii="Book Antiqua" w:hAnsi="Book Antiqua"/>
          <w:color w:val="000000" w:themeColor="text1"/>
          <w:sz w:val="24"/>
          <w:szCs w:val="24"/>
        </w:rPr>
        <w:t xml:space="preserve">patient-derived xenograft </w:t>
      </w:r>
      <w:r w:rsidR="00387B51" w:rsidRPr="000749B2">
        <w:rPr>
          <w:rFonts w:ascii="Book Antiqua" w:hAnsi="Book Antiqua"/>
          <w:color w:val="000000" w:themeColor="text1"/>
          <w:sz w:val="24"/>
          <w:szCs w:val="24"/>
        </w:rPr>
        <w:t xml:space="preserve">(b) closely </w:t>
      </w:r>
      <w:r w:rsidR="003B52EA" w:rsidRPr="000749B2">
        <w:rPr>
          <w:rFonts w:ascii="Book Antiqua" w:hAnsi="Book Antiqua"/>
          <w:color w:val="000000" w:themeColor="text1"/>
          <w:sz w:val="24"/>
          <w:szCs w:val="24"/>
        </w:rPr>
        <w:t xml:space="preserve">reflects </w:t>
      </w:r>
      <w:r w:rsidR="00387B51" w:rsidRPr="000749B2">
        <w:rPr>
          <w:rFonts w:ascii="Book Antiqua" w:hAnsi="Book Antiqua"/>
          <w:color w:val="000000" w:themeColor="text1"/>
          <w:sz w:val="24"/>
          <w:szCs w:val="24"/>
        </w:rPr>
        <w:t>the histology of the donor tumor (a)</w:t>
      </w:r>
      <w:r w:rsidR="007C233E" w:rsidRPr="000749B2">
        <w:rPr>
          <w:rFonts w:ascii="Book Antiqua" w:hAnsi="Book Antiqua"/>
          <w:color w:val="000000" w:themeColor="text1"/>
          <w:sz w:val="24"/>
          <w:szCs w:val="24"/>
        </w:rPr>
        <w:t xml:space="preserve"> (</w:t>
      </w:r>
      <w:r w:rsidR="00387B51" w:rsidRPr="000749B2">
        <w:rPr>
          <w:rFonts w:ascii="Book Antiqua" w:hAnsi="Book Antiqua"/>
          <w:color w:val="000000" w:themeColor="text1"/>
          <w:sz w:val="24"/>
          <w:szCs w:val="24"/>
        </w:rPr>
        <w:t xml:space="preserve">Previously published </w:t>
      </w:r>
      <w:proofErr w:type="gramStart"/>
      <w:r w:rsidR="00387B51" w:rsidRPr="000749B2">
        <w:rPr>
          <w:rFonts w:ascii="Book Antiqua" w:hAnsi="Book Antiqua"/>
          <w:color w:val="000000" w:themeColor="text1"/>
          <w:sz w:val="24"/>
          <w:szCs w:val="24"/>
        </w:rPr>
        <w:t>in</w:t>
      </w:r>
      <w:r w:rsidR="00C42D1B" w:rsidRPr="000749B2">
        <w:rPr>
          <w:rFonts w:ascii="Book Antiqua" w:hAnsi="Book Antiqua"/>
          <w:color w:val="000000" w:themeColor="text1"/>
          <w:sz w:val="24"/>
          <w:szCs w:val="24"/>
          <w:vertAlign w:val="superscript"/>
        </w:rPr>
        <w:t>[</w:t>
      </w:r>
      <w:proofErr w:type="gramEnd"/>
      <w:r w:rsidR="00C42D1B" w:rsidRPr="000749B2">
        <w:rPr>
          <w:rFonts w:ascii="Book Antiqua" w:hAnsi="Book Antiqua"/>
          <w:color w:val="000000" w:themeColor="text1"/>
          <w:sz w:val="24"/>
          <w:szCs w:val="24"/>
          <w:vertAlign w:val="superscript"/>
        </w:rPr>
        <w:t>229]</w:t>
      </w:r>
      <w:r w:rsidR="007C233E" w:rsidRPr="000749B2">
        <w:rPr>
          <w:rFonts w:ascii="Book Antiqua" w:hAnsi="Book Antiqua"/>
          <w:color w:val="000000" w:themeColor="text1"/>
          <w:sz w:val="24"/>
          <w:szCs w:val="24"/>
        </w:rPr>
        <w:t>)</w:t>
      </w:r>
      <w:r w:rsidR="00387B51" w:rsidRPr="000749B2">
        <w:rPr>
          <w:rFonts w:ascii="Book Antiqua" w:hAnsi="Book Antiqua"/>
          <w:color w:val="000000" w:themeColor="text1"/>
          <w:sz w:val="24"/>
          <w:szCs w:val="24"/>
        </w:rPr>
        <w:t xml:space="preserve">. </w:t>
      </w:r>
      <w:r w:rsidR="000B4309" w:rsidRPr="000749B2">
        <w:rPr>
          <w:rFonts w:ascii="Book Antiqua" w:hAnsi="Book Antiqua"/>
          <w:color w:val="000000" w:themeColor="text1"/>
          <w:sz w:val="24"/>
          <w:szCs w:val="24"/>
        </w:rPr>
        <w:t xml:space="preserve">Patient-derived xenograft </w:t>
      </w:r>
      <w:r w:rsidR="00387B51" w:rsidRPr="000749B2">
        <w:rPr>
          <w:rFonts w:ascii="Book Antiqua" w:hAnsi="Book Antiqua"/>
          <w:color w:val="000000" w:themeColor="text1"/>
          <w:sz w:val="24"/>
          <w:szCs w:val="24"/>
        </w:rPr>
        <w:t xml:space="preserve">can be further processed for subsequent implantation or cryopreservation. </w:t>
      </w:r>
    </w:p>
    <w:p w14:paraId="71A22F34" w14:textId="77777777" w:rsidR="00AE58BD" w:rsidRPr="000749B2" w:rsidRDefault="00AE58BD" w:rsidP="000B4309">
      <w:pPr>
        <w:spacing w:after="0" w:line="360" w:lineRule="auto"/>
        <w:jc w:val="both"/>
        <w:rPr>
          <w:rFonts w:ascii="Book Antiqua" w:eastAsiaTheme="majorEastAsia" w:hAnsi="Book Antiqua" w:cstheme="majorBidi"/>
          <w:color w:val="000000" w:themeColor="text1"/>
          <w:sz w:val="24"/>
          <w:szCs w:val="24"/>
        </w:rPr>
      </w:pPr>
      <w:r w:rsidRPr="000749B2">
        <w:rPr>
          <w:rFonts w:ascii="Book Antiqua" w:hAnsi="Book Antiqua"/>
          <w:color w:val="000000" w:themeColor="text1"/>
          <w:sz w:val="24"/>
          <w:szCs w:val="24"/>
        </w:rPr>
        <w:br w:type="page"/>
      </w:r>
    </w:p>
    <w:p w14:paraId="144414E3" w14:textId="097E16BF" w:rsidR="00CB43EF" w:rsidRPr="000749B2" w:rsidRDefault="00CB43EF" w:rsidP="000B4309">
      <w:pPr>
        <w:pStyle w:val="21"/>
        <w:spacing w:before="0" w:line="360" w:lineRule="auto"/>
        <w:jc w:val="both"/>
        <w:rPr>
          <w:rFonts w:ascii="Book Antiqua" w:hAnsi="Book Antiqua"/>
          <w:b/>
          <w:bCs/>
          <w:color w:val="000000" w:themeColor="text1"/>
          <w:sz w:val="24"/>
          <w:szCs w:val="24"/>
        </w:rPr>
      </w:pPr>
      <w:r w:rsidRPr="000749B2">
        <w:rPr>
          <w:rFonts w:ascii="Book Antiqua" w:hAnsi="Book Antiqua"/>
          <w:b/>
          <w:bCs/>
          <w:color w:val="000000" w:themeColor="text1"/>
          <w:sz w:val="24"/>
          <w:szCs w:val="24"/>
        </w:rPr>
        <w:lastRenderedPageBreak/>
        <w:t xml:space="preserve">Table </w:t>
      </w:r>
      <w:proofErr w:type="gramStart"/>
      <w:r w:rsidRPr="000749B2">
        <w:rPr>
          <w:rFonts w:ascii="Book Antiqua" w:hAnsi="Book Antiqua"/>
          <w:b/>
          <w:bCs/>
          <w:color w:val="000000" w:themeColor="text1"/>
          <w:sz w:val="24"/>
          <w:szCs w:val="24"/>
        </w:rPr>
        <w:t>1</w:t>
      </w:r>
      <w:r w:rsidR="00207D8B" w:rsidRPr="000749B2">
        <w:rPr>
          <w:rFonts w:ascii="Book Antiqua" w:hAnsi="Book Antiqua" w:hint="eastAsia"/>
          <w:b/>
          <w:bCs/>
          <w:color w:val="000000" w:themeColor="text1"/>
          <w:sz w:val="24"/>
          <w:szCs w:val="24"/>
          <w:lang w:eastAsia="zh-CN"/>
        </w:rPr>
        <w:t xml:space="preserve"> </w:t>
      </w:r>
      <w:r w:rsidRPr="000749B2">
        <w:rPr>
          <w:rFonts w:ascii="Book Antiqua" w:hAnsi="Book Antiqua"/>
          <w:b/>
          <w:bCs/>
          <w:color w:val="000000" w:themeColor="text1"/>
          <w:sz w:val="24"/>
          <w:szCs w:val="24"/>
        </w:rPr>
        <w:t xml:space="preserve"> Overview</w:t>
      </w:r>
      <w:proofErr w:type="gramEnd"/>
      <w:r w:rsidRPr="000749B2">
        <w:rPr>
          <w:rFonts w:ascii="Book Antiqua" w:hAnsi="Book Antiqua"/>
          <w:b/>
          <w:bCs/>
          <w:color w:val="000000" w:themeColor="text1"/>
          <w:sz w:val="24"/>
          <w:szCs w:val="24"/>
        </w:rPr>
        <w:t xml:space="preserve"> of genetically engineered mouse models</w:t>
      </w:r>
    </w:p>
    <w:tbl>
      <w:tblPr>
        <w:tblStyle w:val="Tabellenraster1"/>
        <w:tblW w:w="8995" w:type="dxa"/>
        <w:tblLook w:val="04A0" w:firstRow="1" w:lastRow="0" w:firstColumn="1" w:lastColumn="0" w:noHBand="0" w:noVBand="1"/>
      </w:tblPr>
      <w:tblGrid>
        <w:gridCol w:w="989"/>
        <w:gridCol w:w="1249"/>
        <w:gridCol w:w="3472"/>
        <w:gridCol w:w="3285"/>
      </w:tblGrid>
      <w:tr w:rsidR="00CB43EF" w:rsidRPr="000749B2" w14:paraId="45C2C01B" w14:textId="77777777" w:rsidTr="00207D8B">
        <w:tc>
          <w:tcPr>
            <w:tcW w:w="989" w:type="dxa"/>
          </w:tcPr>
          <w:p w14:paraId="212E6B26" w14:textId="60C73129" w:rsidR="00CB43EF" w:rsidRPr="000749B2" w:rsidRDefault="00CB43EF" w:rsidP="000B4309">
            <w:pPr>
              <w:spacing w:line="360" w:lineRule="auto"/>
              <w:jc w:val="both"/>
              <w:rPr>
                <w:rFonts w:ascii="Book Antiqua" w:hAnsi="Book Antiqua"/>
                <w:b/>
                <w:bCs/>
                <w:color w:val="000000" w:themeColor="text1"/>
                <w:sz w:val="24"/>
                <w:szCs w:val="24"/>
              </w:rPr>
            </w:pPr>
            <w:r w:rsidRPr="000749B2">
              <w:rPr>
                <w:rFonts w:ascii="Book Antiqua" w:hAnsi="Book Antiqua"/>
                <w:b/>
                <w:bCs/>
                <w:color w:val="000000" w:themeColor="text1"/>
                <w:sz w:val="24"/>
                <w:szCs w:val="24"/>
              </w:rPr>
              <w:t>Link to Fig</w:t>
            </w:r>
            <w:r w:rsidR="001734B0" w:rsidRPr="000749B2">
              <w:rPr>
                <w:rFonts w:ascii="Book Antiqua" w:hAnsi="Book Antiqua"/>
                <w:b/>
                <w:bCs/>
                <w:color w:val="000000" w:themeColor="text1"/>
                <w:sz w:val="24"/>
                <w:szCs w:val="24"/>
                <w:lang w:eastAsia="zh-CN"/>
              </w:rPr>
              <w:t>ure</w:t>
            </w:r>
            <w:r w:rsidRPr="000749B2">
              <w:rPr>
                <w:rFonts w:ascii="Book Antiqua" w:hAnsi="Book Antiqua"/>
                <w:b/>
                <w:bCs/>
                <w:color w:val="000000" w:themeColor="text1"/>
                <w:sz w:val="24"/>
                <w:szCs w:val="24"/>
              </w:rPr>
              <w:t xml:space="preserve"> 1</w:t>
            </w:r>
          </w:p>
        </w:tc>
        <w:tc>
          <w:tcPr>
            <w:tcW w:w="1249" w:type="dxa"/>
          </w:tcPr>
          <w:p w14:paraId="0CD1676D" w14:textId="7C73F24F" w:rsidR="00CB43EF" w:rsidRPr="000749B2" w:rsidRDefault="007B48CC" w:rsidP="000B4309">
            <w:pPr>
              <w:spacing w:line="360" w:lineRule="auto"/>
              <w:jc w:val="both"/>
              <w:rPr>
                <w:rFonts w:ascii="Book Antiqua" w:hAnsi="Book Antiqua"/>
                <w:b/>
                <w:bCs/>
                <w:color w:val="000000" w:themeColor="text1"/>
                <w:sz w:val="24"/>
                <w:szCs w:val="24"/>
              </w:rPr>
            </w:pPr>
            <w:r w:rsidRPr="000749B2">
              <w:rPr>
                <w:rFonts w:ascii="Book Antiqua" w:hAnsi="Book Antiqua"/>
                <w:b/>
                <w:bCs/>
                <w:color w:val="000000" w:themeColor="text1"/>
                <w:sz w:val="24"/>
                <w:szCs w:val="24"/>
              </w:rPr>
              <w:t>Ref</w:t>
            </w:r>
            <w:r w:rsidR="00C42D1B" w:rsidRPr="000749B2">
              <w:rPr>
                <w:rFonts w:ascii="Book Antiqua" w:hAnsi="Book Antiqua"/>
                <w:b/>
                <w:bCs/>
                <w:color w:val="000000" w:themeColor="text1"/>
                <w:sz w:val="24"/>
                <w:szCs w:val="24"/>
              </w:rPr>
              <w:t>.</w:t>
            </w:r>
          </w:p>
        </w:tc>
        <w:tc>
          <w:tcPr>
            <w:tcW w:w="3472" w:type="dxa"/>
          </w:tcPr>
          <w:p w14:paraId="5879732C" w14:textId="77777777" w:rsidR="00CB43EF" w:rsidRPr="000749B2" w:rsidRDefault="00CB43EF" w:rsidP="000B4309">
            <w:pPr>
              <w:spacing w:line="360" w:lineRule="auto"/>
              <w:jc w:val="both"/>
              <w:rPr>
                <w:rFonts w:ascii="Book Antiqua" w:hAnsi="Book Antiqua"/>
                <w:b/>
                <w:bCs/>
                <w:color w:val="000000" w:themeColor="text1"/>
                <w:sz w:val="24"/>
                <w:szCs w:val="24"/>
              </w:rPr>
            </w:pPr>
            <w:r w:rsidRPr="000749B2">
              <w:rPr>
                <w:rFonts w:ascii="Book Antiqua" w:hAnsi="Book Antiqua"/>
                <w:b/>
                <w:bCs/>
                <w:color w:val="000000" w:themeColor="text1"/>
                <w:sz w:val="24"/>
                <w:szCs w:val="24"/>
              </w:rPr>
              <w:t>Methods</w:t>
            </w:r>
          </w:p>
        </w:tc>
        <w:tc>
          <w:tcPr>
            <w:tcW w:w="3285" w:type="dxa"/>
          </w:tcPr>
          <w:p w14:paraId="46445020" w14:textId="77777777" w:rsidR="00CB43EF" w:rsidRPr="000749B2" w:rsidRDefault="00CB43EF" w:rsidP="000B4309">
            <w:pPr>
              <w:spacing w:line="360" w:lineRule="auto"/>
              <w:jc w:val="both"/>
              <w:rPr>
                <w:rFonts w:ascii="Book Antiqua" w:hAnsi="Book Antiqua"/>
                <w:b/>
                <w:bCs/>
                <w:color w:val="000000" w:themeColor="text1"/>
                <w:sz w:val="24"/>
                <w:szCs w:val="24"/>
              </w:rPr>
            </w:pPr>
            <w:r w:rsidRPr="000749B2">
              <w:rPr>
                <w:rFonts w:ascii="Book Antiqua" w:hAnsi="Book Antiqua"/>
                <w:b/>
                <w:bCs/>
                <w:color w:val="000000" w:themeColor="text1"/>
                <w:sz w:val="24"/>
                <w:szCs w:val="24"/>
              </w:rPr>
              <w:t>Results</w:t>
            </w:r>
          </w:p>
        </w:tc>
      </w:tr>
      <w:tr w:rsidR="004E601A" w:rsidRPr="000749B2" w14:paraId="0F9D06CE" w14:textId="77777777" w:rsidTr="00207D8B">
        <w:trPr>
          <w:trHeight w:val="743"/>
        </w:trPr>
        <w:tc>
          <w:tcPr>
            <w:tcW w:w="989" w:type="dxa"/>
            <w:vMerge w:val="restart"/>
          </w:tcPr>
          <w:p w14:paraId="5B509589" w14:textId="77777777"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1</w:t>
            </w:r>
          </w:p>
        </w:tc>
        <w:tc>
          <w:tcPr>
            <w:tcW w:w="1249" w:type="dxa"/>
            <w:vMerge w:val="restart"/>
          </w:tcPr>
          <w:p w14:paraId="3D859EC8" w14:textId="10EE1766" w:rsidR="004E601A" w:rsidRPr="000749B2" w:rsidRDefault="004E601A"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[127]</w:t>
            </w:r>
          </w:p>
        </w:tc>
        <w:tc>
          <w:tcPr>
            <w:tcW w:w="3472" w:type="dxa"/>
          </w:tcPr>
          <w:p w14:paraId="2AE4CC40" w14:textId="79E5F4F9"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 xml:space="preserve">loxP </w:t>
            </w:r>
            <w:r w:rsidRPr="000749B2">
              <w:rPr>
                <w:rFonts w:ascii="Book Antiqua" w:hAnsi="Book Antiqua"/>
                <w:color w:val="000000" w:themeColor="text1"/>
                <w:sz w:val="24"/>
                <w:szCs w:val="24"/>
              </w:rPr>
              <w:t>flanked</w:t>
            </w:r>
            <w:r w:rsidRPr="000749B2">
              <w:rPr>
                <w:rFonts w:ascii="Book Antiqua" w:hAnsi="Book Antiqua"/>
                <w:i/>
                <w:iCs/>
                <w:color w:val="000000" w:themeColor="text1"/>
                <w:sz w:val="24"/>
                <w:szCs w:val="24"/>
              </w:rPr>
              <w:t xml:space="preserve"> Apc exon 14 (Apc580S)</w:t>
            </w:r>
          </w:p>
        </w:tc>
        <w:tc>
          <w:tcPr>
            <w:tcW w:w="3285" w:type="dxa"/>
            <w:vMerge w:val="restart"/>
          </w:tcPr>
          <w:p w14:paraId="267C74E4" w14:textId="3478D866"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Adenoma formation in the distal rectum in most of the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580S</w:t>
            </w:r>
            <w:r w:rsidRPr="000749B2">
              <w:rPr>
                <w:rFonts w:ascii="Book Antiqua" w:hAnsi="Book Antiqua"/>
                <w:color w:val="000000" w:themeColor="text1"/>
                <w:sz w:val="24"/>
                <w:szCs w:val="24"/>
              </w:rPr>
              <w:t xml:space="preserve"> homozygotes. 50% of animals show invasive adenocarcinoma after 1 yr without lymphatic or distant metastases</w:t>
            </w:r>
          </w:p>
        </w:tc>
      </w:tr>
      <w:tr w:rsidR="004E601A" w:rsidRPr="000749B2" w14:paraId="75E920DD" w14:textId="77777777" w:rsidTr="00207D8B">
        <w:trPr>
          <w:trHeight w:val="2295"/>
        </w:trPr>
        <w:tc>
          <w:tcPr>
            <w:tcW w:w="989" w:type="dxa"/>
            <w:vMerge/>
          </w:tcPr>
          <w:p w14:paraId="2B5E71B7" w14:textId="77777777" w:rsidR="004E601A" w:rsidRPr="000749B2" w:rsidRDefault="004E601A" w:rsidP="000B4309">
            <w:pPr>
              <w:spacing w:line="360" w:lineRule="auto"/>
              <w:jc w:val="both"/>
              <w:rPr>
                <w:rFonts w:ascii="Book Antiqua" w:hAnsi="Book Antiqua"/>
                <w:color w:val="000000" w:themeColor="text1"/>
                <w:sz w:val="24"/>
                <w:szCs w:val="24"/>
              </w:rPr>
            </w:pPr>
          </w:p>
        </w:tc>
        <w:tc>
          <w:tcPr>
            <w:tcW w:w="1249" w:type="dxa"/>
            <w:vMerge/>
          </w:tcPr>
          <w:p w14:paraId="613D550B" w14:textId="77777777" w:rsidR="004E601A" w:rsidRPr="000749B2" w:rsidRDefault="004E601A" w:rsidP="000B4309">
            <w:pPr>
              <w:spacing w:line="360" w:lineRule="auto"/>
              <w:jc w:val="both"/>
              <w:rPr>
                <w:rFonts w:ascii="Book Antiqua" w:hAnsi="Book Antiqua"/>
                <w:color w:val="000000" w:themeColor="text1"/>
                <w:sz w:val="24"/>
                <w:szCs w:val="24"/>
                <w:vertAlign w:val="superscript"/>
              </w:rPr>
            </w:pPr>
          </w:p>
        </w:tc>
        <w:tc>
          <w:tcPr>
            <w:tcW w:w="3472" w:type="dxa"/>
          </w:tcPr>
          <w:p w14:paraId="08F45F7D" w14:textId="029DC6F2" w:rsidR="004E601A" w:rsidRPr="000749B2" w:rsidRDefault="004E601A" w:rsidP="004E601A">
            <w:pPr>
              <w:spacing w:line="360" w:lineRule="auto"/>
              <w:jc w:val="both"/>
              <w:rPr>
                <w:rFonts w:ascii="Book Antiqua" w:hAnsi="Book Antiqua"/>
                <w:i/>
                <w:iCs/>
                <w:color w:val="000000" w:themeColor="text1"/>
                <w:sz w:val="24"/>
                <w:szCs w:val="24"/>
              </w:rPr>
            </w:pPr>
            <w:r w:rsidRPr="000749B2">
              <w:rPr>
                <w:rFonts w:ascii="Book Antiqua" w:hAnsi="Book Antiqua"/>
                <w:color w:val="000000" w:themeColor="text1"/>
                <w:sz w:val="24"/>
                <w:szCs w:val="24"/>
              </w:rPr>
              <w:t xml:space="preserve">Colorectal tumor induction by rectal infection with </w:t>
            </w:r>
            <w:r w:rsidRPr="000749B2">
              <w:rPr>
                <w:rFonts w:ascii="Book Antiqua" w:hAnsi="Book Antiqua"/>
                <w:i/>
                <w:iCs/>
                <w:color w:val="000000" w:themeColor="text1"/>
                <w:sz w:val="24"/>
                <w:szCs w:val="24"/>
              </w:rPr>
              <w:t>Cre-</w:t>
            </w:r>
            <w:r w:rsidRPr="000749B2">
              <w:rPr>
                <w:rFonts w:ascii="Book Antiqua" w:hAnsi="Book Antiqua"/>
                <w:color w:val="000000" w:themeColor="text1"/>
                <w:sz w:val="24"/>
                <w:szCs w:val="24"/>
              </w:rPr>
              <w:t>delivering Adenovirus</w:t>
            </w:r>
            <w:r w:rsidRPr="000749B2">
              <w:rPr>
                <w:rFonts w:ascii="Book Antiqua" w:hAnsi="Book Antiqua"/>
                <w:i/>
                <w:iCs/>
                <w:color w:val="000000" w:themeColor="text1"/>
                <w:sz w:val="24"/>
                <w:szCs w:val="24"/>
              </w:rPr>
              <w:t xml:space="preserve"> (AxSRαCre)</w:t>
            </w:r>
          </w:p>
        </w:tc>
        <w:tc>
          <w:tcPr>
            <w:tcW w:w="3285" w:type="dxa"/>
            <w:vMerge/>
          </w:tcPr>
          <w:p w14:paraId="220005BE" w14:textId="77777777" w:rsidR="004E601A" w:rsidRPr="000749B2" w:rsidRDefault="004E601A" w:rsidP="000B4309">
            <w:pPr>
              <w:spacing w:line="360" w:lineRule="auto"/>
              <w:jc w:val="both"/>
              <w:rPr>
                <w:rFonts w:ascii="Book Antiqua" w:hAnsi="Book Antiqua"/>
                <w:color w:val="000000" w:themeColor="text1"/>
                <w:sz w:val="24"/>
                <w:szCs w:val="24"/>
              </w:rPr>
            </w:pPr>
          </w:p>
        </w:tc>
      </w:tr>
      <w:tr w:rsidR="00CB43EF" w:rsidRPr="000749B2" w14:paraId="76640D99" w14:textId="77777777" w:rsidTr="00207D8B">
        <w:tc>
          <w:tcPr>
            <w:tcW w:w="989" w:type="dxa"/>
          </w:tcPr>
          <w:p w14:paraId="161AB440"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2</w:t>
            </w:r>
          </w:p>
        </w:tc>
        <w:tc>
          <w:tcPr>
            <w:tcW w:w="1249" w:type="dxa"/>
          </w:tcPr>
          <w:p w14:paraId="1981C38F" w14:textId="4FB6042A"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[109]</w:t>
            </w:r>
          </w:p>
        </w:tc>
        <w:tc>
          <w:tcPr>
            <w:tcW w:w="3472" w:type="dxa"/>
          </w:tcPr>
          <w:p w14:paraId="2238034B"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Δ242</w:t>
            </w:r>
            <w:r w:rsidRPr="000749B2">
              <w:rPr>
                <w:rFonts w:ascii="Book Antiqua" w:hAnsi="Book Antiqua"/>
                <w:color w:val="000000" w:themeColor="text1"/>
                <w:sz w:val="24"/>
                <w:szCs w:val="24"/>
                <w:vertAlign w:val="superscript"/>
              </w:rPr>
              <w:t>/+</w:t>
            </w:r>
            <w:r w:rsidRPr="000749B2">
              <w:rPr>
                <w:rFonts w:ascii="Book Antiqua" w:hAnsi="Book Antiqua"/>
                <w:color w:val="000000" w:themeColor="text1"/>
                <w:sz w:val="24"/>
                <w:szCs w:val="24"/>
              </w:rPr>
              <w:t xml:space="preserve"> </w:t>
            </w:r>
          </w:p>
        </w:tc>
        <w:tc>
          <w:tcPr>
            <w:tcW w:w="3285" w:type="dxa"/>
          </w:tcPr>
          <w:p w14:paraId="59E30C84" w14:textId="1B12A397" w:rsidR="00CB43EF" w:rsidRPr="000749B2" w:rsidRDefault="00EC652B"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Adenomas: h</w:t>
            </w:r>
            <w:r w:rsidR="00CB43EF" w:rsidRPr="000749B2">
              <w:rPr>
                <w:rFonts w:ascii="Book Antiqua" w:hAnsi="Book Antiqua"/>
                <w:color w:val="000000" w:themeColor="text1"/>
                <w:sz w:val="24"/>
                <w:szCs w:val="24"/>
              </w:rPr>
              <w:t xml:space="preserve">igher </w:t>
            </w:r>
            <w:r w:rsidRPr="000749B2">
              <w:rPr>
                <w:rFonts w:ascii="Book Antiqua" w:hAnsi="Book Antiqua"/>
                <w:color w:val="000000" w:themeColor="text1"/>
                <w:sz w:val="24"/>
                <w:szCs w:val="24"/>
              </w:rPr>
              <w:t xml:space="preserve">in </w:t>
            </w:r>
            <w:r w:rsidR="007D5DCC" w:rsidRPr="000749B2">
              <w:rPr>
                <w:rFonts w:ascii="Book Antiqua" w:hAnsi="Book Antiqua"/>
                <w:color w:val="000000" w:themeColor="text1"/>
                <w:sz w:val="24"/>
                <w:szCs w:val="24"/>
              </w:rPr>
              <w:t xml:space="preserve">numbers but smaller </w:t>
            </w:r>
            <w:r w:rsidRPr="000749B2">
              <w:rPr>
                <w:rFonts w:ascii="Book Antiqua" w:hAnsi="Book Antiqua"/>
                <w:color w:val="000000" w:themeColor="text1"/>
                <w:sz w:val="24"/>
                <w:szCs w:val="24"/>
              </w:rPr>
              <w:t xml:space="preserve">in </w:t>
            </w:r>
            <w:r w:rsidR="007D5DCC" w:rsidRPr="000749B2">
              <w:rPr>
                <w:rFonts w:ascii="Book Antiqua" w:hAnsi="Book Antiqua"/>
                <w:color w:val="000000" w:themeColor="text1"/>
                <w:sz w:val="24"/>
                <w:szCs w:val="24"/>
              </w:rPr>
              <w:t>size</w:t>
            </w:r>
            <w:r w:rsidR="00CB43EF"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and no</w:t>
            </w:r>
            <w:r w:rsidR="00CB43EF" w:rsidRPr="000749B2">
              <w:rPr>
                <w:rFonts w:ascii="Book Antiqua" w:hAnsi="Book Antiqua"/>
                <w:color w:val="000000" w:themeColor="text1"/>
                <w:sz w:val="24"/>
                <w:szCs w:val="24"/>
              </w:rPr>
              <w:t xml:space="preserve"> differences in histology compared to </w:t>
            </w:r>
            <w:r w:rsidR="00CB43EF" w:rsidRPr="000749B2">
              <w:rPr>
                <w:rFonts w:ascii="Book Antiqua" w:hAnsi="Book Antiqua"/>
                <w:i/>
                <w:iCs/>
                <w:color w:val="000000" w:themeColor="text1"/>
                <w:sz w:val="24"/>
                <w:szCs w:val="24"/>
              </w:rPr>
              <w:t>Apc</w:t>
            </w:r>
            <w:r w:rsidR="00CB43EF" w:rsidRPr="000749B2">
              <w:rPr>
                <w:rFonts w:ascii="Book Antiqua" w:hAnsi="Book Antiqua"/>
                <w:color w:val="000000" w:themeColor="text1"/>
                <w:sz w:val="24"/>
                <w:szCs w:val="24"/>
                <w:vertAlign w:val="superscript"/>
              </w:rPr>
              <w:t>Min/+</w:t>
            </w:r>
            <w:r w:rsidR="00CB43EF" w:rsidRPr="000749B2">
              <w:rPr>
                <w:rFonts w:ascii="Book Antiqua" w:hAnsi="Book Antiqua"/>
                <w:color w:val="000000" w:themeColor="text1"/>
                <w:sz w:val="24"/>
                <w:szCs w:val="24"/>
              </w:rPr>
              <w:t xml:space="preserve"> mice</w:t>
            </w:r>
          </w:p>
        </w:tc>
      </w:tr>
      <w:tr w:rsidR="00CB43EF" w:rsidRPr="000749B2" w14:paraId="0F24DD4B" w14:textId="77777777" w:rsidTr="00207D8B">
        <w:tc>
          <w:tcPr>
            <w:tcW w:w="989" w:type="dxa"/>
          </w:tcPr>
          <w:p w14:paraId="776AAB21"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3</w:t>
            </w:r>
          </w:p>
        </w:tc>
        <w:tc>
          <w:tcPr>
            <w:tcW w:w="1249" w:type="dxa"/>
          </w:tcPr>
          <w:p w14:paraId="5233F744" w14:textId="34E6B036"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[110]</w:t>
            </w:r>
          </w:p>
        </w:tc>
        <w:tc>
          <w:tcPr>
            <w:tcW w:w="3472" w:type="dxa"/>
          </w:tcPr>
          <w:p w14:paraId="2EA1C34C"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Δ14/+</w:t>
            </w:r>
            <w:r w:rsidRPr="000749B2">
              <w:rPr>
                <w:rFonts w:ascii="Book Antiqua" w:hAnsi="Book Antiqua"/>
                <w:i/>
                <w:iCs/>
                <w:color w:val="000000" w:themeColor="text1"/>
                <w:sz w:val="24"/>
                <w:szCs w:val="24"/>
              </w:rPr>
              <w:t xml:space="preserve"> </w:t>
            </w:r>
          </w:p>
        </w:tc>
        <w:tc>
          <w:tcPr>
            <w:tcW w:w="3285" w:type="dxa"/>
          </w:tcPr>
          <w:p w14:paraId="0ECDFB0D" w14:textId="5251D828"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Shift of tumor distribution, more severe phenotype, invasion of muscularis propria, 50% dead after 12 mo</w:t>
            </w:r>
          </w:p>
        </w:tc>
      </w:tr>
      <w:tr w:rsidR="00CB43EF" w:rsidRPr="000749B2" w14:paraId="55D50E94" w14:textId="77777777" w:rsidTr="00207D8B">
        <w:tc>
          <w:tcPr>
            <w:tcW w:w="989" w:type="dxa"/>
          </w:tcPr>
          <w:p w14:paraId="144A493C"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4</w:t>
            </w:r>
          </w:p>
        </w:tc>
        <w:tc>
          <w:tcPr>
            <w:tcW w:w="1249" w:type="dxa"/>
          </w:tcPr>
          <w:p w14:paraId="00E8451D" w14:textId="496E1B33"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[120]</w:t>
            </w:r>
          </w:p>
        </w:tc>
        <w:tc>
          <w:tcPr>
            <w:tcW w:w="3472" w:type="dxa"/>
          </w:tcPr>
          <w:p w14:paraId="69B0137E"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Fabpl-Cre; Apc</w:t>
            </w:r>
            <w:r w:rsidRPr="000749B2">
              <w:rPr>
                <w:rFonts w:ascii="Book Antiqua" w:hAnsi="Book Antiqua"/>
                <w:i/>
                <w:iCs/>
                <w:color w:val="000000" w:themeColor="text1"/>
                <w:sz w:val="24"/>
                <w:szCs w:val="24"/>
                <w:vertAlign w:val="superscript"/>
              </w:rPr>
              <w:t>15lox</w:t>
            </w:r>
            <w:r w:rsidRPr="000749B2">
              <w:rPr>
                <w:rFonts w:ascii="Book Antiqua" w:hAnsi="Book Antiqua"/>
                <w:color w:val="000000" w:themeColor="text1"/>
                <w:sz w:val="24"/>
                <w:szCs w:val="24"/>
                <w:vertAlign w:val="superscript"/>
              </w:rPr>
              <w:t>/+</w:t>
            </w:r>
          </w:p>
        </w:tc>
        <w:tc>
          <w:tcPr>
            <w:tcW w:w="3285" w:type="dxa"/>
          </w:tcPr>
          <w:p w14:paraId="22E8BE30" w14:textId="28DE4AAD"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Increased survival due to lower number of tumors, but larger tumors </w:t>
            </w:r>
            <w:r w:rsidR="00514423" w:rsidRPr="000749B2">
              <w:rPr>
                <w:rFonts w:ascii="Book Antiqua" w:hAnsi="Book Antiqua"/>
                <w:color w:val="000000" w:themeColor="text1"/>
                <w:sz w:val="24"/>
                <w:szCs w:val="24"/>
              </w:rPr>
              <w:t xml:space="preserve">predominantly </w:t>
            </w:r>
            <w:r w:rsidRPr="000749B2">
              <w:rPr>
                <w:rFonts w:ascii="Book Antiqua" w:hAnsi="Book Antiqua"/>
                <w:color w:val="000000" w:themeColor="text1"/>
                <w:sz w:val="24"/>
                <w:szCs w:val="24"/>
              </w:rPr>
              <w:t>in the colon, 91% at least low-grade adenoma, 50% carcinoma; invasiveness and metastases not reported</w:t>
            </w:r>
          </w:p>
        </w:tc>
      </w:tr>
      <w:tr w:rsidR="00CB43EF" w:rsidRPr="000749B2" w14:paraId="632DAF1A" w14:textId="77777777" w:rsidTr="00207D8B">
        <w:tc>
          <w:tcPr>
            <w:tcW w:w="989" w:type="dxa"/>
          </w:tcPr>
          <w:p w14:paraId="699D271E"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5</w:t>
            </w:r>
          </w:p>
        </w:tc>
        <w:tc>
          <w:tcPr>
            <w:tcW w:w="1249" w:type="dxa"/>
          </w:tcPr>
          <w:p w14:paraId="4CF2A48E" w14:textId="7A908023"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[108]</w:t>
            </w:r>
          </w:p>
        </w:tc>
        <w:tc>
          <w:tcPr>
            <w:tcW w:w="3472" w:type="dxa"/>
          </w:tcPr>
          <w:p w14:paraId="139FC2B1"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w:t>
            </w:r>
            <w:r w:rsidRPr="000749B2">
              <w:rPr>
                <w:rFonts w:ascii="Book Antiqua" w:hAnsi="Book Antiqua"/>
                <w:i/>
                <w:iCs/>
                <w:color w:val="000000" w:themeColor="text1"/>
                <w:sz w:val="24"/>
                <w:szCs w:val="24"/>
                <w:vertAlign w:val="superscript"/>
              </w:rPr>
              <w:sym w:font="Symbol" w:char="F044"/>
            </w:r>
            <w:r w:rsidRPr="000749B2">
              <w:rPr>
                <w:rFonts w:ascii="Book Antiqua" w:hAnsi="Book Antiqua"/>
                <w:i/>
                <w:iCs/>
                <w:color w:val="000000" w:themeColor="text1"/>
                <w:sz w:val="24"/>
                <w:szCs w:val="24"/>
                <w:vertAlign w:val="superscript"/>
              </w:rPr>
              <w:t>716</w:t>
            </w:r>
            <w:r w:rsidRPr="000749B2">
              <w:rPr>
                <w:rFonts w:ascii="Book Antiqua" w:hAnsi="Book Antiqua"/>
                <w:color w:val="000000" w:themeColor="text1"/>
                <w:sz w:val="24"/>
                <w:szCs w:val="24"/>
                <w:vertAlign w:val="superscript"/>
              </w:rPr>
              <w:t xml:space="preserve"> </w:t>
            </w:r>
            <w:r w:rsidRPr="000749B2">
              <w:rPr>
                <w:rFonts w:ascii="Book Antiqua" w:hAnsi="Book Antiqua"/>
                <w:color w:val="000000" w:themeColor="text1"/>
                <w:sz w:val="24"/>
                <w:szCs w:val="24"/>
              </w:rPr>
              <w:t xml:space="preserve">(C57BL/6J </w:t>
            </w:r>
            <w:r w:rsidRPr="000749B2">
              <w:rPr>
                <w:rFonts w:ascii="Book Antiqua" w:hAnsi="Book Antiqua"/>
                <w:color w:val="000000" w:themeColor="text1"/>
                <w:sz w:val="24"/>
                <w:szCs w:val="24"/>
              </w:rPr>
              <w:lastRenderedPageBreak/>
              <w:t>background)</w:t>
            </w:r>
          </w:p>
        </w:tc>
        <w:tc>
          <w:tcPr>
            <w:tcW w:w="3285" w:type="dxa"/>
          </w:tcPr>
          <w:p w14:paraId="72FCB160" w14:textId="72E3A802"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 xml:space="preserve">Intestinal polyposis with </w:t>
            </w:r>
            <w:r w:rsidRPr="000749B2">
              <w:rPr>
                <w:rFonts w:ascii="Book Antiqua" w:hAnsi="Book Antiqua"/>
                <w:color w:val="000000" w:themeColor="text1"/>
                <w:sz w:val="24"/>
                <w:szCs w:val="24"/>
              </w:rPr>
              <w:lastRenderedPageBreak/>
              <w:t>emphasis on the small intestine</w:t>
            </w:r>
          </w:p>
        </w:tc>
      </w:tr>
      <w:tr w:rsidR="00CB43EF" w:rsidRPr="000749B2" w14:paraId="5D9EF079" w14:textId="77777777" w:rsidTr="00207D8B">
        <w:tc>
          <w:tcPr>
            <w:tcW w:w="989" w:type="dxa"/>
          </w:tcPr>
          <w:p w14:paraId="6AA362C4"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6</w:t>
            </w:r>
          </w:p>
        </w:tc>
        <w:tc>
          <w:tcPr>
            <w:tcW w:w="1249" w:type="dxa"/>
          </w:tcPr>
          <w:p w14:paraId="1910EFBE" w14:textId="5BF66727"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[126]</w:t>
            </w:r>
          </w:p>
        </w:tc>
        <w:tc>
          <w:tcPr>
            <w:tcW w:w="3472" w:type="dxa"/>
          </w:tcPr>
          <w:p w14:paraId="39CA0D23"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Cac; Apc</w:t>
            </w:r>
            <w:r w:rsidRPr="000749B2">
              <w:rPr>
                <w:rFonts w:ascii="Book Antiqua" w:hAnsi="Book Antiqua"/>
                <w:i/>
                <w:iCs/>
                <w:color w:val="000000" w:themeColor="text1"/>
                <w:sz w:val="24"/>
                <w:szCs w:val="24"/>
                <w:vertAlign w:val="superscript"/>
              </w:rPr>
              <w:t>580S/+</w:t>
            </w:r>
          </w:p>
        </w:tc>
        <w:tc>
          <w:tcPr>
            <w:tcW w:w="3285" w:type="dxa"/>
          </w:tcPr>
          <w:p w14:paraId="1766CBA3" w14:textId="22B15AC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Transgene expression limited to the large intestine. Adenoma formation without malignancy</w:t>
            </w:r>
          </w:p>
        </w:tc>
      </w:tr>
      <w:tr w:rsidR="004E601A" w:rsidRPr="000749B2" w14:paraId="5B33D321" w14:textId="77777777" w:rsidTr="00207D8B">
        <w:trPr>
          <w:trHeight w:val="284"/>
        </w:trPr>
        <w:tc>
          <w:tcPr>
            <w:tcW w:w="989" w:type="dxa"/>
            <w:vMerge w:val="restart"/>
          </w:tcPr>
          <w:p w14:paraId="357C3E01" w14:textId="77777777"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7</w:t>
            </w:r>
          </w:p>
        </w:tc>
        <w:tc>
          <w:tcPr>
            <w:tcW w:w="1249" w:type="dxa"/>
            <w:vMerge w:val="restart"/>
          </w:tcPr>
          <w:p w14:paraId="7A63835A" w14:textId="49660C0A" w:rsidR="004E601A" w:rsidRPr="000749B2" w:rsidRDefault="004E601A"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[125]</w:t>
            </w:r>
          </w:p>
        </w:tc>
        <w:tc>
          <w:tcPr>
            <w:tcW w:w="3472" w:type="dxa"/>
          </w:tcPr>
          <w:p w14:paraId="2E6597DC" w14:textId="753E9DFD" w:rsidR="004E601A" w:rsidRPr="000749B2" w:rsidRDefault="004E601A"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CDX2P9.5-G22Cre</w:t>
            </w:r>
          </w:p>
        </w:tc>
        <w:tc>
          <w:tcPr>
            <w:tcW w:w="3285" w:type="dxa"/>
            <w:vMerge w:val="restart"/>
          </w:tcPr>
          <w:p w14:paraId="0A7F92EA" w14:textId="25AEADF5"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Frameshifted Cre-recombinase with a long guanine nucleotide tract under control of the homeobox promotor </w:t>
            </w:r>
            <w:r w:rsidRPr="000749B2">
              <w:rPr>
                <w:rFonts w:ascii="Book Antiqua" w:hAnsi="Book Antiqua"/>
                <w:i/>
                <w:iCs/>
                <w:color w:val="000000" w:themeColor="text1"/>
                <w:sz w:val="24"/>
                <w:szCs w:val="24"/>
              </w:rPr>
              <w:t>CDX2P9.5</w:t>
            </w:r>
            <w:r w:rsidRPr="000749B2">
              <w:rPr>
                <w:rFonts w:ascii="Book Antiqua" w:hAnsi="Book Antiqua"/>
                <w:color w:val="000000" w:themeColor="text1"/>
                <w:sz w:val="24"/>
                <w:szCs w:val="24"/>
              </w:rPr>
              <w:t xml:space="preserve"> leads to limited activation of Cre by spontaneous somatic mutations in the large intestine: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flox/flox</w:t>
            </w:r>
            <w:r w:rsidRPr="000749B2">
              <w:rPr>
                <w:rFonts w:ascii="Book Antiqua" w:hAnsi="Book Antiqua"/>
                <w:color w:val="000000" w:themeColor="text1"/>
                <w:sz w:val="24"/>
                <w:szCs w:val="24"/>
              </w:rPr>
              <w:t xml:space="preserve"> homozygotes dye rapidly from florid polyposis of proximal colon and cecum</w:t>
            </w:r>
          </w:p>
        </w:tc>
      </w:tr>
      <w:tr w:rsidR="004E601A" w:rsidRPr="000749B2" w14:paraId="30A789EC" w14:textId="77777777" w:rsidTr="00207D8B">
        <w:trPr>
          <w:trHeight w:val="5349"/>
        </w:trPr>
        <w:tc>
          <w:tcPr>
            <w:tcW w:w="989" w:type="dxa"/>
            <w:vMerge/>
          </w:tcPr>
          <w:p w14:paraId="7ACAC698" w14:textId="77777777" w:rsidR="004E601A" w:rsidRPr="000749B2" w:rsidRDefault="004E601A" w:rsidP="000B4309">
            <w:pPr>
              <w:spacing w:line="360" w:lineRule="auto"/>
              <w:jc w:val="both"/>
              <w:rPr>
                <w:rFonts w:ascii="Book Antiqua" w:hAnsi="Book Antiqua"/>
                <w:color w:val="000000" w:themeColor="text1"/>
                <w:sz w:val="24"/>
                <w:szCs w:val="24"/>
              </w:rPr>
            </w:pPr>
          </w:p>
        </w:tc>
        <w:tc>
          <w:tcPr>
            <w:tcW w:w="1249" w:type="dxa"/>
            <w:vMerge/>
          </w:tcPr>
          <w:p w14:paraId="5031C109" w14:textId="77777777" w:rsidR="004E601A" w:rsidRPr="000749B2" w:rsidRDefault="004E601A" w:rsidP="000B4309">
            <w:pPr>
              <w:spacing w:line="360" w:lineRule="auto"/>
              <w:jc w:val="both"/>
              <w:rPr>
                <w:rFonts w:ascii="Book Antiqua" w:hAnsi="Book Antiqua"/>
                <w:color w:val="000000" w:themeColor="text1"/>
                <w:sz w:val="24"/>
                <w:szCs w:val="24"/>
                <w:vertAlign w:val="superscript"/>
              </w:rPr>
            </w:pPr>
          </w:p>
        </w:tc>
        <w:tc>
          <w:tcPr>
            <w:tcW w:w="3472" w:type="dxa"/>
          </w:tcPr>
          <w:p w14:paraId="1FC74E03" w14:textId="43C84652" w:rsidR="004E601A" w:rsidRPr="000749B2" w:rsidRDefault="004E601A" w:rsidP="004E601A">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 xml:space="preserve">Apc </w:t>
            </w:r>
            <w:r w:rsidRPr="000749B2">
              <w:rPr>
                <w:rFonts w:ascii="Book Antiqua" w:hAnsi="Book Antiqua"/>
                <w:i/>
                <w:iCs/>
                <w:color w:val="000000" w:themeColor="text1"/>
                <w:sz w:val="24"/>
                <w:szCs w:val="24"/>
                <w:vertAlign w:val="superscript"/>
              </w:rPr>
              <w:t>flox/flox</w:t>
            </w:r>
          </w:p>
        </w:tc>
        <w:tc>
          <w:tcPr>
            <w:tcW w:w="3285" w:type="dxa"/>
            <w:vMerge/>
          </w:tcPr>
          <w:p w14:paraId="3C089777" w14:textId="77777777" w:rsidR="004E601A" w:rsidRPr="000749B2" w:rsidRDefault="004E601A" w:rsidP="000B4309">
            <w:pPr>
              <w:spacing w:line="360" w:lineRule="auto"/>
              <w:jc w:val="both"/>
              <w:rPr>
                <w:rFonts w:ascii="Book Antiqua" w:hAnsi="Book Antiqua"/>
                <w:color w:val="000000" w:themeColor="text1"/>
                <w:sz w:val="24"/>
                <w:szCs w:val="24"/>
              </w:rPr>
            </w:pPr>
          </w:p>
        </w:tc>
      </w:tr>
      <w:tr w:rsidR="00CB43EF" w:rsidRPr="000749B2" w14:paraId="2347CBE5" w14:textId="77777777" w:rsidTr="00207D8B">
        <w:tc>
          <w:tcPr>
            <w:tcW w:w="989" w:type="dxa"/>
          </w:tcPr>
          <w:p w14:paraId="6E3774B3"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8</w:t>
            </w:r>
          </w:p>
        </w:tc>
        <w:tc>
          <w:tcPr>
            <w:tcW w:w="1249" w:type="dxa"/>
          </w:tcPr>
          <w:p w14:paraId="6084DD74" w14:textId="7CD1A83F"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[374]</w:t>
            </w:r>
          </w:p>
        </w:tc>
        <w:tc>
          <w:tcPr>
            <w:tcW w:w="3472" w:type="dxa"/>
          </w:tcPr>
          <w:p w14:paraId="643090AB"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w:t>
            </w:r>
            <w:r w:rsidRPr="000749B2">
              <w:rPr>
                <w:rFonts w:ascii="Book Antiqua" w:hAnsi="Book Antiqua"/>
                <w:i/>
                <w:iCs/>
                <w:color w:val="000000" w:themeColor="text1"/>
                <w:sz w:val="24"/>
                <w:szCs w:val="24"/>
                <w:vertAlign w:val="superscript"/>
              </w:rPr>
              <w:t>Δ716</w:t>
            </w:r>
            <w:r w:rsidRPr="000749B2">
              <w:rPr>
                <w:rFonts w:ascii="Book Antiqua" w:hAnsi="Book Antiqua"/>
                <w:i/>
                <w:iCs/>
                <w:color w:val="000000" w:themeColor="text1"/>
                <w:sz w:val="24"/>
                <w:szCs w:val="24"/>
              </w:rPr>
              <w:t xml:space="preserve"> Cdx2</w:t>
            </w:r>
            <w:r w:rsidRPr="000749B2">
              <w:rPr>
                <w:rFonts w:ascii="Book Antiqua" w:hAnsi="Book Antiqua"/>
                <w:i/>
                <w:iCs/>
                <w:color w:val="000000" w:themeColor="text1"/>
                <w:sz w:val="24"/>
                <w:szCs w:val="24"/>
                <w:vertAlign w:val="superscript"/>
              </w:rPr>
              <w:t>+/−</w:t>
            </w:r>
          </w:p>
        </w:tc>
        <w:tc>
          <w:tcPr>
            <w:tcW w:w="3285" w:type="dxa"/>
          </w:tcPr>
          <w:p w14:paraId="362ACEAE" w14:textId="395455FD"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Increased adenoma formation in the colon, reduced number of polyps in the small intestine</w:t>
            </w:r>
          </w:p>
        </w:tc>
      </w:tr>
      <w:tr w:rsidR="00CB43EF" w:rsidRPr="000749B2" w14:paraId="7901EB12" w14:textId="77777777" w:rsidTr="00207D8B">
        <w:tc>
          <w:tcPr>
            <w:tcW w:w="989" w:type="dxa"/>
          </w:tcPr>
          <w:p w14:paraId="1465CC23"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9</w:t>
            </w:r>
          </w:p>
        </w:tc>
        <w:tc>
          <w:tcPr>
            <w:tcW w:w="1249" w:type="dxa"/>
          </w:tcPr>
          <w:p w14:paraId="20551A2E" w14:textId="48D674AD"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[132]</w:t>
            </w:r>
          </w:p>
        </w:tc>
        <w:tc>
          <w:tcPr>
            <w:tcW w:w="3472" w:type="dxa"/>
          </w:tcPr>
          <w:p w14:paraId="7BDA2AC7"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+/fle1−15</w:t>
            </w:r>
            <w:r w:rsidRPr="000749B2">
              <w:rPr>
                <w:rFonts w:ascii="Book Antiqua" w:hAnsi="Book Antiqua"/>
                <w:i/>
                <w:iCs/>
                <w:color w:val="000000" w:themeColor="text1"/>
                <w:sz w:val="24"/>
                <w:szCs w:val="24"/>
              </w:rPr>
              <w:t>; Villin-Cre</w:t>
            </w:r>
            <w:r w:rsidRPr="000749B2">
              <w:rPr>
                <w:rFonts w:ascii="Book Antiqua" w:hAnsi="Book Antiqua"/>
                <w:color w:val="000000" w:themeColor="text1"/>
                <w:sz w:val="24"/>
                <w:szCs w:val="24"/>
              </w:rPr>
              <w:t xml:space="preserve"> mice (conditional) and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Δe1−15</w:t>
            </w:r>
            <w:r w:rsidRPr="000749B2">
              <w:rPr>
                <w:rFonts w:ascii="Book Antiqua" w:hAnsi="Book Antiqua"/>
                <w:i/>
                <w:iCs/>
                <w:color w:val="000000" w:themeColor="text1"/>
                <w:sz w:val="24"/>
                <w:szCs w:val="24"/>
              </w:rPr>
              <w:t xml:space="preserve"> </w:t>
            </w:r>
            <w:r w:rsidRPr="000749B2">
              <w:rPr>
                <w:rFonts w:ascii="Book Antiqua" w:hAnsi="Book Antiqua"/>
                <w:color w:val="000000" w:themeColor="text1"/>
                <w:sz w:val="24"/>
                <w:szCs w:val="24"/>
              </w:rPr>
              <w:t>constitutive null allele</w:t>
            </w:r>
          </w:p>
        </w:tc>
        <w:tc>
          <w:tcPr>
            <w:tcW w:w="3285" w:type="dxa"/>
          </w:tcPr>
          <w:p w14:paraId="7BA80CD9" w14:textId="73739769" w:rsidR="00CB43EF" w:rsidRPr="000749B2" w:rsidRDefault="00CB43EF"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rPr>
              <w:t xml:space="preserve">More severe polyposis compared to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 xml:space="preserve">Min/+ </w:t>
            </w:r>
            <w:r w:rsidRPr="000749B2">
              <w:rPr>
                <w:rFonts w:ascii="Book Antiqua" w:hAnsi="Book Antiqua"/>
                <w:color w:val="000000" w:themeColor="text1"/>
                <w:sz w:val="24"/>
                <w:szCs w:val="24"/>
              </w:rPr>
              <w:t>mice</w:t>
            </w:r>
          </w:p>
        </w:tc>
      </w:tr>
      <w:tr w:rsidR="00CB43EF" w:rsidRPr="000749B2" w14:paraId="556A0119" w14:textId="77777777" w:rsidTr="00207D8B">
        <w:tc>
          <w:tcPr>
            <w:tcW w:w="989" w:type="dxa"/>
          </w:tcPr>
          <w:p w14:paraId="59A416AF"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10</w:t>
            </w:r>
          </w:p>
        </w:tc>
        <w:tc>
          <w:tcPr>
            <w:tcW w:w="1249" w:type="dxa"/>
          </w:tcPr>
          <w:p w14:paraId="39ABEDB5" w14:textId="34848271"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[375]</w:t>
            </w:r>
          </w:p>
        </w:tc>
        <w:tc>
          <w:tcPr>
            <w:tcW w:w="3472" w:type="dxa"/>
          </w:tcPr>
          <w:p w14:paraId="13CB1B96"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BubR1</w:t>
            </w:r>
            <w:r w:rsidRPr="000749B2">
              <w:rPr>
                <w:rFonts w:ascii="Book Antiqua" w:hAnsi="Book Antiqua"/>
                <w:color w:val="000000" w:themeColor="text1"/>
                <w:sz w:val="24"/>
                <w:szCs w:val="24"/>
                <w:vertAlign w:val="superscript"/>
              </w:rPr>
              <w:t>+/–</w:t>
            </w:r>
            <w:r w:rsidRPr="000749B2">
              <w:rPr>
                <w:rFonts w:ascii="Book Antiqua" w:hAnsi="Book Antiqua"/>
                <w:i/>
                <w:iCs/>
                <w:color w:val="000000" w:themeColor="text1"/>
                <w:sz w:val="24"/>
                <w:szCs w:val="24"/>
              </w:rPr>
              <w:t xml:space="preserve"> Apc</w:t>
            </w:r>
            <w:r w:rsidRPr="000749B2">
              <w:rPr>
                <w:rFonts w:ascii="Book Antiqua" w:hAnsi="Book Antiqua"/>
                <w:i/>
                <w:iCs/>
                <w:color w:val="000000" w:themeColor="text1"/>
                <w:sz w:val="24"/>
                <w:szCs w:val="24"/>
                <w:vertAlign w:val="superscript"/>
              </w:rPr>
              <w:t>Min</w:t>
            </w:r>
            <w:r w:rsidRPr="000749B2">
              <w:rPr>
                <w:rFonts w:ascii="Book Antiqua" w:hAnsi="Book Antiqua"/>
                <w:color w:val="000000" w:themeColor="text1"/>
                <w:sz w:val="24"/>
                <w:szCs w:val="24"/>
                <w:vertAlign w:val="superscript"/>
              </w:rPr>
              <w:t>/+</w:t>
            </w:r>
          </w:p>
        </w:tc>
        <w:tc>
          <w:tcPr>
            <w:tcW w:w="3285" w:type="dxa"/>
          </w:tcPr>
          <w:p w14:paraId="71EE135E" w14:textId="40276043"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Increased tumor formation in the large intestine and higher malignancy through increased chromosomal instability (invasiveness and </w:t>
            </w:r>
            <w:r w:rsidRPr="000749B2">
              <w:rPr>
                <w:rFonts w:ascii="Book Antiqua" w:hAnsi="Book Antiqua"/>
                <w:color w:val="000000" w:themeColor="text1"/>
                <w:sz w:val="24"/>
                <w:szCs w:val="24"/>
              </w:rPr>
              <w:lastRenderedPageBreak/>
              <w:t xml:space="preserve">metastases not reported). Note, that </w:t>
            </w:r>
            <w:r w:rsidRPr="000749B2">
              <w:rPr>
                <w:rFonts w:ascii="Book Antiqua" w:hAnsi="Book Antiqua"/>
                <w:i/>
                <w:iCs/>
                <w:color w:val="000000" w:themeColor="text1"/>
                <w:sz w:val="24"/>
                <w:szCs w:val="24"/>
              </w:rPr>
              <w:t>BUBR1</w:t>
            </w:r>
            <w:r w:rsidRPr="000749B2">
              <w:rPr>
                <w:rFonts w:ascii="Book Antiqua" w:hAnsi="Book Antiqua"/>
                <w:color w:val="000000" w:themeColor="text1"/>
                <w:sz w:val="24"/>
                <w:szCs w:val="24"/>
              </w:rPr>
              <w:t xml:space="preserve"> mutations are uncommon in CRC</w:t>
            </w:r>
            <w:r w:rsidR="00C42D1B" w:rsidRPr="000749B2">
              <w:rPr>
                <w:rFonts w:ascii="Book Antiqua" w:hAnsi="Book Antiqua"/>
                <w:color w:val="000000" w:themeColor="text1"/>
                <w:sz w:val="24"/>
                <w:szCs w:val="24"/>
                <w:vertAlign w:val="superscript"/>
              </w:rPr>
              <w:t>[376]</w:t>
            </w:r>
          </w:p>
        </w:tc>
      </w:tr>
      <w:tr w:rsidR="004E601A" w:rsidRPr="000749B2" w14:paraId="3D87FC58" w14:textId="77777777" w:rsidTr="00207D8B">
        <w:trPr>
          <w:trHeight w:val="317"/>
        </w:trPr>
        <w:tc>
          <w:tcPr>
            <w:tcW w:w="989" w:type="dxa"/>
            <w:vMerge w:val="restart"/>
          </w:tcPr>
          <w:p w14:paraId="5EB8F0F9" w14:textId="77777777"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11</w:t>
            </w:r>
          </w:p>
        </w:tc>
        <w:tc>
          <w:tcPr>
            <w:tcW w:w="1249" w:type="dxa"/>
            <w:vMerge w:val="restart"/>
          </w:tcPr>
          <w:p w14:paraId="780178F0" w14:textId="10AC2D4A" w:rsidR="004E601A" w:rsidRPr="000749B2" w:rsidRDefault="004E601A"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[377]</w:t>
            </w:r>
          </w:p>
        </w:tc>
        <w:tc>
          <w:tcPr>
            <w:tcW w:w="3472" w:type="dxa"/>
          </w:tcPr>
          <w:p w14:paraId="7E5261F5" w14:textId="2661491C"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Δ</w:t>
            </w:r>
            <w:r w:rsidRPr="000749B2">
              <w:rPr>
                <w:rFonts w:ascii="Book Antiqua" w:hAnsi="Book Antiqua"/>
                <w:i/>
                <w:iCs/>
                <w:color w:val="000000" w:themeColor="text1"/>
                <w:sz w:val="24"/>
                <w:szCs w:val="24"/>
                <w:vertAlign w:val="superscript"/>
              </w:rPr>
              <w:t>cy</w:t>
            </w:r>
            <w:r w:rsidRPr="000749B2">
              <w:rPr>
                <w:rFonts w:ascii="Book Antiqua" w:hAnsi="Book Antiqua"/>
                <w:i/>
                <w:iCs/>
                <w:color w:val="000000" w:themeColor="text1"/>
                <w:sz w:val="24"/>
                <w:szCs w:val="24"/>
              </w:rPr>
              <w:t>Ephb2;Apc</w:t>
            </w:r>
            <w:r w:rsidRPr="000749B2">
              <w:rPr>
                <w:rFonts w:ascii="Book Antiqua" w:hAnsi="Book Antiqua"/>
                <w:i/>
                <w:iCs/>
                <w:color w:val="000000" w:themeColor="text1"/>
                <w:sz w:val="24"/>
                <w:szCs w:val="24"/>
                <w:vertAlign w:val="superscript"/>
              </w:rPr>
              <w:t>Min/+</w:t>
            </w:r>
          </w:p>
        </w:tc>
        <w:tc>
          <w:tcPr>
            <w:tcW w:w="3285" w:type="dxa"/>
            <w:vMerge w:val="restart"/>
          </w:tcPr>
          <w:p w14:paraId="3984FA6D" w14:textId="5A8D0716"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Reduced tumor formation in the small intestine, but large adenocarcinomas of the colorectum</w:t>
            </w:r>
          </w:p>
        </w:tc>
      </w:tr>
      <w:tr w:rsidR="004E601A" w:rsidRPr="000749B2" w14:paraId="106FADE5" w14:textId="77777777" w:rsidTr="00207D8B">
        <w:trPr>
          <w:trHeight w:val="395"/>
        </w:trPr>
        <w:tc>
          <w:tcPr>
            <w:tcW w:w="989" w:type="dxa"/>
            <w:vMerge/>
          </w:tcPr>
          <w:p w14:paraId="70A4F014" w14:textId="77777777" w:rsidR="004E601A" w:rsidRPr="000749B2" w:rsidRDefault="004E601A" w:rsidP="000B4309">
            <w:pPr>
              <w:spacing w:line="360" w:lineRule="auto"/>
              <w:jc w:val="both"/>
              <w:rPr>
                <w:rFonts w:ascii="Book Antiqua" w:hAnsi="Book Antiqua"/>
                <w:color w:val="000000" w:themeColor="text1"/>
                <w:sz w:val="24"/>
                <w:szCs w:val="24"/>
              </w:rPr>
            </w:pPr>
          </w:p>
        </w:tc>
        <w:tc>
          <w:tcPr>
            <w:tcW w:w="1249" w:type="dxa"/>
            <w:vMerge/>
          </w:tcPr>
          <w:p w14:paraId="029B30F8" w14:textId="77777777" w:rsidR="004E601A" w:rsidRPr="000749B2" w:rsidRDefault="004E601A" w:rsidP="000B4309">
            <w:pPr>
              <w:spacing w:line="360" w:lineRule="auto"/>
              <w:jc w:val="both"/>
              <w:rPr>
                <w:rFonts w:ascii="Book Antiqua" w:hAnsi="Book Antiqua"/>
                <w:color w:val="000000" w:themeColor="text1"/>
                <w:sz w:val="24"/>
                <w:szCs w:val="24"/>
                <w:vertAlign w:val="superscript"/>
              </w:rPr>
            </w:pPr>
          </w:p>
        </w:tc>
        <w:tc>
          <w:tcPr>
            <w:tcW w:w="3472" w:type="dxa"/>
          </w:tcPr>
          <w:p w14:paraId="16B25DC2" w14:textId="5510CC22" w:rsidR="004E601A" w:rsidRPr="000749B2" w:rsidRDefault="004E601A" w:rsidP="004E601A">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Ephb3</w:t>
            </w:r>
            <w:r w:rsidRPr="000749B2">
              <w:rPr>
                <w:rFonts w:ascii="Book Antiqua" w:hAnsi="Book Antiqua"/>
                <w:i/>
                <w:iCs/>
                <w:color w:val="000000" w:themeColor="text1"/>
                <w:sz w:val="24"/>
                <w:szCs w:val="24"/>
                <w:vertAlign w:val="superscript"/>
              </w:rPr>
              <w:t>+/-</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Min/+</w:t>
            </w:r>
          </w:p>
        </w:tc>
        <w:tc>
          <w:tcPr>
            <w:tcW w:w="3285" w:type="dxa"/>
            <w:vMerge/>
          </w:tcPr>
          <w:p w14:paraId="53C38FC7" w14:textId="77777777" w:rsidR="004E601A" w:rsidRPr="000749B2" w:rsidRDefault="004E601A" w:rsidP="000B4309">
            <w:pPr>
              <w:spacing w:line="360" w:lineRule="auto"/>
              <w:jc w:val="both"/>
              <w:rPr>
                <w:rFonts w:ascii="Book Antiqua" w:hAnsi="Book Antiqua"/>
                <w:color w:val="000000" w:themeColor="text1"/>
                <w:sz w:val="24"/>
                <w:szCs w:val="24"/>
              </w:rPr>
            </w:pPr>
          </w:p>
        </w:tc>
      </w:tr>
      <w:tr w:rsidR="004E601A" w:rsidRPr="000749B2" w14:paraId="62909DED" w14:textId="77777777" w:rsidTr="00207D8B">
        <w:trPr>
          <w:trHeight w:val="1013"/>
        </w:trPr>
        <w:tc>
          <w:tcPr>
            <w:tcW w:w="989" w:type="dxa"/>
            <w:vMerge/>
          </w:tcPr>
          <w:p w14:paraId="1B7E7485" w14:textId="77777777" w:rsidR="004E601A" w:rsidRPr="000749B2" w:rsidRDefault="004E601A" w:rsidP="000B4309">
            <w:pPr>
              <w:spacing w:line="360" w:lineRule="auto"/>
              <w:jc w:val="both"/>
              <w:rPr>
                <w:rFonts w:ascii="Book Antiqua" w:hAnsi="Book Antiqua"/>
                <w:color w:val="000000" w:themeColor="text1"/>
                <w:sz w:val="24"/>
                <w:szCs w:val="24"/>
              </w:rPr>
            </w:pPr>
          </w:p>
        </w:tc>
        <w:tc>
          <w:tcPr>
            <w:tcW w:w="1249" w:type="dxa"/>
            <w:vMerge/>
          </w:tcPr>
          <w:p w14:paraId="5D48C4D1" w14:textId="77777777" w:rsidR="004E601A" w:rsidRPr="000749B2" w:rsidRDefault="004E601A" w:rsidP="000B4309">
            <w:pPr>
              <w:spacing w:line="360" w:lineRule="auto"/>
              <w:jc w:val="both"/>
              <w:rPr>
                <w:rFonts w:ascii="Book Antiqua" w:hAnsi="Book Antiqua"/>
                <w:color w:val="000000" w:themeColor="text1"/>
                <w:sz w:val="24"/>
                <w:szCs w:val="24"/>
                <w:vertAlign w:val="superscript"/>
              </w:rPr>
            </w:pPr>
          </w:p>
        </w:tc>
        <w:tc>
          <w:tcPr>
            <w:tcW w:w="3472" w:type="dxa"/>
          </w:tcPr>
          <w:p w14:paraId="4BB37019" w14:textId="2CFBDB17" w:rsidR="004E601A" w:rsidRPr="000749B2" w:rsidRDefault="004E601A" w:rsidP="004E601A">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Ephb3</w:t>
            </w:r>
            <w:r w:rsidRPr="000749B2">
              <w:rPr>
                <w:rFonts w:ascii="Book Antiqua" w:hAnsi="Book Antiqua"/>
                <w:i/>
                <w:iCs/>
                <w:color w:val="000000" w:themeColor="text1"/>
                <w:sz w:val="24"/>
                <w:szCs w:val="24"/>
                <w:vertAlign w:val="superscript"/>
              </w:rPr>
              <w:t>-/-</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Min/+</w:t>
            </w:r>
          </w:p>
        </w:tc>
        <w:tc>
          <w:tcPr>
            <w:tcW w:w="3285" w:type="dxa"/>
            <w:vMerge/>
          </w:tcPr>
          <w:p w14:paraId="3DE057AF" w14:textId="77777777" w:rsidR="004E601A" w:rsidRPr="000749B2" w:rsidRDefault="004E601A" w:rsidP="000B4309">
            <w:pPr>
              <w:spacing w:line="360" w:lineRule="auto"/>
              <w:jc w:val="both"/>
              <w:rPr>
                <w:rFonts w:ascii="Book Antiqua" w:hAnsi="Book Antiqua"/>
                <w:color w:val="000000" w:themeColor="text1"/>
                <w:sz w:val="24"/>
                <w:szCs w:val="24"/>
              </w:rPr>
            </w:pPr>
          </w:p>
        </w:tc>
      </w:tr>
      <w:tr w:rsidR="00CB43EF" w:rsidRPr="000749B2" w14:paraId="6449C40D" w14:textId="77777777" w:rsidTr="00207D8B">
        <w:tc>
          <w:tcPr>
            <w:tcW w:w="989" w:type="dxa"/>
          </w:tcPr>
          <w:p w14:paraId="24E88028"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12</w:t>
            </w:r>
          </w:p>
        </w:tc>
        <w:tc>
          <w:tcPr>
            <w:tcW w:w="1249" w:type="dxa"/>
          </w:tcPr>
          <w:p w14:paraId="06893D40" w14:textId="449B90B5"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[133]</w:t>
            </w:r>
          </w:p>
        </w:tc>
        <w:tc>
          <w:tcPr>
            <w:tcW w:w="3472" w:type="dxa"/>
          </w:tcPr>
          <w:p w14:paraId="59FF7500"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CDX2P-CreER</w:t>
            </w:r>
            <w:r w:rsidRPr="000749B2">
              <w:rPr>
                <w:rFonts w:ascii="Book Antiqua" w:hAnsi="Book Antiqua"/>
                <w:i/>
                <w:iCs/>
                <w:color w:val="000000" w:themeColor="text1"/>
                <w:sz w:val="24"/>
                <w:szCs w:val="24"/>
                <w:vertAlign w:val="superscript"/>
              </w:rPr>
              <w:t>T2</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flox/flox</w:t>
            </w:r>
          </w:p>
        </w:tc>
        <w:tc>
          <w:tcPr>
            <w:tcW w:w="3285" w:type="dxa"/>
          </w:tcPr>
          <w:p w14:paraId="3838560B" w14:textId="3377510B"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Tamoxifen inducible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rPr>
              <w:t>-knockout in the distal intestine</w:t>
            </w:r>
          </w:p>
        </w:tc>
      </w:tr>
      <w:tr w:rsidR="00CB43EF" w:rsidRPr="000749B2" w14:paraId="33A58D82" w14:textId="77777777" w:rsidTr="00207D8B">
        <w:tc>
          <w:tcPr>
            <w:tcW w:w="989" w:type="dxa"/>
          </w:tcPr>
          <w:p w14:paraId="7CF321AD"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13</w:t>
            </w:r>
          </w:p>
        </w:tc>
        <w:tc>
          <w:tcPr>
            <w:tcW w:w="1249" w:type="dxa"/>
          </w:tcPr>
          <w:p w14:paraId="165FECD3" w14:textId="2C63B32E"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[378]</w:t>
            </w:r>
          </w:p>
        </w:tc>
        <w:tc>
          <w:tcPr>
            <w:tcW w:w="3472" w:type="dxa"/>
          </w:tcPr>
          <w:p w14:paraId="790D219B"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long living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Min/+</w:t>
            </w:r>
            <w:r w:rsidRPr="000749B2">
              <w:rPr>
                <w:rFonts w:ascii="Book Antiqua" w:hAnsi="Book Antiqua"/>
                <w:color w:val="000000" w:themeColor="text1"/>
                <w:sz w:val="24"/>
                <w:szCs w:val="24"/>
              </w:rPr>
              <w:t xml:space="preserve"> mice</w:t>
            </w:r>
          </w:p>
        </w:tc>
        <w:tc>
          <w:tcPr>
            <w:tcW w:w="3285" w:type="dxa"/>
          </w:tcPr>
          <w:p w14:paraId="07CF380A" w14:textId="036CE74B"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Some adenomas progress to adenocarcinomas</w:t>
            </w:r>
          </w:p>
        </w:tc>
      </w:tr>
      <w:tr w:rsidR="00CB43EF" w:rsidRPr="000749B2" w14:paraId="63DD14D2" w14:textId="77777777" w:rsidTr="00207D8B">
        <w:tc>
          <w:tcPr>
            <w:tcW w:w="989" w:type="dxa"/>
          </w:tcPr>
          <w:p w14:paraId="71327EB4"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14</w:t>
            </w:r>
          </w:p>
        </w:tc>
        <w:tc>
          <w:tcPr>
            <w:tcW w:w="1249" w:type="dxa"/>
          </w:tcPr>
          <w:p w14:paraId="3933AE5C" w14:textId="142527A8"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[104]</w:t>
            </w:r>
          </w:p>
        </w:tc>
        <w:tc>
          <w:tcPr>
            <w:tcW w:w="3472" w:type="dxa"/>
          </w:tcPr>
          <w:p w14:paraId="0EB4D9B7" w14:textId="33461F29"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C57BL/6J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Min/+</w:t>
            </w:r>
            <w:r w:rsidRPr="000749B2">
              <w:rPr>
                <w:rFonts w:ascii="Book Antiqua" w:hAnsi="Book Antiqua"/>
                <w:color w:val="000000" w:themeColor="text1"/>
                <w:sz w:val="24"/>
                <w:szCs w:val="24"/>
              </w:rPr>
              <w:t xml:space="preserve"> </w:t>
            </w:r>
            <w:r w:rsidR="00F543DC" w:rsidRPr="000749B2">
              <w:rPr>
                <w:rFonts w:ascii="Book Antiqua" w:hAnsi="Book Antiqua"/>
                <w:color w:val="000000" w:themeColor="text1"/>
                <w:sz w:val="24"/>
                <w:szCs w:val="24"/>
                <w:lang w:eastAsia="zh-CN"/>
              </w:rPr>
              <w:t>×</w:t>
            </w:r>
            <w:r w:rsidR="00F543DC"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SWR/J or C57BR/cdcJ</w:t>
            </w:r>
          </w:p>
        </w:tc>
        <w:tc>
          <w:tcPr>
            <w:tcW w:w="3285" w:type="dxa"/>
          </w:tcPr>
          <w:p w14:paraId="4B10F03C" w14:textId="48A7DCC6"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Hybrid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 xml:space="preserve">Min/+ </w:t>
            </w:r>
            <w:r w:rsidRPr="000749B2">
              <w:rPr>
                <w:rFonts w:ascii="Book Antiqua" w:hAnsi="Book Antiqua"/>
                <w:color w:val="000000" w:themeColor="text1"/>
                <w:sz w:val="24"/>
                <w:szCs w:val="24"/>
              </w:rPr>
              <w:t>mice</w:t>
            </w:r>
            <w:r w:rsidRPr="000749B2">
              <w:rPr>
                <w:rFonts w:ascii="Book Antiqua" w:hAnsi="Book Antiqua"/>
                <w:i/>
                <w:iCs/>
                <w:color w:val="000000" w:themeColor="text1"/>
                <w:sz w:val="24"/>
                <w:szCs w:val="24"/>
              </w:rPr>
              <w:t xml:space="preserve"> </w:t>
            </w:r>
            <w:r w:rsidRPr="000749B2">
              <w:rPr>
                <w:rFonts w:ascii="Book Antiqua" w:hAnsi="Book Antiqua"/>
                <w:color w:val="000000" w:themeColor="text1"/>
                <w:sz w:val="24"/>
                <w:szCs w:val="24"/>
              </w:rPr>
              <w:t xml:space="preserve">survive longer due to decreased adenoma frequency. After </w:t>
            </w:r>
            <w:r w:rsidR="001734B0" w:rsidRPr="000749B2">
              <w:rPr>
                <w:rFonts w:ascii="Book Antiqua" w:hAnsi="Book Antiqua"/>
                <w:color w:val="000000" w:themeColor="text1"/>
                <w:sz w:val="24"/>
                <w:szCs w:val="24"/>
              </w:rPr>
              <w:t>one-year</w:t>
            </w:r>
            <w:r w:rsidRPr="000749B2">
              <w:rPr>
                <w:rFonts w:ascii="Book Antiqua" w:hAnsi="Book Antiqua"/>
                <w:color w:val="000000" w:themeColor="text1"/>
                <w:sz w:val="24"/>
                <w:szCs w:val="24"/>
              </w:rPr>
              <w:t xml:space="preserve"> high amount of invasive adenocarcinomas. 3% metastasis to lymph nodes</w:t>
            </w:r>
          </w:p>
        </w:tc>
      </w:tr>
      <w:tr w:rsidR="00CB43EF" w:rsidRPr="000749B2" w14:paraId="7CAFBA70" w14:textId="77777777" w:rsidTr="00207D8B">
        <w:tc>
          <w:tcPr>
            <w:tcW w:w="989" w:type="dxa"/>
          </w:tcPr>
          <w:p w14:paraId="3374B320"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15</w:t>
            </w:r>
          </w:p>
        </w:tc>
        <w:tc>
          <w:tcPr>
            <w:tcW w:w="1249" w:type="dxa"/>
          </w:tcPr>
          <w:p w14:paraId="1F08AF9D" w14:textId="620D050F"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[105]</w:t>
            </w:r>
          </w:p>
        </w:tc>
        <w:tc>
          <w:tcPr>
            <w:tcW w:w="3472" w:type="dxa"/>
          </w:tcPr>
          <w:p w14:paraId="2B45DD79"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Change of the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Min/+</w:t>
            </w:r>
            <w:r w:rsidRPr="000749B2">
              <w:rPr>
                <w:rFonts w:ascii="Book Antiqua" w:hAnsi="Book Antiqua"/>
                <w:color w:val="000000" w:themeColor="text1"/>
                <w:sz w:val="24"/>
                <w:szCs w:val="24"/>
              </w:rPr>
              <w:t xml:space="preserve"> genetic background from C57Bl6/J to A/J mice</w:t>
            </w:r>
          </w:p>
        </w:tc>
        <w:tc>
          <w:tcPr>
            <w:tcW w:w="3285" w:type="dxa"/>
          </w:tcPr>
          <w:p w14:paraId="324E30B7" w14:textId="6ACD8240"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Increased tumor formation in the intestine. 50% adenocarcinomas in the small intestine and 20% in the colon</w:t>
            </w:r>
          </w:p>
        </w:tc>
      </w:tr>
      <w:tr w:rsidR="00CB43EF" w:rsidRPr="000749B2" w14:paraId="133310DF" w14:textId="77777777" w:rsidTr="00207D8B">
        <w:tc>
          <w:tcPr>
            <w:tcW w:w="989" w:type="dxa"/>
          </w:tcPr>
          <w:p w14:paraId="7C905258"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16</w:t>
            </w:r>
          </w:p>
        </w:tc>
        <w:tc>
          <w:tcPr>
            <w:tcW w:w="1249" w:type="dxa"/>
          </w:tcPr>
          <w:p w14:paraId="47B3FD51" w14:textId="3E2CC5BD"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[131]</w:t>
            </w:r>
          </w:p>
        </w:tc>
        <w:tc>
          <w:tcPr>
            <w:tcW w:w="3472" w:type="dxa"/>
          </w:tcPr>
          <w:p w14:paraId="5F09F64C"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AhCre</w:t>
            </w:r>
            <w:r w:rsidRPr="000749B2">
              <w:rPr>
                <w:rFonts w:ascii="Book Antiqua" w:hAnsi="Book Antiqua"/>
                <w:i/>
                <w:iCs/>
                <w:color w:val="000000" w:themeColor="text1"/>
                <w:sz w:val="24"/>
                <w:szCs w:val="24"/>
                <w:vertAlign w:val="superscript"/>
              </w:rPr>
              <w:t>+</w:t>
            </w:r>
            <w:r w:rsidRPr="000749B2">
              <w:rPr>
                <w:rFonts w:ascii="Book Antiqua" w:hAnsi="Book Antiqua"/>
                <w:i/>
                <w:iCs/>
                <w:color w:val="000000" w:themeColor="text1"/>
                <w:sz w:val="24"/>
                <w:szCs w:val="24"/>
              </w:rPr>
              <w:t>; Apc</w:t>
            </w:r>
            <w:r w:rsidRPr="000749B2">
              <w:rPr>
                <w:rFonts w:ascii="Book Antiqua" w:hAnsi="Book Antiqua"/>
                <w:i/>
                <w:iCs/>
                <w:color w:val="000000" w:themeColor="text1"/>
                <w:sz w:val="24"/>
                <w:szCs w:val="24"/>
                <w:vertAlign w:val="superscript"/>
              </w:rPr>
              <w:t>flox/flox</w:t>
            </w:r>
          </w:p>
        </w:tc>
        <w:tc>
          <w:tcPr>
            <w:tcW w:w="3285" w:type="dxa"/>
          </w:tcPr>
          <w:p w14:paraId="1C3AB4B4" w14:textId="690AC7C9"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β-naphthoflavone-inducible Cyp1A promoter </w:t>
            </w:r>
            <w:r w:rsidRPr="000749B2">
              <w:rPr>
                <w:rFonts w:ascii="Book Antiqua" w:hAnsi="Book Antiqua"/>
                <w:i/>
                <w:iCs/>
                <w:color w:val="000000" w:themeColor="text1"/>
                <w:sz w:val="24"/>
                <w:szCs w:val="24"/>
              </w:rPr>
              <w:t>Cre</w:t>
            </w:r>
            <w:r w:rsidRPr="000749B2">
              <w:rPr>
                <w:rFonts w:ascii="Book Antiqua" w:hAnsi="Book Antiqua"/>
                <w:color w:val="000000" w:themeColor="text1"/>
                <w:sz w:val="24"/>
                <w:szCs w:val="24"/>
              </w:rPr>
              <w:t>-transgene (</w:t>
            </w:r>
            <w:r w:rsidRPr="000749B2">
              <w:rPr>
                <w:rFonts w:ascii="Book Antiqua" w:hAnsi="Book Antiqua"/>
                <w:i/>
                <w:iCs/>
                <w:color w:val="000000" w:themeColor="text1"/>
                <w:sz w:val="24"/>
                <w:szCs w:val="24"/>
              </w:rPr>
              <w:t>AhCre</w:t>
            </w:r>
            <w:r w:rsidRPr="000749B2">
              <w:rPr>
                <w:rFonts w:ascii="Book Antiqua" w:hAnsi="Book Antiqua"/>
                <w:color w:val="000000" w:themeColor="text1"/>
                <w:sz w:val="24"/>
                <w:szCs w:val="24"/>
              </w:rPr>
              <w:t>). Rapid death upon induction due to disruption of intestinal architecture</w:t>
            </w:r>
          </w:p>
        </w:tc>
      </w:tr>
      <w:tr w:rsidR="00CB43EF" w:rsidRPr="000749B2" w14:paraId="78E99A86" w14:textId="77777777" w:rsidTr="00207D8B">
        <w:tc>
          <w:tcPr>
            <w:tcW w:w="989" w:type="dxa"/>
          </w:tcPr>
          <w:p w14:paraId="291AE652"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17</w:t>
            </w:r>
          </w:p>
        </w:tc>
        <w:tc>
          <w:tcPr>
            <w:tcW w:w="1249" w:type="dxa"/>
          </w:tcPr>
          <w:p w14:paraId="0802B12F" w14:textId="0356D65A"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[98]</w:t>
            </w:r>
          </w:p>
        </w:tc>
        <w:tc>
          <w:tcPr>
            <w:tcW w:w="3472" w:type="dxa"/>
          </w:tcPr>
          <w:p w14:paraId="6A53FFEF"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Min/+</w:t>
            </w:r>
            <w:r w:rsidRPr="000749B2">
              <w:rPr>
                <w:rFonts w:ascii="Book Antiqua" w:hAnsi="Book Antiqua"/>
                <w:color w:val="000000" w:themeColor="text1"/>
                <w:sz w:val="24"/>
                <w:szCs w:val="24"/>
              </w:rPr>
              <w:t xml:space="preserve"> + AOM</w:t>
            </w:r>
          </w:p>
        </w:tc>
        <w:tc>
          <w:tcPr>
            <w:tcW w:w="3285" w:type="dxa"/>
          </w:tcPr>
          <w:p w14:paraId="338E65F1" w14:textId="5D9F51A5"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6</w:t>
            </w:r>
            <w:r w:rsidR="007113CC"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fold increase of colonic tumor formation compared to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Min/+</w:t>
            </w:r>
            <w:r w:rsidRPr="000749B2">
              <w:rPr>
                <w:rFonts w:ascii="Book Antiqua" w:hAnsi="Book Antiqua"/>
                <w:color w:val="000000" w:themeColor="text1"/>
                <w:sz w:val="24"/>
                <w:szCs w:val="24"/>
              </w:rPr>
              <w:t xml:space="preserve"> mice</w:t>
            </w:r>
          </w:p>
        </w:tc>
      </w:tr>
      <w:tr w:rsidR="00CB43EF" w:rsidRPr="000749B2" w14:paraId="6EB44017" w14:textId="77777777" w:rsidTr="00207D8B">
        <w:tc>
          <w:tcPr>
            <w:tcW w:w="989" w:type="dxa"/>
          </w:tcPr>
          <w:p w14:paraId="34DA0DED"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18</w:t>
            </w:r>
          </w:p>
        </w:tc>
        <w:tc>
          <w:tcPr>
            <w:tcW w:w="1249" w:type="dxa"/>
          </w:tcPr>
          <w:p w14:paraId="2C5511B1" w14:textId="2E6CBF33"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[379]</w:t>
            </w:r>
          </w:p>
        </w:tc>
        <w:tc>
          <w:tcPr>
            <w:tcW w:w="3472" w:type="dxa"/>
          </w:tcPr>
          <w:p w14:paraId="56948FE9"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Min/+</w:t>
            </w:r>
            <w:r w:rsidRPr="000749B2">
              <w:rPr>
                <w:rFonts w:ascii="Book Antiqua" w:hAnsi="Book Antiqua"/>
                <w:color w:val="000000" w:themeColor="text1"/>
                <w:sz w:val="24"/>
                <w:szCs w:val="24"/>
              </w:rPr>
              <w:t xml:space="preserve"> + AOM</w:t>
            </w:r>
          </w:p>
        </w:tc>
        <w:tc>
          <w:tcPr>
            <w:tcW w:w="3285" w:type="dxa"/>
          </w:tcPr>
          <w:p w14:paraId="1C61CAF8" w14:textId="440C08CC"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Increased incidence of colonic adenocarcinomas</w:t>
            </w:r>
          </w:p>
        </w:tc>
      </w:tr>
      <w:tr w:rsidR="00CB43EF" w:rsidRPr="000749B2" w14:paraId="7E3E2BB7" w14:textId="77777777" w:rsidTr="00207D8B">
        <w:tc>
          <w:tcPr>
            <w:tcW w:w="989" w:type="dxa"/>
          </w:tcPr>
          <w:p w14:paraId="140BB4CF"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19</w:t>
            </w:r>
          </w:p>
        </w:tc>
        <w:tc>
          <w:tcPr>
            <w:tcW w:w="1249" w:type="dxa"/>
          </w:tcPr>
          <w:p w14:paraId="202425D2" w14:textId="439F7942"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[52]</w:t>
            </w:r>
          </w:p>
        </w:tc>
        <w:tc>
          <w:tcPr>
            <w:tcW w:w="3472" w:type="dxa"/>
          </w:tcPr>
          <w:p w14:paraId="25CB9ABE" w14:textId="77777777" w:rsidR="00CB43EF" w:rsidRPr="000749B2" w:rsidRDefault="00CB43EF"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Min/+</w:t>
            </w:r>
            <w:r w:rsidRPr="000749B2">
              <w:rPr>
                <w:rFonts w:ascii="Book Antiqua" w:hAnsi="Book Antiqua"/>
                <w:color w:val="000000" w:themeColor="text1"/>
                <w:sz w:val="24"/>
                <w:szCs w:val="24"/>
                <w:vertAlign w:val="superscript"/>
              </w:rPr>
              <w:t xml:space="preserve"> </w:t>
            </w:r>
            <w:r w:rsidRPr="000749B2">
              <w:rPr>
                <w:rFonts w:ascii="Book Antiqua" w:hAnsi="Book Antiqua"/>
                <w:color w:val="000000" w:themeColor="text1"/>
                <w:sz w:val="24"/>
                <w:szCs w:val="24"/>
              </w:rPr>
              <w:t>+ DSS</w:t>
            </w:r>
          </w:p>
        </w:tc>
        <w:tc>
          <w:tcPr>
            <w:tcW w:w="3285" w:type="dxa"/>
          </w:tcPr>
          <w:p w14:paraId="0EFC405F" w14:textId="1CBA5C7E"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High incidence of well differentiated colonic carcinomas</w:t>
            </w:r>
          </w:p>
        </w:tc>
      </w:tr>
      <w:tr w:rsidR="00CB43EF" w:rsidRPr="000749B2" w14:paraId="27A998C4" w14:textId="77777777" w:rsidTr="00207D8B">
        <w:tc>
          <w:tcPr>
            <w:tcW w:w="989" w:type="dxa"/>
          </w:tcPr>
          <w:p w14:paraId="321FF5F4"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20</w:t>
            </w:r>
          </w:p>
        </w:tc>
        <w:tc>
          <w:tcPr>
            <w:tcW w:w="1249" w:type="dxa"/>
          </w:tcPr>
          <w:p w14:paraId="0F2B6FD4" w14:textId="450BF610"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[380]</w:t>
            </w:r>
          </w:p>
        </w:tc>
        <w:tc>
          <w:tcPr>
            <w:tcW w:w="3472" w:type="dxa"/>
          </w:tcPr>
          <w:p w14:paraId="106DD7DC"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Min/+</w:t>
            </w:r>
            <w:r w:rsidRPr="000749B2">
              <w:rPr>
                <w:rFonts w:ascii="Book Antiqua" w:hAnsi="Book Antiqua"/>
                <w:color w:val="000000" w:themeColor="text1"/>
                <w:sz w:val="24"/>
                <w:szCs w:val="24"/>
              </w:rPr>
              <w:t xml:space="preserve"> + PhIP</w:t>
            </w:r>
          </w:p>
        </w:tc>
        <w:tc>
          <w:tcPr>
            <w:tcW w:w="3285" w:type="dxa"/>
          </w:tcPr>
          <w:p w14:paraId="60FEBD1B" w14:textId="347B1435"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2</w:t>
            </w:r>
            <w:r w:rsidR="007113CC" w:rsidRPr="000749B2">
              <w:rPr>
                <w:rFonts w:ascii="Book Antiqua" w:hAnsi="Book Antiqua"/>
                <w:color w:val="000000" w:themeColor="text1"/>
                <w:sz w:val="24"/>
                <w:szCs w:val="24"/>
              </w:rPr>
              <w:t xml:space="preserve">- to </w:t>
            </w:r>
            <w:r w:rsidRPr="000749B2">
              <w:rPr>
                <w:rFonts w:ascii="Book Antiqua" w:hAnsi="Book Antiqua"/>
                <w:color w:val="000000" w:themeColor="text1"/>
                <w:sz w:val="24"/>
                <w:szCs w:val="24"/>
              </w:rPr>
              <w:t>3</w:t>
            </w:r>
            <w:r w:rsidR="007113CC"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fold increase of tumor formation compared to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Min/+</w:t>
            </w:r>
            <w:r w:rsidRPr="000749B2">
              <w:rPr>
                <w:rFonts w:ascii="Book Antiqua" w:hAnsi="Book Antiqua"/>
                <w:color w:val="000000" w:themeColor="text1"/>
                <w:sz w:val="24"/>
                <w:szCs w:val="24"/>
              </w:rPr>
              <w:t xml:space="preserve"> mice</w:t>
            </w:r>
          </w:p>
        </w:tc>
      </w:tr>
      <w:tr w:rsidR="00CB43EF" w:rsidRPr="000749B2" w14:paraId="62DB14EC" w14:textId="77777777" w:rsidTr="00207D8B">
        <w:tc>
          <w:tcPr>
            <w:tcW w:w="989" w:type="dxa"/>
          </w:tcPr>
          <w:p w14:paraId="30565685"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21</w:t>
            </w:r>
          </w:p>
        </w:tc>
        <w:tc>
          <w:tcPr>
            <w:tcW w:w="1249" w:type="dxa"/>
          </w:tcPr>
          <w:p w14:paraId="7B41F272" w14:textId="5DC112F9"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[99]</w:t>
            </w:r>
          </w:p>
        </w:tc>
        <w:tc>
          <w:tcPr>
            <w:tcW w:w="3472" w:type="dxa"/>
          </w:tcPr>
          <w:p w14:paraId="2BFF0038"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Min/+</w:t>
            </w:r>
            <w:r w:rsidRPr="000749B2">
              <w:rPr>
                <w:rFonts w:ascii="Book Antiqua" w:hAnsi="Book Antiqua"/>
                <w:color w:val="000000" w:themeColor="text1"/>
                <w:sz w:val="24"/>
                <w:szCs w:val="24"/>
              </w:rPr>
              <w:t xml:space="preserve"> + AOM + DSS</w:t>
            </w:r>
          </w:p>
        </w:tc>
        <w:tc>
          <w:tcPr>
            <w:tcW w:w="3285" w:type="dxa"/>
          </w:tcPr>
          <w:p w14:paraId="70B8211C" w14:textId="70C30533"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Mainly small intestinal tumor formation</w:t>
            </w:r>
          </w:p>
        </w:tc>
      </w:tr>
      <w:tr w:rsidR="00CB43EF" w:rsidRPr="000749B2" w14:paraId="24939D84" w14:textId="77777777" w:rsidTr="00207D8B">
        <w:tc>
          <w:tcPr>
            <w:tcW w:w="989" w:type="dxa"/>
          </w:tcPr>
          <w:p w14:paraId="09BE955A"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22</w:t>
            </w:r>
          </w:p>
        </w:tc>
        <w:tc>
          <w:tcPr>
            <w:tcW w:w="1249" w:type="dxa"/>
          </w:tcPr>
          <w:p w14:paraId="6F745B95" w14:textId="063E3868"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[111]</w:t>
            </w:r>
          </w:p>
        </w:tc>
        <w:tc>
          <w:tcPr>
            <w:tcW w:w="3472" w:type="dxa"/>
          </w:tcPr>
          <w:p w14:paraId="5DEA64AE"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Min</w:t>
            </w:r>
            <w:r w:rsidRPr="000749B2">
              <w:rPr>
                <w:rFonts w:ascii="Book Antiqua" w:hAnsi="Book Antiqua"/>
                <w:i/>
                <w:iCs/>
                <w:color w:val="000000" w:themeColor="text1"/>
                <w:sz w:val="24"/>
                <w:szCs w:val="24"/>
                <w:vertAlign w:val="superscript"/>
              </w:rPr>
              <w:t xml:space="preserve">/+ </w:t>
            </w:r>
            <w:r w:rsidRPr="000749B2">
              <w:rPr>
                <w:rFonts w:ascii="Book Antiqua" w:hAnsi="Book Antiqua"/>
                <w:i/>
                <w:iCs/>
                <w:color w:val="000000" w:themeColor="text1"/>
                <w:sz w:val="24"/>
                <w:szCs w:val="24"/>
              </w:rPr>
              <w:t>P53</w:t>
            </w:r>
            <w:r w:rsidRPr="000749B2">
              <w:rPr>
                <w:rFonts w:ascii="Book Antiqua" w:hAnsi="Book Antiqua"/>
                <w:i/>
                <w:iCs/>
                <w:color w:val="000000" w:themeColor="text1"/>
                <w:sz w:val="24"/>
                <w:szCs w:val="24"/>
                <w:vertAlign w:val="superscript"/>
              </w:rPr>
              <w:t>-/-</w:t>
            </w:r>
          </w:p>
        </w:tc>
        <w:tc>
          <w:tcPr>
            <w:tcW w:w="3285" w:type="dxa"/>
          </w:tcPr>
          <w:p w14:paraId="0425434D" w14:textId="04AB6E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No increased adenoma formation or malignancy compared to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 xml:space="preserve">Min/+ </w:t>
            </w:r>
            <w:r w:rsidRPr="000749B2">
              <w:rPr>
                <w:rFonts w:ascii="Book Antiqua" w:hAnsi="Book Antiqua"/>
                <w:i/>
                <w:iCs/>
                <w:color w:val="000000" w:themeColor="text1"/>
                <w:sz w:val="24"/>
                <w:szCs w:val="24"/>
              </w:rPr>
              <w:t>53</w:t>
            </w:r>
            <w:r w:rsidRPr="000749B2">
              <w:rPr>
                <w:rFonts w:ascii="Book Antiqua" w:hAnsi="Book Antiqua"/>
                <w:i/>
                <w:iCs/>
                <w:color w:val="000000" w:themeColor="text1"/>
                <w:sz w:val="24"/>
                <w:szCs w:val="24"/>
                <w:vertAlign w:val="superscript"/>
              </w:rPr>
              <w:t xml:space="preserve">-/+ </w:t>
            </w:r>
            <w:r w:rsidRPr="000749B2">
              <w:rPr>
                <w:rFonts w:ascii="Book Antiqua" w:hAnsi="Book Antiqua"/>
                <w:i/>
                <w:iCs/>
                <w:color w:val="000000" w:themeColor="text1"/>
                <w:sz w:val="24"/>
                <w:szCs w:val="24"/>
              </w:rPr>
              <w:t>-</w:t>
            </w:r>
            <w:r w:rsidR="007113CC" w:rsidRPr="000749B2">
              <w:rPr>
                <w:rFonts w:ascii="Book Antiqua" w:hAnsi="Book Antiqua"/>
                <w:i/>
                <w:iCs/>
                <w:color w:val="000000" w:themeColor="text1"/>
                <w:sz w:val="24"/>
                <w:szCs w:val="24"/>
              </w:rPr>
              <w:t xml:space="preserve"> </w:t>
            </w:r>
            <w:r w:rsidRPr="000749B2">
              <w:rPr>
                <w:rFonts w:ascii="Book Antiqua" w:hAnsi="Book Antiqua"/>
                <w:color w:val="000000" w:themeColor="text1"/>
                <w:sz w:val="24"/>
                <w:szCs w:val="24"/>
              </w:rPr>
              <w:t xml:space="preserve">and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 xml:space="preserve">Min/+ </w:t>
            </w:r>
            <w:r w:rsidRPr="000749B2">
              <w:rPr>
                <w:rFonts w:ascii="Book Antiqua" w:hAnsi="Book Antiqua"/>
                <w:i/>
                <w:iCs/>
                <w:color w:val="000000" w:themeColor="text1"/>
                <w:sz w:val="24"/>
                <w:szCs w:val="24"/>
              </w:rPr>
              <w:t>P53</w:t>
            </w:r>
            <w:r w:rsidRPr="000749B2">
              <w:rPr>
                <w:rFonts w:ascii="Book Antiqua" w:hAnsi="Book Antiqua"/>
                <w:i/>
                <w:iCs/>
                <w:color w:val="000000" w:themeColor="text1"/>
                <w:sz w:val="24"/>
                <w:szCs w:val="24"/>
                <w:vertAlign w:val="superscript"/>
              </w:rPr>
              <w:t>+/+</w:t>
            </w:r>
            <w:r w:rsidRPr="000749B2">
              <w:rPr>
                <w:rFonts w:ascii="Book Antiqua" w:hAnsi="Book Antiqua"/>
                <w:color w:val="000000" w:themeColor="text1"/>
                <w:sz w:val="24"/>
                <w:szCs w:val="24"/>
                <w:vertAlign w:val="superscript"/>
              </w:rPr>
              <w:t xml:space="preserve"> </w:t>
            </w:r>
            <w:r w:rsidRPr="000749B2">
              <w:rPr>
                <w:rFonts w:ascii="Book Antiqua" w:hAnsi="Book Antiqua"/>
                <w:color w:val="000000" w:themeColor="text1"/>
                <w:sz w:val="24"/>
                <w:szCs w:val="24"/>
              </w:rPr>
              <w:t>-mice</w:t>
            </w:r>
          </w:p>
        </w:tc>
      </w:tr>
      <w:tr w:rsidR="00CB43EF" w:rsidRPr="000749B2" w14:paraId="6C807725" w14:textId="77777777" w:rsidTr="00207D8B">
        <w:tc>
          <w:tcPr>
            <w:tcW w:w="989" w:type="dxa"/>
          </w:tcPr>
          <w:p w14:paraId="4E0EA1CD"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23</w:t>
            </w:r>
          </w:p>
        </w:tc>
        <w:tc>
          <w:tcPr>
            <w:tcW w:w="1249" w:type="dxa"/>
          </w:tcPr>
          <w:p w14:paraId="22620EF0" w14:textId="69D2DAC5"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[112]</w:t>
            </w:r>
          </w:p>
        </w:tc>
        <w:tc>
          <w:tcPr>
            <w:tcW w:w="3472" w:type="dxa"/>
          </w:tcPr>
          <w:p w14:paraId="26E3E262"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 xml:space="preserve">Min/+ </w:t>
            </w:r>
            <w:r w:rsidRPr="000749B2">
              <w:rPr>
                <w:rFonts w:ascii="Book Antiqua" w:hAnsi="Book Antiqua"/>
                <w:i/>
                <w:iCs/>
                <w:color w:val="000000" w:themeColor="text1"/>
                <w:sz w:val="24"/>
                <w:szCs w:val="24"/>
              </w:rPr>
              <w:t>P53</w:t>
            </w:r>
            <w:r w:rsidRPr="000749B2">
              <w:rPr>
                <w:rFonts w:ascii="Book Antiqua" w:hAnsi="Book Antiqua"/>
                <w:i/>
                <w:iCs/>
                <w:color w:val="000000" w:themeColor="text1"/>
                <w:sz w:val="24"/>
                <w:szCs w:val="24"/>
                <w:vertAlign w:val="superscript"/>
              </w:rPr>
              <w:t>-/-</w:t>
            </w:r>
          </w:p>
        </w:tc>
        <w:tc>
          <w:tcPr>
            <w:tcW w:w="3285" w:type="dxa"/>
          </w:tcPr>
          <w:p w14:paraId="0F70913C" w14:textId="4B3BAC0B"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No increased malignancy or adenoma formation compared to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 xml:space="preserve">Min/+ </w:t>
            </w:r>
            <w:r w:rsidRPr="000749B2">
              <w:rPr>
                <w:rFonts w:ascii="Book Antiqua" w:hAnsi="Book Antiqua"/>
                <w:color w:val="000000" w:themeColor="text1"/>
                <w:sz w:val="24"/>
                <w:szCs w:val="24"/>
              </w:rPr>
              <w:t>mice</w:t>
            </w:r>
          </w:p>
        </w:tc>
      </w:tr>
      <w:tr w:rsidR="00CB43EF" w:rsidRPr="000749B2" w14:paraId="5A3A0927" w14:textId="77777777" w:rsidTr="00207D8B">
        <w:tc>
          <w:tcPr>
            <w:tcW w:w="989" w:type="dxa"/>
          </w:tcPr>
          <w:p w14:paraId="1767CA2B"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24</w:t>
            </w:r>
          </w:p>
        </w:tc>
        <w:tc>
          <w:tcPr>
            <w:tcW w:w="1249" w:type="dxa"/>
          </w:tcPr>
          <w:p w14:paraId="03C393B0" w14:textId="69B20EAC"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[381]</w:t>
            </w:r>
          </w:p>
        </w:tc>
        <w:tc>
          <w:tcPr>
            <w:tcW w:w="3472" w:type="dxa"/>
          </w:tcPr>
          <w:p w14:paraId="01058608"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 xml:space="preserve">Min/+ </w:t>
            </w:r>
            <w:r w:rsidRPr="000749B2">
              <w:rPr>
                <w:rFonts w:ascii="Book Antiqua" w:hAnsi="Book Antiqua"/>
                <w:i/>
                <w:iCs/>
                <w:color w:val="000000" w:themeColor="text1"/>
                <w:sz w:val="24"/>
                <w:szCs w:val="24"/>
              </w:rPr>
              <w:t>P53</w:t>
            </w:r>
            <w:r w:rsidRPr="000749B2">
              <w:rPr>
                <w:rFonts w:ascii="Book Antiqua" w:hAnsi="Book Antiqua"/>
                <w:i/>
                <w:iCs/>
                <w:color w:val="000000" w:themeColor="text1"/>
                <w:sz w:val="24"/>
                <w:szCs w:val="24"/>
                <w:vertAlign w:val="superscript"/>
              </w:rPr>
              <w:t>-/-</w:t>
            </w:r>
          </w:p>
        </w:tc>
        <w:tc>
          <w:tcPr>
            <w:tcW w:w="3285" w:type="dxa"/>
          </w:tcPr>
          <w:p w14:paraId="4BF39222" w14:textId="4B44105D"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Slight, but not significant, increase in malignancy</w:t>
            </w:r>
          </w:p>
        </w:tc>
      </w:tr>
      <w:tr w:rsidR="004E601A" w:rsidRPr="000749B2" w14:paraId="66A4871F" w14:textId="77777777" w:rsidTr="00207D8B">
        <w:trPr>
          <w:trHeight w:val="333"/>
        </w:trPr>
        <w:tc>
          <w:tcPr>
            <w:tcW w:w="989" w:type="dxa"/>
            <w:vMerge w:val="restart"/>
          </w:tcPr>
          <w:p w14:paraId="7F7E0A8F" w14:textId="77777777"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25</w:t>
            </w:r>
          </w:p>
        </w:tc>
        <w:tc>
          <w:tcPr>
            <w:tcW w:w="1249" w:type="dxa"/>
            <w:vMerge w:val="restart"/>
            <w:shd w:val="clear" w:color="auto" w:fill="auto"/>
          </w:tcPr>
          <w:p w14:paraId="315FECFC" w14:textId="0D34AEFB" w:rsidR="004E601A" w:rsidRPr="000749B2" w:rsidRDefault="004E601A"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[113]</w:t>
            </w:r>
          </w:p>
        </w:tc>
        <w:tc>
          <w:tcPr>
            <w:tcW w:w="3472" w:type="dxa"/>
            <w:shd w:val="clear" w:color="auto" w:fill="auto"/>
          </w:tcPr>
          <w:p w14:paraId="260EC288" w14:textId="56952270" w:rsidR="004E601A" w:rsidRPr="000749B2" w:rsidRDefault="004E601A"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 xml:space="preserve">Min/+ </w:t>
            </w:r>
            <w:r w:rsidRPr="000749B2">
              <w:rPr>
                <w:rFonts w:ascii="Book Antiqua" w:hAnsi="Book Antiqua"/>
                <w:i/>
                <w:iCs/>
                <w:color w:val="000000" w:themeColor="text1"/>
                <w:sz w:val="24"/>
                <w:szCs w:val="24"/>
              </w:rPr>
              <w:t>Mom1</w:t>
            </w:r>
            <w:r w:rsidRPr="000749B2">
              <w:rPr>
                <w:rFonts w:ascii="Book Antiqua" w:hAnsi="Book Antiqua"/>
                <w:i/>
                <w:iCs/>
                <w:color w:val="000000" w:themeColor="text1"/>
                <w:sz w:val="24"/>
                <w:szCs w:val="24"/>
                <w:vertAlign w:val="superscript"/>
              </w:rPr>
              <w:t xml:space="preserve">R/R </w:t>
            </w:r>
            <w:r w:rsidRPr="000749B2">
              <w:rPr>
                <w:rFonts w:ascii="Book Antiqua" w:hAnsi="Book Antiqua"/>
                <w:i/>
                <w:iCs/>
                <w:color w:val="000000" w:themeColor="text1"/>
                <w:sz w:val="24"/>
                <w:szCs w:val="24"/>
              </w:rPr>
              <w:t>P53</w:t>
            </w:r>
            <w:r w:rsidRPr="000749B2">
              <w:rPr>
                <w:rFonts w:ascii="Book Antiqua" w:hAnsi="Book Antiqua"/>
                <w:i/>
                <w:iCs/>
                <w:color w:val="000000" w:themeColor="text1"/>
                <w:sz w:val="24"/>
                <w:szCs w:val="24"/>
                <w:vertAlign w:val="superscript"/>
              </w:rPr>
              <w:t>−/−</w:t>
            </w:r>
          </w:p>
        </w:tc>
        <w:tc>
          <w:tcPr>
            <w:tcW w:w="3285" w:type="dxa"/>
            <w:vMerge w:val="restart"/>
            <w:shd w:val="clear" w:color="auto" w:fill="auto"/>
          </w:tcPr>
          <w:p w14:paraId="1F49A0A4" w14:textId="7724DE7C"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P53 deficiency increases intestinal adenoma multiplicity and malignancy</w:t>
            </w:r>
          </w:p>
        </w:tc>
      </w:tr>
      <w:tr w:rsidR="004E601A" w:rsidRPr="000749B2" w14:paraId="2A1C04DB" w14:textId="77777777" w:rsidTr="00207D8B">
        <w:trPr>
          <w:trHeight w:val="965"/>
        </w:trPr>
        <w:tc>
          <w:tcPr>
            <w:tcW w:w="989" w:type="dxa"/>
            <w:vMerge/>
          </w:tcPr>
          <w:p w14:paraId="71758A30" w14:textId="77777777" w:rsidR="004E601A" w:rsidRPr="000749B2" w:rsidRDefault="004E601A" w:rsidP="000B4309">
            <w:pPr>
              <w:spacing w:line="360" w:lineRule="auto"/>
              <w:jc w:val="both"/>
              <w:rPr>
                <w:rFonts w:ascii="Book Antiqua" w:hAnsi="Book Antiqua"/>
                <w:color w:val="000000" w:themeColor="text1"/>
                <w:sz w:val="24"/>
                <w:szCs w:val="24"/>
              </w:rPr>
            </w:pPr>
          </w:p>
        </w:tc>
        <w:tc>
          <w:tcPr>
            <w:tcW w:w="1249" w:type="dxa"/>
            <w:vMerge/>
            <w:shd w:val="clear" w:color="auto" w:fill="auto"/>
          </w:tcPr>
          <w:p w14:paraId="45435297" w14:textId="77777777" w:rsidR="004E601A" w:rsidRPr="000749B2" w:rsidRDefault="004E601A" w:rsidP="000B4309">
            <w:pPr>
              <w:spacing w:line="360" w:lineRule="auto"/>
              <w:jc w:val="both"/>
              <w:rPr>
                <w:rFonts w:ascii="Book Antiqua" w:hAnsi="Book Antiqua"/>
                <w:color w:val="000000" w:themeColor="text1"/>
                <w:sz w:val="24"/>
                <w:szCs w:val="24"/>
                <w:vertAlign w:val="superscript"/>
              </w:rPr>
            </w:pPr>
          </w:p>
        </w:tc>
        <w:tc>
          <w:tcPr>
            <w:tcW w:w="3472" w:type="dxa"/>
            <w:shd w:val="clear" w:color="auto" w:fill="auto"/>
          </w:tcPr>
          <w:p w14:paraId="42C44E23" w14:textId="367F8EC6" w:rsidR="004E601A" w:rsidRPr="000749B2" w:rsidRDefault="004E601A" w:rsidP="004E601A">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 xml:space="preserve">Min/+ </w:t>
            </w:r>
            <w:r w:rsidRPr="000749B2">
              <w:rPr>
                <w:rFonts w:ascii="Book Antiqua" w:hAnsi="Book Antiqua"/>
                <w:i/>
                <w:iCs/>
                <w:color w:val="000000" w:themeColor="text1"/>
                <w:sz w:val="24"/>
                <w:szCs w:val="24"/>
              </w:rPr>
              <w:t>Mom1</w:t>
            </w:r>
            <w:r w:rsidRPr="000749B2">
              <w:rPr>
                <w:rFonts w:ascii="Book Antiqua" w:hAnsi="Book Antiqua"/>
                <w:i/>
                <w:iCs/>
                <w:color w:val="000000" w:themeColor="text1"/>
                <w:sz w:val="24"/>
                <w:szCs w:val="24"/>
                <w:vertAlign w:val="superscript"/>
              </w:rPr>
              <w:t>R/S</w:t>
            </w:r>
            <w:r w:rsidRPr="000749B2">
              <w:rPr>
                <w:rFonts w:ascii="Book Antiqua" w:hAnsi="Book Antiqua"/>
                <w:i/>
                <w:iCs/>
                <w:color w:val="000000" w:themeColor="text1"/>
                <w:sz w:val="24"/>
                <w:szCs w:val="24"/>
              </w:rPr>
              <w:t xml:space="preserve"> P53</w:t>
            </w:r>
            <w:r w:rsidRPr="000749B2">
              <w:rPr>
                <w:rFonts w:ascii="Book Antiqua" w:hAnsi="Book Antiqua"/>
                <w:i/>
                <w:iCs/>
                <w:color w:val="000000" w:themeColor="text1"/>
                <w:sz w:val="24"/>
                <w:szCs w:val="24"/>
                <w:vertAlign w:val="superscript"/>
              </w:rPr>
              <w:t>−/−</w:t>
            </w:r>
          </w:p>
        </w:tc>
        <w:tc>
          <w:tcPr>
            <w:tcW w:w="3285" w:type="dxa"/>
            <w:vMerge/>
            <w:shd w:val="clear" w:color="auto" w:fill="auto"/>
          </w:tcPr>
          <w:p w14:paraId="7FF6620A" w14:textId="77777777" w:rsidR="004E601A" w:rsidRPr="000749B2" w:rsidRDefault="004E601A" w:rsidP="000B4309">
            <w:pPr>
              <w:spacing w:line="360" w:lineRule="auto"/>
              <w:jc w:val="both"/>
              <w:rPr>
                <w:rFonts w:ascii="Book Antiqua" w:hAnsi="Book Antiqua"/>
                <w:color w:val="000000" w:themeColor="text1"/>
                <w:sz w:val="24"/>
                <w:szCs w:val="24"/>
              </w:rPr>
            </w:pPr>
          </w:p>
        </w:tc>
      </w:tr>
      <w:tr w:rsidR="004E601A" w:rsidRPr="000749B2" w14:paraId="3E93BAB9" w14:textId="77777777" w:rsidTr="00207D8B">
        <w:trPr>
          <w:trHeight w:val="760"/>
        </w:trPr>
        <w:tc>
          <w:tcPr>
            <w:tcW w:w="989" w:type="dxa"/>
            <w:vMerge w:val="restart"/>
          </w:tcPr>
          <w:p w14:paraId="50E09E68" w14:textId="77777777"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26</w:t>
            </w:r>
          </w:p>
        </w:tc>
        <w:tc>
          <w:tcPr>
            <w:tcW w:w="1249" w:type="dxa"/>
            <w:vMerge w:val="restart"/>
          </w:tcPr>
          <w:p w14:paraId="5429D612" w14:textId="69189BAC" w:rsidR="004E601A" w:rsidRPr="000749B2" w:rsidRDefault="004E601A"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[139]</w:t>
            </w:r>
          </w:p>
        </w:tc>
        <w:tc>
          <w:tcPr>
            <w:tcW w:w="3472" w:type="dxa"/>
          </w:tcPr>
          <w:p w14:paraId="5FAB250E" w14:textId="017E4DB3" w:rsidR="004E601A" w:rsidRPr="000749B2" w:rsidRDefault="004E601A"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Δ716</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Trp53</w:t>
            </w:r>
            <w:r w:rsidRPr="000749B2">
              <w:rPr>
                <w:rFonts w:ascii="Book Antiqua" w:hAnsi="Book Antiqua"/>
                <w:i/>
                <w:iCs/>
                <w:color w:val="000000" w:themeColor="text1"/>
                <w:sz w:val="24"/>
                <w:szCs w:val="24"/>
                <w:vertAlign w:val="superscript"/>
              </w:rPr>
              <w:t>+/LSL•R270H</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Villin-CreER</w:t>
            </w:r>
          </w:p>
        </w:tc>
        <w:tc>
          <w:tcPr>
            <w:tcW w:w="3285" w:type="dxa"/>
            <w:vMerge w:val="restart"/>
          </w:tcPr>
          <w:p w14:paraId="43B980EC" w14:textId="76D41B94"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Homozygotes die rapidly </w:t>
            </w:r>
            <w:r w:rsidRPr="000749B2">
              <w:rPr>
                <w:rFonts w:ascii="Book Antiqua" w:hAnsi="Book Antiqua"/>
                <w:color w:val="000000" w:themeColor="text1"/>
                <w:sz w:val="24"/>
                <w:szCs w:val="24"/>
              </w:rPr>
              <w:lastRenderedPageBreak/>
              <w:t xml:space="preserve">from lymphoma while heterozygous </w:t>
            </w:r>
            <w:r w:rsidRPr="000749B2">
              <w:rPr>
                <w:rFonts w:ascii="Book Antiqua" w:hAnsi="Book Antiqua"/>
                <w:i/>
                <w:iCs/>
                <w:color w:val="000000" w:themeColor="text1"/>
                <w:sz w:val="24"/>
                <w:szCs w:val="24"/>
              </w:rPr>
              <w:t>P53</w:t>
            </w:r>
            <w:r w:rsidRPr="000749B2">
              <w:rPr>
                <w:rFonts w:ascii="Book Antiqua" w:hAnsi="Book Antiqua"/>
                <w:i/>
                <w:iCs/>
                <w:color w:val="000000" w:themeColor="text1"/>
                <w:sz w:val="24"/>
                <w:szCs w:val="24"/>
                <w:vertAlign w:val="superscript"/>
              </w:rPr>
              <w:t>R</w:t>
            </w:r>
            <w:r w:rsidRPr="000749B2">
              <w:rPr>
                <w:rFonts w:ascii="Book Antiqua" w:hAnsi="Book Antiqua"/>
                <w:color w:val="000000" w:themeColor="text1"/>
                <w:sz w:val="24"/>
                <w:szCs w:val="24"/>
                <w:vertAlign w:val="superscript"/>
              </w:rPr>
              <w:t>270H</w:t>
            </w:r>
            <w:r w:rsidRPr="000749B2">
              <w:rPr>
                <w:rFonts w:ascii="Book Antiqua" w:hAnsi="Book Antiqua"/>
                <w:color w:val="000000" w:themeColor="text1"/>
                <w:sz w:val="24"/>
                <w:szCs w:val="24"/>
              </w:rPr>
              <w:t xml:space="preserve"> leads to invasive adenocarcinomas with features of EMT</w:t>
            </w:r>
          </w:p>
        </w:tc>
      </w:tr>
      <w:tr w:rsidR="004E601A" w:rsidRPr="000749B2" w14:paraId="6EAE3E60" w14:textId="77777777" w:rsidTr="00207D8B">
        <w:trPr>
          <w:trHeight w:val="1851"/>
        </w:trPr>
        <w:tc>
          <w:tcPr>
            <w:tcW w:w="989" w:type="dxa"/>
            <w:vMerge/>
          </w:tcPr>
          <w:p w14:paraId="19B3CCD8" w14:textId="77777777" w:rsidR="004E601A" w:rsidRPr="000749B2" w:rsidRDefault="004E601A" w:rsidP="000B4309">
            <w:pPr>
              <w:spacing w:line="360" w:lineRule="auto"/>
              <w:jc w:val="both"/>
              <w:rPr>
                <w:rFonts w:ascii="Book Antiqua" w:hAnsi="Book Antiqua"/>
                <w:color w:val="000000" w:themeColor="text1"/>
                <w:sz w:val="24"/>
                <w:szCs w:val="24"/>
              </w:rPr>
            </w:pPr>
          </w:p>
        </w:tc>
        <w:tc>
          <w:tcPr>
            <w:tcW w:w="1249" w:type="dxa"/>
            <w:vMerge/>
          </w:tcPr>
          <w:p w14:paraId="21C64A6B" w14:textId="77777777" w:rsidR="004E601A" w:rsidRPr="000749B2" w:rsidRDefault="004E601A" w:rsidP="000B4309">
            <w:pPr>
              <w:spacing w:line="360" w:lineRule="auto"/>
              <w:jc w:val="both"/>
              <w:rPr>
                <w:rFonts w:ascii="Book Antiqua" w:hAnsi="Book Antiqua"/>
                <w:color w:val="000000" w:themeColor="text1"/>
                <w:sz w:val="24"/>
                <w:szCs w:val="24"/>
                <w:vertAlign w:val="superscript"/>
              </w:rPr>
            </w:pPr>
          </w:p>
        </w:tc>
        <w:tc>
          <w:tcPr>
            <w:tcW w:w="3472" w:type="dxa"/>
          </w:tcPr>
          <w:p w14:paraId="4F21BD71" w14:textId="6226B1C2" w:rsidR="004E601A" w:rsidRPr="000749B2" w:rsidRDefault="004E601A" w:rsidP="004E601A">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Δ716</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Trp53</w:t>
            </w:r>
            <w:r w:rsidRPr="000749B2">
              <w:rPr>
                <w:rFonts w:ascii="Book Antiqua" w:hAnsi="Book Antiqua"/>
                <w:i/>
                <w:iCs/>
                <w:color w:val="000000" w:themeColor="text1"/>
                <w:sz w:val="24"/>
                <w:szCs w:val="24"/>
                <w:vertAlign w:val="superscript"/>
              </w:rPr>
              <w:t>LSL•R270H/LSL•R270H</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Villin-CreER</w:t>
            </w:r>
          </w:p>
        </w:tc>
        <w:tc>
          <w:tcPr>
            <w:tcW w:w="3285" w:type="dxa"/>
            <w:vMerge/>
          </w:tcPr>
          <w:p w14:paraId="5C6D7855" w14:textId="77777777" w:rsidR="004E601A" w:rsidRPr="000749B2" w:rsidRDefault="004E601A" w:rsidP="000B4309">
            <w:pPr>
              <w:spacing w:line="360" w:lineRule="auto"/>
              <w:jc w:val="both"/>
              <w:rPr>
                <w:rFonts w:ascii="Book Antiqua" w:hAnsi="Book Antiqua"/>
                <w:color w:val="000000" w:themeColor="text1"/>
                <w:sz w:val="24"/>
                <w:szCs w:val="24"/>
              </w:rPr>
            </w:pPr>
          </w:p>
        </w:tc>
      </w:tr>
      <w:tr w:rsidR="00CB43EF" w:rsidRPr="000749B2" w14:paraId="5EBABFDE" w14:textId="77777777" w:rsidTr="00207D8B">
        <w:tc>
          <w:tcPr>
            <w:tcW w:w="989" w:type="dxa"/>
          </w:tcPr>
          <w:p w14:paraId="446F0EA4"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27</w:t>
            </w:r>
          </w:p>
        </w:tc>
        <w:tc>
          <w:tcPr>
            <w:tcW w:w="1249" w:type="dxa"/>
          </w:tcPr>
          <w:p w14:paraId="739195B2" w14:textId="2276867D" w:rsidR="00CB43EF" w:rsidRPr="000749B2" w:rsidRDefault="00C42D1B" w:rsidP="000B4309">
            <w:pPr>
              <w:spacing w:line="360" w:lineRule="auto"/>
              <w:jc w:val="both"/>
              <w:rPr>
                <w:rFonts w:ascii="Book Antiqua" w:hAnsi="Book Antiqua"/>
                <w:i/>
                <w:iCs/>
                <w:color w:val="000000" w:themeColor="text1"/>
                <w:sz w:val="24"/>
                <w:szCs w:val="24"/>
                <w:vertAlign w:val="superscript"/>
              </w:rPr>
            </w:pPr>
            <w:r w:rsidRPr="000749B2">
              <w:rPr>
                <w:rFonts w:ascii="Book Antiqua" w:hAnsi="Book Antiqua"/>
                <w:color w:val="000000" w:themeColor="text1"/>
                <w:sz w:val="24"/>
                <w:szCs w:val="24"/>
                <w:vertAlign w:val="superscript"/>
              </w:rPr>
              <w:t>[128]</w:t>
            </w:r>
          </w:p>
        </w:tc>
        <w:tc>
          <w:tcPr>
            <w:tcW w:w="3472" w:type="dxa"/>
          </w:tcPr>
          <w:p w14:paraId="400CA85C" w14:textId="4232F1CE"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Deletion of </w:t>
            </w:r>
            <w:r w:rsidRPr="000749B2">
              <w:rPr>
                <w:rFonts w:ascii="Book Antiqua" w:hAnsi="Book Antiqua"/>
                <w:i/>
                <w:iCs/>
                <w:color w:val="000000" w:themeColor="text1"/>
                <w:sz w:val="24"/>
                <w:szCs w:val="24"/>
              </w:rPr>
              <w:t>Apc and P53</w:t>
            </w:r>
            <w:r w:rsidRPr="000749B2">
              <w:rPr>
                <w:rFonts w:ascii="Book Antiqua" w:hAnsi="Book Antiqua"/>
                <w:color w:val="000000" w:themeColor="text1"/>
                <w:sz w:val="24"/>
                <w:szCs w:val="24"/>
              </w:rPr>
              <w:t xml:space="preserve"> by viral delivery of corresponding sgRNA into </w:t>
            </w:r>
            <w:r w:rsidRPr="000749B2">
              <w:rPr>
                <w:rFonts w:ascii="Book Antiqua" w:hAnsi="Book Antiqua"/>
                <w:i/>
                <w:iCs/>
                <w:color w:val="000000" w:themeColor="text1"/>
                <w:sz w:val="24"/>
                <w:szCs w:val="24"/>
              </w:rPr>
              <w:t>Rosa26</w:t>
            </w:r>
            <w:r w:rsidRPr="000749B2">
              <w:rPr>
                <w:rFonts w:ascii="Book Antiqua" w:hAnsi="Book Antiqua"/>
                <w:i/>
                <w:iCs/>
                <w:color w:val="000000" w:themeColor="text1"/>
                <w:sz w:val="24"/>
                <w:szCs w:val="24"/>
                <w:vertAlign w:val="superscript"/>
              </w:rPr>
              <w:t>LSL-Cas9-eGFP/+</w:t>
            </w:r>
            <w:r w:rsidRPr="000749B2">
              <w:rPr>
                <w:rFonts w:ascii="Book Antiqua" w:hAnsi="Book Antiqua"/>
                <w:i/>
                <w:iCs/>
                <w:color w:val="000000" w:themeColor="text1"/>
                <w:sz w:val="24"/>
                <w:szCs w:val="24"/>
              </w:rPr>
              <w:t>; Villin</w:t>
            </w:r>
            <w:r w:rsidRPr="000749B2">
              <w:rPr>
                <w:rFonts w:ascii="Book Antiqua" w:hAnsi="Book Antiqua"/>
                <w:i/>
                <w:iCs/>
                <w:color w:val="000000" w:themeColor="text1"/>
                <w:sz w:val="24"/>
                <w:szCs w:val="24"/>
                <w:vertAlign w:val="superscript"/>
              </w:rPr>
              <w:t>CreER</w:t>
            </w:r>
          </w:p>
        </w:tc>
        <w:tc>
          <w:tcPr>
            <w:tcW w:w="3285" w:type="dxa"/>
          </w:tcPr>
          <w:p w14:paraId="40A395E8"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color w:val="000000" w:themeColor="text1"/>
                <w:sz w:val="24"/>
                <w:szCs w:val="24"/>
              </w:rPr>
              <w:t>In vivo</w:t>
            </w:r>
            <w:r w:rsidRPr="000749B2">
              <w:rPr>
                <w:rFonts w:ascii="Book Antiqua" w:hAnsi="Book Antiqua"/>
                <w:color w:val="000000" w:themeColor="text1"/>
                <w:sz w:val="24"/>
                <w:szCs w:val="24"/>
              </w:rPr>
              <w:t xml:space="preserve"> editing of </w:t>
            </w:r>
            <w:r w:rsidRPr="000749B2">
              <w:rPr>
                <w:rFonts w:ascii="Book Antiqua" w:hAnsi="Book Antiqua"/>
                <w:i/>
                <w:iCs/>
                <w:color w:val="000000" w:themeColor="text1"/>
                <w:sz w:val="24"/>
                <w:szCs w:val="24"/>
              </w:rPr>
              <w:t xml:space="preserve">Apc </w:t>
            </w:r>
            <w:r w:rsidRPr="000749B2">
              <w:rPr>
                <w:rFonts w:ascii="Book Antiqua" w:hAnsi="Book Antiqua"/>
                <w:color w:val="000000" w:themeColor="text1"/>
                <w:sz w:val="24"/>
                <w:szCs w:val="24"/>
              </w:rPr>
              <w:t xml:space="preserve">alone or in combination with </w:t>
            </w:r>
            <w:r w:rsidRPr="000749B2">
              <w:rPr>
                <w:rFonts w:ascii="Book Antiqua" w:hAnsi="Book Antiqua"/>
                <w:i/>
                <w:iCs/>
                <w:color w:val="000000" w:themeColor="text1"/>
                <w:sz w:val="24"/>
                <w:szCs w:val="24"/>
              </w:rPr>
              <w:t>P53</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via</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Cre</w:t>
            </w:r>
            <w:r w:rsidRPr="000749B2">
              <w:rPr>
                <w:rFonts w:ascii="Book Antiqua" w:hAnsi="Book Antiqua"/>
                <w:color w:val="000000" w:themeColor="text1"/>
                <w:sz w:val="24"/>
                <w:szCs w:val="24"/>
              </w:rPr>
              <w:t xml:space="preserve"> mediated Cas9-expression and provision of sgRNA by viral infection of the colonic epithelium leads to tumor formation without metastatic properties</w:t>
            </w:r>
          </w:p>
        </w:tc>
      </w:tr>
      <w:tr w:rsidR="00CB43EF" w:rsidRPr="000749B2" w14:paraId="4EAA45C5" w14:textId="77777777" w:rsidTr="00207D8B">
        <w:tc>
          <w:tcPr>
            <w:tcW w:w="989" w:type="dxa"/>
          </w:tcPr>
          <w:p w14:paraId="3D5F98A4"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28</w:t>
            </w:r>
          </w:p>
        </w:tc>
        <w:tc>
          <w:tcPr>
            <w:tcW w:w="1249" w:type="dxa"/>
          </w:tcPr>
          <w:p w14:paraId="176FA220" w14:textId="555B0BE7"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[382]</w:t>
            </w:r>
          </w:p>
        </w:tc>
        <w:tc>
          <w:tcPr>
            <w:tcW w:w="3472" w:type="dxa"/>
          </w:tcPr>
          <w:p w14:paraId="30AB513C"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Fabpl:</w:t>
            </w:r>
            <w:r w:rsidRPr="000749B2">
              <w:rPr>
                <w:rFonts w:ascii="Book Antiqua" w:hAnsi="Book Antiqua"/>
                <w:color w:val="000000" w:themeColor="text1"/>
                <w:sz w:val="24"/>
                <w:szCs w:val="24"/>
              </w:rPr>
              <w:t>Cre</w:t>
            </w:r>
            <w:r w:rsidRPr="000749B2">
              <w:rPr>
                <w:rFonts w:ascii="Book Antiqua" w:hAnsi="Book Antiqua"/>
                <w:color w:val="000000" w:themeColor="text1"/>
                <w:sz w:val="24"/>
                <w:szCs w:val="24"/>
                <w:vertAlign w:val="superscript"/>
              </w:rPr>
              <w:t>+/o</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Tdg</w:t>
            </w:r>
            <w:r w:rsidRPr="000749B2">
              <w:rPr>
                <w:rFonts w:ascii="Book Antiqua" w:hAnsi="Book Antiqua"/>
                <w:color w:val="000000" w:themeColor="text1"/>
                <w:sz w:val="24"/>
                <w:szCs w:val="24"/>
                <w:vertAlign w:val="superscript"/>
              </w:rPr>
              <w:t>flox/-</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Min/+</w:t>
            </w:r>
          </w:p>
        </w:tc>
        <w:tc>
          <w:tcPr>
            <w:tcW w:w="3285" w:type="dxa"/>
          </w:tcPr>
          <w:p w14:paraId="375839B2" w14:textId="37733B30"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TDG knockout increases adenoma formation, no carcinomas</w:t>
            </w:r>
          </w:p>
        </w:tc>
      </w:tr>
      <w:tr w:rsidR="004E601A" w:rsidRPr="000749B2" w14:paraId="45841D69" w14:textId="77777777" w:rsidTr="00207D8B">
        <w:trPr>
          <w:trHeight w:val="348"/>
        </w:trPr>
        <w:tc>
          <w:tcPr>
            <w:tcW w:w="989" w:type="dxa"/>
            <w:vMerge w:val="restart"/>
          </w:tcPr>
          <w:p w14:paraId="754363D1" w14:textId="77777777"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29</w:t>
            </w:r>
          </w:p>
        </w:tc>
        <w:tc>
          <w:tcPr>
            <w:tcW w:w="1249" w:type="dxa"/>
            <w:vMerge w:val="restart"/>
          </w:tcPr>
          <w:p w14:paraId="35592D2E" w14:textId="68BD4604" w:rsidR="004E601A" w:rsidRPr="000749B2" w:rsidRDefault="004E601A"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[122]</w:t>
            </w:r>
          </w:p>
        </w:tc>
        <w:tc>
          <w:tcPr>
            <w:tcW w:w="3472" w:type="dxa"/>
          </w:tcPr>
          <w:p w14:paraId="2BF8CB4F" w14:textId="3F39FB88" w:rsidR="004E601A" w:rsidRPr="000749B2" w:rsidRDefault="004E601A" w:rsidP="000B4309">
            <w:pPr>
              <w:spacing w:line="360" w:lineRule="auto"/>
              <w:jc w:val="both"/>
              <w:rPr>
                <w:rFonts w:ascii="Book Antiqua" w:hAnsi="Book Antiqua"/>
                <w:i/>
                <w:iCs/>
                <w:color w:val="000000" w:themeColor="text1"/>
                <w:sz w:val="24"/>
                <w:szCs w:val="24"/>
                <w:vertAlign w:val="superscript"/>
              </w:rPr>
            </w:pPr>
            <w:r w:rsidRPr="000749B2">
              <w:rPr>
                <w:rFonts w:ascii="Book Antiqua" w:hAnsi="Book Antiqua"/>
                <w:i/>
                <w:iCs/>
                <w:color w:val="000000" w:themeColor="text1"/>
                <w:sz w:val="24"/>
                <w:szCs w:val="24"/>
              </w:rPr>
              <w:t>AhCre</w:t>
            </w:r>
            <w:r w:rsidRPr="000749B2">
              <w:rPr>
                <w:rFonts w:ascii="Book Antiqua" w:hAnsi="Book Antiqua"/>
                <w:color w:val="000000" w:themeColor="text1"/>
                <w:sz w:val="24"/>
                <w:szCs w:val="24"/>
                <w:vertAlign w:val="superscript"/>
              </w:rPr>
              <w:t>+/</w:t>
            </w:r>
            <w:r w:rsidRPr="000749B2">
              <w:rPr>
                <w:rFonts w:ascii="Book Antiqua" w:hAnsi="Book Antiqua"/>
                <w:i/>
                <w:iCs/>
                <w:color w:val="000000" w:themeColor="text1"/>
                <w:sz w:val="24"/>
                <w:szCs w:val="24"/>
                <w:vertAlign w:val="superscript"/>
              </w:rPr>
              <w:t>T</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Kras</w:t>
            </w:r>
            <w:r w:rsidRPr="000749B2">
              <w:rPr>
                <w:rFonts w:ascii="Book Antiqua" w:hAnsi="Book Antiqua"/>
                <w:color w:val="000000" w:themeColor="text1"/>
                <w:sz w:val="24"/>
                <w:szCs w:val="24"/>
                <w:vertAlign w:val="superscript"/>
              </w:rPr>
              <w:t>+/</w:t>
            </w:r>
            <w:r w:rsidRPr="000749B2">
              <w:rPr>
                <w:rFonts w:ascii="Book Antiqua" w:hAnsi="Book Antiqua"/>
                <w:i/>
                <w:iCs/>
                <w:color w:val="000000" w:themeColor="text1"/>
                <w:sz w:val="24"/>
                <w:szCs w:val="24"/>
                <w:vertAlign w:val="superscript"/>
              </w:rPr>
              <w:t>LSLV12</w:t>
            </w:r>
          </w:p>
        </w:tc>
        <w:tc>
          <w:tcPr>
            <w:tcW w:w="3285" w:type="dxa"/>
            <w:vMerge w:val="restart"/>
          </w:tcPr>
          <w:p w14:paraId="029C6966" w14:textId="22CA345A"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Cytochrome p450 mediated Cre expression in the liver and intestine induced by β-naphthoflavone (</w:t>
            </w:r>
            <w:r w:rsidRPr="000749B2">
              <w:rPr>
                <w:rFonts w:ascii="Book Antiqua" w:hAnsi="Book Antiqua"/>
                <w:i/>
                <w:iCs/>
                <w:color w:val="000000" w:themeColor="text1"/>
                <w:sz w:val="24"/>
                <w:szCs w:val="24"/>
              </w:rPr>
              <w:t>AhCre</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Kras</w:t>
            </w:r>
            <w:r w:rsidRPr="000749B2">
              <w:rPr>
                <w:rFonts w:ascii="Book Antiqua" w:hAnsi="Book Antiqua"/>
                <w:color w:val="000000" w:themeColor="text1"/>
                <w:sz w:val="24"/>
                <w:szCs w:val="24"/>
                <w:vertAlign w:val="superscript"/>
              </w:rPr>
              <w:t xml:space="preserve">V12 </w:t>
            </w:r>
            <w:r w:rsidRPr="000749B2">
              <w:rPr>
                <w:rFonts w:ascii="Book Antiqua" w:hAnsi="Book Antiqua"/>
                <w:color w:val="000000" w:themeColor="text1"/>
                <w:sz w:val="24"/>
                <w:szCs w:val="24"/>
              </w:rPr>
              <w:t>mutation does not alter the intestinal epithelium, but combined with APC-loss, accelerates tumorigenesis in the intestine. 17% of the tumors are invasive adenocarcinomas.</w:t>
            </w:r>
          </w:p>
        </w:tc>
      </w:tr>
      <w:tr w:rsidR="004E601A" w:rsidRPr="000749B2" w14:paraId="28228983" w14:textId="77777777" w:rsidTr="00207D8B">
        <w:trPr>
          <w:trHeight w:val="4858"/>
        </w:trPr>
        <w:tc>
          <w:tcPr>
            <w:tcW w:w="989" w:type="dxa"/>
            <w:vMerge/>
          </w:tcPr>
          <w:p w14:paraId="60F53AC6" w14:textId="77777777" w:rsidR="004E601A" w:rsidRPr="000749B2" w:rsidRDefault="004E601A" w:rsidP="000B4309">
            <w:pPr>
              <w:spacing w:line="360" w:lineRule="auto"/>
              <w:jc w:val="both"/>
              <w:rPr>
                <w:rFonts w:ascii="Book Antiqua" w:hAnsi="Book Antiqua"/>
                <w:color w:val="000000" w:themeColor="text1"/>
                <w:sz w:val="24"/>
                <w:szCs w:val="24"/>
              </w:rPr>
            </w:pPr>
          </w:p>
        </w:tc>
        <w:tc>
          <w:tcPr>
            <w:tcW w:w="1249" w:type="dxa"/>
            <w:vMerge/>
          </w:tcPr>
          <w:p w14:paraId="3ADCAF12" w14:textId="77777777" w:rsidR="004E601A" w:rsidRPr="000749B2" w:rsidRDefault="004E601A" w:rsidP="000B4309">
            <w:pPr>
              <w:spacing w:line="360" w:lineRule="auto"/>
              <w:jc w:val="both"/>
              <w:rPr>
                <w:rFonts w:ascii="Book Antiqua" w:hAnsi="Book Antiqua"/>
                <w:color w:val="000000" w:themeColor="text1"/>
                <w:sz w:val="24"/>
                <w:szCs w:val="24"/>
                <w:vertAlign w:val="superscript"/>
              </w:rPr>
            </w:pPr>
          </w:p>
        </w:tc>
        <w:tc>
          <w:tcPr>
            <w:tcW w:w="3472" w:type="dxa"/>
          </w:tcPr>
          <w:p w14:paraId="3F352A05" w14:textId="0DCAFC33" w:rsidR="004E601A" w:rsidRPr="000749B2" w:rsidRDefault="004E601A" w:rsidP="004E601A">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AhCre</w:t>
            </w:r>
            <w:r w:rsidRPr="000749B2">
              <w:rPr>
                <w:rFonts w:ascii="Book Antiqua" w:hAnsi="Book Antiqua"/>
                <w:color w:val="000000" w:themeColor="text1"/>
                <w:sz w:val="24"/>
                <w:szCs w:val="24"/>
                <w:vertAlign w:val="superscript"/>
              </w:rPr>
              <w:t>+/</w:t>
            </w:r>
            <w:r w:rsidRPr="000749B2">
              <w:rPr>
                <w:rFonts w:ascii="Book Antiqua" w:hAnsi="Book Antiqua"/>
                <w:i/>
                <w:iCs/>
                <w:color w:val="000000" w:themeColor="text1"/>
                <w:sz w:val="24"/>
                <w:szCs w:val="24"/>
                <w:vertAlign w:val="superscript"/>
              </w:rPr>
              <w:t>T</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Kras</w:t>
            </w:r>
            <w:r w:rsidRPr="000749B2">
              <w:rPr>
                <w:rFonts w:ascii="Book Antiqua" w:hAnsi="Book Antiqua"/>
                <w:color w:val="000000" w:themeColor="text1"/>
                <w:sz w:val="24"/>
                <w:szCs w:val="24"/>
                <w:vertAlign w:val="superscript"/>
              </w:rPr>
              <w:t>+/</w:t>
            </w:r>
            <w:r w:rsidRPr="000749B2">
              <w:rPr>
                <w:rFonts w:ascii="Book Antiqua" w:hAnsi="Book Antiqua"/>
                <w:i/>
                <w:iCs/>
                <w:color w:val="000000" w:themeColor="text1"/>
                <w:sz w:val="24"/>
                <w:szCs w:val="24"/>
                <w:vertAlign w:val="superscript"/>
              </w:rPr>
              <w:t>LSLV12</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+/fl</w:t>
            </w:r>
          </w:p>
        </w:tc>
        <w:tc>
          <w:tcPr>
            <w:tcW w:w="3285" w:type="dxa"/>
            <w:vMerge/>
          </w:tcPr>
          <w:p w14:paraId="7599CB8B" w14:textId="77777777" w:rsidR="004E601A" w:rsidRPr="000749B2" w:rsidRDefault="004E601A" w:rsidP="000B4309">
            <w:pPr>
              <w:spacing w:line="360" w:lineRule="auto"/>
              <w:jc w:val="both"/>
              <w:rPr>
                <w:rFonts w:ascii="Book Antiqua" w:hAnsi="Book Antiqua"/>
                <w:color w:val="000000" w:themeColor="text1"/>
                <w:sz w:val="24"/>
                <w:szCs w:val="24"/>
              </w:rPr>
            </w:pPr>
          </w:p>
        </w:tc>
      </w:tr>
      <w:tr w:rsidR="00CB43EF" w:rsidRPr="000749B2" w14:paraId="0FA08669" w14:textId="77777777" w:rsidTr="00207D8B">
        <w:tc>
          <w:tcPr>
            <w:tcW w:w="989" w:type="dxa"/>
          </w:tcPr>
          <w:p w14:paraId="78691731"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30</w:t>
            </w:r>
          </w:p>
        </w:tc>
        <w:tc>
          <w:tcPr>
            <w:tcW w:w="1249" w:type="dxa"/>
          </w:tcPr>
          <w:p w14:paraId="72AB9FAB" w14:textId="389B258F"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[383]</w:t>
            </w:r>
          </w:p>
          <w:p w14:paraId="3D19607A" w14:textId="77777777" w:rsidR="00CB43EF" w:rsidRPr="000749B2" w:rsidRDefault="00CB43EF" w:rsidP="000B4309">
            <w:pPr>
              <w:spacing w:line="360" w:lineRule="auto"/>
              <w:jc w:val="both"/>
              <w:rPr>
                <w:rFonts w:ascii="Book Antiqua" w:hAnsi="Book Antiqua"/>
                <w:color w:val="000000" w:themeColor="text1"/>
                <w:sz w:val="24"/>
                <w:szCs w:val="24"/>
                <w:vertAlign w:val="superscript"/>
              </w:rPr>
            </w:pPr>
          </w:p>
        </w:tc>
        <w:tc>
          <w:tcPr>
            <w:tcW w:w="3472" w:type="dxa"/>
          </w:tcPr>
          <w:p w14:paraId="1196FDD1"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CDX2P9.5</w:t>
            </w:r>
            <w:r w:rsidRPr="000749B2">
              <w:rPr>
                <w:rFonts w:ascii="Book Antiqua" w:hAnsi="Book Antiqua"/>
                <w:color w:val="000000" w:themeColor="text1"/>
                <w:sz w:val="24"/>
                <w:szCs w:val="24"/>
              </w:rPr>
              <w:t>-</w:t>
            </w:r>
            <w:r w:rsidRPr="000749B2">
              <w:rPr>
                <w:rFonts w:ascii="Book Antiqua" w:hAnsi="Book Antiqua"/>
                <w:i/>
                <w:iCs/>
                <w:color w:val="000000" w:themeColor="text1"/>
                <w:sz w:val="24"/>
                <w:szCs w:val="24"/>
              </w:rPr>
              <w:t>G22Cre; Apc</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vertAlign w:val="superscript"/>
              </w:rPr>
              <w:t>flox/flox</w:t>
            </w:r>
            <w:r w:rsidRPr="000749B2">
              <w:rPr>
                <w:rFonts w:ascii="Book Antiqua" w:hAnsi="Book Antiqua"/>
                <w:i/>
                <w:iCs/>
                <w:color w:val="000000" w:themeColor="text1"/>
                <w:sz w:val="24"/>
                <w:szCs w:val="24"/>
              </w:rPr>
              <w:t>; LSL</w:t>
            </w:r>
            <w:r w:rsidRPr="000749B2">
              <w:rPr>
                <w:rFonts w:ascii="Book Antiqua" w:hAnsi="Book Antiqua"/>
                <w:color w:val="000000" w:themeColor="text1"/>
                <w:sz w:val="24"/>
                <w:szCs w:val="24"/>
              </w:rPr>
              <w:t>-</w:t>
            </w:r>
            <w:r w:rsidRPr="000749B2">
              <w:rPr>
                <w:rFonts w:ascii="Book Antiqua" w:hAnsi="Book Antiqua"/>
                <w:i/>
                <w:iCs/>
                <w:color w:val="000000" w:themeColor="text1"/>
                <w:sz w:val="24"/>
                <w:szCs w:val="24"/>
              </w:rPr>
              <w:t>Kras</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vertAlign w:val="superscript"/>
              </w:rPr>
              <w:t>G12D</w:t>
            </w:r>
          </w:p>
        </w:tc>
        <w:tc>
          <w:tcPr>
            <w:tcW w:w="3285" w:type="dxa"/>
          </w:tcPr>
          <w:p w14:paraId="6893F811" w14:textId="7E395083"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Severe debilities in mice with reduced weight and lifespan and anal bulging. </w:t>
            </w:r>
            <w:r w:rsidRPr="000749B2">
              <w:rPr>
                <w:rFonts w:ascii="Book Antiqua" w:hAnsi="Book Antiqua"/>
                <w:i/>
                <w:iCs/>
                <w:color w:val="000000" w:themeColor="text1"/>
                <w:sz w:val="24"/>
                <w:szCs w:val="24"/>
              </w:rPr>
              <w:lastRenderedPageBreak/>
              <w:t>Kras</w:t>
            </w:r>
            <w:r w:rsidRPr="000749B2">
              <w:rPr>
                <w:rFonts w:ascii="Book Antiqua" w:hAnsi="Book Antiqua"/>
                <w:color w:val="000000" w:themeColor="text1"/>
                <w:sz w:val="24"/>
                <w:szCs w:val="24"/>
              </w:rPr>
              <w:t xml:space="preserve"> mutation does not increase malignancy</w:t>
            </w:r>
          </w:p>
        </w:tc>
      </w:tr>
      <w:tr w:rsidR="004E601A" w:rsidRPr="000749B2" w14:paraId="1A0AA816" w14:textId="77777777" w:rsidTr="00207D8B">
        <w:trPr>
          <w:trHeight w:val="681"/>
        </w:trPr>
        <w:tc>
          <w:tcPr>
            <w:tcW w:w="989" w:type="dxa"/>
            <w:vMerge w:val="restart"/>
          </w:tcPr>
          <w:p w14:paraId="1C5122A5" w14:textId="77777777"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31</w:t>
            </w:r>
          </w:p>
        </w:tc>
        <w:tc>
          <w:tcPr>
            <w:tcW w:w="1249" w:type="dxa"/>
            <w:vMerge w:val="restart"/>
          </w:tcPr>
          <w:p w14:paraId="6FAAC5C4" w14:textId="344178D0" w:rsidR="004E601A" w:rsidRPr="000749B2" w:rsidRDefault="004E601A"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[136]</w:t>
            </w:r>
          </w:p>
        </w:tc>
        <w:tc>
          <w:tcPr>
            <w:tcW w:w="3472" w:type="dxa"/>
          </w:tcPr>
          <w:p w14:paraId="7DED054A" w14:textId="7B45AA41" w:rsidR="004E601A" w:rsidRPr="000749B2" w:rsidRDefault="004E601A"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Fapbl-Cre; Apc</w:t>
            </w:r>
            <w:r w:rsidRPr="000749B2">
              <w:rPr>
                <w:rFonts w:ascii="Book Antiqua" w:hAnsi="Book Antiqua"/>
                <w:i/>
                <w:iCs/>
                <w:color w:val="000000" w:themeColor="text1"/>
                <w:sz w:val="24"/>
                <w:szCs w:val="24"/>
                <w:vertAlign w:val="superscript"/>
              </w:rPr>
              <w:t>2lox14/+</w:t>
            </w:r>
            <w:r w:rsidRPr="000749B2">
              <w:rPr>
                <w:rFonts w:ascii="Book Antiqua" w:hAnsi="Book Antiqua"/>
                <w:color w:val="000000" w:themeColor="text1"/>
                <w:sz w:val="24"/>
                <w:szCs w:val="24"/>
              </w:rPr>
              <w:t>;</w:t>
            </w:r>
            <w:r w:rsidRPr="000749B2">
              <w:rPr>
                <w:rFonts w:ascii="Book Antiqua" w:hAnsi="Book Antiqua"/>
                <w:b/>
                <w:bCs/>
                <w:i/>
                <w:iCs/>
                <w:color w:val="000000" w:themeColor="text1"/>
                <w:sz w:val="24"/>
                <w:szCs w:val="24"/>
              </w:rPr>
              <w:t xml:space="preserve"> </w:t>
            </w:r>
            <w:r w:rsidRPr="000749B2">
              <w:rPr>
                <w:rFonts w:ascii="Book Antiqua" w:hAnsi="Book Antiqua"/>
                <w:i/>
                <w:iCs/>
                <w:color w:val="000000" w:themeColor="text1"/>
                <w:sz w:val="24"/>
                <w:szCs w:val="24"/>
              </w:rPr>
              <w:t>Kras</w:t>
            </w:r>
            <w:r w:rsidRPr="000749B2">
              <w:rPr>
                <w:rFonts w:ascii="Book Antiqua" w:hAnsi="Book Antiqua"/>
                <w:i/>
                <w:iCs/>
                <w:color w:val="000000" w:themeColor="text1"/>
                <w:sz w:val="24"/>
                <w:szCs w:val="24"/>
                <w:vertAlign w:val="superscript"/>
              </w:rPr>
              <w:t>LSL-G12D/+</w:t>
            </w:r>
          </w:p>
        </w:tc>
        <w:tc>
          <w:tcPr>
            <w:tcW w:w="3285" w:type="dxa"/>
            <w:vMerge w:val="restart"/>
          </w:tcPr>
          <w:p w14:paraId="08F0D43C" w14:textId="3815AEB9"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Kras</w:t>
            </w:r>
            <w:r w:rsidRPr="000749B2">
              <w:rPr>
                <w:rFonts w:ascii="Book Antiqua" w:hAnsi="Book Antiqua"/>
                <w:color w:val="000000" w:themeColor="text1"/>
                <w:sz w:val="24"/>
                <w:szCs w:val="24"/>
                <w:vertAlign w:val="superscript"/>
              </w:rPr>
              <w:t>G12D</w:t>
            </w:r>
            <w:r w:rsidRPr="000749B2">
              <w:rPr>
                <w:rFonts w:ascii="Book Antiqua" w:hAnsi="Book Antiqua"/>
                <w:color w:val="000000" w:themeColor="text1"/>
                <w:sz w:val="24"/>
                <w:szCs w:val="24"/>
              </w:rPr>
              <w:t xml:space="preserve">, but not </w:t>
            </w:r>
            <w:r w:rsidRPr="000749B2">
              <w:rPr>
                <w:rFonts w:ascii="Book Antiqua" w:hAnsi="Book Antiqua"/>
                <w:i/>
                <w:iCs/>
                <w:color w:val="000000" w:themeColor="text1"/>
                <w:sz w:val="24"/>
                <w:szCs w:val="24"/>
              </w:rPr>
              <w:t>Nras</w:t>
            </w:r>
            <w:r w:rsidRPr="000749B2">
              <w:rPr>
                <w:rFonts w:ascii="Book Antiqua" w:hAnsi="Book Antiqua"/>
                <w:color w:val="000000" w:themeColor="text1"/>
                <w:sz w:val="24"/>
                <w:szCs w:val="24"/>
                <w:vertAlign w:val="superscript"/>
              </w:rPr>
              <w:t>G12D</w:t>
            </w:r>
            <w:r w:rsidRPr="000749B2">
              <w:rPr>
                <w:rFonts w:ascii="Book Antiqua" w:hAnsi="Book Antiqua"/>
                <w:color w:val="000000" w:themeColor="text1"/>
                <w:sz w:val="24"/>
                <w:szCs w:val="24"/>
              </w:rPr>
              <w:t xml:space="preserve"> drives colon cancer progression. </w:t>
            </w:r>
            <w:r w:rsidRPr="000749B2">
              <w:rPr>
                <w:rFonts w:ascii="Book Antiqua" w:hAnsi="Book Antiqua"/>
                <w:i/>
                <w:iCs/>
                <w:color w:val="000000" w:themeColor="text1"/>
                <w:sz w:val="24"/>
                <w:szCs w:val="24"/>
              </w:rPr>
              <w:t>Nras</w:t>
            </w:r>
            <w:r w:rsidRPr="000749B2">
              <w:rPr>
                <w:rFonts w:ascii="Book Antiqua" w:hAnsi="Book Antiqua"/>
                <w:color w:val="000000" w:themeColor="text1"/>
                <w:sz w:val="24"/>
                <w:szCs w:val="24"/>
              </w:rPr>
              <w:t xml:space="preserve"> indistinct from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 xml:space="preserve">Min/+ </w:t>
            </w:r>
            <w:r w:rsidRPr="000749B2">
              <w:rPr>
                <w:rFonts w:ascii="Book Antiqua" w:hAnsi="Book Antiqua"/>
                <w:color w:val="000000" w:themeColor="text1"/>
                <w:sz w:val="24"/>
                <w:szCs w:val="24"/>
              </w:rPr>
              <w:t>mice</w:t>
            </w:r>
          </w:p>
        </w:tc>
      </w:tr>
      <w:tr w:rsidR="004E601A" w:rsidRPr="000749B2" w14:paraId="514EE3E9" w14:textId="77777777" w:rsidTr="00207D8B">
        <w:trPr>
          <w:trHeight w:val="1060"/>
        </w:trPr>
        <w:tc>
          <w:tcPr>
            <w:tcW w:w="989" w:type="dxa"/>
            <w:vMerge/>
          </w:tcPr>
          <w:p w14:paraId="26626606" w14:textId="77777777" w:rsidR="004E601A" w:rsidRPr="000749B2" w:rsidRDefault="004E601A" w:rsidP="000B4309">
            <w:pPr>
              <w:spacing w:line="360" w:lineRule="auto"/>
              <w:jc w:val="both"/>
              <w:rPr>
                <w:rFonts w:ascii="Book Antiqua" w:hAnsi="Book Antiqua"/>
                <w:color w:val="000000" w:themeColor="text1"/>
                <w:sz w:val="24"/>
                <w:szCs w:val="24"/>
              </w:rPr>
            </w:pPr>
          </w:p>
        </w:tc>
        <w:tc>
          <w:tcPr>
            <w:tcW w:w="1249" w:type="dxa"/>
            <w:vMerge/>
          </w:tcPr>
          <w:p w14:paraId="27F0A868" w14:textId="77777777" w:rsidR="004E601A" w:rsidRPr="000749B2" w:rsidRDefault="004E601A" w:rsidP="000B4309">
            <w:pPr>
              <w:spacing w:line="360" w:lineRule="auto"/>
              <w:jc w:val="both"/>
              <w:rPr>
                <w:rFonts w:ascii="Book Antiqua" w:hAnsi="Book Antiqua"/>
                <w:color w:val="000000" w:themeColor="text1"/>
                <w:sz w:val="24"/>
                <w:szCs w:val="24"/>
                <w:vertAlign w:val="superscript"/>
              </w:rPr>
            </w:pPr>
          </w:p>
        </w:tc>
        <w:tc>
          <w:tcPr>
            <w:tcW w:w="3472" w:type="dxa"/>
          </w:tcPr>
          <w:p w14:paraId="56796869" w14:textId="16955E0C" w:rsidR="004E601A" w:rsidRPr="000749B2" w:rsidRDefault="004E601A" w:rsidP="004E601A">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Fapbl-Cre; Apc</w:t>
            </w:r>
            <w:r w:rsidRPr="000749B2">
              <w:rPr>
                <w:rFonts w:ascii="Book Antiqua" w:hAnsi="Book Antiqua"/>
                <w:i/>
                <w:iCs/>
                <w:color w:val="000000" w:themeColor="text1"/>
                <w:sz w:val="24"/>
                <w:szCs w:val="24"/>
                <w:vertAlign w:val="superscript"/>
              </w:rPr>
              <w:t>2lox14/+</w:t>
            </w:r>
            <w:r w:rsidRPr="000749B2">
              <w:rPr>
                <w:rFonts w:ascii="Book Antiqua" w:hAnsi="Book Antiqua"/>
                <w:i/>
                <w:iCs/>
                <w:color w:val="000000" w:themeColor="text1"/>
                <w:sz w:val="24"/>
                <w:szCs w:val="24"/>
              </w:rPr>
              <w:t>; Nras</w:t>
            </w:r>
            <w:r w:rsidRPr="000749B2">
              <w:rPr>
                <w:rFonts w:ascii="Book Antiqua" w:hAnsi="Book Antiqua"/>
                <w:i/>
                <w:iCs/>
                <w:color w:val="000000" w:themeColor="text1"/>
                <w:sz w:val="24"/>
                <w:szCs w:val="24"/>
                <w:vertAlign w:val="superscript"/>
              </w:rPr>
              <w:t>LSL-G12D/+</w:t>
            </w:r>
          </w:p>
        </w:tc>
        <w:tc>
          <w:tcPr>
            <w:tcW w:w="3285" w:type="dxa"/>
            <w:vMerge/>
          </w:tcPr>
          <w:p w14:paraId="0AA75AB1" w14:textId="77777777" w:rsidR="004E601A" w:rsidRPr="000749B2" w:rsidRDefault="004E601A" w:rsidP="000B4309">
            <w:pPr>
              <w:spacing w:line="360" w:lineRule="auto"/>
              <w:jc w:val="both"/>
              <w:rPr>
                <w:rFonts w:ascii="Book Antiqua" w:hAnsi="Book Antiqua"/>
                <w:i/>
                <w:iCs/>
                <w:color w:val="000000" w:themeColor="text1"/>
                <w:sz w:val="24"/>
                <w:szCs w:val="24"/>
              </w:rPr>
            </w:pPr>
          </w:p>
        </w:tc>
      </w:tr>
      <w:tr w:rsidR="00CB43EF" w:rsidRPr="000749B2" w14:paraId="0BAB2F47" w14:textId="77777777" w:rsidTr="00207D8B">
        <w:tc>
          <w:tcPr>
            <w:tcW w:w="989" w:type="dxa"/>
          </w:tcPr>
          <w:p w14:paraId="25DF26DD"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32</w:t>
            </w:r>
          </w:p>
        </w:tc>
        <w:tc>
          <w:tcPr>
            <w:tcW w:w="1249" w:type="dxa"/>
          </w:tcPr>
          <w:p w14:paraId="7CE2C213" w14:textId="7117E2B8"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[143]</w:t>
            </w:r>
          </w:p>
        </w:tc>
        <w:tc>
          <w:tcPr>
            <w:tcW w:w="3472" w:type="dxa"/>
          </w:tcPr>
          <w:p w14:paraId="223C5248"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shApc/Kras</w:t>
            </w:r>
            <w:r w:rsidRPr="000749B2">
              <w:rPr>
                <w:rFonts w:ascii="Book Antiqua" w:hAnsi="Book Antiqua"/>
                <w:i/>
                <w:iCs/>
                <w:color w:val="000000" w:themeColor="text1"/>
                <w:sz w:val="24"/>
                <w:szCs w:val="24"/>
                <w:vertAlign w:val="superscript"/>
              </w:rPr>
              <w:t>G12D</w:t>
            </w:r>
            <w:r w:rsidRPr="000749B2">
              <w:rPr>
                <w:rFonts w:ascii="Book Antiqua" w:hAnsi="Book Antiqua"/>
                <w:i/>
                <w:iCs/>
                <w:color w:val="000000" w:themeColor="text1"/>
                <w:sz w:val="24"/>
                <w:szCs w:val="24"/>
              </w:rPr>
              <w:t>/P53</w:t>
            </w:r>
            <w:r w:rsidRPr="000749B2">
              <w:rPr>
                <w:rFonts w:ascii="Book Antiqua" w:hAnsi="Book Antiqua"/>
                <w:i/>
                <w:iCs/>
                <w:color w:val="000000" w:themeColor="text1"/>
                <w:sz w:val="24"/>
                <w:szCs w:val="24"/>
                <w:vertAlign w:val="superscript"/>
              </w:rPr>
              <w:t>fl/fl</w:t>
            </w:r>
            <w:r w:rsidRPr="000749B2">
              <w:rPr>
                <w:rFonts w:ascii="Book Antiqua" w:hAnsi="Book Antiqua"/>
                <w:i/>
                <w:iCs/>
                <w:color w:val="000000" w:themeColor="text1"/>
                <w:sz w:val="24"/>
                <w:szCs w:val="24"/>
              </w:rPr>
              <w:t>/Lgr5</w:t>
            </w:r>
          </w:p>
        </w:tc>
        <w:tc>
          <w:tcPr>
            <w:tcW w:w="3285" w:type="dxa"/>
          </w:tcPr>
          <w:p w14:paraId="7F2D65E6" w14:textId="32DCB75D"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Mice with inducible and reversible </w:t>
            </w:r>
            <w:r w:rsidRPr="000749B2">
              <w:rPr>
                <w:rFonts w:ascii="Book Antiqua" w:hAnsi="Book Antiqua"/>
                <w:i/>
                <w:iCs/>
                <w:color w:val="000000" w:themeColor="text1"/>
                <w:sz w:val="24"/>
                <w:szCs w:val="24"/>
              </w:rPr>
              <w:t>Apc</w:t>
            </w:r>
            <w:r w:rsidR="002A61BF" w:rsidRPr="000749B2">
              <w:rPr>
                <w:rFonts w:ascii="Book Antiqua" w:hAnsi="Book Antiqua"/>
                <w:i/>
                <w:iCs/>
                <w:color w:val="000000" w:themeColor="text1"/>
                <w:sz w:val="24"/>
                <w:szCs w:val="24"/>
              </w:rPr>
              <w:t xml:space="preserve"> </w:t>
            </w:r>
            <w:r w:rsidRPr="000749B2">
              <w:rPr>
                <w:rFonts w:ascii="Book Antiqua" w:hAnsi="Book Antiqua"/>
                <w:color w:val="000000" w:themeColor="text1"/>
                <w:sz w:val="24"/>
                <w:szCs w:val="24"/>
              </w:rPr>
              <w:t xml:space="preserve">deletion </w:t>
            </w:r>
            <w:r w:rsidRPr="000749B2">
              <w:rPr>
                <w:rFonts w:ascii="Book Antiqua" w:hAnsi="Book Antiqua"/>
                <w:i/>
                <w:iCs/>
                <w:color w:val="000000" w:themeColor="text1"/>
                <w:sz w:val="24"/>
                <w:szCs w:val="24"/>
              </w:rPr>
              <w:t>via</w:t>
            </w:r>
            <w:r w:rsidRPr="000749B2">
              <w:rPr>
                <w:rFonts w:ascii="Book Antiqua" w:hAnsi="Book Antiqua"/>
                <w:color w:val="000000" w:themeColor="text1"/>
                <w:sz w:val="24"/>
                <w:szCs w:val="24"/>
              </w:rPr>
              <w:t xml:space="preserve"> short hairpin </w:t>
            </w:r>
            <w:r w:rsidR="007113CC" w:rsidRPr="000749B2">
              <w:rPr>
                <w:rFonts w:ascii="Book Antiqua" w:hAnsi="Book Antiqua"/>
                <w:color w:val="000000" w:themeColor="text1"/>
                <w:sz w:val="24"/>
                <w:szCs w:val="24"/>
              </w:rPr>
              <w:t xml:space="preserve">RNA </w:t>
            </w:r>
            <w:r w:rsidRPr="000749B2">
              <w:rPr>
                <w:rFonts w:ascii="Book Antiqua" w:hAnsi="Book Antiqua"/>
                <w:color w:val="000000" w:themeColor="text1"/>
                <w:sz w:val="24"/>
                <w:szCs w:val="24"/>
              </w:rPr>
              <w:t xml:space="preserve">show duodenal and colonic tumor formation. Additional, conditional mutations drive cancer progression, but upon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rPr>
              <w:t xml:space="preserve"> restoration by withdrawal of </w:t>
            </w:r>
            <w:r w:rsidR="002A61BF" w:rsidRPr="000749B2">
              <w:rPr>
                <w:rFonts w:ascii="Book Antiqua" w:hAnsi="Book Antiqua"/>
                <w:color w:val="000000" w:themeColor="text1"/>
                <w:sz w:val="24"/>
                <w:szCs w:val="24"/>
              </w:rPr>
              <w:t>d</w:t>
            </w:r>
            <w:r w:rsidRPr="000749B2">
              <w:rPr>
                <w:rFonts w:ascii="Book Antiqua" w:hAnsi="Book Antiqua"/>
                <w:color w:val="000000" w:themeColor="text1"/>
                <w:sz w:val="24"/>
                <w:szCs w:val="24"/>
              </w:rPr>
              <w:t>oxycycline rapid tumor regression can be induced</w:t>
            </w:r>
          </w:p>
        </w:tc>
      </w:tr>
      <w:tr w:rsidR="00CB43EF" w:rsidRPr="000749B2" w14:paraId="0A4B7685" w14:textId="77777777" w:rsidTr="00207D8B">
        <w:tc>
          <w:tcPr>
            <w:tcW w:w="989" w:type="dxa"/>
          </w:tcPr>
          <w:p w14:paraId="4141810C"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33</w:t>
            </w:r>
          </w:p>
        </w:tc>
        <w:tc>
          <w:tcPr>
            <w:tcW w:w="1249" w:type="dxa"/>
          </w:tcPr>
          <w:p w14:paraId="73BEACCF" w14:textId="296B986F"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[130,384]</w:t>
            </w:r>
          </w:p>
        </w:tc>
        <w:tc>
          <w:tcPr>
            <w:tcW w:w="3472" w:type="dxa"/>
          </w:tcPr>
          <w:p w14:paraId="74F87496"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CKO</w:t>
            </w:r>
            <w:r w:rsidRPr="000749B2">
              <w:rPr>
                <w:rFonts w:ascii="Book Antiqua" w:hAnsi="Book Antiqua"/>
                <w:i/>
                <w:iCs/>
                <w:color w:val="000000" w:themeColor="text1"/>
                <w:sz w:val="24"/>
                <w:szCs w:val="24"/>
              </w:rPr>
              <w:t>/LSL-Kras</w:t>
            </w:r>
          </w:p>
        </w:tc>
        <w:tc>
          <w:tcPr>
            <w:tcW w:w="3285" w:type="dxa"/>
          </w:tcPr>
          <w:p w14:paraId="7A9D9434" w14:textId="5873418D"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Cre</w:t>
            </w:r>
            <w:r w:rsidRPr="000749B2">
              <w:rPr>
                <w:rFonts w:ascii="Book Antiqua" w:hAnsi="Book Antiqua"/>
                <w:color w:val="000000" w:themeColor="text1"/>
                <w:sz w:val="24"/>
                <w:szCs w:val="24"/>
              </w:rPr>
              <w:t xml:space="preserve">-mediated knockout of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rPr>
              <w:t xml:space="preserve"> and </w:t>
            </w:r>
            <w:r w:rsidRPr="000749B2">
              <w:rPr>
                <w:rFonts w:ascii="Book Antiqua" w:hAnsi="Book Antiqua"/>
                <w:i/>
                <w:iCs/>
                <w:color w:val="000000" w:themeColor="text1"/>
                <w:sz w:val="24"/>
                <w:szCs w:val="24"/>
              </w:rPr>
              <w:t>Kras</w:t>
            </w:r>
            <w:r w:rsidRPr="000749B2">
              <w:rPr>
                <w:rFonts w:ascii="Book Antiqua" w:hAnsi="Book Antiqua"/>
                <w:color w:val="000000" w:themeColor="text1"/>
                <w:sz w:val="24"/>
                <w:szCs w:val="24"/>
                <w:vertAlign w:val="superscript"/>
              </w:rPr>
              <w:t>G12D</w:t>
            </w:r>
            <w:r w:rsidRPr="000749B2">
              <w:rPr>
                <w:rFonts w:ascii="Book Antiqua" w:hAnsi="Book Antiqua"/>
                <w:color w:val="000000" w:themeColor="text1"/>
                <w:sz w:val="24"/>
                <w:szCs w:val="24"/>
              </w:rPr>
              <w:t xml:space="preserve"> activation by surgical application of </w:t>
            </w:r>
            <w:r w:rsidRPr="000749B2">
              <w:rPr>
                <w:rFonts w:ascii="Book Antiqua" w:hAnsi="Book Antiqua"/>
                <w:i/>
                <w:iCs/>
                <w:color w:val="000000" w:themeColor="text1"/>
                <w:sz w:val="24"/>
                <w:szCs w:val="24"/>
              </w:rPr>
              <w:t>AdenoCre</w:t>
            </w:r>
            <w:r w:rsidRPr="000749B2">
              <w:rPr>
                <w:rFonts w:ascii="Book Antiqua" w:hAnsi="Book Antiqua"/>
                <w:color w:val="000000" w:themeColor="text1"/>
                <w:sz w:val="24"/>
                <w:szCs w:val="24"/>
              </w:rPr>
              <w:t xml:space="preserve"> to the colonic epithelium leads to adenocarcinomas with 20% liver metastases after 20 weeks</w:t>
            </w:r>
          </w:p>
        </w:tc>
      </w:tr>
      <w:tr w:rsidR="00CB43EF" w:rsidRPr="000749B2" w14:paraId="00502C49" w14:textId="77777777" w:rsidTr="00207D8B">
        <w:tc>
          <w:tcPr>
            <w:tcW w:w="989" w:type="dxa"/>
          </w:tcPr>
          <w:p w14:paraId="0C0E87E3"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34</w:t>
            </w:r>
          </w:p>
        </w:tc>
        <w:tc>
          <w:tcPr>
            <w:tcW w:w="1249" w:type="dxa"/>
          </w:tcPr>
          <w:p w14:paraId="247FD274" w14:textId="62811060"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[385]</w:t>
            </w:r>
          </w:p>
        </w:tc>
        <w:tc>
          <w:tcPr>
            <w:tcW w:w="3472" w:type="dxa"/>
          </w:tcPr>
          <w:p w14:paraId="56B96E73"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+/580S</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Kras</w:t>
            </w:r>
            <w:r w:rsidRPr="000749B2">
              <w:rPr>
                <w:rFonts w:ascii="Book Antiqua" w:hAnsi="Book Antiqua"/>
                <w:color w:val="000000" w:themeColor="text1"/>
                <w:sz w:val="24"/>
                <w:szCs w:val="24"/>
                <w:vertAlign w:val="superscript"/>
              </w:rPr>
              <w:t>+/LSL</w:t>
            </w:r>
            <w:r w:rsidRPr="000749B2">
              <w:rPr>
                <w:rFonts w:ascii="Book Antiqua" w:hAnsi="Book Antiqua"/>
                <w:color w:val="000000" w:themeColor="text1"/>
                <w:sz w:val="24"/>
                <w:szCs w:val="24"/>
              </w:rPr>
              <w:t>, CAC</w:t>
            </w:r>
            <w:r w:rsidRPr="000749B2">
              <w:rPr>
                <w:rFonts w:ascii="Book Antiqua" w:hAnsi="Book Antiqua"/>
                <w:color w:val="000000" w:themeColor="text1"/>
                <w:sz w:val="24"/>
                <w:szCs w:val="24"/>
                <w:vertAlign w:val="superscript"/>
              </w:rPr>
              <w:t>+</w:t>
            </w:r>
          </w:p>
        </w:tc>
        <w:tc>
          <w:tcPr>
            <w:tcW w:w="3285" w:type="dxa"/>
          </w:tcPr>
          <w:p w14:paraId="22CF2877" w14:textId="58A6A519"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Only adenomas</w:t>
            </w:r>
          </w:p>
        </w:tc>
      </w:tr>
      <w:tr w:rsidR="004E601A" w:rsidRPr="000749B2" w14:paraId="125119B2" w14:textId="77777777" w:rsidTr="00207D8B">
        <w:trPr>
          <w:trHeight w:val="823"/>
        </w:trPr>
        <w:tc>
          <w:tcPr>
            <w:tcW w:w="989" w:type="dxa"/>
            <w:vMerge w:val="restart"/>
          </w:tcPr>
          <w:p w14:paraId="1EBF91D6" w14:textId="77777777"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35</w:t>
            </w:r>
          </w:p>
        </w:tc>
        <w:tc>
          <w:tcPr>
            <w:tcW w:w="1249" w:type="dxa"/>
            <w:vMerge w:val="restart"/>
          </w:tcPr>
          <w:p w14:paraId="364A83C1" w14:textId="3585DA65" w:rsidR="004E601A" w:rsidRPr="000749B2" w:rsidRDefault="004E601A"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[116]</w:t>
            </w:r>
          </w:p>
        </w:tc>
        <w:tc>
          <w:tcPr>
            <w:tcW w:w="3472" w:type="dxa"/>
          </w:tcPr>
          <w:p w14:paraId="0AE8446E" w14:textId="426676E6" w:rsidR="004E601A" w:rsidRPr="000749B2" w:rsidRDefault="004E601A" w:rsidP="000B4309">
            <w:pPr>
              <w:spacing w:line="360" w:lineRule="auto"/>
              <w:jc w:val="both"/>
              <w:rPr>
                <w:rFonts w:ascii="Book Antiqua" w:hAnsi="Book Antiqua"/>
                <w:i/>
                <w:iCs/>
                <w:color w:val="000000" w:themeColor="text1"/>
                <w:sz w:val="24"/>
                <w:szCs w:val="24"/>
                <w:vertAlign w:val="superscript"/>
              </w:rPr>
            </w:pPr>
            <w:r w:rsidRPr="000749B2">
              <w:rPr>
                <w:rFonts w:ascii="Book Antiqua" w:hAnsi="Book Antiqua"/>
                <w:i/>
                <w:iCs/>
                <w:color w:val="000000" w:themeColor="text1"/>
                <w:sz w:val="24"/>
                <w:szCs w:val="24"/>
              </w:rPr>
              <w:t xml:space="preserve">CMV-cre </w:t>
            </w:r>
            <w:r w:rsidRPr="000749B2">
              <w:rPr>
                <w:rFonts w:ascii="Book Antiqua" w:hAnsi="Book Antiqua"/>
                <w:color w:val="000000" w:themeColor="text1"/>
                <w:sz w:val="24"/>
                <w:szCs w:val="24"/>
                <w:lang w:eastAsia="zh-CN"/>
              </w:rPr>
              <w:t>×</w:t>
            </w:r>
            <w:r w:rsidRPr="000749B2">
              <w:rPr>
                <w:rFonts w:ascii="Book Antiqua" w:hAnsi="Book Antiqua"/>
                <w:i/>
                <w:iCs/>
                <w:color w:val="000000" w:themeColor="text1"/>
                <w:sz w:val="24"/>
                <w:szCs w:val="24"/>
              </w:rPr>
              <w:t xml:space="preserve"> LSL- Kras</w:t>
            </w:r>
            <w:r w:rsidRPr="000749B2">
              <w:rPr>
                <w:rFonts w:ascii="Book Antiqua" w:hAnsi="Book Antiqua"/>
                <w:i/>
                <w:iCs/>
                <w:color w:val="000000" w:themeColor="text1"/>
                <w:sz w:val="24"/>
                <w:szCs w:val="24"/>
                <w:vertAlign w:val="superscript"/>
              </w:rPr>
              <w:t>G12D</w:t>
            </w:r>
          </w:p>
        </w:tc>
        <w:tc>
          <w:tcPr>
            <w:tcW w:w="3285" w:type="dxa"/>
            <w:vMerge w:val="restart"/>
          </w:tcPr>
          <w:p w14:paraId="0B95F127" w14:textId="0C1898FC" w:rsidR="004E601A" w:rsidRPr="000749B2" w:rsidRDefault="004E601A"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Germline embryonic </w:t>
            </w:r>
            <w:r w:rsidRPr="000749B2">
              <w:rPr>
                <w:rFonts w:ascii="Book Antiqua" w:hAnsi="Book Antiqua"/>
                <w:color w:val="000000" w:themeColor="text1"/>
                <w:sz w:val="24"/>
                <w:szCs w:val="24"/>
              </w:rPr>
              <w:lastRenderedPageBreak/>
              <w:t xml:space="preserve">expression of an endogenous </w:t>
            </w:r>
            <w:r w:rsidRPr="000749B2">
              <w:rPr>
                <w:rFonts w:ascii="Book Antiqua" w:hAnsi="Book Antiqua"/>
                <w:i/>
                <w:iCs/>
                <w:color w:val="000000" w:themeColor="text1"/>
                <w:sz w:val="24"/>
                <w:szCs w:val="24"/>
              </w:rPr>
              <w:t>Kras</w:t>
            </w:r>
            <w:r w:rsidRPr="000749B2">
              <w:rPr>
                <w:rFonts w:ascii="Book Antiqua" w:hAnsi="Book Antiqua"/>
                <w:color w:val="000000" w:themeColor="text1"/>
                <w:sz w:val="24"/>
                <w:szCs w:val="24"/>
                <w:vertAlign w:val="superscript"/>
              </w:rPr>
              <w:t>G12D</w:t>
            </w:r>
            <w:r w:rsidRPr="000749B2">
              <w:rPr>
                <w:rFonts w:ascii="Book Antiqua" w:hAnsi="Book Antiqua"/>
                <w:color w:val="000000" w:themeColor="text1"/>
                <w:sz w:val="24"/>
                <w:szCs w:val="24"/>
              </w:rPr>
              <w:t xml:space="preserve"> allele is uniformly lethal. Diffuse colonic hyper- and dysplasia</w:t>
            </w:r>
          </w:p>
        </w:tc>
      </w:tr>
      <w:tr w:rsidR="004E601A" w:rsidRPr="000749B2" w14:paraId="4856D3EC" w14:textId="77777777" w:rsidTr="00207D8B">
        <w:trPr>
          <w:trHeight w:val="1345"/>
        </w:trPr>
        <w:tc>
          <w:tcPr>
            <w:tcW w:w="989" w:type="dxa"/>
            <w:vMerge/>
          </w:tcPr>
          <w:p w14:paraId="3FA098EB" w14:textId="77777777" w:rsidR="004E601A" w:rsidRPr="000749B2" w:rsidRDefault="004E601A" w:rsidP="000B4309">
            <w:pPr>
              <w:spacing w:line="360" w:lineRule="auto"/>
              <w:jc w:val="both"/>
              <w:rPr>
                <w:rFonts w:ascii="Book Antiqua" w:hAnsi="Book Antiqua"/>
                <w:color w:val="000000" w:themeColor="text1"/>
                <w:sz w:val="24"/>
                <w:szCs w:val="24"/>
              </w:rPr>
            </w:pPr>
          </w:p>
        </w:tc>
        <w:tc>
          <w:tcPr>
            <w:tcW w:w="1249" w:type="dxa"/>
            <w:vMerge/>
          </w:tcPr>
          <w:p w14:paraId="0F17355C" w14:textId="77777777" w:rsidR="004E601A" w:rsidRPr="000749B2" w:rsidRDefault="004E601A" w:rsidP="000B4309">
            <w:pPr>
              <w:spacing w:line="360" w:lineRule="auto"/>
              <w:jc w:val="both"/>
              <w:rPr>
                <w:rFonts w:ascii="Book Antiqua" w:hAnsi="Book Antiqua"/>
                <w:color w:val="000000" w:themeColor="text1"/>
                <w:sz w:val="24"/>
                <w:szCs w:val="24"/>
                <w:vertAlign w:val="superscript"/>
              </w:rPr>
            </w:pPr>
          </w:p>
        </w:tc>
        <w:tc>
          <w:tcPr>
            <w:tcW w:w="3472" w:type="dxa"/>
          </w:tcPr>
          <w:p w14:paraId="0866B090" w14:textId="6FEC1AB6" w:rsidR="004E601A" w:rsidRPr="000749B2" w:rsidRDefault="004E601A"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LSL-Kras</w:t>
            </w:r>
            <w:r w:rsidRPr="000749B2">
              <w:rPr>
                <w:rFonts w:ascii="Book Antiqua" w:hAnsi="Book Antiqua"/>
                <w:i/>
                <w:iCs/>
                <w:color w:val="000000" w:themeColor="text1"/>
                <w:sz w:val="24"/>
                <w:szCs w:val="24"/>
                <w:vertAlign w:val="superscript"/>
              </w:rPr>
              <w:t>G12D</w:t>
            </w:r>
            <w:r w:rsidRPr="000749B2">
              <w:rPr>
                <w:rFonts w:ascii="Book Antiqua" w:hAnsi="Book Antiqua"/>
                <w:i/>
                <w:iCs/>
                <w:color w:val="000000" w:themeColor="text1"/>
                <w:sz w:val="24"/>
                <w:szCs w:val="24"/>
              </w:rPr>
              <w:t>; Fabpl-Cre</w:t>
            </w:r>
          </w:p>
        </w:tc>
        <w:tc>
          <w:tcPr>
            <w:tcW w:w="3285" w:type="dxa"/>
            <w:vMerge/>
          </w:tcPr>
          <w:p w14:paraId="6690493F" w14:textId="77777777" w:rsidR="004E601A" w:rsidRPr="000749B2" w:rsidRDefault="004E601A" w:rsidP="000B4309">
            <w:pPr>
              <w:spacing w:line="360" w:lineRule="auto"/>
              <w:jc w:val="both"/>
              <w:rPr>
                <w:rFonts w:ascii="Book Antiqua" w:hAnsi="Book Antiqua"/>
                <w:color w:val="000000" w:themeColor="text1"/>
                <w:sz w:val="24"/>
                <w:szCs w:val="24"/>
              </w:rPr>
            </w:pPr>
          </w:p>
        </w:tc>
      </w:tr>
      <w:tr w:rsidR="00CB43EF" w:rsidRPr="000749B2" w14:paraId="7B469A72" w14:textId="77777777" w:rsidTr="00207D8B">
        <w:tc>
          <w:tcPr>
            <w:tcW w:w="989" w:type="dxa"/>
          </w:tcPr>
          <w:p w14:paraId="4C5381CD"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36</w:t>
            </w:r>
          </w:p>
        </w:tc>
        <w:tc>
          <w:tcPr>
            <w:tcW w:w="1249" w:type="dxa"/>
          </w:tcPr>
          <w:p w14:paraId="3AA781E5" w14:textId="4C66662A"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[117]</w:t>
            </w:r>
          </w:p>
        </w:tc>
        <w:tc>
          <w:tcPr>
            <w:tcW w:w="3472" w:type="dxa"/>
          </w:tcPr>
          <w:p w14:paraId="472F01A9" w14:textId="3F72FE06"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Kras</w:t>
            </w:r>
            <w:r w:rsidRPr="000749B2">
              <w:rPr>
                <w:rFonts w:ascii="Book Antiqua" w:hAnsi="Book Antiqua"/>
                <w:color w:val="000000" w:themeColor="text1"/>
                <w:sz w:val="24"/>
                <w:szCs w:val="24"/>
                <w:vertAlign w:val="superscript"/>
              </w:rPr>
              <w:t>+/V12</w:t>
            </w:r>
            <w:r w:rsidRPr="000749B2">
              <w:rPr>
                <w:rFonts w:ascii="Book Antiqua" w:hAnsi="Book Antiqua"/>
                <w:color w:val="000000" w:themeColor="text1"/>
                <w:sz w:val="24"/>
                <w:szCs w:val="24"/>
              </w:rPr>
              <w:t xml:space="preserve"> </w:t>
            </w:r>
            <w:r w:rsidR="00F543DC" w:rsidRPr="000749B2">
              <w:rPr>
                <w:rFonts w:ascii="Book Antiqua" w:hAnsi="Book Antiqua"/>
                <w:color w:val="000000" w:themeColor="text1"/>
                <w:sz w:val="24"/>
                <w:szCs w:val="24"/>
                <w:lang w:eastAsia="zh-CN"/>
              </w:rPr>
              <w:t>×</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CMV-Cre</w:t>
            </w:r>
            <w:r w:rsidRPr="000749B2">
              <w:rPr>
                <w:rFonts w:ascii="Book Antiqua" w:hAnsi="Book Antiqua"/>
                <w:color w:val="000000" w:themeColor="text1"/>
                <w:sz w:val="24"/>
                <w:szCs w:val="24"/>
                <w:vertAlign w:val="superscript"/>
              </w:rPr>
              <w:t>+/T</w:t>
            </w:r>
          </w:p>
        </w:tc>
        <w:tc>
          <w:tcPr>
            <w:tcW w:w="3285" w:type="dxa"/>
          </w:tcPr>
          <w:p w14:paraId="715F9791" w14:textId="67A3F589"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High embryonic lethality; adult animals succumb to pulmonary neoplasia, no phenotypic changes in the intestine</w:t>
            </w:r>
          </w:p>
        </w:tc>
      </w:tr>
      <w:tr w:rsidR="00CB43EF" w:rsidRPr="000749B2" w14:paraId="175E33CE" w14:textId="77777777" w:rsidTr="00207D8B">
        <w:tc>
          <w:tcPr>
            <w:tcW w:w="989" w:type="dxa"/>
          </w:tcPr>
          <w:p w14:paraId="5EA00285"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37</w:t>
            </w:r>
          </w:p>
        </w:tc>
        <w:tc>
          <w:tcPr>
            <w:tcW w:w="1249" w:type="dxa"/>
          </w:tcPr>
          <w:p w14:paraId="3B8D92F1" w14:textId="21C61DB5"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[134]</w:t>
            </w:r>
          </w:p>
        </w:tc>
        <w:tc>
          <w:tcPr>
            <w:tcW w:w="3472" w:type="dxa"/>
          </w:tcPr>
          <w:p w14:paraId="414AED3C"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LSL-Kras</w:t>
            </w:r>
            <w:r w:rsidRPr="000749B2">
              <w:rPr>
                <w:rFonts w:ascii="Book Antiqua" w:hAnsi="Book Antiqua"/>
                <w:i/>
                <w:iCs/>
                <w:color w:val="000000" w:themeColor="text1"/>
                <w:sz w:val="24"/>
                <w:szCs w:val="24"/>
                <w:vertAlign w:val="superscript"/>
              </w:rPr>
              <w:t>G12D</w:t>
            </w:r>
            <w:r w:rsidRPr="000749B2">
              <w:rPr>
                <w:rFonts w:ascii="Book Antiqua" w:hAnsi="Book Antiqua"/>
                <w:color w:val="000000" w:themeColor="text1"/>
                <w:sz w:val="24"/>
                <w:szCs w:val="24"/>
              </w:rPr>
              <w:t>/</w:t>
            </w:r>
            <w:r w:rsidRPr="000749B2">
              <w:rPr>
                <w:rFonts w:ascii="Book Antiqua" w:hAnsi="Book Antiqua"/>
                <w:i/>
                <w:iCs/>
                <w:color w:val="000000" w:themeColor="text1"/>
                <w:sz w:val="24"/>
                <w:szCs w:val="24"/>
              </w:rPr>
              <w:t xml:space="preserve">Villin-cre </w:t>
            </w:r>
            <w:r w:rsidRPr="000749B2">
              <w:rPr>
                <w:rFonts w:ascii="Book Antiqua" w:hAnsi="Book Antiqua"/>
                <w:color w:val="000000" w:themeColor="text1"/>
                <w:sz w:val="24"/>
                <w:szCs w:val="24"/>
              </w:rPr>
              <w:t>+AOM</w:t>
            </w:r>
          </w:p>
        </w:tc>
        <w:tc>
          <w:tcPr>
            <w:tcW w:w="3285" w:type="dxa"/>
          </w:tcPr>
          <w:p w14:paraId="727BEDC9"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Increased number of microadenomas in the proximal colon</w:t>
            </w:r>
          </w:p>
        </w:tc>
      </w:tr>
      <w:tr w:rsidR="00CB43EF" w:rsidRPr="000749B2" w14:paraId="310C724C" w14:textId="77777777" w:rsidTr="00207D8B">
        <w:tc>
          <w:tcPr>
            <w:tcW w:w="989" w:type="dxa"/>
          </w:tcPr>
          <w:p w14:paraId="13F61C03"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38</w:t>
            </w:r>
          </w:p>
        </w:tc>
        <w:tc>
          <w:tcPr>
            <w:tcW w:w="1249" w:type="dxa"/>
          </w:tcPr>
          <w:p w14:paraId="639D5F14" w14:textId="5B7672DC"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[198]</w:t>
            </w:r>
          </w:p>
        </w:tc>
        <w:tc>
          <w:tcPr>
            <w:tcW w:w="3472" w:type="dxa"/>
          </w:tcPr>
          <w:p w14:paraId="275560C1"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Villin-Cre/K-ras</w:t>
            </w:r>
            <w:r w:rsidRPr="000749B2">
              <w:rPr>
                <w:rFonts w:ascii="Book Antiqua" w:hAnsi="Book Antiqua"/>
                <w:i/>
                <w:iCs/>
                <w:color w:val="000000" w:themeColor="text1"/>
                <w:sz w:val="24"/>
                <w:szCs w:val="24"/>
                <w:vertAlign w:val="superscript"/>
              </w:rPr>
              <w:t>G12Dint</w:t>
            </w:r>
            <w:r w:rsidRPr="000749B2">
              <w:rPr>
                <w:rFonts w:ascii="Book Antiqua" w:hAnsi="Book Antiqua"/>
                <w:i/>
                <w:iCs/>
                <w:color w:val="000000" w:themeColor="text1"/>
                <w:sz w:val="24"/>
                <w:szCs w:val="24"/>
              </w:rPr>
              <w:t>/Ink4a/Arf</w:t>
            </w:r>
            <w:r w:rsidRPr="000749B2">
              <w:rPr>
                <w:rFonts w:ascii="Book Antiqua" w:hAnsi="Book Antiqua"/>
                <w:i/>
                <w:iCs/>
                <w:color w:val="000000" w:themeColor="text1"/>
                <w:sz w:val="24"/>
                <w:szCs w:val="24"/>
                <w:vertAlign w:val="superscript"/>
              </w:rPr>
              <w:t>−/−</w:t>
            </w:r>
          </w:p>
        </w:tc>
        <w:tc>
          <w:tcPr>
            <w:tcW w:w="3285" w:type="dxa"/>
          </w:tcPr>
          <w:p w14:paraId="116D8177" w14:textId="1D00DBDC"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Within 12 wk progression to invasive adenocarcinomas (79%) with 60% lung metastases</w:t>
            </w:r>
          </w:p>
        </w:tc>
      </w:tr>
      <w:tr w:rsidR="00CB43EF" w:rsidRPr="000749B2" w14:paraId="79A8F1ED" w14:textId="77777777" w:rsidTr="00207D8B">
        <w:tc>
          <w:tcPr>
            <w:tcW w:w="989" w:type="dxa"/>
          </w:tcPr>
          <w:p w14:paraId="45898CB3"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39</w:t>
            </w:r>
          </w:p>
        </w:tc>
        <w:tc>
          <w:tcPr>
            <w:tcW w:w="1249" w:type="dxa"/>
          </w:tcPr>
          <w:p w14:paraId="48E7869E" w14:textId="2EE74D52"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[165]</w:t>
            </w:r>
          </w:p>
        </w:tc>
        <w:tc>
          <w:tcPr>
            <w:tcW w:w="3472" w:type="dxa"/>
          </w:tcPr>
          <w:p w14:paraId="75244232"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Δ716</w:t>
            </w:r>
            <w:r w:rsidRPr="000749B2">
              <w:rPr>
                <w:rFonts w:ascii="Book Antiqua" w:hAnsi="Book Antiqua"/>
                <w:i/>
                <w:iCs/>
                <w:color w:val="000000" w:themeColor="text1"/>
                <w:sz w:val="24"/>
                <w:szCs w:val="24"/>
              </w:rPr>
              <w:t xml:space="preserve"> Tgfbr2</w:t>
            </w:r>
            <w:r w:rsidRPr="000749B2">
              <w:rPr>
                <w:rFonts w:ascii="Book Antiqua" w:hAnsi="Book Antiqua"/>
                <w:i/>
                <w:iCs/>
                <w:color w:val="000000" w:themeColor="text1"/>
                <w:sz w:val="24"/>
                <w:szCs w:val="24"/>
                <w:vertAlign w:val="superscript"/>
              </w:rPr>
              <w:t>flox/flox</w:t>
            </w:r>
            <w:r w:rsidRPr="000749B2">
              <w:rPr>
                <w:rFonts w:ascii="Book Antiqua" w:hAnsi="Book Antiqua"/>
                <w:i/>
                <w:iCs/>
                <w:color w:val="000000" w:themeColor="text1"/>
                <w:sz w:val="24"/>
                <w:szCs w:val="24"/>
              </w:rPr>
              <w:t>; villin-CreER</w:t>
            </w:r>
          </w:p>
        </w:tc>
        <w:tc>
          <w:tcPr>
            <w:tcW w:w="3285" w:type="dxa"/>
          </w:tcPr>
          <w:p w14:paraId="0B0C8076" w14:textId="44FF4C15"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Disruption of TGFβ-signaling leads to locally invasive adenocarcinomas</w:t>
            </w:r>
          </w:p>
        </w:tc>
      </w:tr>
      <w:tr w:rsidR="00CB43EF" w:rsidRPr="000749B2" w14:paraId="0E6D1D6C" w14:textId="77777777" w:rsidTr="00207D8B">
        <w:tc>
          <w:tcPr>
            <w:tcW w:w="989" w:type="dxa"/>
          </w:tcPr>
          <w:p w14:paraId="615600BD"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40</w:t>
            </w:r>
          </w:p>
        </w:tc>
        <w:tc>
          <w:tcPr>
            <w:tcW w:w="1249" w:type="dxa"/>
          </w:tcPr>
          <w:p w14:paraId="3B674560" w14:textId="2BE54ECD"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[164]</w:t>
            </w:r>
          </w:p>
        </w:tc>
        <w:tc>
          <w:tcPr>
            <w:tcW w:w="3472" w:type="dxa"/>
          </w:tcPr>
          <w:p w14:paraId="03DD513D"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AOM-treatment of</w:t>
            </w:r>
            <w:r w:rsidRPr="000749B2">
              <w:rPr>
                <w:rFonts w:ascii="Book Antiqua" w:hAnsi="Book Antiqua"/>
                <w:i/>
                <w:iCs/>
                <w:color w:val="000000" w:themeColor="text1"/>
                <w:sz w:val="24"/>
                <w:szCs w:val="24"/>
              </w:rPr>
              <w:t xml:space="preserve"> Fabpl</w:t>
            </w:r>
            <w:r w:rsidRPr="000749B2">
              <w:rPr>
                <w:rFonts w:ascii="Book Antiqua" w:hAnsi="Book Antiqua"/>
                <w:color w:val="000000" w:themeColor="text1"/>
                <w:sz w:val="24"/>
                <w:szCs w:val="24"/>
                <w:vertAlign w:val="superscript"/>
              </w:rPr>
              <w:t>4xat-132</w:t>
            </w:r>
            <w:r w:rsidRPr="000749B2">
              <w:rPr>
                <w:rFonts w:ascii="Book Antiqua" w:hAnsi="Book Antiqua"/>
                <w:i/>
                <w:iCs/>
                <w:color w:val="000000" w:themeColor="text1"/>
                <w:sz w:val="24"/>
                <w:szCs w:val="24"/>
              </w:rPr>
              <w:t xml:space="preserve"> Cre; Tgfbr2</w:t>
            </w:r>
            <w:r w:rsidRPr="000749B2">
              <w:rPr>
                <w:rFonts w:ascii="Book Antiqua" w:hAnsi="Book Antiqua"/>
                <w:i/>
                <w:iCs/>
                <w:color w:val="000000" w:themeColor="text1"/>
                <w:sz w:val="24"/>
                <w:szCs w:val="24"/>
                <w:vertAlign w:val="superscript"/>
              </w:rPr>
              <w:t xml:space="preserve">flx/flx </w:t>
            </w:r>
            <w:r w:rsidRPr="000749B2">
              <w:rPr>
                <w:rFonts w:ascii="Book Antiqua" w:hAnsi="Book Antiqua"/>
                <w:color w:val="000000" w:themeColor="text1"/>
                <w:sz w:val="24"/>
                <w:szCs w:val="24"/>
              </w:rPr>
              <w:t>mice</w:t>
            </w:r>
          </w:p>
        </w:tc>
        <w:tc>
          <w:tcPr>
            <w:tcW w:w="3285" w:type="dxa"/>
          </w:tcPr>
          <w:p w14:paraId="5C825113"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Higher incidence of colonic adenomas and adenocarcinomas</w:t>
            </w:r>
          </w:p>
        </w:tc>
      </w:tr>
      <w:tr w:rsidR="00CB43EF" w:rsidRPr="000749B2" w14:paraId="6873C5CD" w14:textId="77777777" w:rsidTr="00207D8B">
        <w:tc>
          <w:tcPr>
            <w:tcW w:w="989" w:type="dxa"/>
          </w:tcPr>
          <w:p w14:paraId="0B0E71B5"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41</w:t>
            </w:r>
          </w:p>
        </w:tc>
        <w:tc>
          <w:tcPr>
            <w:tcW w:w="1249" w:type="dxa"/>
          </w:tcPr>
          <w:p w14:paraId="442CEC71" w14:textId="6DF73D3E"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[167]</w:t>
            </w:r>
          </w:p>
        </w:tc>
        <w:tc>
          <w:tcPr>
            <w:tcW w:w="3472" w:type="dxa"/>
          </w:tcPr>
          <w:p w14:paraId="0A779407"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Villin</w:t>
            </w:r>
            <w:r w:rsidRPr="000749B2">
              <w:rPr>
                <w:rFonts w:ascii="Book Antiqua" w:hAnsi="Book Antiqua"/>
                <w:color w:val="000000" w:themeColor="text1"/>
                <w:sz w:val="24"/>
                <w:szCs w:val="24"/>
              </w:rPr>
              <w:t>-Cre; Apc</w:t>
            </w:r>
            <w:r w:rsidRPr="000749B2">
              <w:rPr>
                <w:rFonts w:ascii="Book Antiqua" w:hAnsi="Book Antiqua"/>
                <w:color w:val="000000" w:themeColor="text1"/>
                <w:sz w:val="24"/>
                <w:szCs w:val="24"/>
                <w:vertAlign w:val="superscript"/>
              </w:rPr>
              <w:t>1638N/wt</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Tgfbr2</w:t>
            </w:r>
            <w:r w:rsidRPr="000749B2">
              <w:rPr>
                <w:rFonts w:ascii="Book Antiqua" w:hAnsi="Book Antiqua"/>
                <w:i/>
                <w:iCs/>
                <w:color w:val="000000" w:themeColor="text1"/>
                <w:sz w:val="24"/>
                <w:szCs w:val="24"/>
                <w:vertAlign w:val="superscript"/>
              </w:rPr>
              <w:t>flx/flx</w:t>
            </w:r>
          </w:p>
        </w:tc>
        <w:tc>
          <w:tcPr>
            <w:tcW w:w="3285" w:type="dxa"/>
          </w:tcPr>
          <w:p w14:paraId="28769661" w14:textId="11168E35"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Compared to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 xml:space="preserve">1638N/wt </w:t>
            </w:r>
            <w:r w:rsidRPr="000749B2">
              <w:rPr>
                <w:rFonts w:ascii="Book Antiqua" w:hAnsi="Book Antiqua"/>
                <w:color w:val="000000" w:themeColor="text1"/>
                <w:sz w:val="24"/>
                <w:szCs w:val="24"/>
              </w:rPr>
              <w:t>similar tumor incidence but increased progression to locally invasive adenocarcinoma</w:t>
            </w:r>
          </w:p>
        </w:tc>
      </w:tr>
      <w:tr w:rsidR="00CB43EF" w:rsidRPr="000749B2" w14:paraId="481EE293" w14:textId="77777777" w:rsidTr="00207D8B">
        <w:tc>
          <w:tcPr>
            <w:tcW w:w="989" w:type="dxa"/>
          </w:tcPr>
          <w:p w14:paraId="3C783D03"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42</w:t>
            </w:r>
          </w:p>
        </w:tc>
        <w:tc>
          <w:tcPr>
            <w:tcW w:w="1249" w:type="dxa"/>
          </w:tcPr>
          <w:p w14:paraId="6BC97960" w14:textId="79E64DF7"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[163]</w:t>
            </w:r>
          </w:p>
        </w:tc>
        <w:tc>
          <w:tcPr>
            <w:tcW w:w="3472" w:type="dxa"/>
          </w:tcPr>
          <w:p w14:paraId="2B42372F"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Tgfb1</w:t>
            </w:r>
            <w:r w:rsidRPr="000749B2">
              <w:rPr>
                <w:rFonts w:ascii="Book Antiqua" w:hAnsi="Book Antiqua"/>
                <w:color w:val="000000" w:themeColor="text1"/>
                <w:sz w:val="24"/>
                <w:szCs w:val="24"/>
                <w:vertAlign w:val="superscript"/>
              </w:rPr>
              <w:t>−/−</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Rag2</w:t>
            </w:r>
            <w:r w:rsidRPr="000749B2">
              <w:rPr>
                <w:rFonts w:ascii="Book Antiqua" w:hAnsi="Book Antiqua"/>
                <w:color w:val="000000" w:themeColor="text1"/>
                <w:sz w:val="24"/>
                <w:szCs w:val="24"/>
                <w:vertAlign w:val="superscript"/>
              </w:rPr>
              <w:t>−/−</w:t>
            </w:r>
          </w:p>
        </w:tc>
        <w:tc>
          <w:tcPr>
            <w:tcW w:w="3285" w:type="dxa"/>
          </w:tcPr>
          <w:p w14:paraId="264BE1B7" w14:textId="295A5328"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Rapid formation of adenomas and adenocarcinomas</w:t>
            </w:r>
          </w:p>
        </w:tc>
      </w:tr>
      <w:tr w:rsidR="00CB43EF" w:rsidRPr="000749B2" w14:paraId="60C0B792" w14:textId="77777777" w:rsidTr="00207D8B">
        <w:tc>
          <w:tcPr>
            <w:tcW w:w="989" w:type="dxa"/>
          </w:tcPr>
          <w:p w14:paraId="63E70AF9"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43</w:t>
            </w:r>
          </w:p>
        </w:tc>
        <w:tc>
          <w:tcPr>
            <w:tcW w:w="1249" w:type="dxa"/>
          </w:tcPr>
          <w:p w14:paraId="6CB17397" w14:textId="38039404"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[166]</w:t>
            </w:r>
          </w:p>
        </w:tc>
        <w:tc>
          <w:tcPr>
            <w:tcW w:w="3472" w:type="dxa"/>
          </w:tcPr>
          <w:p w14:paraId="6EAC5E64"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LSL-Kras</w:t>
            </w:r>
            <w:r w:rsidRPr="000749B2">
              <w:rPr>
                <w:rFonts w:ascii="Book Antiqua" w:hAnsi="Book Antiqua"/>
                <w:i/>
                <w:iCs/>
                <w:color w:val="000000" w:themeColor="text1"/>
                <w:sz w:val="24"/>
                <w:szCs w:val="24"/>
                <w:vertAlign w:val="superscript"/>
              </w:rPr>
              <w:t>G12D/wt</w:t>
            </w:r>
            <w:r w:rsidRPr="000749B2">
              <w:rPr>
                <w:rFonts w:ascii="Book Antiqua" w:hAnsi="Book Antiqua"/>
                <w:i/>
                <w:iCs/>
                <w:color w:val="000000" w:themeColor="text1"/>
                <w:sz w:val="24"/>
                <w:szCs w:val="24"/>
              </w:rPr>
              <w:t>; Villin-Cre; Tgfbr2</w:t>
            </w:r>
            <w:r w:rsidRPr="000749B2">
              <w:rPr>
                <w:rFonts w:ascii="Book Antiqua" w:hAnsi="Book Antiqua"/>
                <w:i/>
                <w:iCs/>
                <w:color w:val="000000" w:themeColor="text1"/>
                <w:sz w:val="24"/>
                <w:szCs w:val="24"/>
                <w:vertAlign w:val="superscript"/>
              </w:rPr>
              <w:t>E2flx/E2flx</w:t>
            </w:r>
          </w:p>
        </w:tc>
        <w:tc>
          <w:tcPr>
            <w:tcW w:w="3285" w:type="dxa"/>
          </w:tcPr>
          <w:p w14:paraId="65AE09F4" w14:textId="0934FF73"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Wnt-independent induction of invasive carcinomas in the intestine with 15% distant metastases</w:t>
            </w:r>
          </w:p>
        </w:tc>
      </w:tr>
      <w:tr w:rsidR="00CB43EF" w:rsidRPr="000749B2" w14:paraId="7C5AF7C5" w14:textId="77777777" w:rsidTr="00207D8B">
        <w:tc>
          <w:tcPr>
            <w:tcW w:w="989" w:type="dxa"/>
          </w:tcPr>
          <w:p w14:paraId="5C4F4563"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44</w:t>
            </w:r>
          </w:p>
        </w:tc>
        <w:tc>
          <w:tcPr>
            <w:tcW w:w="1249" w:type="dxa"/>
          </w:tcPr>
          <w:p w14:paraId="6825CFA3" w14:textId="206A32C2"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[153]</w:t>
            </w:r>
          </w:p>
        </w:tc>
        <w:tc>
          <w:tcPr>
            <w:tcW w:w="3472" w:type="dxa"/>
          </w:tcPr>
          <w:p w14:paraId="0D9B96E8"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Villin-Cre; Pten</w:t>
            </w:r>
            <w:r w:rsidRPr="000749B2">
              <w:rPr>
                <w:rFonts w:ascii="Book Antiqua" w:hAnsi="Book Antiqua"/>
                <w:i/>
                <w:iCs/>
                <w:color w:val="000000" w:themeColor="text1"/>
                <w:sz w:val="24"/>
                <w:szCs w:val="24"/>
                <w:vertAlign w:val="superscript"/>
              </w:rPr>
              <w:t>flx/flx</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Tgfbr2</w:t>
            </w:r>
            <w:r w:rsidRPr="000749B2">
              <w:rPr>
                <w:rFonts w:ascii="Book Antiqua" w:hAnsi="Book Antiqua"/>
                <w:i/>
                <w:iCs/>
                <w:color w:val="000000" w:themeColor="text1"/>
                <w:sz w:val="24"/>
                <w:szCs w:val="24"/>
                <w:vertAlign w:val="superscript"/>
              </w:rPr>
              <w:t>flx/flx</w:t>
            </w:r>
          </w:p>
        </w:tc>
        <w:tc>
          <w:tcPr>
            <w:tcW w:w="3285" w:type="dxa"/>
          </w:tcPr>
          <w:p w14:paraId="24F8EAF8" w14:textId="5138910E"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Mice with inactivation of TGFβR2 combined with loss of PTEN show high number of mucinous adenocarcinomas throughout the intestine. 8% show distant metastases (not Wnt, but deregulation of CDK inhibitor expression). </w:t>
            </w:r>
            <w:r w:rsidRPr="000749B2">
              <w:rPr>
                <w:rFonts w:ascii="Book Antiqua" w:hAnsi="Book Antiqua"/>
                <w:i/>
                <w:iCs/>
                <w:color w:val="000000" w:themeColor="text1"/>
                <w:sz w:val="24"/>
                <w:szCs w:val="24"/>
              </w:rPr>
              <w:t xml:space="preserve">Pten </w:t>
            </w:r>
            <w:r w:rsidRPr="000749B2">
              <w:rPr>
                <w:rFonts w:ascii="Book Antiqua" w:hAnsi="Book Antiqua"/>
                <w:color w:val="000000" w:themeColor="text1"/>
                <w:sz w:val="24"/>
                <w:szCs w:val="24"/>
              </w:rPr>
              <w:t>loss without mutation has no effect</w:t>
            </w:r>
          </w:p>
        </w:tc>
      </w:tr>
      <w:tr w:rsidR="00CB43EF" w:rsidRPr="000749B2" w14:paraId="1D3AE227" w14:textId="77777777" w:rsidTr="00207D8B">
        <w:tc>
          <w:tcPr>
            <w:tcW w:w="989" w:type="dxa"/>
          </w:tcPr>
          <w:p w14:paraId="48E02BF0"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45</w:t>
            </w:r>
          </w:p>
        </w:tc>
        <w:tc>
          <w:tcPr>
            <w:tcW w:w="1249" w:type="dxa"/>
          </w:tcPr>
          <w:p w14:paraId="5B027B44" w14:textId="4E7513A0"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[152]</w:t>
            </w:r>
          </w:p>
        </w:tc>
        <w:tc>
          <w:tcPr>
            <w:tcW w:w="3472" w:type="dxa"/>
          </w:tcPr>
          <w:p w14:paraId="093FBAD2" w14:textId="02219B5C"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Villin-CreER</w:t>
            </w:r>
            <w:r w:rsidRPr="000749B2">
              <w:rPr>
                <w:rFonts w:ascii="Book Antiqua" w:hAnsi="Book Antiqua"/>
                <w:color w:val="000000" w:themeColor="text1"/>
                <w:sz w:val="24"/>
                <w:szCs w:val="24"/>
                <w:vertAlign w:val="superscript"/>
              </w:rPr>
              <w:t>T</w:t>
            </w:r>
            <w:r w:rsidRPr="000749B2">
              <w:rPr>
                <w:rFonts w:ascii="Book Antiqua" w:hAnsi="Book Antiqua"/>
                <w:i/>
                <w:iCs/>
                <w:color w:val="000000" w:themeColor="text1"/>
                <w:sz w:val="24"/>
                <w:szCs w:val="24"/>
              </w:rPr>
              <w:t>; Apc</w:t>
            </w:r>
            <w:r w:rsidRPr="000749B2">
              <w:rPr>
                <w:rFonts w:ascii="Book Antiqua" w:hAnsi="Book Antiqua"/>
                <w:i/>
                <w:iCs/>
                <w:color w:val="000000" w:themeColor="text1"/>
                <w:sz w:val="24"/>
                <w:szCs w:val="24"/>
                <w:vertAlign w:val="superscript"/>
              </w:rPr>
              <w:t>fl/+</w:t>
            </w:r>
            <w:r w:rsidRPr="000749B2">
              <w:rPr>
                <w:rFonts w:ascii="Book Antiqua" w:hAnsi="Book Antiqua"/>
                <w:i/>
                <w:iCs/>
                <w:color w:val="000000" w:themeColor="text1"/>
                <w:sz w:val="24"/>
                <w:szCs w:val="24"/>
              </w:rPr>
              <w:t>; Pten</w:t>
            </w:r>
            <w:r w:rsidRPr="000749B2">
              <w:rPr>
                <w:rFonts w:ascii="Book Antiqua" w:hAnsi="Book Antiqua"/>
                <w:i/>
                <w:iCs/>
                <w:color w:val="000000" w:themeColor="text1"/>
                <w:sz w:val="24"/>
                <w:szCs w:val="24"/>
                <w:vertAlign w:val="superscript"/>
              </w:rPr>
              <w:t>fl/fl</w:t>
            </w:r>
            <w:r w:rsidRPr="000749B2">
              <w:rPr>
                <w:rFonts w:ascii="Book Antiqua" w:hAnsi="Book Antiqua"/>
                <w:i/>
                <w:iCs/>
                <w:color w:val="000000" w:themeColor="text1"/>
                <w:sz w:val="24"/>
                <w:szCs w:val="24"/>
              </w:rPr>
              <w:t>; Kras</w:t>
            </w:r>
            <w:r w:rsidRPr="000749B2">
              <w:rPr>
                <w:rFonts w:ascii="Book Antiqua" w:hAnsi="Book Antiqua"/>
                <w:i/>
                <w:iCs/>
                <w:color w:val="000000" w:themeColor="text1"/>
                <w:sz w:val="24"/>
                <w:szCs w:val="24"/>
                <w:vertAlign w:val="superscript"/>
              </w:rPr>
              <w:t>LSL/+</w:t>
            </w:r>
          </w:p>
        </w:tc>
        <w:tc>
          <w:tcPr>
            <w:tcW w:w="3285" w:type="dxa"/>
          </w:tcPr>
          <w:p w14:paraId="6CEEB8F8" w14:textId="0158DBA2"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 xml:space="preserve">Villin-CreERT; Apcfl/+; Ptenfl/fl; KrasLSL/+ </w:t>
            </w:r>
            <w:r w:rsidRPr="000749B2">
              <w:rPr>
                <w:rFonts w:ascii="Book Antiqua" w:hAnsi="Book Antiqua"/>
                <w:color w:val="000000" w:themeColor="text1"/>
                <w:sz w:val="24"/>
                <w:szCs w:val="24"/>
              </w:rPr>
              <w:t>mice show rapid morbidity due to invasive small intestinal tumors</w:t>
            </w:r>
          </w:p>
        </w:tc>
      </w:tr>
      <w:tr w:rsidR="00CB43EF" w:rsidRPr="000749B2" w14:paraId="34C54905" w14:textId="77777777" w:rsidTr="00207D8B">
        <w:tc>
          <w:tcPr>
            <w:tcW w:w="989" w:type="dxa"/>
          </w:tcPr>
          <w:p w14:paraId="7702C6E9"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46</w:t>
            </w:r>
          </w:p>
        </w:tc>
        <w:tc>
          <w:tcPr>
            <w:tcW w:w="1249" w:type="dxa"/>
          </w:tcPr>
          <w:p w14:paraId="4095C331" w14:textId="6C7B6BD1"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[151]</w:t>
            </w:r>
          </w:p>
        </w:tc>
        <w:tc>
          <w:tcPr>
            <w:tcW w:w="3472" w:type="dxa"/>
          </w:tcPr>
          <w:p w14:paraId="4C6E1407"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AhCre</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Pten</w:t>
            </w:r>
            <w:r w:rsidRPr="000749B2">
              <w:rPr>
                <w:rFonts w:ascii="Book Antiqua" w:hAnsi="Book Antiqua"/>
                <w:color w:val="000000" w:themeColor="text1"/>
                <w:sz w:val="24"/>
                <w:szCs w:val="24"/>
                <w:vertAlign w:val="superscript"/>
              </w:rPr>
              <w:t>f/f</w:t>
            </w:r>
          </w:p>
        </w:tc>
        <w:tc>
          <w:tcPr>
            <w:tcW w:w="3285" w:type="dxa"/>
          </w:tcPr>
          <w:p w14:paraId="36033998" w14:textId="66182604"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PTEN is dispensable in the intestinal epithelium,</w:t>
            </w:r>
            <w:r w:rsidR="00F543DC"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but increases tumorigenesis in the context of APC deficiency</w:t>
            </w:r>
          </w:p>
        </w:tc>
      </w:tr>
      <w:tr w:rsidR="00CB43EF" w:rsidRPr="000749B2" w14:paraId="3AF036C9" w14:textId="77777777" w:rsidTr="00207D8B">
        <w:tc>
          <w:tcPr>
            <w:tcW w:w="989" w:type="dxa"/>
          </w:tcPr>
          <w:p w14:paraId="0F8F25A1"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47</w:t>
            </w:r>
          </w:p>
        </w:tc>
        <w:tc>
          <w:tcPr>
            <w:tcW w:w="1249" w:type="dxa"/>
          </w:tcPr>
          <w:p w14:paraId="01A338AE" w14:textId="5DABC569"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[386]</w:t>
            </w:r>
          </w:p>
        </w:tc>
        <w:tc>
          <w:tcPr>
            <w:tcW w:w="3472" w:type="dxa"/>
          </w:tcPr>
          <w:p w14:paraId="6DC21E9C" w14:textId="48CF585A"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Min/+</w:t>
            </w:r>
            <w:r w:rsidRPr="000749B2">
              <w:rPr>
                <w:rFonts w:ascii="Book Antiqua" w:hAnsi="Book Antiqua"/>
                <w:i/>
                <w:iCs/>
                <w:color w:val="000000" w:themeColor="text1"/>
                <w:sz w:val="24"/>
                <w:szCs w:val="24"/>
              </w:rPr>
              <w:t>Pld1</w:t>
            </w:r>
            <w:r w:rsidRPr="000749B2">
              <w:rPr>
                <w:rFonts w:ascii="Book Antiqua" w:hAnsi="Book Antiqua"/>
                <w:i/>
                <w:iCs/>
                <w:color w:val="000000" w:themeColor="text1"/>
                <w:sz w:val="24"/>
                <w:szCs w:val="24"/>
                <w:vertAlign w:val="superscript"/>
              </w:rPr>
              <w:t>−/−</w:t>
            </w:r>
            <w:r w:rsidRPr="000749B2">
              <w:rPr>
                <w:rFonts w:ascii="Book Antiqua" w:hAnsi="Book Antiqua"/>
                <w:i/>
                <w:iCs/>
                <w:color w:val="000000" w:themeColor="text1"/>
                <w:sz w:val="24"/>
                <w:szCs w:val="24"/>
              </w:rPr>
              <w:t xml:space="preserve"> vs</w:t>
            </w:r>
            <w:r w:rsidR="004E601A" w:rsidRPr="000749B2">
              <w:rPr>
                <w:rFonts w:ascii="Book Antiqua" w:hAnsi="Book Antiqua"/>
                <w:i/>
                <w:iCs/>
                <w:color w:val="000000" w:themeColor="text1"/>
                <w:sz w:val="24"/>
                <w:szCs w:val="24"/>
              </w:rPr>
              <w:t xml:space="preserve">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Min/+</w:t>
            </w:r>
            <w:r w:rsidRPr="000749B2">
              <w:rPr>
                <w:rFonts w:ascii="Book Antiqua" w:hAnsi="Book Antiqua"/>
                <w:i/>
                <w:iCs/>
                <w:color w:val="000000" w:themeColor="text1"/>
                <w:sz w:val="24"/>
                <w:szCs w:val="24"/>
              </w:rPr>
              <w:t>Pld1</w:t>
            </w:r>
            <w:r w:rsidRPr="000749B2">
              <w:rPr>
                <w:rFonts w:ascii="Book Antiqua" w:hAnsi="Book Antiqua"/>
                <w:i/>
                <w:iCs/>
                <w:color w:val="000000" w:themeColor="text1"/>
                <w:sz w:val="24"/>
                <w:szCs w:val="24"/>
                <w:vertAlign w:val="superscript"/>
              </w:rPr>
              <w:t>+/+</w:t>
            </w:r>
            <w:r w:rsidRPr="000749B2">
              <w:rPr>
                <w:rFonts w:ascii="Book Antiqua" w:hAnsi="Book Antiqua"/>
                <w:i/>
                <w:iCs/>
                <w:color w:val="000000" w:themeColor="text1"/>
                <w:sz w:val="24"/>
                <w:szCs w:val="24"/>
              </w:rPr>
              <w:t xml:space="preserve"> </w:t>
            </w:r>
            <w:r w:rsidRPr="000749B2">
              <w:rPr>
                <w:rFonts w:ascii="Book Antiqua" w:hAnsi="Book Antiqua"/>
                <w:color w:val="000000" w:themeColor="text1"/>
                <w:sz w:val="24"/>
                <w:szCs w:val="24"/>
              </w:rPr>
              <w:t>+AOM/DSS</w:t>
            </w:r>
          </w:p>
        </w:tc>
        <w:tc>
          <w:tcPr>
            <w:tcW w:w="3285" w:type="dxa"/>
          </w:tcPr>
          <w:p w14:paraId="4B1D37BD" w14:textId="4AC7D87A"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Pld1</w:t>
            </w:r>
            <w:r w:rsidRPr="000749B2">
              <w:rPr>
                <w:rFonts w:ascii="Book Antiqua" w:hAnsi="Book Antiqua"/>
                <w:color w:val="000000" w:themeColor="text1"/>
                <w:sz w:val="24"/>
                <w:szCs w:val="24"/>
              </w:rPr>
              <w:t>-knockout/suppression leads to decreased tumor burden</w:t>
            </w:r>
          </w:p>
        </w:tc>
      </w:tr>
      <w:tr w:rsidR="00CB43EF" w:rsidRPr="000749B2" w14:paraId="27680342" w14:textId="77777777" w:rsidTr="00207D8B">
        <w:tc>
          <w:tcPr>
            <w:tcW w:w="989" w:type="dxa"/>
          </w:tcPr>
          <w:p w14:paraId="2C7290CA"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48</w:t>
            </w:r>
          </w:p>
        </w:tc>
        <w:tc>
          <w:tcPr>
            <w:tcW w:w="1249" w:type="dxa"/>
          </w:tcPr>
          <w:p w14:paraId="42297212" w14:textId="3EF6F809"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[157]</w:t>
            </w:r>
          </w:p>
        </w:tc>
        <w:tc>
          <w:tcPr>
            <w:tcW w:w="3472" w:type="dxa"/>
          </w:tcPr>
          <w:p w14:paraId="5674AD79" w14:textId="6FC8A146"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Dpc4</w:t>
            </w:r>
            <w:r w:rsidRPr="000749B2">
              <w:rPr>
                <w:rFonts w:ascii="Book Antiqua" w:hAnsi="Book Antiqua"/>
                <w:i/>
                <w:iCs/>
                <w:color w:val="000000" w:themeColor="text1"/>
                <w:sz w:val="24"/>
                <w:szCs w:val="24"/>
                <w:vertAlign w:val="superscript"/>
              </w:rPr>
              <w:t>+/-</w:t>
            </w:r>
            <w:r w:rsidRPr="000749B2">
              <w:rPr>
                <w:rFonts w:ascii="Book Antiqua" w:hAnsi="Book Antiqua"/>
                <w:i/>
                <w:iCs/>
                <w:color w:val="000000" w:themeColor="text1"/>
                <w:sz w:val="24"/>
                <w:szCs w:val="24"/>
              </w:rPr>
              <w:t>: Apc</w:t>
            </w:r>
            <w:r w:rsidRPr="000749B2">
              <w:rPr>
                <w:rFonts w:ascii="Book Antiqua" w:hAnsi="Book Antiqua"/>
                <w:i/>
                <w:iCs/>
                <w:color w:val="000000" w:themeColor="text1"/>
                <w:sz w:val="24"/>
                <w:szCs w:val="24"/>
                <w:vertAlign w:val="superscript"/>
              </w:rPr>
              <w:t>+/Δ716</w:t>
            </w:r>
          </w:p>
        </w:tc>
        <w:tc>
          <w:tcPr>
            <w:tcW w:w="3285" w:type="dxa"/>
          </w:tcPr>
          <w:p w14:paraId="552FD76B" w14:textId="7EDFFC4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Dpc4</w:t>
            </w:r>
            <w:r w:rsidRPr="000749B2">
              <w:rPr>
                <w:rFonts w:ascii="Book Antiqua" w:hAnsi="Book Antiqua"/>
                <w:color w:val="000000" w:themeColor="text1"/>
                <w:sz w:val="24"/>
                <w:szCs w:val="24"/>
              </w:rPr>
              <w:t xml:space="preserve"> and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Δ716</w:t>
            </w:r>
            <w:r w:rsidRPr="000749B2">
              <w:rPr>
                <w:rFonts w:ascii="Book Antiqua" w:hAnsi="Book Antiqua"/>
                <w:color w:val="000000" w:themeColor="text1"/>
                <w:sz w:val="24"/>
                <w:szCs w:val="24"/>
              </w:rPr>
              <w:t xml:space="preserve"> cis-compound heterozygote mice show adenoma to </w:t>
            </w:r>
            <w:r w:rsidRPr="000749B2">
              <w:rPr>
                <w:rFonts w:ascii="Book Antiqua" w:hAnsi="Book Antiqua"/>
                <w:color w:val="000000" w:themeColor="text1"/>
                <w:sz w:val="24"/>
                <w:szCs w:val="24"/>
              </w:rPr>
              <w:lastRenderedPageBreak/>
              <w:t>carcinoma progression in the small intestine and colon with submucosal infiltration</w:t>
            </w:r>
          </w:p>
        </w:tc>
      </w:tr>
      <w:tr w:rsidR="00CB43EF" w:rsidRPr="000749B2" w14:paraId="4C36D5A6" w14:textId="77777777" w:rsidTr="00207D8B">
        <w:tc>
          <w:tcPr>
            <w:tcW w:w="989" w:type="dxa"/>
          </w:tcPr>
          <w:p w14:paraId="5C51B738"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49</w:t>
            </w:r>
          </w:p>
        </w:tc>
        <w:tc>
          <w:tcPr>
            <w:tcW w:w="1249" w:type="dxa"/>
          </w:tcPr>
          <w:p w14:paraId="45EEBAAE" w14:textId="3B6F176A"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[159]</w:t>
            </w:r>
          </w:p>
        </w:tc>
        <w:tc>
          <w:tcPr>
            <w:tcW w:w="3472" w:type="dxa"/>
          </w:tcPr>
          <w:p w14:paraId="727C8F28"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Smad2</w:t>
            </w:r>
            <w:r w:rsidRPr="000749B2">
              <w:rPr>
                <w:rFonts w:ascii="Book Antiqua" w:hAnsi="Book Antiqua"/>
                <w:i/>
                <w:iCs/>
                <w:color w:val="000000" w:themeColor="text1"/>
                <w:sz w:val="24"/>
                <w:szCs w:val="24"/>
                <w:vertAlign w:val="superscript"/>
              </w:rPr>
              <w:t>+/-</w:t>
            </w:r>
            <w:r w:rsidRPr="000749B2">
              <w:rPr>
                <w:rFonts w:ascii="Book Antiqua" w:hAnsi="Book Antiqua"/>
                <w:i/>
                <w:iCs/>
                <w:color w:val="000000" w:themeColor="text1"/>
                <w:sz w:val="24"/>
                <w:szCs w:val="24"/>
              </w:rPr>
              <w:t>; Apc</w:t>
            </w:r>
            <w:r w:rsidRPr="000749B2">
              <w:rPr>
                <w:rFonts w:ascii="Book Antiqua" w:hAnsi="Book Antiqua"/>
                <w:i/>
                <w:iCs/>
                <w:color w:val="000000" w:themeColor="text1"/>
                <w:sz w:val="24"/>
                <w:szCs w:val="24"/>
                <w:vertAlign w:val="superscript"/>
              </w:rPr>
              <w:t>+/Δ716</w:t>
            </w:r>
          </w:p>
        </w:tc>
        <w:tc>
          <w:tcPr>
            <w:tcW w:w="3285" w:type="dxa"/>
          </w:tcPr>
          <w:p w14:paraId="2F8CEB97" w14:textId="71DE27C0"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Combination of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rPr>
              <w:t xml:space="preserve"> mutation and loss of </w:t>
            </w:r>
            <w:r w:rsidRPr="000749B2">
              <w:rPr>
                <w:rFonts w:ascii="Book Antiqua" w:hAnsi="Book Antiqua"/>
                <w:i/>
                <w:iCs/>
                <w:color w:val="000000" w:themeColor="text1"/>
                <w:sz w:val="24"/>
                <w:szCs w:val="24"/>
              </w:rPr>
              <w:t>Smad2</w:t>
            </w:r>
            <w:r w:rsidRPr="000749B2">
              <w:rPr>
                <w:rFonts w:ascii="Book Antiqua" w:hAnsi="Book Antiqua"/>
                <w:color w:val="000000" w:themeColor="text1"/>
                <w:sz w:val="24"/>
                <w:szCs w:val="24"/>
              </w:rPr>
              <w:t xml:space="preserve"> leads to no changes in tumor size or properties compared to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+/Δ716</w:t>
            </w:r>
            <w:r w:rsidRPr="000749B2">
              <w:rPr>
                <w:rFonts w:ascii="Book Antiqua" w:hAnsi="Book Antiqua"/>
                <w:color w:val="000000" w:themeColor="text1"/>
                <w:sz w:val="24"/>
                <w:szCs w:val="24"/>
              </w:rPr>
              <w:t xml:space="preserve"> mice</w:t>
            </w:r>
          </w:p>
        </w:tc>
      </w:tr>
      <w:tr w:rsidR="00CB43EF" w:rsidRPr="000749B2" w14:paraId="05B283BE" w14:textId="77777777" w:rsidTr="00207D8B">
        <w:tc>
          <w:tcPr>
            <w:tcW w:w="989" w:type="dxa"/>
          </w:tcPr>
          <w:p w14:paraId="6EAF1A51"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50</w:t>
            </w:r>
          </w:p>
        </w:tc>
        <w:tc>
          <w:tcPr>
            <w:tcW w:w="1249" w:type="dxa"/>
          </w:tcPr>
          <w:p w14:paraId="4E918D89" w14:textId="437C882F"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[161]</w:t>
            </w:r>
          </w:p>
        </w:tc>
        <w:tc>
          <w:tcPr>
            <w:tcW w:w="3472" w:type="dxa"/>
          </w:tcPr>
          <w:p w14:paraId="40EFA134"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Min/+</w:t>
            </w:r>
            <w:r w:rsidRPr="000749B2">
              <w:rPr>
                <w:rFonts w:ascii="Book Antiqua" w:hAnsi="Book Antiqua"/>
                <w:i/>
                <w:iCs/>
                <w:color w:val="000000" w:themeColor="text1"/>
                <w:sz w:val="24"/>
                <w:szCs w:val="24"/>
              </w:rPr>
              <w:t>; Smad3</w:t>
            </w:r>
            <w:r w:rsidRPr="000749B2">
              <w:rPr>
                <w:rFonts w:ascii="Book Antiqua" w:hAnsi="Book Antiqua"/>
                <w:i/>
                <w:iCs/>
                <w:color w:val="000000" w:themeColor="text1"/>
                <w:sz w:val="24"/>
                <w:szCs w:val="24"/>
                <w:vertAlign w:val="superscript"/>
              </w:rPr>
              <w:t>−/−</w:t>
            </w:r>
          </w:p>
        </w:tc>
        <w:tc>
          <w:tcPr>
            <w:tcW w:w="3285" w:type="dxa"/>
          </w:tcPr>
          <w:p w14:paraId="440818F7" w14:textId="72A7E99B"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Reduced lifespan of 2 month</w:t>
            </w:r>
            <w:r w:rsidR="00A16FC1" w:rsidRPr="000749B2">
              <w:rPr>
                <w:rFonts w:ascii="Book Antiqua" w:hAnsi="Book Antiqua"/>
                <w:color w:val="000000" w:themeColor="text1"/>
                <w:sz w:val="24"/>
                <w:szCs w:val="24"/>
              </w:rPr>
              <w:t>s</w:t>
            </w:r>
            <w:r w:rsidRPr="000749B2">
              <w:rPr>
                <w:rFonts w:ascii="Book Antiqua" w:hAnsi="Book Antiqua"/>
                <w:color w:val="000000" w:themeColor="text1"/>
                <w:sz w:val="24"/>
                <w:szCs w:val="24"/>
              </w:rPr>
              <w:t xml:space="preserve"> due to rapid tumor development in the distal colon with mixed histology but no metastases</w:t>
            </w:r>
          </w:p>
        </w:tc>
      </w:tr>
      <w:tr w:rsidR="00CB43EF" w:rsidRPr="000749B2" w14:paraId="35B17170" w14:textId="77777777" w:rsidTr="00207D8B">
        <w:tc>
          <w:tcPr>
            <w:tcW w:w="989" w:type="dxa"/>
          </w:tcPr>
          <w:p w14:paraId="2C74B27E"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51</w:t>
            </w:r>
          </w:p>
        </w:tc>
        <w:tc>
          <w:tcPr>
            <w:tcW w:w="1249" w:type="dxa"/>
          </w:tcPr>
          <w:p w14:paraId="13F05488" w14:textId="0B0760C2"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[156]</w:t>
            </w:r>
          </w:p>
        </w:tc>
        <w:tc>
          <w:tcPr>
            <w:tcW w:w="3472" w:type="dxa"/>
          </w:tcPr>
          <w:p w14:paraId="05E7A732"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+/1638N</w:t>
            </w:r>
            <w:r w:rsidRPr="000749B2">
              <w:rPr>
                <w:rFonts w:ascii="Book Antiqua" w:hAnsi="Book Antiqua"/>
                <w:color w:val="000000" w:themeColor="text1"/>
                <w:sz w:val="24"/>
                <w:szCs w:val="24"/>
              </w:rPr>
              <w:t>/</w:t>
            </w:r>
            <w:r w:rsidRPr="000749B2">
              <w:rPr>
                <w:rFonts w:ascii="Book Antiqua" w:hAnsi="Book Antiqua"/>
                <w:i/>
                <w:iCs/>
                <w:color w:val="000000" w:themeColor="text1"/>
                <w:sz w:val="24"/>
                <w:szCs w:val="24"/>
              </w:rPr>
              <w:t>Smad4</w:t>
            </w:r>
            <w:r w:rsidRPr="000749B2">
              <w:rPr>
                <w:rFonts w:ascii="Book Antiqua" w:hAnsi="Book Antiqua"/>
                <w:color w:val="000000" w:themeColor="text1"/>
                <w:sz w:val="24"/>
                <w:szCs w:val="24"/>
                <w:vertAlign w:val="superscript"/>
              </w:rPr>
              <w:t>+/E6sad</w:t>
            </w:r>
            <w:r w:rsidRPr="000749B2">
              <w:rPr>
                <w:rFonts w:ascii="Book Antiqua" w:hAnsi="Book Antiqua"/>
                <w:color w:val="000000" w:themeColor="text1"/>
                <w:sz w:val="24"/>
                <w:szCs w:val="24"/>
              </w:rPr>
              <w:t xml:space="preserve"> (cis and trans)</w:t>
            </w:r>
          </w:p>
        </w:tc>
        <w:tc>
          <w:tcPr>
            <w:tcW w:w="3285" w:type="dxa"/>
          </w:tcPr>
          <w:p w14:paraId="2305EF13" w14:textId="2DE279D6"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Smad4</w:t>
            </w:r>
            <w:r w:rsidRPr="000749B2">
              <w:rPr>
                <w:rFonts w:ascii="Book Antiqua" w:hAnsi="Book Antiqua"/>
                <w:color w:val="000000" w:themeColor="text1"/>
                <w:sz w:val="24"/>
                <w:szCs w:val="24"/>
              </w:rPr>
              <w:t xml:space="preserve"> mutation leads to intestinal tumors without malignant properties. Both mutations lead to high tumor burden in the upper GI (cis&gt;trans); some show invasion of the submucosa</w:t>
            </w:r>
          </w:p>
        </w:tc>
      </w:tr>
      <w:tr w:rsidR="00CB43EF" w:rsidRPr="000749B2" w14:paraId="4E5C4E0A" w14:textId="77777777" w:rsidTr="00207D8B">
        <w:tc>
          <w:tcPr>
            <w:tcW w:w="989" w:type="dxa"/>
          </w:tcPr>
          <w:p w14:paraId="73599EBD"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52</w:t>
            </w:r>
          </w:p>
        </w:tc>
        <w:tc>
          <w:tcPr>
            <w:tcW w:w="1249" w:type="dxa"/>
          </w:tcPr>
          <w:p w14:paraId="502BBCAF" w14:textId="27BC29C7"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[387]</w:t>
            </w:r>
          </w:p>
        </w:tc>
        <w:tc>
          <w:tcPr>
            <w:tcW w:w="3472" w:type="dxa"/>
          </w:tcPr>
          <w:p w14:paraId="38F26183"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cis-Apc</w:t>
            </w:r>
            <w:r w:rsidRPr="000749B2">
              <w:rPr>
                <w:rFonts w:ascii="Book Antiqua" w:hAnsi="Book Antiqua"/>
                <w:i/>
                <w:iCs/>
                <w:color w:val="000000" w:themeColor="text1"/>
                <w:sz w:val="24"/>
                <w:szCs w:val="24"/>
                <w:vertAlign w:val="superscript"/>
              </w:rPr>
              <w:t>+/-</w:t>
            </w:r>
            <w:r w:rsidRPr="000749B2">
              <w:rPr>
                <w:rFonts w:ascii="Book Antiqua" w:hAnsi="Book Antiqua"/>
                <w:i/>
                <w:iCs/>
                <w:color w:val="000000" w:themeColor="text1"/>
                <w:sz w:val="24"/>
                <w:szCs w:val="24"/>
              </w:rPr>
              <w:t>/Smad4</w:t>
            </w:r>
            <w:r w:rsidRPr="000749B2">
              <w:rPr>
                <w:rFonts w:ascii="Book Antiqua" w:hAnsi="Book Antiqua"/>
                <w:i/>
                <w:iCs/>
                <w:color w:val="000000" w:themeColor="text1"/>
                <w:sz w:val="24"/>
                <w:szCs w:val="24"/>
                <w:vertAlign w:val="superscript"/>
              </w:rPr>
              <w:t>+/-</w:t>
            </w:r>
            <w:r w:rsidRPr="000749B2">
              <w:rPr>
                <w:rFonts w:ascii="Book Antiqua" w:hAnsi="Book Antiqua"/>
                <w:i/>
                <w:iCs/>
                <w:color w:val="000000" w:themeColor="text1"/>
                <w:sz w:val="24"/>
                <w:szCs w:val="24"/>
              </w:rPr>
              <w:t xml:space="preserve"> Mmp7</w:t>
            </w:r>
            <w:r w:rsidRPr="000749B2">
              <w:rPr>
                <w:rFonts w:ascii="Book Antiqua" w:hAnsi="Book Antiqua"/>
                <w:i/>
                <w:iCs/>
                <w:color w:val="000000" w:themeColor="text1"/>
                <w:sz w:val="24"/>
                <w:szCs w:val="24"/>
                <w:vertAlign w:val="superscript"/>
              </w:rPr>
              <w:t>−/−</w:t>
            </w:r>
          </w:p>
        </w:tc>
        <w:tc>
          <w:tcPr>
            <w:tcW w:w="3285" w:type="dxa"/>
          </w:tcPr>
          <w:p w14:paraId="4593B38F" w14:textId="7BE22641"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Mmp7</w:t>
            </w:r>
            <w:r w:rsidRPr="000749B2">
              <w:rPr>
                <w:rFonts w:ascii="Book Antiqua" w:hAnsi="Book Antiqua"/>
                <w:color w:val="000000" w:themeColor="text1"/>
                <w:sz w:val="24"/>
                <w:szCs w:val="24"/>
              </w:rPr>
              <w:t xml:space="preserve"> knockout reduces tumor </w:t>
            </w:r>
            <w:r w:rsidR="00F543DC" w:rsidRPr="000749B2">
              <w:rPr>
                <w:rFonts w:ascii="Book Antiqua" w:hAnsi="Book Antiqua"/>
                <w:color w:val="000000" w:themeColor="text1"/>
                <w:sz w:val="24"/>
                <w:szCs w:val="24"/>
              </w:rPr>
              <w:t>size but</w:t>
            </w:r>
            <w:r w:rsidRPr="000749B2">
              <w:rPr>
                <w:rFonts w:ascii="Book Antiqua" w:hAnsi="Book Antiqua"/>
                <w:color w:val="000000" w:themeColor="text1"/>
                <w:sz w:val="24"/>
                <w:szCs w:val="24"/>
              </w:rPr>
              <w:t xml:space="preserve"> does not affect invasiveness</w:t>
            </w:r>
          </w:p>
        </w:tc>
      </w:tr>
      <w:tr w:rsidR="00CB43EF" w:rsidRPr="000749B2" w14:paraId="360060B1" w14:textId="77777777" w:rsidTr="00207D8B">
        <w:tc>
          <w:tcPr>
            <w:tcW w:w="989" w:type="dxa"/>
          </w:tcPr>
          <w:p w14:paraId="462AAE59"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53</w:t>
            </w:r>
          </w:p>
        </w:tc>
        <w:tc>
          <w:tcPr>
            <w:tcW w:w="1249" w:type="dxa"/>
          </w:tcPr>
          <w:p w14:paraId="6E6F6891" w14:textId="7E23B019"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[388]</w:t>
            </w:r>
          </w:p>
        </w:tc>
        <w:tc>
          <w:tcPr>
            <w:tcW w:w="3472" w:type="dxa"/>
          </w:tcPr>
          <w:p w14:paraId="430B7385"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Smad2</w:t>
            </w:r>
            <w:r w:rsidRPr="000749B2">
              <w:rPr>
                <w:rFonts w:ascii="Book Antiqua" w:hAnsi="Book Antiqua"/>
                <w:i/>
                <w:iCs/>
                <w:color w:val="000000" w:themeColor="text1"/>
                <w:sz w:val="24"/>
                <w:szCs w:val="24"/>
                <w:vertAlign w:val="superscript"/>
              </w:rPr>
              <w:t>+/-</w:t>
            </w:r>
            <w:r w:rsidRPr="000749B2">
              <w:rPr>
                <w:rFonts w:ascii="Book Antiqua" w:hAnsi="Book Antiqua"/>
                <w:i/>
                <w:iCs/>
                <w:color w:val="000000" w:themeColor="text1"/>
                <w:sz w:val="24"/>
                <w:szCs w:val="24"/>
              </w:rPr>
              <w:t>; Apc</w:t>
            </w:r>
            <w:r w:rsidRPr="000749B2">
              <w:rPr>
                <w:rFonts w:ascii="Book Antiqua" w:hAnsi="Book Antiqua"/>
                <w:i/>
                <w:iCs/>
                <w:color w:val="000000" w:themeColor="text1"/>
                <w:sz w:val="24"/>
                <w:szCs w:val="24"/>
                <w:vertAlign w:val="superscript"/>
              </w:rPr>
              <w:t>580D/+</w:t>
            </w:r>
            <w:r w:rsidRPr="000749B2">
              <w:rPr>
                <w:rFonts w:ascii="Book Antiqua" w:hAnsi="Book Antiqua"/>
                <w:i/>
                <w:iCs/>
                <w:color w:val="000000" w:themeColor="text1"/>
                <w:sz w:val="24"/>
                <w:szCs w:val="24"/>
              </w:rPr>
              <w:t xml:space="preserve"> </w:t>
            </w:r>
            <w:r w:rsidRPr="000749B2">
              <w:rPr>
                <w:rFonts w:ascii="Book Antiqua" w:hAnsi="Book Antiqua"/>
                <w:color w:val="000000" w:themeColor="text1"/>
                <w:sz w:val="24"/>
                <w:szCs w:val="24"/>
              </w:rPr>
              <w:t>(cis)</w:t>
            </w:r>
          </w:p>
        </w:tc>
        <w:tc>
          <w:tcPr>
            <w:tcW w:w="3285" w:type="dxa"/>
          </w:tcPr>
          <w:p w14:paraId="295B7E13" w14:textId="6468C1B5"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Larger tumors, higher incidence of malignant phenotype (compared to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580D/+</w:t>
            </w:r>
            <w:r w:rsidRPr="000749B2">
              <w:rPr>
                <w:rFonts w:ascii="Book Antiqua" w:hAnsi="Book Antiqua"/>
                <w:color w:val="000000" w:themeColor="text1"/>
                <w:sz w:val="24"/>
                <w:szCs w:val="24"/>
              </w:rPr>
              <w:t>mice)</w:t>
            </w:r>
          </w:p>
        </w:tc>
      </w:tr>
      <w:tr w:rsidR="00CB43EF" w:rsidRPr="000749B2" w14:paraId="1B94E2AE" w14:textId="77777777" w:rsidTr="00207D8B">
        <w:tc>
          <w:tcPr>
            <w:tcW w:w="989" w:type="dxa"/>
          </w:tcPr>
          <w:p w14:paraId="478A2C35"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54</w:t>
            </w:r>
          </w:p>
        </w:tc>
        <w:tc>
          <w:tcPr>
            <w:tcW w:w="1249" w:type="dxa"/>
          </w:tcPr>
          <w:p w14:paraId="0C6D763A" w14:textId="18D377E9"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[160]</w:t>
            </w:r>
          </w:p>
        </w:tc>
        <w:tc>
          <w:tcPr>
            <w:tcW w:w="3472" w:type="dxa"/>
          </w:tcPr>
          <w:p w14:paraId="3B615FF0" w14:textId="21DC3B16"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Smad3</w:t>
            </w:r>
            <w:r w:rsidRPr="000749B2">
              <w:rPr>
                <w:rFonts w:ascii="Book Antiqua" w:hAnsi="Book Antiqua"/>
                <w:color w:val="000000" w:themeColor="text1"/>
                <w:sz w:val="24"/>
                <w:szCs w:val="24"/>
                <w:vertAlign w:val="superscript"/>
              </w:rPr>
              <w:t xml:space="preserve">-/- </w:t>
            </w:r>
            <w:r w:rsidRPr="000749B2">
              <w:rPr>
                <w:rFonts w:ascii="Book Antiqua" w:hAnsi="Book Antiqua"/>
                <w:color w:val="000000" w:themeColor="text1"/>
                <w:sz w:val="24"/>
                <w:szCs w:val="24"/>
              </w:rPr>
              <w:t>(129/Sv genetic background)</w:t>
            </w:r>
          </w:p>
        </w:tc>
        <w:tc>
          <w:tcPr>
            <w:tcW w:w="3285" w:type="dxa"/>
          </w:tcPr>
          <w:p w14:paraId="21AA4139" w14:textId="0B3D58DA" w:rsidR="00CB43EF" w:rsidRPr="000749B2" w:rsidRDefault="00CB43EF" w:rsidP="000B4309">
            <w:pPr>
              <w:spacing w:line="360" w:lineRule="auto"/>
              <w:jc w:val="both"/>
              <w:rPr>
                <w:rFonts w:ascii="Book Antiqua" w:hAnsi="Book Antiqua"/>
                <w:color w:val="000000" w:themeColor="text1"/>
                <w:sz w:val="24"/>
                <w:szCs w:val="24"/>
                <w:lang w:eastAsia="zh-CN"/>
              </w:rPr>
            </w:pPr>
            <w:r w:rsidRPr="000749B2">
              <w:rPr>
                <w:rFonts w:ascii="Book Antiqua" w:hAnsi="Book Antiqua"/>
                <w:color w:val="000000" w:themeColor="text1"/>
                <w:sz w:val="24"/>
                <w:szCs w:val="24"/>
              </w:rPr>
              <w:t xml:space="preserve">Adenocarcinomas of the intestine with penetration of the whole intestinal wall and lymphatic spread. </w:t>
            </w:r>
            <w:r w:rsidRPr="000749B2">
              <w:rPr>
                <w:rFonts w:ascii="Book Antiqua" w:hAnsi="Book Antiqua"/>
                <w:color w:val="000000" w:themeColor="text1"/>
                <w:sz w:val="24"/>
                <w:szCs w:val="24"/>
              </w:rPr>
              <w:lastRenderedPageBreak/>
              <w:t xml:space="preserve">Lower tumor burden in C57/BL6 </w:t>
            </w:r>
            <w:r w:rsidR="00F543DC" w:rsidRPr="000749B2">
              <w:rPr>
                <w:rFonts w:ascii="Book Antiqua" w:hAnsi="Book Antiqua"/>
                <w:color w:val="000000" w:themeColor="text1"/>
                <w:sz w:val="24"/>
                <w:szCs w:val="24"/>
                <w:lang w:eastAsia="zh-CN"/>
              </w:rPr>
              <w:t>×</w:t>
            </w:r>
            <w:r w:rsidRPr="000749B2">
              <w:rPr>
                <w:rFonts w:ascii="Book Antiqua" w:hAnsi="Book Antiqua"/>
                <w:color w:val="000000" w:themeColor="text1"/>
                <w:sz w:val="24"/>
                <w:szCs w:val="24"/>
              </w:rPr>
              <w:t xml:space="preserve"> 129/Sv </w:t>
            </w:r>
            <w:r w:rsidRPr="000749B2">
              <w:rPr>
                <w:rFonts w:ascii="Book Antiqua" w:hAnsi="Book Antiqua"/>
                <w:i/>
                <w:iCs/>
                <w:color w:val="000000" w:themeColor="text1"/>
                <w:sz w:val="24"/>
                <w:szCs w:val="24"/>
              </w:rPr>
              <w:t>Smad3</w:t>
            </w:r>
            <w:r w:rsidRPr="000749B2">
              <w:rPr>
                <w:rFonts w:ascii="Book Antiqua" w:hAnsi="Book Antiqua"/>
                <w:i/>
                <w:iCs/>
                <w:color w:val="000000" w:themeColor="text1"/>
                <w:sz w:val="24"/>
                <w:szCs w:val="24"/>
                <w:vertAlign w:val="superscript"/>
              </w:rPr>
              <w:t>-/-</w:t>
            </w:r>
            <w:r w:rsidRPr="000749B2">
              <w:rPr>
                <w:rFonts w:ascii="Book Antiqua" w:hAnsi="Book Antiqua"/>
                <w:color w:val="000000" w:themeColor="text1"/>
                <w:sz w:val="24"/>
                <w:szCs w:val="24"/>
                <w:vertAlign w:val="superscript"/>
              </w:rPr>
              <w:t xml:space="preserve"> </w:t>
            </w:r>
            <w:r w:rsidRPr="000749B2">
              <w:rPr>
                <w:rFonts w:ascii="Book Antiqua" w:hAnsi="Book Antiqua"/>
                <w:color w:val="000000" w:themeColor="text1"/>
                <w:sz w:val="24"/>
                <w:szCs w:val="24"/>
              </w:rPr>
              <w:t xml:space="preserve">hybrids. Note, that </w:t>
            </w:r>
            <w:r w:rsidRPr="000749B2">
              <w:rPr>
                <w:rFonts w:ascii="Book Antiqua" w:hAnsi="Book Antiqua"/>
                <w:i/>
                <w:iCs/>
                <w:color w:val="000000" w:themeColor="text1"/>
                <w:sz w:val="24"/>
                <w:szCs w:val="24"/>
              </w:rPr>
              <w:t xml:space="preserve">Smad3 </w:t>
            </w:r>
            <w:r w:rsidRPr="000749B2">
              <w:rPr>
                <w:rFonts w:ascii="Book Antiqua" w:hAnsi="Book Antiqua"/>
                <w:color w:val="000000" w:themeColor="text1"/>
                <w:sz w:val="24"/>
                <w:szCs w:val="24"/>
              </w:rPr>
              <w:t xml:space="preserve">mutations occur only in 2% of CRC </w:t>
            </w:r>
            <w:r w:rsidR="00F543DC"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Fleming </w:t>
            </w:r>
            <w:r w:rsidRPr="000749B2">
              <w:rPr>
                <w:rFonts w:ascii="Book Antiqua" w:hAnsi="Book Antiqua"/>
                <w:i/>
                <w:iCs/>
                <w:color w:val="000000" w:themeColor="text1"/>
                <w:sz w:val="24"/>
                <w:szCs w:val="24"/>
              </w:rPr>
              <w:t>et al</w:t>
            </w:r>
            <w:r w:rsidR="00F543DC" w:rsidRPr="000749B2">
              <w:rPr>
                <w:rFonts w:ascii="Book Antiqua" w:hAnsi="Book Antiqua"/>
                <w:color w:val="000000" w:themeColor="text1"/>
                <w:sz w:val="24"/>
                <w:szCs w:val="24"/>
                <w:vertAlign w:val="superscript"/>
              </w:rPr>
              <w:t>[162]</w:t>
            </w:r>
            <w:r w:rsidR="00F543DC" w:rsidRPr="000749B2">
              <w:rPr>
                <w:rFonts w:ascii="Book Antiqua" w:hAnsi="Book Antiqua"/>
                <w:color w:val="000000" w:themeColor="text1"/>
                <w:sz w:val="24"/>
                <w:szCs w:val="24"/>
              </w:rPr>
              <w:t>,</w:t>
            </w:r>
            <w:r w:rsidRPr="000749B2">
              <w:rPr>
                <w:rFonts w:ascii="Book Antiqua" w:hAnsi="Book Antiqua"/>
                <w:color w:val="000000" w:themeColor="text1"/>
                <w:sz w:val="24"/>
                <w:szCs w:val="24"/>
              </w:rPr>
              <w:t xml:space="preserve"> 2013</w:t>
            </w:r>
            <w:r w:rsidR="00F543DC" w:rsidRPr="000749B2">
              <w:rPr>
                <w:rFonts w:ascii="Book Antiqua" w:hAnsi="Book Antiqua"/>
                <w:color w:val="000000" w:themeColor="text1"/>
                <w:sz w:val="24"/>
                <w:szCs w:val="24"/>
              </w:rPr>
              <w:t>)</w:t>
            </w:r>
          </w:p>
        </w:tc>
      </w:tr>
      <w:tr w:rsidR="00CB43EF" w:rsidRPr="000749B2" w14:paraId="68058629" w14:textId="77777777" w:rsidTr="00207D8B">
        <w:tc>
          <w:tcPr>
            <w:tcW w:w="989" w:type="dxa"/>
          </w:tcPr>
          <w:p w14:paraId="39C8DED0"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55</w:t>
            </w:r>
          </w:p>
        </w:tc>
        <w:tc>
          <w:tcPr>
            <w:tcW w:w="1249" w:type="dxa"/>
          </w:tcPr>
          <w:p w14:paraId="6A18B4D7" w14:textId="1A184481"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[179]</w:t>
            </w:r>
          </w:p>
        </w:tc>
        <w:tc>
          <w:tcPr>
            <w:tcW w:w="3472" w:type="dxa"/>
          </w:tcPr>
          <w:p w14:paraId="50DE8FCB"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Smad4</w:t>
            </w:r>
            <w:r w:rsidRPr="000749B2">
              <w:rPr>
                <w:rFonts w:ascii="Book Antiqua" w:hAnsi="Book Antiqua"/>
                <w:i/>
                <w:iCs/>
                <w:color w:val="000000" w:themeColor="text1"/>
                <w:sz w:val="24"/>
                <w:szCs w:val="24"/>
                <w:vertAlign w:val="superscript"/>
              </w:rPr>
              <w:t>f/f</w:t>
            </w:r>
            <w:r w:rsidRPr="000749B2">
              <w:rPr>
                <w:rFonts w:ascii="Book Antiqua" w:hAnsi="Book Antiqua"/>
                <w:i/>
                <w:iCs/>
                <w:color w:val="000000" w:themeColor="text1"/>
                <w:sz w:val="24"/>
                <w:szCs w:val="24"/>
              </w:rPr>
              <w:t>;Catnb</w:t>
            </w:r>
            <w:r w:rsidRPr="000749B2">
              <w:rPr>
                <w:rFonts w:ascii="Book Antiqua" w:hAnsi="Book Antiqua"/>
                <w:i/>
                <w:iCs/>
                <w:color w:val="000000" w:themeColor="text1"/>
                <w:sz w:val="24"/>
                <w:szCs w:val="24"/>
                <w:vertAlign w:val="superscript"/>
              </w:rPr>
              <w:t>lox(ex3)/+</w:t>
            </w:r>
            <w:r w:rsidRPr="000749B2">
              <w:rPr>
                <w:rFonts w:ascii="Book Antiqua" w:hAnsi="Book Antiqua"/>
                <w:i/>
                <w:iCs/>
                <w:color w:val="000000" w:themeColor="text1"/>
                <w:sz w:val="24"/>
                <w:szCs w:val="24"/>
              </w:rPr>
              <w:t>;Lgr5-Cre</w:t>
            </w:r>
            <w:r w:rsidRPr="000749B2">
              <w:rPr>
                <w:rFonts w:ascii="Book Antiqua" w:hAnsi="Book Antiqua"/>
                <w:i/>
                <w:iCs/>
                <w:color w:val="000000" w:themeColor="text1"/>
                <w:sz w:val="24"/>
                <w:szCs w:val="24"/>
                <w:vertAlign w:val="superscript"/>
              </w:rPr>
              <w:t>ERT2</w:t>
            </w:r>
            <w:r w:rsidRPr="000749B2">
              <w:rPr>
                <w:rFonts w:ascii="Book Antiqua" w:hAnsi="Book Antiqua"/>
                <w:i/>
                <w:iCs/>
                <w:color w:val="000000" w:themeColor="text1"/>
                <w:sz w:val="24"/>
                <w:szCs w:val="24"/>
              </w:rPr>
              <w:t>-IRES-GFP</w:t>
            </w:r>
          </w:p>
        </w:tc>
        <w:tc>
          <w:tcPr>
            <w:tcW w:w="3285" w:type="dxa"/>
          </w:tcPr>
          <w:p w14:paraId="053F49F9"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Mosaic </w:t>
            </w:r>
            <w:r w:rsidRPr="000749B2">
              <w:rPr>
                <w:rFonts w:ascii="Book Antiqua" w:hAnsi="Book Antiqua"/>
                <w:i/>
                <w:iCs/>
                <w:color w:val="000000" w:themeColor="text1"/>
                <w:sz w:val="24"/>
                <w:szCs w:val="24"/>
              </w:rPr>
              <w:t>Cre-</w:t>
            </w:r>
            <w:r w:rsidRPr="000749B2">
              <w:rPr>
                <w:rFonts w:ascii="Book Antiqua" w:hAnsi="Book Antiqua"/>
                <w:color w:val="000000" w:themeColor="text1"/>
                <w:sz w:val="24"/>
                <w:szCs w:val="24"/>
              </w:rPr>
              <w:t>expression leads to adenoma formation</w:t>
            </w:r>
          </w:p>
        </w:tc>
      </w:tr>
      <w:tr w:rsidR="00CB43EF" w:rsidRPr="000749B2" w14:paraId="002E7C10" w14:textId="77777777" w:rsidTr="00207D8B">
        <w:tc>
          <w:tcPr>
            <w:tcW w:w="989" w:type="dxa"/>
          </w:tcPr>
          <w:p w14:paraId="36F8AF48"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56</w:t>
            </w:r>
          </w:p>
        </w:tc>
        <w:tc>
          <w:tcPr>
            <w:tcW w:w="1249" w:type="dxa"/>
          </w:tcPr>
          <w:p w14:paraId="7D693591" w14:textId="4E714928"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[178]</w:t>
            </w:r>
          </w:p>
        </w:tc>
        <w:tc>
          <w:tcPr>
            <w:tcW w:w="3472" w:type="dxa"/>
          </w:tcPr>
          <w:p w14:paraId="483908C4" w14:textId="77777777" w:rsidR="00CB43EF" w:rsidRPr="000749B2" w:rsidRDefault="00CB43EF" w:rsidP="000B4309">
            <w:pPr>
              <w:spacing w:line="360" w:lineRule="auto"/>
              <w:jc w:val="both"/>
              <w:rPr>
                <w:rFonts w:ascii="Book Antiqua" w:hAnsi="Book Antiqua"/>
                <w:i/>
                <w:iCs/>
                <w:color w:val="000000" w:themeColor="text1"/>
                <w:sz w:val="24"/>
                <w:szCs w:val="24"/>
                <w:vertAlign w:val="superscript"/>
              </w:rPr>
            </w:pPr>
            <w:r w:rsidRPr="000749B2">
              <w:rPr>
                <w:rFonts w:ascii="Book Antiqua" w:hAnsi="Book Antiqua"/>
                <w:i/>
                <w:iCs/>
                <w:color w:val="000000" w:themeColor="text1"/>
                <w:sz w:val="24"/>
                <w:szCs w:val="24"/>
              </w:rPr>
              <w:t>Catnb</w:t>
            </w:r>
            <w:r w:rsidRPr="000749B2">
              <w:rPr>
                <w:rFonts w:ascii="Book Antiqua" w:hAnsi="Book Antiqua"/>
                <w:i/>
                <w:iCs/>
                <w:color w:val="000000" w:themeColor="text1"/>
                <w:sz w:val="24"/>
                <w:szCs w:val="24"/>
                <w:vertAlign w:val="superscript"/>
              </w:rPr>
              <w:t>+/lox(ex3)</w:t>
            </w:r>
            <w:r w:rsidRPr="000749B2">
              <w:rPr>
                <w:rFonts w:ascii="Book Antiqua" w:hAnsi="Book Antiqua"/>
                <w:i/>
                <w:iCs/>
                <w:color w:val="000000" w:themeColor="text1"/>
                <w:sz w:val="24"/>
                <w:szCs w:val="24"/>
              </w:rPr>
              <w:t>: Krt1-19</w:t>
            </w:r>
            <w:r w:rsidRPr="000749B2">
              <w:rPr>
                <w:rFonts w:ascii="Book Antiqua" w:hAnsi="Book Antiqua"/>
                <w:i/>
                <w:iCs/>
                <w:color w:val="000000" w:themeColor="text1"/>
                <w:sz w:val="24"/>
                <w:szCs w:val="24"/>
                <w:vertAlign w:val="superscript"/>
              </w:rPr>
              <w:t xml:space="preserve">+/cre </w:t>
            </w:r>
          </w:p>
          <w:p w14:paraId="05B8729A" w14:textId="557D4518"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Catnb</w:t>
            </w:r>
            <w:r w:rsidRPr="000749B2">
              <w:rPr>
                <w:rFonts w:ascii="Book Antiqua" w:hAnsi="Book Antiqua"/>
                <w:i/>
                <w:iCs/>
                <w:color w:val="000000" w:themeColor="text1"/>
                <w:sz w:val="24"/>
                <w:szCs w:val="24"/>
                <w:vertAlign w:val="superscript"/>
              </w:rPr>
              <w:t>+/lox(ex3)</w:t>
            </w:r>
            <w:r w:rsidRPr="000749B2">
              <w:rPr>
                <w:rFonts w:ascii="Book Antiqua" w:hAnsi="Book Antiqua"/>
                <w:i/>
                <w:iCs/>
                <w:color w:val="000000" w:themeColor="text1"/>
                <w:sz w:val="24"/>
                <w:szCs w:val="24"/>
              </w:rPr>
              <w:t>:</w:t>
            </w:r>
            <w:r w:rsidR="00F92778" w:rsidRPr="000749B2">
              <w:rPr>
                <w:rFonts w:ascii="Book Antiqua" w:hAnsi="Book Antiqua"/>
                <w:i/>
                <w:iCs/>
                <w:color w:val="000000" w:themeColor="text1"/>
                <w:sz w:val="24"/>
                <w:szCs w:val="24"/>
              </w:rPr>
              <w:t xml:space="preserve"> </w:t>
            </w:r>
            <w:r w:rsidRPr="000749B2">
              <w:rPr>
                <w:rFonts w:ascii="Book Antiqua" w:hAnsi="Book Antiqua"/>
                <w:i/>
                <w:iCs/>
                <w:color w:val="000000" w:themeColor="text1"/>
                <w:sz w:val="24"/>
                <w:szCs w:val="24"/>
              </w:rPr>
              <w:t>Tg·Fabpl</w:t>
            </w:r>
            <w:r w:rsidRPr="000749B2">
              <w:rPr>
                <w:rFonts w:ascii="Book Antiqua" w:hAnsi="Book Antiqua"/>
                <w:i/>
                <w:iCs/>
                <w:color w:val="000000" w:themeColor="text1"/>
                <w:sz w:val="24"/>
                <w:szCs w:val="24"/>
                <w:vertAlign w:val="superscript"/>
              </w:rPr>
              <w:t>cre</w:t>
            </w:r>
          </w:p>
        </w:tc>
        <w:tc>
          <w:tcPr>
            <w:tcW w:w="3285" w:type="dxa"/>
          </w:tcPr>
          <w:p w14:paraId="10113BC4" w14:textId="4B865300"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Constitutional Cre-mediated excision of ß-catenin phosphorylation site leads to a plethora of small intestine adenomas</w:t>
            </w:r>
          </w:p>
        </w:tc>
      </w:tr>
      <w:tr w:rsidR="00CB43EF" w:rsidRPr="000749B2" w14:paraId="6532B99C" w14:textId="77777777" w:rsidTr="00207D8B">
        <w:tc>
          <w:tcPr>
            <w:tcW w:w="989" w:type="dxa"/>
          </w:tcPr>
          <w:p w14:paraId="125A2B96"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57</w:t>
            </w:r>
          </w:p>
        </w:tc>
        <w:tc>
          <w:tcPr>
            <w:tcW w:w="1249" w:type="dxa"/>
          </w:tcPr>
          <w:p w14:paraId="2846CEB2" w14:textId="6A8EFD46"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[177]</w:t>
            </w:r>
          </w:p>
        </w:tc>
        <w:tc>
          <w:tcPr>
            <w:tcW w:w="3472" w:type="dxa"/>
          </w:tcPr>
          <w:p w14:paraId="3F744329" w14:textId="2E1952E8"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Villin-cre</w:t>
            </w:r>
            <w:r w:rsidRPr="000749B2">
              <w:rPr>
                <w:rFonts w:ascii="Book Antiqua" w:hAnsi="Book Antiqua"/>
                <w:color w:val="000000" w:themeColor="text1"/>
                <w:sz w:val="24"/>
                <w:szCs w:val="24"/>
              </w:rPr>
              <w:t>ER</w:t>
            </w:r>
            <w:r w:rsidRPr="000749B2">
              <w:rPr>
                <w:rFonts w:ascii="Book Antiqua" w:hAnsi="Book Antiqua"/>
                <w:color w:val="000000" w:themeColor="text1"/>
                <w:sz w:val="24"/>
                <w:szCs w:val="24"/>
                <w:vertAlign w:val="superscript"/>
              </w:rPr>
              <w:t>T2</w:t>
            </w:r>
            <w:r w:rsidRPr="000749B2">
              <w:rPr>
                <w:rFonts w:ascii="Book Antiqua" w:hAnsi="Book Antiqua"/>
                <w:color w:val="000000" w:themeColor="text1"/>
                <w:sz w:val="24"/>
                <w:szCs w:val="24"/>
              </w:rPr>
              <w:t>/</w:t>
            </w:r>
            <w:r w:rsidRPr="000749B2">
              <w:rPr>
                <w:rFonts w:ascii="Book Antiqua" w:hAnsi="Book Antiqua"/>
                <w:i/>
                <w:iCs/>
                <w:color w:val="000000" w:themeColor="text1"/>
                <w:sz w:val="24"/>
                <w:szCs w:val="24"/>
              </w:rPr>
              <w:t>Catnb</w:t>
            </w:r>
            <w:r w:rsidRPr="000749B2">
              <w:rPr>
                <w:rFonts w:ascii="Book Antiqua" w:hAnsi="Book Antiqua"/>
                <w:color w:val="000000" w:themeColor="text1"/>
                <w:sz w:val="24"/>
                <w:szCs w:val="24"/>
                <w:vertAlign w:val="superscript"/>
              </w:rPr>
              <w:t>loxEx3/WT</w:t>
            </w:r>
          </w:p>
        </w:tc>
        <w:tc>
          <w:tcPr>
            <w:tcW w:w="3285" w:type="dxa"/>
          </w:tcPr>
          <w:p w14:paraId="6A41464C" w14:textId="7B2AFC7D"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Expression of GSK3β-resistant β-catenin leads to substitution of enterocytes by highly proliferative crypt stem cells (rapid death)</w:t>
            </w:r>
          </w:p>
        </w:tc>
      </w:tr>
      <w:tr w:rsidR="00CB43EF" w:rsidRPr="000749B2" w14:paraId="71D687C9" w14:textId="77777777" w:rsidTr="00207D8B">
        <w:tc>
          <w:tcPr>
            <w:tcW w:w="989" w:type="dxa"/>
          </w:tcPr>
          <w:p w14:paraId="66077401"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58</w:t>
            </w:r>
          </w:p>
        </w:tc>
        <w:tc>
          <w:tcPr>
            <w:tcW w:w="1249" w:type="dxa"/>
          </w:tcPr>
          <w:p w14:paraId="46FA3E81" w14:textId="21DAFE15"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[142]</w:t>
            </w:r>
          </w:p>
        </w:tc>
        <w:tc>
          <w:tcPr>
            <w:tcW w:w="3472" w:type="dxa"/>
          </w:tcPr>
          <w:p w14:paraId="093CA32C"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Nicd/Apc</w:t>
            </w:r>
            <w:r w:rsidRPr="000749B2">
              <w:rPr>
                <w:rFonts w:ascii="Book Antiqua" w:hAnsi="Book Antiqua"/>
                <w:color w:val="000000" w:themeColor="text1"/>
                <w:sz w:val="24"/>
                <w:szCs w:val="24"/>
                <w:vertAlign w:val="superscript"/>
              </w:rPr>
              <w:t>+/1638N</w:t>
            </w:r>
          </w:p>
        </w:tc>
        <w:tc>
          <w:tcPr>
            <w:tcW w:w="3285" w:type="dxa"/>
          </w:tcPr>
          <w:p w14:paraId="764C8D52" w14:textId="3B25514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NOTCH-signaling does not influence adenoma formation</w:t>
            </w:r>
          </w:p>
        </w:tc>
      </w:tr>
      <w:tr w:rsidR="00CB43EF" w:rsidRPr="000749B2" w14:paraId="7347A3BC" w14:textId="77777777" w:rsidTr="00207D8B">
        <w:tc>
          <w:tcPr>
            <w:tcW w:w="989" w:type="dxa"/>
          </w:tcPr>
          <w:p w14:paraId="4E2413BE"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59</w:t>
            </w:r>
          </w:p>
        </w:tc>
        <w:tc>
          <w:tcPr>
            <w:tcW w:w="1249" w:type="dxa"/>
          </w:tcPr>
          <w:p w14:paraId="59164540" w14:textId="4DD2BD23"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[141]</w:t>
            </w:r>
          </w:p>
        </w:tc>
        <w:tc>
          <w:tcPr>
            <w:tcW w:w="3472" w:type="dxa"/>
          </w:tcPr>
          <w:p w14:paraId="466B914D"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Nicd/P53</w:t>
            </w:r>
            <w:r w:rsidRPr="000749B2">
              <w:rPr>
                <w:rFonts w:ascii="Book Antiqua" w:hAnsi="Book Antiqua"/>
                <w:i/>
                <w:iCs/>
                <w:color w:val="000000" w:themeColor="text1"/>
                <w:sz w:val="24"/>
                <w:szCs w:val="24"/>
                <w:vertAlign w:val="superscript"/>
              </w:rPr>
              <w:t>−/−</w:t>
            </w:r>
          </w:p>
        </w:tc>
        <w:tc>
          <w:tcPr>
            <w:tcW w:w="3285" w:type="dxa"/>
          </w:tcPr>
          <w:p w14:paraId="27B203C7" w14:textId="21ABF30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Villin-CreER</w:t>
            </w:r>
            <w:r w:rsidRPr="000749B2">
              <w:rPr>
                <w:rFonts w:ascii="Book Antiqua" w:hAnsi="Book Antiqua"/>
                <w:i/>
                <w:iCs/>
                <w:color w:val="000000" w:themeColor="text1"/>
                <w:sz w:val="24"/>
                <w:szCs w:val="24"/>
                <w:vertAlign w:val="superscript"/>
              </w:rPr>
              <w:t>T2</w:t>
            </w:r>
            <w:r w:rsidRPr="000749B2">
              <w:rPr>
                <w:rFonts w:ascii="Book Antiqua" w:hAnsi="Book Antiqua"/>
                <w:color w:val="000000" w:themeColor="text1"/>
                <w:sz w:val="24"/>
                <w:szCs w:val="24"/>
              </w:rPr>
              <w:t xml:space="preserve"> tamoxifen-dependent </w:t>
            </w:r>
            <w:r w:rsidRPr="000749B2">
              <w:rPr>
                <w:rFonts w:ascii="Book Antiqua" w:hAnsi="Book Antiqua"/>
                <w:i/>
                <w:iCs/>
                <w:color w:val="000000" w:themeColor="text1"/>
                <w:sz w:val="24"/>
                <w:szCs w:val="24"/>
              </w:rPr>
              <w:t>P53</w:t>
            </w:r>
            <w:r w:rsidRPr="000749B2">
              <w:rPr>
                <w:rFonts w:ascii="Book Antiqua" w:hAnsi="Book Antiqua"/>
                <w:color w:val="000000" w:themeColor="text1"/>
                <w:sz w:val="24"/>
                <w:szCs w:val="24"/>
              </w:rPr>
              <w:t xml:space="preserve"> deletion in constitutively active NOTCH-signaling background leads to intestinal tumor formation and metastasis</w:t>
            </w:r>
          </w:p>
        </w:tc>
      </w:tr>
      <w:tr w:rsidR="00CB43EF" w:rsidRPr="000749B2" w14:paraId="112161E3" w14:textId="77777777" w:rsidTr="00207D8B">
        <w:tc>
          <w:tcPr>
            <w:tcW w:w="989" w:type="dxa"/>
          </w:tcPr>
          <w:p w14:paraId="1E615737"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60</w:t>
            </w:r>
          </w:p>
        </w:tc>
        <w:tc>
          <w:tcPr>
            <w:tcW w:w="1249" w:type="dxa"/>
          </w:tcPr>
          <w:p w14:paraId="175B8C76" w14:textId="7AA9201B"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[158]</w:t>
            </w:r>
          </w:p>
        </w:tc>
        <w:tc>
          <w:tcPr>
            <w:tcW w:w="3472" w:type="dxa"/>
          </w:tcPr>
          <w:p w14:paraId="2E28362D"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Car1</w:t>
            </w:r>
            <w:r w:rsidRPr="000749B2">
              <w:rPr>
                <w:rFonts w:ascii="Book Antiqua" w:hAnsi="Book Antiqua"/>
                <w:color w:val="000000" w:themeColor="text1"/>
                <w:sz w:val="24"/>
                <w:szCs w:val="24"/>
                <w:vertAlign w:val="superscript"/>
              </w:rPr>
              <w:t>CreER/+</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fl/fl</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Kras</w:t>
            </w:r>
            <w:r w:rsidRPr="000749B2">
              <w:rPr>
                <w:rFonts w:ascii="Book Antiqua" w:hAnsi="Book Antiqua"/>
                <w:color w:val="000000" w:themeColor="text1"/>
                <w:sz w:val="24"/>
                <w:szCs w:val="24"/>
                <w:vertAlign w:val="superscript"/>
              </w:rPr>
              <w:t>LSL–G12D/+</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P53</w:t>
            </w:r>
            <w:r w:rsidRPr="000749B2">
              <w:rPr>
                <w:rFonts w:ascii="Book Antiqua" w:hAnsi="Book Antiqua"/>
                <w:color w:val="000000" w:themeColor="text1"/>
                <w:sz w:val="24"/>
                <w:szCs w:val="24"/>
                <w:vertAlign w:val="superscript"/>
              </w:rPr>
              <w:t>KO</w:t>
            </w:r>
            <w:r w:rsidRPr="000749B2">
              <w:rPr>
                <w:rFonts w:ascii="Book Antiqua" w:hAnsi="Book Antiqua"/>
                <w:i/>
                <w:iCs/>
                <w:color w:val="000000" w:themeColor="text1"/>
                <w:sz w:val="24"/>
                <w:szCs w:val="24"/>
              </w:rPr>
              <w:t>; Smad4</w:t>
            </w:r>
            <w:r w:rsidRPr="000749B2">
              <w:rPr>
                <w:rFonts w:ascii="Book Antiqua" w:hAnsi="Book Antiqua"/>
                <w:color w:val="000000" w:themeColor="text1"/>
                <w:sz w:val="24"/>
                <w:szCs w:val="24"/>
                <w:vertAlign w:val="superscript"/>
              </w:rPr>
              <w:t>fl/fl</w:t>
            </w:r>
          </w:p>
        </w:tc>
        <w:tc>
          <w:tcPr>
            <w:tcW w:w="3285" w:type="dxa"/>
          </w:tcPr>
          <w:p w14:paraId="57B335BC" w14:textId="5C970C0A"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Rapid tumor formation in cecum and proximal colon, but high mortality in triple </w:t>
            </w:r>
            <w:r w:rsidRPr="000749B2">
              <w:rPr>
                <w:rFonts w:ascii="Book Antiqua" w:hAnsi="Book Antiqua"/>
                <w:color w:val="000000" w:themeColor="text1"/>
                <w:sz w:val="24"/>
                <w:szCs w:val="24"/>
              </w:rPr>
              <w:lastRenderedPageBreak/>
              <w:t>and quadruple mutants</w:t>
            </w:r>
          </w:p>
        </w:tc>
      </w:tr>
      <w:tr w:rsidR="00CB43EF" w:rsidRPr="000749B2" w14:paraId="5EFE61E1" w14:textId="77777777" w:rsidTr="00207D8B">
        <w:tc>
          <w:tcPr>
            <w:tcW w:w="989" w:type="dxa"/>
          </w:tcPr>
          <w:p w14:paraId="48B50D38"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61</w:t>
            </w:r>
          </w:p>
        </w:tc>
        <w:tc>
          <w:tcPr>
            <w:tcW w:w="1249" w:type="dxa"/>
          </w:tcPr>
          <w:p w14:paraId="64C8E952" w14:textId="57E71F24"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[192]</w:t>
            </w:r>
          </w:p>
        </w:tc>
        <w:tc>
          <w:tcPr>
            <w:tcW w:w="3472" w:type="dxa"/>
          </w:tcPr>
          <w:p w14:paraId="7C4ACE00" w14:textId="025C3EE0" w:rsidR="00CB43EF" w:rsidRPr="000749B2" w:rsidRDefault="00CB43EF"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i/>
                <w:iCs/>
                <w:color w:val="000000" w:themeColor="text1"/>
                <w:sz w:val="24"/>
                <w:szCs w:val="24"/>
              </w:rPr>
              <w:t>Msh2</w:t>
            </w:r>
            <w:r w:rsidRPr="000749B2">
              <w:rPr>
                <w:rFonts w:ascii="Book Antiqua" w:hAnsi="Book Antiqua"/>
                <w:i/>
                <w:iCs/>
                <w:color w:val="000000" w:themeColor="text1"/>
                <w:sz w:val="24"/>
                <w:szCs w:val="24"/>
                <w:vertAlign w:val="superscript"/>
              </w:rPr>
              <w:t>Δ7N/Δ7N</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+/1638N</w:t>
            </w:r>
            <w:r w:rsidR="005E4C92" w:rsidRPr="000749B2">
              <w:rPr>
                <w:rFonts w:ascii="Book Antiqua" w:hAnsi="Book Antiqua"/>
                <w:color w:val="000000" w:themeColor="text1"/>
                <w:sz w:val="24"/>
                <w:szCs w:val="24"/>
                <w:lang w:eastAsia="zh-CN"/>
              </w:rPr>
              <w:t>.</w:t>
            </w:r>
            <w:r w:rsidR="005E4C92" w:rsidRPr="000749B2">
              <w:rPr>
                <w:rFonts w:ascii="Book Antiqua" w:hAnsi="Book Antiqua"/>
                <w:color w:val="000000" w:themeColor="text1"/>
                <w:sz w:val="24"/>
                <w:szCs w:val="24"/>
                <w:vertAlign w:val="superscript"/>
                <w:lang w:eastAsia="zh-CN"/>
              </w:rPr>
              <w:t xml:space="preserve"> </w:t>
            </w:r>
            <w:r w:rsidRPr="000749B2">
              <w:rPr>
                <w:rFonts w:ascii="Book Antiqua" w:hAnsi="Book Antiqua"/>
                <w:i/>
                <w:iCs/>
                <w:color w:val="000000" w:themeColor="text1"/>
                <w:sz w:val="24"/>
                <w:szCs w:val="24"/>
              </w:rPr>
              <w:t>Msh2</w:t>
            </w:r>
            <w:r w:rsidRPr="000749B2">
              <w:rPr>
                <w:rFonts w:ascii="Book Antiqua" w:hAnsi="Book Antiqua"/>
                <w:i/>
                <w:iCs/>
                <w:color w:val="000000" w:themeColor="text1"/>
                <w:sz w:val="24"/>
                <w:szCs w:val="24"/>
                <w:vertAlign w:val="superscript"/>
              </w:rPr>
              <w:t>Δ7N/Δ7N</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Min/+</w:t>
            </w:r>
          </w:p>
        </w:tc>
        <w:tc>
          <w:tcPr>
            <w:tcW w:w="3285" w:type="dxa"/>
          </w:tcPr>
          <w:p w14:paraId="5CCDD201" w14:textId="27E4B918"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Rapid tumor formation in the small intestine, early death (2-3 month</w:t>
            </w:r>
            <w:r w:rsidR="00A16FC1" w:rsidRPr="000749B2">
              <w:rPr>
                <w:rFonts w:ascii="Book Antiqua" w:hAnsi="Book Antiqua"/>
                <w:color w:val="000000" w:themeColor="text1"/>
                <w:sz w:val="24"/>
                <w:szCs w:val="24"/>
              </w:rPr>
              <w:t>s</w:t>
            </w:r>
            <w:r w:rsidRPr="000749B2">
              <w:rPr>
                <w:rFonts w:ascii="Book Antiqua" w:hAnsi="Book Antiqua"/>
                <w:color w:val="000000" w:themeColor="text1"/>
                <w:sz w:val="24"/>
                <w:szCs w:val="24"/>
              </w:rPr>
              <w:t xml:space="preserve">), more tumors in </w:t>
            </w:r>
            <w:r w:rsidRPr="000749B2">
              <w:rPr>
                <w:rFonts w:ascii="Book Antiqua" w:hAnsi="Book Antiqua"/>
                <w:i/>
                <w:iCs/>
                <w:color w:val="000000" w:themeColor="text1"/>
                <w:sz w:val="24"/>
                <w:szCs w:val="24"/>
              </w:rPr>
              <w:t>Msh2</w:t>
            </w:r>
            <w:r w:rsidRPr="000749B2">
              <w:rPr>
                <w:rFonts w:ascii="Book Antiqua" w:hAnsi="Book Antiqua"/>
                <w:i/>
                <w:iCs/>
                <w:color w:val="000000" w:themeColor="text1"/>
                <w:sz w:val="24"/>
                <w:szCs w:val="24"/>
                <w:vertAlign w:val="superscript"/>
              </w:rPr>
              <w:t>Δ7N/Δ7N</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vertAlign w:val="superscript"/>
              </w:rPr>
              <w:t>Min/+</w:t>
            </w:r>
          </w:p>
        </w:tc>
      </w:tr>
      <w:tr w:rsidR="00CB43EF" w:rsidRPr="000749B2" w14:paraId="0ED76D95" w14:textId="77777777" w:rsidTr="00207D8B">
        <w:tc>
          <w:tcPr>
            <w:tcW w:w="989" w:type="dxa"/>
          </w:tcPr>
          <w:p w14:paraId="5FFDD5B2"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62</w:t>
            </w:r>
          </w:p>
        </w:tc>
        <w:tc>
          <w:tcPr>
            <w:tcW w:w="1249" w:type="dxa"/>
          </w:tcPr>
          <w:p w14:paraId="27FBE927" w14:textId="687FF165"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[191]</w:t>
            </w:r>
          </w:p>
        </w:tc>
        <w:tc>
          <w:tcPr>
            <w:tcW w:w="3472" w:type="dxa"/>
          </w:tcPr>
          <w:p w14:paraId="062C4EB2"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Min/+</w:t>
            </w:r>
            <w:r w:rsidRPr="000749B2">
              <w:rPr>
                <w:rFonts w:ascii="Book Antiqua" w:hAnsi="Book Antiqua"/>
                <w:i/>
                <w:iCs/>
                <w:color w:val="000000" w:themeColor="text1"/>
                <w:sz w:val="24"/>
                <w:szCs w:val="24"/>
              </w:rPr>
              <w:t>/Msh2</w:t>
            </w:r>
            <w:r w:rsidRPr="000749B2">
              <w:rPr>
                <w:rFonts w:ascii="Book Antiqua" w:hAnsi="Book Antiqua"/>
                <w:i/>
                <w:iCs/>
                <w:color w:val="000000" w:themeColor="text1"/>
                <w:sz w:val="24"/>
                <w:szCs w:val="24"/>
                <w:vertAlign w:val="superscript"/>
              </w:rPr>
              <w:t>+/+</w:t>
            </w:r>
            <w:r w:rsidRPr="000749B2">
              <w:rPr>
                <w:rFonts w:ascii="Book Antiqua" w:hAnsi="Book Antiqua"/>
                <w:i/>
                <w:iCs/>
                <w:color w:val="000000" w:themeColor="text1"/>
                <w:sz w:val="24"/>
                <w:szCs w:val="24"/>
              </w:rPr>
              <w:t>; Apc</w:t>
            </w:r>
            <w:r w:rsidRPr="000749B2">
              <w:rPr>
                <w:rFonts w:ascii="Book Antiqua" w:hAnsi="Book Antiqua"/>
                <w:i/>
                <w:iCs/>
                <w:color w:val="000000" w:themeColor="text1"/>
                <w:sz w:val="24"/>
                <w:szCs w:val="24"/>
                <w:vertAlign w:val="superscript"/>
              </w:rPr>
              <w:t>Min/+</w:t>
            </w:r>
            <w:r w:rsidRPr="000749B2">
              <w:rPr>
                <w:rFonts w:ascii="Book Antiqua" w:hAnsi="Book Antiqua"/>
                <w:i/>
                <w:iCs/>
                <w:color w:val="000000" w:themeColor="text1"/>
                <w:sz w:val="24"/>
                <w:szCs w:val="24"/>
              </w:rPr>
              <w:t>/Msh2</w:t>
            </w:r>
            <w:r w:rsidRPr="000749B2">
              <w:rPr>
                <w:rFonts w:ascii="Book Antiqua" w:hAnsi="Book Antiqua"/>
                <w:i/>
                <w:iCs/>
                <w:color w:val="000000" w:themeColor="text1"/>
                <w:sz w:val="24"/>
                <w:szCs w:val="24"/>
                <w:vertAlign w:val="superscript"/>
              </w:rPr>
              <w:t xml:space="preserve">+/-;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Min/+</w:t>
            </w:r>
            <w:r w:rsidRPr="000749B2">
              <w:rPr>
                <w:rFonts w:ascii="Book Antiqua" w:hAnsi="Book Antiqua"/>
                <w:i/>
                <w:iCs/>
                <w:color w:val="000000" w:themeColor="text1"/>
                <w:sz w:val="24"/>
                <w:szCs w:val="24"/>
              </w:rPr>
              <w:t>/Msh2</w:t>
            </w:r>
            <w:r w:rsidRPr="000749B2">
              <w:rPr>
                <w:rFonts w:ascii="Book Antiqua" w:hAnsi="Book Antiqua"/>
                <w:i/>
                <w:iCs/>
                <w:color w:val="000000" w:themeColor="text1"/>
                <w:sz w:val="24"/>
                <w:szCs w:val="24"/>
                <w:vertAlign w:val="superscript"/>
              </w:rPr>
              <w:t>-/-</w:t>
            </w:r>
          </w:p>
        </w:tc>
        <w:tc>
          <w:tcPr>
            <w:tcW w:w="3285" w:type="dxa"/>
          </w:tcPr>
          <w:p w14:paraId="6CD3A7C0" w14:textId="0C9D9D86"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Accelerated tumor formation in the small intestine in MSH2-deficient mice. Mice homozygous for Msh2</w:t>
            </w:r>
            <w:r w:rsidRPr="000749B2">
              <w:rPr>
                <w:rFonts w:ascii="Book Antiqua" w:hAnsi="Book Antiqua"/>
                <w:color w:val="000000" w:themeColor="text1"/>
                <w:sz w:val="24"/>
                <w:szCs w:val="24"/>
                <w:vertAlign w:val="superscript"/>
              </w:rPr>
              <w:t>-/-</w:t>
            </w:r>
            <w:r w:rsidRPr="000749B2">
              <w:rPr>
                <w:rFonts w:ascii="Book Antiqua" w:hAnsi="Book Antiqua"/>
                <w:color w:val="000000" w:themeColor="text1"/>
                <w:sz w:val="24"/>
                <w:szCs w:val="24"/>
              </w:rPr>
              <w:t xml:space="preserve"> dye rapidly from lymphomas</w:t>
            </w:r>
          </w:p>
        </w:tc>
      </w:tr>
      <w:tr w:rsidR="00CB43EF" w:rsidRPr="000749B2" w14:paraId="3B6F76A0" w14:textId="77777777" w:rsidTr="00207D8B">
        <w:tc>
          <w:tcPr>
            <w:tcW w:w="989" w:type="dxa"/>
          </w:tcPr>
          <w:p w14:paraId="7993B847"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63</w:t>
            </w:r>
          </w:p>
        </w:tc>
        <w:tc>
          <w:tcPr>
            <w:tcW w:w="1249" w:type="dxa"/>
          </w:tcPr>
          <w:p w14:paraId="3311831D" w14:textId="2ECFA6A3"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[389]</w:t>
            </w:r>
          </w:p>
        </w:tc>
        <w:tc>
          <w:tcPr>
            <w:tcW w:w="3472" w:type="dxa"/>
          </w:tcPr>
          <w:p w14:paraId="41DFCB2C"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Kras</w:t>
            </w:r>
            <w:r w:rsidRPr="000749B2">
              <w:rPr>
                <w:rFonts w:ascii="Book Antiqua" w:hAnsi="Book Antiqua"/>
                <w:i/>
                <w:iCs/>
                <w:color w:val="000000" w:themeColor="text1"/>
                <w:sz w:val="24"/>
                <w:szCs w:val="24"/>
                <w:vertAlign w:val="superscript"/>
              </w:rPr>
              <w:t>V12</w:t>
            </w:r>
            <w:r w:rsidRPr="000749B2">
              <w:rPr>
                <w:rFonts w:ascii="Book Antiqua" w:hAnsi="Book Antiqua"/>
                <w:i/>
                <w:iCs/>
                <w:color w:val="000000" w:themeColor="text1"/>
                <w:sz w:val="24"/>
                <w:szCs w:val="24"/>
              </w:rPr>
              <w:t>/Cre/Msh2</w:t>
            </w:r>
            <w:r w:rsidRPr="000749B2">
              <w:rPr>
                <w:rFonts w:ascii="Book Antiqua" w:hAnsi="Book Antiqua"/>
                <w:color w:val="000000" w:themeColor="text1"/>
                <w:sz w:val="24"/>
                <w:szCs w:val="24"/>
                <w:vertAlign w:val="superscript"/>
              </w:rPr>
              <w:t>−/−</w:t>
            </w:r>
          </w:p>
        </w:tc>
        <w:tc>
          <w:tcPr>
            <w:tcW w:w="3285" w:type="dxa"/>
          </w:tcPr>
          <w:p w14:paraId="41823671" w14:textId="15B0D2F5"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Cs/>
                <w:color w:val="000000" w:themeColor="text1"/>
                <w:sz w:val="24"/>
                <w:szCs w:val="24"/>
              </w:rPr>
              <w:t>β-naphthoflavone inducible Kras mutation (</w:t>
            </w:r>
            <w:r w:rsidRPr="000749B2">
              <w:rPr>
                <w:rFonts w:ascii="Book Antiqua" w:hAnsi="Book Antiqua"/>
                <w:i/>
                <w:color w:val="000000" w:themeColor="text1"/>
                <w:sz w:val="24"/>
                <w:szCs w:val="24"/>
              </w:rPr>
              <w:t>AhCre</w:t>
            </w:r>
            <w:r w:rsidRPr="000749B2">
              <w:rPr>
                <w:rFonts w:ascii="Book Antiqua" w:hAnsi="Book Antiqua"/>
                <w:iCs/>
                <w:color w:val="000000" w:themeColor="text1"/>
                <w:sz w:val="24"/>
                <w:szCs w:val="24"/>
                <w:vertAlign w:val="superscript"/>
              </w:rPr>
              <w:t>+/</w:t>
            </w:r>
            <w:r w:rsidRPr="000749B2">
              <w:rPr>
                <w:rFonts w:ascii="Book Antiqua" w:hAnsi="Book Antiqua"/>
                <w:i/>
                <w:color w:val="000000" w:themeColor="text1"/>
                <w:sz w:val="24"/>
                <w:szCs w:val="24"/>
                <w:vertAlign w:val="superscript"/>
              </w:rPr>
              <w:t>T</w:t>
            </w:r>
            <w:r w:rsidRPr="000749B2">
              <w:rPr>
                <w:rFonts w:ascii="Book Antiqua" w:hAnsi="Book Antiqua"/>
                <w:iCs/>
                <w:color w:val="000000" w:themeColor="text1"/>
                <w:sz w:val="24"/>
                <w:szCs w:val="24"/>
              </w:rPr>
              <w:t xml:space="preserve">, </w:t>
            </w:r>
            <w:r w:rsidRPr="000749B2">
              <w:rPr>
                <w:rFonts w:ascii="Book Antiqua" w:hAnsi="Book Antiqua"/>
                <w:i/>
                <w:color w:val="000000" w:themeColor="text1"/>
                <w:sz w:val="24"/>
                <w:szCs w:val="24"/>
              </w:rPr>
              <w:t>Kras</w:t>
            </w:r>
            <w:r w:rsidRPr="000749B2">
              <w:rPr>
                <w:rFonts w:ascii="Book Antiqua" w:hAnsi="Book Antiqua"/>
                <w:iCs/>
                <w:color w:val="000000" w:themeColor="text1"/>
                <w:sz w:val="24"/>
                <w:szCs w:val="24"/>
                <w:vertAlign w:val="superscript"/>
              </w:rPr>
              <w:t>+/</w:t>
            </w:r>
            <w:r w:rsidRPr="000749B2">
              <w:rPr>
                <w:rFonts w:ascii="Book Antiqua" w:hAnsi="Book Antiqua"/>
                <w:i/>
                <w:color w:val="000000" w:themeColor="text1"/>
                <w:sz w:val="24"/>
                <w:szCs w:val="24"/>
                <w:vertAlign w:val="superscript"/>
              </w:rPr>
              <w:t>LSLV12</w:t>
            </w:r>
            <w:r w:rsidRPr="000749B2">
              <w:rPr>
                <w:rFonts w:ascii="Book Antiqua" w:hAnsi="Book Antiqua"/>
                <w:iCs/>
                <w:color w:val="000000" w:themeColor="text1"/>
                <w:sz w:val="24"/>
                <w:szCs w:val="24"/>
              </w:rPr>
              <w:t xml:space="preserve">) combined with homozygous </w:t>
            </w:r>
            <w:r w:rsidRPr="000749B2">
              <w:rPr>
                <w:rFonts w:ascii="Book Antiqua" w:hAnsi="Book Antiqua"/>
                <w:i/>
                <w:color w:val="000000" w:themeColor="text1"/>
                <w:sz w:val="24"/>
                <w:szCs w:val="24"/>
              </w:rPr>
              <w:t>Msh2</w:t>
            </w:r>
            <w:r w:rsidRPr="000749B2">
              <w:rPr>
                <w:rFonts w:ascii="Book Antiqua" w:hAnsi="Book Antiqua"/>
                <w:iCs/>
                <w:color w:val="000000" w:themeColor="text1"/>
                <w:sz w:val="24"/>
                <w:szCs w:val="24"/>
              </w:rPr>
              <w:t>-knockout leads to increased number of intestinal adenomas. No carcinomas, relevant number of thymic lymphomas</w:t>
            </w:r>
          </w:p>
        </w:tc>
      </w:tr>
      <w:tr w:rsidR="005E4C92" w:rsidRPr="000749B2" w14:paraId="2A48745E" w14:textId="77777777" w:rsidTr="00207D8B">
        <w:trPr>
          <w:trHeight w:val="285"/>
        </w:trPr>
        <w:tc>
          <w:tcPr>
            <w:tcW w:w="989" w:type="dxa"/>
            <w:vMerge w:val="restart"/>
          </w:tcPr>
          <w:p w14:paraId="3E26AF58" w14:textId="77777777" w:rsidR="005E4C92" w:rsidRPr="000749B2" w:rsidRDefault="005E4C92"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64</w:t>
            </w:r>
          </w:p>
        </w:tc>
        <w:tc>
          <w:tcPr>
            <w:tcW w:w="1249" w:type="dxa"/>
            <w:vMerge w:val="restart"/>
          </w:tcPr>
          <w:p w14:paraId="6D2186ED" w14:textId="2216CE67" w:rsidR="005E4C92" w:rsidRPr="000749B2" w:rsidRDefault="005E4C92"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[197]</w:t>
            </w:r>
          </w:p>
        </w:tc>
        <w:tc>
          <w:tcPr>
            <w:tcW w:w="3472" w:type="dxa"/>
          </w:tcPr>
          <w:p w14:paraId="69EE482D" w14:textId="46023E2E" w:rsidR="005E4C92" w:rsidRPr="000749B2" w:rsidRDefault="005E4C92"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VCMsh2</w:t>
            </w:r>
            <w:r w:rsidRPr="000749B2">
              <w:rPr>
                <w:rFonts w:ascii="Book Antiqua" w:hAnsi="Book Antiqua"/>
                <w:i/>
                <w:iCs/>
                <w:color w:val="000000" w:themeColor="text1"/>
                <w:sz w:val="24"/>
                <w:szCs w:val="24"/>
                <w:vertAlign w:val="superscript"/>
              </w:rPr>
              <w:t>LoxP/LoxP</w:t>
            </w:r>
          </w:p>
        </w:tc>
        <w:tc>
          <w:tcPr>
            <w:tcW w:w="3285" w:type="dxa"/>
            <w:vMerge w:val="restart"/>
          </w:tcPr>
          <w:p w14:paraId="7553C8BA" w14:textId="2AC96AA6" w:rsidR="005E4C92" w:rsidRPr="000749B2" w:rsidRDefault="005E4C92"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Villin-controlled </w:t>
            </w:r>
            <w:r w:rsidRPr="000749B2">
              <w:rPr>
                <w:rFonts w:ascii="Book Antiqua" w:hAnsi="Book Antiqua"/>
                <w:i/>
                <w:iCs/>
                <w:color w:val="000000" w:themeColor="text1"/>
                <w:sz w:val="24"/>
                <w:szCs w:val="24"/>
              </w:rPr>
              <w:t>Cre</w:t>
            </w:r>
            <w:r w:rsidRPr="000749B2">
              <w:rPr>
                <w:rFonts w:ascii="Book Antiqua" w:hAnsi="Book Antiqua"/>
                <w:color w:val="000000" w:themeColor="text1"/>
                <w:sz w:val="24"/>
                <w:szCs w:val="24"/>
              </w:rPr>
              <w:t>-</w:t>
            </w:r>
            <w:r w:rsidRPr="000749B2">
              <w:rPr>
                <w:rFonts w:ascii="Book Antiqua" w:hAnsi="Book Antiqua"/>
                <w:color w:val="000000" w:themeColor="text1"/>
                <w:sz w:val="24"/>
                <w:szCs w:val="24"/>
              </w:rPr>
              <w:lastRenderedPageBreak/>
              <w:t xml:space="preserve">expression leads to intestinal MMR-deficiency, similar to Lynch syndrome. 50% of tumors in the small intestine are malignant. A high proportion </w:t>
            </w:r>
            <w:r w:rsidRPr="000749B2">
              <w:rPr>
                <w:rFonts w:ascii="Book Antiqua" w:hAnsi="Book Antiqua"/>
                <w:i/>
                <w:iCs/>
                <w:color w:val="000000" w:themeColor="text1"/>
                <w:sz w:val="24"/>
                <w:szCs w:val="24"/>
              </w:rPr>
              <w:t>of carcinomas in VCMsh2</w:t>
            </w:r>
            <w:r w:rsidRPr="000749B2">
              <w:rPr>
                <w:rFonts w:ascii="Book Antiqua" w:hAnsi="Book Antiqua"/>
                <w:color w:val="000000" w:themeColor="text1"/>
                <w:sz w:val="24"/>
                <w:szCs w:val="24"/>
                <w:vertAlign w:val="superscript"/>
              </w:rPr>
              <w:t>LoxP/null</w:t>
            </w:r>
            <w:r w:rsidRPr="000749B2">
              <w:rPr>
                <w:rFonts w:ascii="Book Antiqua" w:hAnsi="Book Antiqua"/>
                <w:color w:val="000000" w:themeColor="text1"/>
                <w:sz w:val="24"/>
                <w:szCs w:val="24"/>
              </w:rPr>
              <w:t xml:space="preserve"> mice are resistant to cisplatin and FOLFOX</w:t>
            </w:r>
          </w:p>
        </w:tc>
      </w:tr>
      <w:tr w:rsidR="005E4C92" w:rsidRPr="000749B2" w14:paraId="41AAB8A7" w14:textId="77777777" w:rsidTr="00207D8B">
        <w:trPr>
          <w:trHeight w:val="332"/>
        </w:trPr>
        <w:tc>
          <w:tcPr>
            <w:tcW w:w="989" w:type="dxa"/>
            <w:vMerge/>
          </w:tcPr>
          <w:p w14:paraId="694E99D8" w14:textId="77777777" w:rsidR="005E4C92" w:rsidRPr="000749B2" w:rsidRDefault="005E4C92" w:rsidP="000B4309">
            <w:pPr>
              <w:spacing w:line="360" w:lineRule="auto"/>
              <w:jc w:val="both"/>
              <w:rPr>
                <w:rFonts w:ascii="Book Antiqua" w:hAnsi="Book Antiqua"/>
                <w:color w:val="000000" w:themeColor="text1"/>
                <w:sz w:val="24"/>
                <w:szCs w:val="24"/>
              </w:rPr>
            </w:pPr>
          </w:p>
        </w:tc>
        <w:tc>
          <w:tcPr>
            <w:tcW w:w="1249" w:type="dxa"/>
            <w:vMerge/>
          </w:tcPr>
          <w:p w14:paraId="0770E5E3" w14:textId="77777777" w:rsidR="005E4C92" w:rsidRPr="000749B2" w:rsidRDefault="005E4C92" w:rsidP="000B4309">
            <w:pPr>
              <w:spacing w:line="360" w:lineRule="auto"/>
              <w:jc w:val="both"/>
              <w:rPr>
                <w:rFonts w:ascii="Book Antiqua" w:hAnsi="Book Antiqua"/>
                <w:color w:val="000000" w:themeColor="text1"/>
                <w:sz w:val="24"/>
                <w:szCs w:val="24"/>
                <w:vertAlign w:val="superscript"/>
              </w:rPr>
            </w:pPr>
          </w:p>
        </w:tc>
        <w:tc>
          <w:tcPr>
            <w:tcW w:w="3472" w:type="dxa"/>
          </w:tcPr>
          <w:p w14:paraId="112FF6F5" w14:textId="7D6C694C" w:rsidR="005E4C92" w:rsidRPr="000749B2" w:rsidRDefault="005E4C92"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VCMsh2</w:t>
            </w:r>
            <w:r w:rsidRPr="000749B2">
              <w:rPr>
                <w:rFonts w:ascii="Book Antiqua" w:hAnsi="Book Antiqua"/>
                <w:i/>
                <w:iCs/>
                <w:color w:val="000000" w:themeColor="text1"/>
                <w:sz w:val="24"/>
                <w:szCs w:val="24"/>
                <w:vertAlign w:val="superscript"/>
              </w:rPr>
              <w:t>LoxP/G674D</w:t>
            </w:r>
          </w:p>
        </w:tc>
        <w:tc>
          <w:tcPr>
            <w:tcW w:w="3285" w:type="dxa"/>
            <w:vMerge/>
          </w:tcPr>
          <w:p w14:paraId="7821BF09" w14:textId="77777777" w:rsidR="005E4C92" w:rsidRPr="000749B2" w:rsidRDefault="005E4C92" w:rsidP="000B4309">
            <w:pPr>
              <w:spacing w:line="360" w:lineRule="auto"/>
              <w:jc w:val="both"/>
              <w:rPr>
                <w:rFonts w:ascii="Book Antiqua" w:hAnsi="Book Antiqua"/>
                <w:color w:val="000000" w:themeColor="text1"/>
                <w:sz w:val="24"/>
                <w:szCs w:val="24"/>
              </w:rPr>
            </w:pPr>
          </w:p>
        </w:tc>
      </w:tr>
      <w:tr w:rsidR="005E4C92" w:rsidRPr="000749B2" w14:paraId="63B359DD" w14:textId="77777777" w:rsidTr="00207D8B">
        <w:trPr>
          <w:trHeight w:val="3703"/>
        </w:trPr>
        <w:tc>
          <w:tcPr>
            <w:tcW w:w="989" w:type="dxa"/>
            <w:vMerge/>
          </w:tcPr>
          <w:p w14:paraId="5E172682" w14:textId="77777777" w:rsidR="005E4C92" w:rsidRPr="000749B2" w:rsidRDefault="005E4C92" w:rsidP="000B4309">
            <w:pPr>
              <w:spacing w:line="360" w:lineRule="auto"/>
              <w:jc w:val="both"/>
              <w:rPr>
                <w:rFonts w:ascii="Book Antiqua" w:hAnsi="Book Antiqua"/>
                <w:color w:val="000000" w:themeColor="text1"/>
                <w:sz w:val="24"/>
                <w:szCs w:val="24"/>
              </w:rPr>
            </w:pPr>
          </w:p>
        </w:tc>
        <w:tc>
          <w:tcPr>
            <w:tcW w:w="1249" w:type="dxa"/>
            <w:vMerge/>
          </w:tcPr>
          <w:p w14:paraId="392D3174" w14:textId="77777777" w:rsidR="005E4C92" w:rsidRPr="000749B2" w:rsidRDefault="005E4C92" w:rsidP="000B4309">
            <w:pPr>
              <w:spacing w:line="360" w:lineRule="auto"/>
              <w:jc w:val="both"/>
              <w:rPr>
                <w:rFonts w:ascii="Book Antiqua" w:hAnsi="Book Antiqua"/>
                <w:color w:val="000000" w:themeColor="text1"/>
                <w:sz w:val="24"/>
                <w:szCs w:val="24"/>
                <w:vertAlign w:val="superscript"/>
              </w:rPr>
            </w:pPr>
          </w:p>
        </w:tc>
        <w:tc>
          <w:tcPr>
            <w:tcW w:w="3472" w:type="dxa"/>
          </w:tcPr>
          <w:p w14:paraId="15CEFC05" w14:textId="2E01281B" w:rsidR="005E4C92" w:rsidRPr="000749B2" w:rsidRDefault="005E4C92"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VCMsh2</w:t>
            </w:r>
            <w:r w:rsidRPr="000749B2">
              <w:rPr>
                <w:rFonts w:ascii="Book Antiqua" w:hAnsi="Book Antiqua"/>
                <w:i/>
                <w:iCs/>
                <w:color w:val="000000" w:themeColor="text1"/>
                <w:sz w:val="24"/>
                <w:szCs w:val="24"/>
                <w:vertAlign w:val="superscript"/>
              </w:rPr>
              <w:t>LoxP/null</w:t>
            </w:r>
          </w:p>
        </w:tc>
        <w:tc>
          <w:tcPr>
            <w:tcW w:w="3285" w:type="dxa"/>
            <w:vMerge/>
          </w:tcPr>
          <w:p w14:paraId="40A70D3B" w14:textId="77777777" w:rsidR="005E4C92" w:rsidRPr="000749B2" w:rsidRDefault="005E4C92" w:rsidP="000B4309">
            <w:pPr>
              <w:spacing w:line="360" w:lineRule="auto"/>
              <w:jc w:val="both"/>
              <w:rPr>
                <w:rFonts w:ascii="Book Antiqua" w:hAnsi="Book Antiqua"/>
                <w:color w:val="000000" w:themeColor="text1"/>
                <w:sz w:val="24"/>
                <w:szCs w:val="24"/>
              </w:rPr>
            </w:pPr>
          </w:p>
        </w:tc>
      </w:tr>
      <w:tr w:rsidR="00CB43EF" w:rsidRPr="000749B2" w14:paraId="0718C295" w14:textId="77777777" w:rsidTr="00207D8B">
        <w:tc>
          <w:tcPr>
            <w:tcW w:w="989" w:type="dxa"/>
          </w:tcPr>
          <w:p w14:paraId="38A50A19"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65</w:t>
            </w:r>
          </w:p>
        </w:tc>
        <w:tc>
          <w:tcPr>
            <w:tcW w:w="1249" w:type="dxa"/>
          </w:tcPr>
          <w:p w14:paraId="2E8133A8" w14:textId="788B7A6A"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[185,186]</w:t>
            </w:r>
          </w:p>
          <w:p w14:paraId="2DA76DF4" w14:textId="5F5BFC0F" w:rsidR="00CB43EF" w:rsidRPr="000749B2" w:rsidRDefault="00CB43EF" w:rsidP="000B4309">
            <w:pPr>
              <w:spacing w:line="360" w:lineRule="auto"/>
              <w:jc w:val="both"/>
              <w:rPr>
                <w:rFonts w:ascii="Book Antiqua" w:hAnsi="Book Antiqua"/>
                <w:color w:val="000000" w:themeColor="text1"/>
                <w:sz w:val="24"/>
                <w:szCs w:val="24"/>
                <w:vertAlign w:val="superscript"/>
              </w:rPr>
            </w:pPr>
          </w:p>
        </w:tc>
        <w:tc>
          <w:tcPr>
            <w:tcW w:w="3472" w:type="dxa"/>
          </w:tcPr>
          <w:p w14:paraId="0B31ECC8" w14:textId="77777777" w:rsidR="00CB43EF" w:rsidRPr="000749B2" w:rsidRDefault="00CB43EF" w:rsidP="000B4309">
            <w:pPr>
              <w:spacing w:line="360" w:lineRule="auto"/>
              <w:jc w:val="both"/>
              <w:rPr>
                <w:rFonts w:ascii="Book Antiqua" w:hAnsi="Book Antiqua"/>
                <w:i/>
                <w:iCs/>
                <w:color w:val="000000" w:themeColor="text1"/>
                <w:sz w:val="24"/>
                <w:szCs w:val="24"/>
                <w:vertAlign w:val="superscript"/>
              </w:rPr>
            </w:pPr>
            <w:r w:rsidRPr="000749B2">
              <w:rPr>
                <w:rFonts w:ascii="Book Antiqua" w:hAnsi="Book Antiqua"/>
                <w:i/>
                <w:iCs/>
                <w:color w:val="000000" w:themeColor="text1"/>
                <w:sz w:val="24"/>
                <w:szCs w:val="24"/>
              </w:rPr>
              <w:t>Msh2</w:t>
            </w:r>
            <w:r w:rsidRPr="000749B2">
              <w:rPr>
                <w:rFonts w:ascii="Book Antiqua" w:hAnsi="Book Antiqua"/>
                <w:i/>
                <w:iCs/>
                <w:color w:val="000000" w:themeColor="text1"/>
                <w:sz w:val="24"/>
                <w:szCs w:val="24"/>
                <w:vertAlign w:val="superscript"/>
              </w:rPr>
              <w:t>-/-</w:t>
            </w:r>
          </w:p>
        </w:tc>
        <w:tc>
          <w:tcPr>
            <w:tcW w:w="3285" w:type="dxa"/>
          </w:tcPr>
          <w:p w14:paraId="15555E8B" w14:textId="0C0D25BE"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Death due to lymphoma</w:t>
            </w:r>
          </w:p>
        </w:tc>
      </w:tr>
      <w:tr w:rsidR="00CB43EF" w:rsidRPr="000749B2" w14:paraId="4D0FBFCB" w14:textId="77777777" w:rsidTr="00207D8B">
        <w:tc>
          <w:tcPr>
            <w:tcW w:w="989" w:type="dxa"/>
          </w:tcPr>
          <w:p w14:paraId="5BED7790"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66</w:t>
            </w:r>
          </w:p>
        </w:tc>
        <w:tc>
          <w:tcPr>
            <w:tcW w:w="1249" w:type="dxa"/>
          </w:tcPr>
          <w:p w14:paraId="4010BA4F" w14:textId="03CE0B82"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[194]</w:t>
            </w:r>
          </w:p>
        </w:tc>
        <w:tc>
          <w:tcPr>
            <w:tcW w:w="3472" w:type="dxa"/>
          </w:tcPr>
          <w:p w14:paraId="5CC85139"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 xml:space="preserve">1638N/+ </w:t>
            </w:r>
            <w:r w:rsidRPr="000749B2">
              <w:rPr>
                <w:rFonts w:ascii="Book Antiqua" w:hAnsi="Book Antiqua"/>
                <w:i/>
                <w:iCs/>
                <w:color w:val="000000" w:themeColor="text1"/>
                <w:sz w:val="24"/>
                <w:szCs w:val="24"/>
              </w:rPr>
              <w:t xml:space="preserve">Exo1 </w:t>
            </w:r>
            <w:r w:rsidRPr="000749B2">
              <w:rPr>
                <w:rFonts w:ascii="Book Antiqua" w:hAnsi="Book Antiqua"/>
                <w:i/>
                <w:iCs/>
                <w:color w:val="000000" w:themeColor="text1"/>
                <w:sz w:val="24"/>
                <w:szCs w:val="24"/>
                <w:vertAlign w:val="superscript"/>
              </w:rPr>
              <w:t xml:space="preserve">+/− </w:t>
            </w:r>
            <w:r w:rsidRPr="000749B2">
              <w:rPr>
                <w:rFonts w:ascii="Book Antiqua" w:hAnsi="Book Antiqua"/>
                <w:i/>
                <w:iCs/>
                <w:color w:val="000000" w:themeColor="text1"/>
                <w:sz w:val="24"/>
                <w:szCs w:val="24"/>
              </w:rPr>
              <w:t>Fen1</w:t>
            </w:r>
            <w:r w:rsidRPr="000749B2">
              <w:rPr>
                <w:rFonts w:ascii="Book Antiqua" w:hAnsi="Book Antiqua"/>
                <w:i/>
                <w:iCs/>
                <w:color w:val="000000" w:themeColor="text1"/>
                <w:sz w:val="24"/>
                <w:szCs w:val="24"/>
                <w:vertAlign w:val="superscript"/>
              </w:rPr>
              <w:t>+/−</w:t>
            </w:r>
          </w:p>
        </w:tc>
        <w:tc>
          <w:tcPr>
            <w:tcW w:w="3285" w:type="dxa"/>
          </w:tcPr>
          <w:p w14:paraId="0BE0E076" w14:textId="6F6DAFC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Increased tumor multiplicity and incidence, higher progression to malignancy, high incidence of hematopoietic cancers</w:t>
            </w:r>
          </w:p>
        </w:tc>
      </w:tr>
      <w:tr w:rsidR="00CB43EF" w:rsidRPr="000749B2" w14:paraId="082D078C" w14:textId="77777777" w:rsidTr="00207D8B">
        <w:tc>
          <w:tcPr>
            <w:tcW w:w="989" w:type="dxa"/>
          </w:tcPr>
          <w:p w14:paraId="703DC009"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67</w:t>
            </w:r>
          </w:p>
        </w:tc>
        <w:tc>
          <w:tcPr>
            <w:tcW w:w="1249" w:type="dxa"/>
          </w:tcPr>
          <w:p w14:paraId="0BFD0BB0" w14:textId="00041329"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[193]</w:t>
            </w:r>
          </w:p>
        </w:tc>
        <w:tc>
          <w:tcPr>
            <w:tcW w:w="3472" w:type="dxa"/>
          </w:tcPr>
          <w:p w14:paraId="05B62081"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Fen1</w:t>
            </w:r>
            <w:r w:rsidRPr="000749B2">
              <w:rPr>
                <w:rFonts w:ascii="Book Antiqua" w:hAnsi="Book Antiqua"/>
                <w:i/>
                <w:iCs/>
                <w:color w:val="000000" w:themeColor="text1"/>
                <w:sz w:val="24"/>
                <w:szCs w:val="24"/>
                <w:vertAlign w:val="superscript"/>
              </w:rPr>
              <w:t>null</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1638N</w:t>
            </w:r>
          </w:p>
        </w:tc>
        <w:tc>
          <w:tcPr>
            <w:tcW w:w="3285" w:type="dxa"/>
          </w:tcPr>
          <w:p w14:paraId="3709A5DE" w14:textId="5DFD699D"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Increased malignancy of intestinal tumors compared to </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 xml:space="preserve">1638N </w:t>
            </w:r>
            <w:r w:rsidRPr="000749B2">
              <w:rPr>
                <w:rFonts w:ascii="Book Antiqua" w:hAnsi="Book Antiqua"/>
                <w:color w:val="000000" w:themeColor="text1"/>
                <w:sz w:val="24"/>
                <w:szCs w:val="24"/>
              </w:rPr>
              <w:t>mice through MSI</w:t>
            </w:r>
          </w:p>
        </w:tc>
      </w:tr>
      <w:tr w:rsidR="00CB43EF" w:rsidRPr="000749B2" w14:paraId="501163B8" w14:textId="77777777" w:rsidTr="00207D8B">
        <w:tc>
          <w:tcPr>
            <w:tcW w:w="989" w:type="dxa"/>
          </w:tcPr>
          <w:p w14:paraId="42874DCA"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68</w:t>
            </w:r>
          </w:p>
        </w:tc>
        <w:tc>
          <w:tcPr>
            <w:tcW w:w="1249" w:type="dxa"/>
          </w:tcPr>
          <w:p w14:paraId="5BC0269B" w14:textId="47976F56"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[184]</w:t>
            </w:r>
          </w:p>
        </w:tc>
        <w:tc>
          <w:tcPr>
            <w:tcW w:w="3472" w:type="dxa"/>
          </w:tcPr>
          <w:p w14:paraId="7595FB8C"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Mlh1</w:t>
            </w:r>
            <w:r w:rsidRPr="000749B2">
              <w:rPr>
                <w:rFonts w:ascii="Book Antiqua" w:hAnsi="Book Antiqua"/>
                <w:i/>
                <w:iCs/>
                <w:color w:val="000000" w:themeColor="text1"/>
                <w:sz w:val="24"/>
                <w:szCs w:val="24"/>
                <w:vertAlign w:val="superscript"/>
              </w:rPr>
              <w:t>-/-</w:t>
            </w:r>
            <w:r w:rsidRPr="000749B2">
              <w:rPr>
                <w:rFonts w:ascii="Book Antiqua" w:hAnsi="Book Antiqua"/>
                <w:color w:val="000000" w:themeColor="text1"/>
                <w:sz w:val="24"/>
                <w:szCs w:val="24"/>
              </w:rPr>
              <w:t>/</w:t>
            </w: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1638N</w:t>
            </w:r>
          </w:p>
        </w:tc>
        <w:tc>
          <w:tcPr>
            <w:tcW w:w="3285" w:type="dxa"/>
          </w:tcPr>
          <w:p w14:paraId="15E011A3" w14:textId="1B9F8052"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Increased tumor incidence and multiplicity, 30% adenocarcinomas, reduced lifespan of 3.3 mo. High amount of extraintestinal tumors</w:t>
            </w:r>
          </w:p>
        </w:tc>
      </w:tr>
      <w:tr w:rsidR="005E4C92" w:rsidRPr="000749B2" w14:paraId="4F6D1BF1" w14:textId="77777777" w:rsidTr="00207D8B">
        <w:trPr>
          <w:trHeight w:val="269"/>
        </w:trPr>
        <w:tc>
          <w:tcPr>
            <w:tcW w:w="989" w:type="dxa"/>
            <w:vMerge w:val="restart"/>
          </w:tcPr>
          <w:p w14:paraId="462B6AF3" w14:textId="77777777" w:rsidR="005E4C92" w:rsidRPr="000749B2" w:rsidRDefault="005E4C92"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69</w:t>
            </w:r>
          </w:p>
        </w:tc>
        <w:tc>
          <w:tcPr>
            <w:tcW w:w="1249" w:type="dxa"/>
            <w:vMerge w:val="restart"/>
          </w:tcPr>
          <w:p w14:paraId="0AB2D5B4" w14:textId="1867583A" w:rsidR="005E4C92" w:rsidRPr="000749B2" w:rsidRDefault="005E4C92"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[187]</w:t>
            </w:r>
          </w:p>
        </w:tc>
        <w:tc>
          <w:tcPr>
            <w:tcW w:w="3472" w:type="dxa"/>
          </w:tcPr>
          <w:p w14:paraId="380E49B0" w14:textId="63C7D81E" w:rsidR="005E4C92" w:rsidRPr="000749B2" w:rsidRDefault="005E4C92"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Msh6</w:t>
            </w:r>
            <w:r w:rsidRPr="000749B2">
              <w:rPr>
                <w:rFonts w:ascii="Book Antiqua" w:hAnsi="Book Antiqua"/>
                <w:i/>
                <w:iCs/>
                <w:color w:val="000000" w:themeColor="text1"/>
                <w:sz w:val="24"/>
                <w:szCs w:val="24"/>
                <w:vertAlign w:val="superscript"/>
              </w:rPr>
              <w:t>-/+</w:t>
            </w:r>
          </w:p>
        </w:tc>
        <w:tc>
          <w:tcPr>
            <w:tcW w:w="3285" w:type="dxa"/>
            <w:vMerge w:val="restart"/>
          </w:tcPr>
          <w:p w14:paraId="172DB45D" w14:textId="510A7E03" w:rsidR="005E4C92" w:rsidRPr="000749B2" w:rsidRDefault="005E4C92"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Reduced life span in hetero- and homozygotes due to lymphomas and gastrointestinal tumors. Tumors show no signs of MSI</w:t>
            </w:r>
          </w:p>
        </w:tc>
      </w:tr>
      <w:tr w:rsidR="005E4C92" w:rsidRPr="000749B2" w14:paraId="13482BE1" w14:textId="77777777" w:rsidTr="00207D8B">
        <w:trPr>
          <w:trHeight w:val="1472"/>
        </w:trPr>
        <w:tc>
          <w:tcPr>
            <w:tcW w:w="989" w:type="dxa"/>
            <w:vMerge/>
          </w:tcPr>
          <w:p w14:paraId="3D97E848" w14:textId="77777777" w:rsidR="005E4C92" w:rsidRPr="000749B2" w:rsidRDefault="005E4C92" w:rsidP="000B4309">
            <w:pPr>
              <w:spacing w:line="360" w:lineRule="auto"/>
              <w:jc w:val="both"/>
              <w:rPr>
                <w:rFonts w:ascii="Book Antiqua" w:hAnsi="Book Antiqua"/>
                <w:color w:val="000000" w:themeColor="text1"/>
                <w:sz w:val="24"/>
                <w:szCs w:val="24"/>
              </w:rPr>
            </w:pPr>
          </w:p>
        </w:tc>
        <w:tc>
          <w:tcPr>
            <w:tcW w:w="1249" w:type="dxa"/>
            <w:vMerge/>
          </w:tcPr>
          <w:p w14:paraId="07B6D8E4" w14:textId="77777777" w:rsidR="005E4C92" w:rsidRPr="000749B2" w:rsidRDefault="005E4C92" w:rsidP="000B4309">
            <w:pPr>
              <w:spacing w:line="360" w:lineRule="auto"/>
              <w:jc w:val="both"/>
              <w:rPr>
                <w:rFonts w:ascii="Book Antiqua" w:hAnsi="Book Antiqua"/>
                <w:color w:val="000000" w:themeColor="text1"/>
                <w:sz w:val="24"/>
                <w:szCs w:val="24"/>
                <w:vertAlign w:val="superscript"/>
              </w:rPr>
            </w:pPr>
          </w:p>
        </w:tc>
        <w:tc>
          <w:tcPr>
            <w:tcW w:w="3472" w:type="dxa"/>
          </w:tcPr>
          <w:p w14:paraId="0CAB684A" w14:textId="52D22AFC" w:rsidR="005E4C92" w:rsidRPr="000749B2" w:rsidRDefault="005E4C92"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Msh6</w:t>
            </w:r>
            <w:r w:rsidRPr="000749B2">
              <w:rPr>
                <w:rFonts w:ascii="Book Antiqua" w:hAnsi="Book Antiqua"/>
                <w:i/>
                <w:iCs/>
                <w:color w:val="000000" w:themeColor="text1"/>
                <w:sz w:val="24"/>
                <w:szCs w:val="24"/>
                <w:vertAlign w:val="superscript"/>
              </w:rPr>
              <w:t xml:space="preserve">-/- </w:t>
            </w:r>
          </w:p>
        </w:tc>
        <w:tc>
          <w:tcPr>
            <w:tcW w:w="3285" w:type="dxa"/>
            <w:vMerge/>
          </w:tcPr>
          <w:p w14:paraId="26CCA0F9" w14:textId="77777777" w:rsidR="005E4C92" w:rsidRPr="000749B2" w:rsidRDefault="005E4C92" w:rsidP="000B4309">
            <w:pPr>
              <w:spacing w:line="360" w:lineRule="auto"/>
              <w:jc w:val="both"/>
              <w:rPr>
                <w:rFonts w:ascii="Book Antiqua" w:hAnsi="Book Antiqua"/>
                <w:color w:val="000000" w:themeColor="text1"/>
                <w:sz w:val="24"/>
                <w:szCs w:val="24"/>
              </w:rPr>
            </w:pPr>
          </w:p>
        </w:tc>
      </w:tr>
      <w:tr w:rsidR="00CB43EF" w:rsidRPr="000749B2" w14:paraId="776B0435" w14:textId="77777777" w:rsidTr="00207D8B">
        <w:tc>
          <w:tcPr>
            <w:tcW w:w="989" w:type="dxa"/>
          </w:tcPr>
          <w:p w14:paraId="27D5C352"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70</w:t>
            </w:r>
          </w:p>
        </w:tc>
        <w:tc>
          <w:tcPr>
            <w:tcW w:w="1249" w:type="dxa"/>
          </w:tcPr>
          <w:p w14:paraId="4EB2E14D" w14:textId="09BD7C20"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[390]</w:t>
            </w:r>
          </w:p>
        </w:tc>
        <w:tc>
          <w:tcPr>
            <w:tcW w:w="3472" w:type="dxa"/>
          </w:tcPr>
          <w:p w14:paraId="3F7A2FDF" w14:textId="77777777" w:rsidR="00CB43EF" w:rsidRPr="000749B2" w:rsidRDefault="00CB43EF" w:rsidP="000B4309">
            <w:pPr>
              <w:spacing w:line="360" w:lineRule="auto"/>
              <w:jc w:val="both"/>
              <w:rPr>
                <w:rFonts w:ascii="Book Antiqua" w:hAnsi="Book Antiqua"/>
                <w:i/>
                <w:iCs/>
                <w:color w:val="000000" w:themeColor="text1"/>
                <w:sz w:val="24"/>
                <w:szCs w:val="24"/>
                <w:vertAlign w:val="superscript"/>
              </w:rPr>
            </w:pPr>
            <w:r w:rsidRPr="000749B2">
              <w:rPr>
                <w:rFonts w:ascii="Book Antiqua" w:hAnsi="Book Antiqua"/>
                <w:i/>
                <w:iCs/>
                <w:color w:val="000000" w:themeColor="text1"/>
                <w:sz w:val="24"/>
                <w:szCs w:val="24"/>
              </w:rPr>
              <w:t>Msh3</w:t>
            </w:r>
            <w:r w:rsidRPr="000749B2">
              <w:rPr>
                <w:rFonts w:ascii="Book Antiqua" w:hAnsi="Book Antiqua"/>
                <w:i/>
                <w:iCs/>
                <w:color w:val="000000" w:themeColor="text1"/>
                <w:sz w:val="24"/>
                <w:szCs w:val="24"/>
                <w:vertAlign w:val="superscript"/>
              </w:rPr>
              <w:t xml:space="preserve">−/−; </w:t>
            </w:r>
            <w:r w:rsidRPr="000749B2">
              <w:rPr>
                <w:rFonts w:ascii="Book Antiqua" w:hAnsi="Book Antiqua"/>
                <w:i/>
                <w:iCs/>
                <w:color w:val="000000" w:themeColor="text1"/>
                <w:sz w:val="24"/>
                <w:szCs w:val="24"/>
              </w:rPr>
              <w:t>Msh6</w:t>
            </w:r>
            <w:r w:rsidRPr="000749B2">
              <w:rPr>
                <w:rFonts w:ascii="Book Antiqua" w:hAnsi="Book Antiqua"/>
                <w:i/>
                <w:iCs/>
                <w:color w:val="000000" w:themeColor="text1"/>
                <w:sz w:val="24"/>
                <w:szCs w:val="24"/>
                <w:vertAlign w:val="superscript"/>
              </w:rPr>
              <w:t>−/−</w:t>
            </w:r>
          </w:p>
        </w:tc>
        <w:tc>
          <w:tcPr>
            <w:tcW w:w="3285" w:type="dxa"/>
          </w:tcPr>
          <w:p w14:paraId="4D8B633D" w14:textId="1A912A16"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Decreased life span, death due to intestinal adenocarcinomas or lymphomas</w:t>
            </w:r>
          </w:p>
        </w:tc>
      </w:tr>
      <w:tr w:rsidR="00CB43EF" w:rsidRPr="000749B2" w14:paraId="69B02436" w14:textId="77777777" w:rsidTr="00207D8B">
        <w:tc>
          <w:tcPr>
            <w:tcW w:w="989" w:type="dxa"/>
          </w:tcPr>
          <w:p w14:paraId="5F8D586B"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71</w:t>
            </w:r>
          </w:p>
        </w:tc>
        <w:tc>
          <w:tcPr>
            <w:tcW w:w="1249" w:type="dxa"/>
          </w:tcPr>
          <w:p w14:paraId="4C85E1C1" w14:textId="3E308276"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[190]</w:t>
            </w:r>
          </w:p>
        </w:tc>
        <w:tc>
          <w:tcPr>
            <w:tcW w:w="3472" w:type="dxa"/>
          </w:tcPr>
          <w:p w14:paraId="47327DA2"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Msh6</w:t>
            </w:r>
            <w:r w:rsidRPr="000749B2">
              <w:rPr>
                <w:rFonts w:ascii="Book Antiqua" w:hAnsi="Book Antiqua"/>
                <w:i/>
                <w:iCs/>
                <w:color w:val="000000" w:themeColor="text1"/>
                <w:sz w:val="24"/>
                <w:szCs w:val="24"/>
                <w:vertAlign w:val="superscript"/>
              </w:rPr>
              <w:t>TD/TD</w:t>
            </w:r>
            <w:r w:rsidRPr="000749B2">
              <w:rPr>
                <w:rFonts w:ascii="Book Antiqua" w:hAnsi="Book Antiqua"/>
                <w:i/>
                <w:iCs/>
                <w:color w:val="000000" w:themeColor="text1"/>
                <w:sz w:val="24"/>
                <w:szCs w:val="24"/>
              </w:rPr>
              <w:t>; Msh6</w:t>
            </w:r>
            <w:r w:rsidRPr="000749B2">
              <w:rPr>
                <w:rFonts w:ascii="Book Antiqua" w:hAnsi="Book Antiqua"/>
                <w:i/>
                <w:iCs/>
                <w:color w:val="000000" w:themeColor="text1"/>
                <w:sz w:val="24"/>
                <w:szCs w:val="24"/>
                <w:vertAlign w:val="superscript"/>
              </w:rPr>
              <w:t>TD/+</w:t>
            </w:r>
          </w:p>
        </w:tc>
        <w:tc>
          <w:tcPr>
            <w:tcW w:w="3285" w:type="dxa"/>
          </w:tcPr>
          <w:p w14:paraId="770A857E"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B or T cell non-Hodgkin lymphomas, adenomas of the small intestine, basal cell carcinomas</w:t>
            </w:r>
          </w:p>
        </w:tc>
      </w:tr>
      <w:tr w:rsidR="00CB43EF" w:rsidRPr="000749B2" w14:paraId="1169D07E" w14:textId="77777777" w:rsidTr="00207D8B">
        <w:tc>
          <w:tcPr>
            <w:tcW w:w="989" w:type="dxa"/>
          </w:tcPr>
          <w:p w14:paraId="256A2C1F"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72</w:t>
            </w:r>
          </w:p>
        </w:tc>
        <w:tc>
          <w:tcPr>
            <w:tcW w:w="1249" w:type="dxa"/>
          </w:tcPr>
          <w:p w14:paraId="752B6871" w14:textId="270A1B56"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[388]</w:t>
            </w:r>
          </w:p>
        </w:tc>
        <w:tc>
          <w:tcPr>
            <w:tcW w:w="3472" w:type="dxa"/>
          </w:tcPr>
          <w:p w14:paraId="1D52A652"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Pms2</w:t>
            </w:r>
            <w:r w:rsidRPr="000749B2">
              <w:rPr>
                <w:rFonts w:ascii="Book Antiqua" w:hAnsi="Book Antiqua"/>
                <w:i/>
                <w:iCs/>
                <w:color w:val="000000" w:themeColor="text1"/>
                <w:sz w:val="24"/>
                <w:szCs w:val="24"/>
                <w:vertAlign w:val="superscript"/>
              </w:rPr>
              <w:t>-/-</w:t>
            </w:r>
            <w:r w:rsidRPr="000749B2">
              <w:rPr>
                <w:rFonts w:ascii="Book Antiqua" w:hAnsi="Book Antiqua"/>
                <w:i/>
                <w:iCs/>
                <w:color w:val="000000" w:themeColor="text1"/>
                <w:sz w:val="24"/>
                <w:szCs w:val="24"/>
              </w:rPr>
              <w:t>; Pms1</w:t>
            </w:r>
            <w:r w:rsidRPr="000749B2">
              <w:rPr>
                <w:rFonts w:ascii="Book Antiqua" w:hAnsi="Book Antiqua"/>
                <w:i/>
                <w:iCs/>
                <w:color w:val="000000" w:themeColor="text1"/>
                <w:sz w:val="24"/>
                <w:szCs w:val="24"/>
                <w:vertAlign w:val="superscript"/>
              </w:rPr>
              <w:t>-/-</w:t>
            </w:r>
          </w:p>
        </w:tc>
        <w:tc>
          <w:tcPr>
            <w:tcW w:w="3285" w:type="dxa"/>
          </w:tcPr>
          <w:p w14:paraId="06C36797" w14:textId="4E083E2C"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Pms2-</w:t>
            </w:r>
            <w:r w:rsidRPr="000749B2">
              <w:rPr>
                <w:rFonts w:ascii="Book Antiqua" w:hAnsi="Book Antiqua"/>
                <w:color w:val="000000" w:themeColor="text1"/>
                <w:sz w:val="24"/>
                <w:szCs w:val="24"/>
              </w:rPr>
              <w:t xml:space="preserve">deficient mice develop lymphomas and sarcomas, but no intestinal </w:t>
            </w:r>
            <w:r w:rsidR="008258F0" w:rsidRPr="000749B2">
              <w:rPr>
                <w:rFonts w:ascii="Book Antiqua" w:hAnsi="Book Antiqua"/>
                <w:color w:val="000000" w:themeColor="text1"/>
                <w:sz w:val="24"/>
                <w:szCs w:val="24"/>
              </w:rPr>
              <w:t>tumors;</w:t>
            </w:r>
            <w:r w:rsidRPr="000749B2">
              <w:rPr>
                <w:rFonts w:ascii="Book Antiqua" w:hAnsi="Book Antiqua"/>
                <w:color w:val="000000" w:themeColor="text1"/>
                <w:sz w:val="24"/>
                <w:szCs w:val="24"/>
              </w:rPr>
              <w:t xml:space="preserve"> Pms1 deficiency does not cause tumor development</w:t>
            </w:r>
          </w:p>
        </w:tc>
      </w:tr>
      <w:tr w:rsidR="00CB43EF" w:rsidRPr="000749B2" w14:paraId="09045C46" w14:textId="77777777" w:rsidTr="00207D8B">
        <w:tc>
          <w:tcPr>
            <w:tcW w:w="989" w:type="dxa"/>
          </w:tcPr>
          <w:p w14:paraId="237033F0"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73</w:t>
            </w:r>
          </w:p>
        </w:tc>
        <w:tc>
          <w:tcPr>
            <w:tcW w:w="1249" w:type="dxa"/>
          </w:tcPr>
          <w:p w14:paraId="22854093" w14:textId="6AFEE2AD"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[150]</w:t>
            </w:r>
          </w:p>
        </w:tc>
        <w:tc>
          <w:tcPr>
            <w:tcW w:w="3472" w:type="dxa"/>
          </w:tcPr>
          <w:p w14:paraId="6D0B1EB1"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Fc</w:t>
            </w:r>
            <w:r w:rsidRPr="000749B2">
              <w:rPr>
                <w:rFonts w:ascii="Book Antiqua" w:hAnsi="Book Antiqua"/>
                <w:color w:val="000000" w:themeColor="text1"/>
                <w:sz w:val="24"/>
                <w:szCs w:val="24"/>
                <w:vertAlign w:val="superscript"/>
              </w:rPr>
              <w:t>+</w:t>
            </w:r>
            <w:r w:rsidRPr="000749B2">
              <w:rPr>
                <w:rFonts w:ascii="Book Antiqua" w:hAnsi="Book Antiqua"/>
                <w:i/>
                <w:iCs/>
                <w:color w:val="000000" w:themeColor="text1"/>
                <w:sz w:val="24"/>
                <w:szCs w:val="24"/>
              </w:rPr>
              <w:t>; Pik3ca</w:t>
            </w:r>
            <w:r w:rsidRPr="000749B2">
              <w:rPr>
                <w:rFonts w:ascii="Book Antiqua" w:hAnsi="Book Antiqua"/>
                <w:color w:val="000000" w:themeColor="text1"/>
                <w:sz w:val="24"/>
                <w:szCs w:val="24"/>
              </w:rPr>
              <w:t>*</w:t>
            </w:r>
            <w:r w:rsidRPr="000749B2">
              <w:rPr>
                <w:rFonts w:ascii="Book Antiqua" w:hAnsi="Book Antiqua"/>
                <w:color w:val="000000" w:themeColor="text1"/>
                <w:sz w:val="24"/>
                <w:szCs w:val="24"/>
                <w:vertAlign w:val="superscript"/>
              </w:rPr>
              <w:t xml:space="preserve">+ </w:t>
            </w:r>
            <w:r w:rsidRPr="000749B2">
              <w:rPr>
                <w:rFonts w:ascii="Book Antiqua" w:hAnsi="Book Antiqua"/>
                <w:color w:val="000000" w:themeColor="text1"/>
                <w:sz w:val="24"/>
                <w:szCs w:val="24"/>
              </w:rPr>
              <w:t>(FVB/N-Tg(Fabp1-Cre)1Jig;</w:t>
            </w:r>
            <w:r w:rsidRPr="000749B2">
              <w:rPr>
                <w:rFonts w:ascii="Book Antiqua" w:hAnsi="Book Antiqua"/>
                <w:b/>
                <w:bCs/>
                <w:i/>
                <w:iCs/>
                <w:color w:val="000000" w:themeColor="text1"/>
                <w:sz w:val="24"/>
                <w:szCs w:val="24"/>
              </w:rPr>
              <w:t xml:space="preserve"> </w:t>
            </w:r>
            <w:r w:rsidRPr="000749B2">
              <w:rPr>
                <w:rFonts w:ascii="Book Antiqua" w:hAnsi="Book Antiqua"/>
                <w:i/>
                <w:iCs/>
                <w:color w:val="000000" w:themeColor="text1"/>
                <w:sz w:val="24"/>
                <w:szCs w:val="24"/>
              </w:rPr>
              <w:t>Gt(ROSA)26Sor</w:t>
            </w:r>
            <w:r w:rsidRPr="000749B2">
              <w:rPr>
                <w:rFonts w:ascii="Book Antiqua" w:hAnsi="Book Antiqua"/>
                <w:i/>
                <w:iCs/>
                <w:color w:val="000000" w:themeColor="text1"/>
                <w:sz w:val="24"/>
                <w:szCs w:val="24"/>
                <w:vertAlign w:val="superscript"/>
              </w:rPr>
              <w:t>tm7(Pik3ca*,EGFP)Rsky</w:t>
            </w:r>
          </w:p>
        </w:tc>
        <w:tc>
          <w:tcPr>
            <w:tcW w:w="3285" w:type="dxa"/>
          </w:tcPr>
          <w:p w14:paraId="5EA55D97"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Constitutively active PI3K causes mucinous adenocarcinomas of the proximal colon with infiltration of the whole intestinal wall</w:t>
            </w:r>
          </w:p>
        </w:tc>
      </w:tr>
      <w:tr w:rsidR="00CB43EF" w:rsidRPr="000749B2" w14:paraId="5007121B" w14:textId="77777777" w:rsidTr="00207D8B">
        <w:tc>
          <w:tcPr>
            <w:tcW w:w="989" w:type="dxa"/>
          </w:tcPr>
          <w:p w14:paraId="0754AAEC"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74</w:t>
            </w:r>
          </w:p>
        </w:tc>
        <w:tc>
          <w:tcPr>
            <w:tcW w:w="1249" w:type="dxa"/>
          </w:tcPr>
          <w:p w14:paraId="562DC9C5" w14:textId="2D7A7B5D"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[129]</w:t>
            </w:r>
          </w:p>
        </w:tc>
        <w:tc>
          <w:tcPr>
            <w:tcW w:w="3472" w:type="dxa"/>
          </w:tcPr>
          <w:p w14:paraId="35A26096"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fl/fl</w:t>
            </w:r>
            <w:r w:rsidRPr="000749B2">
              <w:rPr>
                <w:rFonts w:ascii="Book Antiqua" w:hAnsi="Book Antiqua"/>
                <w:i/>
                <w:iCs/>
                <w:color w:val="000000" w:themeColor="text1"/>
                <w:sz w:val="24"/>
                <w:szCs w:val="24"/>
              </w:rPr>
              <w:t xml:space="preserve"> Kras</w:t>
            </w:r>
            <w:r w:rsidRPr="000749B2">
              <w:rPr>
                <w:rFonts w:ascii="Book Antiqua" w:hAnsi="Book Antiqua"/>
                <w:i/>
                <w:iCs/>
                <w:color w:val="000000" w:themeColor="text1"/>
                <w:sz w:val="24"/>
                <w:szCs w:val="24"/>
                <w:vertAlign w:val="superscript"/>
              </w:rPr>
              <w:t>G12D/+</w:t>
            </w:r>
            <w:r w:rsidRPr="000749B2">
              <w:rPr>
                <w:rFonts w:ascii="Book Antiqua" w:hAnsi="Book Antiqua"/>
                <w:i/>
                <w:iCs/>
                <w:color w:val="000000" w:themeColor="text1"/>
                <w:sz w:val="24"/>
                <w:szCs w:val="24"/>
              </w:rPr>
              <w:t xml:space="preserve"> Pik3ca</w:t>
            </w:r>
            <w:r w:rsidRPr="000749B2">
              <w:rPr>
                <w:rFonts w:ascii="Book Antiqua" w:hAnsi="Book Antiqua"/>
                <w:i/>
                <w:iCs/>
                <w:color w:val="000000" w:themeColor="text1"/>
                <w:sz w:val="24"/>
                <w:szCs w:val="24"/>
                <w:vertAlign w:val="superscript"/>
              </w:rPr>
              <w:t>p110*</w:t>
            </w:r>
            <w:r w:rsidRPr="000749B2">
              <w:rPr>
                <w:rFonts w:ascii="Book Antiqua" w:hAnsi="Book Antiqua"/>
                <w:i/>
                <w:iCs/>
                <w:color w:val="000000" w:themeColor="text1"/>
                <w:sz w:val="24"/>
                <w:szCs w:val="24"/>
              </w:rPr>
              <w:t>+ Cre-</w:t>
            </w:r>
            <w:r w:rsidRPr="000749B2">
              <w:rPr>
                <w:rFonts w:ascii="Book Antiqua" w:hAnsi="Book Antiqua"/>
                <w:color w:val="000000" w:themeColor="text1"/>
                <w:sz w:val="24"/>
                <w:szCs w:val="24"/>
              </w:rPr>
              <w:t xml:space="preserve">Adenovirus </w:t>
            </w:r>
            <w:r w:rsidRPr="000749B2">
              <w:rPr>
                <w:rFonts w:ascii="Book Antiqua" w:hAnsi="Book Antiqua"/>
                <w:i/>
                <w:iCs/>
                <w:color w:val="000000" w:themeColor="text1"/>
                <w:sz w:val="24"/>
                <w:szCs w:val="24"/>
              </w:rPr>
              <w:t>via</w:t>
            </w:r>
            <w:r w:rsidRPr="000749B2">
              <w:rPr>
                <w:rFonts w:ascii="Book Antiqua" w:hAnsi="Book Antiqua"/>
                <w:color w:val="000000" w:themeColor="text1"/>
                <w:sz w:val="24"/>
                <w:szCs w:val="24"/>
              </w:rPr>
              <w:t xml:space="preserve"> coloscopic injection</w:t>
            </w:r>
          </w:p>
        </w:tc>
        <w:tc>
          <w:tcPr>
            <w:tcW w:w="3285" w:type="dxa"/>
          </w:tcPr>
          <w:p w14:paraId="3160220D" w14:textId="2D45EFF5"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Additional driver mutations do not increase tumor proliferation, but cause progression to adenocarcinoma and metastatic disease</w:t>
            </w:r>
          </w:p>
        </w:tc>
      </w:tr>
      <w:tr w:rsidR="00CB43EF" w:rsidRPr="000749B2" w14:paraId="4521EEBB" w14:textId="77777777" w:rsidTr="00207D8B">
        <w:tc>
          <w:tcPr>
            <w:tcW w:w="989" w:type="dxa"/>
          </w:tcPr>
          <w:p w14:paraId="3A4E774A"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75</w:t>
            </w:r>
          </w:p>
        </w:tc>
        <w:tc>
          <w:tcPr>
            <w:tcW w:w="1249" w:type="dxa"/>
          </w:tcPr>
          <w:p w14:paraId="6F4337C8" w14:textId="5390F43E"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[172]</w:t>
            </w:r>
          </w:p>
        </w:tc>
        <w:tc>
          <w:tcPr>
            <w:tcW w:w="3472" w:type="dxa"/>
          </w:tcPr>
          <w:p w14:paraId="00BFF510"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CKO/CKO</w:t>
            </w:r>
            <w:r w:rsidRPr="000749B2">
              <w:rPr>
                <w:rFonts w:ascii="Book Antiqua" w:hAnsi="Book Antiqua"/>
                <w:i/>
                <w:iCs/>
                <w:color w:val="000000" w:themeColor="text1"/>
                <w:sz w:val="24"/>
                <w:szCs w:val="24"/>
              </w:rPr>
              <w:t>; Braf</w:t>
            </w:r>
            <w:r w:rsidRPr="000749B2">
              <w:rPr>
                <w:rFonts w:ascii="Book Antiqua" w:hAnsi="Book Antiqua"/>
                <w:i/>
                <w:iCs/>
                <w:color w:val="000000" w:themeColor="text1"/>
                <w:sz w:val="24"/>
                <w:szCs w:val="24"/>
                <w:vertAlign w:val="superscript"/>
              </w:rPr>
              <w:t>CA/+</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AdenoCre</w:t>
            </w:r>
            <w:r w:rsidRPr="000749B2">
              <w:rPr>
                <w:rFonts w:ascii="Book Antiqua" w:hAnsi="Book Antiqua"/>
                <w:color w:val="000000" w:themeColor="text1"/>
                <w:sz w:val="24"/>
                <w:szCs w:val="24"/>
              </w:rPr>
              <w:t xml:space="preserve"> delivery </w:t>
            </w:r>
            <w:r w:rsidRPr="000749B2">
              <w:rPr>
                <w:rFonts w:ascii="Book Antiqua" w:hAnsi="Book Antiqua"/>
                <w:i/>
                <w:iCs/>
                <w:color w:val="000000" w:themeColor="text1"/>
                <w:sz w:val="24"/>
                <w:szCs w:val="24"/>
              </w:rPr>
              <w:t>via</w:t>
            </w:r>
            <w:r w:rsidRPr="000749B2">
              <w:rPr>
                <w:rFonts w:ascii="Book Antiqua" w:hAnsi="Book Antiqua"/>
                <w:color w:val="000000" w:themeColor="text1"/>
                <w:sz w:val="24"/>
                <w:szCs w:val="24"/>
              </w:rPr>
              <w:t xml:space="preserve"> colonoscopy </w:t>
            </w:r>
          </w:p>
        </w:tc>
        <w:tc>
          <w:tcPr>
            <w:tcW w:w="3285" w:type="dxa"/>
          </w:tcPr>
          <w:p w14:paraId="5F290E99" w14:textId="6F1358E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Cre-</w:t>
            </w:r>
            <w:r w:rsidRPr="000749B2">
              <w:rPr>
                <w:rFonts w:ascii="Book Antiqua" w:hAnsi="Book Antiqua"/>
                <w:color w:val="000000" w:themeColor="text1"/>
                <w:sz w:val="24"/>
                <w:szCs w:val="24"/>
              </w:rPr>
              <w:t xml:space="preserve">mediated </w:t>
            </w:r>
            <w:r w:rsidRPr="000749B2">
              <w:rPr>
                <w:rFonts w:ascii="Book Antiqua" w:hAnsi="Book Antiqua"/>
                <w:i/>
                <w:iCs/>
                <w:color w:val="000000" w:themeColor="text1"/>
                <w:sz w:val="24"/>
                <w:szCs w:val="24"/>
              </w:rPr>
              <w:t>Apc</w:t>
            </w:r>
            <w:r w:rsidRPr="000749B2">
              <w:rPr>
                <w:rFonts w:ascii="Book Antiqua" w:hAnsi="Book Antiqua"/>
                <w:color w:val="000000" w:themeColor="text1"/>
                <w:sz w:val="24"/>
                <w:szCs w:val="24"/>
              </w:rPr>
              <w:t xml:space="preserve">-knockout combined with latent </w:t>
            </w:r>
            <w:r w:rsidRPr="000749B2">
              <w:rPr>
                <w:rFonts w:ascii="Book Antiqua" w:hAnsi="Book Antiqua"/>
                <w:i/>
                <w:iCs/>
                <w:color w:val="000000" w:themeColor="text1"/>
                <w:sz w:val="24"/>
                <w:szCs w:val="24"/>
              </w:rPr>
              <w:t>Braf</w:t>
            </w:r>
            <w:r w:rsidRPr="000749B2">
              <w:rPr>
                <w:rFonts w:ascii="Book Antiqua" w:hAnsi="Book Antiqua"/>
                <w:i/>
                <w:iCs/>
                <w:color w:val="000000" w:themeColor="text1"/>
                <w:sz w:val="24"/>
                <w:szCs w:val="24"/>
                <w:vertAlign w:val="superscript"/>
              </w:rPr>
              <w:t>V600E</w:t>
            </w:r>
            <w:r w:rsidRPr="000749B2">
              <w:rPr>
                <w:rFonts w:ascii="Book Antiqua" w:hAnsi="Book Antiqua"/>
                <w:color w:val="000000" w:themeColor="text1"/>
                <w:sz w:val="24"/>
                <w:szCs w:val="24"/>
              </w:rPr>
              <w:t xml:space="preserve"> cause neoplasia of the distal colon (50% adenocarcinomas)</w:t>
            </w:r>
          </w:p>
        </w:tc>
      </w:tr>
      <w:tr w:rsidR="005E4C92" w:rsidRPr="000749B2" w14:paraId="45978C35" w14:textId="77777777" w:rsidTr="00207D8B">
        <w:trPr>
          <w:trHeight w:val="253"/>
        </w:trPr>
        <w:tc>
          <w:tcPr>
            <w:tcW w:w="989" w:type="dxa"/>
            <w:vMerge w:val="restart"/>
          </w:tcPr>
          <w:p w14:paraId="41D0577F" w14:textId="77777777" w:rsidR="005E4C92" w:rsidRPr="000749B2" w:rsidRDefault="005E4C92"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76</w:t>
            </w:r>
          </w:p>
        </w:tc>
        <w:tc>
          <w:tcPr>
            <w:tcW w:w="1249" w:type="dxa"/>
            <w:vMerge w:val="restart"/>
          </w:tcPr>
          <w:p w14:paraId="70B97BA0" w14:textId="20ED1720" w:rsidR="005E4C92" w:rsidRPr="000749B2" w:rsidRDefault="005E4C92"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[174]</w:t>
            </w:r>
          </w:p>
        </w:tc>
        <w:tc>
          <w:tcPr>
            <w:tcW w:w="3472" w:type="dxa"/>
          </w:tcPr>
          <w:p w14:paraId="722058D5" w14:textId="388BD994" w:rsidR="005E4C92" w:rsidRPr="000749B2" w:rsidRDefault="005E4C92"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Villin-Cre;Braf</w:t>
            </w:r>
            <w:r w:rsidRPr="000749B2">
              <w:rPr>
                <w:rFonts w:ascii="Book Antiqua" w:hAnsi="Book Antiqua"/>
                <w:i/>
                <w:iCs/>
                <w:color w:val="000000" w:themeColor="text1"/>
                <w:sz w:val="24"/>
                <w:szCs w:val="24"/>
                <w:vertAlign w:val="superscript"/>
              </w:rPr>
              <w:t>LSL-V637E</w:t>
            </w:r>
            <w:r w:rsidRPr="000749B2">
              <w:rPr>
                <w:rFonts w:ascii="Book Antiqua" w:hAnsi="Book Antiqua"/>
                <w:color w:val="000000" w:themeColor="text1"/>
                <w:sz w:val="24"/>
                <w:szCs w:val="24"/>
                <w:vertAlign w:val="superscript"/>
              </w:rPr>
              <w:t>/+</w:t>
            </w:r>
          </w:p>
        </w:tc>
        <w:tc>
          <w:tcPr>
            <w:tcW w:w="3285" w:type="dxa"/>
            <w:vMerge w:val="restart"/>
          </w:tcPr>
          <w:p w14:paraId="5DFCC828" w14:textId="1D7D6C10" w:rsidR="005E4C92" w:rsidRPr="000749B2" w:rsidRDefault="005E4C92"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Some invasive </w:t>
            </w:r>
            <w:r w:rsidRPr="000749B2">
              <w:rPr>
                <w:rFonts w:ascii="Book Antiqua" w:hAnsi="Book Antiqua"/>
                <w:color w:val="000000" w:themeColor="text1"/>
                <w:sz w:val="24"/>
                <w:szCs w:val="24"/>
              </w:rPr>
              <w:lastRenderedPageBreak/>
              <w:t xml:space="preserve">adenocarcinomas (13%), dominant negative P53 mutation leads to 60% cancers with 2% metastases. Also, </w:t>
            </w:r>
            <w:r w:rsidRPr="000749B2">
              <w:rPr>
                <w:rFonts w:ascii="Book Antiqua" w:hAnsi="Book Antiqua"/>
                <w:i/>
                <w:iCs/>
                <w:color w:val="000000" w:themeColor="text1"/>
                <w:sz w:val="24"/>
                <w:szCs w:val="24"/>
              </w:rPr>
              <w:t>p16</w:t>
            </w:r>
            <w:r w:rsidRPr="000749B2">
              <w:rPr>
                <w:rFonts w:ascii="Book Antiqua" w:hAnsi="Book Antiqua"/>
                <w:i/>
                <w:iCs/>
                <w:color w:val="000000" w:themeColor="text1"/>
                <w:sz w:val="24"/>
                <w:szCs w:val="24"/>
                <w:vertAlign w:val="superscript"/>
              </w:rPr>
              <w:t xml:space="preserve">ink4a </w:t>
            </w:r>
            <w:r w:rsidRPr="000749B2">
              <w:rPr>
                <w:rFonts w:ascii="Book Antiqua" w:hAnsi="Book Antiqua"/>
                <w:color w:val="000000" w:themeColor="text1"/>
                <w:sz w:val="24"/>
                <w:szCs w:val="24"/>
              </w:rPr>
              <w:t xml:space="preserve">mutation causes carcinomas in a </w:t>
            </w:r>
            <w:r w:rsidRPr="000749B2">
              <w:rPr>
                <w:rFonts w:ascii="Book Antiqua" w:hAnsi="Book Antiqua"/>
                <w:i/>
                <w:iCs/>
                <w:color w:val="000000" w:themeColor="text1"/>
                <w:sz w:val="24"/>
                <w:szCs w:val="24"/>
              </w:rPr>
              <w:t xml:space="preserve">Braf </w:t>
            </w:r>
            <w:r w:rsidRPr="000749B2">
              <w:rPr>
                <w:rFonts w:ascii="Book Antiqua" w:hAnsi="Book Antiqua"/>
                <w:color w:val="000000" w:themeColor="text1"/>
                <w:sz w:val="24"/>
                <w:szCs w:val="24"/>
              </w:rPr>
              <w:t>mutational background</w:t>
            </w:r>
          </w:p>
        </w:tc>
      </w:tr>
      <w:tr w:rsidR="005E4C92" w:rsidRPr="000749B2" w14:paraId="20C8AFA9" w14:textId="77777777" w:rsidTr="00207D8B">
        <w:trPr>
          <w:trHeight w:val="744"/>
        </w:trPr>
        <w:tc>
          <w:tcPr>
            <w:tcW w:w="989" w:type="dxa"/>
            <w:vMerge/>
          </w:tcPr>
          <w:p w14:paraId="1F7039AD" w14:textId="77777777" w:rsidR="005E4C92" w:rsidRPr="000749B2" w:rsidRDefault="005E4C92" w:rsidP="000B4309">
            <w:pPr>
              <w:spacing w:line="360" w:lineRule="auto"/>
              <w:jc w:val="both"/>
              <w:rPr>
                <w:rFonts w:ascii="Book Antiqua" w:hAnsi="Book Antiqua"/>
                <w:color w:val="000000" w:themeColor="text1"/>
                <w:sz w:val="24"/>
                <w:szCs w:val="24"/>
              </w:rPr>
            </w:pPr>
          </w:p>
        </w:tc>
        <w:tc>
          <w:tcPr>
            <w:tcW w:w="1249" w:type="dxa"/>
            <w:vMerge/>
          </w:tcPr>
          <w:p w14:paraId="2F615BC5" w14:textId="77777777" w:rsidR="005E4C92" w:rsidRPr="000749B2" w:rsidRDefault="005E4C92" w:rsidP="000B4309">
            <w:pPr>
              <w:spacing w:line="360" w:lineRule="auto"/>
              <w:jc w:val="both"/>
              <w:rPr>
                <w:rFonts w:ascii="Book Antiqua" w:hAnsi="Book Antiqua"/>
                <w:color w:val="000000" w:themeColor="text1"/>
                <w:sz w:val="24"/>
                <w:szCs w:val="24"/>
                <w:vertAlign w:val="superscript"/>
              </w:rPr>
            </w:pPr>
          </w:p>
        </w:tc>
        <w:tc>
          <w:tcPr>
            <w:tcW w:w="3472" w:type="dxa"/>
          </w:tcPr>
          <w:p w14:paraId="450A57B4" w14:textId="727DA4AA" w:rsidR="005E4C92" w:rsidRPr="000749B2" w:rsidRDefault="005E4C92"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Villin-Cre;Braf</w:t>
            </w:r>
            <w:r w:rsidRPr="000749B2">
              <w:rPr>
                <w:rFonts w:ascii="Book Antiqua" w:hAnsi="Book Antiqua"/>
                <w:i/>
                <w:iCs/>
                <w:color w:val="000000" w:themeColor="text1"/>
                <w:sz w:val="24"/>
                <w:szCs w:val="24"/>
                <w:vertAlign w:val="superscript"/>
              </w:rPr>
              <w:t>LSL-V637E</w:t>
            </w:r>
            <w:r w:rsidRPr="000749B2">
              <w:rPr>
                <w:rFonts w:ascii="Book Antiqua" w:hAnsi="Book Antiqua"/>
                <w:color w:val="000000" w:themeColor="text1"/>
                <w:sz w:val="24"/>
                <w:szCs w:val="24"/>
                <w:vertAlign w:val="superscript"/>
              </w:rPr>
              <w:t>/+</w:t>
            </w:r>
            <w:r w:rsidRPr="000749B2">
              <w:rPr>
                <w:rFonts w:ascii="Book Antiqua" w:hAnsi="Book Antiqua"/>
                <w:i/>
                <w:iCs/>
                <w:color w:val="000000" w:themeColor="text1"/>
                <w:sz w:val="24"/>
                <w:szCs w:val="24"/>
              </w:rPr>
              <w:t>;P53</w:t>
            </w:r>
            <w:r w:rsidRPr="000749B2">
              <w:rPr>
                <w:rFonts w:ascii="Book Antiqua" w:hAnsi="Book Antiqua"/>
                <w:i/>
                <w:iCs/>
                <w:color w:val="000000" w:themeColor="text1"/>
                <w:sz w:val="24"/>
                <w:szCs w:val="24"/>
                <w:vertAlign w:val="superscript"/>
              </w:rPr>
              <w:t>LSL-R172H/+</w:t>
            </w:r>
          </w:p>
        </w:tc>
        <w:tc>
          <w:tcPr>
            <w:tcW w:w="3285" w:type="dxa"/>
            <w:vMerge/>
          </w:tcPr>
          <w:p w14:paraId="38D364A4" w14:textId="77777777" w:rsidR="005E4C92" w:rsidRPr="000749B2" w:rsidRDefault="005E4C92" w:rsidP="000B4309">
            <w:pPr>
              <w:spacing w:line="360" w:lineRule="auto"/>
              <w:jc w:val="both"/>
              <w:rPr>
                <w:rFonts w:ascii="Book Antiqua" w:hAnsi="Book Antiqua"/>
                <w:color w:val="000000" w:themeColor="text1"/>
                <w:sz w:val="24"/>
                <w:szCs w:val="24"/>
              </w:rPr>
            </w:pPr>
          </w:p>
        </w:tc>
      </w:tr>
      <w:tr w:rsidR="005E4C92" w:rsidRPr="000749B2" w14:paraId="54A77F79" w14:textId="77777777" w:rsidTr="00207D8B">
        <w:trPr>
          <w:trHeight w:val="2453"/>
        </w:trPr>
        <w:tc>
          <w:tcPr>
            <w:tcW w:w="989" w:type="dxa"/>
            <w:vMerge/>
          </w:tcPr>
          <w:p w14:paraId="4BDFC560" w14:textId="77777777" w:rsidR="005E4C92" w:rsidRPr="000749B2" w:rsidRDefault="005E4C92" w:rsidP="000B4309">
            <w:pPr>
              <w:spacing w:line="360" w:lineRule="auto"/>
              <w:jc w:val="both"/>
              <w:rPr>
                <w:rFonts w:ascii="Book Antiqua" w:hAnsi="Book Antiqua"/>
                <w:color w:val="000000" w:themeColor="text1"/>
                <w:sz w:val="24"/>
                <w:szCs w:val="24"/>
              </w:rPr>
            </w:pPr>
          </w:p>
        </w:tc>
        <w:tc>
          <w:tcPr>
            <w:tcW w:w="1249" w:type="dxa"/>
            <w:vMerge/>
          </w:tcPr>
          <w:p w14:paraId="62A3D069" w14:textId="77777777" w:rsidR="005E4C92" w:rsidRPr="000749B2" w:rsidRDefault="005E4C92" w:rsidP="000B4309">
            <w:pPr>
              <w:spacing w:line="360" w:lineRule="auto"/>
              <w:jc w:val="both"/>
              <w:rPr>
                <w:rFonts w:ascii="Book Antiqua" w:hAnsi="Book Antiqua"/>
                <w:color w:val="000000" w:themeColor="text1"/>
                <w:sz w:val="24"/>
                <w:szCs w:val="24"/>
                <w:vertAlign w:val="superscript"/>
              </w:rPr>
            </w:pPr>
          </w:p>
        </w:tc>
        <w:tc>
          <w:tcPr>
            <w:tcW w:w="3472" w:type="dxa"/>
          </w:tcPr>
          <w:p w14:paraId="417F327F" w14:textId="0D32D763" w:rsidR="005E4C92" w:rsidRPr="000749B2" w:rsidRDefault="005E4C92"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Villin-Cre;Braf</w:t>
            </w:r>
            <w:r w:rsidRPr="000749B2">
              <w:rPr>
                <w:rFonts w:ascii="Book Antiqua" w:hAnsi="Book Antiqua"/>
                <w:i/>
                <w:iCs/>
                <w:color w:val="000000" w:themeColor="text1"/>
                <w:sz w:val="24"/>
                <w:szCs w:val="24"/>
                <w:vertAlign w:val="superscript"/>
              </w:rPr>
              <w:t>LSL-V637E</w:t>
            </w:r>
            <w:r w:rsidRPr="000749B2">
              <w:rPr>
                <w:rFonts w:ascii="Book Antiqua" w:hAnsi="Book Antiqua"/>
                <w:color w:val="000000" w:themeColor="text1"/>
                <w:sz w:val="24"/>
                <w:szCs w:val="24"/>
                <w:vertAlign w:val="superscript"/>
              </w:rPr>
              <w:t>/+</w:t>
            </w:r>
            <w:r w:rsidRPr="000749B2">
              <w:rPr>
                <w:rFonts w:ascii="Book Antiqua" w:hAnsi="Book Antiqua"/>
                <w:i/>
                <w:iCs/>
                <w:color w:val="000000" w:themeColor="text1"/>
                <w:sz w:val="24"/>
                <w:szCs w:val="24"/>
              </w:rPr>
              <w:t>;p16</w:t>
            </w:r>
            <w:r w:rsidRPr="000749B2">
              <w:rPr>
                <w:rFonts w:ascii="Book Antiqua" w:hAnsi="Book Antiqua"/>
                <w:i/>
                <w:iCs/>
                <w:color w:val="000000" w:themeColor="text1"/>
                <w:sz w:val="24"/>
                <w:szCs w:val="24"/>
                <w:vertAlign w:val="superscript"/>
              </w:rPr>
              <w:t>Ink4</w:t>
            </w:r>
            <w:r w:rsidRPr="000749B2">
              <w:rPr>
                <w:rFonts w:ascii="Cambria Math" w:hAnsi="Cambria Math" w:cs="Cambria Math"/>
                <w:i/>
                <w:iCs/>
                <w:color w:val="000000" w:themeColor="text1"/>
                <w:sz w:val="24"/>
                <w:szCs w:val="24"/>
                <w:vertAlign w:val="superscript"/>
              </w:rPr>
              <w:t>∗</w:t>
            </w:r>
          </w:p>
        </w:tc>
        <w:tc>
          <w:tcPr>
            <w:tcW w:w="3285" w:type="dxa"/>
            <w:vMerge/>
          </w:tcPr>
          <w:p w14:paraId="47C1109F" w14:textId="77777777" w:rsidR="005E4C92" w:rsidRPr="000749B2" w:rsidRDefault="005E4C92" w:rsidP="000B4309">
            <w:pPr>
              <w:spacing w:line="360" w:lineRule="auto"/>
              <w:jc w:val="both"/>
              <w:rPr>
                <w:rFonts w:ascii="Book Antiqua" w:hAnsi="Book Antiqua"/>
                <w:color w:val="000000" w:themeColor="text1"/>
                <w:sz w:val="24"/>
                <w:szCs w:val="24"/>
              </w:rPr>
            </w:pPr>
          </w:p>
        </w:tc>
      </w:tr>
      <w:tr w:rsidR="005E4C92" w:rsidRPr="000749B2" w14:paraId="6C1559ED" w14:textId="77777777" w:rsidTr="00207D8B">
        <w:trPr>
          <w:trHeight w:val="301"/>
        </w:trPr>
        <w:tc>
          <w:tcPr>
            <w:tcW w:w="989" w:type="dxa"/>
            <w:vMerge w:val="restart"/>
          </w:tcPr>
          <w:p w14:paraId="61EAB9C0" w14:textId="77777777" w:rsidR="005E4C92" w:rsidRPr="000749B2" w:rsidRDefault="005E4C92"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77</w:t>
            </w:r>
          </w:p>
        </w:tc>
        <w:tc>
          <w:tcPr>
            <w:tcW w:w="1249" w:type="dxa"/>
            <w:vMerge w:val="restart"/>
          </w:tcPr>
          <w:p w14:paraId="04E4D531" w14:textId="5EEEF72C" w:rsidR="005E4C92" w:rsidRPr="000749B2" w:rsidRDefault="005E4C92"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[171]</w:t>
            </w:r>
          </w:p>
        </w:tc>
        <w:tc>
          <w:tcPr>
            <w:tcW w:w="3472" w:type="dxa"/>
          </w:tcPr>
          <w:p w14:paraId="204F418F" w14:textId="7921D724" w:rsidR="005E4C92" w:rsidRPr="000749B2" w:rsidRDefault="005E4C92"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Braf</w:t>
            </w:r>
            <w:r w:rsidRPr="000749B2">
              <w:rPr>
                <w:rFonts w:ascii="Book Antiqua" w:hAnsi="Book Antiqua"/>
                <w:i/>
                <w:iCs/>
                <w:color w:val="000000" w:themeColor="text1"/>
                <w:sz w:val="24"/>
                <w:szCs w:val="24"/>
                <w:vertAlign w:val="superscript"/>
              </w:rPr>
              <w:t>+/LSL-V600E</w:t>
            </w:r>
            <w:r w:rsidRPr="000749B2">
              <w:rPr>
                <w:rFonts w:ascii="Book Antiqua" w:hAnsi="Book Antiqua"/>
                <w:color w:val="000000" w:themeColor="text1"/>
                <w:sz w:val="24"/>
                <w:szCs w:val="24"/>
              </w:rPr>
              <w:t xml:space="preserve">; </w:t>
            </w:r>
            <w:r w:rsidRPr="000749B2">
              <w:rPr>
                <w:rFonts w:ascii="Book Antiqua" w:hAnsi="Book Antiqua"/>
                <w:i/>
                <w:iCs/>
                <w:color w:val="000000" w:themeColor="text1"/>
                <w:sz w:val="24"/>
                <w:szCs w:val="24"/>
              </w:rPr>
              <w:t>AhCreER</w:t>
            </w:r>
            <w:r w:rsidRPr="000749B2">
              <w:rPr>
                <w:rFonts w:ascii="Book Antiqua" w:hAnsi="Book Antiqua"/>
                <w:i/>
                <w:iCs/>
                <w:color w:val="000000" w:themeColor="text1"/>
                <w:sz w:val="24"/>
                <w:szCs w:val="24"/>
                <w:vertAlign w:val="superscript"/>
              </w:rPr>
              <w:t xml:space="preserve">T+/o </w:t>
            </w:r>
            <w:r w:rsidRPr="000749B2">
              <w:rPr>
                <w:rFonts w:ascii="Book Antiqua" w:hAnsi="Book Antiqua"/>
                <w:i/>
                <w:iCs/>
                <w:color w:val="000000" w:themeColor="text1"/>
                <w:sz w:val="24"/>
                <w:szCs w:val="24"/>
              </w:rPr>
              <w:t>x</w:t>
            </w:r>
          </w:p>
        </w:tc>
        <w:tc>
          <w:tcPr>
            <w:tcW w:w="3285" w:type="dxa"/>
            <w:vMerge w:val="restart"/>
          </w:tcPr>
          <w:p w14:paraId="1B92DC2D" w14:textId="45F01CD6" w:rsidR="005E4C92" w:rsidRPr="000749B2" w:rsidRDefault="005E4C92"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CypA1</w:t>
            </w:r>
            <w:r w:rsidRPr="000749B2">
              <w:rPr>
                <w:rFonts w:ascii="Book Antiqua" w:hAnsi="Book Antiqua"/>
                <w:color w:val="000000" w:themeColor="text1"/>
                <w:sz w:val="24"/>
                <w:szCs w:val="24"/>
              </w:rPr>
              <w:t xml:space="preserve">-promotor-driven, tamoxifen-inducible </w:t>
            </w:r>
            <w:r w:rsidRPr="000749B2">
              <w:rPr>
                <w:rFonts w:ascii="Book Antiqua" w:hAnsi="Book Antiqua"/>
                <w:i/>
                <w:iCs/>
                <w:color w:val="000000" w:themeColor="text1"/>
                <w:sz w:val="24"/>
                <w:szCs w:val="24"/>
              </w:rPr>
              <w:t>Cre</w:t>
            </w:r>
            <w:r w:rsidRPr="000749B2">
              <w:rPr>
                <w:rFonts w:ascii="Book Antiqua" w:hAnsi="Book Antiqua"/>
                <w:color w:val="000000" w:themeColor="text1"/>
                <w:sz w:val="24"/>
                <w:szCs w:val="24"/>
              </w:rPr>
              <w:t xml:space="preserve">-recombinase facilitates </w:t>
            </w:r>
            <w:r w:rsidRPr="000749B2">
              <w:rPr>
                <w:rFonts w:ascii="Book Antiqua" w:hAnsi="Book Antiqua"/>
                <w:i/>
                <w:iCs/>
                <w:color w:val="000000" w:themeColor="text1"/>
                <w:sz w:val="24"/>
                <w:szCs w:val="24"/>
              </w:rPr>
              <w:t>Braf</w:t>
            </w:r>
            <w:r w:rsidRPr="000749B2">
              <w:rPr>
                <w:rFonts w:ascii="Book Antiqua" w:hAnsi="Book Antiqua"/>
                <w:i/>
                <w:iCs/>
                <w:color w:val="000000" w:themeColor="text1"/>
                <w:sz w:val="24"/>
                <w:szCs w:val="24"/>
                <w:vertAlign w:val="superscript"/>
              </w:rPr>
              <w:t>V600E</w:t>
            </w:r>
            <w:r w:rsidRPr="000749B2">
              <w:rPr>
                <w:rFonts w:ascii="Book Antiqua" w:hAnsi="Book Antiqua"/>
                <w:color w:val="000000" w:themeColor="text1"/>
                <w:sz w:val="24"/>
                <w:szCs w:val="24"/>
              </w:rPr>
              <w:t xml:space="preserve"> expression in the small intestine with consecutive crypt hyperplasia. Repression of </w:t>
            </w:r>
            <w:r w:rsidRPr="000749B2">
              <w:rPr>
                <w:rFonts w:ascii="Book Antiqua" w:hAnsi="Book Antiqua"/>
                <w:i/>
                <w:iCs/>
                <w:color w:val="000000" w:themeColor="text1"/>
                <w:sz w:val="24"/>
                <w:szCs w:val="24"/>
              </w:rPr>
              <w:t>p16</w:t>
            </w:r>
            <w:r w:rsidRPr="000749B2">
              <w:rPr>
                <w:rFonts w:ascii="Book Antiqua" w:hAnsi="Book Antiqua"/>
                <w:i/>
                <w:iCs/>
                <w:color w:val="000000" w:themeColor="text1"/>
                <w:sz w:val="24"/>
                <w:szCs w:val="24"/>
                <w:vertAlign w:val="superscript"/>
              </w:rPr>
              <w:t>Ink4A</w:t>
            </w:r>
            <w:r w:rsidRPr="000749B2">
              <w:rPr>
                <w:rFonts w:ascii="Book Antiqua" w:hAnsi="Book Antiqua"/>
                <w:color w:val="000000" w:themeColor="text1"/>
                <w:sz w:val="24"/>
                <w:szCs w:val="24"/>
              </w:rPr>
              <w:t xml:space="preserve"> leads to tumor formation in various tissues and decreased survival (6 wk)</w:t>
            </w:r>
          </w:p>
        </w:tc>
      </w:tr>
      <w:tr w:rsidR="005E4C92" w:rsidRPr="000749B2" w14:paraId="109E4135" w14:textId="77777777" w:rsidTr="00207D8B">
        <w:trPr>
          <w:trHeight w:val="4478"/>
        </w:trPr>
        <w:tc>
          <w:tcPr>
            <w:tcW w:w="989" w:type="dxa"/>
            <w:vMerge/>
          </w:tcPr>
          <w:p w14:paraId="6247FF1C" w14:textId="77777777" w:rsidR="005E4C92" w:rsidRPr="000749B2" w:rsidRDefault="005E4C92" w:rsidP="000B4309">
            <w:pPr>
              <w:spacing w:line="360" w:lineRule="auto"/>
              <w:jc w:val="both"/>
              <w:rPr>
                <w:rFonts w:ascii="Book Antiqua" w:hAnsi="Book Antiqua"/>
                <w:color w:val="000000" w:themeColor="text1"/>
                <w:sz w:val="24"/>
                <w:szCs w:val="24"/>
              </w:rPr>
            </w:pPr>
          </w:p>
        </w:tc>
        <w:tc>
          <w:tcPr>
            <w:tcW w:w="1249" w:type="dxa"/>
            <w:vMerge/>
          </w:tcPr>
          <w:p w14:paraId="7F12D36C" w14:textId="77777777" w:rsidR="005E4C92" w:rsidRPr="000749B2" w:rsidRDefault="005E4C92" w:rsidP="000B4309">
            <w:pPr>
              <w:spacing w:line="360" w:lineRule="auto"/>
              <w:jc w:val="both"/>
              <w:rPr>
                <w:rFonts w:ascii="Book Antiqua" w:hAnsi="Book Antiqua"/>
                <w:color w:val="000000" w:themeColor="text1"/>
                <w:sz w:val="24"/>
                <w:szCs w:val="24"/>
                <w:vertAlign w:val="superscript"/>
              </w:rPr>
            </w:pPr>
          </w:p>
        </w:tc>
        <w:tc>
          <w:tcPr>
            <w:tcW w:w="3472" w:type="dxa"/>
          </w:tcPr>
          <w:p w14:paraId="1045D8EA" w14:textId="647F0CFB" w:rsidR="005E4C92" w:rsidRPr="000749B2" w:rsidRDefault="005E4C92"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Cdkn2a</w:t>
            </w:r>
            <w:r w:rsidRPr="000749B2">
              <w:rPr>
                <w:rFonts w:ascii="Book Antiqua" w:hAnsi="Book Antiqua"/>
                <w:color w:val="000000" w:themeColor="text1"/>
                <w:sz w:val="24"/>
                <w:szCs w:val="24"/>
              </w:rPr>
              <w:t xml:space="preserve"> (Ink4a/Arf</w:t>
            </w:r>
            <w:r w:rsidRPr="000749B2">
              <w:rPr>
                <w:rFonts w:ascii="Book Antiqua" w:hAnsi="Book Antiqua"/>
                <w:color w:val="000000" w:themeColor="text1"/>
                <w:sz w:val="24"/>
                <w:szCs w:val="24"/>
                <w:vertAlign w:val="superscript"/>
              </w:rPr>
              <w:t>ΔEx2,3</w:t>
            </w:r>
            <w:r w:rsidRPr="000749B2">
              <w:rPr>
                <w:rFonts w:ascii="Book Antiqua" w:hAnsi="Book Antiqua"/>
                <w:color w:val="000000" w:themeColor="text1"/>
                <w:sz w:val="24"/>
                <w:szCs w:val="24"/>
              </w:rPr>
              <w:t>) = VE;Cdkn2a</w:t>
            </w:r>
            <w:r w:rsidRPr="000749B2">
              <w:rPr>
                <w:rFonts w:ascii="Book Antiqua" w:hAnsi="Book Antiqua"/>
                <w:color w:val="000000" w:themeColor="text1"/>
                <w:sz w:val="24"/>
                <w:szCs w:val="24"/>
                <w:vertAlign w:val="superscript"/>
              </w:rPr>
              <w:t>ΔEx2,3/ΔEx2,3</w:t>
            </w:r>
          </w:p>
        </w:tc>
        <w:tc>
          <w:tcPr>
            <w:tcW w:w="3285" w:type="dxa"/>
            <w:vMerge/>
          </w:tcPr>
          <w:p w14:paraId="629F3417" w14:textId="77777777" w:rsidR="005E4C92" w:rsidRPr="000749B2" w:rsidRDefault="005E4C92" w:rsidP="000B4309">
            <w:pPr>
              <w:spacing w:line="360" w:lineRule="auto"/>
              <w:jc w:val="both"/>
              <w:rPr>
                <w:rFonts w:ascii="Book Antiqua" w:hAnsi="Book Antiqua"/>
                <w:i/>
                <w:iCs/>
                <w:color w:val="000000" w:themeColor="text1"/>
                <w:sz w:val="24"/>
                <w:szCs w:val="24"/>
              </w:rPr>
            </w:pPr>
          </w:p>
        </w:tc>
      </w:tr>
      <w:tr w:rsidR="00CB43EF" w:rsidRPr="000749B2" w14:paraId="4847CE9D" w14:textId="77777777" w:rsidTr="00207D8B">
        <w:tc>
          <w:tcPr>
            <w:tcW w:w="989" w:type="dxa"/>
          </w:tcPr>
          <w:p w14:paraId="0A27C00E"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78</w:t>
            </w:r>
          </w:p>
        </w:tc>
        <w:tc>
          <w:tcPr>
            <w:tcW w:w="1249" w:type="dxa"/>
          </w:tcPr>
          <w:p w14:paraId="31FF7C61" w14:textId="262E0332"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[140]</w:t>
            </w:r>
          </w:p>
        </w:tc>
        <w:tc>
          <w:tcPr>
            <w:tcW w:w="3472" w:type="dxa"/>
          </w:tcPr>
          <w:p w14:paraId="31535DEC" w14:textId="0DBD7251"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Δ716</w:t>
            </w:r>
            <w:r w:rsidRPr="000749B2">
              <w:rPr>
                <w:rFonts w:ascii="Book Antiqua" w:hAnsi="Book Antiqua"/>
                <w:color w:val="000000" w:themeColor="text1"/>
                <w:sz w:val="24"/>
                <w:szCs w:val="24"/>
              </w:rPr>
              <w:t xml:space="preserve"> (A), </w:t>
            </w:r>
            <w:r w:rsidRPr="000749B2">
              <w:rPr>
                <w:rFonts w:ascii="Book Antiqua" w:hAnsi="Book Antiqua"/>
                <w:i/>
                <w:iCs/>
                <w:color w:val="000000" w:themeColor="text1"/>
                <w:sz w:val="24"/>
                <w:szCs w:val="24"/>
              </w:rPr>
              <w:t>Kras</w:t>
            </w:r>
            <w:r w:rsidRPr="000749B2">
              <w:rPr>
                <w:rFonts w:ascii="Book Antiqua" w:hAnsi="Book Antiqua"/>
                <w:color w:val="000000" w:themeColor="text1"/>
                <w:sz w:val="24"/>
                <w:szCs w:val="24"/>
                <w:vertAlign w:val="superscript"/>
              </w:rPr>
              <w:t>+/</w:t>
            </w:r>
            <w:r w:rsidRPr="000749B2">
              <w:rPr>
                <w:rFonts w:ascii="Book Antiqua" w:hAnsi="Book Antiqua"/>
                <w:i/>
                <w:iCs/>
                <w:color w:val="000000" w:themeColor="text1"/>
                <w:sz w:val="24"/>
                <w:szCs w:val="24"/>
                <w:vertAlign w:val="superscript"/>
              </w:rPr>
              <w:t>LSL-G12D</w:t>
            </w:r>
            <w:r w:rsidRPr="000749B2">
              <w:rPr>
                <w:rFonts w:ascii="Book Antiqua" w:hAnsi="Book Antiqua"/>
                <w:color w:val="000000" w:themeColor="text1"/>
                <w:sz w:val="24"/>
                <w:szCs w:val="24"/>
              </w:rPr>
              <w:t xml:space="preserve"> (K), </w:t>
            </w:r>
            <w:r w:rsidRPr="000749B2">
              <w:rPr>
                <w:rFonts w:ascii="Book Antiqua" w:hAnsi="Book Antiqua"/>
                <w:i/>
                <w:iCs/>
                <w:color w:val="000000" w:themeColor="text1"/>
                <w:sz w:val="24"/>
                <w:szCs w:val="24"/>
              </w:rPr>
              <w:t>Tgfbr2</w:t>
            </w:r>
            <w:r w:rsidRPr="000749B2">
              <w:rPr>
                <w:rFonts w:ascii="Book Antiqua" w:hAnsi="Book Antiqua"/>
                <w:i/>
                <w:iCs/>
                <w:color w:val="000000" w:themeColor="text1"/>
                <w:sz w:val="24"/>
                <w:szCs w:val="24"/>
                <w:vertAlign w:val="superscript"/>
              </w:rPr>
              <w:t>flox/flox</w:t>
            </w:r>
            <w:r w:rsidRPr="000749B2">
              <w:rPr>
                <w:rFonts w:ascii="Book Antiqua" w:hAnsi="Book Antiqua"/>
                <w:color w:val="000000" w:themeColor="text1"/>
                <w:sz w:val="24"/>
                <w:szCs w:val="24"/>
              </w:rPr>
              <w:t xml:space="preserve"> (T), </w:t>
            </w:r>
            <w:r w:rsidRPr="000749B2">
              <w:rPr>
                <w:rFonts w:ascii="Book Antiqua" w:hAnsi="Book Antiqua"/>
                <w:i/>
                <w:iCs/>
                <w:color w:val="000000" w:themeColor="text1"/>
                <w:sz w:val="24"/>
                <w:szCs w:val="24"/>
              </w:rPr>
              <w:t>Trp53</w:t>
            </w:r>
            <w:r w:rsidRPr="000749B2">
              <w:rPr>
                <w:rFonts w:ascii="Book Antiqua" w:hAnsi="Book Antiqua"/>
                <w:color w:val="000000" w:themeColor="text1"/>
                <w:sz w:val="24"/>
                <w:szCs w:val="24"/>
                <w:vertAlign w:val="superscript"/>
              </w:rPr>
              <w:t>+/</w:t>
            </w:r>
            <w:r w:rsidRPr="000749B2">
              <w:rPr>
                <w:rFonts w:ascii="Book Antiqua" w:hAnsi="Book Antiqua"/>
                <w:i/>
                <w:iCs/>
                <w:color w:val="000000" w:themeColor="text1"/>
                <w:sz w:val="24"/>
                <w:szCs w:val="24"/>
                <w:vertAlign w:val="superscript"/>
              </w:rPr>
              <w:t>LSL-R270H</w:t>
            </w:r>
            <w:r w:rsidRPr="000749B2">
              <w:rPr>
                <w:rFonts w:ascii="Book Antiqua" w:hAnsi="Book Antiqua"/>
                <w:color w:val="000000" w:themeColor="text1"/>
                <w:sz w:val="24"/>
                <w:szCs w:val="24"/>
              </w:rPr>
              <w:t xml:space="preserve"> (P), </w:t>
            </w:r>
            <w:r w:rsidRPr="000749B2">
              <w:rPr>
                <w:rFonts w:ascii="Book Antiqua" w:hAnsi="Book Antiqua"/>
                <w:i/>
                <w:iCs/>
                <w:color w:val="000000" w:themeColor="text1"/>
                <w:sz w:val="24"/>
                <w:szCs w:val="24"/>
              </w:rPr>
              <w:t>Fbxw7</w:t>
            </w:r>
            <w:r w:rsidRPr="000749B2">
              <w:rPr>
                <w:rFonts w:ascii="Book Antiqua" w:hAnsi="Book Antiqua"/>
                <w:i/>
                <w:iCs/>
                <w:color w:val="000000" w:themeColor="text1"/>
                <w:sz w:val="24"/>
                <w:szCs w:val="24"/>
                <w:vertAlign w:val="superscript"/>
              </w:rPr>
              <w:t>flox/flox</w:t>
            </w:r>
            <w:r w:rsidRPr="000749B2">
              <w:rPr>
                <w:rFonts w:ascii="Book Antiqua" w:hAnsi="Book Antiqua"/>
                <w:color w:val="000000" w:themeColor="text1"/>
                <w:sz w:val="24"/>
                <w:szCs w:val="24"/>
              </w:rPr>
              <w:t xml:space="preserve"> (F), and V</w:t>
            </w:r>
            <w:r w:rsidRPr="000749B2">
              <w:rPr>
                <w:rFonts w:ascii="Book Antiqua" w:hAnsi="Book Antiqua"/>
                <w:i/>
                <w:iCs/>
                <w:color w:val="000000" w:themeColor="text1"/>
                <w:sz w:val="24"/>
                <w:szCs w:val="24"/>
              </w:rPr>
              <w:t>illin-CreER</w:t>
            </w:r>
          </w:p>
        </w:tc>
        <w:tc>
          <w:tcPr>
            <w:tcW w:w="3285" w:type="dxa"/>
          </w:tcPr>
          <w:p w14:paraId="6646E18D" w14:textId="278F23DF"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i/>
                <w:iCs/>
                <w:color w:val="000000" w:themeColor="text1"/>
                <w:sz w:val="24"/>
                <w:szCs w:val="24"/>
              </w:rPr>
              <w:t xml:space="preserve">Kras </w:t>
            </w:r>
            <w:r w:rsidRPr="000749B2">
              <w:rPr>
                <w:rFonts w:ascii="Book Antiqua" w:hAnsi="Book Antiqua"/>
                <w:color w:val="000000" w:themeColor="text1"/>
                <w:sz w:val="24"/>
                <w:szCs w:val="24"/>
              </w:rPr>
              <w:t xml:space="preserve">mutation increases multiplicity of tumors, whilst </w:t>
            </w:r>
            <w:r w:rsidRPr="000749B2">
              <w:rPr>
                <w:rFonts w:ascii="Book Antiqua" w:hAnsi="Book Antiqua"/>
                <w:i/>
                <w:iCs/>
                <w:color w:val="000000" w:themeColor="text1"/>
                <w:sz w:val="24"/>
                <w:szCs w:val="24"/>
              </w:rPr>
              <w:t>P53</w:t>
            </w:r>
            <w:r w:rsidRPr="000749B2">
              <w:rPr>
                <w:rFonts w:ascii="Book Antiqua" w:hAnsi="Book Antiqua"/>
                <w:color w:val="000000" w:themeColor="text1"/>
                <w:sz w:val="24"/>
                <w:szCs w:val="24"/>
              </w:rPr>
              <w:t xml:space="preserve"> </w:t>
            </w:r>
            <w:r w:rsidR="00527D58" w:rsidRPr="000749B2">
              <w:rPr>
                <w:rFonts w:ascii="Book Antiqua" w:hAnsi="Book Antiqua"/>
                <w:color w:val="000000" w:themeColor="text1"/>
                <w:sz w:val="24"/>
                <w:szCs w:val="24"/>
              </w:rPr>
              <w:t>gain-of-function mutation</w:t>
            </w:r>
            <w:r w:rsidR="00083549" w:rsidRPr="000749B2">
              <w:rPr>
                <w:rFonts w:ascii="Book Antiqua" w:hAnsi="Book Antiqua"/>
                <w:color w:val="000000" w:themeColor="text1"/>
                <w:sz w:val="24"/>
                <w:szCs w:val="24"/>
              </w:rPr>
              <w:t xml:space="preserve"> </w:t>
            </w:r>
            <w:r w:rsidRPr="000749B2">
              <w:rPr>
                <w:rFonts w:ascii="Book Antiqua" w:hAnsi="Book Antiqua"/>
                <w:color w:val="000000" w:themeColor="text1"/>
                <w:sz w:val="24"/>
                <w:szCs w:val="24"/>
              </w:rPr>
              <w:t xml:space="preserve">and </w:t>
            </w:r>
            <w:r w:rsidRPr="000749B2">
              <w:rPr>
                <w:rFonts w:ascii="Book Antiqua" w:hAnsi="Book Antiqua"/>
                <w:i/>
                <w:iCs/>
                <w:color w:val="000000" w:themeColor="text1"/>
                <w:sz w:val="24"/>
                <w:szCs w:val="24"/>
              </w:rPr>
              <w:t>Tgfβr</w:t>
            </w:r>
            <w:r w:rsidRPr="000749B2">
              <w:rPr>
                <w:rFonts w:ascii="Book Antiqua" w:hAnsi="Book Antiqua"/>
                <w:color w:val="000000" w:themeColor="text1"/>
                <w:sz w:val="24"/>
                <w:szCs w:val="24"/>
              </w:rPr>
              <w:t>-knockout lead</w:t>
            </w:r>
            <w:r w:rsidR="00C90589" w:rsidRPr="000749B2">
              <w:rPr>
                <w:rFonts w:ascii="Book Antiqua" w:hAnsi="Book Antiqua"/>
                <w:color w:val="000000" w:themeColor="text1"/>
                <w:sz w:val="24"/>
                <w:szCs w:val="24"/>
              </w:rPr>
              <w:t>s</w:t>
            </w:r>
            <w:r w:rsidRPr="000749B2">
              <w:rPr>
                <w:rFonts w:ascii="Book Antiqua" w:hAnsi="Book Antiqua"/>
                <w:color w:val="000000" w:themeColor="text1"/>
                <w:sz w:val="24"/>
                <w:szCs w:val="24"/>
              </w:rPr>
              <w:t xml:space="preserve"> to invasiveness, no spontaneous metastases</w:t>
            </w:r>
          </w:p>
        </w:tc>
      </w:tr>
      <w:tr w:rsidR="00CB43EF" w:rsidRPr="000749B2" w14:paraId="3E09C6A8" w14:textId="77777777" w:rsidTr="00207D8B">
        <w:tc>
          <w:tcPr>
            <w:tcW w:w="989" w:type="dxa"/>
          </w:tcPr>
          <w:p w14:paraId="05CE4890"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79</w:t>
            </w:r>
          </w:p>
        </w:tc>
        <w:tc>
          <w:tcPr>
            <w:tcW w:w="1249" w:type="dxa"/>
          </w:tcPr>
          <w:p w14:paraId="55C26286" w14:textId="54DC3EE2"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[147]</w:t>
            </w:r>
          </w:p>
        </w:tc>
        <w:tc>
          <w:tcPr>
            <w:tcW w:w="3472" w:type="dxa"/>
          </w:tcPr>
          <w:p w14:paraId="1D4AA0F3" w14:textId="77777777" w:rsidR="00CB43EF" w:rsidRPr="000749B2" w:rsidRDefault="00CB43EF"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i/>
                <w:iCs/>
                <w:color w:val="000000" w:themeColor="text1"/>
                <w:sz w:val="24"/>
                <w:szCs w:val="24"/>
              </w:rPr>
              <w:t>Apc</w:t>
            </w:r>
            <w:r w:rsidRPr="000749B2">
              <w:rPr>
                <w:rFonts w:ascii="Book Antiqua" w:hAnsi="Book Antiqua"/>
                <w:i/>
                <w:iCs/>
                <w:color w:val="000000" w:themeColor="text1"/>
                <w:sz w:val="24"/>
                <w:szCs w:val="24"/>
                <w:vertAlign w:val="superscript"/>
              </w:rPr>
              <w:t>Min/+</w:t>
            </w:r>
            <w:r w:rsidRPr="000749B2">
              <w:rPr>
                <w:rFonts w:ascii="Book Antiqua" w:hAnsi="Book Antiqua"/>
                <w:i/>
                <w:iCs/>
                <w:color w:val="000000" w:themeColor="text1"/>
                <w:sz w:val="24"/>
                <w:szCs w:val="24"/>
              </w:rPr>
              <w:t>; Fbw7</w:t>
            </w:r>
            <w:r w:rsidRPr="000749B2">
              <w:rPr>
                <w:rFonts w:ascii="Book Antiqua" w:hAnsi="Book Antiqua"/>
                <w:i/>
                <w:iCs/>
                <w:color w:val="000000" w:themeColor="text1"/>
                <w:sz w:val="24"/>
                <w:szCs w:val="24"/>
                <w:vertAlign w:val="superscript"/>
              </w:rPr>
              <w:t>ΔG</w:t>
            </w:r>
          </w:p>
        </w:tc>
        <w:tc>
          <w:tcPr>
            <w:tcW w:w="3285" w:type="dxa"/>
          </w:tcPr>
          <w:p w14:paraId="530D3DD4"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Reduced survival for </w:t>
            </w:r>
            <w:r w:rsidRPr="000749B2">
              <w:rPr>
                <w:rFonts w:ascii="Book Antiqua" w:hAnsi="Book Antiqua"/>
                <w:i/>
                <w:iCs/>
                <w:color w:val="000000" w:themeColor="text1"/>
                <w:sz w:val="24"/>
                <w:szCs w:val="24"/>
              </w:rPr>
              <w:t>Fbw7</w:t>
            </w:r>
            <w:r w:rsidRPr="000749B2">
              <w:rPr>
                <w:rFonts w:ascii="Book Antiqua" w:hAnsi="Book Antiqua"/>
                <w:color w:val="000000" w:themeColor="text1"/>
                <w:sz w:val="24"/>
                <w:szCs w:val="24"/>
              </w:rPr>
              <w:t xml:space="preserve"> deficient mice, also in heterozygous setting</w:t>
            </w:r>
          </w:p>
        </w:tc>
      </w:tr>
      <w:tr w:rsidR="00CB43EF" w:rsidRPr="000749B2" w14:paraId="66A4A052" w14:textId="77777777" w:rsidTr="00207D8B">
        <w:tc>
          <w:tcPr>
            <w:tcW w:w="989" w:type="dxa"/>
          </w:tcPr>
          <w:p w14:paraId="1816F04D"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80</w:t>
            </w:r>
          </w:p>
        </w:tc>
        <w:tc>
          <w:tcPr>
            <w:tcW w:w="1249" w:type="dxa"/>
          </w:tcPr>
          <w:p w14:paraId="430D8893" w14:textId="7E5DD451"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[148]</w:t>
            </w:r>
          </w:p>
        </w:tc>
        <w:tc>
          <w:tcPr>
            <w:tcW w:w="3472" w:type="dxa"/>
          </w:tcPr>
          <w:p w14:paraId="793D37A1"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Fbw7</w:t>
            </w:r>
            <w:r w:rsidRPr="000749B2">
              <w:rPr>
                <w:rFonts w:ascii="Book Antiqua" w:hAnsi="Book Antiqua"/>
                <w:i/>
                <w:iCs/>
                <w:color w:val="000000" w:themeColor="text1"/>
                <w:sz w:val="24"/>
                <w:szCs w:val="24"/>
                <w:vertAlign w:val="superscript"/>
              </w:rPr>
              <w:t>flox/flox</w:t>
            </w:r>
            <w:r w:rsidRPr="000749B2">
              <w:rPr>
                <w:rFonts w:ascii="Book Antiqua" w:hAnsi="Book Antiqua"/>
                <w:i/>
                <w:iCs/>
                <w:color w:val="000000" w:themeColor="text1"/>
                <w:sz w:val="24"/>
                <w:szCs w:val="24"/>
              </w:rPr>
              <w:t>; P53</w:t>
            </w:r>
            <w:r w:rsidRPr="000749B2">
              <w:rPr>
                <w:rFonts w:ascii="Book Antiqua" w:hAnsi="Book Antiqua"/>
                <w:i/>
                <w:iCs/>
                <w:color w:val="000000" w:themeColor="text1"/>
                <w:sz w:val="24"/>
                <w:szCs w:val="24"/>
                <w:vertAlign w:val="superscript"/>
              </w:rPr>
              <w:t>flox/flox</w:t>
            </w:r>
            <w:r w:rsidRPr="000749B2">
              <w:rPr>
                <w:rFonts w:ascii="Book Antiqua" w:hAnsi="Book Antiqua"/>
                <w:i/>
                <w:iCs/>
                <w:color w:val="000000" w:themeColor="text1"/>
                <w:sz w:val="24"/>
                <w:szCs w:val="24"/>
              </w:rPr>
              <w:t>; Villin-Cre</w:t>
            </w:r>
          </w:p>
        </w:tc>
        <w:tc>
          <w:tcPr>
            <w:tcW w:w="3285" w:type="dxa"/>
          </w:tcPr>
          <w:p w14:paraId="3C8C1F96"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Aggressive carcinomas with metastatic spread to lymph </w:t>
            </w:r>
            <w:r w:rsidRPr="000749B2">
              <w:rPr>
                <w:rFonts w:ascii="Book Antiqua" w:hAnsi="Book Antiqua"/>
                <w:color w:val="000000" w:themeColor="text1"/>
                <w:sz w:val="24"/>
                <w:szCs w:val="24"/>
              </w:rPr>
              <w:lastRenderedPageBreak/>
              <w:t>nodes and liver</w:t>
            </w:r>
          </w:p>
        </w:tc>
      </w:tr>
      <w:tr w:rsidR="00CB43EF" w:rsidRPr="000749B2" w14:paraId="2393D779" w14:textId="77777777" w:rsidTr="00207D8B">
        <w:tc>
          <w:tcPr>
            <w:tcW w:w="989" w:type="dxa"/>
          </w:tcPr>
          <w:p w14:paraId="54A75A08" w14:textId="77777777"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lastRenderedPageBreak/>
              <w:t>81</w:t>
            </w:r>
          </w:p>
        </w:tc>
        <w:tc>
          <w:tcPr>
            <w:tcW w:w="1249" w:type="dxa"/>
          </w:tcPr>
          <w:p w14:paraId="3335C27E" w14:textId="48661031" w:rsidR="00CB43EF" w:rsidRPr="000749B2" w:rsidRDefault="00C42D1B" w:rsidP="000B4309">
            <w:pPr>
              <w:spacing w:line="360" w:lineRule="auto"/>
              <w:jc w:val="both"/>
              <w:rPr>
                <w:rFonts w:ascii="Book Antiqua" w:hAnsi="Book Antiqua"/>
                <w:color w:val="000000" w:themeColor="text1"/>
                <w:sz w:val="24"/>
                <w:szCs w:val="24"/>
                <w:vertAlign w:val="superscript"/>
              </w:rPr>
            </w:pPr>
            <w:r w:rsidRPr="000749B2">
              <w:rPr>
                <w:rFonts w:ascii="Book Antiqua" w:hAnsi="Book Antiqua"/>
                <w:color w:val="000000" w:themeColor="text1"/>
                <w:sz w:val="24"/>
                <w:szCs w:val="24"/>
                <w:vertAlign w:val="superscript"/>
              </w:rPr>
              <w:t>[391]</w:t>
            </w:r>
          </w:p>
        </w:tc>
        <w:tc>
          <w:tcPr>
            <w:tcW w:w="3472" w:type="dxa"/>
          </w:tcPr>
          <w:p w14:paraId="30733098" w14:textId="77777777" w:rsidR="00CB43EF" w:rsidRPr="000749B2" w:rsidRDefault="00CB43EF" w:rsidP="000B4309">
            <w:pPr>
              <w:spacing w:line="360" w:lineRule="auto"/>
              <w:jc w:val="both"/>
              <w:rPr>
                <w:rFonts w:ascii="Book Antiqua" w:hAnsi="Book Antiqua"/>
                <w:i/>
                <w:iCs/>
                <w:color w:val="000000" w:themeColor="text1"/>
                <w:sz w:val="24"/>
                <w:szCs w:val="24"/>
              </w:rPr>
            </w:pPr>
            <w:r w:rsidRPr="000749B2">
              <w:rPr>
                <w:rFonts w:ascii="Book Antiqua" w:hAnsi="Book Antiqua"/>
                <w:i/>
                <w:iCs/>
                <w:color w:val="000000" w:themeColor="text1"/>
                <w:sz w:val="24"/>
                <w:szCs w:val="24"/>
              </w:rPr>
              <w:t>Mutyh</w:t>
            </w:r>
            <w:r w:rsidRPr="000749B2">
              <w:rPr>
                <w:rFonts w:ascii="Book Antiqua" w:hAnsi="Book Antiqua"/>
                <w:i/>
                <w:iCs/>
                <w:color w:val="000000" w:themeColor="text1"/>
                <w:sz w:val="24"/>
                <w:szCs w:val="24"/>
                <w:vertAlign w:val="superscript"/>
              </w:rPr>
              <w:t>-/-</w:t>
            </w:r>
          </w:p>
        </w:tc>
        <w:tc>
          <w:tcPr>
            <w:tcW w:w="3285" w:type="dxa"/>
          </w:tcPr>
          <w:p w14:paraId="4E1C025F" w14:textId="6E433160" w:rsidR="00CB43EF" w:rsidRPr="000749B2" w:rsidRDefault="00CB43EF" w:rsidP="000B4309">
            <w:pPr>
              <w:spacing w:line="360" w:lineRule="auto"/>
              <w:jc w:val="both"/>
              <w:rPr>
                <w:rFonts w:ascii="Book Antiqua" w:hAnsi="Book Antiqua"/>
                <w:color w:val="000000" w:themeColor="text1"/>
                <w:sz w:val="24"/>
                <w:szCs w:val="24"/>
              </w:rPr>
            </w:pPr>
            <w:r w:rsidRPr="000749B2">
              <w:rPr>
                <w:rFonts w:ascii="Book Antiqua" w:hAnsi="Book Antiqua"/>
                <w:color w:val="000000" w:themeColor="text1"/>
                <w:sz w:val="24"/>
                <w:szCs w:val="24"/>
              </w:rPr>
              <w:t xml:space="preserve">Spontaneous adenoma and adenocarcinoma development in the </w:t>
            </w:r>
            <w:r w:rsidR="00F60A2E" w:rsidRPr="000749B2">
              <w:rPr>
                <w:rFonts w:ascii="Book Antiqua" w:hAnsi="Book Antiqua"/>
                <w:color w:val="000000" w:themeColor="text1"/>
                <w:sz w:val="24"/>
                <w:szCs w:val="24"/>
              </w:rPr>
              <w:t>intestine</w:t>
            </w:r>
            <w:r w:rsidRPr="000749B2">
              <w:rPr>
                <w:rFonts w:ascii="Book Antiqua" w:hAnsi="Book Antiqua"/>
                <w:color w:val="000000" w:themeColor="text1"/>
                <w:sz w:val="24"/>
                <w:szCs w:val="24"/>
              </w:rPr>
              <w:t>; predominantly in the upper small intestine. Tumorigenesis increased by oxidative stress (KBrO</w:t>
            </w:r>
            <w:r w:rsidRPr="000749B2">
              <w:rPr>
                <w:rFonts w:ascii="Book Antiqua" w:hAnsi="Book Antiqua"/>
                <w:color w:val="000000" w:themeColor="text1"/>
                <w:sz w:val="24"/>
                <w:szCs w:val="24"/>
                <w:vertAlign w:val="subscript"/>
              </w:rPr>
              <w:t>3</w:t>
            </w:r>
            <w:r w:rsidRPr="000749B2">
              <w:rPr>
                <w:rFonts w:ascii="Book Antiqua" w:hAnsi="Book Antiqua"/>
                <w:color w:val="000000" w:themeColor="text1"/>
                <w:sz w:val="24"/>
                <w:szCs w:val="24"/>
              </w:rPr>
              <w:t xml:space="preserve">) </w:t>
            </w:r>
          </w:p>
        </w:tc>
      </w:tr>
    </w:tbl>
    <w:p w14:paraId="10809141" w14:textId="77777777" w:rsidR="000A799F" w:rsidRPr="000749B2" w:rsidRDefault="000A799F" w:rsidP="000B4309">
      <w:pPr>
        <w:spacing w:after="0" w:line="360" w:lineRule="auto"/>
        <w:jc w:val="both"/>
        <w:rPr>
          <w:rFonts w:ascii="Book Antiqua" w:hAnsi="Book Antiqua"/>
          <w:color w:val="000000" w:themeColor="text1"/>
          <w:sz w:val="24"/>
          <w:szCs w:val="24"/>
          <w:lang w:eastAsia="zh-CN"/>
        </w:rPr>
      </w:pPr>
    </w:p>
    <w:p w14:paraId="66A5A037"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7B004FCB"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56021B93"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29E8C7C5"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6244A396"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7E449538"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281D7C7B"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0E3D4D2F"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60C6B706"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42684ECD"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36A3DE59"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4795C7EF"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5824003A"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78299A31"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6F0D43EE"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6AF40482"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2E5DE397"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62F0F524"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50F94563"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05E7C29B"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27216D68"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486EF1FE"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6346747D"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20EFC9BC"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2A1B0179" w14:textId="77777777" w:rsidR="00207D8B" w:rsidRPr="000749B2" w:rsidRDefault="00207D8B" w:rsidP="000B4309">
      <w:pPr>
        <w:spacing w:after="0" w:line="360" w:lineRule="auto"/>
        <w:jc w:val="both"/>
        <w:rPr>
          <w:rFonts w:ascii="Book Antiqua" w:hAnsi="Book Antiqua"/>
          <w:color w:val="000000" w:themeColor="text1"/>
          <w:sz w:val="24"/>
          <w:szCs w:val="24"/>
          <w:lang w:eastAsia="zh-CN"/>
        </w:rPr>
      </w:pPr>
    </w:p>
    <w:p w14:paraId="11FE446A" w14:textId="4828331B" w:rsidR="00207D8B" w:rsidRPr="000B4309" w:rsidRDefault="00207D8B" w:rsidP="00207D8B">
      <w:pPr>
        <w:pStyle w:val="21"/>
        <w:spacing w:before="0" w:line="360" w:lineRule="auto"/>
        <w:jc w:val="both"/>
        <w:rPr>
          <w:rFonts w:ascii="Book Antiqua" w:hAnsi="Book Antiqua"/>
          <w:b/>
          <w:bCs/>
          <w:color w:val="000000" w:themeColor="text1"/>
          <w:sz w:val="24"/>
          <w:szCs w:val="24"/>
        </w:rPr>
      </w:pPr>
      <w:r w:rsidRPr="000749B2">
        <w:rPr>
          <w:rFonts w:ascii="Book Antiqua" w:hAnsi="Book Antiqua"/>
          <w:b/>
          <w:bCs/>
          <w:color w:val="000000" w:themeColor="text1"/>
          <w:sz w:val="24"/>
          <w:szCs w:val="24"/>
        </w:rPr>
        <w:t xml:space="preserve">Table </w:t>
      </w:r>
      <w:proofErr w:type="gramStart"/>
      <w:r w:rsidRPr="000749B2">
        <w:rPr>
          <w:rFonts w:ascii="Book Antiqua" w:hAnsi="Book Antiqua" w:hint="eastAsia"/>
          <w:b/>
          <w:bCs/>
          <w:color w:val="000000" w:themeColor="text1"/>
          <w:sz w:val="24"/>
          <w:szCs w:val="24"/>
          <w:lang w:eastAsia="zh-CN"/>
        </w:rPr>
        <w:t xml:space="preserve">2 </w:t>
      </w:r>
      <w:r w:rsidRPr="000749B2">
        <w:rPr>
          <w:rFonts w:ascii="Book Antiqua" w:hAnsi="Book Antiqua"/>
          <w:b/>
          <w:bCs/>
          <w:color w:val="000000" w:themeColor="text1"/>
          <w:sz w:val="24"/>
          <w:szCs w:val="24"/>
        </w:rPr>
        <w:t xml:space="preserve"> Overview</w:t>
      </w:r>
      <w:proofErr w:type="gramEnd"/>
      <w:r w:rsidRPr="000749B2">
        <w:rPr>
          <w:rFonts w:ascii="Book Antiqua" w:hAnsi="Book Antiqua"/>
          <w:b/>
          <w:bCs/>
          <w:color w:val="000000" w:themeColor="text1"/>
          <w:sz w:val="24"/>
          <w:szCs w:val="24"/>
        </w:rPr>
        <w:t xml:space="preserve"> of genetically engineered mouse models</w:t>
      </w:r>
    </w:p>
    <w:p w14:paraId="69144011" w14:textId="77777777" w:rsidR="00207D8B" w:rsidRPr="00207D8B" w:rsidRDefault="00207D8B" w:rsidP="000B4309">
      <w:pPr>
        <w:spacing w:after="0" w:line="360" w:lineRule="auto"/>
        <w:jc w:val="both"/>
        <w:rPr>
          <w:rFonts w:ascii="Book Antiqua" w:hAnsi="Book Antiqua"/>
          <w:color w:val="000000" w:themeColor="text1"/>
          <w:sz w:val="24"/>
          <w:szCs w:val="24"/>
          <w:lang w:eastAsia="zh-CN"/>
        </w:rPr>
      </w:pPr>
    </w:p>
    <w:p w14:paraId="48EAC675" w14:textId="77777777" w:rsidR="00207D8B" w:rsidRPr="00207D8B" w:rsidRDefault="00207D8B" w:rsidP="000B4309">
      <w:pPr>
        <w:spacing w:after="0" w:line="360" w:lineRule="auto"/>
        <w:jc w:val="both"/>
        <w:rPr>
          <w:rFonts w:ascii="Book Antiqua" w:hAnsi="Book Antiqua"/>
          <w:color w:val="000000" w:themeColor="text1"/>
          <w:sz w:val="24"/>
          <w:szCs w:val="24"/>
          <w:lang w:eastAsia="zh-CN"/>
        </w:rPr>
      </w:pPr>
    </w:p>
    <w:p w14:paraId="71CC6120"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48B6F4AC"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2DD5417A"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693DBABD"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0031C133"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0FCD8185"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59EE8370"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2E3549C5"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4D5BCDB4"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55EF42A3"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56DC55A8"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5DCF0431"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69E0B6CC"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6CD198A2"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3FD9679A"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1268563D"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47C12D17"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58EB9768"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611C58A1"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17810F41"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4D32E044"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33D27EA0"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2D508583"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051EADB6"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04FADEA9"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273CAE12"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5DEEB69D"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29E08937"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25FCD734"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6FD89FA8"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6471F1F4"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025C1C80"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22BDFB78"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6D65016F"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56F5042C"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10ADE7C6"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7AA15DF5"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1B9E87B4"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2BC8B612"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4DFD946C"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1433E2CE"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2590BE12"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3CD88C16"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5A82EFC6"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6C355937"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55AC8E76"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57E22BE4" w14:textId="77777777" w:rsidR="00207D8B" w:rsidRDefault="00207D8B" w:rsidP="000B4309">
      <w:pPr>
        <w:spacing w:after="0" w:line="360" w:lineRule="auto"/>
        <w:jc w:val="both"/>
        <w:rPr>
          <w:rFonts w:ascii="Book Antiqua" w:hAnsi="Book Antiqua"/>
          <w:color w:val="000000" w:themeColor="text1"/>
          <w:sz w:val="24"/>
          <w:szCs w:val="24"/>
          <w:lang w:eastAsia="zh-CN"/>
        </w:rPr>
      </w:pPr>
    </w:p>
    <w:p w14:paraId="1ABAC0AB" w14:textId="77777777" w:rsidR="00207D8B" w:rsidRPr="000B4309" w:rsidRDefault="00207D8B" w:rsidP="000B4309">
      <w:pPr>
        <w:spacing w:after="0" w:line="360" w:lineRule="auto"/>
        <w:jc w:val="both"/>
        <w:rPr>
          <w:rFonts w:ascii="Book Antiqua" w:hAnsi="Book Antiqua"/>
          <w:color w:val="000000" w:themeColor="text1"/>
          <w:sz w:val="24"/>
          <w:szCs w:val="24"/>
          <w:lang w:eastAsia="zh-CN"/>
        </w:rPr>
      </w:pPr>
    </w:p>
    <w:sectPr w:rsidR="00207D8B" w:rsidRPr="000B4309" w:rsidSect="00762E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DCCE70" w14:textId="77777777" w:rsidR="007B2020" w:rsidRDefault="007B2020" w:rsidP="00CB43EF">
      <w:pPr>
        <w:spacing w:after="0" w:line="240" w:lineRule="auto"/>
      </w:pPr>
      <w:r>
        <w:separator/>
      </w:r>
    </w:p>
  </w:endnote>
  <w:endnote w:type="continuationSeparator" w:id="0">
    <w:p w14:paraId="351B9774" w14:textId="77777777" w:rsidR="007B2020" w:rsidRDefault="007B2020" w:rsidP="00CB4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charset w:val="00"/>
    <w:family w:val="roman"/>
    <w:pitch w:val="default"/>
    <w:sig w:usb0="00000000" w:usb1="00000000" w:usb2="00000010" w:usb3="00000000" w:csb0="00040001"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ED2D7" w14:textId="77777777" w:rsidR="007B2020" w:rsidRDefault="007B2020" w:rsidP="00CB43EF">
      <w:pPr>
        <w:spacing w:after="0" w:line="240" w:lineRule="auto"/>
      </w:pPr>
      <w:r>
        <w:separator/>
      </w:r>
    </w:p>
  </w:footnote>
  <w:footnote w:type="continuationSeparator" w:id="0">
    <w:p w14:paraId="38CAD5D8" w14:textId="77777777" w:rsidR="007B2020" w:rsidRDefault="007B2020" w:rsidP="00CB43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20C2B4"/>
    <w:lvl w:ilvl="0">
      <w:start w:val="1"/>
      <w:numFmt w:val="decimal"/>
      <w:pStyle w:val="5"/>
      <w:lvlText w:val="%1."/>
      <w:lvlJc w:val="left"/>
      <w:pPr>
        <w:tabs>
          <w:tab w:val="num" w:pos="1492"/>
        </w:tabs>
        <w:ind w:left="1492" w:hanging="360"/>
      </w:pPr>
    </w:lvl>
  </w:abstractNum>
  <w:abstractNum w:abstractNumId="1">
    <w:nsid w:val="FFFFFF7D"/>
    <w:multiLevelType w:val="singleLevel"/>
    <w:tmpl w:val="932C7E0A"/>
    <w:lvl w:ilvl="0">
      <w:start w:val="1"/>
      <w:numFmt w:val="decimal"/>
      <w:pStyle w:val="4"/>
      <w:lvlText w:val="%1."/>
      <w:lvlJc w:val="left"/>
      <w:pPr>
        <w:tabs>
          <w:tab w:val="num" w:pos="1209"/>
        </w:tabs>
        <w:ind w:left="1209" w:hanging="360"/>
      </w:pPr>
    </w:lvl>
  </w:abstractNum>
  <w:abstractNum w:abstractNumId="2">
    <w:nsid w:val="FFFFFF7E"/>
    <w:multiLevelType w:val="singleLevel"/>
    <w:tmpl w:val="C43022EC"/>
    <w:lvl w:ilvl="0">
      <w:start w:val="1"/>
      <w:numFmt w:val="decimal"/>
      <w:pStyle w:val="3"/>
      <w:lvlText w:val="%1."/>
      <w:lvlJc w:val="left"/>
      <w:pPr>
        <w:tabs>
          <w:tab w:val="num" w:pos="926"/>
        </w:tabs>
        <w:ind w:left="926" w:hanging="360"/>
      </w:pPr>
    </w:lvl>
  </w:abstractNum>
  <w:abstractNum w:abstractNumId="3">
    <w:nsid w:val="FFFFFF7F"/>
    <w:multiLevelType w:val="singleLevel"/>
    <w:tmpl w:val="B4128BA2"/>
    <w:lvl w:ilvl="0">
      <w:start w:val="1"/>
      <w:numFmt w:val="decimal"/>
      <w:pStyle w:val="2"/>
      <w:lvlText w:val="%1."/>
      <w:lvlJc w:val="left"/>
      <w:pPr>
        <w:tabs>
          <w:tab w:val="num" w:pos="643"/>
        </w:tabs>
        <w:ind w:left="643" w:hanging="360"/>
      </w:pPr>
    </w:lvl>
  </w:abstractNum>
  <w:abstractNum w:abstractNumId="4">
    <w:nsid w:val="FFFFFF80"/>
    <w:multiLevelType w:val="singleLevel"/>
    <w:tmpl w:val="B81A3160"/>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444A48A6"/>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95EF5B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26944E10"/>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6AE085D6"/>
    <w:lvl w:ilvl="0">
      <w:start w:val="1"/>
      <w:numFmt w:val="decimal"/>
      <w:pStyle w:val="a"/>
      <w:lvlText w:val="%1."/>
      <w:lvlJc w:val="left"/>
      <w:pPr>
        <w:tabs>
          <w:tab w:val="num" w:pos="360"/>
        </w:tabs>
        <w:ind w:left="360" w:hanging="360"/>
      </w:pPr>
    </w:lvl>
  </w:abstractNum>
  <w:abstractNum w:abstractNumId="9">
    <w:nsid w:val="FFFFFF89"/>
    <w:multiLevelType w:val="singleLevel"/>
    <w:tmpl w:val="C20CCE46"/>
    <w:lvl w:ilvl="0">
      <w:start w:val="1"/>
      <w:numFmt w:val="bullet"/>
      <w:pStyle w:val="a0"/>
      <w:lvlText w:val=""/>
      <w:lvlJc w:val="left"/>
      <w:pPr>
        <w:tabs>
          <w:tab w:val="num" w:pos="360"/>
        </w:tabs>
        <w:ind w:left="360" w:hanging="360"/>
      </w:pPr>
      <w:rPr>
        <w:rFonts w:ascii="Symbol" w:hAnsi="Symbol" w:hint="default"/>
      </w:rPr>
    </w:lvl>
  </w:abstractNum>
  <w:abstractNum w:abstractNumId="10">
    <w:nsid w:val="79C559DE"/>
    <w:multiLevelType w:val="hybridMultilevel"/>
    <w:tmpl w:val="C890E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9BF"/>
    <w:rsid w:val="000007C8"/>
    <w:rsid w:val="00002A48"/>
    <w:rsid w:val="00006C8E"/>
    <w:rsid w:val="00007233"/>
    <w:rsid w:val="00007842"/>
    <w:rsid w:val="00015A38"/>
    <w:rsid w:val="0001690E"/>
    <w:rsid w:val="00017302"/>
    <w:rsid w:val="000210E8"/>
    <w:rsid w:val="00023031"/>
    <w:rsid w:val="00031742"/>
    <w:rsid w:val="00033BAC"/>
    <w:rsid w:val="00035230"/>
    <w:rsid w:val="000452B3"/>
    <w:rsid w:val="00053720"/>
    <w:rsid w:val="00055575"/>
    <w:rsid w:val="00066382"/>
    <w:rsid w:val="000749B2"/>
    <w:rsid w:val="00075534"/>
    <w:rsid w:val="0007631F"/>
    <w:rsid w:val="00083549"/>
    <w:rsid w:val="0008618A"/>
    <w:rsid w:val="00087E65"/>
    <w:rsid w:val="00094C74"/>
    <w:rsid w:val="00096AF0"/>
    <w:rsid w:val="00097DC4"/>
    <w:rsid w:val="00097E90"/>
    <w:rsid w:val="000A0BA6"/>
    <w:rsid w:val="000A212B"/>
    <w:rsid w:val="000A7376"/>
    <w:rsid w:val="000A799F"/>
    <w:rsid w:val="000B4309"/>
    <w:rsid w:val="000C611B"/>
    <w:rsid w:val="000D3BA0"/>
    <w:rsid w:val="000D7509"/>
    <w:rsid w:val="000D7DDD"/>
    <w:rsid w:val="000E7006"/>
    <w:rsid w:val="000F00CA"/>
    <w:rsid w:val="0010656B"/>
    <w:rsid w:val="001138AA"/>
    <w:rsid w:val="0011697C"/>
    <w:rsid w:val="00127775"/>
    <w:rsid w:val="00141F95"/>
    <w:rsid w:val="00151AE0"/>
    <w:rsid w:val="001524F4"/>
    <w:rsid w:val="001547FA"/>
    <w:rsid w:val="0015561F"/>
    <w:rsid w:val="001566CE"/>
    <w:rsid w:val="00156864"/>
    <w:rsid w:val="00166A5F"/>
    <w:rsid w:val="001734B0"/>
    <w:rsid w:val="00175C0D"/>
    <w:rsid w:val="00175CD5"/>
    <w:rsid w:val="0017679F"/>
    <w:rsid w:val="00182266"/>
    <w:rsid w:val="001826C4"/>
    <w:rsid w:val="001858DC"/>
    <w:rsid w:val="00192F06"/>
    <w:rsid w:val="001A0041"/>
    <w:rsid w:val="001A1B85"/>
    <w:rsid w:val="001A79BF"/>
    <w:rsid w:val="001B143E"/>
    <w:rsid w:val="001B5A78"/>
    <w:rsid w:val="001B747A"/>
    <w:rsid w:val="001C500D"/>
    <w:rsid w:val="001D52D2"/>
    <w:rsid w:val="001D5807"/>
    <w:rsid w:val="001E5907"/>
    <w:rsid w:val="001F0C24"/>
    <w:rsid w:val="001F19BD"/>
    <w:rsid w:val="001F1E0F"/>
    <w:rsid w:val="001F2075"/>
    <w:rsid w:val="001F5363"/>
    <w:rsid w:val="0020504F"/>
    <w:rsid w:val="00207D6C"/>
    <w:rsid w:val="00207D8B"/>
    <w:rsid w:val="00216E2A"/>
    <w:rsid w:val="002239EE"/>
    <w:rsid w:val="0022556A"/>
    <w:rsid w:val="00230AF7"/>
    <w:rsid w:val="0023320D"/>
    <w:rsid w:val="0024550A"/>
    <w:rsid w:val="00246893"/>
    <w:rsid w:val="002502B4"/>
    <w:rsid w:val="00252893"/>
    <w:rsid w:val="002572D9"/>
    <w:rsid w:val="00261F8C"/>
    <w:rsid w:val="00263316"/>
    <w:rsid w:val="0027112E"/>
    <w:rsid w:val="0027323A"/>
    <w:rsid w:val="00275DDE"/>
    <w:rsid w:val="00282743"/>
    <w:rsid w:val="002864CC"/>
    <w:rsid w:val="002918AC"/>
    <w:rsid w:val="00291A9E"/>
    <w:rsid w:val="002943D0"/>
    <w:rsid w:val="002A0B3E"/>
    <w:rsid w:val="002A5FDB"/>
    <w:rsid w:val="002A61BF"/>
    <w:rsid w:val="002B519C"/>
    <w:rsid w:val="002B63F8"/>
    <w:rsid w:val="002B6CAA"/>
    <w:rsid w:val="002C11EE"/>
    <w:rsid w:val="002C1A7B"/>
    <w:rsid w:val="002C4760"/>
    <w:rsid w:val="002C649E"/>
    <w:rsid w:val="002C6E97"/>
    <w:rsid w:val="002D7C1B"/>
    <w:rsid w:val="002E14EC"/>
    <w:rsid w:val="002E24DA"/>
    <w:rsid w:val="002E32DC"/>
    <w:rsid w:val="002E6EAA"/>
    <w:rsid w:val="002E77ED"/>
    <w:rsid w:val="002F3C42"/>
    <w:rsid w:val="002F52A5"/>
    <w:rsid w:val="00305A4E"/>
    <w:rsid w:val="00313568"/>
    <w:rsid w:val="00320788"/>
    <w:rsid w:val="003318B6"/>
    <w:rsid w:val="00334871"/>
    <w:rsid w:val="00334BAF"/>
    <w:rsid w:val="003427A0"/>
    <w:rsid w:val="003432F0"/>
    <w:rsid w:val="003437B3"/>
    <w:rsid w:val="00353875"/>
    <w:rsid w:val="00353BCC"/>
    <w:rsid w:val="0035796B"/>
    <w:rsid w:val="003647DC"/>
    <w:rsid w:val="00370144"/>
    <w:rsid w:val="00371122"/>
    <w:rsid w:val="0037432C"/>
    <w:rsid w:val="00374A60"/>
    <w:rsid w:val="003757D7"/>
    <w:rsid w:val="00376A72"/>
    <w:rsid w:val="003846E0"/>
    <w:rsid w:val="00387998"/>
    <w:rsid w:val="00387B51"/>
    <w:rsid w:val="003A03C0"/>
    <w:rsid w:val="003A0AF8"/>
    <w:rsid w:val="003A6619"/>
    <w:rsid w:val="003A68CF"/>
    <w:rsid w:val="003A79CD"/>
    <w:rsid w:val="003B1A18"/>
    <w:rsid w:val="003B52EA"/>
    <w:rsid w:val="003C16C9"/>
    <w:rsid w:val="003D78BD"/>
    <w:rsid w:val="003E4C20"/>
    <w:rsid w:val="003F6CB7"/>
    <w:rsid w:val="003F6FE8"/>
    <w:rsid w:val="004077FE"/>
    <w:rsid w:val="004155EE"/>
    <w:rsid w:val="00417632"/>
    <w:rsid w:val="00421A3C"/>
    <w:rsid w:val="0042256A"/>
    <w:rsid w:val="004511EE"/>
    <w:rsid w:val="00453E83"/>
    <w:rsid w:val="00472351"/>
    <w:rsid w:val="00472568"/>
    <w:rsid w:val="0047439B"/>
    <w:rsid w:val="00475A67"/>
    <w:rsid w:val="00481D62"/>
    <w:rsid w:val="0048210D"/>
    <w:rsid w:val="004860FC"/>
    <w:rsid w:val="004864F8"/>
    <w:rsid w:val="0049161B"/>
    <w:rsid w:val="004920C0"/>
    <w:rsid w:val="004B076E"/>
    <w:rsid w:val="004B16DD"/>
    <w:rsid w:val="004C4307"/>
    <w:rsid w:val="004C5F17"/>
    <w:rsid w:val="004D188D"/>
    <w:rsid w:val="004D5749"/>
    <w:rsid w:val="004E601A"/>
    <w:rsid w:val="004F00C6"/>
    <w:rsid w:val="004F157F"/>
    <w:rsid w:val="004F1696"/>
    <w:rsid w:val="004F5C5B"/>
    <w:rsid w:val="004F6A36"/>
    <w:rsid w:val="00502984"/>
    <w:rsid w:val="00504EF7"/>
    <w:rsid w:val="00507C72"/>
    <w:rsid w:val="00514423"/>
    <w:rsid w:val="00527D58"/>
    <w:rsid w:val="00530FC8"/>
    <w:rsid w:val="0053483C"/>
    <w:rsid w:val="0053694E"/>
    <w:rsid w:val="00544721"/>
    <w:rsid w:val="005473F4"/>
    <w:rsid w:val="005613F4"/>
    <w:rsid w:val="00573A11"/>
    <w:rsid w:val="00576450"/>
    <w:rsid w:val="00576543"/>
    <w:rsid w:val="00577224"/>
    <w:rsid w:val="00583332"/>
    <w:rsid w:val="00585A37"/>
    <w:rsid w:val="0059428C"/>
    <w:rsid w:val="005A76ED"/>
    <w:rsid w:val="005B09D4"/>
    <w:rsid w:val="005B5982"/>
    <w:rsid w:val="005B5E5B"/>
    <w:rsid w:val="005B71DC"/>
    <w:rsid w:val="005C13D0"/>
    <w:rsid w:val="005D0FCD"/>
    <w:rsid w:val="005D127D"/>
    <w:rsid w:val="005D17AB"/>
    <w:rsid w:val="005D30AD"/>
    <w:rsid w:val="005D39FE"/>
    <w:rsid w:val="005E1C0A"/>
    <w:rsid w:val="005E4C92"/>
    <w:rsid w:val="005F2554"/>
    <w:rsid w:val="005F67FC"/>
    <w:rsid w:val="006101D7"/>
    <w:rsid w:val="006246F3"/>
    <w:rsid w:val="00626CD4"/>
    <w:rsid w:val="00633742"/>
    <w:rsid w:val="00640007"/>
    <w:rsid w:val="006438B0"/>
    <w:rsid w:val="00644E51"/>
    <w:rsid w:val="00654762"/>
    <w:rsid w:val="006670E7"/>
    <w:rsid w:val="006676C6"/>
    <w:rsid w:val="006706DD"/>
    <w:rsid w:val="00672417"/>
    <w:rsid w:val="00673418"/>
    <w:rsid w:val="00674641"/>
    <w:rsid w:val="00684619"/>
    <w:rsid w:val="0068596A"/>
    <w:rsid w:val="0068618F"/>
    <w:rsid w:val="0069108E"/>
    <w:rsid w:val="006968F5"/>
    <w:rsid w:val="006974D2"/>
    <w:rsid w:val="006D0C66"/>
    <w:rsid w:val="006D3307"/>
    <w:rsid w:val="006F4C09"/>
    <w:rsid w:val="007113CC"/>
    <w:rsid w:val="007172D4"/>
    <w:rsid w:val="00725E77"/>
    <w:rsid w:val="0072672B"/>
    <w:rsid w:val="00730F0F"/>
    <w:rsid w:val="0074062F"/>
    <w:rsid w:val="00740BAA"/>
    <w:rsid w:val="00741F51"/>
    <w:rsid w:val="00743C74"/>
    <w:rsid w:val="00746167"/>
    <w:rsid w:val="00746737"/>
    <w:rsid w:val="007527BC"/>
    <w:rsid w:val="00762E16"/>
    <w:rsid w:val="007657AD"/>
    <w:rsid w:val="00775E76"/>
    <w:rsid w:val="00780907"/>
    <w:rsid w:val="00783F31"/>
    <w:rsid w:val="00793391"/>
    <w:rsid w:val="00796EB7"/>
    <w:rsid w:val="007978C8"/>
    <w:rsid w:val="007A29E4"/>
    <w:rsid w:val="007B1F61"/>
    <w:rsid w:val="007B2020"/>
    <w:rsid w:val="007B45C6"/>
    <w:rsid w:val="007B48CC"/>
    <w:rsid w:val="007B4D64"/>
    <w:rsid w:val="007B5908"/>
    <w:rsid w:val="007C233E"/>
    <w:rsid w:val="007C58AD"/>
    <w:rsid w:val="007D1B64"/>
    <w:rsid w:val="007D20FF"/>
    <w:rsid w:val="007D5DCC"/>
    <w:rsid w:val="007D7A0E"/>
    <w:rsid w:val="007F07F4"/>
    <w:rsid w:val="007F0D26"/>
    <w:rsid w:val="007F1682"/>
    <w:rsid w:val="00801D04"/>
    <w:rsid w:val="008135B0"/>
    <w:rsid w:val="00813B36"/>
    <w:rsid w:val="008154AE"/>
    <w:rsid w:val="00821506"/>
    <w:rsid w:val="008220B9"/>
    <w:rsid w:val="00823C8A"/>
    <w:rsid w:val="008258F0"/>
    <w:rsid w:val="00827EF0"/>
    <w:rsid w:val="00830720"/>
    <w:rsid w:val="008311F6"/>
    <w:rsid w:val="008317AF"/>
    <w:rsid w:val="008353D9"/>
    <w:rsid w:val="00841E6D"/>
    <w:rsid w:val="0085421C"/>
    <w:rsid w:val="00862A49"/>
    <w:rsid w:val="008641CA"/>
    <w:rsid w:val="00866EED"/>
    <w:rsid w:val="00871DAB"/>
    <w:rsid w:val="00871F81"/>
    <w:rsid w:val="0087412A"/>
    <w:rsid w:val="00874F7D"/>
    <w:rsid w:val="00886FCC"/>
    <w:rsid w:val="0089467C"/>
    <w:rsid w:val="00897B90"/>
    <w:rsid w:val="008A7AAA"/>
    <w:rsid w:val="008B34C5"/>
    <w:rsid w:val="008C0043"/>
    <w:rsid w:val="008C3C85"/>
    <w:rsid w:val="008E0C41"/>
    <w:rsid w:val="008E0F74"/>
    <w:rsid w:val="008E21E9"/>
    <w:rsid w:val="008E29A4"/>
    <w:rsid w:val="008E53A4"/>
    <w:rsid w:val="008F3230"/>
    <w:rsid w:val="008F65E1"/>
    <w:rsid w:val="0090022B"/>
    <w:rsid w:val="009167A8"/>
    <w:rsid w:val="0092004B"/>
    <w:rsid w:val="009212D2"/>
    <w:rsid w:val="009307D9"/>
    <w:rsid w:val="0093244F"/>
    <w:rsid w:val="0093457F"/>
    <w:rsid w:val="00935D2B"/>
    <w:rsid w:val="0094042A"/>
    <w:rsid w:val="00940C1F"/>
    <w:rsid w:val="00943241"/>
    <w:rsid w:val="00954B8C"/>
    <w:rsid w:val="00955C09"/>
    <w:rsid w:val="0095679A"/>
    <w:rsid w:val="00960D0B"/>
    <w:rsid w:val="00961632"/>
    <w:rsid w:val="00965F53"/>
    <w:rsid w:val="00966D45"/>
    <w:rsid w:val="00967752"/>
    <w:rsid w:val="00970B9C"/>
    <w:rsid w:val="0098200C"/>
    <w:rsid w:val="00992C6F"/>
    <w:rsid w:val="00993FE1"/>
    <w:rsid w:val="00994023"/>
    <w:rsid w:val="009A0379"/>
    <w:rsid w:val="009A1590"/>
    <w:rsid w:val="009A577A"/>
    <w:rsid w:val="009A5B6A"/>
    <w:rsid w:val="009B69A6"/>
    <w:rsid w:val="009B7D0B"/>
    <w:rsid w:val="009D6FE9"/>
    <w:rsid w:val="009E0B65"/>
    <w:rsid w:val="009E19F0"/>
    <w:rsid w:val="009E2BEC"/>
    <w:rsid w:val="009E7978"/>
    <w:rsid w:val="009F4736"/>
    <w:rsid w:val="009F7598"/>
    <w:rsid w:val="00A01170"/>
    <w:rsid w:val="00A03774"/>
    <w:rsid w:val="00A055C6"/>
    <w:rsid w:val="00A05A99"/>
    <w:rsid w:val="00A07AE2"/>
    <w:rsid w:val="00A10505"/>
    <w:rsid w:val="00A106C5"/>
    <w:rsid w:val="00A16FC1"/>
    <w:rsid w:val="00A20B2F"/>
    <w:rsid w:val="00A262F9"/>
    <w:rsid w:val="00A31FAC"/>
    <w:rsid w:val="00A36429"/>
    <w:rsid w:val="00A37561"/>
    <w:rsid w:val="00A462F1"/>
    <w:rsid w:val="00A56C71"/>
    <w:rsid w:val="00A5737B"/>
    <w:rsid w:val="00A60554"/>
    <w:rsid w:val="00A62C41"/>
    <w:rsid w:val="00A62FDC"/>
    <w:rsid w:val="00A67F10"/>
    <w:rsid w:val="00A72A0C"/>
    <w:rsid w:val="00A77093"/>
    <w:rsid w:val="00A823EA"/>
    <w:rsid w:val="00A82A9E"/>
    <w:rsid w:val="00A83C57"/>
    <w:rsid w:val="00A877E0"/>
    <w:rsid w:val="00AA4C84"/>
    <w:rsid w:val="00AA6F7B"/>
    <w:rsid w:val="00AA78CA"/>
    <w:rsid w:val="00AB6BBE"/>
    <w:rsid w:val="00AD7B12"/>
    <w:rsid w:val="00AD7D11"/>
    <w:rsid w:val="00AE0618"/>
    <w:rsid w:val="00AE58BD"/>
    <w:rsid w:val="00AE59DF"/>
    <w:rsid w:val="00AE6E65"/>
    <w:rsid w:val="00AF7740"/>
    <w:rsid w:val="00B020FE"/>
    <w:rsid w:val="00B1000B"/>
    <w:rsid w:val="00B10DBE"/>
    <w:rsid w:val="00B12F14"/>
    <w:rsid w:val="00B25E37"/>
    <w:rsid w:val="00B269C5"/>
    <w:rsid w:val="00B275EA"/>
    <w:rsid w:val="00B27B7E"/>
    <w:rsid w:val="00B367D3"/>
    <w:rsid w:val="00B456A0"/>
    <w:rsid w:val="00B46191"/>
    <w:rsid w:val="00B56347"/>
    <w:rsid w:val="00B56DC4"/>
    <w:rsid w:val="00B675C8"/>
    <w:rsid w:val="00B74903"/>
    <w:rsid w:val="00B76757"/>
    <w:rsid w:val="00B80B4C"/>
    <w:rsid w:val="00B85F17"/>
    <w:rsid w:val="00B93FBD"/>
    <w:rsid w:val="00BA0BCA"/>
    <w:rsid w:val="00BA5932"/>
    <w:rsid w:val="00BB6329"/>
    <w:rsid w:val="00BB6C4E"/>
    <w:rsid w:val="00BC0E00"/>
    <w:rsid w:val="00BD05D4"/>
    <w:rsid w:val="00BD1EDE"/>
    <w:rsid w:val="00BE696E"/>
    <w:rsid w:val="00BE710B"/>
    <w:rsid w:val="00BF456A"/>
    <w:rsid w:val="00C01E8B"/>
    <w:rsid w:val="00C0342C"/>
    <w:rsid w:val="00C03987"/>
    <w:rsid w:val="00C03C13"/>
    <w:rsid w:val="00C0535B"/>
    <w:rsid w:val="00C1162D"/>
    <w:rsid w:val="00C22892"/>
    <w:rsid w:val="00C27E47"/>
    <w:rsid w:val="00C33BB8"/>
    <w:rsid w:val="00C36933"/>
    <w:rsid w:val="00C42D1B"/>
    <w:rsid w:val="00C4359D"/>
    <w:rsid w:val="00C43E77"/>
    <w:rsid w:val="00C43ED1"/>
    <w:rsid w:val="00C4666C"/>
    <w:rsid w:val="00C648F8"/>
    <w:rsid w:val="00C751D9"/>
    <w:rsid w:val="00C75649"/>
    <w:rsid w:val="00C8456D"/>
    <w:rsid w:val="00C86916"/>
    <w:rsid w:val="00C87F74"/>
    <w:rsid w:val="00C90589"/>
    <w:rsid w:val="00CA2506"/>
    <w:rsid w:val="00CA752C"/>
    <w:rsid w:val="00CB43EF"/>
    <w:rsid w:val="00CB6F82"/>
    <w:rsid w:val="00CC1E42"/>
    <w:rsid w:val="00CC6C07"/>
    <w:rsid w:val="00CE4858"/>
    <w:rsid w:val="00CE591C"/>
    <w:rsid w:val="00CF01EF"/>
    <w:rsid w:val="00D01232"/>
    <w:rsid w:val="00D02C39"/>
    <w:rsid w:val="00D25285"/>
    <w:rsid w:val="00D26179"/>
    <w:rsid w:val="00D31DBE"/>
    <w:rsid w:val="00D33D50"/>
    <w:rsid w:val="00D35842"/>
    <w:rsid w:val="00D41744"/>
    <w:rsid w:val="00D44FA6"/>
    <w:rsid w:val="00D46917"/>
    <w:rsid w:val="00D63981"/>
    <w:rsid w:val="00D64EE8"/>
    <w:rsid w:val="00D71BD1"/>
    <w:rsid w:val="00D727C6"/>
    <w:rsid w:val="00D74D6A"/>
    <w:rsid w:val="00D8007D"/>
    <w:rsid w:val="00D850BE"/>
    <w:rsid w:val="00D955F8"/>
    <w:rsid w:val="00DA1F2E"/>
    <w:rsid w:val="00DA4E9E"/>
    <w:rsid w:val="00DA5FD9"/>
    <w:rsid w:val="00DA7D6F"/>
    <w:rsid w:val="00DB2B96"/>
    <w:rsid w:val="00DB3E44"/>
    <w:rsid w:val="00DD1819"/>
    <w:rsid w:val="00DD4D2B"/>
    <w:rsid w:val="00DD6120"/>
    <w:rsid w:val="00DE53DC"/>
    <w:rsid w:val="00DF0EAA"/>
    <w:rsid w:val="00DF3A3D"/>
    <w:rsid w:val="00E07C0D"/>
    <w:rsid w:val="00E16C68"/>
    <w:rsid w:val="00E22C42"/>
    <w:rsid w:val="00E253B6"/>
    <w:rsid w:val="00E27276"/>
    <w:rsid w:val="00E30BD5"/>
    <w:rsid w:val="00E331C5"/>
    <w:rsid w:val="00E37B13"/>
    <w:rsid w:val="00E37F9F"/>
    <w:rsid w:val="00E42508"/>
    <w:rsid w:val="00E503F7"/>
    <w:rsid w:val="00E52337"/>
    <w:rsid w:val="00E57748"/>
    <w:rsid w:val="00E76F8D"/>
    <w:rsid w:val="00E8060B"/>
    <w:rsid w:val="00E833D8"/>
    <w:rsid w:val="00E86AC6"/>
    <w:rsid w:val="00E908E7"/>
    <w:rsid w:val="00E90FF7"/>
    <w:rsid w:val="00E913C1"/>
    <w:rsid w:val="00EA298E"/>
    <w:rsid w:val="00EB39E5"/>
    <w:rsid w:val="00EB3BF3"/>
    <w:rsid w:val="00EB57B4"/>
    <w:rsid w:val="00EB5C99"/>
    <w:rsid w:val="00EC652B"/>
    <w:rsid w:val="00EC691B"/>
    <w:rsid w:val="00ED7BD7"/>
    <w:rsid w:val="00EE1C23"/>
    <w:rsid w:val="00EE1D22"/>
    <w:rsid w:val="00EF67C9"/>
    <w:rsid w:val="00EF6C1B"/>
    <w:rsid w:val="00F06A95"/>
    <w:rsid w:val="00F12604"/>
    <w:rsid w:val="00F12BCC"/>
    <w:rsid w:val="00F24130"/>
    <w:rsid w:val="00F26F03"/>
    <w:rsid w:val="00F321B5"/>
    <w:rsid w:val="00F32955"/>
    <w:rsid w:val="00F343E8"/>
    <w:rsid w:val="00F36F19"/>
    <w:rsid w:val="00F40487"/>
    <w:rsid w:val="00F408D0"/>
    <w:rsid w:val="00F424D2"/>
    <w:rsid w:val="00F43818"/>
    <w:rsid w:val="00F50458"/>
    <w:rsid w:val="00F543DC"/>
    <w:rsid w:val="00F60A2E"/>
    <w:rsid w:val="00F70C6F"/>
    <w:rsid w:val="00F74A1E"/>
    <w:rsid w:val="00F77764"/>
    <w:rsid w:val="00F812D5"/>
    <w:rsid w:val="00F8248C"/>
    <w:rsid w:val="00F85967"/>
    <w:rsid w:val="00F859AD"/>
    <w:rsid w:val="00F865FC"/>
    <w:rsid w:val="00F875CB"/>
    <w:rsid w:val="00F92778"/>
    <w:rsid w:val="00F9524C"/>
    <w:rsid w:val="00FB6957"/>
    <w:rsid w:val="00FC76DC"/>
    <w:rsid w:val="00FD05F2"/>
    <w:rsid w:val="00FD5205"/>
    <w:rsid w:val="00FF48DC"/>
    <w:rsid w:val="00FF6DD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95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Char"/>
    <w:uiPriority w:val="9"/>
    <w:qFormat/>
    <w:rsid w:val="00CE59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1">
    <w:name w:val="heading 2"/>
    <w:basedOn w:val="a1"/>
    <w:next w:val="a1"/>
    <w:link w:val="2Char"/>
    <w:uiPriority w:val="9"/>
    <w:unhideWhenUsed/>
    <w:qFormat/>
    <w:rsid w:val="00CE59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1"/>
    <w:next w:val="a1"/>
    <w:link w:val="3Char"/>
    <w:uiPriority w:val="9"/>
    <w:unhideWhenUsed/>
    <w:qFormat/>
    <w:rsid w:val="00CE59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1">
    <w:name w:val="heading 4"/>
    <w:basedOn w:val="a1"/>
    <w:next w:val="a1"/>
    <w:link w:val="4Char"/>
    <w:uiPriority w:val="9"/>
    <w:semiHidden/>
    <w:unhideWhenUsed/>
    <w:qFormat/>
    <w:rsid w:val="0006638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1">
    <w:name w:val="heading 5"/>
    <w:basedOn w:val="a1"/>
    <w:next w:val="a1"/>
    <w:link w:val="5Char"/>
    <w:uiPriority w:val="9"/>
    <w:semiHidden/>
    <w:unhideWhenUsed/>
    <w:qFormat/>
    <w:rsid w:val="00066382"/>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Char"/>
    <w:uiPriority w:val="9"/>
    <w:semiHidden/>
    <w:unhideWhenUsed/>
    <w:qFormat/>
    <w:rsid w:val="00066382"/>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1"/>
    <w:next w:val="a1"/>
    <w:link w:val="7Char"/>
    <w:uiPriority w:val="9"/>
    <w:semiHidden/>
    <w:unhideWhenUsed/>
    <w:qFormat/>
    <w:rsid w:val="0006638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Char"/>
    <w:uiPriority w:val="9"/>
    <w:semiHidden/>
    <w:unhideWhenUsed/>
    <w:qFormat/>
    <w:rsid w:val="000663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Char"/>
    <w:uiPriority w:val="9"/>
    <w:semiHidden/>
    <w:unhideWhenUsed/>
    <w:qFormat/>
    <w:rsid w:val="000663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Char"/>
    <w:uiPriority w:val="99"/>
    <w:semiHidden/>
    <w:unhideWhenUsed/>
    <w:rsid w:val="009212D2"/>
    <w:pPr>
      <w:spacing w:after="0" w:line="240" w:lineRule="auto"/>
    </w:pPr>
    <w:rPr>
      <w:rFonts w:ascii="Segoe UI" w:hAnsi="Segoe UI" w:cs="Segoe UI"/>
      <w:sz w:val="18"/>
      <w:szCs w:val="18"/>
    </w:rPr>
  </w:style>
  <w:style w:type="character" w:customStyle="1" w:styleId="Char">
    <w:name w:val="批注框文本 Char"/>
    <w:basedOn w:val="a2"/>
    <w:link w:val="a5"/>
    <w:uiPriority w:val="99"/>
    <w:semiHidden/>
    <w:rsid w:val="009212D2"/>
    <w:rPr>
      <w:rFonts w:ascii="Segoe UI" w:hAnsi="Segoe UI" w:cs="Segoe UI"/>
      <w:sz w:val="18"/>
      <w:szCs w:val="18"/>
    </w:rPr>
  </w:style>
  <w:style w:type="character" w:styleId="a6">
    <w:name w:val="annotation reference"/>
    <w:basedOn w:val="a2"/>
    <w:uiPriority w:val="99"/>
    <w:semiHidden/>
    <w:unhideWhenUsed/>
    <w:rsid w:val="009212D2"/>
    <w:rPr>
      <w:sz w:val="16"/>
      <w:szCs w:val="16"/>
    </w:rPr>
  </w:style>
  <w:style w:type="paragraph" w:customStyle="1" w:styleId="Kommentartext1">
    <w:name w:val="Kommentartext1"/>
    <w:basedOn w:val="a1"/>
    <w:next w:val="a7"/>
    <w:link w:val="KommentartextZchn"/>
    <w:uiPriority w:val="99"/>
    <w:semiHidden/>
    <w:unhideWhenUsed/>
    <w:rsid w:val="009212D2"/>
    <w:pPr>
      <w:spacing w:after="200" w:line="240" w:lineRule="auto"/>
    </w:pPr>
    <w:rPr>
      <w:sz w:val="20"/>
      <w:szCs w:val="20"/>
    </w:rPr>
  </w:style>
  <w:style w:type="character" w:customStyle="1" w:styleId="KommentartextZchn">
    <w:name w:val="Kommentartext Zchn"/>
    <w:basedOn w:val="a2"/>
    <w:link w:val="Kommentartext1"/>
    <w:uiPriority w:val="99"/>
    <w:semiHidden/>
    <w:rsid w:val="009212D2"/>
    <w:rPr>
      <w:sz w:val="20"/>
      <w:szCs w:val="20"/>
    </w:rPr>
  </w:style>
  <w:style w:type="paragraph" w:styleId="a7">
    <w:name w:val="annotation text"/>
    <w:basedOn w:val="a1"/>
    <w:link w:val="Char1"/>
    <w:uiPriority w:val="99"/>
    <w:unhideWhenUsed/>
    <w:rsid w:val="009212D2"/>
    <w:pPr>
      <w:spacing w:line="240" w:lineRule="auto"/>
    </w:pPr>
    <w:rPr>
      <w:sz w:val="20"/>
      <w:szCs w:val="20"/>
    </w:rPr>
  </w:style>
  <w:style w:type="character" w:customStyle="1" w:styleId="Char1">
    <w:name w:val="批注文字 Char1"/>
    <w:basedOn w:val="a2"/>
    <w:link w:val="a7"/>
    <w:uiPriority w:val="99"/>
    <w:rsid w:val="009212D2"/>
    <w:rPr>
      <w:sz w:val="20"/>
      <w:szCs w:val="20"/>
    </w:rPr>
  </w:style>
  <w:style w:type="paragraph" w:styleId="a8">
    <w:name w:val="No Spacing"/>
    <w:uiPriority w:val="1"/>
    <w:qFormat/>
    <w:rsid w:val="00CE591C"/>
    <w:pPr>
      <w:spacing w:after="0" w:line="240" w:lineRule="auto"/>
    </w:pPr>
  </w:style>
  <w:style w:type="character" w:customStyle="1" w:styleId="1Char">
    <w:name w:val="标题 1 Char"/>
    <w:basedOn w:val="a2"/>
    <w:link w:val="1"/>
    <w:uiPriority w:val="9"/>
    <w:rsid w:val="00CE591C"/>
    <w:rPr>
      <w:rFonts w:asciiTheme="majorHAnsi" w:eastAsiaTheme="majorEastAsia" w:hAnsiTheme="majorHAnsi" w:cstheme="majorBidi"/>
      <w:color w:val="2F5496" w:themeColor="accent1" w:themeShade="BF"/>
      <w:sz w:val="32"/>
      <w:szCs w:val="32"/>
    </w:rPr>
  </w:style>
  <w:style w:type="character" w:customStyle="1" w:styleId="2Char">
    <w:name w:val="标题 2 Char"/>
    <w:basedOn w:val="a2"/>
    <w:link w:val="21"/>
    <w:uiPriority w:val="9"/>
    <w:rsid w:val="00CE591C"/>
    <w:rPr>
      <w:rFonts w:asciiTheme="majorHAnsi" w:eastAsiaTheme="majorEastAsia" w:hAnsiTheme="majorHAnsi" w:cstheme="majorBidi"/>
      <w:color w:val="2F5496" w:themeColor="accent1" w:themeShade="BF"/>
      <w:sz w:val="26"/>
      <w:szCs w:val="26"/>
    </w:rPr>
  </w:style>
  <w:style w:type="character" w:customStyle="1" w:styleId="3Char">
    <w:name w:val="标题 3 Char"/>
    <w:basedOn w:val="a2"/>
    <w:link w:val="31"/>
    <w:uiPriority w:val="9"/>
    <w:rsid w:val="00CE591C"/>
    <w:rPr>
      <w:rFonts w:asciiTheme="majorHAnsi" w:eastAsiaTheme="majorEastAsia" w:hAnsiTheme="majorHAnsi" w:cstheme="majorBidi"/>
      <w:color w:val="1F3763" w:themeColor="accent1" w:themeShade="7F"/>
      <w:sz w:val="24"/>
      <w:szCs w:val="24"/>
    </w:rPr>
  </w:style>
  <w:style w:type="character" w:customStyle="1" w:styleId="hscoswrapper">
    <w:name w:val="hs_cos_wrapper"/>
    <w:basedOn w:val="a2"/>
    <w:rsid w:val="00007233"/>
  </w:style>
  <w:style w:type="paragraph" w:styleId="a9">
    <w:name w:val="annotation subject"/>
    <w:basedOn w:val="a7"/>
    <w:next w:val="a7"/>
    <w:link w:val="Char0"/>
    <w:uiPriority w:val="99"/>
    <w:semiHidden/>
    <w:unhideWhenUsed/>
    <w:rsid w:val="00A10505"/>
    <w:rPr>
      <w:b/>
      <w:bCs/>
    </w:rPr>
  </w:style>
  <w:style w:type="character" w:customStyle="1" w:styleId="Char0">
    <w:name w:val="批注主题 Char"/>
    <w:basedOn w:val="Char1"/>
    <w:link w:val="a9"/>
    <w:uiPriority w:val="99"/>
    <w:semiHidden/>
    <w:rsid w:val="00A10505"/>
    <w:rPr>
      <w:b/>
      <w:bCs/>
      <w:sz w:val="20"/>
      <w:szCs w:val="20"/>
    </w:rPr>
  </w:style>
  <w:style w:type="character" w:styleId="aa">
    <w:name w:val="Placeholder Text"/>
    <w:basedOn w:val="a2"/>
    <w:uiPriority w:val="99"/>
    <w:semiHidden/>
    <w:rsid w:val="001A0041"/>
    <w:rPr>
      <w:color w:val="808080"/>
    </w:rPr>
  </w:style>
  <w:style w:type="paragraph" w:customStyle="1" w:styleId="CitaviBibliographyEntry">
    <w:name w:val="Citavi Bibliography Entry"/>
    <w:basedOn w:val="a1"/>
    <w:link w:val="CitaviBibliographyEntryZchn"/>
    <w:rsid w:val="00066382"/>
    <w:pPr>
      <w:tabs>
        <w:tab w:val="left" w:pos="454"/>
      </w:tabs>
      <w:ind w:left="454" w:hanging="454"/>
    </w:pPr>
  </w:style>
  <w:style w:type="character" w:customStyle="1" w:styleId="CitaviBibliographyEntryZchn">
    <w:name w:val="Citavi Bibliography Entry Zchn"/>
    <w:basedOn w:val="a2"/>
    <w:link w:val="CitaviBibliographyEntry"/>
    <w:rsid w:val="00066382"/>
  </w:style>
  <w:style w:type="paragraph" w:customStyle="1" w:styleId="CitaviBibliographyHeading">
    <w:name w:val="Citavi Bibliography Heading"/>
    <w:basedOn w:val="1"/>
    <w:link w:val="CitaviBibliographyHeadingZchn"/>
    <w:rsid w:val="00066382"/>
  </w:style>
  <w:style w:type="character" w:customStyle="1" w:styleId="CitaviBibliographyHeadingZchn">
    <w:name w:val="Citavi Bibliography Heading Zchn"/>
    <w:basedOn w:val="a2"/>
    <w:link w:val="CitaviBibliographyHeading"/>
    <w:rsid w:val="00066382"/>
    <w:rPr>
      <w:rFonts w:asciiTheme="majorHAnsi" w:eastAsiaTheme="majorEastAsia" w:hAnsiTheme="majorHAnsi" w:cstheme="majorBidi"/>
      <w:color w:val="2F5496" w:themeColor="accent1" w:themeShade="BF"/>
      <w:sz w:val="32"/>
      <w:szCs w:val="32"/>
    </w:rPr>
  </w:style>
  <w:style w:type="paragraph" w:customStyle="1" w:styleId="CitaviBibliographySubheading1">
    <w:name w:val="Citavi Bibliography Subheading 1"/>
    <w:basedOn w:val="21"/>
    <w:link w:val="CitaviBibliographySubheading1Zchn"/>
    <w:rsid w:val="00066382"/>
    <w:pPr>
      <w:spacing w:after="200" w:line="276" w:lineRule="auto"/>
      <w:jc w:val="both"/>
      <w:outlineLvl w:val="9"/>
    </w:pPr>
    <w:rPr>
      <w:rFonts w:ascii="Calibri" w:eastAsia="Calibri" w:hAnsi="Calibri" w:cs="Times New Roman"/>
    </w:rPr>
  </w:style>
  <w:style w:type="character" w:customStyle="1" w:styleId="CitaviBibliographySubheading1Zchn">
    <w:name w:val="Citavi Bibliography Subheading 1 Zchn"/>
    <w:basedOn w:val="a2"/>
    <w:link w:val="CitaviBibliographySubheading1"/>
    <w:rsid w:val="00066382"/>
    <w:rPr>
      <w:rFonts w:ascii="Calibri" w:eastAsia="Calibri" w:hAnsi="Calibri" w:cs="Times New Roman"/>
      <w:color w:val="2F5496" w:themeColor="accent1" w:themeShade="BF"/>
      <w:sz w:val="26"/>
      <w:szCs w:val="26"/>
    </w:rPr>
  </w:style>
  <w:style w:type="paragraph" w:customStyle="1" w:styleId="CitaviBibliographySubheading2">
    <w:name w:val="Citavi Bibliography Subheading 2"/>
    <w:basedOn w:val="31"/>
    <w:link w:val="CitaviBibliographySubheading2Zchn"/>
    <w:rsid w:val="00066382"/>
    <w:pPr>
      <w:spacing w:after="200" w:line="276" w:lineRule="auto"/>
      <w:jc w:val="both"/>
      <w:outlineLvl w:val="9"/>
    </w:pPr>
    <w:rPr>
      <w:rFonts w:ascii="Calibri" w:eastAsia="Calibri" w:hAnsi="Calibri" w:cs="Times New Roman"/>
    </w:rPr>
  </w:style>
  <w:style w:type="character" w:customStyle="1" w:styleId="CitaviBibliographySubheading2Zchn">
    <w:name w:val="Citavi Bibliography Subheading 2 Zchn"/>
    <w:basedOn w:val="a2"/>
    <w:link w:val="CitaviBibliographySubheading2"/>
    <w:rsid w:val="00066382"/>
    <w:rPr>
      <w:rFonts w:ascii="Calibri" w:eastAsia="Calibri" w:hAnsi="Calibri" w:cs="Times New Roman"/>
      <w:color w:val="1F3763" w:themeColor="accent1" w:themeShade="7F"/>
      <w:sz w:val="24"/>
      <w:szCs w:val="24"/>
    </w:rPr>
  </w:style>
  <w:style w:type="paragraph" w:customStyle="1" w:styleId="CitaviBibliographySubheading3">
    <w:name w:val="Citavi Bibliography Subheading 3"/>
    <w:basedOn w:val="41"/>
    <w:link w:val="CitaviBibliographySubheading3Zchn"/>
    <w:rsid w:val="00066382"/>
    <w:pPr>
      <w:spacing w:after="200" w:line="276" w:lineRule="auto"/>
      <w:jc w:val="both"/>
      <w:outlineLvl w:val="9"/>
    </w:pPr>
    <w:rPr>
      <w:rFonts w:ascii="Calibri" w:eastAsia="Calibri" w:hAnsi="Calibri" w:cs="Times New Roman"/>
    </w:rPr>
  </w:style>
  <w:style w:type="character" w:customStyle="1" w:styleId="CitaviBibliographySubheading3Zchn">
    <w:name w:val="Citavi Bibliography Subheading 3 Zchn"/>
    <w:basedOn w:val="a2"/>
    <w:link w:val="CitaviBibliographySubheading3"/>
    <w:rsid w:val="00066382"/>
    <w:rPr>
      <w:rFonts w:ascii="Calibri" w:eastAsia="Calibri" w:hAnsi="Calibri" w:cs="Times New Roman"/>
      <w:i/>
      <w:iCs/>
      <w:color w:val="2F5496" w:themeColor="accent1" w:themeShade="BF"/>
    </w:rPr>
  </w:style>
  <w:style w:type="character" w:customStyle="1" w:styleId="4Char">
    <w:name w:val="标题 4 Char"/>
    <w:basedOn w:val="a2"/>
    <w:link w:val="41"/>
    <w:uiPriority w:val="9"/>
    <w:semiHidden/>
    <w:rsid w:val="00066382"/>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51"/>
    <w:link w:val="CitaviBibliographySubheading4Zchn"/>
    <w:rsid w:val="00066382"/>
    <w:pPr>
      <w:spacing w:after="200" w:line="276" w:lineRule="auto"/>
      <w:jc w:val="both"/>
      <w:outlineLvl w:val="9"/>
    </w:pPr>
    <w:rPr>
      <w:rFonts w:ascii="Calibri" w:eastAsia="Calibri" w:hAnsi="Calibri" w:cs="Times New Roman"/>
    </w:rPr>
  </w:style>
  <w:style w:type="character" w:customStyle="1" w:styleId="CitaviBibliographySubheading4Zchn">
    <w:name w:val="Citavi Bibliography Subheading 4 Zchn"/>
    <w:basedOn w:val="a2"/>
    <w:link w:val="CitaviBibliographySubheading4"/>
    <w:rsid w:val="00066382"/>
    <w:rPr>
      <w:rFonts w:ascii="Calibri" w:eastAsia="Calibri" w:hAnsi="Calibri" w:cs="Times New Roman"/>
      <w:color w:val="2F5496" w:themeColor="accent1" w:themeShade="BF"/>
    </w:rPr>
  </w:style>
  <w:style w:type="character" w:customStyle="1" w:styleId="5Char">
    <w:name w:val="标题 5 Char"/>
    <w:basedOn w:val="a2"/>
    <w:link w:val="51"/>
    <w:uiPriority w:val="9"/>
    <w:semiHidden/>
    <w:rsid w:val="00066382"/>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6"/>
    <w:link w:val="CitaviBibliographySubheading5Zchn"/>
    <w:rsid w:val="00066382"/>
    <w:pPr>
      <w:spacing w:after="200" w:line="276" w:lineRule="auto"/>
      <w:jc w:val="both"/>
      <w:outlineLvl w:val="9"/>
    </w:pPr>
    <w:rPr>
      <w:rFonts w:ascii="Calibri" w:eastAsia="Calibri" w:hAnsi="Calibri" w:cs="Times New Roman"/>
    </w:rPr>
  </w:style>
  <w:style w:type="character" w:customStyle="1" w:styleId="CitaviBibliographySubheading5Zchn">
    <w:name w:val="Citavi Bibliography Subheading 5 Zchn"/>
    <w:basedOn w:val="a2"/>
    <w:link w:val="CitaviBibliographySubheading5"/>
    <w:rsid w:val="00066382"/>
    <w:rPr>
      <w:rFonts w:ascii="Calibri" w:eastAsia="Calibri" w:hAnsi="Calibri" w:cs="Times New Roman"/>
      <w:color w:val="1F3763" w:themeColor="accent1" w:themeShade="7F"/>
    </w:rPr>
  </w:style>
  <w:style w:type="character" w:customStyle="1" w:styleId="6Char">
    <w:name w:val="标题 6 Char"/>
    <w:basedOn w:val="a2"/>
    <w:link w:val="6"/>
    <w:uiPriority w:val="9"/>
    <w:semiHidden/>
    <w:rsid w:val="00066382"/>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7"/>
    <w:link w:val="CitaviBibliographySubheading6Zchn"/>
    <w:rsid w:val="00066382"/>
    <w:pPr>
      <w:spacing w:after="200" w:line="276" w:lineRule="auto"/>
      <w:jc w:val="both"/>
      <w:outlineLvl w:val="9"/>
    </w:pPr>
    <w:rPr>
      <w:rFonts w:ascii="Calibri" w:eastAsia="Calibri" w:hAnsi="Calibri" w:cs="Times New Roman"/>
    </w:rPr>
  </w:style>
  <w:style w:type="character" w:customStyle="1" w:styleId="CitaviBibliographySubheading6Zchn">
    <w:name w:val="Citavi Bibliography Subheading 6 Zchn"/>
    <w:basedOn w:val="a2"/>
    <w:link w:val="CitaviBibliographySubheading6"/>
    <w:rsid w:val="00066382"/>
    <w:rPr>
      <w:rFonts w:ascii="Calibri" w:eastAsia="Calibri" w:hAnsi="Calibri" w:cs="Times New Roman"/>
      <w:i/>
      <w:iCs/>
      <w:color w:val="1F3763" w:themeColor="accent1" w:themeShade="7F"/>
    </w:rPr>
  </w:style>
  <w:style w:type="character" w:customStyle="1" w:styleId="7Char">
    <w:name w:val="标题 7 Char"/>
    <w:basedOn w:val="a2"/>
    <w:link w:val="7"/>
    <w:uiPriority w:val="9"/>
    <w:semiHidden/>
    <w:rsid w:val="00066382"/>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8"/>
    <w:link w:val="CitaviBibliographySubheading7Zchn"/>
    <w:rsid w:val="00066382"/>
    <w:pPr>
      <w:spacing w:after="200" w:line="276" w:lineRule="auto"/>
      <w:jc w:val="both"/>
      <w:outlineLvl w:val="9"/>
    </w:pPr>
    <w:rPr>
      <w:rFonts w:ascii="Calibri" w:eastAsia="Calibri" w:hAnsi="Calibri" w:cs="Times New Roman"/>
    </w:rPr>
  </w:style>
  <w:style w:type="character" w:customStyle="1" w:styleId="CitaviBibliographySubheading7Zchn">
    <w:name w:val="Citavi Bibliography Subheading 7 Zchn"/>
    <w:basedOn w:val="a2"/>
    <w:link w:val="CitaviBibliographySubheading7"/>
    <w:rsid w:val="00066382"/>
    <w:rPr>
      <w:rFonts w:ascii="Calibri" w:eastAsia="Calibri" w:hAnsi="Calibri" w:cs="Times New Roman"/>
      <w:color w:val="272727" w:themeColor="text1" w:themeTint="D8"/>
      <w:sz w:val="21"/>
      <w:szCs w:val="21"/>
    </w:rPr>
  </w:style>
  <w:style w:type="character" w:customStyle="1" w:styleId="8Char">
    <w:name w:val="标题 8 Char"/>
    <w:basedOn w:val="a2"/>
    <w:link w:val="8"/>
    <w:uiPriority w:val="9"/>
    <w:semiHidden/>
    <w:rsid w:val="00066382"/>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9"/>
    <w:link w:val="CitaviBibliographySubheading8Zchn"/>
    <w:rsid w:val="00066382"/>
    <w:pPr>
      <w:spacing w:after="200" w:line="276" w:lineRule="auto"/>
      <w:jc w:val="both"/>
      <w:outlineLvl w:val="9"/>
    </w:pPr>
    <w:rPr>
      <w:rFonts w:ascii="Calibri" w:eastAsia="Calibri" w:hAnsi="Calibri" w:cs="Times New Roman"/>
    </w:rPr>
  </w:style>
  <w:style w:type="character" w:customStyle="1" w:styleId="CitaviBibliographySubheading8Zchn">
    <w:name w:val="Citavi Bibliography Subheading 8 Zchn"/>
    <w:basedOn w:val="a2"/>
    <w:link w:val="CitaviBibliographySubheading8"/>
    <w:rsid w:val="00066382"/>
    <w:rPr>
      <w:rFonts w:ascii="Calibri" w:eastAsia="Calibri" w:hAnsi="Calibri" w:cs="Times New Roman"/>
      <w:i/>
      <w:iCs/>
      <w:color w:val="272727" w:themeColor="text1" w:themeTint="D8"/>
      <w:sz w:val="21"/>
      <w:szCs w:val="21"/>
    </w:rPr>
  </w:style>
  <w:style w:type="character" w:customStyle="1" w:styleId="9Char">
    <w:name w:val="标题 9 Char"/>
    <w:basedOn w:val="a2"/>
    <w:link w:val="9"/>
    <w:uiPriority w:val="9"/>
    <w:semiHidden/>
    <w:rsid w:val="00066382"/>
    <w:rPr>
      <w:rFonts w:asciiTheme="majorHAnsi" w:eastAsiaTheme="majorEastAsia" w:hAnsiTheme="majorHAnsi" w:cstheme="majorBidi"/>
      <w:i/>
      <w:iCs/>
      <w:color w:val="272727" w:themeColor="text1" w:themeTint="D8"/>
      <w:sz w:val="21"/>
      <w:szCs w:val="21"/>
    </w:rPr>
  </w:style>
  <w:style w:type="table" w:styleId="ab">
    <w:name w:val="Table Grid"/>
    <w:basedOn w:val="a3"/>
    <w:uiPriority w:val="39"/>
    <w:rsid w:val="00644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1">
    <w:name w:val="Keine Liste1"/>
    <w:next w:val="a4"/>
    <w:uiPriority w:val="99"/>
    <w:semiHidden/>
    <w:unhideWhenUsed/>
    <w:rsid w:val="009307D9"/>
  </w:style>
  <w:style w:type="table" w:customStyle="1" w:styleId="Tabellenraster1">
    <w:name w:val="Tabellenraster1"/>
    <w:basedOn w:val="a3"/>
    <w:next w:val="ab"/>
    <w:uiPriority w:val="39"/>
    <w:rsid w:val="009307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2"/>
    <w:uiPriority w:val="99"/>
    <w:unhideWhenUsed/>
    <w:rsid w:val="00C36933"/>
    <w:rPr>
      <w:color w:val="0563C1" w:themeColor="hyperlink"/>
      <w:u w:val="single"/>
    </w:rPr>
  </w:style>
  <w:style w:type="character" w:customStyle="1" w:styleId="NichtaufgelsteErwhnung1">
    <w:name w:val="Nicht aufgelöste Erwähnung1"/>
    <w:basedOn w:val="a2"/>
    <w:uiPriority w:val="99"/>
    <w:semiHidden/>
    <w:unhideWhenUsed/>
    <w:rsid w:val="00C36933"/>
    <w:rPr>
      <w:color w:val="605E5C"/>
      <w:shd w:val="clear" w:color="auto" w:fill="E1DFDD"/>
    </w:rPr>
  </w:style>
  <w:style w:type="paragraph" w:styleId="ad">
    <w:name w:val="List Paragraph"/>
    <w:basedOn w:val="a1"/>
    <w:uiPriority w:val="34"/>
    <w:qFormat/>
    <w:rsid w:val="00A56C71"/>
    <w:pPr>
      <w:ind w:left="720"/>
      <w:contextualSpacing/>
    </w:pPr>
  </w:style>
  <w:style w:type="character" w:customStyle="1" w:styleId="orcid-id-https">
    <w:name w:val="orcid-id-https"/>
    <w:basedOn w:val="a2"/>
    <w:rsid w:val="003F6FE8"/>
  </w:style>
  <w:style w:type="paragraph" w:styleId="ae">
    <w:name w:val="Revision"/>
    <w:hidden/>
    <w:uiPriority w:val="99"/>
    <w:semiHidden/>
    <w:rsid w:val="00AE59DF"/>
    <w:pPr>
      <w:spacing w:after="0" w:line="240" w:lineRule="auto"/>
    </w:pPr>
  </w:style>
  <w:style w:type="numbering" w:customStyle="1" w:styleId="KeineListe11">
    <w:name w:val="Keine Liste11"/>
    <w:next w:val="a4"/>
    <w:uiPriority w:val="99"/>
    <w:semiHidden/>
    <w:unhideWhenUsed/>
    <w:rsid w:val="00CB43EF"/>
  </w:style>
  <w:style w:type="paragraph" w:styleId="af">
    <w:name w:val="header"/>
    <w:basedOn w:val="a1"/>
    <w:link w:val="Char2"/>
    <w:uiPriority w:val="99"/>
    <w:unhideWhenUsed/>
    <w:rsid w:val="00CB43EF"/>
    <w:pPr>
      <w:tabs>
        <w:tab w:val="center" w:pos="4703"/>
        <w:tab w:val="right" w:pos="9406"/>
      </w:tabs>
      <w:spacing w:after="0" w:line="240" w:lineRule="auto"/>
    </w:pPr>
  </w:style>
  <w:style w:type="character" w:customStyle="1" w:styleId="Char2">
    <w:name w:val="页眉 Char"/>
    <w:basedOn w:val="a2"/>
    <w:link w:val="af"/>
    <w:uiPriority w:val="99"/>
    <w:rsid w:val="00CB43EF"/>
  </w:style>
  <w:style w:type="paragraph" w:styleId="af0">
    <w:name w:val="footer"/>
    <w:basedOn w:val="a1"/>
    <w:link w:val="Char3"/>
    <w:uiPriority w:val="99"/>
    <w:unhideWhenUsed/>
    <w:rsid w:val="00CB43EF"/>
    <w:pPr>
      <w:tabs>
        <w:tab w:val="center" w:pos="4703"/>
        <w:tab w:val="right" w:pos="9406"/>
      </w:tabs>
      <w:spacing w:after="0" w:line="240" w:lineRule="auto"/>
    </w:pPr>
  </w:style>
  <w:style w:type="character" w:customStyle="1" w:styleId="Char3">
    <w:name w:val="页脚 Char"/>
    <w:basedOn w:val="a2"/>
    <w:link w:val="af0"/>
    <w:uiPriority w:val="99"/>
    <w:rsid w:val="00CB43EF"/>
  </w:style>
  <w:style w:type="paragraph" w:styleId="TOC">
    <w:name w:val="TOC Heading"/>
    <w:basedOn w:val="1"/>
    <w:next w:val="a1"/>
    <w:uiPriority w:val="39"/>
    <w:semiHidden/>
    <w:unhideWhenUsed/>
    <w:qFormat/>
    <w:rsid w:val="00E42508"/>
    <w:pPr>
      <w:outlineLvl w:val="9"/>
    </w:pPr>
  </w:style>
  <w:style w:type="paragraph" w:styleId="af1">
    <w:name w:val="Bibliography"/>
    <w:basedOn w:val="a1"/>
    <w:next w:val="a1"/>
    <w:uiPriority w:val="37"/>
    <w:semiHidden/>
    <w:unhideWhenUsed/>
    <w:rsid w:val="00E42508"/>
  </w:style>
  <w:style w:type="character" w:styleId="af2">
    <w:name w:val="Book Title"/>
    <w:basedOn w:val="a2"/>
    <w:uiPriority w:val="33"/>
    <w:qFormat/>
    <w:rsid w:val="00E42508"/>
    <w:rPr>
      <w:b/>
      <w:bCs/>
      <w:i/>
      <w:iCs/>
      <w:spacing w:val="5"/>
    </w:rPr>
  </w:style>
  <w:style w:type="character" w:styleId="af3">
    <w:name w:val="Intense Reference"/>
    <w:basedOn w:val="a2"/>
    <w:uiPriority w:val="32"/>
    <w:qFormat/>
    <w:rsid w:val="00E42508"/>
    <w:rPr>
      <w:b/>
      <w:bCs/>
      <w:smallCaps/>
      <w:color w:val="4472C4" w:themeColor="accent1"/>
      <w:spacing w:val="5"/>
    </w:rPr>
  </w:style>
  <w:style w:type="character" w:styleId="af4">
    <w:name w:val="Subtle Reference"/>
    <w:basedOn w:val="a2"/>
    <w:uiPriority w:val="31"/>
    <w:qFormat/>
    <w:rsid w:val="00E42508"/>
    <w:rPr>
      <w:smallCaps/>
      <w:color w:val="5A5A5A" w:themeColor="text1" w:themeTint="A5"/>
    </w:rPr>
  </w:style>
  <w:style w:type="character" w:styleId="af5">
    <w:name w:val="Intense Emphasis"/>
    <w:basedOn w:val="a2"/>
    <w:uiPriority w:val="21"/>
    <w:qFormat/>
    <w:rsid w:val="00E42508"/>
    <w:rPr>
      <w:i/>
      <w:iCs/>
      <w:color w:val="4472C4" w:themeColor="accent1"/>
    </w:rPr>
  </w:style>
  <w:style w:type="character" w:styleId="af6">
    <w:name w:val="Subtle Emphasis"/>
    <w:basedOn w:val="a2"/>
    <w:uiPriority w:val="19"/>
    <w:qFormat/>
    <w:rsid w:val="00E42508"/>
    <w:rPr>
      <w:i/>
      <w:iCs/>
      <w:color w:val="404040" w:themeColor="text1" w:themeTint="BF"/>
    </w:rPr>
  </w:style>
  <w:style w:type="paragraph" w:styleId="af7">
    <w:name w:val="Intense Quote"/>
    <w:basedOn w:val="a1"/>
    <w:next w:val="a1"/>
    <w:link w:val="Char4"/>
    <w:uiPriority w:val="30"/>
    <w:qFormat/>
    <w:rsid w:val="00E425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4">
    <w:name w:val="明显引用 Char"/>
    <w:basedOn w:val="a2"/>
    <w:link w:val="af7"/>
    <w:uiPriority w:val="30"/>
    <w:rsid w:val="00E42508"/>
    <w:rPr>
      <w:i/>
      <w:iCs/>
      <w:color w:val="4472C4" w:themeColor="accent1"/>
    </w:rPr>
  </w:style>
  <w:style w:type="paragraph" w:styleId="af8">
    <w:name w:val="Quote"/>
    <w:basedOn w:val="a1"/>
    <w:next w:val="a1"/>
    <w:link w:val="Char5"/>
    <w:uiPriority w:val="29"/>
    <w:qFormat/>
    <w:rsid w:val="00E42508"/>
    <w:pPr>
      <w:spacing w:before="200"/>
      <w:ind w:left="864" w:right="864"/>
      <w:jc w:val="center"/>
    </w:pPr>
    <w:rPr>
      <w:i/>
      <w:iCs/>
      <w:color w:val="404040" w:themeColor="text1" w:themeTint="BF"/>
    </w:rPr>
  </w:style>
  <w:style w:type="character" w:customStyle="1" w:styleId="Char5">
    <w:name w:val="引用 Char"/>
    <w:basedOn w:val="a2"/>
    <w:link w:val="af8"/>
    <w:uiPriority w:val="29"/>
    <w:rsid w:val="00E42508"/>
    <w:rPr>
      <w:i/>
      <w:iCs/>
      <w:color w:val="404040" w:themeColor="text1" w:themeTint="BF"/>
    </w:rPr>
  </w:style>
  <w:style w:type="table" w:styleId="1-1">
    <w:name w:val="Medium List 1 Accent 1"/>
    <w:basedOn w:val="a3"/>
    <w:uiPriority w:val="65"/>
    <w:semiHidden/>
    <w:unhideWhenUsed/>
    <w:rsid w:val="00E42508"/>
    <w:pPr>
      <w:spacing w:after="0" w:line="240" w:lineRule="auto"/>
    </w:pPr>
    <w:rPr>
      <w:color w:val="000000" w:themeColor="text1"/>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2-1">
    <w:name w:val="Medium Shading 2 Accent 1"/>
    <w:basedOn w:val="a3"/>
    <w:uiPriority w:val="64"/>
    <w:semiHidden/>
    <w:unhideWhenUsed/>
    <w:rsid w:val="00E4250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0">
    <w:name w:val="Medium Shading 1 Accent 1"/>
    <w:basedOn w:val="a3"/>
    <w:uiPriority w:val="63"/>
    <w:semiHidden/>
    <w:unhideWhenUsed/>
    <w:rsid w:val="00E42508"/>
    <w:pPr>
      <w:spacing w:after="0" w:line="240" w:lineRule="auto"/>
    </w:p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
    <w:name w:val="Light Grid Accent 1"/>
    <w:basedOn w:val="a3"/>
    <w:uiPriority w:val="62"/>
    <w:semiHidden/>
    <w:unhideWhenUsed/>
    <w:rsid w:val="00E42508"/>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10">
    <w:name w:val="Light List Accent 1"/>
    <w:basedOn w:val="a3"/>
    <w:uiPriority w:val="61"/>
    <w:semiHidden/>
    <w:unhideWhenUsed/>
    <w:rsid w:val="00E42508"/>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Light Shading Accent 1"/>
    <w:basedOn w:val="a3"/>
    <w:uiPriority w:val="60"/>
    <w:semiHidden/>
    <w:unhideWhenUsed/>
    <w:rsid w:val="00E42508"/>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af9">
    <w:name w:val="Colorful Grid"/>
    <w:basedOn w:val="a3"/>
    <w:uiPriority w:val="73"/>
    <w:semiHidden/>
    <w:unhideWhenUsed/>
    <w:rsid w:val="00E4250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afa">
    <w:name w:val="Colorful List"/>
    <w:basedOn w:val="a3"/>
    <w:uiPriority w:val="72"/>
    <w:semiHidden/>
    <w:unhideWhenUsed/>
    <w:rsid w:val="00E4250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afb">
    <w:name w:val="Colorful Shading"/>
    <w:basedOn w:val="a3"/>
    <w:uiPriority w:val="71"/>
    <w:semiHidden/>
    <w:unhideWhenUsed/>
    <w:rsid w:val="00E42508"/>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afc">
    <w:name w:val="Dark List"/>
    <w:basedOn w:val="a3"/>
    <w:uiPriority w:val="70"/>
    <w:semiHidden/>
    <w:unhideWhenUsed/>
    <w:rsid w:val="00E4250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32">
    <w:name w:val="Medium Grid 3"/>
    <w:basedOn w:val="a3"/>
    <w:uiPriority w:val="69"/>
    <w:semiHidden/>
    <w:unhideWhenUsed/>
    <w:rsid w:val="00E4250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2">
    <w:name w:val="Medium Grid 2"/>
    <w:basedOn w:val="a3"/>
    <w:uiPriority w:val="68"/>
    <w:semiHidden/>
    <w:unhideWhenUsed/>
    <w:rsid w:val="00E4250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0">
    <w:name w:val="Medium Grid 1"/>
    <w:basedOn w:val="a3"/>
    <w:uiPriority w:val="67"/>
    <w:semiHidden/>
    <w:unhideWhenUsed/>
    <w:rsid w:val="00E4250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3">
    <w:name w:val="Medium List 2"/>
    <w:basedOn w:val="a3"/>
    <w:uiPriority w:val="66"/>
    <w:semiHidden/>
    <w:unhideWhenUsed/>
    <w:rsid w:val="00E4250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Medium List 1"/>
    <w:basedOn w:val="a3"/>
    <w:uiPriority w:val="65"/>
    <w:semiHidden/>
    <w:unhideWhenUsed/>
    <w:rsid w:val="00E4250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4">
    <w:name w:val="Medium Shading 2"/>
    <w:basedOn w:val="a3"/>
    <w:uiPriority w:val="64"/>
    <w:semiHidden/>
    <w:unhideWhenUsed/>
    <w:rsid w:val="00E4250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Shading 1"/>
    <w:basedOn w:val="a3"/>
    <w:uiPriority w:val="63"/>
    <w:semiHidden/>
    <w:unhideWhenUsed/>
    <w:rsid w:val="00E4250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fd">
    <w:name w:val="Light Grid"/>
    <w:basedOn w:val="a3"/>
    <w:uiPriority w:val="62"/>
    <w:semiHidden/>
    <w:unhideWhenUsed/>
    <w:rsid w:val="00E4250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e">
    <w:name w:val="Light List"/>
    <w:basedOn w:val="a3"/>
    <w:uiPriority w:val="61"/>
    <w:semiHidden/>
    <w:unhideWhenUsed/>
    <w:rsid w:val="00E4250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
    <w:name w:val="Light Shading"/>
    <w:basedOn w:val="a3"/>
    <w:uiPriority w:val="60"/>
    <w:semiHidden/>
    <w:unhideWhenUsed/>
    <w:rsid w:val="00E4250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
    <w:name w:val="HTML Variable"/>
    <w:basedOn w:val="a2"/>
    <w:uiPriority w:val="99"/>
    <w:semiHidden/>
    <w:unhideWhenUsed/>
    <w:rsid w:val="00E42508"/>
    <w:rPr>
      <w:i/>
      <w:iCs/>
    </w:rPr>
  </w:style>
  <w:style w:type="character" w:styleId="HTML0">
    <w:name w:val="HTML Typewriter"/>
    <w:basedOn w:val="a2"/>
    <w:uiPriority w:val="99"/>
    <w:semiHidden/>
    <w:unhideWhenUsed/>
    <w:rsid w:val="00E42508"/>
    <w:rPr>
      <w:rFonts w:ascii="Consolas" w:hAnsi="Consolas"/>
      <w:sz w:val="20"/>
      <w:szCs w:val="20"/>
    </w:rPr>
  </w:style>
  <w:style w:type="character" w:styleId="HTML1">
    <w:name w:val="HTML Sample"/>
    <w:basedOn w:val="a2"/>
    <w:uiPriority w:val="99"/>
    <w:semiHidden/>
    <w:unhideWhenUsed/>
    <w:rsid w:val="00E42508"/>
    <w:rPr>
      <w:rFonts w:ascii="Consolas" w:hAnsi="Consolas"/>
      <w:sz w:val="24"/>
      <w:szCs w:val="24"/>
    </w:rPr>
  </w:style>
  <w:style w:type="paragraph" w:styleId="HTML2">
    <w:name w:val="HTML Preformatted"/>
    <w:basedOn w:val="a1"/>
    <w:link w:val="HTMLChar"/>
    <w:uiPriority w:val="99"/>
    <w:semiHidden/>
    <w:unhideWhenUsed/>
    <w:rsid w:val="00E42508"/>
    <w:pPr>
      <w:spacing w:after="0" w:line="240" w:lineRule="auto"/>
    </w:pPr>
    <w:rPr>
      <w:rFonts w:ascii="Consolas" w:hAnsi="Consolas"/>
      <w:sz w:val="20"/>
      <w:szCs w:val="20"/>
    </w:rPr>
  </w:style>
  <w:style w:type="character" w:customStyle="1" w:styleId="HTMLChar">
    <w:name w:val="HTML 预设格式 Char"/>
    <w:basedOn w:val="a2"/>
    <w:link w:val="HTML2"/>
    <w:uiPriority w:val="99"/>
    <w:semiHidden/>
    <w:rsid w:val="00E42508"/>
    <w:rPr>
      <w:rFonts w:ascii="Consolas" w:hAnsi="Consolas"/>
      <w:sz w:val="20"/>
      <w:szCs w:val="20"/>
    </w:rPr>
  </w:style>
  <w:style w:type="character" w:styleId="HTML3">
    <w:name w:val="HTML Keyboard"/>
    <w:basedOn w:val="a2"/>
    <w:uiPriority w:val="99"/>
    <w:semiHidden/>
    <w:unhideWhenUsed/>
    <w:rsid w:val="00E42508"/>
    <w:rPr>
      <w:rFonts w:ascii="Consolas" w:hAnsi="Consolas"/>
      <w:sz w:val="20"/>
      <w:szCs w:val="20"/>
    </w:rPr>
  </w:style>
  <w:style w:type="character" w:styleId="HTML4">
    <w:name w:val="HTML Definition"/>
    <w:basedOn w:val="a2"/>
    <w:uiPriority w:val="99"/>
    <w:semiHidden/>
    <w:unhideWhenUsed/>
    <w:rsid w:val="00E42508"/>
    <w:rPr>
      <w:i/>
      <w:iCs/>
    </w:rPr>
  </w:style>
  <w:style w:type="character" w:styleId="HTML5">
    <w:name w:val="HTML Code"/>
    <w:basedOn w:val="a2"/>
    <w:uiPriority w:val="99"/>
    <w:semiHidden/>
    <w:unhideWhenUsed/>
    <w:rsid w:val="00E42508"/>
    <w:rPr>
      <w:rFonts w:ascii="Consolas" w:hAnsi="Consolas"/>
      <w:sz w:val="20"/>
      <w:szCs w:val="20"/>
    </w:rPr>
  </w:style>
  <w:style w:type="character" w:styleId="HTML6">
    <w:name w:val="HTML Cite"/>
    <w:basedOn w:val="a2"/>
    <w:uiPriority w:val="99"/>
    <w:semiHidden/>
    <w:unhideWhenUsed/>
    <w:rsid w:val="00E42508"/>
    <w:rPr>
      <w:i/>
      <w:iCs/>
    </w:rPr>
  </w:style>
  <w:style w:type="paragraph" w:styleId="HTML7">
    <w:name w:val="HTML Address"/>
    <w:basedOn w:val="a1"/>
    <w:link w:val="HTMLChar0"/>
    <w:uiPriority w:val="99"/>
    <w:semiHidden/>
    <w:unhideWhenUsed/>
    <w:rsid w:val="00E42508"/>
    <w:pPr>
      <w:spacing w:after="0" w:line="240" w:lineRule="auto"/>
    </w:pPr>
    <w:rPr>
      <w:i/>
      <w:iCs/>
    </w:rPr>
  </w:style>
  <w:style w:type="character" w:customStyle="1" w:styleId="HTMLChar0">
    <w:name w:val="HTML 地址 Char"/>
    <w:basedOn w:val="a2"/>
    <w:link w:val="HTML7"/>
    <w:uiPriority w:val="99"/>
    <w:semiHidden/>
    <w:rsid w:val="00E42508"/>
    <w:rPr>
      <w:i/>
      <w:iCs/>
    </w:rPr>
  </w:style>
  <w:style w:type="character" w:styleId="HTML8">
    <w:name w:val="HTML Acronym"/>
    <w:basedOn w:val="a2"/>
    <w:uiPriority w:val="99"/>
    <w:semiHidden/>
    <w:unhideWhenUsed/>
    <w:rsid w:val="00E42508"/>
  </w:style>
  <w:style w:type="paragraph" w:styleId="aff0">
    <w:name w:val="Normal (Web)"/>
    <w:basedOn w:val="a1"/>
    <w:uiPriority w:val="99"/>
    <w:unhideWhenUsed/>
    <w:rsid w:val="00E42508"/>
    <w:rPr>
      <w:rFonts w:ascii="Times New Roman" w:hAnsi="Times New Roman" w:cs="Times New Roman"/>
      <w:sz w:val="24"/>
      <w:szCs w:val="24"/>
    </w:rPr>
  </w:style>
  <w:style w:type="paragraph" w:styleId="aff1">
    <w:name w:val="Plain Text"/>
    <w:basedOn w:val="a1"/>
    <w:link w:val="Char6"/>
    <w:uiPriority w:val="99"/>
    <w:semiHidden/>
    <w:unhideWhenUsed/>
    <w:rsid w:val="00E42508"/>
    <w:pPr>
      <w:spacing w:after="0" w:line="240" w:lineRule="auto"/>
    </w:pPr>
    <w:rPr>
      <w:rFonts w:ascii="Consolas" w:hAnsi="Consolas"/>
      <w:sz w:val="21"/>
      <w:szCs w:val="21"/>
    </w:rPr>
  </w:style>
  <w:style w:type="character" w:customStyle="1" w:styleId="Char6">
    <w:name w:val="纯文本 Char"/>
    <w:basedOn w:val="a2"/>
    <w:link w:val="aff1"/>
    <w:uiPriority w:val="99"/>
    <w:semiHidden/>
    <w:rsid w:val="00E42508"/>
    <w:rPr>
      <w:rFonts w:ascii="Consolas" w:hAnsi="Consolas"/>
      <w:sz w:val="21"/>
      <w:szCs w:val="21"/>
    </w:rPr>
  </w:style>
  <w:style w:type="paragraph" w:styleId="aff2">
    <w:name w:val="Document Map"/>
    <w:basedOn w:val="a1"/>
    <w:link w:val="Char7"/>
    <w:uiPriority w:val="99"/>
    <w:semiHidden/>
    <w:unhideWhenUsed/>
    <w:rsid w:val="00E42508"/>
    <w:pPr>
      <w:spacing w:after="0" w:line="240" w:lineRule="auto"/>
    </w:pPr>
    <w:rPr>
      <w:rFonts w:ascii="Segoe UI" w:hAnsi="Segoe UI" w:cs="Segoe UI"/>
      <w:sz w:val="16"/>
      <w:szCs w:val="16"/>
    </w:rPr>
  </w:style>
  <w:style w:type="character" w:customStyle="1" w:styleId="Char7">
    <w:name w:val="文档结构图 Char"/>
    <w:basedOn w:val="a2"/>
    <w:link w:val="aff2"/>
    <w:uiPriority w:val="99"/>
    <w:semiHidden/>
    <w:rsid w:val="00E42508"/>
    <w:rPr>
      <w:rFonts w:ascii="Segoe UI" w:hAnsi="Segoe UI" w:cs="Segoe UI"/>
      <w:sz w:val="16"/>
      <w:szCs w:val="16"/>
    </w:rPr>
  </w:style>
  <w:style w:type="character" w:styleId="aff3">
    <w:name w:val="Emphasis"/>
    <w:basedOn w:val="a2"/>
    <w:uiPriority w:val="20"/>
    <w:qFormat/>
    <w:rsid w:val="00E42508"/>
    <w:rPr>
      <w:i/>
      <w:iCs/>
    </w:rPr>
  </w:style>
  <w:style w:type="character" w:styleId="aff4">
    <w:name w:val="Strong"/>
    <w:basedOn w:val="a2"/>
    <w:uiPriority w:val="22"/>
    <w:qFormat/>
    <w:rsid w:val="00E42508"/>
    <w:rPr>
      <w:b/>
      <w:bCs/>
    </w:rPr>
  </w:style>
  <w:style w:type="character" w:styleId="aff5">
    <w:name w:val="FollowedHyperlink"/>
    <w:basedOn w:val="a2"/>
    <w:uiPriority w:val="99"/>
    <w:semiHidden/>
    <w:unhideWhenUsed/>
    <w:rsid w:val="00E42508"/>
    <w:rPr>
      <w:color w:val="954F72" w:themeColor="followedHyperlink"/>
      <w:u w:val="single"/>
    </w:rPr>
  </w:style>
  <w:style w:type="paragraph" w:styleId="aff6">
    <w:name w:val="Block Text"/>
    <w:basedOn w:val="a1"/>
    <w:uiPriority w:val="99"/>
    <w:semiHidden/>
    <w:unhideWhenUsed/>
    <w:rsid w:val="00E42508"/>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i/>
      <w:iCs/>
      <w:color w:val="4472C4" w:themeColor="accent1"/>
    </w:rPr>
  </w:style>
  <w:style w:type="paragraph" w:styleId="33">
    <w:name w:val="Body Text Indent 3"/>
    <w:basedOn w:val="a1"/>
    <w:link w:val="3Char0"/>
    <w:uiPriority w:val="99"/>
    <w:semiHidden/>
    <w:unhideWhenUsed/>
    <w:rsid w:val="00E42508"/>
    <w:pPr>
      <w:spacing w:after="120"/>
      <w:ind w:left="283"/>
    </w:pPr>
    <w:rPr>
      <w:sz w:val="16"/>
      <w:szCs w:val="16"/>
    </w:rPr>
  </w:style>
  <w:style w:type="character" w:customStyle="1" w:styleId="3Char0">
    <w:name w:val="正文文本缩进 3 Char"/>
    <w:basedOn w:val="a2"/>
    <w:link w:val="33"/>
    <w:uiPriority w:val="99"/>
    <w:semiHidden/>
    <w:rsid w:val="00E42508"/>
    <w:rPr>
      <w:sz w:val="16"/>
      <w:szCs w:val="16"/>
    </w:rPr>
  </w:style>
  <w:style w:type="paragraph" w:styleId="25">
    <w:name w:val="Body Text Indent 2"/>
    <w:basedOn w:val="a1"/>
    <w:link w:val="2Char0"/>
    <w:uiPriority w:val="99"/>
    <w:semiHidden/>
    <w:unhideWhenUsed/>
    <w:rsid w:val="00E42508"/>
    <w:pPr>
      <w:spacing w:after="120" w:line="480" w:lineRule="auto"/>
      <w:ind w:left="283"/>
    </w:pPr>
  </w:style>
  <w:style w:type="character" w:customStyle="1" w:styleId="2Char0">
    <w:name w:val="正文文本缩进 2 Char"/>
    <w:basedOn w:val="a2"/>
    <w:link w:val="25"/>
    <w:uiPriority w:val="99"/>
    <w:semiHidden/>
    <w:rsid w:val="00E42508"/>
  </w:style>
  <w:style w:type="paragraph" w:styleId="34">
    <w:name w:val="Body Text 3"/>
    <w:basedOn w:val="a1"/>
    <w:link w:val="3Char1"/>
    <w:uiPriority w:val="99"/>
    <w:semiHidden/>
    <w:unhideWhenUsed/>
    <w:rsid w:val="00E42508"/>
    <w:pPr>
      <w:spacing w:after="120"/>
    </w:pPr>
    <w:rPr>
      <w:sz w:val="16"/>
      <w:szCs w:val="16"/>
    </w:rPr>
  </w:style>
  <w:style w:type="character" w:customStyle="1" w:styleId="3Char1">
    <w:name w:val="正文文本 3 Char"/>
    <w:basedOn w:val="a2"/>
    <w:link w:val="34"/>
    <w:uiPriority w:val="99"/>
    <w:semiHidden/>
    <w:rsid w:val="00E42508"/>
    <w:rPr>
      <w:sz w:val="16"/>
      <w:szCs w:val="16"/>
    </w:rPr>
  </w:style>
  <w:style w:type="paragraph" w:styleId="26">
    <w:name w:val="Body Text 2"/>
    <w:basedOn w:val="a1"/>
    <w:link w:val="2Char1"/>
    <w:uiPriority w:val="99"/>
    <w:semiHidden/>
    <w:unhideWhenUsed/>
    <w:rsid w:val="00E42508"/>
    <w:pPr>
      <w:spacing w:after="120" w:line="480" w:lineRule="auto"/>
    </w:pPr>
  </w:style>
  <w:style w:type="character" w:customStyle="1" w:styleId="2Char1">
    <w:name w:val="正文文本 2 Char"/>
    <w:basedOn w:val="a2"/>
    <w:link w:val="26"/>
    <w:uiPriority w:val="99"/>
    <w:semiHidden/>
    <w:rsid w:val="00E42508"/>
  </w:style>
  <w:style w:type="paragraph" w:styleId="aff7">
    <w:name w:val="Note Heading"/>
    <w:basedOn w:val="a1"/>
    <w:next w:val="a1"/>
    <w:link w:val="Char8"/>
    <w:uiPriority w:val="99"/>
    <w:semiHidden/>
    <w:unhideWhenUsed/>
    <w:rsid w:val="00E42508"/>
    <w:pPr>
      <w:spacing w:after="0" w:line="240" w:lineRule="auto"/>
    </w:pPr>
  </w:style>
  <w:style w:type="character" w:customStyle="1" w:styleId="Char8">
    <w:name w:val="注释标题 Char"/>
    <w:basedOn w:val="a2"/>
    <w:link w:val="aff7"/>
    <w:uiPriority w:val="99"/>
    <w:semiHidden/>
    <w:rsid w:val="00E42508"/>
  </w:style>
  <w:style w:type="paragraph" w:styleId="aff8">
    <w:name w:val="Body Text Indent"/>
    <w:basedOn w:val="a1"/>
    <w:link w:val="Char9"/>
    <w:uiPriority w:val="99"/>
    <w:semiHidden/>
    <w:unhideWhenUsed/>
    <w:rsid w:val="00E42508"/>
    <w:pPr>
      <w:spacing w:after="120"/>
      <w:ind w:left="283"/>
    </w:pPr>
  </w:style>
  <w:style w:type="character" w:customStyle="1" w:styleId="Char9">
    <w:name w:val="正文文本缩进 Char"/>
    <w:basedOn w:val="a2"/>
    <w:link w:val="aff8"/>
    <w:uiPriority w:val="99"/>
    <w:semiHidden/>
    <w:rsid w:val="00E42508"/>
  </w:style>
  <w:style w:type="paragraph" w:styleId="27">
    <w:name w:val="Body Text First Indent 2"/>
    <w:basedOn w:val="aff8"/>
    <w:link w:val="2Char2"/>
    <w:uiPriority w:val="99"/>
    <w:semiHidden/>
    <w:unhideWhenUsed/>
    <w:rsid w:val="00E42508"/>
    <w:pPr>
      <w:spacing w:after="160"/>
      <w:ind w:left="360" w:firstLine="360"/>
    </w:pPr>
  </w:style>
  <w:style w:type="character" w:customStyle="1" w:styleId="2Char2">
    <w:name w:val="正文首行缩进 2 Char"/>
    <w:basedOn w:val="Char9"/>
    <w:link w:val="27"/>
    <w:uiPriority w:val="99"/>
    <w:semiHidden/>
    <w:rsid w:val="00E42508"/>
  </w:style>
  <w:style w:type="paragraph" w:styleId="aff9">
    <w:name w:val="Body Text"/>
    <w:basedOn w:val="a1"/>
    <w:link w:val="Chara"/>
    <w:uiPriority w:val="99"/>
    <w:semiHidden/>
    <w:unhideWhenUsed/>
    <w:rsid w:val="00E42508"/>
    <w:pPr>
      <w:spacing w:after="120"/>
    </w:pPr>
  </w:style>
  <w:style w:type="character" w:customStyle="1" w:styleId="Chara">
    <w:name w:val="正文文本 Char"/>
    <w:basedOn w:val="a2"/>
    <w:link w:val="aff9"/>
    <w:uiPriority w:val="99"/>
    <w:semiHidden/>
    <w:rsid w:val="00E42508"/>
  </w:style>
  <w:style w:type="paragraph" w:styleId="affa">
    <w:name w:val="Body Text First Indent"/>
    <w:basedOn w:val="aff9"/>
    <w:link w:val="Charb"/>
    <w:uiPriority w:val="99"/>
    <w:semiHidden/>
    <w:unhideWhenUsed/>
    <w:rsid w:val="00E42508"/>
    <w:pPr>
      <w:spacing w:after="160"/>
      <w:ind w:firstLine="360"/>
    </w:pPr>
  </w:style>
  <w:style w:type="character" w:customStyle="1" w:styleId="Charb">
    <w:name w:val="正文首行缩进 Char"/>
    <w:basedOn w:val="Chara"/>
    <w:link w:val="affa"/>
    <w:uiPriority w:val="99"/>
    <w:semiHidden/>
    <w:rsid w:val="00E42508"/>
  </w:style>
  <w:style w:type="paragraph" w:styleId="affb">
    <w:name w:val="Date"/>
    <w:basedOn w:val="a1"/>
    <w:next w:val="a1"/>
    <w:link w:val="Charc"/>
    <w:uiPriority w:val="99"/>
    <w:semiHidden/>
    <w:unhideWhenUsed/>
    <w:rsid w:val="00E42508"/>
  </w:style>
  <w:style w:type="character" w:customStyle="1" w:styleId="Charc">
    <w:name w:val="日期 Char"/>
    <w:basedOn w:val="a2"/>
    <w:link w:val="affb"/>
    <w:uiPriority w:val="99"/>
    <w:semiHidden/>
    <w:rsid w:val="00E42508"/>
  </w:style>
  <w:style w:type="paragraph" w:styleId="affc">
    <w:name w:val="Salutation"/>
    <w:basedOn w:val="a1"/>
    <w:next w:val="a1"/>
    <w:link w:val="Chard"/>
    <w:uiPriority w:val="99"/>
    <w:semiHidden/>
    <w:unhideWhenUsed/>
    <w:rsid w:val="00E42508"/>
  </w:style>
  <w:style w:type="character" w:customStyle="1" w:styleId="Chard">
    <w:name w:val="称呼 Char"/>
    <w:basedOn w:val="a2"/>
    <w:link w:val="affc"/>
    <w:uiPriority w:val="99"/>
    <w:semiHidden/>
    <w:rsid w:val="00E42508"/>
  </w:style>
  <w:style w:type="paragraph" w:styleId="affd">
    <w:name w:val="Subtitle"/>
    <w:basedOn w:val="a1"/>
    <w:next w:val="a1"/>
    <w:link w:val="Chare"/>
    <w:uiPriority w:val="11"/>
    <w:qFormat/>
    <w:rsid w:val="00E42508"/>
    <w:pPr>
      <w:numPr>
        <w:ilvl w:val="1"/>
      </w:numPr>
    </w:pPr>
    <w:rPr>
      <w:color w:val="5A5A5A" w:themeColor="text1" w:themeTint="A5"/>
      <w:spacing w:val="15"/>
    </w:rPr>
  </w:style>
  <w:style w:type="character" w:customStyle="1" w:styleId="Chare">
    <w:name w:val="副标题 Char"/>
    <w:basedOn w:val="a2"/>
    <w:link w:val="affd"/>
    <w:uiPriority w:val="11"/>
    <w:rsid w:val="00E42508"/>
    <w:rPr>
      <w:rFonts w:eastAsiaTheme="minorEastAsia"/>
      <w:color w:val="5A5A5A" w:themeColor="text1" w:themeTint="A5"/>
      <w:spacing w:val="15"/>
    </w:rPr>
  </w:style>
  <w:style w:type="paragraph" w:styleId="affe">
    <w:name w:val="Message Header"/>
    <w:basedOn w:val="a1"/>
    <w:link w:val="Charf"/>
    <w:uiPriority w:val="99"/>
    <w:semiHidden/>
    <w:unhideWhenUsed/>
    <w:rsid w:val="00E4250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Charf">
    <w:name w:val="信息标题 Char"/>
    <w:basedOn w:val="a2"/>
    <w:link w:val="affe"/>
    <w:uiPriority w:val="99"/>
    <w:semiHidden/>
    <w:rsid w:val="00E42508"/>
    <w:rPr>
      <w:rFonts w:asciiTheme="majorHAnsi" w:eastAsiaTheme="majorEastAsia" w:hAnsiTheme="majorHAnsi" w:cstheme="majorBidi"/>
      <w:sz w:val="24"/>
      <w:szCs w:val="24"/>
      <w:shd w:val="pct20" w:color="auto" w:fill="auto"/>
    </w:rPr>
  </w:style>
  <w:style w:type="paragraph" w:styleId="52">
    <w:name w:val="List Continue 5"/>
    <w:basedOn w:val="a1"/>
    <w:uiPriority w:val="99"/>
    <w:semiHidden/>
    <w:unhideWhenUsed/>
    <w:rsid w:val="00E42508"/>
    <w:pPr>
      <w:spacing w:after="120"/>
      <w:ind w:left="1415"/>
      <w:contextualSpacing/>
    </w:pPr>
  </w:style>
  <w:style w:type="paragraph" w:styleId="42">
    <w:name w:val="List Continue 4"/>
    <w:basedOn w:val="a1"/>
    <w:uiPriority w:val="99"/>
    <w:semiHidden/>
    <w:unhideWhenUsed/>
    <w:rsid w:val="00E42508"/>
    <w:pPr>
      <w:spacing w:after="120"/>
      <w:ind w:left="1132"/>
      <w:contextualSpacing/>
    </w:pPr>
  </w:style>
  <w:style w:type="paragraph" w:styleId="35">
    <w:name w:val="List Continue 3"/>
    <w:basedOn w:val="a1"/>
    <w:uiPriority w:val="99"/>
    <w:semiHidden/>
    <w:unhideWhenUsed/>
    <w:rsid w:val="00E42508"/>
    <w:pPr>
      <w:spacing w:after="120"/>
      <w:ind w:left="849"/>
      <w:contextualSpacing/>
    </w:pPr>
  </w:style>
  <w:style w:type="paragraph" w:styleId="28">
    <w:name w:val="List Continue 2"/>
    <w:basedOn w:val="a1"/>
    <w:uiPriority w:val="99"/>
    <w:semiHidden/>
    <w:unhideWhenUsed/>
    <w:rsid w:val="00E42508"/>
    <w:pPr>
      <w:spacing w:after="120"/>
      <w:ind w:left="566"/>
      <w:contextualSpacing/>
    </w:pPr>
  </w:style>
  <w:style w:type="paragraph" w:styleId="afff">
    <w:name w:val="List Continue"/>
    <w:basedOn w:val="a1"/>
    <w:uiPriority w:val="99"/>
    <w:semiHidden/>
    <w:unhideWhenUsed/>
    <w:rsid w:val="00E42508"/>
    <w:pPr>
      <w:spacing w:after="120"/>
      <w:ind w:left="283"/>
      <w:contextualSpacing/>
    </w:pPr>
  </w:style>
  <w:style w:type="paragraph" w:styleId="afff0">
    <w:name w:val="Signature"/>
    <w:basedOn w:val="a1"/>
    <w:link w:val="Charf0"/>
    <w:uiPriority w:val="99"/>
    <w:semiHidden/>
    <w:unhideWhenUsed/>
    <w:rsid w:val="00E42508"/>
    <w:pPr>
      <w:spacing w:after="0" w:line="240" w:lineRule="auto"/>
      <w:ind w:left="4252"/>
    </w:pPr>
  </w:style>
  <w:style w:type="character" w:customStyle="1" w:styleId="Charf0">
    <w:name w:val="签名 Char"/>
    <w:basedOn w:val="a2"/>
    <w:link w:val="afff0"/>
    <w:uiPriority w:val="99"/>
    <w:semiHidden/>
    <w:rsid w:val="00E42508"/>
  </w:style>
  <w:style w:type="paragraph" w:styleId="afff1">
    <w:name w:val="Closing"/>
    <w:basedOn w:val="a1"/>
    <w:link w:val="Charf1"/>
    <w:uiPriority w:val="99"/>
    <w:semiHidden/>
    <w:unhideWhenUsed/>
    <w:rsid w:val="00E42508"/>
    <w:pPr>
      <w:spacing w:after="0" w:line="240" w:lineRule="auto"/>
      <w:ind w:left="4252"/>
    </w:pPr>
  </w:style>
  <w:style w:type="character" w:customStyle="1" w:styleId="Charf1">
    <w:name w:val="结束语 Char"/>
    <w:basedOn w:val="a2"/>
    <w:link w:val="afff1"/>
    <w:uiPriority w:val="99"/>
    <w:semiHidden/>
    <w:rsid w:val="00E42508"/>
  </w:style>
  <w:style w:type="paragraph" w:styleId="afff2">
    <w:name w:val="Title"/>
    <w:basedOn w:val="a1"/>
    <w:next w:val="a1"/>
    <w:link w:val="Charf2"/>
    <w:uiPriority w:val="10"/>
    <w:qFormat/>
    <w:rsid w:val="00E425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f2">
    <w:name w:val="标题 Char"/>
    <w:basedOn w:val="a2"/>
    <w:link w:val="afff2"/>
    <w:uiPriority w:val="10"/>
    <w:rsid w:val="00E42508"/>
    <w:rPr>
      <w:rFonts w:asciiTheme="majorHAnsi" w:eastAsiaTheme="majorEastAsia" w:hAnsiTheme="majorHAnsi" w:cstheme="majorBidi"/>
      <w:spacing w:val="-10"/>
      <w:kern w:val="28"/>
      <w:sz w:val="56"/>
      <w:szCs w:val="56"/>
    </w:rPr>
  </w:style>
  <w:style w:type="paragraph" w:styleId="5">
    <w:name w:val="List Number 5"/>
    <w:basedOn w:val="a1"/>
    <w:uiPriority w:val="99"/>
    <w:semiHidden/>
    <w:unhideWhenUsed/>
    <w:rsid w:val="00E42508"/>
    <w:pPr>
      <w:numPr>
        <w:numId w:val="2"/>
      </w:numPr>
      <w:contextualSpacing/>
    </w:pPr>
  </w:style>
  <w:style w:type="paragraph" w:styleId="4">
    <w:name w:val="List Number 4"/>
    <w:basedOn w:val="a1"/>
    <w:uiPriority w:val="99"/>
    <w:semiHidden/>
    <w:unhideWhenUsed/>
    <w:rsid w:val="00E42508"/>
    <w:pPr>
      <w:numPr>
        <w:numId w:val="3"/>
      </w:numPr>
      <w:contextualSpacing/>
    </w:pPr>
  </w:style>
  <w:style w:type="paragraph" w:styleId="3">
    <w:name w:val="List Number 3"/>
    <w:basedOn w:val="a1"/>
    <w:uiPriority w:val="99"/>
    <w:semiHidden/>
    <w:unhideWhenUsed/>
    <w:rsid w:val="00E42508"/>
    <w:pPr>
      <w:numPr>
        <w:numId w:val="4"/>
      </w:numPr>
      <w:contextualSpacing/>
    </w:pPr>
  </w:style>
  <w:style w:type="paragraph" w:styleId="2">
    <w:name w:val="List Number 2"/>
    <w:basedOn w:val="a1"/>
    <w:uiPriority w:val="99"/>
    <w:semiHidden/>
    <w:unhideWhenUsed/>
    <w:rsid w:val="00E42508"/>
    <w:pPr>
      <w:numPr>
        <w:numId w:val="5"/>
      </w:numPr>
      <w:contextualSpacing/>
    </w:pPr>
  </w:style>
  <w:style w:type="paragraph" w:styleId="50">
    <w:name w:val="List Bullet 5"/>
    <w:basedOn w:val="a1"/>
    <w:uiPriority w:val="99"/>
    <w:semiHidden/>
    <w:unhideWhenUsed/>
    <w:rsid w:val="00E42508"/>
    <w:pPr>
      <w:numPr>
        <w:numId w:val="6"/>
      </w:numPr>
      <w:contextualSpacing/>
    </w:pPr>
  </w:style>
  <w:style w:type="paragraph" w:styleId="40">
    <w:name w:val="List Bullet 4"/>
    <w:basedOn w:val="a1"/>
    <w:uiPriority w:val="99"/>
    <w:semiHidden/>
    <w:unhideWhenUsed/>
    <w:rsid w:val="00E42508"/>
    <w:pPr>
      <w:numPr>
        <w:numId w:val="7"/>
      </w:numPr>
      <w:contextualSpacing/>
    </w:pPr>
  </w:style>
  <w:style w:type="paragraph" w:styleId="30">
    <w:name w:val="List Bullet 3"/>
    <w:basedOn w:val="a1"/>
    <w:uiPriority w:val="99"/>
    <w:semiHidden/>
    <w:unhideWhenUsed/>
    <w:rsid w:val="00E42508"/>
    <w:pPr>
      <w:numPr>
        <w:numId w:val="8"/>
      </w:numPr>
      <w:contextualSpacing/>
    </w:pPr>
  </w:style>
  <w:style w:type="paragraph" w:styleId="20">
    <w:name w:val="List Bullet 2"/>
    <w:basedOn w:val="a1"/>
    <w:uiPriority w:val="99"/>
    <w:semiHidden/>
    <w:unhideWhenUsed/>
    <w:rsid w:val="00E42508"/>
    <w:pPr>
      <w:numPr>
        <w:numId w:val="9"/>
      </w:numPr>
      <w:contextualSpacing/>
    </w:pPr>
  </w:style>
  <w:style w:type="paragraph" w:styleId="53">
    <w:name w:val="List 5"/>
    <w:basedOn w:val="a1"/>
    <w:uiPriority w:val="99"/>
    <w:semiHidden/>
    <w:unhideWhenUsed/>
    <w:rsid w:val="00E42508"/>
    <w:pPr>
      <w:ind w:left="1415" w:hanging="283"/>
      <w:contextualSpacing/>
    </w:pPr>
  </w:style>
  <w:style w:type="paragraph" w:styleId="43">
    <w:name w:val="List 4"/>
    <w:basedOn w:val="a1"/>
    <w:uiPriority w:val="99"/>
    <w:semiHidden/>
    <w:unhideWhenUsed/>
    <w:rsid w:val="00E42508"/>
    <w:pPr>
      <w:ind w:left="1132" w:hanging="283"/>
      <w:contextualSpacing/>
    </w:pPr>
  </w:style>
  <w:style w:type="paragraph" w:styleId="36">
    <w:name w:val="List 3"/>
    <w:basedOn w:val="a1"/>
    <w:uiPriority w:val="99"/>
    <w:semiHidden/>
    <w:unhideWhenUsed/>
    <w:rsid w:val="00E42508"/>
    <w:pPr>
      <w:ind w:left="849" w:hanging="283"/>
      <w:contextualSpacing/>
    </w:pPr>
  </w:style>
  <w:style w:type="paragraph" w:styleId="29">
    <w:name w:val="List 2"/>
    <w:basedOn w:val="a1"/>
    <w:uiPriority w:val="99"/>
    <w:semiHidden/>
    <w:unhideWhenUsed/>
    <w:rsid w:val="00E42508"/>
    <w:pPr>
      <w:ind w:left="566" w:hanging="283"/>
      <w:contextualSpacing/>
    </w:pPr>
  </w:style>
  <w:style w:type="paragraph" w:styleId="a">
    <w:name w:val="List Number"/>
    <w:basedOn w:val="a1"/>
    <w:uiPriority w:val="99"/>
    <w:semiHidden/>
    <w:unhideWhenUsed/>
    <w:rsid w:val="00E42508"/>
    <w:pPr>
      <w:numPr>
        <w:numId w:val="10"/>
      </w:numPr>
      <w:contextualSpacing/>
    </w:pPr>
  </w:style>
  <w:style w:type="paragraph" w:styleId="a0">
    <w:name w:val="List Bullet"/>
    <w:basedOn w:val="a1"/>
    <w:uiPriority w:val="99"/>
    <w:semiHidden/>
    <w:unhideWhenUsed/>
    <w:rsid w:val="00E42508"/>
    <w:pPr>
      <w:numPr>
        <w:numId w:val="11"/>
      </w:numPr>
      <w:contextualSpacing/>
    </w:pPr>
  </w:style>
  <w:style w:type="paragraph" w:styleId="afff3">
    <w:name w:val="List"/>
    <w:basedOn w:val="a1"/>
    <w:uiPriority w:val="99"/>
    <w:semiHidden/>
    <w:unhideWhenUsed/>
    <w:rsid w:val="00E42508"/>
    <w:pPr>
      <w:ind w:left="283" w:hanging="283"/>
      <w:contextualSpacing/>
    </w:pPr>
  </w:style>
  <w:style w:type="paragraph" w:styleId="afff4">
    <w:name w:val="toa heading"/>
    <w:basedOn w:val="a1"/>
    <w:next w:val="a1"/>
    <w:uiPriority w:val="99"/>
    <w:semiHidden/>
    <w:unhideWhenUsed/>
    <w:rsid w:val="00E42508"/>
    <w:pPr>
      <w:spacing w:before="120"/>
    </w:pPr>
    <w:rPr>
      <w:rFonts w:asciiTheme="majorHAnsi" w:eastAsiaTheme="majorEastAsia" w:hAnsiTheme="majorHAnsi" w:cstheme="majorBidi"/>
      <w:b/>
      <w:bCs/>
      <w:sz w:val="24"/>
      <w:szCs w:val="24"/>
    </w:rPr>
  </w:style>
  <w:style w:type="paragraph" w:styleId="afff5">
    <w:name w:val="macro"/>
    <w:link w:val="Charf3"/>
    <w:uiPriority w:val="99"/>
    <w:semiHidden/>
    <w:unhideWhenUsed/>
    <w:rsid w:val="00E4250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Charf3">
    <w:name w:val="宏文本 Char"/>
    <w:basedOn w:val="a2"/>
    <w:link w:val="afff5"/>
    <w:uiPriority w:val="99"/>
    <w:semiHidden/>
    <w:rsid w:val="00E42508"/>
    <w:rPr>
      <w:rFonts w:ascii="Consolas" w:hAnsi="Consolas"/>
      <w:sz w:val="20"/>
      <w:szCs w:val="20"/>
    </w:rPr>
  </w:style>
  <w:style w:type="paragraph" w:styleId="afff6">
    <w:name w:val="table of authorities"/>
    <w:basedOn w:val="a1"/>
    <w:next w:val="a1"/>
    <w:uiPriority w:val="99"/>
    <w:semiHidden/>
    <w:unhideWhenUsed/>
    <w:rsid w:val="00E42508"/>
    <w:pPr>
      <w:spacing w:after="0"/>
      <w:ind w:left="220" w:hanging="220"/>
    </w:pPr>
  </w:style>
  <w:style w:type="paragraph" w:styleId="afff7">
    <w:name w:val="endnote text"/>
    <w:basedOn w:val="a1"/>
    <w:link w:val="Charf4"/>
    <w:uiPriority w:val="99"/>
    <w:semiHidden/>
    <w:unhideWhenUsed/>
    <w:rsid w:val="00E42508"/>
    <w:pPr>
      <w:spacing w:after="0" w:line="240" w:lineRule="auto"/>
    </w:pPr>
    <w:rPr>
      <w:sz w:val="20"/>
      <w:szCs w:val="20"/>
    </w:rPr>
  </w:style>
  <w:style w:type="character" w:customStyle="1" w:styleId="Charf4">
    <w:name w:val="尾注文本 Char"/>
    <w:basedOn w:val="a2"/>
    <w:link w:val="afff7"/>
    <w:uiPriority w:val="99"/>
    <w:semiHidden/>
    <w:rsid w:val="00E42508"/>
    <w:rPr>
      <w:sz w:val="20"/>
      <w:szCs w:val="20"/>
    </w:rPr>
  </w:style>
  <w:style w:type="character" w:styleId="afff8">
    <w:name w:val="endnote reference"/>
    <w:basedOn w:val="a2"/>
    <w:uiPriority w:val="99"/>
    <w:semiHidden/>
    <w:unhideWhenUsed/>
    <w:rsid w:val="00E42508"/>
    <w:rPr>
      <w:vertAlign w:val="superscript"/>
    </w:rPr>
  </w:style>
  <w:style w:type="character" w:styleId="afff9">
    <w:name w:val="page number"/>
    <w:basedOn w:val="a2"/>
    <w:uiPriority w:val="99"/>
    <w:semiHidden/>
    <w:unhideWhenUsed/>
    <w:rsid w:val="00E42508"/>
  </w:style>
  <w:style w:type="character" w:styleId="afffa">
    <w:name w:val="line number"/>
    <w:basedOn w:val="a2"/>
    <w:uiPriority w:val="99"/>
    <w:semiHidden/>
    <w:unhideWhenUsed/>
    <w:rsid w:val="00E42508"/>
  </w:style>
  <w:style w:type="character" w:styleId="afffb">
    <w:name w:val="footnote reference"/>
    <w:basedOn w:val="a2"/>
    <w:uiPriority w:val="99"/>
    <w:semiHidden/>
    <w:unhideWhenUsed/>
    <w:rsid w:val="00E42508"/>
    <w:rPr>
      <w:vertAlign w:val="superscript"/>
    </w:rPr>
  </w:style>
  <w:style w:type="paragraph" w:styleId="afffc">
    <w:name w:val="envelope return"/>
    <w:basedOn w:val="a1"/>
    <w:uiPriority w:val="99"/>
    <w:semiHidden/>
    <w:unhideWhenUsed/>
    <w:rsid w:val="00E42508"/>
    <w:pPr>
      <w:spacing w:after="0" w:line="240" w:lineRule="auto"/>
    </w:pPr>
    <w:rPr>
      <w:rFonts w:asciiTheme="majorHAnsi" w:eastAsiaTheme="majorEastAsia" w:hAnsiTheme="majorHAnsi" w:cstheme="majorBidi"/>
      <w:sz w:val="20"/>
      <w:szCs w:val="20"/>
    </w:rPr>
  </w:style>
  <w:style w:type="paragraph" w:styleId="afffd">
    <w:name w:val="envelope address"/>
    <w:basedOn w:val="a1"/>
    <w:uiPriority w:val="99"/>
    <w:semiHidden/>
    <w:unhideWhenUsed/>
    <w:rsid w:val="00E4250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fe">
    <w:name w:val="table of figures"/>
    <w:basedOn w:val="a1"/>
    <w:next w:val="a1"/>
    <w:uiPriority w:val="99"/>
    <w:semiHidden/>
    <w:unhideWhenUsed/>
    <w:rsid w:val="00E42508"/>
    <w:pPr>
      <w:spacing w:after="0"/>
    </w:pPr>
  </w:style>
  <w:style w:type="paragraph" w:styleId="affff">
    <w:name w:val="caption"/>
    <w:basedOn w:val="a1"/>
    <w:next w:val="a1"/>
    <w:uiPriority w:val="35"/>
    <w:semiHidden/>
    <w:unhideWhenUsed/>
    <w:qFormat/>
    <w:rsid w:val="00E42508"/>
    <w:pPr>
      <w:spacing w:after="200" w:line="240" w:lineRule="auto"/>
    </w:pPr>
    <w:rPr>
      <w:i/>
      <w:iCs/>
      <w:color w:val="44546A" w:themeColor="text2"/>
      <w:sz w:val="18"/>
      <w:szCs w:val="18"/>
    </w:rPr>
  </w:style>
  <w:style w:type="paragraph" w:styleId="13">
    <w:name w:val="index 1"/>
    <w:basedOn w:val="a1"/>
    <w:next w:val="a1"/>
    <w:autoRedefine/>
    <w:uiPriority w:val="99"/>
    <w:semiHidden/>
    <w:unhideWhenUsed/>
    <w:rsid w:val="00E42508"/>
    <w:pPr>
      <w:spacing w:after="0" w:line="240" w:lineRule="auto"/>
      <w:ind w:left="220" w:hanging="220"/>
    </w:pPr>
  </w:style>
  <w:style w:type="paragraph" w:styleId="affff0">
    <w:name w:val="index heading"/>
    <w:basedOn w:val="a1"/>
    <w:next w:val="13"/>
    <w:uiPriority w:val="99"/>
    <w:semiHidden/>
    <w:unhideWhenUsed/>
    <w:rsid w:val="00E42508"/>
    <w:rPr>
      <w:rFonts w:asciiTheme="majorHAnsi" w:eastAsiaTheme="majorEastAsia" w:hAnsiTheme="majorHAnsi" w:cstheme="majorBidi"/>
      <w:b/>
      <w:bCs/>
    </w:rPr>
  </w:style>
  <w:style w:type="paragraph" w:styleId="affff1">
    <w:name w:val="footnote text"/>
    <w:basedOn w:val="a1"/>
    <w:link w:val="Charf5"/>
    <w:uiPriority w:val="99"/>
    <w:semiHidden/>
    <w:unhideWhenUsed/>
    <w:rsid w:val="00E42508"/>
    <w:pPr>
      <w:spacing w:after="0" w:line="240" w:lineRule="auto"/>
    </w:pPr>
    <w:rPr>
      <w:sz w:val="20"/>
      <w:szCs w:val="20"/>
    </w:rPr>
  </w:style>
  <w:style w:type="character" w:customStyle="1" w:styleId="Charf5">
    <w:name w:val="脚注文本 Char"/>
    <w:basedOn w:val="a2"/>
    <w:link w:val="affff1"/>
    <w:uiPriority w:val="99"/>
    <w:semiHidden/>
    <w:rsid w:val="00E42508"/>
    <w:rPr>
      <w:sz w:val="20"/>
      <w:szCs w:val="20"/>
    </w:rPr>
  </w:style>
  <w:style w:type="paragraph" w:styleId="affff2">
    <w:name w:val="Normal Indent"/>
    <w:basedOn w:val="a1"/>
    <w:uiPriority w:val="99"/>
    <w:semiHidden/>
    <w:unhideWhenUsed/>
    <w:rsid w:val="00E42508"/>
    <w:pPr>
      <w:ind w:left="720"/>
    </w:pPr>
  </w:style>
  <w:style w:type="paragraph" w:styleId="90">
    <w:name w:val="toc 9"/>
    <w:basedOn w:val="a1"/>
    <w:next w:val="a1"/>
    <w:autoRedefine/>
    <w:uiPriority w:val="39"/>
    <w:semiHidden/>
    <w:unhideWhenUsed/>
    <w:rsid w:val="00E42508"/>
    <w:pPr>
      <w:spacing w:after="100"/>
      <w:ind w:left="1760"/>
    </w:pPr>
  </w:style>
  <w:style w:type="paragraph" w:styleId="80">
    <w:name w:val="toc 8"/>
    <w:basedOn w:val="a1"/>
    <w:next w:val="a1"/>
    <w:autoRedefine/>
    <w:uiPriority w:val="39"/>
    <w:semiHidden/>
    <w:unhideWhenUsed/>
    <w:rsid w:val="00E42508"/>
    <w:pPr>
      <w:spacing w:after="100"/>
      <w:ind w:left="1540"/>
    </w:pPr>
  </w:style>
  <w:style w:type="paragraph" w:styleId="70">
    <w:name w:val="toc 7"/>
    <w:basedOn w:val="a1"/>
    <w:next w:val="a1"/>
    <w:autoRedefine/>
    <w:uiPriority w:val="39"/>
    <w:semiHidden/>
    <w:unhideWhenUsed/>
    <w:rsid w:val="00E42508"/>
    <w:pPr>
      <w:spacing w:after="100"/>
      <w:ind w:left="1320"/>
    </w:pPr>
  </w:style>
  <w:style w:type="paragraph" w:styleId="60">
    <w:name w:val="toc 6"/>
    <w:basedOn w:val="a1"/>
    <w:next w:val="a1"/>
    <w:autoRedefine/>
    <w:uiPriority w:val="39"/>
    <w:semiHidden/>
    <w:unhideWhenUsed/>
    <w:rsid w:val="00E42508"/>
    <w:pPr>
      <w:spacing w:after="100"/>
      <w:ind w:left="1100"/>
    </w:pPr>
  </w:style>
  <w:style w:type="paragraph" w:styleId="54">
    <w:name w:val="toc 5"/>
    <w:basedOn w:val="a1"/>
    <w:next w:val="a1"/>
    <w:autoRedefine/>
    <w:uiPriority w:val="39"/>
    <w:semiHidden/>
    <w:unhideWhenUsed/>
    <w:rsid w:val="00E42508"/>
    <w:pPr>
      <w:spacing w:after="100"/>
      <w:ind w:left="880"/>
    </w:pPr>
  </w:style>
  <w:style w:type="paragraph" w:styleId="44">
    <w:name w:val="toc 4"/>
    <w:basedOn w:val="a1"/>
    <w:next w:val="a1"/>
    <w:autoRedefine/>
    <w:uiPriority w:val="39"/>
    <w:semiHidden/>
    <w:unhideWhenUsed/>
    <w:rsid w:val="00E42508"/>
    <w:pPr>
      <w:spacing w:after="100"/>
      <w:ind w:left="660"/>
    </w:pPr>
  </w:style>
  <w:style w:type="paragraph" w:styleId="37">
    <w:name w:val="toc 3"/>
    <w:basedOn w:val="a1"/>
    <w:next w:val="a1"/>
    <w:autoRedefine/>
    <w:uiPriority w:val="39"/>
    <w:semiHidden/>
    <w:unhideWhenUsed/>
    <w:rsid w:val="00E42508"/>
    <w:pPr>
      <w:spacing w:after="100"/>
      <w:ind w:left="440"/>
    </w:pPr>
  </w:style>
  <w:style w:type="paragraph" w:styleId="2a">
    <w:name w:val="toc 2"/>
    <w:basedOn w:val="a1"/>
    <w:next w:val="a1"/>
    <w:autoRedefine/>
    <w:uiPriority w:val="39"/>
    <w:semiHidden/>
    <w:unhideWhenUsed/>
    <w:rsid w:val="00E42508"/>
    <w:pPr>
      <w:spacing w:after="100"/>
      <w:ind w:left="220"/>
    </w:pPr>
  </w:style>
  <w:style w:type="paragraph" w:styleId="14">
    <w:name w:val="toc 1"/>
    <w:basedOn w:val="a1"/>
    <w:next w:val="a1"/>
    <w:autoRedefine/>
    <w:uiPriority w:val="39"/>
    <w:semiHidden/>
    <w:unhideWhenUsed/>
    <w:rsid w:val="00E42508"/>
    <w:pPr>
      <w:spacing w:after="100"/>
    </w:pPr>
  </w:style>
  <w:style w:type="paragraph" w:styleId="91">
    <w:name w:val="index 9"/>
    <w:basedOn w:val="a1"/>
    <w:next w:val="a1"/>
    <w:autoRedefine/>
    <w:uiPriority w:val="99"/>
    <w:semiHidden/>
    <w:unhideWhenUsed/>
    <w:rsid w:val="00E42508"/>
    <w:pPr>
      <w:spacing w:after="0" w:line="240" w:lineRule="auto"/>
      <w:ind w:left="1980" w:hanging="220"/>
    </w:pPr>
  </w:style>
  <w:style w:type="paragraph" w:styleId="81">
    <w:name w:val="index 8"/>
    <w:basedOn w:val="a1"/>
    <w:next w:val="a1"/>
    <w:autoRedefine/>
    <w:uiPriority w:val="99"/>
    <w:semiHidden/>
    <w:unhideWhenUsed/>
    <w:rsid w:val="00E42508"/>
    <w:pPr>
      <w:spacing w:after="0" w:line="240" w:lineRule="auto"/>
      <w:ind w:left="1760" w:hanging="220"/>
    </w:pPr>
  </w:style>
  <w:style w:type="paragraph" w:styleId="71">
    <w:name w:val="index 7"/>
    <w:basedOn w:val="a1"/>
    <w:next w:val="a1"/>
    <w:autoRedefine/>
    <w:uiPriority w:val="99"/>
    <w:semiHidden/>
    <w:unhideWhenUsed/>
    <w:rsid w:val="00E42508"/>
    <w:pPr>
      <w:spacing w:after="0" w:line="240" w:lineRule="auto"/>
      <w:ind w:left="1540" w:hanging="220"/>
    </w:pPr>
  </w:style>
  <w:style w:type="paragraph" w:styleId="61">
    <w:name w:val="index 6"/>
    <w:basedOn w:val="a1"/>
    <w:next w:val="a1"/>
    <w:autoRedefine/>
    <w:uiPriority w:val="99"/>
    <w:semiHidden/>
    <w:unhideWhenUsed/>
    <w:rsid w:val="00E42508"/>
    <w:pPr>
      <w:spacing w:after="0" w:line="240" w:lineRule="auto"/>
      <w:ind w:left="1320" w:hanging="220"/>
    </w:pPr>
  </w:style>
  <w:style w:type="paragraph" w:styleId="55">
    <w:name w:val="index 5"/>
    <w:basedOn w:val="a1"/>
    <w:next w:val="a1"/>
    <w:autoRedefine/>
    <w:uiPriority w:val="99"/>
    <w:semiHidden/>
    <w:unhideWhenUsed/>
    <w:rsid w:val="00E42508"/>
    <w:pPr>
      <w:spacing w:after="0" w:line="240" w:lineRule="auto"/>
      <w:ind w:left="1100" w:hanging="220"/>
    </w:pPr>
  </w:style>
  <w:style w:type="paragraph" w:styleId="45">
    <w:name w:val="index 4"/>
    <w:basedOn w:val="a1"/>
    <w:next w:val="a1"/>
    <w:autoRedefine/>
    <w:uiPriority w:val="99"/>
    <w:semiHidden/>
    <w:unhideWhenUsed/>
    <w:rsid w:val="00E42508"/>
    <w:pPr>
      <w:spacing w:after="0" w:line="240" w:lineRule="auto"/>
      <w:ind w:left="880" w:hanging="220"/>
    </w:pPr>
  </w:style>
  <w:style w:type="paragraph" w:styleId="38">
    <w:name w:val="index 3"/>
    <w:basedOn w:val="a1"/>
    <w:next w:val="a1"/>
    <w:autoRedefine/>
    <w:uiPriority w:val="99"/>
    <w:semiHidden/>
    <w:unhideWhenUsed/>
    <w:rsid w:val="00E42508"/>
    <w:pPr>
      <w:spacing w:after="0" w:line="240" w:lineRule="auto"/>
      <w:ind w:left="660" w:hanging="220"/>
    </w:pPr>
  </w:style>
  <w:style w:type="paragraph" w:styleId="2b">
    <w:name w:val="index 2"/>
    <w:basedOn w:val="a1"/>
    <w:next w:val="a1"/>
    <w:autoRedefine/>
    <w:uiPriority w:val="99"/>
    <w:semiHidden/>
    <w:unhideWhenUsed/>
    <w:rsid w:val="00E42508"/>
    <w:pPr>
      <w:spacing w:after="0" w:line="240" w:lineRule="auto"/>
      <w:ind w:left="440" w:hanging="220"/>
    </w:pPr>
  </w:style>
  <w:style w:type="character" w:customStyle="1" w:styleId="Charf6">
    <w:name w:val="批注文字 Char"/>
    <w:semiHidden/>
    <w:rsid w:val="00AE58BD"/>
    <w:rPr>
      <w:rFonts w:ascii="Calibri" w:eastAsia="Calibri" w:hAnsi="Calibri" w:cs="Calibri"/>
      <w:sz w:val="22"/>
      <w:szCs w:val="22"/>
      <w:lang w:val="en-US" w:eastAsia="ar-SA"/>
    </w:rPr>
  </w:style>
  <w:style w:type="paragraph" w:customStyle="1" w:styleId="p1">
    <w:name w:val="p1"/>
    <w:basedOn w:val="a1"/>
    <w:rsid w:val="00AE58BD"/>
    <w:pPr>
      <w:spacing w:after="0" w:line="240" w:lineRule="auto"/>
    </w:pPr>
    <w:rPr>
      <w:rFonts w:ascii="Helvetica" w:hAnsi="Helvetica" w:cs="Times New Roman"/>
      <w:sz w:val="18"/>
      <w:szCs w:val="18"/>
      <w:lang w:eastAsia="zh-CN"/>
    </w:rPr>
  </w:style>
  <w:style w:type="character" w:customStyle="1" w:styleId="fontstyle01">
    <w:name w:val="fontstyle01"/>
    <w:basedOn w:val="a2"/>
    <w:rsid w:val="009F4736"/>
  </w:style>
  <w:style w:type="character" w:customStyle="1" w:styleId="normaltextrun">
    <w:name w:val="normaltextrun"/>
    <w:rsid w:val="00DD1819"/>
  </w:style>
  <w:style w:type="paragraph" w:customStyle="1" w:styleId="paragraph">
    <w:name w:val="paragraph"/>
    <w:basedOn w:val="a1"/>
    <w:rsid w:val="00DD1819"/>
    <w:pPr>
      <w:spacing w:before="100" w:beforeAutospacing="1" w:after="100" w:afterAutospacing="1" w:line="240" w:lineRule="auto"/>
    </w:pPr>
    <w:rPr>
      <w:rFonts w:ascii="Times New Roman" w:eastAsia="宋体"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Char"/>
    <w:uiPriority w:val="9"/>
    <w:qFormat/>
    <w:rsid w:val="00CE59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1">
    <w:name w:val="heading 2"/>
    <w:basedOn w:val="a1"/>
    <w:next w:val="a1"/>
    <w:link w:val="2Char"/>
    <w:uiPriority w:val="9"/>
    <w:unhideWhenUsed/>
    <w:qFormat/>
    <w:rsid w:val="00CE59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1"/>
    <w:next w:val="a1"/>
    <w:link w:val="3Char"/>
    <w:uiPriority w:val="9"/>
    <w:unhideWhenUsed/>
    <w:qFormat/>
    <w:rsid w:val="00CE59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1">
    <w:name w:val="heading 4"/>
    <w:basedOn w:val="a1"/>
    <w:next w:val="a1"/>
    <w:link w:val="4Char"/>
    <w:uiPriority w:val="9"/>
    <w:semiHidden/>
    <w:unhideWhenUsed/>
    <w:qFormat/>
    <w:rsid w:val="0006638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1">
    <w:name w:val="heading 5"/>
    <w:basedOn w:val="a1"/>
    <w:next w:val="a1"/>
    <w:link w:val="5Char"/>
    <w:uiPriority w:val="9"/>
    <w:semiHidden/>
    <w:unhideWhenUsed/>
    <w:qFormat/>
    <w:rsid w:val="00066382"/>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Char"/>
    <w:uiPriority w:val="9"/>
    <w:semiHidden/>
    <w:unhideWhenUsed/>
    <w:qFormat/>
    <w:rsid w:val="00066382"/>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1"/>
    <w:next w:val="a1"/>
    <w:link w:val="7Char"/>
    <w:uiPriority w:val="9"/>
    <w:semiHidden/>
    <w:unhideWhenUsed/>
    <w:qFormat/>
    <w:rsid w:val="0006638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Char"/>
    <w:uiPriority w:val="9"/>
    <w:semiHidden/>
    <w:unhideWhenUsed/>
    <w:qFormat/>
    <w:rsid w:val="000663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Char"/>
    <w:uiPriority w:val="9"/>
    <w:semiHidden/>
    <w:unhideWhenUsed/>
    <w:qFormat/>
    <w:rsid w:val="000663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Char"/>
    <w:uiPriority w:val="99"/>
    <w:semiHidden/>
    <w:unhideWhenUsed/>
    <w:rsid w:val="009212D2"/>
    <w:pPr>
      <w:spacing w:after="0" w:line="240" w:lineRule="auto"/>
    </w:pPr>
    <w:rPr>
      <w:rFonts w:ascii="Segoe UI" w:hAnsi="Segoe UI" w:cs="Segoe UI"/>
      <w:sz w:val="18"/>
      <w:szCs w:val="18"/>
    </w:rPr>
  </w:style>
  <w:style w:type="character" w:customStyle="1" w:styleId="Char">
    <w:name w:val="批注框文本 Char"/>
    <w:basedOn w:val="a2"/>
    <w:link w:val="a5"/>
    <w:uiPriority w:val="99"/>
    <w:semiHidden/>
    <w:rsid w:val="009212D2"/>
    <w:rPr>
      <w:rFonts w:ascii="Segoe UI" w:hAnsi="Segoe UI" w:cs="Segoe UI"/>
      <w:sz w:val="18"/>
      <w:szCs w:val="18"/>
    </w:rPr>
  </w:style>
  <w:style w:type="character" w:styleId="a6">
    <w:name w:val="annotation reference"/>
    <w:basedOn w:val="a2"/>
    <w:uiPriority w:val="99"/>
    <w:semiHidden/>
    <w:unhideWhenUsed/>
    <w:rsid w:val="009212D2"/>
    <w:rPr>
      <w:sz w:val="16"/>
      <w:szCs w:val="16"/>
    </w:rPr>
  </w:style>
  <w:style w:type="paragraph" w:customStyle="1" w:styleId="Kommentartext1">
    <w:name w:val="Kommentartext1"/>
    <w:basedOn w:val="a1"/>
    <w:next w:val="a7"/>
    <w:link w:val="KommentartextZchn"/>
    <w:uiPriority w:val="99"/>
    <w:semiHidden/>
    <w:unhideWhenUsed/>
    <w:rsid w:val="009212D2"/>
    <w:pPr>
      <w:spacing w:after="200" w:line="240" w:lineRule="auto"/>
    </w:pPr>
    <w:rPr>
      <w:sz w:val="20"/>
      <w:szCs w:val="20"/>
    </w:rPr>
  </w:style>
  <w:style w:type="character" w:customStyle="1" w:styleId="KommentartextZchn">
    <w:name w:val="Kommentartext Zchn"/>
    <w:basedOn w:val="a2"/>
    <w:link w:val="Kommentartext1"/>
    <w:uiPriority w:val="99"/>
    <w:semiHidden/>
    <w:rsid w:val="009212D2"/>
    <w:rPr>
      <w:sz w:val="20"/>
      <w:szCs w:val="20"/>
    </w:rPr>
  </w:style>
  <w:style w:type="paragraph" w:styleId="a7">
    <w:name w:val="annotation text"/>
    <w:basedOn w:val="a1"/>
    <w:link w:val="Char1"/>
    <w:uiPriority w:val="99"/>
    <w:unhideWhenUsed/>
    <w:rsid w:val="009212D2"/>
    <w:pPr>
      <w:spacing w:line="240" w:lineRule="auto"/>
    </w:pPr>
    <w:rPr>
      <w:sz w:val="20"/>
      <w:szCs w:val="20"/>
    </w:rPr>
  </w:style>
  <w:style w:type="character" w:customStyle="1" w:styleId="Char1">
    <w:name w:val="批注文字 Char1"/>
    <w:basedOn w:val="a2"/>
    <w:link w:val="a7"/>
    <w:uiPriority w:val="99"/>
    <w:rsid w:val="009212D2"/>
    <w:rPr>
      <w:sz w:val="20"/>
      <w:szCs w:val="20"/>
    </w:rPr>
  </w:style>
  <w:style w:type="paragraph" w:styleId="a8">
    <w:name w:val="No Spacing"/>
    <w:uiPriority w:val="1"/>
    <w:qFormat/>
    <w:rsid w:val="00CE591C"/>
    <w:pPr>
      <w:spacing w:after="0" w:line="240" w:lineRule="auto"/>
    </w:pPr>
  </w:style>
  <w:style w:type="character" w:customStyle="1" w:styleId="1Char">
    <w:name w:val="标题 1 Char"/>
    <w:basedOn w:val="a2"/>
    <w:link w:val="1"/>
    <w:uiPriority w:val="9"/>
    <w:rsid w:val="00CE591C"/>
    <w:rPr>
      <w:rFonts w:asciiTheme="majorHAnsi" w:eastAsiaTheme="majorEastAsia" w:hAnsiTheme="majorHAnsi" w:cstheme="majorBidi"/>
      <w:color w:val="2F5496" w:themeColor="accent1" w:themeShade="BF"/>
      <w:sz w:val="32"/>
      <w:szCs w:val="32"/>
    </w:rPr>
  </w:style>
  <w:style w:type="character" w:customStyle="1" w:styleId="2Char">
    <w:name w:val="标题 2 Char"/>
    <w:basedOn w:val="a2"/>
    <w:link w:val="21"/>
    <w:uiPriority w:val="9"/>
    <w:rsid w:val="00CE591C"/>
    <w:rPr>
      <w:rFonts w:asciiTheme="majorHAnsi" w:eastAsiaTheme="majorEastAsia" w:hAnsiTheme="majorHAnsi" w:cstheme="majorBidi"/>
      <w:color w:val="2F5496" w:themeColor="accent1" w:themeShade="BF"/>
      <w:sz w:val="26"/>
      <w:szCs w:val="26"/>
    </w:rPr>
  </w:style>
  <w:style w:type="character" w:customStyle="1" w:styleId="3Char">
    <w:name w:val="标题 3 Char"/>
    <w:basedOn w:val="a2"/>
    <w:link w:val="31"/>
    <w:uiPriority w:val="9"/>
    <w:rsid w:val="00CE591C"/>
    <w:rPr>
      <w:rFonts w:asciiTheme="majorHAnsi" w:eastAsiaTheme="majorEastAsia" w:hAnsiTheme="majorHAnsi" w:cstheme="majorBidi"/>
      <w:color w:val="1F3763" w:themeColor="accent1" w:themeShade="7F"/>
      <w:sz w:val="24"/>
      <w:szCs w:val="24"/>
    </w:rPr>
  </w:style>
  <w:style w:type="character" w:customStyle="1" w:styleId="hscoswrapper">
    <w:name w:val="hs_cos_wrapper"/>
    <w:basedOn w:val="a2"/>
    <w:rsid w:val="00007233"/>
  </w:style>
  <w:style w:type="paragraph" w:styleId="a9">
    <w:name w:val="annotation subject"/>
    <w:basedOn w:val="a7"/>
    <w:next w:val="a7"/>
    <w:link w:val="Char0"/>
    <w:uiPriority w:val="99"/>
    <w:semiHidden/>
    <w:unhideWhenUsed/>
    <w:rsid w:val="00A10505"/>
    <w:rPr>
      <w:b/>
      <w:bCs/>
    </w:rPr>
  </w:style>
  <w:style w:type="character" w:customStyle="1" w:styleId="Char0">
    <w:name w:val="批注主题 Char"/>
    <w:basedOn w:val="Char1"/>
    <w:link w:val="a9"/>
    <w:uiPriority w:val="99"/>
    <w:semiHidden/>
    <w:rsid w:val="00A10505"/>
    <w:rPr>
      <w:b/>
      <w:bCs/>
      <w:sz w:val="20"/>
      <w:szCs w:val="20"/>
    </w:rPr>
  </w:style>
  <w:style w:type="character" w:styleId="aa">
    <w:name w:val="Placeholder Text"/>
    <w:basedOn w:val="a2"/>
    <w:uiPriority w:val="99"/>
    <w:semiHidden/>
    <w:rsid w:val="001A0041"/>
    <w:rPr>
      <w:color w:val="808080"/>
    </w:rPr>
  </w:style>
  <w:style w:type="paragraph" w:customStyle="1" w:styleId="CitaviBibliographyEntry">
    <w:name w:val="Citavi Bibliography Entry"/>
    <w:basedOn w:val="a1"/>
    <w:link w:val="CitaviBibliographyEntryZchn"/>
    <w:rsid w:val="00066382"/>
    <w:pPr>
      <w:tabs>
        <w:tab w:val="left" w:pos="454"/>
      </w:tabs>
      <w:ind w:left="454" w:hanging="454"/>
    </w:pPr>
  </w:style>
  <w:style w:type="character" w:customStyle="1" w:styleId="CitaviBibliographyEntryZchn">
    <w:name w:val="Citavi Bibliography Entry Zchn"/>
    <w:basedOn w:val="a2"/>
    <w:link w:val="CitaviBibliographyEntry"/>
    <w:rsid w:val="00066382"/>
  </w:style>
  <w:style w:type="paragraph" w:customStyle="1" w:styleId="CitaviBibliographyHeading">
    <w:name w:val="Citavi Bibliography Heading"/>
    <w:basedOn w:val="1"/>
    <w:link w:val="CitaviBibliographyHeadingZchn"/>
    <w:rsid w:val="00066382"/>
  </w:style>
  <w:style w:type="character" w:customStyle="1" w:styleId="CitaviBibliographyHeadingZchn">
    <w:name w:val="Citavi Bibliography Heading Zchn"/>
    <w:basedOn w:val="a2"/>
    <w:link w:val="CitaviBibliographyHeading"/>
    <w:rsid w:val="00066382"/>
    <w:rPr>
      <w:rFonts w:asciiTheme="majorHAnsi" w:eastAsiaTheme="majorEastAsia" w:hAnsiTheme="majorHAnsi" w:cstheme="majorBidi"/>
      <w:color w:val="2F5496" w:themeColor="accent1" w:themeShade="BF"/>
      <w:sz w:val="32"/>
      <w:szCs w:val="32"/>
    </w:rPr>
  </w:style>
  <w:style w:type="paragraph" w:customStyle="1" w:styleId="CitaviBibliographySubheading1">
    <w:name w:val="Citavi Bibliography Subheading 1"/>
    <w:basedOn w:val="21"/>
    <w:link w:val="CitaviBibliographySubheading1Zchn"/>
    <w:rsid w:val="00066382"/>
    <w:pPr>
      <w:spacing w:after="200" w:line="276" w:lineRule="auto"/>
      <w:jc w:val="both"/>
      <w:outlineLvl w:val="9"/>
    </w:pPr>
    <w:rPr>
      <w:rFonts w:ascii="Calibri" w:eastAsia="Calibri" w:hAnsi="Calibri" w:cs="Times New Roman"/>
    </w:rPr>
  </w:style>
  <w:style w:type="character" w:customStyle="1" w:styleId="CitaviBibliographySubheading1Zchn">
    <w:name w:val="Citavi Bibliography Subheading 1 Zchn"/>
    <w:basedOn w:val="a2"/>
    <w:link w:val="CitaviBibliographySubheading1"/>
    <w:rsid w:val="00066382"/>
    <w:rPr>
      <w:rFonts w:ascii="Calibri" w:eastAsia="Calibri" w:hAnsi="Calibri" w:cs="Times New Roman"/>
      <w:color w:val="2F5496" w:themeColor="accent1" w:themeShade="BF"/>
      <w:sz w:val="26"/>
      <w:szCs w:val="26"/>
    </w:rPr>
  </w:style>
  <w:style w:type="paragraph" w:customStyle="1" w:styleId="CitaviBibliographySubheading2">
    <w:name w:val="Citavi Bibliography Subheading 2"/>
    <w:basedOn w:val="31"/>
    <w:link w:val="CitaviBibliographySubheading2Zchn"/>
    <w:rsid w:val="00066382"/>
    <w:pPr>
      <w:spacing w:after="200" w:line="276" w:lineRule="auto"/>
      <w:jc w:val="both"/>
      <w:outlineLvl w:val="9"/>
    </w:pPr>
    <w:rPr>
      <w:rFonts w:ascii="Calibri" w:eastAsia="Calibri" w:hAnsi="Calibri" w:cs="Times New Roman"/>
    </w:rPr>
  </w:style>
  <w:style w:type="character" w:customStyle="1" w:styleId="CitaviBibliographySubheading2Zchn">
    <w:name w:val="Citavi Bibliography Subheading 2 Zchn"/>
    <w:basedOn w:val="a2"/>
    <w:link w:val="CitaviBibliographySubheading2"/>
    <w:rsid w:val="00066382"/>
    <w:rPr>
      <w:rFonts w:ascii="Calibri" w:eastAsia="Calibri" w:hAnsi="Calibri" w:cs="Times New Roman"/>
      <w:color w:val="1F3763" w:themeColor="accent1" w:themeShade="7F"/>
      <w:sz w:val="24"/>
      <w:szCs w:val="24"/>
    </w:rPr>
  </w:style>
  <w:style w:type="paragraph" w:customStyle="1" w:styleId="CitaviBibliographySubheading3">
    <w:name w:val="Citavi Bibliography Subheading 3"/>
    <w:basedOn w:val="41"/>
    <w:link w:val="CitaviBibliographySubheading3Zchn"/>
    <w:rsid w:val="00066382"/>
    <w:pPr>
      <w:spacing w:after="200" w:line="276" w:lineRule="auto"/>
      <w:jc w:val="both"/>
      <w:outlineLvl w:val="9"/>
    </w:pPr>
    <w:rPr>
      <w:rFonts w:ascii="Calibri" w:eastAsia="Calibri" w:hAnsi="Calibri" w:cs="Times New Roman"/>
    </w:rPr>
  </w:style>
  <w:style w:type="character" w:customStyle="1" w:styleId="CitaviBibliographySubheading3Zchn">
    <w:name w:val="Citavi Bibliography Subheading 3 Zchn"/>
    <w:basedOn w:val="a2"/>
    <w:link w:val="CitaviBibliographySubheading3"/>
    <w:rsid w:val="00066382"/>
    <w:rPr>
      <w:rFonts w:ascii="Calibri" w:eastAsia="Calibri" w:hAnsi="Calibri" w:cs="Times New Roman"/>
      <w:i/>
      <w:iCs/>
      <w:color w:val="2F5496" w:themeColor="accent1" w:themeShade="BF"/>
    </w:rPr>
  </w:style>
  <w:style w:type="character" w:customStyle="1" w:styleId="4Char">
    <w:name w:val="标题 4 Char"/>
    <w:basedOn w:val="a2"/>
    <w:link w:val="41"/>
    <w:uiPriority w:val="9"/>
    <w:semiHidden/>
    <w:rsid w:val="00066382"/>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51"/>
    <w:link w:val="CitaviBibliographySubheading4Zchn"/>
    <w:rsid w:val="00066382"/>
    <w:pPr>
      <w:spacing w:after="200" w:line="276" w:lineRule="auto"/>
      <w:jc w:val="both"/>
      <w:outlineLvl w:val="9"/>
    </w:pPr>
    <w:rPr>
      <w:rFonts w:ascii="Calibri" w:eastAsia="Calibri" w:hAnsi="Calibri" w:cs="Times New Roman"/>
    </w:rPr>
  </w:style>
  <w:style w:type="character" w:customStyle="1" w:styleId="CitaviBibliographySubheading4Zchn">
    <w:name w:val="Citavi Bibliography Subheading 4 Zchn"/>
    <w:basedOn w:val="a2"/>
    <w:link w:val="CitaviBibliographySubheading4"/>
    <w:rsid w:val="00066382"/>
    <w:rPr>
      <w:rFonts w:ascii="Calibri" w:eastAsia="Calibri" w:hAnsi="Calibri" w:cs="Times New Roman"/>
      <w:color w:val="2F5496" w:themeColor="accent1" w:themeShade="BF"/>
    </w:rPr>
  </w:style>
  <w:style w:type="character" w:customStyle="1" w:styleId="5Char">
    <w:name w:val="标题 5 Char"/>
    <w:basedOn w:val="a2"/>
    <w:link w:val="51"/>
    <w:uiPriority w:val="9"/>
    <w:semiHidden/>
    <w:rsid w:val="00066382"/>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6"/>
    <w:link w:val="CitaviBibliographySubheading5Zchn"/>
    <w:rsid w:val="00066382"/>
    <w:pPr>
      <w:spacing w:after="200" w:line="276" w:lineRule="auto"/>
      <w:jc w:val="both"/>
      <w:outlineLvl w:val="9"/>
    </w:pPr>
    <w:rPr>
      <w:rFonts w:ascii="Calibri" w:eastAsia="Calibri" w:hAnsi="Calibri" w:cs="Times New Roman"/>
    </w:rPr>
  </w:style>
  <w:style w:type="character" w:customStyle="1" w:styleId="CitaviBibliographySubheading5Zchn">
    <w:name w:val="Citavi Bibliography Subheading 5 Zchn"/>
    <w:basedOn w:val="a2"/>
    <w:link w:val="CitaviBibliographySubheading5"/>
    <w:rsid w:val="00066382"/>
    <w:rPr>
      <w:rFonts w:ascii="Calibri" w:eastAsia="Calibri" w:hAnsi="Calibri" w:cs="Times New Roman"/>
      <w:color w:val="1F3763" w:themeColor="accent1" w:themeShade="7F"/>
    </w:rPr>
  </w:style>
  <w:style w:type="character" w:customStyle="1" w:styleId="6Char">
    <w:name w:val="标题 6 Char"/>
    <w:basedOn w:val="a2"/>
    <w:link w:val="6"/>
    <w:uiPriority w:val="9"/>
    <w:semiHidden/>
    <w:rsid w:val="00066382"/>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7"/>
    <w:link w:val="CitaviBibliographySubheading6Zchn"/>
    <w:rsid w:val="00066382"/>
    <w:pPr>
      <w:spacing w:after="200" w:line="276" w:lineRule="auto"/>
      <w:jc w:val="both"/>
      <w:outlineLvl w:val="9"/>
    </w:pPr>
    <w:rPr>
      <w:rFonts w:ascii="Calibri" w:eastAsia="Calibri" w:hAnsi="Calibri" w:cs="Times New Roman"/>
    </w:rPr>
  </w:style>
  <w:style w:type="character" w:customStyle="1" w:styleId="CitaviBibliographySubheading6Zchn">
    <w:name w:val="Citavi Bibliography Subheading 6 Zchn"/>
    <w:basedOn w:val="a2"/>
    <w:link w:val="CitaviBibliographySubheading6"/>
    <w:rsid w:val="00066382"/>
    <w:rPr>
      <w:rFonts w:ascii="Calibri" w:eastAsia="Calibri" w:hAnsi="Calibri" w:cs="Times New Roman"/>
      <w:i/>
      <w:iCs/>
      <w:color w:val="1F3763" w:themeColor="accent1" w:themeShade="7F"/>
    </w:rPr>
  </w:style>
  <w:style w:type="character" w:customStyle="1" w:styleId="7Char">
    <w:name w:val="标题 7 Char"/>
    <w:basedOn w:val="a2"/>
    <w:link w:val="7"/>
    <w:uiPriority w:val="9"/>
    <w:semiHidden/>
    <w:rsid w:val="00066382"/>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8"/>
    <w:link w:val="CitaviBibliographySubheading7Zchn"/>
    <w:rsid w:val="00066382"/>
    <w:pPr>
      <w:spacing w:after="200" w:line="276" w:lineRule="auto"/>
      <w:jc w:val="both"/>
      <w:outlineLvl w:val="9"/>
    </w:pPr>
    <w:rPr>
      <w:rFonts w:ascii="Calibri" w:eastAsia="Calibri" w:hAnsi="Calibri" w:cs="Times New Roman"/>
    </w:rPr>
  </w:style>
  <w:style w:type="character" w:customStyle="1" w:styleId="CitaviBibliographySubheading7Zchn">
    <w:name w:val="Citavi Bibliography Subheading 7 Zchn"/>
    <w:basedOn w:val="a2"/>
    <w:link w:val="CitaviBibliographySubheading7"/>
    <w:rsid w:val="00066382"/>
    <w:rPr>
      <w:rFonts w:ascii="Calibri" w:eastAsia="Calibri" w:hAnsi="Calibri" w:cs="Times New Roman"/>
      <w:color w:val="272727" w:themeColor="text1" w:themeTint="D8"/>
      <w:sz w:val="21"/>
      <w:szCs w:val="21"/>
    </w:rPr>
  </w:style>
  <w:style w:type="character" w:customStyle="1" w:styleId="8Char">
    <w:name w:val="标题 8 Char"/>
    <w:basedOn w:val="a2"/>
    <w:link w:val="8"/>
    <w:uiPriority w:val="9"/>
    <w:semiHidden/>
    <w:rsid w:val="00066382"/>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9"/>
    <w:link w:val="CitaviBibliographySubheading8Zchn"/>
    <w:rsid w:val="00066382"/>
    <w:pPr>
      <w:spacing w:after="200" w:line="276" w:lineRule="auto"/>
      <w:jc w:val="both"/>
      <w:outlineLvl w:val="9"/>
    </w:pPr>
    <w:rPr>
      <w:rFonts w:ascii="Calibri" w:eastAsia="Calibri" w:hAnsi="Calibri" w:cs="Times New Roman"/>
    </w:rPr>
  </w:style>
  <w:style w:type="character" w:customStyle="1" w:styleId="CitaviBibliographySubheading8Zchn">
    <w:name w:val="Citavi Bibliography Subheading 8 Zchn"/>
    <w:basedOn w:val="a2"/>
    <w:link w:val="CitaviBibliographySubheading8"/>
    <w:rsid w:val="00066382"/>
    <w:rPr>
      <w:rFonts w:ascii="Calibri" w:eastAsia="Calibri" w:hAnsi="Calibri" w:cs="Times New Roman"/>
      <w:i/>
      <w:iCs/>
      <w:color w:val="272727" w:themeColor="text1" w:themeTint="D8"/>
      <w:sz w:val="21"/>
      <w:szCs w:val="21"/>
    </w:rPr>
  </w:style>
  <w:style w:type="character" w:customStyle="1" w:styleId="9Char">
    <w:name w:val="标题 9 Char"/>
    <w:basedOn w:val="a2"/>
    <w:link w:val="9"/>
    <w:uiPriority w:val="9"/>
    <w:semiHidden/>
    <w:rsid w:val="00066382"/>
    <w:rPr>
      <w:rFonts w:asciiTheme="majorHAnsi" w:eastAsiaTheme="majorEastAsia" w:hAnsiTheme="majorHAnsi" w:cstheme="majorBidi"/>
      <w:i/>
      <w:iCs/>
      <w:color w:val="272727" w:themeColor="text1" w:themeTint="D8"/>
      <w:sz w:val="21"/>
      <w:szCs w:val="21"/>
    </w:rPr>
  </w:style>
  <w:style w:type="table" w:styleId="ab">
    <w:name w:val="Table Grid"/>
    <w:basedOn w:val="a3"/>
    <w:uiPriority w:val="39"/>
    <w:rsid w:val="00644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1">
    <w:name w:val="Keine Liste1"/>
    <w:next w:val="a4"/>
    <w:uiPriority w:val="99"/>
    <w:semiHidden/>
    <w:unhideWhenUsed/>
    <w:rsid w:val="009307D9"/>
  </w:style>
  <w:style w:type="table" w:customStyle="1" w:styleId="Tabellenraster1">
    <w:name w:val="Tabellenraster1"/>
    <w:basedOn w:val="a3"/>
    <w:next w:val="ab"/>
    <w:uiPriority w:val="39"/>
    <w:rsid w:val="009307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2"/>
    <w:uiPriority w:val="99"/>
    <w:unhideWhenUsed/>
    <w:rsid w:val="00C36933"/>
    <w:rPr>
      <w:color w:val="0563C1" w:themeColor="hyperlink"/>
      <w:u w:val="single"/>
    </w:rPr>
  </w:style>
  <w:style w:type="character" w:customStyle="1" w:styleId="NichtaufgelsteErwhnung1">
    <w:name w:val="Nicht aufgelöste Erwähnung1"/>
    <w:basedOn w:val="a2"/>
    <w:uiPriority w:val="99"/>
    <w:semiHidden/>
    <w:unhideWhenUsed/>
    <w:rsid w:val="00C36933"/>
    <w:rPr>
      <w:color w:val="605E5C"/>
      <w:shd w:val="clear" w:color="auto" w:fill="E1DFDD"/>
    </w:rPr>
  </w:style>
  <w:style w:type="paragraph" w:styleId="ad">
    <w:name w:val="List Paragraph"/>
    <w:basedOn w:val="a1"/>
    <w:uiPriority w:val="34"/>
    <w:qFormat/>
    <w:rsid w:val="00A56C71"/>
    <w:pPr>
      <w:ind w:left="720"/>
      <w:contextualSpacing/>
    </w:pPr>
  </w:style>
  <w:style w:type="character" w:customStyle="1" w:styleId="orcid-id-https">
    <w:name w:val="orcid-id-https"/>
    <w:basedOn w:val="a2"/>
    <w:rsid w:val="003F6FE8"/>
  </w:style>
  <w:style w:type="paragraph" w:styleId="ae">
    <w:name w:val="Revision"/>
    <w:hidden/>
    <w:uiPriority w:val="99"/>
    <w:semiHidden/>
    <w:rsid w:val="00AE59DF"/>
    <w:pPr>
      <w:spacing w:after="0" w:line="240" w:lineRule="auto"/>
    </w:pPr>
  </w:style>
  <w:style w:type="numbering" w:customStyle="1" w:styleId="KeineListe11">
    <w:name w:val="Keine Liste11"/>
    <w:next w:val="a4"/>
    <w:uiPriority w:val="99"/>
    <w:semiHidden/>
    <w:unhideWhenUsed/>
    <w:rsid w:val="00CB43EF"/>
  </w:style>
  <w:style w:type="paragraph" w:styleId="af">
    <w:name w:val="header"/>
    <w:basedOn w:val="a1"/>
    <w:link w:val="Char2"/>
    <w:uiPriority w:val="99"/>
    <w:unhideWhenUsed/>
    <w:rsid w:val="00CB43EF"/>
    <w:pPr>
      <w:tabs>
        <w:tab w:val="center" w:pos="4703"/>
        <w:tab w:val="right" w:pos="9406"/>
      </w:tabs>
      <w:spacing w:after="0" w:line="240" w:lineRule="auto"/>
    </w:pPr>
  </w:style>
  <w:style w:type="character" w:customStyle="1" w:styleId="Char2">
    <w:name w:val="页眉 Char"/>
    <w:basedOn w:val="a2"/>
    <w:link w:val="af"/>
    <w:uiPriority w:val="99"/>
    <w:rsid w:val="00CB43EF"/>
  </w:style>
  <w:style w:type="paragraph" w:styleId="af0">
    <w:name w:val="footer"/>
    <w:basedOn w:val="a1"/>
    <w:link w:val="Char3"/>
    <w:uiPriority w:val="99"/>
    <w:unhideWhenUsed/>
    <w:rsid w:val="00CB43EF"/>
    <w:pPr>
      <w:tabs>
        <w:tab w:val="center" w:pos="4703"/>
        <w:tab w:val="right" w:pos="9406"/>
      </w:tabs>
      <w:spacing w:after="0" w:line="240" w:lineRule="auto"/>
    </w:pPr>
  </w:style>
  <w:style w:type="character" w:customStyle="1" w:styleId="Char3">
    <w:name w:val="页脚 Char"/>
    <w:basedOn w:val="a2"/>
    <w:link w:val="af0"/>
    <w:uiPriority w:val="99"/>
    <w:rsid w:val="00CB43EF"/>
  </w:style>
  <w:style w:type="paragraph" w:styleId="TOC">
    <w:name w:val="TOC Heading"/>
    <w:basedOn w:val="1"/>
    <w:next w:val="a1"/>
    <w:uiPriority w:val="39"/>
    <w:semiHidden/>
    <w:unhideWhenUsed/>
    <w:qFormat/>
    <w:rsid w:val="00E42508"/>
    <w:pPr>
      <w:outlineLvl w:val="9"/>
    </w:pPr>
  </w:style>
  <w:style w:type="paragraph" w:styleId="af1">
    <w:name w:val="Bibliography"/>
    <w:basedOn w:val="a1"/>
    <w:next w:val="a1"/>
    <w:uiPriority w:val="37"/>
    <w:semiHidden/>
    <w:unhideWhenUsed/>
    <w:rsid w:val="00E42508"/>
  </w:style>
  <w:style w:type="character" w:styleId="af2">
    <w:name w:val="Book Title"/>
    <w:basedOn w:val="a2"/>
    <w:uiPriority w:val="33"/>
    <w:qFormat/>
    <w:rsid w:val="00E42508"/>
    <w:rPr>
      <w:b/>
      <w:bCs/>
      <w:i/>
      <w:iCs/>
      <w:spacing w:val="5"/>
    </w:rPr>
  </w:style>
  <w:style w:type="character" w:styleId="af3">
    <w:name w:val="Intense Reference"/>
    <w:basedOn w:val="a2"/>
    <w:uiPriority w:val="32"/>
    <w:qFormat/>
    <w:rsid w:val="00E42508"/>
    <w:rPr>
      <w:b/>
      <w:bCs/>
      <w:smallCaps/>
      <w:color w:val="4472C4" w:themeColor="accent1"/>
      <w:spacing w:val="5"/>
    </w:rPr>
  </w:style>
  <w:style w:type="character" w:styleId="af4">
    <w:name w:val="Subtle Reference"/>
    <w:basedOn w:val="a2"/>
    <w:uiPriority w:val="31"/>
    <w:qFormat/>
    <w:rsid w:val="00E42508"/>
    <w:rPr>
      <w:smallCaps/>
      <w:color w:val="5A5A5A" w:themeColor="text1" w:themeTint="A5"/>
    </w:rPr>
  </w:style>
  <w:style w:type="character" w:styleId="af5">
    <w:name w:val="Intense Emphasis"/>
    <w:basedOn w:val="a2"/>
    <w:uiPriority w:val="21"/>
    <w:qFormat/>
    <w:rsid w:val="00E42508"/>
    <w:rPr>
      <w:i/>
      <w:iCs/>
      <w:color w:val="4472C4" w:themeColor="accent1"/>
    </w:rPr>
  </w:style>
  <w:style w:type="character" w:styleId="af6">
    <w:name w:val="Subtle Emphasis"/>
    <w:basedOn w:val="a2"/>
    <w:uiPriority w:val="19"/>
    <w:qFormat/>
    <w:rsid w:val="00E42508"/>
    <w:rPr>
      <w:i/>
      <w:iCs/>
      <w:color w:val="404040" w:themeColor="text1" w:themeTint="BF"/>
    </w:rPr>
  </w:style>
  <w:style w:type="paragraph" w:styleId="af7">
    <w:name w:val="Intense Quote"/>
    <w:basedOn w:val="a1"/>
    <w:next w:val="a1"/>
    <w:link w:val="Char4"/>
    <w:uiPriority w:val="30"/>
    <w:qFormat/>
    <w:rsid w:val="00E425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4">
    <w:name w:val="明显引用 Char"/>
    <w:basedOn w:val="a2"/>
    <w:link w:val="af7"/>
    <w:uiPriority w:val="30"/>
    <w:rsid w:val="00E42508"/>
    <w:rPr>
      <w:i/>
      <w:iCs/>
      <w:color w:val="4472C4" w:themeColor="accent1"/>
    </w:rPr>
  </w:style>
  <w:style w:type="paragraph" w:styleId="af8">
    <w:name w:val="Quote"/>
    <w:basedOn w:val="a1"/>
    <w:next w:val="a1"/>
    <w:link w:val="Char5"/>
    <w:uiPriority w:val="29"/>
    <w:qFormat/>
    <w:rsid w:val="00E42508"/>
    <w:pPr>
      <w:spacing w:before="200"/>
      <w:ind w:left="864" w:right="864"/>
      <w:jc w:val="center"/>
    </w:pPr>
    <w:rPr>
      <w:i/>
      <w:iCs/>
      <w:color w:val="404040" w:themeColor="text1" w:themeTint="BF"/>
    </w:rPr>
  </w:style>
  <w:style w:type="character" w:customStyle="1" w:styleId="Char5">
    <w:name w:val="引用 Char"/>
    <w:basedOn w:val="a2"/>
    <w:link w:val="af8"/>
    <w:uiPriority w:val="29"/>
    <w:rsid w:val="00E42508"/>
    <w:rPr>
      <w:i/>
      <w:iCs/>
      <w:color w:val="404040" w:themeColor="text1" w:themeTint="BF"/>
    </w:rPr>
  </w:style>
  <w:style w:type="table" w:styleId="1-1">
    <w:name w:val="Medium List 1 Accent 1"/>
    <w:basedOn w:val="a3"/>
    <w:uiPriority w:val="65"/>
    <w:semiHidden/>
    <w:unhideWhenUsed/>
    <w:rsid w:val="00E42508"/>
    <w:pPr>
      <w:spacing w:after="0" w:line="240" w:lineRule="auto"/>
    </w:pPr>
    <w:rPr>
      <w:color w:val="000000" w:themeColor="text1"/>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2-1">
    <w:name w:val="Medium Shading 2 Accent 1"/>
    <w:basedOn w:val="a3"/>
    <w:uiPriority w:val="64"/>
    <w:semiHidden/>
    <w:unhideWhenUsed/>
    <w:rsid w:val="00E4250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0">
    <w:name w:val="Medium Shading 1 Accent 1"/>
    <w:basedOn w:val="a3"/>
    <w:uiPriority w:val="63"/>
    <w:semiHidden/>
    <w:unhideWhenUsed/>
    <w:rsid w:val="00E42508"/>
    <w:pPr>
      <w:spacing w:after="0" w:line="240" w:lineRule="auto"/>
    </w:p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
    <w:name w:val="Light Grid Accent 1"/>
    <w:basedOn w:val="a3"/>
    <w:uiPriority w:val="62"/>
    <w:semiHidden/>
    <w:unhideWhenUsed/>
    <w:rsid w:val="00E42508"/>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10">
    <w:name w:val="Light List Accent 1"/>
    <w:basedOn w:val="a3"/>
    <w:uiPriority w:val="61"/>
    <w:semiHidden/>
    <w:unhideWhenUsed/>
    <w:rsid w:val="00E42508"/>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Light Shading Accent 1"/>
    <w:basedOn w:val="a3"/>
    <w:uiPriority w:val="60"/>
    <w:semiHidden/>
    <w:unhideWhenUsed/>
    <w:rsid w:val="00E42508"/>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af9">
    <w:name w:val="Colorful Grid"/>
    <w:basedOn w:val="a3"/>
    <w:uiPriority w:val="73"/>
    <w:semiHidden/>
    <w:unhideWhenUsed/>
    <w:rsid w:val="00E4250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afa">
    <w:name w:val="Colorful List"/>
    <w:basedOn w:val="a3"/>
    <w:uiPriority w:val="72"/>
    <w:semiHidden/>
    <w:unhideWhenUsed/>
    <w:rsid w:val="00E4250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afb">
    <w:name w:val="Colorful Shading"/>
    <w:basedOn w:val="a3"/>
    <w:uiPriority w:val="71"/>
    <w:semiHidden/>
    <w:unhideWhenUsed/>
    <w:rsid w:val="00E42508"/>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afc">
    <w:name w:val="Dark List"/>
    <w:basedOn w:val="a3"/>
    <w:uiPriority w:val="70"/>
    <w:semiHidden/>
    <w:unhideWhenUsed/>
    <w:rsid w:val="00E4250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32">
    <w:name w:val="Medium Grid 3"/>
    <w:basedOn w:val="a3"/>
    <w:uiPriority w:val="69"/>
    <w:semiHidden/>
    <w:unhideWhenUsed/>
    <w:rsid w:val="00E4250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2">
    <w:name w:val="Medium Grid 2"/>
    <w:basedOn w:val="a3"/>
    <w:uiPriority w:val="68"/>
    <w:semiHidden/>
    <w:unhideWhenUsed/>
    <w:rsid w:val="00E4250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0">
    <w:name w:val="Medium Grid 1"/>
    <w:basedOn w:val="a3"/>
    <w:uiPriority w:val="67"/>
    <w:semiHidden/>
    <w:unhideWhenUsed/>
    <w:rsid w:val="00E4250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3">
    <w:name w:val="Medium List 2"/>
    <w:basedOn w:val="a3"/>
    <w:uiPriority w:val="66"/>
    <w:semiHidden/>
    <w:unhideWhenUsed/>
    <w:rsid w:val="00E4250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Medium List 1"/>
    <w:basedOn w:val="a3"/>
    <w:uiPriority w:val="65"/>
    <w:semiHidden/>
    <w:unhideWhenUsed/>
    <w:rsid w:val="00E4250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4">
    <w:name w:val="Medium Shading 2"/>
    <w:basedOn w:val="a3"/>
    <w:uiPriority w:val="64"/>
    <w:semiHidden/>
    <w:unhideWhenUsed/>
    <w:rsid w:val="00E4250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Shading 1"/>
    <w:basedOn w:val="a3"/>
    <w:uiPriority w:val="63"/>
    <w:semiHidden/>
    <w:unhideWhenUsed/>
    <w:rsid w:val="00E4250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fd">
    <w:name w:val="Light Grid"/>
    <w:basedOn w:val="a3"/>
    <w:uiPriority w:val="62"/>
    <w:semiHidden/>
    <w:unhideWhenUsed/>
    <w:rsid w:val="00E4250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e">
    <w:name w:val="Light List"/>
    <w:basedOn w:val="a3"/>
    <w:uiPriority w:val="61"/>
    <w:semiHidden/>
    <w:unhideWhenUsed/>
    <w:rsid w:val="00E4250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
    <w:name w:val="Light Shading"/>
    <w:basedOn w:val="a3"/>
    <w:uiPriority w:val="60"/>
    <w:semiHidden/>
    <w:unhideWhenUsed/>
    <w:rsid w:val="00E4250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
    <w:name w:val="HTML Variable"/>
    <w:basedOn w:val="a2"/>
    <w:uiPriority w:val="99"/>
    <w:semiHidden/>
    <w:unhideWhenUsed/>
    <w:rsid w:val="00E42508"/>
    <w:rPr>
      <w:i/>
      <w:iCs/>
    </w:rPr>
  </w:style>
  <w:style w:type="character" w:styleId="HTML0">
    <w:name w:val="HTML Typewriter"/>
    <w:basedOn w:val="a2"/>
    <w:uiPriority w:val="99"/>
    <w:semiHidden/>
    <w:unhideWhenUsed/>
    <w:rsid w:val="00E42508"/>
    <w:rPr>
      <w:rFonts w:ascii="Consolas" w:hAnsi="Consolas"/>
      <w:sz w:val="20"/>
      <w:szCs w:val="20"/>
    </w:rPr>
  </w:style>
  <w:style w:type="character" w:styleId="HTML1">
    <w:name w:val="HTML Sample"/>
    <w:basedOn w:val="a2"/>
    <w:uiPriority w:val="99"/>
    <w:semiHidden/>
    <w:unhideWhenUsed/>
    <w:rsid w:val="00E42508"/>
    <w:rPr>
      <w:rFonts w:ascii="Consolas" w:hAnsi="Consolas"/>
      <w:sz w:val="24"/>
      <w:szCs w:val="24"/>
    </w:rPr>
  </w:style>
  <w:style w:type="paragraph" w:styleId="HTML2">
    <w:name w:val="HTML Preformatted"/>
    <w:basedOn w:val="a1"/>
    <w:link w:val="HTMLChar"/>
    <w:uiPriority w:val="99"/>
    <w:semiHidden/>
    <w:unhideWhenUsed/>
    <w:rsid w:val="00E42508"/>
    <w:pPr>
      <w:spacing w:after="0" w:line="240" w:lineRule="auto"/>
    </w:pPr>
    <w:rPr>
      <w:rFonts w:ascii="Consolas" w:hAnsi="Consolas"/>
      <w:sz w:val="20"/>
      <w:szCs w:val="20"/>
    </w:rPr>
  </w:style>
  <w:style w:type="character" w:customStyle="1" w:styleId="HTMLChar">
    <w:name w:val="HTML 预设格式 Char"/>
    <w:basedOn w:val="a2"/>
    <w:link w:val="HTML2"/>
    <w:uiPriority w:val="99"/>
    <w:semiHidden/>
    <w:rsid w:val="00E42508"/>
    <w:rPr>
      <w:rFonts w:ascii="Consolas" w:hAnsi="Consolas"/>
      <w:sz w:val="20"/>
      <w:szCs w:val="20"/>
    </w:rPr>
  </w:style>
  <w:style w:type="character" w:styleId="HTML3">
    <w:name w:val="HTML Keyboard"/>
    <w:basedOn w:val="a2"/>
    <w:uiPriority w:val="99"/>
    <w:semiHidden/>
    <w:unhideWhenUsed/>
    <w:rsid w:val="00E42508"/>
    <w:rPr>
      <w:rFonts w:ascii="Consolas" w:hAnsi="Consolas"/>
      <w:sz w:val="20"/>
      <w:szCs w:val="20"/>
    </w:rPr>
  </w:style>
  <w:style w:type="character" w:styleId="HTML4">
    <w:name w:val="HTML Definition"/>
    <w:basedOn w:val="a2"/>
    <w:uiPriority w:val="99"/>
    <w:semiHidden/>
    <w:unhideWhenUsed/>
    <w:rsid w:val="00E42508"/>
    <w:rPr>
      <w:i/>
      <w:iCs/>
    </w:rPr>
  </w:style>
  <w:style w:type="character" w:styleId="HTML5">
    <w:name w:val="HTML Code"/>
    <w:basedOn w:val="a2"/>
    <w:uiPriority w:val="99"/>
    <w:semiHidden/>
    <w:unhideWhenUsed/>
    <w:rsid w:val="00E42508"/>
    <w:rPr>
      <w:rFonts w:ascii="Consolas" w:hAnsi="Consolas"/>
      <w:sz w:val="20"/>
      <w:szCs w:val="20"/>
    </w:rPr>
  </w:style>
  <w:style w:type="character" w:styleId="HTML6">
    <w:name w:val="HTML Cite"/>
    <w:basedOn w:val="a2"/>
    <w:uiPriority w:val="99"/>
    <w:semiHidden/>
    <w:unhideWhenUsed/>
    <w:rsid w:val="00E42508"/>
    <w:rPr>
      <w:i/>
      <w:iCs/>
    </w:rPr>
  </w:style>
  <w:style w:type="paragraph" w:styleId="HTML7">
    <w:name w:val="HTML Address"/>
    <w:basedOn w:val="a1"/>
    <w:link w:val="HTMLChar0"/>
    <w:uiPriority w:val="99"/>
    <w:semiHidden/>
    <w:unhideWhenUsed/>
    <w:rsid w:val="00E42508"/>
    <w:pPr>
      <w:spacing w:after="0" w:line="240" w:lineRule="auto"/>
    </w:pPr>
    <w:rPr>
      <w:i/>
      <w:iCs/>
    </w:rPr>
  </w:style>
  <w:style w:type="character" w:customStyle="1" w:styleId="HTMLChar0">
    <w:name w:val="HTML 地址 Char"/>
    <w:basedOn w:val="a2"/>
    <w:link w:val="HTML7"/>
    <w:uiPriority w:val="99"/>
    <w:semiHidden/>
    <w:rsid w:val="00E42508"/>
    <w:rPr>
      <w:i/>
      <w:iCs/>
    </w:rPr>
  </w:style>
  <w:style w:type="character" w:styleId="HTML8">
    <w:name w:val="HTML Acronym"/>
    <w:basedOn w:val="a2"/>
    <w:uiPriority w:val="99"/>
    <w:semiHidden/>
    <w:unhideWhenUsed/>
    <w:rsid w:val="00E42508"/>
  </w:style>
  <w:style w:type="paragraph" w:styleId="aff0">
    <w:name w:val="Normal (Web)"/>
    <w:basedOn w:val="a1"/>
    <w:uiPriority w:val="99"/>
    <w:unhideWhenUsed/>
    <w:rsid w:val="00E42508"/>
    <w:rPr>
      <w:rFonts w:ascii="Times New Roman" w:hAnsi="Times New Roman" w:cs="Times New Roman"/>
      <w:sz w:val="24"/>
      <w:szCs w:val="24"/>
    </w:rPr>
  </w:style>
  <w:style w:type="paragraph" w:styleId="aff1">
    <w:name w:val="Plain Text"/>
    <w:basedOn w:val="a1"/>
    <w:link w:val="Char6"/>
    <w:uiPriority w:val="99"/>
    <w:semiHidden/>
    <w:unhideWhenUsed/>
    <w:rsid w:val="00E42508"/>
    <w:pPr>
      <w:spacing w:after="0" w:line="240" w:lineRule="auto"/>
    </w:pPr>
    <w:rPr>
      <w:rFonts w:ascii="Consolas" w:hAnsi="Consolas"/>
      <w:sz w:val="21"/>
      <w:szCs w:val="21"/>
    </w:rPr>
  </w:style>
  <w:style w:type="character" w:customStyle="1" w:styleId="Char6">
    <w:name w:val="纯文本 Char"/>
    <w:basedOn w:val="a2"/>
    <w:link w:val="aff1"/>
    <w:uiPriority w:val="99"/>
    <w:semiHidden/>
    <w:rsid w:val="00E42508"/>
    <w:rPr>
      <w:rFonts w:ascii="Consolas" w:hAnsi="Consolas"/>
      <w:sz w:val="21"/>
      <w:szCs w:val="21"/>
    </w:rPr>
  </w:style>
  <w:style w:type="paragraph" w:styleId="aff2">
    <w:name w:val="Document Map"/>
    <w:basedOn w:val="a1"/>
    <w:link w:val="Char7"/>
    <w:uiPriority w:val="99"/>
    <w:semiHidden/>
    <w:unhideWhenUsed/>
    <w:rsid w:val="00E42508"/>
    <w:pPr>
      <w:spacing w:after="0" w:line="240" w:lineRule="auto"/>
    </w:pPr>
    <w:rPr>
      <w:rFonts w:ascii="Segoe UI" w:hAnsi="Segoe UI" w:cs="Segoe UI"/>
      <w:sz w:val="16"/>
      <w:szCs w:val="16"/>
    </w:rPr>
  </w:style>
  <w:style w:type="character" w:customStyle="1" w:styleId="Char7">
    <w:name w:val="文档结构图 Char"/>
    <w:basedOn w:val="a2"/>
    <w:link w:val="aff2"/>
    <w:uiPriority w:val="99"/>
    <w:semiHidden/>
    <w:rsid w:val="00E42508"/>
    <w:rPr>
      <w:rFonts w:ascii="Segoe UI" w:hAnsi="Segoe UI" w:cs="Segoe UI"/>
      <w:sz w:val="16"/>
      <w:szCs w:val="16"/>
    </w:rPr>
  </w:style>
  <w:style w:type="character" w:styleId="aff3">
    <w:name w:val="Emphasis"/>
    <w:basedOn w:val="a2"/>
    <w:uiPriority w:val="20"/>
    <w:qFormat/>
    <w:rsid w:val="00E42508"/>
    <w:rPr>
      <w:i/>
      <w:iCs/>
    </w:rPr>
  </w:style>
  <w:style w:type="character" w:styleId="aff4">
    <w:name w:val="Strong"/>
    <w:basedOn w:val="a2"/>
    <w:uiPriority w:val="22"/>
    <w:qFormat/>
    <w:rsid w:val="00E42508"/>
    <w:rPr>
      <w:b/>
      <w:bCs/>
    </w:rPr>
  </w:style>
  <w:style w:type="character" w:styleId="aff5">
    <w:name w:val="FollowedHyperlink"/>
    <w:basedOn w:val="a2"/>
    <w:uiPriority w:val="99"/>
    <w:semiHidden/>
    <w:unhideWhenUsed/>
    <w:rsid w:val="00E42508"/>
    <w:rPr>
      <w:color w:val="954F72" w:themeColor="followedHyperlink"/>
      <w:u w:val="single"/>
    </w:rPr>
  </w:style>
  <w:style w:type="paragraph" w:styleId="aff6">
    <w:name w:val="Block Text"/>
    <w:basedOn w:val="a1"/>
    <w:uiPriority w:val="99"/>
    <w:semiHidden/>
    <w:unhideWhenUsed/>
    <w:rsid w:val="00E42508"/>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i/>
      <w:iCs/>
      <w:color w:val="4472C4" w:themeColor="accent1"/>
    </w:rPr>
  </w:style>
  <w:style w:type="paragraph" w:styleId="33">
    <w:name w:val="Body Text Indent 3"/>
    <w:basedOn w:val="a1"/>
    <w:link w:val="3Char0"/>
    <w:uiPriority w:val="99"/>
    <w:semiHidden/>
    <w:unhideWhenUsed/>
    <w:rsid w:val="00E42508"/>
    <w:pPr>
      <w:spacing w:after="120"/>
      <w:ind w:left="283"/>
    </w:pPr>
    <w:rPr>
      <w:sz w:val="16"/>
      <w:szCs w:val="16"/>
    </w:rPr>
  </w:style>
  <w:style w:type="character" w:customStyle="1" w:styleId="3Char0">
    <w:name w:val="正文文本缩进 3 Char"/>
    <w:basedOn w:val="a2"/>
    <w:link w:val="33"/>
    <w:uiPriority w:val="99"/>
    <w:semiHidden/>
    <w:rsid w:val="00E42508"/>
    <w:rPr>
      <w:sz w:val="16"/>
      <w:szCs w:val="16"/>
    </w:rPr>
  </w:style>
  <w:style w:type="paragraph" w:styleId="25">
    <w:name w:val="Body Text Indent 2"/>
    <w:basedOn w:val="a1"/>
    <w:link w:val="2Char0"/>
    <w:uiPriority w:val="99"/>
    <w:semiHidden/>
    <w:unhideWhenUsed/>
    <w:rsid w:val="00E42508"/>
    <w:pPr>
      <w:spacing w:after="120" w:line="480" w:lineRule="auto"/>
      <w:ind w:left="283"/>
    </w:pPr>
  </w:style>
  <w:style w:type="character" w:customStyle="1" w:styleId="2Char0">
    <w:name w:val="正文文本缩进 2 Char"/>
    <w:basedOn w:val="a2"/>
    <w:link w:val="25"/>
    <w:uiPriority w:val="99"/>
    <w:semiHidden/>
    <w:rsid w:val="00E42508"/>
  </w:style>
  <w:style w:type="paragraph" w:styleId="34">
    <w:name w:val="Body Text 3"/>
    <w:basedOn w:val="a1"/>
    <w:link w:val="3Char1"/>
    <w:uiPriority w:val="99"/>
    <w:semiHidden/>
    <w:unhideWhenUsed/>
    <w:rsid w:val="00E42508"/>
    <w:pPr>
      <w:spacing w:after="120"/>
    </w:pPr>
    <w:rPr>
      <w:sz w:val="16"/>
      <w:szCs w:val="16"/>
    </w:rPr>
  </w:style>
  <w:style w:type="character" w:customStyle="1" w:styleId="3Char1">
    <w:name w:val="正文文本 3 Char"/>
    <w:basedOn w:val="a2"/>
    <w:link w:val="34"/>
    <w:uiPriority w:val="99"/>
    <w:semiHidden/>
    <w:rsid w:val="00E42508"/>
    <w:rPr>
      <w:sz w:val="16"/>
      <w:szCs w:val="16"/>
    </w:rPr>
  </w:style>
  <w:style w:type="paragraph" w:styleId="26">
    <w:name w:val="Body Text 2"/>
    <w:basedOn w:val="a1"/>
    <w:link w:val="2Char1"/>
    <w:uiPriority w:val="99"/>
    <w:semiHidden/>
    <w:unhideWhenUsed/>
    <w:rsid w:val="00E42508"/>
    <w:pPr>
      <w:spacing w:after="120" w:line="480" w:lineRule="auto"/>
    </w:pPr>
  </w:style>
  <w:style w:type="character" w:customStyle="1" w:styleId="2Char1">
    <w:name w:val="正文文本 2 Char"/>
    <w:basedOn w:val="a2"/>
    <w:link w:val="26"/>
    <w:uiPriority w:val="99"/>
    <w:semiHidden/>
    <w:rsid w:val="00E42508"/>
  </w:style>
  <w:style w:type="paragraph" w:styleId="aff7">
    <w:name w:val="Note Heading"/>
    <w:basedOn w:val="a1"/>
    <w:next w:val="a1"/>
    <w:link w:val="Char8"/>
    <w:uiPriority w:val="99"/>
    <w:semiHidden/>
    <w:unhideWhenUsed/>
    <w:rsid w:val="00E42508"/>
    <w:pPr>
      <w:spacing w:after="0" w:line="240" w:lineRule="auto"/>
    </w:pPr>
  </w:style>
  <w:style w:type="character" w:customStyle="1" w:styleId="Char8">
    <w:name w:val="注释标题 Char"/>
    <w:basedOn w:val="a2"/>
    <w:link w:val="aff7"/>
    <w:uiPriority w:val="99"/>
    <w:semiHidden/>
    <w:rsid w:val="00E42508"/>
  </w:style>
  <w:style w:type="paragraph" w:styleId="aff8">
    <w:name w:val="Body Text Indent"/>
    <w:basedOn w:val="a1"/>
    <w:link w:val="Char9"/>
    <w:uiPriority w:val="99"/>
    <w:semiHidden/>
    <w:unhideWhenUsed/>
    <w:rsid w:val="00E42508"/>
    <w:pPr>
      <w:spacing w:after="120"/>
      <w:ind w:left="283"/>
    </w:pPr>
  </w:style>
  <w:style w:type="character" w:customStyle="1" w:styleId="Char9">
    <w:name w:val="正文文本缩进 Char"/>
    <w:basedOn w:val="a2"/>
    <w:link w:val="aff8"/>
    <w:uiPriority w:val="99"/>
    <w:semiHidden/>
    <w:rsid w:val="00E42508"/>
  </w:style>
  <w:style w:type="paragraph" w:styleId="27">
    <w:name w:val="Body Text First Indent 2"/>
    <w:basedOn w:val="aff8"/>
    <w:link w:val="2Char2"/>
    <w:uiPriority w:val="99"/>
    <w:semiHidden/>
    <w:unhideWhenUsed/>
    <w:rsid w:val="00E42508"/>
    <w:pPr>
      <w:spacing w:after="160"/>
      <w:ind w:left="360" w:firstLine="360"/>
    </w:pPr>
  </w:style>
  <w:style w:type="character" w:customStyle="1" w:styleId="2Char2">
    <w:name w:val="正文首行缩进 2 Char"/>
    <w:basedOn w:val="Char9"/>
    <w:link w:val="27"/>
    <w:uiPriority w:val="99"/>
    <w:semiHidden/>
    <w:rsid w:val="00E42508"/>
  </w:style>
  <w:style w:type="paragraph" w:styleId="aff9">
    <w:name w:val="Body Text"/>
    <w:basedOn w:val="a1"/>
    <w:link w:val="Chara"/>
    <w:uiPriority w:val="99"/>
    <w:semiHidden/>
    <w:unhideWhenUsed/>
    <w:rsid w:val="00E42508"/>
    <w:pPr>
      <w:spacing w:after="120"/>
    </w:pPr>
  </w:style>
  <w:style w:type="character" w:customStyle="1" w:styleId="Chara">
    <w:name w:val="正文文本 Char"/>
    <w:basedOn w:val="a2"/>
    <w:link w:val="aff9"/>
    <w:uiPriority w:val="99"/>
    <w:semiHidden/>
    <w:rsid w:val="00E42508"/>
  </w:style>
  <w:style w:type="paragraph" w:styleId="affa">
    <w:name w:val="Body Text First Indent"/>
    <w:basedOn w:val="aff9"/>
    <w:link w:val="Charb"/>
    <w:uiPriority w:val="99"/>
    <w:semiHidden/>
    <w:unhideWhenUsed/>
    <w:rsid w:val="00E42508"/>
    <w:pPr>
      <w:spacing w:after="160"/>
      <w:ind w:firstLine="360"/>
    </w:pPr>
  </w:style>
  <w:style w:type="character" w:customStyle="1" w:styleId="Charb">
    <w:name w:val="正文首行缩进 Char"/>
    <w:basedOn w:val="Chara"/>
    <w:link w:val="affa"/>
    <w:uiPriority w:val="99"/>
    <w:semiHidden/>
    <w:rsid w:val="00E42508"/>
  </w:style>
  <w:style w:type="paragraph" w:styleId="affb">
    <w:name w:val="Date"/>
    <w:basedOn w:val="a1"/>
    <w:next w:val="a1"/>
    <w:link w:val="Charc"/>
    <w:uiPriority w:val="99"/>
    <w:semiHidden/>
    <w:unhideWhenUsed/>
    <w:rsid w:val="00E42508"/>
  </w:style>
  <w:style w:type="character" w:customStyle="1" w:styleId="Charc">
    <w:name w:val="日期 Char"/>
    <w:basedOn w:val="a2"/>
    <w:link w:val="affb"/>
    <w:uiPriority w:val="99"/>
    <w:semiHidden/>
    <w:rsid w:val="00E42508"/>
  </w:style>
  <w:style w:type="paragraph" w:styleId="affc">
    <w:name w:val="Salutation"/>
    <w:basedOn w:val="a1"/>
    <w:next w:val="a1"/>
    <w:link w:val="Chard"/>
    <w:uiPriority w:val="99"/>
    <w:semiHidden/>
    <w:unhideWhenUsed/>
    <w:rsid w:val="00E42508"/>
  </w:style>
  <w:style w:type="character" w:customStyle="1" w:styleId="Chard">
    <w:name w:val="称呼 Char"/>
    <w:basedOn w:val="a2"/>
    <w:link w:val="affc"/>
    <w:uiPriority w:val="99"/>
    <w:semiHidden/>
    <w:rsid w:val="00E42508"/>
  </w:style>
  <w:style w:type="paragraph" w:styleId="affd">
    <w:name w:val="Subtitle"/>
    <w:basedOn w:val="a1"/>
    <w:next w:val="a1"/>
    <w:link w:val="Chare"/>
    <w:uiPriority w:val="11"/>
    <w:qFormat/>
    <w:rsid w:val="00E42508"/>
    <w:pPr>
      <w:numPr>
        <w:ilvl w:val="1"/>
      </w:numPr>
    </w:pPr>
    <w:rPr>
      <w:color w:val="5A5A5A" w:themeColor="text1" w:themeTint="A5"/>
      <w:spacing w:val="15"/>
    </w:rPr>
  </w:style>
  <w:style w:type="character" w:customStyle="1" w:styleId="Chare">
    <w:name w:val="副标题 Char"/>
    <w:basedOn w:val="a2"/>
    <w:link w:val="affd"/>
    <w:uiPriority w:val="11"/>
    <w:rsid w:val="00E42508"/>
    <w:rPr>
      <w:rFonts w:eastAsiaTheme="minorEastAsia"/>
      <w:color w:val="5A5A5A" w:themeColor="text1" w:themeTint="A5"/>
      <w:spacing w:val="15"/>
    </w:rPr>
  </w:style>
  <w:style w:type="paragraph" w:styleId="affe">
    <w:name w:val="Message Header"/>
    <w:basedOn w:val="a1"/>
    <w:link w:val="Charf"/>
    <w:uiPriority w:val="99"/>
    <w:semiHidden/>
    <w:unhideWhenUsed/>
    <w:rsid w:val="00E4250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Charf">
    <w:name w:val="信息标题 Char"/>
    <w:basedOn w:val="a2"/>
    <w:link w:val="affe"/>
    <w:uiPriority w:val="99"/>
    <w:semiHidden/>
    <w:rsid w:val="00E42508"/>
    <w:rPr>
      <w:rFonts w:asciiTheme="majorHAnsi" w:eastAsiaTheme="majorEastAsia" w:hAnsiTheme="majorHAnsi" w:cstheme="majorBidi"/>
      <w:sz w:val="24"/>
      <w:szCs w:val="24"/>
      <w:shd w:val="pct20" w:color="auto" w:fill="auto"/>
    </w:rPr>
  </w:style>
  <w:style w:type="paragraph" w:styleId="52">
    <w:name w:val="List Continue 5"/>
    <w:basedOn w:val="a1"/>
    <w:uiPriority w:val="99"/>
    <w:semiHidden/>
    <w:unhideWhenUsed/>
    <w:rsid w:val="00E42508"/>
    <w:pPr>
      <w:spacing w:after="120"/>
      <w:ind w:left="1415"/>
      <w:contextualSpacing/>
    </w:pPr>
  </w:style>
  <w:style w:type="paragraph" w:styleId="42">
    <w:name w:val="List Continue 4"/>
    <w:basedOn w:val="a1"/>
    <w:uiPriority w:val="99"/>
    <w:semiHidden/>
    <w:unhideWhenUsed/>
    <w:rsid w:val="00E42508"/>
    <w:pPr>
      <w:spacing w:after="120"/>
      <w:ind w:left="1132"/>
      <w:contextualSpacing/>
    </w:pPr>
  </w:style>
  <w:style w:type="paragraph" w:styleId="35">
    <w:name w:val="List Continue 3"/>
    <w:basedOn w:val="a1"/>
    <w:uiPriority w:val="99"/>
    <w:semiHidden/>
    <w:unhideWhenUsed/>
    <w:rsid w:val="00E42508"/>
    <w:pPr>
      <w:spacing w:after="120"/>
      <w:ind w:left="849"/>
      <w:contextualSpacing/>
    </w:pPr>
  </w:style>
  <w:style w:type="paragraph" w:styleId="28">
    <w:name w:val="List Continue 2"/>
    <w:basedOn w:val="a1"/>
    <w:uiPriority w:val="99"/>
    <w:semiHidden/>
    <w:unhideWhenUsed/>
    <w:rsid w:val="00E42508"/>
    <w:pPr>
      <w:spacing w:after="120"/>
      <w:ind w:left="566"/>
      <w:contextualSpacing/>
    </w:pPr>
  </w:style>
  <w:style w:type="paragraph" w:styleId="afff">
    <w:name w:val="List Continue"/>
    <w:basedOn w:val="a1"/>
    <w:uiPriority w:val="99"/>
    <w:semiHidden/>
    <w:unhideWhenUsed/>
    <w:rsid w:val="00E42508"/>
    <w:pPr>
      <w:spacing w:after="120"/>
      <w:ind w:left="283"/>
      <w:contextualSpacing/>
    </w:pPr>
  </w:style>
  <w:style w:type="paragraph" w:styleId="afff0">
    <w:name w:val="Signature"/>
    <w:basedOn w:val="a1"/>
    <w:link w:val="Charf0"/>
    <w:uiPriority w:val="99"/>
    <w:semiHidden/>
    <w:unhideWhenUsed/>
    <w:rsid w:val="00E42508"/>
    <w:pPr>
      <w:spacing w:after="0" w:line="240" w:lineRule="auto"/>
      <w:ind w:left="4252"/>
    </w:pPr>
  </w:style>
  <w:style w:type="character" w:customStyle="1" w:styleId="Charf0">
    <w:name w:val="签名 Char"/>
    <w:basedOn w:val="a2"/>
    <w:link w:val="afff0"/>
    <w:uiPriority w:val="99"/>
    <w:semiHidden/>
    <w:rsid w:val="00E42508"/>
  </w:style>
  <w:style w:type="paragraph" w:styleId="afff1">
    <w:name w:val="Closing"/>
    <w:basedOn w:val="a1"/>
    <w:link w:val="Charf1"/>
    <w:uiPriority w:val="99"/>
    <w:semiHidden/>
    <w:unhideWhenUsed/>
    <w:rsid w:val="00E42508"/>
    <w:pPr>
      <w:spacing w:after="0" w:line="240" w:lineRule="auto"/>
      <w:ind w:left="4252"/>
    </w:pPr>
  </w:style>
  <w:style w:type="character" w:customStyle="1" w:styleId="Charf1">
    <w:name w:val="结束语 Char"/>
    <w:basedOn w:val="a2"/>
    <w:link w:val="afff1"/>
    <w:uiPriority w:val="99"/>
    <w:semiHidden/>
    <w:rsid w:val="00E42508"/>
  </w:style>
  <w:style w:type="paragraph" w:styleId="afff2">
    <w:name w:val="Title"/>
    <w:basedOn w:val="a1"/>
    <w:next w:val="a1"/>
    <w:link w:val="Charf2"/>
    <w:uiPriority w:val="10"/>
    <w:qFormat/>
    <w:rsid w:val="00E425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f2">
    <w:name w:val="标题 Char"/>
    <w:basedOn w:val="a2"/>
    <w:link w:val="afff2"/>
    <w:uiPriority w:val="10"/>
    <w:rsid w:val="00E42508"/>
    <w:rPr>
      <w:rFonts w:asciiTheme="majorHAnsi" w:eastAsiaTheme="majorEastAsia" w:hAnsiTheme="majorHAnsi" w:cstheme="majorBidi"/>
      <w:spacing w:val="-10"/>
      <w:kern w:val="28"/>
      <w:sz w:val="56"/>
      <w:szCs w:val="56"/>
    </w:rPr>
  </w:style>
  <w:style w:type="paragraph" w:styleId="5">
    <w:name w:val="List Number 5"/>
    <w:basedOn w:val="a1"/>
    <w:uiPriority w:val="99"/>
    <w:semiHidden/>
    <w:unhideWhenUsed/>
    <w:rsid w:val="00E42508"/>
    <w:pPr>
      <w:numPr>
        <w:numId w:val="2"/>
      </w:numPr>
      <w:contextualSpacing/>
    </w:pPr>
  </w:style>
  <w:style w:type="paragraph" w:styleId="4">
    <w:name w:val="List Number 4"/>
    <w:basedOn w:val="a1"/>
    <w:uiPriority w:val="99"/>
    <w:semiHidden/>
    <w:unhideWhenUsed/>
    <w:rsid w:val="00E42508"/>
    <w:pPr>
      <w:numPr>
        <w:numId w:val="3"/>
      </w:numPr>
      <w:contextualSpacing/>
    </w:pPr>
  </w:style>
  <w:style w:type="paragraph" w:styleId="3">
    <w:name w:val="List Number 3"/>
    <w:basedOn w:val="a1"/>
    <w:uiPriority w:val="99"/>
    <w:semiHidden/>
    <w:unhideWhenUsed/>
    <w:rsid w:val="00E42508"/>
    <w:pPr>
      <w:numPr>
        <w:numId w:val="4"/>
      </w:numPr>
      <w:contextualSpacing/>
    </w:pPr>
  </w:style>
  <w:style w:type="paragraph" w:styleId="2">
    <w:name w:val="List Number 2"/>
    <w:basedOn w:val="a1"/>
    <w:uiPriority w:val="99"/>
    <w:semiHidden/>
    <w:unhideWhenUsed/>
    <w:rsid w:val="00E42508"/>
    <w:pPr>
      <w:numPr>
        <w:numId w:val="5"/>
      </w:numPr>
      <w:contextualSpacing/>
    </w:pPr>
  </w:style>
  <w:style w:type="paragraph" w:styleId="50">
    <w:name w:val="List Bullet 5"/>
    <w:basedOn w:val="a1"/>
    <w:uiPriority w:val="99"/>
    <w:semiHidden/>
    <w:unhideWhenUsed/>
    <w:rsid w:val="00E42508"/>
    <w:pPr>
      <w:numPr>
        <w:numId w:val="6"/>
      </w:numPr>
      <w:contextualSpacing/>
    </w:pPr>
  </w:style>
  <w:style w:type="paragraph" w:styleId="40">
    <w:name w:val="List Bullet 4"/>
    <w:basedOn w:val="a1"/>
    <w:uiPriority w:val="99"/>
    <w:semiHidden/>
    <w:unhideWhenUsed/>
    <w:rsid w:val="00E42508"/>
    <w:pPr>
      <w:numPr>
        <w:numId w:val="7"/>
      </w:numPr>
      <w:contextualSpacing/>
    </w:pPr>
  </w:style>
  <w:style w:type="paragraph" w:styleId="30">
    <w:name w:val="List Bullet 3"/>
    <w:basedOn w:val="a1"/>
    <w:uiPriority w:val="99"/>
    <w:semiHidden/>
    <w:unhideWhenUsed/>
    <w:rsid w:val="00E42508"/>
    <w:pPr>
      <w:numPr>
        <w:numId w:val="8"/>
      </w:numPr>
      <w:contextualSpacing/>
    </w:pPr>
  </w:style>
  <w:style w:type="paragraph" w:styleId="20">
    <w:name w:val="List Bullet 2"/>
    <w:basedOn w:val="a1"/>
    <w:uiPriority w:val="99"/>
    <w:semiHidden/>
    <w:unhideWhenUsed/>
    <w:rsid w:val="00E42508"/>
    <w:pPr>
      <w:numPr>
        <w:numId w:val="9"/>
      </w:numPr>
      <w:contextualSpacing/>
    </w:pPr>
  </w:style>
  <w:style w:type="paragraph" w:styleId="53">
    <w:name w:val="List 5"/>
    <w:basedOn w:val="a1"/>
    <w:uiPriority w:val="99"/>
    <w:semiHidden/>
    <w:unhideWhenUsed/>
    <w:rsid w:val="00E42508"/>
    <w:pPr>
      <w:ind w:left="1415" w:hanging="283"/>
      <w:contextualSpacing/>
    </w:pPr>
  </w:style>
  <w:style w:type="paragraph" w:styleId="43">
    <w:name w:val="List 4"/>
    <w:basedOn w:val="a1"/>
    <w:uiPriority w:val="99"/>
    <w:semiHidden/>
    <w:unhideWhenUsed/>
    <w:rsid w:val="00E42508"/>
    <w:pPr>
      <w:ind w:left="1132" w:hanging="283"/>
      <w:contextualSpacing/>
    </w:pPr>
  </w:style>
  <w:style w:type="paragraph" w:styleId="36">
    <w:name w:val="List 3"/>
    <w:basedOn w:val="a1"/>
    <w:uiPriority w:val="99"/>
    <w:semiHidden/>
    <w:unhideWhenUsed/>
    <w:rsid w:val="00E42508"/>
    <w:pPr>
      <w:ind w:left="849" w:hanging="283"/>
      <w:contextualSpacing/>
    </w:pPr>
  </w:style>
  <w:style w:type="paragraph" w:styleId="29">
    <w:name w:val="List 2"/>
    <w:basedOn w:val="a1"/>
    <w:uiPriority w:val="99"/>
    <w:semiHidden/>
    <w:unhideWhenUsed/>
    <w:rsid w:val="00E42508"/>
    <w:pPr>
      <w:ind w:left="566" w:hanging="283"/>
      <w:contextualSpacing/>
    </w:pPr>
  </w:style>
  <w:style w:type="paragraph" w:styleId="a">
    <w:name w:val="List Number"/>
    <w:basedOn w:val="a1"/>
    <w:uiPriority w:val="99"/>
    <w:semiHidden/>
    <w:unhideWhenUsed/>
    <w:rsid w:val="00E42508"/>
    <w:pPr>
      <w:numPr>
        <w:numId w:val="10"/>
      </w:numPr>
      <w:contextualSpacing/>
    </w:pPr>
  </w:style>
  <w:style w:type="paragraph" w:styleId="a0">
    <w:name w:val="List Bullet"/>
    <w:basedOn w:val="a1"/>
    <w:uiPriority w:val="99"/>
    <w:semiHidden/>
    <w:unhideWhenUsed/>
    <w:rsid w:val="00E42508"/>
    <w:pPr>
      <w:numPr>
        <w:numId w:val="11"/>
      </w:numPr>
      <w:contextualSpacing/>
    </w:pPr>
  </w:style>
  <w:style w:type="paragraph" w:styleId="afff3">
    <w:name w:val="List"/>
    <w:basedOn w:val="a1"/>
    <w:uiPriority w:val="99"/>
    <w:semiHidden/>
    <w:unhideWhenUsed/>
    <w:rsid w:val="00E42508"/>
    <w:pPr>
      <w:ind w:left="283" w:hanging="283"/>
      <w:contextualSpacing/>
    </w:pPr>
  </w:style>
  <w:style w:type="paragraph" w:styleId="afff4">
    <w:name w:val="toa heading"/>
    <w:basedOn w:val="a1"/>
    <w:next w:val="a1"/>
    <w:uiPriority w:val="99"/>
    <w:semiHidden/>
    <w:unhideWhenUsed/>
    <w:rsid w:val="00E42508"/>
    <w:pPr>
      <w:spacing w:before="120"/>
    </w:pPr>
    <w:rPr>
      <w:rFonts w:asciiTheme="majorHAnsi" w:eastAsiaTheme="majorEastAsia" w:hAnsiTheme="majorHAnsi" w:cstheme="majorBidi"/>
      <w:b/>
      <w:bCs/>
      <w:sz w:val="24"/>
      <w:szCs w:val="24"/>
    </w:rPr>
  </w:style>
  <w:style w:type="paragraph" w:styleId="afff5">
    <w:name w:val="macro"/>
    <w:link w:val="Charf3"/>
    <w:uiPriority w:val="99"/>
    <w:semiHidden/>
    <w:unhideWhenUsed/>
    <w:rsid w:val="00E4250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Charf3">
    <w:name w:val="宏文本 Char"/>
    <w:basedOn w:val="a2"/>
    <w:link w:val="afff5"/>
    <w:uiPriority w:val="99"/>
    <w:semiHidden/>
    <w:rsid w:val="00E42508"/>
    <w:rPr>
      <w:rFonts w:ascii="Consolas" w:hAnsi="Consolas"/>
      <w:sz w:val="20"/>
      <w:szCs w:val="20"/>
    </w:rPr>
  </w:style>
  <w:style w:type="paragraph" w:styleId="afff6">
    <w:name w:val="table of authorities"/>
    <w:basedOn w:val="a1"/>
    <w:next w:val="a1"/>
    <w:uiPriority w:val="99"/>
    <w:semiHidden/>
    <w:unhideWhenUsed/>
    <w:rsid w:val="00E42508"/>
    <w:pPr>
      <w:spacing w:after="0"/>
      <w:ind w:left="220" w:hanging="220"/>
    </w:pPr>
  </w:style>
  <w:style w:type="paragraph" w:styleId="afff7">
    <w:name w:val="endnote text"/>
    <w:basedOn w:val="a1"/>
    <w:link w:val="Charf4"/>
    <w:uiPriority w:val="99"/>
    <w:semiHidden/>
    <w:unhideWhenUsed/>
    <w:rsid w:val="00E42508"/>
    <w:pPr>
      <w:spacing w:after="0" w:line="240" w:lineRule="auto"/>
    </w:pPr>
    <w:rPr>
      <w:sz w:val="20"/>
      <w:szCs w:val="20"/>
    </w:rPr>
  </w:style>
  <w:style w:type="character" w:customStyle="1" w:styleId="Charf4">
    <w:name w:val="尾注文本 Char"/>
    <w:basedOn w:val="a2"/>
    <w:link w:val="afff7"/>
    <w:uiPriority w:val="99"/>
    <w:semiHidden/>
    <w:rsid w:val="00E42508"/>
    <w:rPr>
      <w:sz w:val="20"/>
      <w:szCs w:val="20"/>
    </w:rPr>
  </w:style>
  <w:style w:type="character" w:styleId="afff8">
    <w:name w:val="endnote reference"/>
    <w:basedOn w:val="a2"/>
    <w:uiPriority w:val="99"/>
    <w:semiHidden/>
    <w:unhideWhenUsed/>
    <w:rsid w:val="00E42508"/>
    <w:rPr>
      <w:vertAlign w:val="superscript"/>
    </w:rPr>
  </w:style>
  <w:style w:type="character" w:styleId="afff9">
    <w:name w:val="page number"/>
    <w:basedOn w:val="a2"/>
    <w:uiPriority w:val="99"/>
    <w:semiHidden/>
    <w:unhideWhenUsed/>
    <w:rsid w:val="00E42508"/>
  </w:style>
  <w:style w:type="character" w:styleId="afffa">
    <w:name w:val="line number"/>
    <w:basedOn w:val="a2"/>
    <w:uiPriority w:val="99"/>
    <w:semiHidden/>
    <w:unhideWhenUsed/>
    <w:rsid w:val="00E42508"/>
  </w:style>
  <w:style w:type="character" w:styleId="afffb">
    <w:name w:val="footnote reference"/>
    <w:basedOn w:val="a2"/>
    <w:uiPriority w:val="99"/>
    <w:semiHidden/>
    <w:unhideWhenUsed/>
    <w:rsid w:val="00E42508"/>
    <w:rPr>
      <w:vertAlign w:val="superscript"/>
    </w:rPr>
  </w:style>
  <w:style w:type="paragraph" w:styleId="afffc">
    <w:name w:val="envelope return"/>
    <w:basedOn w:val="a1"/>
    <w:uiPriority w:val="99"/>
    <w:semiHidden/>
    <w:unhideWhenUsed/>
    <w:rsid w:val="00E42508"/>
    <w:pPr>
      <w:spacing w:after="0" w:line="240" w:lineRule="auto"/>
    </w:pPr>
    <w:rPr>
      <w:rFonts w:asciiTheme="majorHAnsi" w:eastAsiaTheme="majorEastAsia" w:hAnsiTheme="majorHAnsi" w:cstheme="majorBidi"/>
      <w:sz w:val="20"/>
      <w:szCs w:val="20"/>
    </w:rPr>
  </w:style>
  <w:style w:type="paragraph" w:styleId="afffd">
    <w:name w:val="envelope address"/>
    <w:basedOn w:val="a1"/>
    <w:uiPriority w:val="99"/>
    <w:semiHidden/>
    <w:unhideWhenUsed/>
    <w:rsid w:val="00E4250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fe">
    <w:name w:val="table of figures"/>
    <w:basedOn w:val="a1"/>
    <w:next w:val="a1"/>
    <w:uiPriority w:val="99"/>
    <w:semiHidden/>
    <w:unhideWhenUsed/>
    <w:rsid w:val="00E42508"/>
    <w:pPr>
      <w:spacing w:after="0"/>
    </w:pPr>
  </w:style>
  <w:style w:type="paragraph" w:styleId="affff">
    <w:name w:val="caption"/>
    <w:basedOn w:val="a1"/>
    <w:next w:val="a1"/>
    <w:uiPriority w:val="35"/>
    <w:semiHidden/>
    <w:unhideWhenUsed/>
    <w:qFormat/>
    <w:rsid w:val="00E42508"/>
    <w:pPr>
      <w:spacing w:after="200" w:line="240" w:lineRule="auto"/>
    </w:pPr>
    <w:rPr>
      <w:i/>
      <w:iCs/>
      <w:color w:val="44546A" w:themeColor="text2"/>
      <w:sz w:val="18"/>
      <w:szCs w:val="18"/>
    </w:rPr>
  </w:style>
  <w:style w:type="paragraph" w:styleId="13">
    <w:name w:val="index 1"/>
    <w:basedOn w:val="a1"/>
    <w:next w:val="a1"/>
    <w:autoRedefine/>
    <w:uiPriority w:val="99"/>
    <w:semiHidden/>
    <w:unhideWhenUsed/>
    <w:rsid w:val="00E42508"/>
    <w:pPr>
      <w:spacing w:after="0" w:line="240" w:lineRule="auto"/>
      <w:ind w:left="220" w:hanging="220"/>
    </w:pPr>
  </w:style>
  <w:style w:type="paragraph" w:styleId="affff0">
    <w:name w:val="index heading"/>
    <w:basedOn w:val="a1"/>
    <w:next w:val="13"/>
    <w:uiPriority w:val="99"/>
    <w:semiHidden/>
    <w:unhideWhenUsed/>
    <w:rsid w:val="00E42508"/>
    <w:rPr>
      <w:rFonts w:asciiTheme="majorHAnsi" w:eastAsiaTheme="majorEastAsia" w:hAnsiTheme="majorHAnsi" w:cstheme="majorBidi"/>
      <w:b/>
      <w:bCs/>
    </w:rPr>
  </w:style>
  <w:style w:type="paragraph" w:styleId="affff1">
    <w:name w:val="footnote text"/>
    <w:basedOn w:val="a1"/>
    <w:link w:val="Charf5"/>
    <w:uiPriority w:val="99"/>
    <w:semiHidden/>
    <w:unhideWhenUsed/>
    <w:rsid w:val="00E42508"/>
    <w:pPr>
      <w:spacing w:after="0" w:line="240" w:lineRule="auto"/>
    </w:pPr>
    <w:rPr>
      <w:sz w:val="20"/>
      <w:szCs w:val="20"/>
    </w:rPr>
  </w:style>
  <w:style w:type="character" w:customStyle="1" w:styleId="Charf5">
    <w:name w:val="脚注文本 Char"/>
    <w:basedOn w:val="a2"/>
    <w:link w:val="affff1"/>
    <w:uiPriority w:val="99"/>
    <w:semiHidden/>
    <w:rsid w:val="00E42508"/>
    <w:rPr>
      <w:sz w:val="20"/>
      <w:szCs w:val="20"/>
    </w:rPr>
  </w:style>
  <w:style w:type="paragraph" w:styleId="affff2">
    <w:name w:val="Normal Indent"/>
    <w:basedOn w:val="a1"/>
    <w:uiPriority w:val="99"/>
    <w:semiHidden/>
    <w:unhideWhenUsed/>
    <w:rsid w:val="00E42508"/>
    <w:pPr>
      <w:ind w:left="720"/>
    </w:pPr>
  </w:style>
  <w:style w:type="paragraph" w:styleId="90">
    <w:name w:val="toc 9"/>
    <w:basedOn w:val="a1"/>
    <w:next w:val="a1"/>
    <w:autoRedefine/>
    <w:uiPriority w:val="39"/>
    <w:semiHidden/>
    <w:unhideWhenUsed/>
    <w:rsid w:val="00E42508"/>
    <w:pPr>
      <w:spacing w:after="100"/>
      <w:ind w:left="1760"/>
    </w:pPr>
  </w:style>
  <w:style w:type="paragraph" w:styleId="80">
    <w:name w:val="toc 8"/>
    <w:basedOn w:val="a1"/>
    <w:next w:val="a1"/>
    <w:autoRedefine/>
    <w:uiPriority w:val="39"/>
    <w:semiHidden/>
    <w:unhideWhenUsed/>
    <w:rsid w:val="00E42508"/>
    <w:pPr>
      <w:spacing w:after="100"/>
      <w:ind w:left="1540"/>
    </w:pPr>
  </w:style>
  <w:style w:type="paragraph" w:styleId="70">
    <w:name w:val="toc 7"/>
    <w:basedOn w:val="a1"/>
    <w:next w:val="a1"/>
    <w:autoRedefine/>
    <w:uiPriority w:val="39"/>
    <w:semiHidden/>
    <w:unhideWhenUsed/>
    <w:rsid w:val="00E42508"/>
    <w:pPr>
      <w:spacing w:after="100"/>
      <w:ind w:left="1320"/>
    </w:pPr>
  </w:style>
  <w:style w:type="paragraph" w:styleId="60">
    <w:name w:val="toc 6"/>
    <w:basedOn w:val="a1"/>
    <w:next w:val="a1"/>
    <w:autoRedefine/>
    <w:uiPriority w:val="39"/>
    <w:semiHidden/>
    <w:unhideWhenUsed/>
    <w:rsid w:val="00E42508"/>
    <w:pPr>
      <w:spacing w:after="100"/>
      <w:ind w:left="1100"/>
    </w:pPr>
  </w:style>
  <w:style w:type="paragraph" w:styleId="54">
    <w:name w:val="toc 5"/>
    <w:basedOn w:val="a1"/>
    <w:next w:val="a1"/>
    <w:autoRedefine/>
    <w:uiPriority w:val="39"/>
    <w:semiHidden/>
    <w:unhideWhenUsed/>
    <w:rsid w:val="00E42508"/>
    <w:pPr>
      <w:spacing w:after="100"/>
      <w:ind w:left="880"/>
    </w:pPr>
  </w:style>
  <w:style w:type="paragraph" w:styleId="44">
    <w:name w:val="toc 4"/>
    <w:basedOn w:val="a1"/>
    <w:next w:val="a1"/>
    <w:autoRedefine/>
    <w:uiPriority w:val="39"/>
    <w:semiHidden/>
    <w:unhideWhenUsed/>
    <w:rsid w:val="00E42508"/>
    <w:pPr>
      <w:spacing w:after="100"/>
      <w:ind w:left="660"/>
    </w:pPr>
  </w:style>
  <w:style w:type="paragraph" w:styleId="37">
    <w:name w:val="toc 3"/>
    <w:basedOn w:val="a1"/>
    <w:next w:val="a1"/>
    <w:autoRedefine/>
    <w:uiPriority w:val="39"/>
    <w:semiHidden/>
    <w:unhideWhenUsed/>
    <w:rsid w:val="00E42508"/>
    <w:pPr>
      <w:spacing w:after="100"/>
      <w:ind w:left="440"/>
    </w:pPr>
  </w:style>
  <w:style w:type="paragraph" w:styleId="2a">
    <w:name w:val="toc 2"/>
    <w:basedOn w:val="a1"/>
    <w:next w:val="a1"/>
    <w:autoRedefine/>
    <w:uiPriority w:val="39"/>
    <w:semiHidden/>
    <w:unhideWhenUsed/>
    <w:rsid w:val="00E42508"/>
    <w:pPr>
      <w:spacing w:after="100"/>
      <w:ind w:left="220"/>
    </w:pPr>
  </w:style>
  <w:style w:type="paragraph" w:styleId="14">
    <w:name w:val="toc 1"/>
    <w:basedOn w:val="a1"/>
    <w:next w:val="a1"/>
    <w:autoRedefine/>
    <w:uiPriority w:val="39"/>
    <w:semiHidden/>
    <w:unhideWhenUsed/>
    <w:rsid w:val="00E42508"/>
    <w:pPr>
      <w:spacing w:after="100"/>
    </w:pPr>
  </w:style>
  <w:style w:type="paragraph" w:styleId="91">
    <w:name w:val="index 9"/>
    <w:basedOn w:val="a1"/>
    <w:next w:val="a1"/>
    <w:autoRedefine/>
    <w:uiPriority w:val="99"/>
    <w:semiHidden/>
    <w:unhideWhenUsed/>
    <w:rsid w:val="00E42508"/>
    <w:pPr>
      <w:spacing w:after="0" w:line="240" w:lineRule="auto"/>
      <w:ind w:left="1980" w:hanging="220"/>
    </w:pPr>
  </w:style>
  <w:style w:type="paragraph" w:styleId="81">
    <w:name w:val="index 8"/>
    <w:basedOn w:val="a1"/>
    <w:next w:val="a1"/>
    <w:autoRedefine/>
    <w:uiPriority w:val="99"/>
    <w:semiHidden/>
    <w:unhideWhenUsed/>
    <w:rsid w:val="00E42508"/>
    <w:pPr>
      <w:spacing w:after="0" w:line="240" w:lineRule="auto"/>
      <w:ind w:left="1760" w:hanging="220"/>
    </w:pPr>
  </w:style>
  <w:style w:type="paragraph" w:styleId="71">
    <w:name w:val="index 7"/>
    <w:basedOn w:val="a1"/>
    <w:next w:val="a1"/>
    <w:autoRedefine/>
    <w:uiPriority w:val="99"/>
    <w:semiHidden/>
    <w:unhideWhenUsed/>
    <w:rsid w:val="00E42508"/>
    <w:pPr>
      <w:spacing w:after="0" w:line="240" w:lineRule="auto"/>
      <w:ind w:left="1540" w:hanging="220"/>
    </w:pPr>
  </w:style>
  <w:style w:type="paragraph" w:styleId="61">
    <w:name w:val="index 6"/>
    <w:basedOn w:val="a1"/>
    <w:next w:val="a1"/>
    <w:autoRedefine/>
    <w:uiPriority w:val="99"/>
    <w:semiHidden/>
    <w:unhideWhenUsed/>
    <w:rsid w:val="00E42508"/>
    <w:pPr>
      <w:spacing w:after="0" w:line="240" w:lineRule="auto"/>
      <w:ind w:left="1320" w:hanging="220"/>
    </w:pPr>
  </w:style>
  <w:style w:type="paragraph" w:styleId="55">
    <w:name w:val="index 5"/>
    <w:basedOn w:val="a1"/>
    <w:next w:val="a1"/>
    <w:autoRedefine/>
    <w:uiPriority w:val="99"/>
    <w:semiHidden/>
    <w:unhideWhenUsed/>
    <w:rsid w:val="00E42508"/>
    <w:pPr>
      <w:spacing w:after="0" w:line="240" w:lineRule="auto"/>
      <w:ind w:left="1100" w:hanging="220"/>
    </w:pPr>
  </w:style>
  <w:style w:type="paragraph" w:styleId="45">
    <w:name w:val="index 4"/>
    <w:basedOn w:val="a1"/>
    <w:next w:val="a1"/>
    <w:autoRedefine/>
    <w:uiPriority w:val="99"/>
    <w:semiHidden/>
    <w:unhideWhenUsed/>
    <w:rsid w:val="00E42508"/>
    <w:pPr>
      <w:spacing w:after="0" w:line="240" w:lineRule="auto"/>
      <w:ind w:left="880" w:hanging="220"/>
    </w:pPr>
  </w:style>
  <w:style w:type="paragraph" w:styleId="38">
    <w:name w:val="index 3"/>
    <w:basedOn w:val="a1"/>
    <w:next w:val="a1"/>
    <w:autoRedefine/>
    <w:uiPriority w:val="99"/>
    <w:semiHidden/>
    <w:unhideWhenUsed/>
    <w:rsid w:val="00E42508"/>
    <w:pPr>
      <w:spacing w:after="0" w:line="240" w:lineRule="auto"/>
      <w:ind w:left="660" w:hanging="220"/>
    </w:pPr>
  </w:style>
  <w:style w:type="paragraph" w:styleId="2b">
    <w:name w:val="index 2"/>
    <w:basedOn w:val="a1"/>
    <w:next w:val="a1"/>
    <w:autoRedefine/>
    <w:uiPriority w:val="99"/>
    <w:semiHidden/>
    <w:unhideWhenUsed/>
    <w:rsid w:val="00E42508"/>
    <w:pPr>
      <w:spacing w:after="0" w:line="240" w:lineRule="auto"/>
      <w:ind w:left="440" w:hanging="220"/>
    </w:pPr>
  </w:style>
  <w:style w:type="character" w:customStyle="1" w:styleId="Charf6">
    <w:name w:val="批注文字 Char"/>
    <w:semiHidden/>
    <w:rsid w:val="00AE58BD"/>
    <w:rPr>
      <w:rFonts w:ascii="Calibri" w:eastAsia="Calibri" w:hAnsi="Calibri" w:cs="Calibri"/>
      <w:sz w:val="22"/>
      <w:szCs w:val="22"/>
      <w:lang w:val="en-US" w:eastAsia="ar-SA"/>
    </w:rPr>
  </w:style>
  <w:style w:type="paragraph" w:customStyle="1" w:styleId="p1">
    <w:name w:val="p1"/>
    <w:basedOn w:val="a1"/>
    <w:rsid w:val="00AE58BD"/>
    <w:pPr>
      <w:spacing w:after="0" w:line="240" w:lineRule="auto"/>
    </w:pPr>
    <w:rPr>
      <w:rFonts w:ascii="Helvetica" w:hAnsi="Helvetica" w:cs="Times New Roman"/>
      <w:sz w:val="18"/>
      <w:szCs w:val="18"/>
      <w:lang w:eastAsia="zh-CN"/>
    </w:rPr>
  </w:style>
  <w:style w:type="character" w:customStyle="1" w:styleId="fontstyle01">
    <w:name w:val="fontstyle01"/>
    <w:basedOn w:val="a2"/>
    <w:rsid w:val="009F4736"/>
  </w:style>
  <w:style w:type="character" w:customStyle="1" w:styleId="normaltextrun">
    <w:name w:val="normaltextrun"/>
    <w:rsid w:val="00DD1819"/>
  </w:style>
  <w:style w:type="paragraph" w:customStyle="1" w:styleId="paragraph">
    <w:name w:val="paragraph"/>
    <w:basedOn w:val="a1"/>
    <w:rsid w:val="00DD1819"/>
    <w:pPr>
      <w:spacing w:before="100" w:beforeAutospacing="1" w:after="100" w:afterAutospacing="1" w:line="240" w:lineRule="auto"/>
    </w:pPr>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22423">
      <w:bodyDiv w:val="1"/>
      <w:marLeft w:val="0"/>
      <w:marRight w:val="0"/>
      <w:marTop w:val="0"/>
      <w:marBottom w:val="0"/>
      <w:divBdr>
        <w:top w:val="none" w:sz="0" w:space="0" w:color="auto"/>
        <w:left w:val="none" w:sz="0" w:space="0" w:color="auto"/>
        <w:bottom w:val="none" w:sz="0" w:space="0" w:color="auto"/>
        <w:right w:val="none" w:sz="0" w:space="0" w:color="auto"/>
      </w:divBdr>
    </w:div>
    <w:div w:id="130097794">
      <w:bodyDiv w:val="1"/>
      <w:marLeft w:val="0"/>
      <w:marRight w:val="0"/>
      <w:marTop w:val="0"/>
      <w:marBottom w:val="0"/>
      <w:divBdr>
        <w:top w:val="none" w:sz="0" w:space="0" w:color="auto"/>
        <w:left w:val="none" w:sz="0" w:space="0" w:color="auto"/>
        <w:bottom w:val="none" w:sz="0" w:space="0" w:color="auto"/>
        <w:right w:val="none" w:sz="0" w:space="0" w:color="auto"/>
      </w:divBdr>
    </w:div>
    <w:div w:id="131598570">
      <w:bodyDiv w:val="1"/>
      <w:marLeft w:val="0"/>
      <w:marRight w:val="0"/>
      <w:marTop w:val="0"/>
      <w:marBottom w:val="0"/>
      <w:divBdr>
        <w:top w:val="none" w:sz="0" w:space="0" w:color="auto"/>
        <w:left w:val="none" w:sz="0" w:space="0" w:color="auto"/>
        <w:bottom w:val="none" w:sz="0" w:space="0" w:color="auto"/>
        <w:right w:val="none" w:sz="0" w:space="0" w:color="auto"/>
      </w:divBdr>
    </w:div>
    <w:div w:id="248663081">
      <w:bodyDiv w:val="1"/>
      <w:marLeft w:val="0"/>
      <w:marRight w:val="0"/>
      <w:marTop w:val="0"/>
      <w:marBottom w:val="0"/>
      <w:divBdr>
        <w:top w:val="none" w:sz="0" w:space="0" w:color="auto"/>
        <w:left w:val="none" w:sz="0" w:space="0" w:color="auto"/>
        <w:bottom w:val="none" w:sz="0" w:space="0" w:color="auto"/>
        <w:right w:val="none" w:sz="0" w:space="0" w:color="auto"/>
      </w:divBdr>
    </w:div>
    <w:div w:id="275842152">
      <w:bodyDiv w:val="1"/>
      <w:marLeft w:val="0"/>
      <w:marRight w:val="0"/>
      <w:marTop w:val="0"/>
      <w:marBottom w:val="0"/>
      <w:divBdr>
        <w:top w:val="none" w:sz="0" w:space="0" w:color="auto"/>
        <w:left w:val="none" w:sz="0" w:space="0" w:color="auto"/>
        <w:bottom w:val="none" w:sz="0" w:space="0" w:color="auto"/>
        <w:right w:val="none" w:sz="0" w:space="0" w:color="auto"/>
      </w:divBdr>
    </w:div>
    <w:div w:id="348217877">
      <w:bodyDiv w:val="1"/>
      <w:marLeft w:val="0"/>
      <w:marRight w:val="0"/>
      <w:marTop w:val="0"/>
      <w:marBottom w:val="0"/>
      <w:divBdr>
        <w:top w:val="none" w:sz="0" w:space="0" w:color="auto"/>
        <w:left w:val="none" w:sz="0" w:space="0" w:color="auto"/>
        <w:bottom w:val="none" w:sz="0" w:space="0" w:color="auto"/>
        <w:right w:val="none" w:sz="0" w:space="0" w:color="auto"/>
      </w:divBdr>
    </w:div>
    <w:div w:id="384841015">
      <w:bodyDiv w:val="1"/>
      <w:marLeft w:val="0"/>
      <w:marRight w:val="0"/>
      <w:marTop w:val="0"/>
      <w:marBottom w:val="0"/>
      <w:divBdr>
        <w:top w:val="none" w:sz="0" w:space="0" w:color="auto"/>
        <w:left w:val="none" w:sz="0" w:space="0" w:color="auto"/>
        <w:bottom w:val="none" w:sz="0" w:space="0" w:color="auto"/>
        <w:right w:val="none" w:sz="0" w:space="0" w:color="auto"/>
      </w:divBdr>
    </w:div>
    <w:div w:id="396250244">
      <w:bodyDiv w:val="1"/>
      <w:marLeft w:val="0"/>
      <w:marRight w:val="0"/>
      <w:marTop w:val="0"/>
      <w:marBottom w:val="0"/>
      <w:divBdr>
        <w:top w:val="none" w:sz="0" w:space="0" w:color="auto"/>
        <w:left w:val="none" w:sz="0" w:space="0" w:color="auto"/>
        <w:bottom w:val="none" w:sz="0" w:space="0" w:color="auto"/>
        <w:right w:val="none" w:sz="0" w:space="0" w:color="auto"/>
      </w:divBdr>
    </w:div>
    <w:div w:id="454953720">
      <w:bodyDiv w:val="1"/>
      <w:marLeft w:val="0"/>
      <w:marRight w:val="0"/>
      <w:marTop w:val="0"/>
      <w:marBottom w:val="0"/>
      <w:divBdr>
        <w:top w:val="none" w:sz="0" w:space="0" w:color="auto"/>
        <w:left w:val="none" w:sz="0" w:space="0" w:color="auto"/>
        <w:bottom w:val="none" w:sz="0" w:space="0" w:color="auto"/>
        <w:right w:val="none" w:sz="0" w:space="0" w:color="auto"/>
      </w:divBdr>
    </w:div>
    <w:div w:id="577641968">
      <w:bodyDiv w:val="1"/>
      <w:marLeft w:val="0"/>
      <w:marRight w:val="0"/>
      <w:marTop w:val="0"/>
      <w:marBottom w:val="0"/>
      <w:divBdr>
        <w:top w:val="none" w:sz="0" w:space="0" w:color="auto"/>
        <w:left w:val="none" w:sz="0" w:space="0" w:color="auto"/>
        <w:bottom w:val="none" w:sz="0" w:space="0" w:color="auto"/>
        <w:right w:val="none" w:sz="0" w:space="0" w:color="auto"/>
      </w:divBdr>
    </w:div>
    <w:div w:id="719280212">
      <w:bodyDiv w:val="1"/>
      <w:marLeft w:val="0"/>
      <w:marRight w:val="0"/>
      <w:marTop w:val="0"/>
      <w:marBottom w:val="0"/>
      <w:divBdr>
        <w:top w:val="none" w:sz="0" w:space="0" w:color="auto"/>
        <w:left w:val="none" w:sz="0" w:space="0" w:color="auto"/>
        <w:bottom w:val="none" w:sz="0" w:space="0" w:color="auto"/>
        <w:right w:val="none" w:sz="0" w:space="0" w:color="auto"/>
      </w:divBdr>
    </w:div>
    <w:div w:id="779034246">
      <w:bodyDiv w:val="1"/>
      <w:marLeft w:val="0"/>
      <w:marRight w:val="0"/>
      <w:marTop w:val="0"/>
      <w:marBottom w:val="0"/>
      <w:divBdr>
        <w:top w:val="none" w:sz="0" w:space="0" w:color="auto"/>
        <w:left w:val="none" w:sz="0" w:space="0" w:color="auto"/>
        <w:bottom w:val="none" w:sz="0" w:space="0" w:color="auto"/>
        <w:right w:val="none" w:sz="0" w:space="0" w:color="auto"/>
      </w:divBdr>
    </w:div>
    <w:div w:id="791637314">
      <w:bodyDiv w:val="1"/>
      <w:marLeft w:val="0"/>
      <w:marRight w:val="0"/>
      <w:marTop w:val="0"/>
      <w:marBottom w:val="0"/>
      <w:divBdr>
        <w:top w:val="none" w:sz="0" w:space="0" w:color="auto"/>
        <w:left w:val="none" w:sz="0" w:space="0" w:color="auto"/>
        <w:bottom w:val="none" w:sz="0" w:space="0" w:color="auto"/>
        <w:right w:val="none" w:sz="0" w:space="0" w:color="auto"/>
      </w:divBdr>
    </w:div>
    <w:div w:id="894701859">
      <w:bodyDiv w:val="1"/>
      <w:marLeft w:val="0"/>
      <w:marRight w:val="0"/>
      <w:marTop w:val="0"/>
      <w:marBottom w:val="0"/>
      <w:divBdr>
        <w:top w:val="none" w:sz="0" w:space="0" w:color="auto"/>
        <w:left w:val="none" w:sz="0" w:space="0" w:color="auto"/>
        <w:bottom w:val="none" w:sz="0" w:space="0" w:color="auto"/>
        <w:right w:val="none" w:sz="0" w:space="0" w:color="auto"/>
      </w:divBdr>
    </w:div>
    <w:div w:id="940183763">
      <w:bodyDiv w:val="1"/>
      <w:marLeft w:val="0"/>
      <w:marRight w:val="0"/>
      <w:marTop w:val="0"/>
      <w:marBottom w:val="0"/>
      <w:divBdr>
        <w:top w:val="none" w:sz="0" w:space="0" w:color="auto"/>
        <w:left w:val="none" w:sz="0" w:space="0" w:color="auto"/>
        <w:bottom w:val="none" w:sz="0" w:space="0" w:color="auto"/>
        <w:right w:val="none" w:sz="0" w:space="0" w:color="auto"/>
      </w:divBdr>
    </w:div>
    <w:div w:id="950665940">
      <w:bodyDiv w:val="1"/>
      <w:marLeft w:val="0"/>
      <w:marRight w:val="0"/>
      <w:marTop w:val="0"/>
      <w:marBottom w:val="0"/>
      <w:divBdr>
        <w:top w:val="none" w:sz="0" w:space="0" w:color="auto"/>
        <w:left w:val="none" w:sz="0" w:space="0" w:color="auto"/>
        <w:bottom w:val="none" w:sz="0" w:space="0" w:color="auto"/>
        <w:right w:val="none" w:sz="0" w:space="0" w:color="auto"/>
      </w:divBdr>
    </w:div>
    <w:div w:id="1198811564">
      <w:bodyDiv w:val="1"/>
      <w:marLeft w:val="0"/>
      <w:marRight w:val="0"/>
      <w:marTop w:val="0"/>
      <w:marBottom w:val="0"/>
      <w:divBdr>
        <w:top w:val="none" w:sz="0" w:space="0" w:color="auto"/>
        <w:left w:val="none" w:sz="0" w:space="0" w:color="auto"/>
        <w:bottom w:val="none" w:sz="0" w:space="0" w:color="auto"/>
        <w:right w:val="none" w:sz="0" w:space="0" w:color="auto"/>
      </w:divBdr>
    </w:div>
    <w:div w:id="1219054614">
      <w:bodyDiv w:val="1"/>
      <w:marLeft w:val="0"/>
      <w:marRight w:val="0"/>
      <w:marTop w:val="0"/>
      <w:marBottom w:val="0"/>
      <w:divBdr>
        <w:top w:val="none" w:sz="0" w:space="0" w:color="auto"/>
        <w:left w:val="none" w:sz="0" w:space="0" w:color="auto"/>
        <w:bottom w:val="none" w:sz="0" w:space="0" w:color="auto"/>
        <w:right w:val="none" w:sz="0" w:space="0" w:color="auto"/>
      </w:divBdr>
    </w:div>
    <w:div w:id="1263412752">
      <w:bodyDiv w:val="1"/>
      <w:marLeft w:val="0"/>
      <w:marRight w:val="0"/>
      <w:marTop w:val="0"/>
      <w:marBottom w:val="0"/>
      <w:divBdr>
        <w:top w:val="none" w:sz="0" w:space="0" w:color="auto"/>
        <w:left w:val="none" w:sz="0" w:space="0" w:color="auto"/>
        <w:bottom w:val="none" w:sz="0" w:space="0" w:color="auto"/>
        <w:right w:val="none" w:sz="0" w:space="0" w:color="auto"/>
      </w:divBdr>
    </w:div>
    <w:div w:id="1442720654">
      <w:bodyDiv w:val="1"/>
      <w:marLeft w:val="0"/>
      <w:marRight w:val="0"/>
      <w:marTop w:val="0"/>
      <w:marBottom w:val="0"/>
      <w:divBdr>
        <w:top w:val="none" w:sz="0" w:space="0" w:color="auto"/>
        <w:left w:val="none" w:sz="0" w:space="0" w:color="auto"/>
        <w:bottom w:val="none" w:sz="0" w:space="0" w:color="auto"/>
        <w:right w:val="none" w:sz="0" w:space="0" w:color="auto"/>
      </w:divBdr>
    </w:div>
    <w:div w:id="1519929708">
      <w:bodyDiv w:val="1"/>
      <w:marLeft w:val="0"/>
      <w:marRight w:val="0"/>
      <w:marTop w:val="0"/>
      <w:marBottom w:val="0"/>
      <w:divBdr>
        <w:top w:val="none" w:sz="0" w:space="0" w:color="auto"/>
        <w:left w:val="none" w:sz="0" w:space="0" w:color="auto"/>
        <w:bottom w:val="none" w:sz="0" w:space="0" w:color="auto"/>
        <w:right w:val="none" w:sz="0" w:space="0" w:color="auto"/>
      </w:divBdr>
    </w:div>
    <w:div w:id="1549953537">
      <w:bodyDiv w:val="1"/>
      <w:marLeft w:val="0"/>
      <w:marRight w:val="0"/>
      <w:marTop w:val="0"/>
      <w:marBottom w:val="0"/>
      <w:divBdr>
        <w:top w:val="none" w:sz="0" w:space="0" w:color="auto"/>
        <w:left w:val="none" w:sz="0" w:space="0" w:color="auto"/>
        <w:bottom w:val="none" w:sz="0" w:space="0" w:color="auto"/>
        <w:right w:val="none" w:sz="0" w:space="0" w:color="auto"/>
      </w:divBdr>
    </w:div>
    <w:div w:id="1573662259">
      <w:bodyDiv w:val="1"/>
      <w:marLeft w:val="0"/>
      <w:marRight w:val="0"/>
      <w:marTop w:val="0"/>
      <w:marBottom w:val="0"/>
      <w:divBdr>
        <w:top w:val="none" w:sz="0" w:space="0" w:color="auto"/>
        <w:left w:val="none" w:sz="0" w:space="0" w:color="auto"/>
        <w:bottom w:val="none" w:sz="0" w:space="0" w:color="auto"/>
        <w:right w:val="none" w:sz="0" w:space="0" w:color="auto"/>
      </w:divBdr>
    </w:div>
    <w:div w:id="1672173271">
      <w:bodyDiv w:val="1"/>
      <w:marLeft w:val="0"/>
      <w:marRight w:val="0"/>
      <w:marTop w:val="0"/>
      <w:marBottom w:val="0"/>
      <w:divBdr>
        <w:top w:val="none" w:sz="0" w:space="0" w:color="auto"/>
        <w:left w:val="none" w:sz="0" w:space="0" w:color="auto"/>
        <w:bottom w:val="none" w:sz="0" w:space="0" w:color="auto"/>
        <w:right w:val="none" w:sz="0" w:space="0" w:color="auto"/>
      </w:divBdr>
    </w:div>
    <w:div w:id="1752968283">
      <w:bodyDiv w:val="1"/>
      <w:marLeft w:val="0"/>
      <w:marRight w:val="0"/>
      <w:marTop w:val="0"/>
      <w:marBottom w:val="0"/>
      <w:divBdr>
        <w:top w:val="none" w:sz="0" w:space="0" w:color="auto"/>
        <w:left w:val="none" w:sz="0" w:space="0" w:color="auto"/>
        <w:bottom w:val="none" w:sz="0" w:space="0" w:color="auto"/>
        <w:right w:val="none" w:sz="0" w:space="0" w:color="auto"/>
      </w:divBdr>
    </w:div>
    <w:div w:id="1896117369">
      <w:bodyDiv w:val="1"/>
      <w:marLeft w:val="0"/>
      <w:marRight w:val="0"/>
      <w:marTop w:val="0"/>
      <w:marBottom w:val="0"/>
      <w:divBdr>
        <w:top w:val="none" w:sz="0" w:space="0" w:color="auto"/>
        <w:left w:val="none" w:sz="0" w:space="0" w:color="auto"/>
        <w:bottom w:val="none" w:sz="0" w:space="0" w:color="auto"/>
        <w:right w:val="none" w:sz="0" w:space="0" w:color="auto"/>
      </w:divBdr>
    </w:div>
    <w:div w:id="1916666480">
      <w:bodyDiv w:val="1"/>
      <w:marLeft w:val="0"/>
      <w:marRight w:val="0"/>
      <w:marTop w:val="0"/>
      <w:marBottom w:val="0"/>
      <w:divBdr>
        <w:top w:val="none" w:sz="0" w:space="0" w:color="auto"/>
        <w:left w:val="none" w:sz="0" w:space="0" w:color="auto"/>
        <w:bottom w:val="none" w:sz="0" w:space="0" w:color="auto"/>
        <w:right w:val="none" w:sz="0" w:space="0" w:color="auto"/>
      </w:divBdr>
    </w:div>
    <w:div w:id="197547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Allgemein"/>
          <w:gallery w:val="placeholder"/>
        </w:category>
        <w:types>
          <w:type w:val="bbPlcHdr"/>
        </w:types>
        <w:behaviors>
          <w:behavior w:val="content"/>
        </w:behaviors>
        <w:guid w:val="{91032EE9-A715-432A-9EBC-2820F2EEF9AB}"/>
      </w:docPartPr>
      <w:docPartBody>
        <w:p w:rsidR="00D86EED" w:rsidRDefault="00953AB8">
          <w:r w:rsidRPr="00706E74">
            <w:rPr>
              <w:rStyle w:val="a3"/>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charset w:val="00"/>
    <w:family w:val="roman"/>
    <w:pitch w:val="default"/>
    <w:sig w:usb0="00000000" w:usb1="00000000" w:usb2="00000010" w:usb3="00000000" w:csb0="00040001"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AB8"/>
    <w:rsid w:val="00020EDE"/>
    <w:rsid w:val="000323DF"/>
    <w:rsid w:val="00090F6A"/>
    <w:rsid w:val="00101740"/>
    <w:rsid w:val="0010403F"/>
    <w:rsid w:val="00134996"/>
    <w:rsid w:val="001B401B"/>
    <w:rsid w:val="001E36D1"/>
    <w:rsid w:val="002603A5"/>
    <w:rsid w:val="00271112"/>
    <w:rsid w:val="00300183"/>
    <w:rsid w:val="00357B82"/>
    <w:rsid w:val="003A5CD3"/>
    <w:rsid w:val="003B10AC"/>
    <w:rsid w:val="003B4B9A"/>
    <w:rsid w:val="00447FC8"/>
    <w:rsid w:val="00451E2D"/>
    <w:rsid w:val="0052227D"/>
    <w:rsid w:val="00702471"/>
    <w:rsid w:val="0071168E"/>
    <w:rsid w:val="007357FB"/>
    <w:rsid w:val="008B0F49"/>
    <w:rsid w:val="008D2BAF"/>
    <w:rsid w:val="00952466"/>
    <w:rsid w:val="00953AB8"/>
    <w:rsid w:val="009869AE"/>
    <w:rsid w:val="009A5624"/>
    <w:rsid w:val="009A727C"/>
    <w:rsid w:val="00B352C4"/>
    <w:rsid w:val="00BC3A2B"/>
    <w:rsid w:val="00BF7BC3"/>
    <w:rsid w:val="00C107B2"/>
    <w:rsid w:val="00C12971"/>
    <w:rsid w:val="00C31C57"/>
    <w:rsid w:val="00C66B5E"/>
    <w:rsid w:val="00D6726C"/>
    <w:rsid w:val="00D86EED"/>
    <w:rsid w:val="00E32ECD"/>
    <w:rsid w:val="00E63524"/>
    <w:rsid w:val="00E8633F"/>
    <w:rsid w:val="00F328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0403F"/>
    <w:rPr>
      <w:color w:val="808080"/>
    </w:rPr>
  </w:style>
  <w:style w:type="paragraph" w:customStyle="1" w:styleId="F20D61959763450CBC63E2FC427648A7">
    <w:name w:val="F20D61959763450CBC63E2FC427648A7"/>
    <w:rsid w:val="00020EDE"/>
  </w:style>
  <w:style w:type="paragraph" w:customStyle="1" w:styleId="E38974F4D24C4816A9F044311AA83E53">
    <w:name w:val="E38974F4D24C4816A9F044311AA83E53"/>
    <w:rsid w:val="00020EDE"/>
  </w:style>
  <w:style w:type="paragraph" w:customStyle="1" w:styleId="5DB263BFCCD946FD91DC76D1F3952944">
    <w:name w:val="5DB263BFCCD946FD91DC76D1F3952944"/>
    <w:rsid w:val="00B352C4"/>
  </w:style>
  <w:style w:type="paragraph" w:customStyle="1" w:styleId="27A2B47A31214F2C9602C8D77E352306">
    <w:name w:val="27A2B47A31214F2C9602C8D77E352306"/>
    <w:rsid w:val="00B352C4"/>
  </w:style>
  <w:style w:type="paragraph" w:customStyle="1" w:styleId="2A7F5702C842443AB87DEEF3739059F2">
    <w:name w:val="2A7F5702C842443AB87DEEF3739059F2"/>
    <w:rsid w:val="00B352C4"/>
  </w:style>
  <w:style w:type="paragraph" w:customStyle="1" w:styleId="641E781957B742518711BA95C80B6B01">
    <w:name w:val="641E781957B742518711BA95C80B6B01"/>
    <w:rsid w:val="00B352C4"/>
  </w:style>
  <w:style w:type="paragraph" w:customStyle="1" w:styleId="6C3393A6778F4BC684FAA3248DBC782D">
    <w:name w:val="6C3393A6778F4BC684FAA3248DBC782D"/>
    <w:rsid w:val="00B352C4"/>
  </w:style>
  <w:style w:type="paragraph" w:customStyle="1" w:styleId="E01259F019B643A59E3FCFF899CE0556">
    <w:name w:val="E01259F019B643A59E3FCFF899CE0556"/>
    <w:rsid w:val="00B352C4"/>
  </w:style>
  <w:style w:type="paragraph" w:customStyle="1" w:styleId="C29586ADC4DB4655B7C75E52E490DF59">
    <w:name w:val="C29586ADC4DB4655B7C75E52E490DF59"/>
    <w:rsid w:val="00B352C4"/>
  </w:style>
  <w:style w:type="paragraph" w:customStyle="1" w:styleId="A21C9B76D7AD4DD483B3A2EB72C26D2B">
    <w:name w:val="A21C9B76D7AD4DD483B3A2EB72C26D2B"/>
    <w:rsid w:val="00B352C4"/>
  </w:style>
  <w:style w:type="paragraph" w:customStyle="1" w:styleId="6D78D48D37FC4484943629DE32DA4753">
    <w:name w:val="6D78D48D37FC4484943629DE32DA4753"/>
    <w:rsid w:val="00B352C4"/>
  </w:style>
  <w:style w:type="paragraph" w:customStyle="1" w:styleId="D3FCE07FDDB145118213BBCCC2619C63">
    <w:name w:val="D3FCE07FDDB145118213BBCCC2619C63"/>
    <w:rsid w:val="00B352C4"/>
  </w:style>
  <w:style w:type="paragraph" w:customStyle="1" w:styleId="EF4FCFCDB5BC43938BA391965039C786">
    <w:name w:val="EF4FCFCDB5BC43938BA391965039C786"/>
    <w:rsid w:val="00B352C4"/>
  </w:style>
  <w:style w:type="paragraph" w:customStyle="1" w:styleId="D8F07D7C76F84643A51C1C7204AE6B2B">
    <w:name w:val="D8F07D7C76F84643A51C1C7204AE6B2B"/>
    <w:rsid w:val="00B352C4"/>
  </w:style>
  <w:style w:type="paragraph" w:customStyle="1" w:styleId="75C0C121F1E147A9800299472A15E7CC">
    <w:name w:val="75C0C121F1E147A9800299472A15E7CC"/>
    <w:rsid w:val="00B352C4"/>
  </w:style>
  <w:style w:type="paragraph" w:customStyle="1" w:styleId="5738AD6DC6DB43ABB11A24E89FFA687F">
    <w:name w:val="5738AD6DC6DB43ABB11A24E89FFA687F"/>
    <w:rsid w:val="00B352C4"/>
  </w:style>
  <w:style w:type="paragraph" w:customStyle="1" w:styleId="06BD15F4AAFF418D9AE9F3AB243CB1D8">
    <w:name w:val="06BD15F4AAFF418D9AE9F3AB243CB1D8"/>
    <w:rsid w:val="00B352C4"/>
  </w:style>
  <w:style w:type="paragraph" w:customStyle="1" w:styleId="CB3A8F6E732544149A69A4D7C5AA0C8A">
    <w:name w:val="CB3A8F6E732544149A69A4D7C5AA0C8A"/>
    <w:rsid w:val="00B352C4"/>
  </w:style>
  <w:style w:type="paragraph" w:customStyle="1" w:styleId="13C72965E5CF4BA88BC313B47A285471">
    <w:name w:val="13C72965E5CF4BA88BC313B47A285471"/>
    <w:rsid w:val="00B352C4"/>
  </w:style>
  <w:style w:type="paragraph" w:customStyle="1" w:styleId="F03D6D4C61F64ED6ADD946502DAFF3DC">
    <w:name w:val="F03D6D4C61F64ED6ADD946502DAFF3DC"/>
    <w:rsid w:val="00B352C4"/>
  </w:style>
  <w:style w:type="paragraph" w:customStyle="1" w:styleId="6B368B7CB1054F358F7DA7E327DF62AB">
    <w:name w:val="6B368B7CB1054F358F7DA7E327DF62AB"/>
    <w:rsid w:val="0010403F"/>
  </w:style>
  <w:style w:type="paragraph" w:customStyle="1" w:styleId="9C7173DD0F61429DAD60D98C85DFE5BB">
    <w:name w:val="9C7173DD0F61429DAD60D98C85DFE5BB"/>
    <w:rsid w:val="0010403F"/>
  </w:style>
  <w:style w:type="paragraph" w:customStyle="1" w:styleId="F1F0017E4AD848AAB3D95A104D5655E2">
    <w:name w:val="F1F0017E4AD848AAB3D95A104D5655E2"/>
    <w:rsid w:val="0010403F"/>
  </w:style>
  <w:style w:type="paragraph" w:customStyle="1" w:styleId="378A43131E0746D5ABF6DAF9DA3D9D45">
    <w:name w:val="378A43131E0746D5ABF6DAF9DA3D9D45"/>
    <w:rsid w:val="0010403F"/>
  </w:style>
  <w:style w:type="paragraph" w:customStyle="1" w:styleId="BB59E74930B34CEEAFE3656A52E3A17F">
    <w:name w:val="BB59E74930B34CEEAFE3656A52E3A17F"/>
    <w:rsid w:val="0010403F"/>
  </w:style>
  <w:style w:type="paragraph" w:customStyle="1" w:styleId="EB4B1E61A24D452A84B9520F0B5CC45B">
    <w:name w:val="EB4B1E61A24D452A84B9520F0B5CC45B"/>
    <w:rsid w:val="0010403F"/>
  </w:style>
  <w:style w:type="paragraph" w:customStyle="1" w:styleId="56E473C020AE4B6ABEE9B7E1E314CAFA">
    <w:name w:val="56E473C020AE4B6ABEE9B7E1E314CAFA"/>
    <w:rsid w:val="0010403F"/>
  </w:style>
  <w:style w:type="paragraph" w:customStyle="1" w:styleId="8E7EDB74D51D43A1AB0A4210F90CFFC1">
    <w:name w:val="8E7EDB74D51D43A1AB0A4210F90CFFC1"/>
    <w:rsid w:val="0010403F"/>
  </w:style>
  <w:style w:type="paragraph" w:customStyle="1" w:styleId="404ECC33A2AA4D0D9F6EB20CBF20B145">
    <w:name w:val="404ECC33A2AA4D0D9F6EB20CBF20B145"/>
    <w:rsid w:val="0010403F"/>
  </w:style>
  <w:style w:type="paragraph" w:customStyle="1" w:styleId="1C16E61FD12549B995F7B6F336831793">
    <w:name w:val="1C16E61FD12549B995F7B6F336831793"/>
    <w:rsid w:val="0010403F"/>
  </w:style>
  <w:style w:type="paragraph" w:customStyle="1" w:styleId="A748DAAB84A245E5A98574710A968204">
    <w:name w:val="A748DAAB84A245E5A98574710A968204"/>
    <w:rsid w:val="0010403F"/>
  </w:style>
  <w:style w:type="paragraph" w:customStyle="1" w:styleId="AEEFEA822369480CAE60C9239C41883D">
    <w:name w:val="AEEFEA822369480CAE60C9239C41883D"/>
    <w:rsid w:val="0010403F"/>
  </w:style>
  <w:style w:type="paragraph" w:customStyle="1" w:styleId="EC195DD37601453886BA652BDFB275D0">
    <w:name w:val="EC195DD37601453886BA652BDFB275D0"/>
    <w:rsid w:val="0010403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0403F"/>
    <w:rPr>
      <w:color w:val="808080"/>
    </w:rPr>
  </w:style>
  <w:style w:type="paragraph" w:customStyle="1" w:styleId="F20D61959763450CBC63E2FC427648A7">
    <w:name w:val="F20D61959763450CBC63E2FC427648A7"/>
    <w:rsid w:val="00020EDE"/>
  </w:style>
  <w:style w:type="paragraph" w:customStyle="1" w:styleId="E38974F4D24C4816A9F044311AA83E53">
    <w:name w:val="E38974F4D24C4816A9F044311AA83E53"/>
    <w:rsid w:val="00020EDE"/>
  </w:style>
  <w:style w:type="paragraph" w:customStyle="1" w:styleId="5DB263BFCCD946FD91DC76D1F3952944">
    <w:name w:val="5DB263BFCCD946FD91DC76D1F3952944"/>
    <w:rsid w:val="00B352C4"/>
  </w:style>
  <w:style w:type="paragraph" w:customStyle="1" w:styleId="27A2B47A31214F2C9602C8D77E352306">
    <w:name w:val="27A2B47A31214F2C9602C8D77E352306"/>
    <w:rsid w:val="00B352C4"/>
  </w:style>
  <w:style w:type="paragraph" w:customStyle="1" w:styleId="2A7F5702C842443AB87DEEF3739059F2">
    <w:name w:val="2A7F5702C842443AB87DEEF3739059F2"/>
    <w:rsid w:val="00B352C4"/>
  </w:style>
  <w:style w:type="paragraph" w:customStyle="1" w:styleId="641E781957B742518711BA95C80B6B01">
    <w:name w:val="641E781957B742518711BA95C80B6B01"/>
    <w:rsid w:val="00B352C4"/>
  </w:style>
  <w:style w:type="paragraph" w:customStyle="1" w:styleId="6C3393A6778F4BC684FAA3248DBC782D">
    <w:name w:val="6C3393A6778F4BC684FAA3248DBC782D"/>
    <w:rsid w:val="00B352C4"/>
  </w:style>
  <w:style w:type="paragraph" w:customStyle="1" w:styleId="E01259F019B643A59E3FCFF899CE0556">
    <w:name w:val="E01259F019B643A59E3FCFF899CE0556"/>
    <w:rsid w:val="00B352C4"/>
  </w:style>
  <w:style w:type="paragraph" w:customStyle="1" w:styleId="C29586ADC4DB4655B7C75E52E490DF59">
    <w:name w:val="C29586ADC4DB4655B7C75E52E490DF59"/>
    <w:rsid w:val="00B352C4"/>
  </w:style>
  <w:style w:type="paragraph" w:customStyle="1" w:styleId="A21C9B76D7AD4DD483B3A2EB72C26D2B">
    <w:name w:val="A21C9B76D7AD4DD483B3A2EB72C26D2B"/>
    <w:rsid w:val="00B352C4"/>
  </w:style>
  <w:style w:type="paragraph" w:customStyle="1" w:styleId="6D78D48D37FC4484943629DE32DA4753">
    <w:name w:val="6D78D48D37FC4484943629DE32DA4753"/>
    <w:rsid w:val="00B352C4"/>
  </w:style>
  <w:style w:type="paragraph" w:customStyle="1" w:styleId="D3FCE07FDDB145118213BBCCC2619C63">
    <w:name w:val="D3FCE07FDDB145118213BBCCC2619C63"/>
    <w:rsid w:val="00B352C4"/>
  </w:style>
  <w:style w:type="paragraph" w:customStyle="1" w:styleId="EF4FCFCDB5BC43938BA391965039C786">
    <w:name w:val="EF4FCFCDB5BC43938BA391965039C786"/>
    <w:rsid w:val="00B352C4"/>
  </w:style>
  <w:style w:type="paragraph" w:customStyle="1" w:styleId="D8F07D7C76F84643A51C1C7204AE6B2B">
    <w:name w:val="D8F07D7C76F84643A51C1C7204AE6B2B"/>
    <w:rsid w:val="00B352C4"/>
  </w:style>
  <w:style w:type="paragraph" w:customStyle="1" w:styleId="75C0C121F1E147A9800299472A15E7CC">
    <w:name w:val="75C0C121F1E147A9800299472A15E7CC"/>
    <w:rsid w:val="00B352C4"/>
  </w:style>
  <w:style w:type="paragraph" w:customStyle="1" w:styleId="5738AD6DC6DB43ABB11A24E89FFA687F">
    <w:name w:val="5738AD6DC6DB43ABB11A24E89FFA687F"/>
    <w:rsid w:val="00B352C4"/>
  </w:style>
  <w:style w:type="paragraph" w:customStyle="1" w:styleId="06BD15F4AAFF418D9AE9F3AB243CB1D8">
    <w:name w:val="06BD15F4AAFF418D9AE9F3AB243CB1D8"/>
    <w:rsid w:val="00B352C4"/>
  </w:style>
  <w:style w:type="paragraph" w:customStyle="1" w:styleId="CB3A8F6E732544149A69A4D7C5AA0C8A">
    <w:name w:val="CB3A8F6E732544149A69A4D7C5AA0C8A"/>
    <w:rsid w:val="00B352C4"/>
  </w:style>
  <w:style w:type="paragraph" w:customStyle="1" w:styleId="13C72965E5CF4BA88BC313B47A285471">
    <w:name w:val="13C72965E5CF4BA88BC313B47A285471"/>
    <w:rsid w:val="00B352C4"/>
  </w:style>
  <w:style w:type="paragraph" w:customStyle="1" w:styleId="F03D6D4C61F64ED6ADD946502DAFF3DC">
    <w:name w:val="F03D6D4C61F64ED6ADD946502DAFF3DC"/>
    <w:rsid w:val="00B352C4"/>
  </w:style>
  <w:style w:type="paragraph" w:customStyle="1" w:styleId="6B368B7CB1054F358F7DA7E327DF62AB">
    <w:name w:val="6B368B7CB1054F358F7DA7E327DF62AB"/>
    <w:rsid w:val="0010403F"/>
  </w:style>
  <w:style w:type="paragraph" w:customStyle="1" w:styleId="9C7173DD0F61429DAD60D98C85DFE5BB">
    <w:name w:val="9C7173DD0F61429DAD60D98C85DFE5BB"/>
    <w:rsid w:val="0010403F"/>
  </w:style>
  <w:style w:type="paragraph" w:customStyle="1" w:styleId="F1F0017E4AD848AAB3D95A104D5655E2">
    <w:name w:val="F1F0017E4AD848AAB3D95A104D5655E2"/>
    <w:rsid w:val="0010403F"/>
  </w:style>
  <w:style w:type="paragraph" w:customStyle="1" w:styleId="378A43131E0746D5ABF6DAF9DA3D9D45">
    <w:name w:val="378A43131E0746D5ABF6DAF9DA3D9D45"/>
    <w:rsid w:val="0010403F"/>
  </w:style>
  <w:style w:type="paragraph" w:customStyle="1" w:styleId="BB59E74930B34CEEAFE3656A52E3A17F">
    <w:name w:val="BB59E74930B34CEEAFE3656A52E3A17F"/>
    <w:rsid w:val="0010403F"/>
  </w:style>
  <w:style w:type="paragraph" w:customStyle="1" w:styleId="EB4B1E61A24D452A84B9520F0B5CC45B">
    <w:name w:val="EB4B1E61A24D452A84B9520F0B5CC45B"/>
    <w:rsid w:val="0010403F"/>
  </w:style>
  <w:style w:type="paragraph" w:customStyle="1" w:styleId="56E473C020AE4B6ABEE9B7E1E314CAFA">
    <w:name w:val="56E473C020AE4B6ABEE9B7E1E314CAFA"/>
    <w:rsid w:val="0010403F"/>
  </w:style>
  <w:style w:type="paragraph" w:customStyle="1" w:styleId="8E7EDB74D51D43A1AB0A4210F90CFFC1">
    <w:name w:val="8E7EDB74D51D43A1AB0A4210F90CFFC1"/>
    <w:rsid w:val="0010403F"/>
  </w:style>
  <w:style w:type="paragraph" w:customStyle="1" w:styleId="404ECC33A2AA4D0D9F6EB20CBF20B145">
    <w:name w:val="404ECC33A2AA4D0D9F6EB20CBF20B145"/>
    <w:rsid w:val="0010403F"/>
  </w:style>
  <w:style w:type="paragraph" w:customStyle="1" w:styleId="1C16E61FD12549B995F7B6F336831793">
    <w:name w:val="1C16E61FD12549B995F7B6F336831793"/>
    <w:rsid w:val="0010403F"/>
  </w:style>
  <w:style w:type="paragraph" w:customStyle="1" w:styleId="A748DAAB84A245E5A98574710A968204">
    <w:name w:val="A748DAAB84A245E5A98574710A968204"/>
    <w:rsid w:val="0010403F"/>
  </w:style>
  <w:style w:type="paragraph" w:customStyle="1" w:styleId="AEEFEA822369480CAE60C9239C41883D">
    <w:name w:val="AEEFEA822369480CAE60C9239C41883D"/>
    <w:rsid w:val="0010403F"/>
  </w:style>
  <w:style w:type="paragraph" w:customStyle="1" w:styleId="EC195DD37601453886BA652BDFB275D0">
    <w:name w:val="EC195DD37601453886BA652BDFB275D0"/>
    <w:rsid w:val="001040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D72B9-710F-4DD2-9A0F-F3E2C3F74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99</Pages>
  <Words>28748</Words>
  <Characters>163868</Characters>
  <Application>Microsoft Office Word</Application>
  <DocSecurity>0</DocSecurity>
  <Lines>1365</Lines>
  <Paragraphs>384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 Bürtin</dc:creator>
  <cp:lastModifiedBy>8613716430021</cp:lastModifiedBy>
  <cp:revision>5</cp:revision>
  <dcterms:created xsi:type="dcterms:W3CDTF">2020-03-09T17:37:00Z</dcterms:created>
  <dcterms:modified xsi:type="dcterms:W3CDTF">2020-04-06T08:38:00Z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Review CRC</vt:lpwstr>
  </property>
  <property fmtid="{D5CDD505-2E9C-101B-9397-08002B2CF9AE}" pid="3" name="CitaviDocumentProperty_0">
    <vt:lpwstr>dc2d95d5-54f7-4a2a-9394-1873e02f9b41</vt:lpwstr>
  </property>
  <property fmtid="{D5CDD505-2E9C-101B-9397-08002B2CF9AE}" pid="4" name="CitaviDocumentProperty_1">
    <vt:lpwstr>6.3.0.0</vt:lpwstr>
  </property>
  <property fmtid="{D5CDD505-2E9C-101B-9397-08002B2CF9AE}" pid="5" name="CitaviDocumentProperty_8">
    <vt:lpwstr>C:\Users\Florian\Documents\Citavi 6\Projects\Review CRC\Review CRC.ctv6</vt:lpwstr>
  </property>
  <property fmtid="{D5CDD505-2E9C-101B-9397-08002B2CF9AE}" pid="6" name="CitaviDocumentProperty_6">
    <vt:lpwstr>False</vt:lpwstr>
  </property>
</Properties>
</file>