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9D80F" w14:textId="77777777" w:rsidR="00FE6179" w:rsidRPr="00B751AA" w:rsidRDefault="00FE6179" w:rsidP="00B751AA">
      <w:pPr>
        <w:adjustRightInd w:val="0"/>
        <w:snapToGrid w:val="0"/>
        <w:spacing w:after="0" w:line="360" w:lineRule="auto"/>
        <w:jc w:val="both"/>
        <w:rPr>
          <w:rFonts w:ascii="Book Antiqua" w:hAnsi="Book Antiqua" w:cstheme="minorBidi"/>
          <w:b/>
          <w:bCs/>
          <w:color w:val="000000" w:themeColor="text1"/>
          <w:sz w:val="24"/>
          <w:szCs w:val="24"/>
        </w:rPr>
      </w:pPr>
      <w:r w:rsidRPr="00B751AA">
        <w:rPr>
          <w:rFonts w:ascii="Book Antiqua" w:hAnsi="Book Antiqua" w:cstheme="minorBidi"/>
          <w:b/>
          <w:bCs/>
          <w:color w:val="000000" w:themeColor="text1"/>
          <w:sz w:val="24"/>
          <w:szCs w:val="24"/>
        </w:rPr>
        <w:t xml:space="preserve">Name of Journal: </w:t>
      </w:r>
      <w:r w:rsidRPr="00B751AA">
        <w:rPr>
          <w:rFonts w:ascii="Book Antiqua" w:hAnsi="Book Antiqua" w:cstheme="minorBidi"/>
          <w:bCs/>
          <w:i/>
          <w:iCs/>
          <w:color w:val="000000" w:themeColor="text1"/>
          <w:sz w:val="24"/>
          <w:szCs w:val="24"/>
        </w:rPr>
        <w:t>World Journal of Gastroenterology</w:t>
      </w:r>
    </w:p>
    <w:p w14:paraId="4EC2A8F7" w14:textId="77777777" w:rsidR="00FE6179" w:rsidRPr="00B751AA" w:rsidRDefault="00FE6179" w:rsidP="00B751AA">
      <w:pPr>
        <w:adjustRightInd w:val="0"/>
        <w:snapToGrid w:val="0"/>
        <w:spacing w:after="0" w:line="360" w:lineRule="auto"/>
        <w:jc w:val="both"/>
        <w:rPr>
          <w:rFonts w:ascii="Book Antiqua" w:hAnsi="Book Antiqua" w:cstheme="minorBidi"/>
          <w:b/>
          <w:bCs/>
          <w:color w:val="000000" w:themeColor="text1"/>
          <w:sz w:val="24"/>
          <w:szCs w:val="24"/>
        </w:rPr>
      </w:pPr>
      <w:r w:rsidRPr="00B751AA">
        <w:rPr>
          <w:rFonts w:ascii="Book Antiqua" w:eastAsia="Times New Roman" w:hAnsi="Book Antiqua"/>
          <w:b/>
          <w:bCs/>
          <w:color w:val="000000" w:themeColor="text1"/>
          <w:sz w:val="24"/>
          <w:szCs w:val="24"/>
          <w:lang w:val="hu-HU"/>
        </w:rPr>
        <w:t>Manuscript NO</w:t>
      </w:r>
      <w:r w:rsidRPr="00B751AA">
        <w:rPr>
          <w:rFonts w:ascii="Book Antiqua" w:hAnsi="Book Antiqua" w:cs="Arial"/>
          <w:b/>
          <w:color w:val="000000" w:themeColor="text1"/>
          <w:sz w:val="24"/>
          <w:szCs w:val="24"/>
          <w:lang w:val="en"/>
        </w:rPr>
        <w:t xml:space="preserve">: </w:t>
      </w:r>
      <w:r w:rsidRPr="00B751AA">
        <w:rPr>
          <w:rFonts w:ascii="Book Antiqua" w:hAnsi="Book Antiqua" w:cs="Arial"/>
          <w:bCs/>
          <w:color w:val="000000" w:themeColor="text1"/>
          <w:sz w:val="24"/>
          <w:szCs w:val="24"/>
          <w:lang w:val="en"/>
        </w:rPr>
        <w:t>53441</w:t>
      </w:r>
    </w:p>
    <w:p w14:paraId="1CD8ECB1" w14:textId="77777777" w:rsidR="00FE6179" w:rsidRPr="00B751AA" w:rsidRDefault="00FE6179" w:rsidP="00B751AA">
      <w:pPr>
        <w:adjustRightInd w:val="0"/>
        <w:snapToGrid w:val="0"/>
        <w:spacing w:after="0" w:line="360" w:lineRule="auto"/>
        <w:jc w:val="both"/>
        <w:rPr>
          <w:rFonts w:ascii="Book Antiqua" w:hAnsi="Book Antiqua" w:cstheme="minorBidi"/>
          <w:bCs/>
          <w:color w:val="000000" w:themeColor="text1"/>
          <w:sz w:val="24"/>
          <w:szCs w:val="24"/>
        </w:rPr>
      </w:pPr>
      <w:r w:rsidRPr="00B751AA">
        <w:rPr>
          <w:rFonts w:ascii="Book Antiqua" w:hAnsi="Book Antiqua" w:cstheme="minorBidi"/>
          <w:b/>
          <w:bCs/>
          <w:color w:val="000000" w:themeColor="text1"/>
          <w:sz w:val="24"/>
          <w:szCs w:val="24"/>
        </w:rPr>
        <w:t xml:space="preserve">Manuscript Type: </w:t>
      </w:r>
      <w:r w:rsidRPr="00B751AA">
        <w:rPr>
          <w:rFonts w:ascii="Book Antiqua" w:hAnsi="Book Antiqua" w:cstheme="minorBidi"/>
          <w:color w:val="000000" w:themeColor="text1"/>
          <w:sz w:val="24"/>
          <w:szCs w:val="24"/>
        </w:rPr>
        <w:t>ORIGINAL ARTICLE</w:t>
      </w:r>
    </w:p>
    <w:p w14:paraId="48FCF76D" w14:textId="77777777" w:rsidR="00FE6179" w:rsidRPr="00B751AA" w:rsidRDefault="00FE6179" w:rsidP="00B751AA">
      <w:pPr>
        <w:adjustRightInd w:val="0"/>
        <w:snapToGrid w:val="0"/>
        <w:spacing w:after="0" w:line="360" w:lineRule="auto"/>
        <w:jc w:val="both"/>
        <w:rPr>
          <w:rFonts w:ascii="Book Antiqua" w:hAnsi="Book Antiqua" w:cstheme="minorBidi"/>
          <w:bCs/>
          <w:color w:val="000000" w:themeColor="text1"/>
          <w:sz w:val="24"/>
          <w:szCs w:val="24"/>
        </w:rPr>
      </w:pPr>
    </w:p>
    <w:p w14:paraId="2BACE21F" w14:textId="77777777" w:rsidR="00FE6179" w:rsidRPr="00B751AA" w:rsidRDefault="00FE6179" w:rsidP="00B751AA">
      <w:pPr>
        <w:adjustRightInd w:val="0"/>
        <w:snapToGrid w:val="0"/>
        <w:spacing w:after="0" w:line="360" w:lineRule="auto"/>
        <w:jc w:val="both"/>
        <w:rPr>
          <w:rFonts w:ascii="Book Antiqua" w:hAnsi="Book Antiqua" w:cstheme="minorBidi"/>
          <w:b/>
          <w:i/>
          <w:iCs/>
          <w:color w:val="000000" w:themeColor="text1"/>
          <w:sz w:val="24"/>
          <w:szCs w:val="24"/>
        </w:rPr>
      </w:pPr>
      <w:r w:rsidRPr="00B751AA">
        <w:rPr>
          <w:rFonts w:ascii="Book Antiqua" w:hAnsi="Book Antiqua" w:cstheme="minorBidi"/>
          <w:b/>
          <w:i/>
          <w:iCs/>
          <w:color w:val="000000" w:themeColor="text1"/>
          <w:sz w:val="24"/>
          <w:szCs w:val="24"/>
        </w:rPr>
        <w:t>Basic Study</w:t>
      </w:r>
    </w:p>
    <w:p w14:paraId="226B8AB7" w14:textId="77777777" w:rsidR="00FE6179" w:rsidRPr="00B751AA" w:rsidRDefault="00FE6179" w:rsidP="00B751AA">
      <w:pPr>
        <w:adjustRightInd w:val="0"/>
        <w:snapToGrid w:val="0"/>
        <w:spacing w:after="0" w:line="360" w:lineRule="auto"/>
        <w:jc w:val="both"/>
        <w:rPr>
          <w:rFonts w:ascii="Book Antiqua" w:hAnsi="Book Antiqua" w:cstheme="minorBidi"/>
          <w:b/>
          <w:i/>
          <w:iCs/>
          <w:color w:val="000000" w:themeColor="text1"/>
          <w:sz w:val="24"/>
          <w:szCs w:val="24"/>
        </w:rPr>
      </w:pPr>
      <w:r w:rsidRPr="00B751AA">
        <w:rPr>
          <w:rFonts w:ascii="Book Antiqua" w:hAnsi="Book Antiqua" w:cs="Arial"/>
          <w:b/>
          <w:color w:val="000000" w:themeColor="text1"/>
          <w:sz w:val="24"/>
          <w:szCs w:val="24"/>
          <w:lang w:val="en-GB"/>
        </w:rPr>
        <w:t xml:space="preserve">Neoadjuvant </w:t>
      </w:r>
      <w:proofErr w:type="spellStart"/>
      <w:r w:rsidRPr="00B751AA">
        <w:rPr>
          <w:rFonts w:ascii="Book Antiqua" w:hAnsi="Book Antiqua" w:cs="Arial"/>
          <w:b/>
          <w:color w:val="000000" w:themeColor="text1"/>
          <w:sz w:val="24"/>
          <w:szCs w:val="24"/>
          <w:lang w:val="en-GB"/>
        </w:rPr>
        <w:t>chemoradiation</w:t>
      </w:r>
      <w:proofErr w:type="spellEnd"/>
      <w:r w:rsidRPr="00B751AA">
        <w:rPr>
          <w:rFonts w:ascii="Book Antiqua" w:hAnsi="Book Antiqua" w:cs="Arial"/>
          <w:b/>
          <w:color w:val="000000" w:themeColor="text1"/>
          <w:sz w:val="24"/>
          <w:szCs w:val="24"/>
          <w:lang w:val="en-GB"/>
        </w:rPr>
        <w:t xml:space="preserve"> changes </w:t>
      </w:r>
      <w:proofErr w:type="spellStart"/>
      <w:r w:rsidRPr="00B751AA">
        <w:rPr>
          <w:rFonts w:ascii="Book Antiqua" w:hAnsi="Book Antiqua" w:cs="Arial"/>
          <w:b/>
          <w:color w:val="000000" w:themeColor="text1"/>
          <w:sz w:val="24"/>
          <w:szCs w:val="24"/>
          <w:lang w:val="en-GB"/>
        </w:rPr>
        <w:t>podoplanin</w:t>
      </w:r>
      <w:proofErr w:type="spellEnd"/>
      <w:r w:rsidRPr="00B751AA">
        <w:rPr>
          <w:rFonts w:ascii="Book Antiqua" w:hAnsi="Book Antiqua" w:cs="Arial"/>
          <w:b/>
          <w:color w:val="000000" w:themeColor="text1"/>
          <w:sz w:val="24"/>
          <w:szCs w:val="24"/>
          <w:lang w:val="en-GB"/>
        </w:rPr>
        <w:t xml:space="preserve"> expression in </w:t>
      </w:r>
      <w:proofErr w:type="spellStart"/>
      <w:r w:rsidRPr="00B751AA">
        <w:rPr>
          <w:rFonts w:ascii="Book Antiqua" w:hAnsi="Book Antiqua" w:cs="Arial"/>
          <w:b/>
          <w:color w:val="000000" w:themeColor="text1"/>
          <w:sz w:val="24"/>
          <w:szCs w:val="24"/>
          <w:lang w:val="en-GB"/>
        </w:rPr>
        <w:t>esophageal</w:t>
      </w:r>
      <w:proofErr w:type="spellEnd"/>
      <w:r w:rsidRPr="00B751AA">
        <w:rPr>
          <w:rFonts w:ascii="Book Antiqua" w:hAnsi="Book Antiqua" w:cs="Arial"/>
          <w:b/>
          <w:color w:val="000000" w:themeColor="text1"/>
          <w:sz w:val="24"/>
          <w:szCs w:val="24"/>
          <w:lang w:val="en-GB"/>
        </w:rPr>
        <w:t xml:space="preserve"> cancer patients</w:t>
      </w:r>
    </w:p>
    <w:p w14:paraId="12B564F3"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53EE8948"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r w:rsidRPr="00B751AA">
        <w:rPr>
          <w:rFonts w:ascii="Book Antiqua" w:hAnsi="Book Antiqua" w:cs="Arial"/>
          <w:i/>
          <w:color w:val="000000" w:themeColor="text1"/>
          <w:sz w:val="24"/>
          <w:szCs w:val="24"/>
          <w:lang w:val="en-GB"/>
        </w:rPr>
        <w:t>et al.</w:t>
      </w:r>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Chemoradiation</w:t>
      </w:r>
      <w:proofErr w:type="spellEnd"/>
      <w:r w:rsidRPr="00B751AA">
        <w:rPr>
          <w:rFonts w:ascii="Book Antiqua" w:hAnsi="Book Antiqua" w:cs="Arial"/>
          <w:color w:val="000000" w:themeColor="text1"/>
          <w:sz w:val="24"/>
          <w:szCs w:val="24"/>
          <w:lang w:val="en-GB"/>
        </w:rPr>
        <w:t xml:space="preserve"> dependent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w:t>
      </w:r>
    </w:p>
    <w:p w14:paraId="0115622E"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2C643C14"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lang w:val="de-DE"/>
        </w:rPr>
      </w:pPr>
      <w:r w:rsidRPr="00B751AA">
        <w:rPr>
          <w:rFonts w:ascii="Book Antiqua" w:hAnsi="Book Antiqua"/>
          <w:color w:val="000000" w:themeColor="text1"/>
          <w:sz w:val="24"/>
          <w:szCs w:val="24"/>
          <w:lang w:val="de-DE"/>
        </w:rPr>
        <w:t>Ute Warnecke-Eberz, Patrick Plum, Viola Schweinsberg, Uta Drebber, Christiane J Bruns, Dolores T Müller, Arnulf H Hölscher, Elfriede Bollschweiler</w:t>
      </w:r>
    </w:p>
    <w:p w14:paraId="1C619C0B"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lang w:val="de-DE"/>
        </w:rPr>
      </w:pPr>
    </w:p>
    <w:p w14:paraId="67AC09A1"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r w:rsidRPr="00B751AA">
        <w:rPr>
          <w:rFonts w:ascii="Book Antiqua" w:hAnsi="Book Antiqua"/>
          <w:b/>
          <w:color w:val="000000" w:themeColor="text1"/>
          <w:sz w:val="24"/>
          <w:szCs w:val="24"/>
        </w:rPr>
        <w:t xml:space="preserve">Ute </w:t>
      </w:r>
      <w:proofErr w:type="spellStart"/>
      <w:r w:rsidRPr="00B751AA">
        <w:rPr>
          <w:rFonts w:ascii="Book Antiqua" w:hAnsi="Book Antiqua"/>
          <w:b/>
          <w:color w:val="000000" w:themeColor="text1"/>
          <w:sz w:val="24"/>
          <w:szCs w:val="24"/>
        </w:rPr>
        <w:t>Warnecke-Eberz</w:t>
      </w:r>
      <w:proofErr w:type="spellEnd"/>
      <w:r w:rsidRPr="00B751AA">
        <w:rPr>
          <w:rFonts w:ascii="Book Antiqua" w:hAnsi="Book Antiqua"/>
          <w:b/>
          <w:color w:val="000000" w:themeColor="text1"/>
          <w:sz w:val="24"/>
          <w:szCs w:val="24"/>
        </w:rPr>
        <w:t xml:space="preserve">, Patrick Plum, Christiane J Bruns, Dolores T Müller, Elfriede </w:t>
      </w:r>
      <w:proofErr w:type="spellStart"/>
      <w:r w:rsidRPr="00B751AA">
        <w:rPr>
          <w:rFonts w:ascii="Book Antiqua" w:hAnsi="Book Antiqua"/>
          <w:b/>
          <w:color w:val="000000" w:themeColor="text1"/>
          <w:sz w:val="24"/>
          <w:szCs w:val="24"/>
        </w:rPr>
        <w:t>Bollschweiler</w:t>
      </w:r>
      <w:proofErr w:type="spellEnd"/>
      <w:r w:rsidRPr="00B751AA">
        <w:rPr>
          <w:rFonts w:ascii="Book Antiqua" w:hAnsi="Book Antiqua"/>
          <w:b/>
          <w:color w:val="000000" w:themeColor="text1"/>
          <w:sz w:val="24"/>
          <w:szCs w:val="24"/>
        </w:rPr>
        <w:t>,</w:t>
      </w:r>
      <w:r w:rsidRPr="00B751AA">
        <w:rPr>
          <w:rFonts w:ascii="Book Antiqua" w:hAnsi="Book Antiqua"/>
          <w:color w:val="000000" w:themeColor="text1"/>
          <w:sz w:val="24"/>
          <w:szCs w:val="24"/>
        </w:rPr>
        <w:t xml:space="preserve"> </w:t>
      </w:r>
      <w:r w:rsidRPr="00B751AA">
        <w:rPr>
          <w:rFonts w:ascii="Book Antiqua" w:hAnsi="Book Antiqua" w:cs="Arial"/>
          <w:color w:val="000000" w:themeColor="text1"/>
          <w:sz w:val="24"/>
          <w:szCs w:val="24"/>
          <w:lang w:val="en-GB"/>
        </w:rPr>
        <w:t>Department of General, Visceral and Cancer Surgery, University Hospital of Cologne, Cologne 50937, Germany</w:t>
      </w:r>
    </w:p>
    <w:p w14:paraId="4DFA4D73"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167A22C6"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r w:rsidRPr="00B751AA">
        <w:rPr>
          <w:rFonts w:ascii="Book Antiqua" w:hAnsi="Book Antiqua"/>
          <w:b/>
          <w:color w:val="000000" w:themeColor="text1"/>
          <w:sz w:val="24"/>
          <w:szCs w:val="24"/>
        </w:rPr>
        <w:t xml:space="preserve">Viola </w:t>
      </w:r>
      <w:proofErr w:type="spellStart"/>
      <w:r w:rsidRPr="00B751AA">
        <w:rPr>
          <w:rFonts w:ascii="Book Antiqua" w:hAnsi="Book Antiqua"/>
          <w:b/>
          <w:color w:val="000000" w:themeColor="text1"/>
          <w:sz w:val="24"/>
          <w:szCs w:val="24"/>
        </w:rPr>
        <w:t>Schweinsberg</w:t>
      </w:r>
      <w:proofErr w:type="spellEnd"/>
      <w:r w:rsidRPr="00B751AA">
        <w:rPr>
          <w:rFonts w:ascii="Book Antiqua" w:hAnsi="Book Antiqua"/>
          <w:color w:val="000000" w:themeColor="text1"/>
          <w:sz w:val="24"/>
          <w:szCs w:val="24"/>
        </w:rPr>
        <w:t xml:space="preserve"> </w:t>
      </w:r>
      <w:r w:rsidR="00997CAC" w:rsidRPr="00B751AA">
        <w:rPr>
          <w:rFonts w:ascii="Book Antiqua" w:hAnsi="Book Antiqua" w:cs="Arial"/>
          <w:color w:val="000000" w:themeColor="text1"/>
          <w:sz w:val="24"/>
          <w:szCs w:val="24"/>
          <w:lang w:val="en-GB"/>
        </w:rPr>
        <w:t>Department of</w:t>
      </w:r>
      <w:r w:rsidR="00997CAC"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Dermatology, University Hospital of Cologne, Cologne 50937, Germany</w:t>
      </w:r>
    </w:p>
    <w:p w14:paraId="6694D248"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vertAlign w:val="superscript"/>
        </w:rPr>
      </w:pPr>
    </w:p>
    <w:p w14:paraId="7653F184"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roofErr w:type="spellStart"/>
      <w:r w:rsidRPr="00B751AA">
        <w:rPr>
          <w:rFonts w:ascii="Book Antiqua" w:hAnsi="Book Antiqua" w:cs="Arial"/>
          <w:b/>
          <w:color w:val="000000" w:themeColor="text1"/>
          <w:sz w:val="24"/>
          <w:szCs w:val="24"/>
          <w:lang w:val="en-GB"/>
        </w:rPr>
        <w:t>Uta</w:t>
      </w:r>
      <w:proofErr w:type="spellEnd"/>
      <w:r w:rsidRPr="00B751AA">
        <w:rPr>
          <w:rFonts w:ascii="Book Antiqua" w:hAnsi="Book Antiqua" w:cs="Arial"/>
          <w:b/>
          <w:color w:val="000000" w:themeColor="text1"/>
          <w:sz w:val="24"/>
          <w:szCs w:val="24"/>
          <w:lang w:val="en-GB"/>
        </w:rPr>
        <w:t xml:space="preserve"> </w:t>
      </w:r>
      <w:proofErr w:type="spellStart"/>
      <w:r w:rsidRPr="00B751AA">
        <w:rPr>
          <w:rFonts w:ascii="Book Antiqua" w:hAnsi="Book Antiqua" w:cs="Arial"/>
          <w:b/>
          <w:color w:val="000000" w:themeColor="text1"/>
          <w:sz w:val="24"/>
          <w:szCs w:val="24"/>
          <w:lang w:val="en-GB"/>
        </w:rPr>
        <w:t>Drebber</w:t>
      </w:r>
      <w:proofErr w:type="spellEnd"/>
      <w:r w:rsidRPr="00B751AA">
        <w:rPr>
          <w:rFonts w:ascii="Book Antiqua" w:hAnsi="Book Antiqua" w:cs="Arial"/>
          <w:color w:val="000000" w:themeColor="text1"/>
          <w:sz w:val="24"/>
          <w:szCs w:val="24"/>
          <w:lang w:val="en-GB"/>
        </w:rPr>
        <w:t>, Institute of Pathology, University Hospital of Cologne, Cologne 50937, Germany</w:t>
      </w:r>
    </w:p>
    <w:p w14:paraId="0D653B3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7F9E1E0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color w:val="000000" w:themeColor="text1"/>
          <w:sz w:val="24"/>
          <w:szCs w:val="24"/>
          <w:lang w:val="de-DE"/>
        </w:rPr>
        <w:t>Arnulf H Hölscher</w:t>
      </w:r>
      <w:r w:rsidRPr="00B751AA">
        <w:rPr>
          <w:rFonts w:ascii="Book Antiqua" w:hAnsi="Book Antiqua" w:cs="Arial"/>
          <w:color w:val="000000" w:themeColor="text1"/>
          <w:sz w:val="24"/>
          <w:szCs w:val="24"/>
          <w:lang w:val="de-DE"/>
        </w:rPr>
        <w:t>, Agaplesion Markus Hospital, Frankfurt 60431, Germany</w:t>
      </w:r>
    </w:p>
    <w:p w14:paraId="6FF2B2F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p>
    <w:p w14:paraId="4CC9291D"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b/>
          <w:color w:val="000000" w:themeColor="text1"/>
          <w:sz w:val="24"/>
          <w:szCs w:val="24"/>
          <w:lang w:val="en-GB"/>
        </w:rPr>
        <w:t>Author contributions:</w:t>
      </w:r>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designed the study;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Hölscher</w:t>
      </w:r>
      <w:proofErr w:type="spellEnd"/>
      <w:r w:rsidRPr="00B751AA">
        <w:rPr>
          <w:rFonts w:ascii="Book Antiqua" w:hAnsi="Book Antiqua" w:cs="Arial"/>
          <w:color w:val="000000" w:themeColor="text1"/>
          <w:sz w:val="24"/>
          <w:szCs w:val="24"/>
          <w:lang w:val="en-GB"/>
        </w:rPr>
        <w:t xml:space="preserve"> AH coordinated the study; </w:t>
      </w:r>
      <w:proofErr w:type="spellStart"/>
      <w:r w:rsidRPr="00B751AA">
        <w:rPr>
          <w:rFonts w:ascii="Book Antiqua" w:hAnsi="Book Antiqua" w:cs="Arial"/>
          <w:color w:val="000000" w:themeColor="text1"/>
          <w:sz w:val="24"/>
          <w:szCs w:val="24"/>
          <w:lang w:val="en-GB"/>
        </w:rPr>
        <w:t>Schweinsberg</w:t>
      </w:r>
      <w:proofErr w:type="spellEnd"/>
      <w:r w:rsidRPr="00B751AA">
        <w:rPr>
          <w:rFonts w:ascii="Book Antiqua" w:hAnsi="Book Antiqua" w:cs="Arial"/>
          <w:color w:val="000000" w:themeColor="text1"/>
          <w:sz w:val="24"/>
          <w:szCs w:val="24"/>
          <w:lang w:val="en-GB"/>
        </w:rPr>
        <w:t xml:space="preserve"> V performed the experiments;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acquired, analysed and interpreted the data; </w:t>
      </w:r>
      <w:proofErr w:type="spellStart"/>
      <w:r w:rsidRPr="00B751AA">
        <w:rPr>
          <w:rFonts w:ascii="Book Antiqua" w:hAnsi="Book Antiqua" w:cs="Arial"/>
          <w:color w:val="000000" w:themeColor="text1"/>
          <w:sz w:val="24"/>
          <w:szCs w:val="24"/>
          <w:lang w:val="en-GB"/>
        </w:rPr>
        <w:t>Drebber</w:t>
      </w:r>
      <w:proofErr w:type="spellEnd"/>
      <w:r w:rsidRPr="00B751AA">
        <w:rPr>
          <w:rFonts w:ascii="Book Antiqua" w:hAnsi="Book Antiqua" w:cs="Arial"/>
          <w:color w:val="000000" w:themeColor="text1"/>
          <w:sz w:val="24"/>
          <w:szCs w:val="24"/>
          <w:lang w:val="en-GB"/>
        </w:rPr>
        <w:t xml:space="preserve"> U did the pathological evaluation and scoring of protein staining;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Plum P </w:t>
      </w:r>
      <w:r w:rsidRPr="00B751AA">
        <w:rPr>
          <w:rFonts w:ascii="Book Antiqua" w:hAnsi="Book Antiqua" w:cs="Arial"/>
          <w:color w:val="000000" w:themeColor="text1"/>
          <w:sz w:val="24"/>
          <w:szCs w:val="24"/>
          <w:lang w:val="en-GB"/>
        </w:rPr>
        <w:lastRenderedPageBreak/>
        <w:t>wrote the manuscript; Müller DT supported writing of manuscript; Bruns CJ supported data interpretation.</w:t>
      </w:r>
    </w:p>
    <w:p w14:paraId="5C3B26F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645274A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theme="minorHAnsi"/>
          <w:b/>
          <w:color w:val="000000" w:themeColor="text1"/>
          <w:sz w:val="24"/>
          <w:szCs w:val="24"/>
          <w:lang w:val="hu-HU"/>
        </w:rPr>
        <w:t>Corresponding author:</w:t>
      </w:r>
      <w:r w:rsidRPr="00B751AA">
        <w:rPr>
          <w:rFonts w:ascii="Book Antiqua" w:hAnsi="Book Antiqua" w:cstheme="minorHAnsi"/>
          <w:b/>
          <w:color w:val="000000" w:themeColor="text1"/>
          <w:sz w:val="24"/>
          <w:szCs w:val="24"/>
          <w:lang w:val="hu-HU" w:eastAsia="zh-CN"/>
        </w:rPr>
        <w:t xml:space="preserve"> </w:t>
      </w:r>
      <w:r w:rsidRPr="00B751AA">
        <w:rPr>
          <w:rFonts w:ascii="Book Antiqua" w:hAnsi="Book Antiqua" w:cs="Arial"/>
          <w:b/>
          <w:color w:val="000000" w:themeColor="text1"/>
          <w:sz w:val="24"/>
          <w:szCs w:val="24"/>
          <w:lang w:val="en-GB"/>
        </w:rPr>
        <w:t xml:space="preserve">Ute </w:t>
      </w:r>
      <w:proofErr w:type="spellStart"/>
      <w:r w:rsidRPr="00B751AA">
        <w:rPr>
          <w:rFonts w:ascii="Book Antiqua" w:hAnsi="Book Antiqua" w:cs="Arial"/>
          <w:b/>
          <w:color w:val="000000" w:themeColor="text1"/>
          <w:sz w:val="24"/>
          <w:szCs w:val="24"/>
          <w:lang w:val="en-GB"/>
        </w:rPr>
        <w:t>Warnecke-Eberz</w:t>
      </w:r>
      <w:proofErr w:type="spellEnd"/>
      <w:r w:rsidRPr="00B751AA">
        <w:rPr>
          <w:rFonts w:ascii="Book Antiqua" w:hAnsi="Book Antiqua" w:cs="Arial"/>
          <w:b/>
          <w:color w:val="000000" w:themeColor="text1"/>
          <w:sz w:val="24"/>
          <w:szCs w:val="24"/>
          <w:lang w:val="en-GB"/>
        </w:rPr>
        <w:t>, PhD, Professor,</w:t>
      </w:r>
      <w:r w:rsidRPr="00B751AA">
        <w:rPr>
          <w:rFonts w:ascii="Book Antiqua" w:hAnsi="Book Antiqua" w:cs="Arial"/>
          <w:color w:val="000000" w:themeColor="text1"/>
          <w:sz w:val="24"/>
          <w:szCs w:val="24"/>
          <w:lang w:val="en-GB"/>
        </w:rPr>
        <w:t xml:space="preserve"> Department of General, Visceral and Cancer Surgery</w:t>
      </w:r>
      <w:r w:rsidRPr="00B751AA">
        <w:rPr>
          <w:rFonts w:ascii="Book Antiqua" w:hAnsi="Book Antiqua" w:cs="Arial"/>
          <w:b/>
          <w:color w:val="000000" w:themeColor="text1"/>
          <w:sz w:val="24"/>
          <w:szCs w:val="24"/>
        </w:rPr>
        <w:t xml:space="preserve">, </w:t>
      </w:r>
      <w:r w:rsidRPr="00B751AA">
        <w:rPr>
          <w:rFonts w:ascii="Book Antiqua" w:hAnsi="Book Antiqua" w:cs="Arial"/>
          <w:color w:val="000000" w:themeColor="text1"/>
          <w:sz w:val="24"/>
          <w:szCs w:val="24"/>
          <w:lang w:val="en-GB"/>
        </w:rPr>
        <w:t>University Hospital of Cologne</w:t>
      </w:r>
      <w:r w:rsidRPr="00B751AA">
        <w:rPr>
          <w:rFonts w:ascii="Book Antiqua" w:hAnsi="Book Antiqua" w:cs="Arial"/>
          <w:b/>
          <w:color w:val="000000" w:themeColor="text1"/>
          <w:sz w:val="24"/>
          <w:szCs w:val="24"/>
        </w:rPr>
        <w:t xml:space="preserve">, </w:t>
      </w:r>
      <w:proofErr w:type="spellStart"/>
      <w:r w:rsidRPr="00B751AA">
        <w:rPr>
          <w:rFonts w:ascii="Book Antiqua" w:hAnsi="Book Antiqua" w:cs="Arial"/>
          <w:color w:val="000000" w:themeColor="text1"/>
          <w:sz w:val="24"/>
          <w:szCs w:val="24"/>
          <w:lang w:val="en-GB"/>
        </w:rPr>
        <w:t>Kerpener</w:t>
      </w:r>
      <w:proofErr w:type="spellEnd"/>
      <w:r w:rsidRPr="00B751AA">
        <w:rPr>
          <w:rFonts w:ascii="Book Antiqua" w:hAnsi="Book Antiqua" w:cs="Arial"/>
          <w:color w:val="000000" w:themeColor="text1"/>
          <w:sz w:val="24"/>
          <w:szCs w:val="24"/>
          <w:lang w:val="en-GB"/>
        </w:rPr>
        <w:t xml:space="preserve"> Str. 62</w:t>
      </w:r>
      <w:r w:rsidRPr="00B751AA">
        <w:rPr>
          <w:rFonts w:ascii="Book Antiqua" w:hAnsi="Book Antiqua" w:cs="Arial"/>
          <w:b/>
          <w:color w:val="000000" w:themeColor="text1"/>
          <w:sz w:val="24"/>
          <w:szCs w:val="24"/>
        </w:rPr>
        <w:t xml:space="preserve">, </w:t>
      </w:r>
      <w:r w:rsidRPr="00B751AA">
        <w:rPr>
          <w:rFonts w:ascii="Book Antiqua" w:hAnsi="Book Antiqua"/>
          <w:color w:val="000000" w:themeColor="text1"/>
          <w:sz w:val="24"/>
          <w:szCs w:val="24"/>
        </w:rPr>
        <w:t>Cologne 50937, Germany</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u w:val="single"/>
          <w:lang w:val="en-GB"/>
        </w:rPr>
        <w:t>ute.warnecke-eberz@uk-koeln.de</w:t>
      </w:r>
    </w:p>
    <w:p w14:paraId="4A51D082"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3FB8DAA7" w14:textId="77777777" w:rsidR="00FE6179" w:rsidRPr="00B751AA" w:rsidRDefault="00FE6179" w:rsidP="00B751AA">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0" w:name="OLE_LINK75"/>
      <w:bookmarkStart w:id="1" w:name="OLE_LINK76"/>
      <w:bookmarkStart w:id="2" w:name="OLE_LINK269"/>
      <w:bookmarkStart w:id="3" w:name="OLE_LINK239"/>
      <w:r w:rsidRPr="00B751AA">
        <w:rPr>
          <w:rFonts w:ascii="Book Antiqua" w:hAnsi="Book Antiqua"/>
          <w:b/>
          <w:color w:val="000000" w:themeColor="text1"/>
          <w:kern w:val="2"/>
          <w:sz w:val="24"/>
          <w:szCs w:val="24"/>
          <w:lang w:eastAsia="zh-CN"/>
        </w:rPr>
        <w:t xml:space="preserve">Received: </w:t>
      </w:r>
      <w:r w:rsidRPr="00B751AA">
        <w:rPr>
          <w:rFonts w:ascii="Book Antiqua" w:hAnsi="Book Antiqua"/>
          <w:color w:val="000000" w:themeColor="text1"/>
          <w:kern w:val="2"/>
          <w:sz w:val="24"/>
          <w:szCs w:val="24"/>
          <w:lang w:eastAsia="zh-CN"/>
        </w:rPr>
        <w:t>December 30, 2019</w:t>
      </w:r>
    </w:p>
    <w:p w14:paraId="31A900D3" w14:textId="77777777" w:rsidR="00FE6179" w:rsidRPr="00B751AA" w:rsidRDefault="00FE6179" w:rsidP="00B751AA">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B751AA">
        <w:rPr>
          <w:rFonts w:ascii="Book Antiqua" w:hAnsi="Book Antiqua"/>
          <w:b/>
          <w:color w:val="000000" w:themeColor="text1"/>
          <w:kern w:val="2"/>
          <w:sz w:val="24"/>
          <w:szCs w:val="24"/>
          <w:lang w:eastAsia="zh-CN"/>
        </w:rPr>
        <w:t xml:space="preserve">Revised: </w:t>
      </w:r>
      <w:r w:rsidRPr="00B751AA">
        <w:rPr>
          <w:rFonts w:ascii="Book Antiqua" w:hAnsi="Book Antiqua"/>
          <w:color w:val="000000" w:themeColor="text1"/>
          <w:kern w:val="2"/>
          <w:sz w:val="24"/>
          <w:szCs w:val="24"/>
          <w:lang w:eastAsia="zh-CN"/>
        </w:rPr>
        <w:t>April 20, 2020</w:t>
      </w:r>
    </w:p>
    <w:p w14:paraId="3B91756B" w14:textId="04DBCD1D" w:rsidR="00FE6179" w:rsidRPr="00B751AA" w:rsidRDefault="00FE6179" w:rsidP="00B751AA">
      <w:pPr>
        <w:widowControl w:val="0"/>
        <w:adjustRightInd w:val="0"/>
        <w:snapToGrid w:val="0"/>
        <w:spacing w:after="0" w:line="360" w:lineRule="auto"/>
        <w:jc w:val="both"/>
        <w:rPr>
          <w:rFonts w:ascii="Book Antiqua" w:hAnsi="Book Antiqua"/>
          <w:color w:val="000000" w:themeColor="text1"/>
          <w:kern w:val="2"/>
          <w:sz w:val="24"/>
          <w:szCs w:val="24"/>
          <w:lang w:eastAsia="zh-CN"/>
        </w:rPr>
      </w:pPr>
      <w:r w:rsidRPr="00B751AA">
        <w:rPr>
          <w:rFonts w:ascii="Book Antiqua" w:hAnsi="Book Antiqua"/>
          <w:b/>
          <w:color w:val="000000" w:themeColor="text1"/>
          <w:kern w:val="2"/>
          <w:sz w:val="24"/>
          <w:szCs w:val="24"/>
          <w:lang w:eastAsia="zh-CN"/>
        </w:rPr>
        <w:t>Accepted:</w:t>
      </w:r>
      <w:r w:rsidR="00EA4735" w:rsidRPr="00EA4735">
        <w:t xml:space="preserve"> </w:t>
      </w:r>
      <w:r w:rsidR="00EA4735" w:rsidRPr="00EA4735">
        <w:rPr>
          <w:rFonts w:ascii="Book Antiqua" w:hAnsi="Book Antiqua"/>
          <w:bCs/>
          <w:color w:val="000000" w:themeColor="text1"/>
          <w:kern w:val="2"/>
          <w:sz w:val="24"/>
          <w:szCs w:val="24"/>
          <w:lang w:eastAsia="zh-CN"/>
        </w:rPr>
        <w:t>May 30, 2020</w:t>
      </w:r>
      <w:r w:rsidRPr="00EA4735">
        <w:rPr>
          <w:rFonts w:ascii="Book Antiqua" w:hAnsi="Book Antiqua"/>
          <w:bCs/>
          <w:color w:val="000000" w:themeColor="text1"/>
          <w:sz w:val="24"/>
          <w:szCs w:val="24"/>
        </w:rPr>
        <w:t xml:space="preserve"> </w:t>
      </w:r>
    </w:p>
    <w:p w14:paraId="565270BF" w14:textId="65C404B6" w:rsidR="00FE6179" w:rsidRPr="00B751AA" w:rsidRDefault="00FE6179" w:rsidP="00B751AA">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B751AA">
        <w:rPr>
          <w:rFonts w:ascii="Book Antiqua" w:hAnsi="Book Antiqua"/>
          <w:b/>
          <w:color w:val="000000" w:themeColor="text1"/>
          <w:kern w:val="2"/>
          <w:sz w:val="24"/>
          <w:szCs w:val="24"/>
          <w:lang w:eastAsia="zh-CN"/>
        </w:rPr>
        <w:t>Published online:</w:t>
      </w:r>
      <w:bookmarkEnd w:id="0"/>
      <w:bookmarkEnd w:id="1"/>
      <w:bookmarkEnd w:id="2"/>
      <w:bookmarkEnd w:id="3"/>
      <w:r w:rsidR="00E22C78">
        <w:rPr>
          <w:rFonts w:ascii="Book Antiqua" w:hAnsi="Book Antiqua" w:hint="eastAsia"/>
          <w:b/>
          <w:color w:val="000000" w:themeColor="text1"/>
          <w:kern w:val="2"/>
          <w:sz w:val="24"/>
          <w:szCs w:val="24"/>
          <w:lang w:eastAsia="zh-CN"/>
        </w:rPr>
        <w:t xml:space="preserve"> </w:t>
      </w:r>
      <w:r w:rsidR="00E22C78" w:rsidRPr="00E22C78">
        <w:rPr>
          <w:rFonts w:ascii="Book Antiqua" w:hAnsi="Book Antiqua" w:hint="eastAsia"/>
          <w:color w:val="000000" w:themeColor="text1"/>
          <w:kern w:val="2"/>
          <w:sz w:val="24"/>
          <w:szCs w:val="24"/>
          <w:lang w:eastAsia="zh-CN"/>
        </w:rPr>
        <w:t>June 21, 2020</w:t>
      </w:r>
    </w:p>
    <w:p w14:paraId="33BC384A" w14:textId="77777777" w:rsidR="00FE6179" w:rsidRPr="00B751AA" w:rsidRDefault="00FE6179" w:rsidP="00B751AA">
      <w:pPr>
        <w:adjustRightInd w:val="0"/>
        <w:snapToGrid w:val="0"/>
        <w:spacing w:after="0" w:line="360" w:lineRule="auto"/>
        <w:jc w:val="both"/>
        <w:rPr>
          <w:rFonts w:ascii="Book Antiqua" w:hAnsi="Book Antiqua" w:cstheme="minorHAnsi"/>
          <w:b/>
          <w:color w:val="000000" w:themeColor="text1"/>
          <w:sz w:val="24"/>
          <w:szCs w:val="24"/>
        </w:rPr>
      </w:pPr>
      <w:r w:rsidRPr="00B751AA">
        <w:rPr>
          <w:rFonts w:ascii="Book Antiqua" w:hAnsi="Book Antiqua" w:cstheme="minorHAnsi"/>
          <w:b/>
          <w:color w:val="000000" w:themeColor="text1"/>
          <w:sz w:val="24"/>
          <w:szCs w:val="24"/>
        </w:rPr>
        <w:br w:type="page"/>
      </w:r>
    </w:p>
    <w:p w14:paraId="56C82DBF"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color w:val="000000" w:themeColor="text1"/>
          <w:sz w:val="24"/>
          <w:szCs w:val="24"/>
        </w:rPr>
        <w:lastRenderedPageBreak/>
        <w:t>Abstract</w:t>
      </w:r>
    </w:p>
    <w:p w14:paraId="588FE16F"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BACKGROUND</w:t>
      </w:r>
    </w:p>
    <w:p w14:paraId="22C8527E"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Locally advanced adenocarcinoma of the </w:t>
      </w:r>
      <w:proofErr w:type="spellStart"/>
      <w:r w:rsidRPr="00B751AA">
        <w:rPr>
          <w:rFonts w:ascii="Book Antiqua" w:hAnsi="Book Antiqua" w:cs="Arial"/>
          <w:bCs/>
          <w:color w:val="000000" w:themeColor="text1"/>
          <w:sz w:val="24"/>
          <w:szCs w:val="24"/>
          <w:lang w:val="en-GB"/>
        </w:rPr>
        <w:t>esophagus</w:t>
      </w:r>
      <w:proofErr w:type="spellEnd"/>
      <w:r w:rsidRPr="00B751AA">
        <w:rPr>
          <w:rFonts w:ascii="Book Antiqua" w:hAnsi="Book Antiqua" w:cs="Arial"/>
          <w:bCs/>
          <w:color w:val="000000" w:themeColor="text1"/>
          <w:sz w:val="24"/>
          <w:szCs w:val="24"/>
          <w:lang w:val="en-GB"/>
        </w:rPr>
        <w:t xml:space="preserve"> (EAC) and squamous cell carcinoma (ESCC) result in a worse prognosis. Neoadjuvant treatment improves survival, however, only for responders. The transmembrane glycoprotein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is overexpressed in squamous cell carcinomas, miRNA-363 is associated to its regulation in head and neck cancer.</w:t>
      </w:r>
    </w:p>
    <w:p w14:paraId="7A116637"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088B3FE6"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AIM</w:t>
      </w:r>
    </w:p>
    <w:p w14:paraId="611F0E07" w14:textId="77777777" w:rsidR="00FE6179" w:rsidRDefault="00CB6068"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CB6068">
        <w:rPr>
          <w:rFonts w:ascii="Book Antiqua" w:hAnsi="Book Antiqua" w:cs="Arial"/>
          <w:bCs/>
          <w:color w:val="000000" w:themeColor="text1"/>
          <w:sz w:val="24"/>
          <w:szCs w:val="24"/>
          <w:lang w:val="en-GB"/>
        </w:rPr>
        <w:t>To predict therapy response and prognosis markers, and targets for novel therapies would individualize treatments leading to more favourable outcomes.</w:t>
      </w:r>
    </w:p>
    <w:p w14:paraId="7F6A1A93" w14:textId="77777777" w:rsidR="006E47C1" w:rsidRPr="00B751AA" w:rsidRDefault="006E47C1"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248A7928"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METHODS </w:t>
      </w:r>
    </w:p>
    <w:p w14:paraId="6F56C1D4"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Expression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protein has been visualized by immunohistochemistry in surgical specimens of 195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 patients who underwent transthoracic esophagectomy: 90 ESCC and 105 EAC with clinical T2-3, </w:t>
      </w:r>
      <w:proofErr w:type="spellStart"/>
      <w:r w:rsidRPr="00B751AA">
        <w:rPr>
          <w:rFonts w:ascii="Book Antiqua" w:hAnsi="Book Antiqua" w:cs="Arial"/>
          <w:bCs/>
          <w:color w:val="000000" w:themeColor="text1"/>
          <w:sz w:val="24"/>
          <w:szCs w:val="24"/>
          <w:lang w:val="en-GB"/>
        </w:rPr>
        <w:t>Nx</w:t>
      </w:r>
      <w:proofErr w:type="spellEnd"/>
      <w:r w:rsidRPr="00B751AA">
        <w:rPr>
          <w:rFonts w:ascii="Book Antiqua" w:hAnsi="Book Antiqua" w:cs="Arial"/>
          <w:bCs/>
          <w:color w:val="000000" w:themeColor="text1"/>
          <w:sz w:val="24"/>
          <w:szCs w:val="24"/>
          <w:lang w:val="en-GB"/>
        </w:rPr>
        <w:t>, M0.</w:t>
      </w:r>
      <w:r w:rsidR="00EE4E4E" w:rsidRPr="00B751AA">
        <w:rPr>
          <w:rFonts w:ascii="Book Antiqua" w:hAnsi="Book Antiqua" w:cs="Arial"/>
          <w:bCs/>
          <w:color w:val="000000" w:themeColor="text1"/>
          <w:sz w:val="24"/>
          <w:szCs w:val="24"/>
          <w:lang w:val="en-GB"/>
        </w:rPr>
        <w:t xml:space="preserve"> One hundred and six </w:t>
      </w:r>
      <w:r w:rsidRPr="00B751AA">
        <w:rPr>
          <w:rFonts w:ascii="Book Antiqua" w:hAnsi="Book Antiqua" w:cs="Arial"/>
          <w:bCs/>
          <w:color w:val="000000" w:themeColor="text1"/>
          <w:sz w:val="24"/>
          <w:szCs w:val="24"/>
          <w:lang w:val="en-GB"/>
        </w:rPr>
        <w:t>patients received neoadjuvant chemoradiation. RNA was extracted from paraffin-embedded tissue, and miRNA-363 quantified by real-time TaqMan-</w:t>
      </w:r>
      <w:r w:rsidR="00DF0C2A" w:rsidRPr="00B751AA">
        <w:rPr>
          <w:rFonts w:ascii="Book Antiqua" w:hAnsi="Book Antiqua" w:cs="Arial"/>
          <w:color w:val="000000" w:themeColor="text1"/>
          <w:sz w:val="24"/>
          <w:szCs w:val="24"/>
          <w:lang w:val="en-GB"/>
        </w:rPr>
        <w:t>real-time</w:t>
      </w:r>
      <w:r w:rsidRPr="00B751AA">
        <w:rPr>
          <w:rFonts w:ascii="Book Antiqua" w:hAnsi="Book Antiqua" w:cs="Arial"/>
          <w:bCs/>
          <w:color w:val="000000" w:themeColor="text1"/>
          <w:sz w:val="24"/>
          <w:szCs w:val="24"/>
          <w:lang w:val="en-GB"/>
        </w:rPr>
        <w:t xml:space="preserve">-PCR. D2-40 </w:t>
      </w:r>
      <w:proofErr w:type="spellStart"/>
      <w:r w:rsidRPr="00B751AA">
        <w:rPr>
          <w:rFonts w:ascii="Book Antiqua" w:hAnsi="Book Antiqua" w:cs="Arial"/>
          <w:bCs/>
          <w:color w:val="000000" w:themeColor="text1"/>
          <w:sz w:val="24"/>
          <w:szCs w:val="24"/>
          <w:lang w:val="en-GB"/>
        </w:rPr>
        <w:t>mab</w:t>
      </w:r>
      <w:proofErr w:type="spellEnd"/>
      <w:r w:rsidRPr="00B751AA">
        <w:rPr>
          <w:rFonts w:ascii="Book Antiqua" w:hAnsi="Book Antiqua" w:cs="Arial"/>
          <w:bCs/>
          <w:color w:val="000000" w:themeColor="text1"/>
          <w:sz w:val="24"/>
          <w:szCs w:val="24"/>
          <w:lang w:val="en-GB"/>
        </w:rPr>
        <w:t xml:space="preserve"> staining of &gt;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5% was scored as high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(HPE). We related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and miRNA-363 expression to histopathologic response after neoadjuvant treatment and clinicopathological characteristics, such as histological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type, survival rate or clinical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category</w:t>
      </w:r>
      <w:r w:rsidRPr="00B751AA">
        <w:rPr>
          <w:rFonts w:ascii="Book Antiqua" w:hAnsi="Book Antiqua" w:cs="Arial"/>
          <w:color w:val="000000" w:themeColor="text1"/>
          <w:sz w:val="24"/>
          <w:szCs w:val="24"/>
          <w:lang w:val="de-DE"/>
        </w:rPr>
        <w:t>.</w:t>
      </w:r>
    </w:p>
    <w:p w14:paraId="6E56DB19"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15203C4E"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RESULTS</w:t>
      </w:r>
    </w:p>
    <w:p w14:paraId="10B6374F"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We confirmed expression of membrane-bound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in 90 ESCC patients. 26</w:t>
      </w:r>
      <w:r w:rsidR="0052322B">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showed HPE of &gt;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5%. In </w:t>
      </w:r>
      <w:r w:rsidR="00EE4E4E" w:rsidRPr="00B751AA">
        <w:rPr>
          <w:rFonts w:ascii="Book Antiqua" w:hAnsi="Book Antiqua" w:cs="Arial"/>
          <w:bCs/>
          <w:color w:val="000000" w:themeColor="text1"/>
          <w:sz w:val="24"/>
          <w:szCs w:val="24"/>
          <w:lang w:val="en-GB"/>
        </w:rPr>
        <w:t>addition,</w:t>
      </w:r>
      <w:r w:rsidRPr="00B751AA">
        <w:rPr>
          <w:rFonts w:ascii="Book Antiqua" w:hAnsi="Book Antiqua" w:cs="Arial"/>
          <w:bCs/>
          <w:color w:val="000000" w:themeColor="text1"/>
          <w:sz w:val="24"/>
          <w:szCs w:val="24"/>
          <w:lang w:val="en-GB"/>
        </w:rPr>
        <w:t xml:space="preserve"> absence in EAC patients (only 2</w:t>
      </w:r>
      <w:r w:rsidR="0052322B">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with HPE) was shown</w:t>
      </w:r>
      <w:r w:rsidRPr="00B751AA">
        <w:rPr>
          <w:rFonts w:ascii="Book Antiqua" w:hAnsi="Book Antiqua" w:cs="Arial"/>
          <w:bCs/>
          <w:color w:val="000000" w:themeColor="text1"/>
          <w:sz w:val="24"/>
          <w:szCs w:val="24"/>
        </w:rPr>
        <w:t xml:space="preserve">.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has been detected in resection-specimen of 58 ESCC patients after neoadjuvant (</w:t>
      </w:r>
      <w:proofErr w:type="spellStart"/>
      <w:r w:rsidRPr="00B751AA">
        <w:rPr>
          <w:rFonts w:ascii="Book Antiqua" w:hAnsi="Book Antiqua" w:cs="Arial"/>
          <w:bCs/>
          <w:color w:val="000000" w:themeColor="text1"/>
          <w:sz w:val="24"/>
          <w:szCs w:val="24"/>
        </w:rPr>
        <w:t>RTx</w:t>
      </w:r>
      <w:proofErr w:type="spellEnd"/>
      <w:r w:rsidRPr="00B751AA">
        <w:rPr>
          <w:rFonts w:ascii="Book Antiqua" w:hAnsi="Book Antiqua" w:cs="Arial"/>
          <w:bCs/>
          <w:color w:val="000000" w:themeColor="text1"/>
          <w:sz w:val="24"/>
          <w:szCs w:val="24"/>
        </w:rPr>
        <w:t>/</w:t>
      </w:r>
      <w:proofErr w:type="spellStart"/>
      <w:r w:rsidRPr="00B751AA">
        <w:rPr>
          <w:rFonts w:ascii="Book Antiqua" w:hAnsi="Book Antiqua" w:cs="Arial"/>
          <w:bCs/>
          <w:color w:val="000000" w:themeColor="text1"/>
          <w:sz w:val="24"/>
          <w:szCs w:val="24"/>
        </w:rPr>
        <w:t>CTx</w:t>
      </w:r>
      <w:proofErr w:type="spellEnd"/>
      <w:r w:rsidRPr="00B751AA">
        <w:rPr>
          <w:rFonts w:ascii="Book Antiqua" w:hAnsi="Book Antiqua" w:cs="Arial"/>
          <w:bCs/>
          <w:color w:val="000000" w:themeColor="text1"/>
          <w:sz w:val="24"/>
          <w:szCs w:val="24"/>
        </w:rPr>
        <w:t>) treatment, only 11</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with HPE, compared to 50</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HPE of 32 </w:t>
      </w:r>
      <w:r w:rsidRPr="00B751AA">
        <w:rPr>
          <w:rFonts w:ascii="Book Antiqua" w:hAnsi="Book Antiqua" w:cs="Arial"/>
          <w:bCs/>
          <w:color w:val="000000" w:themeColor="text1"/>
          <w:sz w:val="24"/>
          <w:szCs w:val="24"/>
        </w:rPr>
        <w:lastRenderedPageBreak/>
        <w:t xml:space="preserve">non-pretreated primary surgery patients, </w:t>
      </w:r>
      <w:r w:rsidR="00E62BE4" w:rsidRPr="00B751AA">
        <w:rPr>
          <w:rFonts w:ascii="Book Antiqua" w:hAnsi="Book Antiqua" w:cs="Arial"/>
          <w:bCs/>
          <w:i/>
          <w:iCs/>
          <w:color w:val="000000" w:themeColor="text1"/>
          <w:sz w:val="24"/>
          <w:szCs w:val="24"/>
        </w:rPr>
        <w:t>P</w:t>
      </w:r>
      <w:r w:rsidR="00E62BE4"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w:t>
      </w:r>
      <w:r w:rsidR="00E62BE4"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0.0001</w:t>
      </w:r>
      <w:r w:rsidRPr="00B751AA">
        <w:rPr>
          <w:rFonts w:ascii="Book Antiqua" w:hAnsi="Book Antiqua" w:cs="Arial"/>
          <w:bCs/>
          <w:color w:val="000000" w:themeColor="text1"/>
          <w:sz w:val="24"/>
          <w:szCs w:val="24"/>
          <w:lang w:val="en-GB"/>
        </w:rPr>
        <w:t xml:space="preserve">. This difference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was confirmed comparing pre-treatment biopsies with matching post-treatment surgical specimens,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0.001.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identified as a prognostic marker in 32 patients that underwent primary surgery without neoadjuvant treatment. Low (0-5%)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was associated with better prognosis compared to patients with HPE,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0.013.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has been associated with post-transcriptional regulation by miRNA-363. At a cut-off value of miR-363 &lt;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rPr>
        <w:t xml:space="preserve">7, lower miR-363 expression correlated with HPE in surgical tissue specimens of primary surgery patients,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0.013. Therefore, ESCC patients with miRNA-363 expression &lt;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7 had a worse prognosis than patients expressing miRNA-363 </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7,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0.049.</w:t>
      </w:r>
    </w:p>
    <w:p w14:paraId="3974834D"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45DE0441"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CONCLUSION</w:t>
      </w:r>
    </w:p>
    <w:p w14:paraId="7155FEF0"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Analysis of the molecular process that leads to decrease in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during neoadjuvant treatment and its regulation may provide novel markers and targets to improve targeted therapy of ESCC.</w:t>
      </w:r>
    </w:p>
    <w:p w14:paraId="0B22286A"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p>
    <w:p w14:paraId="38751B49" w14:textId="77777777" w:rsidR="00FE6179" w:rsidRPr="00B751AA" w:rsidRDefault="00E62BE4" w:rsidP="00B751AA">
      <w:pPr>
        <w:adjustRightInd w:val="0"/>
        <w:snapToGrid w:val="0"/>
        <w:spacing w:after="0" w:line="360" w:lineRule="auto"/>
        <w:jc w:val="both"/>
        <w:rPr>
          <w:rFonts w:ascii="Book Antiqua" w:hAnsi="Book Antiqua" w:cs="Arial"/>
          <w:color w:val="000000" w:themeColor="text1"/>
          <w:sz w:val="24"/>
          <w:szCs w:val="24"/>
          <w:lang w:val="en-GB"/>
        </w:rPr>
      </w:pPr>
      <w:bookmarkStart w:id="4" w:name="_Hlk8052531"/>
      <w:r w:rsidRPr="00B751AA">
        <w:rPr>
          <w:rFonts w:ascii="Book Antiqua" w:hAnsi="Book Antiqua"/>
          <w:b/>
          <w:sz w:val="24"/>
          <w:szCs w:val="24"/>
          <w:lang w:val="hu-HU"/>
        </w:rPr>
        <w:t>Key words:</w:t>
      </w:r>
      <w:bookmarkEnd w:id="4"/>
      <w:r w:rsidRPr="00B751AA">
        <w:rPr>
          <w:rFonts w:ascii="Book Antiqua" w:hAnsi="Book Antiqua"/>
          <w:sz w:val="24"/>
          <w:szCs w:val="24"/>
          <w:lang w:eastAsia="zh-CN"/>
        </w:rPr>
        <w:t xml:space="preserve"> </w:t>
      </w:r>
      <w:proofErr w:type="spellStart"/>
      <w:r w:rsidRPr="00B751AA">
        <w:rPr>
          <w:rFonts w:ascii="Book Antiqua" w:hAnsi="Book Antiqua" w:cs="Arial"/>
          <w:color w:val="000000" w:themeColor="text1"/>
          <w:sz w:val="24"/>
          <w:szCs w:val="24"/>
          <w:lang w:val="en-GB"/>
        </w:rPr>
        <w:t>Esophageal</w:t>
      </w:r>
      <w:proofErr w:type="spellEnd"/>
      <w:r w:rsidRPr="00B751AA">
        <w:rPr>
          <w:rFonts w:ascii="Book Antiqua" w:hAnsi="Book Antiqua" w:cs="Arial"/>
          <w:color w:val="000000" w:themeColor="text1"/>
          <w:sz w:val="24"/>
          <w:szCs w:val="24"/>
          <w:lang w:val="en-GB"/>
        </w:rPr>
        <w:t xml:space="preserve"> </w:t>
      </w:r>
      <w:r w:rsidR="00FE6179" w:rsidRPr="00B751AA">
        <w:rPr>
          <w:rFonts w:ascii="Book Antiqua" w:hAnsi="Book Antiqua" w:cs="Arial"/>
          <w:color w:val="000000" w:themeColor="text1"/>
          <w:sz w:val="24"/>
          <w:szCs w:val="24"/>
          <w:lang w:val="en-GB"/>
        </w:rPr>
        <w:t>cancer</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Response </w:t>
      </w:r>
      <w:r w:rsidR="00FE6179" w:rsidRPr="00B751AA">
        <w:rPr>
          <w:rFonts w:ascii="Book Antiqua" w:hAnsi="Book Antiqua" w:cs="Arial"/>
          <w:color w:val="000000" w:themeColor="text1"/>
          <w:sz w:val="24"/>
          <w:szCs w:val="24"/>
          <w:lang w:val="en-GB"/>
        </w:rPr>
        <w:t>prediction</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Prognosis;</w:t>
      </w:r>
      <w:r w:rsidR="00FE6179" w:rsidRPr="00B751AA">
        <w:rPr>
          <w:rFonts w:ascii="Book Antiqua" w:hAnsi="Book Antiqua" w:cs="Arial"/>
          <w:color w:val="000000" w:themeColor="text1"/>
          <w:sz w:val="24"/>
          <w:szCs w:val="24"/>
          <w:lang w:val="en-GB"/>
        </w:rPr>
        <w:t xml:space="preserve"> D2-40</w:t>
      </w:r>
      <w:r w:rsidRPr="00B751AA">
        <w:rPr>
          <w:rFonts w:ascii="Book Antiqua" w:hAnsi="Book Antiqua" w:cs="Arial"/>
          <w:color w:val="000000" w:themeColor="text1"/>
          <w:sz w:val="24"/>
          <w:szCs w:val="24"/>
          <w:lang w:val="en-GB"/>
        </w:rPr>
        <w:t xml:space="preserve">; Posttranscriptional </w:t>
      </w:r>
      <w:r w:rsidR="00FE6179" w:rsidRPr="00B751AA">
        <w:rPr>
          <w:rFonts w:ascii="Book Antiqua" w:hAnsi="Book Antiqua" w:cs="Arial"/>
          <w:color w:val="000000" w:themeColor="text1"/>
          <w:sz w:val="24"/>
          <w:szCs w:val="24"/>
          <w:lang w:val="en-GB"/>
        </w:rPr>
        <w:t>regulation</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miRNA-363</w:t>
      </w:r>
    </w:p>
    <w:p w14:paraId="7FA4A2DF" w14:textId="77777777" w:rsidR="00E62BE4" w:rsidRPr="00B751AA" w:rsidRDefault="00E62BE4" w:rsidP="00B751AA">
      <w:pPr>
        <w:adjustRightInd w:val="0"/>
        <w:snapToGrid w:val="0"/>
        <w:spacing w:after="0" w:line="360" w:lineRule="auto"/>
        <w:jc w:val="both"/>
        <w:rPr>
          <w:rFonts w:ascii="Book Antiqua" w:hAnsi="Book Antiqua"/>
          <w:color w:val="000000" w:themeColor="text1"/>
          <w:sz w:val="24"/>
          <w:szCs w:val="24"/>
        </w:rPr>
      </w:pPr>
    </w:p>
    <w:p w14:paraId="7FBFBBEF" w14:textId="77777777" w:rsidR="00E22C78" w:rsidRDefault="00E22C78" w:rsidP="00E22C78">
      <w:pPr>
        <w:adjustRightInd w:val="0"/>
        <w:snapToGrid w:val="0"/>
        <w:spacing w:line="360" w:lineRule="auto"/>
        <w:rPr>
          <w:rFonts w:ascii="Book Antiqua" w:hAnsi="Book Antiqua" w:hint="eastAsia"/>
          <w:bCs/>
          <w:sz w:val="24"/>
          <w:szCs w:val="24"/>
          <w:lang w:eastAsia="zh-CN"/>
        </w:rPr>
      </w:pPr>
      <w:r w:rsidRPr="00E22C78">
        <w:rPr>
          <w:rFonts w:ascii="Book Antiqua" w:hAnsi="Book Antiqua" w:hint="eastAsia"/>
          <w:b/>
          <w:color w:val="000000" w:themeColor="text1"/>
          <w:sz w:val="24"/>
          <w:szCs w:val="24"/>
          <w:lang w:val="de-DE" w:eastAsia="zh-CN"/>
        </w:rPr>
        <w:t xml:space="preserve">Citation: </w:t>
      </w:r>
      <w:r w:rsidRPr="00B751AA">
        <w:rPr>
          <w:rFonts w:ascii="Book Antiqua" w:hAnsi="Book Antiqua"/>
          <w:color w:val="000000" w:themeColor="text1"/>
          <w:sz w:val="24"/>
          <w:szCs w:val="24"/>
          <w:lang w:val="de-DE"/>
        </w:rPr>
        <w:t xml:space="preserve">Warnecke-Eberz U, Plum P, Schweinsberg V, Drebber U, Bruns CJ, Müller DT, Hölscher AH, Bollschweiler E. </w:t>
      </w:r>
      <w:r w:rsidRPr="00B751AA">
        <w:rPr>
          <w:rFonts w:ascii="Book Antiqua" w:hAnsi="Book Antiqua" w:cs="Arial"/>
          <w:bCs/>
          <w:color w:val="000000" w:themeColor="text1"/>
          <w:sz w:val="24"/>
          <w:szCs w:val="24"/>
          <w:lang w:val="en-GB"/>
        </w:rPr>
        <w:t xml:space="preserve">Neoadjuvant </w:t>
      </w:r>
      <w:proofErr w:type="spellStart"/>
      <w:r w:rsidRPr="00B751AA">
        <w:rPr>
          <w:rFonts w:ascii="Book Antiqua" w:hAnsi="Book Antiqua" w:cs="Arial"/>
          <w:bCs/>
          <w:color w:val="000000" w:themeColor="text1"/>
          <w:sz w:val="24"/>
          <w:szCs w:val="24"/>
          <w:lang w:val="en-GB"/>
        </w:rPr>
        <w:t>chemoradiation</w:t>
      </w:r>
      <w:proofErr w:type="spellEnd"/>
      <w:r w:rsidRPr="00B751AA">
        <w:rPr>
          <w:rFonts w:ascii="Book Antiqua" w:hAnsi="Book Antiqua" w:cs="Arial"/>
          <w:bCs/>
          <w:color w:val="000000" w:themeColor="text1"/>
          <w:sz w:val="24"/>
          <w:szCs w:val="24"/>
          <w:lang w:val="en-GB"/>
        </w:rPr>
        <w:t xml:space="preserve"> changes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in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 patients. </w:t>
      </w:r>
      <w:r w:rsidRPr="00B751AA">
        <w:rPr>
          <w:rFonts w:ascii="Book Antiqua" w:hAnsi="Book Antiqua"/>
          <w:bCs/>
          <w:i/>
          <w:iCs/>
          <w:sz w:val="24"/>
          <w:szCs w:val="24"/>
        </w:rPr>
        <w:t xml:space="preserve">World J </w:t>
      </w:r>
      <w:proofErr w:type="spellStart"/>
      <w:r w:rsidRPr="00B751AA">
        <w:rPr>
          <w:rFonts w:ascii="Book Antiqua" w:hAnsi="Book Antiqua"/>
          <w:bCs/>
          <w:i/>
          <w:iCs/>
          <w:sz w:val="24"/>
          <w:szCs w:val="24"/>
        </w:rPr>
        <w:t>Gastroenterol</w:t>
      </w:r>
      <w:proofErr w:type="spellEnd"/>
      <w:r w:rsidRPr="00B751AA">
        <w:rPr>
          <w:rFonts w:ascii="Book Antiqua" w:hAnsi="Book Antiqua"/>
          <w:bCs/>
          <w:i/>
          <w:iCs/>
          <w:sz w:val="24"/>
          <w:szCs w:val="24"/>
        </w:rPr>
        <w:t xml:space="preserve"> </w:t>
      </w:r>
      <w:r w:rsidRPr="00B751AA">
        <w:rPr>
          <w:rFonts w:ascii="Book Antiqua" w:hAnsi="Book Antiqua"/>
          <w:bCs/>
          <w:sz w:val="24"/>
          <w:szCs w:val="24"/>
        </w:rPr>
        <w:t xml:space="preserve">2020; </w:t>
      </w:r>
      <w:r w:rsidRPr="009660F6">
        <w:rPr>
          <w:rFonts w:ascii="Book Antiqua" w:hAnsi="Book Antiqua"/>
          <w:bCs/>
          <w:sz w:val="24"/>
          <w:szCs w:val="24"/>
        </w:rPr>
        <w:t>26(2</w:t>
      </w:r>
      <w:r>
        <w:rPr>
          <w:rFonts w:ascii="Book Antiqua" w:hAnsi="Book Antiqua" w:hint="eastAsia"/>
          <w:bCs/>
          <w:sz w:val="24"/>
          <w:szCs w:val="24"/>
        </w:rPr>
        <w:t>3</w:t>
      </w:r>
      <w:r w:rsidRPr="009660F6">
        <w:rPr>
          <w:rFonts w:ascii="Book Antiqua" w:hAnsi="Book Antiqua"/>
          <w:bCs/>
          <w:sz w:val="24"/>
          <w:szCs w:val="24"/>
        </w:rPr>
        <w:t xml:space="preserve">): </w:t>
      </w:r>
      <w:r>
        <w:rPr>
          <w:rFonts w:ascii="Book Antiqua" w:hAnsi="Book Antiqua" w:hint="eastAsia"/>
          <w:bCs/>
          <w:sz w:val="24"/>
          <w:szCs w:val="24"/>
        </w:rPr>
        <w:t>3236</w:t>
      </w:r>
      <w:r w:rsidRPr="009660F6">
        <w:rPr>
          <w:rFonts w:ascii="Book Antiqua" w:hAnsi="Book Antiqua"/>
          <w:bCs/>
          <w:sz w:val="24"/>
          <w:szCs w:val="24"/>
        </w:rPr>
        <w:t>-</w:t>
      </w:r>
      <w:r>
        <w:rPr>
          <w:rFonts w:ascii="Book Antiqua" w:hAnsi="Book Antiqua" w:hint="eastAsia"/>
          <w:bCs/>
          <w:sz w:val="24"/>
          <w:szCs w:val="24"/>
        </w:rPr>
        <w:t>3248</w:t>
      </w:r>
      <w:r w:rsidRPr="009660F6">
        <w:rPr>
          <w:rFonts w:ascii="Book Antiqua" w:hAnsi="Book Antiqua"/>
          <w:bCs/>
          <w:sz w:val="24"/>
          <w:szCs w:val="24"/>
        </w:rPr>
        <w:t xml:space="preserve">  </w:t>
      </w:r>
    </w:p>
    <w:p w14:paraId="171004D5" w14:textId="77777777" w:rsidR="00E22C78" w:rsidRDefault="00E22C78" w:rsidP="00E22C78">
      <w:pPr>
        <w:adjustRightInd w:val="0"/>
        <w:snapToGrid w:val="0"/>
        <w:spacing w:line="360" w:lineRule="auto"/>
        <w:rPr>
          <w:rFonts w:ascii="Book Antiqua" w:hAnsi="Book Antiqua" w:hint="eastAsia"/>
          <w:bCs/>
          <w:sz w:val="24"/>
          <w:szCs w:val="24"/>
          <w:lang w:eastAsia="zh-CN"/>
        </w:rPr>
      </w:pPr>
      <w:r w:rsidRPr="00E22C78">
        <w:rPr>
          <w:rFonts w:ascii="Book Antiqua" w:hAnsi="Book Antiqua"/>
          <w:b/>
          <w:bCs/>
          <w:sz w:val="24"/>
          <w:szCs w:val="24"/>
        </w:rPr>
        <w:t>URL:</w:t>
      </w:r>
      <w:r w:rsidRPr="009660F6">
        <w:rPr>
          <w:rFonts w:ascii="Book Antiqua" w:hAnsi="Book Antiqua"/>
          <w:bCs/>
          <w:sz w:val="24"/>
          <w:szCs w:val="24"/>
        </w:rPr>
        <w:t xml:space="preserve"> https://www.wjgnet.com/1007-9327/full/v26/i2</w:t>
      </w:r>
      <w:r>
        <w:rPr>
          <w:rFonts w:ascii="Book Antiqua" w:hAnsi="Book Antiqua" w:hint="eastAsia"/>
          <w:bCs/>
          <w:sz w:val="24"/>
          <w:szCs w:val="24"/>
        </w:rPr>
        <w:t>3</w:t>
      </w:r>
      <w:r w:rsidRPr="009660F6">
        <w:rPr>
          <w:rFonts w:ascii="Book Antiqua" w:hAnsi="Book Antiqua"/>
          <w:bCs/>
          <w:sz w:val="24"/>
          <w:szCs w:val="24"/>
        </w:rPr>
        <w:t>/</w:t>
      </w:r>
      <w:r>
        <w:rPr>
          <w:rFonts w:ascii="Book Antiqua" w:hAnsi="Book Antiqua" w:hint="eastAsia"/>
          <w:bCs/>
          <w:sz w:val="24"/>
          <w:szCs w:val="24"/>
        </w:rPr>
        <w:t>3236</w:t>
      </w:r>
      <w:r w:rsidRPr="009660F6">
        <w:rPr>
          <w:rFonts w:ascii="Book Antiqua" w:hAnsi="Book Antiqua"/>
          <w:bCs/>
          <w:sz w:val="24"/>
          <w:szCs w:val="24"/>
        </w:rPr>
        <w:t xml:space="preserve">.htm  </w:t>
      </w:r>
    </w:p>
    <w:p w14:paraId="59E4D100" w14:textId="5C9619E6" w:rsidR="00E22C78" w:rsidRPr="00B751AA" w:rsidRDefault="00E22C78" w:rsidP="00E22C78">
      <w:pPr>
        <w:adjustRightInd w:val="0"/>
        <w:snapToGrid w:val="0"/>
        <w:spacing w:line="360" w:lineRule="auto"/>
        <w:rPr>
          <w:rFonts w:ascii="Book Antiqua" w:hAnsi="Book Antiqua"/>
          <w:b/>
          <w:sz w:val="24"/>
          <w:szCs w:val="24"/>
        </w:rPr>
      </w:pPr>
      <w:r w:rsidRPr="00E22C78">
        <w:rPr>
          <w:rFonts w:ascii="Book Antiqua" w:hAnsi="Book Antiqua"/>
          <w:b/>
          <w:bCs/>
          <w:sz w:val="24"/>
          <w:szCs w:val="24"/>
        </w:rPr>
        <w:t>DOI:</w:t>
      </w:r>
      <w:r w:rsidRPr="009660F6">
        <w:rPr>
          <w:rFonts w:ascii="Book Antiqua" w:hAnsi="Book Antiqua"/>
          <w:bCs/>
          <w:sz w:val="24"/>
          <w:szCs w:val="24"/>
        </w:rPr>
        <w:t xml:space="preserve"> https://dx.doi.org/10.3748/wjg.v26.i2</w:t>
      </w:r>
      <w:r>
        <w:rPr>
          <w:rFonts w:ascii="Book Antiqua" w:hAnsi="Book Antiqua" w:hint="eastAsia"/>
          <w:bCs/>
          <w:sz w:val="24"/>
          <w:szCs w:val="24"/>
        </w:rPr>
        <w:t>3</w:t>
      </w:r>
      <w:r w:rsidRPr="009660F6">
        <w:rPr>
          <w:rFonts w:ascii="Book Antiqua" w:hAnsi="Book Antiqua"/>
          <w:bCs/>
          <w:sz w:val="24"/>
          <w:szCs w:val="24"/>
        </w:rPr>
        <w:t>.</w:t>
      </w:r>
      <w:r>
        <w:rPr>
          <w:rFonts w:ascii="Book Antiqua" w:hAnsi="Book Antiqua" w:hint="eastAsia"/>
          <w:bCs/>
          <w:sz w:val="24"/>
          <w:szCs w:val="24"/>
        </w:rPr>
        <w:t>3236</w:t>
      </w:r>
    </w:p>
    <w:p w14:paraId="7FDC6A4B" w14:textId="77777777" w:rsidR="00E62BE4" w:rsidRPr="00B751AA" w:rsidRDefault="00E62BE4" w:rsidP="00B751AA">
      <w:pPr>
        <w:adjustRightInd w:val="0"/>
        <w:snapToGrid w:val="0"/>
        <w:spacing w:after="0" w:line="360" w:lineRule="auto"/>
        <w:jc w:val="both"/>
        <w:rPr>
          <w:rFonts w:ascii="Book Antiqua" w:hAnsi="Book Antiqua"/>
          <w:color w:val="000000" w:themeColor="text1"/>
          <w:sz w:val="24"/>
          <w:szCs w:val="24"/>
          <w:lang w:val="de-DE"/>
        </w:rPr>
      </w:pPr>
    </w:p>
    <w:p w14:paraId="45E6C405" w14:textId="77777777" w:rsidR="00FE6179" w:rsidRPr="00B751AA" w:rsidRDefault="00E62BE4"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theme="minorHAnsi"/>
          <w:b/>
          <w:iCs/>
          <w:sz w:val="24"/>
          <w:szCs w:val="24"/>
        </w:rPr>
        <w:t>Core tip</w:t>
      </w:r>
      <w:r w:rsidRPr="00B751AA">
        <w:rPr>
          <w:rFonts w:ascii="Book Antiqua" w:hAnsi="Book Antiqua" w:cstheme="minorHAnsi"/>
          <w:iCs/>
          <w:sz w:val="24"/>
          <w:szCs w:val="24"/>
        </w:rPr>
        <w:t>:</w:t>
      </w:r>
      <w:r w:rsidRPr="00B751AA">
        <w:rPr>
          <w:rFonts w:ascii="Book Antiqua" w:hAnsi="Book Antiqua" w:cstheme="minorHAnsi"/>
          <w:sz w:val="24"/>
          <w:szCs w:val="24"/>
        </w:rPr>
        <w:t xml:space="preserv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is an </w:t>
      </w:r>
      <w:proofErr w:type="spellStart"/>
      <w:r w:rsidR="00FE6179" w:rsidRPr="00B751AA">
        <w:rPr>
          <w:rFonts w:ascii="Book Antiqua" w:hAnsi="Book Antiqua" w:cs="Arial"/>
          <w:color w:val="000000" w:themeColor="text1"/>
          <w:sz w:val="24"/>
          <w:szCs w:val="24"/>
          <w:lang w:val="en-GB"/>
        </w:rPr>
        <w:t>oncofetal</w:t>
      </w:r>
      <w:proofErr w:type="spellEnd"/>
      <w:r w:rsidR="00FE6179" w:rsidRPr="00B751AA">
        <w:rPr>
          <w:rFonts w:ascii="Book Antiqua" w:hAnsi="Book Antiqua" w:cs="Arial"/>
          <w:color w:val="000000" w:themeColor="text1"/>
          <w:sz w:val="24"/>
          <w:szCs w:val="24"/>
          <w:lang w:val="en-GB"/>
        </w:rPr>
        <w:t xml:space="preserve"> membrane protein, re-expressed in squamous cell carcinoma of the </w:t>
      </w:r>
      <w:proofErr w:type="spellStart"/>
      <w:r w:rsidR="00FE6179" w:rsidRPr="00B751AA">
        <w:rPr>
          <w:rFonts w:ascii="Book Antiqua" w:hAnsi="Book Antiqua" w:cs="Arial"/>
          <w:color w:val="000000" w:themeColor="text1"/>
          <w:sz w:val="24"/>
          <w:szCs w:val="24"/>
          <w:lang w:val="en-GB"/>
        </w:rPr>
        <w:t>esophagus</w:t>
      </w:r>
      <w:proofErr w:type="spellEnd"/>
      <w:r w:rsidR="00FE6179" w:rsidRPr="00B751AA">
        <w:rPr>
          <w:rFonts w:ascii="Book Antiqua" w:hAnsi="Book Antiqua" w:cs="Arial"/>
          <w:color w:val="000000" w:themeColor="text1"/>
          <w:sz w:val="24"/>
          <w:szCs w:val="24"/>
          <w:lang w:val="en-GB"/>
        </w:rPr>
        <w:t xml:space="preserv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expression seems to </w:t>
      </w:r>
      <w:r w:rsidR="00FE6179" w:rsidRPr="00B751AA">
        <w:rPr>
          <w:rFonts w:ascii="Book Antiqua" w:hAnsi="Book Antiqua" w:cs="Arial"/>
          <w:color w:val="000000" w:themeColor="text1"/>
          <w:sz w:val="24"/>
          <w:szCs w:val="24"/>
          <w:lang w:val="en-GB"/>
        </w:rPr>
        <w:lastRenderedPageBreak/>
        <w:t xml:space="preserve">be, among others, controlled by miR-363. Chemoradiation results in reduction of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protein expression, and furthermore,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is a prognostic factor for survival. This implicates that a decrease of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might become a therapeutic option.</w:t>
      </w:r>
    </w:p>
    <w:p w14:paraId="40FAC890" w14:textId="77777777" w:rsidR="00E62BE4" w:rsidRPr="00B751AA" w:rsidRDefault="00E62BE4"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t>INTRODUCTION</w:t>
      </w:r>
    </w:p>
    <w:p w14:paraId="6FED007F" w14:textId="77777777" w:rsidR="00FE6179" w:rsidRPr="00B751AA" w:rsidRDefault="00FE6179" w:rsidP="00B751AA">
      <w:pPr>
        <w:pStyle w:val="StandardArial"/>
        <w:adjustRightInd w:val="0"/>
        <w:snapToGrid w:val="0"/>
        <w:spacing w:before="0" w:after="0"/>
        <w:rPr>
          <w:rFonts w:ascii="Book Antiqua" w:hAnsi="Book Antiqua"/>
          <w:color w:val="000000" w:themeColor="text1"/>
          <w:szCs w:val="24"/>
          <w:lang w:val="en-GB"/>
        </w:rPr>
      </w:pPr>
      <w:r w:rsidRPr="00B751AA">
        <w:rPr>
          <w:rFonts w:ascii="Book Antiqua" w:hAnsi="Book Antiqua"/>
          <w:color w:val="000000" w:themeColor="text1"/>
          <w:szCs w:val="24"/>
          <w:lang w:val="en-US"/>
        </w:rPr>
        <w:t>Esophageal squamous cell- (ESCC) and adenocarcinoma (EAC) are common malignancies worldwide</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{"citationItems":[{"id":"ITEM-1","itemData":{"DOI":"10.1158/1055-9965.EPI-15-0578","ISSN":"10559965","PMID":"26667886","abstract":"There are limited published data on recent cancer incidence and mortality trends worldwide. We used the International Agency for Research on Cancer's CANCERMondial clearing-house to present age-standardized cancer incidence and death rates for 2003-2007. We also present trends in incidence through 2007 and mortality through 2012 for select countries from five continents. High-income countries (HIC) continue to have the highest incidence rates for all sites, as well as for lung, colorectal, breast, and prostate cancer, although some low- and middle-income countries (LMIC) now count among those with the highest rates. Mortality rates from these cancers are declining in many HICs while they are increasing in LMICs. LMICs have the highest rates of stomach, liver, esophageal, and cervical cancer. Although rates remain high in HICs, they are plateauing or decreasing for the most common cancers due to decreases in known risk factors, screening and early detection, and improved treatment (mortality only). In contrast, rates in several LMICs are increasing for these cancers due to increases in smoking, excess body weight, and physical inactivity. LMICs also have a disproportionate burden of infection-related cancers. Applied cancer control measures are needed to reduce rates in HICs and arrest the growing burden in LMICs.","author":[{"dropping-particle":"","family":"Torre","given":"Lindsey A","non-dropping-particle":"","parse-names":false,"suffix":""},{"dropping-particle":"","family":"Siegel","given":"Rebecca L","non-dropping-particle":"","parse-names":false,"suffix":""},{"dropping-particle":"","family":"Ward","given":"Elizabeth M","non-dropping-particle":"","parse-names":false,"suffix":""},{"dropping-particle":"","family":"Jemal","given":"Ahmedin","non-dropping-particle":"","parse-names":false,"suffix":""}],"container-title":"Cancer Epidemiology Biomarkers and Prevention","id":"ITEM-1","issue":"1","issued":{"date-parts":[["2016","1"]]},"page":"16-27","publisher":"Cancer Epidemiol Biomarkers Prev","title":"Global cancer incidence and mortality rates and trends - An update","type":"article","volume":"25"},"uris":["http://www.mendeley.com/documents/?uuid=624599ce-56a4-3c23-aef8-773b55347e8f"]}],"mendeley":{"formattedCitation":"&lt;sup&gt;[1]&lt;/sup&gt;","plainTextFormattedCitation":"[1]","previouslyFormattedCitation":"&lt;sup&gt;[1]&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[1]</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EAC is the most rapidly increasing cancer in the Western world, thus ESCC no longer represents the most prevalent histological subtype</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{"citationItems":[{"id":"ITEM-1","itemData":{"DOI":"10.3322/caac.20141","ISSN":"1542-4863","PMID":"22281605","abstract":"Despite declines in incidence rates for the most common cancers, the incidence of several cancers has increased in the past decade, including cancers of the pancreas, liver, thyroid, and kidney and melanoma of the skin, as well as esophageal adenocarcinoma and certain subsites of oropharyngeal cancer associated with human papillomavirus (HPV) infection. Population-based incidence data compiled by the North American Association of Central Cancer Registries were used to examine trends in incidence rates from 1999 through 2008 for the 7 cancers listed by sex, age group, race/ethnicity, and stage at diagnosis. Joinpoint regression was used to calculate average annual percent changes in incidence rates (1999-2008). Rates for HPV-related oropharyngeal cancer, esophageal adenocarcinoma, cancer of the pancreas, and melanoma of the skin increased only in whites, except for esophageal adenocarcinoma, which also increased in Hispanic men. Liver cancer rates increased in white, black, and Hispanic men and in black women only. In contrast, incidence rates for thyroid and kidney cancers increased in all racial/ethnic groups, except American Indian/Alaska Native men. Increases in incidence rates by age were steepest for liver and HPV-related oropharyngeal cancers among those aged 55 [corrected] to 64 years and for melanoma of the skin in those aged 65 years and older. Notably, for HPV-related oropharyngeal cancer in men and thyroid cancer in women, incidence rates were higher in those aged 55 to 64 years than in those aged 65 years and older. Rates increased for both local and advanced stage diseases for most cancer sites. The reasons for these increasing trends are not entirely known. Part of the increase (for esophageal adenocarcinoma and cancers of the pancreas, liver, and kidney) may be linked to the increasing prevalence of obesity as well as increases in early detection practices for some cancers. These rising trends will exacerbate the growing cancer burden associated with population expansion and aging. Additional research is needed to determine the underlying reasons for these increasing trends.","author":[{"dropping-particle":"","family":"Simard","given":"Edgar P","non-dropping-particle":"","parse-names":false,"suffix":""},{"dropping-particle":"","family":"Ward","given":"Elizabeth M","non-dropping-particle":"","parse-names":false,"suffix":""},{"dropping-particle":"","family":"Siegel","given":"Rebecca","non-dropping-particle":"","parse-names":false,"suffix":""},{"dropping-particle":"","family":"Jemal","given":"Ahmedin","non-dropping-particle":"","parse-names":false,"suffix":""}],"container-title":"CA: A Cancer Journal for Clinicians","id":"ITEM-1","issue":"2","issued":{"date-parts":[["2012"]]},"page":"118-128","publisher":"CA Cancer J Clin","title":"Cancers with increasing incidence trends in the United States: 1999 through 2008","type":"article-journal","volume":"62"},"uris":["http://www.mendeley.com/documents/?uuid=e6a5ab57-8228-3476-9759-181ad710f552"]}],"mendeley":{"formattedCitation":"&lt;sup&gt;[2]&lt;/sup&gt;","plainTextFormattedCitation":"[2]","previouslyFormattedCitation":"&lt;sup&gt;[2]&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[2]</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These two tumor types differ in risk factors and biological characteristics</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{"citationItems":[{"id":"ITEM-1","itemData":{"DOI":"10.4251/wjgo.v6.i5.112","ISSN":"1948-5204","PMID":"24834141","abstract":"Esophageal cancer is a serious malignancy with regards to mortality and prognosis. It is a growing health concern that is expected to increase in incidence over the next 10 years. Squamous cell carcinoma is the most common histological type of esophageal cancer worldwide, with a higher incidence in developing nations. With the increased prevalence of gastroesophageal reflux disease and obesity in developed nations, the incidence of esophageal adenocarcinoma has dramatically increased in the past 40 years. Esophageal cancer is staged according to the widely accepted TNM system. Staging plays an integral part in guiding stage specific treatment protocols and has a great impact on overall survival. Common imaging modalities used in staging include computed tomography, endoscopic ultrasound and positron emission tomography scans. Current treatment options include multimodality therapy mainstays of current treatment include surgery, radiation and chemotherapy. Tumor markers of esophageal cancer are an advancing area of research that could potentially lead to earlier diagnosis as well as playing a part in assessing tumor response to therapy.","author":[{"dropping-particle":"","family":"Napier","given":"Kyle J","non-dropping-particle":"","parse-names":false,"suffix":""}],"container-title":"World Journal of Gastrointestinal Oncology","id":"ITEM-1","issue":"5","issued":{"date-parts":[["2014","5","15"]]},"page":"112","publisher":"World J Gastrointest Oncol","title":"Esophageal cancer: A Review of epidemiology, pathogenesis, staging workup and treatment modalities","type":"article-journal","volume":"6"},"uris":["http://www.mendeley.com/documents/?uuid=f57ee15c-4c4e-3e35-8152-91c4e57901a1"]},{"id":"ITEM-2","itemData":{"DOI":"10.1158/1055-9965.EPI-12-1347","ISSN":"10559965","PMID":"23549398","abstract":"Esophageal squamous cell carcinoma (ESCC) accounts for 80% of all esophageal cancers worldwide, and esophageal squamous dysplasia (ESD) is the only histopathology that predicts the development of ESCC. The prevalence of ESDparallels rates of invasive ESCC and is typically found in 25% or more of adults above the age of 35 years in populations in north central China, where risk for ESCC is among the highest in the world. Results of chemoprevention and early detection studies to prevent progression of ESD suggest that these approaches, coupled with emerging endoscopic therapies, offer promise for the prevention of esophageal cancer mortality in high-risk populations. Future research on ESD and ESCC should focus on finding additional modifiable risk factors and on identifying biomarkers to incorporate into early detection strategies. © 2013 American Association for Cancer Research.","author":[{"dropping-particle":"","family":"Taylor","given":"Philip R","non-dropping-particle":"","parse-names":false,"suffix":""},{"dropping-particle":"","family":"Abnet","given":"Christian C","non-dropping-particle":"","parse-names":false,"suffix":""},{"dropping-particle":"","family":"Dawsey","given":"Sanford M","non-dropping-particle":"","parse-names":false,"suffix":""}],"container-title":"Cancer Epidemiology Biomarkers and Prevention","id":"ITEM-2","issue":"4","issued":{"date-parts":[["2013","4"]]},"page":"540-552","publisher":"Cancer Epidemiol Biomarkers Prev","title":"Squamous dysplasia-The precursor lesion for esophageal squamous cell carcinoma","type":"article-journal","volume":"22"},"uris":["http://www.mendeley.com/documents/?uuid=5ad835f0-e299-315e-b46b-e4514ff7da69"]}],"mendeley":{"formattedCitation":"&lt;sup&gt;[3,4]&lt;/sup&gt;","plainTextFormattedCitation":"[3,4]","previouslyFormattedCitation":"&lt;sup&gt;[3,4]&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[3,4]</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rPr>
        <w:t>.</w:t>
      </w:r>
    </w:p>
    <w:p w14:paraId="7238ED36" w14:textId="77777777" w:rsidR="00FE6179" w:rsidRPr="00B751AA" w:rsidRDefault="00FE6179" w:rsidP="00B751AA">
      <w:pPr>
        <w:pStyle w:val="StandardArial"/>
        <w:adjustRightInd w:val="0"/>
        <w:snapToGrid w:val="0"/>
        <w:spacing w:before="0" w:after="0"/>
        <w:ind w:firstLineChars="100" w:firstLine="240"/>
        <w:rPr>
          <w:rFonts w:ascii="Book Antiqua" w:hAnsi="Book Antiqua"/>
          <w:color w:val="000000" w:themeColor="text1"/>
          <w:szCs w:val="24"/>
          <w:lang w:val="en-US"/>
        </w:rPr>
      </w:pPr>
      <w:r w:rsidRPr="00B751AA">
        <w:rPr>
          <w:rFonts w:ascii="Book Antiqua" w:hAnsi="Book Antiqua"/>
          <w:color w:val="000000" w:themeColor="text1"/>
          <w:szCs w:val="24"/>
          <w:lang w:val="en-GB"/>
        </w:rPr>
        <w:t>The poor prognosis of patients with locally advanced cancer encouraged the assessment of neoadjuvant treatment strategies to improve patients</w:t>
      </w:r>
      <w:r w:rsidR="00E62BE4" w:rsidRPr="00B751AA">
        <w:rPr>
          <w:rFonts w:ascii="Book Antiqua" w:hAnsi="Book Antiqua"/>
          <w:color w:val="000000" w:themeColor="text1"/>
          <w:szCs w:val="24"/>
          <w:lang w:val="en-GB"/>
        </w:rPr>
        <w:t>’</w:t>
      </w:r>
      <w:r w:rsidRPr="00B751AA">
        <w:rPr>
          <w:rFonts w:ascii="Book Antiqua" w:hAnsi="Book Antiqua"/>
          <w:color w:val="000000" w:themeColor="text1"/>
          <w:szCs w:val="24"/>
          <w:lang w:val="en-GB"/>
        </w:rPr>
        <w:t xml:space="preserve"> survival</w:t>
      </w:r>
      <w:r w:rsidRPr="00B751AA">
        <w:rPr>
          <w:rFonts w:ascii="Book Antiqua" w:hAnsi="Book Antiqua"/>
          <w:color w:val="000000" w:themeColor="text1"/>
          <w:szCs w:val="24"/>
          <w:lang w:val="en-GB"/>
        </w:rPr>
        <w:fldChar w:fldCharType="begin" w:fldLock="1"/>
      </w:r>
      <w:r w:rsidRPr="00B751AA">
        <w:rPr>
          <w:rFonts w:ascii="Book Antiqua" w:hAnsi="Book Antiqua"/>
          <w:color w:val="000000" w:themeColor="text1"/>
          <w:szCs w:val="24"/>
          <w:lang w:val="en-GB"/>
        </w:rPr>
        <w:instrText>ADDIN CSL_CITATION {"citationItems":[{"id":"ITEM-1","itemData":{"DOI":"10.1016/j.ejca.2014.08.020","ISSN":"18790852","PMID":"25307749","abstract":"Background The prognostic effect of neoadjuvant treatment in advanced oesophageal cancer is still debated because most studies included undefined T-stages, different radio/chemotherapies or different types of surgery. Objectives To analyse the prognostic impact of neoadjuvant chemoradiation in patients with clinical T3 oesophageal cancer and oesophagectomy. Methods In a retrospective study 768 patients from two centres with cT3/Nx/M0 oesophageal cancer and transthoracic en-bloc oesophagectomy were selected. Clinical staging was based on endoscopy, endosonography and spiral-CT scan. Propensity score matching using histology, location of tumour, age, gender and ASA-classification identified 648 patients (n = 302 adenocarcinoma (AC), n = 346 squamous cell carcinoma (SCC)) for the intention-to-treat analysis comparing group-I (n = 324) patients with planned oesophagectomy and group-II (n = 324) patients with planned neoadjuvant chemoradiation (40 Gy, 5-FU, cisplatin) followed by oesophagectomy. The prognosis was analysed by univariate and multivariate analyses. Results In the intention-to-treat analysis group-I had a 17% and group-II a 28% 5-year survival rate (5-YSR) (p &lt; 0.001). After excluding patients without oesophagectomy the 5-YSR of group-II increased to 30%. The results were more favourable for patients with AC (5y-SR of 38%) compared to SCC (22%) (p = 0.060). In group-II patients with major response (n = 128) had a 41% 5-YSR compared to 20% for those with minor response (n = 155, p &lt; 0,001). In multivariate analysis neoadjuvant chemoradiation was a favourable independent prognostic factor. Conclusion Neoadjuvant chemoradiation followed by oesophagectomy results in 11% higher 5-YSR than surgery alone for patients with cT3/Nx/M0 oesophageal cancer. This effect is due to the substantial prognostic benefit of the major responders.","author":[{"dropping-particle":"","family":"Hölscher","given":"Arnulf H","non-dropping-particle":"","parse-names":false,"suffix":""},{"dropping-particle":"","family":"Bollschweiler","given":"Elfriede","non-dropping-particle":"","parse-names":false,"suffix":""},{"dropping-particle":"","family":"Bogoevski","given":"Dean","non-dropping-particle":"","parse-names":false,"suffix":""},{"dropping-particle":"","family":"Schmidt","given":"Henner","non-dropping-particle":"","parse-names":false,"suffix":""},{"dropping-particle":"","family":"Semrau","given":"Robert","non-dropping-particle":"","parse-names":false,"suffix":""},{"dropping-particle":"","family":"Izbicki","given":"Jakob R","non-dropping-particle":"","parse-names":false,"suffix":""}],"container-title":"European Journal of Cancer","id":"ITEM-1","issue":"17","issued":{"date-parts":[["2014","11"]]},"page":"2950-2957","publisher":"Eur J Cancer","title":"Prognostic impact of neoadjuvant chemoradiation in cT3 oesophageal cancer - A propensity score matched analysis","type":"article-journal","volume":"50"},"uris":["http://www.mendeley.com/documents/?uuid=23d01631-a93e-3fa4-94c2-a3ce5170001f"]}],"mendeley":{"formattedCitation":"&lt;sup&gt;[5]&lt;/sup&gt;","plainTextFormattedCitation":"[5]","previouslyFormattedCitation":"&lt;sup&gt;[5]&lt;/sup&gt;"},"properties":{"noteIndex":0},"schema":"https://github.com/citation-style-language/schema/raw/master/csl-citation.json"}</w:instrText>
      </w:r>
      <w:r w:rsidRPr="00B751AA">
        <w:rPr>
          <w:rFonts w:ascii="Book Antiqua" w:hAnsi="Book Antiqua"/>
          <w:color w:val="000000" w:themeColor="text1"/>
          <w:szCs w:val="24"/>
          <w:lang w:val="en-GB"/>
        </w:rPr>
        <w:fldChar w:fldCharType="separate"/>
      </w:r>
      <w:r w:rsidRPr="00B751AA">
        <w:rPr>
          <w:rFonts w:ascii="Book Antiqua" w:hAnsi="Book Antiqua"/>
          <w:noProof/>
          <w:color w:val="000000" w:themeColor="text1"/>
          <w:szCs w:val="24"/>
          <w:vertAlign w:val="superscript"/>
          <w:lang w:val="en-GB"/>
        </w:rPr>
        <w:t>[5]</w:t>
      </w:r>
      <w:r w:rsidRPr="00B751AA">
        <w:rPr>
          <w:rFonts w:ascii="Book Antiqua" w:hAnsi="Book Antiqua"/>
          <w:color w:val="000000" w:themeColor="text1"/>
          <w:szCs w:val="24"/>
          <w:lang w:val="en-GB"/>
        </w:rPr>
        <w:fldChar w:fldCharType="end"/>
      </w:r>
      <w:r w:rsidRPr="00B751AA">
        <w:rPr>
          <w:rFonts w:ascii="Book Antiqua" w:hAnsi="Book Antiqua"/>
          <w:color w:val="000000" w:themeColor="text1"/>
          <w:szCs w:val="24"/>
          <w:lang w:val="en-GB"/>
        </w:rPr>
        <w:t xml:space="preserve">. </w:t>
      </w:r>
      <w:r w:rsidRPr="00B751AA">
        <w:rPr>
          <w:rFonts w:ascii="Book Antiqua" w:hAnsi="Book Antiqua"/>
          <w:bCs/>
          <w:color w:val="000000" w:themeColor="text1"/>
          <w:szCs w:val="24"/>
          <w:lang w:val="en-GB"/>
        </w:rPr>
        <w:t>Since only responders, 40</w:t>
      </w:r>
      <w:r w:rsidR="00E62BE4" w:rsidRPr="00B751AA">
        <w:rPr>
          <w:rFonts w:ascii="Book Antiqua" w:hAnsi="Book Antiqua"/>
          <w:bCs/>
          <w:color w:val="000000" w:themeColor="text1"/>
          <w:szCs w:val="24"/>
          <w:lang w:val="en-GB"/>
        </w:rPr>
        <w:t>%</w:t>
      </w:r>
      <w:r w:rsidRPr="00B751AA">
        <w:rPr>
          <w:rFonts w:ascii="Book Antiqua" w:hAnsi="Book Antiqua"/>
          <w:bCs/>
          <w:color w:val="000000" w:themeColor="text1"/>
          <w:szCs w:val="24"/>
          <w:lang w:val="en-GB"/>
        </w:rPr>
        <w:t xml:space="preserve"> to 50% of all patients profit by better survival, after going through the burden of chemoradiation, we urgently need markers predicting response prior to therapy</w:t>
      </w:r>
      <w:r w:rsidRPr="00B751AA">
        <w:rPr>
          <w:rFonts w:ascii="Book Antiqua" w:hAnsi="Book Antiqua"/>
          <w:bCs/>
          <w:color w:val="000000" w:themeColor="text1"/>
          <w:szCs w:val="24"/>
          <w:lang w:val="en-GB"/>
        </w:rPr>
        <w:fldChar w:fldCharType="begin" w:fldLock="1"/>
      </w:r>
      <w:r w:rsidRPr="00B751AA">
        <w:rPr>
          <w:rFonts w:ascii="Book Antiqua" w:hAnsi="Book Antiqua"/>
          <w:bCs/>
          <w:color w:val="000000" w:themeColor="text1"/>
          <w:szCs w:val="24"/>
          <w:lang w:val="en-GB"/>
        </w:rPr>
        <w:instrText>ADDIN CSL_CITATION {"citationItems":[{"id":"ITEM-1","itemData":{"DOI":"10.1093/annonc/mdn622","ISSN":"09237534","PMID":"18836090","abstract":"Background: This study investigates response and prognosis after neo-adjuvant chemoradiation (CTx/RTx) in patients with advanced esophageal carcinoma, according to histological type. Patients and methods: Patients with uT3 carcinoma of the esophagus treated with curative-intention esophagectomy from 1997 until 2006 were included in this retrospective analysis. Patients receiving preoperative CTx/RTx (5-fluorouracil, cisplatin, 36 Gy) were compared with those with primary surgery for pT3 tumors. Therapy response after CTx/RTx was evaluated using 'Cologne Regression Grade' (minor response: ≥10% vital residual tumor cells (VRTCs), major response: &lt;10% VRTC or pathologic complete response). Prognosis was evaluated for adenocarcinoma (AC) and squamous cell carcinoma (SCC). Results: Of 297 patients, 52% were SCC and 48% AC. In all, 192 patients underwent CTx/RTx, 100 (65%) SCC and 92 (64%) AC (nonsignificant). In SCC group 51% and in AC group 29% achieved major response (P &lt; 0.01). Patients with major response had a 2-year survival rate (2y-SR) of 78% versus those with minor response or without CTx/RTx, with a 2y-SR of 45% (P = 0.001). Examining patients with major response exclusively, the prognosis of AC (2y-SR 85%) is better than that of SCC (2y-SR 54%) (P &lt; 0.01). Conclusion: This retrospective study concludes that in esophageal tumors, response to and prognosis after neo-adjuvant CTx/RTx vary according to histology. © The Author 2008. Published by Oxford University Press on behalf of the European Society for Medical Oncology. All rights reserved.","author":[{"dropping-particle":"","family":"Bollschweiler","given":"Elfriede","non-dropping-particle":"","parse-names":false,"suffix":""},{"dropping-particle":"","family":"Metzger","given":"R","non-dropping-particle":"","parse-names":false,"suffix":""},{"dropping-particle":"","family":"Drebber","given":"U","non-dropping-particle":"","parse-names":false,"suffix":""},{"dropping-particle":"","family":"Baldus","given":"S","non-dropping-particle":"","parse-names":false,"suffix":""},{"dropping-particle":"","family":"Vallböhmer","given":"D","non-dropping-particle":"","parse-names":false,"suffix":""},{"dropping-particle":"","family":"Kocher","given":"M","non-dropping-particle":"","parse-names":false,"suffix":""},{"dropping-particle":"","family":"Hölscher","given":"A H","non-dropping-particle":"","parse-names":false,"suffix":""}],"container-title":"Annals of Oncology","id":"ITEM-1","issue":"2","issued":{"date-parts":[["2009","2"]]},"page":"231-238","publisher":"Ann Oncol","title":"Histological type of esophageal cancer might affect response to neo-adjuvant radiochemotherapy and subsequent prognosis","type":"article-journal","volume":"20"},"uris":["http://www.mendeley.com/documents/?uuid=38007ce7-6725-3368-9e50-2a3434b4dd88"]},{"id":"ITEM-2","itemData":{"DOI":"10.1097/SLA.0000000000000964","ISSN":"15281140","PMID":"25379849","abstract":"Objectives: To evaluate the histopathologic response to neoadjuvant therapy in esophageal adenocarcinoma according to impact on prognosis and to suggest a classification for clinical routine. Background: Measures of histopathologic response to neoadjuvant treatment of esophageal cancer such as Mandard tumor regression grading focus on the effect on the primary tumor. Although lymph node infiltration is of significant prognostic importance, this criterion is mostly not included in the response classifications. Methods: A total of 370 patients (89% males, median age: 61 years) with neoadjuvant radiochemotherapy (40 Gy, 5-FU, cisplatin) or chemotherapy (MAGIC or FLOT) for cT3, Nx, M0 esophageal adenocarcinoma were included in the analysis. All patients had undergone transthoracic en bloc esophagectomy, with a median of 27 resected lymph nodes and a R0-resection rate of 92%. Histopathologic regression grading differentiated major or minor response according to less or more than 10% vital cells in the primary tumor. The lymph nodes were classified as ypN0 or ypN+. Results: From the patients with R0 resection and M0 category, 3 groups with significantly different 5-year survival rates (5-YSR) could be differentiated: 1. Major response and ypN0 (n = 100) with 5-YSR of 64% 2. Either major response and ypN+ (n = 34) 5-YSR 42% or minor response and ypN0 (n = 84) 5-YSR 44%, together 42% 5-YSR 3. Minor response and ypN+ (n = 111) and 5-YSR of 18%. Conclusions: A combined classification of primary tumor regression and lymph node status in 3 grades represents a simple and reproducible prognostic classification of the effect of neoadjuvant treatment in esophageal adenocarcinoma.","author":[{"dropping-particle":"","family":"Hölscher","given":"Arnulf H","non-dropping-particle":"","parse-names":false,"suffix":""},{"dropping-particle":"","family":"Drebber","given":"Uta","non-dropping-particle":"","parse-names":false,"suffix":""},{"dropping-particle":"","family":"Schmidt","given":"Henner","non-dropping-particle":"","parse-names":false,"suffix":""},{"dropping-particle":"","family":"Bollschweiler","given":"Efriede","non-dropping-particle":"","parse-names":false,"suffix":""}],"container-title":"Annals of Surgery","id":"ITEM-2","issue":"5","issued":{"date-parts":[["2014","11"]]},"page":"779-785","publisher":"Ann Surg","title":"Prognostic classification of histopathologic response to neoadjuvant therapy in esophageal adenocarcinoma","type":"paper-conference","volume":"260"},"uris":["http://www.mendeley.com/documents/?uuid=a5762632-019d-3cd9-8e3b-14199957dfdf"]}],"mendeley":{"formattedCitation":"&lt;sup&gt;[6,7]&lt;/sup&gt;","plainTextFormattedCitation":"[6,7]","previouslyFormattedCitation":"&lt;sup&gt;[6,7]&lt;/sup&gt;"},"properties":{"noteIndex":0},"schema":"https://github.com/citation-style-language/schema/raw/master/csl-citation.json"}</w:instrText>
      </w:r>
      <w:r w:rsidRPr="00B751AA">
        <w:rPr>
          <w:rFonts w:ascii="Book Antiqua" w:hAnsi="Book Antiqua"/>
          <w:bCs/>
          <w:color w:val="000000" w:themeColor="text1"/>
          <w:szCs w:val="24"/>
          <w:lang w:val="en-GB"/>
        </w:rPr>
        <w:fldChar w:fldCharType="separate"/>
      </w:r>
      <w:r w:rsidRPr="00B751AA">
        <w:rPr>
          <w:rFonts w:ascii="Book Antiqua" w:hAnsi="Book Antiqua"/>
          <w:bCs/>
          <w:noProof/>
          <w:color w:val="000000" w:themeColor="text1"/>
          <w:szCs w:val="24"/>
          <w:vertAlign w:val="superscript"/>
          <w:lang w:val="en-GB"/>
        </w:rPr>
        <w:t>[6,7]</w:t>
      </w:r>
      <w:r w:rsidRPr="00B751AA">
        <w:rPr>
          <w:rFonts w:ascii="Book Antiqua" w:hAnsi="Book Antiqua"/>
          <w:bCs/>
          <w:color w:val="000000" w:themeColor="text1"/>
          <w:szCs w:val="24"/>
          <w:lang w:val="en-GB"/>
        </w:rPr>
        <w:fldChar w:fldCharType="end"/>
      </w:r>
      <w:r w:rsidRPr="00B751AA">
        <w:rPr>
          <w:rFonts w:ascii="Book Antiqua" w:hAnsi="Book Antiqua"/>
          <w:color w:val="000000" w:themeColor="text1"/>
          <w:szCs w:val="24"/>
          <w:lang w:val="en-US"/>
        </w:rPr>
        <w:t>. The molecular predictive factors previously identified,</w:t>
      </w:r>
      <w:r w:rsidR="0055432A" w:rsidRPr="00B751AA">
        <w:rPr>
          <w:rFonts w:ascii="Book Antiqua" w:hAnsi="Book Antiqua"/>
          <w:color w:val="000000" w:themeColor="text1"/>
          <w:szCs w:val="24"/>
          <w:lang w:val="en-US"/>
        </w:rPr>
        <w:t xml:space="preserve"> </w:t>
      </w:r>
      <w:r w:rsidRPr="00B751AA">
        <w:rPr>
          <w:rFonts w:ascii="Book Antiqua" w:hAnsi="Book Antiqua"/>
          <w:color w:val="000000" w:themeColor="text1"/>
          <w:szCs w:val="24"/>
          <w:lang w:val="en-US"/>
        </w:rPr>
        <w:t>failed translation to clinical application</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{"citationItems":[{"id":"ITEM-1","itemData":{"DOI":"10.1159/000076913","ISSN":"0378584X","PMID":"15138356","abstract":"Squamous cell carcinoma (ESCC) is the most frequent histological subtype in esophageal cancer, although the incidence of esophageal adenocarcinoma (EAC) is increasing faster than any other malignancy in the western world. New developments in the understanding of molecular mechanisms in esophageal cancer comprise analysis of the genetic tumor profiles by CGH (comparative genomic hybridization), the detection of tumor suppressor gene inactivation, and the analysis of proto-oncogenes. Especially the inactivation of the p53 gene proved to be of particular importance for the development of esophageal cancer. Also p15 and p16 have been identified to be involved in the pathogenesis of esophageal cancer by influencing the cyclin kinase inhibitor cascade and DNA mismatch repair processes. Amplification of cyclin D1 results in growth advantage for tumor cells and enhances tumorigenesis; gene amplification and overexpression of cyclin D1 were frequently demonstrated especially in ESCC. Regarding the dysplasia-metaplasia-carcinoma sequence of Barrett's esophagus, inhibition of apoptosis by overexpression of bcl-2 proteins occurs as an early event.","author":[{"dropping-particle":"","family":"Metzger","given":"R","non-dropping-particle":"","parse-names":false,"suffix":""},{"dropping-particle":"","family":"Schneider","given":"P M","non-dropping-particle":"","parse-names":false,"suffix":""},{"dropping-particle":"","family":"Warnecke-Eberz","given":"U","non-dropping-particle":"","parse-names":false,"suffix":""},{"dropping-particle":"","family":"Brabender","given":"J","non-dropping-particle":"","parse-names":false,"suffix":""},{"dropping-particle":"","family":"Hölscher","given":"A H","non-dropping-particle":"","parse-names":false,"suffix":""}],"container-title":"Onkologie","id":"ITEM-1","issue":"2","issued":{"date-parts":[["2004","4"]]},"page":"200-206","publisher":"Onkologie","title":"Molecular biology of esophageal cancer","type":"article","volume":"27"},"uris":["http://www.mendeley.com/documents/?uuid=b9c7c2c7-e97f-3364-be54-d638bd13bea7"]},{"id":"ITEM-2","itemData":{"DOI":"10.1038/sj.bjc.6601976","ISSN":"00070920","PMID":"15213712","abstract":"We examined the potential of quantitative epidermal growth factor receptor (EGFR, synonym: c-erbB-1) and c-erbB-2 (synonym: HER2/neu) mRNA expression to predict minor or major histopathologic response to neoadjuvant radiochemotherapy (cis-platinum, 5-FU, 36 Gy), followed by radical surgical resection, in patients with oesophageal cancer. Tissue samples were collected by endoscopic biopsy prior to treatment. RNA was isolated from biopsies and quantitative real-time reverse transcriptase-polymerase chain reaction assays were performed to determine c-erbB-1 and c-erbB-2 mRNA expression. Relative expression (tumour/paired normal tissue ratio standardised for β-actin) was calculated for EGFR and c-erbB-2 mRNA. Expression levels were correlated with the objective histopathologic response in resected specimens. Histomorphologic regression was defined as major response when resected specimens contained less than 10% of residual vital tumour cells, or in case a pathologically complete response was achieved. Expression of c-erbB-1 mRNA was not associated with the degree of histomorphological response. In contrast, the relative expression levels of c-erbB-2 mRNA &gt; 1 were not associated with major histopathologic responses (sensitivity 41.6%, specificity 100%), and 10 out of 36 (28%) patients could be unequivocally identified, whose tumours did not respond well to the delivered neoadjuvant radiochemotherapy (P &lt; 0.01). Quantitative expression levels of c-erbB-2, but not c-erbB-1 mRNA, in pretreatment biopsies appear to predict minor histopathologic response to our neoadjuvant radiochemotherapy protocol. This test could be used to prevent expensive, noneffective and potentially harmful therapies in approximately one-fourth of our patients, and leads to a more individualised type of combined modality treatment. © 2004 Cancer Research UK.","author":[{"dropping-particle":"","family":"Miyazono","given":"F","non-dropping-particle":"","parse-names":false,"suffix":""},{"dropping-particle":"","family":"Metzger","given":"R","non-dropping-particle":"","parse-names":false,"suffix":""},{"dropping-particle":"","family":"Warnecke-Eberz","given":"U","non-dropping-particle":"","parse-names":false,"suffix":""},{"dropping-particle":"","family":"Baldus","given":"S E","non-dropping-particle":"","parse-names":false,"suffix":""},{"dropping-particle":"","family":"Brabender","given":"J","non-dropping-particle":"","parse-names":false,"suffix":""},{"dropping-particle":"","family":"Bollschweiler","given":"E","non-dropping-particle":"","parse-names":false,"suffix":""},{"dropping-particle":"","family":"Doerfler","given":"W","non-dropping-particle":"","parse-names":false,"suffix":""},{"dropping-particle":"","family":"Mueller","given":"R P","non-dropping-particle":"","parse-names":false,"suffix":""},{"dropping-particle":"","family":"Dienes","given":"H P","non-dropping-particle":"","parse-names":false,"suffix":""},{"dropping-particle":"","family":"Aikou","given":"T","non-dropping-particle":"","parse-names":false,"suffix":""},{"dropping-particle":"","family":"Hoelscher","given":"A H","non-dropping-particle":"","parse-names":false,"suffix":""},{"dropping-particle":"","family":"Schneider","given":"P M","non-dropping-particle":"","parse-names":false,"suffix":""}],"container-title":"British Journal of Cancer","id":"ITEM-2","issue":"4","issued":{"date-parts":[["2004","8","16"]]},"page":"666-672","publisher":"Br J Cancer","title":"Quantitative c-erbB-2 but not c-erbB-1 mRNA expression is a promising marker to predict minor histopathologic response to neoadjuvant radiochemotherapy in oesophageal cancer","type":"article-journal","volume":"91"},"uris":["http://www.mendeley.com/documents/?uuid=9c95f200-043f-3d65-82f0-ce4f387ddb17"]},{"id":"ITEM-3","itemData":{"DOI":"10.1158/1078-0432.CCR-03-0079","ISSN":"10780432","PMID":"15173087","abstract":"Purpose: The excision repair cross-complementing 1 (ERCC1) gene is coding for a nucleotide excision repair protein involved in the repair of radiation- and chemotherapy-induced DNA damage. We examined the potential of quantitative ERCC1 mRNA expression to predict minor or major histopathological response to neoadjuvant radiochemotherapy (cisplatin, 5-fluorouracil, and 36 Gy of radiation) followed by transthoracic en bloc esophagectomy in patients with locally advanced esophageal cancer (cT2-4, Nx, M 0). Experimental Design: Tissue samples were collected by endoscopic biopsy before treatment. RNA was isolated from biopsies, and quantitative real-time reverse transcriptase PCR assays were performed to determine ERCC1 mRNA expression. Relative mRNA levels (tumor/normal ratios) were calculated as (ERCC1/β-actin in tumor)/(ERCC1/β-actin in paired normal tissue). ERCC1 expression levels were correlated with the objective histopathological response in resected specimens. Histomorphological regression was defined as major response when resected specimens contained &lt;10% of residual vital tumor cells or in case a pathologically complete response was achieved. Results: Twelve of 36 tumors showed a major histopathological response, and 24 of 36 showed a minor histopathological response. Relative expression levels of ERCC1 of &gt;1.09 were not associated with a major histopathological response (sensitivity, 62.5%; specificity, 100%) and 15 of 24 patients with minor histopathological response to the delivered neoadjuvant radiochemotherapy could be unequivocally identified. This association of dichotomized relative ERCC1 mRNA expression and histopathological response was statistically significant (P &lt; 0.001). Conclusions: Relative expression levels of ERCC1 mRNA determined by quantitative real-time reverse transcriptase-PCR appear highly specific to predict minor response to our neoadjuvant radiochemotherapy protocol in patients with locally advanced esophageal cancer and could be applied to prevent expensive, noneffective, and potentially harmful therapies in a substantial number (42%) of patients.","author":[{"dropping-particle":"","family":"Warnecke-Eberz","given":"Ute","non-dropping-particle":"","parse-names":false,"suffix":""},{"dropping-particle":"","family":"Metzger","given":"Ralf","non-dropping-particle":"","parse-names":false,"suffix":""},{"dropping-particle":"","family":"Miyazono","given":"Futoshi","non-dropping-particle":"","parse-names":false,"suffix":""},{"dropping-particle":"","family":"Baldus","given":"Stephan E","non-dropping-particle":"","parse-names":false,"suffix":""},{"dropping-particle":"","family":"Neiss","given":"Susanne","non-dropping-particle":"","parse-names":false,"suffix":""},{"dropping-particle":"","family":"Brabender","given":"Jan","non-dropping-particle":"","parse-names":false,"suffix":""},{"dropping-particle":"","family":"Schaefer","given":"Hartmut","non-dropping-particle":"","parse-names":false,"suffix":""},{"dropping-particle":"","family":"Doerfler","given":"Walter","non-dropping-particle":"","parse-names":false,"suffix":""},{"dropping-particle":"","family":"Bollschweiler","given":"Elfriede","non-dropping-particle":"","parse-names":false,"suffix":""},{"dropping-particle":"","family":"Dienes","given":"Hans P","non-dropping-particle":"","parse-names":false,"suffix":""},{"dropping-particle":"","family":"Mueller","given":"Rolf P","non-dropping-particle":"","parse-names":false,"suffix":""},{"dropping-particle":"V","family":"Danenberg","given":"Peter","non-dropping-particle":"","parse-names":false,"suffix":""},{"dropping-particle":"","family":"Hoelscher","given":"Arnulf H","non-dropping-particle":"","parse-names":false,"suffix":""},{"dropping-particle":"","family":"Schneider","given":"Paul M","non-dropping-particle":"","parse-names":false,"suffix":""}],"container-title":"Clinical Cancer Research","id":"ITEM-3","issue":"11","issued":{"date-parts":[["2004","6","1"]]},"page":"3794-3799","publisher":"Clin Cancer Res","title":"High specificity of quantitative excision repair cross-complementing 1 messenger RNA expression for prediction of minor histopathological response to neoadjuvant radiochemotherapy in esophageal cancer","type":"article-journal","volume":"10"},"uris":["http://www.mendeley.com/documents/?uuid=76628f20-1d6b-31c7-8f9f-368cbe18245d"]}],"mendeley":{"formattedCitation":"&lt;sup&gt;[8–10]&lt;/sup&gt;","plainTextFormattedCitation":"[8–10]","previouslyFormattedCitation":"&lt;sup&gt;[8–10]&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[8</w:t>
      </w:r>
      <w:r w:rsidR="00E62BE4" w:rsidRPr="00B751AA">
        <w:rPr>
          <w:rFonts w:ascii="Book Antiqua" w:hAnsi="Book Antiqua"/>
          <w:noProof/>
          <w:color w:val="000000" w:themeColor="text1"/>
          <w:szCs w:val="24"/>
          <w:vertAlign w:val="superscript"/>
          <w:lang w:val="en-US"/>
        </w:rPr>
        <w:t>-</w:t>
      </w:r>
      <w:r w:rsidRPr="00B751AA">
        <w:rPr>
          <w:rFonts w:ascii="Book Antiqua" w:hAnsi="Book Antiqua"/>
          <w:noProof/>
          <w:color w:val="000000" w:themeColor="text1"/>
          <w:szCs w:val="24"/>
          <w:vertAlign w:val="superscript"/>
          <w:lang w:val="en-US"/>
        </w:rPr>
        <w:t>10]</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xml:space="preserve">. There is an additional need for markers indicating tumor progression and prognosis. </w:t>
      </w:r>
      <w:r w:rsidRPr="00B751AA">
        <w:rPr>
          <w:rFonts w:ascii="Book Antiqua" w:hAnsi="Book Antiqua"/>
          <w:color w:val="000000" w:themeColor="text1"/>
          <w:szCs w:val="24"/>
          <w:lang w:val="en-GB"/>
        </w:rPr>
        <w:t xml:space="preserve">Putative markers include growth-factor receptors, enzymes of angiogenesis, </w:t>
      </w:r>
      <w:proofErr w:type="spellStart"/>
      <w:r w:rsidRPr="00B751AA">
        <w:rPr>
          <w:rFonts w:ascii="Book Antiqua" w:hAnsi="Book Antiqua"/>
          <w:color w:val="000000" w:themeColor="text1"/>
          <w:szCs w:val="24"/>
          <w:lang w:val="en-GB"/>
        </w:rPr>
        <w:t>tumor</w:t>
      </w:r>
      <w:proofErr w:type="spellEnd"/>
      <w:r w:rsidRPr="00B751AA">
        <w:rPr>
          <w:rFonts w:ascii="Book Antiqua" w:hAnsi="Book Antiqua"/>
          <w:color w:val="000000" w:themeColor="text1"/>
          <w:szCs w:val="24"/>
          <w:lang w:val="en-GB"/>
        </w:rPr>
        <w:t xml:space="preserve"> suppressor genes, cell cycle regulators, enzymes involved in DNA repair, apoptosis and in degradation of extracellular matrix</w:t>
      </w:r>
      <w:r w:rsidRPr="00B751AA">
        <w:rPr>
          <w:rFonts w:ascii="Book Antiqua" w:hAnsi="Book Antiqua"/>
          <w:color w:val="000000" w:themeColor="text1"/>
          <w:szCs w:val="24"/>
          <w:lang w:val="en-GB"/>
        </w:rPr>
        <w:fldChar w:fldCharType="begin" w:fldLock="1"/>
      </w:r>
      <w:r w:rsidRPr="00B751AA">
        <w:rPr>
          <w:rFonts w:ascii="Book Antiqua" w:hAnsi="Book Antiqua"/>
          <w:color w:val="000000" w:themeColor="text1"/>
          <w:szCs w:val="24"/>
          <w:lang w:val="en-GB"/>
        </w:rPr>
        <w:instrText>ADDIN CSL_CITATION {"citationItems":[{"id":"ITEM-1","itemData":{"DOI":"10.1517/17530059.2013.843526","ISSN":"17530059","PMID":"24093836","abstract":"Introduction: This article provides an overview of actual biomarkers with an impact on improvement of diagnosis and treatment of esophageal cancer patients. Areas covered: Recent literature has been analyzed and provides information regarding the potential role of molecular markers as a diagnostic or prognostic factor in esophageal cancer. Expert opinion: Until now, the role of molecular markers is far from being firmly established for routine use and is not without obstacles. However, with reliable standardized methods, established cut-off values and promising candidates in marker panels with markers of genetic, epigenetic and proteomic origin might result in a marker tool worthwhile of being validated in large, prospective, randomized trials. Novel validated marker combinations have to be clinically applied to prove their putative role in complementing clinical techniques within the development of better detection concepts of esophageal cancer, improving patients' long-term prognosis by early and purposive therapy within individualized treatment concepts. © 2013 Informa UK, Ltd. All rights reserved.","author":[{"dropping-particle":"","family":"Plum","given":"Patrick S","non-dropping-particle":"","parse-names":false,"suffix":""},{"dropping-particle":"","family":"Bollschweiler","given":"Elfriede","non-dropping-particle":"","parse-names":false,"suffix":""},{"dropping-particle":"","family":"Hölscher","given":"Arnulf H","non-dropping-particle":"","parse-names":false,"suffix":""},{"dropping-particle":"","family":"Warnecke-Eberz","given":"Ute","non-dropping-particle":"","parse-names":false,"suffix":""}],"container-title":"Expert Opinion on Medical Diagnostics","id":"ITEM-1","issue":"6","issued":{"date-parts":[["2013","11"]]},"page":"557-571","publisher":"Expert Opin Med Diagn","title":"Novel diagnostic and prognostic biomarkers in esophageal cancer","type":"article","volume":"7"},"uris":["http://www.mendeley.com/documents/?uuid=566f440f-1d85-3cd5-bc8e-e0b441ebf0cc"]},{"id":"ITEM-2","itemData":{"DOI":"10.2217/pgs.09.137","ISSN":"14622416","PMID":"20017672","abstract":"Aims: Neoadjuvant radiochemotherapy of locally advanced esophageal cancer is only effective for patients with major histopathological response. A total of 17 genes were selected to predict histopathologic tumor response to chemoradiation (cisplatin, 5-fluorouracil, 36 Gy). Materials &amp; methods: For gene-expression analysis quantitative TaqMan® low-density arrays were applied. Expression levels in pretreatment biopsies of 41 patients (cT2-4, Nx, M0) were compared with the degree of histopathologic regression in resected specimens applying univariate, multivariate and artificial neuronal network analyses. Results: Dihydropyrimidine dehydrogenase was identified as an independent predictor associated with major response (p &lt; 0.002). Multivariate analysis of the marker combination provided response prediction with 75.0% sensitivity, 81.0% specificity and 78.1% accuracy. Artificial neuronal network analysis was the best predictive model for major histopathologic response (80% sensitivity, 90.5% specificity and 85.4% accuracy), representing a clinically practical system. Conclusion: Low-density-array RT-PCR analyzed by artificial neuronal network predicts histopathologic response to neoadjuvant chemoradiation in our patient collective, and could be used to further individualize treatment strategies in esophageal cancer. © 2010 Future Medicine Ltd.","author":[{"dropping-particle":"","family":"Warnecke-Eberz","given":"Ute","non-dropping-particle":"","parse-names":false,"suffix":""},{"dropping-particle":"","family":"Metzger","given":"Ralf","non-dropping-particle":"","parse-names":false,"suffix":""},{"dropping-particle":"","family":"Bollschweiler","given":"Elfriede","non-dropping-particle":"","parse-names":false,"suffix":""},{"dropping-particle":"","family":"Baldus","given":"Stephan E","non-dropping-particle":"","parse-names":false,"suffix":""},{"dropping-particle":"","family":"Mueller","given":"Rolf P","non-dropping-particle":"","parse-names":false,"suffix":""},{"dropping-particle":"","family":"Dienes","given":"Hans P","non-dropping-particle":"","parse-names":false,"suffix":""},{"dropping-particle":"","family":"Hoelscher","given":"Arnulf H","non-dropping-particle":"","parse-names":false,"suffix":""},{"dropping-particle":"","family":"Schneider","given":"Paul M","non-dropping-particle":"","parse-names":false,"suffix":""}],"container-title":"Pharmacogenomics","id":"ITEM-2","issue":"1","issued":{"date-parts":[["2010","1"]]},"page":"55-64","publisher":"Pharmacogenomics","title":"TaqMan® low-density arrays and analysis by artificial neuronal networks predict response to neoadjuvant chemoradiation in esophageal cancer","type":"article-journal","volume":"11"},"uris":["http://www.mendeley.com/documents/?uuid=9ef0535e-f9f2-3377-9043-33c453753a9b"]},{"id":"ITEM-3","itemData":{"DOI":"10.2217/pgs.10.76","ISSN":"14622416","PMID":"20712528","abstract":"Aims: Neoadjuvant treatment strategies have been developed to improve the survival of patients with locally advanced esophageal cancer. Since only patients with major histopathological response benefit from multimodality treatment, we profiled the genome of patients with esophageal cancer for markers indicating response or nonresponse. Patients and methods: Pretreatment biopsies of responding and nonresponding patients with locally advanced esophageal cancer, as well as the corresponding normal epithelium, were analyzed by human genome microarrays. Differential gene expression was associated with histomorphological tumor regression. Quantitative real-time reverse transcriptase-PCR was applied for verification of the predictive value of a panel of the identified marker genes, including 66 patients. Results: We detected differentially expressed candidate genes with regard to response and nonresponse to neoadjuvant radiochemotherapy. The response-predictive impact of the novel markers, CUL2 and STK11, was confirmed by the verification study including 66 patients. Whereas CUL2 mRNA expression levels of greater than 1.7 was predictive for major response (p = 0.02) in adeno-and squamous cell carcinoma, STK11 was predominantly response predictive for adenocarcinomas. Downregulation of CUL2 (p = 0.04) and STK11 (p = 0.02) mRNA also correlated with a more favorable prognosis. Conclusion: We identified two novel markers, CUL2 and STK11, for response prediction in esophageal cancer. They will be applied to complement our panel of response-predictive markers to further individualize therapy. © 2010 Future Medicine Ltd.","author":[{"dropping-particle":"","family":"Metzger","given":"Ralf","non-dropping-particle":"","parse-names":false,"suffix":""},{"dropping-particle":"","family":"Heukamp","given":"Lukas","non-dropping-particle":"","parse-names":false,"suffix":""},{"dropping-particle":"","family":"Drebber","given":"Uta","non-dropping-particle":"","parse-names":false,"suffix":""},{"dropping-particle":"","family":"Bollschweiler","given":"Elfriede","non-dropping-particle":"","parse-names":false,"suffix":""},{"dropping-particle":"","family":"Zander","given":"Thomas","non-dropping-particle":"","parse-names":false,"suffix":""},{"dropping-particle":"","family":"Hoelscher","given":"Arnulf H","non-dropping-particle":"","parse-names":false,"suffix":""},{"dropping-particle":"","family":"Warnecke-Eberz","given":"Ute","non-dropping-particle":"","parse-names":false,"suffix":""}],"container-title":"Pharmacogenomics","id":"ITEM-3","issue":"8","issued":{"date-parts":[["2010","8"]]},"page":"1105-1113","publisher":"Pharmacogenomics","title":"CUL2 and STK11 as novel response-predictive genes for neoadjuvant radiochemotherapy in esophageal cancer","type":"article-journal","volume":"11"},"uris":["http://www.mendeley.com/documents/?uuid=cdb0835d-a3fc-39d2-be58-d3a2c7d4cfc1"]}],"mendeley":{"formattedCitation":"&lt;sup&gt;[11–13]&lt;/sup&gt;","plainTextFormattedCitation":"[11–13]","previouslyFormattedCitation":"&lt;sup&gt;[11–13]&lt;/sup&gt;"},"properties":{"noteIndex":0},"schema":"https://github.com/citation-style-language/schema/raw/master/csl-citation.json"}</w:instrText>
      </w:r>
      <w:r w:rsidRPr="00B751AA">
        <w:rPr>
          <w:rFonts w:ascii="Book Antiqua" w:hAnsi="Book Antiqua"/>
          <w:color w:val="000000" w:themeColor="text1"/>
          <w:szCs w:val="24"/>
          <w:lang w:val="en-GB"/>
        </w:rPr>
        <w:fldChar w:fldCharType="separate"/>
      </w:r>
      <w:r w:rsidRPr="00B751AA">
        <w:rPr>
          <w:rFonts w:ascii="Book Antiqua" w:hAnsi="Book Antiqua"/>
          <w:noProof/>
          <w:color w:val="000000" w:themeColor="text1"/>
          <w:szCs w:val="24"/>
          <w:vertAlign w:val="superscript"/>
          <w:lang w:val="en-GB"/>
        </w:rPr>
        <w:t>[11</w:t>
      </w:r>
      <w:r w:rsidR="00E62BE4" w:rsidRPr="00B751AA">
        <w:rPr>
          <w:rFonts w:ascii="Book Antiqua" w:hAnsi="Book Antiqua"/>
          <w:noProof/>
          <w:color w:val="000000" w:themeColor="text1"/>
          <w:szCs w:val="24"/>
          <w:vertAlign w:val="superscript"/>
          <w:lang w:val="en-GB"/>
        </w:rPr>
        <w:t>-</w:t>
      </w:r>
      <w:r w:rsidRPr="00B751AA">
        <w:rPr>
          <w:rFonts w:ascii="Book Antiqua" w:hAnsi="Book Antiqua"/>
          <w:noProof/>
          <w:color w:val="000000" w:themeColor="text1"/>
          <w:szCs w:val="24"/>
          <w:vertAlign w:val="superscript"/>
          <w:lang w:val="en-GB"/>
        </w:rPr>
        <w:t>13]</w:t>
      </w:r>
      <w:r w:rsidRPr="00B751AA">
        <w:rPr>
          <w:rFonts w:ascii="Book Antiqua" w:hAnsi="Book Antiqua"/>
          <w:color w:val="000000" w:themeColor="text1"/>
          <w:szCs w:val="24"/>
          <w:lang w:val="en-GB"/>
        </w:rPr>
        <w:fldChar w:fldCharType="end"/>
      </w:r>
      <w:r w:rsidRPr="00B751AA">
        <w:rPr>
          <w:rFonts w:ascii="Book Antiqua" w:hAnsi="Book Antiqua"/>
          <w:color w:val="000000" w:themeColor="text1"/>
          <w:szCs w:val="24"/>
          <w:lang w:val="en-GB"/>
        </w:rPr>
        <w:t xml:space="preserve">. In addition to </w:t>
      </w:r>
      <w:r w:rsidRPr="00B751AA">
        <w:rPr>
          <w:rFonts w:ascii="Book Antiqua" w:hAnsi="Book Antiqua"/>
          <w:bCs/>
          <w:color w:val="000000" w:themeColor="text1"/>
          <w:szCs w:val="24"/>
          <w:lang w:val="en-GB"/>
        </w:rPr>
        <w:t>predictive and prognostic markers, novel targets for therapy are imperative for the future approach of a tailored multimodality treatment and its surveillance.</w:t>
      </w:r>
    </w:p>
    <w:p w14:paraId="0CF1322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bCs/>
          <w:color w:val="000000" w:themeColor="text1"/>
          <w:sz w:val="24"/>
          <w:szCs w:val="24"/>
        </w:rPr>
      </w:pP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is a mucin-type transmembrane glycoprotein, thought to be one of the cancer stem cell markers for squamous-cell carcinoma in several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entities, including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{"citationItems":[{"id":"ITEM-1","itemData":{"DOI":"10.1245/s10434-009-0895-5","ISSN":"10689265","PMID":"20066519","abstract":"Background: Podoplanin, a mucin-type transmembrane glycoprotein, is thought to be one of the cancer stem cell markers for squamous-cell carcinoma of the vulva. The objectives of the present study were to examine the role of podoplanin in esophageal squamous-cell carcinoma (ESCC). Methods: Expression of podoplanin was examined immunohistochemically in 61 cases of ESCC that had not been treated with chemotherapy or radiotherapy before surgery. Because cancer stem-cell quantities have been reported to increase with chemotherapy and radiotherapy, cases in patients who did not receive such prior therapies were included in this study. Cases with &gt;10% tumor cells showing signals for podoplanin were categorized as podoplanin high, and the others were classified as podoplanin low. The effects of podoplanin on the behavior of cancer cells were evaluated in ESCC cell lines in which podoplanin expression was knocked down. Results: To examine whether podoplanin could be used as a cancer stem cell marker for ESCC, podoplanin-positive and podoplanin-negative fractions were sorted separately from the ESCC cell line and cultured. Podoplanin-positive ESCC cells yielded both podoplanin-positive and podoplanin-negative cells, whereas few cells were obtained from podoplanin-negative ESCC cells. When podoplanin expression was knocked down, ESCC cell lines became vulnerable to anticancer drugs and showed defective invasion and tumorigenic activities. Nineteen (31.1%) of 61 cases were categorized as podoplanin high. Podoplanin-high cases were correlated with T category, stage of disease, lymphatic and vascular invasion, recurrence, and prognosis of patients. Podoplanin-low cases showed better overall and disease-free survival. Conclusions: There is a role for podoplanin in tumorigenesis and malignant progression in ESCC. © 2010 Society of Surgical Oncology.","author":[{"dropping-particle":"","family":"Rahadiani","given":"Nur","non-dropping-particle":"","parse-names":false,"suffix":""},{"dropping-particle":"","family":"Ikeda","given":"Jun Ichiro","non-dropping-particle":"","parse-names":false,"suffix":""},{"dropping-particle":"","family":"Makino","given":"Tomoki","non-dropping-particle":"","parse-names":false,"suffix":""},{"dropping-particle":"","family":"Tian","given":"Tian","non-dropping-particle":"","parse-names":false,"suffix":""},{"dropping-particle":"","family":"Qiu","given":"Ying","non-dropping-particle":"","parse-names":false,"suffix":""},{"dropping-particle":"","family":"Mamat","given":"Suhana","non-dropping-particle":"","parse-names":false,"suffix":""},{"dropping-particle":"","family":"Wang","given":"Yi","non-dropping-particle":"","parse-names":false,"suffix":""},{"dropping-particle":"","family":"Doki","given":"Yuichiro","non-dropping-particle":"","parse-names":false,"suffix":""},{"dropping-particle":"","family":"Aozasa","given":"Katsuyuki","non-dropping-particle":"","parse-names":false,"suffix":""},{"dropping-particle":"","family":"Morii","given":"Eiichi","non-dropping-particle":"","parse-names":false,"suffix":""}],"container-title":"Annals of Surgical Oncology","id":"ITEM-1","issue":"5","issued":{"date-parts":[["2010","5"]]},"page":"1311-1323","publisher":"Ann Surg Oncol","title":"Tumorigenic role of podoplanin in esophageal squamous-cell carcinoma","type":"article-journal","volume":"17"},"uris":["http://www.mendeley.com/documents/?uuid=e4b2d424-7883-3037-9bff-830c0924d897"]}],"mendeley":{"formattedCitation":"&lt;sup&gt;[14]&lt;/sup&gt;","plainTextFormattedCitation":"[14]","previouslyFormattedCitation":"&lt;sup&gt;[14]&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[14]</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 xml:space="preserve">.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identified as a platelet aggregation-inducing factor and a specific marker for lymphatic vessels</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{"citationItems":[{"id":"ITEM-1","itemData":{"DOI":"10.18632/oncotarget.6598","ISSN":"19492553","PMID":"26684030","abstract":"Podoplanin/Aggrus is a sialoglycoprotein expressed in various cancers. We previously identified podoplanin as a key factor in tumor-induced platelet aggregation. Podoplanin-mediated platelet aggregation enhances tumor growth and metastasis by secreting growth factors and by forming tumor emboli in the microvasculature. Thus, precise analysis of the mechanisms of podoplanin-mediated platelet aggregation is critical for developing anti-tumor therapies. Here we report the discovery of a novel platelet aggregation-inducing domain, PLAG4 (81-EDLPT-85). PLAG4 has high homology to the previously reported PLAG3 and contributes to the binding of its platelet receptor CLEC-2. Mutant analyses indicated that PLAG4 exhibits a predominant platelet-aggregating function relative to PLAG3 and that conserved Glu81/Asp82/Thr85 residues in PLAG4 are indispensable for CLEC-2 binding. By establishing anti-PLAG4- neutralizing monoclonal antibodies, we confirmed its role in CLEC-2 binding, platelet aggregation, and tumor emboli formation. Our results suggest the requirement of simultaneous inhibition of PLAG3/4 for complete suppression of podoplanin-mediated tumor growth and metastasis.","author":[{"dropping-particle":"","family":"Sekiguchi","given":"Takaya","non-dropping-particle":"","parse-names":false,"suffix":""},{"dropping-particle":"","family":"Takemoto","given":"Ai","non-dropping-particle":"","parse-names":false,"suffix":""},{"dropping-particle":"","family":"Takagi","given":"Satoshi","non-dropping-particle":"","parse-names":false,"suffix":""},{"dropping-particle":"","family":"Takatori","given":"Kazuki","non-dropping-particle":"","parse-names":false,"suffix":""},{"dropping-particle":"","family":"Sato","given":"Shigeo","non-dropping-particle":"","parse-names":false,"suffix":""},{"dropping-particle":"","family":"Takami","given":"Miho","non-dropping-particle":"","parse-names":false,"suffix":""},{"dropping-particle":"","family":"Fujita","given":"Naoya","non-dropping-particle":"","parse-names":false,"suffix":""}],"container-title":"Oncotarget","id":"ITEM-1","issue":"4","issued":{"date-parts":[["2016","1","26"]]},"page":"3934-3946","publisher":"Oncotarget","title":"Targeting a novel domain in podoplanin for inhibiting plateletmediated tumor metastasis","type":"article-journal","volume":"7"},"uris":["http://www.mendeley.com/documents/?uuid=2b6d5844-97b3-3948-9876-1f5c11227471"]},{"id":"ITEM-2","itemData":{"DOI":"10.1111/cas.12286","ISSN":"13479032","PMID":"24103048","abstract":"The expression of podoplanin is reportedly involved in collective cell invasion, which is independent from the epithelial-mesenchymal transition (EMT). We focused on the expression of podoplanin in esophageal squamous cell carcinomas (ESCC) and investigated the correlation of podoplanin and EMT-related markers, and evaluated its prognostic significance. Five ESCC cell lines were subjected to western blot analysis for podoplanin and EMT markers. The effects of podoplanin on EMT and carcinoma invasion were evaluated with wound healing assays, invasion assays and 3-D culture. Transfection of ectopic podoplanin into a podoplanin-negative ESCC cell line (TE-15) induced cell migration and invasive activity (P &lt; 0.001 and P &lt; 0.05, respectively) without downregulation of E-cadherin. In contrast, transfection of si-podoplanin RNA into a podoplanin-positive ESCC cell line (TE-13) reduced cell migration and invasive activity (P &lt; 0.05). We reviewed 101 patients who had undergone esophagectomy for ESCC. Podoplanin expression was observed in 58 patients (57.4%), and positive expression was positively correlated with expression of E-cadherin (P &lt; 0.01), deeper wall invasion (P &lt; 0.01), venous invasion (P &lt; 0.05) and poorer prognosis (P &lt; 0.01). Multivariate Cox analysis revealed that expression of podoplanin was a significant and independent unfavorable predictor of survival (P &lt; 0.05). These data suggest that podoplanin is significantly associated with and likely contributes to ESCC invasion in the absence of EMT. © 2013 Japanese Cancer Association.","author":[{"dropping-particle":"","family":"Nakashima","given":"Yuichiro","non-dropping-particle":"","parse-names":false,"suffix":""},{"dropping-particle":"","family":"Yoshinaga","given":"Keiji","non-dropping-particle":"","parse-names":false,"suffix":""},{"dropping-particle":"","family":"Kitao","given":"Hiroyuki","non-dropping-particle":"","parse-names":false,"suffix":""},{"dropping-particle":"","family":"Ando","given":"Koji","non-dropping-particle":"","parse-names":false,"suffix":""},{"dropping-particle":"","family":"Kimura","given":"Yasue","non-dropping-particle":"","parse-names":false,"suffix":""},{"dropping-particle":"","family":"Saeki","given":"Hiroshi","non-dropping-particle":"","parse-names":false,"suffix":""},{"dropping-particle":"","family":"Oki","given":"Eiji","non-dropping-particle":"","parse-names":false,"suffix":""},{"dropping-particle":"","family":"Morita","given":"Masaru","non-dropping-particle":"","parse-names":false,"suffix":""},{"dropping-particle":"","family":"Kakeji","given":"Yoshihiro","non-dropping-particle":"","parse-names":false,"suffix":""},{"dropping-particle":"","family":"Hirahashi","given":"Minako","non-dropping-particle":"","parse-names":false,"suffix":""},{"dropping-particle":"","family":"Oda","given":"Yoshinao","non-dropping-particle":"","parse-names":false,"suffix":""},{"dropping-particle":"","family":"Maehara","given":"Yoshihiko","non-dropping-particle":"","parse-names":false,"suffix":""}],"container-title":"Cancer Science","id":"ITEM-2","issue":"12","issued":{"date-parts":[["2013","12"]]},"page":"1718-1725","publisher":"Cancer Sci","title":"Podoplanin is expressed at the invasive front of esophageal squamous cell carcinomas and is involved in collective cell invasion","type":"article-journal","volume":"104"},"uris":["http://www.mendeley.com/documents/?uuid=f010bcf0-2f41-391c-9c00-3cc272c72dc5"]}],"mendeley":{"formattedCitation":"&lt;sup&gt;[15,16]&lt;/sup&gt;","plainTextFormattedCitation":"[15,16]","previouslyFormattedCitation":"&lt;sup&gt;[15,16]&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[15,16]</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It has been shown to stimulate invasion and migration of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cells and was correlated to lymph node metastasis, disease stage, lymphatic and vascular invasion, recurrence and poor prognosis</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{"citationItems":[{"id":"ITEM-1","itemData":{"DOI":"10.3892/mmr.2015.3966","ISSN":"17913004","PMID":"26095281","abstract":"Podoplanin is a small membrane mucin, which is involved in cell migration and cancer cell invasion. However, the roles of podoplanin in esophageal squamous cell carcinoma (ESCC) are poorly understood. In the present study, 139 cases of surgically resected ESCC were analyzed and the clinicopathological significance of podoplanin membrane expression in ESCC was demonstrated. Podoplanin expression was positive in 66.2% (92/139) of ESCC samples; with weak expression in 32.4% (45/139), and strong expression in 33.8% (47/139). Membrane expression of podoplanin was significantly associated with tumor status (P=0.001), venous invasion (P=0.035) and Union for International Cancer Control stage (P=0.029). Patients who exhibited strong podoplanin expression, were shown to have a poorer prognosis [hazard ratio (HR), 3.949; 95% confidence interval (CI), 2.001-7.794]. Expression of vimentin, a mesenchymal marker, was detected in 49 cases (35.3%) and was associated with venous invasion (P=0.020). Vimentin-positive cases were also more likely to have a worse prognosis than vimentin-negative cases (HR, 2.161; 95% CI, 1.300-3.592). Podoplanin membrane expression was significantly correlated with vimentin cytoplasmic expression in ESCC (P&lt;0.001). The present study confirmed that podoplanin and vimentin are independent predictors of mortality (HR, 3.084; 95% CI, 1.543-6.164). These results suggest that podoplanin membrane expression results in epithelial-mesenchymal transition and promotes aggressive invasion in human ESCC.","author":[{"dropping-particle":"","family":"Tanaka","given":"Makiko","non-dropping-particle":"","parse-names":false,"suffix":""},{"dropping-particle":"","family":"Kijima","given":"Hiroshi","non-dropping-particle":"","parse-names":false,"suffix":""},{"dropping-particle":"","family":"Shimada","given":"Hideo","non-dropping-particle":"","parse-names":false,"suffix":""},{"dropping-particle":"","family":"Makuuchi","given":"Hiroyasu","non-dropping-particle":"","parse-names":false,"suffix":""},{"dropping-particle":"","family":"Ozawa","given":"Soji","non-dropping-particle":"","parse-names":false,"suffix":""},{"dropping-particle":"","family":"Inokuchi","given":"Sadaki","non-dropping-particle":"","parse-names":false,"suffix":""}],"container-title":"Molecular Medicine Reports","id":"ITEM-1","issue":"3","issued":{"date-parts":[["2015","9"]]},"page":"4029-4036","publisher":"Mol Med Rep","title":"Expression of podoplanin and vimentin is correlated with prognosis in esophageal squamous cell carcinoma","type":"article-journal","volume":"12"},"uris":["http://www.mendeley.com/documents/?uuid=88e34d07-9897-37ac-8b18-846775a992a6"]}],"mendeley":{"formattedCitation":"&lt;sup&gt;[17]&lt;/sup&gt;","plainTextFormattedCitation":"[17]","previouslyFormattedCitation":"&lt;sup&gt;[17]&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[17]</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w:t>
      </w:r>
    </w:p>
    <w:p w14:paraId="1C1E77B6"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bCs/>
          <w:color w:val="000000" w:themeColor="text1"/>
          <w:sz w:val="24"/>
          <w:szCs w:val="24"/>
        </w:rPr>
      </w:pPr>
      <w:r w:rsidRPr="00B751AA">
        <w:rPr>
          <w:rFonts w:ascii="Book Antiqua" w:hAnsi="Book Antiqua" w:cs="Arial"/>
          <w:bCs/>
          <w:color w:val="000000" w:themeColor="text1"/>
          <w:sz w:val="24"/>
          <w:szCs w:val="24"/>
        </w:rPr>
        <w:lastRenderedPageBreak/>
        <w:t>MicroRNAs are small non-coding RNAs that act post-transcriptionally as master regulators for a variety of mRNA targets by sequence homology</w:t>
      </w:r>
      <w:r w:rsidRPr="00B751AA">
        <w:rPr>
          <w:rFonts w:ascii="Book Antiqua" w:hAnsi="Book Antiqua" w:cs="Arial"/>
          <w:bCs/>
          <w:color w:val="000000" w:themeColor="text1"/>
          <w:sz w:val="24"/>
          <w:szCs w:val="24"/>
        </w:rPr>
        <w:fldChar w:fldCharType="begin" w:fldLock="1"/>
      </w:r>
      <w:r w:rsidRPr="00B751AA">
        <w:rPr>
          <w:rFonts w:ascii="Book Antiqua" w:hAnsi="Book Antiqua" w:cs="Arial"/>
          <w:bCs/>
          <w:color w:val="000000" w:themeColor="text1"/>
          <w:sz w:val="24"/>
          <w:szCs w:val="24"/>
        </w:rPr>
        <w:instrText xml:space="preserve">ADDIN CSL_CITATION {"citationItems":[{"id":"ITEM-1","itemData":{"DOI":"10.1182/blood-2011-07-364224","ISSN":"00064971","PMID":"21921041","abstract":"We performed a comprehensive genomewide miRNA expression profiling of extranodal nasal-type natural killer/T-cell lymphoma (NKTL) using formalin-fixed paraffin-embedded tissue (n </w:instrText>
      </w:r>
      <w:r w:rsidRPr="00B751AA">
        <w:rPr>
          <w:rFonts w:ascii="Cambria Math" w:hAnsi="Cambria Math" w:cs="Cambria Math"/>
          <w:bCs/>
          <w:color w:val="000000" w:themeColor="text1"/>
          <w:sz w:val="24"/>
          <w:szCs w:val="24"/>
        </w:rPr>
        <w:instrText>∇</w:instrText>
      </w:r>
      <w:r w:rsidRPr="00B751AA">
        <w:rPr>
          <w:rFonts w:ascii="Book Antiqua" w:hAnsi="Book Antiqua" w:cs="Arial"/>
          <w:bCs/>
          <w:color w:val="000000" w:themeColor="text1"/>
          <w:sz w:val="24"/>
          <w:szCs w:val="24"/>
        </w:rPr>
        <w:instrText xml:space="preserve"> 30) and NK cell lines (n </w:instrText>
      </w:r>
      <w:r w:rsidRPr="00B751AA">
        <w:rPr>
          <w:rFonts w:ascii="Cambria Math" w:hAnsi="Cambria Math" w:cs="Cambria Math"/>
          <w:bCs/>
          <w:color w:val="000000" w:themeColor="text1"/>
          <w:sz w:val="24"/>
          <w:szCs w:val="24"/>
        </w:rPr>
        <w:instrText>∇</w:instrText>
      </w:r>
      <w:r w:rsidRPr="00B751AA">
        <w:rPr>
          <w:rFonts w:ascii="Book Antiqua" w:hAnsi="Book Antiqua" w:cs="Arial"/>
          <w:bCs/>
          <w:color w:val="000000" w:themeColor="text1"/>
          <w:sz w:val="24"/>
          <w:szCs w:val="24"/>
        </w:rPr>
        <w:instrText xml:space="preserve"> 6) compared with normal NK cells, with the objective of understanding the pathogenetic role of miRNA deregulation in NKTL. Compared with normal NK cells, differentially expressed miRNAs in NKTL are predominantly downregulated. Re-expression of downregulated miRNAs, such as miR-101, miR- 26a, miR26b, miR-28-5, and miR-363, reduced the growth of the NK cell line and modulated the expression of their predicted target genes, suggesting the potential functional role of the deregulated miRNAs in the oncogenesis of NKTL. Taken together, the predicted targets whose expression is inversely correlated with the expression of deregulated miRNA in NKTL are significantly enriched for genes involved in cell cycle-related, p53, and MAPK signaling pathways. We also performed immunohistochemical validation for selected target proteins and found overexpression of MUM1, BLIMP1, and STMN1 in NKTL, and notably, a corresponding increase in MYC expression. Because MYC is known to cause repression of miRNA expression, it is possible that MYC activation in NKTL may contribute to the suppression of the miRNAs regulating MUM1, BLIMP1, and STMN1. © 2011 by The American Society of Hematology.","author":[{"dropping-particle":"","family":"Ng","given":"Siok Bian","non-dropping-particle":"","parse-names":false,"suffix":""},{"dropping-particle":"","family":"Yan","given":"Junli","non-dropping-particle":"","parse-names":false,"suffix":""},{"dropping-particle":"","family":"Huang","given":"Gaofeng","non-dropping-particle":"","parse-names":false,"suffix":""},{"dropping-particle":"","family":"Selvarajan","given":"Viknesvaran","non-dropping-particle":"","parse-names":false,"suffix":""},{"dropping-particle":"","family":"Tay","given":"Jim Liang Seah","non-dropping-particle":"","parse-names":false,"suffix":""},{"dropping-particle":"","family":"Lin","given":"Baohong","non-dropping-particle":"","parse-names":false,"suffix":""},{"dropping-particle":"","family":"Bi","given":"Chonglei","non-dropping-particle":"","parse-names":false,"suffix":""},{"dropping-particle":"","family":"Tan","given":"Joy","non-dropping-particle":"","parse-names":false,"suffix":""},{"dropping-particle":"","family":"Kwong","given":"Yok Lam","non-dropping-particle":"","parse-names":false,"suffix":""},{"dropping-particle":"","family":"Shimizu","given":"Norio","non-dropping-particle":"","parse-names":false,"suffix":""},{"dropping-particle":"","family":"Aozasa","given":"Katsuyuki","non-dropping-particle":"","parse-names":false,"suffix":""},{"dropping-particle":"","family":"Chng","given":"Wee Joo","non-dropping-particle":"","parse-names":false,"suffix":""}],"container-title":"Blood","id":"ITEM-1","issue":"18","issued":{"date-parts":[["2011","11","3"]]},"page":"4919-4929","publisher":"Blood","title":"Dysregulated microRNAs affect pathways and targets of biologic relevance in nasal-type natural killer/T-cell lymphoma","type":"article-journal","volume":"118"},"uris":["http://www.mendeley.com/documents/?uuid=12cc4c5b-2f81-3af7-8795-c581aee4f264"]},{"id":"ITEM-2","itemData":{"DOI":"10.1016/j.surg.2013.04.005","ISSN":"00396060","PMID":"23806264","abstract":"Background: microRNA (miRNA) functions broadly as post-transcriptional regulators of gene expression, and disproportionate miRNAs can result in dysregulation of oncogenes in cancer cells. We have previously shown that gastrin-releasing peptide receptor (GRP-R) signaling regulates tumorigenicity of neuroblastoma cells. Herein, we sought to characterize miRNA profile in GRP-R silenced neuroblastoma cells, and to determine the role of miRNAs on tumorigenicity and metastatic potential. Methods: Human neuroblastoma cell lines, BE(2)-C and SK-N-SH, were used for our study. Stably transfected GRP-R silenced cells were assessed for miRNA profiles. Cells were transfected with miR-335, miR-363, or miR-CON, a nontargeting control, and in vitro assays were performed. In vivo functions of miR-335 and miR-363 were also assessed in a spleen-liver metastasis murine model. Results: GRP-R silencing significantly increased expression of miR-335 and miR-363 in BE(2)-C cells. Overexpression of miR-335 and miR-363 decreased tumorigenicity as measured by clonogenicity, anchorage-independent growth, and metastasis determined by cell invasion assay and liver metastasis in vivo. Conclusion: We report, for the first time, that GRP-R-mediated tumorigenicity and increased metastatic potential in neuroblastoma are regulated, in part, by miR-335 and miR-363. A better understanding of the anti-tumor functions of miRNAs could provide valuable insights to discerning molecular mechanisms responsible for neuroblastoma metastasis. © 2013 Mosby, Inc. All rights reserved.","author":[{"dropping-particle":"","family":"Qiao","given":"Jingbo","non-dropping-particle":"","parse-names":false,"suffix":""},{"dropping-particle":"","family":"Lee","given":"Sora","non-dropping-particle":"","parse-names":false,"suffix":""},{"dropping-particle":"","family":"Paul","given":"Pritha","non-dropping-particle":"","parse-names":false,"suffix":""},{"dropping-particle":"","family":"Theiss","given":"Lauren","non-dropping-particle":"","parse-names":false,"suffix":""},{"dropping-particle":"","family":"Tiao","given":"Joshua","non-dropping-particle":"","parse-names":false,"suffix":""},{"dropping-particle":"","family":"Qiao","given":"Lan","non-dropping-particle":"","parse-names":false,"suffix":""},{"dropping-particle":"","family":"Kong","given":"Andrew","non-dropping-particle":"","parse-names":false,"suffix":""},{"dropping-particle":"","family":"Chung","given":"Dai H","non-dropping-particle":"","parse-names":false,"suffix":""}],"container-title":"Surgery (United States)","id":"ITEM-2","issue":"2","issued":{"date-parts":[["2013","8"]]},"page":"226-233","publisher":"Surgery","title":"MiR-335 and miR-363 regulation of neuroblastoma tumorigenesis and metastasis","type":"article-journal","volume":"154"},"uris":["http://www.mendeley.com/documents/?uuid=a17d87ee-f5d0-3693-8ea8-678e817e0460"]}],"mendeley":{"formattedCitation":"&lt;sup&gt;[18,19]&lt;/sup&gt;","plainTextFormattedCitation":"[18,19]","previouslyFormattedCitation":"&lt;sup&gt;[18,19]&lt;/sup&gt;"},"properties":{"noteIndex":0},"schema":"https://github.com/citation-style-language/schema/raw/master/csl-citation.json"}</w:instrText>
      </w:r>
      <w:r w:rsidRPr="00B751AA">
        <w:rPr>
          <w:rFonts w:ascii="Book Antiqua" w:hAnsi="Book Antiqua" w:cs="Arial"/>
          <w:bCs/>
          <w:color w:val="000000" w:themeColor="text1"/>
          <w:sz w:val="24"/>
          <w:szCs w:val="24"/>
        </w:rPr>
        <w:fldChar w:fldCharType="separate"/>
      </w:r>
      <w:r w:rsidRPr="00B751AA">
        <w:rPr>
          <w:rFonts w:ascii="Book Antiqua" w:hAnsi="Book Antiqua" w:cs="Arial"/>
          <w:bCs/>
          <w:noProof/>
          <w:color w:val="000000" w:themeColor="text1"/>
          <w:sz w:val="24"/>
          <w:szCs w:val="24"/>
          <w:vertAlign w:val="superscript"/>
        </w:rPr>
        <w:t>[18,19]</w:t>
      </w:r>
      <w:r w:rsidRPr="00B751AA">
        <w:rPr>
          <w:rFonts w:ascii="Book Antiqua" w:hAnsi="Book Antiqua" w:cs="Arial"/>
          <w:bCs/>
          <w:color w:val="000000" w:themeColor="text1"/>
          <w:sz w:val="24"/>
          <w:szCs w:val="24"/>
        </w:rPr>
        <w:fldChar w:fldCharType="end"/>
      </w:r>
      <w:r w:rsidRPr="00B751AA">
        <w:rPr>
          <w:rFonts w:ascii="Book Antiqua" w:hAnsi="Book Antiqua" w:cs="Arial"/>
          <w:bCs/>
          <w:color w:val="000000" w:themeColor="text1"/>
          <w:sz w:val="24"/>
          <w:szCs w:val="24"/>
        </w:rPr>
        <w:t xml:space="preserve">. miR-363 has been reported to be deregulated in several tumors and has been associated with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w:t>
      </w:r>
      <w:r w:rsidRPr="00B751AA">
        <w:rPr>
          <w:rFonts w:ascii="Book Antiqua" w:hAnsi="Book Antiqua" w:cs="Arial"/>
          <w:bCs/>
          <w:color w:val="000000" w:themeColor="text1"/>
          <w:sz w:val="24"/>
          <w:szCs w:val="24"/>
        </w:rPr>
        <w:fldChar w:fldCharType="begin" w:fldLock="1"/>
      </w:r>
      <w:r w:rsidRPr="00B751AA">
        <w:rPr>
          <w:rFonts w:ascii="Book Antiqua" w:hAnsi="Book Antiqua" w:cs="Arial"/>
          <w:bCs/>
          <w:color w:val="000000" w:themeColor="text1"/>
          <w:sz w:val="24"/>
          <w:szCs w:val="24"/>
        </w:rPr>
        <w:instrText>ADDIN CSL_CITATION {"citationItems":[{"id":"ITEM-1","itemData":{"DOI":"10.1016/j.biocel.2012.12.004","ISSN":"13572725","PMID":"23246488","abstract":"Head and neck squamous cell carcinoma (HNSCC) is characterised by an elevated capacity for tumour invasion and lymph node metastasis and the cause remains to be determined. Recent studies suggest that microRNAs can regulate the evolution of malignant behaviours by regulating multiple target genes. In this study, we have first confirmed that miR-363 is down-regulated in HNSCC tissues with lymph node metastasis and cell lines with highly invasive capacity. We used bioinformatics, cellular and molecular methods to predict and prove that miR-363 directly targeted to podoplanin (PDPN) and caused up-regulation of PDPN in HNSCC. MSP assay showed that DNA promoter methylation was involved in silencing the miR-363 in HNSCC. Furthermore, we provided evidence to demonstrate that PDPN dysregulation caused by down-regulation of miR-363 contributes to HNSCC invasion and metastasis. These data reveal a key role of miR-363-PDPN in HNSCC metastasis and support biological and clinical links between miR-363-PDPN and HNSCC. © 2012 Elsevier Ltd.","author":[{"dropping-particle":"","family":"Sun","given":"Qiang","non-dropping-particle":"","parse-names":false,"suffix":""},{"dropping-particle":"","family":"Zhang","given":"Jianjun","non-dropping-particle":"","parse-names":false,"suffix":""},{"dropping-particle":"","family":"Cao","given":"Wei","non-dropping-particle":"","parse-names":false,"suffix":""},{"dropping-particle":"","family":"Wang","given":"Xu","non-dropping-particle":"","parse-names":false,"suffix":""},{"dropping-particle":"","family":"Xu","given":"Qin","non-dropping-particle":"","parse-names":false,"suffix":""},{"dropping-particle":"","family":"Yan","given":"Ming","non-dropping-particle":"","parse-names":false,"suffix":""},{"dropping-particle":"","family":"Wu","given":"Xiangbing","non-dropping-particle":"","parse-names":false,"suffix":""},{"dropping-particle":"","family":"Chen","given":"Wantao","non-dropping-particle":"","parse-names":false,"suffix":""}],"container-title":"International Journal of Biochemistry and Cell Biology","id":"ITEM-1","issue":"3","issued":{"date-parts":[["2013","3"]]},"page":"513-520","publisher":"Int J Biochem Cell Biol","title":"Dysregulated miR-363 affects head and neck cancer invasion and metastasis by targeting podoplanin","type":"article-journal","volume":"45"},"uris":["http://www.mendeley.com/documents/?uuid=7b6217ad-fb5b-33d0-879c-6bbefb4f2f1c"]}],"mendeley":{"formattedCitation":"&lt;sup&gt;[20]&lt;/sup&gt;","plainTextFormattedCitation":"[20]","previouslyFormattedCitation":"&lt;sup&gt;[20]&lt;/sup&gt;"},"properties":{"noteIndex":0},"schema":"https://github.com/citation-style-language/schema/raw/master/csl-citation.json"}</w:instrText>
      </w:r>
      <w:r w:rsidRPr="00B751AA">
        <w:rPr>
          <w:rFonts w:ascii="Book Antiqua" w:hAnsi="Book Antiqua" w:cs="Arial"/>
          <w:bCs/>
          <w:color w:val="000000" w:themeColor="text1"/>
          <w:sz w:val="24"/>
          <w:szCs w:val="24"/>
        </w:rPr>
        <w:fldChar w:fldCharType="separate"/>
      </w:r>
      <w:r w:rsidRPr="00B751AA">
        <w:rPr>
          <w:rFonts w:ascii="Book Antiqua" w:hAnsi="Book Antiqua" w:cs="Arial"/>
          <w:bCs/>
          <w:noProof/>
          <w:color w:val="000000" w:themeColor="text1"/>
          <w:sz w:val="24"/>
          <w:szCs w:val="24"/>
          <w:vertAlign w:val="superscript"/>
        </w:rPr>
        <w:t>[20]</w:t>
      </w:r>
      <w:r w:rsidRPr="00B751AA">
        <w:rPr>
          <w:rFonts w:ascii="Book Antiqua" w:hAnsi="Book Antiqua" w:cs="Arial"/>
          <w:bCs/>
          <w:color w:val="000000" w:themeColor="text1"/>
          <w:sz w:val="24"/>
          <w:szCs w:val="24"/>
        </w:rPr>
        <w:fldChar w:fldCharType="end"/>
      </w:r>
      <w:r w:rsidRPr="00B751AA">
        <w:rPr>
          <w:rFonts w:ascii="Book Antiqua" w:hAnsi="Book Antiqua" w:cs="Arial"/>
          <w:bCs/>
          <w:color w:val="000000" w:themeColor="text1"/>
          <w:sz w:val="24"/>
          <w:szCs w:val="24"/>
        </w:rPr>
        <w:t xml:space="preserve">. Knowledge about regulation of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in esophageal cancer is </w:t>
      </w:r>
      <w:proofErr w:type="spellStart"/>
      <w:r w:rsidRPr="00B751AA">
        <w:rPr>
          <w:rFonts w:ascii="Book Antiqua" w:hAnsi="Book Antiqua" w:cs="Arial"/>
          <w:bCs/>
          <w:color w:val="000000" w:themeColor="text1"/>
          <w:sz w:val="24"/>
          <w:szCs w:val="24"/>
        </w:rPr>
        <w:t>scarse</w:t>
      </w:r>
      <w:proofErr w:type="spellEnd"/>
      <w:r w:rsidRPr="00B751AA">
        <w:rPr>
          <w:rFonts w:ascii="Book Antiqua" w:hAnsi="Book Antiqua" w:cs="Arial"/>
          <w:bCs/>
          <w:color w:val="000000" w:themeColor="text1"/>
          <w:sz w:val="24"/>
          <w:szCs w:val="24"/>
        </w:rPr>
        <w:t xml:space="preserve">. The mechanism of re-expression of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in tumor cells of ESCC still has to be elucidated.</w:t>
      </w:r>
    </w:p>
    <w:p w14:paraId="57E33DA8" w14:textId="77777777" w:rsidR="00FE6179" w:rsidRPr="00B751AA" w:rsidRDefault="00FE6179" w:rsidP="00B751AA">
      <w:pPr>
        <w:pStyle w:val="StandardArial"/>
        <w:adjustRightInd w:val="0"/>
        <w:snapToGrid w:val="0"/>
        <w:spacing w:before="0" w:after="0"/>
        <w:ind w:firstLineChars="100" w:firstLine="240"/>
        <w:rPr>
          <w:rFonts w:ascii="Book Antiqua" w:hAnsi="Book Antiqua"/>
          <w:bCs/>
          <w:color w:val="000000" w:themeColor="text1"/>
          <w:szCs w:val="24"/>
          <w:lang w:val="en-GB"/>
        </w:rPr>
      </w:pPr>
      <w:r w:rsidRPr="00B751AA">
        <w:rPr>
          <w:rFonts w:ascii="Book Antiqua" w:hAnsi="Book Antiqua"/>
          <w:color w:val="000000" w:themeColor="text1"/>
          <w:szCs w:val="24"/>
          <w:lang w:val="en-GB"/>
        </w:rPr>
        <w:t xml:space="preserve">The aim of the present study was to determine expression of </w:t>
      </w:r>
      <w:proofErr w:type="spellStart"/>
      <w:r w:rsidRPr="00B751AA">
        <w:rPr>
          <w:rFonts w:ascii="Book Antiqua" w:hAnsi="Book Antiqua"/>
          <w:color w:val="000000" w:themeColor="text1"/>
          <w:szCs w:val="24"/>
          <w:lang w:val="en-GB"/>
        </w:rPr>
        <w:t>podoplanin</w:t>
      </w:r>
      <w:proofErr w:type="spellEnd"/>
      <w:r w:rsidRPr="00B751AA">
        <w:rPr>
          <w:rFonts w:ascii="Book Antiqua" w:hAnsi="Book Antiqua"/>
          <w:color w:val="000000" w:themeColor="text1"/>
          <w:szCs w:val="24"/>
          <w:lang w:val="en-GB"/>
        </w:rPr>
        <w:t xml:space="preserve"> protein in </w:t>
      </w:r>
      <w:proofErr w:type="spellStart"/>
      <w:r w:rsidRPr="00B751AA">
        <w:rPr>
          <w:rFonts w:ascii="Book Antiqua" w:hAnsi="Book Antiqua"/>
          <w:color w:val="000000" w:themeColor="text1"/>
          <w:szCs w:val="24"/>
          <w:lang w:val="en-GB"/>
        </w:rPr>
        <w:t>esophageal</w:t>
      </w:r>
      <w:proofErr w:type="spellEnd"/>
      <w:r w:rsidRPr="00B751AA">
        <w:rPr>
          <w:rFonts w:ascii="Book Antiqua" w:hAnsi="Book Antiqua"/>
          <w:color w:val="000000" w:themeColor="text1"/>
          <w:szCs w:val="24"/>
          <w:lang w:val="en-GB"/>
        </w:rPr>
        <w:t xml:space="preserve"> cancer patients </w:t>
      </w:r>
      <w:r w:rsidRPr="00B751AA">
        <w:rPr>
          <w:rFonts w:ascii="Book Antiqua" w:hAnsi="Book Antiqua"/>
          <w:bCs/>
          <w:color w:val="000000" w:themeColor="text1"/>
          <w:szCs w:val="24"/>
          <w:lang w:val="en-GB"/>
        </w:rPr>
        <w:t xml:space="preserve">with regard to a potential benefit for personalization of neoadjuvant treatment of </w:t>
      </w:r>
      <w:r w:rsidR="0055432A" w:rsidRPr="00B751AA">
        <w:rPr>
          <w:rFonts w:ascii="Book Antiqua" w:hAnsi="Book Antiqua"/>
          <w:color w:val="000000" w:themeColor="text1"/>
          <w:szCs w:val="24"/>
          <w:lang w:val="de-DE"/>
        </w:rPr>
        <w:t>esophageal carcinoma</w:t>
      </w:r>
      <w:r w:rsidRPr="00B751AA">
        <w:rPr>
          <w:rFonts w:ascii="Book Antiqua" w:hAnsi="Book Antiqua"/>
          <w:bCs/>
          <w:color w:val="000000" w:themeColor="text1"/>
          <w:szCs w:val="24"/>
          <w:lang w:val="en-GB"/>
        </w:rPr>
        <w:t xml:space="preserve">. We </w:t>
      </w:r>
      <w:r w:rsidRPr="00B751AA">
        <w:rPr>
          <w:rFonts w:ascii="Book Antiqua" w:hAnsi="Book Antiqua"/>
          <w:color w:val="000000" w:themeColor="text1"/>
          <w:szCs w:val="24"/>
          <w:lang w:val="en-GB"/>
        </w:rPr>
        <w:t>evaluated its predictive impact for therapy response and prognosis and a potential</w:t>
      </w:r>
      <w:r w:rsidRPr="00B751AA">
        <w:rPr>
          <w:rFonts w:ascii="Book Antiqua" w:hAnsi="Book Antiqua"/>
          <w:bCs/>
          <w:color w:val="000000" w:themeColor="text1"/>
          <w:szCs w:val="24"/>
          <w:lang w:val="en-GB"/>
        </w:rPr>
        <w:t xml:space="preserve"> association of post-transcriptional regulation by miR-363 as one mechanism of deregulation of </w:t>
      </w:r>
      <w:proofErr w:type="spellStart"/>
      <w:r w:rsidRPr="00B751AA">
        <w:rPr>
          <w:rFonts w:ascii="Book Antiqua" w:hAnsi="Book Antiqua"/>
          <w:bCs/>
          <w:color w:val="000000" w:themeColor="text1"/>
          <w:szCs w:val="24"/>
          <w:lang w:val="en-GB"/>
        </w:rPr>
        <w:t>podoplanin</w:t>
      </w:r>
      <w:proofErr w:type="spellEnd"/>
      <w:r w:rsidRPr="00B751AA">
        <w:rPr>
          <w:rFonts w:ascii="Book Antiqua" w:hAnsi="Book Antiqua"/>
          <w:bCs/>
          <w:color w:val="000000" w:themeColor="text1"/>
          <w:szCs w:val="24"/>
          <w:lang w:val="en-GB"/>
        </w:rPr>
        <w:t xml:space="preserve"> expression in cancer. </w:t>
      </w:r>
    </w:p>
    <w:p w14:paraId="43C14D3E" w14:textId="77777777" w:rsidR="00FE6179" w:rsidRPr="00B751AA" w:rsidRDefault="00FE6179" w:rsidP="00B751AA">
      <w:pPr>
        <w:pStyle w:val="StandardArial"/>
        <w:adjustRightInd w:val="0"/>
        <w:snapToGrid w:val="0"/>
        <w:spacing w:before="0" w:after="0"/>
        <w:ind w:firstLine="23"/>
        <w:rPr>
          <w:rFonts w:ascii="Book Antiqua" w:hAnsi="Book Antiqua"/>
          <w:bCs/>
          <w:color w:val="000000" w:themeColor="text1"/>
          <w:szCs w:val="24"/>
          <w:lang w:val="en-GB"/>
        </w:rPr>
      </w:pPr>
    </w:p>
    <w:p w14:paraId="69BD1CFC" w14:textId="77777777" w:rsidR="00E62BE4" w:rsidRPr="00B751AA" w:rsidRDefault="00E62BE4"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t>MATERIALS AND METHODS</w:t>
      </w:r>
    </w:p>
    <w:p w14:paraId="170DEB1B" w14:textId="77777777" w:rsidR="00FE6179" w:rsidRPr="00B751AA" w:rsidRDefault="00FE6179" w:rsidP="00B751AA">
      <w:pPr>
        <w:pStyle w:val="StandardArial"/>
        <w:adjustRightInd w:val="0"/>
        <w:snapToGrid w:val="0"/>
        <w:spacing w:before="0" w:after="0"/>
        <w:ind w:firstLine="23"/>
        <w:rPr>
          <w:rFonts w:ascii="Book Antiqua" w:hAnsi="Book Antiqua"/>
          <w:b/>
          <w:i/>
          <w:color w:val="000000" w:themeColor="text1"/>
          <w:szCs w:val="24"/>
          <w:lang w:val="en-GB"/>
        </w:rPr>
      </w:pPr>
      <w:r w:rsidRPr="00B751AA">
        <w:rPr>
          <w:rFonts w:ascii="Book Antiqua" w:hAnsi="Book Antiqua"/>
          <w:b/>
          <w:i/>
          <w:color w:val="000000" w:themeColor="text1"/>
          <w:szCs w:val="24"/>
          <w:lang w:val="en-GB"/>
        </w:rPr>
        <w:t xml:space="preserve">Patients, </w:t>
      </w:r>
      <w:r w:rsidRPr="00B751AA">
        <w:rPr>
          <w:rFonts w:ascii="Book Antiqua" w:hAnsi="Book Antiqua"/>
          <w:b/>
          <w:i/>
          <w:color w:val="000000" w:themeColor="text1"/>
          <w:szCs w:val="24"/>
          <w:lang w:val="en-US"/>
        </w:rPr>
        <w:t>demographic data, and neoadjuvant therapy regime</w:t>
      </w:r>
    </w:p>
    <w:p w14:paraId="0C013272" w14:textId="77777777" w:rsidR="00FE6179" w:rsidRPr="00B751AA" w:rsidRDefault="00EE4E4E" w:rsidP="00B751AA">
      <w:pPr>
        <w:pStyle w:val="ac"/>
        <w:adjustRightInd w:val="0"/>
        <w:snapToGrid w:val="0"/>
        <w:spacing w:before="0" w:after="0" w:line="360" w:lineRule="auto"/>
        <w:jc w:val="both"/>
        <w:rPr>
          <w:rFonts w:ascii="Book Antiqua" w:hAnsi="Book Antiqua" w:cs="Arial"/>
          <w:b/>
          <w:bCs/>
          <w:i/>
          <w:color w:val="000000" w:themeColor="text1"/>
          <w:lang w:val="en-GB"/>
        </w:rPr>
      </w:pPr>
      <w:r w:rsidRPr="00B751AA">
        <w:rPr>
          <w:rFonts w:ascii="Book Antiqua" w:hAnsi="Book Antiqua" w:cs="Arial"/>
          <w:bCs/>
          <w:color w:val="000000" w:themeColor="text1"/>
          <w:lang w:val="en-GB"/>
        </w:rPr>
        <w:t xml:space="preserve">One hundred and ninety-five </w:t>
      </w:r>
      <w:r w:rsidR="00FE6179" w:rsidRPr="00B751AA">
        <w:rPr>
          <w:rFonts w:ascii="Book Antiqua" w:hAnsi="Book Antiqua" w:cs="Arial"/>
          <w:bCs/>
          <w:color w:val="000000" w:themeColor="text1"/>
          <w:lang w:val="en-GB"/>
        </w:rPr>
        <w:t xml:space="preserve">patients with advanced </w:t>
      </w:r>
      <w:proofErr w:type="spellStart"/>
      <w:r w:rsidR="00FE6179" w:rsidRPr="00B751AA">
        <w:rPr>
          <w:rFonts w:ascii="Book Antiqua" w:hAnsi="Book Antiqua" w:cs="Arial"/>
          <w:bCs/>
          <w:color w:val="000000" w:themeColor="text1"/>
          <w:lang w:val="en-GB"/>
        </w:rPr>
        <w:t>esophageal</w:t>
      </w:r>
      <w:proofErr w:type="spellEnd"/>
      <w:r w:rsidR="00FE6179" w:rsidRPr="00B751AA">
        <w:rPr>
          <w:rFonts w:ascii="Book Antiqua" w:hAnsi="Book Antiqua" w:cs="Arial"/>
          <w:bCs/>
          <w:color w:val="000000" w:themeColor="text1"/>
          <w:lang w:val="en-GB"/>
        </w:rPr>
        <w:t xml:space="preserve"> cancer (clinical</w:t>
      </w:r>
      <w:r w:rsidRPr="00B751AA">
        <w:rPr>
          <w:rFonts w:ascii="Book Antiqua" w:hAnsi="Book Antiqua" w:cs="Arial"/>
          <w:bCs/>
          <w:color w:val="000000" w:themeColor="text1"/>
          <w:lang w:val="en-GB"/>
        </w:rPr>
        <w:t xml:space="preserve"> </w:t>
      </w:r>
      <w:r w:rsidR="00FE6179" w:rsidRPr="00B751AA">
        <w:rPr>
          <w:rFonts w:ascii="Book Antiqua" w:hAnsi="Book Antiqua" w:cs="Arial"/>
          <w:bCs/>
          <w:color w:val="000000" w:themeColor="text1"/>
          <w:lang w:val="en-GB"/>
        </w:rPr>
        <w:t xml:space="preserve">T2-3, </w:t>
      </w:r>
      <w:proofErr w:type="spellStart"/>
      <w:r w:rsidR="00FE6179" w:rsidRPr="00B751AA">
        <w:rPr>
          <w:rFonts w:ascii="Book Antiqua" w:hAnsi="Book Antiqua" w:cs="Arial"/>
          <w:bCs/>
          <w:color w:val="000000" w:themeColor="text1"/>
          <w:lang w:val="en-GB"/>
        </w:rPr>
        <w:t>Nx</w:t>
      </w:r>
      <w:proofErr w:type="spellEnd"/>
      <w:r w:rsidR="00FE6179" w:rsidRPr="00B751AA">
        <w:rPr>
          <w:rFonts w:ascii="Book Antiqua" w:hAnsi="Book Antiqua" w:cs="Arial"/>
          <w:bCs/>
          <w:color w:val="000000" w:themeColor="text1"/>
          <w:lang w:val="en-GB"/>
        </w:rPr>
        <w:t>, M0) who received transthoracic esophagectomy are characterized in Tab</w:t>
      </w:r>
      <w:r w:rsidRPr="00B751AA">
        <w:rPr>
          <w:rFonts w:ascii="Book Antiqua" w:hAnsi="Book Antiqua" w:cs="Arial"/>
          <w:bCs/>
          <w:color w:val="000000" w:themeColor="text1"/>
          <w:lang w:val="en-GB" w:eastAsia="zh-CN"/>
        </w:rPr>
        <w:t>le</w:t>
      </w:r>
      <w:r w:rsidR="00FE6179" w:rsidRPr="00B751AA">
        <w:rPr>
          <w:rFonts w:ascii="Book Antiqua" w:hAnsi="Book Antiqua" w:cs="Arial"/>
          <w:bCs/>
          <w:color w:val="000000" w:themeColor="text1"/>
          <w:lang w:val="en-GB"/>
        </w:rPr>
        <w:t xml:space="preserve"> 1. Matching endoscopic biopsies and resection tissue were available for 56 primary surgery ESCC patients. </w:t>
      </w:r>
      <w:r w:rsidR="00FE6179" w:rsidRPr="00B751AA">
        <w:rPr>
          <w:rFonts w:ascii="Book Antiqua" w:hAnsi="Book Antiqua" w:cs="Arial"/>
          <w:color w:val="000000" w:themeColor="text1"/>
          <w:lang w:val="en-GB"/>
        </w:rPr>
        <w:t>P</w:t>
      </w:r>
      <w:proofErr w:type="spellStart"/>
      <w:r w:rsidR="00FE6179" w:rsidRPr="00B751AA">
        <w:rPr>
          <w:rFonts w:ascii="Book Antiqua" w:hAnsi="Book Antiqua" w:cs="Arial"/>
          <w:color w:val="000000" w:themeColor="text1"/>
          <w:lang w:val="en-US"/>
        </w:rPr>
        <w:t>araffin</w:t>
      </w:r>
      <w:proofErr w:type="spellEnd"/>
      <w:r w:rsidR="00FE6179" w:rsidRPr="00B751AA">
        <w:rPr>
          <w:rFonts w:ascii="Book Antiqua" w:hAnsi="Book Antiqua" w:cs="Arial"/>
          <w:color w:val="000000" w:themeColor="text1"/>
          <w:lang w:val="en-US"/>
        </w:rPr>
        <w:t xml:space="preserve">-embedded tissue for RNA extraction and quantification of miR-363 expression in addition to </w:t>
      </w:r>
      <w:proofErr w:type="spellStart"/>
      <w:r w:rsidR="00FE6179" w:rsidRPr="00B751AA">
        <w:rPr>
          <w:rFonts w:ascii="Book Antiqua" w:hAnsi="Book Antiqua" w:cs="Arial"/>
          <w:color w:val="000000" w:themeColor="text1"/>
          <w:lang w:val="en-US"/>
        </w:rPr>
        <w:t>podoplanin</w:t>
      </w:r>
      <w:proofErr w:type="spellEnd"/>
      <w:r w:rsidR="00FE6179" w:rsidRPr="00B751AA">
        <w:rPr>
          <w:rFonts w:ascii="Book Antiqua" w:hAnsi="Book Antiqua" w:cs="Arial"/>
          <w:color w:val="000000" w:themeColor="text1"/>
          <w:lang w:val="en-US"/>
        </w:rPr>
        <w:t xml:space="preserve"> protein were available for 29 ESCC patients and 19 EAC patients who received primary surgery.</w:t>
      </w:r>
    </w:p>
    <w:p w14:paraId="24F8E56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bCs/>
          <w:color w:val="000000" w:themeColor="text1"/>
          <w:sz w:val="24"/>
          <w:szCs w:val="24"/>
          <w:lang w:val="en-GB"/>
        </w:rPr>
        <w:t xml:space="preserve">Endoscopic biopsies were obtained during routine staging esophagogastroduodenoscopy prior to therapy. </w:t>
      </w:r>
      <w:r w:rsidRPr="00B751AA">
        <w:rPr>
          <w:rFonts w:ascii="Book Antiqua" w:hAnsi="Book Antiqua" w:cs="Arial"/>
          <w:color w:val="000000" w:themeColor="text1"/>
          <w:sz w:val="24"/>
          <w:szCs w:val="24"/>
          <w:lang w:val="en-GB"/>
        </w:rPr>
        <w:t xml:space="preserve">None of the patients had received prior radio- and /or chemotherapy. </w:t>
      </w:r>
      <w:r w:rsidR="00DF0C2A" w:rsidRPr="00B751AA">
        <w:rPr>
          <w:rFonts w:ascii="Book Antiqua" w:hAnsi="Book Antiqua" w:cs="Arial"/>
          <w:color w:val="000000" w:themeColor="text1"/>
          <w:sz w:val="24"/>
          <w:szCs w:val="24"/>
          <w:lang w:val="en-GB"/>
        </w:rPr>
        <w:t>One hundred and six</w:t>
      </w:r>
      <w:r w:rsidRPr="00B751AA">
        <w:rPr>
          <w:rFonts w:ascii="Book Antiqua" w:hAnsi="Book Antiqua" w:cs="Arial"/>
          <w:color w:val="000000" w:themeColor="text1"/>
          <w:sz w:val="24"/>
          <w:szCs w:val="24"/>
          <w:lang w:val="en-GB"/>
        </w:rPr>
        <w:t xml:space="preserve"> patients of the study population with an advanced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stage (cT3, </w:t>
      </w:r>
      <w:proofErr w:type="spellStart"/>
      <w:r w:rsidRPr="00B751AA">
        <w:rPr>
          <w:rFonts w:ascii="Book Antiqua" w:hAnsi="Book Antiqua" w:cs="Arial"/>
          <w:color w:val="000000" w:themeColor="text1"/>
          <w:sz w:val="24"/>
          <w:szCs w:val="24"/>
          <w:lang w:val="en-GB"/>
        </w:rPr>
        <w:t>Nx</w:t>
      </w:r>
      <w:proofErr w:type="spellEnd"/>
      <w:r w:rsidRPr="00B751AA">
        <w:rPr>
          <w:rFonts w:ascii="Book Antiqua" w:hAnsi="Book Antiqua" w:cs="Arial"/>
          <w:color w:val="000000" w:themeColor="text1"/>
          <w:sz w:val="24"/>
          <w:szCs w:val="24"/>
          <w:lang w:val="en-GB"/>
        </w:rPr>
        <w:t>, M0) received preoperative chemoradiation. Briefly, cisplatin (20</w:t>
      </w:r>
      <w:r w:rsidR="00DF0C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mg/m</w:t>
      </w:r>
      <w:r w:rsidRPr="00B751AA">
        <w:rPr>
          <w:rFonts w:ascii="Book Antiqua" w:hAnsi="Book Antiqua" w:cs="Arial"/>
          <w:color w:val="000000" w:themeColor="text1"/>
          <w:sz w:val="24"/>
          <w:szCs w:val="24"/>
          <w:vertAlign w:val="superscript"/>
          <w:lang w:val="en-GB"/>
        </w:rPr>
        <w:t>2</w:t>
      </w:r>
      <w:r w:rsidR="00DF0C2A" w:rsidRPr="00B751AA">
        <w:rPr>
          <w:rFonts w:ascii="Book Antiqua" w:hAnsi="Book Antiqua" w:cs="Arial"/>
          <w:color w:val="000000" w:themeColor="text1"/>
          <w:sz w:val="24"/>
          <w:szCs w:val="24"/>
          <w:lang w:val="en-GB"/>
        </w:rPr>
        <w:t xml:space="preserve"> per </w:t>
      </w:r>
      <w:r w:rsidRPr="00B751AA">
        <w:rPr>
          <w:rFonts w:ascii="Book Antiqua" w:hAnsi="Book Antiqua" w:cs="Arial"/>
          <w:color w:val="000000" w:themeColor="text1"/>
          <w:sz w:val="24"/>
          <w:szCs w:val="24"/>
          <w:lang w:val="en-GB"/>
        </w:rPr>
        <w:t>d</w:t>
      </w:r>
      <w:r w:rsidR="00DF0C2A" w:rsidRPr="00B751AA">
        <w:rPr>
          <w:rFonts w:ascii="Book Antiqua" w:hAnsi="Book Antiqua" w:cs="Arial"/>
          <w:color w:val="000000" w:themeColor="text1"/>
          <w:sz w:val="24"/>
          <w:szCs w:val="24"/>
          <w:lang w:val="en-GB"/>
        </w:rPr>
        <w:t>ay</w:t>
      </w:r>
      <w:r w:rsidRPr="00B751AA">
        <w:rPr>
          <w:rFonts w:ascii="Book Antiqua" w:hAnsi="Book Antiqua" w:cs="Arial"/>
          <w:color w:val="000000" w:themeColor="text1"/>
          <w:sz w:val="24"/>
          <w:szCs w:val="24"/>
          <w:lang w:val="en-GB"/>
        </w:rPr>
        <w:t>) was administered as a short-term infusion on days 1-5 and 5-fluorouracil (5-FU) (1000mg/m</w:t>
      </w:r>
      <w:r w:rsidRPr="00B751AA">
        <w:rPr>
          <w:rFonts w:ascii="Book Antiqua" w:hAnsi="Book Antiqua" w:cs="Arial"/>
          <w:color w:val="000000" w:themeColor="text1"/>
          <w:sz w:val="24"/>
          <w:szCs w:val="24"/>
          <w:vertAlign w:val="superscript"/>
          <w:lang w:val="en-GB"/>
        </w:rPr>
        <w:t>2</w:t>
      </w:r>
      <w:r w:rsidR="00DF0C2A" w:rsidRPr="00B751AA">
        <w:rPr>
          <w:rFonts w:ascii="Book Antiqua" w:hAnsi="Book Antiqua" w:cs="Arial"/>
          <w:color w:val="000000" w:themeColor="text1"/>
          <w:sz w:val="24"/>
          <w:szCs w:val="24"/>
          <w:lang w:val="en-GB"/>
        </w:rPr>
        <w:t xml:space="preserve"> per day</w:t>
      </w:r>
      <w:r w:rsidRPr="00B751AA">
        <w:rPr>
          <w:rFonts w:ascii="Book Antiqua" w:hAnsi="Book Antiqua" w:cs="Arial"/>
          <w:color w:val="000000" w:themeColor="text1"/>
          <w:sz w:val="24"/>
          <w:szCs w:val="24"/>
          <w:lang w:val="en-GB"/>
        </w:rPr>
        <w:t xml:space="preserve">) as a continuous infusion over 24 h on days 1-5. Radiation was delivered in daily fractions of 1.8 </w:t>
      </w:r>
      <w:proofErr w:type="spellStart"/>
      <w:r w:rsidRPr="00B751AA">
        <w:rPr>
          <w:rFonts w:ascii="Book Antiqua" w:hAnsi="Book Antiqua" w:cs="Arial"/>
          <w:color w:val="000000" w:themeColor="text1"/>
          <w:sz w:val="24"/>
          <w:szCs w:val="24"/>
          <w:lang w:val="en-GB"/>
        </w:rPr>
        <w:t>Gy</w:t>
      </w:r>
      <w:proofErr w:type="spellEnd"/>
      <w:r w:rsidRPr="00B751AA">
        <w:rPr>
          <w:rFonts w:ascii="Book Antiqua" w:hAnsi="Book Antiqua" w:cs="Arial"/>
          <w:color w:val="000000" w:themeColor="text1"/>
          <w:sz w:val="24"/>
          <w:szCs w:val="24"/>
          <w:lang w:val="en-GB"/>
        </w:rPr>
        <w:t xml:space="preserve"> to a total dose of 40 </w:t>
      </w:r>
      <w:proofErr w:type="spellStart"/>
      <w:r w:rsidRPr="00B751AA">
        <w:rPr>
          <w:rFonts w:ascii="Book Antiqua" w:hAnsi="Book Antiqua" w:cs="Arial"/>
          <w:color w:val="000000" w:themeColor="text1"/>
          <w:sz w:val="24"/>
          <w:szCs w:val="24"/>
          <w:lang w:val="en-GB"/>
        </w:rPr>
        <w:t>Gy</w:t>
      </w:r>
      <w:proofErr w:type="spellEnd"/>
      <w:r w:rsidRPr="00B751AA">
        <w:rPr>
          <w:rFonts w:ascii="Book Antiqua" w:hAnsi="Book Antiqua" w:cs="Arial"/>
          <w:color w:val="000000" w:themeColor="text1"/>
          <w:sz w:val="24"/>
          <w:szCs w:val="24"/>
          <w:lang w:val="en-GB"/>
        </w:rPr>
        <w:t xml:space="preserve"> using a multiple field technique. Standardized trans-thoracic </w:t>
      </w:r>
      <w:proofErr w:type="spellStart"/>
      <w:r w:rsidRPr="00B751AA">
        <w:rPr>
          <w:rFonts w:ascii="Book Antiqua" w:hAnsi="Book Antiqua" w:cs="Arial"/>
          <w:i/>
          <w:iCs/>
          <w:color w:val="000000" w:themeColor="text1"/>
          <w:sz w:val="24"/>
          <w:szCs w:val="24"/>
          <w:lang w:val="en-GB"/>
        </w:rPr>
        <w:t>en</w:t>
      </w:r>
      <w:proofErr w:type="spellEnd"/>
      <w:r w:rsidRPr="00B751AA">
        <w:rPr>
          <w:rFonts w:ascii="Book Antiqua" w:hAnsi="Book Antiqua" w:cs="Arial"/>
          <w:i/>
          <w:iCs/>
          <w:color w:val="000000" w:themeColor="text1"/>
          <w:sz w:val="24"/>
          <w:szCs w:val="24"/>
          <w:lang w:val="en-GB"/>
        </w:rPr>
        <w:t xml:space="preserve"> bloc</w:t>
      </w:r>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lastRenderedPageBreak/>
        <w:t>esophagectomy</w:t>
      </w:r>
      <w:proofErr w:type="spellEnd"/>
      <w:r w:rsidRPr="00B751AA">
        <w:rPr>
          <w:rFonts w:ascii="Book Antiqua" w:hAnsi="Book Antiqua" w:cs="Arial"/>
          <w:color w:val="000000" w:themeColor="text1"/>
          <w:sz w:val="24"/>
          <w:szCs w:val="24"/>
          <w:lang w:val="en-GB"/>
        </w:rPr>
        <w:t xml:space="preserve"> with 2-field lymphadenectomy was performed 4-5 </w:t>
      </w:r>
      <w:proofErr w:type="spellStart"/>
      <w:r w:rsidRPr="00B751AA">
        <w:rPr>
          <w:rFonts w:ascii="Book Antiqua" w:hAnsi="Book Antiqua" w:cs="Arial"/>
          <w:color w:val="000000" w:themeColor="text1"/>
          <w:sz w:val="24"/>
          <w:szCs w:val="24"/>
          <w:lang w:val="en-GB"/>
        </w:rPr>
        <w:t>wk</w:t>
      </w:r>
      <w:proofErr w:type="spellEnd"/>
      <w:r w:rsidRPr="00B751AA">
        <w:rPr>
          <w:rFonts w:ascii="Book Antiqua" w:hAnsi="Book Antiqua" w:cs="Arial"/>
          <w:color w:val="000000" w:themeColor="text1"/>
          <w:sz w:val="24"/>
          <w:szCs w:val="24"/>
          <w:lang w:val="en-GB"/>
        </w:rPr>
        <w:t xml:space="preserve"> after completion of chemoradiation.</w:t>
      </w:r>
    </w:p>
    <w:p w14:paraId="7B857DC6"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Informed consent was obtained from each patient and the scientific protocol was approved by the local ethics committee.</w:t>
      </w:r>
    </w:p>
    <w:p w14:paraId="4B372192" w14:textId="77777777" w:rsidR="00FE6179" w:rsidRPr="00B751AA" w:rsidRDefault="00FE6179" w:rsidP="00B751AA">
      <w:pPr>
        <w:adjustRightInd w:val="0"/>
        <w:snapToGrid w:val="0"/>
        <w:spacing w:after="0" w:line="360" w:lineRule="auto"/>
        <w:ind w:firstLine="22"/>
        <w:jc w:val="both"/>
        <w:rPr>
          <w:rFonts w:ascii="Book Antiqua" w:hAnsi="Book Antiqua" w:cs="Arial"/>
          <w:color w:val="000000" w:themeColor="text1"/>
          <w:sz w:val="24"/>
          <w:szCs w:val="24"/>
          <w:lang w:val="en-GB"/>
        </w:rPr>
      </w:pPr>
    </w:p>
    <w:p w14:paraId="1D0FB5A2" w14:textId="77777777" w:rsidR="00FE6179" w:rsidRPr="00B751AA" w:rsidRDefault="00FE6179" w:rsidP="00B751AA">
      <w:pPr>
        <w:adjustRightInd w:val="0"/>
        <w:snapToGrid w:val="0"/>
        <w:spacing w:after="0" w:line="360" w:lineRule="auto"/>
        <w:jc w:val="both"/>
        <w:rPr>
          <w:rFonts w:ascii="Book Antiqua" w:hAnsi="Book Antiqua" w:cs="Arial"/>
          <w:b/>
          <w:i/>
          <w:color w:val="000000" w:themeColor="text1"/>
          <w:sz w:val="24"/>
          <w:szCs w:val="24"/>
          <w:lang w:val="en-GB"/>
        </w:rPr>
      </w:pPr>
      <w:r w:rsidRPr="00B751AA">
        <w:rPr>
          <w:rFonts w:ascii="Book Antiqua" w:hAnsi="Book Antiqua" w:cs="Arial"/>
          <w:b/>
          <w:i/>
          <w:color w:val="000000" w:themeColor="text1"/>
          <w:sz w:val="24"/>
          <w:szCs w:val="24"/>
          <w:lang w:val="en-GB"/>
        </w:rPr>
        <w:t>Histopathologic response classification</w:t>
      </w:r>
    </w:p>
    <w:p w14:paraId="7EB7C849"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bCs/>
          <w:color w:val="000000" w:themeColor="text1"/>
          <w:sz w:val="24"/>
          <w:szCs w:val="24"/>
          <w:lang w:val="en-GB"/>
        </w:rPr>
        <w:t xml:space="preserve">The degree of </w:t>
      </w:r>
      <w:proofErr w:type="spellStart"/>
      <w:r w:rsidRPr="00B751AA">
        <w:rPr>
          <w:rFonts w:ascii="Book Antiqua" w:hAnsi="Book Antiqua" w:cs="Arial"/>
          <w:bCs/>
          <w:color w:val="000000" w:themeColor="text1"/>
          <w:sz w:val="24"/>
          <w:szCs w:val="24"/>
          <w:lang w:val="en-GB"/>
        </w:rPr>
        <w:t>histomorphologic</w:t>
      </w:r>
      <w:proofErr w:type="spellEnd"/>
      <w:r w:rsidRPr="00B751AA">
        <w:rPr>
          <w:rFonts w:ascii="Book Antiqua" w:hAnsi="Book Antiqua" w:cs="Arial"/>
          <w:bCs/>
          <w:color w:val="000000" w:themeColor="text1"/>
          <w:sz w:val="24"/>
          <w:szCs w:val="24"/>
          <w:lang w:val="en-GB"/>
        </w:rPr>
        <w:t xml:space="preserve"> regression of the primary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was classified into four categories (Cologne Regression Scale):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1, complete response;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2, nearly complete response with less than 10% vital residual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cells (VRTCs) classified as major response;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3, 10% to 50% VRTCs; and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4, more than 50% VRTCs, categorized as minor </w:t>
      </w:r>
      <w:proofErr w:type="spellStart"/>
      <w:r w:rsidRPr="00B751AA">
        <w:rPr>
          <w:rFonts w:ascii="Book Antiqua" w:hAnsi="Book Antiqua" w:cs="Arial"/>
          <w:bCs/>
          <w:color w:val="000000" w:themeColor="text1"/>
          <w:sz w:val="24"/>
          <w:szCs w:val="24"/>
          <w:lang w:val="en-GB"/>
        </w:rPr>
        <w:t>histomorphologic</w:t>
      </w:r>
      <w:proofErr w:type="spellEnd"/>
      <w:r w:rsidRPr="00B751AA">
        <w:rPr>
          <w:rFonts w:ascii="Book Antiqua" w:hAnsi="Book Antiqua" w:cs="Arial"/>
          <w:bCs/>
          <w:color w:val="000000" w:themeColor="text1"/>
          <w:sz w:val="24"/>
          <w:szCs w:val="24"/>
          <w:lang w:val="en-GB"/>
        </w:rPr>
        <w:t xml:space="preserve"> response</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{"citationItems":[{"id":"ITEM-1","itemData":{"DOI":"10.1111/his.13811","ISSN":"13652559","PMID":"30636069","abstract":"Aims: Neoadjuvant chemoradiation reduces tumour volume and improves the R0 resection rate, followed by extended survival for patients with advanced oesophageal cancer. The degree of tumour regression has high prognostic relevance. To date, there is still no generally accepted tumour regression grading system. The aim of this study was to compare the prognostic discrimination power of different histological regression grading systems: (i) the fibrosis/tumour ratio within the primary tumour (Mandard classification), (ii) the percentage of residual vital tumour cells (VTC) compared to the original primary tumour (Cologne Regression) and (iii) the ypT category, in patients with cT3 carcinoma of the oesophagus after neoadjuvant chemoradiation. Methods and results: This study included 216 patients with oesophageal cancer clinically staged as cT3NxM0 and treated from 2009 to 2012 with standardised chemoradiation followed by oesophagectomy [median age 62 years, 176 (81%) male and 138 (64%) adenocarcinoma patients]. The subgroup frequencies of the three classification systems were ypT category: ypT0 = 18%, ypT1 = 14%, ypT2 = 23%, ypT3 = 44%, ypT4 = 1%; Mandard classification: TRG1 = 18%, TRG2 = 26%, TRG3 = 24%, TRG4 = 30%, TRG5 = 2%; and Cologne Regression Scale: no tumour = 18%, 1–10% VTC = 27%, 10–50% VTC = 26% and &gt;50% VTC = 29%. The Mandard and Cologne Regression classifications showed better prognostic differentiation for the subgroups than the ypT category. The four-tiered Cologne Regression system had a good prognostic relevance. Comparing results of the re-evaluated Cologne Regression classification with the classification by routine pathological report showed very good inter-rater agreement, with kappa value 0.891. Conclusion: Compared to the original primary tumour, the tumour regression grading system using the percentage of residual vital tumour has prognostic relevance.","author":[{"dropping-particle":"","family":"Puetz","given":"Katharina","non-dropping-particle":"","parse-names":false,"suffix":""},{"dropping-particle":"","family":"Bollschweiler","given":"Elfriede","non-dropping-particle":"","parse-names":false,"suffix":""},{"dropping-particle":"","family":"Semrau","given":"Robert","non-dropping-particle":"","parse-names":false,"suffix":""},{"dropping-particle":"","family":"Mönig","given":"Stefan P","non-dropping-particle":"","parse-names":false,"suffix":""},{"dropping-particle":"","family":"Hölscher","given":"Arnulf H","non-dropping-particle":"","parse-names":false,"suffix":""},{"dropping-particle":"","family":"Drebber","given":"Uta","non-dropping-particle":"","parse-names":false,"suffix":""}],"container-title":"Histopathology","id":"ITEM-1","issue":"5","issued":{"date-parts":[["2019","4"]]},"page":"731-743","publisher":"Histopathology","title":"Neoadjuvant chemoradiation for patients with advanced oesophageal cancer – which response grading system best impacts prognostic discrimination?","type":"article-journal","volume":"74"},"uris":["http://www.mendeley.com/documents/?uuid=54106880-6940-3b9a-952e-6d208d0ee292"]}],"mendeley":{"formattedCitation":"&lt;sup&gt;[21]&lt;/sup&gt;","plainTextFormattedCitation":"[21]","previouslyFormattedCitation":"&lt;sup&gt;[21]&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[21]</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 Classification has been performed by experienced staff pathologists.</w:t>
      </w:r>
    </w:p>
    <w:p w14:paraId="6B8BA0D0"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66A534FC"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Immunohistochemistry</w:t>
      </w:r>
    </w:p>
    <w:p w14:paraId="6AEE9743"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was detected by mouse anti-human D2-40 monoclonal antibody (</w:t>
      </w:r>
      <w:proofErr w:type="spellStart"/>
      <w:r w:rsidRPr="00B751AA">
        <w:rPr>
          <w:rFonts w:ascii="Book Antiqua" w:hAnsi="Book Antiqua" w:cs="Arial"/>
          <w:color w:val="000000" w:themeColor="text1"/>
          <w:sz w:val="24"/>
          <w:szCs w:val="24"/>
          <w:lang w:val="en-GB"/>
        </w:rPr>
        <w:t>DakoCytomation,Hamburg</w:t>
      </w:r>
      <w:proofErr w:type="spellEnd"/>
      <w:r w:rsidRPr="00B751AA">
        <w:rPr>
          <w:rFonts w:ascii="Book Antiqua" w:hAnsi="Book Antiqua" w:cs="Arial"/>
          <w:color w:val="000000" w:themeColor="text1"/>
          <w:sz w:val="24"/>
          <w:szCs w:val="24"/>
          <w:lang w:val="en-GB"/>
        </w:rPr>
        <w:t xml:space="preserve">, Germany) raised against 40 </w:t>
      </w:r>
      <w:proofErr w:type="spellStart"/>
      <w:r w:rsidRPr="00B751AA">
        <w:rPr>
          <w:rFonts w:ascii="Book Antiqua" w:hAnsi="Book Antiqua" w:cs="Arial"/>
          <w:color w:val="000000" w:themeColor="text1"/>
          <w:sz w:val="24"/>
          <w:szCs w:val="24"/>
          <w:lang w:val="en-GB"/>
        </w:rPr>
        <w:t>kD</w:t>
      </w:r>
      <w:r w:rsidR="00DF0C2A" w:rsidRPr="00B751AA">
        <w:rPr>
          <w:rFonts w:ascii="Book Antiqua" w:hAnsi="Book Antiqua" w:cs="Arial"/>
          <w:color w:val="000000" w:themeColor="text1"/>
          <w:sz w:val="24"/>
          <w:szCs w:val="24"/>
          <w:lang w:val="en-GB"/>
        </w:rPr>
        <w:t>a</w:t>
      </w:r>
      <w:proofErr w:type="spellEnd"/>
      <w:r w:rsidRPr="00B751AA">
        <w:rPr>
          <w:rFonts w:ascii="Book Antiqua" w:hAnsi="Book Antiqua" w:cs="Arial"/>
          <w:color w:val="000000" w:themeColor="text1"/>
          <w:sz w:val="24"/>
          <w:szCs w:val="24"/>
          <w:lang w:val="en-GB"/>
        </w:rPr>
        <w:t xml:space="preserve"> O-linked </w:t>
      </w:r>
      <w:proofErr w:type="spellStart"/>
      <w:r w:rsidRPr="00B751AA">
        <w:rPr>
          <w:rFonts w:ascii="Book Antiqua" w:hAnsi="Book Antiqua" w:cs="Arial"/>
          <w:color w:val="000000" w:themeColor="text1"/>
          <w:sz w:val="24"/>
          <w:szCs w:val="24"/>
          <w:lang w:val="en-GB"/>
        </w:rPr>
        <w:t>sialoglycoprotein</w:t>
      </w:r>
      <w:proofErr w:type="spellEnd"/>
      <w:r w:rsidRPr="00B751AA">
        <w:rPr>
          <w:rFonts w:ascii="Book Antiqua" w:hAnsi="Book Antiqua" w:cs="Arial"/>
          <w:color w:val="000000" w:themeColor="text1"/>
          <w:sz w:val="24"/>
          <w:szCs w:val="24"/>
          <w:lang w:val="en-GB"/>
        </w:rPr>
        <w:t xml:space="preserve">. Paraffin embedded endoscopic biopsies and surgical specimens have been </w:t>
      </w:r>
      <w:proofErr w:type="spellStart"/>
      <w:r w:rsidRPr="00B751AA">
        <w:rPr>
          <w:rFonts w:ascii="Book Antiqua" w:hAnsi="Book Antiqua" w:cs="Arial"/>
          <w:color w:val="000000" w:themeColor="text1"/>
          <w:sz w:val="24"/>
          <w:szCs w:val="24"/>
          <w:lang w:val="en-GB"/>
        </w:rPr>
        <w:t>analyzed</w:t>
      </w:r>
      <w:proofErr w:type="spellEnd"/>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Five</w:t>
      </w:r>
      <w:r w:rsidRPr="00B751AA">
        <w:rPr>
          <w:rFonts w:ascii="Book Antiqua" w:hAnsi="Book Antiqua" w:cs="Arial"/>
          <w:color w:val="000000" w:themeColor="text1"/>
          <w:sz w:val="24"/>
          <w:szCs w:val="24"/>
          <w:lang w:val="en-GB"/>
        </w:rPr>
        <w:t xml:space="preserve"> µm sections were cut and deparaffinized according to standard histological techniques. A </w:t>
      </w:r>
      <w:r w:rsidR="00DF0C2A" w:rsidRPr="00B751AA">
        <w:rPr>
          <w:rFonts w:ascii="Book Antiqua" w:hAnsi="Book Antiqua" w:cs="Arial"/>
          <w:color w:val="000000" w:themeColor="text1"/>
          <w:sz w:val="24"/>
          <w:szCs w:val="24"/>
          <w:lang w:val="en-GB"/>
        </w:rPr>
        <w:t>high sensitivity</w:t>
      </w:r>
      <w:r w:rsidRPr="00B751AA">
        <w:rPr>
          <w:rFonts w:ascii="Book Antiqua" w:hAnsi="Book Antiqua" w:cs="Arial"/>
          <w:color w:val="000000" w:themeColor="text1"/>
          <w:sz w:val="24"/>
          <w:szCs w:val="24"/>
          <w:lang w:val="en-GB"/>
        </w:rPr>
        <w:t xml:space="preserve"> immunohistochemical staining was performed applying </w:t>
      </w:r>
      <w:proofErr w:type="spellStart"/>
      <w:r w:rsidRPr="00B751AA">
        <w:rPr>
          <w:rFonts w:ascii="Book Antiqua" w:hAnsi="Book Antiqua" w:cs="Arial"/>
          <w:color w:val="000000" w:themeColor="text1"/>
          <w:sz w:val="24"/>
          <w:szCs w:val="24"/>
          <w:lang w:val="en-GB"/>
        </w:rPr>
        <w:t>Dako</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EnVision</w:t>
      </w:r>
      <w:proofErr w:type="spellEnd"/>
      <w:r w:rsidRPr="00B751AA">
        <w:rPr>
          <w:rFonts w:ascii="Book Antiqua" w:hAnsi="Book Antiqua" w:cs="Arial"/>
          <w:color w:val="000000" w:themeColor="text1"/>
          <w:sz w:val="24"/>
          <w:szCs w:val="24"/>
          <w:lang w:val="en-GB"/>
        </w:rPr>
        <w:t xml:space="preserve"> System (</w:t>
      </w:r>
      <w:proofErr w:type="spellStart"/>
      <w:r w:rsidRPr="00B751AA">
        <w:rPr>
          <w:rFonts w:ascii="Book Antiqua" w:hAnsi="Book Antiqua" w:cs="Arial"/>
          <w:color w:val="000000" w:themeColor="text1"/>
          <w:sz w:val="24"/>
          <w:szCs w:val="24"/>
          <w:lang w:val="en-GB"/>
        </w:rPr>
        <w:t>DakoCytomation</w:t>
      </w:r>
      <w:proofErr w:type="spellEnd"/>
      <w:r w:rsidRPr="00B751AA">
        <w:rPr>
          <w:rFonts w:ascii="Book Antiqua" w:hAnsi="Book Antiqua" w:cs="Arial"/>
          <w:color w:val="000000" w:themeColor="text1"/>
          <w:sz w:val="24"/>
          <w:szCs w:val="24"/>
          <w:lang w:val="en-GB"/>
        </w:rPr>
        <w:t xml:space="preserve">, Hamburg,) following the manufacturer’s instructions. In brief, sections were covered with citrate buffer (pH 6.0) for antigen retrieval. Endogenous peroxidase was blocked by 0.3% hydrogen peroxide for 20 min. Sections were covered by 100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mouse monoclonal D2-40 primary antibody (D2-40 mouse monoclonal antibody, Lot.Nr:10066658; </w:t>
      </w:r>
      <w:proofErr w:type="spellStart"/>
      <w:r w:rsidRPr="00B751AA">
        <w:rPr>
          <w:rFonts w:ascii="Book Antiqua" w:hAnsi="Book Antiqua" w:cs="Arial"/>
          <w:color w:val="000000" w:themeColor="text1"/>
          <w:sz w:val="24"/>
          <w:szCs w:val="24"/>
          <w:lang w:val="en-GB"/>
        </w:rPr>
        <w:t>DakoCytomation</w:t>
      </w:r>
      <w:proofErr w:type="spellEnd"/>
      <w:r w:rsidRPr="00B751AA">
        <w:rPr>
          <w:rFonts w:ascii="Book Antiqua" w:hAnsi="Book Antiqua" w:cs="Arial"/>
          <w:color w:val="000000" w:themeColor="text1"/>
          <w:sz w:val="24"/>
          <w:szCs w:val="24"/>
          <w:lang w:val="en-GB"/>
        </w:rPr>
        <w:t>, Hamburg) at a dilution of 1:100 and incubated at 4</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°C overnight. The nuclei have been counterstained with </w:t>
      </w:r>
      <w:proofErr w:type="spellStart"/>
      <w:r w:rsidRPr="00B751AA">
        <w:rPr>
          <w:rFonts w:ascii="Book Antiqua" w:hAnsi="Book Antiqua" w:cs="Arial"/>
          <w:color w:val="000000" w:themeColor="text1"/>
          <w:sz w:val="24"/>
          <w:szCs w:val="24"/>
          <w:lang w:val="en-GB"/>
        </w:rPr>
        <w:t>hematoxylin</w:t>
      </w:r>
      <w:proofErr w:type="spellEnd"/>
      <w:r w:rsidRPr="00B751AA">
        <w:rPr>
          <w:rFonts w:ascii="Book Antiqua" w:hAnsi="Book Antiqua" w:cs="Arial"/>
          <w:color w:val="000000" w:themeColor="text1"/>
          <w:sz w:val="24"/>
          <w:szCs w:val="24"/>
          <w:lang w:val="en-GB"/>
        </w:rPr>
        <w:t xml:space="preserve">. The staining procedure without a primary antibody was used as a negative control. For quantification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expresson</w:t>
      </w:r>
      <w:proofErr w:type="spellEnd"/>
      <w:r w:rsidRPr="00B751AA">
        <w:rPr>
          <w:rFonts w:ascii="Book Antiqua" w:hAnsi="Book Antiqua" w:cs="Arial"/>
          <w:color w:val="000000" w:themeColor="text1"/>
          <w:sz w:val="24"/>
          <w:szCs w:val="24"/>
          <w:lang w:val="en-GB"/>
        </w:rPr>
        <w:t xml:space="preserve"> a scoring system was </w:t>
      </w:r>
      <w:r w:rsidRPr="00B751AA">
        <w:rPr>
          <w:rFonts w:ascii="Book Antiqua" w:hAnsi="Book Antiqua" w:cs="Arial"/>
          <w:color w:val="000000" w:themeColor="text1"/>
          <w:sz w:val="24"/>
          <w:szCs w:val="24"/>
          <w:lang w:val="en-GB"/>
        </w:rPr>
        <w:lastRenderedPageBreak/>
        <w:t xml:space="preserve">applied by a pathologist. Score 1: 0-5%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cells stained by D2-40 </w:t>
      </w:r>
      <w:proofErr w:type="spellStart"/>
      <w:r w:rsidRPr="00B751AA">
        <w:rPr>
          <w:rFonts w:ascii="Book Antiqua" w:hAnsi="Book Antiqua" w:cs="Arial"/>
          <w:color w:val="000000" w:themeColor="text1"/>
          <w:sz w:val="24"/>
          <w:szCs w:val="24"/>
          <w:lang w:val="en-GB"/>
        </w:rPr>
        <w:t>mab</w:t>
      </w:r>
      <w:proofErr w:type="spellEnd"/>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2: 6</w:t>
      </w:r>
      <w:r w:rsidR="00E62BE4"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-35% of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cells stained</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3: 36</w:t>
      </w:r>
      <w:r w:rsidR="00E62BE4"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-65%</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4: &gt;</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65%.</w:t>
      </w:r>
    </w:p>
    <w:p w14:paraId="5E2DDED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20CC02D4"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miRNA isolation from paraffin-embedded tissue</w:t>
      </w:r>
    </w:p>
    <w:p w14:paraId="4D95557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Paraffin embedded resection specimen of EAC and ESCC have been selected from the Institute of Pathology, University Hospital of Cologne, Germany. Tissues were fixed in 10% buffered formalin prior to embedding in paraffin. Histological sections of 5-μm thickness were cut from each tissue block using a microtome. About 60 </w:t>
      </w:r>
      <w:proofErr w:type="spellStart"/>
      <w:r w:rsidR="00DF0C2A" w:rsidRPr="00B751AA">
        <w:rPr>
          <w:rFonts w:ascii="Book Antiqua" w:hAnsi="Book Antiqua" w:cs="Arial"/>
          <w:color w:val="000000" w:themeColor="text1"/>
          <w:sz w:val="24"/>
          <w:szCs w:val="24"/>
          <w:lang w:val="en-GB"/>
        </w:rPr>
        <w:t>μ</w:t>
      </w:r>
      <w:r w:rsidRPr="00B751AA">
        <w:rPr>
          <w:rFonts w:ascii="Book Antiqua" w:hAnsi="Book Antiqua" w:cs="Arial"/>
          <w:color w:val="000000" w:themeColor="text1"/>
          <w:sz w:val="24"/>
          <w:szCs w:val="24"/>
          <w:lang w:val="en-GB"/>
        </w:rPr>
        <w:t>m</w:t>
      </w:r>
      <w:proofErr w:type="spellEnd"/>
      <w:r w:rsidRPr="00B751AA">
        <w:rPr>
          <w:rFonts w:ascii="Book Antiqua" w:hAnsi="Book Antiqua" w:cs="Arial"/>
          <w:color w:val="000000" w:themeColor="text1"/>
          <w:sz w:val="24"/>
          <w:szCs w:val="24"/>
          <w:lang w:val="en-GB"/>
        </w:rPr>
        <w:t xml:space="preserve"> tissues per patient have been applied for total RNA extraction after </w:t>
      </w:r>
      <w:proofErr w:type="spellStart"/>
      <w:r w:rsidRPr="00B751AA">
        <w:rPr>
          <w:rFonts w:ascii="Book Antiqua" w:hAnsi="Book Antiqua" w:cs="Arial"/>
          <w:color w:val="000000" w:themeColor="text1"/>
          <w:sz w:val="24"/>
          <w:szCs w:val="24"/>
          <w:lang w:val="en-GB"/>
        </w:rPr>
        <w:t>macrodissection</w:t>
      </w:r>
      <w:proofErr w:type="spellEnd"/>
      <w:r w:rsidRPr="00B751AA">
        <w:rPr>
          <w:rFonts w:ascii="Book Antiqua" w:hAnsi="Book Antiqua" w:cs="Arial"/>
          <w:color w:val="000000" w:themeColor="text1"/>
          <w:sz w:val="24"/>
          <w:szCs w:val="24"/>
          <w:lang w:val="en-GB"/>
        </w:rPr>
        <w:t xml:space="preserve"> of the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area and purified by </w:t>
      </w:r>
      <w:proofErr w:type="spellStart"/>
      <w:r w:rsidR="00DF0C2A" w:rsidRPr="00B751AA">
        <w:rPr>
          <w:rFonts w:ascii="Book Antiqua" w:hAnsi="Book Antiqua" w:cs="Arial"/>
          <w:color w:val="000000" w:themeColor="text1"/>
          <w:sz w:val="24"/>
          <w:szCs w:val="24"/>
          <w:lang w:val="en-GB"/>
        </w:rPr>
        <w:t>m</w:t>
      </w:r>
      <w:r w:rsidRPr="00B751AA">
        <w:rPr>
          <w:rFonts w:ascii="Book Antiqua" w:hAnsi="Book Antiqua" w:cs="Arial"/>
          <w:color w:val="000000" w:themeColor="text1"/>
          <w:sz w:val="24"/>
          <w:szCs w:val="24"/>
          <w:lang w:val="en-GB"/>
        </w:rPr>
        <w:t>iRNeasy</w:t>
      </w:r>
      <w:proofErr w:type="spellEnd"/>
      <w:r w:rsidRPr="00B751AA">
        <w:rPr>
          <w:rFonts w:ascii="Book Antiqua" w:hAnsi="Book Antiqua" w:cs="Arial"/>
          <w:color w:val="000000" w:themeColor="text1"/>
          <w:sz w:val="24"/>
          <w:szCs w:val="24"/>
          <w:lang w:val="en-GB"/>
        </w:rPr>
        <w:t xml:space="preserve"> FFPE kit (</w:t>
      </w:r>
      <w:proofErr w:type="spellStart"/>
      <w:r w:rsidRPr="00B751AA">
        <w:rPr>
          <w:rFonts w:ascii="Book Antiqua" w:hAnsi="Book Antiqua" w:cs="Arial"/>
          <w:color w:val="000000" w:themeColor="text1"/>
          <w:sz w:val="24"/>
          <w:szCs w:val="24"/>
          <w:lang w:val="en-GB"/>
        </w:rPr>
        <w:t>Qiagen</w:t>
      </w:r>
      <w:proofErr w:type="spellEnd"/>
      <w:r w:rsidRPr="00B751AA">
        <w:rPr>
          <w:rFonts w:ascii="Book Antiqua" w:hAnsi="Book Antiqua" w:cs="Arial"/>
          <w:color w:val="000000" w:themeColor="text1"/>
          <w:sz w:val="24"/>
          <w:szCs w:val="24"/>
          <w:lang w:val="en-GB"/>
        </w:rPr>
        <w:t xml:space="preserve">, Hilden), according to the protocol of the manufacturer. Samples have been lysed by Proteinase-K and treated with DNase-I. Concentrated RNA was purified using RNeasy </w:t>
      </w:r>
      <w:proofErr w:type="spellStart"/>
      <w:r w:rsidRPr="00B751AA">
        <w:rPr>
          <w:rFonts w:ascii="Book Antiqua" w:hAnsi="Book Antiqua" w:cs="Arial"/>
          <w:color w:val="000000" w:themeColor="text1"/>
          <w:sz w:val="24"/>
          <w:szCs w:val="24"/>
          <w:lang w:val="en-GB"/>
        </w:rPr>
        <w:t>MinElute</w:t>
      </w:r>
      <w:proofErr w:type="spellEnd"/>
      <w:r w:rsidRPr="00B751AA">
        <w:rPr>
          <w:rFonts w:ascii="Book Antiqua" w:hAnsi="Book Antiqua" w:cs="Arial"/>
          <w:color w:val="000000" w:themeColor="text1"/>
          <w:sz w:val="24"/>
          <w:szCs w:val="24"/>
          <w:lang w:val="en-GB"/>
        </w:rPr>
        <w:t xml:space="preserve"> spin columns and eluted by 12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of nuclease-free H</w:t>
      </w:r>
      <w:r w:rsidRPr="00B751AA">
        <w:rPr>
          <w:rFonts w:ascii="Book Antiqua" w:hAnsi="Book Antiqua" w:cs="Arial"/>
          <w:color w:val="000000" w:themeColor="text1"/>
          <w:sz w:val="24"/>
          <w:szCs w:val="24"/>
          <w:vertAlign w:val="subscript"/>
          <w:lang w:val="en-GB"/>
        </w:rPr>
        <w:t>2</w:t>
      </w:r>
      <w:r w:rsidRPr="00B751AA">
        <w:rPr>
          <w:rFonts w:ascii="Book Antiqua" w:hAnsi="Book Antiqua" w:cs="Arial"/>
          <w:color w:val="000000" w:themeColor="text1"/>
          <w:sz w:val="24"/>
          <w:szCs w:val="24"/>
          <w:lang w:val="en-GB"/>
        </w:rPr>
        <w:t>O.</w:t>
      </w:r>
    </w:p>
    <w:p w14:paraId="74FD410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32B562BF"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 xml:space="preserve">miRNA reverse transcription and real-time PCR quantification </w:t>
      </w:r>
    </w:p>
    <w:p w14:paraId="7399F6C0"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Reverse transcription of miR-363 from total RNA was performed using miR-363 specific reverse primer Assay-ID hsa-miR-363 001271 and TaqMan MicroRNA reverse transcription kit, Thermo Fisher Scientific, Darmstadt.</w:t>
      </w:r>
    </w:p>
    <w:p w14:paraId="749C1AE2"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i/>
          <w:color w:val="000000" w:themeColor="text1"/>
          <w:sz w:val="24"/>
          <w:szCs w:val="24"/>
          <w:shd w:val="clear" w:color="auto" w:fill="FFFFFF"/>
          <w:lang w:val="en-GB"/>
        </w:rPr>
      </w:pPr>
      <w:r w:rsidRPr="00B751AA">
        <w:rPr>
          <w:rFonts w:ascii="Book Antiqua" w:hAnsi="Book Antiqua" w:cs="Arial"/>
          <w:color w:val="000000" w:themeColor="text1"/>
          <w:sz w:val="24"/>
          <w:szCs w:val="24"/>
          <w:lang w:val="en-GB"/>
        </w:rPr>
        <w:t xml:space="preserve">Quantification has been performed by TaqMan7900HT </w:t>
      </w:r>
      <w:r w:rsidR="00DF0C2A" w:rsidRPr="00B751AA">
        <w:rPr>
          <w:rFonts w:ascii="Book Antiqua" w:hAnsi="Book Antiqua" w:cs="Arial"/>
          <w:color w:val="000000" w:themeColor="text1"/>
          <w:sz w:val="24"/>
          <w:szCs w:val="24"/>
          <w:lang w:val="en-GB"/>
        </w:rPr>
        <w:t>real-time</w:t>
      </w:r>
      <w:r w:rsidRPr="00B751AA">
        <w:rPr>
          <w:rFonts w:ascii="Book Antiqua" w:hAnsi="Book Antiqua" w:cs="Arial"/>
          <w:color w:val="000000" w:themeColor="text1"/>
          <w:sz w:val="24"/>
          <w:szCs w:val="24"/>
          <w:lang w:val="en-GB"/>
        </w:rPr>
        <w:t xml:space="preserve"> PCR system Thermo Fisher Scientific, Darmstadt, RNU6 was used as a calibrator. The 15 </w:t>
      </w:r>
      <w:r w:rsidRPr="00B751AA">
        <w:rPr>
          <w:rFonts w:ascii="Times New Roman"/>
          <w:color w:val="000000" w:themeColor="text1"/>
          <w:sz w:val="24"/>
          <w:szCs w:val="24"/>
          <w:lang w:val="en-GB"/>
        </w:rPr>
        <w:t> </w:t>
      </w:r>
      <w:proofErr w:type="spellStart"/>
      <w:r w:rsidRPr="00B751AA">
        <w:rPr>
          <w:rFonts w:ascii="Book Antiqua" w:hAnsi="Book Antiqua" w:cs="Book Antiqua"/>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RT-reaction included 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RNA, 3 </w:t>
      </w:r>
      <w:proofErr w:type="spellStart"/>
      <w:r w:rsidR="00DF0C2A" w:rsidRPr="00B751AA">
        <w:rPr>
          <w:rFonts w:ascii="Book Antiqua" w:hAnsi="Book Antiqua" w:cs="Arial"/>
          <w:color w:val="000000" w:themeColor="text1"/>
          <w:sz w:val="24"/>
          <w:szCs w:val="24"/>
          <w:lang w:val="en-GB"/>
        </w:rPr>
        <w:t>μL</w:t>
      </w:r>
      <w:proofErr w:type="spellEnd"/>
      <w:r w:rsidRPr="00B751AA">
        <w:rPr>
          <w:rFonts w:ascii="Book Antiqua" w:hAnsi="Book Antiqua" w:cs="Arial"/>
          <w:color w:val="000000" w:themeColor="text1"/>
          <w:sz w:val="24"/>
          <w:szCs w:val="24"/>
          <w:lang w:val="en-GB"/>
        </w:rPr>
        <w:t xml:space="preserve"> reverse primer, 1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MultiScribe</w:t>
      </w:r>
      <w:proofErr w:type="spellEnd"/>
      <w:r w:rsidRPr="00B751AA">
        <w:rPr>
          <w:rFonts w:ascii="Book Antiqua" w:hAnsi="Book Antiqua" w:cs="Arial"/>
          <w:color w:val="000000" w:themeColor="text1"/>
          <w:sz w:val="24"/>
          <w:szCs w:val="24"/>
          <w:lang w:val="en-GB"/>
        </w:rPr>
        <w:t xml:space="preserve">™ Reverse Transcriptase, 0.15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dNTP mixture, 0.19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RNase inhibitor, 1.5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RT-buffer, 4.16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nuclease-free H</w:t>
      </w:r>
      <w:r w:rsidRPr="00B751AA">
        <w:rPr>
          <w:rFonts w:ascii="Book Antiqua" w:hAnsi="Book Antiqua" w:cs="Arial"/>
          <w:color w:val="000000" w:themeColor="text1"/>
          <w:sz w:val="24"/>
          <w:szCs w:val="24"/>
          <w:vertAlign w:val="subscript"/>
          <w:lang w:val="en-GB"/>
        </w:rPr>
        <w:t>2</w:t>
      </w:r>
      <w:r w:rsidRPr="00B751AA">
        <w:rPr>
          <w:rFonts w:ascii="Book Antiqua" w:hAnsi="Book Antiqua" w:cs="Arial"/>
          <w:color w:val="000000" w:themeColor="text1"/>
          <w:sz w:val="24"/>
          <w:szCs w:val="24"/>
          <w:lang w:val="en-GB"/>
        </w:rPr>
        <w:t>O: 2 min 50</w:t>
      </w:r>
      <w:r w:rsidR="00DF0C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°C, 10</w:t>
      </w:r>
      <w:r w:rsidRPr="00B751AA">
        <w:rPr>
          <w:rFonts w:ascii="Times New Roman"/>
          <w:color w:val="000000" w:themeColor="text1"/>
          <w:sz w:val="24"/>
          <w:szCs w:val="24"/>
          <w:lang w:val="en-GB"/>
        </w:rPr>
        <w:t> </w:t>
      </w:r>
      <w:r w:rsidRPr="00B751AA">
        <w:rPr>
          <w:rFonts w:ascii="Book Antiqua" w:hAnsi="Book Antiqua" w:cs="Arial"/>
          <w:color w:val="000000" w:themeColor="text1"/>
          <w:sz w:val="24"/>
          <w:szCs w:val="24"/>
          <w:lang w:val="en-GB"/>
        </w:rPr>
        <w:t>min 95</w:t>
      </w:r>
      <w:r w:rsidR="00DF0C2A" w:rsidRPr="00B751AA">
        <w:rPr>
          <w:rFonts w:ascii="Book Antiqua" w:hAnsi="Book Antiqua"/>
          <w:color w:val="000000" w:themeColor="text1"/>
          <w:sz w:val="24"/>
          <w:szCs w:val="24"/>
          <w:lang w:val="en-GB"/>
        </w:rPr>
        <w:t xml:space="preserve">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15</w:t>
      </w:r>
      <w:r w:rsidRPr="00B751AA">
        <w:rPr>
          <w:rFonts w:ascii="Times New Roman"/>
          <w:color w:val="000000" w:themeColor="text1"/>
          <w:sz w:val="24"/>
          <w:szCs w:val="24"/>
          <w:lang w:val="en-GB"/>
        </w:rPr>
        <w:t> </w:t>
      </w:r>
      <w:r w:rsidRPr="00B751AA">
        <w:rPr>
          <w:rFonts w:ascii="Book Antiqua" w:hAnsi="Book Antiqua" w:cs="Arial"/>
          <w:color w:val="000000" w:themeColor="text1"/>
          <w:sz w:val="24"/>
          <w:szCs w:val="24"/>
          <w:lang w:val="en-GB"/>
        </w:rPr>
        <w:t>s 95</w:t>
      </w:r>
      <w:r w:rsidRPr="00B751AA">
        <w:rPr>
          <w:rFonts w:ascii="Times New Roman"/>
          <w:color w:val="000000" w:themeColor="text1"/>
          <w:sz w:val="24"/>
          <w:szCs w:val="24"/>
          <w:lang w:val="en-GB"/>
        </w:rPr>
        <w:t>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and 1 min 60</w:t>
      </w:r>
      <w:r w:rsidRPr="00B751AA">
        <w:rPr>
          <w:rFonts w:ascii="Times New Roman"/>
          <w:color w:val="000000" w:themeColor="text1"/>
          <w:sz w:val="24"/>
          <w:szCs w:val="24"/>
          <w:lang w:val="en-GB"/>
        </w:rPr>
        <w:t>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TaqMan PCR analysis provided relative quantification of miR-363 expression related to expression of snoU6 as an endogenous control.</w:t>
      </w:r>
    </w:p>
    <w:p w14:paraId="23C0491D" w14:textId="77777777" w:rsidR="00FE6179" w:rsidRPr="00B751AA" w:rsidRDefault="00FE6179" w:rsidP="00B751AA">
      <w:pPr>
        <w:adjustRightInd w:val="0"/>
        <w:snapToGrid w:val="0"/>
        <w:spacing w:after="0" w:line="360" w:lineRule="auto"/>
        <w:jc w:val="both"/>
        <w:rPr>
          <w:rFonts w:ascii="Book Antiqua" w:hAnsi="Book Antiqua" w:cs="Arial"/>
          <w:i/>
          <w:color w:val="000000" w:themeColor="text1"/>
          <w:sz w:val="24"/>
          <w:szCs w:val="24"/>
          <w:shd w:val="clear" w:color="auto" w:fill="FFFFFF"/>
          <w:lang w:val="en-GB"/>
        </w:rPr>
      </w:pPr>
    </w:p>
    <w:p w14:paraId="22C19E80"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 xml:space="preserve">Statistical analysis </w:t>
      </w:r>
    </w:p>
    <w:p w14:paraId="78EA5A7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Fisher's</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exact</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test or Chi-Square test have been used to evaluate the correlation between scored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and histological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lastRenderedPageBreak/>
        <w:t xml:space="preserve">category (ESCC </w:t>
      </w:r>
      <w:r w:rsidRPr="00B751AA">
        <w:rPr>
          <w:rFonts w:ascii="Book Antiqua" w:hAnsi="Book Antiqua" w:cs="Arial"/>
          <w:i/>
          <w:iCs/>
          <w:color w:val="000000" w:themeColor="text1"/>
          <w:sz w:val="24"/>
          <w:szCs w:val="24"/>
          <w:lang w:val="en-GB"/>
        </w:rPr>
        <w:t>vs</w:t>
      </w:r>
      <w:r w:rsidRPr="00B751AA">
        <w:rPr>
          <w:rFonts w:ascii="Book Antiqua" w:hAnsi="Book Antiqua" w:cs="Arial"/>
          <w:color w:val="000000" w:themeColor="text1"/>
          <w:sz w:val="24"/>
          <w:szCs w:val="24"/>
          <w:lang w:val="en-GB"/>
        </w:rPr>
        <w:t xml:space="preserve"> EAC). Significance of correlation between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and </w:t>
      </w:r>
      <w:proofErr w:type="spellStart"/>
      <w:r w:rsidRPr="00B751AA">
        <w:rPr>
          <w:rFonts w:ascii="Book Antiqua" w:hAnsi="Book Antiqua" w:cs="Arial"/>
          <w:color w:val="000000" w:themeColor="text1"/>
          <w:sz w:val="24"/>
          <w:szCs w:val="24"/>
          <w:lang w:val="en-GB"/>
        </w:rPr>
        <w:t>clinicopathological</w:t>
      </w:r>
      <w:proofErr w:type="spellEnd"/>
      <w:r w:rsidRPr="00B751AA">
        <w:rPr>
          <w:rFonts w:ascii="Book Antiqua" w:hAnsi="Book Antiqua" w:cs="Arial"/>
          <w:color w:val="000000" w:themeColor="text1"/>
          <w:sz w:val="24"/>
          <w:szCs w:val="24"/>
          <w:lang w:val="en-GB"/>
        </w:rPr>
        <w:t xml:space="preserve"> characteristics (</w:t>
      </w:r>
      <w:proofErr w:type="spellStart"/>
      <w:r w:rsidRPr="00B751AA">
        <w:rPr>
          <w:rFonts w:ascii="Book Antiqua" w:hAnsi="Book Antiqua" w:cs="Arial"/>
          <w:color w:val="000000" w:themeColor="text1"/>
          <w:sz w:val="24"/>
          <w:szCs w:val="24"/>
          <w:lang w:val="en-GB"/>
        </w:rPr>
        <w:t>pTNM</w:t>
      </w:r>
      <w:proofErr w:type="spellEnd"/>
      <w:r w:rsidRPr="00B751AA">
        <w:rPr>
          <w:rFonts w:ascii="Book Antiqua" w:hAnsi="Book Antiqua" w:cs="Arial"/>
          <w:color w:val="000000" w:themeColor="text1"/>
          <w:sz w:val="24"/>
          <w:szCs w:val="24"/>
          <w:lang w:val="en-GB"/>
        </w:rPr>
        <w:t xml:space="preserve">-category), or different therapies was determined. Categorial data of paired samples has been compared by </w:t>
      </w:r>
      <w:proofErr w:type="spellStart"/>
      <w:r w:rsidRPr="00B751AA">
        <w:rPr>
          <w:rFonts w:ascii="Book Antiqua" w:hAnsi="Book Antiqua" w:cs="Arial"/>
          <w:color w:val="000000" w:themeColor="text1"/>
          <w:sz w:val="24"/>
          <w:szCs w:val="24"/>
          <w:lang w:val="en-GB"/>
        </w:rPr>
        <w:t>McNemer</w:t>
      </w:r>
      <w:proofErr w:type="spellEnd"/>
      <w:r w:rsidRPr="00B751AA">
        <w:rPr>
          <w:rFonts w:ascii="Book Antiqua" w:hAnsi="Book Antiqua" w:cs="Arial"/>
          <w:color w:val="000000" w:themeColor="text1"/>
          <w:sz w:val="24"/>
          <w:szCs w:val="24"/>
          <w:lang w:val="en-GB"/>
        </w:rPr>
        <w:t xml:space="preserve"> test. Survival curves based on post-therapeutic </w:t>
      </w:r>
      <w:proofErr w:type="spellStart"/>
      <w:r w:rsidRPr="00B751AA">
        <w:rPr>
          <w:rFonts w:ascii="Book Antiqua" w:hAnsi="Book Antiqua" w:cs="Arial"/>
          <w:color w:val="000000" w:themeColor="text1"/>
          <w:sz w:val="24"/>
          <w:szCs w:val="24"/>
          <w:lang w:val="en-GB"/>
        </w:rPr>
        <w:t>popdoplanin</w:t>
      </w:r>
      <w:proofErr w:type="spellEnd"/>
      <w:r w:rsidRPr="00B751AA">
        <w:rPr>
          <w:rFonts w:ascii="Book Antiqua" w:hAnsi="Book Antiqua" w:cs="Arial"/>
          <w:color w:val="000000" w:themeColor="text1"/>
          <w:sz w:val="24"/>
          <w:szCs w:val="24"/>
          <w:lang w:val="en-GB"/>
        </w:rPr>
        <w:t xml:space="preserve">-expression in ESCC have been estimated according to Kaplan-Meier </w:t>
      </w:r>
      <w:r w:rsidRPr="00B751AA">
        <w:rPr>
          <w:rFonts w:ascii="Book Antiqua" w:hAnsi="Book Antiqua" w:cs="Arial"/>
          <w:color w:val="000000" w:themeColor="text1"/>
          <w:sz w:val="24"/>
          <w:szCs w:val="24"/>
        </w:rPr>
        <w:t>and compared with</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the</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Log-Rank test.</w:t>
      </w:r>
      <w:r w:rsidRPr="00B751AA">
        <w:rPr>
          <w:rFonts w:ascii="Book Antiqua" w:hAnsi="Book Antiqua" w:cs="Arial"/>
          <w:color w:val="000000" w:themeColor="text1"/>
          <w:sz w:val="24"/>
          <w:szCs w:val="24"/>
          <w:lang w:val="en-GB"/>
        </w:rPr>
        <w:t xml:space="preserve"> </w:t>
      </w:r>
    </w:p>
    <w:p w14:paraId="519E138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TaqMan PCR</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analysis</w:t>
      </w:r>
      <w:r w:rsidRPr="00B751AA">
        <w:rPr>
          <w:rFonts w:ascii="Book Antiqua" w:hAnsi="Book Antiqua" w:cs="Arial"/>
          <w:color w:val="000000" w:themeColor="text1"/>
          <w:sz w:val="24"/>
          <w:szCs w:val="24"/>
        </w:rPr>
        <w:t xml:space="preserve"> provided relative quantification of miR-363</w:t>
      </w:r>
      <w:r w:rsidRPr="00B751AA">
        <w:rPr>
          <w:rFonts w:ascii="Book Antiqua" w:hAnsi="Book Antiqua" w:cs="Arial"/>
          <w:color w:val="000000" w:themeColor="text1"/>
          <w:sz w:val="24"/>
          <w:szCs w:val="24"/>
          <w:lang w:val="en-GB"/>
        </w:rPr>
        <w:t xml:space="preserve"> expression/expression of reference RNA snoU6. </w:t>
      </w:r>
      <w:r w:rsidR="00DF0C2A" w:rsidRPr="00B751AA">
        <w:rPr>
          <w:rFonts w:ascii="Book Antiqua" w:hAnsi="Book Antiqua" w:cs="Arial"/>
          <w:color w:val="000000" w:themeColor="text1"/>
          <w:sz w:val="24"/>
          <w:szCs w:val="24"/>
        </w:rPr>
        <w:t>Receiver operating characteristic</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curve analysis has been used to define an optimal cut-off value for miR-363 in relation to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t>
      </w:r>
      <w:r w:rsidRPr="00B751AA">
        <w:rPr>
          <w:rFonts w:ascii="Book Antiqua" w:hAnsi="Book Antiqua" w:cs="Arial"/>
          <w:color w:val="000000" w:themeColor="text1"/>
          <w:sz w:val="24"/>
          <w:szCs w:val="24"/>
          <w:lang w:val="en-GB"/>
        </w:rPr>
        <w:t xml:space="preserve">Statistical calculations of prognosis were performed using </w:t>
      </w:r>
      <w:proofErr w:type="spellStart"/>
      <w:r w:rsidRPr="00B751AA">
        <w:rPr>
          <w:rFonts w:ascii="Book Antiqua" w:hAnsi="Book Antiqua" w:cs="Arial"/>
          <w:color w:val="000000" w:themeColor="text1"/>
          <w:sz w:val="24"/>
          <w:szCs w:val="24"/>
          <w:lang w:val="en-GB"/>
        </w:rPr>
        <w:t>MedCalc</w:t>
      </w:r>
      <w:proofErr w:type="spellEnd"/>
      <w:r w:rsidRPr="00B751AA">
        <w:rPr>
          <w:rFonts w:ascii="Book Antiqua" w:hAnsi="Book Antiqua" w:cs="Arial"/>
          <w:color w:val="000000" w:themeColor="text1"/>
          <w:sz w:val="24"/>
          <w:szCs w:val="24"/>
          <w:lang w:val="en-GB"/>
        </w:rPr>
        <w:t xml:space="preserve"> Statistical Software version 17.9.6 (</w:t>
      </w:r>
      <w:proofErr w:type="spellStart"/>
      <w:r w:rsidRPr="00B751AA">
        <w:rPr>
          <w:rFonts w:ascii="Book Antiqua" w:hAnsi="Book Antiqua" w:cs="Arial"/>
          <w:color w:val="000000" w:themeColor="text1"/>
          <w:sz w:val="24"/>
          <w:szCs w:val="24"/>
          <w:lang w:val="en-GB"/>
        </w:rPr>
        <w:t>MedCalc</w:t>
      </w:r>
      <w:proofErr w:type="spellEnd"/>
      <w:r w:rsidRPr="00B751AA">
        <w:rPr>
          <w:rFonts w:ascii="Book Antiqua" w:hAnsi="Book Antiqua" w:cs="Arial"/>
          <w:color w:val="000000" w:themeColor="text1"/>
          <w:sz w:val="24"/>
          <w:szCs w:val="24"/>
          <w:lang w:val="en-GB"/>
        </w:rPr>
        <w:t xml:space="preserve"> Software </w:t>
      </w:r>
      <w:proofErr w:type="spellStart"/>
      <w:r w:rsidRPr="00B751AA">
        <w:rPr>
          <w:rFonts w:ascii="Book Antiqua" w:hAnsi="Book Antiqua" w:cs="Arial"/>
          <w:color w:val="000000" w:themeColor="text1"/>
          <w:sz w:val="24"/>
          <w:szCs w:val="24"/>
          <w:lang w:val="en-GB"/>
        </w:rPr>
        <w:t>bvba</w:t>
      </w:r>
      <w:proofErr w:type="spellEnd"/>
      <w:r w:rsidRPr="00B751AA">
        <w:rPr>
          <w:rFonts w:ascii="Book Antiqua" w:hAnsi="Book Antiqua" w:cs="Arial"/>
          <w:color w:val="000000" w:themeColor="text1"/>
          <w:sz w:val="24"/>
          <w:szCs w:val="24"/>
          <w:lang w:val="en-GB"/>
        </w:rPr>
        <w:t>, Ostend, Belgium</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http://www.medcalc.org; 2017. Other statistical analyses were carried out using SPSS version 25 (Chicago, I</w:t>
      </w:r>
      <w:r w:rsidR="00DF0C2A" w:rsidRPr="00B751AA">
        <w:rPr>
          <w:rFonts w:ascii="Book Antiqua" w:hAnsi="Book Antiqua" w:cs="Arial"/>
          <w:color w:val="000000" w:themeColor="text1"/>
          <w:sz w:val="24"/>
          <w:szCs w:val="24"/>
          <w:lang w:val="en-GB"/>
        </w:rPr>
        <w:t>L</w:t>
      </w:r>
      <w:r w:rsidRPr="00B751AA">
        <w:rPr>
          <w:rFonts w:ascii="Book Antiqua" w:hAnsi="Book Antiqua" w:cs="Arial"/>
          <w:color w:val="000000" w:themeColor="text1"/>
          <w:sz w:val="24"/>
          <w:szCs w:val="24"/>
          <w:lang w:val="en-GB"/>
        </w:rPr>
        <w:t xml:space="preserve">, </w:t>
      </w:r>
      <w:r w:rsidR="00E62BE4" w:rsidRPr="00B751AA">
        <w:rPr>
          <w:rFonts w:ascii="Book Antiqua" w:hAnsi="Book Antiqua" w:cs="Arial"/>
          <w:color w:val="000000" w:themeColor="text1"/>
          <w:sz w:val="24"/>
          <w:szCs w:val="24"/>
          <w:lang w:val="en-GB"/>
        </w:rPr>
        <w:t>United States</w:t>
      </w:r>
      <w:r w:rsidRPr="00B751AA">
        <w:rPr>
          <w:rFonts w:ascii="Book Antiqua" w:hAnsi="Book Antiqua" w:cs="Arial"/>
          <w:color w:val="000000" w:themeColor="text1"/>
          <w:sz w:val="24"/>
          <w:szCs w:val="24"/>
          <w:lang w:val="en-GB"/>
        </w:rPr>
        <w:t>).</w:t>
      </w:r>
    </w:p>
    <w:p w14:paraId="3860CD3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74AE356F" w14:textId="77777777" w:rsidR="00E62BE4" w:rsidRPr="00B751AA" w:rsidRDefault="00E62BE4" w:rsidP="00B751AA">
      <w:pPr>
        <w:adjustRightInd w:val="0"/>
        <w:snapToGrid w:val="0"/>
        <w:spacing w:after="0" w:line="360" w:lineRule="auto"/>
        <w:jc w:val="both"/>
        <w:rPr>
          <w:rFonts w:ascii="Book Antiqua" w:hAnsi="Book Antiqua" w:cstheme="minorBidi"/>
          <w:b/>
          <w:sz w:val="24"/>
          <w:szCs w:val="24"/>
          <w:u w:val="single"/>
        </w:rPr>
      </w:pPr>
      <w:r w:rsidRPr="00B751AA">
        <w:rPr>
          <w:rFonts w:ascii="Book Antiqua" w:hAnsi="Book Antiqua" w:cstheme="minorBidi"/>
          <w:b/>
          <w:sz w:val="24"/>
          <w:szCs w:val="24"/>
          <w:u w:val="single"/>
        </w:rPr>
        <w:t>RESULTS</w:t>
      </w:r>
    </w:p>
    <w:p w14:paraId="5A44DDD5"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Podoplanin expression in ESCC and EAC patients</w:t>
      </w:r>
    </w:p>
    <w:p w14:paraId="1EFF0D9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Podoplanin staining of resected specimen derived from patients without preoperative chemoradiation revealed 56 of 57 EAC patients (98%) with none or nearly no protein expression (0-5%). 16 of 32 ESCC patients (50%) have been identified to express score 1 0-5% detectable protein. Comparision of podoplanin expression between ESCC and EAC, </w:t>
      </w:r>
      <w:r w:rsidR="00E62BE4" w:rsidRPr="00B751AA">
        <w:rPr>
          <w:rFonts w:ascii="Book Antiqua" w:hAnsi="Book Antiqua" w:cs="Arial"/>
          <w:i/>
          <w:iCs/>
          <w:color w:val="000000" w:themeColor="text1"/>
          <w:sz w:val="24"/>
          <w:szCs w:val="24"/>
          <w:lang w:val="fr-FR"/>
        </w:rPr>
        <w:t>P</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&lt;</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0.001 is depicted in Tab</w:t>
      </w:r>
      <w:r w:rsidR="00DF0C2A" w:rsidRPr="00B751AA">
        <w:rPr>
          <w:rFonts w:ascii="Book Antiqua" w:hAnsi="Book Antiqua" w:cs="Arial"/>
          <w:color w:val="000000" w:themeColor="text1"/>
          <w:sz w:val="24"/>
          <w:szCs w:val="24"/>
          <w:lang w:val="fr-FR"/>
        </w:rPr>
        <w:t xml:space="preserve">le </w:t>
      </w:r>
      <w:r w:rsidRPr="00B751AA">
        <w:rPr>
          <w:rFonts w:ascii="Book Antiqua" w:hAnsi="Book Antiqua" w:cs="Arial"/>
          <w:color w:val="000000" w:themeColor="text1"/>
          <w:sz w:val="24"/>
          <w:szCs w:val="24"/>
          <w:lang w:val="fr-FR"/>
        </w:rPr>
        <w:t>2.</w:t>
      </w:r>
    </w:p>
    <w:p w14:paraId="39BA4D0D"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Different expression levels of podoplanin have been stained in EAC and ESCC patients in both, resected tissues of patients with primary surgery and endoscopic biopsies. </w:t>
      </w:r>
      <w:r w:rsidR="00DF0C2A" w:rsidRPr="00B751AA">
        <w:rPr>
          <w:rFonts w:ascii="Book Antiqua" w:hAnsi="Book Antiqua" w:cs="Arial"/>
          <w:color w:val="000000" w:themeColor="text1"/>
          <w:sz w:val="24"/>
          <w:szCs w:val="24"/>
          <w:lang w:val="fr-FR"/>
        </w:rPr>
        <w:t>One hundred and four</w:t>
      </w:r>
      <w:r w:rsidRPr="00B751AA">
        <w:rPr>
          <w:rFonts w:ascii="Book Antiqua" w:hAnsi="Book Antiqua" w:cs="Arial"/>
          <w:color w:val="000000" w:themeColor="text1"/>
          <w:sz w:val="24"/>
          <w:szCs w:val="24"/>
          <w:lang w:val="fr-FR"/>
        </w:rPr>
        <w:t xml:space="preserve"> endoscopic biopsies of 46 EAC and 58 ESCC patients confirmed podoplanin expression in ESCC, and its absence in EAC. </w:t>
      </w:r>
      <w:r w:rsidR="00DF0C2A" w:rsidRPr="00B751AA">
        <w:rPr>
          <w:rFonts w:ascii="Book Antiqua" w:hAnsi="Book Antiqua" w:cs="Arial"/>
          <w:color w:val="000000" w:themeColor="text1"/>
          <w:sz w:val="24"/>
          <w:szCs w:val="24"/>
          <w:lang w:val="fr-FR"/>
        </w:rPr>
        <w:t>Fourty-four</w:t>
      </w:r>
      <w:r w:rsidRPr="00B751AA">
        <w:rPr>
          <w:rFonts w:ascii="Book Antiqua" w:hAnsi="Book Antiqua" w:cs="Arial"/>
          <w:color w:val="000000" w:themeColor="text1"/>
          <w:sz w:val="24"/>
          <w:szCs w:val="24"/>
          <w:lang w:val="fr-FR"/>
        </w:rPr>
        <w:t>/</w:t>
      </w:r>
      <w:r w:rsidR="00DF0C2A" w:rsidRPr="00B751AA">
        <w:rPr>
          <w:rFonts w:ascii="Book Antiqua" w:hAnsi="Book Antiqua" w:cs="Arial"/>
          <w:color w:val="000000" w:themeColor="text1"/>
          <w:sz w:val="24"/>
          <w:szCs w:val="24"/>
          <w:lang w:val="fr-FR"/>
        </w:rPr>
        <w:t>fourty-six</w:t>
      </w:r>
      <w:r w:rsidRPr="00B751AA">
        <w:rPr>
          <w:rFonts w:ascii="Book Antiqua" w:hAnsi="Book Antiqua" w:cs="Arial"/>
          <w:color w:val="000000" w:themeColor="text1"/>
          <w:sz w:val="24"/>
          <w:szCs w:val="24"/>
          <w:lang w:val="fr-FR"/>
        </w:rPr>
        <w:t xml:space="preserve"> EAC patients (96%) were scored for expression of 0-5% protein compared to 36 of 58 ESCC patients (63%), </w:t>
      </w:r>
      <w:r w:rsidR="00E62BE4" w:rsidRPr="00B751AA">
        <w:rPr>
          <w:rFonts w:ascii="Book Antiqua" w:hAnsi="Book Antiqua" w:cs="Arial"/>
          <w:i/>
          <w:iCs/>
          <w:color w:val="000000" w:themeColor="text1"/>
          <w:sz w:val="24"/>
          <w:szCs w:val="24"/>
          <w:lang w:val="fr-FR"/>
        </w:rPr>
        <w:t>P</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0.002, Tab</w:t>
      </w:r>
      <w:r w:rsidR="00DF0C2A" w:rsidRPr="00B751AA">
        <w:rPr>
          <w:rFonts w:ascii="Book Antiqua" w:hAnsi="Book Antiqua" w:cs="Arial"/>
          <w:color w:val="000000" w:themeColor="text1"/>
          <w:sz w:val="24"/>
          <w:szCs w:val="24"/>
          <w:lang w:val="fr-FR"/>
        </w:rPr>
        <w:t>le</w:t>
      </w:r>
      <w:r w:rsidRPr="00B751AA">
        <w:rPr>
          <w:rFonts w:ascii="Book Antiqua" w:hAnsi="Book Antiqua" w:cs="Arial"/>
          <w:color w:val="000000" w:themeColor="text1"/>
          <w:sz w:val="24"/>
          <w:szCs w:val="24"/>
          <w:lang w:val="fr-FR"/>
        </w:rPr>
        <w:t xml:space="preserve"> 2.</w:t>
      </w:r>
    </w:p>
    <w:p w14:paraId="3B2ABFB8"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kern w:val="1"/>
          <w:sz w:val="24"/>
          <w:szCs w:val="24"/>
          <w:lang w:val="fr-FR"/>
        </w:rPr>
      </w:pPr>
    </w:p>
    <w:p w14:paraId="7209C112"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lastRenderedPageBreak/>
        <w:t>Podoplanin, a marker for tumor progression?</w:t>
      </w:r>
    </w:p>
    <w:p w14:paraId="7B40B77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resected tissues of 32 ESCC patients without chemoradiation did not show any significant relation to </w:t>
      </w:r>
      <w:proofErr w:type="spellStart"/>
      <w:r w:rsidRPr="00B751AA">
        <w:rPr>
          <w:rFonts w:ascii="Book Antiqua" w:hAnsi="Book Antiqua" w:cs="Arial"/>
          <w:color w:val="000000" w:themeColor="text1"/>
          <w:sz w:val="24"/>
          <w:szCs w:val="24"/>
        </w:rPr>
        <w:t>pT</w:t>
      </w:r>
      <w:proofErr w:type="spellEnd"/>
      <w:r w:rsidRPr="00B751AA">
        <w:rPr>
          <w:rFonts w:ascii="Book Antiqua" w:hAnsi="Book Antiqua" w:cs="Arial"/>
          <w:color w:val="000000" w:themeColor="text1"/>
          <w:sz w:val="24"/>
          <w:szCs w:val="24"/>
        </w:rPr>
        <w:t>-category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0.085,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0.051 for pT2 to pT4) or lymph node metastases (</w:t>
      </w:r>
      <w:r w:rsidR="00E62BE4" w:rsidRPr="00B751AA">
        <w:rPr>
          <w:rFonts w:ascii="Book Antiqua" w:hAnsi="Book Antiqua" w:cs="Arial"/>
          <w:i/>
          <w:iCs/>
          <w:color w:val="000000" w:themeColor="text1"/>
          <w:sz w:val="24"/>
          <w:szCs w:val="24"/>
        </w:rPr>
        <w:t>P</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0.457), however, results are limited by the small number of patients in the subgroups (Tab</w:t>
      </w:r>
      <w:r w:rsidR="00E62BE4" w:rsidRPr="00B751AA">
        <w:rPr>
          <w:rFonts w:ascii="Book Antiqua" w:hAnsi="Book Antiqua" w:cs="Arial"/>
          <w:color w:val="000000" w:themeColor="text1"/>
          <w:sz w:val="24"/>
          <w:szCs w:val="24"/>
        </w:rPr>
        <w:t>le</w:t>
      </w:r>
      <w:r w:rsidRPr="00B751AA">
        <w:rPr>
          <w:rFonts w:ascii="Book Antiqua" w:hAnsi="Book Antiqua" w:cs="Arial"/>
          <w:color w:val="000000" w:themeColor="text1"/>
          <w:sz w:val="24"/>
          <w:szCs w:val="24"/>
        </w:rPr>
        <w:t xml:space="preserve"> 3).</w:t>
      </w:r>
    </w:p>
    <w:p w14:paraId="7CCB27A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18BDCA6D"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i/>
          <w:color w:val="000000" w:themeColor="text1"/>
          <w:sz w:val="24"/>
          <w:szCs w:val="24"/>
          <w:lang w:val="fr-FR"/>
        </w:rPr>
        <w:t>Podoplanin expression and prognosis </w:t>
      </w:r>
    </w:p>
    <w:p w14:paraId="440B8273"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color w:val="000000" w:themeColor="text1"/>
          <w:sz w:val="24"/>
          <w:szCs w:val="24"/>
        </w:rPr>
        <w:t xml:space="preserve">We analyzed a potential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survival of ESCC-patients without preoperative chemotherapy. Patients with a stronger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&gt;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5</w:t>
      </w:r>
      <w:r w:rsidR="0052322B">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w:t>
      </w:r>
      <w:r w:rsidR="00EE4E4E" w:rsidRPr="00B751AA">
        <w:rPr>
          <w:rFonts w:ascii="Book Antiqua" w:hAnsi="Book Antiqua" w:cs="Arial"/>
          <w:color w:val="000000" w:themeColor="text1"/>
          <w:sz w:val="24"/>
          <w:szCs w:val="24"/>
        </w:rPr>
        <w:t>[</w:t>
      </w:r>
      <w:r w:rsidR="00EE4E4E" w:rsidRPr="00B751AA">
        <w:rPr>
          <w:rFonts w:ascii="Book Antiqua" w:hAnsi="Book Antiqua" w:cs="Arial"/>
          <w:bCs/>
          <w:color w:val="000000" w:themeColor="text1"/>
          <w:sz w:val="24"/>
          <w:szCs w:val="24"/>
          <w:lang w:val="en-GB"/>
        </w:rPr>
        <w:t xml:space="preserve">high </w:t>
      </w:r>
      <w:proofErr w:type="spellStart"/>
      <w:r w:rsidR="00EE4E4E" w:rsidRPr="00B751AA">
        <w:rPr>
          <w:rFonts w:ascii="Book Antiqua" w:hAnsi="Book Antiqua" w:cs="Arial"/>
          <w:bCs/>
          <w:color w:val="000000" w:themeColor="text1"/>
          <w:sz w:val="24"/>
          <w:szCs w:val="24"/>
          <w:lang w:val="en-GB"/>
        </w:rPr>
        <w:t>podoplanin</w:t>
      </w:r>
      <w:proofErr w:type="spellEnd"/>
      <w:r w:rsidR="00EE4E4E" w:rsidRPr="00B751AA">
        <w:rPr>
          <w:rFonts w:ascii="Book Antiqua" w:hAnsi="Book Antiqua" w:cs="Arial"/>
          <w:bCs/>
          <w:color w:val="000000" w:themeColor="text1"/>
          <w:sz w:val="24"/>
          <w:szCs w:val="24"/>
          <w:lang w:val="en-GB"/>
        </w:rPr>
        <w:t xml:space="preserve"> expression</w:t>
      </w:r>
      <w:r w:rsidR="00EE4E4E"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HPE)</w:t>
      </w:r>
      <w:r w:rsidR="00EE4E4E"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had a worse prognosis compared to the patient group with low expression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0.013), Fig</w:t>
      </w:r>
      <w:r w:rsidR="00DF0C2A" w:rsidRPr="00B751AA">
        <w:rPr>
          <w:rFonts w:ascii="Book Antiqua" w:hAnsi="Book Antiqua" w:cs="Arial"/>
          <w:color w:val="000000" w:themeColor="text1"/>
          <w:sz w:val="24"/>
          <w:szCs w:val="24"/>
        </w:rPr>
        <w:t>ure</w:t>
      </w:r>
      <w:r w:rsidRPr="00B751AA">
        <w:rPr>
          <w:rFonts w:ascii="Book Antiqua" w:hAnsi="Book Antiqua" w:cs="Arial"/>
          <w:color w:val="000000" w:themeColor="text1"/>
          <w:sz w:val="24"/>
          <w:szCs w:val="24"/>
        </w:rPr>
        <w:t xml:space="preserve"> 1.</w:t>
      </w:r>
    </w:p>
    <w:p w14:paraId="0898613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bCs/>
          <w:color w:val="000000" w:themeColor="text1"/>
          <w:sz w:val="24"/>
          <w:szCs w:val="24"/>
        </w:rPr>
        <w:t xml:space="preserve">Sixteen patients showing a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of 0-5</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had a better survival rate of 34% than the patient group with HPE, resulting in a five-year survival of 12%. </w:t>
      </w:r>
    </w:p>
    <w:p w14:paraId="58D6B3AD"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3FB7EA3C"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i/>
          <w:color w:val="000000" w:themeColor="text1"/>
          <w:sz w:val="24"/>
          <w:szCs w:val="24"/>
          <w:lang w:val="fr-FR"/>
        </w:rPr>
        <w:t xml:space="preserve">Chemoradiation changes podoplanin protein expression </w:t>
      </w:r>
    </w:p>
    <w:p w14:paraId="0DA1D957"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Fifty-eight ESCC and 48 EAC patients received preoperative chemoradiation therapy due to an advanced tumor stage (cT3NxM0). </w:t>
      </w:r>
    </w:p>
    <w:p w14:paraId="151B946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Only one of these 48 EAC patients expressed HPE in resection specimen, 47 patients showed none or low expression. Staining of 57 primary surgery EAC patients provided the same result of absence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Tab</w:t>
      </w:r>
      <w:r w:rsidR="00DF0C2A" w:rsidRPr="00B751AA">
        <w:rPr>
          <w:rFonts w:ascii="Book Antiqua" w:hAnsi="Book Antiqua" w:cs="Arial"/>
          <w:color w:val="000000" w:themeColor="text1"/>
          <w:sz w:val="24"/>
          <w:szCs w:val="24"/>
        </w:rPr>
        <w:t xml:space="preserve">le </w:t>
      </w:r>
      <w:r w:rsidRPr="00B751AA">
        <w:rPr>
          <w:rFonts w:ascii="Book Antiqua" w:hAnsi="Book Antiqua" w:cs="Arial"/>
          <w:color w:val="000000" w:themeColor="text1"/>
          <w:sz w:val="24"/>
          <w:szCs w:val="24"/>
        </w:rPr>
        <w:t xml:space="preserve">2. </w:t>
      </w:r>
    </w:p>
    <w:p w14:paraId="5E191D4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Seven of 58 ESCC patients expressed HPE in resected tissue after chemoradiation, 51 patients had a lower expression &lt; 5</w:t>
      </w:r>
      <w:r w:rsidR="0052322B">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We compared the protein expression of this group of 58 ESCC patients who received chemoradiation to the non-pretreated primary surgery group of 32 ESCC patients.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has been identified to be significantly lower in resected specimen of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pre-treated patients compared to patients receiving only surgery,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&lt;</w:t>
      </w:r>
      <w:r w:rsidR="00BB36A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0.001 (Tab</w:t>
      </w:r>
      <w:r w:rsidR="00B7773D">
        <w:rPr>
          <w:rFonts w:ascii="Book Antiqua" w:hAnsi="Book Antiqua" w:cs="Arial"/>
          <w:color w:val="000000" w:themeColor="text1"/>
          <w:sz w:val="24"/>
          <w:szCs w:val="24"/>
        </w:rPr>
        <w:t xml:space="preserve">le </w:t>
      </w:r>
      <w:r w:rsidRPr="00B751AA">
        <w:rPr>
          <w:rFonts w:ascii="Book Antiqua" w:hAnsi="Book Antiqua" w:cs="Arial"/>
          <w:color w:val="000000" w:themeColor="text1"/>
          <w:sz w:val="24"/>
          <w:szCs w:val="24"/>
        </w:rPr>
        <w:t xml:space="preserve">4). </w:t>
      </w:r>
    </w:p>
    <w:p w14:paraId="048592F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lastRenderedPageBreak/>
        <w:t xml:space="preserve">To confirm the different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levels between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treated and non-pretreated primary surgery patient groups, we compared the protein expression in endoscopic biopsies with the expression after </w:t>
      </w:r>
      <w:proofErr w:type="spellStart"/>
      <w:r w:rsidRPr="00B751AA">
        <w:rPr>
          <w:rFonts w:ascii="Book Antiqua" w:hAnsi="Book Antiqua" w:cs="Arial"/>
          <w:color w:val="000000" w:themeColor="text1"/>
          <w:sz w:val="24"/>
          <w:szCs w:val="24"/>
        </w:rPr>
        <w:t>CTx</w:t>
      </w:r>
      <w:proofErr w:type="spellEnd"/>
      <w:r w:rsidRPr="00B751AA">
        <w:rPr>
          <w:rFonts w:ascii="Book Antiqua" w:hAnsi="Book Antiqua" w:cs="Arial"/>
          <w:color w:val="000000" w:themeColor="text1"/>
          <w:sz w:val="24"/>
          <w:szCs w:val="24"/>
        </w:rPr>
        <w:t>/</w:t>
      </w:r>
      <w:proofErr w:type="spellStart"/>
      <w:r w:rsidRPr="00B751AA">
        <w:rPr>
          <w:rFonts w:ascii="Book Antiqua" w:hAnsi="Book Antiqua" w:cs="Arial"/>
          <w:color w:val="000000" w:themeColor="text1"/>
          <w:sz w:val="24"/>
          <w:szCs w:val="24"/>
        </w:rPr>
        <w:t>RTx</w:t>
      </w:r>
      <w:proofErr w:type="spellEnd"/>
      <w:r w:rsidRPr="00B751AA">
        <w:rPr>
          <w:rFonts w:ascii="Book Antiqua" w:hAnsi="Book Antiqua" w:cs="Arial"/>
          <w:color w:val="000000" w:themeColor="text1"/>
          <w:sz w:val="24"/>
          <w:szCs w:val="24"/>
        </w:rPr>
        <w:t xml:space="preserve"> of the individual matching resected tissue specimen of 56 ESCC patients.</w:t>
      </w:r>
    </w:p>
    <w:p w14:paraId="1364344D"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Thirty-five pretreatment biopsies did not express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0-5%, score 1. Thirty-four of 35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treated patients (97%) did not express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resected tissues. Twenty-one patients showed a higher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of &gt; 5% (Score 2-4) in their biopsies before chemoradiation. In resection specimen of 16 of these 21 patients (76%)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was not detectable after neoadjuvant treatment. The matching resected specimen of these patients showed a decreased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after </w:t>
      </w:r>
      <w:proofErr w:type="spellStart"/>
      <w:r w:rsidRPr="00B751AA">
        <w:rPr>
          <w:rFonts w:ascii="Book Antiqua" w:hAnsi="Book Antiqua" w:cs="Arial"/>
          <w:color w:val="000000" w:themeColor="text1"/>
          <w:sz w:val="24"/>
          <w:szCs w:val="24"/>
        </w:rPr>
        <w:t>CTx</w:t>
      </w:r>
      <w:proofErr w:type="spellEnd"/>
      <w:r w:rsidRPr="00B751AA">
        <w:rPr>
          <w:rFonts w:ascii="Book Antiqua" w:hAnsi="Book Antiqua" w:cs="Arial"/>
          <w:color w:val="000000" w:themeColor="text1"/>
          <w:sz w:val="24"/>
          <w:szCs w:val="24"/>
        </w:rPr>
        <w:t>/</w:t>
      </w:r>
      <w:proofErr w:type="spellStart"/>
      <w:r w:rsidRPr="00B751AA">
        <w:rPr>
          <w:rFonts w:ascii="Book Antiqua" w:hAnsi="Book Antiqua" w:cs="Arial"/>
          <w:color w:val="000000" w:themeColor="text1"/>
          <w:sz w:val="24"/>
          <w:szCs w:val="24"/>
        </w:rPr>
        <w:t>RTx</w:t>
      </w:r>
      <w:proofErr w:type="spellEnd"/>
      <w:r w:rsidRPr="00B751AA">
        <w:rPr>
          <w:rFonts w:ascii="Book Antiqua" w:hAnsi="Book Antiqua" w:cs="Arial"/>
          <w:color w:val="000000" w:themeColor="text1"/>
          <w:sz w:val="24"/>
          <w:szCs w:val="24"/>
        </w:rPr>
        <w:t xml:space="preserve">,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&lt;</w:t>
      </w:r>
      <w:r w:rsidR="00BB36A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0.001, examples in Fig</w:t>
      </w:r>
      <w:r w:rsidR="00DF0C2A" w:rsidRPr="00B751AA">
        <w:rPr>
          <w:rFonts w:ascii="Book Antiqua" w:hAnsi="Book Antiqua" w:cs="Arial"/>
          <w:color w:val="000000" w:themeColor="text1"/>
          <w:sz w:val="24"/>
          <w:szCs w:val="24"/>
        </w:rPr>
        <w:t>ure</w:t>
      </w:r>
      <w:r w:rsidRPr="00B751AA">
        <w:rPr>
          <w:rFonts w:ascii="Book Antiqua" w:hAnsi="Book Antiqua" w:cs="Arial"/>
          <w:color w:val="000000" w:themeColor="text1"/>
          <w:sz w:val="24"/>
          <w:szCs w:val="24"/>
        </w:rPr>
        <w:t xml:space="preserve"> 2, survey in Tab</w:t>
      </w:r>
      <w:r w:rsidR="00DF0C2A" w:rsidRPr="00B751AA">
        <w:rPr>
          <w:rFonts w:ascii="Book Antiqua" w:hAnsi="Book Antiqua" w:cs="Arial"/>
          <w:color w:val="000000" w:themeColor="text1"/>
          <w:sz w:val="24"/>
          <w:szCs w:val="24"/>
        </w:rPr>
        <w:t>le</w:t>
      </w:r>
      <w:r w:rsidRPr="00B751AA">
        <w:rPr>
          <w:rFonts w:ascii="Book Antiqua" w:hAnsi="Book Antiqua" w:cs="Arial"/>
          <w:color w:val="000000" w:themeColor="text1"/>
          <w:sz w:val="24"/>
          <w:szCs w:val="24"/>
        </w:rPr>
        <w:t xml:space="preserve"> 5.</w:t>
      </w:r>
    </w:p>
    <w:p w14:paraId="06371949"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0AD1B88D"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 xml:space="preserve">Impact of podoplanin expression for prediction of response to neoadjuvant chemoradiation </w:t>
      </w:r>
    </w:p>
    <w:p w14:paraId="2AA1A116" w14:textId="77777777" w:rsidR="00FE6179" w:rsidRPr="00B751AA" w:rsidRDefault="00FE6179" w:rsidP="00B751AA">
      <w:pPr>
        <w:adjustRightInd w:val="0"/>
        <w:snapToGrid w:val="0"/>
        <w:spacing w:after="0" w:line="360" w:lineRule="auto"/>
        <w:jc w:val="both"/>
        <w:rPr>
          <w:rFonts w:ascii="Book Antiqua" w:eastAsia="Symbol" w:hAnsi="Book Antiqua"/>
          <w:color w:val="000000" w:themeColor="text1"/>
          <w:sz w:val="24"/>
          <w:szCs w:val="24"/>
          <w:lang w:val="fr-FR"/>
        </w:rPr>
      </w:pPr>
      <w:r w:rsidRPr="00B751AA">
        <w:rPr>
          <w:rFonts w:ascii="Book Antiqua" w:hAnsi="Book Antiqua" w:cs="Arial"/>
          <w:color w:val="000000" w:themeColor="text1"/>
          <w:sz w:val="24"/>
          <w:szCs w:val="24"/>
          <w:lang w:val="fr-FR"/>
        </w:rPr>
        <w:t xml:space="preserve">There was no significant difference detectable in podoplanin expression between 35 minor and 23 </w:t>
      </w:r>
      <w:r w:rsidR="00DF0C2A" w:rsidRPr="00B751AA">
        <w:rPr>
          <w:rFonts w:ascii="Book Antiqua" w:hAnsi="Book Antiqua" w:cs="Arial"/>
          <w:color w:val="000000" w:themeColor="text1"/>
          <w:sz w:val="24"/>
          <w:szCs w:val="24"/>
          <w:lang w:val="fr-FR"/>
        </w:rPr>
        <w:t>majors</w:t>
      </w:r>
      <w:r w:rsidRPr="00B751AA">
        <w:rPr>
          <w:rFonts w:ascii="Book Antiqua" w:hAnsi="Book Antiqua" w:cs="Arial"/>
          <w:color w:val="000000" w:themeColor="text1"/>
          <w:sz w:val="24"/>
          <w:szCs w:val="24"/>
          <w:lang w:val="fr-FR"/>
        </w:rPr>
        <w:t xml:space="preserve"> responders among 58 ESCC patients (</w:t>
      </w:r>
      <w:r w:rsidR="00DF0C2A" w:rsidRPr="00B751AA">
        <w:rPr>
          <w:rFonts w:ascii="Book Antiqua" w:hAnsi="Book Antiqua" w:cs="Arial"/>
          <w:i/>
          <w:iCs/>
          <w:color w:val="000000" w:themeColor="text1"/>
          <w:sz w:val="24"/>
          <w:szCs w:val="24"/>
          <w:lang w:val="fr-FR"/>
        </w:rPr>
        <w:t>P</w:t>
      </w:r>
      <w:r w:rsidR="00DF0C2A"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w:t>
      </w:r>
      <w:r w:rsidR="00BB36AA"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 xml:space="preserve">0.879). </w:t>
      </w:r>
      <w:r w:rsidRPr="00B751AA">
        <w:rPr>
          <w:rStyle w:val="Absatz-Standardschriftart5"/>
          <w:rFonts w:ascii="Book Antiqua" w:eastAsia="Symbol" w:hAnsi="Book Antiqua" w:cs="Arial"/>
          <w:color w:val="000000" w:themeColor="text1"/>
          <w:sz w:val="24"/>
          <w:szCs w:val="24"/>
          <w:lang w:val="fr-FR"/>
        </w:rPr>
        <w:t xml:space="preserve">Thirty-one of 35 </w:t>
      </w:r>
      <w:r w:rsidR="0055432A" w:rsidRPr="00B751AA">
        <w:rPr>
          <w:rStyle w:val="Absatz-Standardschriftart5"/>
          <w:rFonts w:ascii="Book Antiqua" w:eastAsia="Symbol" w:hAnsi="Book Antiqua" w:cs="Arial"/>
          <w:color w:val="000000" w:themeColor="text1"/>
          <w:sz w:val="24"/>
          <w:szCs w:val="24"/>
          <w:lang w:val="fr-FR"/>
        </w:rPr>
        <w:t>minors</w:t>
      </w:r>
      <w:r w:rsidRPr="00B751AA">
        <w:rPr>
          <w:rStyle w:val="Absatz-Standardschriftart5"/>
          <w:rFonts w:ascii="Book Antiqua" w:eastAsia="Symbol" w:hAnsi="Book Antiqua" w:cs="Arial"/>
          <w:color w:val="000000" w:themeColor="text1"/>
          <w:sz w:val="24"/>
          <w:szCs w:val="24"/>
          <w:lang w:val="fr-FR"/>
        </w:rPr>
        <w:t xml:space="preserve"> responders showed a score 1, 4 of 35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2 and 3 (&gt;</w:t>
      </w:r>
      <w:r w:rsidR="00BB36AA" w:rsidRPr="00B751AA">
        <w:rPr>
          <w:rStyle w:val="Absatz-Standardschriftart5"/>
          <w:rFonts w:ascii="Book Antiqua" w:eastAsia="Symbol" w:hAnsi="Book Antiqua" w:cs="Arial"/>
          <w:color w:val="000000" w:themeColor="text1"/>
          <w:sz w:val="24"/>
          <w:szCs w:val="24"/>
          <w:lang w:val="fr-FR"/>
        </w:rPr>
        <w:t xml:space="preserve"> </w:t>
      </w:r>
      <w:r w:rsidRPr="00B751AA">
        <w:rPr>
          <w:rStyle w:val="Absatz-Standardschriftart5"/>
          <w:rFonts w:ascii="Book Antiqua" w:eastAsia="Symbol" w:hAnsi="Book Antiqua" w:cs="Arial"/>
          <w:color w:val="000000" w:themeColor="text1"/>
          <w:sz w:val="24"/>
          <w:szCs w:val="24"/>
          <w:lang w:val="fr-FR"/>
        </w:rPr>
        <w:t xml:space="preserve">5% podoplanin expression). Twenty-one of 23 </w:t>
      </w:r>
      <w:r w:rsidR="0052322B" w:rsidRPr="00B751AA">
        <w:rPr>
          <w:rStyle w:val="Absatz-Standardschriftart5"/>
          <w:rFonts w:ascii="Book Antiqua" w:eastAsia="Symbol" w:hAnsi="Book Antiqua" w:cs="Arial"/>
          <w:color w:val="000000" w:themeColor="text1"/>
          <w:sz w:val="24"/>
          <w:szCs w:val="24"/>
          <w:lang w:val="fr-FR"/>
        </w:rPr>
        <w:t>majors</w:t>
      </w:r>
      <w:r w:rsidRPr="00B751AA">
        <w:rPr>
          <w:rStyle w:val="Absatz-Standardschriftart5"/>
          <w:rFonts w:ascii="Book Antiqua" w:eastAsia="Symbol" w:hAnsi="Book Antiqua" w:cs="Arial"/>
          <w:color w:val="000000" w:themeColor="text1"/>
          <w:sz w:val="24"/>
          <w:szCs w:val="24"/>
          <w:lang w:val="fr-FR"/>
        </w:rPr>
        <w:t xml:space="preserve"> responders showed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 xml:space="preserve">1, 2 of 23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2.</w:t>
      </w:r>
    </w:p>
    <w:p w14:paraId="15AD94B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p>
    <w:p w14:paraId="3F302F5D"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Expression of miR-363 and podoplanin</w:t>
      </w:r>
    </w:p>
    <w:p w14:paraId="3695E3AB" w14:textId="77777777" w:rsidR="00FE6179" w:rsidRPr="00B751AA" w:rsidRDefault="00FE6179" w:rsidP="00B751AA">
      <w:pPr>
        <w:adjustRightInd w:val="0"/>
        <w:snapToGrid w:val="0"/>
        <w:spacing w:after="0" w:line="360" w:lineRule="auto"/>
        <w:ind w:hanging="37"/>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To examine a potential role of miR-363 for post-transcriptional control of podoplanin up-regulation in ESCC, miR-363 expression has been quantified and compared to the expression level of podoplanin protein in resected tissues of 29 ESCC and 19 EAC patients </w:t>
      </w:r>
      <w:r w:rsidR="0055432A" w:rsidRPr="00B751AA">
        <w:rPr>
          <w:rFonts w:ascii="Book Antiqua" w:hAnsi="Book Antiqua" w:cs="Arial"/>
          <w:color w:val="000000" w:themeColor="text1"/>
          <w:sz w:val="24"/>
          <w:szCs w:val="24"/>
          <w:lang w:val="fr-FR"/>
        </w:rPr>
        <w:t>–</w:t>
      </w:r>
      <w:r w:rsidRPr="00B751AA">
        <w:rPr>
          <w:rFonts w:ascii="Book Antiqua" w:hAnsi="Book Antiqua" w:cs="Arial"/>
          <w:color w:val="000000" w:themeColor="text1"/>
          <w:sz w:val="24"/>
          <w:szCs w:val="24"/>
          <w:lang w:val="fr-FR"/>
        </w:rPr>
        <w:t xml:space="preserve"> all patients without neoadjuvant therapy. </w:t>
      </w:r>
      <w:r w:rsidRPr="00B751AA">
        <w:rPr>
          <w:rFonts w:ascii="Book Antiqua" w:hAnsi="Book Antiqua" w:cs="Arial"/>
          <w:color w:val="000000" w:themeColor="text1"/>
          <w:sz w:val="24"/>
          <w:szCs w:val="24"/>
        </w:rPr>
        <w:t xml:space="preserve">There was no significant difference in miR-363 expression between EAC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19 and ESCC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29 patient groups. miR-363 expression was not associated to histological tumor types. Median miRNA-363 expression was 8.4 (min-max: 1.05-303) in ESCC and 7.07 (min-max: 1.7-42.5) in EAC patients</w:t>
      </w:r>
      <w:r w:rsidRPr="00B751AA">
        <w:rPr>
          <w:rFonts w:ascii="Book Antiqua" w:hAnsi="Book Antiqua"/>
          <w:bCs/>
          <w:color w:val="000000" w:themeColor="text1"/>
          <w:sz w:val="24"/>
          <w:szCs w:val="24"/>
          <w:lang w:val="en-GB"/>
        </w:rPr>
        <w:t>.</w:t>
      </w:r>
    </w:p>
    <w:p w14:paraId="2F4BEBA4" w14:textId="77777777" w:rsidR="00FE6179" w:rsidRPr="00B751AA" w:rsidRDefault="00FE6179" w:rsidP="00B751AA">
      <w:pPr>
        <w:adjustRightInd w:val="0"/>
        <w:snapToGrid w:val="0"/>
        <w:spacing w:after="0" w:line="360" w:lineRule="auto"/>
        <w:ind w:firstLineChars="50" w:firstLine="120"/>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lastRenderedPageBreak/>
        <w:t>The association between miR-363 and podoplanin expression in the study group of ESCC patients without neoadjuvant treatment is shown as boxplots, Fig</w:t>
      </w:r>
      <w:r w:rsidR="0055432A" w:rsidRPr="00B751AA">
        <w:rPr>
          <w:rFonts w:ascii="Book Antiqua" w:hAnsi="Book Antiqua" w:cs="Arial"/>
          <w:color w:val="000000" w:themeColor="text1"/>
          <w:sz w:val="24"/>
          <w:szCs w:val="24"/>
          <w:lang w:val="fr-FR"/>
        </w:rPr>
        <w:t>ure</w:t>
      </w:r>
      <w:r w:rsidRPr="00B751AA">
        <w:rPr>
          <w:rFonts w:ascii="Book Antiqua" w:hAnsi="Book Antiqua" w:cs="Arial"/>
          <w:color w:val="000000" w:themeColor="text1"/>
          <w:sz w:val="24"/>
          <w:szCs w:val="24"/>
          <w:lang w:val="fr-FR"/>
        </w:rPr>
        <w:t xml:space="preserve"> 3. An up-regulated podoplanin expression has been detected to be associated with a lower miR-363 expression. </w:t>
      </w:r>
      <w:r w:rsidRPr="00B751AA">
        <w:rPr>
          <w:rFonts w:ascii="Book Antiqua" w:hAnsi="Book Antiqua"/>
          <w:bCs/>
          <w:color w:val="000000" w:themeColor="text1"/>
          <w:sz w:val="24"/>
          <w:szCs w:val="24"/>
          <w:lang w:val="en-GB"/>
        </w:rPr>
        <w:t xml:space="preserve">Subgrouping of ESCC patients by </w:t>
      </w:r>
      <w:proofErr w:type="spellStart"/>
      <w:r w:rsidRPr="00B751AA">
        <w:rPr>
          <w:rFonts w:ascii="Book Antiqua" w:hAnsi="Book Antiqua"/>
          <w:bCs/>
          <w:color w:val="000000" w:themeColor="text1"/>
          <w:sz w:val="24"/>
          <w:szCs w:val="24"/>
          <w:lang w:val="en-GB"/>
        </w:rPr>
        <w:t>podoplanin</w:t>
      </w:r>
      <w:proofErr w:type="spellEnd"/>
      <w:r w:rsidRPr="00B751AA">
        <w:rPr>
          <w:rFonts w:ascii="Book Antiqua" w:hAnsi="Book Antiqua"/>
          <w:bCs/>
          <w:color w:val="000000" w:themeColor="text1"/>
          <w:sz w:val="24"/>
          <w:szCs w:val="24"/>
          <w:lang w:val="en-GB"/>
        </w:rPr>
        <w:t xml:space="preserve"> expression of 0-5</w:t>
      </w:r>
      <w:r w:rsidR="0052322B">
        <w:rPr>
          <w:rFonts w:ascii="Book Antiqua" w:hAnsi="Book Antiqua"/>
          <w:bCs/>
          <w:color w:val="000000" w:themeColor="text1"/>
          <w:sz w:val="24"/>
          <w:szCs w:val="24"/>
          <w:lang w:val="en-GB"/>
        </w:rPr>
        <w:t>%</w:t>
      </w:r>
      <w:r w:rsidRPr="00B751AA">
        <w:rPr>
          <w:rFonts w:ascii="Book Antiqua" w:hAnsi="Book Antiqua"/>
          <w:bCs/>
          <w:color w:val="000000" w:themeColor="text1"/>
          <w:sz w:val="24"/>
          <w:szCs w:val="24"/>
          <w:lang w:val="en-GB"/>
        </w:rPr>
        <w:t xml:space="preserve"> and HPE resulted in a trend of a correlation between expression of miR-363 and </w:t>
      </w:r>
      <w:proofErr w:type="spellStart"/>
      <w:r w:rsidRPr="00B751AA">
        <w:rPr>
          <w:rFonts w:ascii="Book Antiqua" w:hAnsi="Book Antiqua"/>
          <w:bCs/>
          <w:color w:val="000000" w:themeColor="text1"/>
          <w:sz w:val="24"/>
          <w:szCs w:val="24"/>
          <w:lang w:val="en-GB"/>
        </w:rPr>
        <w:t>podoplanin</w:t>
      </w:r>
      <w:proofErr w:type="spellEnd"/>
      <w:r w:rsidRPr="00B751AA">
        <w:rPr>
          <w:rFonts w:ascii="Book Antiqua" w:hAnsi="Book Antiqua"/>
          <w:bCs/>
          <w:color w:val="000000" w:themeColor="text1"/>
          <w:sz w:val="24"/>
          <w:szCs w:val="24"/>
          <w:lang w:val="en-GB"/>
        </w:rPr>
        <w:t xml:space="preserve"> protein:</w:t>
      </w:r>
      <w:r w:rsidRPr="00B751AA">
        <w:rPr>
          <w:rFonts w:ascii="Book Antiqua" w:hAnsi="Book Antiqua" w:cs="Arial"/>
          <w:color w:val="000000" w:themeColor="text1"/>
          <w:sz w:val="24"/>
          <w:szCs w:val="24"/>
        </w:rPr>
        <w:t xml:space="preserve"> 0-5%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14: median miR-363 12.7 (min</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max: 3.0</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303), &gt;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5%: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15: median miR-363 6.1 (min</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max: 1.05</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131).</w:t>
      </w:r>
    </w:p>
    <w:p w14:paraId="0E9BC839"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eastAsia="de-DE"/>
        </w:rPr>
      </w:pPr>
      <w:r w:rsidRPr="00B751AA">
        <w:rPr>
          <w:rFonts w:ascii="Book Antiqua" w:hAnsi="Book Antiqua" w:cs="Arial"/>
          <w:color w:val="000000" w:themeColor="text1"/>
          <w:sz w:val="24"/>
          <w:szCs w:val="24"/>
          <w:lang w:eastAsia="de-DE"/>
        </w:rPr>
        <w:t>Patients with lower miR-363 expression had a worse prognosis compared to those with higher miR-363 expression. We identified a prognostic relevant cut-off value for miR-363. Patients without distant metastases with miR-363 expression &lt;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7 (</w:t>
      </w:r>
      <w:r w:rsidRPr="00B751AA">
        <w:rPr>
          <w:rFonts w:ascii="Book Antiqua" w:hAnsi="Book Antiqua" w:cs="Arial"/>
          <w:i/>
          <w:iCs/>
          <w:color w:val="000000" w:themeColor="text1"/>
          <w:sz w:val="24"/>
          <w:szCs w:val="24"/>
          <w:lang w:eastAsia="de-DE"/>
        </w:rPr>
        <w:t>n</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 xml:space="preserve">10) had a significantly worse prognosis than patients with </w:t>
      </w:r>
      <w:proofErr w:type="spellStart"/>
      <w:r w:rsidRPr="00B751AA">
        <w:rPr>
          <w:rFonts w:ascii="Book Antiqua" w:hAnsi="Book Antiqua" w:cs="Arial"/>
          <w:color w:val="000000" w:themeColor="text1"/>
          <w:sz w:val="24"/>
          <w:szCs w:val="24"/>
          <w:lang w:eastAsia="de-DE"/>
        </w:rPr>
        <w:t>miR</w:t>
      </w:r>
      <w:proofErr w:type="spellEnd"/>
      <w:r w:rsidRPr="00B751AA">
        <w:rPr>
          <w:rFonts w:ascii="Book Antiqua" w:hAnsi="Book Antiqua" w:cs="Arial"/>
          <w:color w:val="000000" w:themeColor="text1"/>
          <w:sz w:val="24"/>
          <w:szCs w:val="24"/>
          <w:lang w:eastAsia="de-DE"/>
        </w:rPr>
        <w:t xml:space="preserve">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lang w:eastAsia="de-DE"/>
        </w:rPr>
        <w:t>7 (</w:t>
      </w:r>
      <w:r w:rsidRPr="00B751AA">
        <w:rPr>
          <w:rFonts w:ascii="Book Antiqua" w:hAnsi="Book Antiqua" w:cs="Arial"/>
          <w:i/>
          <w:iCs/>
          <w:color w:val="000000" w:themeColor="text1"/>
          <w:sz w:val="24"/>
          <w:szCs w:val="24"/>
          <w:lang w:eastAsia="de-DE"/>
        </w:rPr>
        <w:t>n</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 xml:space="preserve">16), </w:t>
      </w:r>
      <w:r w:rsidR="0055432A" w:rsidRPr="00B751AA">
        <w:rPr>
          <w:rFonts w:ascii="Book Antiqua" w:hAnsi="Book Antiqua" w:cs="Arial"/>
          <w:i/>
          <w:iCs/>
          <w:color w:val="000000" w:themeColor="text1"/>
          <w:sz w:val="24"/>
          <w:szCs w:val="24"/>
          <w:lang w:eastAsia="de-DE"/>
        </w:rPr>
        <w:t>P</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0.049. (Fig</w:t>
      </w:r>
      <w:r w:rsidR="0055432A" w:rsidRPr="00B751AA">
        <w:rPr>
          <w:rFonts w:ascii="Book Antiqua" w:hAnsi="Book Antiqua" w:cs="Arial"/>
          <w:color w:val="000000" w:themeColor="text1"/>
          <w:sz w:val="24"/>
          <w:szCs w:val="24"/>
          <w:lang w:eastAsia="de-DE"/>
        </w:rPr>
        <w:t xml:space="preserve">ure </w:t>
      </w:r>
      <w:r w:rsidRPr="00B751AA">
        <w:rPr>
          <w:rFonts w:ascii="Book Antiqua" w:hAnsi="Book Antiqua" w:cs="Arial"/>
          <w:color w:val="000000" w:themeColor="text1"/>
          <w:sz w:val="24"/>
          <w:szCs w:val="24"/>
          <w:lang w:eastAsia="de-DE"/>
        </w:rPr>
        <w:t>4).</w:t>
      </w:r>
      <w:r w:rsidRPr="00B751AA">
        <w:rPr>
          <w:rFonts w:ascii="Book Antiqua" w:hAnsi="Book Antiqua" w:cs="Arial"/>
          <w:color w:val="000000" w:themeColor="text1"/>
          <w:sz w:val="24"/>
          <w:szCs w:val="24"/>
        </w:rPr>
        <w:t xml:space="preserve"> Based on this cut-off value for</w:t>
      </w:r>
      <w:r w:rsidRPr="00B751AA">
        <w:rPr>
          <w:rFonts w:ascii="Book Antiqua" w:hAnsi="Book Antiqua"/>
          <w:bCs/>
          <w:color w:val="000000" w:themeColor="text1"/>
          <w:sz w:val="24"/>
          <w:szCs w:val="24"/>
          <w:lang w:val="en-GB"/>
        </w:rPr>
        <w:t xml:space="preserve"> miR-363 expression of </w:t>
      </w:r>
      <w:r w:rsidRPr="00B751AA">
        <w:rPr>
          <w:rFonts w:ascii="Book Antiqua" w:hAnsi="Book Antiqua" w:cs="Arial"/>
          <w:color w:val="000000" w:themeColor="text1"/>
          <w:sz w:val="24"/>
          <w:szCs w:val="24"/>
        </w:rPr>
        <w:t>7, the lower miR-363 expression (</w:t>
      </w:r>
      <w:r w:rsidRPr="00B751AA">
        <w:rPr>
          <w:rFonts w:ascii="Book Antiqua" w:hAnsi="Book Antiqua"/>
          <w:color w:val="000000" w:themeColor="text1"/>
          <w:sz w:val="24"/>
          <w:szCs w:val="24"/>
        </w:rPr>
        <w:t>miR-363 &lt;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7: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9) </w:t>
      </w:r>
      <w:r w:rsidRPr="00B751AA">
        <w:rPr>
          <w:rFonts w:ascii="Book Antiqua" w:hAnsi="Book Antiqua" w:cs="Arial"/>
          <w:color w:val="000000" w:themeColor="text1"/>
          <w:sz w:val="24"/>
          <w:szCs w:val="24"/>
        </w:rPr>
        <w:t>was associated with HPE</w:t>
      </w:r>
      <w:r w:rsidRPr="00B751AA">
        <w:rPr>
          <w:rFonts w:ascii="Book Antiqua" w:hAnsi="Book Antiqua"/>
          <w:color w:val="000000" w:themeColor="text1"/>
          <w:sz w:val="24"/>
          <w:szCs w:val="24"/>
        </w:rPr>
        <w:t xml:space="preserve">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15). Six of these</w:t>
      </w:r>
      <w:r w:rsidRPr="00B751AA">
        <w:rPr>
          <w:rFonts w:ascii="Book Antiqua" w:hAnsi="Book Antiqua" w:cs="Arial"/>
          <w:color w:val="000000" w:themeColor="text1"/>
          <w:sz w:val="24"/>
          <w:szCs w:val="24"/>
        </w:rPr>
        <w:t xml:space="preserve"> 15 non-pretreated ESCC patients showed </w:t>
      </w:r>
      <w:r w:rsidRPr="00B751AA">
        <w:rPr>
          <w:rFonts w:ascii="Book Antiqua" w:hAnsi="Book Antiqua"/>
          <w:color w:val="000000" w:themeColor="text1"/>
          <w:sz w:val="24"/>
          <w:szCs w:val="24"/>
        </w:rPr>
        <w:t xml:space="preserve">miR-363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olor w:val="000000" w:themeColor="text1"/>
          <w:sz w:val="24"/>
          <w:szCs w:val="24"/>
        </w:rPr>
        <w:t xml:space="preserve">7 in </w:t>
      </w:r>
      <w:r w:rsidRPr="00B751AA">
        <w:rPr>
          <w:rFonts w:ascii="Book Antiqua" w:hAnsi="Book Antiqua" w:cs="Arial"/>
          <w:color w:val="000000" w:themeColor="text1"/>
          <w:sz w:val="24"/>
          <w:szCs w:val="24"/>
        </w:rPr>
        <w:t xml:space="preserve">resected tissue specimen. miR-363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olor w:val="000000" w:themeColor="text1"/>
          <w:sz w:val="24"/>
          <w:szCs w:val="24"/>
        </w:rPr>
        <w:t>7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12) </w:t>
      </w:r>
      <w:r w:rsidRPr="00B751AA">
        <w:rPr>
          <w:rFonts w:ascii="Book Antiqua" w:hAnsi="Book Antiqua" w:cs="Arial"/>
          <w:color w:val="000000" w:themeColor="text1"/>
          <w:sz w:val="24"/>
          <w:szCs w:val="24"/>
        </w:rPr>
        <w:t>was</w:t>
      </w:r>
      <w:r w:rsidRPr="00B751AA">
        <w:rPr>
          <w:rFonts w:ascii="Book Antiqua" w:hAnsi="Book Antiqua"/>
          <w:color w:val="000000" w:themeColor="text1"/>
          <w:sz w:val="24"/>
          <w:szCs w:val="24"/>
        </w:rPr>
        <w:t xml:space="preserve"> associated with a low </w:t>
      </w:r>
      <w:proofErr w:type="spellStart"/>
      <w:r w:rsidRPr="00B751AA">
        <w:rPr>
          <w:rFonts w:ascii="Book Antiqua" w:hAnsi="Book Antiqua"/>
          <w:color w:val="000000" w:themeColor="text1"/>
          <w:sz w:val="24"/>
          <w:szCs w:val="24"/>
        </w:rPr>
        <w:t>podoplanin</w:t>
      </w:r>
      <w:proofErr w:type="spellEnd"/>
      <w:r w:rsidRPr="00B751AA">
        <w:rPr>
          <w:rFonts w:ascii="Book Antiqua" w:hAnsi="Book Antiqua"/>
          <w:color w:val="000000" w:themeColor="text1"/>
          <w:sz w:val="24"/>
          <w:szCs w:val="24"/>
        </w:rPr>
        <w:t xml:space="preserve"> expression of 0-5%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14, </w:t>
      </w:r>
      <w:r w:rsidRPr="00B751AA">
        <w:rPr>
          <w:rFonts w:ascii="Book Antiqua" w:hAnsi="Book Antiqua" w:cs="Arial"/>
          <w:color w:val="000000" w:themeColor="text1"/>
          <w:sz w:val="24"/>
          <w:szCs w:val="24"/>
        </w:rPr>
        <w:t>(</w:t>
      </w:r>
      <w:r w:rsidR="0055432A" w:rsidRPr="00B751AA">
        <w:rPr>
          <w:rFonts w:ascii="Book Antiqua" w:hAnsi="Book Antiqua" w:cs="Arial"/>
          <w:i/>
          <w:iCs/>
          <w:color w:val="000000" w:themeColor="text1"/>
          <w:sz w:val="24"/>
          <w:szCs w:val="24"/>
        </w:rPr>
        <w:t>P</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0.011). Only two of these 12 patients with low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expressed miR-363 &lt;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7. </w:t>
      </w:r>
      <w:r w:rsidRPr="00B751AA">
        <w:rPr>
          <w:rFonts w:ascii="Book Antiqua" w:hAnsi="Book Antiqua"/>
          <w:color w:val="000000" w:themeColor="text1"/>
          <w:sz w:val="24"/>
          <w:szCs w:val="24"/>
        </w:rPr>
        <w:tab/>
      </w:r>
    </w:p>
    <w:p w14:paraId="095CFDCA" w14:textId="77777777" w:rsidR="00FE6179" w:rsidRPr="00B751AA" w:rsidRDefault="00FE6179" w:rsidP="00B751AA">
      <w:pPr>
        <w:adjustRightInd w:val="0"/>
        <w:snapToGrid w:val="0"/>
        <w:spacing w:after="0" w:line="360" w:lineRule="auto"/>
        <w:jc w:val="both"/>
        <w:rPr>
          <w:rFonts w:ascii="Book Antiqua" w:hAnsi="Book Antiqua" w:cs="Arial"/>
          <w:b/>
          <w:color w:val="000000" w:themeColor="text1"/>
          <w:sz w:val="24"/>
          <w:szCs w:val="24"/>
          <w:lang w:val="fr-FR"/>
        </w:rPr>
      </w:pPr>
    </w:p>
    <w:p w14:paraId="4F80E202"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Bidi"/>
          <w:b/>
          <w:sz w:val="24"/>
          <w:szCs w:val="24"/>
          <w:u w:val="single"/>
        </w:rPr>
        <w:t>DISCUSSION</w:t>
      </w:r>
    </w:p>
    <w:p w14:paraId="1E6B465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The histologically different tumor types EAC and ESCC depend on different risk factors, show biologically different characteristics, and respond with different rates to chemoradiotherapy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{"citationItems":[{"id":"ITEM-1","itemData":{"DOI":"10.4251/wjgo.v6.i5.112","ISSN":"1948-5204","PMID":"24834141","abstract":"Esophageal cancer is a serious malignancy with regards to mortality and prognosis. It is a growing health concern that is expected to increase in incidence over the next 10 years. Squamous cell carcinoma is the most common histological type of esophageal cancer worldwide, with a higher incidence in developing nations. With the increased prevalence of gastroesophageal reflux disease and obesity in developed nations, the incidence of esophageal adenocarcinoma has dramatically increased in the past 40 years. Esophageal cancer is staged according to the widely accepted TNM system. Staging plays an integral part in guiding stage specific treatment protocols and has a great impact on overall survival. Common imaging modalities used in staging include computed tomography, endoscopic ultrasound and positron emission tomography scans. Current treatment options include multimodality therapy mainstays of current treatment include surgery, radiation and chemotherapy. Tumor markers of esophageal cancer are an advancing area of research that could potentially lead to earlier diagnosis as well as playing a part in assessing tumor response to therapy.","author":[{"dropping-particle":"","family":"Napier","given":"Kyle J","non-dropping-particle":"","parse-names":false,"suffix":""}],"container-title":"World Journal of Gastrointestinal Oncology","id":"ITEM-1","issue":"5","issued":{"date-parts":[["2014","5","15"]]},"page":"112","publisher":"World J Gastrointest Oncol","title":"Esophageal cancer: A Review of epidemiology, pathogenesis, staging workup and treatment modalities","type":"article-journal","volume":"6"},"uris":["http://www.mendeley.com/documents/?uuid=f57ee15c-4c4e-3e35-8152-91c4e57901a1"]},{"id":"ITEM-2","itemData":{"DOI":"10.1158/1055-9965.EPI-12-1347","ISSN":"10559965","PMID":"23549398","abstract":"Esophageal squamous cell carcinoma (ESCC) accounts for 80% of all esophageal cancers worldwide, and esophageal squamous dysplasia (ESD) is the only histopathology that predicts the development of ESCC. The prevalence of ESDparallels rates of invasive ESCC and is typically found in 25% or more of adults above the age of 35 years in populations in north central China, where risk for ESCC is among the highest in the world. Results of chemoprevention and early detection studies to prevent progression of ESD suggest that these approaches, coupled with emerging endoscopic therapies, offer promise for the prevention of esophageal cancer mortality in high-risk populations. Future research on ESD and ESCC should focus on finding additional modifiable risk factors and on identifying biomarkers to incorporate into early detection strategies. © 2013 American Association for Cancer Research.","author":[{"dropping-particle":"","family":"Taylor","given":"Philip R","non-dropping-particle":"","parse-names":false,"suffix":""},{"dropping-particle":"","family":"Abnet","given":"Christian C","non-dropping-particle":"","parse-names":false,"suffix":""},{"dropping-particle":"","family":"Dawsey","given":"Sanford M","non-dropping-particle":"","parse-names":false,"suffix":""}],"container-title":"Cancer Epidemiology Biomarkers and Prevention","id":"ITEM-2","issue":"4","issued":{"date-parts":[["2013","4"]]},"page":"540-552","publisher":"Cancer Epidemiol Biomarkers Prev","title":"Squamous dysplasia-The precursor lesion for esophageal squamous cell carcinoma","type":"article-journal","volume":"22"},"uris":["http://www.mendeley.com/documents/?uuid=5ad835f0-e299-315e-b46b-e4514ff7da69"]}],"mendeley":{"formattedCitation":"&lt;sup&gt;[3,4]&lt;/sup&gt;","plainTextFormattedCitation":"[3,4]","previouslyFormattedCitation":"&lt;sup&gt;[3,4]&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is one example for the biological diversity between these most frequent histological subtypes of esophageal cancer. Our study confirms data of none to nearly no expression of the transmembrane protein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EAC patients, and its expression in ESCC patients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{"citationItems":[{"id":"ITEM-1","itemData":{"DOI":"10.1186/s40880-017-0232-5","ISSN":"1944-446X","PMID":"28818096","abstract":"Esophageal squamous cell carcinoma (ESCC) is an aggressive malignancy, with a high incidence and poor prognosis. In the past several decades, hundreds of proteins have been reported to be associated with the prognosis of ESCC, but none has been widely accepted to guide clinical care. This study aimed to identify proteins with great potential for predicting prognosis of ESCC. We conducted a systematic review on immunohistochemical (IHC) prognostic markers of ESCC according to the 2009 Preferred Reporting Items for Systematic Reviews and Meta-Analyses (PRISMA) Guidelines. Literature related to IHC prognostic markers of ESCC were searched from PubMed, Embase, Web of Science, and Cochrane Library until January 30th, 2017. The risk of bias of these original studies was evaluated using the Quality in Prognosis Studies (QUIPS) tool. We identified 11 emerging IHC markers with reproducible results, including eight markers [epidermal growth factor receptor (EGFR), Cyclin D1, vascular endothelial growth factor (VEGF), Survivin, Podoplanin, Fascin, phosphorylated mammalian target of rapamycin (p-mTOR), and pyruvate kinase M2 (PKM2)] indicating unfavorable prognosis and 3 markers (P27, P16, and E-cadherin) indicating favorable prognosis of ESCC. Strong evidence supports that these 11 emerging IHC markers or their combinations may be useful in predicting prognosis and aiding personalized therapy decision-making for ESCC patients.","author":[{"dropping-particle":"","family":"Wang","given":"Chunni","non-dropping-particle":"","parse-names":false,"suffix":""},{"dropping-particle":"","family":"Wang","given":"Jingnan","non-dropping-particle":"","parse-names":false,"suffix":""},{"dropping-particle":"","family":"Chen","given":"Zhaoli","non-dropping-particle":"","parse-names":false,"suffix":""},{"dropping-particle":"","family":"Gao","given":"Yibo","non-dropping-particle":"","parse-names":false,"suffix":""},{"dropping-particle":"","family":"He","given":"Jie","non-dropping-particle":"","parse-names":false,"suffix":""}],"container-title":"Chinese Journal of Cancer","id":"ITEM-1","issue":"1","issued":{"date-parts":[["2017","8","17"]]},"page":"65","publisher":"Chin J Cancer","title":"Immunohistochemical prognostic markers of esophageal squamous cell carcinoma: a systematic review","type":"article-journal","volume":"36"},"uris":["http://www.mendeley.com/documents/?uuid=06733ecd-5828-35c5-8956-49e23f8db913"]}],"mendeley":{"formattedCitation":"&lt;sup&gt;[22]&lt;/sup&gt;","plainTextFormattedCitation":"[22]","previouslyFormattedCitation":"&lt;sup&gt;[22]&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[22]</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 </w:t>
      </w:r>
      <w:proofErr w:type="spellStart"/>
      <w:r w:rsidRPr="00B751AA">
        <w:rPr>
          <w:rFonts w:ascii="Book Antiqua" w:hAnsi="Book Antiqua" w:cs="Arial"/>
          <w:color w:val="000000" w:themeColor="text1"/>
          <w:sz w:val="24"/>
          <w:szCs w:val="24"/>
        </w:rPr>
        <w:t>oncofetal</w:t>
      </w:r>
      <w:proofErr w:type="spellEnd"/>
      <w:r w:rsidRPr="00B751AA">
        <w:rPr>
          <w:rFonts w:ascii="Book Antiqua" w:hAnsi="Book Antiqua" w:cs="Arial"/>
          <w:color w:val="000000" w:themeColor="text1"/>
          <w:sz w:val="24"/>
          <w:szCs w:val="24"/>
        </w:rPr>
        <w:t xml:space="preserve"> protein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described to be re-expressed in squamous cell carcinoma of other tumor entities, as well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{"citationItems":[{"id":"ITEM-1","itemData":{"DOI":"10.1111/j.1365-2559.2011.04060.x","ISSN":"03090167","PMID":"22175904","abstract":"Aims: It has recently been shown that podoplanin, a mucin-type glycoprotein, is expressed by cancer cells and cancer-associated fibroblasts (CAFs), and promotes cancer cell migration and invasiveness. The biological role of podoplanin expression in tumour stroma of invasive ductal carcinoma of the breast (IDC) has not been determined. Methods and results: Podoplanin expression was analysed in 117 cases of IDC and 27 cases of fibrocystic change, as well as in breast cancer cell lines, with the use of immunohistochemistry and real-time polymerase chain reaction. In 82.1% of analysed tumours, podoplanin was found only in CAFs. Only two of 117 IDC cases (1.7%) were characterized by expression of this glycoprotein in cancer cells. None of the fibrocystic changes or stroma surrounding normal ducts showed podoplanin expression. Podoplanin-positive CAFs correlated with tumour size (P=0.0125), grade of malignancy (P=0.0058), lymph node metastasis (P=0.0149), lymphovascular invasion (LVI) (P=0.0486) and Ki67 expression in cancer cells (P=0.0128). High-level podoplanin expression (&gt;50% of positive stroma) in the tumour stroma was significantly associated with a negative oestrogen status (P=0.0201). Univariate, but not multivariate, analysis showed that podoplanin expression by CAFs was associated with poor patient outcome (P=0.0202). Conclusions: Our results suggest that podoplanin expression by CAFs could be an unfavourable prognostic marker for IDC. © 2011 Blackwell Publishing Limited.","author":[{"dropping-particle":"","family":"Pula","given":"Bartosz","non-dropping-particle":"","parse-names":false,"suffix":""},{"dropping-particle":"","family":"Jethon","given":"Aleksandra","non-dropping-particle":"","parse-names":false,"suffix":""},{"dropping-particle":"","family":"Piotrowska","given":"Aleksandra","non-dropping-particle":"","parse-names":false,"suffix":""},{"dropping-particle":"","family":"Gomulkiewicz","given":"Agnieszka","non-dropping-particle":"","parse-names":false,"suffix":""},{"dropping-particle":"","family":"Owczarek","given":"Tomasz","non-dropping-particle":"","parse-names":false,"suffix":""},{"dropping-particle":"","family":"Calik","given":"Jacek","non-dropping-particle":"","parse-names":false,"suffix":""},{"dropping-particle":"","family":"Wojnar","given":"Andrzej","non-dropping-particle":"","parse-names":false,"suffix":""},{"dropping-particle":"","family":"Witkiewicz","given":"Wojciech","non-dropping-particle":"","parse-names":false,"suffix":""},{"dropping-particle":"","family":"Rys","given":"Janusz","non-dropping-particle":"","parse-names":false,"suffix":""},{"dropping-particle":"","family":"Ugorski","given":"Maciej","non-dropping-particle":"","parse-names":false,"suffix":""},{"dropping-particle":"","family":"Dziegiel","given":"Piotr","non-dropping-particle":"","parse-names":false,"suffix":""},{"dropping-particle":"","family":"Podhorska-Okolow","given":"Marzena","non-dropping-particle":"","parse-names":false,"suffix":""}],"container-title":"Histopathology","id":"ITEM-1","issue":"6","issued":{"date-parts":[["2011","12"]]},"page":"1249-1260","publisher":"Histopathology","title":"Podoplanin expression by cancer-associated fibroblasts predicts poor outcome in invasive ductal breast carcinoma","type":"article-journal","volume":"59"},"uris":["http://www.mendeley.com/documents/?uuid=4c826913-8509-3262-be32-31df2de7f031"]},{"id":"ITEM-2","itemData":{"DOI":"10.1016/j.jaad.2012.03.007","ISSN":"01909622","PMID":"22521203","abstract":"Background: Approximately 4% of cutaneous squamous cell carcinomas (cSCCs) develop lymphatic metastases. The value of lymphatic endothelial markers to enhance the detection of lymphatic tumor invasion in cSCC has not been assessed previously. Objective: We sought to evaluate the use of the antibody D2-40, a podoplanin immunohistochemical marker, to identify tumor lymph vessel invasion in cSCC and to assess its expression in tumor cells. Methods: This was a retrospective case-control study. A series of 101 cSCC, including 51 cases that developed lymphatic metastatic spread (metastasizing cSCC [MSCC]) and 50 cases that resolved definitely after surgical excision (non-MSCC) were included in the study. Lymph vessel invasion using D2-40 was evaluated on all primary biopsy specimens. The percentage of tumor cells showing D2-40 positivity and intensity scoring were recorded. All the immunohistochemical findings were correlated with the clinicopathological features. Results: Lymph vessel invasion was observed in 8% of non-MSCCs and in 25.5% of MSCCs (P =.031). D2-40 expression was significantly increased, both in intensity (odds ratio 4.42 for intensity ++/+++) and in area (odds ratio 2.29 for area &gt;10%), in MSCC when compared with non-MSCC. Interestingly, almost half (49%) of the MSCC had moderate to intense D2-40 positivity compared with 16% of non-MSCC. D2-40 immunohistochemical expression was increased in tumors with an infiltrative pattern of extension. In the multivariate analysis, histologically poorly differentiated tumors, recurrent lesions, and cSCC showing D2-40 overexpression (in intensity) were significantly associated with lymphatic metastases development (odds ratios 15.67, 14.72, and 6.07, respectively). Limitations: This was a retrospective study. Conclusion: The expression of podoplanin associates with high metastatic risk in cSCC.","author":[{"dropping-particle":"","family":"Toll","given":"Agustí","non-dropping-particle":"","parse-names":false,"suffix":""},{"dropping-particle":"","family":"Gimeno-Beltrán","given":"Javier","non-dropping-particle":"","parse-names":false,"suffix":""},{"dropping-particle":"","family":"Ferrandiz-Pulido","given":"Carla","non-dropping-particle":"","parse-names":false,"suffix":""},{"dropping-particle":"","family":"Masferrer","given":"Emili","non-dropping-particle":"","parse-names":false,"suffix":""},{"dropping-particle":"","family":"Yébenes","given":"Mireia","non-dropping-particle":"","parse-names":false,"suffix":""},{"dropping-particle":"","family":"Jucglà","given":"Anna","non-dropping-particle":"","parse-names":false,"suffix":""},{"dropping-particle":"","family":"Abal","given":"Leandre","non-dropping-particle":"","parse-names":false,"suffix":""},{"dropping-particle":"","family":"Martí","given":"Rosa M","non-dropping-particle":"","parse-names":false,"suffix":""},{"dropping-particle":"","family":"Sanmartín","given":"Onofre","non-dropping-particle":"","parse-names":false,"suffix":""},{"dropping-particle":"","family":"Baró","given":"Teresa","non-dropping-particle":"","parse-names":false,"suffix":""},{"dropping-particle":"","family":"Casado","given":"Beatriz","non-dropping-particle":"","parse-names":false,"suffix":""},{"dropping-particle":"","family":"Gandarillas","given":"Alberto","non-dropping-particle":"","parse-names":false,"suffix":""},{"dropping-particle":"","family":"Barranco","given":"Carlos","non-dropping-particle":"","parse-names":false,"suffix":""},{"dropping-particle":"","family":"Costa","given":"Irmgard","non-dropping-particle":"","parse-names":false,"suffix":""},{"dropping-particle":"","family":"Mojal","given":"Sergi","non-dropping-particle":"","parse-names":false,"suffix":""},{"dropping-particle":"","family":"García-Patos","given":"Vicenç","non-dropping-particle":"","parse-names":false,"suffix":""},{"dropping-particle":"","family":"Pujol","given":"Ramon M","non-dropping-particle":"","parse-names":false,"suffix":""}],"container-title":"Journal of the American Academy of Dermatology","id":"ITEM-2","issue":"6","issued":{"date-parts":[["2012","12"]]},"page":"1310-1318","publisher":"J Am Acad Dermatol","title":"D2-40 immunohistochemical overexpression in cutaneous squamous cell carcinomas: A marker of metastatic risk","type":"article-journal","volume":"67"},"uris":["http://www.mendeley.com/documents/?uuid=2f95321b-1b11-37df-97b0-3070ef1a5519"]},{"id":"ITEM-3","itemData":{"DOI":"10.1159/000324926","ISSN":"10152008","PMID":"21613804","abstract":"Objective: Podoplanin, a known lymphatic endothelial cell marker, has been reported to be expressed in various types of cancer. To elucidate the expression of podoplanin in precancerous lesions, we examined the immunohistochemical profiles of podoplanin in oral squamous epithelial lesions. Method: We studied a total of 298 foci of squamous cell carcinoma (SCC), carcinoma in situ (CIS), epithelial dysplasia, and hyperplastic and/or normal epithelial lesions by immunohistochemistry using D2-40. Results: There was no positivity for podoplanin in normal or hyperplastic epithelia, while all of the CIS and SCC foci stained positive. Approximately one third of the mild dysplasia foci (10 of 36 foci, 28%) and 80% of moderate dysplasia foci (78/98) showed grade 1 positive reactions (positive only in the 1st layer). Grade 2 reactions (up to 4th layer) were seen in 4 of 98 moderate dysplasia foci (4%), 29 of 74 CIS foci (39%), and 3 of 30 SCC foci (10%). Grade 3 reactions (to more than 5th layer) were found in 35 (47%) CIS foci and 26 (87%) SCC foci. Conclusions: The relationship between the present histological categorization and podoplanin grade was statistically significant. D2-40 expression is considered to be related to the severity of oral precancerous lesions. Copyright © 2011 S. Karger AG, Basel.","author":[{"dropping-particle":"","family":"Funayama","given":"Akinori","non-dropping-particle":"","parse-names":false,"suffix":""},{"dropping-particle":"","family":"Cheng","given":"Jun","non-dropping-particle":"","parse-names":false,"suffix":""},{"dropping-particle":"","family":"Maruyama","given":"Satoshi","non-dropping-particle":"","parse-names":false,"suffix":""},{"dropping-particle":"","family":"Yamazaki","given":"Manabu","non-dropping-particle":"","parse-names":false,"suffix":""},{"dropping-particle":"","family":"Kobayashi","given":"Takanori","non-dropping-particle":"","parse-names":false,"suffix":""},{"dropping-particle":"","family":"Syafriadi","given":"Mei","non-dropping-particle":"","parse-names":false,"suffix":""},{"dropping-particle":"","family":"Kundu","given":"Sukalyan","non-dropping-particle":"","parse-names":false,"suffix":""},{"dropping-particle":"","family":"Shingaki","given":"Susumu","non-dropping-particle":"","parse-names":false,"suffix":""},{"dropping-particle":"","family":"Saito","given":"Chikara","non-dropping-particle":"","parse-names":false,"suffix":""},{"dropping-particle":"","family":"Saku","given":"Takashi","non-dropping-particle":"","parse-names":false,"suffix":""}],"container-title":"Pathobiology","id":"ITEM-3","issue":"3","issued":{"date-parts":[["2011"]]},"page":"171-180","publisher":"Pathobiology","title":"Enhanced expression of podoplanin in oral carcinomas in situ and squamous cell carcinomas","type":"article-journal","volume":"78"},"uris":["http://www.mendeley.com/documents/?uuid=b305418c-1017-3c5f-b4e4-b5040cea8559"]}],"mendeley":{"formattedCitation":"&lt;sup&gt;[23–25]&lt;/sup&gt;","plainTextFormattedCitation":"[23–25]","previouslyFormattedCitation":"&lt;sup&gt;[23–25]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[23</w:t>
      </w:r>
      <w:r w:rsidR="00BB36AA" w:rsidRPr="00B751AA">
        <w:rPr>
          <w:rFonts w:ascii="Book Antiqua" w:hAnsi="Book Antiqua" w:cs="Arial"/>
          <w:noProof/>
          <w:color w:val="000000" w:themeColor="text1"/>
          <w:sz w:val="24"/>
          <w:szCs w:val="24"/>
          <w:vertAlign w:val="superscript"/>
        </w:rPr>
        <w:t>-</w:t>
      </w:r>
      <w:r w:rsidRPr="00B751AA">
        <w:rPr>
          <w:rFonts w:ascii="Book Antiqua" w:hAnsi="Book Antiqua" w:cs="Arial"/>
          <w:noProof/>
          <w:color w:val="000000" w:themeColor="text1"/>
          <w:sz w:val="24"/>
          <w:szCs w:val="24"/>
          <w:vertAlign w:val="superscript"/>
        </w:rPr>
        <w:t>25]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p>
    <w:p w14:paraId="14762264"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lastRenderedPageBreak/>
        <w:t xml:space="preserve">The most important result of our study is the change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during neoadjuvant chemoradiation. This is a novel finding.</w:t>
      </w:r>
    </w:p>
    <w:p w14:paraId="1312254E"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Our study has demonstrated a change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expression after neoadjuvant treatment in resected tissue compared to </w:t>
      </w:r>
      <w:proofErr w:type="spellStart"/>
      <w:r w:rsidRPr="00B751AA">
        <w:rPr>
          <w:rFonts w:ascii="Book Antiqua" w:hAnsi="Book Antiqua" w:cs="Arial"/>
          <w:color w:val="000000" w:themeColor="text1"/>
          <w:sz w:val="24"/>
          <w:szCs w:val="24"/>
          <w:lang w:val="en-GB"/>
        </w:rPr>
        <w:t>pretreatment</w:t>
      </w:r>
      <w:proofErr w:type="spellEnd"/>
      <w:r w:rsidRPr="00B751AA">
        <w:rPr>
          <w:rFonts w:ascii="Book Antiqua" w:hAnsi="Book Antiqua" w:cs="Arial"/>
          <w:color w:val="000000" w:themeColor="text1"/>
          <w:sz w:val="24"/>
          <w:szCs w:val="24"/>
          <w:lang w:val="en-GB"/>
        </w:rPr>
        <w:t xml:space="preserve"> biopsies of the same individual patients. The </w:t>
      </w:r>
      <w:r w:rsidRPr="00B751AA">
        <w:rPr>
          <w:rFonts w:ascii="Book Antiqua" w:hAnsi="Book Antiqua" w:cs="Arial"/>
          <w:color w:val="000000" w:themeColor="text1"/>
          <w:sz w:val="24"/>
          <w:szCs w:val="24"/>
        </w:rPr>
        <w:t xml:space="preserve">comparison of resection specimen of a patient cohort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pretreated with an only surgery study cohort provided the same result of lower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associated with chemoradiation</w:t>
      </w:r>
      <w:r w:rsidRPr="00B751AA">
        <w:rPr>
          <w:rFonts w:ascii="Book Antiqua" w:hAnsi="Book Antiqua" w:cs="Arial"/>
          <w:color w:val="000000" w:themeColor="text1"/>
          <w:sz w:val="24"/>
          <w:szCs w:val="24"/>
          <w:lang w:val="en-GB"/>
        </w:rPr>
        <w:t>.</w:t>
      </w:r>
    </w:p>
    <w:p w14:paraId="3A2DE60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The present study also revealed that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in </w:t>
      </w:r>
      <w:proofErr w:type="spellStart"/>
      <w:r w:rsidRPr="00B751AA">
        <w:rPr>
          <w:rFonts w:ascii="Book Antiqua" w:hAnsi="Book Antiqua" w:cs="Arial"/>
          <w:color w:val="000000" w:themeColor="text1"/>
          <w:sz w:val="24"/>
          <w:szCs w:val="24"/>
          <w:lang w:val="en-GB"/>
        </w:rPr>
        <w:t>pretreatment</w:t>
      </w:r>
      <w:proofErr w:type="spellEnd"/>
      <w:r w:rsidRPr="00B751AA">
        <w:rPr>
          <w:rFonts w:ascii="Book Antiqua" w:hAnsi="Book Antiqua" w:cs="Arial"/>
          <w:color w:val="000000" w:themeColor="text1"/>
          <w:sz w:val="24"/>
          <w:szCs w:val="24"/>
          <w:lang w:val="en-GB"/>
        </w:rPr>
        <w:t xml:space="preserve"> biopsies is not predictive for therapy response to chemoradiation. A low expression level did not seem to have the consequence of a major response, neither did a high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level with therapy resistance or minor response. Therefore, the thesis that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is expressed specifically by a differentiated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 population with a stem cell like phenotype conferring therapy resistance as described by </w:t>
      </w:r>
      <w:proofErr w:type="spellStart"/>
      <w:r w:rsidRPr="00B751AA">
        <w:rPr>
          <w:rFonts w:ascii="Book Antiqua" w:hAnsi="Book Antiqua" w:cs="Arial"/>
          <w:color w:val="000000" w:themeColor="text1"/>
          <w:sz w:val="24"/>
          <w:szCs w:val="24"/>
          <w:lang w:val="en-GB"/>
        </w:rPr>
        <w:t>Lynam</w:t>
      </w:r>
      <w:proofErr w:type="spellEnd"/>
      <w:r w:rsidRPr="00B751AA">
        <w:rPr>
          <w:rFonts w:ascii="Book Antiqua" w:hAnsi="Book Antiqua" w:cs="Arial"/>
          <w:color w:val="000000" w:themeColor="text1"/>
          <w:sz w:val="24"/>
          <w:szCs w:val="24"/>
          <w:lang w:val="en-GB"/>
        </w:rPr>
        <w:t xml:space="preserve">-Lennon </w:t>
      </w:r>
      <w:r w:rsidRPr="00B751AA">
        <w:rPr>
          <w:rFonts w:ascii="Book Antiqua" w:hAnsi="Book Antiqua" w:cs="Arial"/>
          <w:i/>
          <w:iCs/>
          <w:color w:val="000000" w:themeColor="text1"/>
          <w:sz w:val="24"/>
          <w:szCs w:val="24"/>
          <w:lang w:val="en-GB"/>
        </w:rPr>
        <w:t>et al</w:t>
      </w:r>
      <w:r w:rsidRPr="00B751AA">
        <w:rPr>
          <w:rFonts w:ascii="Book Antiqua" w:hAnsi="Book Antiqua" w:cs="Arial"/>
          <w:color w:val="000000" w:themeColor="text1"/>
          <w:sz w:val="24"/>
          <w:szCs w:val="24"/>
          <w:lang w:val="en-GB"/>
        </w:rPr>
        <w:fldChar w:fldCharType="begin" w:fldLock="1"/>
      </w:r>
      <w:r w:rsidRPr="00B751AA">
        <w:rPr>
          <w:rFonts w:ascii="Book Antiqua" w:hAnsi="Book Antiqua" w:cs="Arial"/>
          <w:color w:val="000000" w:themeColor="text1"/>
          <w:sz w:val="24"/>
          <w:szCs w:val="24"/>
          <w:lang w:val="en-GB"/>
        </w:rPr>
        <w:instrText>ADDIN CSL_CITATION {"citationItems":[{"id":"ITEM-1","itemData":{"DOI":"10.1111/j.1469-185X.2008.00061.x","ISSN":"14647931","PMID":"19046400","abstract":"microRNAs (miRNAs) are highly conserved, non-protein-coding RNAs that function to regulate gene expression. In mammals this regulation is primarily carried out by repression of translation. miRNAs play important roles in homeostatic processes such as development, cell proliferation and cell death. Recently the dysregulation of miRNAs has been linked to cancer initiation and progression, indicating that miRNAs may play roles as tumour suppressor genes or oncogenes. The role of miRNAs in apoptosis is not fully understood, however, evidence is mounting that miRNAs are important in this process. The dysregulation of miRNAs involved in apoptosis may provide a mechanism for cancer development and resistance to cancer therapy. This review examines the biosynthesis of miRNA, the mechanisms of miRNA target regulation and the involvement of miRNAs in the initiation and progression of human cancer. It will include miRNAs involved in apoptosis, specifically those miRNAs involved in the regulation of apoptotic pathways and tumour suppressor/oncogene networks. It will also consider emerging evidence supporting a role for miRNAs in modulating sensitivity to anti-cancer therapy. © 2008 The Authors.","author":[{"dropping-particle":"","family":"Lynam-Lennon","given":"Niamh","non-dropping-particle":"","parse-names":false,"suffix":""},{"dropping-particle":"","family":"Maher","given":"Stephen G","non-dropping-particle":"","parse-names":false,"suffix":""},{"dropping-particle":"V","family":"Reynolds","given":"John","non-dropping-particle":"","parse-names":false,"suffix":""}],"container-title":"Biological Reviews","id":"ITEM-1","issue":"1","issued":{"date-parts":[["2009","2"]]},"page":"55-71","publisher":"Biol Rev Camb Philos Soc","title":"The roles of microRNA in cancer and apoptosis","type":"article","volume":"84"},"uris":["http://www.mendeley.com/documents/?uuid=b89cf406-633b-322a-9db3-7a0e8b45cea7"]}],"mendeley":{"formattedCitation":"&lt;sup&gt;[26]&lt;/sup&gt;","plainTextFormattedCitation":"[26]","previouslyFormattedCitation":"&lt;sup&gt;[26]&lt;/sup&gt;"},"properties":{"noteIndex":0},"schema":"https://github.com/citation-style-language/schema/raw/master/csl-citation.json"}</w:instrText>
      </w:r>
      <w:r w:rsidRPr="00B751AA">
        <w:rPr>
          <w:rFonts w:ascii="Book Antiqua" w:hAnsi="Book Antiqua" w:cs="Arial"/>
          <w:color w:val="000000" w:themeColor="text1"/>
          <w:sz w:val="24"/>
          <w:szCs w:val="24"/>
          <w:lang w:val="en-GB"/>
        </w:rPr>
        <w:fldChar w:fldCharType="separate"/>
      </w:r>
      <w:r w:rsidRPr="00B751AA">
        <w:rPr>
          <w:rFonts w:ascii="Book Antiqua" w:hAnsi="Book Antiqua" w:cs="Arial"/>
          <w:noProof/>
          <w:color w:val="000000" w:themeColor="text1"/>
          <w:sz w:val="24"/>
          <w:szCs w:val="24"/>
          <w:vertAlign w:val="superscript"/>
          <w:lang w:val="en-GB"/>
        </w:rPr>
        <w:t>[26]</w:t>
      </w:r>
      <w:r w:rsidRPr="00B751AA">
        <w:rPr>
          <w:rFonts w:ascii="Book Antiqua" w:hAnsi="Book Antiqua" w:cs="Arial"/>
          <w:color w:val="000000" w:themeColor="text1"/>
          <w:sz w:val="24"/>
          <w:szCs w:val="24"/>
          <w:lang w:val="en-GB"/>
        </w:rPr>
        <w:fldChar w:fldCharType="end"/>
      </w:r>
      <w:r w:rsidRPr="00B751AA">
        <w:rPr>
          <w:rFonts w:ascii="Book Antiqua" w:hAnsi="Book Antiqua" w:cs="Arial"/>
          <w:color w:val="000000" w:themeColor="text1"/>
          <w:sz w:val="24"/>
          <w:szCs w:val="24"/>
          <w:vertAlign w:val="superscript"/>
          <w:lang w:val="en-GB"/>
        </w:rPr>
        <w:t xml:space="preserve"> </w:t>
      </w:r>
      <w:r w:rsidRPr="00B751AA">
        <w:rPr>
          <w:rFonts w:ascii="Book Antiqua" w:hAnsi="Book Antiqua" w:cs="Arial"/>
          <w:color w:val="000000" w:themeColor="text1"/>
          <w:sz w:val="24"/>
          <w:szCs w:val="24"/>
          <w:lang w:val="en-GB"/>
        </w:rPr>
        <w:t xml:space="preserve">does not seem to be the fact for </w:t>
      </w:r>
      <w:r w:rsidRPr="00B751AA">
        <w:rPr>
          <w:rStyle w:val="Absatz-Standardschriftart5"/>
          <w:rFonts w:ascii="Book Antiqua" w:eastAsia="Symbol" w:hAnsi="Book Antiqua" w:cs="Arial"/>
          <w:color w:val="000000" w:themeColor="text1"/>
          <w:sz w:val="24"/>
          <w:szCs w:val="24"/>
          <w:lang w:val="fr-FR"/>
        </w:rPr>
        <w:t xml:space="preserve">ESCC. </w:t>
      </w:r>
      <w:r w:rsidRPr="00B751AA">
        <w:rPr>
          <w:rFonts w:ascii="Book Antiqua" w:hAnsi="Book Antiqua" w:cs="Arial"/>
          <w:color w:val="000000" w:themeColor="text1"/>
          <w:sz w:val="24"/>
          <w:szCs w:val="24"/>
          <w:lang w:val="fr-FR"/>
        </w:rPr>
        <w:t xml:space="preserve">There was no significant difference in podoplanin expression between 35 minor and 23 </w:t>
      </w:r>
      <w:r w:rsidR="00BB36AA" w:rsidRPr="00B751AA">
        <w:rPr>
          <w:rFonts w:ascii="Book Antiqua" w:hAnsi="Book Antiqua" w:cs="Arial"/>
          <w:color w:val="000000" w:themeColor="text1"/>
          <w:sz w:val="24"/>
          <w:szCs w:val="24"/>
          <w:lang w:val="fr-FR"/>
        </w:rPr>
        <w:t>majors</w:t>
      </w:r>
      <w:r w:rsidRPr="00B751AA">
        <w:rPr>
          <w:rFonts w:ascii="Book Antiqua" w:hAnsi="Book Antiqua" w:cs="Arial"/>
          <w:color w:val="000000" w:themeColor="text1"/>
          <w:sz w:val="24"/>
          <w:szCs w:val="24"/>
          <w:lang w:val="fr-FR"/>
        </w:rPr>
        <w:t xml:space="preserve"> responding ESCC patients.</w:t>
      </w:r>
      <w:r w:rsidRPr="00B751AA">
        <w:rPr>
          <w:rFonts w:ascii="Book Antiqua" w:hAnsi="Book Antiqua" w:cs="Arial"/>
          <w:color w:val="000000" w:themeColor="text1"/>
          <w:sz w:val="24"/>
          <w:szCs w:val="24"/>
          <w:lang w:val="en-GB"/>
        </w:rPr>
        <w:t xml:space="preserve"> Due to the changed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rPr>
        <w:t>expression after neoadjuvant treatment this protein</w:t>
      </w:r>
      <w:r w:rsidRPr="00B751AA">
        <w:rPr>
          <w:rFonts w:ascii="Book Antiqua" w:hAnsi="Book Antiqua" w:cs="Arial"/>
          <w:color w:val="000000" w:themeColor="text1"/>
          <w:sz w:val="24"/>
          <w:szCs w:val="24"/>
          <w:lang w:val="en-GB"/>
        </w:rPr>
        <w:t xml:space="preserve"> might rather be a target for therapy than a response predictive marker.</w:t>
      </w:r>
    </w:p>
    <w:p w14:paraId="0DDF237E"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rPr>
        <w:t xml:space="preserve">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was associated with ESCC. </w:t>
      </w:r>
      <w:r w:rsidRPr="00B751AA">
        <w:rPr>
          <w:rFonts w:ascii="Book Antiqua" w:hAnsi="Book Antiqua" w:cs="Arial"/>
          <w:color w:val="000000" w:themeColor="text1"/>
          <w:sz w:val="24"/>
          <w:szCs w:val="24"/>
          <w:lang w:val="de-DE"/>
        </w:rPr>
        <w:t>A reason for high podoplanin expression in squamous cell carcinoma in contrast to adenocarcinoma might be that podoplanin is expressed in some adult normal cells like lung alveolar cells, glomerular podocytes, as well as in basal epithelium of cervix and esophagus. ESCC develops from squamous epithelial cells, whereas in EAC these cells are replaced by columnar intestinal-type mucosa. EAC develops from Barrett esophagus</w:t>
      </w:r>
      <w:r w:rsidRPr="00B751AA">
        <w:rPr>
          <w:rFonts w:ascii="Book Antiqua" w:hAnsi="Book Antiqua" w:cs="Arial"/>
          <w:color w:val="000000" w:themeColor="text1"/>
          <w:sz w:val="24"/>
          <w:szCs w:val="24"/>
          <w:vertAlign w:val="superscript"/>
          <w:lang w:val="de-DE"/>
        </w:rPr>
        <w:t>[27]</w:t>
      </w:r>
      <w:r w:rsidRPr="00B751AA">
        <w:rPr>
          <w:rFonts w:ascii="Book Antiqua" w:hAnsi="Book Antiqua" w:cs="Arial"/>
          <w:color w:val="000000" w:themeColor="text1"/>
          <w:sz w:val="24"/>
          <w:szCs w:val="24"/>
          <w:lang w:val="de-DE"/>
        </w:rPr>
        <w:t>.</w:t>
      </w:r>
    </w:p>
    <w:p w14:paraId="4461570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Additionally, we were able to demonstrate high expression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to be a marker for worse prognosis in accordance with data reviewed by </w:t>
      </w:r>
      <w:r w:rsidRPr="00B751AA">
        <w:rPr>
          <w:rFonts w:ascii="Book Antiqua" w:hAnsi="Book Antiqua" w:cs="Arial"/>
          <w:color w:val="000000" w:themeColor="text1"/>
          <w:sz w:val="24"/>
          <w:szCs w:val="24"/>
          <w:lang w:eastAsia="de-DE"/>
        </w:rPr>
        <w:t xml:space="preserve">Wang </w:t>
      </w:r>
      <w:r w:rsidRPr="00B751AA">
        <w:rPr>
          <w:rFonts w:ascii="Book Antiqua" w:hAnsi="Book Antiqua" w:cs="Arial"/>
          <w:i/>
          <w:iCs/>
          <w:color w:val="000000" w:themeColor="text1"/>
          <w:sz w:val="24"/>
          <w:szCs w:val="24"/>
          <w:lang w:eastAsia="de-DE"/>
        </w:rPr>
        <w:t>et al</w:t>
      </w:r>
      <w:r w:rsidRPr="00B751AA">
        <w:rPr>
          <w:rFonts w:ascii="Book Antiqua" w:hAnsi="Book Antiqua" w:cs="Arial"/>
          <w:color w:val="000000" w:themeColor="text1"/>
          <w:sz w:val="24"/>
          <w:szCs w:val="24"/>
          <w:lang w:eastAsia="de-DE"/>
        </w:rPr>
        <w:fldChar w:fldCharType="begin" w:fldLock="1"/>
      </w:r>
      <w:r w:rsidRPr="00B751AA">
        <w:rPr>
          <w:rFonts w:ascii="Book Antiqua" w:hAnsi="Book Antiqua" w:cs="Arial"/>
          <w:color w:val="000000" w:themeColor="text1"/>
          <w:sz w:val="24"/>
          <w:szCs w:val="24"/>
          <w:lang w:eastAsia="de-DE"/>
        </w:rPr>
        <w:instrText>ADDIN CSL_CITATION {"citationItems":[{"id":"ITEM-1","itemData":{"DOI":"10.1186/s40880-017-0232-5","ISSN":"1944-446X","PMID":"28818096","abstract":"Esophageal squamous cell carcinoma (ESCC) is an aggressive malignancy, with a high incidence and poor prognosis. In the past several decades, hundreds of proteins have been reported to be associated with the prognosis of ESCC, but none has been widely accepted to guide clinical care. This study aimed to identify proteins with great potential for predicting prognosis of ESCC. We conducted a systematic review on immunohistochemical (IHC) prognostic markers of ESCC according to the 2009 Preferred Reporting Items for Systematic Reviews and Meta-Analyses (PRISMA) Guidelines. Literature related to IHC prognostic markers of ESCC were searched from PubMed, Embase, Web of Science, and Cochrane Library until January 30th, 2017. The risk of bias of these original studies was evaluated using the Quality in Prognosis Studies (QUIPS) tool. We identified 11 emerging IHC markers with reproducible results, including eight markers [epidermal growth factor receptor (EGFR), Cyclin D1, vascular endothelial growth factor (VEGF), Survivin, Podoplanin, Fascin, phosphorylated mammalian target of rapamycin (p-mTOR), and pyruvate kinase M2 (PKM2)] indicating unfavorable prognosis and 3 markers (P27, P16, and E-cadherin) indicating favorable prognosis of ESCC. Strong evidence supports that these 11 emerging IHC markers or their combinations may be useful in predicting prognosis and aiding personalized therapy decision-making for ESCC patients.","author":[{"dropping-particle":"","family":"Wang","given":"Chunni","non-dropping-particle":"","parse-names":false,"suffix":""},{"dropping-particle":"","family":"Wang","given":"Jingnan","non-dropping-particle":"","parse-names":false,"suffix":""},{"dropping-particle":"","family":"Chen","given":"Zhaoli","non-dropping-particle":"","parse-names":false,"suffix":""},{"dropping-particle":"","family":"Gao","given":"Yibo","non-dropping-particle":"","parse-names":false,"suffix":""},{"dropping-particle":"","family":"He","given":"Jie","non-dropping-particle":"","parse-names":false,"suffix":""}],"container-title":"Chinese Journal of Cancer","id":"ITEM-1","issue":"1","issued":{"date-parts":[["2017","8","17"]]},"page":"65","publisher":"Chin J Cancer","title":"Immunohistochemical prognostic markers of esophageal squamous cell carcinoma: a systematic review","type":"article-journal","volume":"36"},"uris":["http://www.mendeley.com/documents/?uuid=06733ecd-5828-35c5-8956-49e23f8db913"]}],"mendeley":{"formattedCitation":"&lt;sup&gt;[22]&lt;/sup&gt;","plainTextFormattedCitation":"[22]","previouslyFormattedCitation":"&lt;sup&gt;[22]&lt;/sup&gt;"},"properties":{"noteIndex":0},"schema":"https://github.com/citation-style-language/schema/raw/master/csl-citation.json"}</w:instrText>
      </w:r>
      <w:r w:rsidRPr="00B751AA">
        <w:rPr>
          <w:rFonts w:ascii="Book Antiqua" w:hAnsi="Book Antiqua" w:cs="Arial"/>
          <w:color w:val="000000" w:themeColor="text1"/>
          <w:sz w:val="24"/>
          <w:szCs w:val="24"/>
          <w:lang w:eastAsia="de-DE"/>
        </w:rPr>
        <w:fldChar w:fldCharType="separate"/>
      </w:r>
      <w:r w:rsidRPr="00B751AA">
        <w:rPr>
          <w:rFonts w:ascii="Book Antiqua" w:hAnsi="Book Antiqua" w:cs="Arial"/>
          <w:noProof/>
          <w:color w:val="000000" w:themeColor="text1"/>
          <w:sz w:val="24"/>
          <w:szCs w:val="24"/>
          <w:vertAlign w:val="superscript"/>
          <w:lang w:eastAsia="de-DE"/>
        </w:rPr>
        <w:t>[</w:t>
      </w:r>
      <w:r w:rsidR="0055432A" w:rsidRPr="00B751AA">
        <w:rPr>
          <w:rFonts w:ascii="Book Antiqua" w:hAnsi="Book Antiqua" w:cs="Arial"/>
          <w:noProof/>
          <w:color w:val="000000" w:themeColor="text1"/>
          <w:sz w:val="24"/>
          <w:szCs w:val="24"/>
          <w:vertAlign w:val="superscript"/>
          <w:lang w:eastAsia="de-DE"/>
        </w:rPr>
        <w:t>2</w:t>
      </w:r>
      <w:r w:rsidR="0052322B">
        <w:rPr>
          <w:rFonts w:ascii="Book Antiqua" w:hAnsi="Book Antiqua" w:cs="Arial"/>
          <w:noProof/>
          <w:color w:val="000000" w:themeColor="text1"/>
          <w:sz w:val="24"/>
          <w:szCs w:val="24"/>
          <w:vertAlign w:val="superscript"/>
          <w:lang w:eastAsia="de-DE"/>
        </w:rPr>
        <w:t>2</w:t>
      </w:r>
      <w:r w:rsidRPr="00B751AA">
        <w:rPr>
          <w:rFonts w:ascii="Book Antiqua" w:hAnsi="Book Antiqua" w:cs="Arial"/>
          <w:noProof/>
          <w:color w:val="000000" w:themeColor="text1"/>
          <w:sz w:val="24"/>
          <w:szCs w:val="24"/>
          <w:vertAlign w:val="superscript"/>
          <w:lang w:eastAsia="de-DE"/>
        </w:rPr>
        <w:t>]</w:t>
      </w:r>
      <w:r w:rsidRPr="00B751AA">
        <w:rPr>
          <w:rFonts w:ascii="Book Antiqua" w:hAnsi="Book Antiqua" w:cs="Arial"/>
          <w:color w:val="000000" w:themeColor="text1"/>
          <w:sz w:val="24"/>
          <w:szCs w:val="24"/>
          <w:lang w:eastAsia="de-DE"/>
        </w:rPr>
        <w:fldChar w:fldCharType="end"/>
      </w:r>
      <w:r w:rsidRPr="00B751AA">
        <w:rPr>
          <w:rFonts w:ascii="Book Antiqua" w:hAnsi="Book Antiqua" w:cs="Arial"/>
          <w:color w:val="000000" w:themeColor="text1"/>
          <w:sz w:val="24"/>
          <w:szCs w:val="24"/>
          <w:lang w:eastAsia="de-DE"/>
        </w:rPr>
        <w:t>.</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rPr>
        <w:t xml:space="preserve">Therefore, there may be a therapeutic effect by inhibiting this </w:t>
      </w:r>
      <w:r w:rsidRPr="00B751AA">
        <w:rPr>
          <w:rFonts w:ascii="Book Antiqua" w:hAnsi="Book Antiqua" w:cs="Arial"/>
          <w:color w:val="000000" w:themeColor="text1"/>
          <w:sz w:val="24"/>
          <w:szCs w:val="24"/>
        </w:rPr>
        <w:lastRenderedPageBreak/>
        <w:t xml:space="preserve">target. Monoclonal antibodies against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have already been produced for a potential target-based 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{"citationItems":[{"id":"ITEM-1","itemData":{"DOI":"10.1038/srep05924","ISSN":"20452322","PMID":"25080943","abstract":"Podoplanin (PDPN/Aggrus/T1Î±), a platelet aggregation-inducing mucin-like sialoglycoprotein, is highly expressed in many cancers and normal tissues. A neutralizing monoclonal antibody (mAb; NZ-1) can block the association between podoplanin and C-type lectin-like receptor-2 (CLEC-2) and inhibit podoplanin-induced cancer metastasis, but NZ-1 reacts with podoplanin-expressing normal cells such as lymphatic endothelial cells. In this study, we established a cancer-specific mAb (CasMab) against human podoplanin. Aberrantly glycosylated podoplanin including keratan sulfate or aberrant sialylation, which was expressed in LN229 glioblastoma cells, was used as an immunogen. The newly established LpMab-2 mAb recognized both an aberrant O-glycosylation and a Thr55-Leu64 peptide from human podoplanin. Because LpMab-2 reacted with podoplanin-expressing cancer cells but not with normal cells, as shown by flow cytometry and immunohistochemistry, it is an anti-podoplanin CasMab that is expected to be useful for molecular targeting therapy against podoplanin-expressing cancers.","author":[{"dropping-particle":"","family":"Kato","given":"Yukinari","non-dropping-particle":"","parse-names":false,"suffix":""},{"dropping-particle":"","family":"Kaneko","given":"Mika Kato","non-dropping-particle":"","parse-names":false,"suffix":""}],"container-title":"Scientific Reports","id":"ITEM-1","issued":{"date-parts":[["2014","8","1"]]},"page":"5924","publisher":"Sci Rep","title":"A cancer-specific monoclonal antibody recognizes the aberrantly glycosylated podoplanin","type":"article-journal","volume":"4"},"uris":["http://www.mendeley.com/documents/?uuid=1da21320-fdd3-3685-9809-04dcec760168"]},{"id":"ITEM-2","itemData":{"DOI":"10.1016/j.bbrc.2006.08.171","ISSN":"0006291X","PMID":"16979138","abstract":"The mucin-type sialoglycoprotein, podoplanin (aggrus), is a platelet-aggregating factor on cancer cells. We previously described up-regulated expression of podoplanin in malignant astrocytic tumors including glioblastoma. Its expression was associated with tumor malignancy. In the present study, we investigated podoplanin expression and platelet-aggregating activities of glioblastoma cell lines. First, we established a highly reactive anti-podoplanin antibody, NZ-1, which inhibits podoplanin-induced platelet aggregation completely. Of 15 glioblastoma cell lines, LN319 highly expressed podoplanin and induced platelet aggregation. Glycan profiling using a lectin microarray showed that podoplanin on LN319 possesses sialic acid, which is important in podoplanin-induced platelet aggregation. Interestingly, NZ-1 neutralized platelet aggregation by LN319. These results suggest that podoplanin is a main reason for platelet aggregation induced by LN319. We infer that NZ-1 is useful to determine whether platelet aggregation is podoplanin-specific or not. Furthermore, podoplanin might become a therapeutic target of glioblastoma for antibody-based therapy. © 2006 Elsevier Inc. All rights reserved.","author":[{"dropping-particle":"","family":"Kato","given":"Yukinari","non-dropping-particle":"","parse-names":false,"suffix":""},{"dropping-particle":"","family":"Kaneko","given":"Mika Kato","non-dropping-particle":"","parse-names":false,"suffix":""},{"dropping-particle":"","family":"Kuno","given":"Atsushi","non-dropping-particle":"","parse-names":false,"suffix":""},{"dropping-particle":"","family":"Uchiyama","given":"Noboru","non-dropping-particle":"","parse-names":false,"suffix":""},{"dropping-particle":"","family":"Amano","given":"Koh","non-dropping-particle":"","parse-names":false,"suffix":""},{"dropping-particle":"","family":"Chiba","given":"Yasunori","non-dropping-particle":"","parse-names":false,"suffix":""},{"dropping-particle":"","family":"Hasegawa","given":"Yasushi","non-dropping-particle":"","parse-names":false,"suffix":""},{"dropping-particle":"","family":"Hirabayashi","given":"Jun","non-dropping-particle":"","parse-names":false,"suffix":""},{"dropping-particle":"","family":"Narimatsu","given":"Hisashi","non-dropping-particle":"","parse-names":false,"suffix":""},{"dropping-particle":"","family":"Mishima","given":"Kazuhiko","non-dropping-particle":"","parse-names":false,"suffix":""},{"dropping-particle":"","family":"Osawa","given":"Motoki","non-dropping-particle":"","parse-names":false,"suffix":""}],"container-title":"Biochemical and Biophysical Research Communications","id":"ITEM-2","issue":"4","issued":{"date-parts":[["2006","11","3"]]},"page":"1301-1307","publisher":"Biochem Biophys Res Commun","title":"Inhibition of tumor cell-induced platelet aggregation using a novel anti-podoplanin antibody reacting with its platelet-aggregation-stimulating domain","type":"article-journal","volume":"349"},"uris":["http://www.mendeley.com/documents/?uuid=63194940-f6b6-3163-af6b-e8a946177b57"]},{"id":"ITEM-3","itemData":{"DOI":"10.1111/j.1349-7006.2011.02058.x","ISSN":"13479032","PMID":"21824222","abstract":"The platelet aggregation-inducing factor, Aggrus (also known as podoplanin), is reported to contribute to cancer metastasis by mediating cancer cell-platelet interaction. Aggrus has been shown to be upregulated in many different types of cancers. Thus, not only the functional inhibition of Aggrus, but also its application as a cancer-specific antigen has therapeutic potential. Among a series of anti-Aggrus mAb established previously, no mouse anti-human Aggrus mAb exists that possesses the ability to neutralize platelet aggregation. For precise preclinical examinations of mouse and monkey models, the establishment of Aggrus-neutralizing mouse mAb and their chimeric Abs is needed. In this study, we established two mouse anti-human Aggrus mAb, P2-0 and HAG-3. A precise analysis of their epitopes revealed that P2-0 recognized the conformation near the bioactive O-glycosylation site at the Thr 52 residue. In contrast, HAG-3 recognized the amino-terminus side at a short distance from the conformation recognized by P2-0. We observed that only P2-0 attenuated Aggrus-induced platelet aggregation and Aggrus binding to its platelet receptor, that is, the C-type lectin-like receptor-2. Consistent with these data, only P2-0 prevented the experimental metastasis of human Aggrus-overexpressing CHO cells. Subsequently, we cloned the complementary determining region of P2-0 and produced the murine/human chimeric P2-0 antibody. This chimeric antibody maintained its inhibitory activity of Aggrus-induced platelet aggregation and experimental metastasis. Thus, P2-0 and its chimeric antibody are expected to aid the development of preclinical and clinical examinations of Aggrus-targeted cancer therapy. © 2011 Japanese Cancer Association.","author":[{"dropping-particle":"","family":"Nakazawa","given":"Youya","non-dropping-particle":"","parse-names":false,"suffix":""},{"dropping-particle":"","family":"Takagi","given":"Satoshi","non-dropping-particle":"","parse-names":false,"suffix":""},{"dropping-particle":"","family":"Sato","given":"Shigeo","non-dropping-particle":"","parse-names":false,"suffix":""},{"dropping-particle":"","family":"Oh-hara","given":"Tomoko","non-dropping-particle":"","parse-names":false,"suffix":""},{"dropping-particle":"","family":"Koike","given":"Sumie","non-dropping-particle":"","parse-names":false,"suffix":""},{"dropping-particle":"","family":"Takami","given":"Miho","non-dropping-particle":"","parse-names":false,"suffix":""},{"dropping-particle":"","family":"Arai","given":"Hiroyuki","non-dropping-particle":"","parse-names":false,"suffix":""},{"dropping-particle":"","family":"Fujita","given":"Naoya","non-dropping-particle":"","parse-names":false,"suffix":""}],"container-title":"Cancer Science","id":"ITEM-3","issue":"11","issued":{"date-parts":[["2011","11"]]},"page":"2051-2057","publisher":"Cancer Sci","title":"Prevention of hematogenous metastasis by neutralizing mice and its chimeric anti-Aggrus/podoplanin antibodies","type":"article-journal","volume":"102"},"uris":["http://www.mendeley.com/documents/?uuid=76b724ee-b759-3114-ba06-6465176aa6fe"]}],"mendeley":{"formattedCitation":"&lt;sup&gt;[27–29]&lt;/sup&gt;","plainTextFormattedCitation":"[27–29]","previouslyFormattedCitation":"&lt;sup&gt;[27–29]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[28-30]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
    <w:p w14:paraId="6554F24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rPr>
        <w:t xml:space="preserve">The biological function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does support this therapeutic option.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is a mucin-like transmembrane glycoprotein associated with cancer cell invasion and migration</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{"citationItems":[{"id":"ITEM-1","itemData":{"DOI":"10.3892/mmr.2014.2338","ISSN":"17913004","PMID":"24938315","abstract":"Podoplanin (PDPN) is a well established lymphatic endothelial marker and has frequently been observed in cancer cells at the edge of cancer masses. Previous studies investigating the association between PDPN expression and patient prognosis have had contradictory results. In the present study, it was hypothesized that the different locations of PDPN-positive cells may explain these varying results. The present study aimed to focus on PDPN expression at the edge of esophageal cancer cell nests. In order to analyze the clinical significance of this PDPN expression, immunohistochemistry was performed using esophageal cancer tissue microarrays. PDPN expression at the edge of the cancer cell nest was found to be significantly associated with invasion (P&lt;0.05) and poor prognosis (P&lt;0.001) in patients with cancer. To further investigate the role of PDPN expression in cancer cells, the PDPN gene was cloned and transfected into esophageal squamous cell carcinoma (ESCC) cell lines. PDPN expression was also knocked down using small interfering RNA. PDPN-positive cancer cells were found to exhibit invasion characteristics. Thus, PDPN expression at the edge of a cancer cell nest may indicate invasion and represent a poor prognostic factor for ESCCs.","author":[{"dropping-particle":"","family":"Li","given":"Jiang Chao","non-dropping-particle":"","parse-names":false,"suffix":""},{"dropping-particle":"","family":"Li","given":"Yan","non-dropping-particle":"","parse-names":false,"suffix":""},{"dropping-particle":"","family":"Ai","given":"Jiao Yu","non-dropping-particle":"","parse-names":false,"suffix":""},{"dropping-particle":"","family":"Chen","given":"Kai","non-dropping-particle":"","parse-names":false,"suffix":""},{"dropping-particle":"","family":"Zhu","given":"Ying Hui","non-dropping-particle":"","parse-names":false,"suffix":""},{"dropping-particle":"","family":"Fu","given":"L. I.","non-dropping-particle":"","parse-names":false,"suffix":""},{"dropping-particle":"","family":"Qin","given":"Yan Ru","non-dropping-particle":"","parse-names":false,"suffix":""},{"dropping-particle":"","family":"Wang","given":"Li Jing","non-dropping-particle":"","parse-names":false,"suffix":""},{"dropping-particle":"","family":"Guan","given":"Xin Yuan","non-dropping-particle":"","parse-names":false,"suffix":""}],"container-title":"Molecular Medicine Reports","id":"ITEM-1","issue":"3","issued":{"date-parts":[["2014","9"]]},"page":"1513-1518","publisher":"Mol Med Rep","title":"Podoplanin-positive cancer cells at the edge of esophageal squamous cell carcinomas are involved in invasion","type":"article-journal","volume":"10"},"uris":["http://www.mendeley.com/documents/?uuid=b06bd2c4-d4a9-3279-a073-a9386539ee18"]}],"mendeley":{"formattedCitation":"&lt;sup&gt;[30]&lt;/sup&gt;","plainTextFormattedCitation":"[30]","previouslyFormattedCitation":"&lt;sup&gt;[30]&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[31]</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vertAlign w:val="superscript"/>
        </w:rPr>
        <w:t xml:space="preserve"> </w:t>
      </w:r>
      <w:r w:rsidRPr="00B751AA">
        <w:rPr>
          <w:rFonts w:ascii="Book Antiqua" w:hAnsi="Book Antiqua" w:cs="Arial"/>
          <w:color w:val="000000" w:themeColor="text1"/>
          <w:sz w:val="24"/>
          <w:szCs w:val="24"/>
        </w:rPr>
        <w:t>and has been identified as a marker for early infiltrative carcinoma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{"citationItems":[{"id":"ITEM-1","itemData":{"DOI":"10.18632/oncotarget.14596","ISSN":"19492553","PMID":"28086225","abstract":"The esophageal squamous cell carcinoma (ESCC) is usually develped from lowgrade intraepithelial neoplasia (LGIEN) and high-grade intraepithelial neoplasia (HGIEN) to infiltrative squamous cell carcinoma. Till now, it remains hard to screen for infiltration at earlier stages, especially the differentiation between HGEIN and early infiltrative carcinoma. The purpose of this study is to determine a role of podoplanin in differentiating between HGEIN and early infiltrative squamous cell carcinoma. Totally 133 patients pathologically diagnosed with early ESCC and/or precancerous lesions were enrolled.The EnVision two-step IHC staining technique was applied using the monoclonal mouse anti-human Podoplanin antibody (clone number: D2-40). The expressions of PDPN protein on the basal layer of squamous epithelium lesions could be divided into three different patterns: complete type, incomplete (non-continuous) type, or missing type. A diagnosis of HGEIN can be made if the basal layer showed non-continuous or complete expression of PDPN and a diagnosis of early infiltration can be made if the expression of PDPN is completely missing. Our study confirmed that PDPN was a potential biomarker to identify the presence of early infiltrative squamous cell carcinoma.","author":[{"dropping-particle":"","family":"Chen","given":"Guangyong","non-dropping-particle":"","parse-names":false,"suffix":""},{"dropping-particle":"","family":"Xu","given":"Rui","non-dropping-particle":"","parse-names":false,"suffix":""},{"dropping-particle":"","family":"Yue","given":"Bing","non-dropping-particle":"","parse-names":false,"suffix":""},{"dropping-particle":"","family":"Mei","given":"Xue","non-dropping-particle":"","parse-names":false,"suffix":""},{"dropping-particle":"","family":"Li","given":"Peng","non-dropping-particle":"","parse-names":false,"suffix":""},{"dropping-particle":"","family":"Zhou","given":"Xiaoge","non-dropping-particle":"","parse-names":false,"suffix":""},{"dropping-particle":"","family":"Huang","given":"Shoufang","non-dropping-particle":"","parse-names":false,"suffix":""},{"dropping-particle":"","family":"Gong","given":"Liping","non-dropping-particle":"","parse-names":false,"suffix":""},{"dropping-particle":"","family":"Zhang","given":"Shutian","non-dropping-particle":"","parse-names":false,"suffix":""}],"container-title":"Oncotarget","id":"ITEM-1","issue":"12","issued":{"date-parts":[["2017","3","21"]]},"page":"19013-19020","publisher":"Oncotarget","title":"The expression of podoplanin protein is a diagnostic marker to distinguish the early Infiltration of esophageal squamous cell carcinoma","type":"article-journal","volume":"8"},"uris":["http://www.mendeley.com/documents/?uuid=1693300d-d4be-350f-8ef4-73c526e05e1e"]}],"mendeley":{"formattedCitation":"&lt;sup&gt;[31]&lt;/sup&gt;","plainTextFormattedCitation":"[31]","previouslyFormattedCitation":"&lt;sup&gt;[31]&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suggested to be involved in </w:t>
      </w:r>
      <w:proofErr w:type="spellStart"/>
      <w:r w:rsidRPr="00B751AA">
        <w:rPr>
          <w:rFonts w:ascii="Book Antiqua" w:hAnsi="Book Antiqua" w:cs="Arial"/>
          <w:color w:val="000000" w:themeColor="text1"/>
          <w:sz w:val="24"/>
          <w:szCs w:val="24"/>
        </w:rPr>
        <w:t>lymphangiogenesis</w:t>
      </w:r>
      <w:proofErr w:type="spellEnd"/>
      <w:r w:rsidRPr="00B751AA">
        <w:rPr>
          <w:rFonts w:ascii="Book Antiqua" w:hAnsi="Book Antiqua" w:cs="Arial"/>
          <w:color w:val="000000" w:themeColor="text1"/>
          <w:sz w:val="24"/>
          <w:szCs w:val="24"/>
        </w:rPr>
        <w:t xml:space="preserve">, since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deficient mice had dilated malfunctioning lymphatic vessels and lymphedema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{"citationItems":[{"id":"ITEM-1","itemData":{"DOI":"10.1093/emboj/cdg342","ISSN":"02614189","PMID":"12853470","abstract":"Within the vascular system, the mucin-type transmembrane glycoprotein T1α/podoplanin is predominantly expressed by lymphatic endothelium, and recent studies have shown that it is regulated by the lymphatic-specific homeobox gene Prox1. In this study, we examined the role of T1α/podoplanin in vascular development and the effects of gene disruption in mice. T1α/podoplanin is first expressed at around E11.0 in Prox1-positive lymphatic progenitor cells, with predominant localization in the luminal plasma membrane of lymphatic endothelial cells during later development. T1α/podoplanin -/- mice die at birth due to respiratory failure and have defects in lymphatic, but not blood vessel pattern formation. These defects are associated with diminished lymphatic transport, congenital lymphedema and dilation of lymphatic vessels. T1α/podoplanin is also expressed in the basal epidermis of newborn wild-type mice, but gene disruption did not alter epidermal differentiation. Studies in cultured endothelial cells indicate that T1α/podoplanin promotes cell adhesion, migration and tube formation, whereas small interfering RNA-mediated inhibition of T1α/podoplanin expression decreased lymphatic endothelial cell adhesion. These data identify T1α/podoplanin as a novel critical player that regulates different key aspects of lymphatic vasculature formation.","author":[{"dropping-particle":"","family":"Schacht","given":"Vivien","non-dropping-particle":"","parse-names":false,"suffix":""},{"dropping-particle":"","family":"Ramirez","given":"Maria I","non-dropping-particle":"","parse-names":false,"suffix":""},{"dropping-particle":"","family":"Hong","given":"Young Kwon","non-dropping-particle":"","parse-names":false,"suffix":""},{"dropping-particle":"","family":"Hirakawa","given":"Satoshi","non-dropping-particle":"","parse-names":false,"suffix":""},{"dropping-particle":"","family":"Feng","given":"Dian","non-dropping-particle":"","parse-names":false,"suffix":""},{"dropping-particle":"","family":"Harvey","given":"Natasha","non-dropping-particle":"","parse-names":false,"suffix":""},{"dropping-particle":"","family":"Williams","given":"Mary","non-dropping-particle":"","parse-names":false,"suffix":""},{"dropping-particle":"","family":"Dvorak","given":"Ann M.","non-dropping-particle":"","parse-names":false,"suffix":""},{"dropping-particle":"","family":"Dvorak","given":"Harold F","non-dropping-particle":"","parse-names":false,"suffix":""},{"dropping-particle":"","family":"Oliver","given":"Guillermo","non-dropping-particle":"","parse-names":false,"suffix":""},{"dropping-particle":"","family":"Detmar","given":"Michael","non-dropping-particle":"","parse-names":false,"suffix":""}],"container-title":"EMBO Journal","id":"ITEM-1","issue":"14","issued":{"date-parts":[["2003","7","15"]]},"page":"3546-3556","publisher":"EMBO J","title":"T1α/podoplanin deficiency disrupts normal lymphatic vasculature formation and causes lymphedema","type":"article-journal","volume":"22"},"uris":["http://www.mendeley.com/documents/?uuid=01ae384e-7ca9-3d38-9d63-e2d529ceaff0"]}],"mendeley":{"formattedCitation":"&lt;sup&gt;[32]&lt;/sup&gt;","plainTextFormattedCitation":"[32]","previouslyFormattedCitation":"&lt;sup&gt;[32]&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[32]</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 most studied physiological role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is its ability to bind and activate the C-type lectin receptor (CLEC) that is highly expressed by platelets and immunocompetent cells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{"citationItems":[{"id":"ITEM-1","itemData":{"DOI":"10.1182/blood-2010-02-270876","ISSN":"00064971","PMID":"20363774","abstract":"Although platelets appear by embryonic day 10.5 in the developing mouse, an embryonic role for these cells has not been identified. The SYK-SLP-76 signaling pathway is required in blood cells to regulate embryonic blood-lymphatic vascular separation, but the cell type and molecular mechanism underlying this regulatory pathway are not known. In the present study we demonstrate that platelets regulate lymphatic vascular development by directly interacting with lymphatic endothelial cells through C-type lectin-like receptor 2 (CLEC-2) receptors. PODOPLANIN (PDPN), a transmembrane protein expressed on the surface of lymphatic endothelial cells, is required in nonhematopoietic cells for bloodlymphatic separation. Genetic loss of the PDPN receptor CLEC-2 ablates PDPN binding by platelets and confers embryonic lymphatic vascular defects like those seen in animals lacking PDPN or SLP-76. Platelet factor 4-Cre-mediated deletion of Slp-76 is sufficient to confer lymphatic vascular defects, identifying platelets as the cell type in which SLP-76 signaling is required to regulate lymphatic vascular development. Consistent with these genetic findings, we observe SLP-76-dependent platelet aggregate formation on the surface of lymphatic endothelial cells in vivo and ex vivo. These studies identify a nonhemostatic pathway in which platelet CLEC-2 receptors bind lymphatic endothelial PDPN and activate SLP-76 signaling to regulate embryonic vascular development. © 2010 by The American Society of Hematology.","author":[{"dropping-particle":"","family":"Bertozzi","given":"Cara C","non-dropping-particle":"","parse-names":false,"suffix":""},{"dropping-particle":"","family":"Schmaier","given":"Alec A","non-dropping-particle":"","parse-names":false,"suffix":""},{"dropping-particle":"","family":"Mericko","given":"Patricia","non-dropping-particle":"","parse-names":false,"suffix":""},{"dropping-particle":"","family":"Hess","given":"Paul R","non-dropping-particle":"","parse-names":false,"suffix":""},{"dropping-particle":"","family":"Zou","given":"Zhiying","non-dropping-particle":"","parse-names":false,"suffix":""},{"dropping-particle":"","family":"Chen","given":"Mei","non-dropping-particle":"","parse-names":false,"suffix":""},{"dropping-particle":"","family":"Chen","given":"Chiu Yu","non-dropping-particle":"","parse-names":false,"suffix":""},{"dropping-particle":"","family":"Xu","given":"Bin","non-dropping-particle":"","parse-names":false,"suffix":""},{"dropping-particle":"","family":"Lu","given":"Min Min","non-dropping-particle":"","parse-names":false,"suffix":""},{"dropping-particle":"","family":"Zhou","given":"Diane","non-dropping-particle":"","parse-names":false,"suffix":""},{"dropping-particle":"","family":"Sebzda","given":"Eric","non-dropping-particle":"","parse-names":false,"suffix":""},{"dropping-particle":"","family":"Santore","given":"Matthew T","non-dropping-particle":"","parse-names":false,"suffix":""},{"dropping-particle":"","family":"Merianos","given":"Demetri J","non-dropping-particle":"","parse-names":false,"suffix":""},{"dropping-particle":"","family":"Stadtfeld","given":"Matthias","non-dropping-particle":"","parse-names":false,"suffix":""},{"dropping-particle":"","family":"Flake","given":"Alan W","non-dropping-particle":"","parse-names":false,"suffix":""},{"dropping-particle":"","family":"Graf","given":"Thomas","non-dropping-particle":"","parse-names":false,"suffix":""},{"dropping-particle":"","family":"Skoda","given":"Radek","non-dropping-particle":"","parse-names":false,"suffix":""},{"dropping-particle":"","family":"Maltzman","given":"Jonathan S","non-dropping-particle":"","parse-names":false,"suffix":""},{"dropping-particle":"","family":"Koretzky","given":"Gary A","non-dropping-particle":"","parse-names":false,"suffix":""},{"dropping-particle":"","family":"Kahn","given":"Mark L","non-dropping-particle":"","parse-names":false,"suffix":""}],"container-title":"Blood","id":"ITEM-1","issue":"4","issued":{"date-parts":[["2010","7","29"]]},"page":"661-670","publisher":"Blood","title":"Platelets regulate lymphatic vascular development through CLEC-2-SLP-76 signaling","type":"article-journal","volume":"116"},"uris":["http://www.mendeley.com/documents/?uuid=217bf5af-3048-3a90-8a79-380f65d29045"]},{"id":"ITEM-2","itemData":{"DOI":"10.1172/JCI122955","ISSN":"15588238","PMID":"30601137","abstract":"Although platelets are best known for their role in hemostasis, they are also crucial in development, host defense, inflammation, and tissue repair. Many of these roles are regulated by the immune-like receptors glycoprotein VI (GPVI) and C-type lectin receptor 2 (CLEC-2), which signal through an immunoreceptor tyrosine-based activation motif (ITAM). GPVI is activated by collagen in the subendothelial matrix, by fibrin and fibrinogen in the thrombus, and by a remarkable number of other ligands. CLEC-2 is activated by the transmembrane protein podoplanin, which is found outside of the vasculature and is upregulated in development, inflammation, and cancer, but there is also evidence for additional ligands. In this Review, we discuss the physiological and pathological roles of CLEC-2 and GPVI and their potential as targets in thrombosis and thromboinflammatory disorders (i.e., disorders in which inflammation plays a critical role in the ensuing thrombosis) relative to current antiplatelet drugs.","author":[{"dropping-particle":"","family":"Rayes","given":"Julie","non-dropping-particle":"","parse-names":false,"suffix":""},{"dropping-particle":"","family":"Watson","given":"Steve P","non-dropping-particle":"","parse-names":false,"suffix":""},{"dropping-particle":"","family":"Nieswandt","given":"Bernhard","non-dropping-particle":"","parse-names":false,"suffix":""}],"container-title":"Journal of Clinical Investigation","id":"ITEM-2","issue":"1","issued":{"date-parts":[["2019"]]},"page":"12-23","publisher":"J Clin Invest","title":"Functional significance of the platelet immune receptors GPVI and CLEC-2","type":"article","volume":"129"},"uris":["http://www.mendeley.com/documents/?uuid=ec555c38-eff1-3518-84c1-3225592cc437"]}],"mendeley":{"formattedCitation":"&lt;sup&gt;[33,34]&lt;/sup&gt;","plainTextFormattedCitation":"[33,34]","previouslyFormattedCitation":"&lt;sup&gt;[33,34]&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[33,34]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identified as a key factor in tumor-induced platelet aggregation enhancing metastasis by secreting growth factors and forming tumor emboli in the microvasculature, reviewed by H</w:t>
      </w:r>
      <w:r w:rsidR="0055432A" w:rsidRPr="00B751AA">
        <w:rPr>
          <w:rFonts w:ascii="Book Antiqua" w:hAnsi="Book Antiqua" w:cs="Arial"/>
          <w:color w:val="000000" w:themeColor="text1"/>
          <w:sz w:val="24"/>
          <w:szCs w:val="24"/>
        </w:rPr>
        <w:t>i</w:t>
      </w:r>
      <w:r w:rsidRPr="00B751AA">
        <w:rPr>
          <w:rFonts w:ascii="Book Antiqua" w:hAnsi="Book Antiqua" w:cs="Arial"/>
          <w:color w:val="000000" w:themeColor="text1"/>
          <w:sz w:val="24"/>
          <w:szCs w:val="24"/>
        </w:rPr>
        <w:t xml:space="preserve">sada </w:t>
      </w:r>
      <w:r w:rsidR="0055432A"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{"citationItems":[{"id":"ITEM-1","itemData":{"DOI":"10.1182/blood-2017-03-743211","ISSN":"15280020","PMID":"28807983","abstract":"Cancer patients have an increased risk of venous thromboembolism (VTE). In this review, we summarize common and cancer type–specific pathways of VTE in cancer patients. Increased levels of leukocytes, platelets, and tissue factor–positive (TF1) microvesicles (MVs) are all potential factors that alone or in combination increase cancer-associated thrombosis. Patients with lung or colorectal cancer often exhibit leukocytosis. Neutrophils could increase VTE in cancer patients by releasing neutrophil extracellular traps whereas monocytes may express TF. Thrombocytosis is often observed in gastrointestinal, lung, breast, and ovarian cancer and this could decrease the threshold required for VTE. Soluble P-selectin has been identified as a biomarker of cancer-associated thrombosis in a general cancer population and may reflect activation of the endothelium. P-selectin expression by the endothelium may enhance VTE by increasing the recruitment of leukocytes. Studies in patients with pancreatic or brain cancer suggest that elevated levels of PAI-1 may contribute to VTE. Although elevated levels of TF1 MVs have been observed in patients with different types of cancer, an association between TF1 MVs and VTE has been observed only in pancreatic cancer. Podoplanin expression is associated with VTE in patients with brain cancer and may activate platelets. Future studies should measure multiple biomarkers in each cancer type to determine whether combinations of biomarkers can be used as predictors of VTE. A better understanding of the pathways that increase VTE in cancer patients may lead to the development of new therapies to reduce the morbidity and mortality associated with thrombosis.","author":[{"dropping-particle":"","family":"Hisada","given":"Yohei","non-dropping-particle":"","parse-names":false,"suffix":""},{"dropping-particle":"","family":"Mackman","given":"Nigel","non-dropping-particle":"","parse-names":false,"suffix":""}],"container-title":"Blood","id":"ITEM-1","issue":"13","issued":{"date-parts":[["2017"]]},"page":"1499-1506","publisher":"Blood","title":"Cancer-associated pathways and biomarkers of venous thrombosis","type":"article","volume":"130"},"uris":["http://www.mendeley.com/documents/?uuid=70e06338-4eb7-35a0-9e75-3ca468743a19"]}],"mendeley":{"formattedCitation":"&lt;sup&gt;[35]&lt;/sup&gt;","plainTextFormattedCitation":"[35]","previouslyFormattedCitation":"&lt;sup&gt;[35]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Therefore, the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-mediated platelet aggregation might be an effective target for anti-tumor therapies. Platelet aggregation-inducing domains have been detected</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{"citationItems":[{"id":"ITEM-1","itemData":{"DOI":"10.18632/oncotarget.6598","ISSN":"19492553","PMID":"26684030","abstract":"Podoplanin/Aggrus is a sialoglycoprotein expressed in various cancers. We previously identified podoplanin as a key factor in tumor-induced platelet aggregation. Podoplanin-mediated platelet aggregation enhances tumor growth and metastasis by secreting growth factors and by forming tumor emboli in the microvasculature. Thus, precise analysis of the mechanisms of podoplanin-mediated platelet aggregation is critical for developing anti-tumor therapies. Here we report the discovery of a novel platelet aggregation-inducing domain, PLAG4 (81-EDLPT-85). PLAG4 has high homology to the previously reported PLAG3 and contributes to the binding of its platelet receptor CLEC-2. Mutant analyses indicated that PLAG4 exhibits a predominant platelet-aggregating function relative to PLAG3 and that conserved Glu81/Asp82/Thr85 residues in PLAG4 are indispensable for CLEC-2 binding. By establishing anti-PLAG4- neutralizing monoclonal antibodies, we confirmed its role in CLEC-2 binding, platelet aggregation, and tumor emboli formation. Our results suggest the requirement of simultaneous inhibition of PLAG3/4 for complete suppression of podoplanin-mediated tumor growth and metastasis.","author":[{"dropping-particle":"","family":"Sekiguchi","given":"Takaya","non-dropping-particle":"","parse-names":false,"suffix":""},{"dropping-particle":"","family":"Takemoto","given":"Ai","non-dropping-particle":"","parse-names":false,"suffix":""},{"dropping-particle":"","family":"Takagi","given":"Satoshi","non-dropping-particle":"","parse-names":false,"suffix":""},{"dropping-particle":"","family":"Takatori","given":"Kazuki","non-dropping-particle":"","parse-names":false,"suffix":""},{"dropping-particle":"","family":"Sato","given":"Shigeo","non-dropping-particle":"","parse-names":false,"suffix":""},{"dropping-particle":"","family":"Takami","given":"Miho","non-dropping-particle":"","parse-names":false,"suffix":""},{"dropping-particle":"","family":"Fujita","given":"Naoya","non-dropping-particle":"","parse-names":false,"suffix":""}],"container-title":"Oncotarget","id":"ITEM-1","issue":"4","issued":{"date-parts":[["2016","1","26"]]},"page":"3934-3946","publisher":"Oncotarget","title":"Targeting a novel domain in podoplanin for inhibiting plateletmediated tumor metastasis","type":"article-journal","volume":"7"},"uris":["http://www.mendeley.com/documents/?uuid=2b6d5844-97b3-3948-9876-1f5c11227471"]}],"mendeley":{"formattedCitation":"&lt;sup&gt;[15]&lt;/sup&gt;","plainTextFormattedCitation":"[15]","previouslyFormattedCitation":"&lt;sup&gt;[15]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[15]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Aggregated platelets are coating tumor cells during their transit through the bloodstream, are mediating adherence to vascular endothelium, evasion from immune molecules and facilitate growth at metastatic sites.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elicits platelet aggregation as the ligand of CLEC-2</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{"citationItems":[{"id":"ITEM-1","itemData":{"DOI":"10.1016/S0049-3848(12)70013-0","ISSN":"00493848","PMID":"22682130","abstract":"It has long been recognised that the function of platelets in health and disease span far beyond their roles in haemostasis and thrombosis. The observation that tumour cells induce platelet aggregation was followed by extensive experimental evidence linking platelets to cancer progression. Aggregated platelets coat tumour cells during their transit through the bloodstream and mediate adherence to vascular endothelium, protection from shear stresses, evasion from immune molecules, and release of an array of bioactive molecules that facilitate tumour cell extravasation and growth at metastatic sites. The sialyated membrane glycoprotein podoplanin is found on the leading edge of tumour cells and is thought to influence their migratory and invasive properties. Podoplanin elicits powerful platelet aggregation and is the endogenous ligand for the platelet C-type lectin receptor, CLEC-2, which itself regulates podoplanin signalling. Here, the bidirectional relationship between CLEC-2 and podoplanin is described and considered in the context of tumour growth and metastasis. © 2012 Elsevier Ltd.","author":[{"dropping-particle":"","family":"Lowe","given":"Kate L","non-dropping-particle":"","parse-names":false,"suffix":""},{"dropping-particle":"","family":"Navarro-Nunez","given":"Leyre","non-dropping-particle":"","parse-names":false,"suffix":""},{"dropping-particle":"","family":"Watson","given":"Stephen P","non-dropping-particle":"","parse-names":false,"suffix":""}],"container-title":"Thrombosis Research","id":"ITEM-1","issue":"SUPPL. 1","issued":{"date-parts":[["2012","4"]]},"page":"S30-7","publisher":"Thromb Res","title":"PL-06 platelet CLEC-2 and podoplanin in cancer metastasis","type":"paper-conference","volume":"129"},"uris":["http://www.mendeley.com/documents/?uuid=1aeec849-1ea3-3998-b034-9666b39343df"]},{"id":"ITEM-2","itemData":{"DOI":"10.1182/blood-2017-02-764670","ISSN":"15280020","PMID":"28385772","abstract":"In this issue of Blood, Payne et al revealed a novel function of the platelet C–type lectin-like receptor 2 (CLEC-2)/podoplanin interaction in thromboinflammation: podoplanin expression is upregulated in the vessel wall during venous thrombosis. Venous thrombosis is prevented in the absence of CLEC-2.1 The role of platelet CLEC-2 in thromboinflammation has been previously unrecognized, because CLEC-2 plays a relatively minor role in arterial thrombosis and only a minimal role in normal hemostasis. Moreover, a CLEC-2 ligand, podoplanin is not expressed in the normal vessel wall.","author":[{"dropping-particle":"","family":"Suzuki-Inoue","given":"Katsue","non-dropping-particle":"","parse-names":false,"suffix":""}],"container-title":"Blood","id":"ITEM-2","issue":"14","issued":{"date-parts":[["2017"]]},"page":"1896-1898","publisher":"Blood","title":"CLEC-2/podoplanin and thromboinflammation","type":"article","volume":"129"},"uris":["http://www.mendeley.com/documents/?uuid=71ca9131-a31d-3ac2-bf21-13c4fadef5b2"]}],"mendeley":{"formattedCitation":"&lt;sup&gt;[36,37]&lt;/sup&gt;","plainTextFormattedCitation":"[36,37]","previouslyFormattedCitation":"&lt;sup&gt;[36,37]&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[36,37]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r w:rsidRPr="00B751AA">
        <w:rPr>
          <w:rFonts w:ascii="Book Antiqua" w:hAnsi="Book Antiqua" w:cs="Arial"/>
          <w:b/>
          <w:color w:val="000000" w:themeColor="text1"/>
          <w:sz w:val="24"/>
          <w:szCs w:val="24"/>
          <w:lang w:val="en-GB"/>
        </w:rPr>
        <w:t xml:space="preserve"> </w:t>
      </w:r>
      <w:r w:rsidRPr="00B751AA">
        <w:rPr>
          <w:rFonts w:ascii="Book Antiqua" w:hAnsi="Book Antiqua" w:cs="Arial"/>
          <w:color w:val="000000" w:themeColor="text1"/>
          <w:sz w:val="24"/>
          <w:szCs w:val="24"/>
        </w:rPr>
        <w:t xml:space="preserve">The strong 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supports its potential role as a therapeutic target reviewed by</w:t>
      </w:r>
      <w:r w:rsidRPr="00B751AA">
        <w:rPr>
          <w:rFonts w:ascii="Book Antiqua" w:hAnsi="Book Antiqua"/>
          <w:color w:val="000000" w:themeColor="text1"/>
          <w:sz w:val="24"/>
          <w:szCs w:val="24"/>
        </w:rPr>
        <w:t xml:space="preserve"> </w:t>
      </w:r>
      <w:bookmarkStart w:id="5" w:name="OLE_LINK9"/>
      <w:bookmarkStart w:id="6" w:name="OLE_LINK10"/>
      <w:r w:rsidRPr="00B751AA">
        <w:rPr>
          <w:rFonts w:ascii="Book Antiqua" w:hAnsi="Book Antiqua" w:cs="Arial"/>
          <w:color w:val="000000" w:themeColor="text1"/>
          <w:sz w:val="24"/>
          <w:szCs w:val="24"/>
        </w:rPr>
        <w:t xml:space="preserve">Takemoto </w:t>
      </w:r>
      <w:bookmarkEnd w:id="5"/>
      <w:bookmarkEnd w:id="6"/>
      <w:r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{"citationItems":[{"id":"ITEM-1","itemData":{"DOI":"10.1007/s10555-017-9672-2","ISSN":"15737233","PMID":"28674748","abstract":"Tumor cell-induced platelet aggregation facilitates hematogenous metastasis by promoting tumor embolization, preventing immunological assaults and shear stress, and the platelet-releasing growth factors support tumor growth and invasion. Podoplanin, also known as Aggrus, is a type I transmembrane mucin-like glycoprotein and is expressed on wide range of tumor cells. Podoplanin has a role in platelet aggregation and metastasis formation through the binding to its platelet receptor, C-type lectin-like receptor 2 (CLEC-2). The podoplanin research was originally started from the cloning of highly metastatic NL-17 subclone from mouse colon 26 cancer cell line and from the establishment of 8F11 monoclonal antibody (mAb) that could neutralize NL-17-induced platelet aggregation and hematogenous metastasis. Later on, podoplanin was identified as the antigen of 8F11 mAb, and its ectopic expression brought to cells the platelet-aggregating abilities and hematogenous metastasis phenotypes. From the 8F11 mAb recognition epitopes, podoplanin is found to contain tandemly repeated, highly conserved motifs, designated platelet aggregation-stimulating (PLAG) domains. Series of analyses using the cells expressing the mutants and the established neutralizing anti-podoplanin mAbs uncovered that both PLAG3 and PLAG4 domains are associated with the CLEC-2 binding. The neutralizing mAbs targeting PLAG3 or PLAG4 could suppress podoplanin-induced platelet aggregation and hematogenous metastasis through inhibiting the podoplanin–CLEC-2 binding. Therefore, these domains are certainly functional in podoplanin-mediated metastasis through its platelet-aggregating activity. This review summarizes the platelet functions in metastasis formation, the role of platelet aggregation-inducing factor podoplanin in pathological and physiological situations, and the possibility to develop podoplanin-targeting drugs in the future.","author":[{"dropping-particle":"","family":"Takemoto","given":"Ai","non-dropping-particle":"","parse-names":false,"suffix":""},{"dropping-particle":"","family":"Miyata","given":"Kenichi","non-dropping-particle":"","parse-names":false,"suffix":""},{"dropping-particle":"","family":"Fujita","given":"Naoya","non-dropping-particle":"","parse-names":false,"suffix":""}],"container-title":"Cancer and Metastasis Reviews","id":"ITEM-1","issue":"2","issued":{"date-parts":[["2017"]]},"page":"225-234","publisher":"Cancer Metastasis Rev","title":"Platelet-activating factor podoplanin: from discovery to drug development","type":"article-journal","volume":"36"},"uris":["http://www.mendeley.com/documents/?uuid=bbef2117-1500-3dfd-9bae-9705b25e0836"]}],"mendeley":{"formattedCitation":"&lt;sup&gt;[38]&lt;/sup&gt;","plainTextFormattedCitation":"[38]","previouslyFormattedCitation":"&lt;sup&gt;[38]&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[38]</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An anti-human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antibody (NZ-1) inhibiting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-induced platelet aggregation, abrogated experimental metastasis has already been formed, however with strong toxic side effects. A further novel chimeric humanized anti-human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antibody inhibiting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-induced platelet aggregation has been developed as a potential novel anticancer agent</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{"citationItems":[{"id":"ITEM-1","itemData":{"DOI":"10.1089/mab.2016.0006","ISSN":"21679436","PMID":"27328060","abstract":"Podoplanin (PDPN)/Aggrus is a type-I transmembrane sialoglycoprotein, which possesses a platelet aggregation-stimulating (PLAG) domain. The O-glycosylation on Thr52 of human PDPN (hPDPN) is critical for the interaction of hPDPN with C-type lectin-like receptor-2 (CLEC-2), resulting in platelet aggregation. Many anti-hPDPN monoclonal antibodies (MAbs) against PLAG domains and non-PLAG domains have been established; however, mouse anti-PLAG2/3 MAb, the epitope of which is consistent with rat anti-PLAG2/3 MAb NZ-1, has not been established. NZ-1 inhibits the hPDPN-CLEC-2 interaction and is also useful for anti-PA tag MAb. We recently established CasMab technology to produce MAbs against membranous proteins. Herein, we produced a novel anti-hPDPN MAb, LpMab-13, which binds to PLAG2/3 domains. LpMab-13 recognized endogenous hPDPN of cancer cells, including glioblastoma, oral cancer, lung cancer, and malignant mesothelioma, and normal cells such as lymphatic endothelial cells and podocytes of kidney in Western blot, flow cytometry, and immunohistochemistry. LpMab-13 recognized glycan-deficient hPDPN in flow cytometry, indicating that the interaction between LpMab-13 and hPDPN is independent of its glycosylation. The minimum epitope of LpMab-13 was identified as Ala42-Asp49 of hPDPN using Western blot and flow cytometry. The combination of different epitope-possessing MAbs could be advantageous for the hPDPN-targeting diagnosis and therapy.","author":[{"dropping-particle":"","family":"Ogasawara","given":"Satoshi","non-dropping-particle":"","parse-names":false,"suffix":""},{"dropping-particle":"","family":"Kaneko","given":"Mika K.","non-dropping-particle":"","parse-names":false,"suffix":""},{"dropping-particle":"","family":"Honma","given":"Ryusuke","non-dropping-particle":"","parse-names":false,"suffix":""},{"dropping-particle":"","family":"Oki","given":"Hiroharu","non-dropping-particle":"","parse-names":false,"suffix":""},{"dropping-particle":"","family":"Fujii","given":"Yuki","non-dropping-particle":"","parse-names":false,"suffix":""},{"dropping-particle":"","family":"Takagi","given":"Michiaki","non-dropping-particle":"","parse-names":false,"suffix":""},{"dropping-particle":"","family":"Suzuki","given":"Hiroyoshi","non-dropping-particle":"","parse-names":false,"suffix":""},{"dropping-particle":"","family":"Kato","given":"Yukinari","non-dropping-particle":"","parse-names":false,"suffix":""}],"container-title":"Monoclonal Antibodies in Immunodiagnosis and Immunotherapy","id":"ITEM-1","issue":"3","issued":{"date-parts":[["2016"]]},"page":"155-162","publisher":"Monoclon Antib Immunodiagn Immunother","title":"Establishment of Mouse Monoclonal Antibody LpMab-13 Against Human Podoplanin","type":"article-journal","volume":"35"},"uris":["http://www.mendeley.com/documents/?uuid=ce79bad6-b5d5-3aa0-a36c-07c2820b2572"]}],"mendeley":{"formattedCitation":"&lt;sup&gt;[39]&lt;/sup&gt;","plainTextFormattedCitation":"[39]","previouslyFormattedCitation":"&lt;sup&gt;[39]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[39]</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Since there is toxicity due to interferences with endogenous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other cell types like type I lung alveolar cells, kidney podocytes, choroid plexus epithelium, a less interfering antigen has been developed</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{"citationItems":[{"id":"ITEM-1","itemData":{"DOI":"10.1089/mab.2017.0001","ISSN":"21679436","PMID":"28387591","abstract":"Human podoplanin (hPDPN), the ligand of C-type lectin-like receptor-2, is involved in cancer metastasis. Until now, many monoclonal antibodies (mAbs) have been established against hPDPN. However, it is still difficult to develop a cancer-specific mAb (CasMab) against hPDPN because the protein sequence of hPDPN expressed in cancer cells is the same as that in normal cells. Herein, we report LpMab-23 of the mouse IgG1 subclass, a novel CasMab against hPDPN. In an immunohistochemical analysis, LpMab-23 reacted with tumor cells of human oral cancer, but did not react with normal cells such as lymphatic endothelial cells (LECs). In contrast, LpMab-17, another anti-hPDPN mAb, reacted with both tumor cells and LECs. Furthermore, flow cytometric analysis revealed that LpMab-23 reacted with hPDPN-expressing cancer cell lines (LN319, RERF-LC-AI/hPDPN, Y-MESO-14/hPDPN, and HSC3/hPDPN) but showed little reaction with normal cells (LECs and HEK-293T), although another anti-hPDPN mAb, LpMab-7, reacted with both hPDPN-expressing cancer cells and normal cells, indicating that LpMab-23 is a CasMab against hPDPN.","author":[{"dropping-particle":"","family":"Yamada","given":"Shinji","non-dropping-particle":"","parse-names":false,"suffix":""},{"dropping-particle":"","family":"Ogasawara","given":"Satoshi","non-dropping-particle":"","parse-names":false,"suffix":""},{"dropping-particle":"","family":"Kaneko","given":"Mika K","non-dropping-particle":"","parse-names":false,"suffix":""},{"dropping-particle":"","family":"Kato","given":"Yukinari","non-dropping-particle":"","parse-names":false,"suffix":""}],"container-title":"Monoclonal Antibodies in Immunodiagnosis and Immunotherapy","id":"ITEM-1","issue":"2","issued":{"date-parts":[["2017","4"]]},"page":"72-76","publisher":"Monoclon Antib Immunodiagn Immunother","title":"LpMab-23: A Cancer-Specific Monoclonal Antibody Against Human Podoplanin","type":"article-journal","volume":"36"},"uris":["http://www.mendeley.com/documents/?uuid=6f005320-c15f-3282-8502-ae5807136789"]}],"mendeley":{"formattedCitation":"&lt;sup&gt;[40]&lt;/sup&gt;","plainTextFormattedCitation":"[40]","previouslyFormattedCitation":"&lt;sup&gt;[40]&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However, the knowledge about the function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these organs is scarce. </w:t>
      </w:r>
    </w:p>
    <w:p w14:paraId="06E03B62"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lastRenderedPageBreak/>
        <w:t>Podoplanin</w:t>
      </w:r>
      <w:proofErr w:type="spellEnd"/>
      <w:r w:rsidRPr="00B751AA">
        <w:rPr>
          <w:rFonts w:ascii="Book Antiqua" w:hAnsi="Book Antiqua" w:cs="Arial"/>
          <w:color w:val="000000" w:themeColor="text1"/>
          <w:sz w:val="24"/>
          <w:szCs w:val="24"/>
        </w:rPr>
        <w:t xml:space="preserve"> has been reported to be involved in tumor progression</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{"citationItems":[{"id":"ITEM-1","itemData":{"DOI":"10.1371/journal.pone.0184970","ISSN":"19326203","PMID":"28938000","abstract":"In our previous studies we showed that in breast cancer podoplanin-positive cancer-associated fibroblasts correlated positively with tumor size, grade of malignancy, lymph node metastasis, lymphovascular invasion and poor patients’ outcome. Therefore, the present study was undertaken to assess if podoplanin expressed by fibroblasts can affect malignancy-associated properties of breast cancer cells. Human fibroblastic cell lines (MSU1.1 and Hs 578Bst) overexpressing podoplanin and control fibroblasts were co-cultured with breast cancer MDA-MB-231 and MCF7 cells and the impact of podoplanin expressed by fibroblasts on migration and invasiveness of breast cancer cells were studied in vitro. Migratory and invasive properties of breast cancer cells were not affected by the presence of podoplanin on the surface of fibroblasts. However, ectopic expression of podoplanin highly increases the migration of MSU1.1 and Hs 578Bst fibroblasts. The present study also revealed for the first time, that podoplanin expression affects the formation of pseudo tubes by endothelial cells. When human HSkMEC cells were co-cultured with podoplanin-rich fibroblasts the endothelial cell capillary-like network was characterized by significantly lower numbers of nodes and meshes than in co-cultures of endothelial cells with podoplanin-negative fibroblasts. The question remains as to how our experimental data can be correlated with previous clinical data showing an association between the presence of podoplanin-positive cancer-associated fibroblasts and progression of breast cancer. Therefore, we propose that expression of podoplanin by fibroblasts facilitates their movement into the tumor stroma, which creates a favorable microenvironment for tumor progression by increasing the number of cancer-associated fibroblasts, which produce numerous factors affecting proliferation, survival and invasion of cancer cells. In accordance with this, the present study revealed for the first time, that such podoplanin-mediated effects can affect tube formation by endothelial cells and participate in their pathological properties in the tumor context. Our experimental data were supported by clinical studies. First, when IDC and DCIS were analyzed by immunohistochemistry according to the presence of podoplanin-expressing cells, the numbers of cancer-associated fibroblasts with high expression of this glycoprotein were significantly higher in IDC than in DCIS cases. Second, using immunofluorescence, th…","author":[{"dropping-particle":"","family":"Suchanski","given":"Jaroslaw","non-dropping-particle":"","parse-names":false,"suffix":""},{"dropping-particle":"","family":"Tejchman","given":"Anna","non-dropping-particle":"","parse-names":false,"suffix":""},{"dropping-particle":"","family":"Zacharski","given":"Maciej","non-dropping-particle":"","parse-names":false,"suffix":""},{"dropping-particle":"","family":"Piotrowska","given":"Aleksandra","non-dropping-particle":"","parse-names":false,"suffix":""},{"dropping-particle":"","family":"Grzegrzolka","given":"Jedrzej","non-dropping-particle":"","parse-names":false,"suffix":""},{"dropping-particle":"","family":"Chodaczek","given":"Grzegorz","non-dropping-particle":"","parse-names":false,"suffix":""},{"dropping-particle":"","family":"Nowinska","given":"Katarzyna","non-dropping-particle":"","parse-names":false,"suffix":""},{"dropping-particle":"","family":"Rys","given":"Janusz","non-dropping-particle":"","parse-names":false,"suffix":""},{"dropping-particle":"","family":"Dziegiel","given":"Piotr","non-dropping-particle":"","parse-names":false,"suffix":""},{"dropping-particle":"","family":"Kieda","given":"Claudine","non-dropping-particle":"","parse-names":false,"suffix":""},{"dropping-particle":"","family":"Ugorski","given":"Maciej","non-dropping-particle":"","parse-names":false,"suffix":""}],"container-title":"PLoS ONE","id":"ITEM-1","issue":"9","issued":{"date-parts":[["2017"]]},"page":"e0184970","publisher":"PLoS One","title":"Podoplanin increases the migration of human fibroblasts and affects the endothelial cell network formation: A possible role for cancer-associated fibroblasts in breast cancer progression","type":"article-journal","volume":"12"},"uris":["http://www.mendeley.com/documents/?uuid=3e663f72-c02a-36f6-9b28-8319eec11b43"]}],"mendeley":{"formattedCitation":"&lt;sup&gt;[41]&lt;/sup&gt;","plainTextFormattedCitation":"[41]","previouslyFormattedCitation":"&lt;sup&gt;[41]&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[41]</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rPr>
        <w:t>correlating with lymph node metastasis</w:t>
      </w:r>
      <w:r w:rsidRPr="00B751AA">
        <w:rPr>
          <w:rFonts w:ascii="Book Antiqua" w:hAnsi="Book Antiqua" w:cs="Arial"/>
          <w:b/>
          <w:color w:val="000000" w:themeColor="text1"/>
          <w:sz w:val="24"/>
          <w:szCs w:val="24"/>
        </w:rPr>
        <w:fldChar w:fldCharType="begin" w:fldLock="1"/>
      </w:r>
      <w:r w:rsidRPr="00B751AA">
        <w:rPr>
          <w:rFonts w:ascii="Book Antiqua" w:hAnsi="Book Antiqua" w:cs="Arial"/>
          <w:b/>
          <w:color w:val="000000" w:themeColor="text1"/>
          <w:sz w:val="24"/>
          <w:szCs w:val="24"/>
        </w:rPr>
        <w:instrText>ADDIN CSL_CITATION {"citationItems":[{"id":"ITEM-1","itemData":{"DOI":"10.2353/ajpath.2010.090703","ISSN":"15252191","PMID":"20616339","abstract":"The membrane glycoprotein podoplanin is expressed by several types of human cancers and might be associated with their malignant progression. Its exact biological function and molecular targets are unclear, however. Here, we assessed the relevance of tumor cell expression of podoplanin in cancer metastasis to lymph nodes, using a human MCF7 breast carcinoma xenograft model. We found that podoplanin expression promoted tumor cell motility in vitro and, unexpectedly, increased tumor lymphangiogenesis and metastasis to regional lymph nodes in vivo, without promoting primary tumor growth. Importantly, high cancer cell expression levels of podoplanin correlated with lymph node metastasis and reduced survival times in a large cohort of 252 oral squamous cell carcinoma patients. Based on comparative transcriptional profiling of tumor xenografts, we identified endothelin-1, villin-1, and tenascin-C as potential mediators of podoplanin-induced tumor lymphangiogenesis and metastasis. These unexpected findings identify a novel mechanism of tumor lymphangiogenesis and metastasis induced by cancer cell expression of podoplanin, suggesting that reagents designed to interfere with podoplanin function might be developed as therapeutics for patients with advanced cancer. Copyright © American Society for Investigative Pathology.","author":[{"dropping-particle":"","family":"Cueni","given":"Leah N","non-dropping-particle":"","parse-names":false,"suffix":""},{"dropping-particle":"","family":"Hegyi","given":"Ivan","non-dropping-particle":"","parse-names":false,"suffix":""},{"dropping-particle":"","family":"Shin","given":"Jay W","non-dropping-particle":"","parse-names":false,"suffix":""},{"dropping-particle":"","family":"Albinger-Hegyi","given":"Andrea","non-dropping-particle":"","parse-names":false,"suffix":""},{"dropping-particle":"","family":"Gruber","given":"Silke","non-dropping-particle":"","parse-names":false,"suffix":""},{"dropping-particle":"","family":"Kunstfeld","given":"Rainer","non-dropping-particle":"","parse-names":false,"suffix":""},{"dropping-particle":"","family":"Moch","given":"Holger","non-dropping-particle":"","parse-names":false,"suffix":""},{"dropping-particle":"","family":"Detmar","given":"Michael","non-dropping-particle":"","parse-names":false,"suffix":""}],"container-title":"American Journal of Pathology","id":"ITEM-1","issue":"2","issued":{"date-parts":[["2010","8"]]},"page":"1004-1016","publisher":"Am J Pathol","title":"Tumor lymphangiogenesis and metastasis to lymph nodes induced by cancer cell expression of podoplanin","type":"article-journal","volume":"177"},"uris":["http://www.mendeley.com/documents/?uuid=81fce6e3-a673-3124-abfd-ab21a76c77df"]},{"id":"ITEM-2","itemData":{"DOI":"10.1002/ijc.25795","ISSN":"00207136","PMID":"21105028","abstract":"In patients with early head and neck squamous cell carcinoma (HNSCC), occult lymph node metastasis is difficult to predict by clinical or pathological parameters. However, such parameters are necessary to select patients either for elective neck dissection or the sentinel lymph node (SLN) procedure. The membrane glycoprotein podoplanin is normally expressed in lymphatic endothelial cells. Recently, expression of podoplanin by cancer cells was demonstrated to promote tumor cell motility and tumor lymphangiogenesis in vitro. The value of cancer cell-expressed podoplanin was to be determined as a predictive marker for SLN metastasis in early HNSCC of the oral cavity and oropharynx. One hundred twenty patients with HNSCC of the oral cavity and oropharynx undergoing a SLN biopsy were enrolled in this prospective clinical trial of SLN biopsy. Cancer cell-expressed podoplanin was determined by immunohistochemistry using tissue microarrays. Podoplanin expression was quantified by the intensity reactivity score and categorized into expression and nonexpression. SLN examination revealed occult metastasis in 45 patients (37.5%). Twenty-nine of 120 (24.2%) primary HNSCC showed podoplanin expression. Podoplanin expression correlated significantly with SLN metastasis (p = 0.029) and remained a significant predictor for lymph node status even after controlling for tumor stage (p = 0.028). As a predictive marker for SLN metastasis, however, podoplanin expression reached a sensitivity of a mere 36% and a specificity of 83%. Podoplanin expression is associated with metastasis to lymph nodes in vivo. Podoplanin immunohistochemistry in early HNSCC of the oral cavity and oropharynx may help to select patients for the SLN procedure and to identify patients with increased risk for presence of occult lymph node metastasis in the neck. Copyright © 2011 UICC.","author":[{"dropping-particle":"","family":"Huber","given":"Gerhard Frank","non-dropping-particle":"","parse-names":false,"suffix":""},{"dropping-particle":"","family":"Fritzsche","given":"Florian R","non-dropping-particle":"","parse-names":false,"suffix":""},{"dropping-particle":"","family":"Züllig","given":"Lena","non-dropping-particle":"","parse-names":false,"suffix":""},{"dropping-particle":"","family":"Storz","given":"Martina","non-dropping-particle":"","parse-names":false,"suffix":""},{"dropping-particle":"","family":"Graf","given":"Nicole","non-dropping-particle":"","parse-names":false,"suffix":""},{"dropping-particle":"","family":"K. Haerle","given":"Stephan","non-dropping-particle":"","parse-names":false,"suffix":""},{"dropping-particle":"","family":"Jochum","given":"Wolfram","non-dropping-particle":"","parse-names":false,"suffix":""},{"dropping-particle":"","family":"Stoeckli","given":"Sandro J","non-dropping-particle":"","parse-names":false,"suffix":""},{"dropping-particle":"","family":"Moch","given":"Holger","non-dropping-particle":"","parse-names":false,"suffix":""}],"container-title":"International Journal of Cancer","id":"ITEM-2","issue":"6","issued":{"date-parts":[["2011","9","15"]]},"page":"1404-1409","publisher":"Int J Cancer","title":"Podoplanin expression correlates with sentinel lymph node metastasis in early squamous cell carcinomas of the oral cavity and oropharynx","type":"article-journal","volume":"129"},"uris":["http://www.mendeley.com/documents/?uuid=784d4ec3-4f42-3cb7-a34e-1e8566f8acda"]},{"id":"ITEM-3","itemData":{"DOI":"10.1111/j.1442-2050.2011.01211.x","ISSN":"11208694","PMID":"21895849","abstract":"Lymphatic metastasis is the predominant cause of the low overall survival of patients with esophageal squamous cell carcinoma (ESCC), as there are no faithful methods available predicting early metastasis. Recent studies suggest an effect of podoplanin expression on metastatic spreading to lymph nodes. The purpose of this study was to investigate the influence of podoplanin expression on lymphatic metastasis and tumor cells, and to find the relationship between podoplanin expression and prognosis of patients with ESCC. We evaluated the level of podoplanin expression on tumor cells and the lymphatic vessel density change of tumor mass compared with normal tissue from the same patient through D2-40 immunohistochemistry staining, and analyzed associations between these two variables and various clinicopathologic parameters individually or conjunctively. There was an association between podoplanin expression and the frequency of lymph node metastases. In 45 patients (80%), podoplanin was expressed on the tumor cells. Twenty-one patients (37.5%) showed high levels of expression. The 5-year disease-free survival rate (5%) for patients with high levels of podoplanin expression was significantly lower (P &lt; 0.001) than for patients with low and moderate expression of podoplanin (54% and 27%, respectively). We concluded that podoplanin is expressed frequently in ESCC, and that the expression of podoplanin on cancer cells, lymphatics, or both is correlated with lymphatic metastasis and clinical outcome. © 2011 the Authors. Journal compilation © 2011, Wiley Periodicals, Inc. and the International Society for Diseases of the Esophagus.","author":[{"dropping-particle":"","family":"Tong","given":"L","non-dropping-particle":"","parse-names":false,"suffix":""},{"dropping-particle":"","family":"Yuan","given":"S","non-dropping-particle":"","parse-names":false,"suffix":""},{"dropping-particle":"","family":"Feng","given":"F","non-dropping-particle":"","parse-names":false,"suffix":""},{"dropping-particle":"","family":"Zhang","given":"H","non-dropping-particle":"","parse-names":false,"suffix":""}],"container-title":"Diseases of the Esophagus","id":"ITEM-3","issue":"1","issued":{"date-parts":[["2012","1"]]},"page":"72-80","publisher":"Dis Esophagus","title":"Role of podoplanin expression in esophageal squamous cell carcinoma: A retrospective study","type":"article-journal","volume":"25"},"uris":["http://www.mendeley.com/documents/?uuid=37eb88f7-c009-37b8-9a7a-0eeb8299e7e8"]},{"id":"ITEM-4","itemData":{"DOI":"10.2174/2211536605666160322151813","ISSN":"22115366","PMID":"27001184","abstract":"ï¿½ 2016 Bentham Science Publishers. Background: The miR-106a-363 cluster, encoding six miRNAs (miR- 106a, miR-18b, miR-20b, miR-19b-2, miR-92-2 and miR-363), has been shown to be overexpressed in various tumours. In oral carcinoma cells, however only miR- 106a was detectable from this cluster. We have investigated how effects of transfection of oral carcinoma cells with a non-expressed member of this cluster affect mRNA transcriptomes and cellular selected functions. Methods: Investigate effects of miR-20b and miR-363 mimics on cellular respiration, glycolysis and mobility. Effects on mRNA transcriptomes were monitored using microarrays. Results: The studies show that in oral carcinoma cells transfected with miR-20b -, or miR-363-3p or miR-363-5p mimic different mRNAs were differentially expressed. Nevertheless, bioinformatics analysis suggested significant associations of differentially expressed genes to inhibition of cellular proliferation, cell cycle and cellular migration. These results were also experimentally confirmed. Conclusions: Transfection of miRNA mimics for unexpressed members of the miR-106a-363 cluster (miR20b, miR-363-3p and miR-363-5p) exhibit an anti-proliferative effect on oral carcinoma cells, although likely mediated by different regulatory mechanisms.","author":[{"dropping-particle":"","family":"Khuu","given":"Cuong","non-dropping-particle":"","parse-names":false,"suffix":""},{"dropping-particle":"","family":"Sehic","given":"Amer","non-dropping-particle":"","parse-names":false,"suffix":""},{"dropping-particle":"","family":"Eide","given":"Lars","non-dropping-particle":"","parse-names":false,"suffix":""},{"dropping-particle":"","family":"Osmundsen","given":"Harald","non-dropping-particle":"","parse-names":false,"suffix":""}],"container-title":"MicroRNA","id":"ITEM-4","issue":"1","issued":{"date-parts":[["2016"]]},"page":"19-35","publisher":"Microrna","title":"Anti-proliferative Properties of miR-20b and miR-363 from the miR-106a-363 Cluster on Human Carcinoma Cells","type":"article-journal","volume":"5"},"uris":["http://www.mendeley.com/documents/?uuid=f802864e-f49a-3572-adf9-257eceab71d1"]},{"id":"ITEM-5","itemData":{"ISSN":"19362625","PMID":"25197355","abstract":"There is growing evidence that cancer-associated fibroblasts (CAFs) interact with tumor cells and play important roles in tumor progression and invasion. Podoplanin is a type-1 transmembrane glycoprotein expressed in a variety of normal human tissues, including lymphatic endothelium. Tumor cell expression of podoplanin correlates with nodal metastasis and poor prognosis in squamous cell carcinoma (SCC) of oral cavity and esophagus. Recently, podoplanin-positive CAFs have been shown to exert adverse or beneficial prognostic effect on different cancer types. However, the significance of podoplanin-positive CAFs in esophageal SCC has not been investigated. This is the first study to investigate podoplanin expression in CAFs and tumor cells by immunohistochemistry in 59 cases of surgically resected esophageal SCC. We found significant association of podoplanin expression between CAFs and tumor cells (P = 0.031). Although the abundance of podoplanin-positive CAFs per se had no prognostic effect, concordant podoplanin expression in CAFs and tumor cells (both high or both low) was strongly associated with short survival (P = 0.00088). Multivariate analysis showed that concordant podoplanin expression was the strongest independent adverse prognostic factor (hazard ratio: 3.62; 95% confidence interval: 1.69-7.77; P = 0.00094). Our data suggest that interaction between podoplanin-positive CAFs and tumor cells is important in tumor biology of esophageal SCC.","author":[{"dropping-particle":"","family":"Chuang","given":"Wen Yu","non-dropping-particle":"","parse-names":false,"suffix":""},{"dropping-particle":"","family":"Yeh","given":"Chi Ju","non-dropping-particle":"","parse-names":false,"suffix":""},{"dropping-particle":"","family":"Chao","given":"Yin Kai","non-dropping-particle":"","parse-names":false,"suffix":""},{"dropping-particle":"","family":"Liu","given":"Yun Hen","non-dropping-particle":"","parse-names":false,"suffix":""},{"dropping-particle":"","family":"Chang","given":"Yu Sun","non-dropping-particle":"","parse-names":false,"suffix":""},{"dropping-particle":"","family":"Tseng","given":"Chen Kan","non-dropping-particle":"","parse-names":false,"suffix":""},{"dropping-particle":"","family":"Chang","given":"Hsien Kun","non-dropping-particle":"","parse-names":false,"suffix":""},{"dropping-particle":"","family":"Wan","given":"Yung Liang","non-dropping-particle":"","parse-names":false,"suffix":""},{"dropping-particle":"","family":"Hsueh","given":"Chuen","non-dropping-particle":"","parse-names":false,"suffix":""}],"container-title":"International Journal of Clinical and Experimental Pathology","id":"ITEM-5","issue":"8","issued":{"date-parts":[["2014"]]},"page":"4847-4856","publisher":"Int J Clin Exp Pathol","title":"Concordant podoplanin expression in cancer-associated fibroblasts and tumor cells is an adverse prognostic factor in esophageal squamous cell carcinoma","type":"article-journal","volume":"7"},"uris":["http://www.mendeley.com/documents/?uuid=08541e3c-8aad-3d35-a559-1eda7a4e48bc"]}],"mendeley":{"formattedCitation":"&lt;sup&gt;[42–46]&lt;/sup&gt;","plainTextFormattedCitation":"[42–46]","previouslyFormattedCitation":"&lt;sup&gt;[42–46]&lt;/sup&gt;"},"properties":{"noteIndex":0},"schema":"https://github.com/citation-style-language/schema/raw/master/csl-citation.json"}</w:instrText>
      </w:r>
      <w:r w:rsidRPr="00B751AA">
        <w:rPr>
          <w:rFonts w:ascii="Book Antiqua" w:hAnsi="Book Antiqua" w:cs="Arial"/>
          <w:b/>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[42</w:t>
      </w:r>
      <w:r w:rsidR="00BB36AA" w:rsidRPr="00B751AA">
        <w:rPr>
          <w:rFonts w:ascii="Book Antiqua" w:hAnsi="Book Antiqua" w:cs="Arial"/>
          <w:noProof/>
          <w:color w:val="000000" w:themeColor="text1"/>
          <w:sz w:val="24"/>
          <w:szCs w:val="24"/>
          <w:vertAlign w:val="superscript"/>
        </w:rPr>
        <w:t>-</w:t>
      </w:r>
      <w:r w:rsidRPr="00B751AA">
        <w:rPr>
          <w:rFonts w:ascii="Book Antiqua" w:hAnsi="Book Antiqua" w:cs="Arial"/>
          <w:noProof/>
          <w:color w:val="000000" w:themeColor="text1"/>
          <w:sz w:val="24"/>
          <w:szCs w:val="24"/>
          <w:vertAlign w:val="superscript"/>
        </w:rPr>
        <w:t>46]</w:t>
      </w:r>
      <w:r w:rsidRPr="00B751AA">
        <w:rPr>
          <w:rFonts w:ascii="Book Antiqua" w:hAnsi="Book Antiqua" w:cs="Arial"/>
          <w:b/>
          <w:color w:val="000000" w:themeColor="text1"/>
          <w:sz w:val="24"/>
          <w:szCs w:val="24"/>
        </w:rPr>
        <w:fldChar w:fldCharType="end"/>
      </w:r>
      <w:r w:rsidRPr="00B751AA">
        <w:rPr>
          <w:rFonts w:ascii="Book Antiqua" w:hAnsi="Book Antiqua" w:cs="Arial"/>
          <w:color w:val="000000" w:themeColor="text1"/>
          <w:sz w:val="24"/>
          <w:szCs w:val="24"/>
        </w:rPr>
        <w:t>.</w:t>
      </w:r>
      <w:r w:rsidRPr="00B751AA">
        <w:rPr>
          <w:rFonts w:ascii="Book Antiqua" w:hAnsi="Book Antiqua" w:cs="Arial"/>
          <w:b/>
          <w:color w:val="000000" w:themeColor="text1"/>
          <w:sz w:val="24"/>
          <w:szCs w:val="24"/>
        </w:rPr>
        <w:t xml:space="preserve"> </w:t>
      </w:r>
      <w:r w:rsidRPr="00B751AA">
        <w:rPr>
          <w:rFonts w:ascii="Book Antiqua" w:hAnsi="Book Antiqua" w:cs="Arial"/>
          <w:color w:val="000000" w:themeColor="text1"/>
          <w:sz w:val="24"/>
          <w:szCs w:val="24"/>
        </w:rPr>
        <w:t xml:space="preserve">We were unable to demonstrate a significant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T-category by staining of resection tissue of primary surgery patients, although a trend of a non-significant increase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T3 category compared to T2 has been observed. The lack of association between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lymph node metastases might be due to the small number of patients in this subgroup, a weakness of our study.</w:t>
      </w:r>
    </w:p>
    <w:p w14:paraId="6352D60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Despite this limitation we were able to detect an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with prognosis. Our data complements that of Tanaka </w:t>
      </w:r>
      <w:r w:rsidRPr="00B751AA">
        <w:rPr>
          <w:rFonts w:ascii="Book Antiqua" w:hAnsi="Book Antiqua" w:cs="Arial"/>
          <w:i/>
          <w:iCs/>
          <w:color w:val="000000" w:themeColor="text1"/>
          <w:sz w:val="24"/>
          <w:szCs w:val="24"/>
        </w:rPr>
        <w:t>et al</w:t>
      </w:r>
      <w:r w:rsidR="0055432A" w:rsidRPr="00B751AA">
        <w:rPr>
          <w:rFonts w:ascii="Book Antiqua" w:hAnsi="Book Antiqua" w:cs="Arial"/>
          <w:color w:val="000000" w:themeColor="text1"/>
          <w:sz w:val="24"/>
          <w:szCs w:val="24"/>
        </w:rPr>
        <w:fldChar w:fldCharType="begin" w:fldLock="1"/>
      </w:r>
      <w:r w:rsidR="0055432A" w:rsidRPr="00B751AA">
        <w:rPr>
          <w:rFonts w:ascii="Book Antiqua" w:hAnsi="Book Antiqua" w:cs="Arial"/>
          <w:color w:val="000000" w:themeColor="text1"/>
          <w:sz w:val="24"/>
          <w:szCs w:val="24"/>
        </w:rPr>
        <w:instrText>ADDIN CSL_CITATION {"citationItems":[{"id":"ITEM-1","itemData":{"DOI":"10.3892/mmr.2015.3966","ISSN":"17913004","PMID":"26095281","abstract":"Podoplanin is a small membrane mucin, which is involved in cell migration and cancer cell invasion. However, the roles of podoplanin in esophageal squamous cell carcinoma (ESCC) are poorly understood. In the present study, 139 cases of surgically resected ESCC were analyzed and the clinicopathological significance of podoplanin membrane expression in ESCC was demonstrated. Podoplanin expression was positive in 66.2% (92/139) of ESCC samples; with weak expression in 32.4% (45/139), and strong expression in 33.8% (47/139). Membrane expression of podoplanin was significantly associated with tumor status (P=0.001), venous invasion (P=0.035) and Union for International Cancer Control stage (P=0.029). Patients who exhibited strong podoplanin expression, were shown to have a poorer prognosis [hazard ratio (HR), 3.949; 95% confidence interval (CI), 2.001-7.794]. Expression of vimentin, a mesenchymal marker, was detected in 49 cases (35.3%) and was associated with venous invasion (P=0.020). Vimentin-positive cases were also more likely to have a worse prognosis than vimentin-negative cases (HR, 2.161; 95% CI, 1.300-3.592). Podoplanin membrane expression was significantly correlated with vimentin cytoplasmic expression in ESCC (P&lt;0.001). The present study confirmed that podoplanin and vimentin are independent predictors of mortality (HR, 3.084; 95% CI, 1.543-6.164). These results suggest that podoplanin membrane expression results in epithelial-mesenchymal transition and promotes aggressive invasion in human ESCC.","author":[{"dropping-particle":"","family":"Tanaka","given":"Makiko","non-dropping-particle":"","parse-names":false,"suffix":""},{"dropping-particle":"","family":"Kijima","given":"Hiroshi","non-dropping-particle":"","parse-names":false,"suffix":""},{"dropping-particle":"","family":"Shimada","given":"Hideo","non-dropping-particle":"","parse-names":false,"suffix":""},{"dropping-particle":"","family":"Makuuchi","given":"Hiroyasu","non-dropping-particle":"","parse-names":false,"suffix":""},{"dropping-particle":"","family":"Ozawa","given":"Soji","non-dropping-particle":"","parse-names":false,"suffix":""},{"dropping-particle":"","family":"Inokuchi","given":"Sadaki","non-dropping-particle":"","parse-names":false,"suffix":""}],"container-title":"Molecular Medicine Reports","id":"ITEM-1","issue":"3","issued":{"date-parts":[["2015","9"]]},"page":"4029-4036","publisher":"Mol Med Rep","title":"Expression of podoplanin and vimentin is correlated with prognosis in esophageal squamous cell carcinoma","type":"article-journal","volume":"12"},"uris":["http://www.mendeley.com/documents/?uuid=88e34d07-9897-37ac-8b18-846775a992a6"]}],"mendeley":{"formattedCitation":"&lt;sup&gt;[17]&lt;/sup&gt;","plainTextFormattedCitation":"[17]","previouslyFormattedCitation":"&lt;sup&gt;[17]&lt;/sup&gt;"},"properties":{"noteIndex":0},"schema":"https://github.com/citation-style-language/schema/raw/master/csl-citation.json"}</w:instrText>
      </w:r>
      <w:r w:rsidR="0055432A" w:rsidRPr="00B751AA">
        <w:rPr>
          <w:rFonts w:ascii="Book Antiqua" w:hAnsi="Book Antiqua" w:cs="Arial"/>
          <w:color w:val="000000" w:themeColor="text1"/>
          <w:sz w:val="24"/>
          <w:szCs w:val="24"/>
        </w:rPr>
        <w:fldChar w:fldCharType="separate"/>
      </w:r>
      <w:r w:rsidR="0055432A" w:rsidRPr="00B751AA">
        <w:rPr>
          <w:rFonts w:ascii="Book Antiqua" w:hAnsi="Book Antiqua" w:cs="Arial"/>
          <w:noProof/>
          <w:color w:val="000000" w:themeColor="text1"/>
          <w:sz w:val="24"/>
          <w:szCs w:val="24"/>
          <w:vertAlign w:val="superscript"/>
        </w:rPr>
        <w:t>[17]</w:t>
      </w:r>
      <w:r w:rsidR="0055432A"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reporting on increased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as a predictor of mortality. Therefore,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could be applied as a prognostic marker for identification of patients with high risk for tumor progression.</w:t>
      </w:r>
    </w:p>
    <w:p w14:paraId="7BEA7414"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represents an </w:t>
      </w:r>
      <w:proofErr w:type="spellStart"/>
      <w:r w:rsidRPr="00B751AA">
        <w:rPr>
          <w:rFonts w:ascii="Book Antiqua" w:hAnsi="Book Antiqua" w:cs="Arial"/>
          <w:color w:val="000000" w:themeColor="text1"/>
          <w:sz w:val="24"/>
          <w:szCs w:val="24"/>
        </w:rPr>
        <w:t>oncofetal</w:t>
      </w:r>
      <w:proofErr w:type="spellEnd"/>
      <w:r w:rsidRPr="00B751AA">
        <w:rPr>
          <w:rFonts w:ascii="Book Antiqua" w:hAnsi="Book Antiqua" w:cs="Arial"/>
          <w:color w:val="000000" w:themeColor="text1"/>
          <w:sz w:val="24"/>
          <w:szCs w:val="24"/>
        </w:rPr>
        <w:t xml:space="preserve"> antigen not expressed in most adult cells and re-expressed in squamous cell carcinoma. The transcriptional 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has been reviewed by Astarita </w:t>
      </w:r>
      <w:r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{"citationItems":[{"id":"ITEM-1","itemData":{"DOI":"10.3389/fimmu.2012.00283","ISSN":"16643224","PMID":"22988448","abstract":"Podoplanin (PDPN) is a well-conserved, mucin-type transmembrane protein expressed in multiple tissues during ontogeny and in adult animals, including the brain, heart, kidney, lungs, osteoblasts, and lymphoid organs. Studies of PDPN-deficient mice have demonstrated that this molecule plays a critical role in development of the heart, lungs, and lymphatic system. PDPN is widely used as a marker for lymphatic endothelial cells and fibroblastic reticular cells of lymphoid organs and for lymphatics in the skin and tumor microenvironment. Much of the mechanistic insight into PDPN biology has been gleaned from studies of tumor cells; tumor cells often upregulate PDPN as they undergo epithelial-mesenchymal transition and this upregulation is correlated with increased motility and metastasis. The physiological role of PDPN that has been most studied is its ability to aggregate and activate CLEC-2-expressing platelets, as PDPN is the only known endogenous ligandforCLEC-2. However, more recent studies have revealed that PDPN also plays crucial roles in the biology of immune cells, includingT cells and dendritic cells. This review will provide a comprehensive overview of the diverse roles of PDPN in development, immunology, and cancer. © 2012 Astarita, Acton and Turley.","author":[{"dropping-particle":"","family":"Astarita","given":"Jillian L","non-dropping-particle":"","parse-names":false,"suffix":""},{"dropping-particle":"","family":"Acton","given":"Sophie E","non-dropping-particle":"","parse-names":false,"suffix":""},{"dropping-particle":"","family":"Turley","given":"Shannon J","non-dropping-particle":"","parse-names":false,"suffix":""}],"container-title":"Frontiers in Immunology","id":"ITEM-1","issue":"SEP","issued":{"date-parts":[["2012"]]},"page":"283","publisher":"Front Immunol","title":"Podoplanin: Emerging functions in development, the immune system, and cancer","type":"article","volume":"3"},"uris":["http://www.mendeley.com/documents/?uuid=c1f9464e-af80-38bb-b9b9-1a9c000d4fe3"]}],"mendeley":{"formattedCitation":"&lt;sup&gt;[47]&lt;/sup&gt;","plainTextFormattedCitation":"[47]","previouslyFormattedCitation":"&lt;sup&gt;[47]&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transcription is regulated by AP-1 transcription factor comprised of </w:t>
      </w:r>
      <w:proofErr w:type="spellStart"/>
      <w:r w:rsidRPr="00B751AA">
        <w:rPr>
          <w:rFonts w:ascii="Book Antiqua" w:hAnsi="Book Antiqua" w:cs="Arial"/>
          <w:color w:val="000000" w:themeColor="text1"/>
          <w:sz w:val="24"/>
          <w:szCs w:val="24"/>
        </w:rPr>
        <w:t>Fos</w:t>
      </w:r>
      <w:proofErr w:type="spellEnd"/>
      <w:r w:rsidRPr="00B751AA">
        <w:rPr>
          <w:rFonts w:ascii="Book Antiqua" w:hAnsi="Book Antiqua" w:cs="Arial"/>
          <w:color w:val="000000" w:themeColor="text1"/>
          <w:sz w:val="24"/>
          <w:szCs w:val="24"/>
        </w:rPr>
        <w:t xml:space="preserve"> and Jun proteins. PTEN expression, a negative regulator of PI3K-AKT-AP-1 pathway, has inversely been correlated with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The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promoter is heavily methylated keeping it repressed. Upregulation during malignant conditions seems to depend on the activity of </w:t>
      </w:r>
      <w:proofErr w:type="spellStart"/>
      <w:r w:rsidRPr="00B751AA">
        <w:rPr>
          <w:rFonts w:ascii="Book Antiqua" w:hAnsi="Book Antiqua" w:cs="Arial"/>
          <w:color w:val="000000" w:themeColor="text1"/>
          <w:sz w:val="24"/>
          <w:szCs w:val="24"/>
        </w:rPr>
        <w:t>Fos</w:t>
      </w:r>
      <w:proofErr w:type="spellEnd"/>
      <w:r w:rsidRPr="00B751AA">
        <w:rPr>
          <w:rFonts w:ascii="Book Antiqua" w:hAnsi="Book Antiqua" w:cs="Arial"/>
          <w:color w:val="000000" w:themeColor="text1"/>
          <w:sz w:val="24"/>
          <w:szCs w:val="24"/>
        </w:rPr>
        <w:t xml:space="preserve"> and Jun (AP-1) transcription factors. miRNAs are a major tool of posttranscriptional regulation. As a kind of master regulator these small molecules inhibit protein expression binding or degrading mRNAs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{"citationItems":[{"id":"ITEM-1","itemData":{"DOI":"10.1159/000324926","ISSN":"10152008","PMID":"21613804","abstract":"Objective: Podoplanin, a known lymphatic endothelial cell marker, has been reported to be expressed in various types of cancer. To elucidate the expression of podoplanin in precancerous lesions, we examined the immunohistochemical profiles of podoplanin in oral squamous epithelial lesions. Method: We studied a total of 298 foci of squamous cell carcinoma (SCC), carcinoma in situ (CIS), epithelial dysplasia, and hyperplastic and/or normal epithelial lesions by immunohistochemistry using D2-40. Results: There was no positivity for podoplanin in normal or hyperplastic epithelia, while all of the CIS and SCC foci stained positive. Approximately one third of the mild dysplasia foci (10 of 36 foci, 28%) and 80% of moderate dysplasia foci (78/98) showed grade 1 positive reactions (positive only in the 1st layer). Grade 2 reactions (up to 4th layer) were seen in 4 of 98 moderate dysplasia foci (4%), 29 of 74 CIS foci (39%), and 3 of 30 SCC foci (10%). Grade 3 reactions (to more than 5th layer) were found in 35 (47%) CIS foci and 26 (87%) SCC foci. Conclusions: The relationship between the present histological categorization and podoplanin grade was statistically significant. D2-40 expression is considered to be related to the severity of oral precancerous lesions. Copyright © 2011 S. Karger AG, Basel.","author":[{"dropping-particle":"","family":"Funayama","given":"Akinori","non-dropping-particle":"","parse-names":false,"suffix":""},{"dropping-particle":"","family":"Cheng","given":"Jun","non-dropping-particle":"","parse-names":false,"suffix":""},{"dropping-particle":"","family":"Maruyama","given":"Satoshi","non-dropping-particle":"","parse-names":false,"suffix":""},{"dropping-particle":"","family":"Yamazaki","given":"Manabu","non-dropping-particle":"","parse-names":false,"suffix":""},{"dropping-particle":"","family":"Kobayashi","given":"Takanori","non-dropping-particle":"","parse-names":false,"suffix":""},{"dropping-particle":"","family":"Syafriadi","given":"Mei","non-dropping-particle":"","parse-names":false,"suffix":""},{"dropping-particle":"","family":"Kundu","given":"Sukalyan","non-dropping-particle":"","parse-names":false,"suffix":""},{"dropping-particle":"","family":"Shingaki","given":"Susumu","non-dropping-particle":"","parse-names":false,"suffix":""},{"dropping-particle":"","family":"Saito","given":"Chikara","non-dropping-particle":"","parse-names":false,"suffix":""},{"dropping-particle":"","family":"Saku","given":"Takashi","non-dropping-particle":"","parse-names":false,"suffix":""}],"container-title":"Pathobiology","id":"ITEM-1","issue":"3","issued":{"date-parts":[["2011"]]},"page":"171-180","publisher":"Pathobiology","title":"Enhanced expression of podoplanin in oral carcinomas in situ and squamous cell carcinomas","type":"article-journal","volume":"78"},"uris":["http://www.mendeley.com/documents/?uuid=b305418c-1017-3c5f-b4e4-b5040cea8559"]}],"mendeley":{"formattedCitation":"&lt;sup&gt;[25]&lt;/sup&gt;","plainTextFormattedCitation":"[25]","previouslyFormattedCitation":"&lt;sup&gt;[25]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Circulating microRNAs have been associated with unfavorable response to neoadjuvant chemoradiotherapy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{"citationItems":[{"id":"ITEM-1","itemData":{"DOI":"10.18632/oncotarget.11649","ISSN":"19492553","PMID":"27572313","abstract":"Preoperative chemoradiotherapy (pre-CRT) has been represented as the standard treatment for locally advanced rectal cancer (LARC), but large variations of tumor radiation response to CRT have been reported in the clinic. To explore the function of microRNAs as potential therapeutic predictors of pre-CRT pathological response in LARC, we analyzed global miRNA expression in CRT-sensitive and CRT-resistant groups before treatment. MiR-345 was significantly elevated in the CRT-resistant group. Therefore, miR-345 was selected as a candidate for further analysis. We assessed the correlation between the miRNA signatures and the chemoradiotherapeutic response in 20 randomly selected LARC tissue samples (Validation set) and 87 serum samples (Training set) by qRT-PCR. Further, we validated the results in 42 randomly selected LARC serum samples (Validation set). High miR-345 expression was significantly correlated with unfavorable pre-CRT pathological response in tissue and serum. Moreover, low miR-345 levels predicted superior 3-year local recurrence free survival (LRFS). Taken together, circulating serum miR-345 correlates with unfavorable pre-CRT response and poor locoregional control in LARC. It might be a promising biomarker to facilitate patient stratification for personalized treatment.","author":[{"dropping-particle":"","family":"Yu","given":"Jing","non-dropping-particle":"","parse-names":false,"suffix":""},{"dropping-particle":"","family":"Li","given":"Ning","non-dropping-particle":"","parse-names":false,"suffix":""},{"dropping-particle":"","family":"Wang","given":"Xin","non-dropping-particle":"","parse-names":false,"suffix":""},{"dropping-particle":"","family":"Ren","given":"Hua","non-dropping-particle":"","parse-names":false,"suffix":""},{"dropping-particle":"","family":"Wang","given":"Weihu","non-dropping-particle":"","parse-names":false,"suffix":""},{"dropping-particle":"","family":"Wang","given":"Shulian","non-dropping-particle":"","parse-names":false,"suffix":""},{"dropping-particle":"","family":"Song","given":"Yongwen","non-dropping-particle":"","parse-names":false,"suffix":""},{"dropping-particle":"","family":"Liu","given":"Yueping","non-dropping-particle":"","parse-names":false,"suffix":""},{"dropping-particle":"","family":"Li","given":"Yexiong","non-dropping-particle":"","parse-names":false,"suffix":""},{"dropping-particle":"","family":"Zhou","given":"Xuantong","non-dropping-particle":"","parse-names":false,"suffix":""},{"dropping-particle":"","family":"Luo","given":"Aiping","non-dropping-particle":"","parse-names":false,"suffix":""},{"dropping-particle":"","family":"Liu","given":"Zhihua","non-dropping-particle":"","parse-names":false,"suffix":""},{"dropping-particle":"","family":"Jin","given":"Jing","non-dropping-particle":"","parse-names":false,"suffix":""}],"container-title":"Oncotarget","id":"ITEM-1","issue":"39","issued":{"date-parts":[["2016","9","27"]]},"page":"64233-64243","publisher":"Oncotarget","title":"Circulating serum microRNA-345 correlates with unfavorable pathological response to preoperative chemoradiotherapy in locally advanced rectal cancer","type":"article-journal","volume":"7"},"uris":["http://www.mendeley.com/documents/?uuid=57768dd1-157e-33b1-8c8e-0ee4e5dd14a1"]}],"mendeley":{"formattedCitation":"&lt;sup&gt;[48]&lt;/sup&gt;","plainTextFormattedCitation":"[48]","previouslyFormattedCitation":"&lt;sup&gt;[48]&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[48]</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 potential impact of post-transcriptional 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by miR-363 has been described for head and neck squamous cell carcinoma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{"citationItems":[{"id":"ITEM-1","itemData":{"DOI":"10.1016/j.biocel.2012.12.004","ISSN":"13572725","PMID":"23246488","abstract":"Head and neck squamous cell carcinoma (HNSCC) is characterised by an elevated capacity for tumour invasion and lymph node metastasis and the cause remains to be determined. Recent studies suggest that microRNAs can regulate the evolution of malignant behaviours by regulating multiple target genes. In this study, we have first confirmed that miR-363 is down-regulated in HNSCC tissues with lymph node metastasis and cell lines with highly invasive capacity. We used bioinformatics, cellular and molecular methods to predict and prove that miR-363 directly targeted to podoplanin (PDPN) and caused up-regulation of PDPN in HNSCC. MSP assay showed that DNA promoter methylation was involved in silencing the miR-363 in HNSCC. Furthermore, we provided evidence to demonstrate that PDPN dysregulation caused by down-regulation of miR-363 contributes to HNSCC invasion and metastasis. These data reveal a key role of miR-363-PDPN in HNSCC metastasis and support biological and clinical links between miR-363-PDPN and HNSCC. © 2012 Elsevier Ltd.","author":[{"dropping-particle":"","family":"Sun","given":"Qiang","non-dropping-particle":"","parse-names":false,"suffix":""},{"dropping-particle":"","family":"Zhang","given":"Jianjun","non-dropping-particle":"","parse-names":false,"suffix":""},{"dropping-particle":"","family":"Cao","given":"Wei","non-dropping-particle":"","parse-names":false,"suffix":""},{"dropping-particle":"","family":"Wang","given":"Xu","non-dropping-particle":"","parse-names":false,"suffix":""},{"dropping-particle":"","family":"Xu","given":"Qin","non-dropping-particle":"","parse-names":false,"suffix":""},{"dropping-particle":"","family":"Yan","given":"Ming","non-dropping-particle":"","parse-names":false,"suffix":""},{"dropping-particle":"","family":"Wu","given":"Xiangbing","non-dropping-particle":"","parse-names":false,"suffix":""},{"dropping-particle":"","family":"Chen","given":"Wantao","non-dropping-particle":"","parse-names":false,"suffix":""}],"container-title":"International Journal of Biochemistry and Cell Biology","id":"ITEM-1","issue":"3","issued":{"date-parts":[["2013","3"]]},"page":"513-520","publisher":"Int J Biochem Cell Biol","title":"Dysregulated miR-363 affects head and neck cancer invasion and metastasis by targeting podoplanin","type":"article-journal","volume":"45"},"uris":["http://www.mendeley.com/documents/?uuid=7b6217ad-fb5b-33d0-879c-6bbefb4f2f1c"]}],"mendeley":{"formattedCitation":"&lt;sup&gt;[20]&lt;/sup&gt;","plainTextFormattedCitation":"[20]"},"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Anti-proliferative properties have also been reported for miR-363</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{"citationItems":[{"id":"ITEM-1","itemData":{"DOI":"10.2174/2211536605666160322151813","ISSN":"22115366","PMID":"27001184","abstract":"ï¿½ 2016 Bentham Science Publishers. Background: The miR-106a-363 cluster, encoding six miRNAs (miR- 106a, miR-18b, miR-20b, miR-19b-2, miR-92-2 and miR-363), has been shown to be overexpressed in various tumours. In oral carcinoma cells, however only miR- 106a was detectable from this cluster. We have investigated how effects of transfection of oral carcinoma cells with a non-expressed member of this cluster affect mRNA transcriptomes and cellular selected functions. Methods: Investigate effects of miR-20b and miR-363 mimics on cellular respiration, glycolysis and mobility. Effects on mRNA transcriptomes were monitored using microarrays. Results: The studies show that in oral carcinoma cells transfected with miR-20b -, or miR-363-3p or miR-363-5p mimic different mRNAs were differentially expressed. Nevertheless, bioinformatics analysis suggested significant associations of differentially expressed genes to inhibition of cellular proliferation, cell cycle and cellular migration. These results were also experimentally confirmed. Conclusions: Transfection of miRNA mimics for unexpressed members of the miR-106a-363 cluster (miR20b, miR-363-3p and miR-363-5p) exhibit an anti-proliferative effect on oral carcinoma cells, although likely mediated by different regulatory mechanisms.","author":[{"dropping-particle":"","family":"Khuu","given":"Cuong","non-dropping-particle":"","parse-names":false,"suffix":""},{"dropping-particle":"","family":"Sehic","given":"Amer","non-dropping-particle":"","parse-names":false,"suffix":""},{"dropping-particle":"","family":"Eide","given":"Lars","non-dropping-particle":"","parse-names":false,"suffix":""},{"dropping-particle":"","family":"Osmundsen","given":"Harald","non-dropping-particle":"","parse-names":false,"suffix":""}],"container-title":"MicroRNA","id":"ITEM-1","issue":"1","issued":{"date-parts":[["2016"]]},"page":"19-35","publisher":"Microrna","title":"Anti-proliferative Properties of miR-20b and miR-363 from the miR-106a-363 Cluster on Human Carcinoma Cells","type":"article-journal","volume":"5"},"uris":["http://www.mendeley.com/documents/?uuid=f802864e-f49a-3572-adf9-257eceab71d1"]}],"mendeley":{"formattedCitation":"&lt;sup&gt;[45]&lt;/sup&gt;","plainTextFormattedCitation":"[45]","previouslyFormattedCitation":"&lt;sup&gt;[45]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in gastric cancer</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{"citationItems":[{"id":"ITEM-1","itemData":{"DOI":"10.12659/MSM.896556","ISSN":"16433750","PMID":"26709677","abstract":"Background: Gastric cancer (GC) is the most common cancer in the world. Despite the advancement of the treatment of GC, the 5-year overall survival rate is still very low. MicroRNAs (miRNAs) play important roles in the pathogenesis of GC. A recent study suggested that miR-363-3p plays a role in the development of GC. However, the function of miR-363-3p in GC is not fully understood. Material/Methods: The network of NOTCH1 and the involved molecules was constructed by use of Cytoscape software. MiR-363-3p levels in GC tissues and cells were tested by qRT-PCR. Cells were miR-363-3p mimics or anti-miR-363-3p transfected by Lipofectamine. Bioinformatics algorithms from TargetScanHuman were used to predict the target genes of miR-363-3p. The NOTCH1 protein level was tested by Western blot. The interaction between miR-363- 3p and NOTCH1 was confirmed by dual luciferase assays. Results: MiR-363-3p showed low levels in GC tissues and cells. Enforced expression of miR-363-3p inhibited cell growth and migration of GC cells and vice versa. NOTCH1 is the targeted gene of miR-363-3p. Conclusions: MiR-363-3p plays a tumor suppressor role in GC.","author":[{"dropping-particle":"","family":"Song","given":"Bo","non-dropping-particle":"","parse-names":false,"suffix":""},{"dropping-particle":"","family":"Yan","given":"Jin","non-dropping-particle":"","parse-names":false,"suffix":""},{"dropping-particle":"","family":"Liu","given":"Chao","non-dropping-particle":"","parse-names":false,"suffix":""},{"dropping-particle":"","family":"Zhou","given":"Haiyang","non-dropping-particle":"","parse-names":false,"suffix":""},{"dropping-particle":"","family":"Zheng","given":"Yangchun","non-dropping-particle":"","parse-names":false,"suffix":""}],"container-title":"Medical Science Monitor","id":"ITEM-1","issued":{"date-parts":[["2015"]]},"page":"4074-4080","publisher":"Med Sci Monit","title":"Tumor suppressor role of mir-363-3p in gastric cancer","type":"article-journal","volume":"21"},"uris":["http://www.mendeley.com/documents/?uuid=9059d808-dc0f-37fc-a2ba-643de07d8cc8"]}],"mendeley":{"formattedCitation":"&lt;sup&gt;[49]&lt;/sup&gt;","plainTextFormattedCitation":"[49]","previouslyFormattedCitation":"&lt;sup&gt;[49]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[49]</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We correlated miR-363 quantification with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and identified a cut-off value associated with a significant correlation. Patients with high </w:t>
      </w:r>
      <w:r w:rsidRPr="00B751AA">
        <w:rPr>
          <w:rFonts w:ascii="Book Antiqua" w:hAnsi="Book Antiqua" w:cs="Arial"/>
          <w:color w:val="000000" w:themeColor="text1"/>
          <w:sz w:val="24"/>
          <w:szCs w:val="24"/>
        </w:rPr>
        <w:lastRenderedPageBreak/>
        <w:t xml:space="preserve">miR-363 expression and down-regulated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had a better prognosis. This association and the potential role of miR-363 for 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ESCC also is a novel finding.</w:t>
      </w:r>
    </w:p>
    <w:p w14:paraId="6C742EC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This is the first study showing a significant down-regulation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during neoadjuvant chemoradiation in patients with ESCC.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as well as its post-transcriptional regulator miR-363 might be important targets for a tailored therapy of locally advanced ESCC, as well as markers for prognosis.</w:t>
      </w:r>
    </w:p>
    <w:p w14:paraId="403390E3"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154A3367"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t>ARTICLE HIGHLIGHTS</w:t>
      </w:r>
    </w:p>
    <w:p w14:paraId="5AA2AF36" w14:textId="77777777" w:rsidR="00BB36AA" w:rsidRPr="00B751AA" w:rsidRDefault="00BB36AA" w:rsidP="00B751AA">
      <w:pPr>
        <w:adjustRightInd w:val="0"/>
        <w:snapToGrid w:val="0"/>
        <w:spacing w:after="0" w:line="360" w:lineRule="auto"/>
        <w:jc w:val="both"/>
        <w:rPr>
          <w:rFonts w:ascii="Book Antiqua" w:hAnsi="Book Antiqua" w:cstheme="minorBidi"/>
          <w:b/>
          <w:i/>
          <w:iCs/>
          <w:sz w:val="24"/>
          <w:szCs w:val="24"/>
        </w:rPr>
      </w:pPr>
      <w:r w:rsidRPr="00B751AA">
        <w:rPr>
          <w:rFonts w:ascii="Book Antiqua" w:hAnsi="Book Antiqua" w:cstheme="minorBidi"/>
          <w:b/>
          <w:i/>
          <w:iCs/>
          <w:sz w:val="24"/>
          <w:szCs w:val="24"/>
        </w:rPr>
        <w:t>Research background</w:t>
      </w:r>
    </w:p>
    <w:p w14:paraId="2E289EA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Patients with locally advanced esophageal carcinoma have a poor prognosis. Additionally, only 40</w:t>
      </w:r>
      <w:r w:rsidR="00DF1C41" w:rsidRPr="00B751AA">
        <w:rPr>
          <w:rFonts w:ascii="Book Antiqua" w:hAnsi="Book Antiqua" w:cs="Arial"/>
          <w:color w:val="000000" w:themeColor="text1"/>
          <w:sz w:val="24"/>
          <w:szCs w:val="24"/>
          <w:lang w:val="de-DE"/>
        </w:rPr>
        <w:t>%-</w:t>
      </w:r>
      <w:r w:rsidRPr="00B751AA">
        <w:rPr>
          <w:rFonts w:ascii="Book Antiqua" w:hAnsi="Book Antiqua" w:cs="Arial"/>
          <w:color w:val="000000" w:themeColor="text1"/>
          <w:sz w:val="24"/>
          <w:szCs w:val="24"/>
          <w:lang w:val="de-DE"/>
        </w:rPr>
        <w:t>50% of the patients profit by improved survival from neoadjuvant therapies after the burden of chemoradiation</w:t>
      </w:r>
      <w:r w:rsidR="00BB36AA" w:rsidRPr="00B751AA">
        <w:rPr>
          <w:rFonts w:ascii="Book Antiqua" w:hAnsi="Book Antiqua" w:cs="Arial"/>
          <w:color w:val="000000" w:themeColor="text1"/>
          <w:sz w:val="24"/>
          <w:szCs w:val="24"/>
          <w:lang w:val="de-DE"/>
        </w:rPr>
        <w:t>.</w:t>
      </w:r>
    </w:p>
    <w:p w14:paraId="675C60E9"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5DFEB378"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motivation </w:t>
      </w:r>
    </w:p>
    <w:p w14:paraId="0F37E0D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We urgently need markers for diagnosis of earlier tumor stages, for prediction of therapy response and prognosis, as well as targets for novel therapies.</w:t>
      </w:r>
    </w:p>
    <w:p w14:paraId="6DB9F85D"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1279FA94"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Research objectives</w:t>
      </w:r>
    </w:p>
    <w:p w14:paraId="6C8EBDB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Cs/>
          <w:color w:val="000000" w:themeColor="text1"/>
          <w:sz w:val="24"/>
          <w:szCs w:val="24"/>
          <w:lang w:val="en-GB"/>
        </w:rPr>
        <w:t xml:space="preserve">Our aim was to evaluate the predictive impact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for therapy response and prognosis and a potential association with post-transcriptional regulation by miR-363 as one mechanism of deregulation in cancer. </w:t>
      </w:r>
      <w:r w:rsidRPr="00B751AA">
        <w:rPr>
          <w:rFonts w:ascii="Book Antiqua" w:hAnsi="Book Antiqua" w:cs="Arial"/>
          <w:color w:val="000000" w:themeColor="text1"/>
          <w:sz w:val="24"/>
          <w:szCs w:val="24"/>
          <w:lang w:val="de-DE"/>
        </w:rPr>
        <w:t>Podoplanin protein expression has been related to clinical parameters (histological tumor type, histopathologic response classification, survival rate, clinical tumor category), with regard to a potential benefit for personalization of neoadjuvant treatment.</w:t>
      </w:r>
    </w:p>
    <w:p w14:paraId="3B119117" w14:textId="77777777" w:rsidR="00BB36AA" w:rsidRPr="00B751AA" w:rsidRDefault="00BB36AA" w:rsidP="00B751AA">
      <w:pPr>
        <w:adjustRightInd w:val="0"/>
        <w:snapToGrid w:val="0"/>
        <w:spacing w:after="0" w:line="360" w:lineRule="auto"/>
        <w:jc w:val="both"/>
        <w:rPr>
          <w:rFonts w:ascii="Book Antiqua" w:hAnsi="Book Antiqua" w:cs="Arial"/>
          <w:bCs/>
          <w:color w:val="000000" w:themeColor="text1"/>
          <w:sz w:val="24"/>
          <w:szCs w:val="24"/>
          <w:lang w:val="en-GB"/>
        </w:rPr>
      </w:pPr>
    </w:p>
    <w:p w14:paraId="2BF7F766"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methods </w:t>
      </w:r>
    </w:p>
    <w:p w14:paraId="62DAC7F0"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visualized by immunohistochemistry in resection-specimen of 195 patients: 90 </w:t>
      </w:r>
      <w:r w:rsidR="00EE4E4E" w:rsidRPr="00B751AA">
        <w:rPr>
          <w:rFonts w:ascii="Book Antiqua" w:hAnsi="Book Antiqua" w:cs="Arial"/>
          <w:bCs/>
          <w:color w:val="000000" w:themeColor="text1"/>
          <w:sz w:val="24"/>
          <w:szCs w:val="24"/>
          <w:lang w:val="en-GB"/>
        </w:rPr>
        <w:t xml:space="preserve">squamous cell </w:t>
      </w:r>
      <w:r w:rsidR="0055432A" w:rsidRPr="00B751AA">
        <w:rPr>
          <w:rFonts w:ascii="Book Antiqua" w:hAnsi="Book Antiqua" w:cs="Arial"/>
          <w:bCs/>
          <w:color w:val="000000" w:themeColor="text1"/>
          <w:sz w:val="24"/>
          <w:szCs w:val="24"/>
          <w:lang w:val="en-GB"/>
        </w:rPr>
        <w:t>carcinomas</w:t>
      </w:r>
      <w:r w:rsidR="00EE4E4E" w:rsidRPr="00B751AA">
        <w:rPr>
          <w:rFonts w:ascii="Book Antiqua" w:hAnsi="Book Antiqua" w:cs="Arial"/>
          <w:bCs/>
          <w:color w:val="000000" w:themeColor="text1"/>
          <w:sz w:val="24"/>
          <w:szCs w:val="24"/>
          <w:lang w:val="en-GB"/>
        </w:rPr>
        <w:t xml:space="preserve"> of the </w:t>
      </w:r>
      <w:proofErr w:type="spellStart"/>
      <w:r w:rsidR="00EE4E4E" w:rsidRPr="00B751AA">
        <w:rPr>
          <w:rFonts w:ascii="Book Antiqua" w:hAnsi="Book Antiqua" w:cs="Arial"/>
          <w:bCs/>
          <w:color w:val="000000" w:themeColor="text1"/>
          <w:sz w:val="24"/>
          <w:szCs w:val="24"/>
          <w:lang w:val="en-GB"/>
        </w:rPr>
        <w:lastRenderedPageBreak/>
        <w:t>esophagus</w:t>
      </w:r>
      <w:proofErr w:type="spellEnd"/>
      <w:r w:rsidR="00EE4E4E"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ESCC</w:t>
      </w:r>
      <w:r w:rsidR="00EE4E4E" w:rsidRPr="00B751AA">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105 </w:t>
      </w:r>
      <w:r w:rsidR="0055432A" w:rsidRPr="00B751AA">
        <w:rPr>
          <w:rFonts w:ascii="Book Antiqua" w:hAnsi="Book Antiqua"/>
          <w:color w:val="000000" w:themeColor="text1"/>
          <w:sz w:val="24"/>
          <w:szCs w:val="24"/>
        </w:rPr>
        <w:t>adenocarcinomas</w:t>
      </w:r>
      <w:r w:rsidR="00DF1C41" w:rsidRPr="00B751AA">
        <w:rPr>
          <w:rFonts w:ascii="Book Antiqua" w:hAnsi="Book Antiqua"/>
          <w:color w:val="000000" w:themeColor="text1"/>
          <w:sz w:val="24"/>
          <w:szCs w:val="24"/>
        </w:rPr>
        <w:t xml:space="preserve"> of the esophagus (</w:t>
      </w:r>
      <w:r w:rsidRPr="00B751AA">
        <w:rPr>
          <w:rFonts w:ascii="Book Antiqua" w:hAnsi="Book Antiqua" w:cs="Arial"/>
          <w:bCs/>
          <w:color w:val="000000" w:themeColor="text1"/>
          <w:sz w:val="24"/>
          <w:szCs w:val="24"/>
          <w:lang w:val="en-GB"/>
        </w:rPr>
        <w:t>EAC</w:t>
      </w:r>
      <w:r w:rsidR="00DF1C41" w:rsidRPr="00B751AA">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with clinical T2-3, </w:t>
      </w:r>
      <w:proofErr w:type="spellStart"/>
      <w:r w:rsidRPr="00B751AA">
        <w:rPr>
          <w:rFonts w:ascii="Book Antiqua" w:hAnsi="Book Antiqua" w:cs="Arial"/>
          <w:bCs/>
          <w:color w:val="000000" w:themeColor="text1"/>
          <w:sz w:val="24"/>
          <w:szCs w:val="24"/>
          <w:lang w:val="en-GB"/>
        </w:rPr>
        <w:t>Nx</w:t>
      </w:r>
      <w:proofErr w:type="spellEnd"/>
      <w:r w:rsidRPr="00B751AA">
        <w:rPr>
          <w:rFonts w:ascii="Book Antiqua" w:hAnsi="Book Antiqua" w:cs="Arial"/>
          <w:bCs/>
          <w:color w:val="000000" w:themeColor="text1"/>
          <w:sz w:val="24"/>
          <w:szCs w:val="24"/>
          <w:lang w:val="en-GB"/>
        </w:rPr>
        <w:t>, M0. RNA was extracted from paraffin-embedded tissue, miRNA-363 quantified by real-time TaqMan-</w:t>
      </w:r>
      <w:r w:rsidR="0055432A" w:rsidRPr="00B751AA">
        <w:rPr>
          <w:rFonts w:ascii="Book Antiqua" w:hAnsi="Book Antiqua" w:cs="Arial"/>
          <w:bCs/>
          <w:color w:val="000000" w:themeColor="text1"/>
          <w:sz w:val="24"/>
          <w:szCs w:val="24"/>
          <w:lang w:val="en-GB"/>
        </w:rPr>
        <w:t>real-time</w:t>
      </w:r>
      <w:r w:rsidRPr="00B751AA">
        <w:rPr>
          <w:rFonts w:ascii="Book Antiqua" w:hAnsi="Book Antiqua" w:cs="Arial"/>
          <w:bCs/>
          <w:color w:val="000000" w:themeColor="text1"/>
          <w:sz w:val="24"/>
          <w:szCs w:val="24"/>
          <w:lang w:val="en-GB"/>
        </w:rPr>
        <w:t>-PCR.</w:t>
      </w:r>
    </w:p>
    <w:p w14:paraId="7E3531C1" w14:textId="77777777" w:rsidR="00BB36AA" w:rsidRPr="00B751AA" w:rsidRDefault="00BB36AA" w:rsidP="00B751AA">
      <w:pPr>
        <w:adjustRightInd w:val="0"/>
        <w:snapToGrid w:val="0"/>
        <w:spacing w:after="0" w:line="360" w:lineRule="auto"/>
        <w:jc w:val="both"/>
        <w:rPr>
          <w:rFonts w:ascii="Book Antiqua" w:hAnsi="Book Antiqua" w:cs="Arial"/>
          <w:bCs/>
          <w:color w:val="000000" w:themeColor="text1"/>
          <w:sz w:val="24"/>
          <w:szCs w:val="24"/>
          <w:lang w:val="en-GB"/>
        </w:rPr>
      </w:pPr>
    </w:p>
    <w:p w14:paraId="59C2A4B6"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results </w:t>
      </w:r>
    </w:p>
    <w:p w14:paraId="1B35ADAA"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We confirmed high podoplanin expression</w:t>
      </w:r>
      <w:r w:rsidR="00EE4E4E" w:rsidRPr="00B751AA">
        <w:rPr>
          <w:rFonts w:ascii="Book Antiqua" w:hAnsi="Book Antiqua" w:cs="Arial"/>
          <w:color w:val="000000" w:themeColor="text1"/>
          <w:sz w:val="24"/>
          <w:szCs w:val="24"/>
          <w:lang w:val="de-DE"/>
        </w:rPr>
        <w:t xml:space="preserve"> </w:t>
      </w:r>
      <w:r w:rsidR="00EE4E4E" w:rsidRPr="00B751AA">
        <w:rPr>
          <w:rFonts w:ascii="Book Antiqua" w:hAnsi="Book Antiqua" w:cs="Arial"/>
          <w:color w:val="000000" w:themeColor="text1"/>
          <w:sz w:val="24"/>
          <w:szCs w:val="24"/>
          <w:lang w:val="de-DE" w:eastAsia="zh-CN"/>
        </w:rPr>
        <w:t>(HPE)</w:t>
      </w:r>
      <w:r w:rsidRPr="00B751AA">
        <w:rPr>
          <w:rFonts w:ascii="Book Antiqua" w:hAnsi="Book Antiqua" w:cs="Arial"/>
          <w:color w:val="000000" w:themeColor="text1"/>
          <w:sz w:val="24"/>
          <w:szCs w:val="24"/>
          <w:lang w:val="de-DE"/>
        </w:rPr>
        <w:t xml:space="preserve"> in ESCC patients and its absence in EAC. </w:t>
      </w:r>
      <w:r w:rsidRPr="00B751AA">
        <w:rPr>
          <w:rFonts w:ascii="Book Antiqua" w:hAnsi="Book Antiqua" w:cs="Arial"/>
          <w:bCs/>
          <w:color w:val="000000" w:themeColor="text1"/>
          <w:sz w:val="24"/>
          <w:szCs w:val="24"/>
        </w:rPr>
        <w:t xml:space="preserve">We detected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in resection-specimen of 58 ESCC patients after neoadjuvant (</w:t>
      </w:r>
      <w:proofErr w:type="spellStart"/>
      <w:r w:rsidRPr="00B751AA">
        <w:rPr>
          <w:rFonts w:ascii="Book Antiqua" w:hAnsi="Book Antiqua" w:cs="Arial"/>
          <w:bCs/>
          <w:color w:val="000000" w:themeColor="text1"/>
          <w:sz w:val="24"/>
          <w:szCs w:val="24"/>
        </w:rPr>
        <w:t>RTx</w:t>
      </w:r>
      <w:proofErr w:type="spellEnd"/>
      <w:r w:rsidRPr="00B751AA">
        <w:rPr>
          <w:rFonts w:ascii="Book Antiqua" w:hAnsi="Book Antiqua" w:cs="Arial"/>
          <w:bCs/>
          <w:color w:val="000000" w:themeColor="text1"/>
          <w:sz w:val="24"/>
          <w:szCs w:val="24"/>
        </w:rPr>
        <w:t>/</w:t>
      </w:r>
      <w:proofErr w:type="spellStart"/>
      <w:r w:rsidRPr="00B751AA">
        <w:rPr>
          <w:rFonts w:ascii="Book Antiqua" w:hAnsi="Book Antiqua" w:cs="Arial"/>
          <w:bCs/>
          <w:color w:val="000000" w:themeColor="text1"/>
          <w:sz w:val="24"/>
          <w:szCs w:val="24"/>
        </w:rPr>
        <w:t>CTx</w:t>
      </w:r>
      <w:proofErr w:type="spellEnd"/>
      <w:r w:rsidRPr="00B751AA">
        <w:rPr>
          <w:rFonts w:ascii="Book Antiqua" w:hAnsi="Book Antiqua" w:cs="Arial"/>
          <w:bCs/>
          <w:color w:val="000000" w:themeColor="text1"/>
          <w:sz w:val="24"/>
          <w:szCs w:val="24"/>
        </w:rPr>
        <w:t xml:space="preserve">) treatment, only 11% with </w:t>
      </w:r>
      <w:r w:rsidR="00EE4E4E" w:rsidRPr="00B751AA">
        <w:rPr>
          <w:rFonts w:ascii="Book Antiqua" w:hAnsi="Book Antiqua" w:cs="Arial"/>
          <w:bCs/>
          <w:color w:val="000000" w:themeColor="text1"/>
          <w:sz w:val="24"/>
          <w:szCs w:val="24"/>
        </w:rPr>
        <w:t>HPE</w:t>
      </w:r>
      <w:r w:rsidRPr="00B751AA">
        <w:rPr>
          <w:rFonts w:ascii="Book Antiqua" w:hAnsi="Book Antiqua" w:cs="Arial"/>
          <w:bCs/>
          <w:color w:val="000000" w:themeColor="text1"/>
          <w:sz w:val="24"/>
          <w:szCs w:val="24"/>
        </w:rPr>
        <w:t xml:space="preserve"> of &gt; 5%, compared to 32 non-pretreated primary surgery patients with 50</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HPE, </w:t>
      </w:r>
      <w:r w:rsidR="0055432A" w:rsidRPr="00B751AA">
        <w:rPr>
          <w:rFonts w:ascii="Book Antiqua" w:hAnsi="Book Antiqua" w:cs="Arial"/>
          <w:bCs/>
          <w:i/>
          <w:iCs/>
          <w:color w:val="000000" w:themeColor="text1"/>
          <w:sz w:val="24"/>
          <w:szCs w:val="24"/>
        </w:rPr>
        <w:t>P</w:t>
      </w:r>
      <w:r w:rsidR="0055432A"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w:t>
      </w:r>
      <w:r w:rsidR="0055432A"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0.0001</w:t>
      </w:r>
      <w:r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lang w:val="de-DE"/>
        </w:rPr>
        <w:t>This novel finding of a lower podoplanin expression in the pretreated patient cohort was confirmed by the comparison of corresponding surgical specimens after neoadjuvant treatment with the individual matching pretherapeutic biopsies of 56 patients,</w:t>
      </w:r>
      <w:r w:rsidR="0055432A" w:rsidRPr="00B751AA">
        <w:rPr>
          <w:rFonts w:ascii="Book Antiqua" w:hAnsi="Book Antiqua" w:cs="Arial"/>
          <w:color w:val="000000" w:themeColor="text1"/>
          <w:sz w:val="24"/>
          <w:szCs w:val="24"/>
          <w:lang w:val="de-DE"/>
        </w:rPr>
        <w:t xml:space="preserve"> </w:t>
      </w:r>
      <w:r w:rsidR="0055432A" w:rsidRPr="00B751AA">
        <w:rPr>
          <w:rFonts w:ascii="Book Antiqua" w:hAnsi="Book Antiqua" w:cs="Arial"/>
          <w:i/>
          <w:iCs/>
          <w:color w:val="000000" w:themeColor="text1"/>
          <w:sz w:val="24"/>
          <w:szCs w:val="24"/>
          <w:lang w:val="de-DE"/>
        </w:rPr>
        <w:t>P</w:t>
      </w:r>
      <w:r w:rsidR="0055432A" w:rsidRPr="00B751AA">
        <w:rPr>
          <w:rFonts w:ascii="Book Antiqua" w:hAnsi="Book Antiqua" w:cs="Arial"/>
          <w:color w:val="000000" w:themeColor="text1"/>
          <w:sz w:val="24"/>
          <w:szCs w:val="24"/>
          <w:lang w:val="de-DE"/>
        </w:rPr>
        <w:t xml:space="preserve"> </w:t>
      </w:r>
      <w:r w:rsidRPr="00B751AA">
        <w:rPr>
          <w:rFonts w:ascii="Book Antiqua" w:hAnsi="Book Antiqua" w:cs="Arial"/>
          <w:color w:val="000000" w:themeColor="text1"/>
          <w:sz w:val="24"/>
          <w:szCs w:val="24"/>
          <w:lang w:val="de-DE"/>
        </w:rPr>
        <w:t>&lt;</w:t>
      </w:r>
      <w:r w:rsidR="0055432A" w:rsidRPr="00B751AA">
        <w:rPr>
          <w:rFonts w:ascii="Book Antiqua" w:hAnsi="Book Antiqua" w:cs="Arial"/>
          <w:color w:val="000000" w:themeColor="text1"/>
          <w:sz w:val="24"/>
          <w:szCs w:val="24"/>
          <w:lang w:val="de-DE"/>
        </w:rPr>
        <w:t xml:space="preserve"> </w:t>
      </w:r>
      <w:r w:rsidRPr="00B751AA">
        <w:rPr>
          <w:rFonts w:ascii="Book Antiqua" w:hAnsi="Book Antiqua" w:cs="Arial"/>
          <w:color w:val="000000" w:themeColor="text1"/>
          <w:sz w:val="24"/>
          <w:szCs w:val="24"/>
          <w:lang w:val="de-DE"/>
        </w:rPr>
        <w:t>0.001.</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de-DE"/>
        </w:rPr>
        <w:t xml:space="preserve">Podoplanin, however, is no predictive marker for response to neoadjuvant chemoradiation. Due to the small number of cT1-T2 patients we were only able to show a trend of association with podoplanin protein expression. We were able to demonstrate a prognostic impact of podoplanin, as well as for miR-336, a posttranscriptional regulator of this protein. </w:t>
      </w:r>
    </w:p>
    <w:p w14:paraId="75541A89"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en-GB"/>
        </w:rPr>
      </w:pPr>
    </w:p>
    <w:p w14:paraId="368AFA6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Research conclusions</w:t>
      </w:r>
    </w:p>
    <w:p w14:paraId="0CB5D66E"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en-GB"/>
        </w:rPr>
        <w:t xml:space="preserve">Direct surgery ESCC patients with a low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have a better prognosis.</w:t>
      </w:r>
      <w:r w:rsidR="005543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Chemoradiation results in reduction of expression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in patients with ESCC. </w:t>
      </w:r>
      <w:r w:rsidRPr="00B751AA">
        <w:rPr>
          <w:rFonts w:ascii="Book Antiqua" w:hAnsi="Book Antiqua" w:cs="Arial"/>
          <w:color w:val="000000" w:themeColor="text1"/>
          <w:sz w:val="24"/>
          <w:szCs w:val="24"/>
          <w:lang w:val="de-DE"/>
        </w:rPr>
        <w:t>Podoplanin expression seems to be, among others, controlled by miR-363.</w:t>
      </w:r>
    </w:p>
    <w:p w14:paraId="36F00198"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3079F092"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Research perspectives</w:t>
      </w:r>
    </w:p>
    <w:p w14:paraId="510EEE6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The decrease of podoplanin expression might become a therapeutic option.</w:t>
      </w:r>
    </w:p>
    <w:p w14:paraId="44DCA55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5FBF8565" w14:textId="77777777" w:rsidR="00BB36AA" w:rsidRPr="00B751AA" w:rsidRDefault="00BB36AA" w:rsidP="00B751AA">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B751AA">
        <w:rPr>
          <w:rStyle w:val="normaltextrun"/>
          <w:rFonts w:ascii="Book Antiqua" w:hAnsi="Book Antiqua" w:cstheme="minorHAnsi"/>
          <w:b/>
          <w:bCs/>
          <w:u w:val="single"/>
        </w:rPr>
        <w:t>ACKNOWLEDGEMENTS</w:t>
      </w:r>
    </w:p>
    <w:p w14:paraId="516D538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We thank Michaela </w:t>
      </w:r>
      <w:proofErr w:type="spellStart"/>
      <w:r w:rsidRPr="00B751AA">
        <w:rPr>
          <w:rFonts w:ascii="Book Antiqua" w:hAnsi="Book Antiqua" w:cs="Arial"/>
          <w:color w:val="000000" w:themeColor="text1"/>
          <w:sz w:val="24"/>
          <w:szCs w:val="24"/>
        </w:rPr>
        <w:t>Heitmann</w:t>
      </w:r>
      <w:proofErr w:type="spellEnd"/>
      <w:r w:rsidRPr="00B751AA">
        <w:rPr>
          <w:rFonts w:ascii="Book Antiqua" w:hAnsi="Book Antiqua" w:cs="Arial"/>
          <w:color w:val="000000" w:themeColor="text1"/>
          <w:sz w:val="24"/>
          <w:szCs w:val="24"/>
        </w:rPr>
        <w:t xml:space="preserve">, Susanne </w:t>
      </w:r>
      <w:proofErr w:type="spellStart"/>
      <w:r w:rsidRPr="00B751AA">
        <w:rPr>
          <w:rFonts w:ascii="Book Antiqua" w:hAnsi="Book Antiqua" w:cs="Arial"/>
          <w:color w:val="000000" w:themeColor="text1"/>
          <w:sz w:val="24"/>
          <w:szCs w:val="24"/>
        </w:rPr>
        <w:t>Neiss</w:t>
      </w:r>
      <w:proofErr w:type="spellEnd"/>
      <w:r w:rsidRPr="00B751AA">
        <w:rPr>
          <w:rFonts w:ascii="Book Antiqua" w:hAnsi="Book Antiqua" w:cs="Arial"/>
          <w:color w:val="000000" w:themeColor="text1"/>
          <w:sz w:val="24"/>
          <w:szCs w:val="24"/>
        </w:rPr>
        <w:t xml:space="preserve"> and </w:t>
      </w:r>
      <w:proofErr w:type="spellStart"/>
      <w:r w:rsidRPr="00B751AA">
        <w:rPr>
          <w:rFonts w:ascii="Book Antiqua" w:hAnsi="Book Antiqua" w:cs="Arial"/>
          <w:color w:val="000000" w:themeColor="text1"/>
          <w:sz w:val="24"/>
          <w:szCs w:val="24"/>
        </w:rPr>
        <w:t>Anke</w:t>
      </w:r>
      <w:proofErr w:type="spellEnd"/>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Wienand-Dorweiler</w:t>
      </w:r>
      <w:proofErr w:type="spellEnd"/>
      <w:r w:rsidRPr="00B751AA">
        <w:rPr>
          <w:rFonts w:ascii="Book Antiqua" w:hAnsi="Book Antiqua" w:cs="Arial"/>
          <w:color w:val="000000" w:themeColor="text1"/>
          <w:sz w:val="24"/>
          <w:szCs w:val="24"/>
        </w:rPr>
        <w:t xml:space="preserve"> for their excellent technical assistance.</w:t>
      </w:r>
    </w:p>
    <w:p w14:paraId="6A2A21B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p>
    <w:p w14:paraId="6D5CEBE8" w14:textId="77777777" w:rsidR="00BB36AA" w:rsidRPr="00B751AA" w:rsidRDefault="00BB36AA" w:rsidP="00B751AA">
      <w:pPr>
        <w:widowControl w:val="0"/>
        <w:autoSpaceDE w:val="0"/>
        <w:autoSpaceDN w:val="0"/>
        <w:adjustRightInd w:val="0"/>
        <w:snapToGrid w:val="0"/>
        <w:spacing w:after="0" w:line="360" w:lineRule="auto"/>
        <w:ind w:left="640" w:hanging="640"/>
        <w:jc w:val="both"/>
        <w:rPr>
          <w:rFonts w:ascii="Book Antiqua" w:hAnsi="Book Antiqua" w:cstheme="minorBidi"/>
          <w:sz w:val="24"/>
          <w:szCs w:val="24"/>
        </w:rPr>
      </w:pPr>
      <w:r w:rsidRPr="00B751AA">
        <w:rPr>
          <w:rFonts w:ascii="Book Antiqua" w:hAnsi="Book Antiqua" w:cstheme="minorBidi"/>
          <w:b/>
          <w:sz w:val="24"/>
          <w:szCs w:val="24"/>
        </w:rPr>
        <w:t>REFERENCES</w:t>
      </w:r>
    </w:p>
    <w:p w14:paraId="20D30F7B"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 </w:t>
      </w:r>
      <w:r w:rsidRPr="00B751AA">
        <w:rPr>
          <w:rFonts w:ascii="Book Antiqua" w:hAnsi="Book Antiqua"/>
          <w:b/>
          <w:sz w:val="24"/>
          <w:szCs w:val="24"/>
        </w:rPr>
        <w:t>Torre LA</w:t>
      </w:r>
      <w:r w:rsidRPr="00B751AA">
        <w:rPr>
          <w:rFonts w:ascii="Book Antiqua" w:hAnsi="Book Antiqua"/>
          <w:sz w:val="24"/>
          <w:szCs w:val="24"/>
        </w:rPr>
        <w:t xml:space="preserve">, Siegel RL, Ward EM, Jemal A. Global Cancer Incidence and Mortality Rates and Trends--An Update. </w:t>
      </w:r>
      <w:r w:rsidRPr="00B751AA">
        <w:rPr>
          <w:rFonts w:ascii="Book Antiqua" w:hAnsi="Book Antiqua"/>
          <w:i/>
          <w:sz w:val="24"/>
          <w:szCs w:val="24"/>
        </w:rPr>
        <w:t xml:space="preserve">Cancer </w:t>
      </w:r>
      <w:proofErr w:type="spellStart"/>
      <w:r w:rsidRPr="00B751AA">
        <w:rPr>
          <w:rFonts w:ascii="Book Antiqua" w:hAnsi="Book Antiqua"/>
          <w:i/>
          <w:sz w:val="24"/>
          <w:szCs w:val="24"/>
        </w:rPr>
        <w:t>Epidemiol</w:t>
      </w:r>
      <w:proofErr w:type="spellEnd"/>
      <w:r w:rsidRPr="00B751AA">
        <w:rPr>
          <w:rFonts w:ascii="Book Antiqua" w:hAnsi="Book Antiqua"/>
          <w:i/>
          <w:sz w:val="24"/>
          <w:szCs w:val="24"/>
        </w:rPr>
        <w:t xml:space="preserve"> Biomarkers </w:t>
      </w:r>
      <w:proofErr w:type="spellStart"/>
      <w:r w:rsidRPr="00B751AA">
        <w:rPr>
          <w:rFonts w:ascii="Book Antiqua" w:hAnsi="Book Antiqua"/>
          <w:i/>
          <w:sz w:val="24"/>
          <w:szCs w:val="24"/>
        </w:rPr>
        <w:t>Prev</w:t>
      </w:r>
      <w:proofErr w:type="spellEnd"/>
      <w:r w:rsidRPr="00B751AA">
        <w:rPr>
          <w:rFonts w:ascii="Book Antiqua" w:hAnsi="Book Antiqua"/>
          <w:sz w:val="24"/>
          <w:szCs w:val="24"/>
        </w:rPr>
        <w:t xml:space="preserve"> 2016; </w:t>
      </w:r>
      <w:r w:rsidRPr="00B751AA">
        <w:rPr>
          <w:rFonts w:ascii="Book Antiqua" w:hAnsi="Book Antiqua"/>
          <w:b/>
          <w:sz w:val="24"/>
          <w:szCs w:val="24"/>
        </w:rPr>
        <w:t>25</w:t>
      </w:r>
      <w:r w:rsidRPr="00B751AA">
        <w:rPr>
          <w:rFonts w:ascii="Book Antiqua" w:hAnsi="Book Antiqua"/>
          <w:sz w:val="24"/>
          <w:szCs w:val="24"/>
        </w:rPr>
        <w:t>: 16-27 [PMID: 26667886 DOI: 10.1158/1055-9965.EPI-15-0578]</w:t>
      </w:r>
    </w:p>
    <w:p w14:paraId="5C05A03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 </w:t>
      </w:r>
      <w:r w:rsidRPr="00B751AA">
        <w:rPr>
          <w:rFonts w:ascii="Book Antiqua" w:hAnsi="Book Antiqua"/>
          <w:b/>
          <w:sz w:val="24"/>
          <w:szCs w:val="24"/>
        </w:rPr>
        <w:t>Simard EP</w:t>
      </w:r>
      <w:r w:rsidRPr="00B751AA">
        <w:rPr>
          <w:rFonts w:ascii="Book Antiqua" w:hAnsi="Book Antiqua"/>
          <w:sz w:val="24"/>
          <w:szCs w:val="24"/>
        </w:rPr>
        <w:t xml:space="preserve">, Ward EM, Siegel R, Jemal A. Cancers with increasing incidence trends in the United States: 1999 through 2008. </w:t>
      </w:r>
      <w:r w:rsidRPr="00B751AA">
        <w:rPr>
          <w:rFonts w:ascii="Book Antiqua" w:hAnsi="Book Antiqua"/>
          <w:i/>
          <w:sz w:val="24"/>
          <w:szCs w:val="24"/>
        </w:rPr>
        <w:t>CA Cancer J Clin</w:t>
      </w:r>
      <w:r w:rsidRPr="00B751AA">
        <w:rPr>
          <w:rFonts w:ascii="Book Antiqua" w:hAnsi="Book Antiqua"/>
          <w:sz w:val="24"/>
          <w:szCs w:val="24"/>
        </w:rPr>
        <w:t xml:space="preserve"> 2012; </w:t>
      </w:r>
      <w:r w:rsidRPr="00B751AA">
        <w:rPr>
          <w:rFonts w:ascii="Book Antiqua" w:hAnsi="Book Antiqua"/>
          <w:b/>
          <w:sz w:val="24"/>
          <w:szCs w:val="24"/>
        </w:rPr>
        <w:t>62</w:t>
      </w:r>
      <w:r w:rsidRPr="00B751AA">
        <w:rPr>
          <w:rFonts w:ascii="Book Antiqua" w:hAnsi="Book Antiqua"/>
          <w:sz w:val="24"/>
          <w:szCs w:val="24"/>
        </w:rPr>
        <w:t>: 118-128 [PMID: 22281605 DOI: 10.3322/caac.20141]</w:t>
      </w:r>
    </w:p>
    <w:p w14:paraId="5EE1846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 </w:t>
      </w:r>
      <w:r w:rsidRPr="00B751AA">
        <w:rPr>
          <w:rFonts w:ascii="Book Antiqua" w:hAnsi="Book Antiqua"/>
          <w:b/>
          <w:sz w:val="24"/>
          <w:szCs w:val="24"/>
        </w:rPr>
        <w:t>Napier KJ</w:t>
      </w:r>
      <w:r w:rsidRPr="00B751AA">
        <w:rPr>
          <w:rFonts w:ascii="Book Antiqua" w:hAnsi="Book Antiqua"/>
          <w:sz w:val="24"/>
          <w:szCs w:val="24"/>
        </w:rPr>
        <w:t xml:space="preserve">, </w:t>
      </w:r>
      <w:proofErr w:type="spellStart"/>
      <w:r w:rsidRPr="00B751AA">
        <w:rPr>
          <w:rFonts w:ascii="Book Antiqua" w:hAnsi="Book Antiqua"/>
          <w:sz w:val="24"/>
          <w:szCs w:val="24"/>
        </w:rPr>
        <w:t>Scheerer</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Misra</w:t>
      </w:r>
      <w:proofErr w:type="spellEnd"/>
      <w:r w:rsidRPr="00B751AA">
        <w:rPr>
          <w:rFonts w:ascii="Book Antiqua" w:hAnsi="Book Antiqua"/>
          <w:sz w:val="24"/>
          <w:szCs w:val="24"/>
        </w:rPr>
        <w:t xml:space="preserve"> S. Esophageal cancer: A Review of epidemiology, pathogenesis, staging workup and treatment modalities. </w:t>
      </w:r>
      <w:r w:rsidRPr="00B751AA">
        <w:rPr>
          <w:rFonts w:ascii="Book Antiqua" w:hAnsi="Book Antiqua"/>
          <w:i/>
          <w:sz w:val="24"/>
          <w:szCs w:val="24"/>
        </w:rPr>
        <w:t xml:space="preserve">World J </w:t>
      </w:r>
      <w:proofErr w:type="spellStart"/>
      <w:r w:rsidRPr="00B751AA">
        <w:rPr>
          <w:rFonts w:ascii="Book Antiqua" w:hAnsi="Book Antiqua"/>
          <w:i/>
          <w:sz w:val="24"/>
          <w:szCs w:val="24"/>
        </w:rPr>
        <w:t>Gastrointest</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Oncol</w:t>
      </w:r>
      <w:proofErr w:type="spellEnd"/>
      <w:r w:rsidRPr="00B751AA">
        <w:rPr>
          <w:rFonts w:ascii="Book Antiqua" w:hAnsi="Book Antiqua"/>
          <w:sz w:val="24"/>
          <w:szCs w:val="24"/>
        </w:rPr>
        <w:t xml:space="preserve"> 2014; </w:t>
      </w:r>
      <w:r w:rsidRPr="00B751AA">
        <w:rPr>
          <w:rFonts w:ascii="Book Antiqua" w:hAnsi="Book Antiqua"/>
          <w:b/>
          <w:sz w:val="24"/>
          <w:szCs w:val="24"/>
        </w:rPr>
        <w:t>6</w:t>
      </w:r>
      <w:r w:rsidRPr="00B751AA">
        <w:rPr>
          <w:rFonts w:ascii="Book Antiqua" w:hAnsi="Book Antiqua"/>
          <w:sz w:val="24"/>
          <w:szCs w:val="24"/>
        </w:rPr>
        <w:t>: 112-120 [PMID: 24834141 DOI: 10.4251/wjgo.v6.i5.112]</w:t>
      </w:r>
    </w:p>
    <w:p w14:paraId="0CA226E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 </w:t>
      </w:r>
      <w:r w:rsidRPr="00B751AA">
        <w:rPr>
          <w:rFonts w:ascii="Book Antiqua" w:hAnsi="Book Antiqua"/>
          <w:b/>
          <w:sz w:val="24"/>
          <w:szCs w:val="24"/>
        </w:rPr>
        <w:t>Taylor PR</w:t>
      </w:r>
      <w:r w:rsidRPr="00B751AA">
        <w:rPr>
          <w:rFonts w:ascii="Book Antiqua" w:hAnsi="Book Antiqua"/>
          <w:sz w:val="24"/>
          <w:szCs w:val="24"/>
        </w:rPr>
        <w:t xml:space="preserve">, </w:t>
      </w:r>
      <w:proofErr w:type="spellStart"/>
      <w:r w:rsidRPr="00B751AA">
        <w:rPr>
          <w:rFonts w:ascii="Book Antiqua" w:hAnsi="Book Antiqua"/>
          <w:sz w:val="24"/>
          <w:szCs w:val="24"/>
        </w:rPr>
        <w:t>Abnet</w:t>
      </w:r>
      <w:proofErr w:type="spellEnd"/>
      <w:r w:rsidRPr="00B751AA">
        <w:rPr>
          <w:rFonts w:ascii="Book Antiqua" w:hAnsi="Book Antiqua"/>
          <w:sz w:val="24"/>
          <w:szCs w:val="24"/>
        </w:rPr>
        <w:t xml:space="preserve"> CC, </w:t>
      </w:r>
      <w:proofErr w:type="spellStart"/>
      <w:r w:rsidRPr="00B751AA">
        <w:rPr>
          <w:rFonts w:ascii="Book Antiqua" w:hAnsi="Book Antiqua"/>
          <w:sz w:val="24"/>
          <w:szCs w:val="24"/>
        </w:rPr>
        <w:t>Dawsey</w:t>
      </w:r>
      <w:proofErr w:type="spellEnd"/>
      <w:r w:rsidRPr="00B751AA">
        <w:rPr>
          <w:rFonts w:ascii="Book Antiqua" w:hAnsi="Book Antiqua"/>
          <w:sz w:val="24"/>
          <w:szCs w:val="24"/>
        </w:rPr>
        <w:t xml:space="preserve"> SM. Squamous dysplasia--the precursor lesion for esophageal squamous cell carcinoma. </w:t>
      </w:r>
      <w:r w:rsidRPr="00B751AA">
        <w:rPr>
          <w:rFonts w:ascii="Book Antiqua" w:hAnsi="Book Antiqua"/>
          <w:i/>
          <w:sz w:val="24"/>
          <w:szCs w:val="24"/>
        </w:rPr>
        <w:t xml:space="preserve">Cancer </w:t>
      </w:r>
      <w:proofErr w:type="spellStart"/>
      <w:r w:rsidRPr="00B751AA">
        <w:rPr>
          <w:rFonts w:ascii="Book Antiqua" w:hAnsi="Book Antiqua"/>
          <w:i/>
          <w:sz w:val="24"/>
          <w:szCs w:val="24"/>
        </w:rPr>
        <w:t>Epidemiol</w:t>
      </w:r>
      <w:proofErr w:type="spellEnd"/>
      <w:r w:rsidRPr="00B751AA">
        <w:rPr>
          <w:rFonts w:ascii="Book Antiqua" w:hAnsi="Book Antiqua"/>
          <w:i/>
          <w:sz w:val="24"/>
          <w:szCs w:val="24"/>
        </w:rPr>
        <w:t xml:space="preserve"> Biomarkers </w:t>
      </w:r>
      <w:proofErr w:type="spellStart"/>
      <w:r w:rsidRPr="00B751AA">
        <w:rPr>
          <w:rFonts w:ascii="Book Antiqua" w:hAnsi="Book Antiqua"/>
          <w:i/>
          <w:sz w:val="24"/>
          <w:szCs w:val="24"/>
        </w:rPr>
        <w:t>Prev</w:t>
      </w:r>
      <w:proofErr w:type="spellEnd"/>
      <w:r w:rsidRPr="00B751AA">
        <w:rPr>
          <w:rFonts w:ascii="Book Antiqua" w:hAnsi="Book Antiqua"/>
          <w:sz w:val="24"/>
          <w:szCs w:val="24"/>
        </w:rPr>
        <w:t xml:space="preserve"> 2013; </w:t>
      </w:r>
      <w:r w:rsidRPr="00B751AA">
        <w:rPr>
          <w:rFonts w:ascii="Book Antiqua" w:hAnsi="Book Antiqua"/>
          <w:b/>
          <w:sz w:val="24"/>
          <w:szCs w:val="24"/>
        </w:rPr>
        <w:t>22</w:t>
      </w:r>
      <w:r w:rsidRPr="00B751AA">
        <w:rPr>
          <w:rFonts w:ascii="Book Antiqua" w:hAnsi="Book Antiqua"/>
          <w:sz w:val="24"/>
          <w:szCs w:val="24"/>
        </w:rPr>
        <w:t>: 540-552 [PMID: 23549398 DOI: 10.1158/1055-9965.EPI-12-1347]</w:t>
      </w:r>
    </w:p>
    <w:p w14:paraId="43BA8B6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5 </w:t>
      </w:r>
      <w:proofErr w:type="spellStart"/>
      <w:r w:rsidRPr="00B751AA">
        <w:rPr>
          <w:rFonts w:ascii="Book Antiqua" w:hAnsi="Book Antiqua"/>
          <w:b/>
          <w:sz w:val="24"/>
          <w:szCs w:val="24"/>
        </w:rPr>
        <w:t>Hölscher</w:t>
      </w:r>
      <w:proofErr w:type="spellEnd"/>
      <w:r w:rsidRPr="00B751AA">
        <w:rPr>
          <w:rFonts w:ascii="Book Antiqua" w:hAnsi="Book Antiqua"/>
          <w:b/>
          <w:sz w:val="24"/>
          <w:szCs w:val="24"/>
        </w:rPr>
        <w:t xml:space="preserve"> AH</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Bogoevski</w:t>
      </w:r>
      <w:proofErr w:type="spellEnd"/>
      <w:r w:rsidRPr="00B751AA">
        <w:rPr>
          <w:rFonts w:ascii="Book Antiqua" w:hAnsi="Book Antiqua"/>
          <w:sz w:val="24"/>
          <w:szCs w:val="24"/>
        </w:rPr>
        <w:t xml:space="preserve"> D, Schmidt H, </w:t>
      </w:r>
      <w:proofErr w:type="spellStart"/>
      <w:r w:rsidRPr="00B751AA">
        <w:rPr>
          <w:rFonts w:ascii="Book Antiqua" w:hAnsi="Book Antiqua"/>
          <w:sz w:val="24"/>
          <w:szCs w:val="24"/>
        </w:rPr>
        <w:t>Semrau</w:t>
      </w:r>
      <w:proofErr w:type="spellEnd"/>
      <w:r w:rsidRPr="00B751AA">
        <w:rPr>
          <w:rFonts w:ascii="Book Antiqua" w:hAnsi="Book Antiqua"/>
          <w:sz w:val="24"/>
          <w:szCs w:val="24"/>
        </w:rPr>
        <w:t xml:space="preserve"> R, </w:t>
      </w:r>
      <w:proofErr w:type="spellStart"/>
      <w:r w:rsidRPr="00B751AA">
        <w:rPr>
          <w:rFonts w:ascii="Book Antiqua" w:hAnsi="Book Antiqua"/>
          <w:sz w:val="24"/>
          <w:szCs w:val="24"/>
        </w:rPr>
        <w:t>Izbicki</w:t>
      </w:r>
      <w:proofErr w:type="spellEnd"/>
      <w:r w:rsidRPr="00B751AA">
        <w:rPr>
          <w:rFonts w:ascii="Book Antiqua" w:hAnsi="Book Antiqua"/>
          <w:sz w:val="24"/>
          <w:szCs w:val="24"/>
        </w:rPr>
        <w:t xml:space="preserve"> JR. Prognostic impact of neoadjuvant </w:t>
      </w:r>
      <w:proofErr w:type="spellStart"/>
      <w:r w:rsidRPr="00B751AA">
        <w:rPr>
          <w:rFonts w:ascii="Book Antiqua" w:hAnsi="Book Antiqua"/>
          <w:sz w:val="24"/>
          <w:szCs w:val="24"/>
        </w:rPr>
        <w:t>chemoradiation</w:t>
      </w:r>
      <w:proofErr w:type="spellEnd"/>
      <w:r w:rsidRPr="00B751AA">
        <w:rPr>
          <w:rFonts w:ascii="Book Antiqua" w:hAnsi="Book Antiqua"/>
          <w:sz w:val="24"/>
          <w:szCs w:val="24"/>
        </w:rPr>
        <w:t xml:space="preserve"> in cT3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 A propensity score matched analysis. </w:t>
      </w:r>
      <w:r w:rsidRPr="00B751AA">
        <w:rPr>
          <w:rFonts w:ascii="Book Antiqua" w:hAnsi="Book Antiqua"/>
          <w:i/>
          <w:sz w:val="24"/>
          <w:szCs w:val="24"/>
        </w:rPr>
        <w:t>Eur J Cancer</w:t>
      </w:r>
      <w:r w:rsidRPr="00B751AA">
        <w:rPr>
          <w:rFonts w:ascii="Book Antiqua" w:hAnsi="Book Antiqua"/>
          <w:sz w:val="24"/>
          <w:szCs w:val="24"/>
        </w:rPr>
        <w:t xml:space="preserve"> 2014; </w:t>
      </w:r>
      <w:r w:rsidRPr="00B751AA">
        <w:rPr>
          <w:rFonts w:ascii="Book Antiqua" w:hAnsi="Book Antiqua"/>
          <w:b/>
          <w:sz w:val="24"/>
          <w:szCs w:val="24"/>
        </w:rPr>
        <w:t>50</w:t>
      </w:r>
      <w:r w:rsidRPr="00B751AA">
        <w:rPr>
          <w:rFonts w:ascii="Book Antiqua" w:hAnsi="Book Antiqua"/>
          <w:sz w:val="24"/>
          <w:szCs w:val="24"/>
        </w:rPr>
        <w:t>: 2950-2957 [PMID: 25307749 DOI: 10.1016/j.ejca.2014.08.020]</w:t>
      </w:r>
    </w:p>
    <w:p w14:paraId="668316C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6 </w:t>
      </w:r>
      <w:proofErr w:type="spellStart"/>
      <w:r w:rsidRPr="00B751AA">
        <w:rPr>
          <w:rFonts w:ascii="Book Antiqua" w:hAnsi="Book Antiqua"/>
          <w:b/>
          <w:sz w:val="24"/>
          <w:szCs w:val="24"/>
        </w:rPr>
        <w:t>Bollschweiler</w:t>
      </w:r>
      <w:proofErr w:type="spellEnd"/>
      <w:r w:rsidRPr="00B751AA">
        <w:rPr>
          <w:rFonts w:ascii="Book Antiqua" w:hAnsi="Book Antiqua"/>
          <w:b/>
          <w:sz w:val="24"/>
          <w:szCs w:val="24"/>
        </w:rPr>
        <w:t xml:space="preserve"> E</w:t>
      </w:r>
      <w:r w:rsidRPr="00B751AA">
        <w:rPr>
          <w:rFonts w:ascii="Book Antiqua" w:hAnsi="Book Antiqua"/>
          <w:sz w:val="24"/>
          <w:szCs w:val="24"/>
        </w:rPr>
        <w:t xml:space="preserve">, Metzger R,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Baldus</w:t>
      </w:r>
      <w:proofErr w:type="spellEnd"/>
      <w:r w:rsidRPr="00B751AA">
        <w:rPr>
          <w:rFonts w:ascii="Book Antiqua" w:hAnsi="Book Antiqua"/>
          <w:sz w:val="24"/>
          <w:szCs w:val="24"/>
        </w:rPr>
        <w:t xml:space="preserve"> S, </w:t>
      </w:r>
      <w:proofErr w:type="spellStart"/>
      <w:r w:rsidRPr="00B751AA">
        <w:rPr>
          <w:rFonts w:ascii="Book Antiqua" w:hAnsi="Book Antiqua"/>
          <w:sz w:val="24"/>
          <w:szCs w:val="24"/>
        </w:rPr>
        <w:t>Vallböhmer</w:t>
      </w:r>
      <w:proofErr w:type="spellEnd"/>
      <w:r w:rsidRPr="00B751AA">
        <w:rPr>
          <w:rFonts w:ascii="Book Antiqua" w:hAnsi="Book Antiqua"/>
          <w:sz w:val="24"/>
          <w:szCs w:val="24"/>
        </w:rPr>
        <w:t xml:space="preserve"> D, Kocher M,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Histological type of esophageal cancer might affect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and subsequent prognosis. </w:t>
      </w:r>
      <w:r w:rsidRPr="00B751AA">
        <w:rPr>
          <w:rFonts w:ascii="Book Antiqua" w:hAnsi="Book Antiqua"/>
          <w:i/>
          <w:sz w:val="24"/>
          <w:szCs w:val="24"/>
        </w:rPr>
        <w:t>Ann Oncol</w:t>
      </w:r>
      <w:r w:rsidRPr="00B751AA">
        <w:rPr>
          <w:rFonts w:ascii="Book Antiqua" w:hAnsi="Book Antiqua"/>
          <w:sz w:val="24"/>
          <w:szCs w:val="24"/>
        </w:rPr>
        <w:t xml:space="preserve"> 2009; </w:t>
      </w:r>
      <w:r w:rsidRPr="00B751AA">
        <w:rPr>
          <w:rFonts w:ascii="Book Antiqua" w:hAnsi="Book Antiqua"/>
          <w:b/>
          <w:sz w:val="24"/>
          <w:szCs w:val="24"/>
        </w:rPr>
        <w:t>20</w:t>
      </w:r>
      <w:r w:rsidRPr="00B751AA">
        <w:rPr>
          <w:rFonts w:ascii="Book Antiqua" w:hAnsi="Book Antiqua"/>
          <w:sz w:val="24"/>
          <w:szCs w:val="24"/>
        </w:rPr>
        <w:t>: 231-238 [PMID: 18836090 DOI: 10.1093/</w:t>
      </w:r>
      <w:proofErr w:type="spellStart"/>
      <w:r w:rsidRPr="00B751AA">
        <w:rPr>
          <w:rFonts w:ascii="Book Antiqua" w:hAnsi="Book Antiqua"/>
          <w:sz w:val="24"/>
          <w:szCs w:val="24"/>
        </w:rPr>
        <w:t>annonc</w:t>
      </w:r>
      <w:proofErr w:type="spellEnd"/>
      <w:r w:rsidRPr="00B751AA">
        <w:rPr>
          <w:rFonts w:ascii="Book Antiqua" w:hAnsi="Book Antiqua"/>
          <w:sz w:val="24"/>
          <w:szCs w:val="24"/>
        </w:rPr>
        <w:t>/mdn622]</w:t>
      </w:r>
    </w:p>
    <w:p w14:paraId="4E0DD61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7 </w:t>
      </w:r>
      <w:proofErr w:type="spellStart"/>
      <w:r w:rsidRPr="00B751AA">
        <w:rPr>
          <w:rFonts w:ascii="Book Antiqua" w:hAnsi="Book Antiqua"/>
          <w:b/>
          <w:sz w:val="24"/>
          <w:szCs w:val="24"/>
        </w:rPr>
        <w:t>Hölscher</w:t>
      </w:r>
      <w:proofErr w:type="spellEnd"/>
      <w:r w:rsidRPr="00B751AA">
        <w:rPr>
          <w:rFonts w:ascii="Book Antiqua" w:hAnsi="Book Antiqua"/>
          <w:b/>
          <w:sz w:val="24"/>
          <w:szCs w:val="24"/>
        </w:rPr>
        <w:t xml:space="preserve"> AH</w:t>
      </w:r>
      <w:r w:rsidRPr="00B751AA">
        <w:rPr>
          <w:rFonts w:ascii="Book Antiqua" w:hAnsi="Book Antiqua"/>
          <w:sz w:val="24"/>
          <w:szCs w:val="24"/>
        </w:rPr>
        <w:t xml:space="preserve">,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Schmidt H,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Prognostic classification of histopathologic response to neoadjuvant therapy in esophageal adenocarcinoma. </w:t>
      </w:r>
      <w:r w:rsidRPr="00B751AA">
        <w:rPr>
          <w:rFonts w:ascii="Book Antiqua" w:hAnsi="Book Antiqua"/>
          <w:i/>
          <w:sz w:val="24"/>
          <w:szCs w:val="24"/>
        </w:rPr>
        <w:t>Ann Surg</w:t>
      </w:r>
      <w:r w:rsidRPr="00B751AA">
        <w:rPr>
          <w:rFonts w:ascii="Book Antiqua" w:hAnsi="Book Antiqua"/>
          <w:sz w:val="24"/>
          <w:szCs w:val="24"/>
        </w:rPr>
        <w:t xml:space="preserve"> 2014; </w:t>
      </w:r>
      <w:r w:rsidRPr="00B751AA">
        <w:rPr>
          <w:rFonts w:ascii="Book Antiqua" w:hAnsi="Book Antiqua"/>
          <w:b/>
          <w:sz w:val="24"/>
          <w:szCs w:val="24"/>
        </w:rPr>
        <w:t>260</w:t>
      </w:r>
      <w:r w:rsidRPr="00B751AA">
        <w:rPr>
          <w:rFonts w:ascii="Book Antiqua" w:hAnsi="Book Antiqua"/>
          <w:sz w:val="24"/>
          <w:szCs w:val="24"/>
        </w:rPr>
        <w:t>: 779-84; discussion 784-785 [PMID: 25379849 DOI: 10.1097/SLA.0000000000000964]</w:t>
      </w:r>
    </w:p>
    <w:p w14:paraId="03DC001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8 </w:t>
      </w:r>
      <w:r w:rsidRPr="00B751AA">
        <w:rPr>
          <w:rFonts w:ascii="Book Antiqua" w:hAnsi="Book Antiqua"/>
          <w:b/>
          <w:sz w:val="24"/>
          <w:szCs w:val="24"/>
        </w:rPr>
        <w:t>Metzger R</w:t>
      </w:r>
      <w:r w:rsidRPr="00B751AA">
        <w:rPr>
          <w:rFonts w:ascii="Book Antiqua" w:hAnsi="Book Antiqua"/>
          <w:sz w:val="24"/>
          <w:szCs w:val="24"/>
        </w:rPr>
        <w:t xml:space="preserve">, Schneider PM,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Molecular biology of esophageal cancer. </w:t>
      </w:r>
      <w:proofErr w:type="spellStart"/>
      <w:r w:rsidRPr="00B751AA">
        <w:rPr>
          <w:rFonts w:ascii="Book Antiqua" w:hAnsi="Book Antiqua"/>
          <w:i/>
          <w:sz w:val="24"/>
          <w:szCs w:val="24"/>
        </w:rPr>
        <w:t>Onkologie</w:t>
      </w:r>
      <w:proofErr w:type="spellEnd"/>
      <w:r w:rsidRPr="00B751AA">
        <w:rPr>
          <w:rFonts w:ascii="Book Antiqua" w:hAnsi="Book Antiqua"/>
          <w:sz w:val="24"/>
          <w:szCs w:val="24"/>
        </w:rPr>
        <w:t xml:space="preserve"> 2004; </w:t>
      </w:r>
      <w:r w:rsidRPr="00B751AA">
        <w:rPr>
          <w:rFonts w:ascii="Book Antiqua" w:hAnsi="Book Antiqua"/>
          <w:b/>
          <w:sz w:val="24"/>
          <w:szCs w:val="24"/>
        </w:rPr>
        <w:t>27</w:t>
      </w:r>
      <w:r w:rsidRPr="00B751AA">
        <w:rPr>
          <w:rFonts w:ascii="Book Antiqua" w:hAnsi="Book Antiqua"/>
          <w:sz w:val="24"/>
          <w:szCs w:val="24"/>
        </w:rPr>
        <w:t>: 200-206 [PMID: 15138356 DOI: 10.1159/000076913]</w:t>
      </w:r>
    </w:p>
    <w:p w14:paraId="29FD096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9 </w:t>
      </w:r>
      <w:r w:rsidRPr="00B751AA">
        <w:rPr>
          <w:rFonts w:ascii="Book Antiqua" w:hAnsi="Book Antiqua"/>
          <w:b/>
          <w:sz w:val="24"/>
          <w:szCs w:val="24"/>
        </w:rPr>
        <w:t>Miyazono F</w:t>
      </w:r>
      <w:r w:rsidRPr="00B751AA">
        <w:rPr>
          <w:rFonts w:ascii="Book Antiqua" w:hAnsi="Book Antiqua"/>
          <w:sz w:val="24"/>
          <w:szCs w:val="24"/>
        </w:rPr>
        <w:t xml:space="preserve">, Metzger R,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Baldus</w:t>
      </w:r>
      <w:proofErr w:type="spellEnd"/>
      <w:r w:rsidRPr="00B751AA">
        <w:rPr>
          <w:rFonts w:ascii="Book Antiqua" w:hAnsi="Book Antiqua"/>
          <w:sz w:val="24"/>
          <w:szCs w:val="24"/>
        </w:rPr>
        <w:t xml:space="preserve"> SE,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Doerfler</w:t>
      </w:r>
      <w:proofErr w:type="spellEnd"/>
      <w:r w:rsidRPr="00B751AA">
        <w:rPr>
          <w:rFonts w:ascii="Book Antiqua" w:hAnsi="Book Antiqua"/>
          <w:sz w:val="24"/>
          <w:szCs w:val="24"/>
        </w:rPr>
        <w:t xml:space="preserve"> W, Mueller RP, Dienes HP, </w:t>
      </w:r>
      <w:proofErr w:type="spellStart"/>
      <w:r w:rsidRPr="00B751AA">
        <w:rPr>
          <w:rFonts w:ascii="Book Antiqua" w:hAnsi="Book Antiqua"/>
          <w:sz w:val="24"/>
          <w:szCs w:val="24"/>
        </w:rPr>
        <w:t>Aikou</w:t>
      </w:r>
      <w:proofErr w:type="spellEnd"/>
      <w:r w:rsidRPr="00B751AA">
        <w:rPr>
          <w:rFonts w:ascii="Book Antiqua" w:hAnsi="Book Antiqua"/>
          <w:sz w:val="24"/>
          <w:szCs w:val="24"/>
        </w:rPr>
        <w:t xml:space="preserve"> T,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Quantitative c-erbB-2 but not c-erbB-1 mRNA expression is a promising marker to predict minor histopathologic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w:t>
      </w:r>
      <w:r w:rsidRPr="00B751AA">
        <w:rPr>
          <w:rFonts w:ascii="Book Antiqua" w:hAnsi="Book Antiqua"/>
          <w:i/>
          <w:sz w:val="24"/>
          <w:szCs w:val="24"/>
        </w:rPr>
        <w:t>Br J Cancer</w:t>
      </w:r>
      <w:r w:rsidRPr="00B751AA">
        <w:rPr>
          <w:rFonts w:ascii="Book Antiqua" w:hAnsi="Book Antiqua"/>
          <w:sz w:val="24"/>
          <w:szCs w:val="24"/>
        </w:rPr>
        <w:t xml:space="preserve"> 2004; </w:t>
      </w:r>
      <w:r w:rsidRPr="00B751AA">
        <w:rPr>
          <w:rFonts w:ascii="Book Antiqua" w:hAnsi="Book Antiqua"/>
          <w:b/>
          <w:sz w:val="24"/>
          <w:szCs w:val="24"/>
        </w:rPr>
        <w:t>91</w:t>
      </w:r>
      <w:r w:rsidRPr="00B751AA">
        <w:rPr>
          <w:rFonts w:ascii="Book Antiqua" w:hAnsi="Book Antiqua"/>
          <w:sz w:val="24"/>
          <w:szCs w:val="24"/>
        </w:rPr>
        <w:t>: 666-672 [PMID: 15213712 DOI: 10.1038/sj.bjc.6601976]</w:t>
      </w:r>
    </w:p>
    <w:p w14:paraId="6B5E054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10 </w:t>
      </w:r>
      <w:proofErr w:type="spellStart"/>
      <w:r w:rsidRPr="00B751AA">
        <w:rPr>
          <w:rFonts w:ascii="Book Antiqua" w:hAnsi="Book Antiqua"/>
          <w:b/>
          <w:sz w:val="24"/>
          <w:szCs w:val="24"/>
        </w:rPr>
        <w:t>Warnecke-Eberz</w:t>
      </w:r>
      <w:proofErr w:type="spellEnd"/>
      <w:r w:rsidRPr="00B751AA">
        <w:rPr>
          <w:rFonts w:ascii="Book Antiqua" w:hAnsi="Book Antiqua"/>
          <w:b/>
          <w:sz w:val="24"/>
          <w:szCs w:val="24"/>
        </w:rPr>
        <w:t xml:space="preserve"> U</w:t>
      </w:r>
      <w:r w:rsidRPr="00B751AA">
        <w:rPr>
          <w:rFonts w:ascii="Book Antiqua" w:hAnsi="Book Antiqua"/>
          <w:sz w:val="24"/>
          <w:szCs w:val="24"/>
        </w:rPr>
        <w:t xml:space="preserve">, Metzger R, Miyazono F, </w:t>
      </w:r>
      <w:proofErr w:type="spellStart"/>
      <w:r w:rsidRPr="00B751AA">
        <w:rPr>
          <w:rFonts w:ascii="Book Antiqua" w:hAnsi="Book Antiqua"/>
          <w:sz w:val="24"/>
          <w:szCs w:val="24"/>
        </w:rPr>
        <w:t>Baldus</w:t>
      </w:r>
      <w:proofErr w:type="spellEnd"/>
      <w:r w:rsidRPr="00B751AA">
        <w:rPr>
          <w:rFonts w:ascii="Book Antiqua" w:hAnsi="Book Antiqua"/>
          <w:sz w:val="24"/>
          <w:szCs w:val="24"/>
        </w:rPr>
        <w:t xml:space="preserve"> SE, </w:t>
      </w:r>
      <w:proofErr w:type="spellStart"/>
      <w:r w:rsidRPr="00B751AA">
        <w:rPr>
          <w:rFonts w:ascii="Book Antiqua" w:hAnsi="Book Antiqua"/>
          <w:sz w:val="24"/>
          <w:szCs w:val="24"/>
        </w:rPr>
        <w:t>Neiss</w:t>
      </w:r>
      <w:proofErr w:type="spellEnd"/>
      <w:r w:rsidRPr="00B751AA">
        <w:rPr>
          <w:rFonts w:ascii="Book Antiqua" w:hAnsi="Book Antiqua"/>
          <w:sz w:val="24"/>
          <w:szCs w:val="24"/>
        </w:rPr>
        <w:t xml:space="preserve"> S,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Schaefer H, </w:t>
      </w:r>
      <w:proofErr w:type="spellStart"/>
      <w:r w:rsidRPr="00B751AA">
        <w:rPr>
          <w:rFonts w:ascii="Book Antiqua" w:hAnsi="Book Antiqua"/>
          <w:sz w:val="24"/>
          <w:szCs w:val="24"/>
        </w:rPr>
        <w:t>Doerfler</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Dienes HP, Mueller RP, </w:t>
      </w:r>
      <w:proofErr w:type="spellStart"/>
      <w:r w:rsidRPr="00B751AA">
        <w:rPr>
          <w:rFonts w:ascii="Book Antiqua" w:hAnsi="Book Antiqua"/>
          <w:sz w:val="24"/>
          <w:szCs w:val="24"/>
        </w:rPr>
        <w:t>Danenberg</w:t>
      </w:r>
      <w:proofErr w:type="spellEnd"/>
      <w:r w:rsidRPr="00B751AA">
        <w:rPr>
          <w:rFonts w:ascii="Book Antiqua" w:hAnsi="Book Antiqua"/>
          <w:sz w:val="24"/>
          <w:szCs w:val="24"/>
        </w:rPr>
        <w:t xml:space="preserve"> PV,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High specificity of quantitative excision repair cross-complementing 1 messenger RNA expression for prediction of minor histopathological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esophageal cancer. </w:t>
      </w:r>
      <w:r w:rsidRPr="00B751AA">
        <w:rPr>
          <w:rFonts w:ascii="Book Antiqua" w:hAnsi="Book Antiqua"/>
          <w:i/>
          <w:sz w:val="24"/>
          <w:szCs w:val="24"/>
        </w:rPr>
        <w:t>Clin Cancer Res</w:t>
      </w:r>
      <w:r w:rsidRPr="00B751AA">
        <w:rPr>
          <w:rFonts w:ascii="Book Antiqua" w:hAnsi="Book Antiqua"/>
          <w:sz w:val="24"/>
          <w:szCs w:val="24"/>
        </w:rPr>
        <w:t xml:space="preserve"> 2004; </w:t>
      </w:r>
      <w:r w:rsidRPr="00B751AA">
        <w:rPr>
          <w:rFonts w:ascii="Book Antiqua" w:hAnsi="Book Antiqua"/>
          <w:b/>
          <w:sz w:val="24"/>
          <w:szCs w:val="24"/>
        </w:rPr>
        <w:t>10</w:t>
      </w:r>
      <w:r w:rsidRPr="00B751AA">
        <w:rPr>
          <w:rFonts w:ascii="Book Antiqua" w:hAnsi="Book Antiqua"/>
          <w:sz w:val="24"/>
          <w:szCs w:val="24"/>
        </w:rPr>
        <w:t>: 3794-3799 [PMID: 15173087 DOI: 10.1158/1078-0432.CCR-03-0079]</w:t>
      </w:r>
    </w:p>
    <w:p w14:paraId="10FDB80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11 </w:t>
      </w:r>
      <w:r w:rsidRPr="00B751AA">
        <w:rPr>
          <w:rFonts w:ascii="Book Antiqua" w:hAnsi="Book Antiqua"/>
          <w:b/>
          <w:sz w:val="24"/>
          <w:szCs w:val="24"/>
        </w:rPr>
        <w:t>Plum PS</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Novel diagnostic and prognostic biomarkers in esophageal cancer. </w:t>
      </w:r>
      <w:r w:rsidRPr="00B751AA">
        <w:rPr>
          <w:rFonts w:ascii="Book Antiqua" w:hAnsi="Book Antiqua"/>
          <w:i/>
          <w:sz w:val="24"/>
          <w:szCs w:val="24"/>
        </w:rPr>
        <w:t xml:space="preserve">Expert </w:t>
      </w:r>
      <w:proofErr w:type="spellStart"/>
      <w:r w:rsidRPr="00B751AA">
        <w:rPr>
          <w:rFonts w:ascii="Book Antiqua" w:hAnsi="Book Antiqua"/>
          <w:i/>
          <w:sz w:val="24"/>
          <w:szCs w:val="24"/>
        </w:rPr>
        <w:t>Opin</w:t>
      </w:r>
      <w:proofErr w:type="spellEnd"/>
      <w:r w:rsidRPr="00B751AA">
        <w:rPr>
          <w:rFonts w:ascii="Book Antiqua" w:hAnsi="Book Antiqua"/>
          <w:i/>
          <w:sz w:val="24"/>
          <w:szCs w:val="24"/>
        </w:rPr>
        <w:t xml:space="preserve"> Med </w:t>
      </w:r>
      <w:proofErr w:type="spellStart"/>
      <w:r w:rsidRPr="00B751AA">
        <w:rPr>
          <w:rFonts w:ascii="Book Antiqua" w:hAnsi="Book Antiqua"/>
          <w:i/>
          <w:sz w:val="24"/>
          <w:szCs w:val="24"/>
        </w:rPr>
        <w:t>Diagn</w:t>
      </w:r>
      <w:proofErr w:type="spellEnd"/>
      <w:r w:rsidRPr="00B751AA">
        <w:rPr>
          <w:rFonts w:ascii="Book Antiqua" w:hAnsi="Book Antiqua"/>
          <w:sz w:val="24"/>
          <w:szCs w:val="24"/>
        </w:rPr>
        <w:t xml:space="preserve"> 2013; </w:t>
      </w:r>
      <w:r w:rsidRPr="00B751AA">
        <w:rPr>
          <w:rFonts w:ascii="Book Antiqua" w:hAnsi="Book Antiqua"/>
          <w:b/>
          <w:sz w:val="24"/>
          <w:szCs w:val="24"/>
        </w:rPr>
        <w:t>7</w:t>
      </w:r>
      <w:r w:rsidRPr="00B751AA">
        <w:rPr>
          <w:rFonts w:ascii="Book Antiqua" w:hAnsi="Book Antiqua"/>
          <w:sz w:val="24"/>
          <w:szCs w:val="24"/>
        </w:rPr>
        <w:t>: 557-571 [PMID: 24093836 DOI: 10.1517/17530059.2013.843526]</w:t>
      </w:r>
    </w:p>
    <w:p w14:paraId="708AD8B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12 </w:t>
      </w:r>
      <w:proofErr w:type="spellStart"/>
      <w:r w:rsidRPr="00B751AA">
        <w:rPr>
          <w:rFonts w:ascii="Book Antiqua" w:hAnsi="Book Antiqua"/>
          <w:b/>
          <w:sz w:val="24"/>
          <w:szCs w:val="24"/>
        </w:rPr>
        <w:t>Warnecke-Eberz</w:t>
      </w:r>
      <w:proofErr w:type="spellEnd"/>
      <w:r w:rsidRPr="00B751AA">
        <w:rPr>
          <w:rFonts w:ascii="Book Antiqua" w:hAnsi="Book Antiqua"/>
          <w:b/>
          <w:sz w:val="24"/>
          <w:szCs w:val="24"/>
        </w:rPr>
        <w:t xml:space="preserve"> U</w:t>
      </w:r>
      <w:r w:rsidRPr="00B751AA">
        <w:rPr>
          <w:rFonts w:ascii="Book Antiqua" w:hAnsi="Book Antiqua"/>
          <w:sz w:val="24"/>
          <w:szCs w:val="24"/>
        </w:rPr>
        <w:t xml:space="preserve">, Metzger R,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Baldus</w:t>
      </w:r>
      <w:proofErr w:type="spellEnd"/>
      <w:r w:rsidRPr="00B751AA">
        <w:rPr>
          <w:rFonts w:ascii="Book Antiqua" w:hAnsi="Book Antiqua"/>
          <w:sz w:val="24"/>
          <w:szCs w:val="24"/>
        </w:rPr>
        <w:t xml:space="preserve"> SE, Mueller RP, Dienes HP,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TaqMan low-density arrays and analysis by artificial neuronal networks predict response to neoadjuvant chemoradiation in esophageal cancer. </w:t>
      </w:r>
      <w:r w:rsidRPr="00B751AA">
        <w:rPr>
          <w:rFonts w:ascii="Book Antiqua" w:hAnsi="Book Antiqua"/>
          <w:i/>
          <w:sz w:val="24"/>
          <w:szCs w:val="24"/>
        </w:rPr>
        <w:t>Pharmacogenomics</w:t>
      </w:r>
      <w:r w:rsidRPr="00B751AA">
        <w:rPr>
          <w:rFonts w:ascii="Book Antiqua" w:hAnsi="Book Antiqua"/>
          <w:sz w:val="24"/>
          <w:szCs w:val="24"/>
        </w:rPr>
        <w:t xml:space="preserve"> 2010; </w:t>
      </w:r>
      <w:r w:rsidRPr="00B751AA">
        <w:rPr>
          <w:rFonts w:ascii="Book Antiqua" w:hAnsi="Book Antiqua"/>
          <w:b/>
          <w:sz w:val="24"/>
          <w:szCs w:val="24"/>
        </w:rPr>
        <w:t>11</w:t>
      </w:r>
      <w:r w:rsidRPr="00B751AA">
        <w:rPr>
          <w:rFonts w:ascii="Book Antiqua" w:hAnsi="Book Antiqua"/>
          <w:sz w:val="24"/>
          <w:szCs w:val="24"/>
        </w:rPr>
        <w:t>: 55-64 [PMID: 20017672 DOI: 10.2217/pgs.09.137]</w:t>
      </w:r>
    </w:p>
    <w:p w14:paraId="19A89FF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13 </w:t>
      </w:r>
      <w:r w:rsidRPr="00B751AA">
        <w:rPr>
          <w:rFonts w:ascii="Book Antiqua" w:hAnsi="Book Antiqua"/>
          <w:b/>
          <w:sz w:val="24"/>
          <w:szCs w:val="24"/>
        </w:rPr>
        <w:t>Metzger R</w:t>
      </w:r>
      <w:r w:rsidRPr="00B751AA">
        <w:rPr>
          <w:rFonts w:ascii="Book Antiqua" w:hAnsi="Book Antiqua"/>
          <w:sz w:val="24"/>
          <w:szCs w:val="24"/>
        </w:rPr>
        <w:t xml:space="preserve">, </w:t>
      </w:r>
      <w:proofErr w:type="spellStart"/>
      <w:r w:rsidRPr="00B751AA">
        <w:rPr>
          <w:rFonts w:ascii="Book Antiqua" w:hAnsi="Book Antiqua"/>
          <w:sz w:val="24"/>
          <w:szCs w:val="24"/>
        </w:rPr>
        <w:t>Heukamp</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Zander T,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CUL2 and STK11 as novel response-predictive genes for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esophageal cancer. </w:t>
      </w:r>
      <w:r w:rsidRPr="00B751AA">
        <w:rPr>
          <w:rFonts w:ascii="Book Antiqua" w:hAnsi="Book Antiqua"/>
          <w:i/>
          <w:sz w:val="24"/>
          <w:szCs w:val="24"/>
        </w:rPr>
        <w:t>Pharmacogenomics</w:t>
      </w:r>
      <w:r w:rsidRPr="00B751AA">
        <w:rPr>
          <w:rFonts w:ascii="Book Antiqua" w:hAnsi="Book Antiqua"/>
          <w:sz w:val="24"/>
          <w:szCs w:val="24"/>
        </w:rPr>
        <w:t xml:space="preserve"> 2010; </w:t>
      </w:r>
      <w:r w:rsidRPr="00B751AA">
        <w:rPr>
          <w:rFonts w:ascii="Book Antiqua" w:hAnsi="Book Antiqua"/>
          <w:b/>
          <w:sz w:val="24"/>
          <w:szCs w:val="24"/>
        </w:rPr>
        <w:t>11</w:t>
      </w:r>
      <w:r w:rsidRPr="00B751AA">
        <w:rPr>
          <w:rFonts w:ascii="Book Antiqua" w:hAnsi="Book Antiqua"/>
          <w:sz w:val="24"/>
          <w:szCs w:val="24"/>
        </w:rPr>
        <w:t>: 1105-1113 [PMID: 20712528 DOI: 10.2217/pgs.10.76]</w:t>
      </w:r>
    </w:p>
    <w:p w14:paraId="750DF5FC"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14 </w:t>
      </w:r>
      <w:proofErr w:type="spellStart"/>
      <w:r w:rsidRPr="00B751AA">
        <w:rPr>
          <w:rFonts w:ascii="Book Antiqua" w:hAnsi="Book Antiqua"/>
          <w:b/>
          <w:sz w:val="24"/>
          <w:szCs w:val="24"/>
        </w:rPr>
        <w:t>Rahadiani</w:t>
      </w:r>
      <w:proofErr w:type="spellEnd"/>
      <w:r w:rsidRPr="00B751AA">
        <w:rPr>
          <w:rFonts w:ascii="Book Antiqua" w:hAnsi="Book Antiqua"/>
          <w:b/>
          <w:sz w:val="24"/>
          <w:szCs w:val="24"/>
        </w:rPr>
        <w:t xml:space="preserve"> N</w:t>
      </w:r>
      <w:r w:rsidRPr="00B751AA">
        <w:rPr>
          <w:rFonts w:ascii="Book Antiqua" w:hAnsi="Book Antiqua"/>
          <w:sz w:val="24"/>
          <w:szCs w:val="24"/>
        </w:rPr>
        <w:t xml:space="preserve">, Ikeda J, Makino T, Tian T, </w:t>
      </w:r>
      <w:proofErr w:type="spellStart"/>
      <w:r w:rsidRPr="00B751AA">
        <w:rPr>
          <w:rFonts w:ascii="Book Antiqua" w:hAnsi="Book Antiqua"/>
          <w:sz w:val="24"/>
          <w:szCs w:val="24"/>
        </w:rPr>
        <w:t>Qiu</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Mamat</w:t>
      </w:r>
      <w:proofErr w:type="spellEnd"/>
      <w:r w:rsidRPr="00B751AA">
        <w:rPr>
          <w:rFonts w:ascii="Book Antiqua" w:hAnsi="Book Antiqua"/>
          <w:sz w:val="24"/>
          <w:szCs w:val="24"/>
        </w:rPr>
        <w:t xml:space="preserve"> S, Wang Y, </w:t>
      </w:r>
      <w:proofErr w:type="spellStart"/>
      <w:r w:rsidRPr="00B751AA">
        <w:rPr>
          <w:rFonts w:ascii="Book Antiqua" w:hAnsi="Book Antiqua"/>
          <w:sz w:val="24"/>
          <w:szCs w:val="24"/>
        </w:rPr>
        <w:t>Doki</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Aozasa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Morii</w:t>
      </w:r>
      <w:proofErr w:type="spellEnd"/>
      <w:r w:rsidRPr="00B751AA">
        <w:rPr>
          <w:rFonts w:ascii="Book Antiqua" w:hAnsi="Book Antiqua"/>
          <w:sz w:val="24"/>
          <w:szCs w:val="24"/>
        </w:rPr>
        <w:t xml:space="preserve"> E. Tumorigenic role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esophageal squamous-cell carcinoma. </w:t>
      </w:r>
      <w:r w:rsidRPr="00B751AA">
        <w:rPr>
          <w:rFonts w:ascii="Book Antiqua" w:hAnsi="Book Antiqua"/>
          <w:i/>
          <w:sz w:val="24"/>
          <w:szCs w:val="24"/>
        </w:rPr>
        <w:t>Ann Surg Oncol</w:t>
      </w:r>
      <w:r w:rsidRPr="00B751AA">
        <w:rPr>
          <w:rFonts w:ascii="Book Antiqua" w:hAnsi="Book Antiqua"/>
          <w:sz w:val="24"/>
          <w:szCs w:val="24"/>
        </w:rPr>
        <w:t xml:space="preserve"> 2010; </w:t>
      </w:r>
      <w:r w:rsidRPr="00B751AA">
        <w:rPr>
          <w:rFonts w:ascii="Book Antiqua" w:hAnsi="Book Antiqua"/>
          <w:b/>
          <w:sz w:val="24"/>
          <w:szCs w:val="24"/>
        </w:rPr>
        <w:t>17</w:t>
      </w:r>
      <w:r w:rsidRPr="00B751AA">
        <w:rPr>
          <w:rFonts w:ascii="Book Antiqua" w:hAnsi="Book Antiqua"/>
          <w:sz w:val="24"/>
          <w:szCs w:val="24"/>
        </w:rPr>
        <w:t>: 1311-1323 [PMID: 20066519 DOI: 10.1245/s10434-009-0895-5]</w:t>
      </w:r>
    </w:p>
    <w:p w14:paraId="33A2BF4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15 </w:t>
      </w:r>
      <w:r w:rsidRPr="00B751AA">
        <w:rPr>
          <w:rFonts w:ascii="Book Antiqua" w:hAnsi="Book Antiqua"/>
          <w:b/>
          <w:sz w:val="24"/>
          <w:szCs w:val="24"/>
        </w:rPr>
        <w:t>Sekiguchi T</w:t>
      </w:r>
      <w:r w:rsidRPr="00B751AA">
        <w:rPr>
          <w:rFonts w:ascii="Book Antiqua" w:hAnsi="Book Antiqua"/>
          <w:sz w:val="24"/>
          <w:szCs w:val="24"/>
        </w:rPr>
        <w:t xml:space="preserve">, Takemoto A, Takagi S, </w:t>
      </w:r>
      <w:proofErr w:type="spellStart"/>
      <w:r w:rsidRPr="00B751AA">
        <w:rPr>
          <w:rFonts w:ascii="Book Antiqua" w:hAnsi="Book Antiqua"/>
          <w:sz w:val="24"/>
          <w:szCs w:val="24"/>
        </w:rPr>
        <w:t>Takatori</w:t>
      </w:r>
      <w:proofErr w:type="spellEnd"/>
      <w:r w:rsidRPr="00B751AA">
        <w:rPr>
          <w:rFonts w:ascii="Book Antiqua" w:hAnsi="Book Antiqua"/>
          <w:sz w:val="24"/>
          <w:szCs w:val="24"/>
        </w:rPr>
        <w:t xml:space="preserve"> K, Sato S, </w:t>
      </w:r>
      <w:proofErr w:type="spellStart"/>
      <w:r w:rsidRPr="00B751AA">
        <w:rPr>
          <w:rFonts w:ascii="Book Antiqua" w:hAnsi="Book Antiqua"/>
          <w:sz w:val="24"/>
          <w:szCs w:val="24"/>
        </w:rPr>
        <w:t>Takami</w:t>
      </w:r>
      <w:proofErr w:type="spellEnd"/>
      <w:r w:rsidRPr="00B751AA">
        <w:rPr>
          <w:rFonts w:ascii="Book Antiqua" w:hAnsi="Book Antiqua"/>
          <w:sz w:val="24"/>
          <w:szCs w:val="24"/>
        </w:rPr>
        <w:t xml:space="preserve"> M, Fujita N. Targeting a novel domain in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for inhibiting platelet-mediated </w:t>
      </w:r>
      <w:r w:rsidRPr="00B751AA">
        <w:rPr>
          <w:rFonts w:ascii="Book Antiqua" w:hAnsi="Book Antiqua"/>
          <w:sz w:val="24"/>
          <w:szCs w:val="24"/>
        </w:rPr>
        <w:lastRenderedPageBreak/>
        <w:t xml:space="preserve">tumor metastasis.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2016; </w:t>
      </w:r>
      <w:r w:rsidRPr="00B751AA">
        <w:rPr>
          <w:rFonts w:ascii="Book Antiqua" w:hAnsi="Book Antiqua"/>
          <w:b/>
          <w:sz w:val="24"/>
          <w:szCs w:val="24"/>
        </w:rPr>
        <w:t>7</w:t>
      </w:r>
      <w:r w:rsidRPr="00B751AA">
        <w:rPr>
          <w:rFonts w:ascii="Book Antiqua" w:hAnsi="Book Antiqua"/>
          <w:sz w:val="24"/>
          <w:szCs w:val="24"/>
        </w:rPr>
        <w:t>: 3934-3946 [PMID: 26684030 DOI: 10.18632/oncotarget.6598]</w:t>
      </w:r>
    </w:p>
    <w:p w14:paraId="0590F50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16 </w:t>
      </w:r>
      <w:r w:rsidRPr="00B751AA">
        <w:rPr>
          <w:rFonts w:ascii="Book Antiqua" w:hAnsi="Book Antiqua"/>
          <w:b/>
          <w:sz w:val="24"/>
          <w:szCs w:val="24"/>
        </w:rPr>
        <w:t>Nakashima Y</w:t>
      </w:r>
      <w:r w:rsidRPr="00B751AA">
        <w:rPr>
          <w:rFonts w:ascii="Book Antiqua" w:hAnsi="Book Antiqua"/>
          <w:sz w:val="24"/>
          <w:szCs w:val="24"/>
        </w:rPr>
        <w:t xml:space="preserve">, Yoshinaga K, Kitao H, Ando K, Kimura Y, Saeki H, Oki E, Morita M, </w:t>
      </w:r>
      <w:proofErr w:type="spellStart"/>
      <w:r w:rsidRPr="00B751AA">
        <w:rPr>
          <w:rFonts w:ascii="Book Antiqua" w:hAnsi="Book Antiqua"/>
          <w:sz w:val="24"/>
          <w:szCs w:val="24"/>
        </w:rPr>
        <w:t>Kakeji</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Hirahashi</w:t>
      </w:r>
      <w:proofErr w:type="spellEnd"/>
      <w:r w:rsidRPr="00B751AA">
        <w:rPr>
          <w:rFonts w:ascii="Book Antiqua" w:hAnsi="Book Antiqua"/>
          <w:sz w:val="24"/>
          <w:szCs w:val="24"/>
        </w:rPr>
        <w:t xml:space="preserve"> M, Oda Y, Maehara Y.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is expressed at the invasive front of esophageal squamous cell carcinomas and is involved in collective cell invasion. </w:t>
      </w:r>
      <w:r w:rsidRPr="00B751AA">
        <w:rPr>
          <w:rFonts w:ascii="Book Antiqua" w:hAnsi="Book Antiqua"/>
          <w:i/>
          <w:sz w:val="24"/>
          <w:szCs w:val="24"/>
        </w:rPr>
        <w:t>Cancer Sci</w:t>
      </w:r>
      <w:r w:rsidRPr="00B751AA">
        <w:rPr>
          <w:rFonts w:ascii="Book Antiqua" w:hAnsi="Book Antiqua"/>
          <w:sz w:val="24"/>
          <w:szCs w:val="24"/>
        </w:rPr>
        <w:t xml:space="preserve"> 2013; </w:t>
      </w:r>
      <w:r w:rsidRPr="00B751AA">
        <w:rPr>
          <w:rFonts w:ascii="Book Antiqua" w:hAnsi="Book Antiqua"/>
          <w:b/>
          <w:sz w:val="24"/>
          <w:szCs w:val="24"/>
        </w:rPr>
        <w:t>104</w:t>
      </w:r>
      <w:r w:rsidRPr="00B751AA">
        <w:rPr>
          <w:rFonts w:ascii="Book Antiqua" w:hAnsi="Book Antiqua"/>
          <w:sz w:val="24"/>
          <w:szCs w:val="24"/>
        </w:rPr>
        <w:t>: 1718-1725 [PMID: 24103048 DOI: 10.1111/cas.12286]</w:t>
      </w:r>
    </w:p>
    <w:p w14:paraId="2514555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17 </w:t>
      </w:r>
      <w:r w:rsidRPr="00B751AA">
        <w:rPr>
          <w:rFonts w:ascii="Book Antiqua" w:hAnsi="Book Antiqua"/>
          <w:b/>
          <w:sz w:val="24"/>
          <w:szCs w:val="24"/>
        </w:rPr>
        <w:t>Tanaka M</w:t>
      </w:r>
      <w:r w:rsidRPr="00B751AA">
        <w:rPr>
          <w:rFonts w:ascii="Book Antiqua" w:hAnsi="Book Antiqua"/>
          <w:sz w:val="24"/>
          <w:szCs w:val="24"/>
        </w:rPr>
        <w:t xml:space="preserve">, Kijima H, Shimada H, Makuuchi H, Ozawa S, </w:t>
      </w:r>
      <w:proofErr w:type="spellStart"/>
      <w:r w:rsidRPr="00B751AA">
        <w:rPr>
          <w:rFonts w:ascii="Book Antiqua" w:hAnsi="Book Antiqua"/>
          <w:sz w:val="24"/>
          <w:szCs w:val="24"/>
        </w:rPr>
        <w:t>Inokuchi</w:t>
      </w:r>
      <w:proofErr w:type="spellEnd"/>
      <w:r w:rsidRPr="00B751AA">
        <w:rPr>
          <w:rFonts w:ascii="Book Antiqua" w:hAnsi="Book Antiqua"/>
          <w:sz w:val="24"/>
          <w:szCs w:val="24"/>
        </w:rPr>
        <w:t xml:space="preserve"> S.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and vimentin is correlated with prognosis in esophageal squamous cell carcinoma. </w:t>
      </w:r>
      <w:r w:rsidRPr="00B751AA">
        <w:rPr>
          <w:rFonts w:ascii="Book Antiqua" w:hAnsi="Book Antiqua"/>
          <w:i/>
          <w:sz w:val="24"/>
          <w:szCs w:val="24"/>
        </w:rPr>
        <w:t>Mol Med Rep</w:t>
      </w:r>
      <w:r w:rsidRPr="00B751AA">
        <w:rPr>
          <w:rFonts w:ascii="Book Antiqua" w:hAnsi="Book Antiqua"/>
          <w:sz w:val="24"/>
          <w:szCs w:val="24"/>
        </w:rPr>
        <w:t xml:space="preserve"> 2015; </w:t>
      </w:r>
      <w:r w:rsidRPr="00B751AA">
        <w:rPr>
          <w:rFonts w:ascii="Book Antiqua" w:hAnsi="Book Antiqua"/>
          <w:b/>
          <w:sz w:val="24"/>
          <w:szCs w:val="24"/>
        </w:rPr>
        <w:t>12</w:t>
      </w:r>
      <w:r w:rsidRPr="00B751AA">
        <w:rPr>
          <w:rFonts w:ascii="Book Antiqua" w:hAnsi="Book Antiqua"/>
          <w:sz w:val="24"/>
          <w:szCs w:val="24"/>
        </w:rPr>
        <w:t>: 4029-4036 [PMID: 26095281 DOI: 10.3892/mmr.2015.3966]</w:t>
      </w:r>
    </w:p>
    <w:p w14:paraId="181B085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18 </w:t>
      </w:r>
      <w:r w:rsidRPr="00B751AA">
        <w:rPr>
          <w:rFonts w:ascii="Book Antiqua" w:hAnsi="Book Antiqua"/>
          <w:b/>
          <w:sz w:val="24"/>
          <w:szCs w:val="24"/>
        </w:rPr>
        <w:t>Ng SB</w:t>
      </w:r>
      <w:r w:rsidRPr="00B751AA">
        <w:rPr>
          <w:rFonts w:ascii="Book Antiqua" w:hAnsi="Book Antiqua"/>
          <w:sz w:val="24"/>
          <w:szCs w:val="24"/>
        </w:rPr>
        <w:t xml:space="preserve">, Yan J, Huang G, </w:t>
      </w:r>
      <w:proofErr w:type="spellStart"/>
      <w:r w:rsidRPr="00B751AA">
        <w:rPr>
          <w:rFonts w:ascii="Book Antiqua" w:hAnsi="Book Antiqua"/>
          <w:sz w:val="24"/>
          <w:szCs w:val="24"/>
        </w:rPr>
        <w:t>Selvarajan</w:t>
      </w:r>
      <w:proofErr w:type="spellEnd"/>
      <w:r w:rsidRPr="00B751AA">
        <w:rPr>
          <w:rFonts w:ascii="Book Antiqua" w:hAnsi="Book Antiqua"/>
          <w:sz w:val="24"/>
          <w:szCs w:val="24"/>
        </w:rPr>
        <w:t xml:space="preserve"> V, </w:t>
      </w:r>
      <w:proofErr w:type="spellStart"/>
      <w:r w:rsidRPr="00B751AA">
        <w:rPr>
          <w:rFonts w:ascii="Book Antiqua" w:hAnsi="Book Antiqua"/>
          <w:sz w:val="24"/>
          <w:szCs w:val="24"/>
        </w:rPr>
        <w:t>Tay</w:t>
      </w:r>
      <w:proofErr w:type="spellEnd"/>
      <w:r w:rsidRPr="00B751AA">
        <w:rPr>
          <w:rFonts w:ascii="Book Antiqua" w:hAnsi="Book Antiqua"/>
          <w:sz w:val="24"/>
          <w:szCs w:val="24"/>
        </w:rPr>
        <w:t xml:space="preserve"> JL, Lin B, Bi C, Tan J, </w:t>
      </w:r>
      <w:proofErr w:type="spellStart"/>
      <w:r w:rsidRPr="00B751AA">
        <w:rPr>
          <w:rFonts w:ascii="Book Antiqua" w:hAnsi="Book Antiqua"/>
          <w:sz w:val="24"/>
          <w:szCs w:val="24"/>
        </w:rPr>
        <w:t>Kwong</w:t>
      </w:r>
      <w:proofErr w:type="spellEnd"/>
      <w:r w:rsidRPr="00B751AA">
        <w:rPr>
          <w:rFonts w:ascii="Book Antiqua" w:hAnsi="Book Antiqua"/>
          <w:sz w:val="24"/>
          <w:szCs w:val="24"/>
        </w:rPr>
        <w:t xml:space="preserve"> YL, Shimizu N, </w:t>
      </w:r>
      <w:proofErr w:type="spellStart"/>
      <w:r w:rsidRPr="00B751AA">
        <w:rPr>
          <w:rFonts w:ascii="Book Antiqua" w:hAnsi="Book Antiqua"/>
          <w:sz w:val="24"/>
          <w:szCs w:val="24"/>
        </w:rPr>
        <w:t>Aozasa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Chng</w:t>
      </w:r>
      <w:proofErr w:type="spellEnd"/>
      <w:r w:rsidRPr="00B751AA">
        <w:rPr>
          <w:rFonts w:ascii="Book Antiqua" w:hAnsi="Book Antiqua"/>
          <w:sz w:val="24"/>
          <w:szCs w:val="24"/>
        </w:rPr>
        <w:t xml:space="preserve"> WJ. Dysregulated microRNAs affect pathways and targets of biologic relevance in nasal-type natural killer/T-cell lymphoma. </w:t>
      </w:r>
      <w:r w:rsidRPr="00B751AA">
        <w:rPr>
          <w:rFonts w:ascii="Book Antiqua" w:hAnsi="Book Antiqua"/>
          <w:i/>
          <w:sz w:val="24"/>
          <w:szCs w:val="24"/>
        </w:rPr>
        <w:t>Blood</w:t>
      </w:r>
      <w:r w:rsidRPr="00B751AA">
        <w:rPr>
          <w:rFonts w:ascii="Book Antiqua" w:hAnsi="Book Antiqua"/>
          <w:sz w:val="24"/>
          <w:szCs w:val="24"/>
        </w:rPr>
        <w:t xml:space="preserve"> 2011; </w:t>
      </w:r>
      <w:r w:rsidRPr="00B751AA">
        <w:rPr>
          <w:rFonts w:ascii="Book Antiqua" w:hAnsi="Book Antiqua"/>
          <w:b/>
          <w:sz w:val="24"/>
          <w:szCs w:val="24"/>
        </w:rPr>
        <w:t>118</w:t>
      </w:r>
      <w:r w:rsidRPr="00B751AA">
        <w:rPr>
          <w:rFonts w:ascii="Book Antiqua" w:hAnsi="Book Antiqua"/>
          <w:sz w:val="24"/>
          <w:szCs w:val="24"/>
        </w:rPr>
        <w:t>: 4919-4929 [PMID: 21921041 DOI: 10.1182/blood-2011-07-364224]</w:t>
      </w:r>
    </w:p>
    <w:p w14:paraId="601B65E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19 </w:t>
      </w:r>
      <w:proofErr w:type="spellStart"/>
      <w:r w:rsidRPr="00B751AA">
        <w:rPr>
          <w:rFonts w:ascii="Book Antiqua" w:hAnsi="Book Antiqua"/>
          <w:b/>
          <w:sz w:val="24"/>
          <w:szCs w:val="24"/>
        </w:rPr>
        <w:t>Qiao</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Lee S, Paul P, </w:t>
      </w:r>
      <w:proofErr w:type="spellStart"/>
      <w:r w:rsidRPr="00B751AA">
        <w:rPr>
          <w:rFonts w:ascii="Book Antiqua" w:hAnsi="Book Antiqua"/>
          <w:sz w:val="24"/>
          <w:szCs w:val="24"/>
        </w:rPr>
        <w:t>Theiss</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Tiao</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Qiao</w:t>
      </w:r>
      <w:proofErr w:type="spellEnd"/>
      <w:r w:rsidRPr="00B751AA">
        <w:rPr>
          <w:rFonts w:ascii="Book Antiqua" w:hAnsi="Book Antiqua"/>
          <w:sz w:val="24"/>
          <w:szCs w:val="24"/>
        </w:rPr>
        <w:t xml:space="preserve"> L, Kong A, Chung DH. miR-335 and miR-363 regulation of neuroblastoma tumorigenesis and metastasis. </w:t>
      </w:r>
      <w:r w:rsidRPr="00B751AA">
        <w:rPr>
          <w:rFonts w:ascii="Book Antiqua" w:hAnsi="Book Antiqua"/>
          <w:i/>
          <w:sz w:val="24"/>
          <w:szCs w:val="24"/>
        </w:rPr>
        <w:t>Surgery</w:t>
      </w:r>
      <w:r w:rsidRPr="00B751AA">
        <w:rPr>
          <w:rFonts w:ascii="Book Antiqua" w:hAnsi="Book Antiqua"/>
          <w:sz w:val="24"/>
          <w:szCs w:val="24"/>
        </w:rPr>
        <w:t xml:space="preserve"> 2013; </w:t>
      </w:r>
      <w:r w:rsidRPr="00B751AA">
        <w:rPr>
          <w:rFonts w:ascii="Book Antiqua" w:hAnsi="Book Antiqua"/>
          <w:b/>
          <w:sz w:val="24"/>
          <w:szCs w:val="24"/>
        </w:rPr>
        <w:t>154</w:t>
      </w:r>
      <w:r w:rsidRPr="00B751AA">
        <w:rPr>
          <w:rFonts w:ascii="Book Antiqua" w:hAnsi="Book Antiqua"/>
          <w:sz w:val="24"/>
          <w:szCs w:val="24"/>
        </w:rPr>
        <w:t>: 226-233 [PMID: 23806264 DOI: 10.1016/j.surg.2013.04.005]</w:t>
      </w:r>
    </w:p>
    <w:p w14:paraId="1621B55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20 </w:t>
      </w:r>
      <w:r w:rsidRPr="00B751AA">
        <w:rPr>
          <w:rFonts w:ascii="Book Antiqua" w:hAnsi="Book Antiqua"/>
          <w:b/>
          <w:sz w:val="24"/>
          <w:szCs w:val="24"/>
        </w:rPr>
        <w:t>Sun Q</w:t>
      </w:r>
      <w:r w:rsidRPr="00B751AA">
        <w:rPr>
          <w:rFonts w:ascii="Book Antiqua" w:hAnsi="Book Antiqua"/>
          <w:sz w:val="24"/>
          <w:szCs w:val="24"/>
        </w:rPr>
        <w:t xml:space="preserve">, Zhang J, Cao W, Wang X, Xu Q, Yan M, Wu X, Chen W. Dysregulated miR-363 affects head and neck cancer invasion and metastasis by targeting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proofErr w:type="spellStart"/>
      <w:r w:rsidRPr="00B751AA">
        <w:rPr>
          <w:rFonts w:ascii="Book Antiqua" w:hAnsi="Book Antiqua"/>
          <w:i/>
          <w:sz w:val="24"/>
          <w:szCs w:val="24"/>
        </w:rPr>
        <w:t>Int</w:t>
      </w:r>
      <w:proofErr w:type="spellEnd"/>
      <w:r w:rsidRPr="00B751AA">
        <w:rPr>
          <w:rFonts w:ascii="Book Antiqua" w:hAnsi="Book Antiqua"/>
          <w:i/>
          <w:sz w:val="24"/>
          <w:szCs w:val="24"/>
        </w:rPr>
        <w:t xml:space="preserve"> J </w:t>
      </w:r>
      <w:proofErr w:type="spellStart"/>
      <w:r w:rsidRPr="00B751AA">
        <w:rPr>
          <w:rFonts w:ascii="Book Antiqua" w:hAnsi="Book Antiqua"/>
          <w:i/>
          <w:sz w:val="24"/>
          <w:szCs w:val="24"/>
        </w:rPr>
        <w:t>Biochem</w:t>
      </w:r>
      <w:proofErr w:type="spellEnd"/>
      <w:r w:rsidRPr="00B751AA">
        <w:rPr>
          <w:rFonts w:ascii="Book Antiqua" w:hAnsi="Book Antiqua"/>
          <w:i/>
          <w:sz w:val="24"/>
          <w:szCs w:val="24"/>
        </w:rPr>
        <w:t xml:space="preserve"> Cell </w:t>
      </w:r>
      <w:proofErr w:type="spellStart"/>
      <w:r w:rsidRPr="00B751AA">
        <w:rPr>
          <w:rFonts w:ascii="Book Antiqua" w:hAnsi="Book Antiqua"/>
          <w:i/>
          <w:sz w:val="24"/>
          <w:szCs w:val="24"/>
        </w:rPr>
        <w:t>Biol</w:t>
      </w:r>
      <w:proofErr w:type="spellEnd"/>
      <w:r w:rsidRPr="00B751AA">
        <w:rPr>
          <w:rFonts w:ascii="Book Antiqua" w:hAnsi="Book Antiqua"/>
          <w:sz w:val="24"/>
          <w:szCs w:val="24"/>
        </w:rPr>
        <w:t xml:space="preserve"> 2013; </w:t>
      </w:r>
      <w:r w:rsidRPr="00B751AA">
        <w:rPr>
          <w:rFonts w:ascii="Book Antiqua" w:hAnsi="Book Antiqua"/>
          <w:b/>
          <w:sz w:val="24"/>
          <w:szCs w:val="24"/>
        </w:rPr>
        <w:t>45</w:t>
      </w:r>
      <w:r w:rsidRPr="00B751AA">
        <w:rPr>
          <w:rFonts w:ascii="Book Antiqua" w:hAnsi="Book Antiqua"/>
          <w:sz w:val="24"/>
          <w:szCs w:val="24"/>
        </w:rPr>
        <w:t>: 513-520 [PMID: 23246488 DOI: 10.1016/j.biocel.2012.12.004]</w:t>
      </w:r>
    </w:p>
    <w:p w14:paraId="2635F98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21 </w:t>
      </w:r>
      <w:proofErr w:type="spellStart"/>
      <w:r w:rsidRPr="00B751AA">
        <w:rPr>
          <w:rFonts w:ascii="Book Antiqua" w:hAnsi="Book Antiqua"/>
          <w:b/>
          <w:sz w:val="24"/>
          <w:szCs w:val="24"/>
        </w:rPr>
        <w:t>Puetz</w:t>
      </w:r>
      <w:proofErr w:type="spellEnd"/>
      <w:r w:rsidRPr="00B751AA">
        <w:rPr>
          <w:rFonts w:ascii="Book Antiqua" w:hAnsi="Book Antiqua"/>
          <w:b/>
          <w:sz w:val="24"/>
          <w:szCs w:val="24"/>
        </w:rPr>
        <w:t xml:space="preserve"> K</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Semrau</w:t>
      </w:r>
      <w:proofErr w:type="spellEnd"/>
      <w:r w:rsidRPr="00B751AA">
        <w:rPr>
          <w:rFonts w:ascii="Book Antiqua" w:hAnsi="Book Antiqua"/>
          <w:sz w:val="24"/>
          <w:szCs w:val="24"/>
        </w:rPr>
        <w:t xml:space="preserve"> R, </w:t>
      </w:r>
      <w:proofErr w:type="spellStart"/>
      <w:r w:rsidRPr="00B751AA">
        <w:rPr>
          <w:rFonts w:ascii="Book Antiqua" w:hAnsi="Book Antiqua"/>
          <w:sz w:val="24"/>
          <w:szCs w:val="24"/>
        </w:rPr>
        <w:t>Mönig</w:t>
      </w:r>
      <w:proofErr w:type="spellEnd"/>
      <w:r w:rsidRPr="00B751AA">
        <w:rPr>
          <w:rFonts w:ascii="Book Antiqua" w:hAnsi="Book Antiqua"/>
          <w:sz w:val="24"/>
          <w:szCs w:val="24"/>
        </w:rPr>
        <w:t xml:space="preserve"> SP,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Neoadjuvant chemoradiation for patients with advanced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 which response grading system best impacts prognostic discrimination? </w:t>
      </w:r>
      <w:r w:rsidRPr="00B751AA">
        <w:rPr>
          <w:rFonts w:ascii="Book Antiqua" w:hAnsi="Book Antiqua"/>
          <w:i/>
          <w:sz w:val="24"/>
          <w:szCs w:val="24"/>
        </w:rPr>
        <w:t>Histopathology</w:t>
      </w:r>
      <w:r w:rsidRPr="00B751AA">
        <w:rPr>
          <w:rFonts w:ascii="Book Antiqua" w:hAnsi="Book Antiqua"/>
          <w:sz w:val="24"/>
          <w:szCs w:val="24"/>
        </w:rPr>
        <w:t xml:space="preserve"> 2019; </w:t>
      </w:r>
      <w:r w:rsidRPr="00B751AA">
        <w:rPr>
          <w:rFonts w:ascii="Book Antiqua" w:hAnsi="Book Antiqua"/>
          <w:b/>
          <w:sz w:val="24"/>
          <w:szCs w:val="24"/>
        </w:rPr>
        <w:t>74</w:t>
      </w:r>
      <w:r w:rsidRPr="00B751AA">
        <w:rPr>
          <w:rFonts w:ascii="Book Antiqua" w:hAnsi="Book Antiqua"/>
          <w:sz w:val="24"/>
          <w:szCs w:val="24"/>
        </w:rPr>
        <w:t>: 731-743 [PMID: 30636069 DOI: 10.1111/his.13811]</w:t>
      </w:r>
    </w:p>
    <w:p w14:paraId="7FB2C21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22 </w:t>
      </w:r>
      <w:r w:rsidRPr="00B751AA">
        <w:rPr>
          <w:rFonts w:ascii="Book Antiqua" w:hAnsi="Book Antiqua"/>
          <w:b/>
          <w:sz w:val="24"/>
          <w:szCs w:val="24"/>
        </w:rPr>
        <w:t>Wang C</w:t>
      </w:r>
      <w:r w:rsidRPr="00B751AA">
        <w:rPr>
          <w:rFonts w:ascii="Book Antiqua" w:hAnsi="Book Antiqua"/>
          <w:sz w:val="24"/>
          <w:szCs w:val="24"/>
        </w:rPr>
        <w:t xml:space="preserve">, Wang J, Chen Z, Gao Y, He J. Immunohistochemical prognostic markers of esophageal squamous cell carcinoma: a systematic review. </w:t>
      </w:r>
      <w:r w:rsidRPr="00B751AA">
        <w:rPr>
          <w:rFonts w:ascii="Book Antiqua" w:hAnsi="Book Antiqua"/>
          <w:i/>
          <w:sz w:val="24"/>
          <w:szCs w:val="24"/>
        </w:rPr>
        <w:t>Chin J Cancer</w:t>
      </w:r>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65 [PMID: 28818096 DOI: 10.1186/s40880-017-0232-5]</w:t>
      </w:r>
    </w:p>
    <w:p w14:paraId="07CC53C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23 </w:t>
      </w:r>
      <w:r w:rsidRPr="00B751AA">
        <w:rPr>
          <w:rFonts w:ascii="Book Antiqua" w:hAnsi="Book Antiqua"/>
          <w:b/>
          <w:sz w:val="24"/>
          <w:szCs w:val="24"/>
        </w:rPr>
        <w:t>Pula B</w:t>
      </w:r>
      <w:r w:rsidRPr="00B751AA">
        <w:rPr>
          <w:rFonts w:ascii="Book Antiqua" w:hAnsi="Book Antiqua"/>
          <w:sz w:val="24"/>
          <w:szCs w:val="24"/>
        </w:rPr>
        <w:t xml:space="preserve">, </w:t>
      </w:r>
      <w:proofErr w:type="spellStart"/>
      <w:r w:rsidRPr="00B751AA">
        <w:rPr>
          <w:rFonts w:ascii="Book Antiqua" w:hAnsi="Book Antiqua"/>
          <w:sz w:val="24"/>
          <w:szCs w:val="24"/>
        </w:rPr>
        <w:t>Jethon</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Piotrowska</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Gomulkiewicz</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Owczarek</w:t>
      </w:r>
      <w:proofErr w:type="spellEnd"/>
      <w:r w:rsidRPr="00B751AA">
        <w:rPr>
          <w:rFonts w:ascii="Book Antiqua" w:hAnsi="Book Antiqua"/>
          <w:sz w:val="24"/>
          <w:szCs w:val="24"/>
        </w:rPr>
        <w:t xml:space="preserve"> T, </w:t>
      </w:r>
      <w:proofErr w:type="spellStart"/>
      <w:r w:rsidRPr="00B751AA">
        <w:rPr>
          <w:rFonts w:ascii="Book Antiqua" w:hAnsi="Book Antiqua"/>
          <w:sz w:val="24"/>
          <w:szCs w:val="24"/>
        </w:rPr>
        <w:t>Calik</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Wojnar</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Witkiewicz</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Rys</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Ugorski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Dziegiel</w:t>
      </w:r>
      <w:proofErr w:type="spellEnd"/>
      <w:r w:rsidRPr="00B751AA">
        <w:rPr>
          <w:rFonts w:ascii="Book Antiqua" w:hAnsi="Book Antiqua"/>
          <w:sz w:val="24"/>
          <w:szCs w:val="24"/>
        </w:rPr>
        <w:t xml:space="preserve"> P, </w:t>
      </w:r>
      <w:proofErr w:type="spellStart"/>
      <w:r w:rsidRPr="00B751AA">
        <w:rPr>
          <w:rFonts w:ascii="Book Antiqua" w:hAnsi="Book Antiqua"/>
          <w:sz w:val="24"/>
          <w:szCs w:val="24"/>
        </w:rPr>
        <w:t>Podhorska-Okolow</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by cancer-associated fibroblasts predicts poor outcome in invasive ductal breast carcinoma. </w:t>
      </w:r>
      <w:r w:rsidRPr="00B751AA">
        <w:rPr>
          <w:rFonts w:ascii="Book Antiqua" w:hAnsi="Book Antiqua"/>
          <w:i/>
          <w:sz w:val="24"/>
          <w:szCs w:val="24"/>
        </w:rPr>
        <w:t>Histopathology</w:t>
      </w:r>
      <w:r w:rsidRPr="00B751AA">
        <w:rPr>
          <w:rFonts w:ascii="Book Antiqua" w:hAnsi="Book Antiqua"/>
          <w:sz w:val="24"/>
          <w:szCs w:val="24"/>
        </w:rPr>
        <w:t xml:space="preserve"> 2011; </w:t>
      </w:r>
      <w:r w:rsidRPr="00B751AA">
        <w:rPr>
          <w:rFonts w:ascii="Book Antiqua" w:hAnsi="Book Antiqua"/>
          <w:b/>
          <w:sz w:val="24"/>
          <w:szCs w:val="24"/>
        </w:rPr>
        <w:t>59</w:t>
      </w:r>
      <w:r w:rsidRPr="00B751AA">
        <w:rPr>
          <w:rFonts w:ascii="Book Antiqua" w:hAnsi="Book Antiqua"/>
          <w:sz w:val="24"/>
          <w:szCs w:val="24"/>
        </w:rPr>
        <w:t>: 1249-1260 [PMID: 22175904 DOI: 10.1111/j.1365-2559.2011.04060.x]</w:t>
      </w:r>
    </w:p>
    <w:p w14:paraId="44B6E351"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24 </w:t>
      </w:r>
      <w:r w:rsidRPr="00B751AA">
        <w:rPr>
          <w:rFonts w:ascii="Book Antiqua" w:hAnsi="Book Antiqua"/>
          <w:b/>
          <w:sz w:val="24"/>
          <w:szCs w:val="24"/>
        </w:rPr>
        <w:t>Toll A</w:t>
      </w:r>
      <w:r w:rsidRPr="00B751AA">
        <w:rPr>
          <w:rFonts w:ascii="Book Antiqua" w:hAnsi="Book Antiqua"/>
          <w:sz w:val="24"/>
          <w:szCs w:val="24"/>
        </w:rPr>
        <w:t xml:space="preserve">, </w:t>
      </w:r>
      <w:proofErr w:type="spellStart"/>
      <w:r w:rsidRPr="00B751AA">
        <w:rPr>
          <w:rFonts w:ascii="Book Antiqua" w:hAnsi="Book Antiqua"/>
          <w:sz w:val="24"/>
          <w:szCs w:val="24"/>
        </w:rPr>
        <w:t>Gimeno-Beltrán</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Ferrandiz</w:t>
      </w:r>
      <w:proofErr w:type="spellEnd"/>
      <w:r w:rsidRPr="00B751AA">
        <w:rPr>
          <w:rFonts w:ascii="Book Antiqua" w:hAnsi="Book Antiqua"/>
          <w:sz w:val="24"/>
          <w:szCs w:val="24"/>
        </w:rPr>
        <w:t xml:space="preserve">-Pulido C, </w:t>
      </w:r>
      <w:proofErr w:type="spellStart"/>
      <w:r w:rsidRPr="00B751AA">
        <w:rPr>
          <w:rFonts w:ascii="Book Antiqua" w:hAnsi="Book Antiqua"/>
          <w:sz w:val="24"/>
          <w:szCs w:val="24"/>
        </w:rPr>
        <w:t>Masferrer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Yébenes</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Jucglà</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Abal</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Martí</w:t>
      </w:r>
      <w:proofErr w:type="spellEnd"/>
      <w:r w:rsidRPr="00B751AA">
        <w:rPr>
          <w:rFonts w:ascii="Book Antiqua" w:hAnsi="Book Antiqua"/>
          <w:sz w:val="24"/>
          <w:szCs w:val="24"/>
        </w:rPr>
        <w:t xml:space="preserve"> RM, </w:t>
      </w:r>
      <w:proofErr w:type="spellStart"/>
      <w:r w:rsidRPr="00B751AA">
        <w:rPr>
          <w:rFonts w:ascii="Book Antiqua" w:hAnsi="Book Antiqua"/>
          <w:sz w:val="24"/>
          <w:szCs w:val="24"/>
        </w:rPr>
        <w:t>Sanmartín</w:t>
      </w:r>
      <w:proofErr w:type="spellEnd"/>
      <w:r w:rsidRPr="00B751AA">
        <w:rPr>
          <w:rFonts w:ascii="Book Antiqua" w:hAnsi="Book Antiqua"/>
          <w:sz w:val="24"/>
          <w:szCs w:val="24"/>
        </w:rPr>
        <w:t xml:space="preserve"> O, </w:t>
      </w:r>
      <w:proofErr w:type="spellStart"/>
      <w:r w:rsidRPr="00B751AA">
        <w:rPr>
          <w:rFonts w:ascii="Book Antiqua" w:hAnsi="Book Antiqua"/>
          <w:sz w:val="24"/>
          <w:szCs w:val="24"/>
        </w:rPr>
        <w:t>Baró</w:t>
      </w:r>
      <w:proofErr w:type="spellEnd"/>
      <w:r w:rsidRPr="00B751AA">
        <w:rPr>
          <w:rFonts w:ascii="Book Antiqua" w:hAnsi="Book Antiqua"/>
          <w:sz w:val="24"/>
          <w:szCs w:val="24"/>
        </w:rPr>
        <w:t xml:space="preserve"> T, </w:t>
      </w:r>
      <w:proofErr w:type="spellStart"/>
      <w:r w:rsidRPr="00B751AA">
        <w:rPr>
          <w:rFonts w:ascii="Book Antiqua" w:hAnsi="Book Antiqua"/>
          <w:sz w:val="24"/>
          <w:szCs w:val="24"/>
        </w:rPr>
        <w:t>Casado</w:t>
      </w:r>
      <w:proofErr w:type="spellEnd"/>
      <w:r w:rsidRPr="00B751AA">
        <w:rPr>
          <w:rFonts w:ascii="Book Antiqua" w:hAnsi="Book Antiqua"/>
          <w:sz w:val="24"/>
          <w:szCs w:val="24"/>
        </w:rPr>
        <w:t xml:space="preserve"> B, </w:t>
      </w:r>
      <w:proofErr w:type="spellStart"/>
      <w:r w:rsidRPr="00B751AA">
        <w:rPr>
          <w:rFonts w:ascii="Book Antiqua" w:hAnsi="Book Antiqua"/>
          <w:sz w:val="24"/>
          <w:szCs w:val="24"/>
        </w:rPr>
        <w:t>Gandarillas</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Barranco</w:t>
      </w:r>
      <w:proofErr w:type="spellEnd"/>
      <w:r w:rsidRPr="00B751AA">
        <w:rPr>
          <w:rFonts w:ascii="Book Antiqua" w:hAnsi="Book Antiqua"/>
          <w:sz w:val="24"/>
          <w:szCs w:val="24"/>
        </w:rPr>
        <w:t xml:space="preserve"> C, Costa I, </w:t>
      </w:r>
      <w:proofErr w:type="spellStart"/>
      <w:r w:rsidRPr="00B751AA">
        <w:rPr>
          <w:rFonts w:ascii="Book Antiqua" w:hAnsi="Book Antiqua"/>
          <w:sz w:val="24"/>
          <w:szCs w:val="24"/>
        </w:rPr>
        <w:t>Mojal</w:t>
      </w:r>
      <w:proofErr w:type="spellEnd"/>
      <w:r w:rsidRPr="00B751AA">
        <w:rPr>
          <w:rFonts w:ascii="Book Antiqua" w:hAnsi="Book Antiqua"/>
          <w:sz w:val="24"/>
          <w:szCs w:val="24"/>
        </w:rPr>
        <w:t xml:space="preserve"> S, </w:t>
      </w:r>
      <w:proofErr w:type="spellStart"/>
      <w:r w:rsidRPr="00B751AA">
        <w:rPr>
          <w:rFonts w:ascii="Book Antiqua" w:hAnsi="Book Antiqua"/>
          <w:sz w:val="24"/>
          <w:szCs w:val="24"/>
        </w:rPr>
        <w:t>García-Patos</w:t>
      </w:r>
      <w:proofErr w:type="spellEnd"/>
      <w:r w:rsidRPr="00B751AA">
        <w:rPr>
          <w:rFonts w:ascii="Book Antiqua" w:hAnsi="Book Antiqua"/>
          <w:sz w:val="24"/>
          <w:szCs w:val="24"/>
        </w:rPr>
        <w:t xml:space="preserve"> V, Pujol RM. D2-40 immunohistochemical overexpression in cutaneous squamous cell carcinomas: a marker of metastatic risk. </w:t>
      </w:r>
      <w:r w:rsidRPr="00B751AA">
        <w:rPr>
          <w:rFonts w:ascii="Book Antiqua" w:hAnsi="Book Antiqua"/>
          <w:i/>
          <w:sz w:val="24"/>
          <w:szCs w:val="24"/>
        </w:rPr>
        <w:t xml:space="preserve">J Am </w:t>
      </w:r>
      <w:proofErr w:type="spellStart"/>
      <w:r w:rsidRPr="00B751AA">
        <w:rPr>
          <w:rFonts w:ascii="Book Antiqua" w:hAnsi="Book Antiqua"/>
          <w:i/>
          <w:sz w:val="24"/>
          <w:szCs w:val="24"/>
        </w:rPr>
        <w:t>Acad</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Dermatol</w:t>
      </w:r>
      <w:proofErr w:type="spellEnd"/>
      <w:r w:rsidRPr="00B751AA">
        <w:rPr>
          <w:rFonts w:ascii="Book Antiqua" w:hAnsi="Book Antiqua"/>
          <w:sz w:val="24"/>
          <w:szCs w:val="24"/>
        </w:rPr>
        <w:t xml:space="preserve"> 2012; </w:t>
      </w:r>
      <w:r w:rsidRPr="00B751AA">
        <w:rPr>
          <w:rFonts w:ascii="Book Antiqua" w:hAnsi="Book Antiqua"/>
          <w:b/>
          <w:sz w:val="24"/>
          <w:szCs w:val="24"/>
        </w:rPr>
        <w:t>67</w:t>
      </w:r>
      <w:r w:rsidRPr="00B751AA">
        <w:rPr>
          <w:rFonts w:ascii="Book Antiqua" w:hAnsi="Book Antiqua"/>
          <w:sz w:val="24"/>
          <w:szCs w:val="24"/>
        </w:rPr>
        <w:t>: 1310-1318 [PMID: 22521203 DOI: 10.1016/j.jaad.2012.03.007]</w:t>
      </w:r>
    </w:p>
    <w:p w14:paraId="373B7517"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25 </w:t>
      </w:r>
      <w:proofErr w:type="spellStart"/>
      <w:r w:rsidRPr="00B751AA">
        <w:rPr>
          <w:rFonts w:ascii="Book Antiqua" w:hAnsi="Book Antiqua"/>
          <w:b/>
          <w:sz w:val="24"/>
          <w:szCs w:val="24"/>
        </w:rPr>
        <w:t>Funayama</w:t>
      </w:r>
      <w:proofErr w:type="spellEnd"/>
      <w:r w:rsidRPr="00B751AA">
        <w:rPr>
          <w:rFonts w:ascii="Book Antiqua" w:hAnsi="Book Antiqua"/>
          <w:b/>
          <w:sz w:val="24"/>
          <w:szCs w:val="24"/>
        </w:rPr>
        <w:t xml:space="preserve"> A</w:t>
      </w:r>
      <w:r w:rsidRPr="00B751AA">
        <w:rPr>
          <w:rFonts w:ascii="Book Antiqua" w:hAnsi="Book Antiqua"/>
          <w:sz w:val="24"/>
          <w:szCs w:val="24"/>
        </w:rPr>
        <w:t xml:space="preserve">, Cheng J, Maruyama S, Yamazaki M, Kobayashi T, </w:t>
      </w:r>
      <w:proofErr w:type="spellStart"/>
      <w:r w:rsidRPr="00B751AA">
        <w:rPr>
          <w:rFonts w:ascii="Book Antiqua" w:hAnsi="Book Antiqua"/>
          <w:sz w:val="24"/>
          <w:szCs w:val="24"/>
        </w:rPr>
        <w:t>Syafriadi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Kundu</w:t>
      </w:r>
      <w:proofErr w:type="spellEnd"/>
      <w:r w:rsidRPr="00B751AA">
        <w:rPr>
          <w:rFonts w:ascii="Book Antiqua" w:hAnsi="Book Antiqua"/>
          <w:sz w:val="24"/>
          <w:szCs w:val="24"/>
        </w:rPr>
        <w:t xml:space="preserve"> S, </w:t>
      </w:r>
      <w:proofErr w:type="spellStart"/>
      <w:r w:rsidRPr="00B751AA">
        <w:rPr>
          <w:rFonts w:ascii="Book Antiqua" w:hAnsi="Book Antiqua"/>
          <w:sz w:val="24"/>
          <w:szCs w:val="24"/>
        </w:rPr>
        <w:t>Shingaki</w:t>
      </w:r>
      <w:proofErr w:type="spellEnd"/>
      <w:r w:rsidRPr="00B751AA">
        <w:rPr>
          <w:rFonts w:ascii="Book Antiqua" w:hAnsi="Book Antiqua"/>
          <w:sz w:val="24"/>
          <w:szCs w:val="24"/>
        </w:rPr>
        <w:t xml:space="preserve"> S, Saito C, </w:t>
      </w:r>
      <w:proofErr w:type="spellStart"/>
      <w:r w:rsidRPr="00B751AA">
        <w:rPr>
          <w:rFonts w:ascii="Book Antiqua" w:hAnsi="Book Antiqua"/>
          <w:sz w:val="24"/>
          <w:szCs w:val="24"/>
        </w:rPr>
        <w:t>Saku</w:t>
      </w:r>
      <w:proofErr w:type="spellEnd"/>
      <w:r w:rsidRPr="00B751AA">
        <w:rPr>
          <w:rFonts w:ascii="Book Antiqua" w:hAnsi="Book Antiqua"/>
          <w:sz w:val="24"/>
          <w:szCs w:val="24"/>
        </w:rPr>
        <w:t xml:space="preserve"> T. Enhanced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oral carcinomas in situ and squamous cell carcinomas. </w:t>
      </w:r>
      <w:r w:rsidRPr="00B751AA">
        <w:rPr>
          <w:rFonts w:ascii="Book Antiqua" w:hAnsi="Book Antiqua"/>
          <w:i/>
          <w:sz w:val="24"/>
          <w:szCs w:val="24"/>
        </w:rPr>
        <w:t>Pathobiology</w:t>
      </w:r>
      <w:r w:rsidRPr="00B751AA">
        <w:rPr>
          <w:rFonts w:ascii="Book Antiqua" w:hAnsi="Book Antiqua"/>
          <w:sz w:val="24"/>
          <w:szCs w:val="24"/>
        </w:rPr>
        <w:t xml:space="preserve"> 2011; </w:t>
      </w:r>
      <w:r w:rsidRPr="00B751AA">
        <w:rPr>
          <w:rFonts w:ascii="Book Antiqua" w:hAnsi="Book Antiqua"/>
          <w:b/>
          <w:sz w:val="24"/>
          <w:szCs w:val="24"/>
        </w:rPr>
        <w:t>78</w:t>
      </w:r>
      <w:r w:rsidRPr="00B751AA">
        <w:rPr>
          <w:rFonts w:ascii="Book Antiqua" w:hAnsi="Book Antiqua"/>
          <w:sz w:val="24"/>
          <w:szCs w:val="24"/>
        </w:rPr>
        <w:t>: 171-180 [PMID: 21613804 DOI: 10.1159/000324926]</w:t>
      </w:r>
    </w:p>
    <w:p w14:paraId="7F07C4F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26 </w:t>
      </w:r>
      <w:proofErr w:type="spellStart"/>
      <w:r w:rsidRPr="00B751AA">
        <w:rPr>
          <w:rFonts w:ascii="Book Antiqua" w:hAnsi="Book Antiqua"/>
          <w:b/>
          <w:sz w:val="24"/>
          <w:szCs w:val="24"/>
        </w:rPr>
        <w:t>Lynam</w:t>
      </w:r>
      <w:proofErr w:type="spellEnd"/>
      <w:r w:rsidRPr="00B751AA">
        <w:rPr>
          <w:rFonts w:ascii="Book Antiqua" w:hAnsi="Book Antiqua"/>
          <w:b/>
          <w:sz w:val="24"/>
          <w:szCs w:val="24"/>
        </w:rPr>
        <w:t>-Lennon N</w:t>
      </w:r>
      <w:r w:rsidRPr="00B751AA">
        <w:rPr>
          <w:rFonts w:ascii="Book Antiqua" w:hAnsi="Book Antiqua"/>
          <w:sz w:val="24"/>
          <w:szCs w:val="24"/>
        </w:rPr>
        <w:t xml:space="preserve">, Maher SG, Reynolds JV. The roles of microRNA in cancer and apoptosis. </w:t>
      </w:r>
      <w:proofErr w:type="spellStart"/>
      <w:r w:rsidRPr="00B751AA">
        <w:rPr>
          <w:rFonts w:ascii="Book Antiqua" w:hAnsi="Book Antiqua"/>
          <w:i/>
          <w:sz w:val="24"/>
          <w:szCs w:val="24"/>
        </w:rPr>
        <w:t>Biol</w:t>
      </w:r>
      <w:proofErr w:type="spellEnd"/>
      <w:r w:rsidRPr="00B751AA">
        <w:rPr>
          <w:rFonts w:ascii="Book Antiqua" w:hAnsi="Book Antiqua"/>
          <w:i/>
          <w:sz w:val="24"/>
          <w:szCs w:val="24"/>
        </w:rPr>
        <w:t xml:space="preserve"> Rev </w:t>
      </w:r>
      <w:proofErr w:type="spellStart"/>
      <w:r w:rsidRPr="00B751AA">
        <w:rPr>
          <w:rFonts w:ascii="Book Antiqua" w:hAnsi="Book Antiqua"/>
          <w:i/>
          <w:sz w:val="24"/>
          <w:szCs w:val="24"/>
        </w:rPr>
        <w:t>Camb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Philos</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Soc</w:t>
      </w:r>
      <w:proofErr w:type="spellEnd"/>
      <w:r w:rsidRPr="00B751AA">
        <w:rPr>
          <w:rFonts w:ascii="Book Antiqua" w:hAnsi="Book Antiqua"/>
          <w:sz w:val="24"/>
          <w:szCs w:val="24"/>
        </w:rPr>
        <w:t xml:space="preserve"> 2009; </w:t>
      </w:r>
      <w:r w:rsidRPr="00B751AA">
        <w:rPr>
          <w:rFonts w:ascii="Book Antiqua" w:hAnsi="Book Antiqua"/>
          <w:b/>
          <w:sz w:val="24"/>
          <w:szCs w:val="24"/>
        </w:rPr>
        <w:t>84</w:t>
      </w:r>
      <w:r w:rsidRPr="00B751AA">
        <w:rPr>
          <w:rFonts w:ascii="Book Antiqua" w:hAnsi="Book Antiqua"/>
          <w:sz w:val="24"/>
          <w:szCs w:val="24"/>
        </w:rPr>
        <w:t>: 55-71 [PMID: 19046400 DOI: 10.1111/j.1469-185X.2008.00061.x]</w:t>
      </w:r>
    </w:p>
    <w:p w14:paraId="681B970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27 </w:t>
      </w:r>
      <w:r w:rsidRPr="00B751AA">
        <w:rPr>
          <w:rFonts w:ascii="Book Antiqua" w:hAnsi="Book Antiqua"/>
          <w:b/>
          <w:sz w:val="24"/>
          <w:szCs w:val="24"/>
        </w:rPr>
        <w:t>Chen G</w:t>
      </w:r>
      <w:r w:rsidRPr="00B751AA">
        <w:rPr>
          <w:rFonts w:ascii="Book Antiqua" w:hAnsi="Book Antiqua"/>
          <w:sz w:val="24"/>
          <w:szCs w:val="24"/>
        </w:rPr>
        <w:t xml:space="preserve">, Xu R, Yue B, Mei X, Li P, Zhou X, Huang S, Gong L, Zhang S. The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protein is a diagnostic marker to distinguish the early infiltration of esophageal squamous cell carcinoma.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2017; </w:t>
      </w:r>
      <w:r w:rsidRPr="00B751AA">
        <w:rPr>
          <w:rFonts w:ascii="Book Antiqua" w:hAnsi="Book Antiqua"/>
          <w:b/>
          <w:sz w:val="24"/>
          <w:szCs w:val="24"/>
        </w:rPr>
        <w:t>8</w:t>
      </w:r>
      <w:r w:rsidRPr="00B751AA">
        <w:rPr>
          <w:rFonts w:ascii="Book Antiqua" w:hAnsi="Book Antiqua"/>
          <w:sz w:val="24"/>
          <w:szCs w:val="24"/>
        </w:rPr>
        <w:t>: 19013-19020 [PMID: 28086225 DOI: 10.18632/oncotarget.14596]</w:t>
      </w:r>
    </w:p>
    <w:p w14:paraId="057F132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28 </w:t>
      </w:r>
      <w:r w:rsidRPr="00B751AA">
        <w:rPr>
          <w:rFonts w:ascii="Book Antiqua" w:hAnsi="Book Antiqua"/>
          <w:b/>
          <w:sz w:val="24"/>
          <w:szCs w:val="24"/>
        </w:rPr>
        <w:t>Kato Y</w:t>
      </w:r>
      <w:r w:rsidRPr="00B751AA">
        <w:rPr>
          <w:rFonts w:ascii="Book Antiqua" w:hAnsi="Book Antiqua"/>
          <w:sz w:val="24"/>
          <w:szCs w:val="24"/>
        </w:rPr>
        <w:t xml:space="preserve">, Kaneko MK. A cancer-specific monoclonal antibody recognizes the aberrantly glycosylated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r w:rsidRPr="00B751AA">
        <w:rPr>
          <w:rFonts w:ascii="Book Antiqua" w:hAnsi="Book Antiqua"/>
          <w:i/>
          <w:sz w:val="24"/>
          <w:szCs w:val="24"/>
        </w:rPr>
        <w:t>Sci Rep</w:t>
      </w:r>
      <w:r w:rsidRPr="00B751AA">
        <w:rPr>
          <w:rFonts w:ascii="Book Antiqua" w:hAnsi="Book Antiqua"/>
          <w:sz w:val="24"/>
          <w:szCs w:val="24"/>
        </w:rPr>
        <w:t xml:space="preserve"> 2014; </w:t>
      </w:r>
      <w:r w:rsidRPr="00B751AA">
        <w:rPr>
          <w:rFonts w:ascii="Book Antiqua" w:hAnsi="Book Antiqua"/>
          <w:b/>
          <w:sz w:val="24"/>
          <w:szCs w:val="24"/>
        </w:rPr>
        <w:t>4</w:t>
      </w:r>
      <w:r w:rsidRPr="00B751AA">
        <w:rPr>
          <w:rFonts w:ascii="Book Antiqua" w:hAnsi="Book Antiqua"/>
          <w:sz w:val="24"/>
          <w:szCs w:val="24"/>
        </w:rPr>
        <w:t>: 5924 [PMID: 25080943 DOI: 10.1038/srep05924]</w:t>
      </w:r>
    </w:p>
    <w:p w14:paraId="770ED74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29 </w:t>
      </w:r>
      <w:r w:rsidRPr="00B751AA">
        <w:rPr>
          <w:rFonts w:ascii="Book Antiqua" w:hAnsi="Book Antiqua"/>
          <w:b/>
          <w:sz w:val="24"/>
          <w:szCs w:val="24"/>
        </w:rPr>
        <w:t>Kato Y</w:t>
      </w:r>
      <w:r w:rsidRPr="00B751AA">
        <w:rPr>
          <w:rFonts w:ascii="Book Antiqua" w:hAnsi="Book Antiqua"/>
          <w:sz w:val="24"/>
          <w:szCs w:val="24"/>
        </w:rPr>
        <w:t xml:space="preserve">, Kaneko MK, </w:t>
      </w:r>
      <w:proofErr w:type="spellStart"/>
      <w:r w:rsidRPr="00B751AA">
        <w:rPr>
          <w:rFonts w:ascii="Book Antiqua" w:hAnsi="Book Antiqua"/>
          <w:sz w:val="24"/>
          <w:szCs w:val="24"/>
        </w:rPr>
        <w:t>Kuno</w:t>
      </w:r>
      <w:proofErr w:type="spellEnd"/>
      <w:r w:rsidRPr="00B751AA">
        <w:rPr>
          <w:rFonts w:ascii="Book Antiqua" w:hAnsi="Book Antiqua"/>
          <w:sz w:val="24"/>
          <w:szCs w:val="24"/>
        </w:rPr>
        <w:t xml:space="preserve"> A, Uchiyama N, Amano K, Chiba Y, Hasegawa Y, </w:t>
      </w:r>
      <w:proofErr w:type="spellStart"/>
      <w:r w:rsidRPr="00B751AA">
        <w:rPr>
          <w:rFonts w:ascii="Book Antiqua" w:hAnsi="Book Antiqua"/>
          <w:sz w:val="24"/>
          <w:szCs w:val="24"/>
        </w:rPr>
        <w:t>Hirabayashi</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Narimatsu</w:t>
      </w:r>
      <w:proofErr w:type="spellEnd"/>
      <w:r w:rsidRPr="00B751AA">
        <w:rPr>
          <w:rFonts w:ascii="Book Antiqua" w:hAnsi="Book Antiqua"/>
          <w:sz w:val="24"/>
          <w:szCs w:val="24"/>
        </w:rPr>
        <w:t xml:space="preserve"> H, </w:t>
      </w:r>
      <w:proofErr w:type="spellStart"/>
      <w:r w:rsidRPr="00B751AA">
        <w:rPr>
          <w:rFonts w:ascii="Book Antiqua" w:hAnsi="Book Antiqua"/>
          <w:sz w:val="24"/>
          <w:szCs w:val="24"/>
        </w:rPr>
        <w:t>Mishima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Osawa</w:t>
      </w:r>
      <w:proofErr w:type="spellEnd"/>
      <w:r w:rsidRPr="00B751AA">
        <w:rPr>
          <w:rFonts w:ascii="Book Antiqua" w:hAnsi="Book Antiqua"/>
          <w:sz w:val="24"/>
          <w:szCs w:val="24"/>
        </w:rPr>
        <w:t xml:space="preserve"> M. Inhibition of tumor cell-induced platelet aggregation using a novel anti-</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antibody reacting with its platelet-aggregation-stimulating domain. </w:t>
      </w:r>
      <w:proofErr w:type="spellStart"/>
      <w:r w:rsidRPr="00B751AA">
        <w:rPr>
          <w:rFonts w:ascii="Book Antiqua" w:hAnsi="Book Antiqua"/>
          <w:i/>
          <w:sz w:val="24"/>
          <w:szCs w:val="24"/>
        </w:rPr>
        <w:t>Biochem</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Biophys</w:t>
      </w:r>
      <w:proofErr w:type="spellEnd"/>
      <w:r w:rsidRPr="00B751AA">
        <w:rPr>
          <w:rFonts w:ascii="Book Antiqua" w:hAnsi="Book Antiqua"/>
          <w:i/>
          <w:sz w:val="24"/>
          <w:szCs w:val="24"/>
        </w:rPr>
        <w:t xml:space="preserve"> Res </w:t>
      </w:r>
      <w:proofErr w:type="spellStart"/>
      <w:r w:rsidRPr="00B751AA">
        <w:rPr>
          <w:rFonts w:ascii="Book Antiqua" w:hAnsi="Book Antiqua"/>
          <w:i/>
          <w:sz w:val="24"/>
          <w:szCs w:val="24"/>
        </w:rPr>
        <w:t>Commun</w:t>
      </w:r>
      <w:proofErr w:type="spellEnd"/>
      <w:r w:rsidRPr="00B751AA">
        <w:rPr>
          <w:rFonts w:ascii="Book Antiqua" w:hAnsi="Book Antiqua"/>
          <w:sz w:val="24"/>
          <w:szCs w:val="24"/>
        </w:rPr>
        <w:t xml:space="preserve"> 2006; </w:t>
      </w:r>
      <w:r w:rsidRPr="00B751AA">
        <w:rPr>
          <w:rFonts w:ascii="Book Antiqua" w:hAnsi="Book Antiqua"/>
          <w:b/>
          <w:sz w:val="24"/>
          <w:szCs w:val="24"/>
        </w:rPr>
        <w:t>349</w:t>
      </w:r>
      <w:r w:rsidRPr="00B751AA">
        <w:rPr>
          <w:rFonts w:ascii="Book Antiqua" w:hAnsi="Book Antiqua"/>
          <w:sz w:val="24"/>
          <w:szCs w:val="24"/>
        </w:rPr>
        <w:t>: 1301-1307 [PMID: 16979138 DOI: 10.1016/j.bbrc.2006.08.171]</w:t>
      </w:r>
    </w:p>
    <w:p w14:paraId="0F6567E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30 </w:t>
      </w:r>
      <w:r w:rsidRPr="00B751AA">
        <w:rPr>
          <w:rFonts w:ascii="Book Antiqua" w:hAnsi="Book Antiqua"/>
          <w:b/>
          <w:sz w:val="24"/>
          <w:szCs w:val="24"/>
        </w:rPr>
        <w:t>Nakazawa Y</w:t>
      </w:r>
      <w:r w:rsidRPr="00B751AA">
        <w:rPr>
          <w:rFonts w:ascii="Book Antiqua" w:hAnsi="Book Antiqua"/>
          <w:sz w:val="24"/>
          <w:szCs w:val="24"/>
        </w:rPr>
        <w:t xml:space="preserve">, Takagi S, Sato S, Oh-hara T, Koike S, </w:t>
      </w:r>
      <w:proofErr w:type="spellStart"/>
      <w:r w:rsidRPr="00B751AA">
        <w:rPr>
          <w:rFonts w:ascii="Book Antiqua" w:hAnsi="Book Antiqua"/>
          <w:sz w:val="24"/>
          <w:szCs w:val="24"/>
        </w:rPr>
        <w:t>Takami</w:t>
      </w:r>
      <w:proofErr w:type="spellEnd"/>
      <w:r w:rsidRPr="00B751AA">
        <w:rPr>
          <w:rFonts w:ascii="Book Antiqua" w:hAnsi="Book Antiqua"/>
          <w:sz w:val="24"/>
          <w:szCs w:val="24"/>
        </w:rPr>
        <w:t xml:space="preserve"> M, Arai H, Fujita N. Prevention of hematogenous metastasis by neutralizing mice and its chimeric anti-</w:t>
      </w:r>
      <w:proofErr w:type="spellStart"/>
      <w:r w:rsidRPr="00B751AA">
        <w:rPr>
          <w:rFonts w:ascii="Book Antiqua" w:hAnsi="Book Antiqua"/>
          <w:sz w:val="24"/>
          <w:szCs w:val="24"/>
        </w:rPr>
        <w:t>Aggrus</w:t>
      </w:r>
      <w:proofErr w:type="spellEnd"/>
      <w:r w:rsidRPr="00B751AA">
        <w:rPr>
          <w:rFonts w:ascii="Book Antiqua" w:hAnsi="Book Antiqua"/>
          <w:sz w:val="24"/>
          <w:szCs w:val="24"/>
        </w:rPr>
        <w:t>/</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antibodies. </w:t>
      </w:r>
      <w:r w:rsidRPr="00B751AA">
        <w:rPr>
          <w:rFonts w:ascii="Book Antiqua" w:hAnsi="Book Antiqua"/>
          <w:i/>
          <w:sz w:val="24"/>
          <w:szCs w:val="24"/>
        </w:rPr>
        <w:t>Cancer Sci</w:t>
      </w:r>
      <w:r w:rsidRPr="00B751AA">
        <w:rPr>
          <w:rFonts w:ascii="Book Antiqua" w:hAnsi="Book Antiqua"/>
          <w:sz w:val="24"/>
          <w:szCs w:val="24"/>
        </w:rPr>
        <w:t xml:space="preserve"> 2011; </w:t>
      </w:r>
      <w:r w:rsidRPr="00B751AA">
        <w:rPr>
          <w:rFonts w:ascii="Book Antiqua" w:hAnsi="Book Antiqua"/>
          <w:b/>
          <w:sz w:val="24"/>
          <w:szCs w:val="24"/>
        </w:rPr>
        <w:t>102</w:t>
      </w:r>
      <w:r w:rsidRPr="00B751AA">
        <w:rPr>
          <w:rFonts w:ascii="Book Antiqua" w:hAnsi="Book Antiqua"/>
          <w:sz w:val="24"/>
          <w:szCs w:val="24"/>
        </w:rPr>
        <w:t>: 2051-2057 [PMID: 21824222 DOI: 10.1111/j.1349-7006.2011.02058.x]</w:t>
      </w:r>
    </w:p>
    <w:p w14:paraId="4050E4A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31 </w:t>
      </w:r>
      <w:r w:rsidRPr="00B751AA">
        <w:rPr>
          <w:rFonts w:ascii="Book Antiqua" w:hAnsi="Book Antiqua"/>
          <w:b/>
          <w:sz w:val="24"/>
          <w:szCs w:val="24"/>
        </w:rPr>
        <w:t>Li JC</w:t>
      </w:r>
      <w:r w:rsidRPr="00B751AA">
        <w:rPr>
          <w:rFonts w:ascii="Book Antiqua" w:hAnsi="Book Antiqua"/>
          <w:sz w:val="24"/>
          <w:szCs w:val="24"/>
        </w:rPr>
        <w:t xml:space="preserve">, Li Y, Ai JY, Chen K, Zhu YH, Fu L, Qin YR, Wang LJ, Guan XY. </w:t>
      </w:r>
      <w:proofErr w:type="spellStart"/>
      <w:r w:rsidRPr="00B751AA">
        <w:rPr>
          <w:rFonts w:ascii="Book Antiqua" w:hAnsi="Book Antiqua"/>
          <w:sz w:val="24"/>
          <w:szCs w:val="24"/>
        </w:rPr>
        <w:t>Podoplanin</w:t>
      </w:r>
      <w:proofErr w:type="spellEnd"/>
      <w:r w:rsidRPr="00B751AA">
        <w:rPr>
          <w:rFonts w:ascii="Cambria Math" w:hAnsi="Cambria Math" w:cs="Cambria Math"/>
          <w:sz w:val="24"/>
          <w:szCs w:val="24"/>
        </w:rPr>
        <w:t>‑</w:t>
      </w:r>
      <w:r w:rsidRPr="00B751AA">
        <w:rPr>
          <w:rFonts w:ascii="Book Antiqua" w:hAnsi="Book Antiqua"/>
          <w:sz w:val="24"/>
          <w:szCs w:val="24"/>
        </w:rPr>
        <w:t xml:space="preserve">positive cancer cells at the edge of esophageal squamous cell carcinomas are involved in invasion. </w:t>
      </w:r>
      <w:r w:rsidRPr="00B751AA">
        <w:rPr>
          <w:rFonts w:ascii="Book Antiqua" w:hAnsi="Book Antiqua"/>
          <w:i/>
          <w:sz w:val="24"/>
          <w:szCs w:val="24"/>
        </w:rPr>
        <w:t>Mol Med Rep</w:t>
      </w:r>
      <w:r w:rsidRPr="00B751AA">
        <w:rPr>
          <w:rFonts w:ascii="Book Antiqua" w:hAnsi="Book Antiqua"/>
          <w:sz w:val="24"/>
          <w:szCs w:val="24"/>
        </w:rPr>
        <w:t xml:space="preserve"> 2014; </w:t>
      </w:r>
      <w:r w:rsidRPr="00B751AA">
        <w:rPr>
          <w:rFonts w:ascii="Book Antiqua" w:hAnsi="Book Antiqua"/>
          <w:b/>
          <w:sz w:val="24"/>
          <w:szCs w:val="24"/>
        </w:rPr>
        <w:t>10</w:t>
      </w:r>
      <w:r w:rsidRPr="00B751AA">
        <w:rPr>
          <w:rFonts w:ascii="Book Antiqua" w:hAnsi="Book Antiqua"/>
          <w:sz w:val="24"/>
          <w:szCs w:val="24"/>
        </w:rPr>
        <w:t>: 1513-1518 [PMID: 24938315 DOI: 10.3892/mmr.2014.2338]</w:t>
      </w:r>
    </w:p>
    <w:p w14:paraId="7A610101"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32 </w:t>
      </w:r>
      <w:r w:rsidRPr="00B751AA">
        <w:rPr>
          <w:rFonts w:ascii="Book Antiqua" w:hAnsi="Book Antiqua"/>
          <w:b/>
          <w:sz w:val="24"/>
          <w:szCs w:val="24"/>
        </w:rPr>
        <w:t>Schacht V</w:t>
      </w:r>
      <w:r w:rsidRPr="00B751AA">
        <w:rPr>
          <w:rFonts w:ascii="Book Antiqua" w:hAnsi="Book Antiqua"/>
          <w:sz w:val="24"/>
          <w:szCs w:val="24"/>
        </w:rPr>
        <w:t xml:space="preserve">, Ramirez MI, Hong YK, </w:t>
      </w:r>
      <w:proofErr w:type="spellStart"/>
      <w:r w:rsidRPr="00B751AA">
        <w:rPr>
          <w:rFonts w:ascii="Book Antiqua" w:hAnsi="Book Antiqua"/>
          <w:sz w:val="24"/>
          <w:szCs w:val="24"/>
        </w:rPr>
        <w:t>Hirakawa</w:t>
      </w:r>
      <w:proofErr w:type="spellEnd"/>
      <w:r w:rsidRPr="00B751AA">
        <w:rPr>
          <w:rFonts w:ascii="Book Antiqua" w:hAnsi="Book Antiqua"/>
          <w:sz w:val="24"/>
          <w:szCs w:val="24"/>
        </w:rPr>
        <w:t xml:space="preserve"> S, Feng D, Harvey N, Williams M, Dvorak AM, Dvorak HF, Oliver G, </w:t>
      </w:r>
      <w:proofErr w:type="spellStart"/>
      <w:r w:rsidRPr="00B751AA">
        <w:rPr>
          <w:rFonts w:ascii="Book Antiqua" w:hAnsi="Book Antiqua"/>
          <w:sz w:val="24"/>
          <w:szCs w:val="24"/>
        </w:rPr>
        <w:t>Detmar</w:t>
      </w:r>
      <w:proofErr w:type="spellEnd"/>
      <w:r w:rsidRPr="00B751AA">
        <w:rPr>
          <w:rFonts w:ascii="Book Antiqua" w:hAnsi="Book Antiqua"/>
          <w:sz w:val="24"/>
          <w:szCs w:val="24"/>
        </w:rPr>
        <w:t xml:space="preserve"> M. T1alpha/</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deficiency disrupts normal lymphatic vasculature formation and causes lymphedema. </w:t>
      </w:r>
      <w:r w:rsidRPr="00B751AA">
        <w:rPr>
          <w:rFonts w:ascii="Book Antiqua" w:hAnsi="Book Antiqua"/>
          <w:i/>
          <w:sz w:val="24"/>
          <w:szCs w:val="24"/>
        </w:rPr>
        <w:t>EMBO J</w:t>
      </w:r>
      <w:r w:rsidRPr="00B751AA">
        <w:rPr>
          <w:rFonts w:ascii="Book Antiqua" w:hAnsi="Book Antiqua"/>
          <w:sz w:val="24"/>
          <w:szCs w:val="24"/>
        </w:rPr>
        <w:t xml:space="preserve"> 2003; </w:t>
      </w:r>
      <w:r w:rsidRPr="00B751AA">
        <w:rPr>
          <w:rFonts w:ascii="Book Antiqua" w:hAnsi="Book Antiqua"/>
          <w:b/>
          <w:sz w:val="24"/>
          <w:szCs w:val="24"/>
        </w:rPr>
        <w:t>22</w:t>
      </w:r>
      <w:r w:rsidRPr="00B751AA">
        <w:rPr>
          <w:rFonts w:ascii="Book Antiqua" w:hAnsi="Book Antiqua"/>
          <w:sz w:val="24"/>
          <w:szCs w:val="24"/>
        </w:rPr>
        <w:t>: 3546-3556 [PMID: 12853470 DOI: 10.1093/</w:t>
      </w:r>
      <w:proofErr w:type="spellStart"/>
      <w:r w:rsidRPr="00B751AA">
        <w:rPr>
          <w:rFonts w:ascii="Book Antiqua" w:hAnsi="Book Antiqua"/>
          <w:sz w:val="24"/>
          <w:szCs w:val="24"/>
        </w:rPr>
        <w:t>emboj</w:t>
      </w:r>
      <w:proofErr w:type="spellEnd"/>
      <w:r w:rsidRPr="00B751AA">
        <w:rPr>
          <w:rFonts w:ascii="Book Antiqua" w:hAnsi="Book Antiqua"/>
          <w:sz w:val="24"/>
          <w:szCs w:val="24"/>
        </w:rPr>
        <w:t>/cdg342]</w:t>
      </w:r>
    </w:p>
    <w:p w14:paraId="76708CDB"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33 </w:t>
      </w:r>
      <w:proofErr w:type="spellStart"/>
      <w:r w:rsidRPr="00B751AA">
        <w:rPr>
          <w:rFonts w:ascii="Book Antiqua" w:hAnsi="Book Antiqua"/>
          <w:b/>
          <w:sz w:val="24"/>
          <w:szCs w:val="24"/>
        </w:rPr>
        <w:t>Bertozzi</w:t>
      </w:r>
      <w:proofErr w:type="spellEnd"/>
      <w:r w:rsidRPr="00B751AA">
        <w:rPr>
          <w:rFonts w:ascii="Book Antiqua" w:hAnsi="Book Antiqua"/>
          <w:b/>
          <w:sz w:val="24"/>
          <w:szCs w:val="24"/>
        </w:rPr>
        <w:t xml:space="preserve"> CC</w:t>
      </w:r>
      <w:r w:rsidRPr="00B751AA">
        <w:rPr>
          <w:rFonts w:ascii="Book Antiqua" w:hAnsi="Book Antiqua"/>
          <w:sz w:val="24"/>
          <w:szCs w:val="24"/>
        </w:rPr>
        <w:t xml:space="preserve">, </w:t>
      </w:r>
      <w:proofErr w:type="spellStart"/>
      <w:r w:rsidRPr="00B751AA">
        <w:rPr>
          <w:rFonts w:ascii="Book Antiqua" w:hAnsi="Book Antiqua"/>
          <w:sz w:val="24"/>
          <w:szCs w:val="24"/>
        </w:rPr>
        <w:t>Schmaier</w:t>
      </w:r>
      <w:proofErr w:type="spellEnd"/>
      <w:r w:rsidRPr="00B751AA">
        <w:rPr>
          <w:rFonts w:ascii="Book Antiqua" w:hAnsi="Book Antiqua"/>
          <w:sz w:val="24"/>
          <w:szCs w:val="24"/>
        </w:rPr>
        <w:t xml:space="preserve"> AA, </w:t>
      </w:r>
      <w:proofErr w:type="spellStart"/>
      <w:r w:rsidRPr="00B751AA">
        <w:rPr>
          <w:rFonts w:ascii="Book Antiqua" w:hAnsi="Book Antiqua"/>
          <w:sz w:val="24"/>
          <w:szCs w:val="24"/>
        </w:rPr>
        <w:t>Mericko</w:t>
      </w:r>
      <w:proofErr w:type="spellEnd"/>
      <w:r w:rsidRPr="00B751AA">
        <w:rPr>
          <w:rFonts w:ascii="Book Antiqua" w:hAnsi="Book Antiqua"/>
          <w:sz w:val="24"/>
          <w:szCs w:val="24"/>
        </w:rPr>
        <w:t xml:space="preserve"> P, Hess PR, Zou Z, Chen M, Chen CY, Xu B, Lu MM, Zhou D, </w:t>
      </w:r>
      <w:proofErr w:type="spellStart"/>
      <w:r w:rsidRPr="00B751AA">
        <w:rPr>
          <w:rFonts w:ascii="Book Antiqua" w:hAnsi="Book Antiqua"/>
          <w:sz w:val="24"/>
          <w:szCs w:val="24"/>
        </w:rPr>
        <w:t>Sebzda</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Santore</w:t>
      </w:r>
      <w:proofErr w:type="spellEnd"/>
      <w:r w:rsidRPr="00B751AA">
        <w:rPr>
          <w:rFonts w:ascii="Book Antiqua" w:hAnsi="Book Antiqua"/>
          <w:sz w:val="24"/>
          <w:szCs w:val="24"/>
        </w:rPr>
        <w:t xml:space="preserve"> MT, </w:t>
      </w:r>
      <w:proofErr w:type="spellStart"/>
      <w:r w:rsidRPr="00B751AA">
        <w:rPr>
          <w:rFonts w:ascii="Book Antiqua" w:hAnsi="Book Antiqua"/>
          <w:sz w:val="24"/>
          <w:szCs w:val="24"/>
        </w:rPr>
        <w:t>Merianos</w:t>
      </w:r>
      <w:proofErr w:type="spellEnd"/>
      <w:r w:rsidRPr="00B751AA">
        <w:rPr>
          <w:rFonts w:ascii="Book Antiqua" w:hAnsi="Book Antiqua"/>
          <w:sz w:val="24"/>
          <w:szCs w:val="24"/>
        </w:rPr>
        <w:t xml:space="preserve"> DJ, </w:t>
      </w:r>
      <w:proofErr w:type="spellStart"/>
      <w:r w:rsidRPr="00B751AA">
        <w:rPr>
          <w:rFonts w:ascii="Book Antiqua" w:hAnsi="Book Antiqua"/>
          <w:sz w:val="24"/>
          <w:szCs w:val="24"/>
        </w:rPr>
        <w:t>Stadtfeld</w:t>
      </w:r>
      <w:proofErr w:type="spellEnd"/>
      <w:r w:rsidRPr="00B751AA">
        <w:rPr>
          <w:rFonts w:ascii="Book Antiqua" w:hAnsi="Book Antiqua"/>
          <w:sz w:val="24"/>
          <w:szCs w:val="24"/>
        </w:rPr>
        <w:t xml:space="preserve"> M, Flake AW, Graf T, Skoda R, </w:t>
      </w:r>
      <w:proofErr w:type="spellStart"/>
      <w:r w:rsidRPr="00B751AA">
        <w:rPr>
          <w:rFonts w:ascii="Book Antiqua" w:hAnsi="Book Antiqua"/>
          <w:sz w:val="24"/>
          <w:szCs w:val="24"/>
        </w:rPr>
        <w:t>Maltzman</w:t>
      </w:r>
      <w:proofErr w:type="spellEnd"/>
      <w:r w:rsidRPr="00B751AA">
        <w:rPr>
          <w:rFonts w:ascii="Book Antiqua" w:hAnsi="Book Antiqua"/>
          <w:sz w:val="24"/>
          <w:szCs w:val="24"/>
        </w:rPr>
        <w:t xml:space="preserve"> JS, </w:t>
      </w:r>
      <w:proofErr w:type="spellStart"/>
      <w:r w:rsidRPr="00B751AA">
        <w:rPr>
          <w:rFonts w:ascii="Book Antiqua" w:hAnsi="Book Antiqua"/>
          <w:sz w:val="24"/>
          <w:szCs w:val="24"/>
        </w:rPr>
        <w:t>Koretzky</w:t>
      </w:r>
      <w:proofErr w:type="spellEnd"/>
      <w:r w:rsidRPr="00B751AA">
        <w:rPr>
          <w:rFonts w:ascii="Book Antiqua" w:hAnsi="Book Antiqua"/>
          <w:sz w:val="24"/>
          <w:szCs w:val="24"/>
        </w:rPr>
        <w:t xml:space="preserve"> GA, Kahn ML. Platelets regulate lymphatic vascular development through CLEC-2-SLP-76 signaling. </w:t>
      </w:r>
      <w:r w:rsidRPr="00B751AA">
        <w:rPr>
          <w:rFonts w:ascii="Book Antiqua" w:hAnsi="Book Antiqua"/>
          <w:i/>
          <w:sz w:val="24"/>
          <w:szCs w:val="24"/>
        </w:rPr>
        <w:t>Blood</w:t>
      </w:r>
      <w:r w:rsidRPr="00B751AA">
        <w:rPr>
          <w:rFonts w:ascii="Book Antiqua" w:hAnsi="Book Antiqua"/>
          <w:sz w:val="24"/>
          <w:szCs w:val="24"/>
        </w:rPr>
        <w:t xml:space="preserve"> 2010; </w:t>
      </w:r>
      <w:r w:rsidRPr="00B751AA">
        <w:rPr>
          <w:rFonts w:ascii="Book Antiqua" w:hAnsi="Book Antiqua"/>
          <w:b/>
          <w:sz w:val="24"/>
          <w:szCs w:val="24"/>
        </w:rPr>
        <w:t>116</w:t>
      </w:r>
      <w:r w:rsidRPr="00B751AA">
        <w:rPr>
          <w:rFonts w:ascii="Book Antiqua" w:hAnsi="Book Antiqua"/>
          <w:sz w:val="24"/>
          <w:szCs w:val="24"/>
        </w:rPr>
        <w:t>: 661-670 [PMID: 20363774 DOI: 10.1182/blood-2010-02-270876]</w:t>
      </w:r>
    </w:p>
    <w:p w14:paraId="56D8936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34 </w:t>
      </w:r>
      <w:proofErr w:type="spellStart"/>
      <w:r w:rsidRPr="00B751AA">
        <w:rPr>
          <w:rFonts w:ascii="Book Antiqua" w:hAnsi="Book Antiqua"/>
          <w:b/>
          <w:sz w:val="24"/>
          <w:szCs w:val="24"/>
        </w:rPr>
        <w:t>Rayes</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Watson SP, </w:t>
      </w:r>
      <w:proofErr w:type="spellStart"/>
      <w:r w:rsidRPr="00B751AA">
        <w:rPr>
          <w:rFonts w:ascii="Book Antiqua" w:hAnsi="Book Antiqua"/>
          <w:sz w:val="24"/>
          <w:szCs w:val="24"/>
        </w:rPr>
        <w:t>Nieswandt</w:t>
      </w:r>
      <w:proofErr w:type="spellEnd"/>
      <w:r w:rsidRPr="00B751AA">
        <w:rPr>
          <w:rFonts w:ascii="Book Antiqua" w:hAnsi="Book Antiqua"/>
          <w:sz w:val="24"/>
          <w:szCs w:val="24"/>
        </w:rPr>
        <w:t xml:space="preserve"> B. Functional significance of the platelet immune receptors GPVI and CLEC-2. </w:t>
      </w:r>
      <w:r w:rsidRPr="00B751AA">
        <w:rPr>
          <w:rFonts w:ascii="Book Antiqua" w:hAnsi="Book Antiqua"/>
          <w:i/>
          <w:sz w:val="24"/>
          <w:szCs w:val="24"/>
        </w:rPr>
        <w:t>J Clin Invest</w:t>
      </w:r>
      <w:r w:rsidRPr="00B751AA">
        <w:rPr>
          <w:rFonts w:ascii="Book Antiqua" w:hAnsi="Book Antiqua"/>
          <w:sz w:val="24"/>
          <w:szCs w:val="24"/>
        </w:rPr>
        <w:t xml:space="preserve"> 2019; </w:t>
      </w:r>
      <w:r w:rsidRPr="00B751AA">
        <w:rPr>
          <w:rFonts w:ascii="Book Antiqua" w:hAnsi="Book Antiqua"/>
          <w:b/>
          <w:sz w:val="24"/>
          <w:szCs w:val="24"/>
        </w:rPr>
        <w:t>129</w:t>
      </w:r>
      <w:r w:rsidRPr="00B751AA">
        <w:rPr>
          <w:rFonts w:ascii="Book Antiqua" w:hAnsi="Book Antiqua"/>
          <w:sz w:val="24"/>
          <w:szCs w:val="24"/>
        </w:rPr>
        <w:t>: 12-23 [PMID: 30601137 DOI: 10.1172/JCI122955]</w:t>
      </w:r>
    </w:p>
    <w:p w14:paraId="4D9B111C"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35 </w:t>
      </w:r>
      <w:r w:rsidRPr="00B751AA">
        <w:rPr>
          <w:rFonts w:ascii="Book Antiqua" w:hAnsi="Book Antiqua"/>
          <w:b/>
          <w:sz w:val="24"/>
          <w:szCs w:val="24"/>
        </w:rPr>
        <w:t>Hisada Y</w:t>
      </w:r>
      <w:r w:rsidRPr="00B751AA">
        <w:rPr>
          <w:rFonts w:ascii="Book Antiqua" w:hAnsi="Book Antiqua"/>
          <w:sz w:val="24"/>
          <w:szCs w:val="24"/>
        </w:rPr>
        <w:t xml:space="preserve">, </w:t>
      </w:r>
      <w:proofErr w:type="spellStart"/>
      <w:r w:rsidRPr="00B751AA">
        <w:rPr>
          <w:rFonts w:ascii="Book Antiqua" w:hAnsi="Book Antiqua"/>
          <w:sz w:val="24"/>
          <w:szCs w:val="24"/>
        </w:rPr>
        <w:t>Mackman</w:t>
      </w:r>
      <w:proofErr w:type="spellEnd"/>
      <w:r w:rsidRPr="00B751AA">
        <w:rPr>
          <w:rFonts w:ascii="Book Antiqua" w:hAnsi="Book Antiqua"/>
          <w:sz w:val="24"/>
          <w:szCs w:val="24"/>
        </w:rPr>
        <w:t xml:space="preserve"> N. Cancer-associated pathways and biomarkers of venous thrombosis. </w:t>
      </w:r>
      <w:r w:rsidRPr="00B751AA">
        <w:rPr>
          <w:rFonts w:ascii="Book Antiqua" w:hAnsi="Book Antiqua"/>
          <w:i/>
          <w:sz w:val="24"/>
          <w:szCs w:val="24"/>
        </w:rPr>
        <w:t>Blood</w:t>
      </w:r>
      <w:r w:rsidRPr="00B751AA">
        <w:rPr>
          <w:rFonts w:ascii="Book Antiqua" w:hAnsi="Book Antiqua"/>
          <w:sz w:val="24"/>
          <w:szCs w:val="24"/>
        </w:rPr>
        <w:t xml:space="preserve"> 2017; </w:t>
      </w:r>
      <w:r w:rsidRPr="00B751AA">
        <w:rPr>
          <w:rFonts w:ascii="Book Antiqua" w:hAnsi="Book Antiqua"/>
          <w:b/>
          <w:sz w:val="24"/>
          <w:szCs w:val="24"/>
        </w:rPr>
        <w:t>130</w:t>
      </w:r>
      <w:r w:rsidRPr="00B751AA">
        <w:rPr>
          <w:rFonts w:ascii="Book Antiqua" w:hAnsi="Book Antiqua"/>
          <w:sz w:val="24"/>
          <w:szCs w:val="24"/>
        </w:rPr>
        <w:t>: 1499-1506 [PMID: 28807983 DOI: 10.1182/blood-2017-03-743211]</w:t>
      </w:r>
    </w:p>
    <w:p w14:paraId="50EC385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36 </w:t>
      </w:r>
      <w:r w:rsidRPr="00B751AA">
        <w:rPr>
          <w:rFonts w:ascii="Book Antiqua" w:hAnsi="Book Antiqua"/>
          <w:b/>
          <w:sz w:val="24"/>
          <w:szCs w:val="24"/>
        </w:rPr>
        <w:t>Lowe KL</w:t>
      </w:r>
      <w:r w:rsidRPr="00B751AA">
        <w:rPr>
          <w:rFonts w:ascii="Book Antiqua" w:hAnsi="Book Antiqua"/>
          <w:sz w:val="24"/>
          <w:szCs w:val="24"/>
        </w:rPr>
        <w:t xml:space="preserve">, Navarro-Nunez L, Watson SP. Platelet CLEC-2 and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cancer metastasis. </w:t>
      </w:r>
      <w:proofErr w:type="spellStart"/>
      <w:r w:rsidRPr="00B751AA">
        <w:rPr>
          <w:rFonts w:ascii="Book Antiqua" w:hAnsi="Book Antiqua"/>
          <w:i/>
          <w:sz w:val="24"/>
          <w:szCs w:val="24"/>
        </w:rPr>
        <w:t>Thromb</w:t>
      </w:r>
      <w:proofErr w:type="spellEnd"/>
      <w:r w:rsidRPr="00B751AA">
        <w:rPr>
          <w:rFonts w:ascii="Book Antiqua" w:hAnsi="Book Antiqua"/>
          <w:i/>
          <w:sz w:val="24"/>
          <w:szCs w:val="24"/>
        </w:rPr>
        <w:t xml:space="preserve"> Res</w:t>
      </w:r>
      <w:r w:rsidRPr="00B751AA">
        <w:rPr>
          <w:rFonts w:ascii="Book Antiqua" w:hAnsi="Book Antiqua"/>
          <w:sz w:val="24"/>
          <w:szCs w:val="24"/>
        </w:rPr>
        <w:t xml:space="preserve"> 2012; </w:t>
      </w:r>
      <w:r w:rsidRPr="00B751AA">
        <w:rPr>
          <w:rFonts w:ascii="Book Antiqua" w:hAnsi="Book Antiqua"/>
          <w:b/>
          <w:sz w:val="24"/>
          <w:szCs w:val="24"/>
        </w:rPr>
        <w:t>129 Suppl 1</w:t>
      </w:r>
      <w:r w:rsidRPr="00B751AA">
        <w:rPr>
          <w:rFonts w:ascii="Book Antiqua" w:hAnsi="Book Antiqua"/>
          <w:sz w:val="24"/>
          <w:szCs w:val="24"/>
        </w:rPr>
        <w:t>: S30-S37 [PMID: 22682130 DOI: 10.1016/S0049-3848(12)70013-0]</w:t>
      </w:r>
    </w:p>
    <w:p w14:paraId="113A1AEE"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37 </w:t>
      </w:r>
      <w:r w:rsidRPr="00B751AA">
        <w:rPr>
          <w:rFonts w:ascii="Book Antiqua" w:hAnsi="Book Antiqua"/>
          <w:b/>
          <w:sz w:val="24"/>
          <w:szCs w:val="24"/>
        </w:rPr>
        <w:t>Suzuki-Inoue K</w:t>
      </w:r>
      <w:r w:rsidRPr="00B751AA">
        <w:rPr>
          <w:rFonts w:ascii="Book Antiqua" w:hAnsi="Book Antiqua"/>
          <w:sz w:val="24"/>
          <w:szCs w:val="24"/>
        </w:rPr>
        <w:t>. CLEC-2/</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and </w:t>
      </w:r>
      <w:proofErr w:type="spellStart"/>
      <w:r w:rsidRPr="00B751AA">
        <w:rPr>
          <w:rFonts w:ascii="Book Antiqua" w:hAnsi="Book Antiqua"/>
          <w:sz w:val="24"/>
          <w:szCs w:val="24"/>
        </w:rPr>
        <w:t>thromboinflammation</w:t>
      </w:r>
      <w:proofErr w:type="spellEnd"/>
      <w:r w:rsidRPr="00B751AA">
        <w:rPr>
          <w:rFonts w:ascii="Book Antiqua" w:hAnsi="Book Antiqua"/>
          <w:sz w:val="24"/>
          <w:szCs w:val="24"/>
        </w:rPr>
        <w:t xml:space="preserve">. </w:t>
      </w:r>
      <w:r w:rsidRPr="00B751AA">
        <w:rPr>
          <w:rFonts w:ascii="Book Antiqua" w:hAnsi="Book Antiqua"/>
          <w:i/>
          <w:sz w:val="24"/>
          <w:szCs w:val="24"/>
        </w:rPr>
        <w:t>Blood</w:t>
      </w:r>
      <w:r w:rsidRPr="00B751AA">
        <w:rPr>
          <w:rFonts w:ascii="Book Antiqua" w:hAnsi="Book Antiqua"/>
          <w:sz w:val="24"/>
          <w:szCs w:val="24"/>
        </w:rPr>
        <w:t xml:space="preserve"> 2017; </w:t>
      </w:r>
      <w:r w:rsidRPr="00B751AA">
        <w:rPr>
          <w:rFonts w:ascii="Book Antiqua" w:hAnsi="Book Antiqua"/>
          <w:b/>
          <w:sz w:val="24"/>
          <w:szCs w:val="24"/>
        </w:rPr>
        <w:t>129</w:t>
      </w:r>
      <w:r w:rsidRPr="00B751AA">
        <w:rPr>
          <w:rFonts w:ascii="Book Antiqua" w:hAnsi="Book Antiqua"/>
          <w:sz w:val="24"/>
          <w:szCs w:val="24"/>
        </w:rPr>
        <w:t>: 1896-1898 [PMID: 28385772 DOI: 10.1182/blood-2017-02-764670]</w:t>
      </w:r>
    </w:p>
    <w:p w14:paraId="7D27CE3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38 </w:t>
      </w:r>
      <w:r w:rsidRPr="00B751AA">
        <w:rPr>
          <w:rFonts w:ascii="Book Antiqua" w:hAnsi="Book Antiqua"/>
          <w:b/>
          <w:sz w:val="24"/>
          <w:szCs w:val="24"/>
        </w:rPr>
        <w:t>Takemoto A</w:t>
      </w:r>
      <w:r w:rsidRPr="00B751AA">
        <w:rPr>
          <w:rFonts w:ascii="Book Antiqua" w:hAnsi="Book Antiqua"/>
          <w:sz w:val="24"/>
          <w:szCs w:val="24"/>
        </w:rPr>
        <w:t xml:space="preserve">, Miyata K, Fujita N. Platelet-activating factor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from discovery to drug development. </w:t>
      </w:r>
      <w:r w:rsidRPr="00B751AA">
        <w:rPr>
          <w:rFonts w:ascii="Book Antiqua" w:hAnsi="Book Antiqua"/>
          <w:i/>
          <w:sz w:val="24"/>
          <w:szCs w:val="24"/>
        </w:rPr>
        <w:t>Cancer Metastasis Rev</w:t>
      </w:r>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225-234 [PMID: 28674748 DOI: 10.1007/s10555-017-9672-2]</w:t>
      </w:r>
    </w:p>
    <w:p w14:paraId="7B1EDED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39 </w:t>
      </w:r>
      <w:r w:rsidRPr="00B751AA">
        <w:rPr>
          <w:rFonts w:ascii="Book Antiqua" w:hAnsi="Book Antiqua"/>
          <w:b/>
          <w:sz w:val="24"/>
          <w:szCs w:val="24"/>
        </w:rPr>
        <w:t>Ogasawara S</w:t>
      </w:r>
      <w:r w:rsidRPr="00B751AA">
        <w:rPr>
          <w:rFonts w:ascii="Book Antiqua" w:hAnsi="Book Antiqua"/>
          <w:sz w:val="24"/>
          <w:szCs w:val="24"/>
        </w:rPr>
        <w:t xml:space="preserve">, Kaneko MK, </w:t>
      </w:r>
      <w:proofErr w:type="spellStart"/>
      <w:r w:rsidRPr="00B751AA">
        <w:rPr>
          <w:rFonts w:ascii="Book Antiqua" w:hAnsi="Book Antiqua"/>
          <w:sz w:val="24"/>
          <w:szCs w:val="24"/>
        </w:rPr>
        <w:t>Honma</w:t>
      </w:r>
      <w:proofErr w:type="spellEnd"/>
      <w:r w:rsidRPr="00B751AA">
        <w:rPr>
          <w:rFonts w:ascii="Book Antiqua" w:hAnsi="Book Antiqua"/>
          <w:sz w:val="24"/>
          <w:szCs w:val="24"/>
        </w:rPr>
        <w:t xml:space="preserve"> R, Oki H, </w:t>
      </w:r>
      <w:proofErr w:type="spellStart"/>
      <w:r w:rsidRPr="00B751AA">
        <w:rPr>
          <w:rFonts w:ascii="Book Antiqua" w:hAnsi="Book Antiqua"/>
          <w:sz w:val="24"/>
          <w:szCs w:val="24"/>
        </w:rPr>
        <w:t>Fujii</w:t>
      </w:r>
      <w:proofErr w:type="spellEnd"/>
      <w:r w:rsidRPr="00B751AA">
        <w:rPr>
          <w:rFonts w:ascii="Book Antiqua" w:hAnsi="Book Antiqua"/>
          <w:sz w:val="24"/>
          <w:szCs w:val="24"/>
        </w:rPr>
        <w:t xml:space="preserve"> Y, Takagi M, Suzuki H, Kato Y. Establishment of Mouse Monoclonal Antibody LpMab-13 Against Human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proofErr w:type="spellStart"/>
      <w:r w:rsidRPr="00B751AA">
        <w:rPr>
          <w:rFonts w:ascii="Book Antiqua" w:hAnsi="Book Antiqua"/>
          <w:i/>
          <w:sz w:val="24"/>
          <w:szCs w:val="24"/>
        </w:rPr>
        <w:t>Monoclon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Antib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Immunodiagn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Immunother</w:t>
      </w:r>
      <w:proofErr w:type="spellEnd"/>
      <w:r w:rsidRPr="00B751AA">
        <w:rPr>
          <w:rFonts w:ascii="Book Antiqua" w:hAnsi="Book Antiqua"/>
          <w:sz w:val="24"/>
          <w:szCs w:val="24"/>
        </w:rPr>
        <w:t xml:space="preserve"> 2016; </w:t>
      </w:r>
      <w:r w:rsidRPr="00B751AA">
        <w:rPr>
          <w:rFonts w:ascii="Book Antiqua" w:hAnsi="Book Antiqua"/>
          <w:b/>
          <w:sz w:val="24"/>
          <w:szCs w:val="24"/>
        </w:rPr>
        <w:t>35</w:t>
      </w:r>
      <w:r w:rsidRPr="00B751AA">
        <w:rPr>
          <w:rFonts w:ascii="Book Antiqua" w:hAnsi="Book Antiqua"/>
          <w:sz w:val="24"/>
          <w:szCs w:val="24"/>
        </w:rPr>
        <w:t>: 155-162 [PMID: 27328060 DOI: 10.1089/mab.2016.0006]</w:t>
      </w:r>
    </w:p>
    <w:p w14:paraId="6A577CE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40 </w:t>
      </w:r>
      <w:r w:rsidRPr="00B751AA">
        <w:rPr>
          <w:rFonts w:ascii="Book Antiqua" w:hAnsi="Book Antiqua"/>
          <w:b/>
          <w:sz w:val="24"/>
          <w:szCs w:val="24"/>
        </w:rPr>
        <w:t>Yamada S</w:t>
      </w:r>
      <w:r w:rsidRPr="00B751AA">
        <w:rPr>
          <w:rFonts w:ascii="Book Antiqua" w:hAnsi="Book Antiqua"/>
          <w:sz w:val="24"/>
          <w:szCs w:val="24"/>
        </w:rPr>
        <w:t xml:space="preserve">, Ogasawara S, Kaneko MK, Kato Y. LpMab-23: A Cancer-Specific Monoclonal Antibody Against Human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proofErr w:type="spellStart"/>
      <w:r w:rsidRPr="00B751AA">
        <w:rPr>
          <w:rFonts w:ascii="Book Antiqua" w:hAnsi="Book Antiqua"/>
          <w:i/>
          <w:sz w:val="24"/>
          <w:szCs w:val="24"/>
        </w:rPr>
        <w:t>Monoclon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Antib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Immunodiagn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Immunother</w:t>
      </w:r>
      <w:proofErr w:type="spellEnd"/>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72-76 [PMID: 28387591 DOI: 10.1089/mab.2017.0001]</w:t>
      </w:r>
    </w:p>
    <w:p w14:paraId="395F7692"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41 </w:t>
      </w:r>
      <w:proofErr w:type="spellStart"/>
      <w:r w:rsidRPr="00B751AA">
        <w:rPr>
          <w:rFonts w:ascii="Book Antiqua" w:hAnsi="Book Antiqua"/>
          <w:b/>
          <w:sz w:val="24"/>
          <w:szCs w:val="24"/>
        </w:rPr>
        <w:t>Suchanski</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w:t>
      </w:r>
      <w:proofErr w:type="spellStart"/>
      <w:r w:rsidRPr="00B751AA">
        <w:rPr>
          <w:rFonts w:ascii="Book Antiqua" w:hAnsi="Book Antiqua"/>
          <w:sz w:val="24"/>
          <w:szCs w:val="24"/>
        </w:rPr>
        <w:t>Tejchman</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Zacharski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Piotrowska</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Grzegrzolka</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Chodaczek</w:t>
      </w:r>
      <w:proofErr w:type="spellEnd"/>
      <w:r w:rsidRPr="00B751AA">
        <w:rPr>
          <w:rFonts w:ascii="Book Antiqua" w:hAnsi="Book Antiqua"/>
          <w:sz w:val="24"/>
          <w:szCs w:val="24"/>
        </w:rPr>
        <w:t xml:space="preserve"> G, </w:t>
      </w:r>
      <w:proofErr w:type="spellStart"/>
      <w:r w:rsidRPr="00B751AA">
        <w:rPr>
          <w:rFonts w:ascii="Book Antiqua" w:hAnsi="Book Antiqua"/>
          <w:sz w:val="24"/>
          <w:szCs w:val="24"/>
        </w:rPr>
        <w:t>Nowinska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Rys</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Dziegiel</w:t>
      </w:r>
      <w:proofErr w:type="spellEnd"/>
      <w:r w:rsidRPr="00B751AA">
        <w:rPr>
          <w:rFonts w:ascii="Book Antiqua" w:hAnsi="Book Antiqua"/>
          <w:sz w:val="24"/>
          <w:szCs w:val="24"/>
        </w:rPr>
        <w:t xml:space="preserve"> P, </w:t>
      </w:r>
      <w:proofErr w:type="spellStart"/>
      <w:r w:rsidRPr="00B751AA">
        <w:rPr>
          <w:rFonts w:ascii="Book Antiqua" w:hAnsi="Book Antiqua"/>
          <w:sz w:val="24"/>
          <w:szCs w:val="24"/>
        </w:rPr>
        <w:t>Kieda</w:t>
      </w:r>
      <w:proofErr w:type="spellEnd"/>
      <w:r w:rsidRPr="00B751AA">
        <w:rPr>
          <w:rFonts w:ascii="Book Antiqua" w:hAnsi="Book Antiqua"/>
          <w:sz w:val="24"/>
          <w:szCs w:val="24"/>
        </w:rPr>
        <w:t xml:space="preserve"> C, </w:t>
      </w:r>
      <w:proofErr w:type="spellStart"/>
      <w:r w:rsidRPr="00B751AA">
        <w:rPr>
          <w:rFonts w:ascii="Book Antiqua" w:hAnsi="Book Antiqua"/>
          <w:sz w:val="24"/>
          <w:szCs w:val="24"/>
        </w:rPr>
        <w:t>Ugorski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increases the migration of human fibroblasts and affects the endothelial cell network formation: A possible role for cancer-associated fibroblasts in breast cancer progression. </w:t>
      </w:r>
      <w:proofErr w:type="spellStart"/>
      <w:r w:rsidRPr="00B751AA">
        <w:rPr>
          <w:rFonts w:ascii="Book Antiqua" w:hAnsi="Book Antiqua"/>
          <w:i/>
          <w:sz w:val="24"/>
          <w:szCs w:val="24"/>
        </w:rPr>
        <w:t>PLoS</w:t>
      </w:r>
      <w:proofErr w:type="spellEnd"/>
      <w:r w:rsidRPr="00B751AA">
        <w:rPr>
          <w:rFonts w:ascii="Book Antiqua" w:hAnsi="Book Antiqua"/>
          <w:i/>
          <w:sz w:val="24"/>
          <w:szCs w:val="24"/>
        </w:rPr>
        <w:t xml:space="preserve"> One</w:t>
      </w:r>
      <w:r w:rsidRPr="00B751AA">
        <w:rPr>
          <w:rFonts w:ascii="Book Antiqua" w:hAnsi="Book Antiqua"/>
          <w:sz w:val="24"/>
          <w:szCs w:val="24"/>
        </w:rPr>
        <w:t xml:space="preserve"> 2017; </w:t>
      </w:r>
      <w:r w:rsidRPr="00B751AA">
        <w:rPr>
          <w:rFonts w:ascii="Book Antiqua" w:hAnsi="Book Antiqua"/>
          <w:b/>
          <w:sz w:val="24"/>
          <w:szCs w:val="24"/>
        </w:rPr>
        <w:t>12</w:t>
      </w:r>
      <w:r w:rsidRPr="00B751AA">
        <w:rPr>
          <w:rFonts w:ascii="Book Antiqua" w:hAnsi="Book Antiqua"/>
          <w:sz w:val="24"/>
          <w:szCs w:val="24"/>
        </w:rPr>
        <w:t>: e0184970 [PMID: 28938000 DOI: 10.1371/journal.pone.0184970]</w:t>
      </w:r>
    </w:p>
    <w:p w14:paraId="1E5491E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42 </w:t>
      </w:r>
      <w:proofErr w:type="spellStart"/>
      <w:r w:rsidRPr="00B751AA">
        <w:rPr>
          <w:rFonts w:ascii="Book Antiqua" w:hAnsi="Book Antiqua"/>
          <w:b/>
          <w:sz w:val="24"/>
          <w:szCs w:val="24"/>
        </w:rPr>
        <w:t>Cueni</w:t>
      </w:r>
      <w:proofErr w:type="spellEnd"/>
      <w:r w:rsidRPr="00B751AA">
        <w:rPr>
          <w:rFonts w:ascii="Book Antiqua" w:hAnsi="Book Antiqua"/>
          <w:b/>
          <w:sz w:val="24"/>
          <w:szCs w:val="24"/>
        </w:rPr>
        <w:t xml:space="preserve"> LN</w:t>
      </w:r>
      <w:r w:rsidRPr="00B751AA">
        <w:rPr>
          <w:rFonts w:ascii="Book Antiqua" w:hAnsi="Book Antiqua"/>
          <w:sz w:val="24"/>
          <w:szCs w:val="24"/>
        </w:rPr>
        <w:t xml:space="preserve">, </w:t>
      </w:r>
      <w:proofErr w:type="spellStart"/>
      <w:r w:rsidRPr="00B751AA">
        <w:rPr>
          <w:rFonts w:ascii="Book Antiqua" w:hAnsi="Book Antiqua"/>
          <w:sz w:val="24"/>
          <w:szCs w:val="24"/>
        </w:rPr>
        <w:t>Hegyi</w:t>
      </w:r>
      <w:proofErr w:type="spellEnd"/>
      <w:r w:rsidRPr="00B751AA">
        <w:rPr>
          <w:rFonts w:ascii="Book Antiqua" w:hAnsi="Book Antiqua"/>
          <w:sz w:val="24"/>
          <w:szCs w:val="24"/>
        </w:rPr>
        <w:t xml:space="preserve"> I, Shin JW, </w:t>
      </w:r>
      <w:proofErr w:type="spellStart"/>
      <w:r w:rsidRPr="00B751AA">
        <w:rPr>
          <w:rFonts w:ascii="Book Antiqua" w:hAnsi="Book Antiqua"/>
          <w:sz w:val="24"/>
          <w:szCs w:val="24"/>
        </w:rPr>
        <w:t>Albinger-Hegyi</w:t>
      </w:r>
      <w:proofErr w:type="spellEnd"/>
      <w:r w:rsidRPr="00B751AA">
        <w:rPr>
          <w:rFonts w:ascii="Book Antiqua" w:hAnsi="Book Antiqua"/>
          <w:sz w:val="24"/>
          <w:szCs w:val="24"/>
        </w:rPr>
        <w:t xml:space="preserve"> A, Gruber S, </w:t>
      </w:r>
      <w:proofErr w:type="spellStart"/>
      <w:r w:rsidRPr="00B751AA">
        <w:rPr>
          <w:rFonts w:ascii="Book Antiqua" w:hAnsi="Book Antiqua"/>
          <w:sz w:val="24"/>
          <w:szCs w:val="24"/>
        </w:rPr>
        <w:t>Kunstfeld</w:t>
      </w:r>
      <w:proofErr w:type="spellEnd"/>
      <w:r w:rsidRPr="00B751AA">
        <w:rPr>
          <w:rFonts w:ascii="Book Antiqua" w:hAnsi="Book Antiqua"/>
          <w:sz w:val="24"/>
          <w:szCs w:val="24"/>
        </w:rPr>
        <w:t xml:space="preserve"> R, </w:t>
      </w:r>
      <w:proofErr w:type="spellStart"/>
      <w:r w:rsidRPr="00B751AA">
        <w:rPr>
          <w:rFonts w:ascii="Book Antiqua" w:hAnsi="Book Antiqua"/>
          <w:sz w:val="24"/>
          <w:szCs w:val="24"/>
        </w:rPr>
        <w:t>Moch</w:t>
      </w:r>
      <w:proofErr w:type="spellEnd"/>
      <w:r w:rsidRPr="00B751AA">
        <w:rPr>
          <w:rFonts w:ascii="Book Antiqua" w:hAnsi="Book Antiqua"/>
          <w:sz w:val="24"/>
          <w:szCs w:val="24"/>
        </w:rPr>
        <w:t xml:space="preserve"> H, </w:t>
      </w:r>
      <w:proofErr w:type="spellStart"/>
      <w:r w:rsidRPr="00B751AA">
        <w:rPr>
          <w:rFonts w:ascii="Book Antiqua" w:hAnsi="Book Antiqua"/>
          <w:sz w:val="24"/>
          <w:szCs w:val="24"/>
        </w:rPr>
        <w:t>Detmar</w:t>
      </w:r>
      <w:proofErr w:type="spellEnd"/>
      <w:r w:rsidRPr="00B751AA">
        <w:rPr>
          <w:rFonts w:ascii="Book Antiqua" w:hAnsi="Book Antiqua"/>
          <w:sz w:val="24"/>
          <w:szCs w:val="24"/>
        </w:rPr>
        <w:t xml:space="preserve"> M. Tumor </w:t>
      </w:r>
      <w:proofErr w:type="spellStart"/>
      <w:r w:rsidRPr="00B751AA">
        <w:rPr>
          <w:rFonts w:ascii="Book Antiqua" w:hAnsi="Book Antiqua"/>
          <w:sz w:val="24"/>
          <w:szCs w:val="24"/>
        </w:rPr>
        <w:t>lymphangiogenesis</w:t>
      </w:r>
      <w:proofErr w:type="spellEnd"/>
      <w:r w:rsidRPr="00B751AA">
        <w:rPr>
          <w:rFonts w:ascii="Book Antiqua" w:hAnsi="Book Antiqua"/>
          <w:sz w:val="24"/>
          <w:szCs w:val="24"/>
        </w:rPr>
        <w:t xml:space="preserve"> and metastasis to lymph nodes induced by cancer cell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r w:rsidRPr="00B751AA">
        <w:rPr>
          <w:rFonts w:ascii="Book Antiqua" w:hAnsi="Book Antiqua"/>
          <w:i/>
          <w:sz w:val="24"/>
          <w:szCs w:val="24"/>
        </w:rPr>
        <w:t xml:space="preserve">Am J </w:t>
      </w:r>
      <w:proofErr w:type="spellStart"/>
      <w:r w:rsidRPr="00B751AA">
        <w:rPr>
          <w:rFonts w:ascii="Book Antiqua" w:hAnsi="Book Antiqua"/>
          <w:i/>
          <w:sz w:val="24"/>
          <w:szCs w:val="24"/>
        </w:rPr>
        <w:t>Pathol</w:t>
      </w:r>
      <w:proofErr w:type="spellEnd"/>
      <w:r w:rsidRPr="00B751AA">
        <w:rPr>
          <w:rFonts w:ascii="Book Antiqua" w:hAnsi="Book Antiqua"/>
          <w:sz w:val="24"/>
          <w:szCs w:val="24"/>
        </w:rPr>
        <w:t xml:space="preserve"> 2010; </w:t>
      </w:r>
      <w:r w:rsidRPr="00B751AA">
        <w:rPr>
          <w:rFonts w:ascii="Book Antiqua" w:hAnsi="Book Antiqua"/>
          <w:b/>
          <w:sz w:val="24"/>
          <w:szCs w:val="24"/>
        </w:rPr>
        <w:t>177</w:t>
      </w:r>
      <w:r w:rsidRPr="00B751AA">
        <w:rPr>
          <w:rFonts w:ascii="Book Antiqua" w:hAnsi="Book Antiqua"/>
          <w:sz w:val="24"/>
          <w:szCs w:val="24"/>
        </w:rPr>
        <w:t>: 1004-1016 [PMID: 20616339 DOI: 10.2353/ajpath.2010.090703]</w:t>
      </w:r>
    </w:p>
    <w:p w14:paraId="2D6E6D70"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43 </w:t>
      </w:r>
      <w:r w:rsidRPr="00B751AA">
        <w:rPr>
          <w:rFonts w:ascii="Book Antiqua" w:hAnsi="Book Antiqua"/>
          <w:b/>
          <w:sz w:val="24"/>
          <w:szCs w:val="24"/>
        </w:rPr>
        <w:t>Huber GF</w:t>
      </w:r>
      <w:r w:rsidRPr="00B751AA">
        <w:rPr>
          <w:rFonts w:ascii="Book Antiqua" w:hAnsi="Book Antiqua"/>
          <w:sz w:val="24"/>
          <w:szCs w:val="24"/>
        </w:rPr>
        <w:t xml:space="preserve">, </w:t>
      </w:r>
      <w:proofErr w:type="spellStart"/>
      <w:r w:rsidRPr="00B751AA">
        <w:rPr>
          <w:rFonts w:ascii="Book Antiqua" w:hAnsi="Book Antiqua"/>
          <w:sz w:val="24"/>
          <w:szCs w:val="24"/>
        </w:rPr>
        <w:t>Fritzsche</w:t>
      </w:r>
      <w:proofErr w:type="spellEnd"/>
      <w:r w:rsidRPr="00B751AA">
        <w:rPr>
          <w:rFonts w:ascii="Book Antiqua" w:hAnsi="Book Antiqua"/>
          <w:sz w:val="24"/>
          <w:szCs w:val="24"/>
        </w:rPr>
        <w:t xml:space="preserve"> FR, </w:t>
      </w:r>
      <w:proofErr w:type="spellStart"/>
      <w:r w:rsidRPr="00B751AA">
        <w:rPr>
          <w:rFonts w:ascii="Book Antiqua" w:hAnsi="Book Antiqua"/>
          <w:sz w:val="24"/>
          <w:szCs w:val="24"/>
        </w:rPr>
        <w:t>Züllig</w:t>
      </w:r>
      <w:proofErr w:type="spellEnd"/>
      <w:r w:rsidRPr="00B751AA">
        <w:rPr>
          <w:rFonts w:ascii="Book Antiqua" w:hAnsi="Book Antiqua"/>
          <w:sz w:val="24"/>
          <w:szCs w:val="24"/>
        </w:rPr>
        <w:t xml:space="preserve"> L, Storz M, Graf N, </w:t>
      </w:r>
      <w:proofErr w:type="spellStart"/>
      <w:r w:rsidRPr="00B751AA">
        <w:rPr>
          <w:rFonts w:ascii="Book Antiqua" w:hAnsi="Book Antiqua"/>
          <w:sz w:val="24"/>
          <w:szCs w:val="24"/>
        </w:rPr>
        <w:t>Haerle</w:t>
      </w:r>
      <w:proofErr w:type="spellEnd"/>
      <w:r w:rsidRPr="00B751AA">
        <w:rPr>
          <w:rFonts w:ascii="Book Antiqua" w:hAnsi="Book Antiqua"/>
          <w:sz w:val="24"/>
          <w:szCs w:val="24"/>
        </w:rPr>
        <w:t xml:space="preserve"> SK, </w:t>
      </w:r>
      <w:proofErr w:type="spellStart"/>
      <w:r w:rsidRPr="00B751AA">
        <w:rPr>
          <w:rFonts w:ascii="Book Antiqua" w:hAnsi="Book Antiqua"/>
          <w:sz w:val="24"/>
          <w:szCs w:val="24"/>
        </w:rPr>
        <w:t>Jochum</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Stoeckli</w:t>
      </w:r>
      <w:proofErr w:type="spellEnd"/>
      <w:r w:rsidRPr="00B751AA">
        <w:rPr>
          <w:rFonts w:ascii="Book Antiqua" w:hAnsi="Book Antiqua"/>
          <w:sz w:val="24"/>
          <w:szCs w:val="24"/>
        </w:rPr>
        <w:t xml:space="preserve"> SJ, </w:t>
      </w:r>
      <w:proofErr w:type="spellStart"/>
      <w:r w:rsidRPr="00B751AA">
        <w:rPr>
          <w:rFonts w:ascii="Book Antiqua" w:hAnsi="Book Antiqua"/>
          <w:sz w:val="24"/>
          <w:szCs w:val="24"/>
        </w:rPr>
        <w:t>Moch</w:t>
      </w:r>
      <w:proofErr w:type="spellEnd"/>
      <w:r w:rsidRPr="00B751AA">
        <w:rPr>
          <w:rFonts w:ascii="Book Antiqua" w:hAnsi="Book Antiqua"/>
          <w:sz w:val="24"/>
          <w:szCs w:val="24"/>
        </w:rPr>
        <w:t xml:space="preserve"> H.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correlates with sentinel lymph node metastasis in early squamous cell carcinomas of the oral cavity and oropharynx. </w:t>
      </w:r>
      <w:r w:rsidRPr="00B751AA">
        <w:rPr>
          <w:rFonts w:ascii="Book Antiqua" w:hAnsi="Book Antiqua"/>
          <w:i/>
          <w:sz w:val="24"/>
          <w:szCs w:val="24"/>
        </w:rPr>
        <w:t>Int J Cancer</w:t>
      </w:r>
      <w:r w:rsidRPr="00B751AA">
        <w:rPr>
          <w:rFonts w:ascii="Book Antiqua" w:hAnsi="Book Antiqua"/>
          <w:sz w:val="24"/>
          <w:szCs w:val="24"/>
        </w:rPr>
        <w:t xml:space="preserve"> 2011; </w:t>
      </w:r>
      <w:r w:rsidRPr="00B751AA">
        <w:rPr>
          <w:rFonts w:ascii="Book Antiqua" w:hAnsi="Book Antiqua"/>
          <w:b/>
          <w:sz w:val="24"/>
          <w:szCs w:val="24"/>
        </w:rPr>
        <w:t>129</w:t>
      </w:r>
      <w:r w:rsidRPr="00B751AA">
        <w:rPr>
          <w:rFonts w:ascii="Book Antiqua" w:hAnsi="Book Antiqua"/>
          <w:sz w:val="24"/>
          <w:szCs w:val="24"/>
        </w:rPr>
        <w:t>: 1404-1409 [PMID: 21105028 DOI: 10.1002/ijc.25795]</w:t>
      </w:r>
    </w:p>
    <w:p w14:paraId="00693AB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44 </w:t>
      </w:r>
      <w:r w:rsidRPr="00B751AA">
        <w:rPr>
          <w:rFonts w:ascii="Book Antiqua" w:hAnsi="Book Antiqua"/>
          <w:b/>
          <w:sz w:val="24"/>
          <w:szCs w:val="24"/>
        </w:rPr>
        <w:t>Tong L</w:t>
      </w:r>
      <w:r w:rsidRPr="00B751AA">
        <w:rPr>
          <w:rFonts w:ascii="Book Antiqua" w:hAnsi="Book Antiqua"/>
          <w:sz w:val="24"/>
          <w:szCs w:val="24"/>
        </w:rPr>
        <w:t xml:space="preserve">, Yuan S, Feng F, Zhang H. Role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in esophageal squamous cell carcinoma: a retrospective study. </w:t>
      </w:r>
      <w:r w:rsidRPr="00B751AA">
        <w:rPr>
          <w:rFonts w:ascii="Book Antiqua" w:hAnsi="Book Antiqua"/>
          <w:i/>
          <w:sz w:val="24"/>
          <w:szCs w:val="24"/>
        </w:rPr>
        <w:t>Dis Esophagus</w:t>
      </w:r>
      <w:r w:rsidRPr="00B751AA">
        <w:rPr>
          <w:rFonts w:ascii="Book Antiqua" w:hAnsi="Book Antiqua"/>
          <w:sz w:val="24"/>
          <w:szCs w:val="24"/>
        </w:rPr>
        <w:t xml:space="preserve"> 2012; </w:t>
      </w:r>
      <w:r w:rsidRPr="00B751AA">
        <w:rPr>
          <w:rFonts w:ascii="Book Antiqua" w:hAnsi="Book Antiqua"/>
          <w:b/>
          <w:sz w:val="24"/>
          <w:szCs w:val="24"/>
        </w:rPr>
        <w:t>25</w:t>
      </w:r>
      <w:r w:rsidRPr="00B751AA">
        <w:rPr>
          <w:rFonts w:ascii="Book Antiqua" w:hAnsi="Book Antiqua"/>
          <w:sz w:val="24"/>
          <w:szCs w:val="24"/>
        </w:rPr>
        <w:t>: 72-80 [PMID: 21895849 DOI: 10.1111/j.1442-2050.2011.01211.x]</w:t>
      </w:r>
    </w:p>
    <w:p w14:paraId="5FFDDD2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45 </w:t>
      </w:r>
      <w:r w:rsidRPr="00B751AA">
        <w:rPr>
          <w:rFonts w:ascii="Book Antiqua" w:hAnsi="Book Antiqua"/>
          <w:b/>
          <w:sz w:val="24"/>
          <w:szCs w:val="24"/>
        </w:rPr>
        <w:t>Khuu C</w:t>
      </w:r>
      <w:r w:rsidRPr="00B751AA">
        <w:rPr>
          <w:rFonts w:ascii="Book Antiqua" w:hAnsi="Book Antiqua"/>
          <w:sz w:val="24"/>
          <w:szCs w:val="24"/>
        </w:rPr>
        <w:t xml:space="preserve">, </w:t>
      </w:r>
      <w:proofErr w:type="spellStart"/>
      <w:r w:rsidRPr="00B751AA">
        <w:rPr>
          <w:rFonts w:ascii="Book Antiqua" w:hAnsi="Book Antiqua"/>
          <w:sz w:val="24"/>
          <w:szCs w:val="24"/>
        </w:rPr>
        <w:t>Sehic</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Eide</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Osmundsen</w:t>
      </w:r>
      <w:proofErr w:type="spellEnd"/>
      <w:r w:rsidRPr="00B751AA">
        <w:rPr>
          <w:rFonts w:ascii="Book Antiqua" w:hAnsi="Book Antiqua"/>
          <w:sz w:val="24"/>
          <w:szCs w:val="24"/>
        </w:rPr>
        <w:t xml:space="preserve"> H. Anti-proliferative Properties of miR-20b and miR-363 from the miR-106a-363 Cluster on Human Carcinoma </w:t>
      </w:r>
      <w:r w:rsidRPr="00B751AA">
        <w:rPr>
          <w:rFonts w:ascii="Book Antiqua" w:hAnsi="Book Antiqua"/>
          <w:sz w:val="24"/>
          <w:szCs w:val="24"/>
        </w:rPr>
        <w:lastRenderedPageBreak/>
        <w:t xml:space="preserve">Cells. </w:t>
      </w:r>
      <w:proofErr w:type="spellStart"/>
      <w:r w:rsidRPr="00B751AA">
        <w:rPr>
          <w:rFonts w:ascii="Book Antiqua" w:hAnsi="Book Antiqua"/>
          <w:i/>
          <w:sz w:val="24"/>
          <w:szCs w:val="24"/>
        </w:rPr>
        <w:t>Microrna</w:t>
      </w:r>
      <w:proofErr w:type="spellEnd"/>
      <w:r w:rsidRPr="00B751AA">
        <w:rPr>
          <w:rFonts w:ascii="Book Antiqua" w:hAnsi="Book Antiqua"/>
          <w:sz w:val="24"/>
          <w:szCs w:val="24"/>
        </w:rPr>
        <w:t xml:space="preserve"> 2016; </w:t>
      </w:r>
      <w:r w:rsidRPr="00B751AA">
        <w:rPr>
          <w:rFonts w:ascii="Book Antiqua" w:hAnsi="Book Antiqua"/>
          <w:b/>
          <w:sz w:val="24"/>
          <w:szCs w:val="24"/>
        </w:rPr>
        <w:t>5</w:t>
      </w:r>
      <w:r w:rsidRPr="00B751AA">
        <w:rPr>
          <w:rFonts w:ascii="Book Antiqua" w:hAnsi="Book Antiqua"/>
          <w:sz w:val="24"/>
          <w:szCs w:val="24"/>
        </w:rPr>
        <w:t>: 19-35 [PMID: 27001184 DOI: 10.2174/2211536605666160322151813]</w:t>
      </w:r>
    </w:p>
    <w:p w14:paraId="2919681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46 </w:t>
      </w:r>
      <w:r w:rsidRPr="00B751AA">
        <w:rPr>
          <w:rFonts w:ascii="Book Antiqua" w:hAnsi="Book Antiqua"/>
          <w:b/>
          <w:sz w:val="24"/>
          <w:szCs w:val="24"/>
        </w:rPr>
        <w:t>Chuang WY</w:t>
      </w:r>
      <w:r w:rsidRPr="00B751AA">
        <w:rPr>
          <w:rFonts w:ascii="Book Antiqua" w:hAnsi="Book Antiqua"/>
          <w:sz w:val="24"/>
          <w:szCs w:val="24"/>
        </w:rPr>
        <w:t xml:space="preserve">, Yeh CJ, Chao YK, Liu YH, Chang YS, Tseng CK, Chang HK, Wan YL, Hsueh C. Concordant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in cancer-associated fibroblasts and tumor cells is an adverse prognostic factor in esophageal squamous cell carcinoma. </w:t>
      </w:r>
      <w:r w:rsidRPr="00B751AA">
        <w:rPr>
          <w:rFonts w:ascii="Book Antiqua" w:hAnsi="Book Antiqua"/>
          <w:i/>
          <w:sz w:val="24"/>
          <w:szCs w:val="24"/>
        </w:rPr>
        <w:t xml:space="preserve">Int J </w:t>
      </w:r>
      <w:proofErr w:type="spellStart"/>
      <w:r w:rsidRPr="00B751AA">
        <w:rPr>
          <w:rFonts w:ascii="Book Antiqua" w:hAnsi="Book Antiqua"/>
          <w:i/>
          <w:sz w:val="24"/>
          <w:szCs w:val="24"/>
        </w:rPr>
        <w:t>Clin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Exp</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Pathol</w:t>
      </w:r>
      <w:proofErr w:type="spellEnd"/>
      <w:r w:rsidRPr="00B751AA">
        <w:rPr>
          <w:rFonts w:ascii="Book Antiqua" w:hAnsi="Book Antiqua"/>
          <w:sz w:val="24"/>
          <w:szCs w:val="24"/>
        </w:rPr>
        <w:t xml:space="preserve"> 2014; </w:t>
      </w:r>
      <w:r w:rsidRPr="00B751AA">
        <w:rPr>
          <w:rFonts w:ascii="Book Antiqua" w:hAnsi="Book Antiqua"/>
          <w:b/>
          <w:sz w:val="24"/>
          <w:szCs w:val="24"/>
        </w:rPr>
        <w:t>7</w:t>
      </w:r>
      <w:r w:rsidRPr="00B751AA">
        <w:rPr>
          <w:rFonts w:ascii="Book Antiqua" w:hAnsi="Book Antiqua"/>
          <w:sz w:val="24"/>
          <w:szCs w:val="24"/>
        </w:rPr>
        <w:t>: 4847-4856 [PMID: 25197355]</w:t>
      </w:r>
    </w:p>
    <w:p w14:paraId="4EBA796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47 </w:t>
      </w:r>
      <w:r w:rsidRPr="00B751AA">
        <w:rPr>
          <w:rFonts w:ascii="Book Antiqua" w:hAnsi="Book Antiqua"/>
          <w:b/>
          <w:sz w:val="24"/>
          <w:szCs w:val="24"/>
        </w:rPr>
        <w:t>Astarita JL</w:t>
      </w:r>
      <w:r w:rsidRPr="00B751AA">
        <w:rPr>
          <w:rFonts w:ascii="Book Antiqua" w:hAnsi="Book Antiqua"/>
          <w:sz w:val="24"/>
          <w:szCs w:val="24"/>
        </w:rPr>
        <w:t xml:space="preserve">, Acton SE, Turley SJ.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emerging functions in development, the immune system, and cancer. </w:t>
      </w:r>
      <w:r w:rsidRPr="00B751AA">
        <w:rPr>
          <w:rFonts w:ascii="Book Antiqua" w:hAnsi="Book Antiqua"/>
          <w:i/>
          <w:sz w:val="24"/>
          <w:szCs w:val="24"/>
        </w:rPr>
        <w:t>Front Immunol</w:t>
      </w:r>
      <w:r w:rsidRPr="00B751AA">
        <w:rPr>
          <w:rFonts w:ascii="Book Antiqua" w:hAnsi="Book Antiqua"/>
          <w:sz w:val="24"/>
          <w:szCs w:val="24"/>
        </w:rPr>
        <w:t xml:space="preserve"> 2012; </w:t>
      </w:r>
      <w:r w:rsidRPr="00B751AA">
        <w:rPr>
          <w:rFonts w:ascii="Book Antiqua" w:hAnsi="Book Antiqua"/>
          <w:b/>
          <w:sz w:val="24"/>
          <w:szCs w:val="24"/>
        </w:rPr>
        <w:t>3</w:t>
      </w:r>
      <w:r w:rsidRPr="00B751AA">
        <w:rPr>
          <w:rFonts w:ascii="Book Antiqua" w:hAnsi="Book Antiqua"/>
          <w:sz w:val="24"/>
          <w:szCs w:val="24"/>
        </w:rPr>
        <w:t>: 283 [PMID: 22988448 DOI: 10.3389/fimmu.2012.00283]</w:t>
      </w:r>
    </w:p>
    <w:p w14:paraId="62CFDF0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48 </w:t>
      </w:r>
      <w:r w:rsidRPr="00B751AA">
        <w:rPr>
          <w:rFonts w:ascii="Book Antiqua" w:hAnsi="Book Antiqua"/>
          <w:b/>
          <w:sz w:val="24"/>
          <w:szCs w:val="24"/>
        </w:rPr>
        <w:t>Yu J</w:t>
      </w:r>
      <w:r w:rsidRPr="00B751AA">
        <w:rPr>
          <w:rFonts w:ascii="Book Antiqua" w:hAnsi="Book Antiqua"/>
          <w:sz w:val="24"/>
          <w:szCs w:val="24"/>
        </w:rPr>
        <w:t xml:space="preserve">, Li N, Wang X, Ren H, Wang W, Wang S, Song Y, Liu Y, Li Y, Zhou X, Luo A, Liu Z, </w:t>
      </w:r>
      <w:proofErr w:type="spellStart"/>
      <w:r w:rsidRPr="00B751AA">
        <w:rPr>
          <w:rFonts w:ascii="Book Antiqua" w:hAnsi="Book Antiqua"/>
          <w:sz w:val="24"/>
          <w:szCs w:val="24"/>
        </w:rPr>
        <w:t>Jin</w:t>
      </w:r>
      <w:proofErr w:type="spellEnd"/>
      <w:r w:rsidRPr="00B751AA">
        <w:rPr>
          <w:rFonts w:ascii="Book Antiqua" w:hAnsi="Book Antiqua"/>
          <w:sz w:val="24"/>
          <w:szCs w:val="24"/>
        </w:rPr>
        <w:t xml:space="preserve"> J. Circulating serum microRNA-345 correlates with unfavorable pathological response to preoperative chemoradiotherapy in locally advanced rectal cancer.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2016; </w:t>
      </w:r>
      <w:r w:rsidRPr="00B751AA">
        <w:rPr>
          <w:rFonts w:ascii="Book Antiqua" w:hAnsi="Book Antiqua"/>
          <w:b/>
          <w:sz w:val="24"/>
          <w:szCs w:val="24"/>
        </w:rPr>
        <w:t>7</w:t>
      </w:r>
      <w:r w:rsidRPr="00B751AA">
        <w:rPr>
          <w:rFonts w:ascii="Book Antiqua" w:hAnsi="Book Antiqua"/>
          <w:sz w:val="24"/>
          <w:szCs w:val="24"/>
        </w:rPr>
        <w:t>: 64233-64243 [PMID: 27572313 DOI: 10.18632/oncotarget.11649]</w:t>
      </w:r>
    </w:p>
    <w:p w14:paraId="5BABC00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49 </w:t>
      </w:r>
      <w:r w:rsidRPr="00B751AA">
        <w:rPr>
          <w:rFonts w:ascii="Book Antiqua" w:hAnsi="Book Antiqua"/>
          <w:b/>
          <w:sz w:val="24"/>
          <w:szCs w:val="24"/>
        </w:rPr>
        <w:t>Song B</w:t>
      </w:r>
      <w:r w:rsidRPr="00B751AA">
        <w:rPr>
          <w:rFonts w:ascii="Book Antiqua" w:hAnsi="Book Antiqua"/>
          <w:sz w:val="24"/>
          <w:szCs w:val="24"/>
        </w:rPr>
        <w:t xml:space="preserve">, Yan J, Liu C, Zhou H, Zheng Y. Tumor Suppressor Role of miR-363-3p in Gastric Cancer. </w:t>
      </w:r>
      <w:r w:rsidRPr="00B751AA">
        <w:rPr>
          <w:rFonts w:ascii="Book Antiqua" w:hAnsi="Book Antiqua"/>
          <w:i/>
          <w:sz w:val="24"/>
          <w:szCs w:val="24"/>
        </w:rPr>
        <w:t xml:space="preserve">Med </w:t>
      </w:r>
      <w:proofErr w:type="spellStart"/>
      <w:r w:rsidRPr="00B751AA">
        <w:rPr>
          <w:rFonts w:ascii="Book Antiqua" w:hAnsi="Book Antiqua"/>
          <w:i/>
          <w:sz w:val="24"/>
          <w:szCs w:val="24"/>
        </w:rPr>
        <w:t>Sci</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Monit</w:t>
      </w:r>
      <w:proofErr w:type="spellEnd"/>
      <w:r w:rsidRPr="00B751AA">
        <w:rPr>
          <w:rFonts w:ascii="Book Antiqua" w:hAnsi="Book Antiqua"/>
          <w:sz w:val="24"/>
          <w:szCs w:val="24"/>
        </w:rPr>
        <w:t xml:space="preserve"> 2015; </w:t>
      </w:r>
      <w:r w:rsidRPr="00B751AA">
        <w:rPr>
          <w:rFonts w:ascii="Book Antiqua" w:hAnsi="Book Antiqua"/>
          <w:b/>
          <w:sz w:val="24"/>
          <w:szCs w:val="24"/>
        </w:rPr>
        <w:t>21</w:t>
      </w:r>
      <w:r w:rsidRPr="00B751AA">
        <w:rPr>
          <w:rFonts w:ascii="Book Antiqua" w:hAnsi="Book Antiqua"/>
          <w:sz w:val="24"/>
          <w:szCs w:val="24"/>
        </w:rPr>
        <w:t>: 4074-4080 [PMID: 26709677 DOI: 10.12659/MSM.896556]</w:t>
      </w:r>
    </w:p>
    <w:p w14:paraId="66F26DA9"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7D65D12B" w14:textId="77777777" w:rsidR="00BB36AA" w:rsidRPr="00B751AA" w:rsidRDefault="00BB36AA" w:rsidP="00B751AA">
      <w:pPr>
        <w:adjustRightInd w:val="0"/>
        <w:snapToGrid w:val="0"/>
        <w:spacing w:after="0" w:line="360" w:lineRule="auto"/>
        <w:jc w:val="both"/>
        <w:rPr>
          <w:rFonts w:ascii="Book Antiqua" w:hAnsi="Book Antiqua"/>
          <w:b/>
          <w:sz w:val="24"/>
          <w:szCs w:val="24"/>
        </w:rPr>
      </w:pPr>
      <w:r w:rsidRPr="00B751AA">
        <w:rPr>
          <w:rFonts w:ascii="Book Antiqua" w:hAnsi="Book Antiqua"/>
          <w:b/>
          <w:sz w:val="24"/>
          <w:szCs w:val="24"/>
        </w:rPr>
        <w:lastRenderedPageBreak/>
        <w:t>Footnotes</w:t>
      </w:r>
    </w:p>
    <w:p w14:paraId="46166A96" w14:textId="77777777" w:rsidR="00FE6179" w:rsidRPr="00B751AA" w:rsidRDefault="00BB36AA" w:rsidP="00B751AA">
      <w:pPr>
        <w:adjustRightInd w:val="0"/>
        <w:snapToGrid w:val="0"/>
        <w:spacing w:after="0" w:line="360" w:lineRule="auto"/>
        <w:jc w:val="both"/>
        <w:rPr>
          <w:rFonts w:ascii="Book Antiqua" w:hAnsi="Book Antiqua" w:cs="Arial"/>
          <w:sz w:val="24"/>
          <w:szCs w:val="24"/>
          <w:lang w:val="fr-FR"/>
        </w:rPr>
      </w:pPr>
      <w:r w:rsidRPr="00B751AA">
        <w:rPr>
          <w:rFonts w:ascii="Book Antiqua" w:hAnsi="Book Antiqua"/>
          <w:b/>
          <w:color w:val="000000"/>
          <w:sz w:val="24"/>
          <w:szCs w:val="24"/>
          <w:lang w:val="hu-HU"/>
        </w:rPr>
        <w:t xml:space="preserve">Institutional review board statement: </w:t>
      </w:r>
      <w:r w:rsidRPr="00B751AA">
        <w:rPr>
          <w:rFonts w:ascii="Book Antiqua" w:hAnsi="Book Antiqua" w:cs="Arial"/>
          <w:sz w:val="24"/>
          <w:szCs w:val="24"/>
          <w:lang w:val="fr-FR"/>
        </w:rPr>
        <w:t>The use of human tissue samples and clinical data was approved by the ethics commitee of the University Hospital of Cologne (Germany), all patients provided signed informed consent, and the research was carried out in accordance with the Helsinki Declaration.</w:t>
      </w:r>
    </w:p>
    <w:p w14:paraId="6503E205"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p>
    <w:p w14:paraId="6102B860"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r w:rsidRPr="00B751AA">
        <w:rPr>
          <w:rFonts w:ascii="Book Antiqua" w:hAnsi="Book Antiqua" w:cstheme="minorBidi"/>
          <w:b/>
          <w:sz w:val="24"/>
          <w:szCs w:val="24"/>
          <w:lang w:val="hu-HU"/>
        </w:rPr>
        <w:t xml:space="preserve">Conflict-of-interest statement: </w:t>
      </w:r>
      <w:r w:rsidRPr="00B751AA">
        <w:rPr>
          <w:rFonts w:ascii="Book Antiqua" w:hAnsi="Book Antiqua" w:cs="Arial"/>
          <w:sz w:val="24"/>
          <w:szCs w:val="24"/>
          <w:lang w:val="fr-FR"/>
        </w:rPr>
        <w:t>The authors disclose any conflicts of interests.</w:t>
      </w:r>
    </w:p>
    <w:p w14:paraId="40681D8E"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p>
    <w:p w14:paraId="7542B2E4" w14:textId="77777777" w:rsidR="00BB36AA" w:rsidRPr="00B751AA" w:rsidRDefault="00BB36AA" w:rsidP="00B751AA">
      <w:pPr>
        <w:adjustRightInd w:val="0"/>
        <w:snapToGrid w:val="0"/>
        <w:spacing w:after="0" w:line="360" w:lineRule="auto"/>
        <w:jc w:val="both"/>
        <w:rPr>
          <w:rFonts w:ascii="Book Antiqua" w:hAnsi="Book Antiqua" w:cstheme="minorHAnsi"/>
          <w:sz w:val="24"/>
          <w:szCs w:val="24"/>
        </w:rPr>
      </w:pPr>
      <w:r w:rsidRPr="00B751AA">
        <w:rPr>
          <w:rFonts w:ascii="Book Antiqua" w:hAnsi="Book Antiqua" w:cstheme="minorHAnsi"/>
          <w:b/>
          <w:sz w:val="24"/>
          <w:szCs w:val="24"/>
        </w:rPr>
        <w:t>Data sharing statement</w:t>
      </w:r>
      <w:r w:rsidRPr="00B751AA">
        <w:rPr>
          <w:rFonts w:ascii="Book Antiqua" w:hAnsi="Book Antiqua" w:cstheme="minorHAnsi"/>
          <w:sz w:val="24"/>
          <w:szCs w:val="24"/>
        </w:rPr>
        <w:t>: No additional data are available.</w:t>
      </w:r>
    </w:p>
    <w:p w14:paraId="1AD5BAA9" w14:textId="77777777" w:rsidR="00BB36AA" w:rsidRPr="00B751AA" w:rsidRDefault="00BB36AA" w:rsidP="00B751AA">
      <w:pPr>
        <w:adjustRightInd w:val="0"/>
        <w:snapToGrid w:val="0"/>
        <w:spacing w:after="0" w:line="360" w:lineRule="auto"/>
        <w:jc w:val="both"/>
        <w:rPr>
          <w:rFonts w:ascii="Book Antiqua" w:hAnsi="Book Antiqua" w:cstheme="minorHAnsi"/>
          <w:sz w:val="24"/>
          <w:szCs w:val="24"/>
        </w:rPr>
      </w:pPr>
    </w:p>
    <w:p w14:paraId="1466932E" w14:textId="77777777" w:rsidR="00BB36AA" w:rsidRPr="00B751AA" w:rsidRDefault="00BB36AA" w:rsidP="00B751AA">
      <w:pPr>
        <w:adjustRightInd w:val="0"/>
        <w:snapToGrid w:val="0"/>
        <w:spacing w:after="0" w:line="360" w:lineRule="auto"/>
        <w:jc w:val="both"/>
        <w:rPr>
          <w:rFonts w:ascii="Book Antiqua" w:hAnsi="Book Antiqua"/>
          <w:color w:val="000000"/>
          <w:sz w:val="24"/>
          <w:szCs w:val="24"/>
          <w:lang w:val="hu-HU"/>
        </w:rPr>
      </w:pPr>
      <w:bookmarkStart w:id="7" w:name="OLE_LINK856"/>
      <w:r w:rsidRPr="00B751AA">
        <w:rPr>
          <w:rFonts w:ascii="Book Antiqua" w:hAnsi="Book Antiqua"/>
          <w:b/>
          <w:color w:val="000000"/>
          <w:sz w:val="24"/>
          <w:szCs w:val="24"/>
        </w:rPr>
        <w:t>Open-Access:</w:t>
      </w:r>
      <w:r w:rsidRPr="00B751AA">
        <w:rPr>
          <w:rFonts w:ascii="Book Antiqua" w:hAnsi="Book Antiqua"/>
          <w:color w:val="000000"/>
          <w:sz w:val="24"/>
          <w:szCs w:val="24"/>
        </w:rPr>
        <w:t xml:space="preserve"> This article is an open-access </w:t>
      </w:r>
      <w:r w:rsidRPr="00B751AA">
        <w:rPr>
          <w:rFonts w:ascii="Book Antiqua" w:hAnsi="Book Antiqua"/>
          <w:sz w:val="24"/>
          <w:szCs w:val="24"/>
        </w:rPr>
        <w:t xml:space="preserve">article that was selected </w:t>
      </w:r>
      <w:r w:rsidRPr="00B751A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751AA">
        <w:rPr>
          <w:rFonts w:ascii="Book Antiqua" w:hAnsi="Book Antiqua"/>
          <w:color w:val="000000"/>
          <w:sz w:val="24"/>
          <w:szCs w:val="24"/>
        </w:rPr>
        <w:t>NonCommercial</w:t>
      </w:r>
      <w:proofErr w:type="spellEnd"/>
      <w:r w:rsidRPr="00B751A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28FE83" w14:textId="77777777" w:rsidR="00BB36AA" w:rsidRPr="00B751AA" w:rsidRDefault="00BB36AA" w:rsidP="00B751AA">
      <w:pPr>
        <w:adjustRightInd w:val="0"/>
        <w:snapToGrid w:val="0"/>
        <w:spacing w:after="0" w:line="360" w:lineRule="auto"/>
        <w:jc w:val="both"/>
        <w:rPr>
          <w:rFonts w:ascii="Book Antiqua" w:hAnsi="Book Antiqua"/>
          <w:color w:val="000000"/>
          <w:sz w:val="24"/>
          <w:szCs w:val="24"/>
          <w:lang w:val="hu-HU"/>
        </w:rPr>
      </w:pPr>
    </w:p>
    <w:p w14:paraId="45B8C746" w14:textId="77777777" w:rsidR="00BB36AA" w:rsidRPr="00B751AA" w:rsidRDefault="00BB36AA" w:rsidP="00B751AA">
      <w:pPr>
        <w:adjustRightInd w:val="0"/>
        <w:snapToGrid w:val="0"/>
        <w:spacing w:after="0" w:line="360" w:lineRule="auto"/>
        <w:jc w:val="both"/>
        <w:rPr>
          <w:rFonts w:ascii="Book Antiqua" w:hAnsi="Book Antiqua"/>
          <w:b/>
          <w:bCs/>
          <w:color w:val="000000"/>
          <w:sz w:val="24"/>
          <w:szCs w:val="24"/>
          <w:lang w:eastAsia="zh-CN"/>
        </w:rPr>
      </w:pPr>
      <w:r w:rsidRPr="00B751AA">
        <w:rPr>
          <w:rFonts w:ascii="Book Antiqua" w:hAnsi="Book Antiqua"/>
          <w:b/>
          <w:bCs/>
          <w:color w:val="000000"/>
          <w:sz w:val="24"/>
          <w:szCs w:val="24"/>
          <w:lang w:eastAsia="pl-PL"/>
        </w:rPr>
        <w:t>Manuscript source:</w:t>
      </w:r>
      <w:r w:rsidRPr="00B751AA">
        <w:rPr>
          <w:rFonts w:ascii="Book Antiqua" w:hAnsi="Book Antiqua"/>
          <w:b/>
          <w:bCs/>
          <w:color w:val="000000"/>
          <w:sz w:val="24"/>
          <w:szCs w:val="24"/>
          <w:lang w:eastAsia="zh-CN"/>
        </w:rPr>
        <w:t xml:space="preserve"> </w:t>
      </w:r>
      <w:r w:rsidR="004041F3" w:rsidRPr="004041F3">
        <w:rPr>
          <w:rFonts w:ascii="Book Antiqua" w:hAnsi="Book Antiqua"/>
          <w:bCs/>
          <w:color w:val="000000"/>
          <w:sz w:val="24"/>
          <w:szCs w:val="24"/>
          <w:lang w:eastAsia="pl-PL"/>
        </w:rPr>
        <w:t xml:space="preserve">Invited </w:t>
      </w:r>
      <w:r w:rsidRPr="00B751AA">
        <w:rPr>
          <w:rFonts w:ascii="Book Antiqua" w:hAnsi="Book Antiqua"/>
          <w:bCs/>
          <w:color w:val="000000"/>
          <w:sz w:val="24"/>
          <w:szCs w:val="24"/>
          <w:lang w:eastAsia="pl-PL"/>
        </w:rPr>
        <w:t>manuscript</w:t>
      </w:r>
    </w:p>
    <w:bookmarkEnd w:id="7"/>
    <w:p w14:paraId="5CC1A08B"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p>
    <w:p w14:paraId="0B38E5B7"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 xml:space="preserve">Peer-review started: </w:t>
      </w:r>
      <w:r w:rsidR="004041F3">
        <w:rPr>
          <w:rFonts w:ascii="Book Antiqua" w:hAnsi="Book Antiqua"/>
          <w:kern w:val="2"/>
          <w:sz w:val="24"/>
          <w:szCs w:val="24"/>
          <w:lang w:eastAsia="zh-CN"/>
        </w:rPr>
        <w:t>December</w:t>
      </w:r>
      <w:r w:rsidRPr="00B751AA">
        <w:rPr>
          <w:rFonts w:ascii="Book Antiqua" w:hAnsi="Book Antiqua"/>
          <w:kern w:val="2"/>
          <w:sz w:val="24"/>
          <w:szCs w:val="24"/>
          <w:lang w:eastAsia="zh-CN"/>
        </w:rPr>
        <w:t xml:space="preserve"> </w:t>
      </w:r>
      <w:r w:rsidR="004041F3">
        <w:rPr>
          <w:rFonts w:ascii="Book Antiqua" w:hAnsi="Book Antiqua"/>
          <w:kern w:val="2"/>
          <w:sz w:val="24"/>
          <w:szCs w:val="24"/>
          <w:lang w:eastAsia="zh-CN"/>
        </w:rPr>
        <w:t>30</w:t>
      </w:r>
      <w:r w:rsidRPr="00B751AA">
        <w:rPr>
          <w:rFonts w:ascii="Book Antiqua" w:hAnsi="Book Antiqua"/>
          <w:kern w:val="2"/>
          <w:sz w:val="24"/>
          <w:szCs w:val="24"/>
          <w:lang w:eastAsia="zh-CN"/>
        </w:rPr>
        <w:t>, 2019</w:t>
      </w:r>
    </w:p>
    <w:p w14:paraId="20D16291"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 xml:space="preserve">First decision: </w:t>
      </w:r>
      <w:r w:rsidR="004041F3">
        <w:rPr>
          <w:rFonts w:ascii="Book Antiqua" w:hAnsi="Book Antiqua"/>
          <w:kern w:val="2"/>
          <w:sz w:val="24"/>
          <w:szCs w:val="24"/>
          <w:lang w:eastAsia="zh-CN"/>
        </w:rPr>
        <w:t>January</w:t>
      </w:r>
      <w:r w:rsidRPr="00B751AA">
        <w:rPr>
          <w:rFonts w:ascii="Book Antiqua" w:hAnsi="Book Antiqua"/>
          <w:kern w:val="2"/>
          <w:sz w:val="24"/>
          <w:szCs w:val="24"/>
          <w:lang w:eastAsia="zh-CN"/>
        </w:rPr>
        <w:t xml:space="preserve"> </w:t>
      </w:r>
      <w:r w:rsidR="004041F3">
        <w:rPr>
          <w:rFonts w:ascii="Book Antiqua" w:hAnsi="Book Antiqua"/>
          <w:kern w:val="2"/>
          <w:sz w:val="24"/>
          <w:szCs w:val="24"/>
          <w:lang w:eastAsia="zh-CN"/>
        </w:rPr>
        <w:t>19</w:t>
      </w:r>
      <w:r w:rsidRPr="00B751AA">
        <w:rPr>
          <w:rFonts w:ascii="Book Antiqua" w:hAnsi="Book Antiqua"/>
          <w:kern w:val="2"/>
          <w:sz w:val="24"/>
          <w:szCs w:val="24"/>
          <w:lang w:eastAsia="zh-CN"/>
        </w:rPr>
        <w:t>, 20</w:t>
      </w:r>
      <w:r w:rsidR="004041F3">
        <w:rPr>
          <w:rFonts w:ascii="Book Antiqua" w:hAnsi="Book Antiqua"/>
          <w:kern w:val="2"/>
          <w:sz w:val="24"/>
          <w:szCs w:val="24"/>
          <w:lang w:eastAsia="zh-CN"/>
        </w:rPr>
        <w:t>20</w:t>
      </w:r>
    </w:p>
    <w:p w14:paraId="1BBF1A49" w14:textId="685D24EF"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Article in press:</w:t>
      </w:r>
      <w:r w:rsidR="00E22C78" w:rsidRPr="00E22C78">
        <w:rPr>
          <w:rFonts w:ascii="Book Antiqua" w:hAnsi="Book Antiqua"/>
          <w:bCs/>
          <w:color w:val="000000" w:themeColor="text1"/>
          <w:kern w:val="2"/>
          <w:sz w:val="24"/>
          <w:szCs w:val="24"/>
          <w:lang w:eastAsia="zh-CN"/>
        </w:rPr>
        <w:t xml:space="preserve"> </w:t>
      </w:r>
      <w:r w:rsidR="00E22C78" w:rsidRPr="00EA4735">
        <w:rPr>
          <w:rFonts w:ascii="Book Antiqua" w:hAnsi="Book Antiqua"/>
          <w:bCs/>
          <w:color w:val="000000" w:themeColor="text1"/>
          <w:kern w:val="2"/>
          <w:sz w:val="24"/>
          <w:szCs w:val="24"/>
          <w:lang w:eastAsia="zh-CN"/>
        </w:rPr>
        <w:t>May 30, 2020</w:t>
      </w:r>
    </w:p>
    <w:p w14:paraId="0D60328C"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lang w:val="hu-HU"/>
        </w:rPr>
      </w:pPr>
    </w:p>
    <w:p w14:paraId="3E7FD809" w14:textId="77777777" w:rsidR="00BB36AA" w:rsidRPr="00B751AA" w:rsidRDefault="00BB36AA" w:rsidP="00B751AA">
      <w:pPr>
        <w:widowControl w:val="0"/>
        <w:adjustRightInd w:val="0"/>
        <w:snapToGrid w:val="0"/>
        <w:spacing w:after="0" w:line="360" w:lineRule="auto"/>
        <w:jc w:val="both"/>
        <w:rPr>
          <w:rFonts w:ascii="Book Antiqua" w:eastAsia="微软雅黑" w:hAnsi="Book Antiqua" w:cs="宋体"/>
          <w:sz w:val="24"/>
          <w:szCs w:val="24"/>
          <w:lang w:eastAsia="zh-CN"/>
        </w:rPr>
      </w:pPr>
      <w:r w:rsidRPr="00B751AA">
        <w:rPr>
          <w:rFonts w:ascii="Book Antiqua" w:hAnsi="Book Antiqua" w:cs="宋体"/>
          <w:b/>
          <w:sz w:val="24"/>
          <w:szCs w:val="24"/>
          <w:lang w:eastAsia="zh-CN"/>
        </w:rPr>
        <w:t xml:space="preserve">Specialty type: </w:t>
      </w:r>
      <w:r w:rsidRPr="00B751AA">
        <w:rPr>
          <w:rFonts w:ascii="Book Antiqua" w:eastAsia="微软雅黑" w:hAnsi="Book Antiqua" w:cs="宋体"/>
          <w:sz w:val="24"/>
          <w:szCs w:val="24"/>
          <w:lang w:eastAsia="zh-CN"/>
        </w:rPr>
        <w:t>Gastroenterology and hepatology</w:t>
      </w:r>
    </w:p>
    <w:p w14:paraId="498FAD6E"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b/>
          <w:sz w:val="24"/>
          <w:szCs w:val="24"/>
          <w:lang w:eastAsia="zh-CN"/>
        </w:rPr>
        <w:t xml:space="preserve">Country/Territory of origin: </w:t>
      </w:r>
      <w:r w:rsidR="004041F3" w:rsidRPr="004041F3">
        <w:rPr>
          <w:rFonts w:ascii="Book Antiqua" w:hAnsi="Book Antiqua" w:cs="宋体"/>
          <w:sz w:val="24"/>
          <w:szCs w:val="24"/>
          <w:lang w:eastAsia="zh-CN"/>
        </w:rPr>
        <w:t>Germany</w:t>
      </w:r>
    </w:p>
    <w:p w14:paraId="27FD3ED6" w14:textId="77777777" w:rsidR="00BB36AA" w:rsidRPr="00B751AA" w:rsidRDefault="00BB36AA" w:rsidP="00B751AA">
      <w:pPr>
        <w:widowControl w:val="0"/>
        <w:adjustRightInd w:val="0"/>
        <w:snapToGrid w:val="0"/>
        <w:spacing w:after="0" w:line="360" w:lineRule="auto"/>
        <w:jc w:val="both"/>
        <w:rPr>
          <w:rFonts w:ascii="Book Antiqua" w:hAnsi="Book Antiqua" w:cs="宋体"/>
          <w:b/>
          <w:sz w:val="24"/>
          <w:szCs w:val="24"/>
          <w:lang w:eastAsia="zh-CN"/>
        </w:rPr>
      </w:pPr>
      <w:r w:rsidRPr="00B751AA">
        <w:rPr>
          <w:rFonts w:ascii="Book Antiqua" w:hAnsi="Book Antiqua" w:cs="宋体"/>
          <w:b/>
          <w:sz w:val="24"/>
          <w:szCs w:val="24"/>
          <w:lang w:eastAsia="zh-CN"/>
        </w:rPr>
        <w:t>Peer-review report’s scientific quality classification</w:t>
      </w:r>
    </w:p>
    <w:p w14:paraId="39606478"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A (Excellent): </w:t>
      </w:r>
      <w:r w:rsidR="004041F3">
        <w:rPr>
          <w:rFonts w:ascii="Book Antiqua" w:hAnsi="Book Antiqua" w:cs="宋体"/>
          <w:sz w:val="24"/>
          <w:szCs w:val="24"/>
          <w:lang w:eastAsia="zh-CN"/>
        </w:rPr>
        <w:t>0</w:t>
      </w:r>
    </w:p>
    <w:p w14:paraId="41FB296F"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B (Very good): </w:t>
      </w:r>
      <w:r w:rsidR="004041F3">
        <w:rPr>
          <w:rFonts w:ascii="Book Antiqua" w:hAnsi="Book Antiqua" w:cs="宋体"/>
          <w:sz w:val="24"/>
          <w:szCs w:val="24"/>
          <w:lang w:eastAsia="zh-CN"/>
        </w:rPr>
        <w:t>B</w:t>
      </w:r>
    </w:p>
    <w:p w14:paraId="5B7158FF"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C (Good): </w:t>
      </w:r>
      <w:r w:rsidR="004041F3">
        <w:rPr>
          <w:rFonts w:ascii="Book Antiqua" w:hAnsi="Book Antiqua" w:cs="宋体"/>
          <w:sz w:val="24"/>
          <w:szCs w:val="24"/>
          <w:lang w:eastAsia="zh-CN"/>
        </w:rPr>
        <w:t>0</w:t>
      </w:r>
    </w:p>
    <w:p w14:paraId="26700807"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lastRenderedPageBreak/>
        <w:t xml:space="preserve">Grade D (Fair): </w:t>
      </w:r>
      <w:r w:rsidR="004041F3">
        <w:rPr>
          <w:rFonts w:ascii="Book Antiqua" w:hAnsi="Book Antiqua" w:cs="宋体"/>
          <w:sz w:val="24"/>
          <w:szCs w:val="24"/>
          <w:lang w:eastAsia="zh-CN"/>
        </w:rPr>
        <w:t>D</w:t>
      </w:r>
    </w:p>
    <w:p w14:paraId="32F0C2C5" w14:textId="77777777" w:rsidR="00BB36AA" w:rsidRPr="00B751AA" w:rsidRDefault="00BB36AA" w:rsidP="00B751AA">
      <w:pPr>
        <w:widowControl w:val="0"/>
        <w:adjustRightInd w:val="0"/>
        <w:snapToGrid w:val="0"/>
        <w:spacing w:after="0" w:line="360" w:lineRule="auto"/>
        <w:jc w:val="both"/>
        <w:rPr>
          <w:rFonts w:ascii="Book Antiqua" w:eastAsia="等线" w:hAnsi="Book Antiqua"/>
          <w:kern w:val="2"/>
          <w:sz w:val="24"/>
          <w:szCs w:val="24"/>
          <w:lang w:val="hu-HU" w:eastAsia="zh-CN"/>
        </w:rPr>
      </w:pPr>
      <w:r w:rsidRPr="00B751AA">
        <w:rPr>
          <w:rFonts w:ascii="Book Antiqua" w:hAnsi="Book Antiqua" w:cs="宋体"/>
          <w:sz w:val="24"/>
          <w:szCs w:val="24"/>
          <w:lang w:eastAsia="zh-CN"/>
        </w:rPr>
        <w:t>Grade E (Poor): 0</w:t>
      </w:r>
    </w:p>
    <w:p w14:paraId="596CCB51" w14:textId="77777777" w:rsidR="00BB36AA" w:rsidRPr="00B751AA" w:rsidRDefault="00BB36AA" w:rsidP="00B751AA">
      <w:pPr>
        <w:widowControl w:val="0"/>
        <w:adjustRightInd w:val="0"/>
        <w:snapToGrid w:val="0"/>
        <w:spacing w:after="0" w:line="360" w:lineRule="auto"/>
        <w:jc w:val="both"/>
        <w:rPr>
          <w:rFonts w:ascii="Book Antiqua" w:eastAsia="等线" w:hAnsi="Book Antiqua"/>
          <w:kern w:val="2"/>
          <w:sz w:val="24"/>
          <w:szCs w:val="24"/>
          <w:lang w:eastAsia="zh-CN"/>
        </w:rPr>
      </w:pPr>
    </w:p>
    <w:p w14:paraId="3DC0D4C4" w14:textId="247A2500" w:rsidR="00BB36AA" w:rsidRPr="00B751AA" w:rsidRDefault="00BB36AA" w:rsidP="00B751AA">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8" w:name="OLE_LINK139"/>
      <w:bookmarkStart w:id="9" w:name="OLE_LINK140"/>
      <w:r w:rsidRPr="00B751AA">
        <w:rPr>
          <w:rFonts w:ascii="Book Antiqua" w:hAnsi="Book Antiqua"/>
          <w:b/>
          <w:bCs/>
          <w:color w:val="000000"/>
          <w:kern w:val="2"/>
          <w:sz w:val="24"/>
          <w:szCs w:val="24"/>
          <w:lang w:eastAsia="zh-CN"/>
        </w:rPr>
        <w:t>P-Reviewer:</w:t>
      </w:r>
      <w:r w:rsidRPr="00B751AA">
        <w:rPr>
          <w:rFonts w:ascii="Book Antiqua" w:hAnsi="Book Antiqua"/>
          <w:bCs/>
          <w:color w:val="000000"/>
          <w:kern w:val="2"/>
          <w:sz w:val="24"/>
          <w:szCs w:val="24"/>
          <w:lang w:eastAsia="zh-CN"/>
        </w:rPr>
        <w:t xml:space="preserve"> </w:t>
      </w:r>
      <w:r w:rsidR="004041F3" w:rsidRPr="004041F3">
        <w:rPr>
          <w:rFonts w:ascii="Book Antiqua" w:hAnsi="Book Antiqua"/>
          <w:bCs/>
          <w:color w:val="000000"/>
          <w:kern w:val="2"/>
          <w:sz w:val="24"/>
          <w:szCs w:val="24"/>
          <w:lang w:eastAsia="zh-CN"/>
        </w:rPr>
        <w:t>Hashimoto</w:t>
      </w:r>
      <w:r w:rsidR="004041F3">
        <w:rPr>
          <w:rFonts w:ascii="Book Antiqua" w:hAnsi="Book Antiqua"/>
          <w:bCs/>
          <w:color w:val="000000"/>
          <w:kern w:val="2"/>
          <w:sz w:val="24"/>
          <w:szCs w:val="24"/>
          <w:lang w:eastAsia="zh-CN"/>
        </w:rPr>
        <w:t xml:space="preserve"> N, </w:t>
      </w:r>
      <w:proofErr w:type="spellStart"/>
      <w:r w:rsidR="004041F3" w:rsidRPr="004041F3">
        <w:rPr>
          <w:rFonts w:ascii="Book Antiqua" w:hAnsi="Book Antiqua"/>
          <w:bCs/>
          <w:color w:val="000000"/>
          <w:kern w:val="2"/>
          <w:sz w:val="24"/>
          <w:szCs w:val="24"/>
          <w:lang w:eastAsia="zh-CN"/>
        </w:rPr>
        <w:t>Surucu</w:t>
      </w:r>
      <w:proofErr w:type="spellEnd"/>
      <w:r w:rsidR="004041F3">
        <w:rPr>
          <w:rFonts w:ascii="Book Antiqua" w:hAnsi="Book Antiqua"/>
          <w:bCs/>
          <w:color w:val="000000"/>
          <w:kern w:val="2"/>
          <w:sz w:val="24"/>
          <w:szCs w:val="24"/>
          <w:lang w:eastAsia="zh-CN"/>
        </w:rPr>
        <w:t xml:space="preserve"> E</w:t>
      </w:r>
      <w:r w:rsidRPr="00B751AA">
        <w:rPr>
          <w:rFonts w:ascii="Book Antiqua" w:hAnsi="Book Antiqua"/>
          <w:bCs/>
          <w:color w:val="000000"/>
          <w:kern w:val="2"/>
          <w:sz w:val="24"/>
          <w:szCs w:val="24"/>
          <w:lang w:eastAsia="zh-CN"/>
        </w:rPr>
        <w:t xml:space="preserve"> </w:t>
      </w:r>
      <w:r w:rsidRPr="00B751AA">
        <w:rPr>
          <w:rFonts w:ascii="Book Antiqua" w:hAnsi="Book Antiqua"/>
          <w:b/>
          <w:bCs/>
          <w:color w:val="000000"/>
          <w:kern w:val="2"/>
          <w:sz w:val="24"/>
          <w:szCs w:val="24"/>
          <w:lang w:eastAsia="zh-CN"/>
        </w:rPr>
        <w:t>S-Editor:</w:t>
      </w:r>
      <w:r w:rsidRPr="00B751AA">
        <w:rPr>
          <w:rFonts w:ascii="Book Antiqua" w:hAnsi="Book Antiqua"/>
          <w:color w:val="000000"/>
          <w:kern w:val="2"/>
          <w:sz w:val="24"/>
          <w:szCs w:val="24"/>
          <w:lang w:eastAsia="zh-CN"/>
        </w:rPr>
        <w:t xml:space="preserve"> </w:t>
      </w:r>
      <w:r w:rsidRPr="00B751AA">
        <w:rPr>
          <w:rFonts w:ascii="Book Antiqua" w:hAnsi="Book Antiqua"/>
          <w:color w:val="000000"/>
          <w:sz w:val="24"/>
          <w:szCs w:val="24"/>
        </w:rPr>
        <w:t>Dou Y</w:t>
      </w:r>
      <w:r w:rsidRPr="00B751AA">
        <w:rPr>
          <w:rFonts w:ascii="Book Antiqua" w:hAnsi="Book Antiqua"/>
          <w:color w:val="000000"/>
          <w:kern w:val="2"/>
          <w:sz w:val="24"/>
          <w:szCs w:val="24"/>
          <w:lang w:eastAsia="zh-CN"/>
        </w:rPr>
        <w:t xml:space="preserve"> </w:t>
      </w:r>
      <w:proofErr w:type="spellStart"/>
      <w:r w:rsidRPr="00B751AA">
        <w:rPr>
          <w:rFonts w:ascii="Book Antiqua" w:hAnsi="Book Antiqua"/>
          <w:b/>
          <w:bCs/>
          <w:color w:val="000000"/>
          <w:kern w:val="2"/>
          <w:sz w:val="24"/>
          <w:szCs w:val="24"/>
          <w:lang w:eastAsia="zh-CN"/>
        </w:rPr>
        <w:t>L-Editor</w:t>
      </w:r>
      <w:proofErr w:type="gramStart"/>
      <w:r w:rsidRPr="00B751AA">
        <w:rPr>
          <w:rFonts w:ascii="Book Antiqua" w:hAnsi="Book Antiqua"/>
          <w:b/>
          <w:bCs/>
          <w:color w:val="000000"/>
          <w:kern w:val="2"/>
          <w:sz w:val="24"/>
          <w:szCs w:val="24"/>
          <w:lang w:eastAsia="zh-CN"/>
        </w:rPr>
        <w:t>:</w:t>
      </w:r>
      <w:r w:rsidR="00E22C78">
        <w:rPr>
          <w:rFonts w:ascii="Book Antiqua" w:hAnsi="Book Antiqua" w:hint="eastAsia"/>
          <w:b/>
          <w:bCs/>
          <w:color w:val="000000"/>
          <w:kern w:val="2"/>
          <w:sz w:val="24"/>
          <w:szCs w:val="24"/>
          <w:lang w:eastAsia="zh-CN"/>
        </w:rPr>
        <w:t>A</w:t>
      </w:r>
      <w:proofErr w:type="spellEnd"/>
      <w:proofErr w:type="gramEnd"/>
      <w:r w:rsidR="00E22C78">
        <w:rPr>
          <w:rFonts w:ascii="Book Antiqua" w:hAnsi="Book Antiqua" w:hint="eastAsia"/>
          <w:b/>
          <w:bCs/>
          <w:color w:val="000000"/>
          <w:kern w:val="2"/>
          <w:sz w:val="24"/>
          <w:szCs w:val="24"/>
          <w:lang w:eastAsia="zh-CN"/>
        </w:rPr>
        <w:t xml:space="preserve"> </w:t>
      </w:r>
      <w:r w:rsidRPr="00B751AA">
        <w:rPr>
          <w:rFonts w:ascii="Book Antiqua" w:hAnsi="Book Antiqua"/>
          <w:color w:val="000000"/>
          <w:kern w:val="2"/>
          <w:sz w:val="24"/>
          <w:szCs w:val="24"/>
          <w:lang w:eastAsia="zh-CN"/>
        </w:rPr>
        <w:t xml:space="preserve"> </w:t>
      </w:r>
      <w:r w:rsidRPr="00B751AA">
        <w:rPr>
          <w:rFonts w:ascii="Book Antiqua" w:hAnsi="Book Antiqua"/>
          <w:b/>
          <w:bCs/>
          <w:color w:val="000000"/>
          <w:kern w:val="2"/>
          <w:sz w:val="24"/>
          <w:szCs w:val="24"/>
          <w:lang w:eastAsia="zh-CN"/>
        </w:rPr>
        <w:t>E-Editor:</w:t>
      </w:r>
      <w:r w:rsidR="00E22C78">
        <w:rPr>
          <w:rFonts w:ascii="Book Antiqua" w:hAnsi="Book Antiqua" w:hint="eastAsia"/>
          <w:b/>
          <w:bCs/>
          <w:color w:val="000000"/>
          <w:kern w:val="2"/>
          <w:sz w:val="24"/>
          <w:szCs w:val="24"/>
          <w:lang w:eastAsia="zh-CN"/>
        </w:rPr>
        <w:t xml:space="preserve"> </w:t>
      </w:r>
      <w:bookmarkStart w:id="10" w:name="_GoBack"/>
      <w:r w:rsidR="00E22C78" w:rsidRPr="00E22C78">
        <w:rPr>
          <w:rFonts w:ascii="Book Antiqua" w:hAnsi="Book Antiqua" w:hint="eastAsia"/>
          <w:bCs/>
          <w:color w:val="000000"/>
          <w:kern w:val="2"/>
          <w:sz w:val="24"/>
          <w:szCs w:val="24"/>
          <w:lang w:eastAsia="zh-CN"/>
        </w:rPr>
        <w:t>Ma YJ</w:t>
      </w:r>
      <w:bookmarkEnd w:id="10"/>
    </w:p>
    <w:bookmarkEnd w:id="8"/>
    <w:bookmarkEnd w:id="9"/>
    <w:p w14:paraId="29AF4416" w14:textId="77777777" w:rsidR="00BB36AA" w:rsidRPr="00B751AA" w:rsidRDefault="00BB36AA" w:rsidP="00B751AA">
      <w:pPr>
        <w:snapToGrid w:val="0"/>
        <w:spacing w:after="0" w:line="360" w:lineRule="auto"/>
        <w:jc w:val="both"/>
        <w:rPr>
          <w:rFonts w:ascii="Book Antiqua" w:hAnsi="Book Antiqua"/>
          <w:color w:val="000000"/>
          <w:kern w:val="2"/>
          <w:sz w:val="24"/>
          <w:szCs w:val="24"/>
          <w:lang w:eastAsia="zh-CN"/>
        </w:rPr>
      </w:pPr>
      <w:r w:rsidRPr="00B751AA">
        <w:rPr>
          <w:rFonts w:ascii="Book Antiqua" w:hAnsi="Book Antiqua"/>
          <w:color w:val="000000"/>
          <w:kern w:val="2"/>
          <w:sz w:val="24"/>
          <w:szCs w:val="24"/>
          <w:lang w:eastAsia="zh-CN"/>
        </w:rPr>
        <w:br w:type="page"/>
      </w:r>
    </w:p>
    <w:p w14:paraId="43D3D483" w14:textId="77777777" w:rsidR="00B751AA" w:rsidRPr="00B751AA" w:rsidRDefault="00B751AA" w:rsidP="00B751AA">
      <w:pPr>
        <w:adjustRightInd w:val="0"/>
        <w:snapToGrid w:val="0"/>
        <w:spacing w:after="0" w:line="360" w:lineRule="auto"/>
        <w:jc w:val="both"/>
        <w:rPr>
          <w:rFonts w:ascii="Book Antiqua" w:hAnsi="Book Antiqua"/>
          <w:b/>
          <w:sz w:val="24"/>
          <w:szCs w:val="24"/>
          <w:lang w:eastAsia="zh-CN"/>
        </w:rPr>
      </w:pPr>
      <w:r w:rsidRPr="00B751AA">
        <w:rPr>
          <w:rFonts w:ascii="Book Antiqua" w:hAnsi="Book Antiqua"/>
          <w:b/>
          <w:sz w:val="24"/>
          <w:szCs w:val="24"/>
        </w:rPr>
        <w:lastRenderedPageBreak/>
        <w:t>Figure Legends</w:t>
      </w:r>
    </w:p>
    <w:p w14:paraId="308C7B3C"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drawing>
          <wp:inline distT="0" distB="0" distL="0" distR="0" wp14:anchorId="20634C22" wp14:editId="1C6C81C1">
            <wp:extent cx="4865757" cy="3641697"/>
            <wp:effectExtent l="0" t="0" r="0" b="0"/>
            <wp:docPr id="1" name="图片 1"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928" cy="3647064"/>
                    </a:xfrm>
                    <a:prstGeom prst="rect">
                      <a:avLst/>
                    </a:prstGeom>
                  </pic:spPr>
                </pic:pic>
              </a:graphicData>
            </a:graphic>
          </wp:inline>
        </w:drawing>
      </w:r>
    </w:p>
    <w:p w14:paraId="186077E1"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bCs/>
          <w:sz w:val="24"/>
          <w:szCs w:val="24"/>
          <w:lang w:val="en-GB"/>
        </w:rPr>
        <w:t>Figure 1</w:t>
      </w:r>
      <w:r w:rsidRPr="00B751AA">
        <w:rPr>
          <w:rFonts w:ascii="Book Antiqua" w:hAnsi="Book Antiqua" w:cs="Arial"/>
          <w:b/>
          <w:sz w:val="24"/>
          <w:szCs w:val="24"/>
          <w:lang w:val="en-GB"/>
        </w:rPr>
        <w:t xml:space="preserve"> </w:t>
      </w:r>
      <w:proofErr w:type="spellStart"/>
      <w:r w:rsidRPr="00B751AA">
        <w:rPr>
          <w:rFonts w:ascii="Book Antiqua" w:hAnsi="Book Antiqua" w:cs="Arial"/>
          <w:b/>
          <w:bCs/>
          <w:sz w:val="24"/>
          <w:szCs w:val="24"/>
          <w:lang w:val="en-GB"/>
        </w:rPr>
        <w:t>Podoplanin</w:t>
      </w:r>
      <w:proofErr w:type="spellEnd"/>
      <w:r w:rsidRPr="00B751AA">
        <w:rPr>
          <w:rFonts w:ascii="Book Antiqua" w:hAnsi="Book Antiqua" w:cs="Arial"/>
          <w:b/>
          <w:bCs/>
          <w:sz w:val="24"/>
          <w:szCs w:val="24"/>
          <w:lang w:val="en-GB"/>
        </w:rPr>
        <w:t xml:space="preserve"> expression and prognosis of 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en-GB"/>
        </w:rPr>
        <w:t xml:space="preserve"> patients. </w:t>
      </w:r>
      <w:proofErr w:type="spellStart"/>
      <w:r w:rsidRPr="00B751AA">
        <w:rPr>
          <w:rFonts w:ascii="Book Antiqua" w:hAnsi="Book Antiqua" w:cs="Arial"/>
          <w:bCs/>
          <w:sz w:val="24"/>
          <w:szCs w:val="24"/>
          <w:lang w:val="en-GB"/>
        </w:rPr>
        <w:t>Podoplanin</w:t>
      </w:r>
      <w:proofErr w:type="spellEnd"/>
      <w:r w:rsidRPr="00B751AA">
        <w:rPr>
          <w:rFonts w:ascii="Book Antiqua" w:hAnsi="Book Antiqua" w:cs="Arial"/>
          <w:bCs/>
          <w:sz w:val="24"/>
          <w:szCs w:val="24"/>
          <w:lang w:val="en-GB"/>
        </w:rPr>
        <w:t xml:space="preserve"> expression in resected specimen of non-</w:t>
      </w:r>
      <w:proofErr w:type="spellStart"/>
      <w:r w:rsidRPr="00B751AA">
        <w:rPr>
          <w:rFonts w:ascii="Book Antiqua" w:hAnsi="Book Antiqua" w:cs="Arial"/>
          <w:bCs/>
          <w:sz w:val="24"/>
          <w:szCs w:val="24"/>
          <w:lang w:val="en-GB"/>
        </w:rPr>
        <w:t>pretreated</w:t>
      </w:r>
      <w:proofErr w:type="spellEnd"/>
      <w:r w:rsidRPr="00B751AA">
        <w:rPr>
          <w:rFonts w:ascii="Book Antiqua" w:hAnsi="Book Antiqua" w:cs="Arial"/>
          <w:bCs/>
          <w:sz w:val="24"/>
          <w:szCs w:val="24"/>
          <w:lang w:val="en-GB"/>
        </w:rPr>
        <w:t xml:space="preserve"> squamous cell carcinoma of the </w:t>
      </w:r>
      <w:proofErr w:type="spellStart"/>
      <w:r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xml:space="preserve"> patients.</w:t>
      </w:r>
    </w:p>
    <w:p w14:paraId="47E3A65D"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sz w:val="24"/>
          <w:szCs w:val="24"/>
          <w:lang w:val="en-GB"/>
        </w:rPr>
        <w:br w:type="page"/>
      </w:r>
    </w:p>
    <w:p w14:paraId="03721D66" w14:textId="77777777" w:rsidR="00B751AA" w:rsidRPr="00B751AA" w:rsidRDefault="00BD6666" w:rsidP="00B751AA">
      <w:pPr>
        <w:spacing w:after="0" w:line="360" w:lineRule="auto"/>
        <w:jc w:val="both"/>
        <w:rPr>
          <w:rFonts w:ascii="Book Antiqua" w:hAnsi="Book Antiqua" w:cs="Arial"/>
          <w:b/>
          <w:sz w:val="24"/>
          <w:szCs w:val="24"/>
          <w:lang w:val="en-GB"/>
        </w:rPr>
      </w:pPr>
      <w:r>
        <w:rPr>
          <w:noProof/>
          <w:lang w:eastAsia="zh-CN"/>
        </w:rPr>
        <w:lastRenderedPageBreak/>
        <w:drawing>
          <wp:inline distT="0" distB="0" distL="0" distR="0" wp14:anchorId="09BA94F2" wp14:editId="55F0B47F">
            <wp:extent cx="5270500" cy="28816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881630"/>
                    </a:xfrm>
                    <a:prstGeom prst="rect">
                      <a:avLst/>
                    </a:prstGeom>
                  </pic:spPr>
                </pic:pic>
              </a:graphicData>
            </a:graphic>
          </wp:inline>
        </w:drawing>
      </w:r>
    </w:p>
    <w:p w14:paraId="4BDE7CD7" w14:textId="77777777" w:rsidR="00B751AA" w:rsidRPr="00B751AA" w:rsidRDefault="00B751AA" w:rsidP="00B751AA">
      <w:pPr>
        <w:spacing w:after="0" w:line="360" w:lineRule="auto"/>
        <w:jc w:val="both"/>
        <w:rPr>
          <w:rFonts w:ascii="Book Antiqua" w:hAnsi="Book Antiqua" w:cs="Arial"/>
          <w:sz w:val="24"/>
          <w:szCs w:val="24"/>
          <w:lang w:val="en-GB"/>
        </w:rPr>
      </w:pPr>
      <w:r w:rsidRPr="00B751AA">
        <w:rPr>
          <w:rFonts w:ascii="Book Antiqua" w:hAnsi="Book Antiqua" w:cs="Arial"/>
          <w:b/>
          <w:bCs/>
          <w:sz w:val="24"/>
          <w:szCs w:val="24"/>
          <w:lang w:val="en-GB"/>
        </w:rPr>
        <w:t xml:space="preserve">Figure 2 </w:t>
      </w:r>
      <w:proofErr w:type="spellStart"/>
      <w:r w:rsidRPr="00B751AA">
        <w:rPr>
          <w:rFonts w:ascii="Book Antiqua" w:hAnsi="Book Antiqua" w:cs="Arial"/>
          <w:b/>
          <w:bCs/>
          <w:sz w:val="24"/>
          <w:szCs w:val="24"/>
          <w:lang w:val="en-GB"/>
        </w:rPr>
        <w:t>Podoplanin</w:t>
      </w:r>
      <w:proofErr w:type="spellEnd"/>
      <w:r w:rsidRPr="00B751AA">
        <w:rPr>
          <w:rFonts w:ascii="Book Antiqua" w:hAnsi="Book Antiqua" w:cs="Arial"/>
          <w:b/>
          <w:bCs/>
          <w:sz w:val="24"/>
          <w:szCs w:val="24"/>
          <w:lang w:val="en-GB"/>
        </w:rPr>
        <w:t xml:space="preserve"> expression pre- and post-neoadjuvant treatment. </w:t>
      </w:r>
      <w:r w:rsidRPr="00B751AA">
        <w:rPr>
          <w:rFonts w:ascii="Book Antiqua" w:hAnsi="Book Antiqua" w:cs="Arial"/>
          <w:bCs/>
          <w:sz w:val="24"/>
          <w:szCs w:val="24"/>
          <w:lang w:val="en-GB"/>
        </w:rPr>
        <w:t>A</w:t>
      </w:r>
      <w:r w:rsidR="00871B4E">
        <w:rPr>
          <w:rFonts w:ascii="Book Antiqua" w:hAnsi="Book Antiqua" w:cs="Arial"/>
          <w:bCs/>
          <w:sz w:val="24"/>
          <w:szCs w:val="24"/>
          <w:lang w:val="en-GB"/>
        </w:rPr>
        <w:t xml:space="preserve"> and D</w:t>
      </w:r>
      <w:r w:rsidRPr="00B751AA">
        <w:rPr>
          <w:rFonts w:ascii="Book Antiqua" w:hAnsi="Book Antiqua" w:cs="Arial"/>
          <w:bCs/>
          <w:sz w:val="24"/>
          <w:szCs w:val="24"/>
          <w:lang w:val="en-GB"/>
        </w:rPr>
        <w:t xml:space="preserve">: Pre-treatment biopsies of two patients with </w:t>
      </w:r>
      <w:proofErr w:type="spellStart"/>
      <w:r w:rsidRPr="00B751AA">
        <w:rPr>
          <w:rFonts w:ascii="Book Antiqua" w:hAnsi="Book Antiqua" w:cs="Arial"/>
          <w:bCs/>
          <w:sz w:val="24"/>
          <w:szCs w:val="24"/>
          <w:lang w:val="en-GB"/>
        </w:rPr>
        <w:t>podoplanin</w:t>
      </w:r>
      <w:proofErr w:type="spellEnd"/>
      <w:r w:rsidRPr="00B751AA">
        <w:rPr>
          <w:rFonts w:ascii="Book Antiqua" w:hAnsi="Book Antiqua" w:cs="Arial"/>
          <w:bCs/>
          <w:sz w:val="24"/>
          <w:szCs w:val="24"/>
          <w:lang w:val="en-GB"/>
        </w:rPr>
        <w:t xml:space="preserve"> expression of scores: 3 (</w:t>
      </w:r>
      <w:r w:rsidR="00871B4E">
        <w:rPr>
          <w:rFonts w:ascii="Book Antiqua" w:hAnsi="Book Antiqua" w:cs="Arial" w:hint="eastAsia"/>
          <w:bCs/>
          <w:sz w:val="24"/>
          <w:szCs w:val="24"/>
          <w:lang w:val="en-GB" w:eastAsia="zh-CN"/>
        </w:rPr>
        <w:t>A</w:t>
      </w:r>
      <w:r w:rsidRPr="00B751AA">
        <w:rPr>
          <w:rFonts w:ascii="Book Antiqua" w:hAnsi="Book Antiqua" w:cs="Arial"/>
          <w:bCs/>
          <w:sz w:val="24"/>
          <w:szCs w:val="24"/>
          <w:lang w:val="en-GB"/>
        </w:rPr>
        <w:t>) and 2 (</w:t>
      </w:r>
      <w:r w:rsidR="00871B4E">
        <w:rPr>
          <w:rFonts w:ascii="Book Antiqua" w:hAnsi="Book Antiqua" w:cs="Arial" w:hint="eastAsia"/>
          <w:bCs/>
          <w:sz w:val="24"/>
          <w:szCs w:val="24"/>
          <w:lang w:val="en-GB" w:eastAsia="zh-CN"/>
        </w:rPr>
        <w:t>D</w:t>
      </w:r>
      <w:r w:rsidRPr="00B751AA">
        <w:rPr>
          <w:rFonts w:ascii="Book Antiqua" w:hAnsi="Book Antiqua" w:cs="Arial"/>
          <w:bCs/>
          <w:sz w:val="24"/>
          <w:szCs w:val="24"/>
          <w:lang w:val="en-GB"/>
        </w:rPr>
        <w:t>); B</w:t>
      </w:r>
      <w:r w:rsidR="00871B4E">
        <w:rPr>
          <w:rFonts w:ascii="Book Antiqua" w:hAnsi="Book Antiqua" w:cs="Arial"/>
          <w:bCs/>
          <w:sz w:val="24"/>
          <w:szCs w:val="24"/>
          <w:lang w:val="en-GB"/>
        </w:rPr>
        <w:t xml:space="preserve"> and E</w:t>
      </w:r>
      <w:r w:rsidRPr="00B751AA">
        <w:rPr>
          <w:rFonts w:ascii="Book Antiqua" w:hAnsi="Book Antiqua" w:cs="Arial"/>
          <w:bCs/>
          <w:sz w:val="24"/>
          <w:szCs w:val="24"/>
          <w:lang w:val="en-GB"/>
        </w:rPr>
        <w:t xml:space="preserve">: Matching resection specimen of the same </w:t>
      </w:r>
      <w:r w:rsidR="00B7773D" w:rsidRPr="00B751AA">
        <w:rPr>
          <w:rFonts w:ascii="Book Antiqua" w:hAnsi="Book Antiqua" w:cs="Arial"/>
          <w:sz w:val="24"/>
          <w:szCs w:val="24"/>
          <w:lang w:val="en-GB"/>
        </w:rPr>
        <w:t xml:space="preserve">squamous cell carcinoma of the </w:t>
      </w:r>
      <w:proofErr w:type="spellStart"/>
      <w:r w:rsidR="00B7773D" w:rsidRPr="00B751AA">
        <w:rPr>
          <w:rFonts w:ascii="Book Antiqua" w:hAnsi="Book Antiqua" w:cs="Arial"/>
          <w:sz w:val="24"/>
          <w:szCs w:val="24"/>
          <w:lang w:val="en-GB"/>
        </w:rPr>
        <w:t>esophagus</w:t>
      </w:r>
      <w:proofErr w:type="spellEnd"/>
      <w:r w:rsidR="00B7773D">
        <w:rPr>
          <w:rFonts w:ascii="Book Antiqua" w:hAnsi="Book Antiqua" w:cs="Arial"/>
          <w:sz w:val="24"/>
          <w:szCs w:val="24"/>
          <w:lang w:val="en-GB"/>
        </w:rPr>
        <w:t xml:space="preserve"> (ESCC)</w:t>
      </w:r>
      <w:r w:rsidR="00B7773D" w:rsidRPr="00B751AA">
        <w:rPr>
          <w:rFonts w:ascii="Book Antiqua" w:hAnsi="Book Antiqua" w:cs="Arial"/>
          <w:bCs/>
          <w:sz w:val="24"/>
          <w:szCs w:val="24"/>
          <w:lang w:val="en-GB"/>
        </w:rPr>
        <w:t xml:space="preserve"> </w:t>
      </w:r>
      <w:r w:rsidRPr="00B751AA">
        <w:rPr>
          <w:rFonts w:ascii="Book Antiqua" w:hAnsi="Book Antiqua" w:cs="Arial"/>
          <w:bCs/>
          <w:sz w:val="24"/>
          <w:szCs w:val="24"/>
          <w:lang w:val="en-GB"/>
        </w:rPr>
        <w:t>patients after chemoradiation, Scores: 1 (</w:t>
      </w:r>
      <w:r w:rsidR="00871B4E">
        <w:rPr>
          <w:rFonts w:ascii="Book Antiqua" w:hAnsi="Book Antiqua" w:cs="Arial"/>
          <w:bCs/>
          <w:sz w:val="24"/>
          <w:szCs w:val="24"/>
          <w:lang w:val="en-GB"/>
        </w:rPr>
        <w:t>B</w:t>
      </w:r>
      <w:r w:rsidRPr="00B751AA">
        <w:rPr>
          <w:rFonts w:ascii="Book Antiqua" w:hAnsi="Book Antiqua" w:cs="Arial"/>
          <w:bCs/>
          <w:sz w:val="24"/>
          <w:szCs w:val="24"/>
          <w:lang w:val="en-GB"/>
        </w:rPr>
        <w:t>), 2 (</w:t>
      </w:r>
      <w:r w:rsidR="00871B4E">
        <w:rPr>
          <w:rFonts w:ascii="Book Antiqua" w:hAnsi="Book Antiqua" w:cs="Arial"/>
          <w:bCs/>
          <w:sz w:val="24"/>
          <w:szCs w:val="24"/>
          <w:lang w:val="en-GB"/>
        </w:rPr>
        <w:t>E</w:t>
      </w:r>
      <w:r w:rsidRPr="00B751AA">
        <w:rPr>
          <w:rFonts w:ascii="Book Antiqua" w:hAnsi="Book Antiqua" w:cs="Arial"/>
          <w:bCs/>
          <w:sz w:val="24"/>
          <w:szCs w:val="24"/>
          <w:lang w:val="en-GB"/>
        </w:rPr>
        <w:t>); C</w:t>
      </w:r>
      <w:r w:rsidR="00871B4E">
        <w:rPr>
          <w:rFonts w:ascii="Book Antiqua" w:hAnsi="Book Antiqua" w:cs="Arial"/>
          <w:bCs/>
          <w:sz w:val="24"/>
          <w:szCs w:val="24"/>
          <w:lang w:val="en-GB"/>
        </w:rPr>
        <w:t xml:space="preserve"> and F</w:t>
      </w:r>
      <w:r w:rsidRPr="00B751AA">
        <w:rPr>
          <w:rFonts w:ascii="Book Antiqua" w:hAnsi="Book Antiqua" w:cs="Arial"/>
          <w:bCs/>
          <w:sz w:val="24"/>
          <w:szCs w:val="24"/>
          <w:lang w:val="en-GB"/>
        </w:rPr>
        <w:t>: Resection specimen of two ESCC patients without neoadjuvant treatment, scores: 2 (</w:t>
      </w:r>
      <w:r w:rsidR="00871B4E">
        <w:rPr>
          <w:rFonts w:ascii="Book Antiqua" w:hAnsi="Book Antiqua" w:cs="Arial"/>
          <w:bCs/>
          <w:sz w:val="24"/>
          <w:szCs w:val="24"/>
          <w:lang w:val="en-GB"/>
        </w:rPr>
        <w:t>C</w:t>
      </w:r>
      <w:r w:rsidRPr="00B751AA">
        <w:rPr>
          <w:rFonts w:ascii="Book Antiqua" w:hAnsi="Book Antiqua" w:cs="Arial"/>
          <w:bCs/>
          <w:sz w:val="24"/>
          <w:szCs w:val="24"/>
          <w:lang w:val="en-GB"/>
        </w:rPr>
        <w:t>), 3 (</w:t>
      </w:r>
      <w:r w:rsidR="00871B4E">
        <w:rPr>
          <w:rFonts w:ascii="Book Antiqua" w:hAnsi="Book Antiqua" w:cs="Arial"/>
          <w:bCs/>
          <w:sz w:val="24"/>
          <w:szCs w:val="24"/>
          <w:lang w:val="en-GB"/>
        </w:rPr>
        <w:t>F</w:t>
      </w:r>
      <w:r w:rsidRPr="00B751AA">
        <w:rPr>
          <w:rFonts w:ascii="Book Antiqua" w:hAnsi="Book Antiqua" w:cs="Arial"/>
          <w:bCs/>
          <w:sz w:val="24"/>
          <w:szCs w:val="24"/>
          <w:lang w:val="en-GB"/>
        </w:rPr>
        <w:t xml:space="preserve">), at T-category 3; 40 </w:t>
      </w:r>
      <w:r>
        <w:rPr>
          <w:rFonts w:ascii="Book Antiqua" w:hAnsi="Book Antiqua" w:cs="Arial"/>
          <w:bCs/>
          <w:sz w:val="24"/>
          <w:szCs w:val="24"/>
          <w:lang w:val="en-GB"/>
        </w:rPr>
        <w:t>×</w:t>
      </w:r>
      <w:r w:rsidRPr="00B751AA">
        <w:rPr>
          <w:rFonts w:ascii="Book Antiqua" w:hAnsi="Book Antiqua" w:cs="Arial"/>
          <w:bCs/>
          <w:sz w:val="24"/>
          <w:szCs w:val="24"/>
          <w:lang w:val="en-GB"/>
        </w:rPr>
        <w:t xml:space="preserve">. Score 1: 0-5% </w:t>
      </w:r>
      <w:proofErr w:type="spellStart"/>
      <w:r w:rsidRPr="00B751AA">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cells stained by D2-40 </w:t>
      </w:r>
      <w:proofErr w:type="spellStart"/>
      <w:r w:rsidRPr="00B751AA">
        <w:rPr>
          <w:rFonts w:ascii="Book Antiqua" w:hAnsi="Book Antiqua" w:cs="Arial"/>
          <w:bCs/>
          <w:sz w:val="24"/>
          <w:szCs w:val="24"/>
          <w:lang w:val="en-GB"/>
        </w:rPr>
        <w:t>mab</w:t>
      </w:r>
      <w:proofErr w:type="spellEnd"/>
      <w:r w:rsidRPr="00B751AA">
        <w:rPr>
          <w:rFonts w:ascii="Book Antiqua" w:hAnsi="Book Antiqua" w:cs="Arial"/>
          <w:bCs/>
          <w:sz w:val="24"/>
          <w:szCs w:val="24"/>
          <w:lang w:val="en-GB"/>
        </w:rPr>
        <w:t>, score 2: 6</w:t>
      </w:r>
      <w:r>
        <w:rPr>
          <w:rFonts w:ascii="Book Antiqua" w:hAnsi="Book Antiqua" w:cs="Arial"/>
          <w:bCs/>
          <w:sz w:val="24"/>
          <w:szCs w:val="24"/>
          <w:lang w:val="en-GB"/>
        </w:rPr>
        <w:t>%</w:t>
      </w:r>
      <w:r w:rsidRPr="00B751AA">
        <w:rPr>
          <w:rFonts w:ascii="Book Antiqua" w:hAnsi="Book Antiqua" w:cs="Arial"/>
          <w:bCs/>
          <w:sz w:val="24"/>
          <w:szCs w:val="24"/>
          <w:lang w:val="en-GB"/>
        </w:rPr>
        <w:t>-35%, score 3: 36</w:t>
      </w:r>
      <w:r>
        <w:rPr>
          <w:rFonts w:ascii="Book Antiqua" w:hAnsi="Book Antiqua" w:cs="Arial"/>
          <w:bCs/>
          <w:sz w:val="24"/>
          <w:szCs w:val="24"/>
          <w:lang w:val="en-GB"/>
        </w:rPr>
        <w:t>%</w:t>
      </w:r>
      <w:r w:rsidRPr="00B751AA">
        <w:rPr>
          <w:rFonts w:ascii="Book Antiqua" w:hAnsi="Book Antiqua" w:cs="Arial"/>
          <w:bCs/>
          <w:sz w:val="24"/>
          <w:szCs w:val="24"/>
          <w:lang w:val="en-GB"/>
        </w:rPr>
        <w:t>-65%.</w:t>
      </w:r>
      <w:r>
        <w:rPr>
          <w:rFonts w:ascii="Book Antiqua" w:hAnsi="Book Antiqua" w:cs="Arial"/>
          <w:bCs/>
          <w:sz w:val="24"/>
          <w:szCs w:val="24"/>
          <w:lang w:val="en-GB"/>
        </w:rPr>
        <w:t xml:space="preserve"> ESCC: </w:t>
      </w:r>
      <w:r w:rsidRPr="00B751AA">
        <w:rPr>
          <w:rFonts w:ascii="Book Antiqua" w:hAnsi="Book Antiqua" w:cs="Arial"/>
          <w:sz w:val="24"/>
          <w:szCs w:val="24"/>
          <w:lang w:val="en-GB"/>
        </w:rPr>
        <w:t xml:space="preserve">Squamous cell carcinoma of the </w:t>
      </w:r>
      <w:proofErr w:type="spellStart"/>
      <w:r w:rsidRPr="00B751AA">
        <w:rPr>
          <w:rFonts w:ascii="Book Antiqua" w:hAnsi="Book Antiqua" w:cs="Arial"/>
          <w:sz w:val="24"/>
          <w:szCs w:val="24"/>
          <w:lang w:val="en-GB"/>
        </w:rPr>
        <w:t>esophagus</w:t>
      </w:r>
      <w:proofErr w:type="spellEnd"/>
      <w:r w:rsidRPr="00B751AA">
        <w:rPr>
          <w:rFonts w:ascii="Book Antiqua" w:hAnsi="Book Antiqua" w:cs="Arial"/>
          <w:sz w:val="24"/>
          <w:szCs w:val="24"/>
          <w:lang w:val="en-GB"/>
        </w:rPr>
        <w:t xml:space="preserve">. </w:t>
      </w:r>
    </w:p>
    <w:p w14:paraId="31681315"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sz w:val="24"/>
          <w:szCs w:val="24"/>
          <w:lang w:val="en-GB"/>
        </w:rPr>
        <w:br w:type="page"/>
      </w:r>
    </w:p>
    <w:p w14:paraId="00B0D158"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lastRenderedPageBreak/>
        <w:drawing>
          <wp:inline distT="0" distB="0" distL="0" distR="0" wp14:anchorId="0E4948E7" wp14:editId="2C7E7473">
            <wp:extent cx="4131158" cy="2878372"/>
            <wp:effectExtent l="0" t="0" r="3175" b="0"/>
            <wp:docPr id="3" name="图片 3"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678" cy="2885005"/>
                    </a:xfrm>
                    <a:prstGeom prst="rect">
                      <a:avLst/>
                    </a:prstGeom>
                  </pic:spPr>
                </pic:pic>
              </a:graphicData>
            </a:graphic>
          </wp:inline>
        </w:drawing>
      </w:r>
    </w:p>
    <w:p w14:paraId="1A5BBFBD" w14:textId="77777777" w:rsidR="00B751AA" w:rsidRDefault="00B751AA" w:rsidP="00B751AA">
      <w:pPr>
        <w:spacing w:after="0" w:line="360" w:lineRule="auto"/>
        <w:jc w:val="both"/>
        <w:rPr>
          <w:rFonts w:ascii="Book Antiqua" w:hAnsi="Book Antiqua" w:cs="Arial"/>
          <w:bCs/>
          <w:sz w:val="24"/>
          <w:szCs w:val="24"/>
          <w:lang w:val="fr-FR"/>
        </w:rPr>
      </w:pPr>
      <w:r w:rsidRPr="00B751AA">
        <w:rPr>
          <w:rFonts w:ascii="Book Antiqua" w:hAnsi="Book Antiqua" w:cs="Arial"/>
          <w:b/>
          <w:bCs/>
          <w:sz w:val="24"/>
          <w:szCs w:val="24"/>
          <w:lang w:val="fr-FR"/>
        </w:rPr>
        <w:t xml:space="preserve">Figure 3 miR-363 and podoplanin expression for 29 non-pretreated </w:t>
      </w:r>
      <w:r w:rsidRPr="00B751AA">
        <w:rPr>
          <w:rFonts w:ascii="Book Antiqua" w:hAnsi="Book Antiqua" w:cs="Arial"/>
          <w:b/>
          <w:bCs/>
          <w:sz w:val="24"/>
          <w:szCs w:val="24"/>
          <w:lang w:val="en-GB"/>
        </w:rPr>
        <w:t xml:space="preserve">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fr-FR"/>
        </w:rPr>
        <w:t xml:space="preserve"> patients.</w:t>
      </w:r>
      <w:r w:rsidRPr="00B751AA">
        <w:rPr>
          <w:rFonts w:ascii="Book Antiqua" w:hAnsi="Book Antiqua" w:cs="Arial"/>
          <w:bCs/>
          <w:sz w:val="24"/>
          <w:szCs w:val="24"/>
          <w:lang w:val="fr-FR"/>
        </w:rPr>
        <w:t xml:space="preserve"> Relative miR-363 expression compared to immunohistochemically stained podoplanin protein expression in resected tissue specimen.</w:t>
      </w:r>
    </w:p>
    <w:p w14:paraId="4CD773ED" w14:textId="77777777" w:rsidR="004C7F71" w:rsidRDefault="004C7F71" w:rsidP="00B751AA">
      <w:pPr>
        <w:spacing w:after="0" w:line="360" w:lineRule="auto"/>
        <w:jc w:val="both"/>
        <w:rPr>
          <w:rFonts w:ascii="Book Antiqua" w:hAnsi="Book Antiqua" w:cs="Arial"/>
          <w:bCs/>
          <w:sz w:val="24"/>
          <w:szCs w:val="24"/>
          <w:lang w:val="fr-FR"/>
        </w:rPr>
      </w:pPr>
    </w:p>
    <w:p w14:paraId="00872E45"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drawing>
          <wp:inline distT="0" distB="0" distL="0" distR="0" wp14:anchorId="0A4631E7" wp14:editId="41F52164">
            <wp:extent cx="4122188" cy="3212327"/>
            <wp:effectExtent l="0" t="0" r="0" b="7620"/>
            <wp:docPr id="4" name="图片 4" descr="图片包含 文字,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0874" cy="3226888"/>
                    </a:xfrm>
                    <a:prstGeom prst="rect">
                      <a:avLst/>
                    </a:prstGeom>
                  </pic:spPr>
                </pic:pic>
              </a:graphicData>
            </a:graphic>
          </wp:inline>
        </w:drawing>
      </w:r>
    </w:p>
    <w:p w14:paraId="5D06BCB8"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bCs/>
          <w:sz w:val="24"/>
          <w:szCs w:val="24"/>
          <w:lang w:val="fr-FR"/>
        </w:rPr>
        <w:t xml:space="preserve">Figure 4 miR-363 expression and prognosis of 26 </w:t>
      </w:r>
      <w:r w:rsidRPr="00B751AA">
        <w:rPr>
          <w:rFonts w:ascii="Book Antiqua" w:hAnsi="Book Antiqua" w:cs="Arial"/>
          <w:b/>
          <w:bCs/>
          <w:sz w:val="24"/>
          <w:szCs w:val="24"/>
          <w:lang w:val="en-GB"/>
        </w:rPr>
        <w:t xml:space="preserve">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fr-FR"/>
        </w:rPr>
        <w:t xml:space="preserve"> patients. </w:t>
      </w:r>
      <w:r w:rsidRPr="00B751AA">
        <w:rPr>
          <w:rFonts w:ascii="Book Antiqua" w:hAnsi="Book Antiqua" w:cs="Arial"/>
          <w:bCs/>
          <w:sz w:val="24"/>
          <w:szCs w:val="24"/>
          <w:lang w:val="fr-FR"/>
        </w:rPr>
        <w:t>Subgrouping by relative miR-363 expression &lt; 7 and ≥ 7.</w:t>
      </w:r>
    </w:p>
    <w:p w14:paraId="6682CCC3" w14:textId="77777777" w:rsidR="00BB36AA" w:rsidRPr="00B751AA" w:rsidRDefault="00B751AA" w:rsidP="004C7F71">
      <w:pPr>
        <w:spacing w:after="0" w:line="360" w:lineRule="auto"/>
        <w:jc w:val="both"/>
        <w:rPr>
          <w:rFonts w:ascii="Book Antiqua" w:hAnsi="Book Antiqua" w:cs="Arial"/>
          <w:b/>
          <w:sz w:val="24"/>
          <w:szCs w:val="24"/>
          <w:lang w:val="fr-FR"/>
        </w:rPr>
      </w:pPr>
      <w:r w:rsidRPr="00B751AA">
        <w:rPr>
          <w:rFonts w:ascii="Book Antiqua" w:hAnsi="Book Antiqua" w:cs="Arial"/>
          <w:b/>
          <w:sz w:val="24"/>
          <w:szCs w:val="24"/>
          <w:lang w:val="en-GB"/>
        </w:rPr>
        <w:lastRenderedPageBreak/>
        <w:t xml:space="preserve"> </w:t>
      </w:r>
      <w:r w:rsidR="00BB36AA" w:rsidRPr="00B751AA">
        <w:rPr>
          <w:rFonts w:ascii="Book Antiqua" w:hAnsi="Book Antiqua" w:cs="Arial"/>
          <w:b/>
          <w:sz w:val="24"/>
          <w:szCs w:val="24"/>
          <w:lang w:val="en-GB"/>
        </w:rPr>
        <w:t xml:space="preserve">Table 1 Demographics, therapy and prognosis of </w:t>
      </w:r>
      <w:proofErr w:type="spellStart"/>
      <w:r w:rsidR="00BB36AA" w:rsidRPr="00B751AA">
        <w:rPr>
          <w:rFonts w:ascii="Book Antiqua" w:hAnsi="Book Antiqua" w:cs="Arial"/>
          <w:b/>
          <w:sz w:val="24"/>
          <w:szCs w:val="24"/>
          <w:lang w:val="en-GB"/>
        </w:rPr>
        <w:t>esophageal</w:t>
      </w:r>
      <w:proofErr w:type="spellEnd"/>
      <w:r w:rsidR="00BB36AA" w:rsidRPr="00B751AA">
        <w:rPr>
          <w:rFonts w:ascii="Book Antiqua" w:hAnsi="Book Antiqua" w:cs="Arial"/>
          <w:b/>
          <w:sz w:val="24"/>
          <w:szCs w:val="24"/>
          <w:lang w:val="en-GB"/>
        </w:rPr>
        <w:t xml:space="preserve"> cancer patients</w:t>
      </w:r>
    </w:p>
    <w:tbl>
      <w:tblPr>
        <w:tblpPr w:leftFromText="141" w:rightFromText="141" w:vertAnchor="text" w:horzAnchor="page" w:tblpX="1835" w:tblpY="-124"/>
        <w:tblW w:w="8614" w:type="dxa"/>
        <w:tblBorders>
          <w:top w:val="single" w:sz="4" w:space="0" w:color="auto"/>
          <w:bottom w:val="single" w:sz="4" w:space="0" w:color="auto"/>
        </w:tblBorders>
        <w:tblLook w:val="04A0" w:firstRow="1" w:lastRow="0" w:firstColumn="1" w:lastColumn="0" w:noHBand="0" w:noVBand="1"/>
      </w:tblPr>
      <w:tblGrid>
        <w:gridCol w:w="2071"/>
        <w:gridCol w:w="1134"/>
        <w:gridCol w:w="1015"/>
        <w:gridCol w:w="1134"/>
        <w:gridCol w:w="1134"/>
        <w:gridCol w:w="1134"/>
        <w:gridCol w:w="992"/>
      </w:tblGrid>
      <w:tr w:rsidR="00B7773D" w:rsidRPr="00B751AA" w14:paraId="7B251544" w14:textId="77777777" w:rsidTr="0052322B">
        <w:tc>
          <w:tcPr>
            <w:tcW w:w="2071" w:type="dxa"/>
            <w:vMerge w:val="restart"/>
            <w:tcBorders>
              <w:top w:val="single" w:sz="4" w:space="0" w:color="auto"/>
            </w:tcBorders>
            <w:shd w:val="clear" w:color="auto" w:fill="auto"/>
          </w:tcPr>
          <w:p w14:paraId="42F64C0D" w14:textId="77777777" w:rsidR="00B7773D" w:rsidRPr="00B7773D" w:rsidRDefault="00B7773D" w:rsidP="0052322B">
            <w:pPr>
              <w:snapToGrid w:val="0"/>
              <w:spacing w:after="0" w:line="360" w:lineRule="auto"/>
              <w:jc w:val="both"/>
              <w:rPr>
                <w:rFonts w:ascii="Book Antiqua" w:eastAsia="Calibri" w:hAnsi="Book Antiqua"/>
                <w:b/>
                <w:bCs/>
                <w:sz w:val="24"/>
                <w:szCs w:val="24"/>
              </w:rPr>
            </w:pPr>
          </w:p>
        </w:tc>
        <w:tc>
          <w:tcPr>
            <w:tcW w:w="2149" w:type="dxa"/>
            <w:gridSpan w:val="2"/>
            <w:tcBorders>
              <w:top w:val="single" w:sz="4" w:space="0" w:color="auto"/>
              <w:bottom w:val="single" w:sz="4" w:space="0" w:color="auto"/>
            </w:tcBorders>
            <w:shd w:val="clear" w:color="auto" w:fill="auto"/>
          </w:tcPr>
          <w:p w14:paraId="7DD0682F"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Total</w:t>
            </w:r>
          </w:p>
        </w:tc>
        <w:tc>
          <w:tcPr>
            <w:tcW w:w="2268" w:type="dxa"/>
            <w:gridSpan w:val="2"/>
            <w:tcBorders>
              <w:top w:val="single" w:sz="4" w:space="0" w:color="auto"/>
              <w:bottom w:val="single" w:sz="4" w:space="0" w:color="auto"/>
            </w:tcBorders>
            <w:shd w:val="clear" w:color="auto" w:fill="auto"/>
          </w:tcPr>
          <w:p w14:paraId="3F39CEA2"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ESCC</w:t>
            </w:r>
          </w:p>
        </w:tc>
        <w:tc>
          <w:tcPr>
            <w:tcW w:w="2126" w:type="dxa"/>
            <w:gridSpan w:val="2"/>
            <w:tcBorders>
              <w:top w:val="single" w:sz="4" w:space="0" w:color="auto"/>
              <w:bottom w:val="single" w:sz="4" w:space="0" w:color="auto"/>
            </w:tcBorders>
            <w:shd w:val="clear" w:color="auto" w:fill="auto"/>
          </w:tcPr>
          <w:p w14:paraId="27B8E48F"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EAC</w:t>
            </w:r>
          </w:p>
        </w:tc>
      </w:tr>
      <w:tr w:rsidR="00B7773D" w:rsidRPr="00B751AA" w14:paraId="05DCA67D" w14:textId="77777777" w:rsidTr="0052322B">
        <w:tc>
          <w:tcPr>
            <w:tcW w:w="2071" w:type="dxa"/>
            <w:vMerge/>
            <w:tcBorders>
              <w:bottom w:val="single" w:sz="4" w:space="0" w:color="auto"/>
            </w:tcBorders>
            <w:shd w:val="clear" w:color="auto" w:fill="auto"/>
          </w:tcPr>
          <w:p w14:paraId="58ADD14E"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p>
        </w:tc>
        <w:tc>
          <w:tcPr>
            <w:tcW w:w="1134" w:type="dxa"/>
            <w:tcBorders>
              <w:top w:val="single" w:sz="4" w:space="0" w:color="auto"/>
              <w:bottom w:val="single" w:sz="4" w:space="0" w:color="auto"/>
            </w:tcBorders>
            <w:shd w:val="clear" w:color="auto" w:fill="auto"/>
          </w:tcPr>
          <w:p w14:paraId="1F438411"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015" w:type="dxa"/>
            <w:tcBorders>
              <w:top w:val="single" w:sz="4" w:space="0" w:color="auto"/>
              <w:bottom w:val="single" w:sz="4" w:space="0" w:color="auto"/>
            </w:tcBorders>
            <w:shd w:val="clear" w:color="auto" w:fill="auto"/>
          </w:tcPr>
          <w:p w14:paraId="7C2E34C6"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c>
          <w:tcPr>
            <w:tcW w:w="1134" w:type="dxa"/>
            <w:tcBorders>
              <w:top w:val="single" w:sz="4" w:space="0" w:color="auto"/>
              <w:bottom w:val="single" w:sz="4" w:space="0" w:color="auto"/>
            </w:tcBorders>
            <w:shd w:val="clear" w:color="auto" w:fill="auto"/>
          </w:tcPr>
          <w:p w14:paraId="13AB7D67"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134" w:type="dxa"/>
            <w:tcBorders>
              <w:top w:val="single" w:sz="4" w:space="0" w:color="auto"/>
              <w:bottom w:val="single" w:sz="4" w:space="0" w:color="auto"/>
            </w:tcBorders>
            <w:shd w:val="clear" w:color="auto" w:fill="auto"/>
          </w:tcPr>
          <w:p w14:paraId="34F69A6E"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c>
          <w:tcPr>
            <w:tcW w:w="1134" w:type="dxa"/>
            <w:tcBorders>
              <w:top w:val="single" w:sz="4" w:space="0" w:color="auto"/>
              <w:bottom w:val="single" w:sz="4" w:space="0" w:color="auto"/>
            </w:tcBorders>
            <w:shd w:val="clear" w:color="auto" w:fill="auto"/>
          </w:tcPr>
          <w:p w14:paraId="738F48C5"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992" w:type="dxa"/>
            <w:tcBorders>
              <w:top w:val="single" w:sz="4" w:space="0" w:color="auto"/>
              <w:bottom w:val="single" w:sz="4" w:space="0" w:color="auto"/>
            </w:tcBorders>
            <w:shd w:val="clear" w:color="auto" w:fill="auto"/>
          </w:tcPr>
          <w:p w14:paraId="5AE7B376"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r>
      <w:tr w:rsidR="00BB36AA" w:rsidRPr="00B751AA" w14:paraId="5546DA38" w14:textId="77777777" w:rsidTr="0052322B">
        <w:trPr>
          <w:trHeight w:val="85"/>
        </w:trPr>
        <w:tc>
          <w:tcPr>
            <w:tcW w:w="2071" w:type="dxa"/>
            <w:tcBorders>
              <w:top w:val="single" w:sz="4" w:space="0" w:color="auto"/>
            </w:tcBorders>
            <w:shd w:val="clear" w:color="auto" w:fill="auto"/>
          </w:tcPr>
          <w:p w14:paraId="7CEBBD1B"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Total </w:t>
            </w:r>
            <w:r w:rsidR="00B7773D" w:rsidRPr="00B7773D">
              <w:rPr>
                <w:rFonts w:ascii="Book Antiqua" w:eastAsia="Calibri" w:hAnsi="Book Antiqua"/>
                <w:bCs/>
                <w:sz w:val="24"/>
                <w:szCs w:val="24"/>
                <w:lang w:val="de-DE"/>
              </w:rPr>
              <w:t>study cohort</w:t>
            </w:r>
          </w:p>
        </w:tc>
        <w:tc>
          <w:tcPr>
            <w:tcW w:w="1134" w:type="dxa"/>
            <w:tcBorders>
              <w:top w:val="single" w:sz="4" w:space="0" w:color="auto"/>
            </w:tcBorders>
            <w:shd w:val="clear" w:color="auto" w:fill="auto"/>
          </w:tcPr>
          <w:p w14:paraId="7AC2C1B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195</w:t>
            </w:r>
          </w:p>
        </w:tc>
        <w:tc>
          <w:tcPr>
            <w:tcW w:w="1015" w:type="dxa"/>
            <w:tcBorders>
              <w:top w:val="single" w:sz="4" w:space="0" w:color="auto"/>
            </w:tcBorders>
            <w:shd w:val="clear" w:color="auto" w:fill="auto"/>
          </w:tcPr>
          <w:p w14:paraId="1C8FAFDB"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tcBorders>
              <w:top w:val="single" w:sz="4" w:space="0" w:color="auto"/>
            </w:tcBorders>
            <w:shd w:val="clear" w:color="auto" w:fill="auto"/>
          </w:tcPr>
          <w:p w14:paraId="4F5A149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90</w:t>
            </w:r>
          </w:p>
        </w:tc>
        <w:tc>
          <w:tcPr>
            <w:tcW w:w="1134" w:type="dxa"/>
            <w:tcBorders>
              <w:top w:val="single" w:sz="4" w:space="0" w:color="auto"/>
            </w:tcBorders>
            <w:shd w:val="clear" w:color="auto" w:fill="auto"/>
          </w:tcPr>
          <w:p w14:paraId="4DD4A8E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tcBorders>
              <w:top w:val="single" w:sz="4" w:space="0" w:color="auto"/>
            </w:tcBorders>
            <w:shd w:val="clear" w:color="auto" w:fill="auto"/>
          </w:tcPr>
          <w:p w14:paraId="726009F8"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105</w:t>
            </w:r>
          </w:p>
        </w:tc>
        <w:tc>
          <w:tcPr>
            <w:tcW w:w="992" w:type="dxa"/>
            <w:tcBorders>
              <w:top w:val="single" w:sz="4" w:space="0" w:color="auto"/>
            </w:tcBorders>
            <w:shd w:val="clear" w:color="auto" w:fill="auto"/>
          </w:tcPr>
          <w:p w14:paraId="696B527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r>
      <w:tr w:rsidR="00BB36AA" w:rsidRPr="00B751AA" w14:paraId="3EA4E921" w14:textId="77777777" w:rsidTr="0052322B">
        <w:tc>
          <w:tcPr>
            <w:tcW w:w="2071" w:type="dxa"/>
            <w:shd w:val="clear" w:color="auto" w:fill="auto"/>
          </w:tcPr>
          <w:p w14:paraId="1A2E8B6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Median </w:t>
            </w:r>
            <w:r w:rsidR="00B7773D" w:rsidRPr="00B7773D">
              <w:rPr>
                <w:rFonts w:ascii="Book Antiqua" w:eastAsia="Calibri" w:hAnsi="Book Antiqua"/>
                <w:bCs/>
                <w:sz w:val="24"/>
                <w:szCs w:val="24"/>
                <w:lang w:val="de-DE"/>
              </w:rPr>
              <w:t>age</w:t>
            </w:r>
            <w:r w:rsidR="00B7773D">
              <w:rPr>
                <w:rFonts w:ascii="Book Antiqua" w:eastAsia="Calibri" w:hAnsi="Book Antiqua" w:hint="eastAsia"/>
                <w:bCs/>
                <w:sz w:val="24"/>
                <w:szCs w:val="24"/>
                <w:lang w:val="de-DE"/>
              </w:rPr>
              <w:t xml:space="preserve"> </w:t>
            </w:r>
            <w:r w:rsidR="00B7773D">
              <w:rPr>
                <w:rFonts w:ascii="Book Antiqua" w:eastAsia="Calibri" w:hAnsi="Book Antiqua"/>
                <w:bCs/>
                <w:sz w:val="24"/>
                <w:szCs w:val="24"/>
                <w:lang w:val="de-DE"/>
              </w:rPr>
              <w:t>(yr)</w:t>
            </w:r>
          </w:p>
        </w:tc>
        <w:tc>
          <w:tcPr>
            <w:tcW w:w="1134" w:type="dxa"/>
            <w:shd w:val="clear" w:color="auto" w:fill="auto"/>
          </w:tcPr>
          <w:p w14:paraId="06A5FDC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60.4 </w:t>
            </w:r>
          </w:p>
        </w:tc>
        <w:tc>
          <w:tcPr>
            <w:tcW w:w="1015" w:type="dxa"/>
            <w:shd w:val="clear" w:color="auto" w:fill="auto"/>
          </w:tcPr>
          <w:p w14:paraId="29067B17"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c>
          <w:tcPr>
            <w:tcW w:w="1134" w:type="dxa"/>
            <w:shd w:val="clear" w:color="auto" w:fill="auto"/>
          </w:tcPr>
          <w:p w14:paraId="78ACDE1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60</w:t>
            </w:r>
          </w:p>
        </w:tc>
        <w:tc>
          <w:tcPr>
            <w:tcW w:w="1134" w:type="dxa"/>
            <w:shd w:val="clear" w:color="auto" w:fill="auto"/>
          </w:tcPr>
          <w:p w14:paraId="1AD2310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c>
          <w:tcPr>
            <w:tcW w:w="1134" w:type="dxa"/>
            <w:shd w:val="clear" w:color="auto" w:fill="auto"/>
          </w:tcPr>
          <w:p w14:paraId="0CAF33B5"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62</w:t>
            </w:r>
          </w:p>
        </w:tc>
        <w:tc>
          <w:tcPr>
            <w:tcW w:w="992" w:type="dxa"/>
            <w:shd w:val="clear" w:color="auto" w:fill="auto"/>
          </w:tcPr>
          <w:p w14:paraId="385F64A5"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r>
      <w:tr w:rsidR="00BB36AA" w:rsidRPr="00B751AA" w14:paraId="7A617190" w14:textId="77777777" w:rsidTr="0052322B">
        <w:trPr>
          <w:trHeight w:val="310"/>
        </w:trPr>
        <w:tc>
          <w:tcPr>
            <w:tcW w:w="2071" w:type="dxa"/>
            <w:shd w:val="clear" w:color="auto" w:fill="auto"/>
          </w:tcPr>
          <w:p w14:paraId="5790730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Gender</w:t>
            </w:r>
          </w:p>
        </w:tc>
        <w:tc>
          <w:tcPr>
            <w:tcW w:w="1134" w:type="dxa"/>
            <w:shd w:val="clear" w:color="auto" w:fill="auto"/>
          </w:tcPr>
          <w:p w14:paraId="5B98A2F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9AFA629"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3286259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5F5E1D7A"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389DAD8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1418116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1CB3897" w14:textId="77777777" w:rsidTr="0052322B">
        <w:trPr>
          <w:trHeight w:val="248"/>
        </w:trPr>
        <w:tc>
          <w:tcPr>
            <w:tcW w:w="2071" w:type="dxa"/>
            <w:shd w:val="clear" w:color="auto" w:fill="auto"/>
          </w:tcPr>
          <w:p w14:paraId="074EA1E5"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lang w:val="de-DE"/>
              </w:rPr>
            </w:pPr>
            <w:r w:rsidRPr="00B7773D">
              <w:rPr>
                <w:rFonts w:ascii="Book Antiqua" w:eastAsia="Calibri" w:hAnsi="Book Antiqua"/>
                <w:bCs/>
                <w:sz w:val="24"/>
                <w:szCs w:val="24"/>
                <w:lang w:val="de-DE"/>
              </w:rPr>
              <w:t>Male</w:t>
            </w:r>
          </w:p>
        </w:tc>
        <w:tc>
          <w:tcPr>
            <w:tcW w:w="1134" w:type="dxa"/>
            <w:shd w:val="clear" w:color="auto" w:fill="auto"/>
          </w:tcPr>
          <w:p w14:paraId="6EA575F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155</w:t>
            </w:r>
          </w:p>
        </w:tc>
        <w:tc>
          <w:tcPr>
            <w:tcW w:w="1015" w:type="dxa"/>
            <w:shd w:val="clear" w:color="auto" w:fill="auto"/>
          </w:tcPr>
          <w:p w14:paraId="5CABE2F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28</w:t>
            </w:r>
          </w:p>
        </w:tc>
        <w:tc>
          <w:tcPr>
            <w:tcW w:w="1134" w:type="dxa"/>
            <w:shd w:val="clear" w:color="auto" w:fill="auto"/>
          </w:tcPr>
          <w:p w14:paraId="492F145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61</w:t>
            </w:r>
          </w:p>
        </w:tc>
        <w:tc>
          <w:tcPr>
            <w:tcW w:w="1134" w:type="dxa"/>
            <w:shd w:val="clear" w:color="auto" w:fill="auto"/>
          </w:tcPr>
          <w:p w14:paraId="2E2C3C0D"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72088E8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94</w:t>
            </w:r>
          </w:p>
        </w:tc>
        <w:tc>
          <w:tcPr>
            <w:tcW w:w="992" w:type="dxa"/>
            <w:shd w:val="clear" w:color="auto" w:fill="auto"/>
          </w:tcPr>
          <w:p w14:paraId="4D506F50"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31</w:t>
            </w:r>
          </w:p>
        </w:tc>
      </w:tr>
      <w:tr w:rsidR="00B7773D" w:rsidRPr="00B751AA" w14:paraId="4B99F713" w14:textId="77777777" w:rsidTr="0052322B">
        <w:trPr>
          <w:trHeight w:val="728"/>
        </w:trPr>
        <w:tc>
          <w:tcPr>
            <w:tcW w:w="2071" w:type="dxa"/>
            <w:shd w:val="clear" w:color="auto" w:fill="auto"/>
          </w:tcPr>
          <w:p w14:paraId="0C46BB3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lang w:val="de-DE"/>
              </w:rPr>
            </w:pPr>
            <w:r w:rsidRPr="00B7773D">
              <w:rPr>
                <w:rFonts w:ascii="Book Antiqua" w:eastAsia="Calibri" w:hAnsi="Book Antiqua"/>
                <w:bCs/>
                <w:sz w:val="24"/>
                <w:szCs w:val="24"/>
                <w:lang w:val="de-DE"/>
              </w:rPr>
              <w:t>Female</w:t>
            </w:r>
          </w:p>
        </w:tc>
        <w:tc>
          <w:tcPr>
            <w:tcW w:w="1134" w:type="dxa"/>
            <w:shd w:val="clear" w:color="auto" w:fill="auto"/>
          </w:tcPr>
          <w:p w14:paraId="108A10D1"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40</w:t>
            </w:r>
          </w:p>
        </w:tc>
        <w:tc>
          <w:tcPr>
            <w:tcW w:w="1015" w:type="dxa"/>
            <w:shd w:val="clear" w:color="auto" w:fill="auto"/>
          </w:tcPr>
          <w:p w14:paraId="1BB3ECD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c>
          <w:tcPr>
            <w:tcW w:w="1134" w:type="dxa"/>
            <w:shd w:val="clear" w:color="auto" w:fill="auto"/>
          </w:tcPr>
          <w:p w14:paraId="6092599C"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c>
          <w:tcPr>
            <w:tcW w:w="1134" w:type="dxa"/>
            <w:shd w:val="clear" w:color="auto" w:fill="auto"/>
          </w:tcPr>
          <w:p w14:paraId="69849D8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32</w:t>
            </w:r>
          </w:p>
        </w:tc>
        <w:tc>
          <w:tcPr>
            <w:tcW w:w="1134" w:type="dxa"/>
            <w:shd w:val="clear" w:color="auto" w:fill="auto"/>
          </w:tcPr>
          <w:p w14:paraId="1F9BEE1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11</w:t>
            </w:r>
          </w:p>
        </w:tc>
        <w:tc>
          <w:tcPr>
            <w:tcW w:w="992" w:type="dxa"/>
            <w:shd w:val="clear" w:color="auto" w:fill="auto"/>
          </w:tcPr>
          <w:p w14:paraId="3C094B49"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12</w:t>
            </w:r>
          </w:p>
        </w:tc>
      </w:tr>
      <w:tr w:rsidR="00BB36AA" w:rsidRPr="00B751AA" w14:paraId="54EDED69" w14:textId="77777777" w:rsidTr="0052322B">
        <w:trPr>
          <w:trHeight w:val="279"/>
        </w:trPr>
        <w:tc>
          <w:tcPr>
            <w:tcW w:w="2071" w:type="dxa"/>
            <w:shd w:val="clear" w:color="auto" w:fill="auto"/>
          </w:tcPr>
          <w:p w14:paraId="6CA87FA6" w14:textId="77777777" w:rsidR="00BB36AA" w:rsidRPr="00B7773D" w:rsidRDefault="00BB36AA"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rPr>
              <w:t>Therapy</w:t>
            </w:r>
          </w:p>
        </w:tc>
        <w:tc>
          <w:tcPr>
            <w:tcW w:w="1134" w:type="dxa"/>
            <w:shd w:val="clear" w:color="auto" w:fill="auto"/>
          </w:tcPr>
          <w:p w14:paraId="1735E4CA"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996D90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7B0F90A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1F2CD3E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15C9DCD3"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7C293BF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379C5ED" w14:textId="77777777" w:rsidTr="0052322B">
        <w:trPr>
          <w:trHeight w:val="326"/>
        </w:trPr>
        <w:tc>
          <w:tcPr>
            <w:tcW w:w="2071" w:type="dxa"/>
            <w:shd w:val="clear" w:color="auto" w:fill="auto"/>
          </w:tcPr>
          <w:p w14:paraId="46B9B308"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r w:rsidRPr="00B7773D">
              <w:rPr>
                <w:rFonts w:ascii="Book Antiqua" w:eastAsia="Calibri" w:hAnsi="Book Antiqua"/>
                <w:bCs/>
                <w:sz w:val="24"/>
                <w:szCs w:val="24"/>
              </w:rPr>
              <w:t>Surgery only</w:t>
            </w:r>
          </w:p>
        </w:tc>
        <w:tc>
          <w:tcPr>
            <w:tcW w:w="1134" w:type="dxa"/>
            <w:shd w:val="clear" w:color="auto" w:fill="auto"/>
          </w:tcPr>
          <w:p w14:paraId="5D16043C" w14:textId="77777777" w:rsidR="00B7773D" w:rsidRPr="00B7773D" w:rsidRDefault="00B7773D"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lang w:val="de-DE"/>
              </w:rPr>
              <w:t>89</w:t>
            </w:r>
          </w:p>
        </w:tc>
        <w:tc>
          <w:tcPr>
            <w:tcW w:w="1015" w:type="dxa"/>
            <w:shd w:val="clear" w:color="auto" w:fill="auto"/>
          </w:tcPr>
          <w:p w14:paraId="30AD52D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c>
          <w:tcPr>
            <w:tcW w:w="1134" w:type="dxa"/>
            <w:shd w:val="clear" w:color="auto" w:fill="auto"/>
          </w:tcPr>
          <w:p w14:paraId="044F717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32</w:t>
            </w:r>
          </w:p>
        </w:tc>
        <w:tc>
          <w:tcPr>
            <w:tcW w:w="1134" w:type="dxa"/>
            <w:shd w:val="clear" w:color="auto" w:fill="auto"/>
          </w:tcPr>
          <w:p w14:paraId="76C0FC5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649E213F"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 57</w:t>
            </w:r>
          </w:p>
        </w:tc>
        <w:tc>
          <w:tcPr>
            <w:tcW w:w="992" w:type="dxa"/>
            <w:shd w:val="clear" w:color="auto" w:fill="auto"/>
          </w:tcPr>
          <w:p w14:paraId="216E673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31</w:t>
            </w:r>
          </w:p>
        </w:tc>
      </w:tr>
      <w:tr w:rsidR="00B7773D" w:rsidRPr="00B751AA" w14:paraId="0773AD19" w14:textId="77777777" w:rsidTr="0052322B">
        <w:trPr>
          <w:trHeight w:val="1115"/>
        </w:trPr>
        <w:tc>
          <w:tcPr>
            <w:tcW w:w="2071" w:type="dxa"/>
            <w:shd w:val="clear" w:color="auto" w:fill="auto"/>
          </w:tcPr>
          <w:p w14:paraId="11AAE9F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proofErr w:type="spellStart"/>
            <w:r w:rsidRPr="00B7773D">
              <w:rPr>
                <w:rFonts w:ascii="Book Antiqua" w:eastAsia="Calibri" w:hAnsi="Book Antiqua"/>
                <w:bCs/>
                <w:sz w:val="24"/>
                <w:szCs w:val="24"/>
              </w:rPr>
              <w:t>RTx</w:t>
            </w:r>
            <w:proofErr w:type="spellEnd"/>
            <w:r w:rsidRPr="00B7773D">
              <w:rPr>
                <w:rFonts w:ascii="Book Antiqua" w:eastAsia="Calibri" w:hAnsi="Book Antiqua"/>
                <w:bCs/>
                <w:sz w:val="24"/>
                <w:szCs w:val="24"/>
              </w:rPr>
              <w:t>/</w:t>
            </w:r>
            <w:proofErr w:type="spellStart"/>
            <w:r w:rsidRPr="00B7773D">
              <w:rPr>
                <w:rFonts w:ascii="Book Antiqua" w:eastAsia="Calibri" w:hAnsi="Book Antiqua"/>
                <w:bCs/>
                <w:sz w:val="24"/>
                <w:szCs w:val="24"/>
              </w:rPr>
              <w:t>CTx</w:t>
            </w:r>
            <w:proofErr w:type="spellEnd"/>
            <w:r w:rsidRPr="00B7773D">
              <w:rPr>
                <w:rFonts w:ascii="Book Antiqua" w:eastAsia="Calibri" w:hAnsi="Book Antiqua"/>
                <w:bCs/>
                <w:sz w:val="24"/>
                <w:szCs w:val="24"/>
              </w:rPr>
              <w:t xml:space="preserve"> + surgery</w:t>
            </w:r>
          </w:p>
        </w:tc>
        <w:tc>
          <w:tcPr>
            <w:tcW w:w="1134" w:type="dxa"/>
            <w:shd w:val="clear" w:color="auto" w:fill="auto"/>
          </w:tcPr>
          <w:p w14:paraId="64DF876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106</w:t>
            </w:r>
          </w:p>
        </w:tc>
        <w:tc>
          <w:tcPr>
            <w:tcW w:w="1015" w:type="dxa"/>
            <w:shd w:val="clear" w:color="auto" w:fill="auto"/>
          </w:tcPr>
          <w:p w14:paraId="6E5A0A86"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0F52B8E9"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58</w:t>
            </w:r>
          </w:p>
          <w:p w14:paraId="738C6A6E"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6CDBE91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4B8AA76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 48</w:t>
            </w:r>
          </w:p>
        </w:tc>
        <w:tc>
          <w:tcPr>
            <w:tcW w:w="992" w:type="dxa"/>
            <w:shd w:val="clear" w:color="auto" w:fill="auto"/>
          </w:tcPr>
          <w:p w14:paraId="2145A26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28</w:t>
            </w:r>
          </w:p>
        </w:tc>
      </w:tr>
      <w:tr w:rsidR="00BB36AA" w:rsidRPr="00B751AA" w14:paraId="478309D5" w14:textId="77777777" w:rsidTr="0052322B">
        <w:trPr>
          <w:trHeight w:val="295"/>
        </w:trPr>
        <w:tc>
          <w:tcPr>
            <w:tcW w:w="2071" w:type="dxa"/>
            <w:shd w:val="clear" w:color="auto" w:fill="auto"/>
          </w:tcPr>
          <w:p w14:paraId="7BC45898" w14:textId="77777777" w:rsidR="00BB36AA" w:rsidRPr="00B7773D" w:rsidRDefault="00BB36AA"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rPr>
              <w:t>T-category</w:t>
            </w:r>
          </w:p>
        </w:tc>
        <w:tc>
          <w:tcPr>
            <w:tcW w:w="1134" w:type="dxa"/>
            <w:shd w:val="clear" w:color="auto" w:fill="auto"/>
          </w:tcPr>
          <w:p w14:paraId="3687A81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D496C21"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54C5F0AC"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48AEE9A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7946661C"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1CC83417"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DCCAB62" w14:textId="77777777" w:rsidTr="0052322B">
        <w:trPr>
          <w:trHeight w:val="341"/>
        </w:trPr>
        <w:tc>
          <w:tcPr>
            <w:tcW w:w="2071" w:type="dxa"/>
            <w:shd w:val="clear" w:color="auto" w:fill="auto"/>
          </w:tcPr>
          <w:p w14:paraId="091D020E"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r w:rsidRPr="00B7773D">
              <w:rPr>
                <w:rFonts w:ascii="Book Antiqua" w:eastAsia="Calibri" w:hAnsi="Book Antiqua"/>
                <w:bCs/>
                <w:sz w:val="24"/>
                <w:szCs w:val="24"/>
              </w:rPr>
              <w:t>pT2</w:t>
            </w:r>
          </w:p>
        </w:tc>
        <w:tc>
          <w:tcPr>
            <w:tcW w:w="1134" w:type="dxa"/>
            <w:shd w:val="clear" w:color="auto" w:fill="auto"/>
          </w:tcPr>
          <w:p w14:paraId="38E4861D" w14:textId="77777777" w:rsidR="00B7773D" w:rsidRPr="00B7773D" w:rsidRDefault="00B7773D"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lang w:val="de-DE"/>
              </w:rPr>
              <w:t>30</w:t>
            </w:r>
          </w:p>
        </w:tc>
        <w:tc>
          <w:tcPr>
            <w:tcW w:w="1015" w:type="dxa"/>
            <w:shd w:val="clear" w:color="auto" w:fill="auto"/>
          </w:tcPr>
          <w:p w14:paraId="31F9D4C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46</w:t>
            </w:r>
          </w:p>
        </w:tc>
        <w:tc>
          <w:tcPr>
            <w:tcW w:w="1134" w:type="dxa"/>
            <w:shd w:val="clear" w:color="auto" w:fill="auto"/>
          </w:tcPr>
          <w:p w14:paraId="5864089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w:t>
            </w:r>
          </w:p>
        </w:tc>
        <w:tc>
          <w:tcPr>
            <w:tcW w:w="1134" w:type="dxa"/>
            <w:shd w:val="clear" w:color="auto" w:fill="auto"/>
          </w:tcPr>
          <w:p w14:paraId="10AA7B3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62</w:t>
            </w:r>
          </w:p>
        </w:tc>
        <w:tc>
          <w:tcPr>
            <w:tcW w:w="1134" w:type="dxa"/>
            <w:shd w:val="clear" w:color="auto" w:fill="auto"/>
          </w:tcPr>
          <w:p w14:paraId="77450E0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24</w:t>
            </w:r>
          </w:p>
        </w:tc>
        <w:tc>
          <w:tcPr>
            <w:tcW w:w="992" w:type="dxa"/>
            <w:shd w:val="clear" w:color="auto" w:fill="auto"/>
          </w:tcPr>
          <w:p w14:paraId="2F38B6E1"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43</w:t>
            </w:r>
          </w:p>
        </w:tc>
      </w:tr>
      <w:tr w:rsidR="00B7773D" w:rsidRPr="00B751AA" w14:paraId="120BCBD4" w14:textId="77777777" w:rsidTr="0052322B">
        <w:trPr>
          <w:trHeight w:val="650"/>
        </w:trPr>
        <w:tc>
          <w:tcPr>
            <w:tcW w:w="2071" w:type="dxa"/>
            <w:shd w:val="clear" w:color="auto" w:fill="auto"/>
          </w:tcPr>
          <w:p w14:paraId="1FD799A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proofErr w:type="spellStart"/>
            <w:r w:rsidRPr="00B7773D">
              <w:rPr>
                <w:rFonts w:ascii="Book Antiqua" w:eastAsia="Calibri" w:hAnsi="Book Antiqua"/>
                <w:bCs/>
                <w:sz w:val="24"/>
                <w:szCs w:val="24"/>
              </w:rPr>
              <w:t>cT</w:t>
            </w:r>
            <w:proofErr w:type="spellEnd"/>
            <w:r w:rsidRPr="00B7773D">
              <w:rPr>
                <w:rFonts w:ascii="Book Antiqua" w:eastAsia="Calibri" w:hAnsi="Book Antiqua"/>
                <w:bCs/>
                <w:sz w:val="24"/>
                <w:szCs w:val="24"/>
              </w:rPr>
              <w:t>/pT3</w:t>
            </w:r>
          </w:p>
        </w:tc>
        <w:tc>
          <w:tcPr>
            <w:tcW w:w="1134" w:type="dxa"/>
            <w:shd w:val="clear" w:color="auto" w:fill="auto"/>
          </w:tcPr>
          <w:p w14:paraId="2D2F823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165</w:t>
            </w:r>
          </w:p>
        </w:tc>
        <w:tc>
          <w:tcPr>
            <w:tcW w:w="1015" w:type="dxa"/>
            <w:shd w:val="clear" w:color="auto" w:fill="auto"/>
          </w:tcPr>
          <w:p w14:paraId="12A2BE2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086515DE"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84</w:t>
            </w:r>
          </w:p>
        </w:tc>
        <w:tc>
          <w:tcPr>
            <w:tcW w:w="1134" w:type="dxa"/>
            <w:shd w:val="clear" w:color="auto" w:fill="auto"/>
          </w:tcPr>
          <w:p w14:paraId="29048E4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24</w:t>
            </w:r>
          </w:p>
        </w:tc>
        <w:tc>
          <w:tcPr>
            <w:tcW w:w="1134" w:type="dxa"/>
            <w:shd w:val="clear" w:color="auto" w:fill="auto"/>
          </w:tcPr>
          <w:p w14:paraId="2ED2650D"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81</w:t>
            </w:r>
          </w:p>
        </w:tc>
        <w:tc>
          <w:tcPr>
            <w:tcW w:w="992" w:type="dxa"/>
            <w:shd w:val="clear" w:color="auto" w:fill="auto"/>
          </w:tcPr>
          <w:p w14:paraId="587B6CD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r>
      <w:tr w:rsidR="00BB36AA" w:rsidRPr="00B751AA" w14:paraId="19B105F9" w14:textId="77777777" w:rsidTr="0052322B">
        <w:tc>
          <w:tcPr>
            <w:tcW w:w="2071" w:type="dxa"/>
            <w:shd w:val="clear" w:color="auto" w:fill="auto"/>
          </w:tcPr>
          <w:p w14:paraId="69973551"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Endoscopic biopsy</w:t>
            </w:r>
          </w:p>
        </w:tc>
        <w:tc>
          <w:tcPr>
            <w:tcW w:w="1134" w:type="dxa"/>
            <w:shd w:val="clear" w:color="auto" w:fill="auto"/>
          </w:tcPr>
          <w:p w14:paraId="68E5523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104</w:t>
            </w:r>
          </w:p>
        </w:tc>
        <w:tc>
          <w:tcPr>
            <w:tcW w:w="1015" w:type="dxa"/>
            <w:shd w:val="clear" w:color="auto" w:fill="auto"/>
          </w:tcPr>
          <w:p w14:paraId="408F25F9"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4EB0AB2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58</w:t>
            </w:r>
          </w:p>
        </w:tc>
        <w:tc>
          <w:tcPr>
            <w:tcW w:w="1134" w:type="dxa"/>
            <w:shd w:val="clear" w:color="auto" w:fill="auto"/>
          </w:tcPr>
          <w:p w14:paraId="6AA3E8DD"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22</w:t>
            </w:r>
          </w:p>
        </w:tc>
        <w:tc>
          <w:tcPr>
            <w:tcW w:w="1134" w:type="dxa"/>
            <w:shd w:val="clear" w:color="auto" w:fill="auto"/>
          </w:tcPr>
          <w:p w14:paraId="2D29485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46</w:t>
            </w:r>
          </w:p>
        </w:tc>
        <w:tc>
          <w:tcPr>
            <w:tcW w:w="992" w:type="dxa"/>
            <w:shd w:val="clear" w:color="auto" w:fill="auto"/>
          </w:tcPr>
          <w:p w14:paraId="23CA0F13"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r>
    </w:tbl>
    <w:p w14:paraId="373EF288" w14:textId="77777777" w:rsidR="00BB36AA" w:rsidRPr="00B751AA" w:rsidRDefault="00BB36AA" w:rsidP="00B751AA">
      <w:pPr>
        <w:adjustRightInd w:val="0"/>
        <w:snapToGrid w:val="0"/>
        <w:spacing w:after="0" w:line="360" w:lineRule="auto"/>
        <w:jc w:val="both"/>
        <w:rPr>
          <w:rFonts w:ascii="Book Antiqua" w:hAnsi="Book Antiqua" w:cs="Arial"/>
          <w:bCs/>
          <w:sz w:val="24"/>
          <w:szCs w:val="24"/>
          <w:lang w:val="en-GB"/>
        </w:rPr>
      </w:pPr>
      <w:r w:rsidRPr="00B751AA">
        <w:rPr>
          <w:rFonts w:ascii="Book Antiqua" w:hAnsi="Book Antiqua" w:cs="Arial"/>
          <w:bCs/>
          <w:sz w:val="24"/>
          <w:szCs w:val="24"/>
          <w:lang w:val="en-GB"/>
        </w:rPr>
        <w:t>5Y-SR</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5-year survival rate; EAC</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Adenocarcinoma </w:t>
      </w:r>
      <w:r w:rsidR="00DF1C41" w:rsidRPr="00B751AA">
        <w:rPr>
          <w:rFonts w:ascii="Book Antiqua" w:hAnsi="Book Antiqua" w:cs="Arial"/>
          <w:bCs/>
          <w:sz w:val="24"/>
          <w:szCs w:val="24"/>
          <w:lang w:val="en-GB"/>
        </w:rPr>
        <w:t xml:space="preserve">of the </w:t>
      </w:r>
      <w:proofErr w:type="spellStart"/>
      <w:r w:rsidR="00DF1C41"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ESCC</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Squamous </w:t>
      </w:r>
      <w:r w:rsidRPr="00B751AA">
        <w:rPr>
          <w:rFonts w:ascii="Book Antiqua" w:hAnsi="Book Antiqua" w:cs="Arial"/>
          <w:bCs/>
          <w:sz w:val="24"/>
          <w:szCs w:val="24"/>
          <w:lang w:val="en-GB"/>
        </w:rPr>
        <w:t xml:space="preserve">cell carcinoma of the </w:t>
      </w:r>
      <w:proofErr w:type="spellStart"/>
      <w:r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xml:space="preserve">; </w:t>
      </w:r>
      <w:proofErr w:type="spellStart"/>
      <w:r w:rsidRPr="00B751AA">
        <w:rPr>
          <w:rFonts w:ascii="Book Antiqua" w:hAnsi="Book Antiqua" w:cs="Arial"/>
          <w:bCs/>
          <w:sz w:val="24"/>
          <w:szCs w:val="24"/>
          <w:lang w:val="en-GB"/>
        </w:rPr>
        <w:t>pT</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Pathologic</w:t>
      </w:r>
      <w:r w:rsidR="00B7773D">
        <w:rPr>
          <w:rFonts w:ascii="Book Antiqua" w:hAnsi="Book Antiqua" w:cs="Arial"/>
          <w:bCs/>
          <w:sz w:val="24"/>
          <w:szCs w:val="24"/>
          <w:lang w:val="en-GB"/>
        </w:rPr>
        <w:t xml:space="preserve"> </w:t>
      </w:r>
      <w:proofErr w:type="spellStart"/>
      <w:r w:rsidR="00B7773D">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w:t>
      </w:r>
      <w:proofErr w:type="spellStart"/>
      <w:r w:rsidRPr="00B751AA">
        <w:rPr>
          <w:rFonts w:ascii="Book Antiqua" w:hAnsi="Book Antiqua" w:cs="Arial"/>
          <w:bCs/>
          <w:sz w:val="24"/>
          <w:szCs w:val="24"/>
          <w:lang w:val="en-GB"/>
        </w:rPr>
        <w:t>cT</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Clinical </w:t>
      </w:r>
      <w:proofErr w:type="spellStart"/>
      <w:r w:rsidRPr="00B751AA">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category; </w:t>
      </w:r>
      <w:proofErr w:type="spellStart"/>
      <w:r w:rsidRPr="00B751AA">
        <w:rPr>
          <w:rFonts w:ascii="Book Antiqua" w:hAnsi="Book Antiqua" w:cs="Arial"/>
          <w:bCs/>
          <w:sz w:val="24"/>
          <w:szCs w:val="24"/>
          <w:lang w:val="en-GB"/>
        </w:rPr>
        <w:t>RTx</w:t>
      </w:r>
      <w:proofErr w:type="spellEnd"/>
      <w:r w:rsidRPr="00B751AA">
        <w:rPr>
          <w:rFonts w:ascii="Book Antiqua" w:hAnsi="Book Antiqua" w:cs="Arial"/>
          <w:bCs/>
          <w:sz w:val="24"/>
          <w:szCs w:val="24"/>
          <w:lang w:val="en-GB"/>
        </w:rPr>
        <w:t>/</w:t>
      </w:r>
      <w:proofErr w:type="spellStart"/>
      <w:r w:rsidRPr="00B751AA">
        <w:rPr>
          <w:rFonts w:ascii="Book Antiqua" w:hAnsi="Book Antiqua" w:cs="Arial"/>
          <w:bCs/>
          <w:sz w:val="24"/>
          <w:szCs w:val="24"/>
          <w:lang w:val="en-GB"/>
        </w:rPr>
        <w:t>CTx</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Neoadjuvant </w:t>
      </w:r>
      <w:r w:rsidRPr="00B751AA">
        <w:rPr>
          <w:rFonts w:ascii="Book Antiqua" w:hAnsi="Book Antiqua" w:cs="Arial"/>
          <w:bCs/>
          <w:sz w:val="24"/>
          <w:szCs w:val="24"/>
          <w:lang w:val="en-GB"/>
        </w:rPr>
        <w:t>radio-/chemotherapy.</w:t>
      </w:r>
    </w:p>
    <w:p w14:paraId="04EB136B" w14:textId="77777777" w:rsidR="00BB36AA" w:rsidRPr="00B751AA" w:rsidRDefault="00BB36AA" w:rsidP="00B751AA">
      <w:pPr>
        <w:snapToGrid w:val="0"/>
        <w:spacing w:after="0" w:line="360" w:lineRule="auto"/>
        <w:jc w:val="both"/>
        <w:rPr>
          <w:rFonts w:ascii="Book Antiqua" w:hAnsi="Book Antiqua" w:cs="Arial"/>
          <w:bCs/>
          <w:sz w:val="24"/>
          <w:szCs w:val="24"/>
          <w:lang w:val="en-GB"/>
        </w:rPr>
      </w:pPr>
      <w:r w:rsidRPr="00B751AA">
        <w:rPr>
          <w:rFonts w:ascii="Book Antiqua" w:hAnsi="Book Antiqua" w:cs="Arial"/>
          <w:bCs/>
          <w:sz w:val="24"/>
          <w:szCs w:val="24"/>
          <w:lang w:val="en-GB"/>
        </w:rPr>
        <w:br w:type="page"/>
      </w:r>
    </w:p>
    <w:p w14:paraId="49549256" w14:textId="77777777" w:rsidR="00BB36AA" w:rsidRPr="00B751AA" w:rsidRDefault="00BB36AA" w:rsidP="00B751AA">
      <w:pPr>
        <w:adjustRightInd w:val="0"/>
        <w:snapToGrid w:val="0"/>
        <w:spacing w:after="0" w:line="360" w:lineRule="auto"/>
        <w:jc w:val="both"/>
        <w:rPr>
          <w:rFonts w:ascii="Book Antiqua" w:hAnsi="Book Antiqua" w:cs="Arial"/>
          <w:b/>
          <w:sz w:val="24"/>
          <w:szCs w:val="24"/>
        </w:rPr>
      </w:pPr>
      <w:r w:rsidRPr="00B751AA">
        <w:rPr>
          <w:rFonts w:ascii="Book Antiqua" w:hAnsi="Book Antiqua" w:cs="Arial"/>
          <w:b/>
          <w:sz w:val="24"/>
          <w:szCs w:val="24"/>
        </w:rPr>
        <w:lastRenderedPageBreak/>
        <w:t xml:space="preserve">Table 2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in esophageal cancer </w:t>
      </w:r>
      <w:r w:rsidR="00B7773D" w:rsidRPr="00B7773D">
        <w:rPr>
          <w:rFonts w:ascii="Book Antiqua" w:hAnsi="Book Antiqua" w:cs="Arial"/>
          <w:b/>
          <w:sz w:val="24"/>
          <w:szCs w:val="24"/>
          <w:lang w:val="en-GB"/>
        </w:rPr>
        <w:t xml:space="preserve">squamous cell carcinoma of the </w:t>
      </w:r>
      <w:proofErr w:type="spellStart"/>
      <w:r w:rsidR="00B7773D" w:rsidRPr="00B7773D">
        <w:rPr>
          <w:rFonts w:ascii="Book Antiqua" w:hAnsi="Book Antiqua" w:cs="Arial"/>
          <w:b/>
          <w:sz w:val="24"/>
          <w:szCs w:val="24"/>
          <w:lang w:val="en-GB"/>
        </w:rPr>
        <w:t>esophagus</w:t>
      </w:r>
      <w:proofErr w:type="spellEnd"/>
      <w:r w:rsidR="00B7773D" w:rsidRPr="00B7773D">
        <w:rPr>
          <w:rFonts w:ascii="Book Antiqua" w:hAnsi="Book Antiqua" w:cs="Arial"/>
          <w:b/>
          <w:i/>
          <w:iCs/>
          <w:sz w:val="24"/>
          <w:szCs w:val="24"/>
        </w:rPr>
        <w:t xml:space="preserve"> </w:t>
      </w:r>
      <w:r w:rsidRPr="00B7773D">
        <w:rPr>
          <w:rFonts w:ascii="Book Antiqua" w:hAnsi="Book Antiqua" w:cs="Arial"/>
          <w:b/>
          <w:i/>
          <w:iCs/>
          <w:sz w:val="24"/>
          <w:szCs w:val="24"/>
        </w:rPr>
        <w:t>vs</w:t>
      </w:r>
      <w:r w:rsidRPr="00B751AA">
        <w:rPr>
          <w:rFonts w:ascii="Book Antiqua" w:hAnsi="Book Antiqua" w:cs="Arial"/>
          <w:b/>
          <w:sz w:val="24"/>
          <w:szCs w:val="24"/>
        </w:rPr>
        <w:t xml:space="preserve"> </w:t>
      </w:r>
      <w:r w:rsidR="00DF1C41" w:rsidRPr="00B751AA">
        <w:rPr>
          <w:rFonts w:ascii="Book Antiqua" w:hAnsi="Book Antiqua" w:cs="Arial"/>
          <w:b/>
          <w:sz w:val="24"/>
          <w:szCs w:val="24"/>
        </w:rPr>
        <w:t>adenocarcinoma of the esophagus</w:t>
      </w:r>
    </w:p>
    <w:tbl>
      <w:tblPr>
        <w:tblW w:w="8721" w:type="dxa"/>
        <w:tblInd w:w="-284" w:type="dxa"/>
        <w:tblBorders>
          <w:top w:val="single" w:sz="4" w:space="0" w:color="auto"/>
          <w:bottom w:val="single" w:sz="4" w:space="0" w:color="auto"/>
        </w:tblBorders>
        <w:tblLayout w:type="fixed"/>
        <w:tblLook w:val="04A0" w:firstRow="1" w:lastRow="0" w:firstColumn="1" w:lastColumn="0" w:noHBand="0" w:noVBand="1"/>
      </w:tblPr>
      <w:tblGrid>
        <w:gridCol w:w="1952"/>
        <w:gridCol w:w="680"/>
        <w:gridCol w:w="1453"/>
        <w:gridCol w:w="836"/>
        <w:gridCol w:w="1453"/>
        <w:gridCol w:w="894"/>
        <w:gridCol w:w="1453"/>
      </w:tblGrid>
      <w:tr w:rsidR="00B7773D" w:rsidRPr="00B751AA" w14:paraId="557D36A3" w14:textId="77777777" w:rsidTr="002F632A">
        <w:tc>
          <w:tcPr>
            <w:tcW w:w="1952" w:type="dxa"/>
            <w:vMerge w:val="restart"/>
            <w:shd w:val="clear" w:color="auto" w:fill="auto"/>
          </w:tcPr>
          <w:p w14:paraId="4C7EDC5C" w14:textId="77777777" w:rsidR="00B7773D" w:rsidRPr="00B7773D" w:rsidRDefault="00B7773D" w:rsidP="00B751AA">
            <w:pPr>
              <w:snapToGrid w:val="0"/>
              <w:spacing w:after="0" w:line="360" w:lineRule="auto"/>
              <w:jc w:val="both"/>
              <w:rPr>
                <w:rFonts w:ascii="Book Antiqua" w:eastAsia="Calibri" w:hAnsi="Book Antiqua"/>
                <w:b/>
                <w:bCs/>
                <w:sz w:val="24"/>
                <w:szCs w:val="24"/>
              </w:rPr>
            </w:pPr>
          </w:p>
        </w:tc>
        <w:tc>
          <w:tcPr>
            <w:tcW w:w="2133" w:type="dxa"/>
            <w:gridSpan w:val="2"/>
            <w:tcBorders>
              <w:bottom w:val="nil"/>
            </w:tcBorders>
            <w:shd w:val="clear" w:color="auto" w:fill="auto"/>
          </w:tcPr>
          <w:p w14:paraId="39D89D93"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Total</w:t>
            </w:r>
          </w:p>
        </w:tc>
        <w:tc>
          <w:tcPr>
            <w:tcW w:w="2289" w:type="dxa"/>
            <w:gridSpan w:val="2"/>
            <w:tcBorders>
              <w:bottom w:val="nil"/>
            </w:tcBorders>
            <w:shd w:val="clear" w:color="auto" w:fill="auto"/>
          </w:tcPr>
          <w:p w14:paraId="4621D64F"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ESCC</w:t>
            </w:r>
          </w:p>
        </w:tc>
        <w:tc>
          <w:tcPr>
            <w:tcW w:w="2347" w:type="dxa"/>
            <w:gridSpan w:val="2"/>
            <w:tcBorders>
              <w:bottom w:val="nil"/>
            </w:tcBorders>
            <w:shd w:val="clear" w:color="auto" w:fill="auto"/>
          </w:tcPr>
          <w:p w14:paraId="1B278099"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EAC</w:t>
            </w:r>
          </w:p>
        </w:tc>
      </w:tr>
      <w:tr w:rsidR="00B7773D" w:rsidRPr="00B751AA" w14:paraId="00A70CD7" w14:textId="77777777" w:rsidTr="002F632A">
        <w:tc>
          <w:tcPr>
            <w:tcW w:w="1952" w:type="dxa"/>
            <w:vMerge/>
            <w:tcBorders>
              <w:bottom w:val="single" w:sz="4" w:space="0" w:color="auto"/>
            </w:tcBorders>
            <w:shd w:val="clear" w:color="auto" w:fill="auto"/>
          </w:tcPr>
          <w:p w14:paraId="3FA5E8E0"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p>
        </w:tc>
        <w:tc>
          <w:tcPr>
            <w:tcW w:w="680" w:type="dxa"/>
            <w:tcBorders>
              <w:top w:val="nil"/>
              <w:bottom w:val="single" w:sz="4" w:space="0" w:color="auto"/>
            </w:tcBorders>
            <w:shd w:val="clear" w:color="auto" w:fill="auto"/>
          </w:tcPr>
          <w:p w14:paraId="5AE3B529"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6CA9D34A"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c>
          <w:tcPr>
            <w:tcW w:w="836" w:type="dxa"/>
            <w:tcBorders>
              <w:top w:val="nil"/>
              <w:bottom w:val="single" w:sz="4" w:space="0" w:color="auto"/>
            </w:tcBorders>
            <w:shd w:val="clear" w:color="auto" w:fill="auto"/>
          </w:tcPr>
          <w:p w14:paraId="4A1B9F37"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20B7D906"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c>
          <w:tcPr>
            <w:tcW w:w="894" w:type="dxa"/>
            <w:tcBorders>
              <w:top w:val="nil"/>
              <w:bottom w:val="single" w:sz="4" w:space="0" w:color="auto"/>
            </w:tcBorders>
            <w:shd w:val="clear" w:color="auto" w:fill="auto"/>
          </w:tcPr>
          <w:p w14:paraId="480D7F11"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48D07861"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r>
      <w:tr w:rsidR="00BB36AA" w:rsidRPr="00B751AA" w14:paraId="72218B26" w14:textId="77777777" w:rsidTr="002F632A">
        <w:tc>
          <w:tcPr>
            <w:tcW w:w="1952" w:type="dxa"/>
            <w:tcBorders>
              <w:top w:val="single" w:sz="4" w:space="0" w:color="auto"/>
              <w:bottom w:val="nil"/>
            </w:tcBorders>
            <w:shd w:val="clear" w:color="auto" w:fill="auto"/>
          </w:tcPr>
          <w:p w14:paraId="23A4414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 xml:space="preserve">Total </w:t>
            </w:r>
            <w:r w:rsidR="00B7773D" w:rsidRPr="002F632A">
              <w:rPr>
                <w:rFonts w:ascii="Book Antiqua" w:eastAsia="Calibri" w:hAnsi="Book Antiqua"/>
                <w:bCs/>
                <w:sz w:val="24"/>
                <w:szCs w:val="24"/>
                <w:lang w:val="de-DE"/>
              </w:rPr>
              <w:t>study cohort</w:t>
            </w:r>
          </w:p>
        </w:tc>
        <w:tc>
          <w:tcPr>
            <w:tcW w:w="680" w:type="dxa"/>
            <w:tcBorders>
              <w:top w:val="single" w:sz="4" w:space="0" w:color="auto"/>
              <w:bottom w:val="nil"/>
            </w:tcBorders>
            <w:shd w:val="clear" w:color="auto" w:fill="auto"/>
          </w:tcPr>
          <w:p w14:paraId="6F697BA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195</w:t>
            </w:r>
          </w:p>
        </w:tc>
        <w:tc>
          <w:tcPr>
            <w:tcW w:w="1453" w:type="dxa"/>
            <w:tcBorders>
              <w:top w:val="single" w:sz="4" w:space="0" w:color="auto"/>
              <w:bottom w:val="nil"/>
            </w:tcBorders>
            <w:shd w:val="clear" w:color="auto" w:fill="auto"/>
          </w:tcPr>
          <w:p w14:paraId="3CBA0E8C"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13</w:t>
            </w:r>
          </w:p>
        </w:tc>
        <w:tc>
          <w:tcPr>
            <w:tcW w:w="836" w:type="dxa"/>
            <w:tcBorders>
              <w:top w:val="single" w:sz="4" w:space="0" w:color="auto"/>
              <w:bottom w:val="nil"/>
            </w:tcBorders>
            <w:shd w:val="clear" w:color="auto" w:fill="auto"/>
          </w:tcPr>
          <w:p w14:paraId="48CCF4B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90</w:t>
            </w:r>
          </w:p>
        </w:tc>
        <w:tc>
          <w:tcPr>
            <w:tcW w:w="1453" w:type="dxa"/>
            <w:tcBorders>
              <w:top w:val="single" w:sz="4" w:space="0" w:color="auto"/>
              <w:bottom w:val="nil"/>
            </w:tcBorders>
            <w:shd w:val="clear" w:color="auto" w:fill="auto"/>
          </w:tcPr>
          <w:p w14:paraId="79D5D5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26</w:t>
            </w:r>
          </w:p>
        </w:tc>
        <w:tc>
          <w:tcPr>
            <w:tcW w:w="894" w:type="dxa"/>
            <w:tcBorders>
              <w:top w:val="single" w:sz="4" w:space="0" w:color="auto"/>
              <w:bottom w:val="nil"/>
            </w:tcBorders>
            <w:shd w:val="clear" w:color="auto" w:fill="auto"/>
          </w:tcPr>
          <w:p w14:paraId="1B6767C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105</w:t>
            </w:r>
          </w:p>
        </w:tc>
        <w:tc>
          <w:tcPr>
            <w:tcW w:w="1453" w:type="dxa"/>
            <w:tcBorders>
              <w:top w:val="single" w:sz="4" w:space="0" w:color="auto"/>
              <w:bottom w:val="nil"/>
            </w:tcBorders>
            <w:shd w:val="clear" w:color="auto" w:fill="auto"/>
          </w:tcPr>
          <w:p w14:paraId="6904A457"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B36AA" w:rsidRPr="00B751AA" w14:paraId="4905E81A" w14:textId="77777777" w:rsidTr="002F632A">
        <w:trPr>
          <w:trHeight w:val="325"/>
        </w:trPr>
        <w:tc>
          <w:tcPr>
            <w:tcW w:w="1952" w:type="dxa"/>
            <w:tcBorders>
              <w:top w:val="nil"/>
              <w:bottom w:val="nil"/>
            </w:tcBorders>
            <w:shd w:val="clear" w:color="auto" w:fill="auto"/>
          </w:tcPr>
          <w:p w14:paraId="0BE42014"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Gender</w:t>
            </w:r>
          </w:p>
        </w:tc>
        <w:tc>
          <w:tcPr>
            <w:tcW w:w="680" w:type="dxa"/>
            <w:tcBorders>
              <w:top w:val="nil"/>
              <w:bottom w:val="nil"/>
            </w:tcBorders>
            <w:shd w:val="clear" w:color="auto" w:fill="auto"/>
          </w:tcPr>
          <w:p w14:paraId="49AF48B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6484E606"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59795CB4"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1FE64E2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615092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6B0C1170"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12406501" w14:textId="77777777" w:rsidTr="002F632A">
        <w:trPr>
          <w:trHeight w:val="326"/>
        </w:trPr>
        <w:tc>
          <w:tcPr>
            <w:tcW w:w="1952" w:type="dxa"/>
            <w:tcBorders>
              <w:top w:val="nil"/>
              <w:bottom w:val="nil"/>
            </w:tcBorders>
            <w:shd w:val="clear" w:color="auto" w:fill="auto"/>
          </w:tcPr>
          <w:p w14:paraId="02A61560" w14:textId="77777777" w:rsidR="00B7773D" w:rsidRPr="002F632A" w:rsidRDefault="00B7773D" w:rsidP="00B7773D">
            <w:pPr>
              <w:snapToGrid w:val="0"/>
              <w:spacing w:after="0" w:line="360" w:lineRule="auto"/>
              <w:ind w:firstLineChars="50" w:firstLine="120"/>
              <w:jc w:val="both"/>
              <w:rPr>
                <w:rFonts w:ascii="Book Antiqua" w:eastAsia="Calibri" w:hAnsi="Book Antiqua"/>
                <w:bCs/>
                <w:sz w:val="24"/>
                <w:szCs w:val="24"/>
                <w:lang w:val="de-DE"/>
              </w:rPr>
            </w:pPr>
            <w:r w:rsidRPr="002F632A">
              <w:rPr>
                <w:rFonts w:ascii="Book Antiqua" w:eastAsia="Calibri" w:hAnsi="Book Antiqua"/>
                <w:bCs/>
                <w:sz w:val="24"/>
                <w:szCs w:val="24"/>
                <w:lang w:val="de-DE"/>
              </w:rPr>
              <w:t>Male</w:t>
            </w:r>
          </w:p>
        </w:tc>
        <w:tc>
          <w:tcPr>
            <w:tcW w:w="680" w:type="dxa"/>
            <w:tcBorders>
              <w:top w:val="nil"/>
              <w:bottom w:val="nil"/>
            </w:tcBorders>
            <w:shd w:val="clear" w:color="auto" w:fill="auto"/>
          </w:tcPr>
          <w:p w14:paraId="388EB4E1"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155</w:t>
            </w:r>
          </w:p>
        </w:tc>
        <w:tc>
          <w:tcPr>
            <w:tcW w:w="1453" w:type="dxa"/>
            <w:tcBorders>
              <w:top w:val="nil"/>
              <w:bottom w:val="nil"/>
            </w:tcBorders>
            <w:shd w:val="clear" w:color="auto" w:fill="auto"/>
          </w:tcPr>
          <w:p w14:paraId="55BDEDA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w:t>
            </w:r>
          </w:p>
        </w:tc>
        <w:tc>
          <w:tcPr>
            <w:tcW w:w="836" w:type="dxa"/>
            <w:tcBorders>
              <w:top w:val="nil"/>
              <w:bottom w:val="nil"/>
            </w:tcBorders>
            <w:shd w:val="clear" w:color="auto" w:fill="auto"/>
          </w:tcPr>
          <w:p w14:paraId="7252652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61</w:t>
            </w:r>
          </w:p>
        </w:tc>
        <w:tc>
          <w:tcPr>
            <w:tcW w:w="1453" w:type="dxa"/>
            <w:tcBorders>
              <w:top w:val="nil"/>
              <w:bottom w:val="nil"/>
            </w:tcBorders>
            <w:shd w:val="clear" w:color="auto" w:fill="auto"/>
          </w:tcPr>
          <w:p w14:paraId="5DFF41F6"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23</w:t>
            </w:r>
          </w:p>
        </w:tc>
        <w:tc>
          <w:tcPr>
            <w:tcW w:w="894" w:type="dxa"/>
            <w:tcBorders>
              <w:top w:val="nil"/>
              <w:bottom w:val="nil"/>
            </w:tcBorders>
            <w:shd w:val="clear" w:color="auto" w:fill="auto"/>
          </w:tcPr>
          <w:p w14:paraId="24926E9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94</w:t>
            </w:r>
          </w:p>
        </w:tc>
        <w:tc>
          <w:tcPr>
            <w:tcW w:w="1453" w:type="dxa"/>
            <w:tcBorders>
              <w:top w:val="nil"/>
              <w:bottom w:val="nil"/>
            </w:tcBorders>
            <w:shd w:val="clear" w:color="auto" w:fill="auto"/>
          </w:tcPr>
          <w:p w14:paraId="20A91968"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w:t>
            </w:r>
          </w:p>
        </w:tc>
      </w:tr>
      <w:tr w:rsidR="00B7773D" w:rsidRPr="00B751AA" w14:paraId="0EF4D5F1" w14:textId="77777777" w:rsidTr="002F632A">
        <w:trPr>
          <w:trHeight w:val="650"/>
        </w:trPr>
        <w:tc>
          <w:tcPr>
            <w:tcW w:w="1952" w:type="dxa"/>
            <w:tcBorders>
              <w:top w:val="nil"/>
              <w:bottom w:val="nil"/>
            </w:tcBorders>
            <w:shd w:val="clear" w:color="auto" w:fill="auto"/>
          </w:tcPr>
          <w:p w14:paraId="4B6F9002" w14:textId="77777777" w:rsidR="00B7773D" w:rsidRPr="002F632A" w:rsidRDefault="00B7773D" w:rsidP="00B7773D">
            <w:pPr>
              <w:snapToGrid w:val="0"/>
              <w:spacing w:after="0" w:line="360" w:lineRule="auto"/>
              <w:ind w:firstLineChars="50" w:firstLine="120"/>
              <w:jc w:val="both"/>
              <w:rPr>
                <w:rFonts w:ascii="Book Antiqua" w:eastAsia="Calibri" w:hAnsi="Book Antiqua"/>
                <w:bCs/>
                <w:sz w:val="24"/>
                <w:szCs w:val="24"/>
                <w:lang w:val="de-DE"/>
              </w:rPr>
            </w:pPr>
            <w:r w:rsidRPr="002F632A">
              <w:rPr>
                <w:rFonts w:ascii="Book Antiqua" w:eastAsia="Calibri" w:hAnsi="Book Antiqua"/>
                <w:bCs/>
                <w:sz w:val="24"/>
                <w:szCs w:val="24"/>
                <w:lang w:val="de-DE"/>
              </w:rPr>
              <w:t>Female</w:t>
            </w:r>
          </w:p>
        </w:tc>
        <w:tc>
          <w:tcPr>
            <w:tcW w:w="680" w:type="dxa"/>
            <w:tcBorders>
              <w:top w:val="nil"/>
              <w:bottom w:val="nil"/>
            </w:tcBorders>
            <w:shd w:val="clear" w:color="auto" w:fill="auto"/>
          </w:tcPr>
          <w:p w14:paraId="11F482DB"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40</w:t>
            </w:r>
          </w:p>
        </w:tc>
        <w:tc>
          <w:tcPr>
            <w:tcW w:w="1453" w:type="dxa"/>
            <w:tcBorders>
              <w:top w:val="nil"/>
              <w:bottom w:val="nil"/>
            </w:tcBorders>
            <w:shd w:val="clear" w:color="auto" w:fill="auto"/>
          </w:tcPr>
          <w:p w14:paraId="6C4CD52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25</w:t>
            </w:r>
          </w:p>
        </w:tc>
        <w:tc>
          <w:tcPr>
            <w:tcW w:w="836" w:type="dxa"/>
            <w:tcBorders>
              <w:top w:val="nil"/>
              <w:bottom w:val="nil"/>
            </w:tcBorders>
            <w:shd w:val="clear" w:color="auto" w:fill="auto"/>
          </w:tcPr>
          <w:p w14:paraId="5A9987C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29</w:t>
            </w:r>
          </w:p>
        </w:tc>
        <w:tc>
          <w:tcPr>
            <w:tcW w:w="1453" w:type="dxa"/>
            <w:tcBorders>
              <w:top w:val="nil"/>
              <w:bottom w:val="nil"/>
            </w:tcBorders>
            <w:shd w:val="clear" w:color="auto" w:fill="auto"/>
          </w:tcPr>
          <w:p w14:paraId="4EFB35C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32</w:t>
            </w:r>
          </w:p>
        </w:tc>
        <w:tc>
          <w:tcPr>
            <w:tcW w:w="894" w:type="dxa"/>
            <w:tcBorders>
              <w:top w:val="nil"/>
              <w:bottom w:val="nil"/>
            </w:tcBorders>
            <w:shd w:val="clear" w:color="auto" w:fill="auto"/>
          </w:tcPr>
          <w:p w14:paraId="164A4A77"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11</w:t>
            </w:r>
          </w:p>
        </w:tc>
        <w:tc>
          <w:tcPr>
            <w:tcW w:w="1453" w:type="dxa"/>
            <w:tcBorders>
              <w:top w:val="nil"/>
              <w:bottom w:val="nil"/>
            </w:tcBorders>
            <w:shd w:val="clear" w:color="auto" w:fill="auto"/>
          </w:tcPr>
          <w:p w14:paraId="3B177BC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w:t>
            </w:r>
          </w:p>
        </w:tc>
      </w:tr>
      <w:tr w:rsidR="00BB36AA" w:rsidRPr="00B751AA" w14:paraId="4A320373" w14:textId="77777777" w:rsidTr="002F632A">
        <w:trPr>
          <w:trHeight w:val="340"/>
        </w:trPr>
        <w:tc>
          <w:tcPr>
            <w:tcW w:w="1952" w:type="dxa"/>
            <w:tcBorders>
              <w:top w:val="nil"/>
              <w:bottom w:val="nil"/>
            </w:tcBorders>
            <w:shd w:val="clear" w:color="auto" w:fill="auto"/>
          </w:tcPr>
          <w:p w14:paraId="61C0450E" w14:textId="77777777" w:rsidR="00BB36AA" w:rsidRPr="002F632A" w:rsidRDefault="00BB36AA" w:rsidP="00B751AA">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rPr>
              <w:t>Therapy</w:t>
            </w:r>
          </w:p>
        </w:tc>
        <w:tc>
          <w:tcPr>
            <w:tcW w:w="680" w:type="dxa"/>
            <w:tcBorders>
              <w:top w:val="nil"/>
              <w:bottom w:val="nil"/>
            </w:tcBorders>
            <w:shd w:val="clear" w:color="auto" w:fill="auto"/>
          </w:tcPr>
          <w:p w14:paraId="282627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5AC10F99"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3B80413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4253A72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1E3FCBB9"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1077422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21358FE6" w14:textId="77777777" w:rsidTr="002F632A">
        <w:trPr>
          <w:trHeight w:val="326"/>
        </w:trPr>
        <w:tc>
          <w:tcPr>
            <w:tcW w:w="1952" w:type="dxa"/>
            <w:tcBorders>
              <w:top w:val="nil"/>
              <w:bottom w:val="nil"/>
            </w:tcBorders>
            <w:shd w:val="clear" w:color="auto" w:fill="auto"/>
          </w:tcPr>
          <w:p w14:paraId="7BBB2379"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r w:rsidRPr="002F632A">
              <w:rPr>
                <w:rFonts w:ascii="Book Antiqua" w:eastAsia="Calibri" w:hAnsi="Book Antiqua"/>
                <w:bCs/>
                <w:sz w:val="24"/>
                <w:szCs w:val="24"/>
              </w:rPr>
              <w:t>Surgery only</w:t>
            </w:r>
          </w:p>
        </w:tc>
        <w:tc>
          <w:tcPr>
            <w:tcW w:w="680" w:type="dxa"/>
            <w:tcBorders>
              <w:top w:val="nil"/>
              <w:bottom w:val="nil"/>
            </w:tcBorders>
            <w:shd w:val="clear" w:color="auto" w:fill="auto"/>
          </w:tcPr>
          <w:p w14:paraId="554CCAD9" w14:textId="77777777" w:rsidR="00B7773D" w:rsidRPr="002F632A" w:rsidRDefault="00B7773D" w:rsidP="00B7773D">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lang w:val="de-DE"/>
              </w:rPr>
              <w:t>89</w:t>
            </w:r>
          </w:p>
        </w:tc>
        <w:tc>
          <w:tcPr>
            <w:tcW w:w="1453" w:type="dxa"/>
            <w:tcBorders>
              <w:top w:val="nil"/>
              <w:bottom w:val="nil"/>
            </w:tcBorders>
            <w:shd w:val="clear" w:color="auto" w:fill="auto"/>
          </w:tcPr>
          <w:p w14:paraId="7E0EC44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19</w:t>
            </w:r>
          </w:p>
        </w:tc>
        <w:tc>
          <w:tcPr>
            <w:tcW w:w="836" w:type="dxa"/>
            <w:tcBorders>
              <w:top w:val="nil"/>
              <w:bottom w:val="nil"/>
            </w:tcBorders>
            <w:shd w:val="clear" w:color="auto" w:fill="auto"/>
          </w:tcPr>
          <w:p w14:paraId="178C51F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32</w:t>
            </w:r>
          </w:p>
        </w:tc>
        <w:tc>
          <w:tcPr>
            <w:tcW w:w="1453" w:type="dxa"/>
            <w:tcBorders>
              <w:top w:val="nil"/>
              <w:bottom w:val="nil"/>
            </w:tcBorders>
            <w:shd w:val="clear" w:color="auto" w:fill="auto"/>
          </w:tcPr>
          <w:p w14:paraId="7D30AAD2"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50</w:t>
            </w:r>
          </w:p>
        </w:tc>
        <w:tc>
          <w:tcPr>
            <w:tcW w:w="894" w:type="dxa"/>
            <w:tcBorders>
              <w:top w:val="nil"/>
              <w:bottom w:val="nil"/>
            </w:tcBorders>
            <w:shd w:val="clear" w:color="auto" w:fill="auto"/>
          </w:tcPr>
          <w:p w14:paraId="4F16286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57</w:t>
            </w:r>
          </w:p>
        </w:tc>
        <w:tc>
          <w:tcPr>
            <w:tcW w:w="1453" w:type="dxa"/>
            <w:tcBorders>
              <w:top w:val="nil"/>
              <w:bottom w:val="nil"/>
            </w:tcBorders>
            <w:shd w:val="clear" w:color="auto" w:fill="auto"/>
          </w:tcPr>
          <w:p w14:paraId="201A04C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7773D" w:rsidRPr="00B751AA" w14:paraId="01C0FAC1" w14:textId="77777777" w:rsidTr="002F632A">
        <w:trPr>
          <w:trHeight w:val="1053"/>
        </w:trPr>
        <w:tc>
          <w:tcPr>
            <w:tcW w:w="1952" w:type="dxa"/>
            <w:tcBorders>
              <w:top w:val="nil"/>
              <w:bottom w:val="nil"/>
            </w:tcBorders>
            <w:shd w:val="clear" w:color="auto" w:fill="auto"/>
          </w:tcPr>
          <w:p w14:paraId="1EDE22FA"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proofErr w:type="spellStart"/>
            <w:r w:rsidRPr="002F632A">
              <w:rPr>
                <w:rFonts w:ascii="Book Antiqua" w:eastAsia="Calibri" w:hAnsi="Book Antiqua"/>
                <w:bCs/>
                <w:sz w:val="24"/>
                <w:szCs w:val="24"/>
              </w:rPr>
              <w:t>RTx</w:t>
            </w:r>
            <w:proofErr w:type="spellEnd"/>
            <w:r w:rsidRPr="002F632A">
              <w:rPr>
                <w:rFonts w:ascii="Book Antiqua" w:eastAsia="Calibri" w:hAnsi="Book Antiqua"/>
                <w:bCs/>
                <w:sz w:val="24"/>
                <w:szCs w:val="24"/>
              </w:rPr>
              <w:t>/</w:t>
            </w:r>
            <w:proofErr w:type="spellStart"/>
            <w:r w:rsidRPr="002F632A">
              <w:rPr>
                <w:rFonts w:ascii="Book Antiqua" w:eastAsia="Calibri" w:hAnsi="Book Antiqua"/>
                <w:bCs/>
                <w:sz w:val="24"/>
                <w:szCs w:val="24"/>
              </w:rPr>
              <w:t>CTx</w:t>
            </w:r>
            <w:proofErr w:type="spellEnd"/>
            <w:r w:rsidRPr="002F632A">
              <w:rPr>
                <w:rFonts w:ascii="Book Antiqua" w:eastAsia="Calibri" w:hAnsi="Book Antiqua"/>
                <w:bCs/>
                <w:sz w:val="24"/>
                <w:szCs w:val="24"/>
              </w:rPr>
              <w:t xml:space="preserve"> + </w:t>
            </w:r>
            <w:r w:rsidR="002F632A" w:rsidRPr="002F632A">
              <w:rPr>
                <w:rFonts w:ascii="Book Antiqua" w:eastAsia="Calibri" w:hAnsi="Book Antiqua"/>
                <w:bCs/>
                <w:sz w:val="24"/>
                <w:szCs w:val="24"/>
              </w:rPr>
              <w:t>surgery</w:t>
            </w:r>
          </w:p>
        </w:tc>
        <w:tc>
          <w:tcPr>
            <w:tcW w:w="680" w:type="dxa"/>
            <w:tcBorders>
              <w:top w:val="nil"/>
              <w:bottom w:val="nil"/>
            </w:tcBorders>
            <w:shd w:val="clear" w:color="auto" w:fill="auto"/>
          </w:tcPr>
          <w:p w14:paraId="4AF0A20B"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106</w:t>
            </w:r>
          </w:p>
        </w:tc>
        <w:tc>
          <w:tcPr>
            <w:tcW w:w="1453" w:type="dxa"/>
            <w:tcBorders>
              <w:top w:val="nil"/>
              <w:bottom w:val="nil"/>
            </w:tcBorders>
            <w:shd w:val="clear" w:color="auto" w:fill="auto"/>
          </w:tcPr>
          <w:p w14:paraId="0C8555F1"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7</w:t>
            </w:r>
          </w:p>
        </w:tc>
        <w:tc>
          <w:tcPr>
            <w:tcW w:w="836" w:type="dxa"/>
            <w:tcBorders>
              <w:top w:val="nil"/>
              <w:bottom w:val="nil"/>
            </w:tcBorders>
            <w:shd w:val="clear" w:color="auto" w:fill="auto"/>
          </w:tcPr>
          <w:p w14:paraId="723EBF23" w14:textId="77777777" w:rsidR="00B7773D" w:rsidRPr="002F632A" w:rsidRDefault="00B7773D"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58</w:t>
            </w:r>
          </w:p>
        </w:tc>
        <w:tc>
          <w:tcPr>
            <w:tcW w:w="1453" w:type="dxa"/>
            <w:tcBorders>
              <w:top w:val="nil"/>
              <w:bottom w:val="nil"/>
            </w:tcBorders>
            <w:shd w:val="clear" w:color="auto" w:fill="auto"/>
          </w:tcPr>
          <w:p w14:paraId="6C37919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11</w:t>
            </w:r>
          </w:p>
        </w:tc>
        <w:tc>
          <w:tcPr>
            <w:tcW w:w="894" w:type="dxa"/>
            <w:tcBorders>
              <w:top w:val="nil"/>
              <w:bottom w:val="nil"/>
            </w:tcBorders>
            <w:shd w:val="clear" w:color="auto" w:fill="auto"/>
          </w:tcPr>
          <w:p w14:paraId="2AD8E25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48</w:t>
            </w:r>
          </w:p>
        </w:tc>
        <w:tc>
          <w:tcPr>
            <w:tcW w:w="1453" w:type="dxa"/>
            <w:tcBorders>
              <w:top w:val="nil"/>
              <w:bottom w:val="nil"/>
            </w:tcBorders>
            <w:shd w:val="clear" w:color="auto" w:fill="auto"/>
          </w:tcPr>
          <w:p w14:paraId="5D6EE12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B36AA" w:rsidRPr="00B751AA" w14:paraId="0AD77DC9" w14:textId="77777777" w:rsidTr="002F632A">
        <w:trPr>
          <w:trHeight w:val="325"/>
        </w:trPr>
        <w:tc>
          <w:tcPr>
            <w:tcW w:w="1952" w:type="dxa"/>
            <w:tcBorders>
              <w:top w:val="nil"/>
              <w:bottom w:val="nil"/>
            </w:tcBorders>
            <w:shd w:val="clear" w:color="auto" w:fill="auto"/>
          </w:tcPr>
          <w:p w14:paraId="63606034" w14:textId="77777777" w:rsidR="00BB36AA" w:rsidRPr="002F632A" w:rsidRDefault="00BB36AA" w:rsidP="00B751AA">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rPr>
              <w:t>T-category</w:t>
            </w:r>
          </w:p>
        </w:tc>
        <w:tc>
          <w:tcPr>
            <w:tcW w:w="680" w:type="dxa"/>
            <w:tcBorders>
              <w:top w:val="nil"/>
              <w:bottom w:val="nil"/>
            </w:tcBorders>
            <w:shd w:val="clear" w:color="auto" w:fill="auto"/>
          </w:tcPr>
          <w:p w14:paraId="03579D8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534357C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598C34C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72D29AC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14898DC1"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7C0FF28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00441AE7" w14:textId="77777777" w:rsidTr="002F632A">
        <w:trPr>
          <w:trHeight w:val="388"/>
        </w:trPr>
        <w:tc>
          <w:tcPr>
            <w:tcW w:w="1952" w:type="dxa"/>
            <w:tcBorders>
              <w:top w:val="nil"/>
              <w:bottom w:val="nil"/>
            </w:tcBorders>
            <w:shd w:val="clear" w:color="auto" w:fill="auto"/>
          </w:tcPr>
          <w:p w14:paraId="0801349B"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r w:rsidRPr="002F632A">
              <w:rPr>
                <w:rFonts w:ascii="Book Antiqua" w:eastAsia="Calibri" w:hAnsi="Book Antiqua"/>
                <w:bCs/>
                <w:sz w:val="24"/>
                <w:szCs w:val="24"/>
              </w:rPr>
              <w:t>pT2</w:t>
            </w:r>
          </w:p>
        </w:tc>
        <w:tc>
          <w:tcPr>
            <w:tcW w:w="680" w:type="dxa"/>
            <w:tcBorders>
              <w:top w:val="nil"/>
              <w:bottom w:val="nil"/>
            </w:tcBorders>
            <w:shd w:val="clear" w:color="auto" w:fill="auto"/>
          </w:tcPr>
          <w:p w14:paraId="314BD4B5" w14:textId="77777777" w:rsidR="00B7773D" w:rsidRPr="002F632A" w:rsidRDefault="00B7773D" w:rsidP="00B7773D">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lang w:val="de-DE"/>
              </w:rPr>
              <w:t>30</w:t>
            </w:r>
          </w:p>
        </w:tc>
        <w:tc>
          <w:tcPr>
            <w:tcW w:w="1453" w:type="dxa"/>
            <w:tcBorders>
              <w:top w:val="nil"/>
              <w:bottom w:val="nil"/>
            </w:tcBorders>
            <w:shd w:val="clear" w:color="auto" w:fill="auto"/>
          </w:tcPr>
          <w:p w14:paraId="452BF8A6"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w:t>
            </w:r>
          </w:p>
        </w:tc>
        <w:tc>
          <w:tcPr>
            <w:tcW w:w="836" w:type="dxa"/>
            <w:tcBorders>
              <w:top w:val="nil"/>
              <w:bottom w:val="nil"/>
            </w:tcBorders>
            <w:shd w:val="clear" w:color="auto" w:fill="auto"/>
          </w:tcPr>
          <w:p w14:paraId="42EECA6D"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6</w:t>
            </w:r>
          </w:p>
        </w:tc>
        <w:tc>
          <w:tcPr>
            <w:tcW w:w="1453" w:type="dxa"/>
            <w:tcBorders>
              <w:top w:val="nil"/>
              <w:bottom w:val="nil"/>
            </w:tcBorders>
            <w:shd w:val="clear" w:color="auto" w:fill="auto"/>
          </w:tcPr>
          <w:p w14:paraId="5DD8946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17</w:t>
            </w:r>
          </w:p>
        </w:tc>
        <w:tc>
          <w:tcPr>
            <w:tcW w:w="894" w:type="dxa"/>
            <w:tcBorders>
              <w:top w:val="nil"/>
              <w:bottom w:val="nil"/>
            </w:tcBorders>
            <w:shd w:val="clear" w:color="auto" w:fill="auto"/>
          </w:tcPr>
          <w:p w14:paraId="58C3422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24</w:t>
            </w:r>
          </w:p>
        </w:tc>
        <w:tc>
          <w:tcPr>
            <w:tcW w:w="1453" w:type="dxa"/>
            <w:tcBorders>
              <w:top w:val="nil"/>
              <w:bottom w:val="nil"/>
            </w:tcBorders>
            <w:shd w:val="clear" w:color="auto" w:fill="auto"/>
          </w:tcPr>
          <w:p w14:paraId="55CEF97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0</w:t>
            </w:r>
          </w:p>
        </w:tc>
      </w:tr>
      <w:tr w:rsidR="00B7773D" w:rsidRPr="00B751AA" w14:paraId="28AD0B58" w14:textId="77777777" w:rsidTr="002F632A">
        <w:trPr>
          <w:trHeight w:val="499"/>
        </w:trPr>
        <w:tc>
          <w:tcPr>
            <w:tcW w:w="1952" w:type="dxa"/>
            <w:tcBorders>
              <w:top w:val="nil"/>
              <w:bottom w:val="nil"/>
            </w:tcBorders>
            <w:shd w:val="clear" w:color="auto" w:fill="auto"/>
          </w:tcPr>
          <w:p w14:paraId="4FC8C1E5"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proofErr w:type="spellStart"/>
            <w:r w:rsidRPr="002F632A">
              <w:rPr>
                <w:rFonts w:ascii="Book Antiqua" w:eastAsia="Calibri" w:hAnsi="Book Antiqua"/>
                <w:bCs/>
                <w:sz w:val="24"/>
                <w:szCs w:val="24"/>
              </w:rPr>
              <w:t>cT</w:t>
            </w:r>
            <w:proofErr w:type="spellEnd"/>
            <w:r w:rsidRPr="002F632A">
              <w:rPr>
                <w:rFonts w:ascii="Book Antiqua" w:eastAsia="Calibri" w:hAnsi="Book Antiqua"/>
                <w:bCs/>
                <w:sz w:val="24"/>
                <w:szCs w:val="24"/>
              </w:rPr>
              <w:t>/pT3</w:t>
            </w:r>
          </w:p>
        </w:tc>
        <w:tc>
          <w:tcPr>
            <w:tcW w:w="680" w:type="dxa"/>
            <w:tcBorders>
              <w:top w:val="nil"/>
              <w:bottom w:val="nil"/>
            </w:tcBorders>
            <w:shd w:val="clear" w:color="auto" w:fill="auto"/>
          </w:tcPr>
          <w:p w14:paraId="63C34DF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165</w:t>
            </w:r>
          </w:p>
        </w:tc>
        <w:tc>
          <w:tcPr>
            <w:tcW w:w="1453" w:type="dxa"/>
            <w:tcBorders>
              <w:top w:val="nil"/>
              <w:bottom w:val="nil"/>
            </w:tcBorders>
            <w:shd w:val="clear" w:color="auto" w:fill="auto"/>
          </w:tcPr>
          <w:p w14:paraId="569250BF" w14:textId="77777777" w:rsidR="00B7773D" w:rsidRPr="002F632A" w:rsidRDefault="00B7773D"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14</w:t>
            </w:r>
          </w:p>
        </w:tc>
        <w:tc>
          <w:tcPr>
            <w:tcW w:w="836" w:type="dxa"/>
            <w:tcBorders>
              <w:top w:val="nil"/>
              <w:bottom w:val="nil"/>
            </w:tcBorders>
            <w:shd w:val="clear" w:color="auto" w:fill="auto"/>
          </w:tcPr>
          <w:p w14:paraId="463097B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84</w:t>
            </w:r>
          </w:p>
        </w:tc>
        <w:tc>
          <w:tcPr>
            <w:tcW w:w="1453" w:type="dxa"/>
            <w:tcBorders>
              <w:top w:val="nil"/>
              <w:bottom w:val="nil"/>
            </w:tcBorders>
            <w:shd w:val="clear" w:color="auto" w:fill="auto"/>
          </w:tcPr>
          <w:p w14:paraId="51380EC8"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27</w:t>
            </w:r>
          </w:p>
        </w:tc>
        <w:tc>
          <w:tcPr>
            <w:tcW w:w="894" w:type="dxa"/>
            <w:tcBorders>
              <w:top w:val="nil"/>
              <w:bottom w:val="nil"/>
            </w:tcBorders>
            <w:shd w:val="clear" w:color="auto" w:fill="auto"/>
          </w:tcPr>
          <w:p w14:paraId="6E9BF24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81</w:t>
            </w:r>
          </w:p>
        </w:tc>
        <w:tc>
          <w:tcPr>
            <w:tcW w:w="1453" w:type="dxa"/>
            <w:tcBorders>
              <w:top w:val="nil"/>
              <w:bottom w:val="nil"/>
            </w:tcBorders>
            <w:shd w:val="clear" w:color="auto" w:fill="auto"/>
          </w:tcPr>
          <w:p w14:paraId="6FABB0DD"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w:t>
            </w:r>
          </w:p>
        </w:tc>
      </w:tr>
      <w:tr w:rsidR="00BB36AA" w:rsidRPr="00B751AA" w14:paraId="7F615286" w14:textId="77777777" w:rsidTr="002F632A">
        <w:tc>
          <w:tcPr>
            <w:tcW w:w="1952" w:type="dxa"/>
            <w:tcBorders>
              <w:top w:val="nil"/>
              <w:bottom w:val="single" w:sz="4" w:space="0" w:color="auto"/>
            </w:tcBorders>
            <w:shd w:val="clear" w:color="auto" w:fill="auto"/>
          </w:tcPr>
          <w:p w14:paraId="1198E897"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Endoscopic biopsy</w:t>
            </w:r>
          </w:p>
        </w:tc>
        <w:tc>
          <w:tcPr>
            <w:tcW w:w="680" w:type="dxa"/>
            <w:tcBorders>
              <w:top w:val="nil"/>
              <w:bottom w:val="single" w:sz="4" w:space="0" w:color="auto"/>
            </w:tcBorders>
            <w:shd w:val="clear" w:color="auto" w:fill="auto"/>
          </w:tcPr>
          <w:p w14:paraId="321FB67B"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104</w:t>
            </w:r>
          </w:p>
        </w:tc>
        <w:tc>
          <w:tcPr>
            <w:tcW w:w="1453" w:type="dxa"/>
            <w:tcBorders>
              <w:top w:val="nil"/>
              <w:bottom w:val="single" w:sz="4" w:space="0" w:color="auto"/>
            </w:tcBorders>
            <w:shd w:val="clear" w:color="auto" w:fill="auto"/>
          </w:tcPr>
          <w:p w14:paraId="05A86D6B"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7</w:t>
            </w:r>
          </w:p>
        </w:tc>
        <w:tc>
          <w:tcPr>
            <w:tcW w:w="836" w:type="dxa"/>
            <w:tcBorders>
              <w:top w:val="nil"/>
              <w:bottom w:val="single" w:sz="4" w:space="0" w:color="auto"/>
            </w:tcBorders>
            <w:shd w:val="clear" w:color="auto" w:fill="auto"/>
          </w:tcPr>
          <w:p w14:paraId="297A687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58</w:t>
            </w:r>
          </w:p>
        </w:tc>
        <w:tc>
          <w:tcPr>
            <w:tcW w:w="1453" w:type="dxa"/>
            <w:tcBorders>
              <w:top w:val="nil"/>
              <w:bottom w:val="single" w:sz="4" w:space="0" w:color="auto"/>
            </w:tcBorders>
            <w:shd w:val="clear" w:color="auto" w:fill="auto"/>
          </w:tcPr>
          <w:p w14:paraId="58060806"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38</w:t>
            </w:r>
          </w:p>
        </w:tc>
        <w:tc>
          <w:tcPr>
            <w:tcW w:w="894" w:type="dxa"/>
            <w:tcBorders>
              <w:top w:val="nil"/>
              <w:bottom w:val="single" w:sz="4" w:space="0" w:color="auto"/>
            </w:tcBorders>
            <w:shd w:val="clear" w:color="auto" w:fill="auto"/>
          </w:tcPr>
          <w:p w14:paraId="7A6EBED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46</w:t>
            </w:r>
          </w:p>
        </w:tc>
        <w:tc>
          <w:tcPr>
            <w:tcW w:w="1453" w:type="dxa"/>
            <w:tcBorders>
              <w:top w:val="nil"/>
              <w:bottom w:val="single" w:sz="4" w:space="0" w:color="auto"/>
            </w:tcBorders>
            <w:shd w:val="clear" w:color="auto" w:fill="auto"/>
          </w:tcPr>
          <w:p w14:paraId="059D520C"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bl>
    <w:p w14:paraId="53A7D969" w14:textId="77777777" w:rsidR="002F632A" w:rsidRDefault="00BB36AA" w:rsidP="00B751AA">
      <w:pPr>
        <w:adjustRightInd w:val="0"/>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bCs/>
          <w:color w:val="000000"/>
          <w:kern w:val="1"/>
          <w:sz w:val="24"/>
          <w:szCs w:val="24"/>
          <w:lang w:val="fr-FR"/>
        </w:rPr>
        <w:t xml:space="preserve">Biopsies and resected specimen of patients with adeno- and squamous cell carcinoma, scoring by immunohistochemically stained D2-40. </w:t>
      </w:r>
    </w:p>
    <w:p w14:paraId="694C7F5D" w14:textId="77777777" w:rsidR="00DF1C41" w:rsidRPr="002F632A" w:rsidRDefault="00BB36AA" w:rsidP="00B751AA">
      <w:pPr>
        <w:adjustRightInd w:val="0"/>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bCs/>
          <w:color w:val="000000"/>
          <w:kern w:val="1"/>
          <w:sz w:val="24"/>
          <w:szCs w:val="24"/>
          <w:lang w:val="fr-FR"/>
        </w:rPr>
        <w:t>HPE</w:t>
      </w:r>
      <w:r w:rsidR="002F632A">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002F632A" w:rsidRPr="00B751AA">
        <w:rPr>
          <w:rFonts w:ascii="Book Antiqua" w:hAnsi="Book Antiqua" w:cs="Arial"/>
          <w:bCs/>
          <w:color w:val="000000"/>
          <w:kern w:val="1"/>
          <w:sz w:val="24"/>
          <w:szCs w:val="24"/>
          <w:lang w:val="fr-FR"/>
        </w:rPr>
        <w:t xml:space="preserve">High </w:t>
      </w:r>
      <w:r w:rsidRPr="00B751AA">
        <w:rPr>
          <w:rFonts w:ascii="Book Antiqua" w:hAnsi="Book Antiqua" w:cs="Arial"/>
          <w:bCs/>
          <w:color w:val="000000"/>
          <w:kern w:val="1"/>
          <w:sz w:val="24"/>
          <w:szCs w:val="24"/>
          <w:lang w:val="fr-FR"/>
        </w:rPr>
        <w:t>podoplanin expression</w:t>
      </w:r>
      <w:r w:rsidR="002F632A">
        <w:rPr>
          <w:rFonts w:ascii="Book Antiqua" w:hAnsi="Book Antiqua" w:cs="Arial"/>
          <w:bCs/>
          <w:color w:val="000000"/>
          <w:kern w:val="1"/>
          <w:sz w:val="24"/>
          <w:szCs w:val="24"/>
          <w:lang w:val="fr-FR"/>
        </w:rPr>
        <w:t xml:space="preserve">; </w:t>
      </w:r>
      <w:r w:rsidR="002F632A" w:rsidRPr="00B751AA">
        <w:rPr>
          <w:rFonts w:ascii="Book Antiqua" w:hAnsi="Book Antiqua" w:cs="Arial"/>
          <w:bCs/>
          <w:sz w:val="24"/>
          <w:szCs w:val="24"/>
          <w:lang w:val="en-GB"/>
        </w:rPr>
        <w:t>EAC</w:t>
      </w:r>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Adenocarcinoma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bCs/>
          <w:sz w:val="24"/>
          <w:szCs w:val="24"/>
          <w:lang w:val="en-GB"/>
        </w:rPr>
        <w:t>; ESCC</w:t>
      </w:r>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Squamous cell 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bCs/>
          <w:sz w:val="24"/>
          <w:szCs w:val="24"/>
          <w:lang w:val="en-GB"/>
        </w:rPr>
        <w:t xml:space="preserve">; </w:t>
      </w:r>
      <w:proofErr w:type="spellStart"/>
      <w:r w:rsidR="002F632A" w:rsidRPr="00B751AA">
        <w:rPr>
          <w:rFonts w:ascii="Book Antiqua" w:hAnsi="Book Antiqua" w:cs="Arial"/>
          <w:bCs/>
          <w:sz w:val="24"/>
          <w:szCs w:val="24"/>
          <w:lang w:val="en-GB"/>
        </w:rPr>
        <w:t>pT</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Pathologic</w:t>
      </w:r>
      <w:r w:rsidR="002F632A">
        <w:rPr>
          <w:rFonts w:ascii="Book Antiqua" w:hAnsi="Book Antiqua" w:cs="Arial"/>
          <w:bCs/>
          <w:sz w:val="24"/>
          <w:szCs w:val="24"/>
          <w:lang w:val="en-GB"/>
        </w:rPr>
        <w:t xml:space="preserve"> </w:t>
      </w:r>
      <w:proofErr w:type="spellStart"/>
      <w:r w:rsidR="002F632A">
        <w:rPr>
          <w:rFonts w:ascii="Book Antiqua" w:hAnsi="Book Antiqua" w:cs="Arial"/>
          <w:bCs/>
          <w:sz w:val="24"/>
          <w:szCs w:val="24"/>
          <w:lang w:val="en-GB"/>
        </w:rPr>
        <w:t>tumor</w:t>
      </w:r>
      <w:proofErr w:type="spellEnd"/>
      <w:r w:rsidR="002F632A" w:rsidRPr="00B751AA">
        <w:rPr>
          <w:rFonts w:ascii="Book Antiqua" w:hAnsi="Book Antiqua" w:cs="Arial"/>
          <w:bCs/>
          <w:sz w:val="24"/>
          <w:szCs w:val="24"/>
          <w:lang w:val="en-GB"/>
        </w:rPr>
        <w:t xml:space="preserve">; </w:t>
      </w:r>
      <w:proofErr w:type="spellStart"/>
      <w:r w:rsidR="002F632A" w:rsidRPr="00B751AA">
        <w:rPr>
          <w:rFonts w:ascii="Book Antiqua" w:hAnsi="Book Antiqua" w:cs="Arial"/>
          <w:bCs/>
          <w:sz w:val="24"/>
          <w:szCs w:val="24"/>
          <w:lang w:val="en-GB"/>
        </w:rPr>
        <w:t>cT</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Clinical </w:t>
      </w:r>
      <w:proofErr w:type="spellStart"/>
      <w:r w:rsidR="002F632A" w:rsidRPr="00B751AA">
        <w:rPr>
          <w:rFonts w:ascii="Book Antiqua" w:hAnsi="Book Antiqua" w:cs="Arial"/>
          <w:bCs/>
          <w:sz w:val="24"/>
          <w:szCs w:val="24"/>
          <w:lang w:val="en-GB"/>
        </w:rPr>
        <w:t>tumor</w:t>
      </w:r>
      <w:proofErr w:type="spellEnd"/>
      <w:r w:rsidR="002F632A" w:rsidRPr="00B751AA">
        <w:rPr>
          <w:rFonts w:ascii="Book Antiqua" w:hAnsi="Book Antiqua" w:cs="Arial"/>
          <w:bCs/>
          <w:sz w:val="24"/>
          <w:szCs w:val="24"/>
          <w:lang w:val="en-GB"/>
        </w:rPr>
        <w:t xml:space="preserve"> category; </w:t>
      </w:r>
      <w:proofErr w:type="spellStart"/>
      <w:r w:rsidR="002F632A" w:rsidRPr="00B751AA">
        <w:rPr>
          <w:rFonts w:ascii="Book Antiqua" w:hAnsi="Book Antiqua" w:cs="Arial"/>
          <w:bCs/>
          <w:sz w:val="24"/>
          <w:szCs w:val="24"/>
          <w:lang w:val="en-GB"/>
        </w:rPr>
        <w:t>RTx</w:t>
      </w:r>
      <w:proofErr w:type="spellEnd"/>
      <w:r w:rsidR="002F632A" w:rsidRPr="00B751AA">
        <w:rPr>
          <w:rFonts w:ascii="Book Antiqua" w:hAnsi="Book Antiqua" w:cs="Arial"/>
          <w:bCs/>
          <w:sz w:val="24"/>
          <w:szCs w:val="24"/>
          <w:lang w:val="en-GB"/>
        </w:rPr>
        <w:t>/</w:t>
      </w:r>
      <w:proofErr w:type="spellStart"/>
      <w:r w:rsidR="002F632A" w:rsidRPr="00B751AA">
        <w:rPr>
          <w:rFonts w:ascii="Book Antiqua" w:hAnsi="Book Antiqua" w:cs="Arial"/>
          <w:bCs/>
          <w:sz w:val="24"/>
          <w:szCs w:val="24"/>
          <w:lang w:val="en-GB"/>
        </w:rPr>
        <w:t>CTx</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Neoadjuvant radio-/chemotherapy.</w:t>
      </w:r>
    </w:p>
    <w:p w14:paraId="36BEF40B"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56A51AFE"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s="Arial"/>
          <w:b/>
          <w:sz w:val="24"/>
          <w:szCs w:val="24"/>
        </w:rPr>
        <w:lastRenderedPageBreak/>
        <w:t xml:space="preserve">Table 3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and tumor progression</w:t>
      </w:r>
    </w:p>
    <w:tbl>
      <w:tblPr>
        <w:tblpPr w:leftFromText="141" w:rightFromText="141" w:vertAnchor="text" w:horzAnchor="margin" w:tblpY="174"/>
        <w:tblW w:w="0" w:type="auto"/>
        <w:tblBorders>
          <w:top w:val="single" w:sz="4" w:space="0" w:color="auto"/>
          <w:bottom w:val="single" w:sz="4" w:space="0" w:color="auto"/>
        </w:tblBorders>
        <w:tblLayout w:type="fixed"/>
        <w:tblLook w:val="04A0" w:firstRow="1" w:lastRow="0" w:firstColumn="1" w:lastColumn="0" w:noHBand="0" w:noVBand="1"/>
      </w:tblPr>
      <w:tblGrid>
        <w:gridCol w:w="2093"/>
        <w:gridCol w:w="1234"/>
        <w:gridCol w:w="1778"/>
        <w:gridCol w:w="1506"/>
        <w:gridCol w:w="1574"/>
      </w:tblGrid>
      <w:tr w:rsidR="00BB36AA" w:rsidRPr="00B751AA" w14:paraId="39AED5EB" w14:textId="77777777" w:rsidTr="0055432A">
        <w:trPr>
          <w:trHeight w:val="498"/>
        </w:trPr>
        <w:tc>
          <w:tcPr>
            <w:tcW w:w="2093" w:type="dxa"/>
            <w:tcBorders>
              <w:top w:val="single" w:sz="4" w:space="0" w:color="auto"/>
              <w:bottom w:val="single" w:sz="4" w:space="0" w:color="auto"/>
            </w:tcBorders>
            <w:shd w:val="clear" w:color="auto" w:fill="auto"/>
          </w:tcPr>
          <w:p w14:paraId="170969AD"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 xml:space="preserve">Resected </w:t>
            </w:r>
            <w:r w:rsidR="002F632A" w:rsidRPr="00B751AA">
              <w:rPr>
                <w:rFonts w:ascii="Book Antiqua" w:hAnsi="Book Antiqua" w:cs="Arial"/>
                <w:b/>
                <w:sz w:val="24"/>
                <w:szCs w:val="24"/>
                <w:lang w:val="fr-FR"/>
              </w:rPr>
              <w:t>tissue</w:t>
            </w:r>
          </w:p>
        </w:tc>
        <w:tc>
          <w:tcPr>
            <w:tcW w:w="1234" w:type="dxa"/>
            <w:tcBorders>
              <w:top w:val="single" w:sz="4" w:space="0" w:color="auto"/>
              <w:bottom w:val="single" w:sz="4" w:space="0" w:color="auto"/>
            </w:tcBorders>
            <w:shd w:val="clear" w:color="auto" w:fill="auto"/>
          </w:tcPr>
          <w:p w14:paraId="5F27DECC"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Score</w:t>
            </w:r>
          </w:p>
        </w:tc>
        <w:tc>
          <w:tcPr>
            <w:tcW w:w="1778" w:type="dxa"/>
            <w:tcBorders>
              <w:top w:val="single" w:sz="4" w:space="0" w:color="auto"/>
              <w:bottom w:val="single" w:sz="4" w:space="0" w:color="auto"/>
            </w:tcBorders>
            <w:shd w:val="clear" w:color="auto" w:fill="auto"/>
          </w:tcPr>
          <w:p w14:paraId="179B26D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Podoplanin</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p>
        </w:tc>
        <w:tc>
          <w:tcPr>
            <w:tcW w:w="1506" w:type="dxa"/>
            <w:tcBorders>
              <w:top w:val="single" w:sz="4" w:space="0" w:color="auto"/>
              <w:bottom w:val="single" w:sz="4" w:space="0" w:color="auto"/>
            </w:tcBorders>
            <w:shd w:val="clear" w:color="auto" w:fill="auto"/>
          </w:tcPr>
          <w:p w14:paraId="362E64DE"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Patients</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r w:rsidRPr="002F632A">
              <w:rPr>
                <w:rFonts w:ascii="Book Antiqua" w:hAnsi="Book Antiqua" w:cs="Arial"/>
                <w:b/>
                <w:i/>
                <w:iCs/>
                <w:sz w:val="24"/>
                <w:szCs w:val="24"/>
                <w:lang w:val="fr-FR"/>
              </w:rPr>
              <w:t>n</w:t>
            </w:r>
          </w:p>
        </w:tc>
        <w:tc>
          <w:tcPr>
            <w:tcW w:w="1574" w:type="dxa"/>
            <w:tcBorders>
              <w:top w:val="single" w:sz="4" w:space="0" w:color="auto"/>
              <w:bottom w:val="single" w:sz="4" w:space="0" w:color="auto"/>
            </w:tcBorders>
            <w:shd w:val="clear" w:color="auto" w:fill="auto"/>
          </w:tcPr>
          <w:p w14:paraId="2CE0732A"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Patients</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p>
        </w:tc>
      </w:tr>
      <w:tr w:rsidR="002F632A" w:rsidRPr="00B751AA" w14:paraId="712C3566" w14:textId="77777777" w:rsidTr="0055432A">
        <w:trPr>
          <w:trHeight w:val="374"/>
        </w:trPr>
        <w:tc>
          <w:tcPr>
            <w:tcW w:w="2093" w:type="dxa"/>
            <w:vMerge w:val="restart"/>
            <w:tcBorders>
              <w:top w:val="single" w:sz="4" w:space="0" w:color="auto"/>
            </w:tcBorders>
            <w:shd w:val="clear" w:color="auto" w:fill="auto"/>
          </w:tcPr>
          <w:p w14:paraId="0351730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pT2</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6</w:t>
            </w:r>
          </w:p>
        </w:tc>
        <w:tc>
          <w:tcPr>
            <w:tcW w:w="1234" w:type="dxa"/>
            <w:tcBorders>
              <w:top w:val="single" w:sz="4" w:space="0" w:color="auto"/>
            </w:tcBorders>
            <w:shd w:val="clear" w:color="auto" w:fill="auto"/>
          </w:tcPr>
          <w:p w14:paraId="66B6F1D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tcBorders>
              <w:top w:val="single" w:sz="4" w:space="0" w:color="auto"/>
            </w:tcBorders>
            <w:shd w:val="clear" w:color="auto" w:fill="auto"/>
          </w:tcPr>
          <w:p w14:paraId="1369A41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tcBorders>
              <w:top w:val="single" w:sz="4" w:space="0" w:color="auto"/>
            </w:tcBorders>
            <w:shd w:val="clear" w:color="auto" w:fill="auto"/>
          </w:tcPr>
          <w:p w14:paraId="56C82FE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574" w:type="dxa"/>
            <w:tcBorders>
              <w:top w:val="single" w:sz="4" w:space="0" w:color="auto"/>
            </w:tcBorders>
            <w:shd w:val="clear" w:color="auto" w:fill="auto"/>
          </w:tcPr>
          <w:p w14:paraId="58E2002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83</w:t>
            </w:r>
          </w:p>
        </w:tc>
      </w:tr>
      <w:tr w:rsidR="002F632A" w:rsidRPr="00B751AA" w14:paraId="17B0A0F3" w14:textId="77777777" w:rsidTr="0055432A">
        <w:trPr>
          <w:trHeight w:val="374"/>
        </w:trPr>
        <w:tc>
          <w:tcPr>
            <w:tcW w:w="2093" w:type="dxa"/>
            <w:vMerge/>
            <w:shd w:val="clear" w:color="auto" w:fill="auto"/>
          </w:tcPr>
          <w:p w14:paraId="48097F78"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F6BEA59"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5A0A244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521FCB9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74" w:type="dxa"/>
            <w:shd w:val="clear" w:color="auto" w:fill="auto"/>
          </w:tcPr>
          <w:p w14:paraId="28D1E7A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17</w:t>
            </w:r>
          </w:p>
        </w:tc>
      </w:tr>
      <w:tr w:rsidR="002F632A" w:rsidRPr="00B751AA" w14:paraId="613C8069" w14:textId="77777777" w:rsidTr="0055432A">
        <w:trPr>
          <w:trHeight w:val="374"/>
        </w:trPr>
        <w:tc>
          <w:tcPr>
            <w:tcW w:w="2093" w:type="dxa"/>
            <w:vMerge/>
            <w:shd w:val="clear" w:color="auto" w:fill="auto"/>
          </w:tcPr>
          <w:p w14:paraId="6E1B555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9A65E0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6E72D20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45F0C81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574" w:type="dxa"/>
            <w:shd w:val="clear" w:color="auto" w:fill="auto"/>
          </w:tcPr>
          <w:p w14:paraId="4139CB64"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2F632A" w:rsidRPr="00B751AA" w14:paraId="79D95E79" w14:textId="77777777" w:rsidTr="0055432A">
        <w:trPr>
          <w:trHeight w:val="374"/>
        </w:trPr>
        <w:tc>
          <w:tcPr>
            <w:tcW w:w="2093" w:type="dxa"/>
            <w:vMerge w:val="restart"/>
            <w:shd w:val="clear" w:color="auto" w:fill="auto"/>
          </w:tcPr>
          <w:p w14:paraId="6917281D" w14:textId="77777777" w:rsidR="002F632A" w:rsidRPr="00B751AA" w:rsidRDefault="002F632A" w:rsidP="00B751AA">
            <w:pPr>
              <w:snapToGrid w:val="0"/>
              <w:spacing w:after="0" w:line="360" w:lineRule="auto"/>
              <w:jc w:val="both"/>
              <w:rPr>
                <w:rFonts w:ascii="Book Antiqua" w:hAnsi="Book Antiqua"/>
                <w:sz w:val="24"/>
                <w:szCs w:val="24"/>
              </w:rPr>
            </w:pPr>
            <w:r w:rsidRPr="00B751AA">
              <w:rPr>
                <w:rFonts w:ascii="Book Antiqua" w:hAnsi="Book Antiqua" w:cs="Arial"/>
                <w:sz w:val="24"/>
                <w:szCs w:val="24"/>
                <w:lang w:val="fr-FR"/>
              </w:rPr>
              <w:t>pT3/4</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26</w:t>
            </w:r>
          </w:p>
        </w:tc>
        <w:tc>
          <w:tcPr>
            <w:tcW w:w="1234" w:type="dxa"/>
            <w:shd w:val="clear" w:color="auto" w:fill="auto"/>
          </w:tcPr>
          <w:p w14:paraId="386AD6EC"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75C3F54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79A55A97"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11</w:t>
            </w:r>
          </w:p>
        </w:tc>
        <w:tc>
          <w:tcPr>
            <w:tcW w:w="1574" w:type="dxa"/>
            <w:shd w:val="clear" w:color="auto" w:fill="auto"/>
          </w:tcPr>
          <w:p w14:paraId="57913CE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0E341C4B" w14:textId="77777777" w:rsidTr="0055432A">
        <w:trPr>
          <w:trHeight w:val="374"/>
        </w:trPr>
        <w:tc>
          <w:tcPr>
            <w:tcW w:w="2093" w:type="dxa"/>
            <w:vMerge/>
            <w:shd w:val="clear" w:color="auto" w:fill="auto"/>
          </w:tcPr>
          <w:p w14:paraId="230A46E3" w14:textId="77777777" w:rsidR="002F632A" w:rsidRPr="00B751AA" w:rsidRDefault="002F632A" w:rsidP="00B751AA">
            <w:pPr>
              <w:snapToGrid w:val="0"/>
              <w:spacing w:after="0" w:line="360" w:lineRule="auto"/>
              <w:jc w:val="both"/>
              <w:rPr>
                <w:rFonts w:ascii="Book Antiqua" w:hAnsi="Book Antiqua"/>
                <w:sz w:val="24"/>
                <w:szCs w:val="24"/>
              </w:rPr>
            </w:pPr>
          </w:p>
        </w:tc>
        <w:tc>
          <w:tcPr>
            <w:tcW w:w="1234" w:type="dxa"/>
            <w:shd w:val="clear" w:color="auto" w:fill="auto"/>
          </w:tcPr>
          <w:p w14:paraId="5C4E40E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411D31A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18072CB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10</w:t>
            </w:r>
          </w:p>
        </w:tc>
        <w:tc>
          <w:tcPr>
            <w:tcW w:w="1574" w:type="dxa"/>
            <w:shd w:val="clear" w:color="auto" w:fill="auto"/>
          </w:tcPr>
          <w:p w14:paraId="664C0A4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38</w:t>
            </w:r>
          </w:p>
        </w:tc>
      </w:tr>
      <w:tr w:rsidR="002F632A" w:rsidRPr="00B751AA" w14:paraId="7523D10E" w14:textId="77777777" w:rsidTr="0055432A">
        <w:trPr>
          <w:trHeight w:val="374"/>
        </w:trPr>
        <w:tc>
          <w:tcPr>
            <w:tcW w:w="2093" w:type="dxa"/>
            <w:vMerge/>
            <w:shd w:val="clear" w:color="auto" w:fill="auto"/>
          </w:tcPr>
          <w:p w14:paraId="002E277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05ABC464"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2999D57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0DA02E9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574" w:type="dxa"/>
            <w:shd w:val="clear" w:color="auto" w:fill="auto"/>
          </w:tcPr>
          <w:p w14:paraId="5527DBB0"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19</w:t>
            </w:r>
          </w:p>
        </w:tc>
      </w:tr>
      <w:tr w:rsidR="002F632A" w:rsidRPr="00B751AA" w14:paraId="23189A89" w14:textId="77777777" w:rsidTr="0055432A">
        <w:trPr>
          <w:trHeight w:val="374"/>
        </w:trPr>
        <w:tc>
          <w:tcPr>
            <w:tcW w:w="2093" w:type="dxa"/>
            <w:vMerge w:val="restart"/>
            <w:shd w:val="clear" w:color="auto" w:fill="auto"/>
          </w:tcPr>
          <w:p w14:paraId="7A17EDA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pN0</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11</w:t>
            </w:r>
          </w:p>
        </w:tc>
        <w:tc>
          <w:tcPr>
            <w:tcW w:w="1234" w:type="dxa"/>
            <w:shd w:val="clear" w:color="auto" w:fill="auto"/>
          </w:tcPr>
          <w:p w14:paraId="0304614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5A13C8C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4409CBF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7</w:t>
            </w:r>
          </w:p>
        </w:tc>
        <w:tc>
          <w:tcPr>
            <w:tcW w:w="1574" w:type="dxa"/>
            <w:shd w:val="clear" w:color="auto" w:fill="auto"/>
          </w:tcPr>
          <w:p w14:paraId="46E3900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64</w:t>
            </w:r>
          </w:p>
        </w:tc>
      </w:tr>
      <w:tr w:rsidR="002F632A" w:rsidRPr="00B751AA" w14:paraId="1D55C263" w14:textId="77777777" w:rsidTr="0055432A">
        <w:trPr>
          <w:trHeight w:val="374"/>
        </w:trPr>
        <w:tc>
          <w:tcPr>
            <w:tcW w:w="2093" w:type="dxa"/>
            <w:vMerge/>
            <w:shd w:val="clear" w:color="auto" w:fill="auto"/>
          </w:tcPr>
          <w:p w14:paraId="01ED2C4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02C83D3E"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56E235C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3F355A3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74" w:type="dxa"/>
            <w:shd w:val="clear" w:color="auto" w:fill="auto"/>
          </w:tcPr>
          <w:p w14:paraId="7CD1F29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18</w:t>
            </w:r>
          </w:p>
        </w:tc>
      </w:tr>
      <w:tr w:rsidR="002F632A" w:rsidRPr="00B751AA" w14:paraId="2E0BB4B4" w14:textId="77777777" w:rsidTr="0055432A">
        <w:trPr>
          <w:trHeight w:val="374"/>
        </w:trPr>
        <w:tc>
          <w:tcPr>
            <w:tcW w:w="2093" w:type="dxa"/>
            <w:vMerge/>
            <w:shd w:val="clear" w:color="auto" w:fill="auto"/>
          </w:tcPr>
          <w:p w14:paraId="7E0F16E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3EF361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2AFB395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02D2C94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74" w:type="dxa"/>
            <w:shd w:val="clear" w:color="auto" w:fill="auto"/>
          </w:tcPr>
          <w:p w14:paraId="6B8024A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18</w:t>
            </w:r>
          </w:p>
        </w:tc>
      </w:tr>
      <w:tr w:rsidR="002F632A" w:rsidRPr="00B751AA" w14:paraId="7150BE33" w14:textId="77777777" w:rsidTr="0055432A">
        <w:trPr>
          <w:trHeight w:val="374"/>
        </w:trPr>
        <w:tc>
          <w:tcPr>
            <w:tcW w:w="2093" w:type="dxa"/>
            <w:vMerge w:val="restart"/>
            <w:shd w:val="clear" w:color="auto" w:fill="auto"/>
          </w:tcPr>
          <w:p w14:paraId="12201C4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pN+</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21</w:t>
            </w:r>
          </w:p>
        </w:tc>
        <w:tc>
          <w:tcPr>
            <w:tcW w:w="1234" w:type="dxa"/>
            <w:shd w:val="clear" w:color="auto" w:fill="auto"/>
          </w:tcPr>
          <w:p w14:paraId="74E8D2A9"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22E69090"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02449ED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c>
          <w:tcPr>
            <w:tcW w:w="1574" w:type="dxa"/>
            <w:shd w:val="clear" w:color="auto" w:fill="auto"/>
          </w:tcPr>
          <w:p w14:paraId="1D8E25E7"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41DA1F1B" w14:textId="77777777" w:rsidTr="0055432A">
        <w:trPr>
          <w:trHeight w:val="374"/>
        </w:trPr>
        <w:tc>
          <w:tcPr>
            <w:tcW w:w="2093" w:type="dxa"/>
            <w:vMerge/>
            <w:shd w:val="clear" w:color="auto" w:fill="auto"/>
          </w:tcPr>
          <w:p w14:paraId="419D8C9C"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54280DA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1FA1408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083521A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c>
          <w:tcPr>
            <w:tcW w:w="1574" w:type="dxa"/>
            <w:shd w:val="clear" w:color="auto" w:fill="auto"/>
          </w:tcPr>
          <w:p w14:paraId="79580C3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27F61BC0" w14:textId="77777777" w:rsidTr="0055432A">
        <w:trPr>
          <w:trHeight w:val="374"/>
        </w:trPr>
        <w:tc>
          <w:tcPr>
            <w:tcW w:w="2093" w:type="dxa"/>
            <w:vMerge/>
            <w:shd w:val="clear" w:color="auto" w:fill="auto"/>
          </w:tcPr>
          <w:p w14:paraId="67E8296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5088F8A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31B9281E"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2744D8D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74" w:type="dxa"/>
            <w:shd w:val="clear" w:color="auto" w:fill="auto"/>
          </w:tcPr>
          <w:p w14:paraId="1740B1E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14</w:t>
            </w:r>
          </w:p>
        </w:tc>
      </w:tr>
    </w:tbl>
    <w:p w14:paraId="27936201" w14:textId="77777777" w:rsidR="002F632A" w:rsidRDefault="00BB36AA" w:rsidP="00B751AA">
      <w:pPr>
        <w:adjustRightInd w:val="0"/>
        <w:snapToGrid w:val="0"/>
        <w:spacing w:after="0" w:line="360" w:lineRule="auto"/>
        <w:jc w:val="both"/>
        <w:rPr>
          <w:rFonts w:ascii="Book Antiqua" w:hAnsi="Book Antiqua" w:cs="Arial"/>
          <w:sz w:val="24"/>
          <w:szCs w:val="24"/>
        </w:rPr>
      </w:pPr>
      <w:r w:rsidRPr="00B751AA">
        <w:rPr>
          <w:rFonts w:ascii="Book Antiqua" w:hAnsi="Book Antiqua" w:cs="Arial"/>
          <w:sz w:val="24"/>
          <w:szCs w:val="24"/>
        </w:rPr>
        <w:t xml:space="preserve">Resected tumor specimen of non-pretreated primary surgery </w:t>
      </w:r>
      <w:r w:rsidR="002F632A" w:rsidRPr="00B751AA">
        <w:rPr>
          <w:rFonts w:ascii="Book Antiqua" w:hAnsi="Book Antiqua" w:cs="Arial"/>
          <w:bCs/>
          <w:sz w:val="24"/>
          <w:szCs w:val="24"/>
          <w:lang w:val="en-GB"/>
        </w:rPr>
        <w:t xml:space="preserve">squamous cell 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sz w:val="24"/>
          <w:szCs w:val="24"/>
        </w:rPr>
        <w:t xml:space="preserve"> </w:t>
      </w:r>
      <w:r w:rsidRPr="00B751AA">
        <w:rPr>
          <w:rFonts w:ascii="Book Antiqua" w:hAnsi="Book Antiqua" w:cs="Arial"/>
          <w:sz w:val="24"/>
          <w:szCs w:val="24"/>
        </w:rPr>
        <w:t>patients</w:t>
      </w:r>
      <w:r w:rsidR="002F632A">
        <w:rPr>
          <w:rFonts w:ascii="Book Antiqua" w:hAnsi="Book Antiqua" w:cs="Arial"/>
          <w:sz w:val="24"/>
          <w:szCs w:val="24"/>
        </w:rPr>
        <w:t>,</w:t>
      </w:r>
      <w:r w:rsidRPr="00B751AA">
        <w:rPr>
          <w:rFonts w:ascii="Book Antiqua" w:hAnsi="Book Antiqua" w:cs="Arial"/>
          <w:sz w:val="24"/>
          <w:szCs w:val="24"/>
        </w:rPr>
        <w:t xml:space="preserve"> </w:t>
      </w:r>
      <w:r w:rsidRPr="002F632A">
        <w:rPr>
          <w:rFonts w:ascii="Book Antiqua" w:hAnsi="Book Antiqua" w:cs="Arial"/>
          <w:i/>
          <w:iCs/>
          <w:sz w:val="24"/>
          <w:szCs w:val="24"/>
        </w:rPr>
        <w:t>n</w:t>
      </w:r>
      <w:r w:rsidR="002F632A">
        <w:rPr>
          <w:rFonts w:ascii="Book Antiqua" w:hAnsi="Book Antiqua" w:cs="Arial"/>
          <w:sz w:val="24"/>
          <w:szCs w:val="24"/>
        </w:rPr>
        <w:t xml:space="preserve"> </w:t>
      </w:r>
      <w:r w:rsidRPr="00B751AA">
        <w:rPr>
          <w:rFonts w:ascii="Book Antiqua" w:hAnsi="Book Antiqua" w:cs="Arial"/>
          <w:sz w:val="24"/>
          <w:szCs w:val="24"/>
        </w:rPr>
        <w:t>=</w:t>
      </w:r>
      <w:r w:rsidR="002F632A">
        <w:rPr>
          <w:rFonts w:ascii="Book Antiqua" w:hAnsi="Book Antiqua" w:cs="Arial"/>
          <w:sz w:val="24"/>
          <w:szCs w:val="24"/>
        </w:rPr>
        <w:t xml:space="preserve"> </w:t>
      </w:r>
      <w:r w:rsidRPr="00B751AA">
        <w:rPr>
          <w:rFonts w:ascii="Book Antiqua" w:hAnsi="Book Antiqua" w:cs="Arial"/>
          <w:sz w:val="24"/>
          <w:szCs w:val="24"/>
        </w:rPr>
        <w:t xml:space="preserve">32; </w:t>
      </w:r>
    </w:p>
    <w:p w14:paraId="5C237E41"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proofErr w:type="spellStart"/>
      <w:r w:rsidRPr="00B751AA">
        <w:rPr>
          <w:rFonts w:ascii="Book Antiqua" w:hAnsi="Book Antiqua" w:cs="Arial"/>
          <w:sz w:val="24"/>
          <w:szCs w:val="24"/>
        </w:rPr>
        <w:t>pT</w:t>
      </w:r>
      <w:proofErr w:type="spellEnd"/>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Pathologic </w:t>
      </w:r>
      <w:r w:rsidRPr="00B751AA">
        <w:rPr>
          <w:rFonts w:ascii="Book Antiqua" w:hAnsi="Book Antiqua" w:cs="Arial"/>
          <w:sz w:val="24"/>
          <w:szCs w:val="24"/>
        </w:rPr>
        <w:t>tumor category; pN0</w:t>
      </w:r>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No </w:t>
      </w:r>
      <w:r w:rsidRPr="00B751AA">
        <w:rPr>
          <w:rFonts w:ascii="Book Antiqua" w:hAnsi="Book Antiqua" w:cs="Arial"/>
          <w:sz w:val="24"/>
          <w:szCs w:val="24"/>
        </w:rPr>
        <w:t xml:space="preserve">lymph node metastases; </w:t>
      </w:r>
      <w:proofErr w:type="spellStart"/>
      <w:r w:rsidRPr="00B751AA">
        <w:rPr>
          <w:rFonts w:ascii="Book Antiqua" w:hAnsi="Book Antiqua" w:cs="Arial"/>
          <w:sz w:val="24"/>
          <w:szCs w:val="24"/>
        </w:rPr>
        <w:t>pN</w:t>
      </w:r>
      <w:proofErr w:type="spellEnd"/>
      <w:r w:rsidRPr="00B751AA">
        <w:rPr>
          <w:rFonts w:ascii="Book Antiqua" w:hAnsi="Book Antiqua" w:cs="Arial"/>
          <w:sz w:val="24"/>
          <w:szCs w:val="24"/>
        </w:rPr>
        <w:t>+</w:t>
      </w:r>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Lymph </w:t>
      </w:r>
      <w:r w:rsidRPr="00B751AA">
        <w:rPr>
          <w:rFonts w:ascii="Book Antiqua" w:hAnsi="Book Antiqua" w:cs="Arial"/>
          <w:sz w:val="24"/>
          <w:szCs w:val="24"/>
        </w:rPr>
        <w:t xml:space="preserve">nodes involved, </w:t>
      </w:r>
      <w:r w:rsidRPr="00B751AA">
        <w:rPr>
          <w:rFonts w:ascii="Book Antiqua" w:hAnsi="Book Antiqua" w:cs="Arial"/>
          <w:bCs/>
          <w:color w:val="000000"/>
          <w:kern w:val="1"/>
          <w:sz w:val="24"/>
          <w:szCs w:val="24"/>
          <w:lang w:val="fr-FR"/>
        </w:rPr>
        <w:t>scoring by immunohistochemical staining of D2-40</w:t>
      </w:r>
      <w:r w:rsidR="002F632A">
        <w:rPr>
          <w:rFonts w:ascii="Book Antiqua" w:hAnsi="Book Antiqua" w:cs="Arial"/>
          <w:bCs/>
          <w:color w:val="000000"/>
          <w:kern w:val="1"/>
          <w:sz w:val="24"/>
          <w:szCs w:val="24"/>
          <w:lang w:val="fr-FR"/>
        </w:rPr>
        <w:t>.</w:t>
      </w:r>
    </w:p>
    <w:p w14:paraId="58AF5ECD"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5AD4BA7C"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r w:rsidRPr="00B751AA">
        <w:rPr>
          <w:rFonts w:ascii="Book Antiqua" w:hAnsi="Book Antiqua" w:cs="Arial"/>
          <w:b/>
          <w:bCs/>
          <w:color w:val="000000"/>
          <w:kern w:val="1"/>
          <w:sz w:val="24"/>
          <w:szCs w:val="24"/>
          <w:lang w:val="fr-FR"/>
        </w:rPr>
        <w:lastRenderedPageBreak/>
        <w:t xml:space="preserve">Table 4 Expression of podoplanin protein differs between tissues resected from neoadjuvantly treated and non-pretreated direct surgery </w:t>
      </w:r>
      <w:r w:rsidR="002F632A" w:rsidRPr="002F632A">
        <w:rPr>
          <w:rFonts w:ascii="Book Antiqua" w:hAnsi="Book Antiqua" w:cs="Arial"/>
          <w:b/>
          <w:sz w:val="24"/>
          <w:szCs w:val="24"/>
          <w:lang w:val="en-GB"/>
        </w:rPr>
        <w:t xml:space="preserve">squamous cell carcinoma of the </w:t>
      </w:r>
      <w:proofErr w:type="spellStart"/>
      <w:r w:rsidR="002F632A" w:rsidRPr="002F632A">
        <w:rPr>
          <w:rFonts w:ascii="Book Antiqua" w:hAnsi="Book Antiqua" w:cs="Arial"/>
          <w:b/>
          <w:sz w:val="24"/>
          <w:szCs w:val="24"/>
          <w:lang w:val="en-GB"/>
        </w:rPr>
        <w:t>esophagus</w:t>
      </w:r>
      <w:proofErr w:type="spellEnd"/>
      <w:r w:rsidR="002F632A" w:rsidRPr="002F632A">
        <w:rPr>
          <w:rFonts w:ascii="Book Antiqua" w:hAnsi="Book Antiqua" w:cs="Arial"/>
          <w:b/>
          <w:color w:val="000000"/>
          <w:kern w:val="1"/>
          <w:sz w:val="24"/>
          <w:szCs w:val="24"/>
          <w:lang w:val="fr-FR"/>
        </w:rPr>
        <w:t xml:space="preserve"> </w:t>
      </w:r>
      <w:r w:rsidRPr="00B751AA">
        <w:rPr>
          <w:rFonts w:ascii="Book Antiqua" w:hAnsi="Book Antiqua" w:cs="Arial"/>
          <w:b/>
          <w:bCs/>
          <w:color w:val="000000"/>
          <w:kern w:val="1"/>
          <w:sz w:val="24"/>
          <w:szCs w:val="24"/>
          <w:lang w:val="fr-FR"/>
        </w:rPr>
        <w:t>patients</w:t>
      </w:r>
    </w:p>
    <w:tbl>
      <w:tblPr>
        <w:tblpPr w:leftFromText="141" w:rightFromText="141" w:vertAnchor="text" w:horzAnchor="margin" w:tblpY="174"/>
        <w:tblW w:w="0" w:type="auto"/>
        <w:tblBorders>
          <w:top w:val="single" w:sz="4" w:space="0" w:color="auto"/>
          <w:bottom w:val="single" w:sz="4" w:space="0" w:color="auto"/>
        </w:tblBorders>
        <w:tblLayout w:type="fixed"/>
        <w:tblLook w:val="04A0" w:firstRow="1" w:lastRow="0" w:firstColumn="1" w:lastColumn="0" w:noHBand="0" w:noVBand="1"/>
      </w:tblPr>
      <w:tblGrid>
        <w:gridCol w:w="2093"/>
        <w:gridCol w:w="1304"/>
        <w:gridCol w:w="1531"/>
        <w:gridCol w:w="1446"/>
        <w:gridCol w:w="1389"/>
      </w:tblGrid>
      <w:tr w:rsidR="002F632A" w:rsidRPr="0052322B" w14:paraId="505F5DB6" w14:textId="77777777" w:rsidTr="0052322B">
        <w:trPr>
          <w:trHeight w:val="311"/>
        </w:trPr>
        <w:tc>
          <w:tcPr>
            <w:tcW w:w="2093" w:type="dxa"/>
            <w:vMerge w:val="restart"/>
            <w:tcBorders>
              <w:top w:val="single" w:sz="4" w:space="0" w:color="auto"/>
              <w:bottom w:val="single" w:sz="4" w:space="0" w:color="auto"/>
            </w:tcBorders>
            <w:shd w:val="clear" w:color="auto" w:fill="auto"/>
          </w:tcPr>
          <w:p w14:paraId="2E0302FC"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Resected tissue</w:t>
            </w:r>
          </w:p>
        </w:tc>
        <w:tc>
          <w:tcPr>
            <w:tcW w:w="2835" w:type="dxa"/>
            <w:gridSpan w:val="2"/>
            <w:tcBorders>
              <w:top w:val="single" w:sz="4" w:space="0" w:color="auto"/>
              <w:bottom w:val="single" w:sz="4" w:space="0" w:color="auto"/>
            </w:tcBorders>
            <w:shd w:val="clear" w:color="auto" w:fill="auto"/>
          </w:tcPr>
          <w:p w14:paraId="44965284"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 xml:space="preserve">Podoplanin </w:t>
            </w:r>
          </w:p>
        </w:tc>
        <w:tc>
          <w:tcPr>
            <w:tcW w:w="2835" w:type="dxa"/>
            <w:gridSpan w:val="2"/>
            <w:tcBorders>
              <w:top w:val="single" w:sz="4" w:space="0" w:color="auto"/>
              <w:bottom w:val="single" w:sz="4" w:space="0" w:color="auto"/>
            </w:tcBorders>
            <w:shd w:val="clear" w:color="auto" w:fill="auto"/>
          </w:tcPr>
          <w:p w14:paraId="55E86B0B"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 xml:space="preserve">Patients </w:t>
            </w:r>
          </w:p>
        </w:tc>
      </w:tr>
      <w:tr w:rsidR="002F632A" w:rsidRPr="0052322B" w14:paraId="1FC648FA" w14:textId="77777777" w:rsidTr="0052322B">
        <w:trPr>
          <w:trHeight w:val="542"/>
        </w:trPr>
        <w:tc>
          <w:tcPr>
            <w:tcW w:w="2093" w:type="dxa"/>
            <w:vMerge/>
            <w:tcBorders>
              <w:top w:val="single" w:sz="4" w:space="0" w:color="auto"/>
              <w:bottom w:val="single" w:sz="4" w:space="0" w:color="auto"/>
            </w:tcBorders>
            <w:shd w:val="clear" w:color="auto" w:fill="auto"/>
          </w:tcPr>
          <w:p w14:paraId="759AEB5A"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p>
        </w:tc>
        <w:tc>
          <w:tcPr>
            <w:tcW w:w="1304" w:type="dxa"/>
            <w:tcBorders>
              <w:top w:val="single" w:sz="4" w:space="0" w:color="auto"/>
              <w:bottom w:val="single" w:sz="4" w:space="0" w:color="auto"/>
            </w:tcBorders>
            <w:shd w:val="clear" w:color="auto" w:fill="auto"/>
          </w:tcPr>
          <w:p w14:paraId="5343CC89"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Score</w:t>
            </w:r>
          </w:p>
        </w:tc>
        <w:tc>
          <w:tcPr>
            <w:tcW w:w="1531" w:type="dxa"/>
            <w:tcBorders>
              <w:top w:val="single" w:sz="4" w:space="0" w:color="auto"/>
              <w:bottom w:val="single" w:sz="4" w:space="0" w:color="auto"/>
            </w:tcBorders>
            <w:shd w:val="clear" w:color="auto" w:fill="auto"/>
          </w:tcPr>
          <w:p w14:paraId="6B0A92E3"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w:t>
            </w:r>
          </w:p>
        </w:tc>
        <w:tc>
          <w:tcPr>
            <w:tcW w:w="1446" w:type="dxa"/>
            <w:tcBorders>
              <w:top w:val="single" w:sz="4" w:space="0" w:color="auto"/>
              <w:bottom w:val="single" w:sz="4" w:space="0" w:color="auto"/>
            </w:tcBorders>
            <w:shd w:val="clear" w:color="auto" w:fill="auto"/>
          </w:tcPr>
          <w:p w14:paraId="0FB1F69E" w14:textId="77777777" w:rsidR="002F632A" w:rsidRPr="0052322B" w:rsidRDefault="0052322B" w:rsidP="002F632A">
            <w:pPr>
              <w:snapToGrid w:val="0"/>
              <w:spacing w:after="0" w:line="360" w:lineRule="auto"/>
              <w:ind w:right="-286"/>
              <w:jc w:val="both"/>
              <w:rPr>
                <w:rFonts w:ascii="Book Antiqua" w:hAnsi="Book Antiqua" w:cs="Arial"/>
                <w:b/>
                <w:i/>
                <w:iCs/>
                <w:sz w:val="24"/>
                <w:szCs w:val="24"/>
                <w:lang w:val="fr-FR"/>
              </w:rPr>
            </w:pPr>
            <w:r w:rsidRPr="0052322B">
              <w:rPr>
                <w:rFonts w:ascii="Book Antiqua" w:hAnsi="Book Antiqua" w:cs="Arial"/>
                <w:b/>
                <w:i/>
                <w:iCs/>
                <w:sz w:val="24"/>
                <w:szCs w:val="24"/>
                <w:lang w:val="fr-FR"/>
              </w:rPr>
              <w:t>n</w:t>
            </w:r>
          </w:p>
        </w:tc>
        <w:tc>
          <w:tcPr>
            <w:tcW w:w="1389" w:type="dxa"/>
            <w:tcBorders>
              <w:top w:val="single" w:sz="4" w:space="0" w:color="auto"/>
              <w:bottom w:val="single" w:sz="4" w:space="0" w:color="auto"/>
            </w:tcBorders>
            <w:shd w:val="clear" w:color="auto" w:fill="auto"/>
          </w:tcPr>
          <w:p w14:paraId="394ED175"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hint="eastAsia"/>
                <w:b/>
                <w:sz w:val="24"/>
                <w:szCs w:val="24"/>
                <w:lang w:val="fr-FR"/>
              </w:rPr>
              <w:t>%</w:t>
            </w:r>
          </w:p>
        </w:tc>
      </w:tr>
      <w:tr w:rsidR="00BB36AA" w:rsidRPr="00B751AA" w14:paraId="4FC2E4C0" w14:textId="77777777" w:rsidTr="0052322B">
        <w:trPr>
          <w:trHeight w:val="374"/>
        </w:trPr>
        <w:tc>
          <w:tcPr>
            <w:tcW w:w="2093" w:type="dxa"/>
            <w:vMerge w:val="restart"/>
            <w:tcBorders>
              <w:top w:val="single" w:sz="4" w:space="0" w:color="auto"/>
            </w:tcBorders>
            <w:shd w:val="clear" w:color="auto" w:fill="auto"/>
          </w:tcPr>
          <w:p w14:paraId="14EA5FA3" w14:textId="77777777" w:rsidR="00BB36AA" w:rsidRPr="0052322B" w:rsidRDefault="00BB36AA" w:rsidP="0052322B">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RTx/CTx + surgery</w:t>
            </w:r>
          </w:p>
        </w:tc>
        <w:tc>
          <w:tcPr>
            <w:tcW w:w="1304" w:type="dxa"/>
            <w:tcBorders>
              <w:top w:val="single" w:sz="4" w:space="0" w:color="auto"/>
            </w:tcBorders>
            <w:shd w:val="clear" w:color="auto" w:fill="auto"/>
          </w:tcPr>
          <w:p w14:paraId="7E63A842"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31" w:type="dxa"/>
            <w:tcBorders>
              <w:top w:val="single" w:sz="4" w:space="0" w:color="auto"/>
            </w:tcBorders>
            <w:shd w:val="clear" w:color="auto" w:fill="auto"/>
          </w:tcPr>
          <w:p w14:paraId="503AE715"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46" w:type="dxa"/>
            <w:tcBorders>
              <w:top w:val="single" w:sz="4" w:space="0" w:color="auto"/>
            </w:tcBorders>
            <w:shd w:val="clear" w:color="auto" w:fill="auto"/>
          </w:tcPr>
          <w:p w14:paraId="7EBFFB40"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51</w:t>
            </w:r>
          </w:p>
        </w:tc>
        <w:tc>
          <w:tcPr>
            <w:tcW w:w="1389" w:type="dxa"/>
            <w:tcBorders>
              <w:top w:val="single" w:sz="4" w:space="0" w:color="auto"/>
            </w:tcBorders>
            <w:shd w:val="clear" w:color="auto" w:fill="auto"/>
          </w:tcPr>
          <w:p w14:paraId="2616B24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89</w:t>
            </w:r>
          </w:p>
        </w:tc>
      </w:tr>
      <w:tr w:rsidR="00BB36AA" w:rsidRPr="00B751AA" w14:paraId="242E095A" w14:textId="77777777" w:rsidTr="0052322B">
        <w:trPr>
          <w:trHeight w:val="374"/>
        </w:trPr>
        <w:tc>
          <w:tcPr>
            <w:tcW w:w="2093" w:type="dxa"/>
            <w:vMerge/>
            <w:shd w:val="clear" w:color="auto" w:fill="auto"/>
          </w:tcPr>
          <w:p w14:paraId="02CE7D1C" w14:textId="77777777" w:rsidR="00BB36AA" w:rsidRPr="00B751AA" w:rsidRDefault="00BB36AA" w:rsidP="002F632A">
            <w:pPr>
              <w:snapToGrid w:val="0"/>
              <w:spacing w:after="0" w:line="360" w:lineRule="auto"/>
              <w:ind w:right="-286"/>
              <w:jc w:val="both"/>
              <w:rPr>
                <w:rFonts w:ascii="Book Antiqua" w:hAnsi="Book Antiqua"/>
                <w:sz w:val="24"/>
                <w:szCs w:val="24"/>
              </w:rPr>
            </w:pPr>
          </w:p>
        </w:tc>
        <w:tc>
          <w:tcPr>
            <w:tcW w:w="1304" w:type="dxa"/>
            <w:shd w:val="clear" w:color="auto" w:fill="auto"/>
          </w:tcPr>
          <w:p w14:paraId="46A2491A"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31" w:type="dxa"/>
            <w:shd w:val="clear" w:color="auto" w:fill="auto"/>
          </w:tcPr>
          <w:p w14:paraId="5ADB518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446" w:type="dxa"/>
            <w:shd w:val="clear" w:color="auto" w:fill="auto"/>
          </w:tcPr>
          <w:p w14:paraId="2AD4564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389" w:type="dxa"/>
            <w:shd w:val="clear" w:color="auto" w:fill="auto"/>
          </w:tcPr>
          <w:p w14:paraId="2EFFBE23"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r>
      <w:tr w:rsidR="00BB36AA" w:rsidRPr="00B751AA" w14:paraId="1343624C" w14:textId="77777777" w:rsidTr="0052322B">
        <w:trPr>
          <w:trHeight w:val="374"/>
        </w:trPr>
        <w:tc>
          <w:tcPr>
            <w:tcW w:w="2093" w:type="dxa"/>
            <w:vMerge/>
            <w:shd w:val="clear" w:color="auto" w:fill="auto"/>
          </w:tcPr>
          <w:p w14:paraId="152983D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p>
        </w:tc>
        <w:tc>
          <w:tcPr>
            <w:tcW w:w="1304" w:type="dxa"/>
            <w:shd w:val="clear" w:color="auto" w:fill="auto"/>
          </w:tcPr>
          <w:p w14:paraId="74B4514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31" w:type="dxa"/>
            <w:shd w:val="clear" w:color="auto" w:fill="auto"/>
          </w:tcPr>
          <w:p w14:paraId="44A01AF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446" w:type="dxa"/>
            <w:shd w:val="clear" w:color="auto" w:fill="auto"/>
          </w:tcPr>
          <w:p w14:paraId="4D384D47"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389" w:type="dxa"/>
            <w:shd w:val="clear" w:color="auto" w:fill="auto"/>
          </w:tcPr>
          <w:p w14:paraId="03F96FD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r>
      <w:tr w:rsidR="00BB36AA" w:rsidRPr="00B751AA" w14:paraId="40E2E6FD" w14:textId="77777777" w:rsidTr="0052322B">
        <w:trPr>
          <w:trHeight w:val="374"/>
        </w:trPr>
        <w:tc>
          <w:tcPr>
            <w:tcW w:w="2093" w:type="dxa"/>
            <w:vMerge w:val="restart"/>
            <w:shd w:val="clear" w:color="auto" w:fill="auto"/>
          </w:tcPr>
          <w:p w14:paraId="1B1EA805" w14:textId="77777777" w:rsidR="00BB36AA" w:rsidRPr="002F632A" w:rsidRDefault="00BB36AA" w:rsidP="002F632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Primary surgery</w:t>
            </w:r>
            <w:r w:rsidR="002F632A">
              <w:rPr>
                <w:rFonts w:ascii="Book Antiqua" w:hAnsi="Book Antiqua" w:cs="Arial" w:hint="eastAsia"/>
                <w:sz w:val="24"/>
                <w:szCs w:val="24"/>
                <w:lang w:val="fr-FR"/>
              </w:rPr>
              <w:t xml:space="preserve"> </w:t>
            </w:r>
            <w:r w:rsidRPr="00B751AA">
              <w:rPr>
                <w:rFonts w:ascii="Book Antiqua" w:hAnsi="Book Antiqua" w:cs="Arial"/>
                <w:sz w:val="24"/>
                <w:szCs w:val="24"/>
                <w:lang w:val="fr-FR"/>
              </w:rPr>
              <w:t>non-pretreated</w:t>
            </w:r>
          </w:p>
        </w:tc>
        <w:tc>
          <w:tcPr>
            <w:tcW w:w="1304" w:type="dxa"/>
            <w:shd w:val="clear" w:color="auto" w:fill="auto"/>
          </w:tcPr>
          <w:p w14:paraId="02209A5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31" w:type="dxa"/>
            <w:shd w:val="clear" w:color="auto" w:fill="auto"/>
          </w:tcPr>
          <w:p w14:paraId="37CCC86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46" w:type="dxa"/>
            <w:shd w:val="clear" w:color="auto" w:fill="auto"/>
          </w:tcPr>
          <w:p w14:paraId="462FF87F"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16</w:t>
            </w:r>
          </w:p>
        </w:tc>
        <w:tc>
          <w:tcPr>
            <w:tcW w:w="1389" w:type="dxa"/>
            <w:shd w:val="clear" w:color="auto" w:fill="auto"/>
          </w:tcPr>
          <w:p w14:paraId="395D0704"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50</w:t>
            </w:r>
          </w:p>
        </w:tc>
      </w:tr>
      <w:tr w:rsidR="00BB36AA" w:rsidRPr="00B751AA" w14:paraId="4B5C5D89" w14:textId="77777777" w:rsidTr="0052322B">
        <w:trPr>
          <w:trHeight w:val="374"/>
        </w:trPr>
        <w:tc>
          <w:tcPr>
            <w:tcW w:w="2093" w:type="dxa"/>
            <w:vMerge/>
            <w:shd w:val="clear" w:color="auto" w:fill="auto"/>
          </w:tcPr>
          <w:p w14:paraId="5BC45D23" w14:textId="77777777" w:rsidR="00BB36AA" w:rsidRPr="00B751AA" w:rsidRDefault="00BB36AA" w:rsidP="002F632A">
            <w:pPr>
              <w:snapToGrid w:val="0"/>
              <w:spacing w:after="0" w:line="360" w:lineRule="auto"/>
              <w:jc w:val="both"/>
              <w:rPr>
                <w:rFonts w:ascii="Book Antiqua" w:hAnsi="Book Antiqua" w:cs="Arial"/>
                <w:sz w:val="24"/>
                <w:szCs w:val="24"/>
              </w:rPr>
            </w:pPr>
          </w:p>
        </w:tc>
        <w:tc>
          <w:tcPr>
            <w:tcW w:w="1304" w:type="dxa"/>
            <w:shd w:val="clear" w:color="auto" w:fill="auto"/>
          </w:tcPr>
          <w:p w14:paraId="1735F0C4"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31" w:type="dxa"/>
            <w:shd w:val="clear" w:color="auto" w:fill="auto"/>
          </w:tcPr>
          <w:p w14:paraId="0B625C02"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446" w:type="dxa"/>
            <w:shd w:val="clear" w:color="auto" w:fill="auto"/>
          </w:tcPr>
          <w:p w14:paraId="5770732B"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11</w:t>
            </w:r>
          </w:p>
        </w:tc>
        <w:tc>
          <w:tcPr>
            <w:tcW w:w="1389" w:type="dxa"/>
            <w:shd w:val="clear" w:color="auto" w:fill="auto"/>
          </w:tcPr>
          <w:p w14:paraId="0FFF2C8A"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34</w:t>
            </w:r>
          </w:p>
        </w:tc>
      </w:tr>
      <w:tr w:rsidR="00BB36AA" w:rsidRPr="00B751AA" w14:paraId="0AE3EC25" w14:textId="77777777" w:rsidTr="0052322B">
        <w:trPr>
          <w:trHeight w:val="374"/>
        </w:trPr>
        <w:tc>
          <w:tcPr>
            <w:tcW w:w="2093" w:type="dxa"/>
            <w:vMerge/>
            <w:shd w:val="clear" w:color="auto" w:fill="auto"/>
          </w:tcPr>
          <w:p w14:paraId="317D1B79" w14:textId="77777777" w:rsidR="00BB36AA" w:rsidRPr="00B751AA" w:rsidRDefault="00BB36AA" w:rsidP="002F632A">
            <w:pPr>
              <w:snapToGrid w:val="0"/>
              <w:spacing w:after="0" w:line="360" w:lineRule="auto"/>
              <w:jc w:val="both"/>
              <w:rPr>
                <w:rFonts w:ascii="Book Antiqua" w:hAnsi="Book Antiqua"/>
                <w:sz w:val="24"/>
                <w:szCs w:val="24"/>
              </w:rPr>
            </w:pPr>
          </w:p>
        </w:tc>
        <w:tc>
          <w:tcPr>
            <w:tcW w:w="1304" w:type="dxa"/>
            <w:shd w:val="clear" w:color="auto" w:fill="auto"/>
          </w:tcPr>
          <w:p w14:paraId="2793CE78"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31" w:type="dxa"/>
            <w:shd w:val="clear" w:color="auto" w:fill="auto"/>
          </w:tcPr>
          <w:p w14:paraId="6C649F7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446" w:type="dxa"/>
            <w:shd w:val="clear" w:color="auto" w:fill="auto"/>
          </w:tcPr>
          <w:p w14:paraId="6B45A7B0"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389" w:type="dxa"/>
            <w:shd w:val="clear" w:color="auto" w:fill="auto"/>
          </w:tcPr>
          <w:p w14:paraId="6A3EEBAB"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16</w:t>
            </w:r>
          </w:p>
        </w:tc>
      </w:tr>
    </w:tbl>
    <w:p w14:paraId="64E705EE"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p>
    <w:p w14:paraId="0DDB6809"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p>
    <w:p w14:paraId="3532DC50"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p>
    <w:p w14:paraId="7B3AC7FE" w14:textId="77777777" w:rsidR="00BB36AA" w:rsidRPr="00B751AA" w:rsidRDefault="00BB36AA" w:rsidP="00B751AA">
      <w:pPr>
        <w:snapToGrid w:val="0"/>
        <w:spacing w:after="0" w:line="360" w:lineRule="auto"/>
        <w:jc w:val="both"/>
        <w:rPr>
          <w:rFonts w:ascii="Book Antiqua" w:hAnsi="Book Antiqua"/>
          <w:sz w:val="24"/>
          <w:szCs w:val="24"/>
          <w:lang w:val="fr-FR"/>
        </w:rPr>
      </w:pPr>
    </w:p>
    <w:p w14:paraId="191760CC" w14:textId="77777777" w:rsidR="00BB36AA" w:rsidRPr="00B751AA" w:rsidRDefault="00BB36AA" w:rsidP="00B751AA">
      <w:pPr>
        <w:snapToGrid w:val="0"/>
        <w:spacing w:after="0" w:line="360" w:lineRule="auto"/>
        <w:jc w:val="both"/>
        <w:rPr>
          <w:rFonts w:ascii="Book Antiqua" w:hAnsi="Book Antiqua"/>
          <w:sz w:val="24"/>
          <w:szCs w:val="24"/>
          <w:lang w:val="fr-FR"/>
        </w:rPr>
      </w:pPr>
    </w:p>
    <w:p w14:paraId="30E93FF6"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F478FA3"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75E6728"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BA86EFA" w14:textId="77777777" w:rsidR="00BB36AA" w:rsidRPr="00B751AA" w:rsidRDefault="00BB36AA" w:rsidP="00B751AA">
      <w:pPr>
        <w:snapToGrid w:val="0"/>
        <w:spacing w:after="0" w:line="360" w:lineRule="auto"/>
        <w:jc w:val="both"/>
        <w:rPr>
          <w:rFonts w:ascii="Book Antiqua" w:hAnsi="Book Antiqua"/>
          <w:sz w:val="24"/>
          <w:szCs w:val="24"/>
          <w:lang w:val="fr-FR"/>
        </w:rPr>
      </w:pPr>
    </w:p>
    <w:p w14:paraId="07B659FF" w14:textId="77777777" w:rsidR="00BB36AA" w:rsidRDefault="00BB36AA" w:rsidP="00B751AA">
      <w:pPr>
        <w:tabs>
          <w:tab w:val="left" w:pos="1130"/>
        </w:tabs>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color w:val="000000"/>
          <w:kern w:val="1"/>
          <w:sz w:val="24"/>
          <w:szCs w:val="24"/>
        </w:rPr>
        <w:t xml:space="preserve">Resected tissue specimen: neoadjuvant chemoradiation </w:t>
      </w:r>
      <w:r w:rsidR="0052322B" w:rsidRPr="00B751AA">
        <w:rPr>
          <w:rFonts w:ascii="Book Antiqua" w:hAnsi="Book Antiqua" w:cs="Arial"/>
          <w:bCs/>
          <w:sz w:val="24"/>
          <w:szCs w:val="24"/>
          <w:lang w:val="en-GB"/>
        </w:rPr>
        <w:t xml:space="preserve">squamous cell carcinoma of the </w:t>
      </w:r>
      <w:proofErr w:type="spellStart"/>
      <w:r w:rsidR="0052322B" w:rsidRPr="00B751AA">
        <w:rPr>
          <w:rFonts w:ascii="Book Antiqua" w:hAnsi="Book Antiqua" w:cs="Arial"/>
          <w:bCs/>
          <w:sz w:val="24"/>
          <w:szCs w:val="24"/>
          <w:lang w:val="en-GB"/>
        </w:rPr>
        <w:t>esophagus</w:t>
      </w:r>
      <w:proofErr w:type="spellEnd"/>
      <w:r w:rsidR="0052322B" w:rsidRPr="00B751AA">
        <w:rPr>
          <w:rFonts w:ascii="Book Antiqua" w:hAnsi="Book Antiqua" w:cs="Arial"/>
          <w:color w:val="000000"/>
          <w:kern w:val="1"/>
          <w:sz w:val="24"/>
          <w:szCs w:val="24"/>
        </w:rPr>
        <w:t xml:space="preserve"> </w:t>
      </w:r>
      <w:r w:rsidR="0052322B">
        <w:rPr>
          <w:rFonts w:ascii="Book Antiqua" w:hAnsi="Book Antiqua" w:cs="Arial"/>
          <w:color w:val="000000"/>
          <w:kern w:val="1"/>
          <w:sz w:val="24"/>
          <w:szCs w:val="24"/>
        </w:rPr>
        <w:t>(</w:t>
      </w:r>
      <w:r w:rsidRPr="00B751AA">
        <w:rPr>
          <w:rFonts w:ascii="Book Antiqua" w:hAnsi="Book Antiqua" w:cs="Arial"/>
          <w:color w:val="000000"/>
          <w:kern w:val="1"/>
          <w:sz w:val="24"/>
          <w:szCs w:val="24"/>
        </w:rPr>
        <w:t>ESCC</w:t>
      </w:r>
      <w:r w:rsidR="0052322B">
        <w:rPr>
          <w:rFonts w:ascii="Book Antiqua" w:hAnsi="Book Antiqua" w:cs="Arial"/>
          <w:color w:val="000000"/>
          <w:kern w:val="1"/>
          <w:sz w:val="24"/>
          <w:szCs w:val="24"/>
        </w:rPr>
        <w:t>)</w:t>
      </w:r>
      <w:r w:rsidRPr="00B751AA">
        <w:rPr>
          <w:rFonts w:ascii="Book Antiqua" w:hAnsi="Book Antiqua" w:cs="Arial"/>
          <w:color w:val="000000"/>
          <w:kern w:val="1"/>
          <w:sz w:val="24"/>
          <w:szCs w:val="24"/>
        </w:rPr>
        <w:t xml:space="preserve"> patients</w:t>
      </w:r>
      <w:r w:rsidR="002F632A">
        <w:rPr>
          <w:rFonts w:ascii="Book Antiqua" w:hAnsi="Book Antiqua" w:cs="Arial"/>
          <w:color w:val="000000"/>
          <w:kern w:val="1"/>
          <w:sz w:val="24"/>
          <w:szCs w:val="24"/>
        </w:rPr>
        <w:t>,</w:t>
      </w:r>
      <w:r w:rsidRPr="00B751AA">
        <w:rPr>
          <w:rFonts w:ascii="Book Antiqua" w:hAnsi="Book Antiqua" w:cs="Arial"/>
          <w:color w:val="000000"/>
          <w:kern w:val="1"/>
          <w:sz w:val="24"/>
          <w:szCs w:val="24"/>
        </w:rPr>
        <w:t xml:space="preserve"> </w:t>
      </w:r>
      <w:r w:rsidRPr="002F632A">
        <w:rPr>
          <w:rFonts w:ascii="Book Antiqua" w:hAnsi="Book Antiqua" w:cs="Arial"/>
          <w:i/>
          <w:iCs/>
          <w:color w:val="000000"/>
          <w:kern w:val="1"/>
          <w:sz w:val="24"/>
          <w:szCs w:val="24"/>
        </w:rPr>
        <w:t>n</w:t>
      </w:r>
      <w:r w:rsidR="002F632A">
        <w:rPr>
          <w:rFonts w:ascii="Book Antiqua" w:hAnsi="Book Antiqua" w:cs="Arial"/>
          <w:color w:val="000000"/>
          <w:kern w:val="1"/>
          <w:sz w:val="24"/>
          <w:szCs w:val="24"/>
        </w:rPr>
        <w:t xml:space="preserve"> </w:t>
      </w:r>
      <w:r w:rsidRPr="00B751AA">
        <w:rPr>
          <w:rFonts w:ascii="Book Antiqua" w:hAnsi="Book Antiqua" w:cs="Arial"/>
          <w:color w:val="000000"/>
          <w:kern w:val="1"/>
          <w:sz w:val="24"/>
          <w:szCs w:val="24"/>
        </w:rPr>
        <w:t>= 58</w:t>
      </w:r>
      <w:r w:rsidRPr="00B751AA">
        <w:rPr>
          <w:rFonts w:ascii="Book Antiqua" w:hAnsi="Book Antiqua" w:cs="Arial"/>
          <w:bCs/>
          <w:color w:val="000000"/>
          <w:kern w:val="1"/>
          <w:sz w:val="24"/>
          <w:szCs w:val="24"/>
          <w:lang w:val="fr-FR"/>
        </w:rPr>
        <w:t xml:space="preserve"> and non-pretreated direct surgery ESCC patients</w:t>
      </w:r>
      <w:r w:rsidR="002F632A">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Pr="002F632A">
        <w:rPr>
          <w:rFonts w:ascii="Book Antiqua" w:hAnsi="Book Antiqua" w:cs="Arial"/>
          <w:bCs/>
          <w:i/>
          <w:iCs/>
          <w:color w:val="000000"/>
          <w:kern w:val="1"/>
          <w:sz w:val="24"/>
          <w:szCs w:val="24"/>
          <w:lang w:val="fr-FR"/>
        </w:rPr>
        <w:t>n</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 xml:space="preserve">32, scoring by immunohistochemically stained D2-40, </w:t>
      </w:r>
      <w:r w:rsidR="002F632A" w:rsidRPr="002F632A">
        <w:rPr>
          <w:rFonts w:ascii="Book Antiqua" w:hAnsi="Book Antiqua" w:cs="Arial"/>
          <w:bCs/>
          <w:i/>
          <w:iCs/>
          <w:color w:val="000000"/>
          <w:kern w:val="1"/>
          <w:sz w:val="24"/>
          <w:szCs w:val="24"/>
          <w:lang w:val="fr-FR"/>
        </w:rPr>
        <w:t>P</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&lt;</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0.001.</w:t>
      </w:r>
    </w:p>
    <w:p w14:paraId="79A731C6" w14:textId="77777777" w:rsidR="002F632A" w:rsidRPr="00B751AA" w:rsidRDefault="002F632A" w:rsidP="00B751AA">
      <w:pPr>
        <w:tabs>
          <w:tab w:val="left" w:pos="1130"/>
        </w:tabs>
        <w:snapToGrid w:val="0"/>
        <w:spacing w:after="0" w:line="360" w:lineRule="auto"/>
        <w:jc w:val="both"/>
        <w:rPr>
          <w:rFonts w:ascii="Book Antiqua" w:hAnsi="Book Antiqua"/>
          <w:sz w:val="24"/>
          <w:szCs w:val="24"/>
          <w:lang w:val="fr-FR"/>
        </w:rPr>
      </w:pPr>
      <w:proofErr w:type="spellStart"/>
      <w:r w:rsidRPr="00B751AA">
        <w:rPr>
          <w:rFonts w:ascii="Book Antiqua" w:hAnsi="Book Antiqua" w:cs="Arial"/>
          <w:bCs/>
          <w:sz w:val="24"/>
          <w:szCs w:val="24"/>
          <w:lang w:val="en-GB"/>
        </w:rPr>
        <w:t>RTx</w:t>
      </w:r>
      <w:proofErr w:type="spellEnd"/>
      <w:r w:rsidRPr="00B751AA">
        <w:rPr>
          <w:rFonts w:ascii="Book Antiqua" w:hAnsi="Book Antiqua" w:cs="Arial"/>
          <w:bCs/>
          <w:sz w:val="24"/>
          <w:szCs w:val="24"/>
          <w:lang w:val="en-GB"/>
        </w:rPr>
        <w:t>/</w:t>
      </w:r>
      <w:proofErr w:type="spellStart"/>
      <w:r w:rsidRPr="00B751AA">
        <w:rPr>
          <w:rFonts w:ascii="Book Antiqua" w:hAnsi="Book Antiqua" w:cs="Arial"/>
          <w:bCs/>
          <w:sz w:val="24"/>
          <w:szCs w:val="24"/>
          <w:lang w:val="en-GB"/>
        </w:rPr>
        <w:t>CTx</w:t>
      </w:r>
      <w:proofErr w:type="spellEnd"/>
      <w:r>
        <w:rPr>
          <w:rFonts w:ascii="Book Antiqua" w:hAnsi="Book Antiqua" w:cs="Arial"/>
          <w:bCs/>
          <w:sz w:val="24"/>
          <w:szCs w:val="24"/>
          <w:lang w:val="en-GB"/>
        </w:rPr>
        <w:t>:</w:t>
      </w:r>
      <w:r w:rsidRPr="00B751AA">
        <w:rPr>
          <w:rFonts w:ascii="Book Antiqua" w:hAnsi="Book Antiqua" w:cs="Arial"/>
          <w:bCs/>
          <w:sz w:val="24"/>
          <w:szCs w:val="24"/>
          <w:lang w:val="en-GB"/>
        </w:rPr>
        <w:t xml:space="preserve"> Neoadjuvant radio-/chemotherapy.</w:t>
      </w:r>
    </w:p>
    <w:p w14:paraId="1E2D643B" w14:textId="77777777" w:rsidR="00BB36AA" w:rsidRPr="00B751AA"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sz w:val="24"/>
          <w:szCs w:val="24"/>
          <w:lang w:val="fr-FR"/>
        </w:rPr>
        <w:br w:type="page"/>
      </w:r>
    </w:p>
    <w:p w14:paraId="4E6AE31B" w14:textId="77777777" w:rsidR="00BB36AA" w:rsidRPr="00B751AA"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sz w:val="24"/>
          <w:szCs w:val="24"/>
          <w:lang w:val="fr-FR"/>
        </w:rPr>
        <w:lastRenderedPageBreak/>
        <w:t>T</w:t>
      </w:r>
      <w:r w:rsidRPr="00B751AA">
        <w:rPr>
          <w:rFonts w:ascii="Book Antiqua" w:hAnsi="Book Antiqua" w:cs="Arial"/>
          <w:b/>
          <w:sz w:val="24"/>
          <w:szCs w:val="24"/>
        </w:rPr>
        <w:t xml:space="preserve">able 5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pre- and post-neoadjuvant </w:t>
      </w:r>
      <w:proofErr w:type="spellStart"/>
      <w:r w:rsidRPr="00B751AA">
        <w:rPr>
          <w:rFonts w:ascii="Book Antiqua" w:hAnsi="Book Antiqua" w:cs="Arial"/>
          <w:b/>
          <w:sz w:val="24"/>
          <w:szCs w:val="24"/>
        </w:rPr>
        <w:t>chemoradiaton</w:t>
      </w:r>
      <w:proofErr w:type="spellEnd"/>
    </w:p>
    <w:tbl>
      <w:tblPr>
        <w:tblpPr w:leftFromText="141" w:rightFromText="141" w:vertAnchor="text" w:horzAnchor="margin" w:tblpXSpec="center" w:tblpY="223"/>
        <w:tblW w:w="8472" w:type="dxa"/>
        <w:tblBorders>
          <w:top w:val="single" w:sz="4" w:space="0" w:color="auto"/>
          <w:bottom w:val="single" w:sz="4" w:space="0" w:color="auto"/>
        </w:tblBorders>
        <w:tblLayout w:type="fixed"/>
        <w:tblLook w:val="04A0" w:firstRow="1" w:lastRow="0" w:firstColumn="1" w:lastColumn="0" w:noHBand="0" w:noVBand="1"/>
      </w:tblPr>
      <w:tblGrid>
        <w:gridCol w:w="2802"/>
        <w:gridCol w:w="1417"/>
        <w:gridCol w:w="992"/>
        <w:gridCol w:w="993"/>
        <w:gridCol w:w="1162"/>
        <w:gridCol w:w="1106"/>
      </w:tblGrid>
      <w:tr w:rsidR="00BB36AA" w:rsidRPr="00B751AA" w14:paraId="3B262995" w14:textId="77777777" w:rsidTr="0052322B">
        <w:trPr>
          <w:trHeight w:val="498"/>
        </w:trPr>
        <w:tc>
          <w:tcPr>
            <w:tcW w:w="4219" w:type="dxa"/>
            <w:gridSpan w:val="2"/>
            <w:tcBorders>
              <w:top w:val="single" w:sz="4" w:space="0" w:color="auto"/>
              <w:bottom w:val="single" w:sz="4" w:space="0" w:color="auto"/>
            </w:tcBorders>
            <w:shd w:val="clear" w:color="auto" w:fill="auto"/>
          </w:tcPr>
          <w:p w14:paraId="75975B12"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Endoscopic biopsies pre RTx/CTx</w:t>
            </w:r>
          </w:p>
        </w:tc>
        <w:tc>
          <w:tcPr>
            <w:tcW w:w="4253" w:type="dxa"/>
            <w:gridSpan w:val="4"/>
            <w:tcBorders>
              <w:top w:val="single" w:sz="4" w:space="0" w:color="auto"/>
              <w:bottom w:val="single" w:sz="4" w:space="0" w:color="auto"/>
            </w:tcBorders>
            <w:shd w:val="clear" w:color="auto" w:fill="auto"/>
          </w:tcPr>
          <w:p w14:paraId="4A8DC0B1"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Post RTx/CTx resected tissue</w:t>
            </w:r>
          </w:p>
        </w:tc>
      </w:tr>
      <w:tr w:rsidR="00BB36AA" w:rsidRPr="00B751AA" w14:paraId="3FB308AC" w14:textId="77777777" w:rsidTr="0052322B">
        <w:trPr>
          <w:trHeight w:val="374"/>
        </w:trPr>
        <w:tc>
          <w:tcPr>
            <w:tcW w:w="2802" w:type="dxa"/>
            <w:tcBorders>
              <w:top w:val="single" w:sz="4" w:space="0" w:color="auto"/>
              <w:bottom w:val="single" w:sz="4" w:space="0" w:color="auto"/>
            </w:tcBorders>
            <w:shd w:val="clear" w:color="auto" w:fill="auto"/>
          </w:tcPr>
          <w:p w14:paraId="42160675"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Podoplanin expression</w:t>
            </w:r>
          </w:p>
        </w:tc>
        <w:tc>
          <w:tcPr>
            <w:tcW w:w="1417" w:type="dxa"/>
            <w:tcBorders>
              <w:top w:val="single" w:sz="4" w:space="0" w:color="auto"/>
              <w:bottom w:val="single" w:sz="4" w:space="0" w:color="auto"/>
            </w:tcBorders>
            <w:shd w:val="clear" w:color="auto" w:fill="auto"/>
          </w:tcPr>
          <w:p w14:paraId="62027B5C" w14:textId="77777777" w:rsidR="00BB36AA" w:rsidRPr="0052322B" w:rsidRDefault="00BB36AA" w:rsidP="00B751AA">
            <w:pPr>
              <w:snapToGrid w:val="0"/>
              <w:spacing w:after="0" w:line="360" w:lineRule="auto"/>
              <w:jc w:val="both"/>
              <w:rPr>
                <w:rFonts w:ascii="Book Antiqua" w:hAnsi="Book Antiqua" w:cs="Arial"/>
                <w:b/>
                <w:sz w:val="24"/>
                <w:szCs w:val="24"/>
              </w:rPr>
            </w:pPr>
            <w:r w:rsidRPr="00B751AA">
              <w:rPr>
                <w:rFonts w:ascii="Book Antiqua" w:hAnsi="Book Antiqua" w:cs="Arial"/>
                <w:b/>
                <w:sz w:val="24"/>
                <w:szCs w:val="24"/>
              </w:rPr>
              <w:t>Patients</w:t>
            </w:r>
            <w:r w:rsidR="0052322B">
              <w:rPr>
                <w:rFonts w:ascii="Book Antiqua" w:hAnsi="Book Antiqua" w:cs="Arial"/>
                <w:b/>
                <w:sz w:val="24"/>
                <w:szCs w:val="24"/>
              </w:rPr>
              <w:t>,</w:t>
            </w:r>
            <w:r w:rsidRPr="00B751AA">
              <w:rPr>
                <w:rFonts w:ascii="Book Antiqua" w:hAnsi="Book Antiqua" w:cs="Arial"/>
                <w:b/>
                <w:sz w:val="24"/>
                <w:szCs w:val="24"/>
              </w:rPr>
              <w:t xml:space="preserve"> </w:t>
            </w:r>
            <w:r w:rsidR="0052322B" w:rsidRPr="0052322B">
              <w:rPr>
                <w:rFonts w:ascii="Book Antiqua" w:hAnsi="Book Antiqua" w:cs="Arial"/>
                <w:b/>
                <w:i/>
                <w:iCs/>
                <w:sz w:val="24"/>
                <w:szCs w:val="24"/>
              </w:rPr>
              <w:t>n</w:t>
            </w:r>
          </w:p>
        </w:tc>
        <w:tc>
          <w:tcPr>
            <w:tcW w:w="992" w:type="dxa"/>
            <w:tcBorders>
              <w:top w:val="single" w:sz="4" w:space="0" w:color="auto"/>
              <w:bottom w:val="single" w:sz="4" w:space="0" w:color="auto"/>
            </w:tcBorders>
            <w:shd w:val="clear" w:color="auto" w:fill="auto"/>
          </w:tcPr>
          <w:p w14:paraId="144375D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0-5%</w:t>
            </w:r>
          </w:p>
        </w:tc>
        <w:tc>
          <w:tcPr>
            <w:tcW w:w="993" w:type="dxa"/>
            <w:tcBorders>
              <w:top w:val="single" w:sz="4" w:space="0" w:color="auto"/>
              <w:bottom w:val="single" w:sz="4" w:space="0" w:color="auto"/>
            </w:tcBorders>
            <w:shd w:val="clear" w:color="auto" w:fill="auto"/>
          </w:tcPr>
          <w:p w14:paraId="7B0D0894"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6</w:t>
            </w:r>
            <w:r w:rsidR="0052322B">
              <w:rPr>
                <w:rFonts w:ascii="Book Antiqua" w:hAnsi="Book Antiqua" w:cs="Arial"/>
                <w:b/>
                <w:sz w:val="24"/>
                <w:szCs w:val="24"/>
                <w:lang w:val="fr-FR"/>
              </w:rPr>
              <w:t>%</w:t>
            </w:r>
            <w:r w:rsidRPr="00B751AA">
              <w:rPr>
                <w:rFonts w:ascii="Book Antiqua" w:hAnsi="Book Antiqua" w:cs="Arial"/>
                <w:b/>
                <w:sz w:val="24"/>
                <w:szCs w:val="24"/>
                <w:lang w:val="fr-FR"/>
              </w:rPr>
              <w:t>-35</w:t>
            </w:r>
            <w:r w:rsidR="0052322B">
              <w:rPr>
                <w:rFonts w:ascii="Book Antiqua" w:hAnsi="Book Antiqua" w:cs="Arial"/>
                <w:b/>
                <w:sz w:val="24"/>
                <w:szCs w:val="24"/>
                <w:lang w:val="fr-FR"/>
              </w:rPr>
              <w:t>%</w:t>
            </w:r>
          </w:p>
        </w:tc>
        <w:tc>
          <w:tcPr>
            <w:tcW w:w="1162" w:type="dxa"/>
            <w:tcBorders>
              <w:top w:val="single" w:sz="4" w:space="0" w:color="auto"/>
              <w:bottom w:val="single" w:sz="4" w:space="0" w:color="auto"/>
            </w:tcBorders>
            <w:shd w:val="clear" w:color="auto" w:fill="auto"/>
          </w:tcPr>
          <w:p w14:paraId="3E0F148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36</w:t>
            </w:r>
            <w:r w:rsidR="0052322B">
              <w:rPr>
                <w:rFonts w:ascii="Book Antiqua" w:hAnsi="Book Antiqua" w:cs="Arial"/>
                <w:b/>
                <w:sz w:val="24"/>
                <w:szCs w:val="24"/>
                <w:lang w:val="fr-FR"/>
              </w:rPr>
              <w:t>%</w:t>
            </w:r>
            <w:r w:rsidRPr="00B751AA">
              <w:rPr>
                <w:rFonts w:ascii="Book Antiqua" w:hAnsi="Book Antiqua" w:cs="Arial"/>
                <w:b/>
                <w:sz w:val="24"/>
                <w:szCs w:val="24"/>
                <w:lang w:val="fr-FR"/>
              </w:rPr>
              <w:t>-65</w:t>
            </w:r>
            <w:r w:rsidR="0052322B">
              <w:rPr>
                <w:rFonts w:ascii="Book Antiqua" w:hAnsi="Book Antiqua" w:cs="Arial"/>
                <w:b/>
                <w:sz w:val="24"/>
                <w:szCs w:val="24"/>
                <w:lang w:val="fr-FR"/>
              </w:rPr>
              <w:t>%</w:t>
            </w:r>
          </w:p>
        </w:tc>
        <w:tc>
          <w:tcPr>
            <w:tcW w:w="1106" w:type="dxa"/>
            <w:tcBorders>
              <w:top w:val="single" w:sz="4" w:space="0" w:color="auto"/>
              <w:bottom w:val="single" w:sz="4" w:space="0" w:color="auto"/>
            </w:tcBorders>
            <w:shd w:val="clear" w:color="auto" w:fill="auto"/>
          </w:tcPr>
          <w:p w14:paraId="6393FF39" w14:textId="77777777" w:rsidR="00BB36AA" w:rsidRPr="0052322B" w:rsidRDefault="0052322B" w:rsidP="0052322B">
            <w:pPr>
              <w:snapToGrid w:val="0"/>
              <w:spacing w:line="360" w:lineRule="auto"/>
              <w:ind w:right="-286"/>
              <w:jc w:val="both"/>
              <w:rPr>
                <w:rFonts w:ascii="Book Antiqua" w:hAnsi="Book Antiqua" w:cs="Arial"/>
                <w:b/>
                <w:lang w:val="fr-FR"/>
              </w:rPr>
            </w:pPr>
            <w:r w:rsidRPr="0052322B">
              <w:rPr>
                <w:rFonts w:ascii="Book Antiqua" w:hAnsi="Book Antiqua" w:cs="Arial"/>
                <w:b/>
                <w:sz w:val="24"/>
                <w:szCs w:val="24"/>
                <w:lang w:val="fr-FR"/>
              </w:rPr>
              <w:t>&gt;</w:t>
            </w:r>
            <w:r>
              <w:rPr>
                <w:rFonts w:ascii="Book Antiqua" w:hAnsi="Book Antiqua" w:cs="Arial"/>
                <w:b/>
                <w:lang w:val="fr-FR"/>
              </w:rPr>
              <w:t xml:space="preserve"> </w:t>
            </w:r>
            <w:r w:rsidR="00BB36AA" w:rsidRPr="0052322B">
              <w:rPr>
                <w:rFonts w:ascii="Book Antiqua" w:hAnsi="Book Antiqua" w:cs="Arial"/>
                <w:b/>
                <w:lang w:val="fr-FR"/>
              </w:rPr>
              <w:t>65</w:t>
            </w:r>
            <w:r>
              <w:rPr>
                <w:rFonts w:ascii="Book Antiqua" w:hAnsi="Book Antiqua" w:cs="Arial"/>
                <w:b/>
                <w:lang w:val="fr-FR"/>
              </w:rPr>
              <w:t>%</w:t>
            </w:r>
          </w:p>
        </w:tc>
      </w:tr>
      <w:tr w:rsidR="00BB36AA" w:rsidRPr="00B751AA" w14:paraId="476BF585" w14:textId="77777777" w:rsidTr="0052322B">
        <w:trPr>
          <w:trHeight w:val="374"/>
        </w:trPr>
        <w:tc>
          <w:tcPr>
            <w:tcW w:w="2802" w:type="dxa"/>
            <w:tcBorders>
              <w:top w:val="single" w:sz="4" w:space="0" w:color="auto"/>
            </w:tcBorders>
            <w:shd w:val="clear" w:color="auto" w:fill="auto"/>
          </w:tcPr>
          <w:p w14:paraId="5260759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17" w:type="dxa"/>
            <w:tcBorders>
              <w:top w:val="single" w:sz="4" w:space="0" w:color="auto"/>
            </w:tcBorders>
            <w:shd w:val="clear" w:color="auto" w:fill="auto"/>
          </w:tcPr>
          <w:p w14:paraId="598C0A28"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35</w:t>
            </w:r>
          </w:p>
        </w:tc>
        <w:tc>
          <w:tcPr>
            <w:tcW w:w="992" w:type="dxa"/>
            <w:tcBorders>
              <w:top w:val="single" w:sz="4" w:space="0" w:color="auto"/>
            </w:tcBorders>
            <w:shd w:val="clear" w:color="auto" w:fill="auto"/>
          </w:tcPr>
          <w:p w14:paraId="6C6E746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34</w:t>
            </w:r>
          </w:p>
        </w:tc>
        <w:tc>
          <w:tcPr>
            <w:tcW w:w="993" w:type="dxa"/>
            <w:tcBorders>
              <w:top w:val="single" w:sz="4" w:space="0" w:color="auto"/>
            </w:tcBorders>
            <w:shd w:val="clear" w:color="auto" w:fill="auto"/>
          </w:tcPr>
          <w:p w14:paraId="64736A8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62" w:type="dxa"/>
            <w:tcBorders>
              <w:top w:val="single" w:sz="4" w:space="0" w:color="auto"/>
            </w:tcBorders>
            <w:shd w:val="clear" w:color="auto" w:fill="auto"/>
          </w:tcPr>
          <w:p w14:paraId="3ACAAD5C"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tcBorders>
              <w:top w:val="single" w:sz="4" w:space="0" w:color="auto"/>
            </w:tcBorders>
            <w:shd w:val="clear" w:color="auto" w:fill="auto"/>
          </w:tcPr>
          <w:p w14:paraId="0C6986FB"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2969CFA7" w14:textId="77777777" w:rsidTr="0052322B">
        <w:trPr>
          <w:trHeight w:val="374"/>
        </w:trPr>
        <w:tc>
          <w:tcPr>
            <w:tcW w:w="2802" w:type="dxa"/>
            <w:shd w:val="clear" w:color="auto" w:fill="auto"/>
          </w:tcPr>
          <w:p w14:paraId="13B6BAD9"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6</w:t>
            </w:r>
            <w:r w:rsidR="0052322B">
              <w:rPr>
                <w:rFonts w:ascii="Book Antiqua" w:hAnsi="Book Antiqua" w:cs="Arial"/>
                <w:sz w:val="24"/>
                <w:szCs w:val="24"/>
                <w:lang w:val="fr-FR"/>
              </w:rPr>
              <w:t>%</w:t>
            </w:r>
            <w:r w:rsidRPr="00B751AA">
              <w:rPr>
                <w:rFonts w:ascii="Book Antiqua" w:hAnsi="Book Antiqua" w:cs="Arial"/>
                <w:sz w:val="24"/>
                <w:szCs w:val="24"/>
                <w:lang w:val="fr-FR"/>
              </w:rPr>
              <w:t>-35%</w:t>
            </w:r>
          </w:p>
        </w:tc>
        <w:tc>
          <w:tcPr>
            <w:tcW w:w="1417" w:type="dxa"/>
            <w:shd w:val="clear" w:color="auto" w:fill="auto"/>
          </w:tcPr>
          <w:p w14:paraId="642ACDE7"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14</w:t>
            </w:r>
          </w:p>
        </w:tc>
        <w:tc>
          <w:tcPr>
            <w:tcW w:w="992" w:type="dxa"/>
            <w:shd w:val="clear" w:color="auto" w:fill="auto"/>
          </w:tcPr>
          <w:p w14:paraId="592A042A"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10</w:t>
            </w:r>
          </w:p>
        </w:tc>
        <w:tc>
          <w:tcPr>
            <w:tcW w:w="993" w:type="dxa"/>
            <w:shd w:val="clear" w:color="auto" w:fill="auto"/>
          </w:tcPr>
          <w:p w14:paraId="3BEE92A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162" w:type="dxa"/>
            <w:shd w:val="clear" w:color="auto" w:fill="auto"/>
          </w:tcPr>
          <w:p w14:paraId="4A7CF0E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06" w:type="dxa"/>
            <w:shd w:val="clear" w:color="auto" w:fill="auto"/>
          </w:tcPr>
          <w:p w14:paraId="3631A3E8"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63F7BE58" w14:textId="77777777" w:rsidTr="0052322B">
        <w:trPr>
          <w:trHeight w:val="374"/>
        </w:trPr>
        <w:tc>
          <w:tcPr>
            <w:tcW w:w="2802" w:type="dxa"/>
            <w:shd w:val="clear" w:color="auto" w:fill="auto"/>
          </w:tcPr>
          <w:p w14:paraId="5B50015F" w14:textId="77777777" w:rsidR="00BB36AA" w:rsidRPr="00B751AA" w:rsidRDefault="00BB36AA" w:rsidP="00B751AA">
            <w:pPr>
              <w:snapToGrid w:val="0"/>
              <w:spacing w:after="0" w:line="360" w:lineRule="auto"/>
              <w:jc w:val="both"/>
              <w:rPr>
                <w:rFonts w:ascii="Book Antiqua" w:hAnsi="Book Antiqua"/>
                <w:sz w:val="24"/>
                <w:szCs w:val="24"/>
              </w:rPr>
            </w:pPr>
            <w:r w:rsidRPr="00B751AA">
              <w:rPr>
                <w:rFonts w:ascii="Book Antiqua" w:hAnsi="Book Antiqua" w:cs="Arial"/>
                <w:sz w:val="24"/>
                <w:szCs w:val="24"/>
                <w:lang w:val="fr-FR"/>
              </w:rPr>
              <w:t>36</w:t>
            </w:r>
            <w:r w:rsidR="0052322B">
              <w:rPr>
                <w:rFonts w:ascii="Book Antiqua" w:hAnsi="Book Antiqua" w:cs="Arial"/>
                <w:sz w:val="24"/>
                <w:szCs w:val="24"/>
                <w:lang w:val="fr-FR"/>
              </w:rPr>
              <w:t>%</w:t>
            </w:r>
            <w:r w:rsidRPr="00B751AA">
              <w:rPr>
                <w:rFonts w:ascii="Book Antiqua" w:hAnsi="Book Antiqua" w:cs="Arial"/>
                <w:sz w:val="24"/>
                <w:szCs w:val="24"/>
                <w:lang w:val="fr-FR"/>
              </w:rPr>
              <w:t>-65%</w:t>
            </w:r>
          </w:p>
        </w:tc>
        <w:tc>
          <w:tcPr>
            <w:tcW w:w="1417" w:type="dxa"/>
            <w:shd w:val="clear" w:color="auto" w:fill="auto"/>
          </w:tcPr>
          <w:p w14:paraId="27519332" w14:textId="77777777" w:rsidR="00BB36AA" w:rsidRPr="00B751AA" w:rsidRDefault="00BB36AA" w:rsidP="00B751AA">
            <w:pPr>
              <w:snapToGrid w:val="0"/>
              <w:spacing w:after="0" w:line="360" w:lineRule="auto"/>
              <w:jc w:val="both"/>
              <w:rPr>
                <w:rFonts w:ascii="Book Antiqua" w:hAnsi="Book Antiqua" w:cs="Arial"/>
                <w:sz w:val="24"/>
                <w:szCs w:val="24"/>
              </w:rPr>
            </w:pPr>
            <w:r w:rsidRPr="00B751AA">
              <w:rPr>
                <w:rFonts w:ascii="Book Antiqua" w:hAnsi="Book Antiqua" w:cs="Arial"/>
                <w:sz w:val="24"/>
                <w:szCs w:val="24"/>
              </w:rPr>
              <w:t>3</w:t>
            </w:r>
          </w:p>
        </w:tc>
        <w:tc>
          <w:tcPr>
            <w:tcW w:w="992" w:type="dxa"/>
            <w:shd w:val="clear" w:color="auto" w:fill="auto"/>
          </w:tcPr>
          <w:p w14:paraId="7F88BE66"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993" w:type="dxa"/>
            <w:shd w:val="clear" w:color="auto" w:fill="auto"/>
          </w:tcPr>
          <w:p w14:paraId="3BFD5C12"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62" w:type="dxa"/>
            <w:shd w:val="clear" w:color="auto" w:fill="auto"/>
          </w:tcPr>
          <w:p w14:paraId="01C1F2B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shd w:val="clear" w:color="auto" w:fill="auto"/>
          </w:tcPr>
          <w:p w14:paraId="0887FCBE"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709E4E7E" w14:textId="77777777" w:rsidTr="0052322B">
        <w:trPr>
          <w:trHeight w:val="372"/>
        </w:trPr>
        <w:tc>
          <w:tcPr>
            <w:tcW w:w="2802" w:type="dxa"/>
            <w:shd w:val="clear" w:color="auto" w:fill="auto"/>
          </w:tcPr>
          <w:p w14:paraId="324E2514" w14:textId="77777777" w:rsidR="00BB36AA" w:rsidRPr="0052322B" w:rsidRDefault="0052322B" w:rsidP="0052322B">
            <w:pPr>
              <w:snapToGrid w:val="0"/>
              <w:spacing w:line="360" w:lineRule="auto"/>
              <w:jc w:val="both"/>
              <w:rPr>
                <w:rFonts w:ascii="Book Antiqua" w:hAnsi="Book Antiqua"/>
              </w:rPr>
            </w:pPr>
            <w:r w:rsidRPr="0052322B">
              <w:rPr>
                <w:rFonts w:ascii="Book Antiqua" w:hAnsi="Book Antiqua" w:cs="Arial"/>
                <w:sz w:val="24"/>
                <w:szCs w:val="24"/>
                <w:lang w:val="fr-FR"/>
              </w:rPr>
              <w:t>&gt;</w:t>
            </w:r>
            <w:r>
              <w:rPr>
                <w:rFonts w:ascii="Book Antiqua" w:hAnsi="Book Antiqua" w:cs="Arial"/>
                <w:lang w:val="fr-FR"/>
              </w:rPr>
              <w:t xml:space="preserve"> </w:t>
            </w:r>
            <w:r w:rsidR="00BB36AA" w:rsidRPr="0052322B">
              <w:rPr>
                <w:rFonts w:ascii="Book Antiqua" w:hAnsi="Book Antiqua" w:cs="Arial"/>
                <w:lang w:val="fr-FR"/>
              </w:rPr>
              <w:t>65%</w:t>
            </w:r>
          </w:p>
        </w:tc>
        <w:tc>
          <w:tcPr>
            <w:tcW w:w="1417" w:type="dxa"/>
            <w:shd w:val="clear" w:color="auto" w:fill="auto"/>
          </w:tcPr>
          <w:p w14:paraId="7AF14921" w14:textId="77777777" w:rsidR="00BB36AA" w:rsidRPr="00B751AA" w:rsidRDefault="00BB36AA" w:rsidP="00B751AA">
            <w:pPr>
              <w:snapToGrid w:val="0"/>
              <w:spacing w:after="0" w:line="360" w:lineRule="auto"/>
              <w:jc w:val="both"/>
              <w:rPr>
                <w:rFonts w:ascii="Book Antiqua" w:hAnsi="Book Antiqua" w:cs="Arial"/>
                <w:sz w:val="24"/>
                <w:szCs w:val="24"/>
              </w:rPr>
            </w:pPr>
            <w:r w:rsidRPr="00B751AA">
              <w:rPr>
                <w:rFonts w:ascii="Book Antiqua" w:hAnsi="Book Antiqua" w:cs="Arial"/>
                <w:sz w:val="24"/>
                <w:szCs w:val="24"/>
              </w:rPr>
              <w:t>4</w:t>
            </w:r>
          </w:p>
        </w:tc>
        <w:tc>
          <w:tcPr>
            <w:tcW w:w="992" w:type="dxa"/>
            <w:shd w:val="clear" w:color="auto" w:fill="auto"/>
          </w:tcPr>
          <w:p w14:paraId="158F612A"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993" w:type="dxa"/>
            <w:shd w:val="clear" w:color="auto" w:fill="auto"/>
          </w:tcPr>
          <w:p w14:paraId="388F4A92"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62" w:type="dxa"/>
            <w:shd w:val="clear" w:color="auto" w:fill="auto"/>
          </w:tcPr>
          <w:p w14:paraId="6C2C935C"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shd w:val="clear" w:color="auto" w:fill="auto"/>
          </w:tcPr>
          <w:p w14:paraId="051E25D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bl>
    <w:p w14:paraId="04362A1E" w14:textId="77777777" w:rsidR="0052322B" w:rsidRDefault="00BB36AA" w:rsidP="00B751AA">
      <w:pPr>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sz w:val="24"/>
          <w:szCs w:val="24"/>
        </w:rPr>
        <w:t>Comparison of matched biopsies and resected specimen of 56 patients,</w:t>
      </w:r>
      <w:r w:rsidRPr="00B751AA">
        <w:rPr>
          <w:rFonts w:ascii="Book Antiqua" w:hAnsi="Book Antiqua" w:cs="Arial"/>
          <w:bCs/>
          <w:color w:val="000000"/>
          <w:kern w:val="1"/>
          <w:sz w:val="24"/>
          <w:szCs w:val="24"/>
          <w:lang w:val="fr-FR"/>
        </w:rPr>
        <w:t xml:space="preserve"> scoring by immunohistochemically stained D2-40, </w:t>
      </w:r>
      <w:r w:rsidR="0052322B" w:rsidRPr="0052322B">
        <w:rPr>
          <w:rFonts w:ascii="Book Antiqua" w:hAnsi="Book Antiqua" w:cs="Arial"/>
          <w:bCs/>
          <w:i/>
          <w:iCs/>
          <w:color w:val="000000"/>
          <w:kern w:val="1"/>
          <w:sz w:val="24"/>
          <w:szCs w:val="24"/>
          <w:lang w:val="fr-FR"/>
        </w:rPr>
        <w:t>P</w:t>
      </w:r>
      <w:r w:rsidR="0052322B">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&lt;</w:t>
      </w:r>
      <w:r w:rsidR="0052322B">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 xml:space="preserve">0.001. </w:t>
      </w:r>
    </w:p>
    <w:p w14:paraId="2CFA7B92" w14:textId="77777777" w:rsidR="00BB36AA" w:rsidRPr="0052322B"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cs="Arial"/>
          <w:bCs/>
          <w:color w:val="000000"/>
          <w:kern w:val="1"/>
          <w:sz w:val="24"/>
          <w:szCs w:val="24"/>
          <w:lang w:val="fr-FR"/>
        </w:rPr>
        <w:t>RTx/CTx</w:t>
      </w:r>
      <w:r w:rsidR="0052322B">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0052322B" w:rsidRPr="00B751AA">
        <w:rPr>
          <w:rFonts w:ascii="Book Antiqua" w:hAnsi="Book Antiqua" w:cs="Arial"/>
          <w:bCs/>
          <w:color w:val="000000"/>
          <w:kern w:val="1"/>
          <w:sz w:val="24"/>
          <w:szCs w:val="24"/>
          <w:lang w:val="fr-FR"/>
        </w:rPr>
        <w:t xml:space="preserve">Neoadjuvant </w:t>
      </w:r>
      <w:r w:rsidRPr="00B751AA">
        <w:rPr>
          <w:rFonts w:ascii="Book Antiqua" w:hAnsi="Book Antiqua" w:cs="Arial"/>
          <w:bCs/>
          <w:color w:val="000000"/>
          <w:kern w:val="1"/>
          <w:sz w:val="24"/>
          <w:szCs w:val="24"/>
          <w:lang w:val="fr-FR"/>
        </w:rPr>
        <w:t>radio-chemotherapy.</w:t>
      </w:r>
    </w:p>
    <w:sectPr w:rsidR="00BB36AA" w:rsidRPr="0052322B" w:rsidSect="00FE6179">
      <w:foot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C4D8E" w14:textId="77777777" w:rsidR="008455C5" w:rsidRDefault="008455C5" w:rsidP="00FE6179">
      <w:pPr>
        <w:spacing w:after="0" w:line="240" w:lineRule="auto"/>
      </w:pPr>
      <w:r>
        <w:separator/>
      </w:r>
    </w:p>
  </w:endnote>
  <w:endnote w:type="continuationSeparator" w:id="0">
    <w:p w14:paraId="317D74E4" w14:textId="77777777" w:rsidR="008455C5" w:rsidRDefault="008455C5" w:rsidP="00FE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4F196" w14:textId="77777777" w:rsidR="006E47C1" w:rsidRPr="00871B4E" w:rsidRDefault="006E47C1" w:rsidP="00871B4E">
    <w:pPr>
      <w:pStyle w:val="a7"/>
      <w:jc w:val="right"/>
      <w:rPr>
        <w:rFonts w:ascii="Book Antiqua" w:hAnsi="Book Antiqua"/>
        <w:color w:val="000000" w:themeColor="text1"/>
      </w:rPr>
    </w:pPr>
    <w:r w:rsidRPr="00871B4E">
      <w:rPr>
        <w:rFonts w:ascii="Book Antiqua" w:hAnsi="Book Antiqua"/>
        <w:color w:val="000000" w:themeColor="text1"/>
      </w:rPr>
      <w:fldChar w:fldCharType="begin"/>
    </w:r>
    <w:r w:rsidRPr="00871B4E">
      <w:rPr>
        <w:rFonts w:ascii="Book Antiqua" w:hAnsi="Book Antiqua"/>
        <w:color w:val="000000" w:themeColor="text1"/>
      </w:rPr>
      <w:instrText>PAGE  \* Arabic  \* MERGEFORMAT</w:instrText>
    </w:r>
    <w:r w:rsidRPr="00871B4E">
      <w:rPr>
        <w:rFonts w:ascii="Book Antiqua" w:hAnsi="Book Antiqua"/>
        <w:color w:val="000000" w:themeColor="text1"/>
      </w:rPr>
      <w:fldChar w:fldCharType="separate"/>
    </w:r>
    <w:r w:rsidR="00E22C78" w:rsidRPr="00E22C78">
      <w:rPr>
        <w:rFonts w:ascii="Book Antiqua" w:hAnsi="Book Antiqua"/>
        <w:noProof/>
        <w:color w:val="000000" w:themeColor="text1"/>
        <w:lang w:val="zh-CN"/>
      </w:rPr>
      <w:t>26</w:t>
    </w:r>
    <w:r w:rsidRPr="00871B4E">
      <w:rPr>
        <w:rFonts w:ascii="Book Antiqua" w:hAnsi="Book Antiqua"/>
        <w:color w:val="000000" w:themeColor="text1"/>
      </w:rPr>
      <w:fldChar w:fldCharType="end"/>
    </w:r>
    <w:r w:rsidRPr="00871B4E">
      <w:rPr>
        <w:rFonts w:ascii="Book Antiqua" w:hAnsi="Book Antiqua"/>
        <w:color w:val="000000" w:themeColor="text1"/>
        <w:lang w:val="zh-CN"/>
      </w:rPr>
      <w:t>/</w:t>
    </w:r>
    <w:r w:rsidRPr="00871B4E">
      <w:rPr>
        <w:rFonts w:ascii="Book Antiqua" w:hAnsi="Book Antiqua"/>
        <w:color w:val="000000" w:themeColor="text1"/>
      </w:rPr>
      <w:fldChar w:fldCharType="begin"/>
    </w:r>
    <w:r w:rsidRPr="00871B4E">
      <w:rPr>
        <w:rFonts w:ascii="Book Antiqua" w:hAnsi="Book Antiqua"/>
        <w:color w:val="000000" w:themeColor="text1"/>
      </w:rPr>
      <w:instrText>NUMPAGES  \* Arabic  \* MERGEFORMAT</w:instrText>
    </w:r>
    <w:r w:rsidRPr="00871B4E">
      <w:rPr>
        <w:rFonts w:ascii="Book Antiqua" w:hAnsi="Book Antiqua"/>
        <w:color w:val="000000" w:themeColor="text1"/>
      </w:rPr>
      <w:fldChar w:fldCharType="separate"/>
    </w:r>
    <w:r w:rsidR="00E22C78" w:rsidRPr="00E22C78">
      <w:rPr>
        <w:rFonts w:ascii="Book Antiqua" w:hAnsi="Book Antiqua"/>
        <w:noProof/>
        <w:color w:val="000000" w:themeColor="text1"/>
        <w:lang w:val="zh-CN"/>
      </w:rPr>
      <w:t>34</w:t>
    </w:r>
    <w:r w:rsidRPr="00871B4E">
      <w:rPr>
        <w:rFonts w:ascii="Book Antiqua" w:hAnsi="Book Antiqua"/>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04927" w14:textId="77777777" w:rsidR="008455C5" w:rsidRDefault="008455C5" w:rsidP="00FE6179">
      <w:pPr>
        <w:spacing w:after="0" w:line="240" w:lineRule="auto"/>
      </w:pPr>
      <w:r>
        <w:separator/>
      </w:r>
    </w:p>
  </w:footnote>
  <w:footnote w:type="continuationSeparator" w:id="0">
    <w:p w14:paraId="786762E9" w14:textId="77777777" w:rsidR="008455C5" w:rsidRDefault="008455C5" w:rsidP="00FE6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Calibri" w:hAnsi="Calibri" w:cs="Calibri" w:hint="default"/>
        <w:color w:val="000000"/>
        <w:kern w:val="1"/>
        <w:sz w:val="32"/>
        <w:szCs w:val="44"/>
      </w:rPr>
    </w:lvl>
  </w:abstractNum>
  <w:abstractNum w:abstractNumId="2">
    <w:nsid w:val="00000003"/>
    <w:multiLevelType w:val="singleLevel"/>
    <w:tmpl w:val="00000003"/>
    <w:name w:val="WW8Num3"/>
    <w:lvl w:ilvl="0">
      <w:start w:val="1"/>
      <w:numFmt w:val="decimal"/>
      <w:lvlText w:val="%1."/>
      <w:lvlJc w:val="left"/>
      <w:pPr>
        <w:tabs>
          <w:tab w:val="num" w:pos="0"/>
        </w:tabs>
        <w:ind w:left="76" w:hanging="360"/>
      </w:pPr>
      <w:rPr>
        <w:rFonts w:ascii="Arial" w:hAnsi="Arial" w:cs="Arial" w:hint="default"/>
        <w:lang w:val="en-GB"/>
      </w:rPr>
    </w:lvl>
  </w:abstractNum>
  <w:abstractNum w:abstractNumId="3">
    <w:nsid w:val="00000004"/>
    <w:multiLevelType w:val="singleLevel"/>
    <w:tmpl w:val="00000004"/>
    <w:lvl w:ilvl="0">
      <w:start w:val="1"/>
      <w:numFmt w:val="decimal"/>
      <w:lvlText w:val="%1."/>
      <w:lvlJc w:val="left"/>
      <w:pPr>
        <w:tabs>
          <w:tab w:val="num" w:pos="0"/>
        </w:tabs>
        <w:ind w:left="76" w:hanging="360"/>
      </w:pPr>
      <w:rPr>
        <w:rFonts w:ascii="Arial" w:hAnsi="Arial" w:cs="Arial" w:hint="default"/>
        <w:lang w:val="fr-FR"/>
      </w:rPr>
    </w:lvl>
  </w:abstractNum>
  <w:abstractNum w:abstractNumId="4">
    <w:nsid w:val="00000005"/>
    <w:multiLevelType w:val="multilevel"/>
    <w:tmpl w:val="5E28AF2C"/>
    <w:name w:val="WW8Num6"/>
    <w:lvl w:ilvl="0">
      <w:start w:val="1"/>
      <w:numFmt w:val="decimal"/>
      <w:lvlText w:val="%1."/>
      <w:lvlJc w:val="left"/>
      <w:pPr>
        <w:tabs>
          <w:tab w:val="num" w:pos="76"/>
        </w:tabs>
        <w:ind w:left="76" w:hanging="360"/>
      </w:pPr>
      <w:rPr>
        <w:rFonts w:ascii="Arial" w:hAnsi="Arial" w:cs="Arial" w:hint="default"/>
        <w:lang w:val="de-DE"/>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3788" w:hanging="1800"/>
      </w:pPr>
      <w:rPr>
        <w:rFonts w:hint="default"/>
      </w:rPr>
    </w:lvl>
  </w:abstractNum>
  <w:abstractNum w:abstractNumId="5">
    <w:nsid w:val="09C04553"/>
    <w:multiLevelType w:val="hybridMultilevel"/>
    <w:tmpl w:val="2B421204"/>
    <w:lvl w:ilvl="0" w:tplc="A8902D7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2D0646C"/>
    <w:multiLevelType w:val="hybridMultilevel"/>
    <w:tmpl w:val="C658A506"/>
    <w:lvl w:ilvl="0" w:tplc="662C0F4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C562BC"/>
    <w:multiLevelType w:val="hybridMultilevel"/>
    <w:tmpl w:val="D0B409E8"/>
    <w:lvl w:ilvl="0" w:tplc="9D66FA88">
      <w:start w:val="1"/>
      <w:numFmt w:val="decimal"/>
      <w:lvlText w:val="%1."/>
      <w:lvlJc w:val="left"/>
      <w:pPr>
        <w:ind w:left="76" w:hanging="360"/>
      </w:pPr>
      <w:rPr>
        <w:rFonts w:hint="default"/>
      </w:rPr>
    </w:lvl>
    <w:lvl w:ilvl="1" w:tplc="04070019">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8">
    <w:nsid w:val="28F62B19"/>
    <w:multiLevelType w:val="hybridMultilevel"/>
    <w:tmpl w:val="0D14342A"/>
    <w:lvl w:ilvl="0" w:tplc="9946AA8E">
      <w:start w:val="5"/>
      <w:numFmt w:val="decimal"/>
      <w:lvlText w:val="%1."/>
      <w:lvlJc w:val="left"/>
      <w:pPr>
        <w:tabs>
          <w:tab w:val="num" w:pos="720"/>
        </w:tabs>
        <w:ind w:left="720" w:hanging="360"/>
      </w:pPr>
    </w:lvl>
    <w:lvl w:ilvl="1" w:tplc="995AA098" w:tentative="1">
      <w:start w:val="1"/>
      <w:numFmt w:val="decimal"/>
      <w:lvlText w:val="%2."/>
      <w:lvlJc w:val="left"/>
      <w:pPr>
        <w:tabs>
          <w:tab w:val="num" w:pos="1440"/>
        </w:tabs>
        <w:ind w:left="1440" w:hanging="360"/>
      </w:pPr>
    </w:lvl>
    <w:lvl w:ilvl="2" w:tplc="7302B508" w:tentative="1">
      <w:start w:val="1"/>
      <w:numFmt w:val="decimal"/>
      <w:lvlText w:val="%3."/>
      <w:lvlJc w:val="left"/>
      <w:pPr>
        <w:tabs>
          <w:tab w:val="num" w:pos="2160"/>
        </w:tabs>
        <w:ind w:left="2160" w:hanging="360"/>
      </w:pPr>
    </w:lvl>
    <w:lvl w:ilvl="3" w:tplc="758AACA6" w:tentative="1">
      <w:start w:val="1"/>
      <w:numFmt w:val="decimal"/>
      <w:lvlText w:val="%4."/>
      <w:lvlJc w:val="left"/>
      <w:pPr>
        <w:tabs>
          <w:tab w:val="num" w:pos="2880"/>
        </w:tabs>
        <w:ind w:left="2880" w:hanging="360"/>
      </w:pPr>
    </w:lvl>
    <w:lvl w:ilvl="4" w:tplc="F8B4D670" w:tentative="1">
      <w:start w:val="1"/>
      <w:numFmt w:val="decimal"/>
      <w:lvlText w:val="%5."/>
      <w:lvlJc w:val="left"/>
      <w:pPr>
        <w:tabs>
          <w:tab w:val="num" w:pos="3600"/>
        </w:tabs>
        <w:ind w:left="3600" w:hanging="360"/>
      </w:pPr>
    </w:lvl>
    <w:lvl w:ilvl="5" w:tplc="19F656F8" w:tentative="1">
      <w:start w:val="1"/>
      <w:numFmt w:val="decimal"/>
      <w:lvlText w:val="%6."/>
      <w:lvlJc w:val="left"/>
      <w:pPr>
        <w:tabs>
          <w:tab w:val="num" w:pos="4320"/>
        </w:tabs>
        <w:ind w:left="4320" w:hanging="360"/>
      </w:pPr>
    </w:lvl>
    <w:lvl w:ilvl="6" w:tplc="DF2AD328" w:tentative="1">
      <w:start w:val="1"/>
      <w:numFmt w:val="decimal"/>
      <w:lvlText w:val="%7."/>
      <w:lvlJc w:val="left"/>
      <w:pPr>
        <w:tabs>
          <w:tab w:val="num" w:pos="5040"/>
        </w:tabs>
        <w:ind w:left="5040" w:hanging="360"/>
      </w:pPr>
    </w:lvl>
    <w:lvl w:ilvl="7" w:tplc="2F1CCF62" w:tentative="1">
      <w:start w:val="1"/>
      <w:numFmt w:val="decimal"/>
      <w:lvlText w:val="%8."/>
      <w:lvlJc w:val="left"/>
      <w:pPr>
        <w:tabs>
          <w:tab w:val="num" w:pos="5760"/>
        </w:tabs>
        <w:ind w:left="5760" w:hanging="360"/>
      </w:pPr>
    </w:lvl>
    <w:lvl w:ilvl="8" w:tplc="9BF0ED0E" w:tentative="1">
      <w:start w:val="1"/>
      <w:numFmt w:val="decimal"/>
      <w:lvlText w:val="%9."/>
      <w:lvlJc w:val="left"/>
      <w:pPr>
        <w:tabs>
          <w:tab w:val="num" w:pos="6480"/>
        </w:tabs>
        <w:ind w:left="6480" w:hanging="360"/>
      </w:pPr>
    </w:lvl>
  </w:abstractNum>
  <w:abstractNum w:abstractNumId="9">
    <w:nsid w:val="2FD24316"/>
    <w:multiLevelType w:val="hybridMultilevel"/>
    <w:tmpl w:val="8F0E9FE4"/>
    <w:lvl w:ilvl="0" w:tplc="A57E63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FD8307F"/>
    <w:multiLevelType w:val="hybridMultilevel"/>
    <w:tmpl w:val="00366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33956CC"/>
    <w:multiLevelType w:val="hybridMultilevel"/>
    <w:tmpl w:val="54024ADC"/>
    <w:lvl w:ilvl="0" w:tplc="3550CF24">
      <w:start w:val="3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B237E76"/>
    <w:multiLevelType w:val="hybridMultilevel"/>
    <w:tmpl w:val="654A22A8"/>
    <w:lvl w:ilvl="0" w:tplc="0D84E77E">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A916277"/>
    <w:multiLevelType w:val="hybridMultilevel"/>
    <w:tmpl w:val="BFAC9918"/>
    <w:lvl w:ilvl="0" w:tplc="022225C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43535E6"/>
    <w:multiLevelType w:val="hybridMultilevel"/>
    <w:tmpl w:val="0E426EAA"/>
    <w:lvl w:ilvl="0" w:tplc="C882B064">
      <w:start w:val="1"/>
      <w:numFmt w:val="bullet"/>
      <w:lvlText w:val="•"/>
      <w:lvlJc w:val="left"/>
      <w:pPr>
        <w:tabs>
          <w:tab w:val="num" w:pos="720"/>
        </w:tabs>
        <w:ind w:left="720" w:hanging="360"/>
      </w:pPr>
      <w:rPr>
        <w:rFonts w:ascii="Arial" w:hAnsi="Arial" w:hint="default"/>
      </w:rPr>
    </w:lvl>
    <w:lvl w:ilvl="1" w:tplc="5B3450BA">
      <w:start w:val="3353"/>
      <w:numFmt w:val="bullet"/>
      <w:lvlText w:val="–"/>
      <w:lvlJc w:val="left"/>
      <w:pPr>
        <w:tabs>
          <w:tab w:val="num" w:pos="1440"/>
        </w:tabs>
        <w:ind w:left="1440" w:hanging="360"/>
      </w:pPr>
      <w:rPr>
        <w:rFonts w:ascii="Arial" w:hAnsi="Arial" w:hint="default"/>
      </w:rPr>
    </w:lvl>
    <w:lvl w:ilvl="2" w:tplc="705C02CC">
      <w:start w:val="3353"/>
      <w:numFmt w:val="bullet"/>
      <w:lvlText w:val="•"/>
      <w:lvlJc w:val="left"/>
      <w:pPr>
        <w:tabs>
          <w:tab w:val="num" w:pos="2160"/>
        </w:tabs>
        <w:ind w:left="2160" w:hanging="360"/>
      </w:pPr>
      <w:rPr>
        <w:rFonts w:ascii="Arial" w:hAnsi="Arial" w:hint="default"/>
      </w:rPr>
    </w:lvl>
    <w:lvl w:ilvl="3" w:tplc="B0308CD0" w:tentative="1">
      <w:start w:val="1"/>
      <w:numFmt w:val="bullet"/>
      <w:lvlText w:val="•"/>
      <w:lvlJc w:val="left"/>
      <w:pPr>
        <w:tabs>
          <w:tab w:val="num" w:pos="2880"/>
        </w:tabs>
        <w:ind w:left="2880" w:hanging="360"/>
      </w:pPr>
      <w:rPr>
        <w:rFonts w:ascii="Arial" w:hAnsi="Arial" w:hint="default"/>
      </w:rPr>
    </w:lvl>
    <w:lvl w:ilvl="4" w:tplc="8EBEB9DA" w:tentative="1">
      <w:start w:val="1"/>
      <w:numFmt w:val="bullet"/>
      <w:lvlText w:val="•"/>
      <w:lvlJc w:val="left"/>
      <w:pPr>
        <w:tabs>
          <w:tab w:val="num" w:pos="3600"/>
        </w:tabs>
        <w:ind w:left="3600" w:hanging="360"/>
      </w:pPr>
      <w:rPr>
        <w:rFonts w:ascii="Arial" w:hAnsi="Arial" w:hint="default"/>
      </w:rPr>
    </w:lvl>
    <w:lvl w:ilvl="5" w:tplc="7E723BA0" w:tentative="1">
      <w:start w:val="1"/>
      <w:numFmt w:val="bullet"/>
      <w:lvlText w:val="•"/>
      <w:lvlJc w:val="left"/>
      <w:pPr>
        <w:tabs>
          <w:tab w:val="num" w:pos="4320"/>
        </w:tabs>
        <w:ind w:left="4320" w:hanging="360"/>
      </w:pPr>
      <w:rPr>
        <w:rFonts w:ascii="Arial" w:hAnsi="Arial" w:hint="default"/>
      </w:rPr>
    </w:lvl>
    <w:lvl w:ilvl="6" w:tplc="E5F446EA" w:tentative="1">
      <w:start w:val="1"/>
      <w:numFmt w:val="bullet"/>
      <w:lvlText w:val="•"/>
      <w:lvlJc w:val="left"/>
      <w:pPr>
        <w:tabs>
          <w:tab w:val="num" w:pos="5040"/>
        </w:tabs>
        <w:ind w:left="5040" w:hanging="360"/>
      </w:pPr>
      <w:rPr>
        <w:rFonts w:ascii="Arial" w:hAnsi="Arial" w:hint="default"/>
      </w:rPr>
    </w:lvl>
    <w:lvl w:ilvl="7" w:tplc="E6AE2E7A" w:tentative="1">
      <w:start w:val="1"/>
      <w:numFmt w:val="bullet"/>
      <w:lvlText w:val="•"/>
      <w:lvlJc w:val="left"/>
      <w:pPr>
        <w:tabs>
          <w:tab w:val="num" w:pos="5760"/>
        </w:tabs>
        <w:ind w:left="5760" w:hanging="360"/>
      </w:pPr>
      <w:rPr>
        <w:rFonts w:ascii="Arial" w:hAnsi="Arial" w:hint="default"/>
      </w:rPr>
    </w:lvl>
    <w:lvl w:ilvl="8" w:tplc="44AAAC38" w:tentative="1">
      <w:start w:val="1"/>
      <w:numFmt w:val="bullet"/>
      <w:lvlText w:val="•"/>
      <w:lvlJc w:val="left"/>
      <w:pPr>
        <w:tabs>
          <w:tab w:val="num" w:pos="6480"/>
        </w:tabs>
        <w:ind w:left="6480" w:hanging="360"/>
      </w:pPr>
      <w:rPr>
        <w:rFonts w:ascii="Arial" w:hAnsi="Arial" w:hint="default"/>
      </w:rPr>
    </w:lvl>
  </w:abstractNum>
  <w:abstractNum w:abstractNumId="15">
    <w:nsid w:val="5A535AA8"/>
    <w:multiLevelType w:val="hybridMultilevel"/>
    <w:tmpl w:val="28524DE4"/>
    <w:lvl w:ilvl="0" w:tplc="2A4AB33A">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F6F5D37"/>
    <w:multiLevelType w:val="hybridMultilevel"/>
    <w:tmpl w:val="801C474A"/>
    <w:lvl w:ilvl="0" w:tplc="6C6600E2">
      <w:start w:val="1"/>
      <w:numFmt w:val="bullet"/>
      <w:lvlText w:val="•"/>
      <w:lvlJc w:val="left"/>
      <w:pPr>
        <w:tabs>
          <w:tab w:val="num" w:pos="720"/>
        </w:tabs>
        <w:ind w:left="720" w:hanging="360"/>
      </w:pPr>
      <w:rPr>
        <w:rFonts w:ascii="Arial" w:hAnsi="Arial" w:hint="default"/>
      </w:rPr>
    </w:lvl>
    <w:lvl w:ilvl="1" w:tplc="1744EAE6" w:tentative="1">
      <w:start w:val="1"/>
      <w:numFmt w:val="bullet"/>
      <w:lvlText w:val="•"/>
      <w:lvlJc w:val="left"/>
      <w:pPr>
        <w:tabs>
          <w:tab w:val="num" w:pos="1440"/>
        </w:tabs>
        <w:ind w:left="1440" w:hanging="360"/>
      </w:pPr>
      <w:rPr>
        <w:rFonts w:ascii="Arial" w:hAnsi="Arial" w:hint="default"/>
      </w:rPr>
    </w:lvl>
    <w:lvl w:ilvl="2" w:tplc="0D80224E" w:tentative="1">
      <w:start w:val="1"/>
      <w:numFmt w:val="bullet"/>
      <w:lvlText w:val="•"/>
      <w:lvlJc w:val="left"/>
      <w:pPr>
        <w:tabs>
          <w:tab w:val="num" w:pos="2160"/>
        </w:tabs>
        <w:ind w:left="2160" w:hanging="360"/>
      </w:pPr>
      <w:rPr>
        <w:rFonts w:ascii="Arial" w:hAnsi="Arial" w:hint="default"/>
      </w:rPr>
    </w:lvl>
    <w:lvl w:ilvl="3" w:tplc="9022FFF0" w:tentative="1">
      <w:start w:val="1"/>
      <w:numFmt w:val="bullet"/>
      <w:lvlText w:val="•"/>
      <w:lvlJc w:val="left"/>
      <w:pPr>
        <w:tabs>
          <w:tab w:val="num" w:pos="2880"/>
        </w:tabs>
        <w:ind w:left="2880" w:hanging="360"/>
      </w:pPr>
      <w:rPr>
        <w:rFonts w:ascii="Arial" w:hAnsi="Arial" w:hint="default"/>
      </w:rPr>
    </w:lvl>
    <w:lvl w:ilvl="4" w:tplc="5024F934" w:tentative="1">
      <w:start w:val="1"/>
      <w:numFmt w:val="bullet"/>
      <w:lvlText w:val="•"/>
      <w:lvlJc w:val="left"/>
      <w:pPr>
        <w:tabs>
          <w:tab w:val="num" w:pos="3600"/>
        </w:tabs>
        <w:ind w:left="3600" w:hanging="360"/>
      </w:pPr>
      <w:rPr>
        <w:rFonts w:ascii="Arial" w:hAnsi="Arial" w:hint="default"/>
      </w:rPr>
    </w:lvl>
    <w:lvl w:ilvl="5" w:tplc="018E2430" w:tentative="1">
      <w:start w:val="1"/>
      <w:numFmt w:val="bullet"/>
      <w:lvlText w:val="•"/>
      <w:lvlJc w:val="left"/>
      <w:pPr>
        <w:tabs>
          <w:tab w:val="num" w:pos="4320"/>
        </w:tabs>
        <w:ind w:left="4320" w:hanging="360"/>
      </w:pPr>
      <w:rPr>
        <w:rFonts w:ascii="Arial" w:hAnsi="Arial" w:hint="default"/>
      </w:rPr>
    </w:lvl>
    <w:lvl w:ilvl="6" w:tplc="9A94B5CE" w:tentative="1">
      <w:start w:val="1"/>
      <w:numFmt w:val="bullet"/>
      <w:lvlText w:val="•"/>
      <w:lvlJc w:val="left"/>
      <w:pPr>
        <w:tabs>
          <w:tab w:val="num" w:pos="5040"/>
        </w:tabs>
        <w:ind w:left="5040" w:hanging="360"/>
      </w:pPr>
      <w:rPr>
        <w:rFonts w:ascii="Arial" w:hAnsi="Arial" w:hint="default"/>
      </w:rPr>
    </w:lvl>
    <w:lvl w:ilvl="7" w:tplc="357663A8" w:tentative="1">
      <w:start w:val="1"/>
      <w:numFmt w:val="bullet"/>
      <w:lvlText w:val="•"/>
      <w:lvlJc w:val="left"/>
      <w:pPr>
        <w:tabs>
          <w:tab w:val="num" w:pos="5760"/>
        </w:tabs>
        <w:ind w:left="5760" w:hanging="360"/>
      </w:pPr>
      <w:rPr>
        <w:rFonts w:ascii="Arial" w:hAnsi="Arial" w:hint="default"/>
      </w:rPr>
    </w:lvl>
    <w:lvl w:ilvl="8" w:tplc="9BC0A532" w:tentative="1">
      <w:start w:val="1"/>
      <w:numFmt w:val="bullet"/>
      <w:lvlText w:val="•"/>
      <w:lvlJc w:val="left"/>
      <w:pPr>
        <w:tabs>
          <w:tab w:val="num" w:pos="6480"/>
        </w:tabs>
        <w:ind w:left="6480" w:hanging="360"/>
      </w:pPr>
      <w:rPr>
        <w:rFonts w:ascii="Arial" w:hAnsi="Arial" w:hint="default"/>
      </w:rPr>
    </w:lvl>
  </w:abstractNum>
  <w:abstractNum w:abstractNumId="17">
    <w:nsid w:val="64C80627"/>
    <w:multiLevelType w:val="hybridMultilevel"/>
    <w:tmpl w:val="81041828"/>
    <w:lvl w:ilvl="0" w:tplc="E42C07A4">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6FA73A09"/>
    <w:multiLevelType w:val="hybridMultilevel"/>
    <w:tmpl w:val="3CC4A144"/>
    <w:lvl w:ilvl="0" w:tplc="F4A05668">
      <w:numFmt w:val="bullet"/>
      <w:lvlText w:val=""/>
      <w:lvlJc w:val="left"/>
      <w:pPr>
        <w:ind w:left="360" w:hanging="360"/>
      </w:pPr>
      <w:rPr>
        <w:rFonts w:ascii="Wingdings" w:eastAsia="宋体" w:hAnsi="Wingdings" w:cs="Arial"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13E2645"/>
    <w:multiLevelType w:val="multilevel"/>
    <w:tmpl w:val="A8BA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146B4F"/>
    <w:multiLevelType w:val="multilevel"/>
    <w:tmpl w:val="0FD6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7"/>
  </w:num>
  <w:num w:numId="8">
    <w:abstractNumId w:val="9"/>
  </w:num>
  <w:num w:numId="9">
    <w:abstractNumId w:val="13"/>
  </w:num>
  <w:num w:numId="10">
    <w:abstractNumId w:val="5"/>
  </w:num>
  <w:num w:numId="11">
    <w:abstractNumId w:val="12"/>
  </w:num>
  <w:num w:numId="12">
    <w:abstractNumId w:val="16"/>
  </w:num>
  <w:num w:numId="13">
    <w:abstractNumId w:val="14"/>
  </w:num>
  <w:num w:numId="14">
    <w:abstractNumId w:val="20"/>
  </w:num>
  <w:num w:numId="15">
    <w:abstractNumId w:val="19"/>
  </w:num>
  <w:num w:numId="16">
    <w:abstractNumId w:val="8"/>
  </w:num>
  <w:num w:numId="17">
    <w:abstractNumId w:val="6"/>
  </w:num>
  <w:num w:numId="18">
    <w:abstractNumId w:val="11"/>
  </w:num>
  <w:num w:numId="19">
    <w:abstractNumId w:val="17"/>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179"/>
    <w:rsid w:val="001E0043"/>
    <w:rsid w:val="00214A4B"/>
    <w:rsid w:val="002F632A"/>
    <w:rsid w:val="004041F3"/>
    <w:rsid w:val="004C7F71"/>
    <w:rsid w:val="004E5AA9"/>
    <w:rsid w:val="0052322B"/>
    <w:rsid w:val="0055432A"/>
    <w:rsid w:val="006D6E61"/>
    <w:rsid w:val="006E47C1"/>
    <w:rsid w:val="00750259"/>
    <w:rsid w:val="008455C5"/>
    <w:rsid w:val="00871B4E"/>
    <w:rsid w:val="00997CAC"/>
    <w:rsid w:val="00B751AA"/>
    <w:rsid w:val="00B7773D"/>
    <w:rsid w:val="00B82004"/>
    <w:rsid w:val="00BB36AA"/>
    <w:rsid w:val="00BD6666"/>
    <w:rsid w:val="00CB6068"/>
    <w:rsid w:val="00D233A8"/>
    <w:rsid w:val="00D7664E"/>
    <w:rsid w:val="00DF0C2A"/>
    <w:rsid w:val="00DF1C41"/>
    <w:rsid w:val="00E22C78"/>
    <w:rsid w:val="00E62BE4"/>
    <w:rsid w:val="00E71B6F"/>
    <w:rsid w:val="00EA4735"/>
    <w:rsid w:val="00EE4E4E"/>
    <w:rsid w:val="00FE6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6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1AA"/>
    <w:pPr>
      <w:spacing w:after="160" w:line="259" w:lineRule="auto"/>
    </w:pPr>
    <w:rPr>
      <w:rFonts w:eastAsia="宋体" w:hAnsi="Times New Roman" w:cs="Times New Roman"/>
      <w:kern w:val="0"/>
      <w:sz w:val="22"/>
      <w:szCs w:val="22"/>
      <w:lang w:eastAsia="en-US"/>
    </w:rPr>
  </w:style>
  <w:style w:type="paragraph" w:styleId="1">
    <w:name w:val="heading 1"/>
    <w:basedOn w:val="a"/>
    <w:next w:val="a"/>
    <w:link w:val="1Char"/>
    <w:qFormat/>
    <w:rsid w:val="00FE6179"/>
    <w:pPr>
      <w:keepNext/>
      <w:numPr>
        <w:numId w:val="1"/>
      </w:numPr>
      <w:suppressAutoHyphens/>
      <w:spacing w:after="0" w:line="240" w:lineRule="auto"/>
      <w:outlineLvl w:val="0"/>
    </w:pPr>
    <w:rPr>
      <w:rFonts w:ascii="Arial" w:eastAsiaTheme="minorEastAsia" w:hAnsi="Arial" w:cs="Arial"/>
      <w:b/>
      <w:color w:val="000000"/>
      <w:sz w:val="24"/>
      <w:szCs w:val="20"/>
      <w:lang w:val="x-none" w:eastAsia="ar-SA"/>
    </w:rPr>
  </w:style>
  <w:style w:type="paragraph" w:styleId="2">
    <w:name w:val="heading 2"/>
    <w:basedOn w:val="a"/>
    <w:next w:val="a"/>
    <w:link w:val="2Char"/>
    <w:qFormat/>
    <w:rsid w:val="00FE6179"/>
    <w:pPr>
      <w:keepNext/>
      <w:numPr>
        <w:ilvl w:val="1"/>
        <w:numId w:val="1"/>
      </w:numPr>
      <w:suppressAutoHyphens/>
      <w:spacing w:before="240" w:after="60" w:line="276" w:lineRule="auto"/>
      <w:outlineLvl w:val="1"/>
    </w:pPr>
    <w:rPr>
      <w:rFonts w:ascii="Cambria" w:eastAsiaTheme="minorEastAsia" w:hAnsi="Cambria" w:cs="Cambria"/>
      <w:b/>
      <w:bCs/>
      <w:i/>
      <w:iCs/>
      <w:sz w:val="28"/>
      <w:szCs w:val="28"/>
      <w:lang w:val="x-none" w:eastAsia="ar-SA"/>
    </w:rPr>
  </w:style>
  <w:style w:type="paragraph" w:styleId="3">
    <w:name w:val="heading 3"/>
    <w:basedOn w:val="a"/>
    <w:next w:val="a"/>
    <w:link w:val="3Char"/>
    <w:qFormat/>
    <w:rsid w:val="00FE6179"/>
    <w:pPr>
      <w:keepNext/>
      <w:numPr>
        <w:ilvl w:val="2"/>
        <w:numId w:val="1"/>
      </w:numPr>
      <w:suppressAutoHyphens/>
      <w:spacing w:before="240" w:after="60" w:line="276" w:lineRule="auto"/>
      <w:outlineLvl w:val="2"/>
    </w:pPr>
    <w:rPr>
      <w:rFonts w:ascii="Cambria" w:eastAsiaTheme="minorEastAsia" w:hAnsi="Cambria" w:cs="Cambria"/>
      <w:b/>
      <w:bCs/>
      <w:sz w:val="26"/>
      <w:szCs w:val="26"/>
      <w:lang w:val="x-none" w:eastAsia="ar-SA"/>
    </w:rPr>
  </w:style>
  <w:style w:type="paragraph" w:styleId="8">
    <w:name w:val="heading 8"/>
    <w:basedOn w:val="a"/>
    <w:next w:val="a"/>
    <w:link w:val="8Char"/>
    <w:qFormat/>
    <w:rsid w:val="00FE6179"/>
    <w:pPr>
      <w:keepNext/>
      <w:keepLines/>
      <w:numPr>
        <w:ilvl w:val="7"/>
        <w:numId w:val="1"/>
      </w:numPr>
      <w:suppressAutoHyphens/>
      <w:spacing w:before="200" w:after="0" w:line="276" w:lineRule="auto"/>
      <w:outlineLvl w:val="7"/>
    </w:pPr>
    <w:rPr>
      <w:rFonts w:ascii="Cambria" w:eastAsiaTheme="minorEastAsia" w:hAnsi="Cambria" w:cs="Cambria"/>
      <w:color w:val="404040"/>
      <w:sz w:val="20"/>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E6179"/>
    <w:rPr>
      <w:color w:val="0000FF"/>
      <w:u w:val="single"/>
    </w:rPr>
  </w:style>
  <w:style w:type="character" w:customStyle="1" w:styleId="1Char">
    <w:name w:val="标题 1 Char"/>
    <w:basedOn w:val="a0"/>
    <w:link w:val="1"/>
    <w:rsid w:val="00FE6179"/>
    <w:rPr>
      <w:rFonts w:ascii="Arial" w:hAnsi="Arial" w:cs="Arial"/>
      <w:b/>
      <w:color w:val="000000"/>
      <w:kern w:val="0"/>
      <w:sz w:val="24"/>
      <w:szCs w:val="20"/>
      <w:lang w:val="x-none" w:eastAsia="ar-SA"/>
    </w:rPr>
  </w:style>
  <w:style w:type="character" w:customStyle="1" w:styleId="2Char">
    <w:name w:val="标题 2 Char"/>
    <w:basedOn w:val="a0"/>
    <w:link w:val="2"/>
    <w:rsid w:val="00FE6179"/>
    <w:rPr>
      <w:rFonts w:ascii="Cambria" w:hAnsi="Cambria" w:cs="Cambria"/>
      <w:b/>
      <w:bCs/>
      <w:i/>
      <w:iCs/>
      <w:kern w:val="0"/>
      <w:sz w:val="28"/>
      <w:szCs w:val="28"/>
      <w:lang w:val="x-none" w:eastAsia="ar-SA"/>
    </w:rPr>
  </w:style>
  <w:style w:type="character" w:customStyle="1" w:styleId="3Char">
    <w:name w:val="标题 3 Char"/>
    <w:basedOn w:val="a0"/>
    <w:link w:val="3"/>
    <w:rsid w:val="00FE6179"/>
    <w:rPr>
      <w:rFonts w:ascii="Cambria" w:hAnsi="Cambria" w:cs="Cambria"/>
      <w:b/>
      <w:bCs/>
      <w:kern w:val="0"/>
      <w:sz w:val="26"/>
      <w:szCs w:val="26"/>
      <w:lang w:val="x-none" w:eastAsia="ar-SA"/>
    </w:rPr>
  </w:style>
  <w:style w:type="character" w:customStyle="1" w:styleId="8Char">
    <w:name w:val="标题 8 Char"/>
    <w:basedOn w:val="a0"/>
    <w:link w:val="8"/>
    <w:rsid w:val="00FE6179"/>
    <w:rPr>
      <w:rFonts w:ascii="Cambria" w:hAnsi="Cambria" w:cs="Cambria"/>
      <w:color w:val="404040"/>
      <w:kern w:val="0"/>
      <w:sz w:val="20"/>
      <w:szCs w:val="20"/>
      <w:lang w:val="x-none" w:eastAsia="ar-SA"/>
    </w:rPr>
  </w:style>
  <w:style w:type="character" w:customStyle="1" w:styleId="WW8Num1z0">
    <w:name w:val="WW8Num1z0"/>
    <w:rsid w:val="00FE6179"/>
    <w:rPr>
      <w:rFonts w:hint="default"/>
    </w:rPr>
  </w:style>
  <w:style w:type="character" w:customStyle="1" w:styleId="WW8Num1z1">
    <w:name w:val="WW8Num1z1"/>
    <w:rsid w:val="00FE6179"/>
  </w:style>
  <w:style w:type="character" w:customStyle="1" w:styleId="WW8Num1z2">
    <w:name w:val="WW8Num1z2"/>
    <w:rsid w:val="00FE6179"/>
  </w:style>
  <w:style w:type="character" w:customStyle="1" w:styleId="WW8Num1z3">
    <w:name w:val="WW8Num1z3"/>
    <w:rsid w:val="00FE6179"/>
  </w:style>
  <w:style w:type="character" w:customStyle="1" w:styleId="WW8Num1z4">
    <w:name w:val="WW8Num1z4"/>
    <w:rsid w:val="00FE6179"/>
  </w:style>
  <w:style w:type="character" w:customStyle="1" w:styleId="WW8Num1z5">
    <w:name w:val="WW8Num1z5"/>
    <w:rsid w:val="00FE6179"/>
  </w:style>
  <w:style w:type="character" w:customStyle="1" w:styleId="WW8Num1z6">
    <w:name w:val="WW8Num1z6"/>
    <w:rsid w:val="00FE6179"/>
  </w:style>
  <w:style w:type="character" w:customStyle="1" w:styleId="WW8Num1z7">
    <w:name w:val="WW8Num1z7"/>
    <w:rsid w:val="00FE6179"/>
  </w:style>
  <w:style w:type="character" w:customStyle="1" w:styleId="WW8Num1z8">
    <w:name w:val="WW8Num1z8"/>
    <w:rsid w:val="00FE6179"/>
  </w:style>
  <w:style w:type="character" w:customStyle="1" w:styleId="WW8Num2z0">
    <w:name w:val="WW8Num2z0"/>
    <w:rsid w:val="00FE6179"/>
    <w:rPr>
      <w:rFonts w:ascii="Calibri" w:hAnsi="Calibri" w:cs="Calibri" w:hint="default"/>
      <w:color w:val="000000"/>
      <w:kern w:val="1"/>
      <w:sz w:val="32"/>
      <w:szCs w:val="44"/>
    </w:rPr>
  </w:style>
  <w:style w:type="character" w:customStyle="1" w:styleId="WW8Num2z1">
    <w:name w:val="WW8Num2z1"/>
    <w:rsid w:val="00FE6179"/>
  </w:style>
  <w:style w:type="character" w:customStyle="1" w:styleId="WW8Num2z2">
    <w:name w:val="WW8Num2z2"/>
    <w:rsid w:val="00FE6179"/>
    <w:rPr>
      <w:rFonts w:ascii="Calibri" w:eastAsia="Times New Roman" w:hAnsi="Calibri" w:cs="Times New Roman"/>
    </w:rPr>
  </w:style>
  <w:style w:type="character" w:customStyle="1" w:styleId="WW8Num2z3">
    <w:name w:val="WW8Num2z3"/>
    <w:rsid w:val="00FE6179"/>
  </w:style>
  <w:style w:type="character" w:customStyle="1" w:styleId="WW8Num2z4">
    <w:name w:val="WW8Num2z4"/>
    <w:rsid w:val="00FE6179"/>
  </w:style>
  <w:style w:type="character" w:customStyle="1" w:styleId="WW8Num2z5">
    <w:name w:val="WW8Num2z5"/>
    <w:rsid w:val="00FE6179"/>
  </w:style>
  <w:style w:type="character" w:customStyle="1" w:styleId="WW8Num2z6">
    <w:name w:val="WW8Num2z6"/>
    <w:rsid w:val="00FE6179"/>
  </w:style>
  <w:style w:type="character" w:customStyle="1" w:styleId="WW8Num2z7">
    <w:name w:val="WW8Num2z7"/>
    <w:rsid w:val="00FE6179"/>
  </w:style>
  <w:style w:type="character" w:customStyle="1" w:styleId="WW8Num2z8">
    <w:name w:val="WW8Num2z8"/>
    <w:rsid w:val="00FE6179"/>
  </w:style>
  <w:style w:type="character" w:customStyle="1" w:styleId="WW8Num3z0">
    <w:name w:val="WW8Num3z0"/>
    <w:rsid w:val="00FE6179"/>
    <w:rPr>
      <w:rFonts w:ascii="Arial" w:hAnsi="Arial" w:cs="Arial" w:hint="default"/>
      <w:lang w:val="en-GB"/>
    </w:rPr>
  </w:style>
  <w:style w:type="character" w:customStyle="1" w:styleId="WW8Num3z1">
    <w:name w:val="WW8Num3z1"/>
    <w:rsid w:val="00FE6179"/>
  </w:style>
  <w:style w:type="character" w:customStyle="1" w:styleId="WW8Num3z2">
    <w:name w:val="WW8Num3z2"/>
    <w:rsid w:val="00FE6179"/>
  </w:style>
  <w:style w:type="character" w:customStyle="1" w:styleId="WW8Num3z3">
    <w:name w:val="WW8Num3z3"/>
    <w:rsid w:val="00FE6179"/>
  </w:style>
  <w:style w:type="character" w:customStyle="1" w:styleId="WW8Num3z4">
    <w:name w:val="WW8Num3z4"/>
    <w:rsid w:val="00FE6179"/>
  </w:style>
  <w:style w:type="character" w:customStyle="1" w:styleId="WW8Num3z5">
    <w:name w:val="WW8Num3z5"/>
    <w:rsid w:val="00FE6179"/>
  </w:style>
  <w:style w:type="character" w:customStyle="1" w:styleId="WW8Num3z6">
    <w:name w:val="WW8Num3z6"/>
    <w:rsid w:val="00FE6179"/>
  </w:style>
  <w:style w:type="character" w:customStyle="1" w:styleId="WW8Num3z7">
    <w:name w:val="WW8Num3z7"/>
    <w:rsid w:val="00FE6179"/>
  </w:style>
  <w:style w:type="character" w:customStyle="1" w:styleId="WW8Num3z8">
    <w:name w:val="WW8Num3z8"/>
    <w:rsid w:val="00FE6179"/>
  </w:style>
  <w:style w:type="character" w:customStyle="1" w:styleId="WW8Num4z0">
    <w:name w:val="WW8Num4z0"/>
    <w:rsid w:val="00FE6179"/>
    <w:rPr>
      <w:rFonts w:ascii="Arial" w:hAnsi="Arial" w:cs="Arial" w:hint="default"/>
      <w:lang w:val="fr-FR"/>
    </w:rPr>
  </w:style>
  <w:style w:type="character" w:customStyle="1" w:styleId="WW8Num4z1">
    <w:name w:val="WW8Num4z1"/>
    <w:rsid w:val="00FE6179"/>
  </w:style>
  <w:style w:type="character" w:customStyle="1" w:styleId="WW8Num4z2">
    <w:name w:val="WW8Num4z2"/>
    <w:rsid w:val="00FE6179"/>
  </w:style>
  <w:style w:type="character" w:customStyle="1" w:styleId="WW8Num4z3">
    <w:name w:val="WW8Num4z3"/>
    <w:rsid w:val="00FE6179"/>
  </w:style>
  <w:style w:type="character" w:customStyle="1" w:styleId="WW8Num4z4">
    <w:name w:val="WW8Num4z4"/>
    <w:rsid w:val="00FE6179"/>
  </w:style>
  <w:style w:type="character" w:customStyle="1" w:styleId="WW8Num4z5">
    <w:name w:val="WW8Num4z5"/>
    <w:rsid w:val="00FE6179"/>
  </w:style>
  <w:style w:type="character" w:customStyle="1" w:styleId="WW8Num4z6">
    <w:name w:val="WW8Num4z6"/>
    <w:rsid w:val="00FE6179"/>
  </w:style>
  <w:style w:type="character" w:customStyle="1" w:styleId="WW8Num4z7">
    <w:name w:val="WW8Num4z7"/>
    <w:rsid w:val="00FE6179"/>
  </w:style>
  <w:style w:type="character" w:customStyle="1" w:styleId="WW8Num4z8">
    <w:name w:val="WW8Num4z8"/>
    <w:rsid w:val="00FE6179"/>
  </w:style>
  <w:style w:type="character" w:customStyle="1" w:styleId="WW8Num5z0">
    <w:name w:val="WW8Num5z0"/>
    <w:rsid w:val="00FE6179"/>
    <w:rPr>
      <w:rFonts w:hint="default"/>
    </w:rPr>
  </w:style>
  <w:style w:type="character" w:customStyle="1" w:styleId="WW8Num5z1">
    <w:name w:val="WW8Num5z1"/>
    <w:rsid w:val="00FE6179"/>
  </w:style>
  <w:style w:type="character" w:customStyle="1" w:styleId="WW8Num5z2">
    <w:name w:val="WW8Num5z2"/>
    <w:rsid w:val="00FE6179"/>
  </w:style>
  <w:style w:type="character" w:customStyle="1" w:styleId="WW8Num5z3">
    <w:name w:val="WW8Num5z3"/>
    <w:rsid w:val="00FE6179"/>
  </w:style>
  <w:style w:type="character" w:customStyle="1" w:styleId="WW8Num5z4">
    <w:name w:val="WW8Num5z4"/>
    <w:rsid w:val="00FE6179"/>
  </w:style>
  <w:style w:type="character" w:customStyle="1" w:styleId="WW8Num5z5">
    <w:name w:val="WW8Num5z5"/>
    <w:rsid w:val="00FE6179"/>
  </w:style>
  <w:style w:type="character" w:customStyle="1" w:styleId="WW8Num5z6">
    <w:name w:val="WW8Num5z6"/>
    <w:rsid w:val="00FE6179"/>
  </w:style>
  <w:style w:type="character" w:customStyle="1" w:styleId="WW8Num5z7">
    <w:name w:val="WW8Num5z7"/>
    <w:rsid w:val="00FE6179"/>
  </w:style>
  <w:style w:type="character" w:customStyle="1" w:styleId="WW8Num5z8">
    <w:name w:val="WW8Num5z8"/>
    <w:rsid w:val="00FE6179"/>
  </w:style>
  <w:style w:type="character" w:customStyle="1" w:styleId="WW8Num6z0">
    <w:name w:val="WW8Num6z0"/>
    <w:rsid w:val="00FE6179"/>
    <w:rPr>
      <w:rFonts w:ascii="Arial" w:hAnsi="Arial" w:cs="Arial" w:hint="default"/>
      <w:lang w:val="de-DE"/>
    </w:rPr>
  </w:style>
  <w:style w:type="character" w:customStyle="1" w:styleId="WW8Num6z1">
    <w:name w:val="WW8Num6z1"/>
    <w:rsid w:val="00FE6179"/>
  </w:style>
  <w:style w:type="character" w:customStyle="1" w:styleId="WW8Num6z2">
    <w:name w:val="WW8Num6z2"/>
    <w:rsid w:val="00FE6179"/>
  </w:style>
  <w:style w:type="character" w:customStyle="1" w:styleId="WW8Num6z3">
    <w:name w:val="WW8Num6z3"/>
    <w:rsid w:val="00FE6179"/>
  </w:style>
  <w:style w:type="character" w:customStyle="1" w:styleId="WW8Num6z4">
    <w:name w:val="WW8Num6z4"/>
    <w:rsid w:val="00FE6179"/>
  </w:style>
  <w:style w:type="character" w:customStyle="1" w:styleId="WW8Num6z5">
    <w:name w:val="WW8Num6z5"/>
    <w:rsid w:val="00FE6179"/>
  </w:style>
  <w:style w:type="character" w:customStyle="1" w:styleId="WW8Num6z6">
    <w:name w:val="WW8Num6z6"/>
    <w:rsid w:val="00FE6179"/>
  </w:style>
  <w:style w:type="character" w:customStyle="1" w:styleId="WW8Num6z7">
    <w:name w:val="WW8Num6z7"/>
    <w:rsid w:val="00FE6179"/>
  </w:style>
  <w:style w:type="character" w:customStyle="1" w:styleId="WW8Num6z8">
    <w:name w:val="WW8Num6z8"/>
    <w:rsid w:val="00FE6179"/>
  </w:style>
  <w:style w:type="character" w:customStyle="1" w:styleId="WW8Num7z0">
    <w:name w:val="WW8Num7z0"/>
    <w:rsid w:val="00FE6179"/>
    <w:rPr>
      <w:rFonts w:hint="default"/>
    </w:rPr>
  </w:style>
  <w:style w:type="character" w:customStyle="1" w:styleId="WW8Num7z1">
    <w:name w:val="WW8Num7z1"/>
    <w:rsid w:val="00FE6179"/>
  </w:style>
  <w:style w:type="character" w:customStyle="1" w:styleId="WW8Num7z2">
    <w:name w:val="WW8Num7z2"/>
    <w:rsid w:val="00FE6179"/>
  </w:style>
  <w:style w:type="character" w:customStyle="1" w:styleId="WW8Num7z3">
    <w:name w:val="WW8Num7z3"/>
    <w:rsid w:val="00FE6179"/>
  </w:style>
  <w:style w:type="character" w:customStyle="1" w:styleId="WW8Num7z4">
    <w:name w:val="WW8Num7z4"/>
    <w:rsid w:val="00FE6179"/>
  </w:style>
  <w:style w:type="character" w:customStyle="1" w:styleId="WW8Num7z5">
    <w:name w:val="WW8Num7z5"/>
    <w:rsid w:val="00FE6179"/>
  </w:style>
  <w:style w:type="character" w:customStyle="1" w:styleId="WW8Num7z6">
    <w:name w:val="WW8Num7z6"/>
    <w:rsid w:val="00FE6179"/>
  </w:style>
  <w:style w:type="character" w:customStyle="1" w:styleId="WW8Num7z7">
    <w:name w:val="WW8Num7z7"/>
    <w:rsid w:val="00FE6179"/>
  </w:style>
  <w:style w:type="character" w:customStyle="1" w:styleId="WW8Num7z8">
    <w:name w:val="WW8Num7z8"/>
    <w:rsid w:val="00FE6179"/>
  </w:style>
  <w:style w:type="character" w:customStyle="1" w:styleId="WW8Num8z0">
    <w:name w:val="WW8Num8z0"/>
    <w:rsid w:val="00FE6179"/>
    <w:rPr>
      <w:rFonts w:hint="default"/>
      <w:lang w:val="de-DE"/>
    </w:rPr>
  </w:style>
  <w:style w:type="character" w:customStyle="1" w:styleId="WW8Num8z1">
    <w:name w:val="WW8Num8z1"/>
    <w:rsid w:val="00FE6179"/>
  </w:style>
  <w:style w:type="character" w:customStyle="1" w:styleId="WW8Num8z2">
    <w:name w:val="WW8Num8z2"/>
    <w:rsid w:val="00FE6179"/>
  </w:style>
  <w:style w:type="character" w:customStyle="1" w:styleId="WW8Num8z3">
    <w:name w:val="WW8Num8z3"/>
    <w:rsid w:val="00FE6179"/>
  </w:style>
  <w:style w:type="character" w:customStyle="1" w:styleId="WW8Num8z4">
    <w:name w:val="WW8Num8z4"/>
    <w:rsid w:val="00FE6179"/>
  </w:style>
  <w:style w:type="character" w:customStyle="1" w:styleId="WW8Num8z5">
    <w:name w:val="WW8Num8z5"/>
    <w:rsid w:val="00FE6179"/>
  </w:style>
  <w:style w:type="character" w:customStyle="1" w:styleId="WW8Num8z6">
    <w:name w:val="WW8Num8z6"/>
    <w:rsid w:val="00FE6179"/>
  </w:style>
  <w:style w:type="character" w:customStyle="1" w:styleId="WW8Num8z7">
    <w:name w:val="WW8Num8z7"/>
    <w:rsid w:val="00FE6179"/>
  </w:style>
  <w:style w:type="character" w:customStyle="1" w:styleId="WW8Num8z8">
    <w:name w:val="WW8Num8z8"/>
    <w:rsid w:val="00FE6179"/>
  </w:style>
  <w:style w:type="character" w:customStyle="1" w:styleId="WW8Num9z0">
    <w:name w:val="WW8Num9z0"/>
    <w:rsid w:val="00FE6179"/>
    <w:rPr>
      <w:rFonts w:hint="default"/>
    </w:rPr>
  </w:style>
  <w:style w:type="character" w:customStyle="1" w:styleId="WW8Num9z1">
    <w:name w:val="WW8Num9z1"/>
    <w:rsid w:val="00FE6179"/>
  </w:style>
  <w:style w:type="character" w:customStyle="1" w:styleId="WW8Num9z2">
    <w:name w:val="WW8Num9z2"/>
    <w:rsid w:val="00FE6179"/>
  </w:style>
  <w:style w:type="character" w:customStyle="1" w:styleId="WW8Num9z3">
    <w:name w:val="WW8Num9z3"/>
    <w:rsid w:val="00FE6179"/>
  </w:style>
  <w:style w:type="character" w:customStyle="1" w:styleId="WW8Num9z4">
    <w:name w:val="WW8Num9z4"/>
    <w:rsid w:val="00FE6179"/>
  </w:style>
  <w:style w:type="character" w:customStyle="1" w:styleId="WW8Num9z5">
    <w:name w:val="WW8Num9z5"/>
    <w:rsid w:val="00FE6179"/>
  </w:style>
  <w:style w:type="character" w:customStyle="1" w:styleId="WW8Num9z6">
    <w:name w:val="WW8Num9z6"/>
    <w:rsid w:val="00FE6179"/>
  </w:style>
  <w:style w:type="character" w:customStyle="1" w:styleId="WW8Num9z7">
    <w:name w:val="WW8Num9z7"/>
    <w:rsid w:val="00FE6179"/>
  </w:style>
  <w:style w:type="character" w:customStyle="1" w:styleId="WW8Num9z8">
    <w:name w:val="WW8Num9z8"/>
    <w:rsid w:val="00FE6179"/>
  </w:style>
  <w:style w:type="character" w:customStyle="1" w:styleId="WW8Num10z0">
    <w:name w:val="WW8Num10z0"/>
    <w:rsid w:val="00FE6179"/>
    <w:rPr>
      <w:rFonts w:ascii="Arial" w:eastAsia="Times New Roman" w:hAnsi="Arial" w:cs="Arial" w:hint="default"/>
    </w:rPr>
  </w:style>
  <w:style w:type="character" w:customStyle="1" w:styleId="WW8Num10z1">
    <w:name w:val="WW8Num10z1"/>
    <w:rsid w:val="00FE6179"/>
    <w:rPr>
      <w:rFonts w:ascii="Courier New" w:hAnsi="Courier New" w:cs="Courier New" w:hint="default"/>
    </w:rPr>
  </w:style>
  <w:style w:type="character" w:customStyle="1" w:styleId="WW8Num10z2">
    <w:name w:val="WW8Num10z2"/>
    <w:rsid w:val="00FE6179"/>
    <w:rPr>
      <w:rFonts w:ascii="Wingdings" w:hAnsi="Wingdings" w:cs="Wingdings" w:hint="default"/>
    </w:rPr>
  </w:style>
  <w:style w:type="character" w:customStyle="1" w:styleId="WW8Num10z3">
    <w:name w:val="WW8Num10z3"/>
    <w:rsid w:val="00FE6179"/>
    <w:rPr>
      <w:rFonts w:ascii="Symbol" w:hAnsi="Symbol" w:cs="Symbol" w:hint="default"/>
    </w:rPr>
  </w:style>
  <w:style w:type="character" w:customStyle="1" w:styleId="WW8Num11z0">
    <w:name w:val="WW8Num11z0"/>
    <w:rsid w:val="00FE6179"/>
    <w:rPr>
      <w:rFonts w:hint="default"/>
    </w:rPr>
  </w:style>
  <w:style w:type="character" w:customStyle="1" w:styleId="WW8Num11z1">
    <w:name w:val="WW8Num11z1"/>
    <w:rsid w:val="00FE6179"/>
  </w:style>
  <w:style w:type="character" w:customStyle="1" w:styleId="WW8Num11z2">
    <w:name w:val="WW8Num11z2"/>
    <w:rsid w:val="00FE6179"/>
  </w:style>
  <w:style w:type="character" w:customStyle="1" w:styleId="WW8Num11z3">
    <w:name w:val="WW8Num11z3"/>
    <w:rsid w:val="00FE6179"/>
  </w:style>
  <w:style w:type="character" w:customStyle="1" w:styleId="WW8Num11z4">
    <w:name w:val="WW8Num11z4"/>
    <w:rsid w:val="00FE6179"/>
  </w:style>
  <w:style w:type="character" w:customStyle="1" w:styleId="WW8Num11z5">
    <w:name w:val="WW8Num11z5"/>
    <w:rsid w:val="00FE6179"/>
  </w:style>
  <w:style w:type="character" w:customStyle="1" w:styleId="WW8Num11z6">
    <w:name w:val="WW8Num11z6"/>
    <w:rsid w:val="00FE6179"/>
  </w:style>
  <w:style w:type="character" w:customStyle="1" w:styleId="WW8Num11z7">
    <w:name w:val="WW8Num11z7"/>
    <w:rsid w:val="00FE6179"/>
  </w:style>
  <w:style w:type="character" w:customStyle="1" w:styleId="WW8Num11z8">
    <w:name w:val="WW8Num11z8"/>
    <w:rsid w:val="00FE6179"/>
  </w:style>
  <w:style w:type="character" w:customStyle="1" w:styleId="WW8Num12z0">
    <w:name w:val="WW8Num12z0"/>
    <w:rsid w:val="00FE6179"/>
    <w:rPr>
      <w:rFonts w:hint="default"/>
    </w:rPr>
  </w:style>
  <w:style w:type="character" w:customStyle="1" w:styleId="WW8Num12z1">
    <w:name w:val="WW8Num12z1"/>
    <w:rsid w:val="00FE6179"/>
  </w:style>
  <w:style w:type="character" w:customStyle="1" w:styleId="WW8Num12z2">
    <w:name w:val="WW8Num12z2"/>
    <w:rsid w:val="00FE6179"/>
  </w:style>
  <w:style w:type="character" w:customStyle="1" w:styleId="WW8Num12z3">
    <w:name w:val="WW8Num12z3"/>
    <w:rsid w:val="00FE6179"/>
  </w:style>
  <w:style w:type="character" w:customStyle="1" w:styleId="WW8Num12z4">
    <w:name w:val="WW8Num12z4"/>
    <w:rsid w:val="00FE6179"/>
  </w:style>
  <w:style w:type="character" w:customStyle="1" w:styleId="WW8Num12z5">
    <w:name w:val="WW8Num12z5"/>
    <w:rsid w:val="00FE6179"/>
  </w:style>
  <w:style w:type="character" w:customStyle="1" w:styleId="WW8Num12z6">
    <w:name w:val="WW8Num12z6"/>
    <w:rsid w:val="00FE6179"/>
  </w:style>
  <w:style w:type="character" w:customStyle="1" w:styleId="WW8Num12z7">
    <w:name w:val="WW8Num12z7"/>
    <w:rsid w:val="00FE6179"/>
  </w:style>
  <w:style w:type="character" w:customStyle="1" w:styleId="WW8Num12z8">
    <w:name w:val="WW8Num12z8"/>
    <w:rsid w:val="00FE6179"/>
  </w:style>
  <w:style w:type="character" w:customStyle="1" w:styleId="WW8Num13z0">
    <w:name w:val="WW8Num13z0"/>
    <w:rsid w:val="00FE6179"/>
    <w:rPr>
      <w:rFonts w:ascii="Arial" w:hAnsi="Arial" w:cs="Arial" w:hint="default"/>
    </w:rPr>
  </w:style>
  <w:style w:type="character" w:customStyle="1" w:styleId="Absatz-Standardschriftart1">
    <w:name w:val="Absatz-Standardschriftart1"/>
    <w:rsid w:val="00FE6179"/>
  </w:style>
  <w:style w:type="character" w:customStyle="1" w:styleId="berschrift1Zchn">
    <w:name w:val="Überschrift 1 Zchn"/>
    <w:rsid w:val="00FE6179"/>
    <w:rPr>
      <w:rFonts w:ascii="Arial" w:hAnsi="Arial" w:cs="Arial"/>
      <w:b/>
      <w:color w:val="000000"/>
      <w:sz w:val="24"/>
    </w:rPr>
  </w:style>
  <w:style w:type="character" w:customStyle="1" w:styleId="berschrift2Zchn">
    <w:name w:val="Überschrift 2 Zchn"/>
    <w:rsid w:val="00FE6179"/>
    <w:rPr>
      <w:rFonts w:ascii="Cambria" w:hAnsi="Cambria" w:cs="Cambria"/>
      <w:b/>
      <w:bCs/>
      <w:i/>
      <w:iCs/>
      <w:sz w:val="28"/>
      <w:szCs w:val="28"/>
    </w:rPr>
  </w:style>
  <w:style w:type="character" w:customStyle="1" w:styleId="berschrift3Zchn">
    <w:name w:val="Überschrift 3 Zchn"/>
    <w:rsid w:val="00FE6179"/>
    <w:rPr>
      <w:rFonts w:ascii="Cambria" w:hAnsi="Cambria" w:cs="Cambria"/>
      <w:b/>
      <w:bCs/>
      <w:sz w:val="26"/>
      <w:szCs w:val="26"/>
    </w:rPr>
  </w:style>
  <w:style w:type="character" w:customStyle="1" w:styleId="berschrift8Zchn">
    <w:name w:val="Überschrift 8 Zchn"/>
    <w:rsid w:val="00FE6179"/>
    <w:rPr>
      <w:rFonts w:ascii="Cambria" w:hAnsi="Cambria" w:cs="Cambria"/>
      <w:color w:val="404040"/>
    </w:rPr>
  </w:style>
  <w:style w:type="character" w:customStyle="1" w:styleId="Funotenzeichen1">
    <w:name w:val="Fußnotenzeichen1"/>
    <w:rsid w:val="00FE6179"/>
  </w:style>
  <w:style w:type="character" w:customStyle="1" w:styleId="FuzeileZchn">
    <w:name w:val="Fußzeile Zchn"/>
    <w:uiPriority w:val="99"/>
    <w:rsid w:val="00FE6179"/>
    <w:rPr>
      <w:rFonts w:ascii="Shruti" w:hAnsi="Shruti" w:cs="Shruti"/>
      <w:sz w:val="24"/>
      <w:szCs w:val="24"/>
      <w:lang w:val="en-US"/>
    </w:rPr>
  </w:style>
  <w:style w:type="character" w:styleId="a4">
    <w:name w:val="page number"/>
    <w:basedOn w:val="Absatz-Standardschriftart1"/>
    <w:rsid w:val="00FE6179"/>
  </w:style>
  <w:style w:type="character" w:customStyle="1" w:styleId="TextkrperZchn">
    <w:name w:val="Textkörper Zchn"/>
    <w:rsid w:val="00FE6179"/>
    <w:rPr>
      <w:rFonts w:ascii="Arial" w:hAnsi="Arial" w:cs="Arial"/>
      <w:sz w:val="22"/>
    </w:rPr>
  </w:style>
  <w:style w:type="character" w:customStyle="1" w:styleId="25cmErCharCharChar">
    <w:name w:val="25 cm + Er... Char Char Char"/>
    <w:rsid w:val="00FE6179"/>
    <w:rPr>
      <w:rFonts w:ascii="Arial" w:hAnsi="Arial" w:cs="Arial"/>
      <w:color w:val="000000"/>
      <w:sz w:val="24"/>
    </w:rPr>
  </w:style>
  <w:style w:type="character" w:customStyle="1" w:styleId="KopfzeileZchn">
    <w:name w:val="Kopfzeile Zchn"/>
    <w:rsid w:val="00FE6179"/>
    <w:rPr>
      <w:sz w:val="24"/>
      <w:szCs w:val="24"/>
    </w:rPr>
  </w:style>
  <w:style w:type="character" w:customStyle="1" w:styleId="SprechblasentextZchn">
    <w:name w:val="Sprechblasentext Zchn"/>
    <w:rsid w:val="00FE6179"/>
    <w:rPr>
      <w:rFonts w:ascii="Tahoma" w:hAnsi="Tahoma" w:cs="Tahoma"/>
      <w:sz w:val="16"/>
      <w:szCs w:val="16"/>
    </w:rPr>
  </w:style>
  <w:style w:type="character" w:customStyle="1" w:styleId="KommentartextZchn">
    <w:name w:val="Kommentartext Zchn"/>
    <w:rsid w:val="00FE6179"/>
    <w:rPr>
      <w:rFonts w:ascii="Calibri" w:hAnsi="Calibri" w:cs="Calibri"/>
    </w:rPr>
  </w:style>
  <w:style w:type="character" w:customStyle="1" w:styleId="KommentarthemaZchn">
    <w:name w:val="Kommentarthema Zchn"/>
    <w:rsid w:val="00FE6179"/>
    <w:rPr>
      <w:rFonts w:ascii="Calibri" w:hAnsi="Calibri" w:cs="Calibri"/>
      <w:b/>
      <w:bCs/>
    </w:rPr>
  </w:style>
  <w:style w:type="character" w:customStyle="1" w:styleId="volume">
    <w:name w:val="volume"/>
    <w:basedOn w:val="Absatz-Standardschriftart1"/>
    <w:rsid w:val="00FE6179"/>
  </w:style>
  <w:style w:type="character" w:customStyle="1" w:styleId="issue">
    <w:name w:val="issue"/>
    <w:basedOn w:val="Absatz-Standardschriftart1"/>
    <w:rsid w:val="00FE6179"/>
  </w:style>
  <w:style w:type="character" w:customStyle="1" w:styleId="pages">
    <w:name w:val="pages"/>
    <w:basedOn w:val="Absatz-Standardschriftart1"/>
    <w:rsid w:val="00FE6179"/>
  </w:style>
  <w:style w:type="character" w:customStyle="1" w:styleId="A30">
    <w:name w:val="A3"/>
    <w:rsid w:val="00FE6179"/>
    <w:rPr>
      <w:rFonts w:cs="Times"/>
      <w:color w:val="000000"/>
      <w:sz w:val="15"/>
      <w:szCs w:val="15"/>
    </w:rPr>
  </w:style>
  <w:style w:type="character" w:customStyle="1" w:styleId="A10">
    <w:name w:val="A1"/>
    <w:rsid w:val="00FE6179"/>
    <w:rPr>
      <w:rFonts w:cs="Times"/>
      <w:i/>
      <w:iCs/>
      <w:color w:val="000000"/>
      <w:sz w:val="20"/>
      <w:szCs w:val="20"/>
    </w:rPr>
  </w:style>
  <w:style w:type="character" w:customStyle="1" w:styleId="Absatz-Standardschriftart5">
    <w:name w:val="Absatz-Standardschriftart5"/>
    <w:rsid w:val="00FE6179"/>
  </w:style>
  <w:style w:type="paragraph" w:customStyle="1" w:styleId="berschrift">
    <w:name w:val="Überschrift"/>
    <w:basedOn w:val="a"/>
    <w:next w:val="a5"/>
    <w:rsid w:val="00FE6179"/>
    <w:pPr>
      <w:keepNext/>
      <w:widowControl w:val="0"/>
      <w:suppressAutoHyphens/>
      <w:autoSpaceDE w:val="0"/>
      <w:spacing w:before="240" w:after="120" w:line="240" w:lineRule="auto"/>
    </w:pPr>
    <w:rPr>
      <w:rFonts w:ascii="Arial" w:eastAsia="微软雅黑" w:hAnsi="Arial" w:cs="Mangal"/>
      <w:sz w:val="28"/>
      <w:szCs w:val="28"/>
      <w:lang w:eastAsia="ar-SA"/>
    </w:rPr>
  </w:style>
  <w:style w:type="paragraph" w:styleId="a5">
    <w:name w:val="Body Text"/>
    <w:basedOn w:val="a"/>
    <w:link w:val="Char"/>
    <w:rsid w:val="00FE6179"/>
    <w:pPr>
      <w:suppressAutoHyphens/>
      <w:spacing w:after="0" w:line="240" w:lineRule="auto"/>
      <w:jc w:val="both"/>
    </w:pPr>
    <w:rPr>
      <w:rFonts w:ascii="Arial" w:eastAsiaTheme="minorEastAsia" w:hAnsi="Arial" w:cs="Arial"/>
      <w:szCs w:val="20"/>
      <w:lang w:val="x-none" w:eastAsia="ar-SA"/>
    </w:rPr>
  </w:style>
  <w:style w:type="character" w:customStyle="1" w:styleId="Char">
    <w:name w:val="正文文本 Char"/>
    <w:basedOn w:val="a0"/>
    <w:link w:val="a5"/>
    <w:rsid w:val="00FE6179"/>
    <w:rPr>
      <w:rFonts w:ascii="Arial" w:hAnsi="Arial" w:cs="Arial"/>
      <w:kern w:val="0"/>
      <w:sz w:val="22"/>
      <w:szCs w:val="20"/>
      <w:lang w:val="x-none" w:eastAsia="ar-SA"/>
    </w:rPr>
  </w:style>
  <w:style w:type="paragraph" w:styleId="a6">
    <w:name w:val="List"/>
    <w:basedOn w:val="a5"/>
    <w:rsid w:val="00FE6179"/>
    <w:rPr>
      <w:rFonts w:cs="Mangal"/>
    </w:rPr>
  </w:style>
  <w:style w:type="paragraph" w:customStyle="1" w:styleId="Beschriftung1">
    <w:name w:val="Beschriftung1"/>
    <w:basedOn w:val="a"/>
    <w:rsid w:val="00FE6179"/>
    <w:pPr>
      <w:widowControl w:val="0"/>
      <w:suppressLineNumbers/>
      <w:suppressAutoHyphens/>
      <w:autoSpaceDE w:val="0"/>
      <w:spacing w:before="120" w:after="120" w:line="240" w:lineRule="auto"/>
    </w:pPr>
    <w:rPr>
      <w:rFonts w:ascii="Shruti" w:eastAsiaTheme="minorEastAsia" w:hAnsi="Shruti" w:cs="Mangal"/>
      <w:i/>
      <w:iCs/>
      <w:sz w:val="24"/>
      <w:szCs w:val="24"/>
      <w:lang w:eastAsia="ar-SA"/>
    </w:rPr>
  </w:style>
  <w:style w:type="paragraph" w:customStyle="1" w:styleId="Verzeichnis">
    <w:name w:val="Verzeichnis"/>
    <w:basedOn w:val="a"/>
    <w:rsid w:val="00FE6179"/>
    <w:pPr>
      <w:widowControl w:val="0"/>
      <w:suppressLineNumbers/>
      <w:suppressAutoHyphens/>
      <w:autoSpaceDE w:val="0"/>
      <w:spacing w:after="0" w:line="240" w:lineRule="auto"/>
    </w:pPr>
    <w:rPr>
      <w:rFonts w:ascii="Shruti" w:eastAsiaTheme="minorEastAsia" w:hAnsi="Shruti" w:cs="Mangal"/>
      <w:sz w:val="24"/>
      <w:szCs w:val="24"/>
      <w:lang w:eastAsia="ar-SA"/>
    </w:rPr>
  </w:style>
  <w:style w:type="paragraph" w:styleId="a7">
    <w:name w:val="footer"/>
    <w:basedOn w:val="a"/>
    <w:link w:val="Char0"/>
    <w:uiPriority w:val="99"/>
    <w:rsid w:val="00FE6179"/>
    <w:pPr>
      <w:widowControl w:val="0"/>
      <w:tabs>
        <w:tab w:val="center" w:pos="4536"/>
        <w:tab w:val="right" w:pos="9072"/>
      </w:tabs>
      <w:suppressAutoHyphens/>
      <w:autoSpaceDE w:val="0"/>
      <w:spacing w:after="0" w:line="240" w:lineRule="auto"/>
    </w:pPr>
    <w:rPr>
      <w:rFonts w:ascii="Shruti" w:eastAsiaTheme="minorEastAsia" w:hAnsi="Shruti" w:cs="Shruti"/>
      <w:sz w:val="24"/>
      <w:szCs w:val="24"/>
      <w:lang w:eastAsia="ar-SA"/>
    </w:rPr>
  </w:style>
  <w:style w:type="character" w:customStyle="1" w:styleId="Char0">
    <w:name w:val="页脚 Char"/>
    <w:basedOn w:val="a0"/>
    <w:link w:val="a7"/>
    <w:uiPriority w:val="99"/>
    <w:rsid w:val="00FE6179"/>
    <w:rPr>
      <w:rFonts w:ascii="Shruti" w:hAnsi="Shruti" w:cs="Shruti"/>
      <w:kern w:val="0"/>
      <w:sz w:val="24"/>
      <w:lang w:eastAsia="ar-SA"/>
    </w:rPr>
  </w:style>
  <w:style w:type="paragraph" w:customStyle="1" w:styleId="StandardArial">
    <w:name w:val="Standard + Arial"/>
    <w:basedOn w:val="a"/>
    <w:rsid w:val="00FE6179"/>
    <w:pPr>
      <w:suppressAutoHyphens/>
      <w:spacing w:before="60" w:after="60" w:line="360" w:lineRule="auto"/>
      <w:jc w:val="both"/>
    </w:pPr>
    <w:rPr>
      <w:rFonts w:ascii="Arial" w:eastAsiaTheme="minorEastAsia" w:hAnsi="Arial" w:cs="Arial"/>
      <w:color w:val="000000"/>
      <w:sz w:val="24"/>
      <w:szCs w:val="20"/>
      <w:lang w:val="x-none" w:eastAsia="ar-SA"/>
    </w:rPr>
  </w:style>
  <w:style w:type="paragraph" w:styleId="a8">
    <w:name w:val="header"/>
    <w:basedOn w:val="a"/>
    <w:link w:val="Char1"/>
    <w:rsid w:val="00FE6179"/>
    <w:pPr>
      <w:tabs>
        <w:tab w:val="center" w:pos="4536"/>
        <w:tab w:val="right" w:pos="9072"/>
      </w:tabs>
      <w:suppressAutoHyphens/>
      <w:spacing w:after="0" w:line="240" w:lineRule="auto"/>
    </w:pPr>
    <w:rPr>
      <w:rFonts w:ascii="Times New Roman" w:eastAsiaTheme="minorEastAsia"/>
      <w:sz w:val="24"/>
      <w:szCs w:val="24"/>
      <w:lang w:val="x-none" w:eastAsia="ar-SA"/>
    </w:rPr>
  </w:style>
  <w:style w:type="character" w:customStyle="1" w:styleId="Char1">
    <w:name w:val="页眉 Char"/>
    <w:basedOn w:val="a0"/>
    <w:link w:val="a8"/>
    <w:rsid w:val="00FE6179"/>
    <w:rPr>
      <w:rFonts w:ascii="Times New Roman" w:hAnsi="Times New Roman" w:cs="Times New Roman"/>
      <w:kern w:val="0"/>
      <w:sz w:val="24"/>
      <w:lang w:val="x-none" w:eastAsia="ar-SA"/>
    </w:rPr>
  </w:style>
  <w:style w:type="paragraph" w:customStyle="1" w:styleId="body">
    <w:name w:val="body"/>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FarbigeListe-Akzent11">
    <w:name w:val="Farbige Liste - Akzent 11"/>
    <w:basedOn w:val="a"/>
    <w:rsid w:val="00FE6179"/>
    <w:pPr>
      <w:suppressAutoHyphens/>
      <w:spacing w:after="200" w:line="276" w:lineRule="auto"/>
      <w:ind w:left="708"/>
    </w:pPr>
    <w:rPr>
      <w:rFonts w:ascii="Calibri" w:eastAsiaTheme="minorEastAsia" w:hAnsi="Calibri" w:cs="Calibri"/>
      <w:lang w:val="de-DE" w:eastAsia="ar-SA"/>
    </w:rPr>
  </w:style>
  <w:style w:type="paragraph" w:customStyle="1" w:styleId="Textkrper21">
    <w:name w:val="Textkörper 21"/>
    <w:basedOn w:val="a"/>
    <w:rsid w:val="00FE6179"/>
    <w:pPr>
      <w:suppressAutoHyphens/>
      <w:overflowPunct w:val="0"/>
      <w:autoSpaceDE w:val="0"/>
      <w:spacing w:after="0" w:line="240" w:lineRule="auto"/>
      <w:textAlignment w:val="baseline"/>
    </w:pPr>
    <w:rPr>
      <w:rFonts w:ascii="Times New Roman" w:eastAsiaTheme="minorEastAsia"/>
      <w:sz w:val="24"/>
      <w:szCs w:val="20"/>
      <w:lang w:val="de-DE" w:eastAsia="ar-SA"/>
    </w:rPr>
  </w:style>
  <w:style w:type="paragraph" w:styleId="a9">
    <w:name w:val="Balloon Text"/>
    <w:basedOn w:val="a"/>
    <w:link w:val="Char2"/>
    <w:rsid w:val="00FE6179"/>
    <w:pPr>
      <w:suppressAutoHyphens/>
      <w:spacing w:after="0" w:line="240" w:lineRule="auto"/>
    </w:pPr>
    <w:rPr>
      <w:rFonts w:ascii="Tahoma" w:eastAsiaTheme="minorEastAsia" w:hAnsi="Tahoma" w:cs="Tahoma"/>
      <w:sz w:val="16"/>
      <w:szCs w:val="16"/>
      <w:lang w:val="x-none" w:eastAsia="ar-SA"/>
    </w:rPr>
  </w:style>
  <w:style w:type="character" w:customStyle="1" w:styleId="Char2">
    <w:name w:val="批注框文本 Char"/>
    <w:basedOn w:val="a0"/>
    <w:link w:val="a9"/>
    <w:rsid w:val="00FE6179"/>
    <w:rPr>
      <w:rFonts w:ascii="Tahoma" w:hAnsi="Tahoma" w:cs="Tahoma"/>
      <w:kern w:val="0"/>
      <w:sz w:val="16"/>
      <w:szCs w:val="16"/>
      <w:lang w:val="x-none" w:eastAsia="ar-SA"/>
    </w:rPr>
  </w:style>
  <w:style w:type="paragraph" w:customStyle="1" w:styleId="Kommentartext1">
    <w:name w:val="Kommentartext1"/>
    <w:basedOn w:val="a"/>
    <w:rsid w:val="00FE6179"/>
    <w:pPr>
      <w:suppressAutoHyphens/>
      <w:spacing w:after="200" w:line="276" w:lineRule="auto"/>
    </w:pPr>
    <w:rPr>
      <w:rFonts w:ascii="Calibri" w:eastAsiaTheme="minorEastAsia" w:hAnsi="Calibri" w:cs="Calibri"/>
      <w:sz w:val="20"/>
      <w:szCs w:val="20"/>
      <w:lang w:val="x-none" w:eastAsia="ar-SA"/>
    </w:rPr>
  </w:style>
  <w:style w:type="paragraph" w:styleId="aa">
    <w:name w:val="annotation text"/>
    <w:basedOn w:val="a"/>
    <w:link w:val="Char3"/>
    <w:uiPriority w:val="99"/>
    <w:semiHidden/>
    <w:unhideWhenUsed/>
    <w:rsid w:val="00FE6179"/>
  </w:style>
  <w:style w:type="character" w:customStyle="1" w:styleId="Char3">
    <w:name w:val="批注文字 Char"/>
    <w:basedOn w:val="a0"/>
    <w:link w:val="aa"/>
    <w:uiPriority w:val="99"/>
    <w:semiHidden/>
    <w:rsid w:val="00FE6179"/>
    <w:rPr>
      <w:rFonts w:eastAsia="宋体" w:hAnsi="Times New Roman" w:cs="Times New Roman"/>
      <w:kern w:val="0"/>
      <w:sz w:val="22"/>
      <w:szCs w:val="22"/>
      <w:lang w:eastAsia="en-US"/>
    </w:rPr>
  </w:style>
  <w:style w:type="paragraph" w:styleId="ab">
    <w:name w:val="annotation subject"/>
    <w:basedOn w:val="Kommentartext1"/>
    <w:next w:val="Kommentartext1"/>
    <w:link w:val="Char4"/>
    <w:rsid w:val="00FE6179"/>
    <w:rPr>
      <w:b/>
      <w:bCs/>
    </w:rPr>
  </w:style>
  <w:style w:type="character" w:customStyle="1" w:styleId="Char4">
    <w:name w:val="批注主题 Char"/>
    <w:basedOn w:val="Char3"/>
    <w:link w:val="ab"/>
    <w:rsid w:val="00FE6179"/>
    <w:rPr>
      <w:rFonts w:ascii="Calibri" w:eastAsia="宋体" w:hAnsi="Calibri" w:cs="Calibri"/>
      <w:b/>
      <w:bCs/>
      <w:kern w:val="0"/>
      <w:sz w:val="20"/>
      <w:szCs w:val="20"/>
      <w:lang w:val="x-none" w:eastAsia="ar-SA"/>
    </w:rPr>
  </w:style>
  <w:style w:type="paragraph" w:customStyle="1" w:styleId="FarbigeSchattierung-Akzent11">
    <w:name w:val="Farbige Schattierung - Akzent 11"/>
    <w:rsid w:val="00FE6179"/>
    <w:pPr>
      <w:suppressAutoHyphens/>
    </w:pPr>
    <w:rPr>
      <w:rFonts w:ascii="Calibri" w:hAnsi="Calibri" w:cs="Calibri"/>
      <w:kern w:val="0"/>
      <w:sz w:val="22"/>
      <w:szCs w:val="22"/>
      <w:lang w:val="de-DE" w:eastAsia="ar-SA"/>
    </w:rPr>
  </w:style>
  <w:style w:type="paragraph" w:customStyle="1" w:styleId="berschriftb">
    <w:name w:val="Überschrift b"/>
    <w:basedOn w:val="a"/>
    <w:rsid w:val="00FE6179"/>
    <w:pPr>
      <w:suppressAutoHyphens/>
      <w:spacing w:after="0" w:line="240" w:lineRule="auto"/>
    </w:pPr>
    <w:rPr>
      <w:rFonts w:ascii="Arial" w:eastAsiaTheme="minorEastAsia" w:hAnsi="Arial" w:cs="Arial"/>
      <w:b/>
      <w:szCs w:val="20"/>
      <w:lang w:val="de-DE" w:eastAsia="ar-SA"/>
    </w:rPr>
  </w:style>
  <w:style w:type="paragraph" w:styleId="ac">
    <w:name w:val="Normal (Web)"/>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Dokumentstruktur1">
    <w:name w:val="Dokumentstruktur1"/>
    <w:basedOn w:val="a"/>
    <w:rsid w:val="00FE6179"/>
    <w:pPr>
      <w:widowControl w:val="0"/>
      <w:shd w:val="clear" w:color="auto" w:fill="000080"/>
      <w:suppressAutoHyphens/>
      <w:autoSpaceDE w:val="0"/>
      <w:spacing w:after="0" w:line="240" w:lineRule="auto"/>
    </w:pPr>
    <w:rPr>
      <w:rFonts w:ascii="Tahoma" w:eastAsiaTheme="minorEastAsia" w:hAnsi="Tahoma" w:cs="Tahoma"/>
      <w:sz w:val="20"/>
      <w:szCs w:val="20"/>
      <w:lang w:eastAsia="ar-SA"/>
    </w:rPr>
  </w:style>
  <w:style w:type="paragraph" w:customStyle="1" w:styleId="Default">
    <w:name w:val="Default"/>
    <w:rsid w:val="00FE6179"/>
    <w:pPr>
      <w:suppressAutoHyphens/>
      <w:autoSpaceDE w:val="0"/>
    </w:pPr>
    <w:rPr>
      <w:rFonts w:ascii="Times" w:hAnsi="Times" w:cs="Times"/>
      <w:color w:val="000000"/>
      <w:kern w:val="0"/>
      <w:sz w:val="24"/>
      <w:lang w:val="de-DE" w:eastAsia="ar-SA"/>
    </w:rPr>
  </w:style>
  <w:style w:type="paragraph" w:customStyle="1" w:styleId="Pa3">
    <w:name w:val="Pa3"/>
    <w:basedOn w:val="Default"/>
    <w:next w:val="Default"/>
    <w:rsid w:val="00FE6179"/>
    <w:pPr>
      <w:spacing w:line="201" w:lineRule="atLeast"/>
    </w:pPr>
    <w:rPr>
      <w:rFonts w:cs="Times New Roman"/>
      <w:color w:val="auto"/>
    </w:rPr>
  </w:style>
  <w:style w:type="paragraph" w:customStyle="1" w:styleId="Pa5">
    <w:name w:val="Pa5"/>
    <w:basedOn w:val="Default"/>
    <w:next w:val="Default"/>
    <w:rsid w:val="00FE6179"/>
    <w:pPr>
      <w:spacing w:line="201" w:lineRule="atLeast"/>
    </w:pPr>
    <w:rPr>
      <w:rFonts w:cs="Times New Roman"/>
      <w:color w:val="auto"/>
    </w:rPr>
  </w:style>
  <w:style w:type="paragraph" w:customStyle="1" w:styleId="Pa7">
    <w:name w:val="Pa7"/>
    <w:basedOn w:val="Default"/>
    <w:next w:val="Default"/>
    <w:rsid w:val="00FE6179"/>
    <w:pPr>
      <w:spacing w:line="181" w:lineRule="atLeast"/>
    </w:pPr>
    <w:rPr>
      <w:rFonts w:cs="Times New Roman"/>
      <w:color w:val="auto"/>
    </w:rPr>
  </w:style>
  <w:style w:type="paragraph" w:customStyle="1" w:styleId="Pa6">
    <w:name w:val="Pa6"/>
    <w:basedOn w:val="Default"/>
    <w:next w:val="Default"/>
    <w:rsid w:val="00FE6179"/>
    <w:pPr>
      <w:spacing w:line="201" w:lineRule="atLeast"/>
    </w:pPr>
    <w:rPr>
      <w:rFonts w:cs="Times New Roman"/>
      <w:color w:val="auto"/>
    </w:rPr>
  </w:style>
  <w:style w:type="paragraph" w:customStyle="1" w:styleId="Pa0">
    <w:name w:val="Pa0"/>
    <w:basedOn w:val="Default"/>
    <w:next w:val="Default"/>
    <w:rsid w:val="00FE6179"/>
    <w:pPr>
      <w:spacing w:line="161" w:lineRule="atLeast"/>
    </w:pPr>
    <w:rPr>
      <w:rFonts w:cs="Times New Roman"/>
      <w:color w:val="auto"/>
    </w:rPr>
  </w:style>
  <w:style w:type="paragraph" w:styleId="ad">
    <w:name w:val="List Paragraph"/>
    <w:basedOn w:val="a"/>
    <w:qFormat/>
    <w:rsid w:val="00FE6179"/>
    <w:pPr>
      <w:widowControl w:val="0"/>
      <w:suppressAutoHyphens/>
      <w:autoSpaceDE w:val="0"/>
      <w:spacing w:after="0" w:line="240" w:lineRule="auto"/>
      <w:ind w:left="708"/>
    </w:pPr>
    <w:rPr>
      <w:rFonts w:ascii="Shruti" w:eastAsiaTheme="minorEastAsia" w:hAnsi="Shruti" w:cs="Shruti"/>
      <w:sz w:val="24"/>
      <w:szCs w:val="24"/>
      <w:lang w:eastAsia="ar-SA"/>
    </w:rPr>
  </w:style>
  <w:style w:type="paragraph" w:customStyle="1" w:styleId="Rahmeninhalt">
    <w:name w:val="Rahmeninhalt"/>
    <w:basedOn w:val="a5"/>
    <w:rsid w:val="00FE6179"/>
  </w:style>
  <w:style w:type="paragraph" w:customStyle="1" w:styleId="TabellenInhalt">
    <w:name w:val="Tabellen Inhalt"/>
    <w:basedOn w:val="a"/>
    <w:rsid w:val="00FE6179"/>
    <w:pPr>
      <w:widowControl w:val="0"/>
      <w:suppressLineNumbers/>
      <w:suppressAutoHyphens/>
      <w:autoSpaceDE w:val="0"/>
      <w:spacing w:after="0" w:line="240" w:lineRule="auto"/>
    </w:pPr>
    <w:rPr>
      <w:rFonts w:ascii="Shruti" w:eastAsiaTheme="minorEastAsia" w:hAnsi="Shruti" w:cs="Shruti"/>
      <w:sz w:val="24"/>
      <w:szCs w:val="24"/>
      <w:lang w:eastAsia="ar-SA"/>
    </w:rPr>
  </w:style>
  <w:style w:type="table" w:styleId="ae">
    <w:name w:val="Table Grid"/>
    <w:basedOn w:val="a1"/>
    <w:uiPriority w:val="59"/>
    <w:rsid w:val="00FE6179"/>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e"/>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1"/>
    <w:next w:val="ae"/>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FE6179"/>
    <w:rPr>
      <w:sz w:val="16"/>
      <w:szCs w:val="16"/>
    </w:rPr>
  </w:style>
  <w:style w:type="paragraph" w:styleId="af0">
    <w:name w:val="Revision"/>
    <w:hidden/>
    <w:uiPriority w:val="99"/>
    <w:semiHidden/>
    <w:rsid w:val="00FE6179"/>
    <w:rPr>
      <w:rFonts w:ascii="Shruti" w:hAnsi="Shruti" w:cs="Shruti"/>
      <w:kern w:val="0"/>
      <w:sz w:val="24"/>
      <w:lang w:eastAsia="ar-SA"/>
    </w:rPr>
  </w:style>
  <w:style w:type="paragraph" w:customStyle="1" w:styleId="title1">
    <w:name w:val="title1"/>
    <w:basedOn w:val="a"/>
    <w:rsid w:val="00FE6179"/>
    <w:pPr>
      <w:spacing w:after="0" w:line="240" w:lineRule="auto"/>
    </w:pPr>
    <w:rPr>
      <w:rFonts w:ascii="Times New Roman" w:eastAsiaTheme="minorEastAsia"/>
      <w:sz w:val="27"/>
      <w:szCs w:val="27"/>
      <w:lang w:val="de-DE" w:eastAsia="de-DE"/>
    </w:rPr>
  </w:style>
  <w:style w:type="paragraph" w:customStyle="1" w:styleId="desc2">
    <w:name w:val="desc2"/>
    <w:basedOn w:val="a"/>
    <w:rsid w:val="00FE6179"/>
    <w:pPr>
      <w:spacing w:after="0" w:line="240" w:lineRule="auto"/>
    </w:pPr>
    <w:rPr>
      <w:rFonts w:ascii="Times New Roman" w:eastAsiaTheme="minorEastAsia"/>
      <w:sz w:val="26"/>
      <w:szCs w:val="26"/>
      <w:lang w:val="de-DE" w:eastAsia="de-DE"/>
    </w:rPr>
  </w:style>
  <w:style w:type="paragraph" w:customStyle="1" w:styleId="details1">
    <w:name w:val="details1"/>
    <w:basedOn w:val="a"/>
    <w:rsid w:val="00FE6179"/>
    <w:pPr>
      <w:spacing w:after="0" w:line="240" w:lineRule="auto"/>
    </w:pPr>
    <w:rPr>
      <w:rFonts w:ascii="Times New Roman" w:eastAsiaTheme="minorEastAsia"/>
      <w:lang w:val="de-DE" w:eastAsia="de-DE"/>
    </w:rPr>
  </w:style>
  <w:style w:type="character" w:customStyle="1" w:styleId="jrnl">
    <w:name w:val="jrnl"/>
    <w:rsid w:val="00FE6179"/>
  </w:style>
  <w:style w:type="character" w:customStyle="1" w:styleId="normaltextrun">
    <w:name w:val="normaltextrun"/>
    <w:basedOn w:val="a0"/>
    <w:rsid w:val="00BB36AA"/>
  </w:style>
  <w:style w:type="paragraph" w:customStyle="1" w:styleId="paragraph">
    <w:name w:val="paragraph"/>
    <w:basedOn w:val="a"/>
    <w:rsid w:val="00BB36AA"/>
    <w:pPr>
      <w:spacing w:before="100" w:beforeAutospacing="1" w:after="100" w:afterAutospacing="1" w:line="240" w:lineRule="auto"/>
    </w:pPr>
    <w:rPr>
      <w:rFonts w:asci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1AA"/>
    <w:pPr>
      <w:spacing w:after="160" w:line="259" w:lineRule="auto"/>
    </w:pPr>
    <w:rPr>
      <w:rFonts w:eastAsia="宋体" w:hAnsi="Times New Roman" w:cs="Times New Roman"/>
      <w:kern w:val="0"/>
      <w:sz w:val="22"/>
      <w:szCs w:val="22"/>
      <w:lang w:eastAsia="en-US"/>
    </w:rPr>
  </w:style>
  <w:style w:type="paragraph" w:styleId="1">
    <w:name w:val="heading 1"/>
    <w:basedOn w:val="a"/>
    <w:next w:val="a"/>
    <w:link w:val="1Char"/>
    <w:qFormat/>
    <w:rsid w:val="00FE6179"/>
    <w:pPr>
      <w:keepNext/>
      <w:numPr>
        <w:numId w:val="1"/>
      </w:numPr>
      <w:suppressAutoHyphens/>
      <w:spacing w:after="0" w:line="240" w:lineRule="auto"/>
      <w:outlineLvl w:val="0"/>
    </w:pPr>
    <w:rPr>
      <w:rFonts w:ascii="Arial" w:eastAsiaTheme="minorEastAsia" w:hAnsi="Arial" w:cs="Arial"/>
      <w:b/>
      <w:color w:val="000000"/>
      <w:sz w:val="24"/>
      <w:szCs w:val="20"/>
      <w:lang w:val="x-none" w:eastAsia="ar-SA"/>
    </w:rPr>
  </w:style>
  <w:style w:type="paragraph" w:styleId="2">
    <w:name w:val="heading 2"/>
    <w:basedOn w:val="a"/>
    <w:next w:val="a"/>
    <w:link w:val="2Char"/>
    <w:qFormat/>
    <w:rsid w:val="00FE6179"/>
    <w:pPr>
      <w:keepNext/>
      <w:numPr>
        <w:ilvl w:val="1"/>
        <w:numId w:val="1"/>
      </w:numPr>
      <w:suppressAutoHyphens/>
      <w:spacing w:before="240" w:after="60" w:line="276" w:lineRule="auto"/>
      <w:outlineLvl w:val="1"/>
    </w:pPr>
    <w:rPr>
      <w:rFonts w:ascii="Cambria" w:eastAsiaTheme="minorEastAsia" w:hAnsi="Cambria" w:cs="Cambria"/>
      <w:b/>
      <w:bCs/>
      <w:i/>
      <w:iCs/>
      <w:sz w:val="28"/>
      <w:szCs w:val="28"/>
      <w:lang w:val="x-none" w:eastAsia="ar-SA"/>
    </w:rPr>
  </w:style>
  <w:style w:type="paragraph" w:styleId="3">
    <w:name w:val="heading 3"/>
    <w:basedOn w:val="a"/>
    <w:next w:val="a"/>
    <w:link w:val="3Char"/>
    <w:qFormat/>
    <w:rsid w:val="00FE6179"/>
    <w:pPr>
      <w:keepNext/>
      <w:numPr>
        <w:ilvl w:val="2"/>
        <w:numId w:val="1"/>
      </w:numPr>
      <w:suppressAutoHyphens/>
      <w:spacing w:before="240" w:after="60" w:line="276" w:lineRule="auto"/>
      <w:outlineLvl w:val="2"/>
    </w:pPr>
    <w:rPr>
      <w:rFonts w:ascii="Cambria" w:eastAsiaTheme="minorEastAsia" w:hAnsi="Cambria" w:cs="Cambria"/>
      <w:b/>
      <w:bCs/>
      <w:sz w:val="26"/>
      <w:szCs w:val="26"/>
      <w:lang w:val="x-none" w:eastAsia="ar-SA"/>
    </w:rPr>
  </w:style>
  <w:style w:type="paragraph" w:styleId="8">
    <w:name w:val="heading 8"/>
    <w:basedOn w:val="a"/>
    <w:next w:val="a"/>
    <w:link w:val="8Char"/>
    <w:qFormat/>
    <w:rsid w:val="00FE6179"/>
    <w:pPr>
      <w:keepNext/>
      <w:keepLines/>
      <w:numPr>
        <w:ilvl w:val="7"/>
        <w:numId w:val="1"/>
      </w:numPr>
      <w:suppressAutoHyphens/>
      <w:spacing w:before="200" w:after="0" w:line="276" w:lineRule="auto"/>
      <w:outlineLvl w:val="7"/>
    </w:pPr>
    <w:rPr>
      <w:rFonts w:ascii="Cambria" w:eastAsiaTheme="minorEastAsia" w:hAnsi="Cambria" w:cs="Cambria"/>
      <w:color w:val="404040"/>
      <w:sz w:val="20"/>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E6179"/>
    <w:rPr>
      <w:color w:val="0000FF"/>
      <w:u w:val="single"/>
    </w:rPr>
  </w:style>
  <w:style w:type="character" w:customStyle="1" w:styleId="1Char">
    <w:name w:val="标题 1 Char"/>
    <w:basedOn w:val="a0"/>
    <w:link w:val="1"/>
    <w:rsid w:val="00FE6179"/>
    <w:rPr>
      <w:rFonts w:ascii="Arial" w:hAnsi="Arial" w:cs="Arial"/>
      <w:b/>
      <w:color w:val="000000"/>
      <w:kern w:val="0"/>
      <w:sz w:val="24"/>
      <w:szCs w:val="20"/>
      <w:lang w:val="x-none" w:eastAsia="ar-SA"/>
    </w:rPr>
  </w:style>
  <w:style w:type="character" w:customStyle="1" w:styleId="2Char">
    <w:name w:val="标题 2 Char"/>
    <w:basedOn w:val="a0"/>
    <w:link w:val="2"/>
    <w:rsid w:val="00FE6179"/>
    <w:rPr>
      <w:rFonts w:ascii="Cambria" w:hAnsi="Cambria" w:cs="Cambria"/>
      <w:b/>
      <w:bCs/>
      <w:i/>
      <w:iCs/>
      <w:kern w:val="0"/>
      <w:sz w:val="28"/>
      <w:szCs w:val="28"/>
      <w:lang w:val="x-none" w:eastAsia="ar-SA"/>
    </w:rPr>
  </w:style>
  <w:style w:type="character" w:customStyle="1" w:styleId="3Char">
    <w:name w:val="标题 3 Char"/>
    <w:basedOn w:val="a0"/>
    <w:link w:val="3"/>
    <w:rsid w:val="00FE6179"/>
    <w:rPr>
      <w:rFonts w:ascii="Cambria" w:hAnsi="Cambria" w:cs="Cambria"/>
      <w:b/>
      <w:bCs/>
      <w:kern w:val="0"/>
      <w:sz w:val="26"/>
      <w:szCs w:val="26"/>
      <w:lang w:val="x-none" w:eastAsia="ar-SA"/>
    </w:rPr>
  </w:style>
  <w:style w:type="character" w:customStyle="1" w:styleId="8Char">
    <w:name w:val="标题 8 Char"/>
    <w:basedOn w:val="a0"/>
    <w:link w:val="8"/>
    <w:rsid w:val="00FE6179"/>
    <w:rPr>
      <w:rFonts w:ascii="Cambria" w:hAnsi="Cambria" w:cs="Cambria"/>
      <w:color w:val="404040"/>
      <w:kern w:val="0"/>
      <w:sz w:val="20"/>
      <w:szCs w:val="20"/>
      <w:lang w:val="x-none" w:eastAsia="ar-SA"/>
    </w:rPr>
  </w:style>
  <w:style w:type="character" w:customStyle="1" w:styleId="WW8Num1z0">
    <w:name w:val="WW8Num1z0"/>
    <w:rsid w:val="00FE6179"/>
    <w:rPr>
      <w:rFonts w:hint="default"/>
    </w:rPr>
  </w:style>
  <w:style w:type="character" w:customStyle="1" w:styleId="WW8Num1z1">
    <w:name w:val="WW8Num1z1"/>
    <w:rsid w:val="00FE6179"/>
  </w:style>
  <w:style w:type="character" w:customStyle="1" w:styleId="WW8Num1z2">
    <w:name w:val="WW8Num1z2"/>
    <w:rsid w:val="00FE6179"/>
  </w:style>
  <w:style w:type="character" w:customStyle="1" w:styleId="WW8Num1z3">
    <w:name w:val="WW8Num1z3"/>
    <w:rsid w:val="00FE6179"/>
  </w:style>
  <w:style w:type="character" w:customStyle="1" w:styleId="WW8Num1z4">
    <w:name w:val="WW8Num1z4"/>
    <w:rsid w:val="00FE6179"/>
  </w:style>
  <w:style w:type="character" w:customStyle="1" w:styleId="WW8Num1z5">
    <w:name w:val="WW8Num1z5"/>
    <w:rsid w:val="00FE6179"/>
  </w:style>
  <w:style w:type="character" w:customStyle="1" w:styleId="WW8Num1z6">
    <w:name w:val="WW8Num1z6"/>
    <w:rsid w:val="00FE6179"/>
  </w:style>
  <w:style w:type="character" w:customStyle="1" w:styleId="WW8Num1z7">
    <w:name w:val="WW8Num1z7"/>
    <w:rsid w:val="00FE6179"/>
  </w:style>
  <w:style w:type="character" w:customStyle="1" w:styleId="WW8Num1z8">
    <w:name w:val="WW8Num1z8"/>
    <w:rsid w:val="00FE6179"/>
  </w:style>
  <w:style w:type="character" w:customStyle="1" w:styleId="WW8Num2z0">
    <w:name w:val="WW8Num2z0"/>
    <w:rsid w:val="00FE6179"/>
    <w:rPr>
      <w:rFonts w:ascii="Calibri" w:hAnsi="Calibri" w:cs="Calibri" w:hint="default"/>
      <w:color w:val="000000"/>
      <w:kern w:val="1"/>
      <w:sz w:val="32"/>
      <w:szCs w:val="44"/>
    </w:rPr>
  </w:style>
  <w:style w:type="character" w:customStyle="1" w:styleId="WW8Num2z1">
    <w:name w:val="WW8Num2z1"/>
    <w:rsid w:val="00FE6179"/>
  </w:style>
  <w:style w:type="character" w:customStyle="1" w:styleId="WW8Num2z2">
    <w:name w:val="WW8Num2z2"/>
    <w:rsid w:val="00FE6179"/>
    <w:rPr>
      <w:rFonts w:ascii="Calibri" w:eastAsia="Times New Roman" w:hAnsi="Calibri" w:cs="Times New Roman"/>
    </w:rPr>
  </w:style>
  <w:style w:type="character" w:customStyle="1" w:styleId="WW8Num2z3">
    <w:name w:val="WW8Num2z3"/>
    <w:rsid w:val="00FE6179"/>
  </w:style>
  <w:style w:type="character" w:customStyle="1" w:styleId="WW8Num2z4">
    <w:name w:val="WW8Num2z4"/>
    <w:rsid w:val="00FE6179"/>
  </w:style>
  <w:style w:type="character" w:customStyle="1" w:styleId="WW8Num2z5">
    <w:name w:val="WW8Num2z5"/>
    <w:rsid w:val="00FE6179"/>
  </w:style>
  <w:style w:type="character" w:customStyle="1" w:styleId="WW8Num2z6">
    <w:name w:val="WW8Num2z6"/>
    <w:rsid w:val="00FE6179"/>
  </w:style>
  <w:style w:type="character" w:customStyle="1" w:styleId="WW8Num2z7">
    <w:name w:val="WW8Num2z7"/>
    <w:rsid w:val="00FE6179"/>
  </w:style>
  <w:style w:type="character" w:customStyle="1" w:styleId="WW8Num2z8">
    <w:name w:val="WW8Num2z8"/>
    <w:rsid w:val="00FE6179"/>
  </w:style>
  <w:style w:type="character" w:customStyle="1" w:styleId="WW8Num3z0">
    <w:name w:val="WW8Num3z0"/>
    <w:rsid w:val="00FE6179"/>
    <w:rPr>
      <w:rFonts w:ascii="Arial" w:hAnsi="Arial" w:cs="Arial" w:hint="default"/>
      <w:lang w:val="en-GB"/>
    </w:rPr>
  </w:style>
  <w:style w:type="character" w:customStyle="1" w:styleId="WW8Num3z1">
    <w:name w:val="WW8Num3z1"/>
    <w:rsid w:val="00FE6179"/>
  </w:style>
  <w:style w:type="character" w:customStyle="1" w:styleId="WW8Num3z2">
    <w:name w:val="WW8Num3z2"/>
    <w:rsid w:val="00FE6179"/>
  </w:style>
  <w:style w:type="character" w:customStyle="1" w:styleId="WW8Num3z3">
    <w:name w:val="WW8Num3z3"/>
    <w:rsid w:val="00FE6179"/>
  </w:style>
  <w:style w:type="character" w:customStyle="1" w:styleId="WW8Num3z4">
    <w:name w:val="WW8Num3z4"/>
    <w:rsid w:val="00FE6179"/>
  </w:style>
  <w:style w:type="character" w:customStyle="1" w:styleId="WW8Num3z5">
    <w:name w:val="WW8Num3z5"/>
    <w:rsid w:val="00FE6179"/>
  </w:style>
  <w:style w:type="character" w:customStyle="1" w:styleId="WW8Num3z6">
    <w:name w:val="WW8Num3z6"/>
    <w:rsid w:val="00FE6179"/>
  </w:style>
  <w:style w:type="character" w:customStyle="1" w:styleId="WW8Num3z7">
    <w:name w:val="WW8Num3z7"/>
    <w:rsid w:val="00FE6179"/>
  </w:style>
  <w:style w:type="character" w:customStyle="1" w:styleId="WW8Num3z8">
    <w:name w:val="WW8Num3z8"/>
    <w:rsid w:val="00FE6179"/>
  </w:style>
  <w:style w:type="character" w:customStyle="1" w:styleId="WW8Num4z0">
    <w:name w:val="WW8Num4z0"/>
    <w:rsid w:val="00FE6179"/>
    <w:rPr>
      <w:rFonts w:ascii="Arial" w:hAnsi="Arial" w:cs="Arial" w:hint="default"/>
      <w:lang w:val="fr-FR"/>
    </w:rPr>
  </w:style>
  <w:style w:type="character" w:customStyle="1" w:styleId="WW8Num4z1">
    <w:name w:val="WW8Num4z1"/>
    <w:rsid w:val="00FE6179"/>
  </w:style>
  <w:style w:type="character" w:customStyle="1" w:styleId="WW8Num4z2">
    <w:name w:val="WW8Num4z2"/>
    <w:rsid w:val="00FE6179"/>
  </w:style>
  <w:style w:type="character" w:customStyle="1" w:styleId="WW8Num4z3">
    <w:name w:val="WW8Num4z3"/>
    <w:rsid w:val="00FE6179"/>
  </w:style>
  <w:style w:type="character" w:customStyle="1" w:styleId="WW8Num4z4">
    <w:name w:val="WW8Num4z4"/>
    <w:rsid w:val="00FE6179"/>
  </w:style>
  <w:style w:type="character" w:customStyle="1" w:styleId="WW8Num4z5">
    <w:name w:val="WW8Num4z5"/>
    <w:rsid w:val="00FE6179"/>
  </w:style>
  <w:style w:type="character" w:customStyle="1" w:styleId="WW8Num4z6">
    <w:name w:val="WW8Num4z6"/>
    <w:rsid w:val="00FE6179"/>
  </w:style>
  <w:style w:type="character" w:customStyle="1" w:styleId="WW8Num4z7">
    <w:name w:val="WW8Num4z7"/>
    <w:rsid w:val="00FE6179"/>
  </w:style>
  <w:style w:type="character" w:customStyle="1" w:styleId="WW8Num4z8">
    <w:name w:val="WW8Num4z8"/>
    <w:rsid w:val="00FE6179"/>
  </w:style>
  <w:style w:type="character" w:customStyle="1" w:styleId="WW8Num5z0">
    <w:name w:val="WW8Num5z0"/>
    <w:rsid w:val="00FE6179"/>
    <w:rPr>
      <w:rFonts w:hint="default"/>
    </w:rPr>
  </w:style>
  <w:style w:type="character" w:customStyle="1" w:styleId="WW8Num5z1">
    <w:name w:val="WW8Num5z1"/>
    <w:rsid w:val="00FE6179"/>
  </w:style>
  <w:style w:type="character" w:customStyle="1" w:styleId="WW8Num5z2">
    <w:name w:val="WW8Num5z2"/>
    <w:rsid w:val="00FE6179"/>
  </w:style>
  <w:style w:type="character" w:customStyle="1" w:styleId="WW8Num5z3">
    <w:name w:val="WW8Num5z3"/>
    <w:rsid w:val="00FE6179"/>
  </w:style>
  <w:style w:type="character" w:customStyle="1" w:styleId="WW8Num5z4">
    <w:name w:val="WW8Num5z4"/>
    <w:rsid w:val="00FE6179"/>
  </w:style>
  <w:style w:type="character" w:customStyle="1" w:styleId="WW8Num5z5">
    <w:name w:val="WW8Num5z5"/>
    <w:rsid w:val="00FE6179"/>
  </w:style>
  <w:style w:type="character" w:customStyle="1" w:styleId="WW8Num5z6">
    <w:name w:val="WW8Num5z6"/>
    <w:rsid w:val="00FE6179"/>
  </w:style>
  <w:style w:type="character" w:customStyle="1" w:styleId="WW8Num5z7">
    <w:name w:val="WW8Num5z7"/>
    <w:rsid w:val="00FE6179"/>
  </w:style>
  <w:style w:type="character" w:customStyle="1" w:styleId="WW8Num5z8">
    <w:name w:val="WW8Num5z8"/>
    <w:rsid w:val="00FE6179"/>
  </w:style>
  <w:style w:type="character" w:customStyle="1" w:styleId="WW8Num6z0">
    <w:name w:val="WW8Num6z0"/>
    <w:rsid w:val="00FE6179"/>
    <w:rPr>
      <w:rFonts w:ascii="Arial" w:hAnsi="Arial" w:cs="Arial" w:hint="default"/>
      <w:lang w:val="de-DE"/>
    </w:rPr>
  </w:style>
  <w:style w:type="character" w:customStyle="1" w:styleId="WW8Num6z1">
    <w:name w:val="WW8Num6z1"/>
    <w:rsid w:val="00FE6179"/>
  </w:style>
  <w:style w:type="character" w:customStyle="1" w:styleId="WW8Num6z2">
    <w:name w:val="WW8Num6z2"/>
    <w:rsid w:val="00FE6179"/>
  </w:style>
  <w:style w:type="character" w:customStyle="1" w:styleId="WW8Num6z3">
    <w:name w:val="WW8Num6z3"/>
    <w:rsid w:val="00FE6179"/>
  </w:style>
  <w:style w:type="character" w:customStyle="1" w:styleId="WW8Num6z4">
    <w:name w:val="WW8Num6z4"/>
    <w:rsid w:val="00FE6179"/>
  </w:style>
  <w:style w:type="character" w:customStyle="1" w:styleId="WW8Num6z5">
    <w:name w:val="WW8Num6z5"/>
    <w:rsid w:val="00FE6179"/>
  </w:style>
  <w:style w:type="character" w:customStyle="1" w:styleId="WW8Num6z6">
    <w:name w:val="WW8Num6z6"/>
    <w:rsid w:val="00FE6179"/>
  </w:style>
  <w:style w:type="character" w:customStyle="1" w:styleId="WW8Num6z7">
    <w:name w:val="WW8Num6z7"/>
    <w:rsid w:val="00FE6179"/>
  </w:style>
  <w:style w:type="character" w:customStyle="1" w:styleId="WW8Num6z8">
    <w:name w:val="WW8Num6z8"/>
    <w:rsid w:val="00FE6179"/>
  </w:style>
  <w:style w:type="character" w:customStyle="1" w:styleId="WW8Num7z0">
    <w:name w:val="WW8Num7z0"/>
    <w:rsid w:val="00FE6179"/>
    <w:rPr>
      <w:rFonts w:hint="default"/>
    </w:rPr>
  </w:style>
  <w:style w:type="character" w:customStyle="1" w:styleId="WW8Num7z1">
    <w:name w:val="WW8Num7z1"/>
    <w:rsid w:val="00FE6179"/>
  </w:style>
  <w:style w:type="character" w:customStyle="1" w:styleId="WW8Num7z2">
    <w:name w:val="WW8Num7z2"/>
    <w:rsid w:val="00FE6179"/>
  </w:style>
  <w:style w:type="character" w:customStyle="1" w:styleId="WW8Num7z3">
    <w:name w:val="WW8Num7z3"/>
    <w:rsid w:val="00FE6179"/>
  </w:style>
  <w:style w:type="character" w:customStyle="1" w:styleId="WW8Num7z4">
    <w:name w:val="WW8Num7z4"/>
    <w:rsid w:val="00FE6179"/>
  </w:style>
  <w:style w:type="character" w:customStyle="1" w:styleId="WW8Num7z5">
    <w:name w:val="WW8Num7z5"/>
    <w:rsid w:val="00FE6179"/>
  </w:style>
  <w:style w:type="character" w:customStyle="1" w:styleId="WW8Num7z6">
    <w:name w:val="WW8Num7z6"/>
    <w:rsid w:val="00FE6179"/>
  </w:style>
  <w:style w:type="character" w:customStyle="1" w:styleId="WW8Num7z7">
    <w:name w:val="WW8Num7z7"/>
    <w:rsid w:val="00FE6179"/>
  </w:style>
  <w:style w:type="character" w:customStyle="1" w:styleId="WW8Num7z8">
    <w:name w:val="WW8Num7z8"/>
    <w:rsid w:val="00FE6179"/>
  </w:style>
  <w:style w:type="character" w:customStyle="1" w:styleId="WW8Num8z0">
    <w:name w:val="WW8Num8z0"/>
    <w:rsid w:val="00FE6179"/>
    <w:rPr>
      <w:rFonts w:hint="default"/>
      <w:lang w:val="de-DE"/>
    </w:rPr>
  </w:style>
  <w:style w:type="character" w:customStyle="1" w:styleId="WW8Num8z1">
    <w:name w:val="WW8Num8z1"/>
    <w:rsid w:val="00FE6179"/>
  </w:style>
  <w:style w:type="character" w:customStyle="1" w:styleId="WW8Num8z2">
    <w:name w:val="WW8Num8z2"/>
    <w:rsid w:val="00FE6179"/>
  </w:style>
  <w:style w:type="character" w:customStyle="1" w:styleId="WW8Num8z3">
    <w:name w:val="WW8Num8z3"/>
    <w:rsid w:val="00FE6179"/>
  </w:style>
  <w:style w:type="character" w:customStyle="1" w:styleId="WW8Num8z4">
    <w:name w:val="WW8Num8z4"/>
    <w:rsid w:val="00FE6179"/>
  </w:style>
  <w:style w:type="character" w:customStyle="1" w:styleId="WW8Num8z5">
    <w:name w:val="WW8Num8z5"/>
    <w:rsid w:val="00FE6179"/>
  </w:style>
  <w:style w:type="character" w:customStyle="1" w:styleId="WW8Num8z6">
    <w:name w:val="WW8Num8z6"/>
    <w:rsid w:val="00FE6179"/>
  </w:style>
  <w:style w:type="character" w:customStyle="1" w:styleId="WW8Num8z7">
    <w:name w:val="WW8Num8z7"/>
    <w:rsid w:val="00FE6179"/>
  </w:style>
  <w:style w:type="character" w:customStyle="1" w:styleId="WW8Num8z8">
    <w:name w:val="WW8Num8z8"/>
    <w:rsid w:val="00FE6179"/>
  </w:style>
  <w:style w:type="character" w:customStyle="1" w:styleId="WW8Num9z0">
    <w:name w:val="WW8Num9z0"/>
    <w:rsid w:val="00FE6179"/>
    <w:rPr>
      <w:rFonts w:hint="default"/>
    </w:rPr>
  </w:style>
  <w:style w:type="character" w:customStyle="1" w:styleId="WW8Num9z1">
    <w:name w:val="WW8Num9z1"/>
    <w:rsid w:val="00FE6179"/>
  </w:style>
  <w:style w:type="character" w:customStyle="1" w:styleId="WW8Num9z2">
    <w:name w:val="WW8Num9z2"/>
    <w:rsid w:val="00FE6179"/>
  </w:style>
  <w:style w:type="character" w:customStyle="1" w:styleId="WW8Num9z3">
    <w:name w:val="WW8Num9z3"/>
    <w:rsid w:val="00FE6179"/>
  </w:style>
  <w:style w:type="character" w:customStyle="1" w:styleId="WW8Num9z4">
    <w:name w:val="WW8Num9z4"/>
    <w:rsid w:val="00FE6179"/>
  </w:style>
  <w:style w:type="character" w:customStyle="1" w:styleId="WW8Num9z5">
    <w:name w:val="WW8Num9z5"/>
    <w:rsid w:val="00FE6179"/>
  </w:style>
  <w:style w:type="character" w:customStyle="1" w:styleId="WW8Num9z6">
    <w:name w:val="WW8Num9z6"/>
    <w:rsid w:val="00FE6179"/>
  </w:style>
  <w:style w:type="character" w:customStyle="1" w:styleId="WW8Num9z7">
    <w:name w:val="WW8Num9z7"/>
    <w:rsid w:val="00FE6179"/>
  </w:style>
  <w:style w:type="character" w:customStyle="1" w:styleId="WW8Num9z8">
    <w:name w:val="WW8Num9z8"/>
    <w:rsid w:val="00FE6179"/>
  </w:style>
  <w:style w:type="character" w:customStyle="1" w:styleId="WW8Num10z0">
    <w:name w:val="WW8Num10z0"/>
    <w:rsid w:val="00FE6179"/>
    <w:rPr>
      <w:rFonts w:ascii="Arial" w:eastAsia="Times New Roman" w:hAnsi="Arial" w:cs="Arial" w:hint="default"/>
    </w:rPr>
  </w:style>
  <w:style w:type="character" w:customStyle="1" w:styleId="WW8Num10z1">
    <w:name w:val="WW8Num10z1"/>
    <w:rsid w:val="00FE6179"/>
    <w:rPr>
      <w:rFonts w:ascii="Courier New" w:hAnsi="Courier New" w:cs="Courier New" w:hint="default"/>
    </w:rPr>
  </w:style>
  <w:style w:type="character" w:customStyle="1" w:styleId="WW8Num10z2">
    <w:name w:val="WW8Num10z2"/>
    <w:rsid w:val="00FE6179"/>
    <w:rPr>
      <w:rFonts w:ascii="Wingdings" w:hAnsi="Wingdings" w:cs="Wingdings" w:hint="default"/>
    </w:rPr>
  </w:style>
  <w:style w:type="character" w:customStyle="1" w:styleId="WW8Num10z3">
    <w:name w:val="WW8Num10z3"/>
    <w:rsid w:val="00FE6179"/>
    <w:rPr>
      <w:rFonts w:ascii="Symbol" w:hAnsi="Symbol" w:cs="Symbol" w:hint="default"/>
    </w:rPr>
  </w:style>
  <w:style w:type="character" w:customStyle="1" w:styleId="WW8Num11z0">
    <w:name w:val="WW8Num11z0"/>
    <w:rsid w:val="00FE6179"/>
    <w:rPr>
      <w:rFonts w:hint="default"/>
    </w:rPr>
  </w:style>
  <w:style w:type="character" w:customStyle="1" w:styleId="WW8Num11z1">
    <w:name w:val="WW8Num11z1"/>
    <w:rsid w:val="00FE6179"/>
  </w:style>
  <w:style w:type="character" w:customStyle="1" w:styleId="WW8Num11z2">
    <w:name w:val="WW8Num11z2"/>
    <w:rsid w:val="00FE6179"/>
  </w:style>
  <w:style w:type="character" w:customStyle="1" w:styleId="WW8Num11z3">
    <w:name w:val="WW8Num11z3"/>
    <w:rsid w:val="00FE6179"/>
  </w:style>
  <w:style w:type="character" w:customStyle="1" w:styleId="WW8Num11z4">
    <w:name w:val="WW8Num11z4"/>
    <w:rsid w:val="00FE6179"/>
  </w:style>
  <w:style w:type="character" w:customStyle="1" w:styleId="WW8Num11z5">
    <w:name w:val="WW8Num11z5"/>
    <w:rsid w:val="00FE6179"/>
  </w:style>
  <w:style w:type="character" w:customStyle="1" w:styleId="WW8Num11z6">
    <w:name w:val="WW8Num11z6"/>
    <w:rsid w:val="00FE6179"/>
  </w:style>
  <w:style w:type="character" w:customStyle="1" w:styleId="WW8Num11z7">
    <w:name w:val="WW8Num11z7"/>
    <w:rsid w:val="00FE6179"/>
  </w:style>
  <w:style w:type="character" w:customStyle="1" w:styleId="WW8Num11z8">
    <w:name w:val="WW8Num11z8"/>
    <w:rsid w:val="00FE6179"/>
  </w:style>
  <w:style w:type="character" w:customStyle="1" w:styleId="WW8Num12z0">
    <w:name w:val="WW8Num12z0"/>
    <w:rsid w:val="00FE6179"/>
    <w:rPr>
      <w:rFonts w:hint="default"/>
    </w:rPr>
  </w:style>
  <w:style w:type="character" w:customStyle="1" w:styleId="WW8Num12z1">
    <w:name w:val="WW8Num12z1"/>
    <w:rsid w:val="00FE6179"/>
  </w:style>
  <w:style w:type="character" w:customStyle="1" w:styleId="WW8Num12z2">
    <w:name w:val="WW8Num12z2"/>
    <w:rsid w:val="00FE6179"/>
  </w:style>
  <w:style w:type="character" w:customStyle="1" w:styleId="WW8Num12z3">
    <w:name w:val="WW8Num12z3"/>
    <w:rsid w:val="00FE6179"/>
  </w:style>
  <w:style w:type="character" w:customStyle="1" w:styleId="WW8Num12z4">
    <w:name w:val="WW8Num12z4"/>
    <w:rsid w:val="00FE6179"/>
  </w:style>
  <w:style w:type="character" w:customStyle="1" w:styleId="WW8Num12z5">
    <w:name w:val="WW8Num12z5"/>
    <w:rsid w:val="00FE6179"/>
  </w:style>
  <w:style w:type="character" w:customStyle="1" w:styleId="WW8Num12z6">
    <w:name w:val="WW8Num12z6"/>
    <w:rsid w:val="00FE6179"/>
  </w:style>
  <w:style w:type="character" w:customStyle="1" w:styleId="WW8Num12z7">
    <w:name w:val="WW8Num12z7"/>
    <w:rsid w:val="00FE6179"/>
  </w:style>
  <w:style w:type="character" w:customStyle="1" w:styleId="WW8Num12z8">
    <w:name w:val="WW8Num12z8"/>
    <w:rsid w:val="00FE6179"/>
  </w:style>
  <w:style w:type="character" w:customStyle="1" w:styleId="WW8Num13z0">
    <w:name w:val="WW8Num13z0"/>
    <w:rsid w:val="00FE6179"/>
    <w:rPr>
      <w:rFonts w:ascii="Arial" w:hAnsi="Arial" w:cs="Arial" w:hint="default"/>
    </w:rPr>
  </w:style>
  <w:style w:type="character" w:customStyle="1" w:styleId="Absatz-Standardschriftart1">
    <w:name w:val="Absatz-Standardschriftart1"/>
    <w:rsid w:val="00FE6179"/>
  </w:style>
  <w:style w:type="character" w:customStyle="1" w:styleId="berschrift1Zchn">
    <w:name w:val="Überschrift 1 Zchn"/>
    <w:rsid w:val="00FE6179"/>
    <w:rPr>
      <w:rFonts w:ascii="Arial" w:hAnsi="Arial" w:cs="Arial"/>
      <w:b/>
      <w:color w:val="000000"/>
      <w:sz w:val="24"/>
    </w:rPr>
  </w:style>
  <w:style w:type="character" w:customStyle="1" w:styleId="berschrift2Zchn">
    <w:name w:val="Überschrift 2 Zchn"/>
    <w:rsid w:val="00FE6179"/>
    <w:rPr>
      <w:rFonts w:ascii="Cambria" w:hAnsi="Cambria" w:cs="Cambria"/>
      <w:b/>
      <w:bCs/>
      <w:i/>
      <w:iCs/>
      <w:sz w:val="28"/>
      <w:szCs w:val="28"/>
    </w:rPr>
  </w:style>
  <w:style w:type="character" w:customStyle="1" w:styleId="berschrift3Zchn">
    <w:name w:val="Überschrift 3 Zchn"/>
    <w:rsid w:val="00FE6179"/>
    <w:rPr>
      <w:rFonts w:ascii="Cambria" w:hAnsi="Cambria" w:cs="Cambria"/>
      <w:b/>
      <w:bCs/>
      <w:sz w:val="26"/>
      <w:szCs w:val="26"/>
    </w:rPr>
  </w:style>
  <w:style w:type="character" w:customStyle="1" w:styleId="berschrift8Zchn">
    <w:name w:val="Überschrift 8 Zchn"/>
    <w:rsid w:val="00FE6179"/>
    <w:rPr>
      <w:rFonts w:ascii="Cambria" w:hAnsi="Cambria" w:cs="Cambria"/>
      <w:color w:val="404040"/>
    </w:rPr>
  </w:style>
  <w:style w:type="character" w:customStyle="1" w:styleId="Funotenzeichen1">
    <w:name w:val="Fußnotenzeichen1"/>
    <w:rsid w:val="00FE6179"/>
  </w:style>
  <w:style w:type="character" w:customStyle="1" w:styleId="FuzeileZchn">
    <w:name w:val="Fußzeile Zchn"/>
    <w:uiPriority w:val="99"/>
    <w:rsid w:val="00FE6179"/>
    <w:rPr>
      <w:rFonts w:ascii="Shruti" w:hAnsi="Shruti" w:cs="Shruti"/>
      <w:sz w:val="24"/>
      <w:szCs w:val="24"/>
      <w:lang w:val="en-US"/>
    </w:rPr>
  </w:style>
  <w:style w:type="character" w:styleId="a4">
    <w:name w:val="page number"/>
    <w:basedOn w:val="Absatz-Standardschriftart1"/>
    <w:rsid w:val="00FE6179"/>
  </w:style>
  <w:style w:type="character" w:customStyle="1" w:styleId="TextkrperZchn">
    <w:name w:val="Textkörper Zchn"/>
    <w:rsid w:val="00FE6179"/>
    <w:rPr>
      <w:rFonts w:ascii="Arial" w:hAnsi="Arial" w:cs="Arial"/>
      <w:sz w:val="22"/>
    </w:rPr>
  </w:style>
  <w:style w:type="character" w:customStyle="1" w:styleId="25cmErCharCharChar">
    <w:name w:val="25 cm + Er... Char Char Char"/>
    <w:rsid w:val="00FE6179"/>
    <w:rPr>
      <w:rFonts w:ascii="Arial" w:hAnsi="Arial" w:cs="Arial"/>
      <w:color w:val="000000"/>
      <w:sz w:val="24"/>
    </w:rPr>
  </w:style>
  <w:style w:type="character" w:customStyle="1" w:styleId="KopfzeileZchn">
    <w:name w:val="Kopfzeile Zchn"/>
    <w:rsid w:val="00FE6179"/>
    <w:rPr>
      <w:sz w:val="24"/>
      <w:szCs w:val="24"/>
    </w:rPr>
  </w:style>
  <w:style w:type="character" w:customStyle="1" w:styleId="SprechblasentextZchn">
    <w:name w:val="Sprechblasentext Zchn"/>
    <w:rsid w:val="00FE6179"/>
    <w:rPr>
      <w:rFonts w:ascii="Tahoma" w:hAnsi="Tahoma" w:cs="Tahoma"/>
      <w:sz w:val="16"/>
      <w:szCs w:val="16"/>
    </w:rPr>
  </w:style>
  <w:style w:type="character" w:customStyle="1" w:styleId="KommentartextZchn">
    <w:name w:val="Kommentartext Zchn"/>
    <w:rsid w:val="00FE6179"/>
    <w:rPr>
      <w:rFonts w:ascii="Calibri" w:hAnsi="Calibri" w:cs="Calibri"/>
    </w:rPr>
  </w:style>
  <w:style w:type="character" w:customStyle="1" w:styleId="KommentarthemaZchn">
    <w:name w:val="Kommentarthema Zchn"/>
    <w:rsid w:val="00FE6179"/>
    <w:rPr>
      <w:rFonts w:ascii="Calibri" w:hAnsi="Calibri" w:cs="Calibri"/>
      <w:b/>
      <w:bCs/>
    </w:rPr>
  </w:style>
  <w:style w:type="character" w:customStyle="1" w:styleId="volume">
    <w:name w:val="volume"/>
    <w:basedOn w:val="Absatz-Standardschriftart1"/>
    <w:rsid w:val="00FE6179"/>
  </w:style>
  <w:style w:type="character" w:customStyle="1" w:styleId="issue">
    <w:name w:val="issue"/>
    <w:basedOn w:val="Absatz-Standardschriftart1"/>
    <w:rsid w:val="00FE6179"/>
  </w:style>
  <w:style w:type="character" w:customStyle="1" w:styleId="pages">
    <w:name w:val="pages"/>
    <w:basedOn w:val="Absatz-Standardschriftart1"/>
    <w:rsid w:val="00FE6179"/>
  </w:style>
  <w:style w:type="character" w:customStyle="1" w:styleId="A30">
    <w:name w:val="A3"/>
    <w:rsid w:val="00FE6179"/>
    <w:rPr>
      <w:rFonts w:cs="Times"/>
      <w:color w:val="000000"/>
      <w:sz w:val="15"/>
      <w:szCs w:val="15"/>
    </w:rPr>
  </w:style>
  <w:style w:type="character" w:customStyle="1" w:styleId="A10">
    <w:name w:val="A1"/>
    <w:rsid w:val="00FE6179"/>
    <w:rPr>
      <w:rFonts w:cs="Times"/>
      <w:i/>
      <w:iCs/>
      <w:color w:val="000000"/>
      <w:sz w:val="20"/>
      <w:szCs w:val="20"/>
    </w:rPr>
  </w:style>
  <w:style w:type="character" w:customStyle="1" w:styleId="Absatz-Standardschriftart5">
    <w:name w:val="Absatz-Standardschriftart5"/>
    <w:rsid w:val="00FE6179"/>
  </w:style>
  <w:style w:type="paragraph" w:customStyle="1" w:styleId="berschrift">
    <w:name w:val="Überschrift"/>
    <w:basedOn w:val="a"/>
    <w:next w:val="a5"/>
    <w:rsid w:val="00FE6179"/>
    <w:pPr>
      <w:keepNext/>
      <w:widowControl w:val="0"/>
      <w:suppressAutoHyphens/>
      <w:autoSpaceDE w:val="0"/>
      <w:spacing w:before="240" w:after="120" w:line="240" w:lineRule="auto"/>
    </w:pPr>
    <w:rPr>
      <w:rFonts w:ascii="Arial" w:eastAsia="微软雅黑" w:hAnsi="Arial" w:cs="Mangal"/>
      <w:sz w:val="28"/>
      <w:szCs w:val="28"/>
      <w:lang w:eastAsia="ar-SA"/>
    </w:rPr>
  </w:style>
  <w:style w:type="paragraph" w:styleId="a5">
    <w:name w:val="Body Text"/>
    <w:basedOn w:val="a"/>
    <w:link w:val="Char"/>
    <w:rsid w:val="00FE6179"/>
    <w:pPr>
      <w:suppressAutoHyphens/>
      <w:spacing w:after="0" w:line="240" w:lineRule="auto"/>
      <w:jc w:val="both"/>
    </w:pPr>
    <w:rPr>
      <w:rFonts w:ascii="Arial" w:eastAsiaTheme="minorEastAsia" w:hAnsi="Arial" w:cs="Arial"/>
      <w:szCs w:val="20"/>
      <w:lang w:val="x-none" w:eastAsia="ar-SA"/>
    </w:rPr>
  </w:style>
  <w:style w:type="character" w:customStyle="1" w:styleId="Char">
    <w:name w:val="正文文本 Char"/>
    <w:basedOn w:val="a0"/>
    <w:link w:val="a5"/>
    <w:rsid w:val="00FE6179"/>
    <w:rPr>
      <w:rFonts w:ascii="Arial" w:hAnsi="Arial" w:cs="Arial"/>
      <w:kern w:val="0"/>
      <w:sz w:val="22"/>
      <w:szCs w:val="20"/>
      <w:lang w:val="x-none" w:eastAsia="ar-SA"/>
    </w:rPr>
  </w:style>
  <w:style w:type="paragraph" w:styleId="a6">
    <w:name w:val="List"/>
    <w:basedOn w:val="a5"/>
    <w:rsid w:val="00FE6179"/>
    <w:rPr>
      <w:rFonts w:cs="Mangal"/>
    </w:rPr>
  </w:style>
  <w:style w:type="paragraph" w:customStyle="1" w:styleId="Beschriftung1">
    <w:name w:val="Beschriftung1"/>
    <w:basedOn w:val="a"/>
    <w:rsid w:val="00FE6179"/>
    <w:pPr>
      <w:widowControl w:val="0"/>
      <w:suppressLineNumbers/>
      <w:suppressAutoHyphens/>
      <w:autoSpaceDE w:val="0"/>
      <w:spacing w:before="120" w:after="120" w:line="240" w:lineRule="auto"/>
    </w:pPr>
    <w:rPr>
      <w:rFonts w:ascii="Shruti" w:eastAsiaTheme="minorEastAsia" w:hAnsi="Shruti" w:cs="Mangal"/>
      <w:i/>
      <w:iCs/>
      <w:sz w:val="24"/>
      <w:szCs w:val="24"/>
      <w:lang w:eastAsia="ar-SA"/>
    </w:rPr>
  </w:style>
  <w:style w:type="paragraph" w:customStyle="1" w:styleId="Verzeichnis">
    <w:name w:val="Verzeichnis"/>
    <w:basedOn w:val="a"/>
    <w:rsid w:val="00FE6179"/>
    <w:pPr>
      <w:widowControl w:val="0"/>
      <w:suppressLineNumbers/>
      <w:suppressAutoHyphens/>
      <w:autoSpaceDE w:val="0"/>
      <w:spacing w:after="0" w:line="240" w:lineRule="auto"/>
    </w:pPr>
    <w:rPr>
      <w:rFonts w:ascii="Shruti" w:eastAsiaTheme="minorEastAsia" w:hAnsi="Shruti" w:cs="Mangal"/>
      <w:sz w:val="24"/>
      <w:szCs w:val="24"/>
      <w:lang w:eastAsia="ar-SA"/>
    </w:rPr>
  </w:style>
  <w:style w:type="paragraph" w:styleId="a7">
    <w:name w:val="footer"/>
    <w:basedOn w:val="a"/>
    <w:link w:val="Char0"/>
    <w:uiPriority w:val="99"/>
    <w:rsid w:val="00FE6179"/>
    <w:pPr>
      <w:widowControl w:val="0"/>
      <w:tabs>
        <w:tab w:val="center" w:pos="4536"/>
        <w:tab w:val="right" w:pos="9072"/>
      </w:tabs>
      <w:suppressAutoHyphens/>
      <w:autoSpaceDE w:val="0"/>
      <w:spacing w:after="0" w:line="240" w:lineRule="auto"/>
    </w:pPr>
    <w:rPr>
      <w:rFonts w:ascii="Shruti" w:eastAsiaTheme="minorEastAsia" w:hAnsi="Shruti" w:cs="Shruti"/>
      <w:sz w:val="24"/>
      <w:szCs w:val="24"/>
      <w:lang w:eastAsia="ar-SA"/>
    </w:rPr>
  </w:style>
  <w:style w:type="character" w:customStyle="1" w:styleId="Char0">
    <w:name w:val="页脚 Char"/>
    <w:basedOn w:val="a0"/>
    <w:link w:val="a7"/>
    <w:uiPriority w:val="99"/>
    <w:rsid w:val="00FE6179"/>
    <w:rPr>
      <w:rFonts w:ascii="Shruti" w:hAnsi="Shruti" w:cs="Shruti"/>
      <w:kern w:val="0"/>
      <w:sz w:val="24"/>
      <w:lang w:eastAsia="ar-SA"/>
    </w:rPr>
  </w:style>
  <w:style w:type="paragraph" w:customStyle="1" w:styleId="StandardArial">
    <w:name w:val="Standard + Arial"/>
    <w:basedOn w:val="a"/>
    <w:rsid w:val="00FE6179"/>
    <w:pPr>
      <w:suppressAutoHyphens/>
      <w:spacing w:before="60" w:after="60" w:line="360" w:lineRule="auto"/>
      <w:jc w:val="both"/>
    </w:pPr>
    <w:rPr>
      <w:rFonts w:ascii="Arial" w:eastAsiaTheme="minorEastAsia" w:hAnsi="Arial" w:cs="Arial"/>
      <w:color w:val="000000"/>
      <w:sz w:val="24"/>
      <w:szCs w:val="20"/>
      <w:lang w:val="x-none" w:eastAsia="ar-SA"/>
    </w:rPr>
  </w:style>
  <w:style w:type="paragraph" w:styleId="a8">
    <w:name w:val="header"/>
    <w:basedOn w:val="a"/>
    <w:link w:val="Char1"/>
    <w:rsid w:val="00FE6179"/>
    <w:pPr>
      <w:tabs>
        <w:tab w:val="center" w:pos="4536"/>
        <w:tab w:val="right" w:pos="9072"/>
      </w:tabs>
      <w:suppressAutoHyphens/>
      <w:spacing w:after="0" w:line="240" w:lineRule="auto"/>
    </w:pPr>
    <w:rPr>
      <w:rFonts w:ascii="Times New Roman" w:eastAsiaTheme="minorEastAsia"/>
      <w:sz w:val="24"/>
      <w:szCs w:val="24"/>
      <w:lang w:val="x-none" w:eastAsia="ar-SA"/>
    </w:rPr>
  </w:style>
  <w:style w:type="character" w:customStyle="1" w:styleId="Char1">
    <w:name w:val="页眉 Char"/>
    <w:basedOn w:val="a0"/>
    <w:link w:val="a8"/>
    <w:rsid w:val="00FE6179"/>
    <w:rPr>
      <w:rFonts w:ascii="Times New Roman" w:hAnsi="Times New Roman" w:cs="Times New Roman"/>
      <w:kern w:val="0"/>
      <w:sz w:val="24"/>
      <w:lang w:val="x-none" w:eastAsia="ar-SA"/>
    </w:rPr>
  </w:style>
  <w:style w:type="paragraph" w:customStyle="1" w:styleId="body">
    <w:name w:val="body"/>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FarbigeListe-Akzent11">
    <w:name w:val="Farbige Liste - Akzent 11"/>
    <w:basedOn w:val="a"/>
    <w:rsid w:val="00FE6179"/>
    <w:pPr>
      <w:suppressAutoHyphens/>
      <w:spacing w:after="200" w:line="276" w:lineRule="auto"/>
      <w:ind w:left="708"/>
    </w:pPr>
    <w:rPr>
      <w:rFonts w:ascii="Calibri" w:eastAsiaTheme="minorEastAsia" w:hAnsi="Calibri" w:cs="Calibri"/>
      <w:lang w:val="de-DE" w:eastAsia="ar-SA"/>
    </w:rPr>
  </w:style>
  <w:style w:type="paragraph" w:customStyle="1" w:styleId="Textkrper21">
    <w:name w:val="Textkörper 21"/>
    <w:basedOn w:val="a"/>
    <w:rsid w:val="00FE6179"/>
    <w:pPr>
      <w:suppressAutoHyphens/>
      <w:overflowPunct w:val="0"/>
      <w:autoSpaceDE w:val="0"/>
      <w:spacing w:after="0" w:line="240" w:lineRule="auto"/>
      <w:textAlignment w:val="baseline"/>
    </w:pPr>
    <w:rPr>
      <w:rFonts w:ascii="Times New Roman" w:eastAsiaTheme="minorEastAsia"/>
      <w:sz w:val="24"/>
      <w:szCs w:val="20"/>
      <w:lang w:val="de-DE" w:eastAsia="ar-SA"/>
    </w:rPr>
  </w:style>
  <w:style w:type="paragraph" w:styleId="a9">
    <w:name w:val="Balloon Text"/>
    <w:basedOn w:val="a"/>
    <w:link w:val="Char2"/>
    <w:rsid w:val="00FE6179"/>
    <w:pPr>
      <w:suppressAutoHyphens/>
      <w:spacing w:after="0" w:line="240" w:lineRule="auto"/>
    </w:pPr>
    <w:rPr>
      <w:rFonts w:ascii="Tahoma" w:eastAsiaTheme="minorEastAsia" w:hAnsi="Tahoma" w:cs="Tahoma"/>
      <w:sz w:val="16"/>
      <w:szCs w:val="16"/>
      <w:lang w:val="x-none" w:eastAsia="ar-SA"/>
    </w:rPr>
  </w:style>
  <w:style w:type="character" w:customStyle="1" w:styleId="Char2">
    <w:name w:val="批注框文本 Char"/>
    <w:basedOn w:val="a0"/>
    <w:link w:val="a9"/>
    <w:rsid w:val="00FE6179"/>
    <w:rPr>
      <w:rFonts w:ascii="Tahoma" w:hAnsi="Tahoma" w:cs="Tahoma"/>
      <w:kern w:val="0"/>
      <w:sz w:val="16"/>
      <w:szCs w:val="16"/>
      <w:lang w:val="x-none" w:eastAsia="ar-SA"/>
    </w:rPr>
  </w:style>
  <w:style w:type="paragraph" w:customStyle="1" w:styleId="Kommentartext1">
    <w:name w:val="Kommentartext1"/>
    <w:basedOn w:val="a"/>
    <w:rsid w:val="00FE6179"/>
    <w:pPr>
      <w:suppressAutoHyphens/>
      <w:spacing w:after="200" w:line="276" w:lineRule="auto"/>
    </w:pPr>
    <w:rPr>
      <w:rFonts w:ascii="Calibri" w:eastAsiaTheme="minorEastAsia" w:hAnsi="Calibri" w:cs="Calibri"/>
      <w:sz w:val="20"/>
      <w:szCs w:val="20"/>
      <w:lang w:val="x-none" w:eastAsia="ar-SA"/>
    </w:rPr>
  </w:style>
  <w:style w:type="paragraph" w:styleId="aa">
    <w:name w:val="annotation text"/>
    <w:basedOn w:val="a"/>
    <w:link w:val="Char3"/>
    <w:uiPriority w:val="99"/>
    <w:semiHidden/>
    <w:unhideWhenUsed/>
    <w:rsid w:val="00FE6179"/>
  </w:style>
  <w:style w:type="character" w:customStyle="1" w:styleId="Char3">
    <w:name w:val="批注文字 Char"/>
    <w:basedOn w:val="a0"/>
    <w:link w:val="aa"/>
    <w:uiPriority w:val="99"/>
    <w:semiHidden/>
    <w:rsid w:val="00FE6179"/>
    <w:rPr>
      <w:rFonts w:eastAsia="宋体" w:hAnsi="Times New Roman" w:cs="Times New Roman"/>
      <w:kern w:val="0"/>
      <w:sz w:val="22"/>
      <w:szCs w:val="22"/>
      <w:lang w:eastAsia="en-US"/>
    </w:rPr>
  </w:style>
  <w:style w:type="paragraph" w:styleId="ab">
    <w:name w:val="annotation subject"/>
    <w:basedOn w:val="Kommentartext1"/>
    <w:next w:val="Kommentartext1"/>
    <w:link w:val="Char4"/>
    <w:rsid w:val="00FE6179"/>
    <w:rPr>
      <w:b/>
      <w:bCs/>
    </w:rPr>
  </w:style>
  <w:style w:type="character" w:customStyle="1" w:styleId="Char4">
    <w:name w:val="批注主题 Char"/>
    <w:basedOn w:val="Char3"/>
    <w:link w:val="ab"/>
    <w:rsid w:val="00FE6179"/>
    <w:rPr>
      <w:rFonts w:ascii="Calibri" w:eastAsia="宋体" w:hAnsi="Calibri" w:cs="Calibri"/>
      <w:b/>
      <w:bCs/>
      <w:kern w:val="0"/>
      <w:sz w:val="20"/>
      <w:szCs w:val="20"/>
      <w:lang w:val="x-none" w:eastAsia="ar-SA"/>
    </w:rPr>
  </w:style>
  <w:style w:type="paragraph" w:customStyle="1" w:styleId="FarbigeSchattierung-Akzent11">
    <w:name w:val="Farbige Schattierung - Akzent 11"/>
    <w:rsid w:val="00FE6179"/>
    <w:pPr>
      <w:suppressAutoHyphens/>
    </w:pPr>
    <w:rPr>
      <w:rFonts w:ascii="Calibri" w:hAnsi="Calibri" w:cs="Calibri"/>
      <w:kern w:val="0"/>
      <w:sz w:val="22"/>
      <w:szCs w:val="22"/>
      <w:lang w:val="de-DE" w:eastAsia="ar-SA"/>
    </w:rPr>
  </w:style>
  <w:style w:type="paragraph" w:customStyle="1" w:styleId="berschriftb">
    <w:name w:val="Überschrift b"/>
    <w:basedOn w:val="a"/>
    <w:rsid w:val="00FE6179"/>
    <w:pPr>
      <w:suppressAutoHyphens/>
      <w:spacing w:after="0" w:line="240" w:lineRule="auto"/>
    </w:pPr>
    <w:rPr>
      <w:rFonts w:ascii="Arial" w:eastAsiaTheme="minorEastAsia" w:hAnsi="Arial" w:cs="Arial"/>
      <w:b/>
      <w:szCs w:val="20"/>
      <w:lang w:val="de-DE" w:eastAsia="ar-SA"/>
    </w:rPr>
  </w:style>
  <w:style w:type="paragraph" w:styleId="ac">
    <w:name w:val="Normal (Web)"/>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Dokumentstruktur1">
    <w:name w:val="Dokumentstruktur1"/>
    <w:basedOn w:val="a"/>
    <w:rsid w:val="00FE6179"/>
    <w:pPr>
      <w:widowControl w:val="0"/>
      <w:shd w:val="clear" w:color="auto" w:fill="000080"/>
      <w:suppressAutoHyphens/>
      <w:autoSpaceDE w:val="0"/>
      <w:spacing w:after="0" w:line="240" w:lineRule="auto"/>
    </w:pPr>
    <w:rPr>
      <w:rFonts w:ascii="Tahoma" w:eastAsiaTheme="minorEastAsia" w:hAnsi="Tahoma" w:cs="Tahoma"/>
      <w:sz w:val="20"/>
      <w:szCs w:val="20"/>
      <w:lang w:eastAsia="ar-SA"/>
    </w:rPr>
  </w:style>
  <w:style w:type="paragraph" w:customStyle="1" w:styleId="Default">
    <w:name w:val="Default"/>
    <w:rsid w:val="00FE6179"/>
    <w:pPr>
      <w:suppressAutoHyphens/>
      <w:autoSpaceDE w:val="0"/>
    </w:pPr>
    <w:rPr>
      <w:rFonts w:ascii="Times" w:hAnsi="Times" w:cs="Times"/>
      <w:color w:val="000000"/>
      <w:kern w:val="0"/>
      <w:sz w:val="24"/>
      <w:lang w:val="de-DE" w:eastAsia="ar-SA"/>
    </w:rPr>
  </w:style>
  <w:style w:type="paragraph" w:customStyle="1" w:styleId="Pa3">
    <w:name w:val="Pa3"/>
    <w:basedOn w:val="Default"/>
    <w:next w:val="Default"/>
    <w:rsid w:val="00FE6179"/>
    <w:pPr>
      <w:spacing w:line="201" w:lineRule="atLeast"/>
    </w:pPr>
    <w:rPr>
      <w:rFonts w:cs="Times New Roman"/>
      <w:color w:val="auto"/>
    </w:rPr>
  </w:style>
  <w:style w:type="paragraph" w:customStyle="1" w:styleId="Pa5">
    <w:name w:val="Pa5"/>
    <w:basedOn w:val="Default"/>
    <w:next w:val="Default"/>
    <w:rsid w:val="00FE6179"/>
    <w:pPr>
      <w:spacing w:line="201" w:lineRule="atLeast"/>
    </w:pPr>
    <w:rPr>
      <w:rFonts w:cs="Times New Roman"/>
      <w:color w:val="auto"/>
    </w:rPr>
  </w:style>
  <w:style w:type="paragraph" w:customStyle="1" w:styleId="Pa7">
    <w:name w:val="Pa7"/>
    <w:basedOn w:val="Default"/>
    <w:next w:val="Default"/>
    <w:rsid w:val="00FE6179"/>
    <w:pPr>
      <w:spacing w:line="181" w:lineRule="atLeast"/>
    </w:pPr>
    <w:rPr>
      <w:rFonts w:cs="Times New Roman"/>
      <w:color w:val="auto"/>
    </w:rPr>
  </w:style>
  <w:style w:type="paragraph" w:customStyle="1" w:styleId="Pa6">
    <w:name w:val="Pa6"/>
    <w:basedOn w:val="Default"/>
    <w:next w:val="Default"/>
    <w:rsid w:val="00FE6179"/>
    <w:pPr>
      <w:spacing w:line="201" w:lineRule="atLeast"/>
    </w:pPr>
    <w:rPr>
      <w:rFonts w:cs="Times New Roman"/>
      <w:color w:val="auto"/>
    </w:rPr>
  </w:style>
  <w:style w:type="paragraph" w:customStyle="1" w:styleId="Pa0">
    <w:name w:val="Pa0"/>
    <w:basedOn w:val="Default"/>
    <w:next w:val="Default"/>
    <w:rsid w:val="00FE6179"/>
    <w:pPr>
      <w:spacing w:line="161" w:lineRule="atLeast"/>
    </w:pPr>
    <w:rPr>
      <w:rFonts w:cs="Times New Roman"/>
      <w:color w:val="auto"/>
    </w:rPr>
  </w:style>
  <w:style w:type="paragraph" w:styleId="ad">
    <w:name w:val="List Paragraph"/>
    <w:basedOn w:val="a"/>
    <w:qFormat/>
    <w:rsid w:val="00FE6179"/>
    <w:pPr>
      <w:widowControl w:val="0"/>
      <w:suppressAutoHyphens/>
      <w:autoSpaceDE w:val="0"/>
      <w:spacing w:after="0" w:line="240" w:lineRule="auto"/>
      <w:ind w:left="708"/>
    </w:pPr>
    <w:rPr>
      <w:rFonts w:ascii="Shruti" w:eastAsiaTheme="minorEastAsia" w:hAnsi="Shruti" w:cs="Shruti"/>
      <w:sz w:val="24"/>
      <w:szCs w:val="24"/>
      <w:lang w:eastAsia="ar-SA"/>
    </w:rPr>
  </w:style>
  <w:style w:type="paragraph" w:customStyle="1" w:styleId="Rahmeninhalt">
    <w:name w:val="Rahmeninhalt"/>
    <w:basedOn w:val="a5"/>
    <w:rsid w:val="00FE6179"/>
  </w:style>
  <w:style w:type="paragraph" w:customStyle="1" w:styleId="TabellenInhalt">
    <w:name w:val="Tabellen Inhalt"/>
    <w:basedOn w:val="a"/>
    <w:rsid w:val="00FE6179"/>
    <w:pPr>
      <w:widowControl w:val="0"/>
      <w:suppressLineNumbers/>
      <w:suppressAutoHyphens/>
      <w:autoSpaceDE w:val="0"/>
      <w:spacing w:after="0" w:line="240" w:lineRule="auto"/>
    </w:pPr>
    <w:rPr>
      <w:rFonts w:ascii="Shruti" w:eastAsiaTheme="minorEastAsia" w:hAnsi="Shruti" w:cs="Shruti"/>
      <w:sz w:val="24"/>
      <w:szCs w:val="24"/>
      <w:lang w:eastAsia="ar-SA"/>
    </w:rPr>
  </w:style>
  <w:style w:type="table" w:styleId="ae">
    <w:name w:val="Table Grid"/>
    <w:basedOn w:val="a1"/>
    <w:uiPriority w:val="59"/>
    <w:rsid w:val="00FE6179"/>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e"/>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1"/>
    <w:next w:val="ae"/>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FE6179"/>
    <w:rPr>
      <w:sz w:val="16"/>
      <w:szCs w:val="16"/>
    </w:rPr>
  </w:style>
  <w:style w:type="paragraph" w:styleId="af0">
    <w:name w:val="Revision"/>
    <w:hidden/>
    <w:uiPriority w:val="99"/>
    <w:semiHidden/>
    <w:rsid w:val="00FE6179"/>
    <w:rPr>
      <w:rFonts w:ascii="Shruti" w:hAnsi="Shruti" w:cs="Shruti"/>
      <w:kern w:val="0"/>
      <w:sz w:val="24"/>
      <w:lang w:eastAsia="ar-SA"/>
    </w:rPr>
  </w:style>
  <w:style w:type="paragraph" w:customStyle="1" w:styleId="title1">
    <w:name w:val="title1"/>
    <w:basedOn w:val="a"/>
    <w:rsid w:val="00FE6179"/>
    <w:pPr>
      <w:spacing w:after="0" w:line="240" w:lineRule="auto"/>
    </w:pPr>
    <w:rPr>
      <w:rFonts w:ascii="Times New Roman" w:eastAsiaTheme="minorEastAsia"/>
      <w:sz w:val="27"/>
      <w:szCs w:val="27"/>
      <w:lang w:val="de-DE" w:eastAsia="de-DE"/>
    </w:rPr>
  </w:style>
  <w:style w:type="paragraph" w:customStyle="1" w:styleId="desc2">
    <w:name w:val="desc2"/>
    <w:basedOn w:val="a"/>
    <w:rsid w:val="00FE6179"/>
    <w:pPr>
      <w:spacing w:after="0" w:line="240" w:lineRule="auto"/>
    </w:pPr>
    <w:rPr>
      <w:rFonts w:ascii="Times New Roman" w:eastAsiaTheme="minorEastAsia"/>
      <w:sz w:val="26"/>
      <w:szCs w:val="26"/>
      <w:lang w:val="de-DE" w:eastAsia="de-DE"/>
    </w:rPr>
  </w:style>
  <w:style w:type="paragraph" w:customStyle="1" w:styleId="details1">
    <w:name w:val="details1"/>
    <w:basedOn w:val="a"/>
    <w:rsid w:val="00FE6179"/>
    <w:pPr>
      <w:spacing w:after="0" w:line="240" w:lineRule="auto"/>
    </w:pPr>
    <w:rPr>
      <w:rFonts w:ascii="Times New Roman" w:eastAsiaTheme="minorEastAsia"/>
      <w:lang w:val="de-DE" w:eastAsia="de-DE"/>
    </w:rPr>
  </w:style>
  <w:style w:type="character" w:customStyle="1" w:styleId="jrnl">
    <w:name w:val="jrnl"/>
    <w:rsid w:val="00FE6179"/>
  </w:style>
  <w:style w:type="character" w:customStyle="1" w:styleId="normaltextrun">
    <w:name w:val="normaltextrun"/>
    <w:basedOn w:val="a0"/>
    <w:rsid w:val="00BB36AA"/>
  </w:style>
  <w:style w:type="paragraph" w:customStyle="1" w:styleId="paragraph">
    <w:name w:val="paragraph"/>
    <w:basedOn w:val="a"/>
    <w:rsid w:val="00BB36AA"/>
    <w:pPr>
      <w:spacing w:before="100" w:beforeAutospacing="1" w:after="100" w:afterAutospacing="1" w:line="240" w:lineRule="auto"/>
    </w:pPr>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027712">
      <w:bodyDiv w:val="1"/>
      <w:marLeft w:val="0"/>
      <w:marRight w:val="0"/>
      <w:marTop w:val="0"/>
      <w:marBottom w:val="0"/>
      <w:divBdr>
        <w:top w:val="none" w:sz="0" w:space="0" w:color="auto"/>
        <w:left w:val="none" w:sz="0" w:space="0" w:color="auto"/>
        <w:bottom w:val="none" w:sz="0" w:space="0" w:color="auto"/>
        <w:right w:val="none" w:sz="0" w:space="0" w:color="auto"/>
      </w:divBdr>
    </w:div>
    <w:div w:id="1175267174">
      <w:bodyDiv w:val="1"/>
      <w:marLeft w:val="0"/>
      <w:marRight w:val="0"/>
      <w:marTop w:val="0"/>
      <w:marBottom w:val="0"/>
      <w:divBdr>
        <w:top w:val="none" w:sz="0" w:space="0" w:color="auto"/>
        <w:left w:val="none" w:sz="0" w:space="0" w:color="auto"/>
        <w:bottom w:val="none" w:sz="0" w:space="0" w:color="auto"/>
        <w:right w:val="none" w:sz="0" w:space="0" w:color="auto"/>
      </w:divBdr>
    </w:div>
    <w:div w:id="1415514379">
      <w:bodyDiv w:val="1"/>
      <w:marLeft w:val="0"/>
      <w:marRight w:val="0"/>
      <w:marTop w:val="0"/>
      <w:marBottom w:val="0"/>
      <w:divBdr>
        <w:top w:val="none" w:sz="0" w:space="0" w:color="auto"/>
        <w:left w:val="none" w:sz="0" w:space="0" w:color="auto"/>
        <w:bottom w:val="none" w:sz="0" w:space="0" w:color="auto"/>
        <w:right w:val="none" w:sz="0" w:space="0" w:color="auto"/>
      </w:divBdr>
    </w:div>
    <w:div w:id="21079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32559</Words>
  <Characters>185588</Characters>
  <Application>Microsoft Office Word</Application>
  <DocSecurity>0</DocSecurity>
  <Lines>1546</Lines>
  <Paragraphs>435</Paragraphs>
  <ScaleCrop>false</ScaleCrop>
  <Company/>
  <LinksUpToDate>false</LinksUpToDate>
  <CharactersWithSpaces>217712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Lenovo</cp:lastModifiedBy>
  <cp:revision>3</cp:revision>
  <dcterms:created xsi:type="dcterms:W3CDTF">2020-05-29T21:42:00Z</dcterms:created>
  <dcterms:modified xsi:type="dcterms:W3CDTF">2020-06-20T01:39:00Z</dcterms:modified>
</cp:coreProperties>
</file>