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E2A" w:rsidRPr="00912B86" w:rsidRDefault="004E5E2A" w:rsidP="00912B86">
      <w:pPr>
        <w:adjustRightInd w:val="0"/>
        <w:snapToGrid w:val="0"/>
        <w:spacing w:line="360" w:lineRule="auto"/>
        <w:jc w:val="both"/>
        <w:rPr>
          <w:rFonts w:ascii="Book Antiqua" w:hAnsi="Book Antiqua"/>
        </w:rPr>
      </w:pPr>
      <w:r w:rsidRPr="00912B86">
        <w:rPr>
          <w:rFonts w:ascii="Book Antiqua" w:hAnsi="Book Antiqua" w:cs="宋体"/>
          <w:b/>
        </w:rPr>
        <w:t xml:space="preserve">Name of journal: </w:t>
      </w:r>
      <w:bookmarkStart w:id="0" w:name="OLE_LINK718"/>
      <w:bookmarkStart w:id="1" w:name="OLE_LINK719"/>
      <w:r w:rsidRPr="00912B86">
        <w:rPr>
          <w:rFonts w:ascii="Book Antiqua" w:hAnsi="Book Antiqua" w:cs="宋体"/>
          <w:b/>
        </w:rPr>
        <w:t xml:space="preserve">World Journal of </w:t>
      </w:r>
      <w:bookmarkEnd w:id="0"/>
      <w:bookmarkEnd w:id="1"/>
      <w:r w:rsidRPr="00912B86">
        <w:rPr>
          <w:rFonts w:ascii="Book Antiqua" w:hAnsi="Book Antiqua"/>
          <w:b/>
        </w:rPr>
        <w:t xml:space="preserve">Gastroenterology </w:t>
      </w:r>
    </w:p>
    <w:p w:rsidR="004E5E2A" w:rsidRPr="00912B86" w:rsidRDefault="004E5E2A" w:rsidP="00912B86">
      <w:pPr>
        <w:adjustRightInd w:val="0"/>
        <w:snapToGrid w:val="0"/>
        <w:spacing w:line="360" w:lineRule="auto"/>
        <w:jc w:val="both"/>
        <w:rPr>
          <w:rFonts w:ascii="Book Antiqua" w:eastAsia="宋体" w:hAnsi="Book Antiqua" w:cs="宋体"/>
          <w:b/>
          <w:lang w:eastAsia="zh-CN"/>
        </w:rPr>
      </w:pPr>
      <w:r w:rsidRPr="00912B86">
        <w:rPr>
          <w:rFonts w:ascii="Book Antiqua" w:hAnsi="Book Antiqua" w:cs="Arial"/>
          <w:b/>
        </w:rPr>
        <w:t xml:space="preserve">ESPS Manuscript NO: </w:t>
      </w:r>
      <w:r w:rsidRPr="00912B86">
        <w:rPr>
          <w:rFonts w:ascii="Book Antiqua" w:eastAsia="宋体" w:hAnsi="Book Antiqua" w:cs="Arial"/>
          <w:b/>
          <w:lang w:eastAsia="zh-CN"/>
        </w:rPr>
        <w:t>5345</w:t>
      </w:r>
    </w:p>
    <w:p w:rsidR="004E5E2A" w:rsidRPr="00912B86" w:rsidRDefault="004E5E2A" w:rsidP="00912B86">
      <w:pPr>
        <w:spacing w:line="360" w:lineRule="auto"/>
        <w:jc w:val="both"/>
        <w:rPr>
          <w:rFonts w:ascii="Book Antiqua" w:hAnsi="Book Antiqua" w:cs="Tahoma"/>
          <w:b/>
        </w:rPr>
      </w:pPr>
      <w:bookmarkStart w:id="2" w:name="OLE_LINK1617"/>
      <w:bookmarkStart w:id="3" w:name="OLE_LINK1618"/>
      <w:r w:rsidRPr="00912B86">
        <w:rPr>
          <w:rFonts w:ascii="Book Antiqua" w:hAnsi="Book Antiqua"/>
          <w:b/>
        </w:rPr>
        <w:t xml:space="preserve">Columns: </w:t>
      </w:r>
      <w:bookmarkEnd w:id="2"/>
      <w:bookmarkEnd w:id="3"/>
      <w:r w:rsidR="00262557">
        <w:rPr>
          <w:rFonts w:ascii="Book Antiqua" w:hAnsi="Book Antiqua" w:hint="eastAsia"/>
          <w:szCs w:val="21"/>
        </w:rPr>
        <w:t>Brief Artic</w:t>
      </w:r>
      <w:bookmarkStart w:id="4" w:name="_GoBack"/>
      <w:bookmarkEnd w:id="4"/>
      <w:r w:rsidR="00262557">
        <w:rPr>
          <w:rFonts w:ascii="Book Antiqua" w:hAnsi="Book Antiqua" w:hint="eastAsia"/>
          <w:szCs w:val="21"/>
        </w:rPr>
        <w:t>le</w:t>
      </w:r>
    </w:p>
    <w:p w:rsidR="004E5E2A" w:rsidRPr="00912B86" w:rsidRDefault="004E5E2A" w:rsidP="00912B86">
      <w:pPr>
        <w:pStyle w:val="ecxmsobodytext"/>
        <w:spacing w:before="0" w:beforeAutospacing="0" w:after="0" w:afterAutospacing="0" w:line="360" w:lineRule="auto"/>
        <w:jc w:val="both"/>
        <w:rPr>
          <w:rFonts w:ascii="Book Antiqua" w:hAnsi="Book Antiqua"/>
          <w:b/>
          <w:bCs/>
          <w:sz w:val="24"/>
          <w:szCs w:val="24"/>
        </w:rPr>
      </w:pPr>
    </w:p>
    <w:p w:rsidR="004E5E2A" w:rsidRPr="00912B86" w:rsidRDefault="004E5E2A" w:rsidP="00912B86">
      <w:pPr>
        <w:pStyle w:val="ecxmsobodytext"/>
        <w:spacing w:before="0" w:beforeAutospacing="0" w:after="0" w:afterAutospacing="0" w:line="360" w:lineRule="auto"/>
        <w:jc w:val="both"/>
        <w:rPr>
          <w:rFonts w:ascii="Book Antiqua" w:hAnsi="Book Antiqua"/>
          <w:b/>
          <w:sz w:val="24"/>
          <w:szCs w:val="24"/>
        </w:rPr>
      </w:pPr>
      <w:r w:rsidRPr="00912B86">
        <w:rPr>
          <w:rFonts w:ascii="Book Antiqua" w:hAnsi="Book Antiqua"/>
          <w:b/>
          <w:sz w:val="24"/>
          <w:szCs w:val="24"/>
        </w:rPr>
        <w:t>Intra-gastric triacetin alters upper gastrointestinal motility in conscious dogs</w:t>
      </w:r>
    </w:p>
    <w:p w:rsidR="004E5E2A" w:rsidRPr="00912B86" w:rsidRDefault="004E5E2A" w:rsidP="00912B86">
      <w:pPr>
        <w:pStyle w:val="ecxmsobodytext"/>
        <w:spacing w:before="0" w:beforeAutospacing="0" w:after="0" w:afterAutospacing="0" w:line="360" w:lineRule="auto"/>
        <w:jc w:val="both"/>
        <w:rPr>
          <w:rFonts w:ascii="Book Antiqua" w:hAnsi="Book Antiqua"/>
          <w:b/>
          <w:bCs/>
          <w:sz w:val="24"/>
          <w:szCs w:val="24"/>
        </w:rPr>
      </w:pPr>
    </w:p>
    <w:p w:rsidR="004E5E2A" w:rsidRPr="001E6081" w:rsidRDefault="004E5E2A" w:rsidP="00912B86">
      <w:pPr>
        <w:pStyle w:val="ecxmsobodytext"/>
        <w:spacing w:before="0" w:beforeAutospacing="0" w:after="0" w:afterAutospacing="0" w:line="360" w:lineRule="auto"/>
        <w:jc w:val="both"/>
        <w:rPr>
          <w:rFonts w:ascii="Book Antiqua" w:hAnsi="Book Antiqua"/>
          <w:sz w:val="24"/>
          <w:szCs w:val="24"/>
        </w:rPr>
      </w:pPr>
      <w:r w:rsidRPr="001E6081">
        <w:rPr>
          <w:rFonts w:ascii="Book Antiqua" w:hAnsi="Book Antiqua"/>
          <w:bCs/>
          <w:sz w:val="24"/>
          <w:szCs w:val="24"/>
        </w:rPr>
        <w:t xml:space="preserve">Oosaka K </w:t>
      </w:r>
      <w:r w:rsidRPr="001E6081">
        <w:rPr>
          <w:rFonts w:ascii="Book Antiqua" w:hAnsi="Book Antiqua"/>
          <w:bCs/>
          <w:i/>
          <w:sz w:val="24"/>
          <w:szCs w:val="24"/>
        </w:rPr>
        <w:t>et al</w:t>
      </w:r>
      <w:r w:rsidRPr="001E6081">
        <w:rPr>
          <w:rFonts w:ascii="Book Antiqua" w:hAnsi="Book Antiqua"/>
          <w:bCs/>
          <w:sz w:val="24"/>
          <w:szCs w:val="24"/>
        </w:rPr>
        <w:t xml:space="preserve">. </w:t>
      </w:r>
      <w:r w:rsidRPr="001E6081">
        <w:rPr>
          <w:rFonts w:ascii="Book Antiqua" w:hAnsi="Book Antiqua"/>
          <w:sz w:val="24"/>
          <w:szCs w:val="24"/>
        </w:rPr>
        <w:t>Triacetin alters upper gastrointestinal motility</w:t>
      </w:r>
    </w:p>
    <w:p w:rsidR="004E5E2A" w:rsidRPr="00912B86" w:rsidRDefault="004E5E2A" w:rsidP="00912B86">
      <w:pPr>
        <w:pStyle w:val="ecxmsobodytext"/>
        <w:spacing w:before="0" w:beforeAutospacing="0" w:after="0" w:afterAutospacing="0" w:line="360" w:lineRule="auto"/>
        <w:jc w:val="both"/>
        <w:rPr>
          <w:rFonts w:ascii="Book Antiqua" w:hAnsi="Book Antiqua"/>
          <w:b/>
          <w:bCs/>
          <w:sz w:val="24"/>
          <w:szCs w:val="24"/>
        </w:rPr>
      </w:pPr>
    </w:p>
    <w:p w:rsidR="004E5E2A" w:rsidRPr="00912B86" w:rsidRDefault="004E5E2A" w:rsidP="00912B86">
      <w:pPr>
        <w:pStyle w:val="ecxmsobodytext"/>
        <w:spacing w:before="0" w:beforeAutospacing="0" w:after="0" w:afterAutospacing="0" w:line="360" w:lineRule="auto"/>
        <w:jc w:val="both"/>
        <w:rPr>
          <w:rFonts w:ascii="Book Antiqua" w:hAnsi="Book Antiqua"/>
          <w:b/>
          <w:bCs/>
          <w:sz w:val="24"/>
          <w:szCs w:val="24"/>
        </w:rPr>
      </w:pPr>
      <w:r w:rsidRPr="00912B86">
        <w:rPr>
          <w:rFonts w:ascii="Book Antiqua" w:hAnsi="Book Antiqua"/>
          <w:sz w:val="24"/>
          <w:szCs w:val="24"/>
        </w:rPr>
        <w:t>Kazumasa Oosaka, Masaaki Tokuda, Naohiro Furukawa</w:t>
      </w:r>
    </w:p>
    <w:p w:rsidR="004E5E2A" w:rsidRPr="00912B86" w:rsidRDefault="00262557" w:rsidP="00912B86">
      <w:pPr>
        <w:pStyle w:val="ecxmsobodytext"/>
        <w:spacing w:before="0" w:beforeAutospacing="0" w:after="0" w:afterAutospacing="0" w:line="360" w:lineRule="auto"/>
        <w:jc w:val="both"/>
        <w:rPr>
          <w:rFonts w:ascii="Book Antiqua" w:hAnsi="Book Antiqua"/>
          <w:b/>
          <w:bCs/>
          <w:sz w:val="24"/>
          <w:szCs w:val="24"/>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207645</wp:posOffset>
                </wp:positionV>
                <wp:extent cx="5461000" cy="19050"/>
                <wp:effectExtent l="0" t="0" r="2540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61000" cy="19050"/>
                        </a:xfrm>
                        <a:prstGeom prst="line">
                          <a:avLst/>
                        </a:prstGeom>
                        <a:ln>
                          <a:solidFill>
                            <a:srgbClr val="A6A6A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35pt" to="430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" strokecolor="#a6a6a6" strokeweight="2pt">
                <o:lock v:ext="edit" shapetype="f"/>
              </v:line>
            </w:pict>
          </mc:Fallback>
        </mc:AlternateContent>
      </w:r>
    </w:p>
    <w:p w:rsidR="004E5E2A" w:rsidRPr="00912B86" w:rsidRDefault="004E5E2A" w:rsidP="00912B86">
      <w:pPr>
        <w:pStyle w:val="ecxmsobodytext"/>
        <w:spacing w:before="0" w:beforeAutospacing="0" w:after="0" w:afterAutospacing="0" w:line="360" w:lineRule="auto"/>
        <w:jc w:val="both"/>
        <w:rPr>
          <w:rFonts w:ascii="Book Antiqua" w:hAnsi="Book Antiqua"/>
          <w:b/>
          <w:bCs/>
          <w:sz w:val="24"/>
          <w:szCs w:val="24"/>
        </w:rPr>
      </w:pPr>
    </w:p>
    <w:p w:rsidR="004E5E2A" w:rsidRPr="00912B86" w:rsidRDefault="004E5E2A" w:rsidP="00912B86">
      <w:pPr>
        <w:pStyle w:val="ecxmsobodytext"/>
        <w:spacing w:before="0" w:beforeAutospacing="0" w:after="0" w:afterAutospacing="0" w:line="360" w:lineRule="auto"/>
        <w:jc w:val="both"/>
        <w:rPr>
          <w:rFonts w:ascii="Book Antiqua" w:hAnsi="Book Antiqua"/>
          <w:sz w:val="24"/>
          <w:szCs w:val="24"/>
        </w:rPr>
      </w:pPr>
      <w:r w:rsidRPr="00912B86">
        <w:rPr>
          <w:rFonts w:ascii="Book Antiqua" w:hAnsi="Book Antiqua"/>
          <w:b/>
          <w:sz w:val="24"/>
          <w:szCs w:val="24"/>
        </w:rPr>
        <w:t xml:space="preserve">Kazumasa Oosaka, </w:t>
      </w:r>
      <w:r w:rsidRPr="00912B86">
        <w:rPr>
          <w:rFonts w:ascii="Book Antiqua" w:hAnsi="Book Antiqua"/>
          <w:sz w:val="24"/>
          <w:szCs w:val="24"/>
        </w:rPr>
        <w:t>Research and Development Department, Fushimi Pharmaceutical Co., Ltd., Kagawa 7638605, Japan</w:t>
      </w:r>
    </w:p>
    <w:p w:rsidR="004E5E2A" w:rsidRPr="00912B86" w:rsidRDefault="004E5E2A" w:rsidP="00912B86">
      <w:pPr>
        <w:pStyle w:val="ecxmsobodytext"/>
        <w:spacing w:before="0" w:beforeAutospacing="0" w:after="0" w:afterAutospacing="0" w:line="360" w:lineRule="auto"/>
        <w:jc w:val="both"/>
        <w:rPr>
          <w:rFonts w:ascii="Book Antiqua" w:hAnsi="Book Antiqua"/>
          <w:sz w:val="24"/>
          <w:szCs w:val="24"/>
        </w:rPr>
      </w:pPr>
    </w:p>
    <w:p w:rsidR="004E5E2A" w:rsidRPr="00912B86" w:rsidRDefault="004E5E2A" w:rsidP="00912B86">
      <w:pPr>
        <w:pStyle w:val="ecxmsobodytext"/>
        <w:spacing w:before="0" w:beforeAutospacing="0" w:after="0" w:afterAutospacing="0" w:line="360" w:lineRule="auto"/>
        <w:jc w:val="both"/>
        <w:rPr>
          <w:rFonts w:ascii="Book Antiqua" w:hAnsi="Book Antiqua"/>
          <w:sz w:val="24"/>
          <w:szCs w:val="24"/>
        </w:rPr>
      </w:pPr>
      <w:r w:rsidRPr="00912B86">
        <w:rPr>
          <w:rFonts w:ascii="Book Antiqua" w:hAnsi="Book Antiqua"/>
          <w:b/>
          <w:sz w:val="24"/>
          <w:szCs w:val="24"/>
        </w:rPr>
        <w:t>Masaaki Tokuda,</w:t>
      </w:r>
      <w:r w:rsidRPr="00912B86">
        <w:rPr>
          <w:rFonts w:ascii="Book Antiqua" w:hAnsi="Book Antiqua"/>
          <w:sz w:val="24"/>
          <w:szCs w:val="24"/>
        </w:rPr>
        <w:t xml:space="preserve"> Department of Cell Physiology, Faculty of Medicine, Kagawa University, Kagawa 7610793, Japan</w:t>
      </w:r>
    </w:p>
    <w:p w:rsidR="004E5E2A" w:rsidRPr="00912B86" w:rsidRDefault="004E5E2A" w:rsidP="00912B86">
      <w:pPr>
        <w:pStyle w:val="ecxmsobodytext"/>
        <w:spacing w:before="0" w:beforeAutospacing="0" w:after="0" w:afterAutospacing="0" w:line="360" w:lineRule="auto"/>
        <w:jc w:val="both"/>
        <w:rPr>
          <w:rFonts w:ascii="Book Antiqua" w:hAnsi="Book Antiqua"/>
          <w:sz w:val="24"/>
          <w:szCs w:val="24"/>
        </w:rPr>
      </w:pPr>
    </w:p>
    <w:p w:rsidR="004E5E2A" w:rsidRPr="00912B86" w:rsidRDefault="004E5E2A" w:rsidP="00912B86">
      <w:pPr>
        <w:pStyle w:val="ecxmsobodytext"/>
        <w:spacing w:before="0" w:beforeAutospacing="0" w:after="0" w:afterAutospacing="0" w:line="360" w:lineRule="auto"/>
        <w:jc w:val="both"/>
        <w:rPr>
          <w:rFonts w:ascii="Book Antiqua" w:hAnsi="Book Antiqua"/>
          <w:sz w:val="24"/>
          <w:szCs w:val="24"/>
        </w:rPr>
      </w:pPr>
      <w:r w:rsidRPr="00912B86">
        <w:rPr>
          <w:rFonts w:ascii="Book Antiqua" w:hAnsi="Book Antiqua"/>
          <w:b/>
          <w:sz w:val="24"/>
          <w:szCs w:val="24"/>
        </w:rPr>
        <w:t>Naohiro Furukawa,</w:t>
      </w:r>
      <w:r w:rsidRPr="00912B86">
        <w:rPr>
          <w:rFonts w:ascii="Book Antiqua" w:hAnsi="Book Antiqua"/>
          <w:sz w:val="24"/>
          <w:szCs w:val="24"/>
        </w:rPr>
        <w:t xml:space="preserve"> Department of Clinical Nutrition, Faculty of Health Science and Technology, Kawasaki University of Medical Welfare, Kurashiki 7010193, Japan</w:t>
      </w:r>
    </w:p>
    <w:p w:rsidR="004E5E2A" w:rsidRPr="00912B86" w:rsidRDefault="004E5E2A" w:rsidP="00912B86">
      <w:pPr>
        <w:pStyle w:val="ecxmsonormal"/>
        <w:spacing w:before="0" w:beforeAutospacing="0" w:after="0" w:afterAutospacing="0" w:line="360" w:lineRule="auto"/>
        <w:jc w:val="both"/>
        <w:rPr>
          <w:rFonts w:ascii="Book Antiqua" w:hAnsi="Book Antiqua"/>
          <w:b/>
          <w:bCs/>
          <w:sz w:val="24"/>
          <w:szCs w:val="24"/>
        </w:rPr>
      </w:pPr>
    </w:p>
    <w:p w:rsidR="004E5E2A" w:rsidRPr="00912B86" w:rsidRDefault="004E5E2A" w:rsidP="00912B86">
      <w:pPr>
        <w:pStyle w:val="ecxmsonormal"/>
        <w:spacing w:before="0" w:beforeAutospacing="0" w:after="0" w:afterAutospacing="0" w:line="360" w:lineRule="auto"/>
        <w:jc w:val="both"/>
        <w:rPr>
          <w:rFonts w:ascii="Book Antiqua" w:hAnsi="Book Antiqua"/>
          <w:sz w:val="24"/>
          <w:szCs w:val="24"/>
        </w:rPr>
      </w:pPr>
      <w:r w:rsidRPr="00912B86">
        <w:rPr>
          <w:rFonts w:ascii="Book Antiqua" w:hAnsi="Book Antiqua"/>
          <w:b/>
          <w:bCs/>
          <w:sz w:val="24"/>
          <w:szCs w:val="24"/>
        </w:rPr>
        <w:t>Author contributions:</w:t>
      </w:r>
      <w:r w:rsidRPr="00912B86">
        <w:rPr>
          <w:rFonts w:ascii="Book Antiqua" w:hAnsi="Book Antiqua"/>
          <w:sz w:val="24"/>
          <w:szCs w:val="24"/>
        </w:rPr>
        <w:t xml:space="preserve"> Oosaka K and Furukawa N contributed equally in performing the research, analyzing the data, and writing the manuscript; </w:t>
      </w:r>
      <w:r>
        <w:rPr>
          <w:rFonts w:ascii="Book Antiqua" w:eastAsia="宋体" w:hAnsi="Book Antiqua"/>
          <w:sz w:val="24"/>
          <w:szCs w:val="24"/>
          <w:lang w:eastAsia="zh-CN"/>
        </w:rPr>
        <w:t xml:space="preserve">and </w:t>
      </w:r>
      <w:r w:rsidRPr="00912B86">
        <w:rPr>
          <w:rFonts w:ascii="Book Antiqua" w:hAnsi="Book Antiqua"/>
          <w:sz w:val="24"/>
          <w:szCs w:val="24"/>
        </w:rPr>
        <w:t>Tokuda M contributed to the design of the research project.</w:t>
      </w:r>
    </w:p>
    <w:p w:rsidR="004E5E2A" w:rsidRPr="00E41518" w:rsidRDefault="004E5E2A" w:rsidP="00912B86">
      <w:pPr>
        <w:pStyle w:val="ecxmsonormal"/>
        <w:spacing w:before="0" w:beforeAutospacing="0" w:after="0" w:afterAutospacing="0" w:line="360" w:lineRule="auto"/>
        <w:jc w:val="both"/>
        <w:rPr>
          <w:rFonts w:ascii="Book Antiqua" w:eastAsia="宋体" w:hAnsi="Book Antiqua"/>
          <w:b/>
          <w:bCs/>
          <w:sz w:val="24"/>
          <w:szCs w:val="24"/>
          <w:lang w:eastAsia="zh-CN"/>
        </w:rPr>
      </w:pPr>
    </w:p>
    <w:p w:rsidR="004E5E2A" w:rsidRPr="00912B86" w:rsidRDefault="004E5E2A" w:rsidP="00912B86">
      <w:pPr>
        <w:pStyle w:val="ecxmsonormal"/>
        <w:spacing w:before="0" w:beforeAutospacing="0" w:after="0" w:afterAutospacing="0" w:line="360" w:lineRule="auto"/>
        <w:jc w:val="both"/>
        <w:rPr>
          <w:rFonts w:ascii="Book Antiqua" w:hAnsi="Book Antiqua"/>
          <w:sz w:val="24"/>
          <w:szCs w:val="24"/>
        </w:rPr>
      </w:pPr>
      <w:r w:rsidRPr="00912B86">
        <w:rPr>
          <w:rFonts w:ascii="Book Antiqua" w:hAnsi="Book Antiqua"/>
          <w:b/>
          <w:bCs/>
          <w:sz w:val="24"/>
          <w:szCs w:val="24"/>
        </w:rPr>
        <w:t>Correspondence to:</w:t>
      </w:r>
      <w:r w:rsidRPr="00912B86">
        <w:rPr>
          <w:rFonts w:ascii="Book Antiqua" w:hAnsi="Book Antiqua"/>
          <w:sz w:val="24"/>
          <w:szCs w:val="24"/>
        </w:rPr>
        <w:t xml:space="preserve"> </w:t>
      </w:r>
      <w:r w:rsidRPr="009D7830">
        <w:rPr>
          <w:rFonts w:ascii="Book Antiqua" w:eastAsia="宋体" w:hAnsi="Book Antiqua"/>
          <w:b/>
          <w:sz w:val="24"/>
          <w:szCs w:val="24"/>
          <w:lang w:eastAsia="zh-CN"/>
        </w:rPr>
        <w:t xml:space="preserve">Dr. </w:t>
      </w:r>
      <w:r w:rsidRPr="0002265A">
        <w:rPr>
          <w:rFonts w:ascii="Book Antiqua" w:hAnsi="Book Antiqua"/>
          <w:b/>
          <w:sz w:val="24"/>
          <w:szCs w:val="24"/>
        </w:rPr>
        <w:t>Kazumasa Oosaka,</w:t>
      </w:r>
      <w:r w:rsidRPr="00912B86">
        <w:rPr>
          <w:rFonts w:ascii="Book Antiqua" w:hAnsi="Book Antiqua"/>
          <w:sz w:val="24"/>
          <w:szCs w:val="24"/>
        </w:rPr>
        <w:t xml:space="preserve"> Research and Development Department,</w:t>
      </w:r>
      <w:r>
        <w:rPr>
          <w:rFonts w:ascii="Book Antiqua" w:eastAsia="宋体" w:hAnsi="Book Antiqua"/>
          <w:sz w:val="24"/>
          <w:szCs w:val="24"/>
          <w:lang w:eastAsia="zh-CN"/>
        </w:rPr>
        <w:t xml:space="preserve"> </w:t>
      </w:r>
      <w:r w:rsidRPr="00912B86">
        <w:rPr>
          <w:rFonts w:ascii="Book Antiqua" w:hAnsi="Book Antiqua"/>
          <w:sz w:val="24"/>
          <w:szCs w:val="24"/>
        </w:rPr>
        <w:t>Fushimi Pharmaceutical Co., Ltd., Nakatsu-cho 1676, Marugame, Kagawa 7638605, Japan. ohsaka@fushimi.co.jp</w:t>
      </w:r>
    </w:p>
    <w:p w:rsidR="004E5E2A" w:rsidRPr="00912B86" w:rsidRDefault="004E5E2A" w:rsidP="00912B86">
      <w:pPr>
        <w:pStyle w:val="ecxmsonormal"/>
        <w:spacing w:before="0" w:beforeAutospacing="0" w:after="0" w:afterAutospacing="0" w:line="360" w:lineRule="auto"/>
        <w:jc w:val="both"/>
        <w:rPr>
          <w:rFonts w:ascii="Book Antiqua" w:hAnsi="Book Antiqua"/>
          <w:b/>
          <w:bCs/>
          <w:sz w:val="24"/>
          <w:szCs w:val="24"/>
        </w:rPr>
      </w:pPr>
    </w:p>
    <w:p w:rsidR="004E5E2A" w:rsidRPr="00912B86" w:rsidRDefault="004E5E2A" w:rsidP="00912B86">
      <w:pPr>
        <w:pStyle w:val="ecxmsonormal"/>
        <w:spacing w:before="0" w:beforeAutospacing="0" w:after="0" w:afterAutospacing="0" w:line="360" w:lineRule="auto"/>
        <w:jc w:val="both"/>
        <w:rPr>
          <w:rFonts w:ascii="Book Antiqua" w:hAnsi="Book Antiqua"/>
          <w:sz w:val="24"/>
          <w:szCs w:val="24"/>
        </w:rPr>
      </w:pPr>
      <w:r w:rsidRPr="00912B86">
        <w:rPr>
          <w:rFonts w:ascii="Book Antiqua" w:hAnsi="Book Antiqua"/>
          <w:b/>
          <w:sz w:val="24"/>
          <w:szCs w:val="24"/>
        </w:rPr>
        <w:lastRenderedPageBreak/>
        <w:t>Telephone:</w:t>
      </w:r>
      <w:r>
        <w:rPr>
          <w:rFonts w:ascii="Book Antiqua" w:hAnsi="Book Antiqua"/>
          <w:sz w:val="24"/>
          <w:szCs w:val="24"/>
        </w:rPr>
        <w:t xml:space="preserve"> +81-877-22</w:t>
      </w:r>
      <w:r w:rsidRPr="00912B86">
        <w:rPr>
          <w:rFonts w:ascii="Book Antiqua" w:hAnsi="Book Antiqua"/>
          <w:sz w:val="24"/>
          <w:szCs w:val="24"/>
        </w:rPr>
        <w:t xml:space="preserve">6272   </w:t>
      </w:r>
      <w:r w:rsidRPr="00912B86">
        <w:rPr>
          <w:rFonts w:ascii="Book Antiqua" w:hAnsi="Book Antiqua"/>
          <w:b/>
          <w:sz w:val="24"/>
          <w:szCs w:val="24"/>
        </w:rPr>
        <w:t>Fax:</w:t>
      </w:r>
      <w:r>
        <w:rPr>
          <w:rFonts w:ascii="Book Antiqua" w:hAnsi="Book Antiqua"/>
          <w:sz w:val="24"/>
          <w:szCs w:val="24"/>
        </w:rPr>
        <w:t xml:space="preserve"> +81-877-22</w:t>
      </w:r>
      <w:r w:rsidRPr="00912B86">
        <w:rPr>
          <w:rFonts w:ascii="Book Antiqua" w:hAnsi="Book Antiqua"/>
          <w:sz w:val="24"/>
          <w:szCs w:val="24"/>
        </w:rPr>
        <w:t>6246</w:t>
      </w:r>
    </w:p>
    <w:p w:rsidR="004E5E2A" w:rsidRPr="00631528" w:rsidRDefault="004E5E2A" w:rsidP="00912B86">
      <w:pPr>
        <w:pStyle w:val="ecxmsonormal"/>
        <w:spacing w:before="0" w:beforeAutospacing="0" w:after="0" w:afterAutospacing="0" w:line="360" w:lineRule="auto"/>
        <w:jc w:val="both"/>
        <w:rPr>
          <w:rFonts w:ascii="Book Antiqua" w:eastAsia="宋体" w:hAnsi="Book Antiqua"/>
          <w:b/>
          <w:sz w:val="24"/>
          <w:szCs w:val="24"/>
          <w:lang w:eastAsia="zh-CN"/>
        </w:rPr>
      </w:pPr>
      <w:r>
        <w:rPr>
          <w:rFonts w:ascii="Book Antiqua" w:hAnsi="Book Antiqua"/>
          <w:b/>
          <w:sz w:val="24"/>
          <w:szCs w:val="24"/>
        </w:rPr>
        <w:t xml:space="preserve">Received: </w:t>
      </w:r>
      <w:r w:rsidRPr="00631528">
        <w:rPr>
          <w:rFonts w:ascii="Book Antiqua" w:eastAsia="宋体" w:hAnsi="Book Antiqua"/>
          <w:sz w:val="24"/>
          <w:szCs w:val="24"/>
          <w:lang w:eastAsia="zh-CN"/>
        </w:rPr>
        <w:t xml:space="preserve">August 31, 2013 </w:t>
      </w:r>
      <w:r>
        <w:rPr>
          <w:rFonts w:ascii="Book Antiqua" w:eastAsia="宋体" w:hAnsi="Book Antiqua"/>
          <w:b/>
          <w:sz w:val="24"/>
          <w:szCs w:val="24"/>
          <w:lang w:eastAsia="zh-CN"/>
        </w:rPr>
        <w:t xml:space="preserve">   </w:t>
      </w:r>
      <w:r w:rsidRPr="00912B86">
        <w:rPr>
          <w:rFonts w:ascii="Book Antiqua" w:hAnsi="Book Antiqua"/>
          <w:b/>
          <w:sz w:val="24"/>
          <w:szCs w:val="24"/>
        </w:rPr>
        <w:t>Revised:</w:t>
      </w:r>
      <w:r>
        <w:rPr>
          <w:rFonts w:ascii="Book Antiqua" w:eastAsia="宋体" w:hAnsi="Book Antiqua"/>
          <w:b/>
          <w:sz w:val="24"/>
          <w:szCs w:val="24"/>
          <w:lang w:eastAsia="zh-CN"/>
        </w:rPr>
        <w:t xml:space="preserve"> </w:t>
      </w:r>
      <w:r w:rsidRPr="00631528">
        <w:rPr>
          <w:rFonts w:ascii="Book Antiqua" w:eastAsia="宋体" w:hAnsi="Book Antiqua"/>
          <w:sz w:val="24"/>
          <w:szCs w:val="24"/>
          <w:lang w:eastAsia="zh-CN"/>
        </w:rPr>
        <w:t>October 30, 2013</w:t>
      </w:r>
    </w:p>
    <w:p w:rsidR="00262557" w:rsidRPr="007E736F" w:rsidRDefault="004E5E2A" w:rsidP="00262557">
      <w:pPr>
        <w:rPr>
          <w:rFonts w:ascii="Book Antiqua" w:hAnsi="Book Antiqua"/>
        </w:rPr>
      </w:pPr>
      <w:r w:rsidRPr="00912B86">
        <w:rPr>
          <w:rFonts w:ascii="Book Antiqua" w:hAnsi="Book Antiqua"/>
          <w:b/>
        </w:rPr>
        <w:t xml:space="preserve">Accepted: </w:t>
      </w:r>
      <w:bookmarkStart w:id="5" w:name="OLE_LINK2"/>
      <w:r w:rsidR="00262557" w:rsidRPr="007E736F">
        <w:rPr>
          <w:rFonts w:ascii="Book Antiqua" w:hAnsi="Book Antiqua"/>
        </w:rPr>
        <w:t>December 5, 2013</w:t>
      </w:r>
      <w:bookmarkEnd w:id="5"/>
    </w:p>
    <w:p w:rsidR="004E5E2A" w:rsidRDefault="004E5E2A" w:rsidP="00912B86">
      <w:pPr>
        <w:pStyle w:val="ecxmsonormal"/>
        <w:spacing w:before="0" w:beforeAutospacing="0" w:after="0" w:afterAutospacing="0" w:line="360" w:lineRule="auto"/>
        <w:jc w:val="both"/>
        <w:rPr>
          <w:rFonts w:ascii="Book Antiqua" w:eastAsia="宋体" w:hAnsi="Book Antiqua"/>
          <w:b/>
          <w:sz w:val="24"/>
          <w:szCs w:val="24"/>
          <w:lang w:eastAsia="zh-CN"/>
        </w:rPr>
      </w:pPr>
    </w:p>
    <w:p w:rsidR="004E5E2A" w:rsidRPr="00912B86" w:rsidRDefault="004E5E2A" w:rsidP="00912B86">
      <w:pPr>
        <w:pStyle w:val="ecxmsonormal"/>
        <w:spacing w:before="0" w:beforeAutospacing="0" w:after="0" w:afterAutospacing="0" w:line="360" w:lineRule="auto"/>
        <w:jc w:val="both"/>
        <w:rPr>
          <w:rFonts w:ascii="Book Antiqua" w:hAnsi="Book Antiqua"/>
          <w:b/>
          <w:sz w:val="24"/>
          <w:szCs w:val="24"/>
        </w:rPr>
      </w:pPr>
      <w:r w:rsidRPr="00912B86">
        <w:rPr>
          <w:rFonts w:ascii="Book Antiqua" w:hAnsi="Book Antiqua"/>
          <w:b/>
          <w:sz w:val="24"/>
          <w:szCs w:val="24"/>
        </w:rPr>
        <w:t>Published online:</w:t>
      </w:r>
    </w:p>
    <w:p w:rsidR="004E5E2A" w:rsidRDefault="004E5E2A" w:rsidP="00912B86">
      <w:pPr>
        <w:pStyle w:val="ecxmsobodytext"/>
        <w:spacing w:before="0" w:beforeAutospacing="0" w:after="0" w:afterAutospacing="0" w:line="360" w:lineRule="auto"/>
        <w:jc w:val="both"/>
        <w:rPr>
          <w:rFonts w:ascii="Book Antiqua" w:eastAsia="宋体" w:hAnsi="Book Antiqua"/>
          <w:b/>
          <w:bCs/>
          <w:sz w:val="24"/>
          <w:szCs w:val="24"/>
          <w:lang w:eastAsia="zh-CN"/>
        </w:rPr>
      </w:pPr>
    </w:p>
    <w:p w:rsidR="004E5E2A" w:rsidRPr="00912B86" w:rsidRDefault="004E5E2A" w:rsidP="00912B86">
      <w:pPr>
        <w:pStyle w:val="ecxmsobodytext"/>
        <w:spacing w:before="0" w:beforeAutospacing="0" w:after="0" w:afterAutospacing="0" w:line="360" w:lineRule="auto"/>
        <w:jc w:val="both"/>
        <w:rPr>
          <w:rFonts w:ascii="Book Antiqua" w:hAnsi="Book Antiqua"/>
          <w:sz w:val="24"/>
          <w:szCs w:val="24"/>
        </w:rPr>
      </w:pPr>
      <w:r w:rsidRPr="00912B86">
        <w:rPr>
          <w:rFonts w:ascii="Book Antiqua" w:hAnsi="Book Antiqua"/>
          <w:b/>
          <w:bCs/>
          <w:iCs/>
          <w:sz w:val="24"/>
          <w:szCs w:val="24"/>
        </w:rPr>
        <w:t>Abstract</w:t>
      </w:r>
    </w:p>
    <w:p w:rsidR="004E5E2A" w:rsidRPr="00912B86" w:rsidRDefault="004E5E2A" w:rsidP="00912B86">
      <w:pPr>
        <w:pStyle w:val="ecxmsobodytext"/>
        <w:spacing w:before="0" w:beforeAutospacing="0" w:after="0" w:afterAutospacing="0" w:line="360" w:lineRule="auto"/>
        <w:jc w:val="both"/>
        <w:rPr>
          <w:rFonts w:ascii="Book Antiqua" w:hAnsi="Book Antiqua"/>
          <w:sz w:val="24"/>
          <w:szCs w:val="24"/>
        </w:rPr>
      </w:pPr>
      <w:r w:rsidRPr="00912B86">
        <w:rPr>
          <w:rFonts w:ascii="Book Antiqua" w:hAnsi="Book Antiqua"/>
          <w:b/>
          <w:bCs/>
          <w:sz w:val="24"/>
          <w:szCs w:val="24"/>
        </w:rPr>
        <w:t>AIM:</w:t>
      </w:r>
      <w:r w:rsidRPr="00912B86">
        <w:rPr>
          <w:rFonts w:ascii="Book Antiqua" w:hAnsi="Book Antiqua"/>
          <w:sz w:val="24"/>
          <w:szCs w:val="24"/>
        </w:rPr>
        <w:t xml:space="preserve"> To examine the effect of intra-gastric triacetin on both upper gastrointestinal motility and proximal gastric tone in conscious dogs. </w:t>
      </w:r>
    </w:p>
    <w:p w:rsidR="004E5E2A" w:rsidRPr="00912B86" w:rsidRDefault="004E5E2A" w:rsidP="00912B86">
      <w:pPr>
        <w:pStyle w:val="ecxnospacing1"/>
        <w:spacing w:before="0" w:beforeAutospacing="0" w:after="0" w:afterAutospacing="0" w:line="360" w:lineRule="auto"/>
        <w:jc w:val="both"/>
        <w:rPr>
          <w:rFonts w:ascii="Book Antiqua" w:hAnsi="Book Antiqua"/>
          <w:b/>
          <w:bCs/>
          <w:sz w:val="24"/>
          <w:szCs w:val="24"/>
        </w:rPr>
      </w:pPr>
    </w:p>
    <w:p w:rsidR="004E5E2A" w:rsidRPr="00912B86" w:rsidRDefault="004E5E2A" w:rsidP="00912B86">
      <w:pPr>
        <w:pStyle w:val="ecxmsobodytext"/>
        <w:spacing w:before="0" w:beforeAutospacing="0" w:after="0" w:afterAutospacing="0" w:line="360" w:lineRule="auto"/>
        <w:jc w:val="both"/>
        <w:rPr>
          <w:rFonts w:ascii="Book Antiqua" w:hAnsi="Book Antiqua"/>
          <w:sz w:val="24"/>
          <w:szCs w:val="24"/>
        </w:rPr>
      </w:pPr>
      <w:r w:rsidRPr="00912B86">
        <w:rPr>
          <w:rFonts w:ascii="Book Antiqua" w:hAnsi="Book Antiqua"/>
          <w:b/>
          <w:bCs/>
          <w:sz w:val="24"/>
          <w:szCs w:val="24"/>
        </w:rPr>
        <w:t xml:space="preserve">METHODS: </w:t>
      </w:r>
      <w:r w:rsidRPr="00912B86">
        <w:rPr>
          <w:rFonts w:ascii="Book Antiqua" w:hAnsi="Book Antiqua"/>
          <w:sz w:val="24"/>
          <w:szCs w:val="24"/>
        </w:rPr>
        <w:t>Three beagle dogs under sedation</w:t>
      </w:r>
      <w:r w:rsidRPr="00912B86" w:rsidDel="00A343CA">
        <w:rPr>
          <w:rFonts w:ascii="Book Antiqua" w:hAnsi="Book Antiqua"/>
          <w:sz w:val="24"/>
          <w:szCs w:val="24"/>
        </w:rPr>
        <w:t xml:space="preserve"> </w:t>
      </w:r>
      <w:r w:rsidRPr="00912B86">
        <w:rPr>
          <w:rFonts w:ascii="Book Antiqua" w:hAnsi="Book Antiqua"/>
          <w:sz w:val="24"/>
          <w:szCs w:val="24"/>
        </w:rPr>
        <w:t xml:space="preserve">were surgically implanted with gastrocutaneous fistula in the gastric body and force transducers in the gastric antrum and duodenum. Beginning at week-2 after insertion, the animals were either fasted for 24 h or fed a </w:t>
      </w:r>
      <w:r w:rsidRPr="00912B86">
        <w:rPr>
          <w:rFonts w:ascii="Book Antiqua" w:hAnsi="Book Antiqua"/>
          <w:color w:val="000000"/>
          <w:sz w:val="24"/>
          <w:szCs w:val="24"/>
        </w:rPr>
        <w:t>liquid meal 2-3 h before the experiment</w:t>
      </w:r>
      <w:r w:rsidRPr="00912B86">
        <w:rPr>
          <w:rFonts w:ascii="Book Antiqua" w:hAnsi="Book Antiqua"/>
          <w:sz w:val="24"/>
          <w:szCs w:val="24"/>
        </w:rPr>
        <w:t xml:space="preserve">. With the animals fully conscious, a polyethylene bag was inserted into the proximal stomach through the gastrocutaneous fistula, followed by 15 min of air inflation (minimal distending pressure of </w:t>
      </w:r>
      <w:r w:rsidRPr="00912B86">
        <w:rPr>
          <w:rFonts w:ascii="Book Antiqua" w:hAnsi="Book Antiqua" w:hint="eastAsia"/>
          <w:sz w:val="24"/>
          <w:szCs w:val="24"/>
          <w:lang w:eastAsia="ja-JP"/>
        </w:rPr>
        <w:t>＋</w:t>
      </w:r>
      <w:r w:rsidRPr="00912B86">
        <w:rPr>
          <w:rFonts w:ascii="Book Antiqua" w:hAnsi="Book Antiqua"/>
          <w:sz w:val="24"/>
          <w:szCs w:val="24"/>
        </w:rPr>
        <w:t xml:space="preserve">2 mmHg) and then 20 mL of a low-, mid- or high-concentration triacetin solution (0.5%, 1.0% and 2.0%) or warm water (vehicle control). The proximal stomach receptive volume and gastric antral and duodenal contractions were measured over 10 min. The experiment was repeated twice per week over several months, with each animal receiving at least one infusion of the various triacetin solutions and the vehicle at different times. Intergroup differences were assessed by ANOVA and Bonferroni-Dunn post-hoc testing. </w:t>
      </w:r>
    </w:p>
    <w:p w:rsidR="004E5E2A" w:rsidRPr="00912B86" w:rsidRDefault="004E5E2A" w:rsidP="00912B86">
      <w:pPr>
        <w:pStyle w:val="ecxmsobodytext"/>
        <w:spacing w:before="0" w:beforeAutospacing="0" w:after="0" w:afterAutospacing="0" w:line="360" w:lineRule="auto"/>
        <w:jc w:val="both"/>
        <w:rPr>
          <w:rFonts w:ascii="Book Antiqua" w:hAnsi="Book Antiqua"/>
          <w:b/>
          <w:bCs/>
          <w:sz w:val="24"/>
          <w:szCs w:val="24"/>
        </w:rPr>
      </w:pPr>
    </w:p>
    <w:p w:rsidR="004E5E2A" w:rsidRPr="00912B86" w:rsidRDefault="004E5E2A" w:rsidP="00912B86">
      <w:pPr>
        <w:pStyle w:val="ecxmsobodytext"/>
        <w:spacing w:before="0" w:beforeAutospacing="0" w:after="0" w:afterAutospacing="0" w:line="360" w:lineRule="auto"/>
        <w:jc w:val="both"/>
        <w:rPr>
          <w:rFonts w:ascii="Book Antiqua" w:hAnsi="Book Antiqua"/>
          <w:color w:val="000000"/>
          <w:sz w:val="24"/>
          <w:szCs w:val="24"/>
        </w:rPr>
      </w:pPr>
      <w:r w:rsidRPr="00912B86">
        <w:rPr>
          <w:rFonts w:ascii="Book Antiqua" w:hAnsi="Book Antiqua"/>
          <w:b/>
          <w:bCs/>
          <w:sz w:val="24"/>
          <w:szCs w:val="24"/>
        </w:rPr>
        <w:t xml:space="preserve">RESULTS: </w:t>
      </w:r>
      <w:r w:rsidRPr="00912B86">
        <w:rPr>
          <w:rFonts w:ascii="Book Antiqua" w:hAnsi="Book Antiqua"/>
          <w:sz w:val="24"/>
          <w:szCs w:val="24"/>
        </w:rPr>
        <w:t>Intra-gastric infusion of mid- and high-concentration triacetin induced an increase in the proximal stomach receptive volume</w:t>
      </w:r>
      <w:r w:rsidRPr="00912B86">
        <w:rPr>
          <w:rFonts w:ascii="Book Antiqua" w:hAnsi="Book Antiqua"/>
          <w:color w:val="000000"/>
          <w:sz w:val="24"/>
          <w:szCs w:val="24"/>
        </w:rPr>
        <w:t>, and the average increase induced</w:t>
      </w:r>
      <w:r>
        <w:rPr>
          <w:rFonts w:ascii="Book Antiqua" w:hAnsi="Book Antiqua"/>
          <w:color w:val="000000"/>
          <w:sz w:val="24"/>
          <w:szCs w:val="24"/>
        </w:rPr>
        <w:t xml:space="preserve"> by the high-concentration at 0-</w:t>
      </w:r>
      <w:r w:rsidRPr="00912B86">
        <w:rPr>
          <w:rFonts w:ascii="Book Antiqua" w:hAnsi="Book Antiqua"/>
          <w:color w:val="000000"/>
          <w:sz w:val="24"/>
          <w:szCs w:val="24"/>
        </w:rPr>
        <w:t>4 min after infusion was significantly greater than that induced by the</w:t>
      </w:r>
      <w:r>
        <w:rPr>
          <w:rFonts w:ascii="Book Antiqua" w:hAnsi="Book Antiqua"/>
          <w:color w:val="000000"/>
          <w:sz w:val="24"/>
          <w:szCs w:val="24"/>
        </w:rPr>
        <w:t xml:space="preserve"> vehicle control (62.4 ± 9.8 </w:t>
      </w:r>
      <w:r w:rsidRPr="00C638AF">
        <w:rPr>
          <w:rFonts w:ascii="Book Antiqua" w:hAnsi="Book Antiqua"/>
          <w:i/>
          <w:color w:val="000000"/>
          <w:sz w:val="24"/>
          <w:szCs w:val="24"/>
        </w:rPr>
        <w:t>vs</w:t>
      </w:r>
      <w:r w:rsidRPr="00912B86">
        <w:rPr>
          <w:rFonts w:ascii="Book Antiqua" w:hAnsi="Book Antiqua"/>
          <w:color w:val="000000"/>
          <w:sz w:val="24"/>
          <w:szCs w:val="24"/>
        </w:rPr>
        <w:t xml:space="preserve"> 18.4 ± </w:t>
      </w:r>
      <w:r w:rsidRPr="00912B86">
        <w:rPr>
          <w:rFonts w:ascii="Book Antiqua" w:hAnsi="Book Antiqua"/>
          <w:color w:val="000000"/>
          <w:sz w:val="24"/>
          <w:szCs w:val="24"/>
        </w:rPr>
        <w:lastRenderedPageBreak/>
        <w:t>4.7</w:t>
      </w:r>
      <w:r w:rsidRPr="00912B86">
        <w:rPr>
          <w:rFonts w:ascii="Book Antiqua" w:hAnsi="Book Antiqua"/>
          <w:sz w:val="24"/>
          <w:szCs w:val="24"/>
        </w:rPr>
        <w:t xml:space="preserve">, </w:t>
      </w:r>
      <w:r w:rsidRPr="00C638AF">
        <w:rPr>
          <w:rFonts w:ascii="Book Antiqua" w:hAnsi="Book Antiqua"/>
          <w:i/>
          <w:caps/>
          <w:sz w:val="24"/>
          <w:szCs w:val="24"/>
        </w:rPr>
        <w:t>p</w:t>
      </w:r>
      <w:r w:rsidRPr="00912B86">
        <w:rPr>
          <w:rFonts w:ascii="Book Antiqua" w:hAnsi="Book Antiqua"/>
          <w:i/>
          <w:sz w:val="24"/>
          <w:szCs w:val="24"/>
        </w:rPr>
        <w:t xml:space="preserve"> </w:t>
      </w:r>
      <w:r w:rsidRPr="00912B86">
        <w:rPr>
          <w:rFonts w:ascii="Book Antiqua" w:hAnsi="Book Antiqua"/>
          <w:sz w:val="24"/>
          <w:szCs w:val="24"/>
        </w:rPr>
        <w:t>&lt; 0.01). The mid- and high-concentration triacetin also produced a temporary inhibition of the gastric antral contractions at 2 min after infusions; however, only the fasted group showed triacetin-induced antral contractile inhibition that was significantly greater than that in the vehicle control group</w:t>
      </w:r>
      <w:r w:rsidRPr="00912B86">
        <w:rPr>
          <w:rFonts w:ascii="Book Antiqua" w:hAnsi="Book Antiqua"/>
          <w:color w:val="000000"/>
          <w:sz w:val="24"/>
          <w:szCs w:val="24"/>
        </w:rPr>
        <w:t xml:space="preserve"> (</w:t>
      </w:r>
      <w:r w:rsidRPr="00C638AF">
        <w:rPr>
          <w:rFonts w:ascii="Book Antiqua" w:hAnsi="Book Antiqua"/>
          <w:i/>
          <w:caps/>
          <w:sz w:val="24"/>
          <w:szCs w:val="24"/>
        </w:rPr>
        <w:t>p</w:t>
      </w:r>
      <w:r w:rsidRPr="00C638AF">
        <w:rPr>
          <w:rFonts w:ascii="Book Antiqua" w:hAnsi="Book Antiqua"/>
          <w:caps/>
          <w:sz w:val="24"/>
          <w:szCs w:val="24"/>
        </w:rPr>
        <w:t xml:space="preserve"> </w:t>
      </w:r>
      <w:r w:rsidRPr="00912B86">
        <w:rPr>
          <w:rFonts w:ascii="Book Antiqua" w:hAnsi="Book Antiqua"/>
          <w:sz w:val="24"/>
          <w:szCs w:val="24"/>
        </w:rPr>
        <w:t xml:space="preserve">&lt; 0.05). In addition, only the fasted group showed a high-concentration triacetin-induced increase in </w:t>
      </w:r>
      <w:r>
        <w:rPr>
          <w:rFonts w:ascii="Book Antiqua" w:hAnsi="Book Antiqua"/>
          <w:color w:val="000000"/>
          <w:sz w:val="24"/>
          <w:szCs w:val="24"/>
        </w:rPr>
        <w:t>duodenal contractions at 9-</w:t>
      </w:r>
      <w:r w:rsidRPr="00912B86">
        <w:rPr>
          <w:rFonts w:ascii="Book Antiqua" w:hAnsi="Book Antiqua"/>
          <w:color w:val="000000"/>
          <w:sz w:val="24"/>
          <w:szCs w:val="24"/>
        </w:rPr>
        <w:t>10 min that was significantly different from that in the vehicle control group (</w:t>
      </w:r>
      <w:r w:rsidRPr="00C638AF">
        <w:rPr>
          <w:rFonts w:ascii="Book Antiqua" w:hAnsi="Book Antiqua"/>
          <w:i/>
          <w:caps/>
          <w:color w:val="000000"/>
          <w:sz w:val="24"/>
          <w:szCs w:val="24"/>
        </w:rPr>
        <w:t>p</w:t>
      </w:r>
      <w:r w:rsidRPr="00912B86">
        <w:rPr>
          <w:rFonts w:ascii="Book Antiqua" w:hAnsi="Book Antiqua"/>
          <w:color w:val="000000"/>
          <w:sz w:val="24"/>
          <w:szCs w:val="24"/>
        </w:rPr>
        <w:t xml:space="preserve"> &lt; 0.05).</w:t>
      </w:r>
    </w:p>
    <w:p w:rsidR="004E5E2A" w:rsidRPr="00912B86" w:rsidRDefault="004E5E2A" w:rsidP="00912B86">
      <w:pPr>
        <w:pStyle w:val="ecxmsobodytext"/>
        <w:spacing w:before="0" w:beforeAutospacing="0" w:after="0" w:afterAutospacing="0" w:line="360" w:lineRule="auto"/>
        <w:jc w:val="both"/>
        <w:rPr>
          <w:rFonts w:ascii="Book Antiqua" w:hAnsi="Book Antiqua"/>
          <w:sz w:val="24"/>
          <w:szCs w:val="24"/>
        </w:rPr>
      </w:pPr>
    </w:p>
    <w:p w:rsidR="004E5E2A" w:rsidRPr="00912B86" w:rsidRDefault="004E5E2A" w:rsidP="00912B86">
      <w:pPr>
        <w:pStyle w:val="ecxmsobodytext"/>
        <w:spacing w:before="0" w:beforeAutospacing="0" w:after="0" w:afterAutospacing="0" w:line="360" w:lineRule="auto"/>
        <w:jc w:val="both"/>
        <w:rPr>
          <w:rFonts w:ascii="Book Antiqua" w:hAnsi="Book Antiqua"/>
          <w:sz w:val="24"/>
          <w:szCs w:val="24"/>
        </w:rPr>
      </w:pPr>
      <w:r w:rsidRPr="00912B86">
        <w:rPr>
          <w:rFonts w:ascii="Book Antiqua" w:hAnsi="Book Antiqua"/>
          <w:b/>
          <w:bCs/>
          <w:sz w:val="24"/>
          <w:szCs w:val="24"/>
        </w:rPr>
        <w:t>CONCLUSION:</w:t>
      </w:r>
      <w:r>
        <w:rPr>
          <w:rFonts w:ascii="Book Antiqua" w:hAnsi="Book Antiqua"/>
          <w:sz w:val="24"/>
          <w:szCs w:val="24"/>
        </w:rPr>
        <w:t xml:space="preserve"> Intra-gastric infusion of 1.0</w:t>
      </w:r>
      <w:r>
        <w:rPr>
          <w:rFonts w:ascii="Book Antiqua" w:eastAsia="宋体" w:hAnsi="Book Antiqua"/>
          <w:sz w:val="24"/>
          <w:szCs w:val="24"/>
          <w:lang w:eastAsia="zh-CN"/>
        </w:rPr>
        <w:t>%</w:t>
      </w:r>
      <w:r>
        <w:rPr>
          <w:rFonts w:ascii="Book Antiqua" w:hAnsi="Book Antiqua"/>
          <w:sz w:val="24"/>
          <w:szCs w:val="24"/>
        </w:rPr>
        <w:t>-</w:t>
      </w:r>
      <w:r w:rsidRPr="00912B86">
        <w:rPr>
          <w:rFonts w:ascii="Book Antiqua" w:hAnsi="Book Antiqua"/>
          <w:sz w:val="24"/>
          <w:szCs w:val="24"/>
        </w:rPr>
        <w:t xml:space="preserve">2.0% triacetin delays gastric emptying by increasing proximal stomach receptive volume, temporarily inhibiting gastric antral contractions and facilitating duodenal contractions. </w:t>
      </w:r>
    </w:p>
    <w:p w:rsidR="004E5E2A" w:rsidRPr="00C638AF" w:rsidRDefault="004E5E2A" w:rsidP="00912B86">
      <w:pPr>
        <w:pStyle w:val="ecxnospacing1"/>
        <w:spacing w:before="0" w:beforeAutospacing="0" w:after="0" w:afterAutospacing="0" w:line="360" w:lineRule="auto"/>
        <w:jc w:val="both"/>
        <w:rPr>
          <w:rFonts w:ascii="Book Antiqua" w:eastAsia="宋体" w:hAnsi="Book Antiqua"/>
          <w:sz w:val="24"/>
          <w:szCs w:val="24"/>
          <w:lang w:eastAsia="zh-CN"/>
        </w:rPr>
      </w:pPr>
    </w:p>
    <w:p w:rsidR="004E5E2A" w:rsidRDefault="004E5E2A" w:rsidP="00E97277">
      <w:pPr>
        <w:rPr>
          <w:rFonts w:ascii="Book Antiqua" w:hAnsi="Book Antiqua" w:cs="宋体"/>
          <w:color w:val="000000"/>
        </w:rPr>
      </w:pPr>
      <w:r>
        <w:rPr>
          <w:rFonts w:ascii="Book Antiqua" w:hAnsi="Book Antiqua" w:cs="Tahoma"/>
          <w:lang w:eastAsia="ja-JP"/>
        </w:rPr>
        <w:t>©</w:t>
      </w:r>
      <w:r>
        <w:rPr>
          <w:rFonts w:ascii="Book Antiqua" w:hAnsi="Book Antiqua" w:cs="Tahoma"/>
        </w:rPr>
        <w:t xml:space="preserve"> </w:t>
      </w:r>
      <w:r>
        <w:rPr>
          <w:rFonts w:ascii="Book Antiqua" w:hAnsi="Book Antiqua" w:cs="宋体"/>
          <w:color w:val="000000"/>
        </w:rPr>
        <w:t>2013 Baishideng Publishing Group Co., Limited. All rights reserved.</w:t>
      </w:r>
    </w:p>
    <w:p w:rsidR="004E5E2A" w:rsidRPr="00912B86" w:rsidRDefault="004E5E2A" w:rsidP="00912B86">
      <w:pPr>
        <w:pStyle w:val="ecxnospacing1"/>
        <w:spacing w:before="0" w:beforeAutospacing="0" w:after="0" w:afterAutospacing="0" w:line="360" w:lineRule="auto"/>
        <w:jc w:val="both"/>
        <w:rPr>
          <w:rFonts w:ascii="Book Antiqua" w:hAnsi="Book Antiqua"/>
          <w:b/>
          <w:bCs/>
          <w:sz w:val="24"/>
          <w:szCs w:val="24"/>
        </w:rPr>
      </w:pPr>
    </w:p>
    <w:p w:rsidR="004E5E2A" w:rsidRPr="00912B86" w:rsidRDefault="004E5E2A" w:rsidP="00912B86">
      <w:pPr>
        <w:pStyle w:val="ecxnospacing1"/>
        <w:spacing w:before="0" w:beforeAutospacing="0" w:after="0" w:afterAutospacing="0" w:line="360" w:lineRule="auto"/>
        <w:jc w:val="both"/>
        <w:rPr>
          <w:rFonts w:ascii="Book Antiqua" w:hAnsi="Book Antiqua"/>
          <w:sz w:val="24"/>
          <w:szCs w:val="24"/>
        </w:rPr>
      </w:pPr>
      <w:r w:rsidRPr="00912B86">
        <w:rPr>
          <w:rFonts w:ascii="Book Antiqua" w:hAnsi="Book Antiqua"/>
          <w:b/>
          <w:bCs/>
          <w:sz w:val="24"/>
          <w:szCs w:val="24"/>
        </w:rPr>
        <w:t>Key words:</w:t>
      </w:r>
      <w:r w:rsidRPr="00912B86">
        <w:rPr>
          <w:rFonts w:ascii="Book Antiqua" w:hAnsi="Book Antiqua"/>
          <w:sz w:val="24"/>
          <w:szCs w:val="24"/>
        </w:rPr>
        <w:t xml:space="preserve"> Gastrointestinal motility; Barostat; Proximal gastric relaxation; Short-chain triglycerides</w:t>
      </w:r>
    </w:p>
    <w:p w:rsidR="004E5E2A" w:rsidRDefault="004E5E2A" w:rsidP="00912B86">
      <w:pPr>
        <w:pStyle w:val="ecxnospacing1"/>
        <w:spacing w:before="0" w:beforeAutospacing="0" w:after="0" w:afterAutospacing="0" w:line="360" w:lineRule="auto"/>
        <w:jc w:val="both"/>
        <w:rPr>
          <w:rFonts w:ascii="Book Antiqua" w:eastAsia="宋体" w:hAnsi="Book Antiqua"/>
          <w:sz w:val="24"/>
          <w:szCs w:val="24"/>
          <w:lang w:eastAsia="zh-CN"/>
        </w:rPr>
      </w:pPr>
    </w:p>
    <w:p w:rsidR="004E5E2A" w:rsidRPr="00912B86" w:rsidRDefault="004E5E2A" w:rsidP="00912B86">
      <w:pPr>
        <w:pStyle w:val="ecxnospacing1"/>
        <w:spacing w:before="0" w:beforeAutospacing="0" w:after="0" w:afterAutospacing="0" w:line="360" w:lineRule="auto"/>
        <w:jc w:val="both"/>
        <w:rPr>
          <w:rFonts w:ascii="Book Antiqua" w:hAnsi="Book Antiqua"/>
          <w:sz w:val="24"/>
          <w:szCs w:val="24"/>
        </w:rPr>
      </w:pPr>
      <w:r w:rsidRPr="00912B86">
        <w:rPr>
          <w:rFonts w:ascii="Book Antiqua" w:hAnsi="Book Antiqua"/>
          <w:b/>
          <w:bCs/>
          <w:sz w:val="24"/>
          <w:szCs w:val="24"/>
        </w:rPr>
        <w:t xml:space="preserve">Core tip: </w:t>
      </w:r>
      <w:r w:rsidRPr="00912B86">
        <w:rPr>
          <w:rFonts w:ascii="Book Antiqua" w:hAnsi="Book Antiqua"/>
          <w:sz w:val="24"/>
          <w:szCs w:val="24"/>
        </w:rPr>
        <w:t xml:space="preserve">Intra-gastric infusion of short-chain triglycerides (SCTs), such as triacetin, has been shown to delay gastric emptying in conscious dogs, but the influence on upper gastrointestinal motility is unknown. The current study examined time-dependent changes in motility following intra-gastric triacetin administration at various doses in conscious dogs and evaluated the effects of a fasted vs. fed state. Compared to infusion of water (vehicle) alone, the 1.0 and 2.0% triacetin doses induced a significant increase in the proximal stomach receptive volume, a temporary inhibition of gastric antral contractions, and an increase in the duodenal contractions in fasted dogs. </w:t>
      </w:r>
    </w:p>
    <w:p w:rsidR="004E5E2A" w:rsidRPr="00912B86" w:rsidRDefault="004E5E2A" w:rsidP="00912B86">
      <w:pPr>
        <w:pStyle w:val="ecxmsobodytext"/>
        <w:spacing w:before="0" w:beforeAutospacing="0" w:after="0" w:afterAutospacing="0" w:line="360" w:lineRule="auto"/>
        <w:jc w:val="both"/>
        <w:rPr>
          <w:rFonts w:ascii="Book Antiqua" w:hAnsi="Book Antiqua"/>
          <w:b/>
          <w:bCs/>
          <w:sz w:val="24"/>
          <w:szCs w:val="24"/>
        </w:rPr>
      </w:pPr>
    </w:p>
    <w:p w:rsidR="004E5E2A" w:rsidRPr="00B70AC3" w:rsidRDefault="004E5E2A" w:rsidP="00B70AC3">
      <w:pPr>
        <w:pStyle w:val="ecxmsobodytext"/>
        <w:spacing w:before="0" w:beforeAutospacing="0" w:after="0" w:afterAutospacing="0" w:line="360" w:lineRule="auto"/>
        <w:jc w:val="both"/>
        <w:rPr>
          <w:rFonts w:ascii="Book Antiqua" w:eastAsia="宋体" w:hAnsi="Book Antiqua"/>
          <w:sz w:val="24"/>
          <w:szCs w:val="24"/>
          <w:lang w:eastAsia="zh-CN"/>
        </w:rPr>
      </w:pPr>
      <w:r w:rsidRPr="00912B86">
        <w:rPr>
          <w:rFonts w:ascii="Book Antiqua" w:hAnsi="Book Antiqua"/>
          <w:sz w:val="24"/>
          <w:szCs w:val="24"/>
        </w:rPr>
        <w:t>Oosaka K, Tokuda M, Furukawa N. Intra-gastric triacetin alters upper gastrointestinal motility in conscious dogs.</w:t>
      </w:r>
      <w:r w:rsidRPr="0046735B">
        <w:rPr>
          <w:rFonts w:ascii="Book Antiqua" w:hAnsi="Book Antiqua"/>
          <w:i/>
          <w:sz w:val="24"/>
          <w:szCs w:val="24"/>
        </w:rPr>
        <w:t xml:space="preserve"> World J Gastroenterol</w:t>
      </w:r>
      <w:r w:rsidRPr="006F3637">
        <w:rPr>
          <w:rFonts w:ascii="Book Antiqua" w:hAnsi="Book Antiqua"/>
          <w:sz w:val="24"/>
          <w:szCs w:val="24"/>
        </w:rPr>
        <w:t xml:space="preserve"> </w:t>
      </w:r>
      <w:r w:rsidRPr="00912B86">
        <w:rPr>
          <w:rFonts w:ascii="Book Antiqua" w:hAnsi="Book Antiqua"/>
          <w:sz w:val="24"/>
          <w:szCs w:val="24"/>
        </w:rPr>
        <w:t>2013;</w:t>
      </w:r>
    </w:p>
    <w:p w:rsidR="004E5E2A" w:rsidRPr="00912B86" w:rsidRDefault="004E5E2A" w:rsidP="00B70AC3">
      <w:pPr>
        <w:pStyle w:val="ecxmsobodytext"/>
        <w:spacing w:before="0" w:beforeAutospacing="0" w:after="0" w:afterAutospacing="0" w:line="360" w:lineRule="auto"/>
        <w:jc w:val="both"/>
        <w:rPr>
          <w:rFonts w:ascii="Book Antiqua" w:hAnsi="Book Antiqua"/>
          <w:sz w:val="24"/>
          <w:szCs w:val="24"/>
        </w:rPr>
      </w:pPr>
      <w:r w:rsidRPr="00912B86">
        <w:rPr>
          <w:rFonts w:ascii="Book Antiqua" w:hAnsi="Book Antiqua"/>
          <w:b/>
          <w:sz w:val="24"/>
          <w:szCs w:val="24"/>
        </w:rPr>
        <w:lastRenderedPageBreak/>
        <w:t xml:space="preserve">Available from: </w:t>
      </w:r>
    </w:p>
    <w:p w:rsidR="004E5E2A" w:rsidRPr="00912B86" w:rsidRDefault="004E5E2A" w:rsidP="00B70AC3">
      <w:pPr>
        <w:pStyle w:val="ecxmsobodytext"/>
        <w:spacing w:before="0" w:beforeAutospacing="0" w:after="0" w:afterAutospacing="0" w:line="360" w:lineRule="auto"/>
        <w:jc w:val="both"/>
        <w:rPr>
          <w:rFonts w:ascii="Book Antiqua" w:hAnsi="Book Antiqua"/>
          <w:sz w:val="24"/>
          <w:szCs w:val="24"/>
        </w:rPr>
      </w:pPr>
      <w:r w:rsidRPr="00912B86">
        <w:rPr>
          <w:rFonts w:ascii="Book Antiqua" w:hAnsi="Book Antiqua"/>
          <w:b/>
          <w:sz w:val="24"/>
          <w:szCs w:val="24"/>
        </w:rPr>
        <w:t xml:space="preserve">DOI: </w:t>
      </w:r>
    </w:p>
    <w:p w:rsidR="004E5E2A" w:rsidRPr="006F3637" w:rsidRDefault="004E5E2A" w:rsidP="006F3637">
      <w:pPr>
        <w:pStyle w:val="ecxmsobodytext"/>
        <w:spacing w:before="0" w:beforeAutospacing="0" w:after="0" w:afterAutospacing="0" w:line="360" w:lineRule="auto"/>
        <w:jc w:val="both"/>
        <w:rPr>
          <w:rFonts w:ascii="Book Antiqua" w:eastAsia="宋体" w:hAnsi="Book Antiqua"/>
          <w:b/>
          <w:bCs/>
          <w:lang w:eastAsia="zh-CN"/>
        </w:rPr>
      </w:pPr>
    </w:p>
    <w:p w:rsidR="004E5E2A" w:rsidRPr="00912B86" w:rsidRDefault="004E5E2A" w:rsidP="00912B86">
      <w:pPr>
        <w:spacing w:line="360" w:lineRule="auto"/>
        <w:jc w:val="both"/>
        <w:rPr>
          <w:rFonts w:ascii="Book Antiqua" w:hAnsi="Book Antiqua"/>
          <w:b/>
          <w:bCs/>
        </w:rPr>
      </w:pPr>
      <w:r w:rsidRPr="00912B86">
        <w:rPr>
          <w:rFonts w:ascii="Book Antiqua" w:hAnsi="Book Antiqua"/>
          <w:b/>
          <w:bCs/>
        </w:rPr>
        <w:t>INTRODUCTION</w:t>
      </w:r>
    </w:p>
    <w:p w:rsidR="004E5E2A" w:rsidRPr="00912B86" w:rsidRDefault="004E5E2A" w:rsidP="00912B86">
      <w:pPr>
        <w:pStyle w:val="ecxmsobodytext"/>
        <w:spacing w:before="0" w:beforeAutospacing="0" w:after="0" w:afterAutospacing="0" w:line="360" w:lineRule="auto"/>
        <w:jc w:val="both"/>
        <w:rPr>
          <w:rFonts w:ascii="Book Antiqua" w:hAnsi="Book Antiqua"/>
          <w:sz w:val="24"/>
          <w:szCs w:val="24"/>
        </w:rPr>
      </w:pPr>
      <w:r w:rsidRPr="00912B86">
        <w:rPr>
          <w:rFonts w:ascii="Book Antiqua" w:hAnsi="Book Antiqua"/>
          <w:sz w:val="24"/>
          <w:szCs w:val="24"/>
        </w:rPr>
        <w:t xml:space="preserve">Triacetin is </w:t>
      </w:r>
      <w:proofErr w:type="gramStart"/>
      <w:r w:rsidRPr="00912B86">
        <w:rPr>
          <w:rFonts w:ascii="Book Antiqua" w:hAnsi="Book Antiqua"/>
          <w:sz w:val="24"/>
          <w:szCs w:val="24"/>
        </w:rPr>
        <w:t>both the</w:t>
      </w:r>
      <w:proofErr w:type="gramEnd"/>
      <w:r w:rsidRPr="00912B86">
        <w:rPr>
          <w:rFonts w:ascii="Book Antiqua" w:hAnsi="Book Antiqua"/>
          <w:sz w:val="24"/>
          <w:szCs w:val="24"/>
        </w:rPr>
        <w:t xml:space="preserve"> shortest-chain triglyceride (SCT), containing fatty acids with two carbons, and the only triglyceride that is soluble in water up to 6%. Its approval by the Food and Drug Administration as a safe human food ingredient has led to a series of studies examining its potential as a therapeutic agent for total parenteral </w:t>
      </w:r>
      <w:proofErr w:type="gramStart"/>
      <w:r w:rsidRPr="00912B86">
        <w:rPr>
          <w:rFonts w:ascii="Book Antiqua" w:hAnsi="Book Antiqua"/>
          <w:sz w:val="24"/>
          <w:szCs w:val="24"/>
        </w:rPr>
        <w:t>nutrition</w:t>
      </w:r>
      <w:r w:rsidRPr="00912B86">
        <w:rPr>
          <w:rFonts w:ascii="Book Antiqua" w:hAnsi="Book Antiqua"/>
          <w:sz w:val="24"/>
          <w:szCs w:val="24"/>
          <w:vertAlign w:val="superscript"/>
        </w:rPr>
        <w:t>[</w:t>
      </w:r>
      <w:proofErr w:type="gramEnd"/>
      <w:r w:rsidRPr="00912B86">
        <w:rPr>
          <w:rFonts w:ascii="Book Antiqua" w:hAnsi="Book Antiqua"/>
          <w:sz w:val="24"/>
          <w:szCs w:val="24"/>
          <w:vertAlign w:val="superscript"/>
        </w:rPr>
        <w:t>1-6]</w:t>
      </w:r>
      <w:r w:rsidRPr="00912B86">
        <w:rPr>
          <w:rFonts w:ascii="Book Antiqua" w:hAnsi="Book Antiqua"/>
          <w:sz w:val="24"/>
          <w:szCs w:val="24"/>
        </w:rPr>
        <w:t>. While these studies have shown that triacetin can improve nitrogen balance</w:t>
      </w:r>
      <w:r w:rsidRPr="00912B86">
        <w:rPr>
          <w:rFonts w:ascii="Book Antiqua" w:hAnsi="Book Antiqua"/>
          <w:sz w:val="24"/>
          <w:szCs w:val="24"/>
          <w:vertAlign w:val="superscript"/>
        </w:rPr>
        <w:t>[</w:t>
      </w:r>
      <w:r w:rsidRPr="00912B86">
        <w:rPr>
          <w:rFonts w:ascii="Book Antiqua" w:hAnsi="Book Antiqua"/>
          <w:sz w:val="24"/>
          <w:szCs w:val="24"/>
          <w:vertAlign w:val="superscript"/>
          <w:lang w:eastAsia="ja-JP"/>
        </w:rPr>
        <w:t>1</w:t>
      </w:r>
      <w:r w:rsidRPr="00912B86">
        <w:rPr>
          <w:rFonts w:ascii="Book Antiqua" w:hAnsi="Book Antiqua"/>
          <w:sz w:val="24"/>
          <w:szCs w:val="24"/>
          <w:vertAlign w:val="superscript"/>
        </w:rPr>
        <w:t xml:space="preserve">] </w:t>
      </w:r>
      <w:r w:rsidRPr="00912B86">
        <w:rPr>
          <w:rFonts w:ascii="Book Antiqua" w:hAnsi="Book Antiqua"/>
          <w:sz w:val="24"/>
          <w:szCs w:val="24"/>
        </w:rPr>
        <w:t xml:space="preserve"> and protein metabolism</w:t>
      </w:r>
      <w:r w:rsidRPr="00912B86">
        <w:rPr>
          <w:rFonts w:ascii="Book Antiqua" w:hAnsi="Book Antiqua"/>
          <w:sz w:val="24"/>
          <w:szCs w:val="24"/>
          <w:vertAlign w:val="superscript"/>
        </w:rPr>
        <w:t>[</w:t>
      </w:r>
      <w:r w:rsidRPr="00912B86">
        <w:rPr>
          <w:rFonts w:ascii="Book Antiqua" w:hAnsi="Book Antiqua"/>
          <w:sz w:val="24"/>
          <w:szCs w:val="24"/>
          <w:vertAlign w:val="superscript"/>
          <w:lang w:eastAsia="ja-JP"/>
        </w:rPr>
        <w:t>2</w:t>
      </w:r>
      <w:r w:rsidRPr="00912B86">
        <w:rPr>
          <w:rFonts w:ascii="Book Antiqua" w:hAnsi="Book Antiqua"/>
          <w:sz w:val="24"/>
          <w:szCs w:val="24"/>
          <w:vertAlign w:val="superscript"/>
        </w:rPr>
        <w:t xml:space="preserve">] </w:t>
      </w:r>
      <w:r w:rsidRPr="00912B86">
        <w:rPr>
          <w:rFonts w:ascii="Book Antiqua" w:hAnsi="Book Antiqua"/>
          <w:sz w:val="24"/>
          <w:szCs w:val="24"/>
        </w:rPr>
        <w:t>, with a lack of toxicity</w:t>
      </w:r>
      <w:r w:rsidRPr="00912B86">
        <w:rPr>
          <w:rFonts w:ascii="Book Antiqua" w:hAnsi="Book Antiqua"/>
          <w:sz w:val="24"/>
          <w:szCs w:val="24"/>
          <w:vertAlign w:val="superscript"/>
        </w:rPr>
        <w:t>[</w:t>
      </w:r>
      <w:r w:rsidRPr="00912B86">
        <w:rPr>
          <w:rFonts w:ascii="Book Antiqua" w:hAnsi="Book Antiqua"/>
          <w:sz w:val="24"/>
          <w:szCs w:val="24"/>
          <w:vertAlign w:val="superscript"/>
          <w:lang w:eastAsia="ja-JP"/>
        </w:rPr>
        <w:t>3</w:t>
      </w:r>
      <w:r w:rsidRPr="00912B86">
        <w:rPr>
          <w:rFonts w:ascii="Book Antiqua" w:hAnsi="Book Antiqua"/>
          <w:sz w:val="24"/>
          <w:szCs w:val="24"/>
          <w:vertAlign w:val="superscript"/>
        </w:rPr>
        <w:t xml:space="preserve">] </w:t>
      </w:r>
      <w:r w:rsidRPr="00912B86">
        <w:rPr>
          <w:rFonts w:ascii="Book Antiqua" w:hAnsi="Book Antiqua"/>
          <w:sz w:val="24"/>
          <w:szCs w:val="24"/>
        </w:rPr>
        <w:t>, they have also shown minimal effects on mineral metabolism</w:t>
      </w:r>
      <w:r w:rsidRPr="00912B86">
        <w:rPr>
          <w:rFonts w:ascii="Book Antiqua" w:hAnsi="Book Antiqua"/>
          <w:sz w:val="24"/>
          <w:szCs w:val="24"/>
          <w:vertAlign w:val="superscript"/>
        </w:rPr>
        <w:t>[</w:t>
      </w:r>
      <w:r w:rsidRPr="00912B86">
        <w:rPr>
          <w:rFonts w:ascii="Book Antiqua" w:hAnsi="Book Antiqua"/>
          <w:sz w:val="24"/>
          <w:szCs w:val="24"/>
          <w:vertAlign w:val="superscript"/>
          <w:lang w:eastAsia="ja-JP"/>
        </w:rPr>
        <w:t>4,5</w:t>
      </w:r>
      <w:r w:rsidRPr="00912B86">
        <w:rPr>
          <w:rFonts w:ascii="Book Antiqua" w:hAnsi="Book Antiqua"/>
          <w:sz w:val="24"/>
          <w:szCs w:val="24"/>
          <w:vertAlign w:val="superscript"/>
        </w:rPr>
        <w:t>]</w:t>
      </w:r>
      <w:r w:rsidRPr="00912B86">
        <w:rPr>
          <w:rFonts w:ascii="Book Antiqua" w:hAnsi="Book Antiqua"/>
          <w:sz w:val="24"/>
          <w:szCs w:val="24"/>
        </w:rPr>
        <w:t xml:space="preserve"> due to the feature of water solubility.</w:t>
      </w:r>
      <w:r w:rsidRPr="00912B86">
        <w:rPr>
          <w:rFonts w:ascii="Book Antiqua" w:hAnsi="Book Antiqua"/>
          <w:sz w:val="24"/>
          <w:szCs w:val="24"/>
          <w:vertAlign w:val="superscript"/>
        </w:rPr>
        <w:t xml:space="preserve"> </w:t>
      </w:r>
      <w:r w:rsidRPr="00912B86">
        <w:rPr>
          <w:rFonts w:ascii="Book Antiqua" w:hAnsi="Book Antiqua"/>
          <w:sz w:val="24"/>
          <w:szCs w:val="24"/>
        </w:rPr>
        <w:t xml:space="preserve">In an </w:t>
      </w:r>
      <w:r w:rsidRPr="00912B86">
        <w:rPr>
          <w:rFonts w:ascii="Book Antiqua" w:hAnsi="Book Antiqua"/>
          <w:i/>
          <w:sz w:val="24"/>
          <w:szCs w:val="24"/>
        </w:rPr>
        <w:t>in vivo</w:t>
      </w:r>
      <w:r w:rsidRPr="00912B86">
        <w:rPr>
          <w:rFonts w:ascii="Book Antiqua" w:hAnsi="Book Antiqua"/>
          <w:sz w:val="24"/>
          <w:szCs w:val="24"/>
        </w:rPr>
        <w:t xml:space="preserve"> study by Lynch and Bailey, wherein rats were fed diets containing triacetin to determine the effects on total adiposity, fat distribution and body composition, triacetin was shown to provide energy without accumulation in the body by decreasing adipocyte </w:t>
      </w:r>
      <w:proofErr w:type="gramStart"/>
      <w:r w:rsidRPr="00912B86">
        <w:rPr>
          <w:rFonts w:ascii="Book Antiqua" w:hAnsi="Book Antiqua"/>
          <w:sz w:val="24"/>
          <w:szCs w:val="24"/>
        </w:rPr>
        <w:t>size</w:t>
      </w:r>
      <w:r w:rsidRPr="00912B86">
        <w:rPr>
          <w:rFonts w:ascii="Book Antiqua" w:hAnsi="Book Antiqua"/>
          <w:sz w:val="24"/>
          <w:szCs w:val="24"/>
          <w:vertAlign w:val="superscript"/>
        </w:rPr>
        <w:t>[</w:t>
      </w:r>
      <w:proofErr w:type="gramEnd"/>
      <w:r w:rsidRPr="00912B86">
        <w:rPr>
          <w:rFonts w:ascii="Book Antiqua" w:hAnsi="Book Antiqua"/>
          <w:sz w:val="24"/>
          <w:szCs w:val="24"/>
          <w:vertAlign w:val="superscript"/>
        </w:rPr>
        <w:t>6]</w:t>
      </w:r>
      <w:r w:rsidRPr="00912B86">
        <w:rPr>
          <w:rFonts w:ascii="Book Antiqua" w:hAnsi="Book Antiqua"/>
          <w:sz w:val="24"/>
          <w:szCs w:val="24"/>
        </w:rPr>
        <w:t xml:space="preserve">. However, this field of research is relatively new and further investigations on the nutritive capacities and related mechanisms of triacetin are still in progress. </w:t>
      </w:r>
    </w:p>
    <w:p w:rsidR="004E5E2A" w:rsidRDefault="004E5E2A" w:rsidP="007F39D0">
      <w:pPr>
        <w:pStyle w:val="ecxmsobodytext"/>
        <w:spacing w:before="0" w:beforeAutospacing="0" w:after="0" w:afterAutospacing="0" w:line="360" w:lineRule="auto"/>
        <w:ind w:firstLineChars="200" w:firstLine="480"/>
        <w:jc w:val="both"/>
        <w:rPr>
          <w:rFonts w:ascii="Book Antiqua" w:eastAsia="宋体" w:hAnsi="Book Antiqua"/>
          <w:sz w:val="24"/>
          <w:szCs w:val="24"/>
          <w:lang w:eastAsia="zh-CN"/>
        </w:rPr>
      </w:pPr>
      <w:r w:rsidRPr="00912B86">
        <w:rPr>
          <w:rFonts w:ascii="Book Antiqua" w:hAnsi="Book Antiqua"/>
          <w:sz w:val="24"/>
          <w:szCs w:val="24"/>
        </w:rPr>
        <w:t>A number of other studies have examined the effects of long-chain triglycerides (LCTs) on gastrointestinal motility, demonstrating their effect of delaying gastric emptying and characterizing their feature of slow absorption. Specifically, it was shown that when digestive products of LCTs, such as mono- or diglycerides and long-chain fatty acids, are present in the duodenum and jejunum, the gastric emptying rate slows down</w:t>
      </w:r>
      <w:r w:rsidRPr="00912B86">
        <w:rPr>
          <w:rFonts w:ascii="Book Antiqua" w:hAnsi="Book Antiqua"/>
          <w:sz w:val="24"/>
          <w:szCs w:val="24"/>
          <w:vertAlign w:val="superscript"/>
        </w:rPr>
        <w:t>[7</w:t>
      </w:r>
      <w:r>
        <w:rPr>
          <w:rFonts w:ascii="Book Antiqua" w:eastAsia="宋体" w:hAnsi="Book Antiqua"/>
          <w:sz w:val="24"/>
          <w:szCs w:val="24"/>
          <w:vertAlign w:val="superscript"/>
          <w:lang w:eastAsia="zh-CN"/>
        </w:rPr>
        <w:t>,8</w:t>
      </w:r>
      <w:r w:rsidRPr="00912B86">
        <w:rPr>
          <w:rFonts w:ascii="Book Antiqua" w:hAnsi="Book Antiqua"/>
          <w:sz w:val="24"/>
          <w:szCs w:val="24"/>
          <w:vertAlign w:val="superscript"/>
        </w:rPr>
        <w:t>]</w:t>
      </w:r>
      <w:r w:rsidRPr="00912B86">
        <w:rPr>
          <w:rFonts w:ascii="Book Antiqua" w:hAnsi="Book Antiqua"/>
          <w:sz w:val="24"/>
          <w:szCs w:val="24"/>
        </w:rPr>
        <w:t>, and that digestion and absorption of LCTs into the lymphatic system is dependent upon modification by b</w:t>
      </w:r>
      <w:r>
        <w:rPr>
          <w:rFonts w:ascii="Book Antiqua" w:hAnsi="Book Antiqua"/>
          <w:sz w:val="24"/>
          <w:szCs w:val="24"/>
        </w:rPr>
        <w:t xml:space="preserve">ile salts. Moreover, Hunt </w:t>
      </w:r>
      <w:r w:rsidRPr="009C434E">
        <w:rPr>
          <w:rFonts w:ascii="Book Antiqua" w:hAnsi="Book Antiqua"/>
          <w:i/>
          <w:sz w:val="24"/>
          <w:szCs w:val="24"/>
        </w:rPr>
        <w:t xml:space="preserve">et </w:t>
      </w:r>
      <w:proofErr w:type="gramStart"/>
      <w:r w:rsidRPr="009C434E">
        <w:rPr>
          <w:rFonts w:ascii="Book Antiqua" w:hAnsi="Book Antiqua"/>
          <w:i/>
          <w:sz w:val="24"/>
          <w:szCs w:val="24"/>
        </w:rPr>
        <w:t>al</w:t>
      </w:r>
      <w:r w:rsidRPr="00912B86">
        <w:rPr>
          <w:rFonts w:ascii="Book Antiqua" w:hAnsi="Book Antiqua"/>
          <w:sz w:val="24"/>
          <w:szCs w:val="24"/>
          <w:vertAlign w:val="superscript"/>
        </w:rPr>
        <w:t>[</w:t>
      </w:r>
      <w:proofErr w:type="gramEnd"/>
      <w:r w:rsidRPr="00912B86">
        <w:rPr>
          <w:rFonts w:ascii="Book Antiqua" w:hAnsi="Book Antiqua"/>
          <w:sz w:val="24"/>
          <w:szCs w:val="24"/>
          <w:vertAlign w:val="superscript"/>
        </w:rPr>
        <w:t>9]</w:t>
      </w:r>
      <w:r w:rsidRPr="00912B86">
        <w:rPr>
          <w:rFonts w:ascii="Book Antiqua" w:hAnsi="Book Antiqua"/>
          <w:sz w:val="24"/>
          <w:szCs w:val="24"/>
        </w:rPr>
        <w:t xml:space="preserve"> reported that gastric emptying is slower for 12- to 18-carbon fatty acids than for those composed of 2 to 10 carbons, suggesting that gastric emptying may be regulated in a manner that allows for optimal intestinal digestion and absorption of foodstuffs.</w:t>
      </w:r>
    </w:p>
    <w:p w:rsidR="004E5E2A" w:rsidRPr="00912B86" w:rsidRDefault="004E5E2A" w:rsidP="007F39D0">
      <w:pPr>
        <w:pStyle w:val="ecxmsobodytext"/>
        <w:spacing w:before="0" w:beforeAutospacing="0" w:after="0" w:afterAutospacing="0" w:line="360" w:lineRule="auto"/>
        <w:ind w:firstLineChars="200" w:firstLine="480"/>
        <w:jc w:val="both"/>
        <w:rPr>
          <w:rFonts w:ascii="Book Antiqua" w:hAnsi="Book Antiqua"/>
          <w:sz w:val="24"/>
          <w:szCs w:val="24"/>
        </w:rPr>
      </w:pPr>
      <w:r w:rsidRPr="00912B86">
        <w:rPr>
          <w:rFonts w:ascii="Book Antiqua" w:hAnsi="Book Antiqua"/>
          <w:sz w:val="24"/>
          <w:szCs w:val="24"/>
        </w:rPr>
        <w:lastRenderedPageBreak/>
        <w:t xml:space="preserve">The processes of digestion and absorption of SCTs differ greatly from those of LCTs. SCTs do not require bile salts for digestion. Their passive diffusion from the gastrointestinal tract to the portal system has led to speculation that gastric emptying should not be delayed by SCTs. However, when triacetin was directly infused into the stomachs of conscious dogs, the gastric emptying rate was delayed </w:t>
      </w:r>
      <w:proofErr w:type="gramStart"/>
      <w:r w:rsidRPr="00912B86">
        <w:rPr>
          <w:rFonts w:ascii="Book Antiqua" w:hAnsi="Book Antiqua"/>
          <w:sz w:val="24"/>
          <w:szCs w:val="24"/>
        </w:rPr>
        <w:t>remarkably</w:t>
      </w:r>
      <w:r w:rsidRPr="00912B86">
        <w:rPr>
          <w:rFonts w:ascii="Book Antiqua" w:hAnsi="Book Antiqua"/>
          <w:sz w:val="24"/>
          <w:szCs w:val="24"/>
          <w:vertAlign w:val="superscript"/>
        </w:rPr>
        <w:t>[</w:t>
      </w:r>
      <w:proofErr w:type="gramEnd"/>
      <w:r w:rsidRPr="00912B86">
        <w:rPr>
          <w:rFonts w:ascii="Book Antiqua" w:hAnsi="Book Antiqua"/>
          <w:sz w:val="24"/>
          <w:szCs w:val="24"/>
          <w:vertAlign w:val="superscript"/>
        </w:rPr>
        <w:t>10]</w:t>
      </w:r>
      <w:r w:rsidRPr="00912B86">
        <w:rPr>
          <w:rFonts w:ascii="Book Antiqua" w:hAnsi="Book Antiqua"/>
          <w:sz w:val="24"/>
          <w:szCs w:val="24"/>
        </w:rPr>
        <w:t>. Gastric emptying of a liquid is known to be facilitated by both the proximal gastric tone and antrum motility, both of which may also be influenced by the fasted/fed (postprandial) state. To determine whether triacetin can alter upper gastrointestinal motility during the observed delay of gastric emptying in conscious dogs a barostat and force transducers were applied to fasted and fed animals in the study described herein, and the effects of triacetin on upper gastrointestinal motility and the proximal gastric tone were comparatively analyzed.</w:t>
      </w:r>
    </w:p>
    <w:p w:rsidR="004E5E2A" w:rsidRDefault="004E5E2A" w:rsidP="00912B86">
      <w:pPr>
        <w:pStyle w:val="ecxmsobodytext"/>
        <w:spacing w:before="0" w:beforeAutospacing="0" w:after="0" w:afterAutospacing="0" w:line="360" w:lineRule="auto"/>
        <w:jc w:val="both"/>
        <w:rPr>
          <w:rFonts w:ascii="Book Antiqua" w:eastAsia="宋体" w:hAnsi="Book Antiqua"/>
          <w:b/>
          <w:bCs/>
          <w:sz w:val="24"/>
          <w:szCs w:val="24"/>
          <w:lang w:eastAsia="zh-CN"/>
        </w:rPr>
      </w:pPr>
    </w:p>
    <w:p w:rsidR="004E5E2A" w:rsidRPr="00912B86" w:rsidRDefault="004E5E2A" w:rsidP="00912B86">
      <w:pPr>
        <w:pStyle w:val="ecxmsobodytext"/>
        <w:spacing w:before="0" w:beforeAutospacing="0" w:after="0" w:afterAutospacing="0" w:line="360" w:lineRule="auto"/>
        <w:jc w:val="both"/>
        <w:rPr>
          <w:rFonts w:ascii="Book Antiqua" w:hAnsi="Book Antiqua"/>
          <w:sz w:val="24"/>
          <w:szCs w:val="24"/>
        </w:rPr>
      </w:pPr>
      <w:r w:rsidRPr="00912B86">
        <w:rPr>
          <w:rFonts w:ascii="Book Antiqua" w:hAnsi="Book Antiqua"/>
          <w:b/>
          <w:bCs/>
          <w:sz w:val="24"/>
          <w:szCs w:val="24"/>
        </w:rPr>
        <w:t>MATERIALS AND METHODS</w:t>
      </w:r>
    </w:p>
    <w:p w:rsidR="004E5E2A" w:rsidRPr="00912B86" w:rsidRDefault="004E5E2A" w:rsidP="00912B86">
      <w:pPr>
        <w:pStyle w:val="ecxmsobodytext"/>
        <w:spacing w:before="0" w:beforeAutospacing="0" w:after="0" w:afterAutospacing="0" w:line="360" w:lineRule="auto"/>
        <w:jc w:val="both"/>
        <w:rPr>
          <w:rFonts w:ascii="Book Antiqua" w:hAnsi="Book Antiqua"/>
          <w:i/>
          <w:sz w:val="24"/>
          <w:szCs w:val="24"/>
        </w:rPr>
      </w:pPr>
      <w:r w:rsidRPr="00912B86">
        <w:rPr>
          <w:rFonts w:ascii="Book Antiqua" w:hAnsi="Book Antiqua"/>
          <w:b/>
          <w:bCs/>
          <w:i/>
          <w:sz w:val="24"/>
          <w:szCs w:val="24"/>
        </w:rPr>
        <w:t>Animal preparation</w:t>
      </w:r>
    </w:p>
    <w:p w:rsidR="004E5E2A" w:rsidRPr="007F39D0" w:rsidRDefault="004E5E2A" w:rsidP="00912B86">
      <w:pPr>
        <w:pStyle w:val="ecxmsobodytext"/>
        <w:spacing w:before="0" w:beforeAutospacing="0" w:after="0" w:afterAutospacing="0" w:line="360" w:lineRule="auto"/>
        <w:jc w:val="both"/>
        <w:rPr>
          <w:rFonts w:ascii="Book Antiqua" w:eastAsia="宋体" w:hAnsi="Book Antiqua"/>
          <w:sz w:val="24"/>
          <w:szCs w:val="24"/>
          <w:lang w:eastAsia="zh-CN"/>
        </w:rPr>
      </w:pPr>
      <w:r w:rsidRPr="00912B86">
        <w:rPr>
          <w:rFonts w:ascii="Book Antiqua" w:hAnsi="Book Antiqua"/>
          <w:sz w:val="24"/>
          <w:szCs w:val="24"/>
        </w:rPr>
        <w:t xml:space="preserve">All animal care and experimental procedures were approved by the Animal Research Committee of the Kawasaki Medical School (Japan) and conducted in accordance with the </w:t>
      </w:r>
      <w:r w:rsidRPr="00912B86">
        <w:rPr>
          <w:rFonts w:ascii="Book Antiqua" w:hAnsi="Book Antiqua"/>
          <w:iCs/>
          <w:sz w:val="24"/>
          <w:szCs w:val="24"/>
        </w:rPr>
        <w:t xml:space="preserve">Guide for the Care and Use of Laboratory </w:t>
      </w:r>
      <w:proofErr w:type="gramStart"/>
      <w:r w:rsidRPr="00912B86">
        <w:rPr>
          <w:rFonts w:ascii="Book Antiqua" w:hAnsi="Book Antiqua"/>
          <w:iCs/>
          <w:sz w:val="24"/>
          <w:szCs w:val="24"/>
        </w:rPr>
        <w:t>Animals</w:t>
      </w:r>
      <w:r w:rsidRPr="00912B86">
        <w:rPr>
          <w:rFonts w:ascii="Book Antiqua" w:hAnsi="Book Antiqua"/>
          <w:sz w:val="24"/>
          <w:szCs w:val="24"/>
          <w:vertAlign w:val="superscript"/>
        </w:rPr>
        <w:t>[</w:t>
      </w:r>
      <w:proofErr w:type="gramEnd"/>
      <w:r w:rsidRPr="00912B86">
        <w:rPr>
          <w:rFonts w:ascii="Book Antiqua" w:hAnsi="Book Antiqua"/>
          <w:sz w:val="24"/>
          <w:szCs w:val="24"/>
          <w:vertAlign w:val="superscript"/>
        </w:rPr>
        <w:t>1</w:t>
      </w:r>
      <w:r w:rsidRPr="00912B86">
        <w:rPr>
          <w:rFonts w:ascii="Book Antiqua" w:hAnsi="Book Antiqua"/>
          <w:sz w:val="24"/>
          <w:szCs w:val="24"/>
          <w:vertAlign w:val="superscript"/>
          <w:lang w:eastAsia="ja-JP"/>
        </w:rPr>
        <w:t>1</w:t>
      </w:r>
      <w:r w:rsidRPr="00912B86">
        <w:rPr>
          <w:rFonts w:ascii="Book Antiqua" w:hAnsi="Book Antiqua"/>
          <w:sz w:val="24"/>
          <w:szCs w:val="24"/>
          <w:vertAlign w:val="superscript"/>
        </w:rPr>
        <w:t>]</w:t>
      </w:r>
      <w:r w:rsidRPr="00912B86">
        <w:rPr>
          <w:rFonts w:ascii="Book Antiqua" w:hAnsi="Book Antiqua"/>
          <w:sz w:val="24"/>
          <w:szCs w:val="24"/>
        </w:rPr>
        <w:t>. Three</w:t>
      </w:r>
      <w:r>
        <w:rPr>
          <w:rFonts w:ascii="Book Antiqua" w:hAnsi="Book Antiqua"/>
          <w:sz w:val="24"/>
          <w:szCs w:val="24"/>
        </w:rPr>
        <w:t xml:space="preserve"> female beagle dogs (weight: 10-11 kg; age: 1-</w:t>
      </w:r>
      <w:r w:rsidRPr="00912B86">
        <w:rPr>
          <w:rFonts w:ascii="Book Antiqua" w:hAnsi="Book Antiqua"/>
          <w:sz w:val="24"/>
          <w:szCs w:val="24"/>
        </w:rPr>
        <w:t xml:space="preserve">1.5 years) were anesthetized with medetomidine hydrochloride (20 µg/kg, subcutaneous) and pentobarbital sodium (25 mg/kg, intravenous). A midline laparotomy was performed, and a stainless steel gastrocutaneous fistula (inner diameter: 15 mm; length: 80 mm) was inserted into the middle corpus, with the placement ensuring </w:t>
      </w:r>
      <w:r w:rsidRPr="00912B86">
        <w:rPr>
          <w:rFonts w:ascii="Book Antiqua" w:hAnsi="Book Antiqua"/>
          <w:color w:val="000000"/>
          <w:sz w:val="24"/>
          <w:szCs w:val="24"/>
        </w:rPr>
        <w:t>exteriorization on the left side</w:t>
      </w:r>
      <w:r w:rsidRPr="00912B86">
        <w:rPr>
          <w:rFonts w:ascii="Book Antiqua" w:hAnsi="Book Antiqua"/>
          <w:sz w:val="24"/>
          <w:szCs w:val="24"/>
        </w:rPr>
        <w:t xml:space="preserve"> of the abdomen. Two force transducers were then sewn onto the wall of the gastric antrum and duodenum, following the direction of the circular muscle. The force transducer on the antrum was sutured at approximately 3 cm from the pyloric ring, while the force transducer on the duodenum was sutured at approximately 5 cm distal to the pyloric ring (Figure 1). The lead wires of the </w:t>
      </w:r>
      <w:r w:rsidRPr="00912B86">
        <w:rPr>
          <w:rFonts w:ascii="Book Antiqua" w:hAnsi="Book Antiqua"/>
          <w:sz w:val="24"/>
          <w:szCs w:val="24"/>
        </w:rPr>
        <w:lastRenderedPageBreak/>
        <w:t>force transducers were positioned to ensure percutaneous exteriorization of the bilateral scapulae lower margins. The animals were allowed to recuperate for two weeks, with daily monitoring for procedure-related complications, before experimentation was initiated.</w:t>
      </w:r>
    </w:p>
    <w:p w:rsidR="004E5E2A" w:rsidRPr="00912B86" w:rsidRDefault="004E5E2A" w:rsidP="00912B86">
      <w:pPr>
        <w:pStyle w:val="ecxmsobodytext"/>
        <w:spacing w:before="0" w:beforeAutospacing="0" w:after="0" w:afterAutospacing="0" w:line="360" w:lineRule="auto"/>
        <w:jc w:val="both"/>
        <w:rPr>
          <w:rFonts w:ascii="Book Antiqua" w:hAnsi="Book Antiqua"/>
          <w:b/>
          <w:bCs/>
          <w:sz w:val="24"/>
          <w:szCs w:val="24"/>
        </w:rPr>
      </w:pPr>
    </w:p>
    <w:p w:rsidR="004E5E2A" w:rsidRPr="00912B86" w:rsidRDefault="004E5E2A" w:rsidP="00912B86">
      <w:pPr>
        <w:pStyle w:val="ecxmsobodytext"/>
        <w:spacing w:before="0" w:beforeAutospacing="0" w:after="0" w:afterAutospacing="0" w:line="360" w:lineRule="auto"/>
        <w:jc w:val="both"/>
        <w:rPr>
          <w:rFonts w:ascii="Book Antiqua" w:hAnsi="Book Antiqua"/>
          <w:i/>
          <w:sz w:val="24"/>
          <w:szCs w:val="24"/>
        </w:rPr>
      </w:pPr>
      <w:r w:rsidRPr="00912B86">
        <w:rPr>
          <w:rFonts w:ascii="Book Antiqua" w:hAnsi="Book Antiqua"/>
          <w:b/>
          <w:bCs/>
          <w:i/>
          <w:sz w:val="24"/>
          <w:szCs w:val="24"/>
        </w:rPr>
        <w:t>Experimental procedure</w:t>
      </w:r>
    </w:p>
    <w:p w:rsidR="004E5E2A" w:rsidRPr="00912B86" w:rsidRDefault="004E5E2A" w:rsidP="00912B86">
      <w:pPr>
        <w:pStyle w:val="ecxmsobodytext"/>
        <w:spacing w:before="0" w:beforeAutospacing="0" w:after="0" w:afterAutospacing="0" w:line="360" w:lineRule="auto"/>
        <w:jc w:val="both"/>
        <w:rPr>
          <w:rFonts w:ascii="Book Antiqua" w:hAnsi="Book Antiqua"/>
          <w:sz w:val="24"/>
          <w:szCs w:val="24"/>
        </w:rPr>
      </w:pPr>
      <w:r w:rsidRPr="00912B86">
        <w:rPr>
          <w:rFonts w:ascii="Book Antiqua" w:hAnsi="Book Antiqua"/>
          <w:sz w:val="24"/>
          <w:szCs w:val="24"/>
        </w:rPr>
        <w:t xml:space="preserve">The fully conscious prepared animals were evaluated in either the fasting phase (after 24 h fasting) </w:t>
      </w:r>
      <w:r>
        <w:rPr>
          <w:rFonts w:ascii="Book Antiqua" w:hAnsi="Book Antiqua"/>
          <w:sz w:val="24"/>
          <w:szCs w:val="24"/>
        </w:rPr>
        <w:t>or in the postprandial phase (2–</w:t>
      </w:r>
      <w:r w:rsidRPr="00912B86">
        <w:rPr>
          <w:rFonts w:ascii="Book Antiqua" w:hAnsi="Book Antiqua"/>
          <w:sz w:val="24"/>
          <w:szCs w:val="24"/>
        </w:rPr>
        <w:t>3 h after feeding of a high-calorie, high-protein liquid diet). For each phase, the experimental procedure was initiated by opening the gastrocutaneous fistula and aspirating any contents from the stomach; the mean aspirated volume from the postprandial stage was 29 ± 2.3 mL (</w:t>
      </w:r>
      <w:r w:rsidRPr="00912B86">
        <w:rPr>
          <w:rFonts w:ascii="Book Antiqua" w:hAnsi="Book Antiqua"/>
          <w:i/>
          <w:sz w:val="24"/>
          <w:szCs w:val="24"/>
        </w:rPr>
        <w:t>n</w:t>
      </w:r>
      <w:r w:rsidRPr="00912B86">
        <w:rPr>
          <w:rFonts w:ascii="Book Antiqua" w:hAnsi="Book Antiqua"/>
          <w:sz w:val="24"/>
          <w:szCs w:val="24"/>
        </w:rPr>
        <w:t xml:space="preserve"> = 24), with a residual ratio of 11</w:t>
      </w:r>
      <w:r>
        <w:rPr>
          <w:rFonts w:ascii="Book Antiqua" w:eastAsia="宋体" w:hAnsi="Book Antiqua"/>
          <w:sz w:val="24"/>
          <w:szCs w:val="24"/>
          <w:lang w:eastAsia="zh-CN"/>
        </w:rPr>
        <w:t>%</w:t>
      </w:r>
      <w:r w:rsidRPr="00912B86">
        <w:rPr>
          <w:rFonts w:ascii="Book Antiqua" w:hAnsi="Book Antiqua"/>
          <w:sz w:val="24"/>
          <w:szCs w:val="24"/>
        </w:rPr>
        <w:t>-13%. A</w:t>
      </w:r>
      <w:r>
        <w:rPr>
          <w:rFonts w:ascii="Book Antiqua" w:hAnsi="Book Antiqua"/>
          <w:sz w:val="24"/>
          <w:szCs w:val="24"/>
        </w:rPr>
        <w:t xml:space="preserve"> polyethylene bag (diameter: 12-13 cm; capacity: 0-</w:t>
      </w:r>
      <w:r w:rsidRPr="00912B86">
        <w:rPr>
          <w:rFonts w:ascii="Book Antiqua" w:hAnsi="Book Antiqua"/>
          <w:sz w:val="24"/>
          <w:szCs w:val="24"/>
        </w:rPr>
        <w:t>1000 mL) fitted with a double-lumen polyvinyl tube was then inserted through the gastrocutaneous fistula into the proximal stoma</w:t>
      </w:r>
      <w:r>
        <w:rPr>
          <w:rFonts w:ascii="Book Antiqua" w:hAnsi="Book Antiqua"/>
          <w:sz w:val="24"/>
          <w:szCs w:val="24"/>
        </w:rPr>
        <w:t>ch and slowly inflated with 400-</w:t>
      </w:r>
      <w:r w:rsidRPr="00912B86">
        <w:rPr>
          <w:rFonts w:ascii="Book Antiqua" w:hAnsi="Book Antiqua"/>
          <w:sz w:val="24"/>
          <w:szCs w:val="24"/>
        </w:rPr>
        <w:t>500 mL of air to ensure proper positioning. After complete deflation of the bag, a polyvinyl tube was introduced into the stomach through the gastrocutaneous fistula, to allow for infusion of a triacetin solution or vehicle control (water). The double-lumen tube and the infusion tube were fixed with adhesive vinyl tape. Thereafter, the conscious dogs were placed in a sling with their legs touching the ground so that they were supported upright without pressure on the abdomen. The double-lumen tube was then connected to a barostat (Isobar-3; G</w:t>
      </w:r>
      <w:r>
        <w:rPr>
          <w:rFonts w:ascii="Book Antiqua" w:eastAsia="宋体" w:hAnsi="Book Antiqua"/>
          <w:sz w:val="24"/>
          <w:szCs w:val="24"/>
          <w:lang w:eastAsia="zh-CN"/>
        </w:rPr>
        <w:t xml:space="preserve"> and </w:t>
      </w:r>
      <w:r w:rsidRPr="00912B86">
        <w:rPr>
          <w:rFonts w:ascii="Book Antiqua" w:hAnsi="Book Antiqua"/>
          <w:sz w:val="24"/>
          <w:szCs w:val="24"/>
        </w:rPr>
        <w:t>J Electronics, Toronto, Canada) and the bag was gradually inflated from 2 to 5 mmHg in 1 mmHg stepwise 1 min increments. The minimal distending pressure (MDP) was determined by increasing the intra-gastric pressure to the point where volume variations were induced by respiratory motions. In this study, bag volumes of 30</w:t>
      </w:r>
      <w:r>
        <w:rPr>
          <w:rFonts w:ascii="Book Antiqua" w:hAnsi="Book Antiqua"/>
          <w:sz w:val="24"/>
          <w:szCs w:val="24"/>
        </w:rPr>
        <w:t>-</w:t>
      </w:r>
      <w:r w:rsidRPr="00912B86">
        <w:rPr>
          <w:rFonts w:ascii="Book Antiqua" w:hAnsi="Book Antiqua"/>
          <w:sz w:val="24"/>
          <w:szCs w:val="24"/>
        </w:rPr>
        <w:t>100 mL were required for the respiratory motions to influence intra-gastric pressure in the dogs; therefore, the MDP was maintained at approximately 3 mmHg throughout the experiment.</w:t>
      </w:r>
    </w:p>
    <w:p w:rsidR="004E5E2A" w:rsidRPr="00912B86" w:rsidRDefault="004E5E2A" w:rsidP="00912B86">
      <w:pPr>
        <w:pStyle w:val="ecxmsobodytext"/>
        <w:spacing w:before="0" w:beforeAutospacing="0" w:after="0" w:afterAutospacing="0" w:line="360" w:lineRule="auto"/>
        <w:jc w:val="both"/>
        <w:rPr>
          <w:rFonts w:ascii="Book Antiqua" w:hAnsi="Book Antiqua"/>
          <w:sz w:val="24"/>
          <w:szCs w:val="24"/>
        </w:rPr>
      </w:pPr>
    </w:p>
    <w:p w:rsidR="004E5E2A" w:rsidRPr="00912B86" w:rsidRDefault="004E5E2A" w:rsidP="00912B86">
      <w:pPr>
        <w:pStyle w:val="ecxmsobodytext"/>
        <w:spacing w:before="0" w:beforeAutospacing="0" w:after="0" w:afterAutospacing="0" w:line="360" w:lineRule="auto"/>
        <w:jc w:val="both"/>
        <w:rPr>
          <w:rFonts w:ascii="Book Antiqua" w:hAnsi="Book Antiqua"/>
          <w:i/>
          <w:sz w:val="24"/>
          <w:szCs w:val="24"/>
        </w:rPr>
      </w:pPr>
      <w:r w:rsidRPr="00912B86">
        <w:rPr>
          <w:rFonts w:ascii="Book Antiqua" w:hAnsi="Book Antiqua"/>
          <w:b/>
          <w:bCs/>
          <w:i/>
          <w:sz w:val="24"/>
          <w:szCs w:val="24"/>
        </w:rPr>
        <w:t>Experimental design</w:t>
      </w:r>
    </w:p>
    <w:p w:rsidR="004E5E2A" w:rsidRPr="00912B86" w:rsidRDefault="004E5E2A" w:rsidP="00912B86">
      <w:pPr>
        <w:pStyle w:val="ecxmsobodytext"/>
        <w:spacing w:before="0" w:beforeAutospacing="0" w:after="0" w:afterAutospacing="0" w:line="360" w:lineRule="auto"/>
        <w:jc w:val="both"/>
        <w:rPr>
          <w:rFonts w:ascii="Book Antiqua" w:hAnsi="Book Antiqua"/>
          <w:sz w:val="24"/>
          <w:szCs w:val="24"/>
        </w:rPr>
      </w:pPr>
      <w:r w:rsidRPr="00912B86">
        <w:rPr>
          <w:rFonts w:ascii="Book Antiqua" w:hAnsi="Book Antiqua"/>
          <w:sz w:val="24"/>
          <w:szCs w:val="24"/>
        </w:rPr>
        <w:t>This study used a barostat to examine the acute effects on fundic relaxation and gastric antral and duodenal contractions in conscious dogs in accordance wit</w:t>
      </w:r>
      <w:r>
        <w:rPr>
          <w:rFonts w:ascii="Book Antiqua" w:hAnsi="Book Antiqua"/>
          <w:sz w:val="24"/>
          <w:szCs w:val="24"/>
        </w:rPr>
        <w:t xml:space="preserve">h the methods of Furukawa </w:t>
      </w:r>
      <w:r w:rsidRPr="007F39D0">
        <w:rPr>
          <w:rFonts w:ascii="Book Antiqua" w:hAnsi="Book Antiqua"/>
          <w:i/>
          <w:sz w:val="24"/>
          <w:szCs w:val="24"/>
        </w:rPr>
        <w:t xml:space="preserve">et </w:t>
      </w:r>
      <w:proofErr w:type="gramStart"/>
      <w:r w:rsidRPr="007F39D0">
        <w:rPr>
          <w:rFonts w:ascii="Book Antiqua" w:hAnsi="Book Antiqua"/>
          <w:i/>
          <w:sz w:val="24"/>
          <w:szCs w:val="24"/>
        </w:rPr>
        <w:t>al</w:t>
      </w:r>
      <w:r w:rsidRPr="00912B86">
        <w:rPr>
          <w:rFonts w:ascii="Book Antiqua" w:hAnsi="Book Antiqua"/>
          <w:sz w:val="24"/>
          <w:szCs w:val="24"/>
          <w:vertAlign w:val="superscript"/>
        </w:rPr>
        <w:t>[</w:t>
      </w:r>
      <w:proofErr w:type="gramEnd"/>
      <w:r w:rsidRPr="00912B86">
        <w:rPr>
          <w:rFonts w:ascii="Book Antiqua" w:hAnsi="Book Antiqua"/>
          <w:sz w:val="24"/>
          <w:szCs w:val="24"/>
          <w:vertAlign w:val="superscript"/>
        </w:rPr>
        <w:t>11]</w:t>
      </w:r>
      <w:r w:rsidRPr="00912B86">
        <w:rPr>
          <w:rFonts w:ascii="Book Antiqua" w:hAnsi="Book Antiqua"/>
          <w:sz w:val="24"/>
          <w:szCs w:val="24"/>
        </w:rPr>
        <w:t>.</w:t>
      </w:r>
      <w:r w:rsidRPr="00912B86">
        <w:rPr>
          <w:rFonts w:ascii="Book Antiqua" w:hAnsi="Book Antiqua"/>
          <w:color w:val="FF0000"/>
          <w:sz w:val="24"/>
          <w:szCs w:val="24"/>
        </w:rPr>
        <w:t xml:space="preserve"> </w:t>
      </w:r>
      <w:r w:rsidRPr="00912B86">
        <w:rPr>
          <w:rFonts w:ascii="Book Antiqua" w:hAnsi="Book Antiqua"/>
          <w:sz w:val="24"/>
          <w:szCs w:val="24"/>
        </w:rPr>
        <w:t> Briefly, the intra-gastric bag was insufflated with air for 15 min, with the additional +2 mmHg bringing the MDP to 5 mmHg. After the initiation of insufflation for 5 min, 20 mL of pre-warmed (37</w:t>
      </w:r>
      <w:r>
        <w:rPr>
          <w:rFonts w:ascii="Book Antiqua" w:eastAsia="宋体" w:hAnsi="Book Antiqua"/>
          <w:sz w:val="24"/>
          <w:szCs w:val="24"/>
          <w:lang w:eastAsia="zh-CN"/>
        </w:rPr>
        <w:t xml:space="preserve"> </w:t>
      </w:r>
      <w:r w:rsidRPr="00912B86">
        <w:rPr>
          <w:rFonts w:ascii="Book Antiqua" w:hAnsi="Book Antiqua"/>
          <w:sz w:val="24"/>
          <w:szCs w:val="24"/>
        </w:rPr>
        <w:t xml:space="preserve">°C) 0.5%, 1% or 2% triacetin or water were infused directly into the stomach over a period of 30 s through an infusion tube in the gastrocutaneous fistula. At the same time as the infusions, the force transducers were used to continuously measure the gastric antral and duodenal contractions. </w:t>
      </w:r>
    </w:p>
    <w:p w:rsidR="004E5E2A" w:rsidRPr="00912B86" w:rsidRDefault="004E5E2A" w:rsidP="007F39D0">
      <w:pPr>
        <w:pStyle w:val="ecxmsobodytext"/>
        <w:spacing w:before="0" w:beforeAutospacing="0" w:after="0" w:afterAutospacing="0" w:line="360" w:lineRule="auto"/>
        <w:ind w:firstLineChars="200" w:firstLine="480"/>
        <w:jc w:val="both"/>
        <w:rPr>
          <w:rFonts w:ascii="Book Antiqua" w:hAnsi="Book Antiqua"/>
          <w:sz w:val="24"/>
          <w:szCs w:val="24"/>
        </w:rPr>
      </w:pPr>
      <w:r w:rsidRPr="00912B86">
        <w:rPr>
          <w:rFonts w:ascii="Book Antiqua" w:hAnsi="Book Antiqua"/>
          <w:sz w:val="24"/>
          <w:szCs w:val="24"/>
        </w:rPr>
        <w:t xml:space="preserve">For each animal, the experimental procedures were performed twice per week over a period of several months. Each animal received at least one infusion of each of the triacetin solutions as well vehicle before completion of the experimental course. The total numbers of fasting and postprandial phase experiments were nearly identical for all three dogs. </w:t>
      </w:r>
    </w:p>
    <w:p w:rsidR="004E5E2A" w:rsidRPr="00912B86" w:rsidRDefault="004E5E2A" w:rsidP="00912B86">
      <w:pPr>
        <w:pStyle w:val="ecxmsobodytext"/>
        <w:spacing w:before="0" w:beforeAutospacing="0" w:after="0" w:afterAutospacing="0" w:line="360" w:lineRule="auto"/>
        <w:jc w:val="both"/>
        <w:rPr>
          <w:rFonts w:ascii="Book Antiqua" w:hAnsi="Book Antiqua"/>
          <w:b/>
          <w:bCs/>
          <w:sz w:val="24"/>
          <w:szCs w:val="24"/>
        </w:rPr>
      </w:pPr>
    </w:p>
    <w:p w:rsidR="004E5E2A" w:rsidRPr="00912B86" w:rsidRDefault="004E5E2A" w:rsidP="00912B86">
      <w:pPr>
        <w:pStyle w:val="ecxmsobodytext"/>
        <w:spacing w:before="0" w:beforeAutospacing="0" w:after="0" w:afterAutospacing="0" w:line="360" w:lineRule="auto"/>
        <w:jc w:val="both"/>
        <w:rPr>
          <w:rFonts w:ascii="Book Antiqua" w:hAnsi="Book Antiqua"/>
          <w:i/>
          <w:sz w:val="24"/>
          <w:szCs w:val="24"/>
        </w:rPr>
      </w:pPr>
      <w:r w:rsidRPr="00912B86">
        <w:rPr>
          <w:rFonts w:ascii="Book Antiqua" w:hAnsi="Book Antiqua"/>
          <w:b/>
          <w:bCs/>
          <w:i/>
          <w:sz w:val="24"/>
          <w:szCs w:val="24"/>
        </w:rPr>
        <w:t>Data analysis</w:t>
      </w:r>
    </w:p>
    <w:p w:rsidR="004E5E2A" w:rsidRPr="00912B86" w:rsidRDefault="004E5E2A" w:rsidP="00912B86">
      <w:pPr>
        <w:pStyle w:val="ecxmsonormal"/>
        <w:spacing w:before="0" w:beforeAutospacing="0" w:after="0" w:afterAutospacing="0" w:line="360" w:lineRule="auto"/>
        <w:jc w:val="both"/>
        <w:rPr>
          <w:rFonts w:ascii="Book Antiqua" w:hAnsi="Book Antiqua"/>
          <w:sz w:val="24"/>
          <w:szCs w:val="24"/>
        </w:rPr>
      </w:pPr>
      <w:r w:rsidRPr="00912B86">
        <w:rPr>
          <w:rFonts w:ascii="Book Antiqua" w:hAnsi="Book Antiqua"/>
          <w:sz w:val="24"/>
          <w:szCs w:val="24"/>
        </w:rPr>
        <w:t>During the 15 min gastric dis</w:t>
      </w:r>
      <w:r>
        <w:rPr>
          <w:rFonts w:ascii="Book Antiqua" w:hAnsi="Book Antiqua"/>
          <w:sz w:val="24"/>
          <w:szCs w:val="24"/>
        </w:rPr>
        <w:t>tension performed at a MDP of +</w:t>
      </w:r>
      <w:r w:rsidRPr="00912B86">
        <w:rPr>
          <w:rFonts w:ascii="Book Antiqua" w:hAnsi="Book Antiqua"/>
          <w:sz w:val="24"/>
          <w:szCs w:val="24"/>
        </w:rPr>
        <w:t xml:space="preserve">2mmHg, the intra-gastric bag volume was calculated as the gastric tone over 1 min intervals. According to Furukawa </w:t>
      </w:r>
      <w:r w:rsidRPr="007F39D0">
        <w:rPr>
          <w:rFonts w:ascii="Book Antiqua" w:hAnsi="Book Antiqua"/>
          <w:i/>
          <w:sz w:val="24"/>
          <w:szCs w:val="24"/>
        </w:rPr>
        <w:t xml:space="preserve">et </w:t>
      </w:r>
      <w:proofErr w:type="gramStart"/>
      <w:r w:rsidRPr="007F39D0">
        <w:rPr>
          <w:rFonts w:ascii="Book Antiqua" w:hAnsi="Book Antiqua"/>
          <w:i/>
          <w:sz w:val="24"/>
          <w:szCs w:val="24"/>
        </w:rPr>
        <w:t>al</w:t>
      </w:r>
      <w:r w:rsidRPr="00912B86">
        <w:rPr>
          <w:rFonts w:ascii="Book Antiqua" w:hAnsi="Book Antiqua"/>
          <w:sz w:val="24"/>
          <w:szCs w:val="24"/>
          <w:vertAlign w:val="superscript"/>
        </w:rPr>
        <w:t>[</w:t>
      </w:r>
      <w:proofErr w:type="gramEnd"/>
      <w:r w:rsidRPr="00912B86">
        <w:rPr>
          <w:rFonts w:ascii="Book Antiqua" w:hAnsi="Book Antiqua"/>
          <w:sz w:val="24"/>
          <w:szCs w:val="24"/>
          <w:vertAlign w:val="superscript"/>
        </w:rPr>
        <w:t>1</w:t>
      </w:r>
      <w:r w:rsidRPr="00912B86">
        <w:rPr>
          <w:rFonts w:ascii="Book Antiqua" w:hAnsi="Book Antiqua"/>
          <w:sz w:val="24"/>
          <w:szCs w:val="24"/>
          <w:vertAlign w:val="superscript"/>
          <w:lang w:eastAsia="ja-JP"/>
        </w:rPr>
        <w:t>2</w:t>
      </w:r>
      <w:r w:rsidRPr="00912B86">
        <w:rPr>
          <w:rFonts w:ascii="Book Antiqua" w:hAnsi="Book Antiqua"/>
          <w:sz w:val="24"/>
          <w:szCs w:val="24"/>
          <w:vertAlign w:val="superscript"/>
        </w:rPr>
        <w:t>]</w:t>
      </w:r>
      <w:r w:rsidRPr="00912B86">
        <w:rPr>
          <w:rFonts w:ascii="Book Antiqua" w:hAnsi="Book Antiqua"/>
          <w:sz w:val="24"/>
          <w:szCs w:val="24"/>
        </w:rPr>
        <w:t>,</w:t>
      </w:r>
      <w:r w:rsidRPr="00912B86">
        <w:rPr>
          <w:rFonts w:ascii="Book Antiqua" w:hAnsi="Book Antiqua"/>
          <w:b/>
          <w:bCs/>
          <w:color w:val="FF0000"/>
          <w:sz w:val="24"/>
          <w:szCs w:val="24"/>
        </w:rPr>
        <w:t xml:space="preserve"> </w:t>
      </w:r>
      <w:r w:rsidRPr="00912B86">
        <w:rPr>
          <w:rFonts w:ascii="Book Antiqua" w:hAnsi="Book Antiqua"/>
          <w:sz w:val="24"/>
          <w:szCs w:val="24"/>
        </w:rPr>
        <w:t>the mean values of three intra-gastric bag volumes at 3, 4 and 5 min after initiation of the gastric distension were designated as the basal volume before intra-gastric infusion of either the</w:t>
      </w:r>
      <w:bookmarkStart w:id="6" w:name="OLE_LINK3"/>
      <w:r>
        <w:rPr>
          <w:rFonts w:ascii="Book Antiqua" w:hAnsi="Book Antiqua"/>
          <w:sz w:val="24"/>
          <w:szCs w:val="24"/>
        </w:rPr>
        <w:t xml:space="preserve"> triacetin solutions or water. </w:t>
      </w:r>
      <w:r w:rsidRPr="00912B86">
        <w:rPr>
          <w:rFonts w:ascii="Book Antiqua" w:hAnsi="Book Antiqua"/>
          <w:sz w:val="24"/>
          <w:szCs w:val="24"/>
        </w:rPr>
        <w:t>To evaluate the effect of triacetin on the proximal stomach receptive volume at a constant distending pressure, the mean values of the 1 min interval after the infusion were compared with the mean values of the basal volume. In addition, the differences between the basal volume and the volume after the infusion were calculated at 1 min intervals, with the triacetin data for the periods between 0-10 min compared to those of water</w:t>
      </w:r>
      <w:bookmarkEnd w:id="6"/>
      <w:r w:rsidRPr="00912B86">
        <w:rPr>
          <w:rFonts w:ascii="Book Antiqua" w:hAnsi="Book Antiqua"/>
          <w:sz w:val="24"/>
          <w:szCs w:val="24"/>
        </w:rPr>
        <w:t xml:space="preserve">. The effect of triacetin </w:t>
      </w:r>
      <w:r w:rsidRPr="00912B86">
        <w:rPr>
          <w:rFonts w:ascii="Book Antiqua" w:hAnsi="Book Antiqua"/>
          <w:sz w:val="24"/>
          <w:szCs w:val="24"/>
        </w:rPr>
        <w:lastRenderedPageBreak/>
        <w:t xml:space="preserve">on contractility was evaluated by plotting the relative values of gastrointestinal contractility size that were obtained at every minute interval and calculating the area under the curve (AUC). As per the method described by Furukawa </w:t>
      </w:r>
      <w:r w:rsidRPr="007F39D0">
        <w:rPr>
          <w:rFonts w:ascii="Book Antiqua" w:hAnsi="Book Antiqua"/>
          <w:i/>
          <w:sz w:val="24"/>
          <w:szCs w:val="24"/>
        </w:rPr>
        <w:t xml:space="preserve">et </w:t>
      </w:r>
      <w:proofErr w:type="gramStart"/>
      <w:r w:rsidRPr="007F39D0">
        <w:rPr>
          <w:rFonts w:ascii="Book Antiqua" w:hAnsi="Book Antiqua"/>
          <w:i/>
          <w:sz w:val="24"/>
          <w:szCs w:val="24"/>
        </w:rPr>
        <w:t>al</w:t>
      </w:r>
      <w:r w:rsidRPr="00912B86">
        <w:rPr>
          <w:rFonts w:ascii="Book Antiqua" w:hAnsi="Book Antiqua"/>
          <w:sz w:val="24"/>
          <w:szCs w:val="24"/>
          <w:vertAlign w:val="superscript"/>
        </w:rPr>
        <w:t>[</w:t>
      </w:r>
      <w:proofErr w:type="gramEnd"/>
      <w:r w:rsidRPr="00912B86">
        <w:rPr>
          <w:rFonts w:ascii="Book Antiqua" w:hAnsi="Book Antiqua"/>
          <w:sz w:val="24"/>
          <w:szCs w:val="24"/>
          <w:vertAlign w:val="superscript"/>
        </w:rPr>
        <w:t>1</w:t>
      </w:r>
      <w:r w:rsidRPr="00912B86">
        <w:rPr>
          <w:rFonts w:ascii="Book Antiqua" w:hAnsi="Book Antiqua"/>
          <w:sz w:val="24"/>
          <w:szCs w:val="24"/>
          <w:vertAlign w:val="superscript"/>
          <w:lang w:eastAsia="ja-JP"/>
        </w:rPr>
        <w:t>2</w:t>
      </w:r>
      <w:r w:rsidRPr="00912B86">
        <w:rPr>
          <w:rFonts w:ascii="Book Antiqua" w:hAnsi="Book Antiqua"/>
          <w:sz w:val="24"/>
          <w:szCs w:val="24"/>
          <w:vertAlign w:val="superscript"/>
        </w:rPr>
        <w:t>]</w:t>
      </w:r>
      <w:r w:rsidRPr="00912B86">
        <w:rPr>
          <w:rFonts w:ascii="Book Antiqua" w:hAnsi="Book Antiqua"/>
          <w:sz w:val="24"/>
          <w:szCs w:val="24"/>
        </w:rPr>
        <w:t>, the average of the 1 min intervals of AUC from 3 to 5 min after the onset of distension was used as the control value. The changes in relative magnitudes of the contractions from the control values after the infusion were then compared between the triacetin and water administrations. These results were expressed as mean</w:t>
      </w:r>
      <w:r w:rsidRPr="00912B86">
        <w:rPr>
          <w:rFonts w:ascii="Book Antiqua" w:hAnsi="Book Antiqua"/>
          <w:color w:val="000000"/>
          <w:sz w:val="24"/>
          <w:szCs w:val="24"/>
        </w:rPr>
        <w:t xml:space="preserve"> ±</w:t>
      </w:r>
      <w:r>
        <w:rPr>
          <w:rFonts w:ascii="Book Antiqua" w:hAnsi="Book Antiqua"/>
          <w:sz w:val="24"/>
          <w:szCs w:val="24"/>
        </w:rPr>
        <w:t xml:space="preserve"> SE</w:t>
      </w:r>
      <w:r w:rsidRPr="00912B86">
        <w:rPr>
          <w:rFonts w:ascii="Book Antiqua" w:hAnsi="Book Antiqua"/>
          <w:sz w:val="24"/>
          <w:szCs w:val="24"/>
        </w:rPr>
        <w:t xml:space="preserve"> The significance of intergroup differences was assessed by ANOVA with Bonferroni-Dunn post-hoc testing. </w:t>
      </w:r>
    </w:p>
    <w:p w:rsidR="004E5E2A" w:rsidRDefault="004E5E2A" w:rsidP="00912B86">
      <w:pPr>
        <w:pStyle w:val="ecxmsobodytext"/>
        <w:spacing w:before="0" w:beforeAutospacing="0" w:after="0" w:afterAutospacing="0" w:line="360" w:lineRule="auto"/>
        <w:jc w:val="both"/>
        <w:rPr>
          <w:rFonts w:ascii="Book Antiqua" w:eastAsia="宋体" w:hAnsi="Book Antiqua"/>
          <w:b/>
          <w:bCs/>
          <w:sz w:val="24"/>
          <w:szCs w:val="24"/>
          <w:lang w:eastAsia="zh-CN"/>
        </w:rPr>
      </w:pPr>
    </w:p>
    <w:p w:rsidR="004E5E2A" w:rsidRPr="00912B86" w:rsidRDefault="004E5E2A" w:rsidP="00912B86">
      <w:pPr>
        <w:pStyle w:val="ecxmsobodytext"/>
        <w:spacing w:before="0" w:beforeAutospacing="0" w:after="0" w:afterAutospacing="0" w:line="360" w:lineRule="auto"/>
        <w:jc w:val="both"/>
        <w:rPr>
          <w:rFonts w:ascii="Book Antiqua" w:hAnsi="Book Antiqua"/>
          <w:sz w:val="24"/>
          <w:szCs w:val="24"/>
        </w:rPr>
      </w:pPr>
      <w:r w:rsidRPr="00912B86">
        <w:rPr>
          <w:rFonts w:ascii="Book Antiqua" w:hAnsi="Book Antiqua"/>
          <w:b/>
          <w:bCs/>
          <w:sz w:val="24"/>
          <w:szCs w:val="24"/>
        </w:rPr>
        <w:t>RESULTS</w:t>
      </w:r>
    </w:p>
    <w:p w:rsidR="004E5E2A" w:rsidRPr="00912B86" w:rsidRDefault="004E5E2A" w:rsidP="00912B86">
      <w:pPr>
        <w:pStyle w:val="ecxmsobodytext"/>
        <w:spacing w:before="0" w:beforeAutospacing="0" w:after="0" w:afterAutospacing="0" w:line="360" w:lineRule="auto"/>
        <w:jc w:val="both"/>
        <w:rPr>
          <w:rFonts w:ascii="Book Antiqua" w:hAnsi="Book Antiqua"/>
          <w:i/>
          <w:sz w:val="24"/>
          <w:szCs w:val="24"/>
        </w:rPr>
      </w:pPr>
      <w:r w:rsidRPr="00912B86">
        <w:rPr>
          <w:rFonts w:ascii="Book Antiqua" w:hAnsi="Book Antiqua"/>
          <w:b/>
          <w:bCs/>
          <w:i/>
          <w:sz w:val="24"/>
          <w:szCs w:val="24"/>
        </w:rPr>
        <w:t>Effects of intra-gastric triacetin on proximal gastric tone</w:t>
      </w:r>
    </w:p>
    <w:p w:rsidR="004E5E2A" w:rsidRPr="007F39D0" w:rsidRDefault="004E5E2A" w:rsidP="00912B86">
      <w:pPr>
        <w:pStyle w:val="ecxmsobodytext"/>
        <w:spacing w:before="0" w:beforeAutospacing="0" w:after="0" w:afterAutospacing="0" w:line="360" w:lineRule="auto"/>
        <w:jc w:val="both"/>
        <w:rPr>
          <w:rFonts w:ascii="Book Antiqua" w:hAnsi="Book Antiqua"/>
          <w:b/>
          <w:sz w:val="24"/>
          <w:szCs w:val="24"/>
        </w:rPr>
      </w:pPr>
      <w:r w:rsidRPr="007F39D0">
        <w:rPr>
          <w:rFonts w:ascii="Book Antiqua" w:hAnsi="Book Antiqua"/>
          <w:b/>
          <w:bCs/>
          <w:iCs/>
          <w:sz w:val="24"/>
          <w:szCs w:val="24"/>
        </w:rPr>
        <w:t xml:space="preserve">Fasting phase </w:t>
      </w:r>
    </w:p>
    <w:p w:rsidR="004E5E2A" w:rsidRPr="00912B86" w:rsidRDefault="004E5E2A" w:rsidP="00912B86">
      <w:pPr>
        <w:pStyle w:val="ecxmsobodytext"/>
        <w:spacing w:before="0" w:beforeAutospacing="0" w:after="0" w:afterAutospacing="0" w:line="360" w:lineRule="auto"/>
        <w:jc w:val="both"/>
        <w:rPr>
          <w:rFonts w:ascii="Book Antiqua" w:hAnsi="Book Antiqua"/>
          <w:sz w:val="24"/>
          <w:szCs w:val="24"/>
        </w:rPr>
      </w:pPr>
      <w:r w:rsidRPr="00912B86">
        <w:rPr>
          <w:rFonts w:ascii="Book Antiqua" w:hAnsi="Book Antiqua"/>
          <w:sz w:val="24"/>
          <w:szCs w:val="24"/>
        </w:rPr>
        <w:t xml:space="preserve">A slight increase was observed in the intra-gastric bag volume immediately after the infusion of water, but was not significantly different from the pre-infusion volume (Figure 2A). Infusion of 0.5% triacetin did not produce a significant increase in the receptive volume, and only a slight distention of the intra-gastric bag was observed that was similar to that seen for the water infusion (data not shown). In contrast, infusion of 1.0% triacetin led to a rapid increase in the intra-gastric bag mean volume, from </w:t>
      </w:r>
      <w:r w:rsidRPr="00912B86">
        <w:rPr>
          <w:rFonts w:ascii="Book Antiqua" w:hAnsi="Book Antiqua"/>
          <w:color w:val="000000"/>
          <w:sz w:val="24"/>
          <w:szCs w:val="24"/>
        </w:rPr>
        <w:t xml:space="preserve">the mean basal volume of </w:t>
      </w:r>
      <w:r w:rsidRPr="00912B86">
        <w:rPr>
          <w:rFonts w:ascii="Book Antiqua" w:hAnsi="Book Antiqua"/>
          <w:sz w:val="24"/>
          <w:szCs w:val="24"/>
        </w:rPr>
        <w:t>129.</w:t>
      </w:r>
      <w:r w:rsidRPr="00912B86">
        <w:rPr>
          <w:rFonts w:ascii="Book Antiqua" w:hAnsi="Book Antiqua"/>
          <w:color w:val="000000"/>
          <w:sz w:val="24"/>
          <w:szCs w:val="24"/>
        </w:rPr>
        <w:t xml:space="preserve">3 ± 10.2 mL </w:t>
      </w:r>
      <w:bookmarkStart w:id="7" w:name="OLE_LINK1"/>
      <w:r w:rsidRPr="00912B86">
        <w:rPr>
          <w:rFonts w:ascii="Book Antiqua" w:hAnsi="Book Antiqua"/>
          <w:color w:val="000000"/>
          <w:sz w:val="24"/>
          <w:szCs w:val="24"/>
        </w:rPr>
        <w:t xml:space="preserve">to a peak of 189.8 ± 14.5 mL at 1 min </w:t>
      </w:r>
      <w:bookmarkEnd w:id="7"/>
      <w:r w:rsidRPr="00912B86">
        <w:rPr>
          <w:rFonts w:ascii="Book Antiqua" w:hAnsi="Book Antiqua"/>
          <w:color w:val="000000"/>
          <w:sz w:val="24"/>
          <w:szCs w:val="24"/>
        </w:rPr>
        <w:t>(</w:t>
      </w:r>
      <w:r w:rsidRPr="00912B86">
        <w:rPr>
          <w:rFonts w:ascii="Book Antiqua" w:hAnsi="Book Antiqua"/>
          <w:i/>
          <w:color w:val="000000"/>
          <w:sz w:val="24"/>
          <w:szCs w:val="24"/>
        </w:rPr>
        <w:t>n</w:t>
      </w:r>
      <w:r w:rsidRPr="00912B86">
        <w:rPr>
          <w:rFonts w:ascii="Book Antiqua" w:hAnsi="Book Antiqua"/>
          <w:color w:val="000000"/>
          <w:sz w:val="24"/>
          <w:szCs w:val="24"/>
        </w:rPr>
        <w:t xml:space="preserve"> = 8). In addition, infusion of 2.0% triacetin led to a similar rapid increase, from the mean basal volume of 109.4 ± 7.2 mL to 179.1 ± 16.2 mL at 1 min </w:t>
      </w:r>
      <w:r w:rsidRPr="00912B86">
        <w:rPr>
          <w:rFonts w:ascii="Book Antiqua" w:hAnsi="Book Antiqua"/>
          <w:sz w:val="24"/>
          <w:szCs w:val="24"/>
        </w:rPr>
        <w:t>(</w:t>
      </w:r>
      <w:r w:rsidRPr="00912B86">
        <w:rPr>
          <w:rFonts w:ascii="Book Antiqua" w:hAnsi="Book Antiqua"/>
          <w:i/>
          <w:sz w:val="24"/>
          <w:szCs w:val="24"/>
        </w:rPr>
        <w:t>n</w:t>
      </w:r>
      <w:r w:rsidRPr="00912B86">
        <w:rPr>
          <w:rFonts w:ascii="Book Antiqua" w:hAnsi="Book Antiqua"/>
          <w:sz w:val="24"/>
          <w:szCs w:val="24"/>
        </w:rPr>
        <w:t xml:space="preserve"> = 7) </w:t>
      </w:r>
      <w:r w:rsidRPr="00912B86">
        <w:rPr>
          <w:rFonts w:ascii="Book Antiqua" w:hAnsi="Book Antiqua"/>
          <w:color w:val="000000"/>
          <w:sz w:val="24"/>
          <w:szCs w:val="24"/>
        </w:rPr>
        <w:t>and a peak of 181.2 ±</w:t>
      </w:r>
      <w:r w:rsidRPr="00912B86">
        <w:rPr>
          <w:rFonts w:ascii="Book Antiqua" w:hAnsi="Book Antiqua"/>
          <w:sz w:val="24"/>
          <w:szCs w:val="24"/>
        </w:rPr>
        <w:t xml:space="preserve"> 14.1 mL at 2 min (</w:t>
      </w:r>
      <w:r w:rsidRPr="00912B86">
        <w:rPr>
          <w:rFonts w:ascii="Book Antiqua" w:hAnsi="Book Antiqua"/>
          <w:i/>
          <w:sz w:val="24"/>
          <w:szCs w:val="24"/>
        </w:rPr>
        <w:t>n</w:t>
      </w:r>
      <w:r w:rsidRPr="00912B86">
        <w:rPr>
          <w:rFonts w:ascii="Book Antiqua" w:hAnsi="Book Antiqua"/>
          <w:sz w:val="24"/>
          <w:szCs w:val="24"/>
        </w:rPr>
        <w:t xml:space="preserve"> = 7). These increases in the receptive volume induced by 1% and 2% triacetin infusions were significantly greater than the water infusion</w:t>
      </w:r>
      <w:r w:rsidRPr="00912B86">
        <w:rPr>
          <w:rFonts w:ascii="Book Antiqua" w:hAnsi="Book Antiqua"/>
          <w:color w:val="FF0000"/>
          <w:sz w:val="24"/>
          <w:szCs w:val="24"/>
        </w:rPr>
        <w:t xml:space="preserve"> </w:t>
      </w:r>
      <w:r w:rsidRPr="00912B86">
        <w:rPr>
          <w:rFonts w:ascii="Book Antiqua" w:hAnsi="Book Antiqua"/>
          <w:sz w:val="24"/>
          <w:szCs w:val="24"/>
        </w:rPr>
        <w:t>(Figure 2A).</w:t>
      </w:r>
    </w:p>
    <w:p w:rsidR="004E5E2A" w:rsidRPr="007F39D0" w:rsidRDefault="004E5E2A" w:rsidP="00912B86">
      <w:pPr>
        <w:pStyle w:val="ecxmsobodytext"/>
        <w:spacing w:before="0" w:beforeAutospacing="0" w:after="0" w:afterAutospacing="0" w:line="360" w:lineRule="auto"/>
        <w:jc w:val="both"/>
        <w:rPr>
          <w:rFonts w:ascii="Book Antiqua" w:eastAsia="宋体" w:hAnsi="Book Antiqua"/>
          <w:b/>
          <w:bCs/>
          <w:iCs/>
          <w:sz w:val="24"/>
          <w:szCs w:val="24"/>
          <w:lang w:eastAsia="zh-CN"/>
        </w:rPr>
      </w:pPr>
    </w:p>
    <w:p w:rsidR="004E5E2A" w:rsidRPr="007F39D0" w:rsidRDefault="004E5E2A" w:rsidP="00912B86">
      <w:pPr>
        <w:pStyle w:val="ecxmsobodytext"/>
        <w:spacing w:before="0" w:beforeAutospacing="0" w:after="0" w:afterAutospacing="0" w:line="360" w:lineRule="auto"/>
        <w:jc w:val="both"/>
        <w:rPr>
          <w:rFonts w:ascii="Book Antiqua" w:hAnsi="Book Antiqua"/>
          <w:b/>
          <w:sz w:val="24"/>
          <w:szCs w:val="24"/>
        </w:rPr>
      </w:pPr>
      <w:r w:rsidRPr="007F39D0">
        <w:rPr>
          <w:rFonts w:ascii="Book Antiqua" w:hAnsi="Book Antiqua"/>
          <w:b/>
          <w:bCs/>
          <w:iCs/>
          <w:sz w:val="24"/>
          <w:szCs w:val="24"/>
        </w:rPr>
        <w:t>Postprandial phase</w:t>
      </w:r>
    </w:p>
    <w:p w:rsidR="004E5E2A" w:rsidRPr="00912B86" w:rsidRDefault="004E5E2A" w:rsidP="00912B86">
      <w:pPr>
        <w:pStyle w:val="ecxmsobodytext"/>
        <w:spacing w:before="0" w:beforeAutospacing="0" w:after="0" w:afterAutospacing="0" w:line="360" w:lineRule="auto"/>
        <w:jc w:val="both"/>
        <w:rPr>
          <w:rFonts w:ascii="Book Antiqua" w:hAnsi="Book Antiqua"/>
          <w:sz w:val="24"/>
          <w:szCs w:val="24"/>
        </w:rPr>
      </w:pPr>
      <w:r w:rsidRPr="00912B86">
        <w:rPr>
          <w:rFonts w:ascii="Book Antiqua" w:hAnsi="Book Antiqua"/>
          <w:sz w:val="24"/>
          <w:szCs w:val="24"/>
        </w:rPr>
        <w:t xml:space="preserve">In the postprandial phase, a slight increase in the receptive volume was observed that was similar to that seen during the fasting phase. Infusions of 1.0% and 2.0% </w:t>
      </w:r>
      <w:r w:rsidRPr="00912B86">
        <w:rPr>
          <w:rFonts w:ascii="Book Antiqua" w:hAnsi="Book Antiqua"/>
          <w:sz w:val="24"/>
          <w:szCs w:val="24"/>
        </w:rPr>
        <w:lastRenderedPageBreak/>
        <w:t xml:space="preserve">triacetin led to rapid increases in the receptive volume, which were greater than those induced by the water infusion but the differences did not reach statistical significance (Figure 2B). </w:t>
      </w:r>
    </w:p>
    <w:p w:rsidR="004E5E2A" w:rsidRPr="00912B86" w:rsidRDefault="004E5E2A" w:rsidP="00912B86">
      <w:pPr>
        <w:pStyle w:val="ecxmsobodytext"/>
        <w:spacing w:before="0" w:beforeAutospacing="0" w:after="0" w:afterAutospacing="0" w:line="360" w:lineRule="auto"/>
        <w:jc w:val="both"/>
        <w:rPr>
          <w:rFonts w:ascii="Book Antiqua" w:hAnsi="Book Antiqua"/>
          <w:b/>
          <w:bCs/>
          <w:sz w:val="24"/>
          <w:szCs w:val="24"/>
        </w:rPr>
      </w:pPr>
    </w:p>
    <w:p w:rsidR="004E5E2A" w:rsidRPr="00912B86" w:rsidRDefault="004E5E2A" w:rsidP="00912B86">
      <w:pPr>
        <w:pStyle w:val="ecxmsobodytext"/>
        <w:spacing w:before="0" w:beforeAutospacing="0" w:after="0" w:afterAutospacing="0" w:line="360" w:lineRule="auto"/>
        <w:jc w:val="both"/>
        <w:rPr>
          <w:rFonts w:ascii="Book Antiqua" w:hAnsi="Book Antiqua"/>
          <w:i/>
          <w:sz w:val="24"/>
          <w:szCs w:val="24"/>
        </w:rPr>
      </w:pPr>
      <w:r w:rsidRPr="00912B86">
        <w:rPr>
          <w:rFonts w:ascii="Book Antiqua" w:hAnsi="Book Antiqua"/>
          <w:b/>
          <w:bCs/>
          <w:i/>
          <w:sz w:val="24"/>
          <w:szCs w:val="24"/>
        </w:rPr>
        <w:t>Time-related effects of intra-gastric triacetin on proximal gastric tone</w:t>
      </w:r>
    </w:p>
    <w:p w:rsidR="004E5E2A" w:rsidRPr="007F39D0" w:rsidRDefault="004E5E2A" w:rsidP="00912B86">
      <w:pPr>
        <w:pStyle w:val="ecxmsobodytext"/>
        <w:spacing w:before="0" w:beforeAutospacing="0" w:after="0" w:afterAutospacing="0" w:line="360" w:lineRule="auto"/>
        <w:jc w:val="both"/>
        <w:rPr>
          <w:rFonts w:ascii="Book Antiqua" w:hAnsi="Book Antiqua"/>
          <w:b/>
          <w:sz w:val="24"/>
          <w:szCs w:val="24"/>
        </w:rPr>
      </w:pPr>
      <w:r w:rsidRPr="007F39D0">
        <w:rPr>
          <w:rFonts w:ascii="Book Antiqua" w:hAnsi="Book Antiqua"/>
          <w:b/>
          <w:bCs/>
          <w:iCs/>
          <w:sz w:val="24"/>
          <w:szCs w:val="24"/>
        </w:rPr>
        <w:t>Fasting phase</w:t>
      </w:r>
    </w:p>
    <w:p w:rsidR="004E5E2A" w:rsidRPr="00912B86" w:rsidRDefault="004E5E2A" w:rsidP="00912B86">
      <w:pPr>
        <w:pStyle w:val="ecxmsobodytext"/>
        <w:spacing w:before="0" w:beforeAutospacing="0" w:after="0" w:afterAutospacing="0" w:line="360" w:lineRule="auto"/>
        <w:jc w:val="both"/>
        <w:rPr>
          <w:rFonts w:ascii="Book Antiqua" w:hAnsi="Book Antiqua"/>
          <w:sz w:val="24"/>
          <w:szCs w:val="24"/>
        </w:rPr>
      </w:pPr>
      <w:r w:rsidRPr="00912B86">
        <w:rPr>
          <w:rFonts w:ascii="Book Antiqua" w:hAnsi="Book Antiqua"/>
          <w:sz w:val="24"/>
          <w:szCs w:val="24"/>
        </w:rPr>
        <w:t xml:space="preserve">At 0 - 2 min after infusion of 1.0% triacetin, the increase in the receptive volume </w:t>
      </w:r>
      <w:r w:rsidRPr="00912B86">
        <w:rPr>
          <w:rFonts w:ascii="Book Antiqua" w:hAnsi="Book Antiqua"/>
          <w:color w:val="000000"/>
          <w:sz w:val="24"/>
          <w:szCs w:val="24"/>
        </w:rPr>
        <w:t xml:space="preserve">(56.5 ± 10.1, </w:t>
      </w:r>
      <w:r w:rsidRPr="00912B86">
        <w:rPr>
          <w:rFonts w:ascii="Book Antiqua" w:hAnsi="Book Antiqua"/>
          <w:i/>
          <w:color w:val="000000"/>
          <w:sz w:val="24"/>
          <w:szCs w:val="24"/>
        </w:rPr>
        <w:t>n</w:t>
      </w:r>
      <w:r w:rsidRPr="00912B86">
        <w:rPr>
          <w:rFonts w:ascii="Book Antiqua" w:hAnsi="Book Antiqua"/>
          <w:color w:val="000000"/>
          <w:sz w:val="24"/>
          <w:szCs w:val="24"/>
        </w:rPr>
        <w:t xml:space="preserve"> = 8) was significantly greater than that induced by the infusion of water alone (24.4 ± 3.7, </w:t>
      </w:r>
      <w:r w:rsidRPr="00912B86">
        <w:rPr>
          <w:rFonts w:ascii="Book Antiqua" w:hAnsi="Book Antiqua"/>
          <w:i/>
          <w:color w:val="000000"/>
          <w:sz w:val="24"/>
          <w:szCs w:val="24"/>
        </w:rPr>
        <w:t>n</w:t>
      </w:r>
      <w:r w:rsidRPr="00912B86">
        <w:rPr>
          <w:rFonts w:ascii="Book Antiqua" w:hAnsi="Book Antiqua"/>
          <w:color w:val="000000"/>
          <w:sz w:val="24"/>
          <w:szCs w:val="24"/>
        </w:rPr>
        <w:t xml:space="preserve"> = 12). At 0 - 4 min after infusion of 2.0% triacetin, the increase in the receptive volume (62.4 ± 9.8, </w:t>
      </w:r>
      <w:r w:rsidRPr="00912B86">
        <w:rPr>
          <w:rFonts w:ascii="Book Antiqua" w:hAnsi="Book Antiqua"/>
          <w:i/>
          <w:color w:val="000000"/>
          <w:sz w:val="24"/>
          <w:szCs w:val="24"/>
        </w:rPr>
        <w:t>n</w:t>
      </w:r>
      <w:r w:rsidRPr="00912B86">
        <w:rPr>
          <w:rFonts w:ascii="Book Antiqua" w:hAnsi="Book Antiqua"/>
          <w:color w:val="000000"/>
          <w:sz w:val="24"/>
          <w:szCs w:val="24"/>
        </w:rPr>
        <w:t xml:space="preserve"> = 7) was significantly greater than that induced by the infusion of water alone (18.4 ± 4.7,</w:t>
      </w:r>
      <w:r w:rsidRPr="00912B86">
        <w:rPr>
          <w:rFonts w:ascii="Book Antiqua" w:hAnsi="Book Antiqua"/>
          <w:sz w:val="24"/>
          <w:szCs w:val="24"/>
        </w:rPr>
        <w:t xml:space="preserve"> </w:t>
      </w:r>
      <w:r w:rsidRPr="00912B86">
        <w:rPr>
          <w:rFonts w:ascii="Book Antiqua" w:hAnsi="Book Antiqua"/>
          <w:i/>
          <w:sz w:val="24"/>
          <w:szCs w:val="24"/>
        </w:rPr>
        <w:t>n</w:t>
      </w:r>
      <w:r w:rsidRPr="00912B86">
        <w:rPr>
          <w:rFonts w:ascii="Book Antiqua" w:hAnsi="Book Antiqua"/>
          <w:sz w:val="24"/>
          <w:szCs w:val="24"/>
        </w:rPr>
        <w:t xml:space="preserve"> = 12)</w:t>
      </w:r>
      <w:r w:rsidRPr="00912B86">
        <w:rPr>
          <w:rFonts w:ascii="Book Antiqua" w:hAnsi="Book Antiqua"/>
          <w:color w:val="FF0000"/>
          <w:sz w:val="24"/>
          <w:szCs w:val="24"/>
        </w:rPr>
        <w:t xml:space="preserve"> </w:t>
      </w:r>
      <w:r w:rsidRPr="00912B86">
        <w:rPr>
          <w:rFonts w:ascii="Book Antiqua" w:hAnsi="Book Antiqua"/>
          <w:sz w:val="24"/>
          <w:szCs w:val="24"/>
        </w:rPr>
        <w:t xml:space="preserve">(Figure 2C). </w:t>
      </w:r>
    </w:p>
    <w:p w:rsidR="004E5E2A" w:rsidRDefault="004E5E2A" w:rsidP="00912B86">
      <w:pPr>
        <w:pStyle w:val="ecxmsobodytext"/>
        <w:spacing w:before="0" w:beforeAutospacing="0" w:after="0" w:afterAutospacing="0" w:line="360" w:lineRule="auto"/>
        <w:jc w:val="both"/>
        <w:rPr>
          <w:rFonts w:ascii="Book Antiqua" w:eastAsia="宋体" w:hAnsi="Book Antiqua"/>
          <w:bCs/>
          <w:i/>
          <w:iCs/>
          <w:sz w:val="24"/>
          <w:szCs w:val="24"/>
          <w:lang w:eastAsia="zh-CN"/>
        </w:rPr>
      </w:pPr>
    </w:p>
    <w:p w:rsidR="004E5E2A" w:rsidRPr="007F39D0" w:rsidRDefault="004E5E2A" w:rsidP="00912B86">
      <w:pPr>
        <w:pStyle w:val="ecxmsobodytext"/>
        <w:spacing w:before="0" w:beforeAutospacing="0" w:after="0" w:afterAutospacing="0" w:line="360" w:lineRule="auto"/>
        <w:jc w:val="both"/>
        <w:rPr>
          <w:rFonts w:ascii="Book Antiqua" w:hAnsi="Book Antiqua"/>
          <w:b/>
          <w:sz w:val="24"/>
          <w:szCs w:val="24"/>
        </w:rPr>
      </w:pPr>
      <w:r w:rsidRPr="007F39D0">
        <w:rPr>
          <w:rFonts w:ascii="Book Antiqua" w:hAnsi="Book Antiqua"/>
          <w:b/>
          <w:bCs/>
          <w:iCs/>
          <w:sz w:val="24"/>
          <w:szCs w:val="24"/>
        </w:rPr>
        <w:t>Postprandial phase</w:t>
      </w:r>
    </w:p>
    <w:p w:rsidR="004E5E2A" w:rsidRPr="00912B86" w:rsidRDefault="004E5E2A" w:rsidP="00912B86">
      <w:pPr>
        <w:pStyle w:val="ecxmsobodytext"/>
        <w:spacing w:before="0" w:beforeAutospacing="0" w:after="0" w:afterAutospacing="0" w:line="360" w:lineRule="auto"/>
        <w:jc w:val="both"/>
        <w:rPr>
          <w:rFonts w:ascii="Book Antiqua" w:hAnsi="Book Antiqua"/>
          <w:sz w:val="24"/>
          <w:szCs w:val="24"/>
        </w:rPr>
      </w:pPr>
      <w:r w:rsidRPr="00912B86">
        <w:rPr>
          <w:rFonts w:ascii="Book Antiqua" w:hAnsi="Book Antiqua"/>
          <w:sz w:val="24"/>
          <w:szCs w:val="24"/>
        </w:rPr>
        <w:t>During the postprandial phase, the increases in the receptive volume induced by triacetin were also larger than those induced by water alone but the differences did not reach statistical significance</w:t>
      </w:r>
      <w:r w:rsidRPr="00912B86">
        <w:rPr>
          <w:rFonts w:ascii="Book Antiqua" w:hAnsi="Book Antiqua"/>
          <w:color w:val="FF0000"/>
          <w:sz w:val="24"/>
          <w:szCs w:val="24"/>
        </w:rPr>
        <w:t xml:space="preserve"> </w:t>
      </w:r>
      <w:r w:rsidRPr="00912B86">
        <w:rPr>
          <w:rFonts w:ascii="Book Antiqua" w:hAnsi="Book Antiqua"/>
          <w:sz w:val="24"/>
          <w:szCs w:val="24"/>
        </w:rPr>
        <w:t>(Figure 2D).</w:t>
      </w:r>
    </w:p>
    <w:p w:rsidR="004E5E2A" w:rsidRPr="00912B86" w:rsidRDefault="004E5E2A" w:rsidP="00912B86">
      <w:pPr>
        <w:pStyle w:val="ecxmsobodytext"/>
        <w:spacing w:before="0" w:beforeAutospacing="0" w:after="0" w:afterAutospacing="0" w:line="360" w:lineRule="auto"/>
        <w:jc w:val="both"/>
        <w:rPr>
          <w:rFonts w:ascii="Book Antiqua" w:hAnsi="Book Antiqua"/>
          <w:b/>
          <w:bCs/>
          <w:sz w:val="24"/>
          <w:szCs w:val="24"/>
        </w:rPr>
      </w:pPr>
    </w:p>
    <w:p w:rsidR="004E5E2A" w:rsidRPr="00912B86" w:rsidRDefault="004E5E2A" w:rsidP="00912B86">
      <w:pPr>
        <w:pStyle w:val="ecxmsobodytext"/>
        <w:spacing w:before="0" w:beforeAutospacing="0" w:after="0" w:afterAutospacing="0" w:line="360" w:lineRule="auto"/>
        <w:jc w:val="both"/>
        <w:rPr>
          <w:rFonts w:ascii="Book Antiqua" w:hAnsi="Book Antiqua"/>
          <w:i/>
          <w:sz w:val="24"/>
          <w:szCs w:val="24"/>
        </w:rPr>
      </w:pPr>
      <w:r w:rsidRPr="00912B86">
        <w:rPr>
          <w:rFonts w:ascii="Book Antiqua" w:hAnsi="Book Antiqua"/>
          <w:b/>
          <w:bCs/>
          <w:i/>
          <w:sz w:val="24"/>
          <w:szCs w:val="24"/>
        </w:rPr>
        <w:t>Effects of triacetin on gastric antral and duodenal contractions</w:t>
      </w:r>
    </w:p>
    <w:p w:rsidR="004E5E2A" w:rsidRPr="00912B86" w:rsidRDefault="004E5E2A" w:rsidP="00912B86">
      <w:pPr>
        <w:pStyle w:val="ecxmsobodytext"/>
        <w:spacing w:before="0" w:beforeAutospacing="0" w:after="0" w:afterAutospacing="0" w:line="360" w:lineRule="auto"/>
        <w:jc w:val="both"/>
        <w:rPr>
          <w:rFonts w:ascii="Book Antiqua" w:hAnsi="Book Antiqua"/>
          <w:sz w:val="24"/>
          <w:szCs w:val="24"/>
        </w:rPr>
      </w:pPr>
      <w:r w:rsidRPr="00912B86">
        <w:rPr>
          <w:rFonts w:ascii="Book Antiqua" w:hAnsi="Book Antiqua"/>
          <w:sz w:val="24"/>
          <w:szCs w:val="24"/>
        </w:rPr>
        <w:t xml:space="preserve">Infusion of water alone produced no obvious changes in the gastric antral contractions, in neither the fasting and postprandial phases (Figure 3). In contrast, both 1.0% and 2.0% triacetin induced a temporary inhibition of the gastric antral contractions at 2 min after the infusion. Only the triacetin-induced inhibition in the fasting phase was significantly different from the contractions observed with the water infusion. However, after the 2 min time point, there was a tendency for facilitation of the gastric antral contractions only for the 2.0% triacetin in both </w:t>
      </w:r>
      <w:r w:rsidRPr="00912B86">
        <w:rPr>
          <w:rFonts w:ascii="Book Antiqua" w:hAnsi="Book Antiqua"/>
          <w:color w:val="000000"/>
          <w:sz w:val="24"/>
          <w:szCs w:val="24"/>
        </w:rPr>
        <w:t>the fasting and postprandial phases but the differences from the water-related contractions did not reach statistical significance.</w:t>
      </w:r>
    </w:p>
    <w:p w:rsidR="004E5E2A" w:rsidRPr="00912B86" w:rsidRDefault="004E5E2A" w:rsidP="007F39D0">
      <w:pPr>
        <w:pStyle w:val="ecxmsobodytext"/>
        <w:spacing w:before="0" w:beforeAutospacing="0" w:after="0" w:afterAutospacing="0" w:line="360" w:lineRule="auto"/>
        <w:ind w:firstLineChars="200" w:firstLine="480"/>
        <w:jc w:val="both"/>
        <w:rPr>
          <w:rFonts w:ascii="Book Antiqua" w:hAnsi="Book Antiqua"/>
          <w:sz w:val="24"/>
          <w:szCs w:val="24"/>
        </w:rPr>
      </w:pPr>
      <w:r w:rsidRPr="00912B86">
        <w:rPr>
          <w:rFonts w:ascii="Book Antiqua" w:hAnsi="Book Antiqua"/>
          <w:sz w:val="24"/>
          <w:szCs w:val="24"/>
        </w:rPr>
        <w:t xml:space="preserve">At 1 - 4 min after the water infusion, a temporary facilitation of the duodenal contractions was observed in both the fasting and postprandial phases (Figure 4). </w:t>
      </w:r>
      <w:r w:rsidRPr="00912B86">
        <w:rPr>
          <w:rFonts w:ascii="Book Antiqua" w:hAnsi="Book Antiqua"/>
          <w:color w:val="000000"/>
          <w:sz w:val="24"/>
          <w:szCs w:val="24"/>
        </w:rPr>
        <w:lastRenderedPageBreak/>
        <w:t>For all time points thereafter, water induced only inhibition of the duodenal contractions. In contrast, infusion of 1.0% and 2.0% triacetin inhibited the duodenal</w:t>
      </w:r>
      <w:r w:rsidRPr="00912B86">
        <w:rPr>
          <w:rFonts w:ascii="Book Antiqua" w:hAnsi="Book Antiqua"/>
          <w:b/>
          <w:bCs/>
          <w:color w:val="000000"/>
          <w:sz w:val="24"/>
          <w:szCs w:val="24"/>
        </w:rPr>
        <w:t xml:space="preserve"> </w:t>
      </w:r>
      <w:r w:rsidRPr="00912B86">
        <w:rPr>
          <w:rFonts w:ascii="Book Antiqua" w:hAnsi="Book Antiqua"/>
          <w:color w:val="000000"/>
          <w:sz w:val="24"/>
          <w:szCs w:val="24"/>
        </w:rPr>
        <w:t>contractions for nearly the entire 10-minute measurement period in both phases, with the exception of 2.0% triacetin indu</w:t>
      </w:r>
      <w:r>
        <w:rPr>
          <w:rFonts w:ascii="Book Antiqua" w:hAnsi="Book Antiqua"/>
          <w:color w:val="000000"/>
          <w:sz w:val="24"/>
          <w:szCs w:val="24"/>
        </w:rPr>
        <w:t>cing a significant increase (</w:t>
      </w:r>
      <w:r w:rsidRPr="007F39D0">
        <w:rPr>
          <w:rFonts w:ascii="Book Antiqua" w:hAnsi="Book Antiqua"/>
          <w:i/>
          <w:color w:val="000000"/>
          <w:sz w:val="24"/>
          <w:szCs w:val="24"/>
        </w:rPr>
        <w:t>vs</w:t>
      </w:r>
      <w:r w:rsidRPr="00912B86">
        <w:rPr>
          <w:rFonts w:ascii="Book Antiqua" w:hAnsi="Book Antiqua"/>
          <w:color w:val="000000"/>
          <w:sz w:val="24"/>
          <w:szCs w:val="24"/>
        </w:rPr>
        <w:t xml:space="preserve"> water alone</w:t>
      </w:r>
      <w:r>
        <w:rPr>
          <w:rFonts w:ascii="Book Antiqua" w:hAnsi="Book Antiqua"/>
          <w:color w:val="000000"/>
          <w:sz w:val="24"/>
          <w:szCs w:val="24"/>
        </w:rPr>
        <w:t>) in duodenal contractions at 9-</w:t>
      </w:r>
      <w:r w:rsidRPr="00912B86">
        <w:rPr>
          <w:rFonts w:ascii="Book Antiqua" w:hAnsi="Book Antiqua"/>
          <w:color w:val="000000"/>
          <w:sz w:val="24"/>
          <w:szCs w:val="24"/>
        </w:rPr>
        <w:t>10 min after the infusion.</w:t>
      </w:r>
    </w:p>
    <w:p w:rsidR="004E5E2A" w:rsidRDefault="004E5E2A" w:rsidP="007F39D0">
      <w:pPr>
        <w:pStyle w:val="ecxmsobodytext"/>
        <w:spacing w:before="0" w:beforeAutospacing="0" w:after="0" w:afterAutospacing="0" w:line="360" w:lineRule="auto"/>
        <w:jc w:val="both"/>
        <w:rPr>
          <w:rFonts w:ascii="Book Antiqua" w:eastAsia="宋体" w:hAnsi="Book Antiqua"/>
          <w:b/>
          <w:bCs/>
          <w:sz w:val="24"/>
          <w:szCs w:val="24"/>
          <w:lang w:eastAsia="zh-CN"/>
        </w:rPr>
      </w:pPr>
    </w:p>
    <w:p w:rsidR="004E5E2A" w:rsidRPr="00912B86" w:rsidRDefault="004E5E2A" w:rsidP="007F39D0">
      <w:pPr>
        <w:pStyle w:val="ecxmsobodytext"/>
        <w:spacing w:before="0" w:beforeAutospacing="0" w:after="0" w:afterAutospacing="0" w:line="360" w:lineRule="auto"/>
        <w:jc w:val="both"/>
        <w:rPr>
          <w:rFonts w:ascii="Book Antiqua" w:hAnsi="Book Antiqua"/>
          <w:sz w:val="24"/>
          <w:szCs w:val="24"/>
        </w:rPr>
      </w:pPr>
      <w:r w:rsidRPr="00912B86">
        <w:rPr>
          <w:rFonts w:ascii="Book Antiqua" w:hAnsi="Book Antiqua"/>
          <w:b/>
          <w:bCs/>
          <w:sz w:val="24"/>
          <w:szCs w:val="24"/>
        </w:rPr>
        <w:t>DISCUSSION</w:t>
      </w:r>
    </w:p>
    <w:p w:rsidR="004E5E2A" w:rsidRPr="00912B86" w:rsidRDefault="004E5E2A" w:rsidP="00912B86">
      <w:pPr>
        <w:pStyle w:val="ecxmsobodytext"/>
        <w:spacing w:before="0" w:beforeAutospacing="0" w:after="0" w:afterAutospacing="0" w:line="360" w:lineRule="auto"/>
        <w:jc w:val="both"/>
        <w:rPr>
          <w:rFonts w:ascii="Book Antiqua" w:hAnsi="Book Antiqua"/>
          <w:sz w:val="24"/>
          <w:szCs w:val="24"/>
        </w:rPr>
      </w:pPr>
      <w:r w:rsidRPr="00912B86">
        <w:rPr>
          <w:rFonts w:ascii="Book Antiqua" w:hAnsi="Book Antiqua"/>
          <w:sz w:val="24"/>
          <w:szCs w:val="24"/>
        </w:rPr>
        <w:t xml:space="preserve">The current study demonstrated that direct infusion of triacetin into the stomach of conscious dogs alters upper gastrointestinal motility. Proximal gastric volume was also increased by the infusion, which reflects stimulation of gastric relaxation. Finally, the triacetin was shown to inhibit gastric antral contractions but induce duodenal contractions. </w:t>
      </w:r>
    </w:p>
    <w:p w:rsidR="004E5E2A" w:rsidRPr="00912B86" w:rsidRDefault="004E5E2A" w:rsidP="007F39D0">
      <w:pPr>
        <w:pStyle w:val="ecxmsobodytext"/>
        <w:spacing w:before="0" w:beforeAutospacing="0" w:after="0" w:afterAutospacing="0" w:line="360" w:lineRule="auto"/>
        <w:ind w:firstLineChars="200" w:firstLine="480"/>
        <w:jc w:val="both"/>
        <w:rPr>
          <w:rFonts w:ascii="Book Antiqua" w:hAnsi="Book Antiqua"/>
          <w:sz w:val="24"/>
          <w:szCs w:val="24"/>
        </w:rPr>
      </w:pPr>
      <w:r w:rsidRPr="00912B86">
        <w:rPr>
          <w:rFonts w:ascii="Book Antiqua" w:hAnsi="Book Antiqua"/>
          <w:sz w:val="24"/>
          <w:szCs w:val="24"/>
        </w:rPr>
        <w:t xml:space="preserve">Induction of gastric relaxation of the proximal stomach involves two mechanisms. First, gastric relaxation is stimulated by intra-gastric filling (possibly by expansion of the gastric </w:t>
      </w:r>
      <w:proofErr w:type="gramStart"/>
      <w:r w:rsidRPr="00912B86">
        <w:rPr>
          <w:rFonts w:ascii="Book Antiqua" w:hAnsi="Book Antiqua"/>
          <w:sz w:val="24"/>
          <w:szCs w:val="24"/>
        </w:rPr>
        <w:t>wall</w:t>
      </w:r>
      <w:r w:rsidRPr="00912B86">
        <w:rPr>
          <w:rFonts w:ascii="Book Antiqua" w:hAnsi="Book Antiqua"/>
          <w:sz w:val="24"/>
          <w:szCs w:val="24"/>
          <w:vertAlign w:val="superscript"/>
        </w:rPr>
        <w:t>[</w:t>
      </w:r>
      <w:proofErr w:type="gramEnd"/>
      <w:r w:rsidRPr="00912B86">
        <w:rPr>
          <w:rFonts w:ascii="Book Antiqua" w:hAnsi="Book Antiqua"/>
          <w:sz w:val="24"/>
          <w:szCs w:val="24"/>
          <w:vertAlign w:val="superscript"/>
        </w:rPr>
        <w:t>1</w:t>
      </w:r>
      <w:r w:rsidRPr="00912B86">
        <w:rPr>
          <w:rFonts w:ascii="Book Antiqua" w:hAnsi="Book Antiqua"/>
          <w:sz w:val="24"/>
          <w:szCs w:val="24"/>
          <w:vertAlign w:val="superscript"/>
          <w:lang w:eastAsia="ja-JP"/>
        </w:rPr>
        <w:t>3</w:t>
      </w:r>
      <w:r w:rsidRPr="00912B86">
        <w:rPr>
          <w:rFonts w:ascii="Book Antiqua" w:hAnsi="Book Antiqua"/>
          <w:sz w:val="24"/>
          <w:szCs w:val="24"/>
          <w:vertAlign w:val="superscript"/>
        </w:rPr>
        <w:t>]</w:t>
      </w:r>
      <w:r w:rsidRPr="00912B86">
        <w:rPr>
          <w:rFonts w:ascii="Book Antiqua" w:hAnsi="Book Antiqua"/>
          <w:sz w:val="24"/>
          <w:szCs w:val="24"/>
        </w:rPr>
        <w:t xml:space="preserve">), regardless of the substance involved (solids or liquids). This process is referred to as gastric accommodation and is responsible for an increased volume tolerance </w:t>
      </w:r>
      <w:r w:rsidRPr="00912B86">
        <w:rPr>
          <w:rFonts w:ascii="Book Antiqua" w:hAnsi="Book Antiqua"/>
          <w:color w:val="000000"/>
          <w:sz w:val="24"/>
          <w:szCs w:val="24"/>
        </w:rPr>
        <w:t xml:space="preserve">without perception but </w:t>
      </w:r>
      <w:r w:rsidRPr="00912B86">
        <w:rPr>
          <w:rFonts w:ascii="Book Antiqua" w:hAnsi="Book Antiqua"/>
          <w:sz w:val="24"/>
          <w:szCs w:val="24"/>
        </w:rPr>
        <w:t>may also contribute to maintaining satiation signals at acceptable volume loads. Second, physical (</w:t>
      </w:r>
      <w:r w:rsidRPr="007F39D0">
        <w:rPr>
          <w:rFonts w:ascii="Book Antiqua" w:hAnsi="Book Antiqua"/>
          <w:i/>
          <w:sz w:val="24"/>
          <w:szCs w:val="24"/>
        </w:rPr>
        <w:t>e.g.</w:t>
      </w:r>
      <w:r w:rsidRPr="00912B86">
        <w:rPr>
          <w:rFonts w:ascii="Book Antiqua" w:hAnsi="Book Antiqua"/>
          <w:sz w:val="24"/>
          <w:szCs w:val="24"/>
        </w:rPr>
        <w:t>, osmotic pressure) and chemical (</w:t>
      </w:r>
      <w:r w:rsidRPr="007F39D0">
        <w:rPr>
          <w:rFonts w:ascii="Book Antiqua" w:hAnsi="Book Antiqua"/>
          <w:i/>
          <w:sz w:val="24"/>
          <w:szCs w:val="24"/>
        </w:rPr>
        <w:t>e.g.</w:t>
      </w:r>
      <w:r w:rsidRPr="00912B86">
        <w:rPr>
          <w:rFonts w:ascii="Book Antiqua" w:hAnsi="Book Antiqua"/>
          <w:sz w:val="24"/>
          <w:szCs w:val="24"/>
        </w:rPr>
        <w:t>, H</w:t>
      </w:r>
      <w:r w:rsidRPr="00912B86">
        <w:rPr>
          <w:rFonts w:ascii="Book Antiqua" w:hAnsi="Book Antiqua"/>
          <w:sz w:val="24"/>
          <w:szCs w:val="24"/>
          <w:vertAlign w:val="superscript"/>
        </w:rPr>
        <w:t>+</w:t>
      </w:r>
      <w:r w:rsidRPr="00912B86">
        <w:rPr>
          <w:rFonts w:ascii="Book Antiqua" w:hAnsi="Book Antiqua"/>
          <w:sz w:val="24"/>
          <w:szCs w:val="24"/>
        </w:rPr>
        <w:t xml:space="preserve">, lipids) parameters of the stomach and duodenum environments can enhance gastric relaxation </w:t>
      </w:r>
      <w:r w:rsidRPr="007F39D0">
        <w:rPr>
          <w:rFonts w:ascii="Book Antiqua" w:hAnsi="Book Antiqua"/>
          <w:i/>
          <w:sz w:val="24"/>
          <w:szCs w:val="24"/>
        </w:rPr>
        <w:t>via</w:t>
      </w:r>
      <w:r w:rsidRPr="00912B86">
        <w:rPr>
          <w:rFonts w:ascii="Book Antiqua" w:hAnsi="Book Antiqua"/>
          <w:sz w:val="24"/>
          <w:szCs w:val="24"/>
        </w:rPr>
        <w:t xml:space="preserve"> factors related to the nervous system or hormonal axes</w:t>
      </w:r>
      <w:r w:rsidRPr="00912B86">
        <w:rPr>
          <w:rFonts w:ascii="Book Antiqua" w:hAnsi="Book Antiqua"/>
          <w:sz w:val="24"/>
          <w:szCs w:val="24"/>
          <w:vertAlign w:val="superscript"/>
        </w:rPr>
        <w:t>[1</w:t>
      </w:r>
      <w:r w:rsidRPr="00912B86">
        <w:rPr>
          <w:rFonts w:ascii="Book Antiqua" w:hAnsi="Book Antiqua"/>
          <w:sz w:val="24"/>
          <w:szCs w:val="24"/>
          <w:vertAlign w:val="superscript"/>
          <w:lang w:eastAsia="ja-JP"/>
        </w:rPr>
        <w:t>4,15</w:t>
      </w:r>
      <w:r w:rsidRPr="00912B86">
        <w:rPr>
          <w:rFonts w:ascii="Book Antiqua" w:hAnsi="Book Antiqua"/>
          <w:sz w:val="24"/>
          <w:szCs w:val="24"/>
          <w:vertAlign w:val="superscript"/>
        </w:rPr>
        <w:t>]</w:t>
      </w:r>
      <w:r w:rsidRPr="00912B86">
        <w:rPr>
          <w:rFonts w:ascii="Book Antiqua" w:hAnsi="Book Antiqua"/>
          <w:sz w:val="24"/>
          <w:szCs w:val="24"/>
        </w:rPr>
        <w:t xml:space="preserve">. In the current study, triacetin did not appear to influence osmotic pressure, since the </w:t>
      </w:r>
      <w:r w:rsidRPr="00912B86">
        <w:rPr>
          <w:rFonts w:ascii="Book Antiqua" w:hAnsi="Book Antiqua"/>
          <w:sz w:val="24"/>
          <w:szCs w:val="24"/>
          <w:lang w:eastAsia="ja-JP"/>
        </w:rPr>
        <w:t xml:space="preserve">0.5%, </w:t>
      </w:r>
      <w:r w:rsidRPr="00912B86">
        <w:rPr>
          <w:rFonts w:ascii="Book Antiqua" w:hAnsi="Book Antiqua"/>
          <w:sz w:val="24"/>
          <w:szCs w:val="24"/>
        </w:rPr>
        <w:t xml:space="preserve">1.0% and 2.0% triacetin was administered as hypotonic solutions. Moreover, the 20 mL volume that was infused into the stomach was not expected to cause expansion of the gastric wall. The triacetin infusion and subsequent absorption in the stomach and duodenum appeared to primarily affect upper gastrointestinal motility. However, the observation of duodenal facilitation occurring immediately after the infusion of triacetin suggests that the </w:t>
      </w:r>
      <w:r w:rsidRPr="00912B86">
        <w:rPr>
          <w:rFonts w:ascii="Book Antiqua" w:hAnsi="Book Antiqua"/>
          <w:sz w:val="24"/>
          <w:szCs w:val="24"/>
        </w:rPr>
        <w:lastRenderedPageBreak/>
        <w:t>absorption-related process plays a smaller role than triacetin’s chemical stimulation of the gastric and duodenal mucosa to causes the gastric relaxation.</w:t>
      </w:r>
    </w:p>
    <w:p w:rsidR="004E5E2A" w:rsidRPr="00912B86" w:rsidRDefault="004E5E2A" w:rsidP="007F39D0">
      <w:pPr>
        <w:pStyle w:val="ecxmsobodytext"/>
        <w:spacing w:before="0" w:beforeAutospacing="0" w:after="0" w:afterAutospacing="0" w:line="360" w:lineRule="auto"/>
        <w:ind w:firstLineChars="200" w:firstLine="480"/>
        <w:jc w:val="both"/>
        <w:rPr>
          <w:rFonts w:ascii="Book Antiqua" w:hAnsi="Book Antiqua"/>
          <w:sz w:val="24"/>
          <w:szCs w:val="24"/>
        </w:rPr>
      </w:pPr>
      <w:r w:rsidRPr="00912B86">
        <w:rPr>
          <w:rFonts w:ascii="Book Antiqua" w:hAnsi="Book Antiqua"/>
          <w:sz w:val="24"/>
          <w:szCs w:val="24"/>
        </w:rPr>
        <w:t xml:space="preserve">Gastric antrum and duodenum contractions have distinctive mechanisms and patterns. For example, LCT-mediated effects on contractility are region specific. Particular LCTs capable of inhibiting antral </w:t>
      </w:r>
      <w:proofErr w:type="gramStart"/>
      <w:r w:rsidRPr="00912B86">
        <w:rPr>
          <w:rFonts w:ascii="Book Antiqua" w:hAnsi="Book Antiqua"/>
          <w:sz w:val="24"/>
          <w:szCs w:val="24"/>
        </w:rPr>
        <w:t>contractility</w:t>
      </w:r>
      <w:r w:rsidRPr="00912B86">
        <w:rPr>
          <w:rFonts w:ascii="Book Antiqua" w:hAnsi="Book Antiqua"/>
          <w:sz w:val="24"/>
          <w:szCs w:val="24"/>
          <w:vertAlign w:val="superscript"/>
        </w:rPr>
        <w:t>[</w:t>
      </w:r>
      <w:proofErr w:type="gramEnd"/>
      <w:r w:rsidRPr="00912B86">
        <w:rPr>
          <w:rFonts w:ascii="Book Antiqua" w:hAnsi="Book Antiqua"/>
          <w:sz w:val="24"/>
          <w:szCs w:val="24"/>
          <w:vertAlign w:val="superscript"/>
        </w:rPr>
        <w:t>1</w:t>
      </w:r>
      <w:r w:rsidRPr="00912B86">
        <w:rPr>
          <w:rFonts w:ascii="Book Antiqua" w:hAnsi="Book Antiqua"/>
          <w:sz w:val="24"/>
          <w:szCs w:val="24"/>
          <w:vertAlign w:val="superscript"/>
          <w:lang w:eastAsia="ja-JP"/>
        </w:rPr>
        <w:t>6</w:t>
      </w:r>
      <w:r w:rsidRPr="00912B86">
        <w:rPr>
          <w:rFonts w:ascii="Book Antiqua" w:hAnsi="Book Antiqua"/>
          <w:sz w:val="24"/>
          <w:szCs w:val="24"/>
          <w:vertAlign w:val="superscript"/>
        </w:rPr>
        <w:t>]</w:t>
      </w:r>
      <w:r w:rsidRPr="00912B86">
        <w:rPr>
          <w:rFonts w:ascii="Book Antiqua" w:hAnsi="Book Antiqua"/>
          <w:sz w:val="24"/>
          <w:szCs w:val="24"/>
        </w:rPr>
        <w:t xml:space="preserve"> have also been shown to facilitate stimulation of contractions in segments of the upper duodenum</w:t>
      </w:r>
      <w:r w:rsidRPr="00912B86">
        <w:rPr>
          <w:rFonts w:ascii="Book Antiqua" w:hAnsi="Book Antiqua"/>
          <w:sz w:val="24"/>
          <w:szCs w:val="24"/>
          <w:vertAlign w:val="superscript"/>
        </w:rPr>
        <w:t>[1</w:t>
      </w:r>
      <w:r w:rsidRPr="00912B86">
        <w:rPr>
          <w:rFonts w:ascii="Book Antiqua" w:hAnsi="Book Antiqua"/>
          <w:sz w:val="24"/>
          <w:szCs w:val="24"/>
          <w:vertAlign w:val="superscript"/>
          <w:lang w:eastAsia="ja-JP"/>
        </w:rPr>
        <w:t>7</w:t>
      </w:r>
      <w:r w:rsidRPr="00912B86">
        <w:rPr>
          <w:rFonts w:ascii="Book Antiqua" w:hAnsi="Book Antiqua"/>
          <w:sz w:val="24"/>
          <w:szCs w:val="24"/>
          <w:vertAlign w:val="superscript"/>
        </w:rPr>
        <w:t>]</w:t>
      </w:r>
      <w:r w:rsidRPr="00912B86">
        <w:rPr>
          <w:rFonts w:ascii="Book Antiqua" w:hAnsi="Book Antiqua"/>
          <w:sz w:val="24"/>
          <w:szCs w:val="24"/>
        </w:rPr>
        <w:t>.</w:t>
      </w:r>
      <w:r w:rsidRPr="00912B86">
        <w:rPr>
          <w:rFonts w:ascii="Book Antiqua" w:hAnsi="Book Antiqua"/>
          <w:sz w:val="24"/>
          <w:szCs w:val="24"/>
          <w:vertAlign w:val="superscript"/>
        </w:rPr>
        <w:t xml:space="preserve"> </w:t>
      </w:r>
      <w:r w:rsidRPr="00912B86">
        <w:rPr>
          <w:rFonts w:ascii="Book Antiqua" w:hAnsi="Book Antiqua"/>
          <w:sz w:val="24"/>
          <w:szCs w:val="24"/>
        </w:rPr>
        <w:t xml:space="preserve">In the current study, the triacetin infusion first led to inhibition of gastric antral contractions, which was followed by an increase at later time points of the infusion. </w:t>
      </w:r>
      <w:r w:rsidRPr="00912B86">
        <w:rPr>
          <w:rFonts w:ascii="Book Antiqua" w:hAnsi="Book Antiqua"/>
          <w:color w:val="000000"/>
          <w:sz w:val="24"/>
          <w:szCs w:val="24"/>
        </w:rPr>
        <w:t>Moreover, the infusion appeared to facilitate duodenal contractility</w:t>
      </w:r>
      <w:r w:rsidRPr="00912B86">
        <w:rPr>
          <w:rFonts w:ascii="Book Antiqua" w:hAnsi="Book Antiqua"/>
          <w:sz w:val="24"/>
          <w:szCs w:val="24"/>
        </w:rPr>
        <w:t>. Since there was only a short period of inhibition of the antral contractions, it remains unclear whether this inhibition was responsible for causing the delay of gastric emptying. However, such modulations of the gastric antrum and duodenum are expected to induce the closing of the pylorus, which may be the ultimate cause of the delayed gastric emptying.</w:t>
      </w:r>
      <w:r w:rsidRPr="00912B86">
        <w:rPr>
          <w:rFonts w:ascii="Book Antiqua" w:hAnsi="Book Antiqua"/>
          <w:color w:val="000000"/>
          <w:sz w:val="24"/>
          <w:szCs w:val="24"/>
        </w:rPr>
        <w:t xml:space="preserve"> With regard to the observed diphasic alterations (</w:t>
      </w:r>
      <w:r w:rsidRPr="007F39D0">
        <w:rPr>
          <w:rFonts w:ascii="Book Antiqua" w:hAnsi="Book Antiqua"/>
          <w:i/>
          <w:color w:val="000000"/>
          <w:sz w:val="24"/>
          <w:szCs w:val="24"/>
        </w:rPr>
        <w:t>i.e.</w:t>
      </w:r>
      <w:r>
        <w:rPr>
          <w:rFonts w:ascii="Book Antiqua" w:eastAsia="宋体" w:hAnsi="Book Antiqua"/>
          <w:color w:val="000000"/>
          <w:sz w:val="24"/>
          <w:szCs w:val="24"/>
          <w:lang w:eastAsia="zh-CN"/>
        </w:rPr>
        <w:t>,</w:t>
      </w:r>
      <w:r w:rsidRPr="00912B86">
        <w:rPr>
          <w:rFonts w:ascii="Book Antiqua" w:hAnsi="Book Antiqua"/>
          <w:color w:val="000000"/>
          <w:sz w:val="24"/>
          <w:szCs w:val="24"/>
        </w:rPr>
        <w:t xml:space="preserve"> inhibition and facilitation) in the gastric antrum, the initial inhibition may be induced by stimulation of gastric antral mucosa, while the subsequent facilitation may be induced by stimulation of the duodenal mucosa.</w:t>
      </w:r>
    </w:p>
    <w:p w:rsidR="004E5E2A" w:rsidRPr="00912B86" w:rsidRDefault="004E5E2A" w:rsidP="007F39D0">
      <w:pPr>
        <w:pStyle w:val="ecxmsobodytext"/>
        <w:spacing w:before="0" w:beforeAutospacing="0" w:after="0" w:afterAutospacing="0" w:line="360" w:lineRule="auto"/>
        <w:ind w:firstLineChars="200" w:firstLine="480"/>
        <w:jc w:val="both"/>
        <w:rPr>
          <w:rFonts w:ascii="Book Antiqua" w:hAnsi="Book Antiqua"/>
          <w:sz w:val="24"/>
          <w:szCs w:val="24"/>
        </w:rPr>
      </w:pPr>
      <w:r w:rsidRPr="00912B86">
        <w:rPr>
          <w:rFonts w:ascii="Book Antiqua" w:hAnsi="Book Antiqua"/>
          <w:sz w:val="24"/>
          <w:szCs w:val="24"/>
        </w:rPr>
        <w:t xml:space="preserve">LCTs are known to stimulate release of the hormone cholecystokinin (CCK), which acts to reduce proximal gastric </w:t>
      </w:r>
      <w:proofErr w:type="gramStart"/>
      <w:r w:rsidRPr="00912B86">
        <w:rPr>
          <w:rFonts w:ascii="Book Antiqua" w:hAnsi="Book Antiqua"/>
          <w:sz w:val="24"/>
          <w:szCs w:val="24"/>
        </w:rPr>
        <w:t>tone</w:t>
      </w:r>
      <w:r w:rsidRPr="00912B86">
        <w:rPr>
          <w:rFonts w:ascii="Book Antiqua" w:hAnsi="Book Antiqua"/>
          <w:sz w:val="24"/>
          <w:szCs w:val="24"/>
          <w:vertAlign w:val="superscript"/>
        </w:rPr>
        <w:t>[</w:t>
      </w:r>
      <w:proofErr w:type="gramEnd"/>
      <w:r w:rsidRPr="00912B86">
        <w:rPr>
          <w:rFonts w:ascii="Book Antiqua" w:hAnsi="Book Antiqua"/>
          <w:sz w:val="24"/>
          <w:szCs w:val="24"/>
          <w:vertAlign w:val="superscript"/>
        </w:rPr>
        <w:t>1</w:t>
      </w:r>
      <w:r w:rsidRPr="00912B86">
        <w:rPr>
          <w:rFonts w:ascii="Book Antiqua" w:hAnsi="Book Antiqua"/>
          <w:sz w:val="24"/>
          <w:szCs w:val="24"/>
          <w:vertAlign w:val="superscript"/>
          <w:lang w:eastAsia="ja-JP"/>
        </w:rPr>
        <w:t>8</w:t>
      </w:r>
      <w:r w:rsidRPr="00912B86">
        <w:rPr>
          <w:rFonts w:ascii="Book Antiqua" w:hAnsi="Book Antiqua"/>
          <w:sz w:val="24"/>
          <w:szCs w:val="24"/>
          <w:vertAlign w:val="superscript"/>
        </w:rPr>
        <w:t>]</w:t>
      </w:r>
      <w:r w:rsidRPr="00912B86">
        <w:rPr>
          <w:rFonts w:ascii="Book Antiqua" w:hAnsi="Book Antiqua"/>
          <w:sz w:val="24"/>
          <w:szCs w:val="24"/>
        </w:rPr>
        <w:t xml:space="preserve"> and inhibit gastric emptying</w:t>
      </w:r>
      <w:r w:rsidRPr="00912B86">
        <w:rPr>
          <w:rFonts w:ascii="Book Antiqua" w:hAnsi="Book Antiqua"/>
          <w:sz w:val="24"/>
          <w:szCs w:val="24"/>
          <w:vertAlign w:val="superscript"/>
        </w:rPr>
        <w:t>[1</w:t>
      </w:r>
      <w:r w:rsidRPr="00912B86">
        <w:rPr>
          <w:rFonts w:ascii="Book Antiqua" w:hAnsi="Book Antiqua"/>
          <w:sz w:val="24"/>
          <w:szCs w:val="24"/>
          <w:vertAlign w:val="superscript"/>
          <w:lang w:eastAsia="ja-JP"/>
        </w:rPr>
        <w:t>9</w:t>
      </w:r>
      <w:r w:rsidRPr="00912B86">
        <w:rPr>
          <w:rFonts w:ascii="Book Antiqua" w:hAnsi="Book Antiqua"/>
          <w:sz w:val="24"/>
          <w:szCs w:val="24"/>
          <w:vertAlign w:val="superscript"/>
        </w:rPr>
        <w:t>]</w:t>
      </w:r>
      <w:r w:rsidRPr="00912B86">
        <w:rPr>
          <w:rFonts w:ascii="Book Antiqua" w:hAnsi="Book Antiqua"/>
          <w:sz w:val="24"/>
          <w:szCs w:val="24"/>
        </w:rPr>
        <w:t xml:space="preserve"> </w:t>
      </w:r>
      <w:r w:rsidRPr="007F39D0">
        <w:rPr>
          <w:rFonts w:ascii="Book Antiqua" w:hAnsi="Book Antiqua"/>
          <w:i/>
          <w:sz w:val="24"/>
          <w:szCs w:val="24"/>
        </w:rPr>
        <w:t>via</w:t>
      </w:r>
      <w:r w:rsidRPr="00912B86">
        <w:rPr>
          <w:rFonts w:ascii="Book Antiqua" w:hAnsi="Book Antiqua"/>
          <w:sz w:val="24"/>
          <w:szCs w:val="24"/>
        </w:rPr>
        <w:t xml:space="preserve"> activation of the CCK receptors on the vagal afferent nerves. In turn, the inhibitory vagal afferents in the brainstem are </w:t>
      </w:r>
      <w:proofErr w:type="gramStart"/>
      <w:r w:rsidRPr="00912B86">
        <w:rPr>
          <w:rFonts w:ascii="Book Antiqua" w:hAnsi="Book Antiqua"/>
          <w:sz w:val="24"/>
          <w:szCs w:val="24"/>
        </w:rPr>
        <w:t>activated</w:t>
      </w:r>
      <w:r w:rsidRPr="00912B86">
        <w:rPr>
          <w:rFonts w:ascii="Book Antiqua" w:hAnsi="Book Antiqua"/>
          <w:sz w:val="24"/>
          <w:szCs w:val="24"/>
          <w:vertAlign w:val="superscript"/>
        </w:rPr>
        <w:t>[</w:t>
      </w:r>
      <w:proofErr w:type="gramEnd"/>
      <w:r w:rsidRPr="00912B86">
        <w:rPr>
          <w:rFonts w:ascii="Book Antiqua" w:hAnsi="Book Antiqua"/>
          <w:sz w:val="24"/>
          <w:szCs w:val="24"/>
          <w:vertAlign w:val="superscript"/>
          <w:lang w:eastAsia="ja-JP"/>
        </w:rPr>
        <w:t>20</w:t>
      </w:r>
      <w:r w:rsidRPr="00912B86">
        <w:rPr>
          <w:rFonts w:ascii="Book Antiqua" w:hAnsi="Book Antiqua"/>
          <w:sz w:val="24"/>
          <w:szCs w:val="24"/>
          <w:vertAlign w:val="superscript"/>
        </w:rPr>
        <w:t>]</w:t>
      </w:r>
      <w:r w:rsidRPr="00912B86">
        <w:rPr>
          <w:rFonts w:ascii="Book Antiqua" w:hAnsi="Book Antiqua"/>
          <w:sz w:val="24"/>
          <w:szCs w:val="24"/>
        </w:rPr>
        <w:t xml:space="preserve">. SCTs, on the other hand, produce very little to no effects on CCK </w:t>
      </w:r>
      <w:proofErr w:type="gramStart"/>
      <w:r w:rsidRPr="00912B86">
        <w:rPr>
          <w:rFonts w:ascii="Book Antiqua" w:hAnsi="Book Antiqua"/>
          <w:sz w:val="24"/>
          <w:szCs w:val="24"/>
        </w:rPr>
        <w:t>release</w:t>
      </w:r>
      <w:r w:rsidRPr="00912B86">
        <w:rPr>
          <w:rFonts w:ascii="Book Antiqua" w:hAnsi="Book Antiqua"/>
          <w:sz w:val="24"/>
          <w:szCs w:val="24"/>
          <w:vertAlign w:val="superscript"/>
        </w:rPr>
        <w:t>[</w:t>
      </w:r>
      <w:proofErr w:type="gramEnd"/>
      <w:r w:rsidRPr="00912B86">
        <w:rPr>
          <w:rFonts w:ascii="Book Antiqua" w:hAnsi="Book Antiqua"/>
          <w:sz w:val="24"/>
          <w:szCs w:val="24"/>
          <w:vertAlign w:val="superscript"/>
          <w:lang w:eastAsia="ja-JP"/>
        </w:rPr>
        <w:t>2</w:t>
      </w:r>
      <w:r w:rsidRPr="00912B86">
        <w:rPr>
          <w:rFonts w:ascii="Book Antiqua" w:hAnsi="Book Antiqua"/>
          <w:sz w:val="24"/>
          <w:szCs w:val="24"/>
          <w:vertAlign w:val="superscript"/>
        </w:rPr>
        <w:t>1]</w:t>
      </w:r>
      <w:r w:rsidRPr="00912B86">
        <w:rPr>
          <w:rFonts w:ascii="Book Antiqua" w:hAnsi="Book Antiqua"/>
          <w:sz w:val="24"/>
          <w:szCs w:val="24"/>
        </w:rPr>
        <w:t>. Therefore, the mechanism of effect for triacetin, a SCT, may differ from that of the LCTs.</w:t>
      </w:r>
    </w:p>
    <w:p w:rsidR="004E5E2A" w:rsidRPr="00912B86" w:rsidRDefault="004E5E2A" w:rsidP="007F39D0">
      <w:pPr>
        <w:pStyle w:val="ecxmsobodytext"/>
        <w:spacing w:before="0" w:beforeAutospacing="0" w:after="0" w:afterAutospacing="0" w:line="360" w:lineRule="auto"/>
        <w:ind w:firstLineChars="200" w:firstLine="480"/>
        <w:jc w:val="both"/>
        <w:rPr>
          <w:rFonts w:ascii="Book Antiqua" w:hAnsi="Book Antiqua"/>
          <w:sz w:val="24"/>
          <w:szCs w:val="24"/>
        </w:rPr>
      </w:pPr>
      <w:r w:rsidRPr="00912B86">
        <w:rPr>
          <w:rFonts w:ascii="Book Antiqua" w:hAnsi="Book Antiqua"/>
          <w:sz w:val="24"/>
          <w:szCs w:val="24"/>
        </w:rPr>
        <w:t xml:space="preserve">In the current study, the effects of triacetin related to fasting and fed states were also examined. While the results were largely similar for both the fasted and postprandial phases, statistically significant differences were only observed in the fasted animals. It is possible that the up-regulated hormonal factors that </w:t>
      </w:r>
      <w:r w:rsidRPr="00912B86">
        <w:rPr>
          <w:rFonts w:ascii="Book Antiqua" w:hAnsi="Book Antiqua"/>
          <w:sz w:val="24"/>
          <w:szCs w:val="24"/>
        </w:rPr>
        <w:lastRenderedPageBreak/>
        <w:t xml:space="preserve">occur during the postprandial phase may have interfered with the triacetin, masking the effects. </w:t>
      </w:r>
    </w:p>
    <w:p w:rsidR="004E5E2A" w:rsidRPr="00912B86" w:rsidRDefault="004E5E2A" w:rsidP="007F39D0">
      <w:pPr>
        <w:pStyle w:val="ecxmsobodytext"/>
        <w:spacing w:before="0" w:beforeAutospacing="0" w:after="0" w:afterAutospacing="0" w:line="360" w:lineRule="auto"/>
        <w:ind w:firstLineChars="250" w:firstLine="600"/>
        <w:jc w:val="both"/>
        <w:rPr>
          <w:rFonts w:ascii="Book Antiqua" w:hAnsi="Book Antiqua"/>
          <w:sz w:val="24"/>
          <w:szCs w:val="24"/>
        </w:rPr>
      </w:pPr>
      <w:r w:rsidRPr="00912B86">
        <w:rPr>
          <w:rFonts w:ascii="Book Antiqua" w:hAnsi="Book Antiqua"/>
          <w:sz w:val="24"/>
          <w:szCs w:val="24"/>
        </w:rPr>
        <w:t>In conclusion, our current results indicate that triacetin rapidly induces a temporary relaxation in the proximal stomach that is followed by contraction in both the gastric antrum and duodenum. This mechanism of triacetin may differ from that of LCTs, but further investigations are needed to confirm this distinction.</w:t>
      </w:r>
    </w:p>
    <w:p w:rsidR="004E5E2A" w:rsidRDefault="004E5E2A" w:rsidP="00F678FB">
      <w:pPr>
        <w:spacing w:line="360" w:lineRule="auto"/>
        <w:jc w:val="both"/>
        <w:rPr>
          <w:rFonts w:ascii="Book Antiqua" w:eastAsia="宋体" w:hAnsi="Book Antiqua"/>
          <w:b/>
          <w:lang w:eastAsia="zh-CN"/>
        </w:rPr>
      </w:pPr>
    </w:p>
    <w:p w:rsidR="004E5E2A" w:rsidRPr="008E267B" w:rsidRDefault="004E5E2A" w:rsidP="00F678FB">
      <w:pPr>
        <w:spacing w:line="360" w:lineRule="auto"/>
        <w:jc w:val="both"/>
        <w:rPr>
          <w:rFonts w:ascii="Book Antiqua" w:hAnsi="Book Antiqua"/>
          <w:b/>
        </w:rPr>
      </w:pPr>
      <w:r w:rsidRPr="008E267B">
        <w:rPr>
          <w:rFonts w:ascii="Book Antiqua" w:hAnsi="Book Antiqua"/>
          <w:b/>
        </w:rPr>
        <w:t>COMMENTS</w:t>
      </w:r>
    </w:p>
    <w:p w:rsidR="004E5E2A" w:rsidRPr="008E267B" w:rsidRDefault="004E5E2A" w:rsidP="00F678FB">
      <w:pPr>
        <w:spacing w:line="360" w:lineRule="auto"/>
        <w:jc w:val="both"/>
        <w:rPr>
          <w:rFonts w:ascii="Book Antiqua" w:hAnsi="Book Antiqua"/>
          <w:b/>
          <w:i/>
        </w:rPr>
      </w:pPr>
      <w:r w:rsidRPr="008E267B">
        <w:rPr>
          <w:rFonts w:ascii="Book Antiqua" w:hAnsi="Book Antiqua"/>
          <w:b/>
          <w:i/>
        </w:rPr>
        <w:t>Background</w:t>
      </w:r>
    </w:p>
    <w:p w:rsidR="004E5E2A" w:rsidRDefault="004E5E2A" w:rsidP="00F678FB">
      <w:pPr>
        <w:pStyle w:val="ecxmsobodytext"/>
        <w:spacing w:before="0" w:beforeAutospacing="0" w:after="0" w:afterAutospacing="0" w:line="360" w:lineRule="auto"/>
        <w:jc w:val="both"/>
        <w:rPr>
          <w:rStyle w:val="hps"/>
          <w:rFonts w:ascii="Book Antiqua" w:hAnsi="Book Antiqua" w:cs="Arial"/>
          <w:color w:val="222222"/>
          <w:sz w:val="24"/>
          <w:szCs w:val="24"/>
          <w:lang w:eastAsia="ja-JP"/>
        </w:rPr>
      </w:pPr>
      <w:r w:rsidRPr="004962A3">
        <w:rPr>
          <w:rFonts w:ascii="Book Antiqua" w:hAnsi="Book Antiqua"/>
          <w:sz w:val="24"/>
          <w:szCs w:val="24"/>
        </w:rPr>
        <w:t xml:space="preserve">Gastric </w:t>
      </w:r>
      <w:r w:rsidRPr="004962A3">
        <w:rPr>
          <w:rFonts w:ascii="Book Antiqua" w:hAnsi="Book Antiqua"/>
          <w:sz w:val="24"/>
          <w:szCs w:val="24"/>
          <w:lang w:eastAsia="ja-JP"/>
        </w:rPr>
        <w:t>e</w:t>
      </w:r>
      <w:r w:rsidRPr="004962A3">
        <w:rPr>
          <w:rFonts w:ascii="Book Antiqua" w:hAnsi="Book Antiqua"/>
          <w:sz w:val="24"/>
          <w:szCs w:val="24"/>
        </w:rPr>
        <w:t>mptying is adjusted very precisely by</w:t>
      </w:r>
      <w:r w:rsidRPr="004962A3">
        <w:rPr>
          <w:rFonts w:ascii="Book Antiqua" w:hAnsi="Book Antiqua"/>
          <w:sz w:val="24"/>
          <w:szCs w:val="24"/>
          <w:lang w:eastAsia="ja-JP"/>
        </w:rPr>
        <w:t xml:space="preserve"> g</w:t>
      </w:r>
      <w:r w:rsidRPr="004962A3">
        <w:rPr>
          <w:rFonts w:ascii="Book Antiqua" w:hAnsi="Book Antiqua"/>
          <w:sz w:val="24"/>
          <w:szCs w:val="24"/>
        </w:rPr>
        <w:t>astrointestinal motility</w:t>
      </w:r>
      <w:r w:rsidRPr="004962A3">
        <w:rPr>
          <w:rFonts w:ascii="Book Antiqua" w:hAnsi="Book Antiqua"/>
          <w:sz w:val="24"/>
          <w:szCs w:val="24"/>
          <w:lang w:eastAsia="ja-JP"/>
        </w:rPr>
        <w:t>,</w:t>
      </w:r>
      <w:r w:rsidRPr="004962A3">
        <w:rPr>
          <w:rFonts w:ascii="Book Antiqua" w:hAnsi="Book Antiqua"/>
          <w:sz w:val="24"/>
          <w:szCs w:val="24"/>
        </w:rPr>
        <w:t xml:space="preserve"> so it is very important to examine </w:t>
      </w:r>
      <w:r w:rsidRPr="004962A3">
        <w:rPr>
          <w:rFonts w:ascii="Book Antiqua" w:hAnsi="Book Antiqua"/>
          <w:sz w:val="24"/>
          <w:szCs w:val="24"/>
          <w:lang w:eastAsia="ja-JP"/>
        </w:rPr>
        <w:t xml:space="preserve">the </w:t>
      </w:r>
      <w:r w:rsidRPr="004962A3">
        <w:rPr>
          <w:rFonts w:ascii="Book Antiqua" w:hAnsi="Book Antiqua"/>
          <w:sz w:val="24"/>
          <w:szCs w:val="24"/>
        </w:rPr>
        <w:t xml:space="preserve">change of </w:t>
      </w:r>
      <w:r w:rsidRPr="004962A3">
        <w:rPr>
          <w:rFonts w:ascii="Book Antiqua" w:hAnsi="Book Antiqua"/>
          <w:sz w:val="24"/>
          <w:szCs w:val="24"/>
          <w:lang w:eastAsia="ja-JP"/>
        </w:rPr>
        <w:t>g</w:t>
      </w:r>
      <w:r w:rsidRPr="004962A3">
        <w:rPr>
          <w:rFonts w:ascii="Book Antiqua" w:hAnsi="Book Antiqua"/>
          <w:sz w:val="24"/>
          <w:szCs w:val="24"/>
        </w:rPr>
        <w:t>astrointestinal motility after</w:t>
      </w:r>
      <w:r w:rsidRPr="004962A3">
        <w:rPr>
          <w:rFonts w:ascii="Book Antiqua" w:hAnsi="Book Antiqua"/>
          <w:sz w:val="24"/>
          <w:szCs w:val="24"/>
          <w:lang w:eastAsia="ja-JP"/>
        </w:rPr>
        <w:t xml:space="preserve"> </w:t>
      </w:r>
      <w:r w:rsidRPr="004962A3">
        <w:rPr>
          <w:rFonts w:ascii="Book Antiqua" w:hAnsi="Book Antiqua"/>
          <w:sz w:val="24"/>
          <w:szCs w:val="24"/>
        </w:rPr>
        <w:t>administrate</w:t>
      </w:r>
      <w:r w:rsidRPr="004962A3">
        <w:rPr>
          <w:rFonts w:ascii="Book Antiqua" w:hAnsi="Book Antiqua"/>
          <w:sz w:val="24"/>
          <w:szCs w:val="24"/>
          <w:lang w:eastAsia="ja-JP"/>
        </w:rPr>
        <w:t>d</w:t>
      </w:r>
      <w:r w:rsidRPr="004962A3">
        <w:rPr>
          <w:rFonts w:ascii="Book Antiqua" w:hAnsi="Book Antiqua"/>
          <w:sz w:val="24"/>
          <w:szCs w:val="24"/>
        </w:rPr>
        <w:t xml:space="preserve"> the dietary ingredient. </w:t>
      </w:r>
      <w:r w:rsidRPr="004962A3">
        <w:rPr>
          <w:rStyle w:val="hps"/>
          <w:rFonts w:ascii="Book Antiqua" w:hAnsi="Book Antiqua" w:cs="Arial"/>
          <w:color w:val="222222"/>
          <w:sz w:val="24"/>
          <w:szCs w:val="24"/>
        </w:rPr>
        <w:t>We</w:t>
      </w:r>
      <w:r w:rsidRPr="004962A3">
        <w:rPr>
          <w:rFonts w:ascii="Book Antiqua" w:hAnsi="Book Antiqua" w:cs="Arial"/>
          <w:color w:val="222222"/>
          <w:sz w:val="24"/>
          <w:szCs w:val="24"/>
        </w:rPr>
        <w:t xml:space="preserve"> </w:t>
      </w:r>
      <w:r w:rsidRPr="004962A3">
        <w:rPr>
          <w:rStyle w:val="hps"/>
          <w:rFonts w:ascii="Book Antiqua" w:hAnsi="Book Antiqua" w:cs="Arial"/>
          <w:color w:val="222222"/>
          <w:sz w:val="24"/>
          <w:szCs w:val="24"/>
        </w:rPr>
        <w:t>reported</w:t>
      </w:r>
      <w:r w:rsidRPr="004962A3">
        <w:rPr>
          <w:rFonts w:ascii="Book Antiqua" w:hAnsi="Book Antiqua" w:cs="Arial"/>
          <w:color w:val="222222"/>
          <w:sz w:val="24"/>
          <w:szCs w:val="24"/>
        </w:rPr>
        <w:t xml:space="preserve"> </w:t>
      </w:r>
      <w:r w:rsidRPr="004962A3">
        <w:rPr>
          <w:rStyle w:val="hps"/>
          <w:rFonts w:ascii="Book Antiqua" w:hAnsi="Book Antiqua" w:cs="Arial"/>
          <w:color w:val="222222"/>
          <w:sz w:val="24"/>
          <w:szCs w:val="24"/>
        </w:rPr>
        <w:t>preliminarily</w:t>
      </w:r>
      <w:r w:rsidRPr="004962A3">
        <w:rPr>
          <w:rFonts w:ascii="Book Antiqua" w:hAnsi="Book Antiqua" w:cs="Arial"/>
          <w:color w:val="222222"/>
          <w:sz w:val="24"/>
          <w:szCs w:val="24"/>
        </w:rPr>
        <w:t xml:space="preserve"> </w:t>
      </w:r>
      <w:r w:rsidRPr="004962A3">
        <w:rPr>
          <w:rFonts w:ascii="Book Antiqua" w:hAnsi="Book Antiqua" w:cs="Arial"/>
          <w:color w:val="222222"/>
          <w:sz w:val="24"/>
          <w:szCs w:val="24"/>
          <w:lang w:eastAsia="ja-JP"/>
        </w:rPr>
        <w:t>that an infusion of triacetin</w:t>
      </w:r>
      <w:r w:rsidRPr="004962A3">
        <w:rPr>
          <w:rFonts w:ascii="Book Antiqua" w:hAnsi="Book Antiqua" w:cs="Arial"/>
          <w:color w:val="222222"/>
          <w:sz w:val="24"/>
          <w:szCs w:val="24"/>
        </w:rPr>
        <w:t>,</w:t>
      </w:r>
      <w:r>
        <w:rPr>
          <w:rFonts w:ascii="Book Antiqua" w:hAnsi="Book Antiqua" w:cs="Arial"/>
          <w:color w:val="222222"/>
          <w:sz w:val="24"/>
          <w:szCs w:val="24"/>
          <w:lang w:eastAsia="ja-JP"/>
        </w:rPr>
        <w:t xml:space="preserve"> </w:t>
      </w:r>
      <w:r w:rsidRPr="004962A3">
        <w:rPr>
          <w:rFonts w:ascii="Book Antiqua" w:hAnsi="Book Antiqua" w:cs="Arial"/>
          <w:color w:val="222222"/>
          <w:sz w:val="24"/>
          <w:szCs w:val="24"/>
        </w:rPr>
        <w:t xml:space="preserve">which </w:t>
      </w:r>
      <w:r w:rsidRPr="004962A3">
        <w:rPr>
          <w:rStyle w:val="hps"/>
          <w:rFonts w:ascii="Book Antiqua" w:hAnsi="Book Antiqua" w:cs="Arial"/>
          <w:color w:val="222222"/>
          <w:sz w:val="24"/>
          <w:szCs w:val="24"/>
        </w:rPr>
        <w:t>is expected as a</w:t>
      </w:r>
      <w:r>
        <w:rPr>
          <w:rStyle w:val="hps"/>
          <w:rFonts w:ascii="Book Antiqua" w:hAnsi="Book Antiqua" w:cs="Arial"/>
          <w:color w:val="222222"/>
          <w:sz w:val="24"/>
          <w:szCs w:val="24"/>
          <w:lang w:eastAsia="ja-JP"/>
        </w:rPr>
        <w:t xml:space="preserve"> new nutritional ingredient, into the stomach delayed the gastric emptying rate in conscious dogs. However, it is still unclear whether triacetin can change upper </w:t>
      </w:r>
      <w:r w:rsidRPr="004962A3">
        <w:rPr>
          <w:rFonts w:ascii="Book Antiqua" w:hAnsi="Book Antiqua"/>
          <w:sz w:val="24"/>
          <w:szCs w:val="24"/>
          <w:lang w:eastAsia="ja-JP"/>
        </w:rPr>
        <w:t>g</w:t>
      </w:r>
      <w:r w:rsidRPr="004962A3">
        <w:rPr>
          <w:rFonts w:ascii="Book Antiqua" w:hAnsi="Book Antiqua"/>
          <w:sz w:val="24"/>
          <w:szCs w:val="24"/>
        </w:rPr>
        <w:t>astrointestinal motility</w:t>
      </w:r>
      <w:r>
        <w:rPr>
          <w:rFonts w:ascii="Book Antiqua" w:hAnsi="Book Antiqua"/>
          <w:sz w:val="24"/>
          <w:szCs w:val="24"/>
          <w:lang w:eastAsia="ja-JP"/>
        </w:rPr>
        <w:t xml:space="preserve"> during a delay of gastric emptying.</w:t>
      </w:r>
    </w:p>
    <w:p w:rsidR="004E5E2A" w:rsidRPr="00607DEB" w:rsidRDefault="004E5E2A" w:rsidP="00F678FB">
      <w:pPr>
        <w:spacing w:line="360" w:lineRule="auto"/>
        <w:jc w:val="both"/>
        <w:rPr>
          <w:rFonts w:ascii="Book Antiqua" w:hAnsi="Book Antiqua"/>
          <w:b/>
          <w:i/>
          <w:lang w:eastAsia="ja-JP"/>
        </w:rPr>
      </w:pPr>
    </w:p>
    <w:p w:rsidR="004E5E2A" w:rsidRPr="008E267B" w:rsidRDefault="004E5E2A" w:rsidP="00F678FB">
      <w:pPr>
        <w:spacing w:line="360" w:lineRule="auto"/>
        <w:jc w:val="both"/>
        <w:rPr>
          <w:rFonts w:ascii="Book Antiqua" w:hAnsi="Book Antiqua"/>
          <w:b/>
          <w:i/>
        </w:rPr>
      </w:pPr>
      <w:r w:rsidRPr="008E267B">
        <w:rPr>
          <w:rFonts w:ascii="Book Antiqua" w:hAnsi="Book Antiqua"/>
          <w:b/>
          <w:i/>
        </w:rPr>
        <w:t>Research frontiers</w:t>
      </w:r>
    </w:p>
    <w:p w:rsidR="004E5E2A" w:rsidRDefault="004E5E2A" w:rsidP="00F678FB">
      <w:pPr>
        <w:spacing w:line="360" w:lineRule="auto"/>
        <w:jc w:val="both"/>
        <w:rPr>
          <w:rFonts w:ascii="Book Antiqua" w:hAnsi="Book Antiqua"/>
          <w:b/>
          <w:i/>
          <w:lang w:eastAsia="ja-JP"/>
        </w:rPr>
      </w:pPr>
      <w:r w:rsidRPr="00181FC5">
        <w:rPr>
          <w:rFonts w:ascii="Book Antiqua" w:hAnsi="Book Antiqua"/>
        </w:rPr>
        <w:t xml:space="preserve">Triacetin </w:t>
      </w:r>
      <w:r>
        <w:rPr>
          <w:rFonts w:ascii="Book Antiqua" w:hAnsi="Book Antiqua"/>
          <w:lang w:eastAsia="ja-JP"/>
        </w:rPr>
        <w:t xml:space="preserve">has been generally recognized by the Food and Drug Administration as being a safe human food ingredient. </w:t>
      </w:r>
      <w:r w:rsidRPr="00181920">
        <w:rPr>
          <w:rFonts w:ascii="Book Antiqua" w:hAnsi="Book Antiqua"/>
          <w:lang w:eastAsia="ja-JP"/>
        </w:rPr>
        <w:t xml:space="preserve">In the area of </w:t>
      </w:r>
      <w:r w:rsidRPr="004962A3">
        <w:rPr>
          <w:rFonts w:ascii="Book Antiqua" w:hAnsi="Book Antiqua"/>
          <w:lang w:eastAsia="ja-JP"/>
        </w:rPr>
        <w:t>g</w:t>
      </w:r>
      <w:r w:rsidRPr="004962A3">
        <w:rPr>
          <w:rFonts w:ascii="Book Antiqua" w:hAnsi="Book Antiqua"/>
        </w:rPr>
        <w:t>astrointestinal motility</w:t>
      </w:r>
      <w:r w:rsidRPr="00181920">
        <w:rPr>
          <w:rFonts w:ascii="Book Antiqua" w:hAnsi="Book Antiqua"/>
          <w:lang w:eastAsia="ja-JP"/>
        </w:rPr>
        <w:t xml:space="preserve"> with </w:t>
      </w:r>
      <w:r>
        <w:rPr>
          <w:rFonts w:ascii="Book Antiqua" w:hAnsi="Book Antiqua"/>
          <w:lang w:eastAsia="ja-JP"/>
        </w:rPr>
        <w:t>triacetin</w:t>
      </w:r>
      <w:r w:rsidRPr="00181920">
        <w:rPr>
          <w:rFonts w:ascii="Book Antiqua" w:hAnsi="Book Antiqua"/>
          <w:lang w:eastAsia="ja-JP"/>
        </w:rPr>
        <w:t xml:space="preserve">, the research hotspot is </w:t>
      </w:r>
      <w:r>
        <w:rPr>
          <w:rFonts w:ascii="Book Antiqua" w:hAnsi="Book Antiqua"/>
          <w:lang w:eastAsia="ja-JP"/>
        </w:rPr>
        <w:t>the change on the proximal gastric tone and the upper gastrointestinal motility.</w:t>
      </w:r>
    </w:p>
    <w:p w:rsidR="004E5E2A" w:rsidRPr="008E267B" w:rsidRDefault="004E5E2A" w:rsidP="00F678FB">
      <w:pPr>
        <w:spacing w:line="360" w:lineRule="auto"/>
        <w:jc w:val="both"/>
        <w:rPr>
          <w:rFonts w:ascii="Book Antiqua" w:hAnsi="Book Antiqua"/>
          <w:b/>
          <w:i/>
          <w:lang w:eastAsia="ja-JP"/>
        </w:rPr>
      </w:pPr>
    </w:p>
    <w:p w:rsidR="004E5E2A" w:rsidRPr="008E267B" w:rsidRDefault="004E5E2A" w:rsidP="00F678FB">
      <w:pPr>
        <w:spacing w:line="360" w:lineRule="auto"/>
        <w:jc w:val="both"/>
        <w:rPr>
          <w:rFonts w:ascii="Book Antiqua" w:hAnsi="Book Antiqua"/>
          <w:b/>
          <w:i/>
        </w:rPr>
      </w:pPr>
      <w:r w:rsidRPr="008E267B">
        <w:rPr>
          <w:rFonts w:ascii="Book Antiqua" w:hAnsi="Book Antiqua"/>
          <w:b/>
          <w:i/>
        </w:rPr>
        <w:t>Innovations and breakthroughs</w:t>
      </w:r>
    </w:p>
    <w:p w:rsidR="004E5E2A" w:rsidRPr="000A63C6" w:rsidRDefault="004E5E2A" w:rsidP="00F678FB">
      <w:pPr>
        <w:spacing w:line="360" w:lineRule="auto"/>
        <w:jc w:val="both"/>
        <w:rPr>
          <w:rFonts w:ascii="Book Antiqua" w:hAnsi="Book Antiqua"/>
          <w:lang w:eastAsia="ja-JP"/>
        </w:rPr>
      </w:pPr>
      <w:r>
        <w:rPr>
          <w:rFonts w:ascii="Book Antiqua" w:hAnsi="Book Antiqua"/>
          <w:lang w:eastAsia="ja-JP"/>
        </w:rPr>
        <w:t xml:space="preserve">In this study, to research the effect of triacetin on the gastric tone of the proximal stomach in conscious dogs, we used a polyethylene bag to measure the receptive volume of the proximal stomach at a constant pressure before and after the intra-gastric infusion of triacetin. Moreover, to determine the effect of triacetin on </w:t>
      </w:r>
      <w:r>
        <w:rPr>
          <w:rFonts w:ascii="Book Antiqua" w:hAnsi="Book Antiqua"/>
          <w:lang w:eastAsia="ja-JP"/>
        </w:rPr>
        <w:lastRenderedPageBreak/>
        <w:t>the upper gastrointestinal contractile activities, we used force transducers to measure the gastric antral and duodenal contractions. The animals were either fasted for 24</w:t>
      </w:r>
      <w:r>
        <w:rPr>
          <w:rFonts w:ascii="Book Antiqua" w:eastAsia="宋体" w:hAnsi="Book Antiqua"/>
          <w:lang w:eastAsia="zh-CN"/>
        </w:rPr>
        <w:t xml:space="preserve"> </w:t>
      </w:r>
      <w:r>
        <w:rPr>
          <w:rFonts w:ascii="Book Antiqua" w:hAnsi="Book Antiqua"/>
          <w:lang w:eastAsia="ja-JP"/>
        </w:rPr>
        <w:t xml:space="preserve">h or fed a liquid meal 2–3 h before the experiment. Triacetin rapidly induces a temporary relaxation in the proximal stomach that is followed by contraction in both the gastric antrum and duodenum. The effect of triacetin was largely similar for both the fasted and postprandial phases, statistically significant differences were only observed in fasted animals. </w:t>
      </w:r>
    </w:p>
    <w:p w:rsidR="004E5E2A" w:rsidRDefault="004E5E2A" w:rsidP="00F678FB">
      <w:pPr>
        <w:spacing w:line="360" w:lineRule="auto"/>
        <w:jc w:val="both"/>
        <w:rPr>
          <w:rFonts w:ascii="Book Antiqua" w:hAnsi="Book Antiqua"/>
          <w:b/>
          <w:i/>
          <w:lang w:eastAsia="ja-JP"/>
        </w:rPr>
      </w:pPr>
    </w:p>
    <w:p w:rsidR="004E5E2A" w:rsidRPr="008E267B" w:rsidRDefault="004E5E2A" w:rsidP="00F678FB">
      <w:pPr>
        <w:spacing w:line="360" w:lineRule="auto"/>
        <w:jc w:val="both"/>
        <w:rPr>
          <w:rFonts w:ascii="Book Antiqua" w:hAnsi="Book Antiqua"/>
          <w:b/>
          <w:i/>
        </w:rPr>
      </w:pPr>
      <w:r w:rsidRPr="008E267B">
        <w:rPr>
          <w:rFonts w:ascii="Book Antiqua" w:hAnsi="Book Antiqua"/>
          <w:b/>
          <w:i/>
        </w:rPr>
        <w:t>Applications</w:t>
      </w:r>
    </w:p>
    <w:p w:rsidR="004E5E2A" w:rsidRPr="00F678FB" w:rsidRDefault="004E5E2A" w:rsidP="00F678FB">
      <w:pPr>
        <w:pStyle w:val="ecxmsobodytext"/>
        <w:spacing w:before="0" w:beforeAutospacing="0" w:after="0" w:afterAutospacing="0" w:line="360" w:lineRule="auto"/>
        <w:jc w:val="both"/>
        <w:rPr>
          <w:rFonts w:ascii="Book Antiqua" w:eastAsia="宋体" w:hAnsi="Book Antiqua"/>
          <w:sz w:val="24"/>
          <w:szCs w:val="24"/>
          <w:lang w:eastAsia="zh-CN"/>
        </w:rPr>
      </w:pPr>
      <w:r>
        <w:rPr>
          <w:rFonts w:ascii="Book Antiqua" w:hAnsi="Book Antiqua"/>
          <w:sz w:val="24"/>
          <w:szCs w:val="24"/>
        </w:rPr>
        <w:t>Intra-gastric infusion of 1.0</w:t>
      </w:r>
      <w:r>
        <w:rPr>
          <w:rFonts w:ascii="Book Antiqua" w:eastAsia="宋体" w:hAnsi="Book Antiqua"/>
          <w:sz w:val="24"/>
          <w:szCs w:val="24"/>
          <w:lang w:eastAsia="zh-CN"/>
        </w:rPr>
        <w:t>%</w:t>
      </w:r>
      <w:r>
        <w:rPr>
          <w:rFonts w:ascii="Book Antiqua" w:hAnsi="Book Antiqua"/>
          <w:sz w:val="24"/>
          <w:szCs w:val="24"/>
        </w:rPr>
        <w:t>-</w:t>
      </w:r>
      <w:r w:rsidRPr="00912B86">
        <w:rPr>
          <w:rFonts w:ascii="Book Antiqua" w:hAnsi="Book Antiqua"/>
          <w:sz w:val="24"/>
          <w:szCs w:val="24"/>
        </w:rPr>
        <w:t>2.0% triacetin delays gastric emptying by increasing proximal stomach receptive volume, temporarily inhibiting gastric antral contractions and faci</w:t>
      </w:r>
      <w:r>
        <w:rPr>
          <w:rFonts w:ascii="Book Antiqua" w:hAnsi="Book Antiqua"/>
          <w:sz w:val="24"/>
          <w:szCs w:val="24"/>
        </w:rPr>
        <w:t>litating duodenal contractions.</w:t>
      </w:r>
    </w:p>
    <w:p w:rsidR="004E5E2A" w:rsidRPr="00F678FB" w:rsidRDefault="004E5E2A" w:rsidP="00F678FB">
      <w:pPr>
        <w:spacing w:line="360" w:lineRule="auto"/>
        <w:jc w:val="both"/>
        <w:rPr>
          <w:rFonts w:ascii="Book Antiqua" w:eastAsia="宋体" w:hAnsi="Book Antiqua"/>
          <w:b/>
          <w:i/>
          <w:lang w:eastAsia="zh-CN"/>
        </w:rPr>
      </w:pPr>
    </w:p>
    <w:p w:rsidR="004E5E2A" w:rsidRDefault="004E5E2A" w:rsidP="00F678FB">
      <w:pPr>
        <w:pStyle w:val="ecxmsobodytext"/>
        <w:spacing w:before="0" w:beforeAutospacing="0" w:after="0" w:afterAutospacing="0" w:line="360" w:lineRule="auto"/>
        <w:jc w:val="both"/>
        <w:rPr>
          <w:rFonts w:ascii="Book Antiqua" w:hAnsi="Book Antiqua"/>
          <w:b/>
          <w:i/>
          <w:sz w:val="24"/>
          <w:lang w:eastAsia="ja-JP"/>
        </w:rPr>
      </w:pPr>
      <w:r w:rsidRPr="008E267B">
        <w:rPr>
          <w:rFonts w:ascii="Book Antiqua" w:hAnsi="Book Antiqua"/>
          <w:b/>
          <w:i/>
          <w:sz w:val="24"/>
        </w:rPr>
        <w:t>Peer review</w:t>
      </w:r>
    </w:p>
    <w:p w:rsidR="004E5E2A" w:rsidRPr="00F60979" w:rsidRDefault="004E5E2A" w:rsidP="00F678FB">
      <w:pPr>
        <w:pStyle w:val="ecxmsobodytext"/>
        <w:spacing w:before="0" w:beforeAutospacing="0" w:after="0" w:afterAutospacing="0" w:line="360" w:lineRule="auto"/>
        <w:jc w:val="both"/>
        <w:rPr>
          <w:rFonts w:ascii="Book Antiqua" w:hAnsi="Book Antiqua"/>
          <w:b/>
          <w:i/>
          <w:sz w:val="24"/>
          <w:szCs w:val="24"/>
          <w:lang w:eastAsia="ja-JP"/>
        </w:rPr>
      </w:pPr>
      <w:r w:rsidRPr="00F60979">
        <w:rPr>
          <w:rFonts w:ascii="Book Antiqua" w:hAnsi="Book Antiqua"/>
          <w:sz w:val="24"/>
          <w:szCs w:val="24"/>
        </w:rPr>
        <w:t>This manuscript reports novel information on the effect of short-chain triglycerides on gastric emptying in conscious dogs. The Authors demonstrate convincingly that Intra-gastric infusion of 1.0</w:t>
      </w:r>
      <w:r>
        <w:rPr>
          <w:rFonts w:ascii="宋体" w:eastAsia="宋体" w:hAnsi="宋体"/>
          <w:sz w:val="24"/>
          <w:szCs w:val="24"/>
          <w:lang w:eastAsia="zh-CN"/>
        </w:rPr>
        <w:t>%</w:t>
      </w:r>
      <w:r w:rsidRPr="00F60979">
        <w:rPr>
          <w:rFonts w:ascii="Book Antiqua" w:hAnsi="Book Antiqua"/>
          <w:sz w:val="24"/>
          <w:szCs w:val="24"/>
        </w:rPr>
        <w:t>-2.0% triacetin induced an increase of the receptive volume of the proximal stomach, and caused temporary inhibition of the gastric antral contractilities, which are suggestive of a retardation of gastric emptying.</w:t>
      </w:r>
    </w:p>
    <w:p w:rsidR="004E5E2A" w:rsidRDefault="004E5E2A" w:rsidP="00941110">
      <w:pPr>
        <w:pStyle w:val="ecxmsobodytext"/>
        <w:spacing w:before="0" w:beforeAutospacing="0" w:after="0" w:afterAutospacing="0" w:line="360" w:lineRule="auto"/>
        <w:jc w:val="both"/>
        <w:rPr>
          <w:rFonts w:ascii="Book Antiqua" w:hAnsi="Book Antiqua"/>
          <w:b/>
          <w:i/>
          <w:sz w:val="24"/>
          <w:lang w:eastAsia="ja-JP"/>
        </w:rPr>
      </w:pPr>
    </w:p>
    <w:p w:rsidR="004E5E2A" w:rsidRPr="00912B86" w:rsidRDefault="004E5E2A" w:rsidP="00912B86">
      <w:pPr>
        <w:pStyle w:val="ecxmsobodytext"/>
        <w:spacing w:before="0" w:beforeAutospacing="0" w:after="0" w:afterAutospacing="0" w:line="360" w:lineRule="auto"/>
        <w:jc w:val="both"/>
        <w:rPr>
          <w:rFonts w:ascii="Book Antiqua" w:hAnsi="Book Antiqua"/>
          <w:sz w:val="24"/>
          <w:szCs w:val="24"/>
        </w:rPr>
      </w:pPr>
      <w:r w:rsidRPr="00912B86">
        <w:rPr>
          <w:rFonts w:ascii="Book Antiqua" w:hAnsi="Book Antiqua"/>
          <w:b/>
          <w:bCs/>
          <w:sz w:val="24"/>
          <w:szCs w:val="24"/>
        </w:rPr>
        <w:t>REFERENCES</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8730"/>
      </w:tblGrid>
      <w:tr w:rsidR="004E5E2A" w:rsidRPr="002F70BF" w:rsidTr="006954EC">
        <w:trPr>
          <w:tblCellSpacing w:w="15" w:type="dxa"/>
        </w:trPr>
        <w:tc>
          <w:tcPr>
            <w:tcW w:w="8670" w:type="dxa"/>
            <w:vAlign w:val="center"/>
          </w:tcPr>
          <w:p w:rsidR="004E5E2A" w:rsidRPr="002F70BF" w:rsidRDefault="004E5E2A" w:rsidP="00912B86">
            <w:pPr>
              <w:spacing w:line="360" w:lineRule="auto"/>
              <w:jc w:val="both"/>
              <w:rPr>
                <w:rFonts w:ascii="Book Antiqua" w:hAnsi="Book Antiqua" w:cs="宋体"/>
              </w:rPr>
            </w:pPr>
            <w:r w:rsidRPr="002F70BF">
              <w:rPr>
                <w:rFonts w:ascii="Book Antiqua" w:hAnsi="Book Antiqua" w:cs="宋体"/>
              </w:rPr>
              <w:t xml:space="preserve">1 </w:t>
            </w:r>
            <w:r w:rsidRPr="002F70BF">
              <w:rPr>
                <w:rFonts w:ascii="Book Antiqua" w:hAnsi="Book Antiqua" w:cs="宋体"/>
                <w:b/>
                <w:bCs/>
              </w:rPr>
              <w:t>Bailey JW</w:t>
            </w:r>
            <w:r w:rsidRPr="002F70BF">
              <w:rPr>
                <w:rFonts w:ascii="Book Antiqua" w:hAnsi="Book Antiqua" w:cs="宋体"/>
              </w:rPr>
              <w:t xml:space="preserve">, Barker RL, Karlstad MD. Total parenteral nutrition with short- and long-chain triglycerides: triacetin improves nitrogen balance in rats. </w:t>
            </w:r>
            <w:r w:rsidRPr="002F70BF">
              <w:rPr>
                <w:rFonts w:ascii="Book Antiqua" w:hAnsi="Book Antiqua" w:cs="宋体"/>
                <w:i/>
                <w:iCs/>
              </w:rPr>
              <w:t>J Nutr</w:t>
            </w:r>
            <w:r w:rsidRPr="002F70BF">
              <w:rPr>
                <w:rFonts w:ascii="Book Antiqua" w:hAnsi="Book Antiqua" w:cs="宋体"/>
              </w:rPr>
              <w:t xml:space="preserve"> 1992; </w:t>
            </w:r>
            <w:r w:rsidRPr="002F70BF">
              <w:rPr>
                <w:rFonts w:ascii="Book Antiqua" w:hAnsi="Book Antiqua" w:cs="宋体"/>
                <w:b/>
                <w:bCs/>
              </w:rPr>
              <w:t>122</w:t>
            </w:r>
            <w:r w:rsidRPr="002F70BF">
              <w:rPr>
                <w:rFonts w:ascii="Book Antiqua" w:hAnsi="Book Antiqua" w:cs="宋体"/>
              </w:rPr>
              <w:t>: 1823-1829 [PMID: 1512631]</w:t>
            </w:r>
          </w:p>
          <w:p w:rsidR="004E5E2A" w:rsidRPr="002F70BF" w:rsidRDefault="004E5E2A" w:rsidP="00912B86">
            <w:pPr>
              <w:spacing w:line="360" w:lineRule="auto"/>
              <w:jc w:val="both"/>
              <w:rPr>
                <w:rFonts w:ascii="Book Antiqua" w:hAnsi="Book Antiqua" w:cs="宋体"/>
              </w:rPr>
            </w:pPr>
            <w:r w:rsidRPr="002F70BF">
              <w:rPr>
                <w:rFonts w:ascii="Book Antiqua" w:hAnsi="Book Antiqua" w:cs="宋体"/>
              </w:rPr>
              <w:t xml:space="preserve">2 </w:t>
            </w:r>
            <w:r w:rsidRPr="002F70BF">
              <w:rPr>
                <w:rFonts w:ascii="Book Antiqua" w:hAnsi="Book Antiqua" w:cs="宋体"/>
                <w:b/>
                <w:bCs/>
              </w:rPr>
              <w:t>Bailey JW</w:t>
            </w:r>
            <w:r w:rsidRPr="002F70BF">
              <w:rPr>
                <w:rFonts w:ascii="Book Antiqua" w:hAnsi="Book Antiqua" w:cs="宋体"/>
              </w:rPr>
              <w:t xml:space="preserve">, Miles JM, Haymond MW. Effect of parenteral administration of short-chain triglycerides on leucine metabolism. </w:t>
            </w:r>
            <w:r w:rsidRPr="002F70BF">
              <w:rPr>
                <w:rFonts w:ascii="Book Antiqua" w:hAnsi="Book Antiqua" w:cs="宋体"/>
                <w:i/>
                <w:iCs/>
              </w:rPr>
              <w:t>Am J Clin Nutr</w:t>
            </w:r>
            <w:r w:rsidRPr="002F70BF">
              <w:rPr>
                <w:rFonts w:ascii="Book Antiqua" w:hAnsi="Book Antiqua" w:cs="宋体"/>
              </w:rPr>
              <w:t xml:space="preserve"> 1993; </w:t>
            </w:r>
            <w:r w:rsidRPr="002F70BF">
              <w:rPr>
                <w:rFonts w:ascii="Book Antiqua" w:hAnsi="Book Antiqua" w:cs="宋体"/>
                <w:b/>
                <w:bCs/>
              </w:rPr>
              <w:t>58</w:t>
            </w:r>
            <w:r w:rsidRPr="002F70BF">
              <w:rPr>
                <w:rFonts w:ascii="Book Antiqua" w:hAnsi="Book Antiqua" w:cs="宋体"/>
              </w:rPr>
              <w:t>: 912-916 [PMID: 8249878]</w:t>
            </w:r>
          </w:p>
          <w:p w:rsidR="004E5E2A" w:rsidRPr="002F70BF" w:rsidRDefault="004E5E2A" w:rsidP="00912B86">
            <w:pPr>
              <w:spacing w:line="360" w:lineRule="auto"/>
              <w:jc w:val="both"/>
              <w:rPr>
                <w:rFonts w:ascii="Book Antiqua" w:hAnsi="Book Antiqua" w:cs="宋体"/>
              </w:rPr>
            </w:pPr>
            <w:r w:rsidRPr="002F70BF">
              <w:rPr>
                <w:rFonts w:ascii="Book Antiqua" w:hAnsi="Book Antiqua" w:cs="宋体"/>
              </w:rPr>
              <w:lastRenderedPageBreak/>
              <w:t xml:space="preserve">3 </w:t>
            </w:r>
            <w:r w:rsidRPr="002F70BF">
              <w:rPr>
                <w:rFonts w:ascii="Book Antiqua" w:hAnsi="Book Antiqua" w:cs="宋体"/>
                <w:b/>
                <w:bCs/>
              </w:rPr>
              <w:t>Bailey JW</w:t>
            </w:r>
            <w:r w:rsidRPr="002F70BF">
              <w:rPr>
                <w:rFonts w:ascii="Book Antiqua" w:hAnsi="Book Antiqua" w:cs="宋体"/>
              </w:rPr>
              <w:t xml:space="preserve">, Haymond MW, Miles JM. Triacetin: a potential parenteral nutrient. </w:t>
            </w:r>
            <w:r w:rsidRPr="002F70BF">
              <w:rPr>
                <w:rFonts w:ascii="Book Antiqua" w:hAnsi="Book Antiqua" w:cs="宋体"/>
                <w:i/>
                <w:iCs/>
              </w:rPr>
              <w:t>JPEN J Parenter Enteral Nutr</w:t>
            </w:r>
            <w:r w:rsidRPr="002F70BF">
              <w:rPr>
                <w:rFonts w:ascii="Book Antiqua" w:hAnsi="Book Antiqua" w:cs="宋体"/>
              </w:rPr>
              <w:t xml:space="preserve"> </w:t>
            </w:r>
            <w:r w:rsidRPr="00912B86">
              <w:rPr>
                <w:rFonts w:ascii="Book Antiqua" w:hAnsi="Book Antiqua" w:cs="宋体"/>
              </w:rPr>
              <w:t>1991</w:t>
            </w:r>
            <w:r w:rsidRPr="002F70BF">
              <w:rPr>
                <w:rFonts w:ascii="Book Antiqua" w:hAnsi="Book Antiqua" w:cs="宋体"/>
              </w:rPr>
              <w:t xml:space="preserve">; </w:t>
            </w:r>
            <w:r w:rsidRPr="002F70BF">
              <w:rPr>
                <w:rFonts w:ascii="Book Antiqua" w:hAnsi="Book Antiqua" w:cs="宋体"/>
                <w:b/>
                <w:bCs/>
              </w:rPr>
              <w:t>15</w:t>
            </w:r>
            <w:r w:rsidRPr="002F70BF">
              <w:rPr>
                <w:rFonts w:ascii="Book Antiqua" w:hAnsi="Book Antiqua" w:cs="宋体"/>
              </w:rPr>
              <w:t>: 32-36 [PMID: 1901105 DOI: 10.1177/01486071910500132]</w:t>
            </w:r>
          </w:p>
          <w:p w:rsidR="004E5E2A" w:rsidRPr="002F70BF" w:rsidRDefault="004E5E2A" w:rsidP="00912B86">
            <w:pPr>
              <w:spacing w:line="360" w:lineRule="auto"/>
              <w:jc w:val="both"/>
              <w:rPr>
                <w:rFonts w:ascii="Book Antiqua" w:hAnsi="Book Antiqua" w:cs="宋体"/>
              </w:rPr>
            </w:pPr>
            <w:r w:rsidRPr="002F70BF">
              <w:rPr>
                <w:rFonts w:ascii="Book Antiqua" w:hAnsi="Book Antiqua" w:cs="宋体"/>
              </w:rPr>
              <w:t xml:space="preserve">4 </w:t>
            </w:r>
            <w:r w:rsidRPr="002F70BF">
              <w:rPr>
                <w:rFonts w:ascii="Book Antiqua" w:hAnsi="Book Antiqua" w:cs="宋体"/>
                <w:b/>
                <w:bCs/>
              </w:rPr>
              <w:t>Bleiberg B</w:t>
            </w:r>
            <w:r w:rsidRPr="002F70BF">
              <w:rPr>
                <w:rFonts w:ascii="Book Antiqua" w:hAnsi="Book Antiqua" w:cs="宋体"/>
              </w:rPr>
              <w:t xml:space="preserve">, Beers TR, Persson M, Miles JM. Metabolism of triacetin-derived acetate in dogs. </w:t>
            </w:r>
            <w:r w:rsidRPr="002F70BF">
              <w:rPr>
                <w:rFonts w:ascii="Book Antiqua" w:hAnsi="Book Antiqua" w:cs="宋体"/>
                <w:i/>
                <w:iCs/>
              </w:rPr>
              <w:t>Am J Clin Nutr</w:t>
            </w:r>
            <w:r w:rsidRPr="002F70BF">
              <w:rPr>
                <w:rFonts w:ascii="Book Antiqua" w:hAnsi="Book Antiqua" w:cs="宋体"/>
              </w:rPr>
              <w:t xml:space="preserve"> 1993; </w:t>
            </w:r>
            <w:r w:rsidRPr="002F70BF">
              <w:rPr>
                <w:rFonts w:ascii="Book Antiqua" w:hAnsi="Book Antiqua" w:cs="宋体"/>
                <w:b/>
                <w:bCs/>
              </w:rPr>
              <w:t>58</w:t>
            </w:r>
            <w:r w:rsidRPr="002F70BF">
              <w:rPr>
                <w:rFonts w:ascii="Book Antiqua" w:hAnsi="Book Antiqua" w:cs="宋体"/>
              </w:rPr>
              <w:t>: 908-911 [PMID: 8249877]</w:t>
            </w:r>
          </w:p>
          <w:p w:rsidR="004E5E2A" w:rsidRPr="002F70BF" w:rsidRDefault="004E5E2A" w:rsidP="00912B86">
            <w:pPr>
              <w:spacing w:line="360" w:lineRule="auto"/>
              <w:jc w:val="both"/>
              <w:rPr>
                <w:rFonts w:ascii="Book Antiqua" w:hAnsi="Book Antiqua" w:cs="宋体"/>
              </w:rPr>
            </w:pPr>
            <w:r w:rsidRPr="002F70BF">
              <w:rPr>
                <w:rFonts w:ascii="Book Antiqua" w:hAnsi="Book Antiqua" w:cs="宋体"/>
              </w:rPr>
              <w:t xml:space="preserve">5 </w:t>
            </w:r>
            <w:r w:rsidRPr="002F70BF">
              <w:rPr>
                <w:rFonts w:ascii="Book Antiqua" w:hAnsi="Book Antiqua" w:cs="宋体"/>
                <w:b/>
                <w:bCs/>
              </w:rPr>
              <w:t>Bailey JW</w:t>
            </w:r>
            <w:r w:rsidRPr="002F70BF">
              <w:rPr>
                <w:rFonts w:ascii="Book Antiqua" w:hAnsi="Book Antiqua" w:cs="宋体"/>
              </w:rPr>
              <w:t xml:space="preserve">, Heath H, Miles JM. Calcium, magnesium, and phosphorus metabolism in dogs given intravenous triacetin. </w:t>
            </w:r>
            <w:r w:rsidRPr="002F70BF">
              <w:rPr>
                <w:rFonts w:ascii="Book Antiqua" w:hAnsi="Book Antiqua" w:cs="宋体"/>
                <w:i/>
                <w:iCs/>
              </w:rPr>
              <w:t>Am J Clin Nutr</w:t>
            </w:r>
            <w:r w:rsidRPr="002F70BF">
              <w:rPr>
                <w:rFonts w:ascii="Book Antiqua" w:hAnsi="Book Antiqua" w:cs="宋体"/>
              </w:rPr>
              <w:t xml:space="preserve"> 1989; </w:t>
            </w:r>
            <w:r w:rsidRPr="002F70BF">
              <w:rPr>
                <w:rFonts w:ascii="Book Antiqua" w:hAnsi="Book Antiqua" w:cs="宋体"/>
                <w:b/>
                <w:bCs/>
              </w:rPr>
              <w:t>49</w:t>
            </w:r>
            <w:r w:rsidRPr="002F70BF">
              <w:rPr>
                <w:rFonts w:ascii="Book Antiqua" w:hAnsi="Book Antiqua" w:cs="宋体"/>
              </w:rPr>
              <w:t>: 385-388 [PMID: 2492747]</w:t>
            </w:r>
          </w:p>
          <w:p w:rsidR="004E5E2A" w:rsidRPr="002F70BF" w:rsidRDefault="004E5E2A" w:rsidP="00912B86">
            <w:pPr>
              <w:spacing w:line="360" w:lineRule="auto"/>
              <w:jc w:val="both"/>
              <w:rPr>
                <w:rFonts w:ascii="Book Antiqua" w:hAnsi="Book Antiqua" w:cs="宋体"/>
              </w:rPr>
            </w:pPr>
            <w:r w:rsidRPr="002F70BF">
              <w:rPr>
                <w:rFonts w:ascii="Book Antiqua" w:hAnsi="Book Antiqua" w:cs="宋体"/>
              </w:rPr>
              <w:t xml:space="preserve">6 </w:t>
            </w:r>
            <w:r w:rsidRPr="002F70BF">
              <w:rPr>
                <w:rFonts w:ascii="Book Antiqua" w:hAnsi="Book Antiqua" w:cs="宋体"/>
                <w:b/>
                <w:bCs/>
              </w:rPr>
              <w:t>Lynch JW</w:t>
            </w:r>
            <w:r w:rsidRPr="002F70BF">
              <w:rPr>
                <w:rFonts w:ascii="Book Antiqua" w:hAnsi="Book Antiqua" w:cs="宋体"/>
              </w:rPr>
              <w:t xml:space="preserve">, Bailey JW. Dietary intake of the short-chain triglyceride triacetin vs. long-chain triglycerides decreases adipocyte diameter and fat deposition in rats. </w:t>
            </w:r>
            <w:r w:rsidRPr="002F70BF">
              <w:rPr>
                <w:rFonts w:ascii="Book Antiqua" w:hAnsi="Book Antiqua" w:cs="宋体"/>
                <w:i/>
                <w:iCs/>
              </w:rPr>
              <w:t>J Nutr</w:t>
            </w:r>
            <w:r w:rsidRPr="002F70BF">
              <w:rPr>
                <w:rFonts w:ascii="Book Antiqua" w:hAnsi="Book Antiqua" w:cs="宋体"/>
              </w:rPr>
              <w:t xml:space="preserve"> 1995; </w:t>
            </w:r>
            <w:r w:rsidRPr="002F70BF">
              <w:rPr>
                <w:rFonts w:ascii="Book Antiqua" w:hAnsi="Book Antiqua" w:cs="宋体"/>
                <w:b/>
                <w:bCs/>
              </w:rPr>
              <w:t>125</w:t>
            </w:r>
            <w:r w:rsidRPr="002F70BF">
              <w:rPr>
                <w:rFonts w:ascii="Book Antiqua" w:hAnsi="Book Antiqua" w:cs="宋体"/>
              </w:rPr>
              <w:t>: 1267-1273 [PMID: 7738686]</w:t>
            </w:r>
          </w:p>
          <w:p w:rsidR="004E5E2A" w:rsidRPr="002F70BF" w:rsidRDefault="004E5E2A" w:rsidP="00912B86">
            <w:pPr>
              <w:spacing w:line="360" w:lineRule="auto"/>
              <w:jc w:val="both"/>
              <w:rPr>
                <w:rFonts w:ascii="Book Antiqua" w:hAnsi="Book Antiqua" w:cs="宋体"/>
              </w:rPr>
            </w:pPr>
            <w:r w:rsidRPr="002F70BF">
              <w:rPr>
                <w:rFonts w:ascii="Book Antiqua" w:hAnsi="Book Antiqua" w:cs="宋体"/>
              </w:rPr>
              <w:t xml:space="preserve">7 </w:t>
            </w:r>
            <w:r w:rsidRPr="002F70BF">
              <w:rPr>
                <w:rFonts w:ascii="Book Antiqua" w:hAnsi="Book Antiqua" w:cs="宋体"/>
                <w:b/>
                <w:bCs/>
              </w:rPr>
              <w:t>Hunt JN</w:t>
            </w:r>
            <w:r w:rsidRPr="002F70BF">
              <w:rPr>
                <w:rFonts w:ascii="Book Antiqua" w:hAnsi="Book Antiqua" w:cs="宋体"/>
              </w:rPr>
              <w:t xml:space="preserve">. Mechanisms and disorders of gastric emptying. </w:t>
            </w:r>
            <w:r w:rsidRPr="002F70BF">
              <w:rPr>
                <w:rFonts w:ascii="Book Antiqua" w:hAnsi="Book Antiqua" w:cs="宋体"/>
                <w:i/>
                <w:iCs/>
              </w:rPr>
              <w:t>Annu Rev Med</w:t>
            </w:r>
            <w:r w:rsidRPr="002F70BF">
              <w:rPr>
                <w:rFonts w:ascii="Book Antiqua" w:hAnsi="Book Antiqua" w:cs="宋体"/>
              </w:rPr>
              <w:t xml:space="preserve"> 1983; </w:t>
            </w:r>
            <w:r w:rsidRPr="002F70BF">
              <w:rPr>
                <w:rFonts w:ascii="Book Antiqua" w:hAnsi="Book Antiqua" w:cs="宋体"/>
                <w:b/>
                <w:bCs/>
              </w:rPr>
              <w:t>34</w:t>
            </w:r>
            <w:r w:rsidRPr="002F70BF">
              <w:rPr>
                <w:rFonts w:ascii="Book Antiqua" w:hAnsi="Book Antiqua" w:cs="宋体"/>
              </w:rPr>
              <w:t>: 219-229 [PMID: 6344757 DOI: 10.1146/annurev.me.34.020183.001251]</w:t>
            </w:r>
          </w:p>
          <w:p w:rsidR="004E5E2A" w:rsidRPr="002F70BF" w:rsidRDefault="004E5E2A" w:rsidP="00912B86">
            <w:pPr>
              <w:spacing w:line="360" w:lineRule="auto"/>
              <w:jc w:val="both"/>
              <w:rPr>
                <w:rFonts w:ascii="Book Antiqua" w:hAnsi="Book Antiqua" w:cs="宋体"/>
              </w:rPr>
            </w:pPr>
            <w:r w:rsidRPr="002F70BF">
              <w:rPr>
                <w:rFonts w:ascii="Book Antiqua" w:hAnsi="Book Antiqua" w:cs="宋体"/>
              </w:rPr>
              <w:t xml:space="preserve">8 </w:t>
            </w:r>
            <w:r w:rsidRPr="002F70BF">
              <w:rPr>
                <w:rFonts w:ascii="Book Antiqua" w:hAnsi="Book Antiqua" w:cs="宋体"/>
                <w:b/>
                <w:bCs/>
              </w:rPr>
              <w:t>Houghton LA</w:t>
            </w:r>
            <w:r w:rsidRPr="002F70BF">
              <w:rPr>
                <w:rFonts w:ascii="Book Antiqua" w:hAnsi="Book Antiqua" w:cs="宋体"/>
              </w:rPr>
              <w:t xml:space="preserve">, Mangnall YF, Read NW. Effect of incorporating fat into a liquid test meal on the relation between intragastric distribution and gastric emptying in human volunteers. </w:t>
            </w:r>
            <w:r w:rsidRPr="002F70BF">
              <w:rPr>
                <w:rFonts w:ascii="Book Antiqua" w:hAnsi="Book Antiqua" w:cs="宋体"/>
                <w:i/>
                <w:iCs/>
              </w:rPr>
              <w:t>Gut</w:t>
            </w:r>
            <w:r w:rsidRPr="002F70BF">
              <w:rPr>
                <w:rFonts w:ascii="Book Antiqua" w:hAnsi="Book Antiqua" w:cs="宋体"/>
              </w:rPr>
              <w:t xml:space="preserve"> 1990; </w:t>
            </w:r>
            <w:r w:rsidRPr="002F70BF">
              <w:rPr>
                <w:rFonts w:ascii="Book Antiqua" w:hAnsi="Book Antiqua" w:cs="宋体"/>
                <w:b/>
                <w:bCs/>
              </w:rPr>
              <w:t>31</w:t>
            </w:r>
            <w:r w:rsidRPr="002F70BF">
              <w:rPr>
                <w:rFonts w:ascii="Book Antiqua" w:hAnsi="Book Antiqua" w:cs="宋体"/>
              </w:rPr>
              <w:t>: 1226-1229 [PMID: 2253903]</w:t>
            </w:r>
          </w:p>
          <w:p w:rsidR="004E5E2A" w:rsidRPr="002F70BF" w:rsidRDefault="004E5E2A" w:rsidP="00912B86">
            <w:pPr>
              <w:spacing w:line="360" w:lineRule="auto"/>
              <w:jc w:val="both"/>
              <w:rPr>
                <w:rFonts w:ascii="Book Antiqua" w:hAnsi="Book Antiqua" w:cs="宋体"/>
              </w:rPr>
            </w:pPr>
            <w:r w:rsidRPr="002F70BF">
              <w:rPr>
                <w:rFonts w:ascii="Book Antiqua" w:hAnsi="Book Antiqua" w:cs="宋体"/>
              </w:rPr>
              <w:t xml:space="preserve">9 </w:t>
            </w:r>
            <w:r w:rsidRPr="002F70BF">
              <w:rPr>
                <w:rFonts w:ascii="Book Antiqua" w:hAnsi="Book Antiqua" w:cs="宋体"/>
                <w:b/>
                <w:bCs/>
              </w:rPr>
              <w:t>Hunt JN</w:t>
            </w:r>
            <w:r w:rsidRPr="002F70BF">
              <w:rPr>
                <w:rFonts w:ascii="Book Antiqua" w:hAnsi="Book Antiqua" w:cs="宋体"/>
              </w:rPr>
              <w:t xml:space="preserve">, Knox MT. A relation between the chain length of fatty acids and the slowing of gastric emptying. </w:t>
            </w:r>
            <w:r w:rsidRPr="002F70BF">
              <w:rPr>
                <w:rFonts w:ascii="Book Antiqua" w:hAnsi="Book Antiqua" w:cs="宋体"/>
                <w:i/>
                <w:iCs/>
              </w:rPr>
              <w:t>J Physiol</w:t>
            </w:r>
            <w:r w:rsidRPr="002F70BF">
              <w:rPr>
                <w:rFonts w:ascii="Book Antiqua" w:hAnsi="Book Antiqua" w:cs="宋体"/>
              </w:rPr>
              <w:t xml:space="preserve"> 1968; </w:t>
            </w:r>
            <w:r w:rsidRPr="002F70BF">
              <w:rPr>
                <w:rFonts w:ascii="Book Antiqua" w:hAnsi="Book Antiqua" w:cs="宋体"/>
                <w:b/>
                <w:bCs/>
              </w:rPr>
              <w:t>194</w:t>
            </w:r>
            <w:r w:rsidRPr="002F70BF">
              <w:rPr>
                <w:rFonts w:ascii="Book Antiqua" w:hAnsi="Book Antiqua" w:cs="宋体"/>
              </w:rPr>
              <w:t>: 327-336 [PMID: 5639357]</w:t>
            </w:r>
          </w:p>
          <w:p w:rsidR="004E5E2A" w:rsidRPr="002F70BF" w:rsidRDefault="004E5E2A" w:rsidP="00912B86">
            <w:pPr>
              <w:spacing w:line="360" w:lineRule="auto"/>
              <w:jc w:val="both"/>
              <w:rPr>
                <w:rFonts w:ascii="Book Antiqua" w:hAnsi="Book Antiqua" w:cs="宋体"/>
              </w:rPr>
            </w:pPr>
            <w:r w:rsidRPr="002F70BF">
              <w:rPr>
                <w:rFonts w:ascii="Book Antiqua" w:hAnsi="Book Antiqua" w:cs="宋体"/>
              </w:rPr>
              <w:t xml:space="preserve">10 </w:t>
            </w:r>
            <w:r w:rsidRPr="002F70BF">
              <w:rPr>
                <w:rFonts w:ascii="Book Antiqua" w:hAnsi="Book Antiqua" w:cs="宋体"/>
                <w:b/>
              </w:rPr>
              <w:t>Oosaka K</w:t>
            </w:r>
            <w:r w:rsidRPr="002F70BF">
              <w:rPr>
                <w:rFonts w:ascii="Book Antiqua" w:hAnsi="Book Antiqua" w:cs="宋体"/>
              </w:rPr>
              <w:t xml:space="preserve">. Effect of triacetin of gastric emptying. </w:t>
            </w:r>
            <w:r w:rsidRPr="002F70BF">
              <w:rPr>
                <w:rFonts w:ascii="Book Antiqua" w:hAnsi="Book Antiqua" w:cs="宋体"/>
                <w:i/>
              </w:rPr>
              <w:t>J Smooth Muscle Res</w:t>
            </w:r>
            <w:r w:rsidRPr="002F70BF">
              <w:rPr>
                <w:rFonts w:ascii="Book Antiqua" w:hAnsi="Book Antiqua" w:cs="宋体"/>
              </w:rPr>
              <w:t xml:space="preserve"> (Jpn Section) 2005; </w:t>
            </w:r>
            <w:r w:rsidRPr="002F70BF">
              <w:rPr>
                <w:rFonts w:ascii="Book Antiqua" w:hAnsi="Book Antiqua" w:cs="宋体"/>
                <w:b/>
              </w:rPr>
              <w:t>9</w:t>
            </w:r>
            <w:r w:rsidRPr="002F70BF">
              <w:rPr>
                <w:rFonts w:ascii="Book Antiqua" w:hAnsi="Book Antiqua" w:cs="宋体"/>
              </w:rPr>
              <w:t>: 67-7811 [DOI: 10.1540/heikatsukinzashi1997.9.J67]</w:t>
            </w:r>
          </w:p>
          <w:p w:rsidR="004E5E2A" w:rsidRPr="002F70BF" w:rsidRDefault="004E5E2A" w:rsidP="00912B86">
            <w:pPr>
              <w:spacing w:line="360" w:lineRule="auto"/>
              <w:jc w:val="both"/>
              <w:rPr>
                <w:rFonts w:ascii="Book Antiqua" w:hAnsi="Book Antiqua" w:cs="宋体"/>
              </w:rPr>
            </w:pPr>
            <w:r w:rsidRPr="002F70BF">
              <w:rPr>
                <w:rFonts w:ascii="Book Antiqua" w:hAnsi="Book Antiqua" w:cs="宋体"/>
              </w:rPr>
              <w:t xml:space="preserve">11 </w:t>
            </w:r>
            <w:r w:rsidRPr="00912B86">
              <w:rPr>
                <w:rFonts w:ascii="Book Antiqua" w:hAnsi="Book Antiqua" w:cs="宋体"/>
                <w:b/>
              </w:rPr>
              <w:t xml:space="preserve">National Research Council (US) </w:t>
            </w:r>
            <w:r w:rsidRPr="002F70BF">
              <w:rPr>
                <w:rFonts w:ascii="Book Antiqua" w:hAnsi="Book Antiqua" w:cs="宋体"/>
                <w:b/>
              </w:rPr>
              <w:t>Committee for the update of the guide for the care and use of laboratory animals.</w:t>
            </w:r>
            <w:r w:rsidRPr="002F70BF">
              <w:rPr>
                <w:rFonts w:ascii="Book Antiqua" w:hAnsi="Book Antiqua" w:cs="宋体"/>
              </w:rPr>
              <w:t xml:space="preserve"> Guide for the care and use of laborato</w:t>
            </w:r>
            <w:r w:rsidRPr="00912B86">
              <w:rPr>
                <w:rFonts w:ascii="Book Antiqua" w:hAnsi="Book Antiqua" w:cs="宋体"/>
              </w:rPr>
              <w:t>ry animals. 8th ed. Washington (DC)</w:t>
            </w:r>
            <w:r w:rsidRPr="002F70BF">
              <w:rPr>
                <w:rFonts w:ascii="Book Antiqua" w:hAnsi="Book Antiqua" w:cs="宋体"/>
              </w:rPr>
              <w:t>: National Academies Press</w:t>
            </w:r>
            <w:r w:rsidRPr="00912B86">
              <w:rPr>
                <w:rFonts w:ascii="Book Antiqua" w:hAnsi="Book Antiqua" w:cs="宋体"/>
              </w:rPr>
              <w:t xml:space="preserve"> (US)</w:t>
            </w:r>
            <w:r w:rsidRPr="002F70BF">
              <w:rPr>
                <w:rFonts w:ascii="Book Antiqua" w:hAnsi="Book Antiqua" w:cs="宋体"/>
              </w:rPr>
              <w:t>, 2011: 1-220</w:t>
            </w:r>
          </w:p>
          <w:p w:rsidR="004E5E2A" w:rsidRPr="002F70BF" w:rsidRDefault="004E5E2A" w:rsidP="00912B86">
            <w:pPr>
              <w:spacing w:line="360" w:lineRule="auto"/>
              <w:jc w:val="both"/>
              <w:rPr>
                <w:rFonts w:ascii="Book Antiqua" w:hAnsi="Book Antiqua" w:cs="宋体"/>
              </w:rPr>
            </w:pPr>
            <w:r w:rsidRPr="002F70BF">
              <w:rPr>
                <w:rFonts w:ascii="Book Antiqua" w:hAnsi="Book Antiqua" w:cs="宋体"/>
              </w:rPr>
              <w:t xml:space="preserve">12 </w:t>
            </w:r>
            <w:r w:rsidRPr="00912B86">
              <w:rPr>
                <w:rFonts w:ascii="Book Antiqua" w:hAnsi="Book Antiqua"/>
                <w:b/>
                <w:bCs/>
              </w:rPr>
              <w:t>Furukawa N</w:t>
            </w:r>
            <w:r w:rsidRPr="00912B86">
              <w:rPr>
                <w:rFonts w:ascii="Book Antiqua" w:hAnsi="Book Antiqua"/>
              </w:rPr>
              <w:t>, Manabe N, Kase Y, Hattori T, Imamura H, Kusunoki H, Haruma K.</w:t>
            </w:r>
            <w:r w:rsidRPr="002F70BF">
              <w:rPr>
                <w:rFonts w:ascii="Book Antiqua" w:hAnsi="Book Antiqua" w:cs="宋体"/>
              </w:rPr>
              <w:t xml:space="preserve"> Intragastric infusion of rikkunshito (kampo) induces proximal stomach relaxation in conscious dogs. </w:t>
            </w:r>
            <w:r w:rsidRPr="002F70BF">
              <w:rPr>
                <w:rFonts w:ascii="Book Antiqua" w:hAnsi="Book Antiqua" w:cs="宋体"/>
                <w:i/>
                <w:iCs/>
              </w:rPr>
              <w:t>Auton Neurosci</w:t>
            </w:r>
            <w:r w:rsidRPr="002F70BF">
              <w:rPr>
                <w:rFonts w:ascii="Book Antiqua" w:hAnsi="Book Antiqua" w:cs="宋体"/>
              </w:rPr>
              <w:t xml:space="preserve"> 2013; </w:t>
            </w:r>
            <w:r w:rsidRPr="00912B86">
              <w:rPr>
                <w:rFonts w:ascii="Book Antiqua" w:hAnsi="Book Antiqua" w:cs="宋体"/>
              </w:rPr>
              <w:t>Epub ahead of print</w:t>
            </w:r>
            <w:r w:rsidRPr="002F70BF">
              <w:rPr>
                <w:rFonts w:ascii="Book Antiqua" w:hAnsi="Book Antiqua" w:cs="宋体"/>
              </w:rPr>
              <w:t xml:space="preserve"> [PMID: 23907105 DOI: 10.1016/j.autneu.2013.06.003]</w:t>
            </w:r>
          </w:p>
          <w:p w:rsidR="004E5E2A" w:rsidRPr="002F70BF" w:rsidRDefault="004E5E2A" w:rsidP="00912B86">
            <w:pPr>
              <w:spacing w:line="360" w:lineRule="auto"/>
              <w:jc w:val="both"/>
              <w:rPr>
                <w:rFonts w:ascii="Book Antiqua" w:hAnsi="Book Antiqua" w:cs="宋体"/>
              </w:rPr>
            </w:pPr>
            <w:r w:rsidRPr="002F70BF">
              <w:rPr>
                <w:rFonts w:ascii="Book Antiqua" w:hAnsi="Book Antiqua" w:cs="宋体"/>
              </w:rPr>
              <w:t xml:space="preserve">13 </w:t>
            </w:r>
            <w:r w:rsidRPr="002F70BF">
              <w:rPr>
                <w:rFonts w:ascii="Book Antiqua" w:hAnsi="Book Antiqua" w:cs="宋体"/>
                <w:b/>
                <w:bCs/>
              </w:rPr>
              <w:t>Distrutti E</w:t>
            </w:r>
            <w:r w:rsidRPr="002F70BF">
              <w:rPr>
                <w:rFonts w:ascii="Book Antiqua" w:hAnsi="Book Antiqua" w:cs="宋体"/>
              </w:rPr>
              <w:t xml:space="preserve">, Azpiroz F, Soldevilla A, Malagelada JR. Gastric wall tension </w:t>
            </w:r>
            <w:r w:rsidRPr="002F70BF">
              <w:rPr>
                <w:rFonts w:ascii="Book Antiqua" w:hAnsi="Book Antiqua" w:cs="宋体"/>
              </w:rPr>
              <w:lastRenderedPageBreak/>
              <w:t xml:space="preserve">determines perception of gastric distention. </w:t>
            </w:r>
            <w:r w:rsidRPr="002F70BF">
              <w:rPr>
                <w:rFonts w:ascii="Book Antiqua" w:hAnsi="Book Antiqua" w:cs="宋体"/>
                <w:i/>
                <w:iCs/>
              </w:rPr>
              <w:t>Gastroenterology</w:t>
            </w:r>
            <w:r w:rsidRPr="002F70BF">
              <w:rPr>
                <w:rFonts w:ascii="Book Antiqua" w:hAnsi="Book Antiqua" w:cs="宋体"/>
              </w:rPr>
              <w:t xml:space="preserve"> 1999; </w:t>
            </w:r>
            <w:r w:rsidRPr="002F70BF">
              <w:rPr>
                <w:rFonts w:ascii="Book Antiqua" w:hAnsi="Book Antiqua" w:cs="宋体"/>
                <w:b/>
                <w:bCs/>
              </w:rPr>
              <w:t>116</w:t>
            </w:r>
            <w:r w:rsidRPr="002F70BF">
              <w:rPr>
                <w:rFonts w:ascii="Book Antiqua" w:hAnsi="Book Antiqua" w:cs="宋体"/>
              </w:rPr>
              <w:t>: 1035-1042 [PMID: 10220495 DOI: 10.1016/S0016-5085(99)7006-5]</w:t>
            </w:r>
          </w:p>
          <w:p w:rsidR="004E5E2A" w:rsidRPr="002F70BF" w:rsidRDefault="004E5E2A" w:rsidP="00912B86">
            <w:pPr>
              <w:spacing w:line="360" w:lineRule="auto"/>
              <w:jc w:val="both"/>
              <w:rPr>
                <w:rFonts w:ascii="Book Antiqua" w:hAnsi="Book Antiqua" w:cs="宋体"/>
              </w:rPr>
            </w:pPr>
            <w:r w:rsidRPr="002F70BF">
              <w:rPr>
                <w:rFonts w:ascii="Book Antiqua" w:hAnsi="Book Antiqua" w:cs="宋体"/>
              </w:rPr>
              <w:t xml:space="preserve">14 </w:t>
            </w:r>
            <w:r w:rsidRPr="002F70BF">
              <w:rPr>
                <w:rFonts w:ascii="Book Antiqua" w:hAnsi="Book Antiqua" w:cs="宋体"/>
                <w:b/>
                <w:bCs/>
              </w:rPr>
              <w:t>Jahnberg T</w:t>
            </w:r>
            <w:r w:rsidRPr="002F70BF">
              <w:rPr>
                <w:rFonts w:ascii="Book Antiqua" w:hAnsi="Book Antiqua" w:cs="宋体"/>
              </w:rPr>
              <w:t xml:space="preserve">, Abrahamsson H, Jansson G, Martinson J. Gastric relaxatory response to feeding before and after vagotomy. </w:t>
            </w:r>
            <w:r w:rsidRPr="002F70BF">
              <w:rPr>
                <w:rFonts w:ascii="Book Antiqua" w:hAnsi="Book Antiqua" w:cs="宋体"/>
                <w:i/>
                <w:iCs/>
              </w:rPr>
              <w:t>Scand J Gastroenterol</w:t>
            </w:r>
            <w:r w:rsidRPr="002F70BF">
              <w:rPr>
                <w:rFonts w:ascii="Book Antiqua" w:hAnsi="Book Antiqua" w:cs="宋体"/>
              </w:rPr>
              <w:t xml:space="preserve"> 1977; </w:t>
            </w:r>
            <w:r w:rsidRPr="002F70BF">
              <w:rPr>
                <w:rFonts w:ascii="Book Antiqua" w:hAnsi="Book Antiqua" w:cs="宋体"/>
                <w:b/>
                <w:bCs/>
              </w:rPr>
              <w:t>12</w:t>
            </w:r>
            <w:r w:rsidRPr="002F70BF">
              <w:rPr>
                <w:rFonts w:ascii="Book Antiqua" w:hAnsi="Book Antiqua" w:cs="宋体"/>
              </w:rPr>
              <w:t>: 225-228 [PMID: 847390]</w:t>
            </w:r>
          </w:p>
          <w:p w:rsidR="004E5E2A" w:rsidRPr="002F70BF" w:rsidRDefault="004E5E2A" w:rsidP="00912B86">
            <w:pPr>
              <w:spacing w:line="360" w:lineRule="auto"/>
              <w:jc w:val="both"/>
              <w:rPr>
                <w:rFonts w:ascii="Book Antiqua" w:hAnsi="Book Antiqua" w:cs="宋体"/>
              </w:rPr>
            </w:pPr>
            <w:r w:rsidRPr="002F70BF">
              <w:rPr>
                <w:rFonts w:ascii="Book Antiqua" w:hAnsi="Book Antiqua" w:cs="宋体"/>
              </w:rPr>
              <w:t xml:space="preserve">15 </w:t>
            </w:r>
            <w:r w:rsidRPr="002F70BF">
              <w:rPr>
                <w:rFonts w:ascii="Book Antiqua" w:hAnsi="Book Antiqua" w:cs="宋体"/>
                <w:b/>
                <w:bCs/>
              </w:rPr>
              <w:t>Barbera R</w:t>
            </w:r>
            <w:r w:rsidRPr="002F70BF">
              <w:rPr>
                <w:rFonts w:ascii="Book Antiqua" w:hAnsi="Book Antiqua" w:cs="宋体"/>
              </w:rPr>
              <w:t xml:space="preserve">, Peracchi M, Brighenti F, Cesana B, Bianchi PA, Basilisco G. Sensations induced by medium and long chain triglycerides: role of gastric tone and hormones. </w:t>
            </w:r>
            <w:r w:rsidRPr="002F70BF">
              <w:rPr>
                <w:rFonts w:ascii="Book Antiqua" w:hAnsi="Book Antiqua" w:cs="宋体"/>
                <w:i/>
                <w:iCs/>
              </w:rPr>
              <w:t>Gut</w:t>
            </w:r>
            <w:r w:rsidRPr="002F70BF">
              <w:rPr>
                <w:rFonts w:ascii="Book Antiqua" w:hAnsi="Book Antiqua" w:cs="宋体"/>
              </w:rPr>
              <w:t xml:space="preserve"> 2000; </w:t>
            </w:r>
            <w:r w:rsidRPr="002F70BF">
              <w:rPr>
                <w:rFonts w:ascii="Book Antiqua" w:hAnsi="Book Antiqua" w:cs="宋体"/>
                <w:b/>
                <w:bCs/>
              </w:rPr>
              <w:t>46</w:t>
            </w:r>
            <w:r w:rsidRPr="002F70BF">
              <w:rPr>
                <w:rFonts w:ascii="Book Antiqua" w:hAnsi="Book Antiqua" w:cs="宋体"/>
              </w:rPr>
              <w:t>: 32-36 [PMID: 10601051 DOI: 10.1136/gut.46.1.32]</w:t>
            </w:r>
          </w:p>
          <w:p w:rsidR="004E5E2A" w:rsidRPr="002F70BF" w:rsidRDefault="004E5E2A" w:rsidP="00912B86">
            <w:pPr>
              <w:spacing w:line="360" w:lineRule="auto"/>
              <w:jc w:val="both"/>
              <w:rPr>
                <w:rFonts w:ascii="Book Antiqua" w:hAnsi="Book Antiqua" w:cs="宋体"/>
              </w:rPr>
            </w:pPr>
            <w:r w:rsidRPr="002F70BF">
              <w:rPr>
                <w:rFonts w:ascii="Book Antiqua" w:hAnsi="Book Antiqua" w:cs="宋体"/>
              </w:rPr>
              <w:t xml:space="preserve">16 </w:t>
            </w:r>
            <w:r w:rsidRPr="002F70BF">
              <w:rPr>
                <w:rFonts w:ascii="Book Antiqua" w:hAnsi="Book Antiqua" w:cs="宋体"/>
                <w:b/>
                <w:bCs/>
              </w:rPr>
              <w:t>Heddle R</w:t>
            </w:r>
            <w:r w:rsidRPr="002F70BF">
              <w:rPr>
                <w:rFonts w:ascii="Book Antiqua" w:hAnsi="Book Antiqua" w:cs="宋体"/>
              </w:rPr>
              <w:t xml:space="preserve">, Dent J, Read NW, Houghton LA, Toouli J, Horowitz M, Maddern GJ, Downton J. Antropyloroduodenal motor responses to intraduodenal lipid infusion in healthy volunteers. </w:t>
            </w:r>
            <w:r w:rsidRPr="002F70BF">
              <w:rPr>
                <w:rFonts w:ascii="Book Antiqua" w:hAnsi="Book Antiqua" w:cs="宋体"/>
                <w:i/>
                <w:iCs/>
              </w:rPr>
              <w:t>Am J Physiol</w:t>
            </w:r>
            <w:r w:rsidRPr="002F70BF">
              <w:rPr>
                <w:rFonts w:ascii="Book Antiqua" w:hAnsi="Book Antiqua" w:cs="宋体"/>
              </w:rPr>
              <w:t xml:space="preserve"> 1988; </w:t>
            </w:r>
            <w:r w:rsidRPr="002F70BF">
              <w:rPr>
                <w:rFonts w:ascii="Book Antiqua" w:hAnsi="Book Antiqua" w:cs="宋体"/>
                <w:b/>
                <w:bCs/>
              </w:rPr>
              <w:t>254</w:t>
            </w:r>
            <w:r w:rsidRPr="002F70BF">
              <w:rPr>
                <w:rFonts w:ascii="Book Antiqua" w:hAnsi="Book Antiqua" w:cs="宋体"/>
              </w:rPr>
              <w:t>: G671-G679 [PMID: 3364568]</w:t>
            </w:r>
          </w:p>
          <w:p w:rsidR="004E5E2A" w:rsidRPr="002F70BF" w:rsidRDefault="004E5E2A" w:rsidP="00912B86">
            <w:pPr>
              <w:spacing w:line="360" w:lineRule="auto"/>
              <w:jc w:val="both"/>
              <w:rPr>
                <w:rFonts w:ascii="Book Antiqua" w:hAnsi="Book Antiqua" w:cs="宋体"/>
              </w:rPr>
            </w:pPr>
            <w:r w:rsidRPr="002F70BF">
              <w:rPr>
                <w:rFonts w:ascii="Book Antiqua" w:hAnsi="Book Antiqua" w:cs="宋体"/>
              </w:rPr>
              <w:t xml:space="preserve">17 </w:t>
            </w:r>
            <w:r w:rsidRPr="002F70BF">
              <w:rPr>
                <w:rFonts w:ascii="Book Antiqua" w:hAnsi="Book Antiqua" w:cs="宋体"/>
                <w:b/>
              </w:rPr>
              <w:t>Norman WW</w:t>
            </w:r>
            <w:r w:rsidRPr="002F70BF">
              <w:rPr>
                <w:rFonts w:ascii="Book Antiqua" w:hAnsi="Book Antiqua" w:cs="宋体"/>
              </w:rPr>
              <w:t>. Gastric emptying. In: Leonard RJ, eds. Gastrointestinal Physiology, 6th edn. St. Louis: Mosby, Inc, 2001: 37-46</w:t>
            </w:r>
          </w:p>
          <w:p w:rsidR="004E5E2A" w:rsidRPr="002F70BF" w:rsidRDefault="004E5E2A" w:rsidP="00912B86">
            <w:pPr>
              <w:spacing w:line="360" w:lineRule="auto"/>
              <w:jc w:val="both"/>
              <w:rPr>
                <w:rFonts w:ascii="Book Antiqua" w:hAnsi="Book Antiqua" w:cs="宋体"/>
              </w:rPr>
            </w:pPr>
            <w:r w:rsidRPr="002F70BF">
              <w:rPr>
                <w:rFonts w:ascii="Book Antiqua" w:hAnsi="Book Antiqua" w:cs="宋体"/>
              </w:rPr>
              <w:t xml:space="preserve">18 </w:t>
            </w:r>
            <w:r w:rsidRPr="002F70BF">
              <w:rPr>
                <w:rFonts w:ascii="Book Antiqua" w:hAnsi="Book Antiqua" w:cs="宋体"/>
                <w:b/>
                <w:bCs/>
              </w:rPr>
              <w:t>Feinle C</w:t>
            </w:r>
            <w:r w:rsidRPr="002F70BF">
              <w:rPr>
                <w:rFonts w:ascii="Book Antiqua" w:hAnsi="Book Antiqua" w:cs="宋体"/>
              </w:rPr>
              <w:t xml:space="preserve">, D'Amato M, Read NW. Cholecystokinin-A receptors modulate gastric sensory and motor responses to gastric distension and duodenal lipid. </w:t>
            </w:r>
            <w:r w:rsidRPr="002F70BF">
              <w:rPr>
                <w:rFonts w:ascii="Book Antiqua" w:hAnsi="Book Antiqua" w:cs="宋体"/>
                <w:i/>
                <w:iCs/>
              </w:rPr>
              <w:t>Gastroenterology</w:t>
            </w:r>
            <w:r w:rsidRPr="002F70BF">
              <w:rPr>
                <w:rFonts w:ascii="Book Antiqua" w:hAnsi="Book Antiqua" w:cs="宋体"/>
              </w:rPr>
              <w:t xml:space="preserve"> 1996; </w:t>
            </w:r>
            <w:r w:rsidRPr="002F70BF">
              <w:rPr>
                <w:rFonts w:ascii="Book Antiqua" w:hAnsi="Book Antiqua" w:cs="宋体"/>
                <w:b/>
                <w:bCs/>
              </w:rPr>
              <w:t>110</w:t>
            </w:r>
            <w:r w:rsidRPr="002F70BF">
              <w:rPr>
                <w:rFonts w:ascii="Book Antiqua" w:hAnsi="Book Antiqua" w:cs="宋体"/>
              </w:rPr>
              <w:t>: 1379-1385 [PMID: 8613041 DOI: 10.1053/gast.1996.v110.pm8613041]</w:t>
            </w:r>
          </w:p>
          <w:p w:rsidR="004E5E2A" w:rsidRPr="002F70BF" w:rsidRDefault="004E5E2A" w:rsidP="00912B86">
            <w:pPr>
              <w:spacing w:line="360" w:lineRule="auto"/>
              <w:jc w:val="both"/>
              <w:rPr>
                <w:rFonts w:ascii="Book Antiqua" w:hAnsi="Book Antiqua" w:cs="宋体"/>
              </w:rPr>
            </w:pPr>
            <w:r w:rsidRPr="002F70BF">
              <w:rPr>
                <w:rFonts w:ascii="Book Antiqua" w:hAnsi="Book Antiqua" w:cs="宋体"/>
              </w:rPr>
              <w:t xml:space="preserve">19 </w:t>
            </w:r>
            <w:r w:rsidRPr="002F70BF">
              <w:rPr>
                <w:rFonts w:ascii="Book Antiqua" w:hAnsi="Book Antiqua" w:cs="宋体"/>
                <w:b/>
                <w:bCs/>
              </w:rPr>
              <w:t>Liddle RA</w:t>
            </w:r>
            <w:r w:rsidRPr="002F70BF">
              <w:rPr>
                <w:rFonts w:ascii="Book Antiqua" w:hAnsi="Book Antiqua" w:cs="宋体"/>
              </w:rPr>
              <w:t xml:space="preserve">, Morita ET, Conrad CK, Williams JA. Regulation of gastric emptying in humans by cholecystokinin. </w:t>
            </w:r>
            <w:r w:rsidRPr="002F70BF">
              <w:rPr>
                <w:rFonts w:ascii="Book Antiqua" w:hAnsi="Book Antiqua" w:cs="宋体"/>
                <w:i/>
                <w:iCs/>
              </w:rPr>
              <w:t>J Clin Invest</w:t>
            </w:r>
            <w:r w:rsidRPr="002F70BF">
              <w:rPr>
                <w:rFonts w:ascii="Book Antiqua" w:hAnsi="Book Antiqua" w:cs="宋体"/>
              </w:rPr>
              <w:t xml:space="preserve"> 1986; </w:t>
            </w:r>
            <w:r w:rsidRPr="002F70BF">
              <w:rPr>
                <w:rFonts w:ascii="Book Antiqua" w:hAnsi="Book Antiqua" w:cs="宋体"/>
                <w:b/>
                <w:bCs/>
              </w:rPr>
              <w:t>77</w:t>
            </w:r>
            <w:r w:rsidRPr="002F70BF">
              <w:rPr>
                <w:rFonts w:ascii="Book Antiqua" w:hAnsi="Book Antiqua" w:cs="宋体"/>
              </w:rPr>
              <w:t>: 992-996 [PMID: 3949984 DOI: 10.1172/JCI112401]</w:t>
            </w:r>
          </w:p>
          <w:p w:rsidR="004E5E2A" w:rsidRPr="002F70BF" w:rsidRDefault="004E5E2A" w:rsidP="00912B86">
            <w:pPr>
              <w:spacing w:line="360" w:lineRule="auto"/>
              <w:jc w:val="both"/>
              <w:rPr>
                <w:rFonts w:ascii="Book Antiqua" w:hAnsi="Book Antiqua" w:cs="宋体"/>
              </w:rPr>
            </w:pPr>
            <w:r w:rsidRPr="002F70BF">
              <w:rPr>
                <w:rFonts w:ascii="Book Antiqua" w:hAnsi="Book Antiqua" w:cs="宋体"/>
              </w:rPr>
              <w:t xml:space="preserve">20 </w:t>
            </w:r>
            <w:r w:rsidRPr="002F70BF">
              <w:rPr>
                <w:rFonts w:ascii="Book Antiqua" w:hAnsi="Book Antiqua" w:cs="宋体"/>
                <w:b/>
                <w:bCs/>
              </w:rPr>
              <w:t>Zarbin MA</w:t>
            </w:r>
            <w:r w:rsidRPr="002F70BF">
              <w:rPr>
                <w:rFonts w:ascii="Book Antiqua" w:hAnsi="Book Antiqua" w:cs="宋体"/>
              </w:rPr>
              <w:t xml:space="preserve">, Wamsley JK, Innis RB, Kuhar MJ. Cholecystokinin receptors: presence and axonal flow in the rat vagus nerve. </w:t>
            </w:r>
            <w:r w:rsidRPr="002F70BF">
              <w:rPr>
                <w:rFonts w:ascii="Book Antiqua" w:hAnsi="Book Antiqua" w:cs="宋体"/>
                <w:i/>
                <w:iCs/>
              </w:rPr>
              <w:t>Life Sci</w:t>
            </w:r>
            <w:r w:rsidRPr="002F70BF">
              <w:rPr>
                <w:rFonts w:ascii="Book Antiqua" w:hAnsi="Book Antiqua" w:cs="宋体"/>
              </w:rPr>
              <w:t xml:space="preserve"> 1981; </w:t>
            </w:r>
            <w:r w:rsidRPr="002F70BF">
              <w:rPr>
                <w:rFonts w:ascii="Book Antiqua" w:hAnsi="Book Antiqua" w:cs="宋体"/>
                <w:b/>
                <w:bCs/>
              </w:rPr>
              <w:t>29</w:t>
            </w:r>
            <w:r w:rsidRPr="002F70BF">
              <w:rPr>
                <w:rFonts w:ascii="Book Antiqua" w:hAnsi="Book Antiqua" w:cs="宋体"/>
              </w:rPr>
              <w:t>: 697-705 [PMID: 6168883 DOI: 10.1016/0024-3205(81)90022-9]</w:t>
            </w:r>
          </w:p>
          <w:p w:rsidR="004E5E2A" w:rsidRPr="002F70BF" w:rsidRDefault="004E5E2A" w:rsidP="00912B86">
            <w:pPr>
              <w:spacing w:line="360" w:lineRule="auto"/>
              <w:jc w:val="both"/>
              <w:rPr>
                <w:rFonts w:ascii="Book Antiqua" w:hAnsi="Book Antiqua" w:cs="宋体"/>
              </w:rPr>
            </w:pPr>
            <w:r w:rsidRPr="002F70BF">
              <w:rPr>
                <w:rFonts w:ascii="Book Antiqua" w:hAnsi="Book Antiqua" w:cs="宋体"/>
              </w:rPr>
              <w:t xml:space="preserve">21 </w:t>
            </w:r>
            <w:r w:rsidRPr="002F70BF">
              <w:rPr>
                <w:rFonts w:ascii="Book Antiqua" w:hAnsi="Book Antiqua" w:cs="宋体"/>
                <w:b/>
                <w:bCs/>
              </w:rPr>
              <w:t>Ledeboer M</w:t>
            </w:r>
            <w:r w:rsidRPr="002F70BF">
              <w:rPr>
                <w:rFonts w:ascii="Book Antiqua" w:hAnsi="Book Antiqua" w:cs="宋体"/>
              </w:rPr>
              <w:t xml:space="preserve">, Masclee AA, Biemond I, Lamers CB. Effect of medium- and long-chain triglycerides on lower esophageal sphincter pressure: role of CCK. </w:t>
            </w:r>
            <w:r w:rsidRPr="002F70BF">
              <w:rPr>
                <w:rFonts w:ascii="Book Antiqua" w:hAnsi="Book Antiqua" w:cs="宋体"/>
                <w:i/>
                <w:iCs/>
              </w:rPr>
              <w:t>Am J Physiol</w:t>
            </w:r>
            <w:r w:rsidRPr="002F70BF">
              <w:rPr>
                <w:rFonts w:ascii="Book Antiqua" w:hAnsi="Book Antiqua" w:cs="宋体"/>
              </w:rPr>
              <w:t xml:space="preserve"> 1998; </w:t>
            </w:r>
            <w:r w:rsidRPr="002F70BF">
              <w:rPr>
                <w:rFonts w:ascii="Book Antiqua" w:hAnsi="Book Antiqua" w:cs="宋体"/>
                <w:b/>
                <w:bCs/>
              </w:rPr>
              <w:t>274</w:t>
            </w:r>
            <w:r w:rsidRPr="002F70BF">
              <w:rPr>
                <w:rFonts w:ascii="Book Antiqua" w:hAnsi="Book Antiqua" w:cs="宋体"/>
              </w:rPr>
              <w:t>: G1160-G1165 [PMID: 9696717]</w:t>
            </w:r>
          </w:p>
        </w:tc>
      </w:tr>
    </w:tbl>
    <w:p w:rsidR="004E5E2A" w:rsidRPr="00912B86" w:rsidRDefault="004E5E2A" w:rsidP="006954EC">
      <w:pPr>
        <w:pStyle w:val="ecxmsobodytext"/>
        <w:spacing w:before="0" w:beforeAutospacing="0" w:after="0" w:afterAutospacing="0" w:line="360" w:lineRule="auto"/>
        <w:jc w:val="right"/>
        <w:rPr>
          <w:rFonts w:ascii="Book Antiqua" w:eastAsia="宋体" w:hAnsi="Book Antiqua"/>
          <w:b/>
          <w:sz w:val="24"/>
          <w:szCs w:val="24"/>
          <w:lang w:eastAsia="zh-CN"/>
        </w:rPr>
      </w:pPr>
      <w:r w:rsidRPr="00912B86">
        <w:rPr>
          <w:rFonts w:ascii="Book Antiqua" w:hAnsi="Book Antiqua"/>
          <w:b/>
          <w:sz w:val="24"/>
          <w:szCs w:val="24"/>
          <w:lang w:eastAsia="ja-JP"/>
        </w:rPr>
        <w:lastRenderedPageBreak/>
        <w:t>P-Reviewer</w:t>
      </w:r>
      <w:r w:rsidRPr="00912B86">
        <w:rPr>
          <w:rFonts w:ascii="Book Antiqua" w:eastAsia="宋体" w:hAnsi="Book Antiqua"/>
          <w:b/>
          <w:sz w:val="24"/>
          <w:szCs w:val="24"/>
          <w:lang w:eastAsia="zh-CN"/>
        </w:rPr>
        <w:t>:</w:t>
      </w:r>
      <w:r w:rsidRPr="00BC04A8">
        <w:rPr>
          <w:rFonts w:ascii="Book Antiqua" w:hAnsi="Book Antiqua"/>
          <w:b/>
          <w:sz w:val="24"/>
          <w:szCs w:val="24"/>
          <w:lang w:eastAsia="ja-JP"/>
        </w:rPr>
        <w:t xml:space="preserve"> </w:t>
      </w:r>
      <w:r w:rsidRPr="006737F2">
        <w:rPr>
          <w:rFonts w:ascii="Book Antiqua" w:hAnsi="Book Antiqua"/>
          <w:sz w:val="24"/>
          <w:szCs w:val="24"/>
          <w:lang w:eastAsia="ja-JP"/>
        </w:rPr>
        <w:t>Francesco L, Iwasaki Y, Izzo AA</w:t>
      </w:r>
      <w:r>
        <w:rPr>
          <w:rFonts w:ascii="Book Antiqua" w:eastAsia="宋体" w:hAnsi="Book Antiqua"/>
          <w:b/>
          <w:sz w:val="24"/>
          <w:szCs w:val="24"/>
          <w:lang w:eastAsia="zh-CN"/>
        </w:rPr>
        <w:t xml:space="preserve"> </w:t>
      </w:r>
      <w:r w:rsidRPr="00912B86">
        <w:rPr>
          <w:rFonts w:ascii="Book Antiqua" w:hAnsi="Book Antiqua"/>
          <w:b/>
          <w:sz w:val="24"/>
          <w:szCs w:val="24"/>
          <w:lang w:eastAsia="ja-JP"/>
        </w:rPr>
        <w:t>S-Editor</w:t>
      </w:r>
      <w:r w:rsidRPr="00912B86">
        <w:rPr>
          <w:rFonts w:ascii="Book Antiqua" w:eastAsia="宋体" w:hAnsi="Book Antiqua"/>
          <w:b/>
          <w:sz w:val="24"/>
          <w:szCs w:val="24"/>
          <w:lang w:eastAsia="zh-CN"/>
        </w:rPr>
        <w:t>:</w:t>
      </w:r>
      <w:r w:rsidRPr="00912B86">
        <w:rPr>
          <w:rFonts w:ascii="Book Antiqua" w:hAnsi="Book Antiqua"/>
          <w:b/>
          <w:sz w:val="24"/>
          <w:szCs w:val="24"/>
          <w:lang w:eastAsia="ja-JP"/>
        </w:rPr>
        <w:t xml:space="preserve"> </w:t>
      </w:r>
      <w:r w:rsidRPr="00912B86">
        <w:rPr>
          <w:rFonts w:ascii="Book Antiqua" w:eastAsia="宋体" w:hAnsi="Book Antiqua"/>
          <w:sz w:val="24"/>
          <w:szCs w:val="24"/>
          <w:lang w:eastAsia="zh-CN"/>
        </w:rPr>
        <w:t>Ma YJ</w:t>
      </w:r>
      <w:r w:rsidRPr="00912B86">
        <w:rPr>
          <w:rFonts w:ascii="Book Antiqua" w:hAnsi="Book Antiqua"/>
          <w:b/>
          <w:sz w:val="24"/>
          <w:szCs w:val="24"/>
          <w:lang w:eastAsia="ja-JP"/>
        </w:rPr>
        <w:t xml:space="preserve"> L-Editor</w:t>
      </w:r>
      <w:r w:rsidRPr="00912B86">
        <w:rPr>
          <w:rFonts w:ascii="Book Antiqua" w:eastAsia="宋体" w:hAnsi="Book Antiqua"/>
          <w:b/>
          <w:sz w:val="24"/>
          <w:szCs w:val="24"/>
          <w:lang w:eastAsia="zh-CN"/>
        </w:rPr>
        <w:t>:</w:t>
      </w:r>
      <w:r w:rsidRPr="00912B86">
        <w:rPr>
          <w:rFonts w:ascii="Book Antiqua" w:hAnsi="Book Antiqua"/>
          <w:b/>
          <w:sz w:val="24"/>
          <w:szCs w:val="24"/>
          <w:lang w:eastAsia="ja-JP"/>
        </w:rPr>
        <w:t xml:space="preserve">  E-Editor</w:t>
      </w:r>
      <w:r w:rsidRPr="00912B86">
        <w:rPr>
          <w:rFonts w:ascii="Book Antiqua" w:eastAsia="宋体" w:hAnsi="Book Antiqua"/>
          <w:b/>
          <w:sz w:val="24"/>
          <w:szCs w:val="24"/>
          <w:lang w:eastAsia="zh-CN"/>
        </w:rPr>
        <w:t>:</w:t>
      </w:r>
    </w:p>
    <w:p w:rsidR="004E5E2A" w:rsidRDefault="004E5E2A" w:rsidP="00912B86">
      <w:pPr>
        <w:pStyle w:val="ecxmsobodytext"/>
        <w:spacing w:before="0" w:beforeAutospacing="0" w:after="0" w:afterAutospacing="0" w:line="360" w:lineRule="auto"/>
        <w:jc w:val="both"/>
        <w:rPr>
          <w:rFonts w:ascii="Book Antiqua" w:hAnsi="Book Antiqua"/>
          <w:sz w:val="24"/>
          <w:szCs w:val="24"/>
        </w:rPr>
      </w:pPr>
      <w:r>
        <w:rPr>
          <w:rFonts w:ascii="Book Antiqua" w:hAnsi="Book Antiqua"/>
          <w:sz w:val="24"/>
          <w:szCs w:val="24"/>
        </w:rPr>
        <w:lastRenderedPageBreak/>
        <w:br w:type="page"/>
      </w:r>
    </w:p>
    <w:p w:rsidR="004E5E2A" w:rsidRPr="00912B86" w:rsidRDefault="004E5E2A" w:rsidP="00912B86">
      <w:pPr>
        <w:pStyle w:val="ecxmsobodytext"/>
        <w:spacing w:before="0" w:beforeAutospacing="0" w:after="0" w:afterAutospacing="0" w:line="360" w:lineRule="auto"/>
        <w:jc w:val="both"/>
        <w:rPr>
          <w:rFonts w:ascii="Book Antiqua" w:eastAsia="宋体" w:hAnsi="Book Antiqua"/>
          <w:sz w:val="24"/>
          <w:szCs w:val="24"/>
          <w:lang w:eastAsia="zh-CN"/>
        </w:rPr>
      </w:pPr>
    </w:p>
    <w:p w:rsidR="004E5E2A" w:rsidRPr="00912B86" w:rsidRDefault="004E5E2A" w:rsidP="00912B86">
      <w:pPr>
        <w:pStyle w:val="ecxmsobodytext"/>
        <w:spacing w:before="0" w:beforeAutospacing="0" w:after="0" w:afterAutospacing="0" w:line="360" w:lineRule="auto"/>
        <w:jc w:val="both"/>
        <w:rPr>
          <w:rFonts w:ascii="Book Antiqua" w:hAnsi="Book Antiqua"/>
          <w:sz w:val="24"/>
          <w:szCs w:val="24"/>
        </w:rPr>
      </w:pPr>
      <w:r w:rsidRPr="00912B86">
        <w:rPr>
          <w:rFonts w:ascii="Book Antiqua" w:hAnsi="Book Antiqua"/>
          <w:b/>
          <w:sz w:val="24"/>
          <w:szCs w:val="24"/>
        </w:rPr>
        <w:t>Figure 1</w:t>
      </w:r>
      <w:r w:rsidRPr="00912B86">
        <w:rPr>
          <w:rFonts w:ascii="Book Antiqua" w:hAnsi="Book Antiqua"/>
          <w:sz w:val="24"/>
          <w:szCs w:val="24"/>
        </w:rPr>
        <w:t xml:space="preserve"> </w:t>
      </w:r>
      <w:r w:rsidRPr="00912B86">
        <w:rPr>
          <w:rFonts w:ascii="Book Antiqua" w:hAnsi="Book Antiqua"/>
          <w:b/>
          <w:sz w:val="24"/>
          <w:szCs w:val="24"/>
        </w:rPr>
        <w:t>Schematic representation of the canine experimental model used in this study.</w:t>
      </w:r>
      <w:r w:rsidRPr="00912B86">
        <w:rPr>
          <w:rFonts w:ascii="Book Antiqua" w:hAnsi="Book Antiqua"/>
          <w:sz w:val="24"/>
          <w:szCs w:val="24"/>
        </w:rPr>
        <w:t xml:space="preserve"> </w:t>
      </w:r>
    </w:p>
    <w:p w:rsidR="004E5E2A" w:rsidRPr="003E6E30" w:rsidRDefault="004E5E2A" w:rsidP="00912B86">
      <w:pPr>
        <w:pStyle w:val="ecxmsobodytext"/>
        <w:spacing w:before="0" w:beforeAutospacing="0" w:after="0" w:afterAutospacing="0" w:line="360" w:lineRule="auto"/>
        <w:jc w:val="both"/>
        <w:rPr>
          <w:rFonts w:ascii="Book Antiqua" w:eastAsia="宋体" w:hAnsi="Book Antiqua"/>
          <w:sz w:val="24"/>
          <w:szCs w:val="24"/>
          <w:lang w:eastAsia="zh-CN"/>
        </w:rPr>
      </w:pPr>
    </w:p>
    <w:p w:rsidR="004E5E2A" w:rsidRPr="00912B86" w:rsidRDefault="004E5E2A" w:rsidP="00912B86">
      <w:pPr>
        <w:pStyle w:val="ecxmsobodytext"/>
        <w:spacing w:before="0" w:beforeAutospacing="0" w:after="0" w:afterAutospacing="0" w:line="360" w:lineRule="auto"/>
        <w:jc w:val="both"/>
        <w:rPr>
          <w:rFonts w:ascii="Book Antiqua" w:hAnsi="Book Antiqua"/>
          <w:sz w:val="24"/>
          <w:szCs w:val="24"/>
        </w:rPr>
      </w:pPr>
      <w:r>
        <w:rPr>
          <w:rFonts w:ascii="Book Antiqua" w:hAnsi="Book Antiqua"/>
          <w:b/>
          <w:sz w:val="24"/>
          <w:szCs w:val="24"/>
        </w:rPr>
        <w:t>Figure 2</w:t>
      </w:r>
      <w:r w:rsidRPr="00912B86">
        <w:rPr>
          <w:rFonts w:ascii="Book Antiqua" w:hAnsi="Book Antiqua"/>
          <w:sz w:val="24"/>
          <w:szCs w:val="24"/>
        </w:rPr>
        <w:t xml:space="preserve"> </w:t>
      </w:r>
      <w:r w:rsidRPr="00912B86">
        <w:rPr>
          <w:rFonts w:ascii="Book Antiqua" w:hAnsi="Book Antiqua"/>
          <w:b/>
          <w:sz w:val="24"/>
          <w:szCs w:val="24"/>
        </w:rPr>
        <w:t>Effects of triacetin on the proximal gastric tone in fasting and postprandial phases.</w:t>
      </w:r>
      <w:r w:rsidRPr="00912B86">
        <w:rPr>
          <w:rFonts w:ascii="Book Antiqua" w:hAnsi="Book Antiqua"/>
          <w:sz w:val="24"/>
          <w:szCs w:val="24"/>
        </w:rPr>
        <w:t xml:space="preserve"> The receptive volume (representative of gastric tone) (A, C) before and (B, D) after infusion in fasted (A, </w:t>
      </w:r>
      <w:r w:rsidRPr="00912B86">
        <w:rPr>
          <w:rFonts w:ascii="Book Antiqua" w:hAnsi="Book Antiqua"/>
          <w:sz w:val="24"/>
          <w:szCs w:val="24"/>
          <w:lang w:eastAsia="ja-JP"/>
        </w:rPr>
        <w:t>C</w:t>
      </w:r>
      <w:r w:rsidRPr="00912B86">
        <w:rPr>
          <w:rFonts w:ascii="Book Antiqua" w:hAnsi="Book Antiqua"/>
          <w:sz w:val="24"/>
          <w:szCs w:val="24"/>
        </w:rPr>
        <w:t>) and fed (</w:t>
      </w:r>
      <w:r w:rsidRPr="00912B86">
        <w:rPr>
          <w:rFonts w:ascii="Book Antiqua" w:hAnsi="Book Antiqua"/>
          <w:sz w:val="24"/>
          <w:szCs w:val="24"/>
          <w:lang w:eastAsia="ja-JP"/>
        </w:rPr>
        <w:t>B</w:t>
      </w:r>
      <w:r w:rsidRPr="00912B86">
        <w:rPr>
          <w:rFonts w:ascii="Book Antiqua" w:hAnsi="Book Antiqua"/>
          <w:sz w:val="24"/>
          <w:szCs w:val="24"/>
        </w:rPr>
        <w:t>, D) animals is presented.</w:t>
      </w:r>
      <w:r>
        <w:rPr>
          <w:rFonts w:ascii="Book Antiqua" w:hAnsi="Book Antiqua"/>
          <w:sz w:val="24"/>
          <w:szCs w:val="24"/>
        </w:rPr>
        <w:t xml:space="preserve"> Data are expressed as mean ± SE</w:t>
      </w:r>
      <w:r w:rsidRPr="00912B86">
        <w:rPr>
          <w:rFonts w:ascii="Book Antiqua" w:hAnsi="Book Antiqua"/>
          <w:sz w:val="24"/>
          <w:szCs w:val="24"/>
        </w:rPr>
        <w:t xml:space="preserve"> (A, B) </w:t>
      </w:r>
      <w:proofErr w:type="gramStart"/>
      <w:r w:rsidRPr="003E6E30">
        <w:rPr>
          <w:rFonts w:ascii="Book Antiqua" w:hAnsi="Book Antiqua"/>
          <w:sz w:val="24"/>
          <w:szCs w:val="24"/>
          <w:vertAlign w:val="superscript"/>
        </w:rPr>
        <w:t>a</w:t>
      </w:r>
      <w:r w:rsidRPr="003E6E30">
        <w:rPr>
          <w:rFonts w:ascii="Book Antiqua" w:hAnsi="Book Antiqua"/>
          <w:i/>
          <w:caps/>
          <w:sz w:val="24"/>
          <w:szCs w:val="24"/>
        </w:rPr>
        <w:t>p</w:t>
      </w:r>
      <w:proofErr w:type="gramEnd"/>
      <w:r w:rsidRPr="00912B86">
        <w:rPr>
          <w:rFonts w:ascii="Book Antiqua" w:hAnsi="Book Antiqua"/>
          <w:sz w:val="24"/>
          <w:szCs w:val="24"/>
        </w:rPr>
        <w:t xml:space="preserve"> &lt; 0.05 for 1% triacetin, </w:t>
      </w:r>
      <w:r w:rsidRPr="003E6E30">
        <w:rPr>
          <w:rFonts w:ascii="Book Antiqua" w:hAnsi="Book Antiqua"/>
          <w:sz w:val="24"/>
          <w:szCs w:val="24"/>
          <w:vertAlign w:val="superscript"/>
        </w:rPr>
        <w:t>c</w:t>
      </w:r>
      <w:r w:rsidRPr="003E6E30">
        <w:rPr>
          <w:rFonts w:ascii="Book Antiqua" w:hAnsi="Book Antiqua"/>
          <w:i/>
          <w:caps/>
          <w:sz w:val="24"/>
          <w:szCs w:val="24"/>
        </w:rPr>
        <w:t>p</w:t>
      </w:r>
      <w:r>
        <w:rPr>
          <w:rFonts w:ascii="Book Antiqua" w:hAnsi="Book Antiqua"/>
          <w:sz w:val="24"/>
          <w:szCs w:val="24"/>
        </w:rPr>
        <w:t xml:space="preserve"> &lt; 0.05 for 2% triacetin </w:t>
      </w:r>
      <w:r w:rsidRPr="003E6E30">
        <w:rPr>
          <w:rFonts w:ascii="Book Antiqua" w:hAnsi="Book Antiqua"/>
          <w:i/>
          <w:sz w:val="24"/>
          <w:szCs w:val="24"/>
        </w:rPr>
        <w:t>vs</w:t>
      </w:r>
      <w:r w:rsidRPr="00912B86">
        <w:rPr>
          <w:rFonts w:ascii="Book Antiqua" w:hAnsi="Book Antiqua"/>
          <w:sz w:val="24"/>
          <w:szCs w:val="24"/>
        </w:rPr>
        <w:t xml:space="preserve"> before infusion. (C, D) </w:t>
      </w:r>
      <w:r w:rsidRPr="003E6E30">
        <w:rPr>
          <w:rFonts w:ascii="Book Antiqua" w:hAnsi="Book Antiqua"/>
          <w:sz w:val="24"/>
          <w:szCs w:val="24"/>
          <w:vertAlign w:val="superscript"/>
        </w:rPr>
        <w:t>a</w:t>
      </w:r>
      <w:r w:rsidRPr="003E6E30">
        <w:rPr>
          <w:rFonts w:ascii="Book Antiqua" w:hAnsi="Book Antiqua"/>
          <w:i/>
          <w:caps/>
          <w:sz w:val="24"/>
          <w:szCs w:val="24"/>
        </w:rPr>
        <w:t>p</w:t>
      </w:r>
      <w:r w:rsidRPr="00912B86">
        <w:rPr>
          <w:rFonts w:ascii="Book Antiqua" w:hAnsi="Book Antiqua"/>
          <w:sz w:val="24"/>
          <w:szCs w:val="24"/>
        </w:rPr>
        <w:t xml:space="preserve"> &lt; 0.05, </w:t>
      </w:r>
      <w:r w:rsidRPr="003E6E30">
        <w:rPr>
          <w:rFonts w:ascii="Book Antiqua" w:hAnsi="Book Antiqua"/>
          <w:sz w:val="24"/>
          <w:szCs w:val="24"/>
          <w:vertAlign w:val="superscript"/>
        </w:rPr>
        <w:t>b</w:t>
      </w:r>
      <w:r w:rsidRPr="003E6E30">
        <w:rPr>
          <w:rFonts w:ascii="Book Antiqua" w:hAnsi="Book Antiqua"/>
          <w:i/>
          <w:caps/>
          <w:sz w:val="24"/>
          <w:szCs w:val="24"/>
        </w:rPr>
        <w:t>p</w:t>
      </w:r>
      <w:r>
        <w:rPr>
          <w:rFonts w:ascii="Book Antiqua" w:hAnsi="Book Antiqua"/>
          <w:sz w:val="24"/>
          <w:szCs w:val="24"/>
        </w:rPr>
        <w:t xml:space="preserve"> &lt; 0.01 for 1% triacetin </w:t>
      </w:r>
      <w:r w:rsidRPr="003E6E30">
        <w:rPr>
          <w:rFonts w:ascii="Book Antiqua" w:hAnsi="Book Antiqua"/>
          <w:i/>
          <w:sz w:val="24"/>
          <w:szCs w:val="24"/>
        </w:rPr>
        <w:t>vs</w:t>
      </w:r>
      <w:r w:rsidRPr="00912B86">
        <w:rPr>
          <w:rFonts w:ascii="Book Antiqua" w:hAnsi="Book Antiqua"/>
          <w:sz w:val="24"/>
          <w:szCs w:val="24"/>
        </w:rPr>
        <w:t xml:space="preserve"> water; </w:t>
      </w:r>
      <w:r w:rsidRPr="003E6E30">
        <w:rPr>
          <w:rFonts w:ascii="Book Antiqua" w:hAnsi="Book Antiqua"/>
          <w:sz w:val="24"/>
          <w:szCs w:val="24"/>
          <w:vertAlign w:val="superscript"/>
        </w:rPr>
        <w:t>c</w:t>
      </w:r>
      <w:r w:rsidRPr="003E6E30">
        <w:rPr>
          <w:rFonts w:ascii="Book Antiqua" w:hAnsi="Book Antiqua"/>
          <w:i/>
          <w:caps/>
          <w:sz w:val="24"/>
          <w:szCs w:val="24"/>
        </w:rPr>
        <w:t>p</w:t>
      </w:r>
      <w:r w:rsidRPr="00912B86">
        <w:rPr>
          <w:rFonts w:ascii="Book Antiqua" w:hAnsi="Book Antiqua"/>
          <w:sz w:val="24"/>
          <w:szCs w:val="24"/>
        </w:rPr>
        <w:t xml:space="preserve"> &lt; 0.05, </w:t>
      </w:r>
      <w:r w:rsidRPr="003E6E30">
        <w:rPr>
          <w:rFonts w:ascii="Book Antiqua" w:hAnsi="Book Antiqua"/>
          <w:sz w:val="24"/>
          <w:szCs w:val="24"/>
          <w:vertAlign w:val="superscript"/>
        </w:rPr>
        <w:t>d</w:t>
      </w:r>
      <w:r w:rsidRPr="003E6E30">
        <w:rPr>
          <w:rFonts w:ascii="Book Antiqua" w:hAnsi="Book Antiqua"/>
          <w:i/>
          <w:caps/>
          <w:sz w:val="24"/>
          <w:szCs w:val="24"/>
        </w:rPr>
        <w:t>p</w:t>
      </w:r>
      <w:r w:rsidRPr="00912B86">
        <w:rPr>
          <w:rFonts w:ascii="Book Antiqua" w:hAnsi="Book Antiqua"/>
          <w:sz w:val="24"/>
          <w:szCs w:val="24"/>
        </w:rPr>
        <w:t xml:space="preserve"> &lt; 0.01 for 2%</w:t>
      </w:r>
      <w:r>
        <w:rPr>
          <w:rFonts w:ascii="Book Antiqua" w:hAnsi="Book Antiqua"/>
          <w:sz w:val="24"/>
          <w:szCs w:val="24"/>
        </w:rPr>
        <w:t xml:space="preserve"> triacetin </w:t>
      </w:r>
      <w:r w:rsidRPr="003E6E30">
        <w:rPr>
          <w:rFonts w:ascii="Book Antiqua" w:hAnsi="Book Antiqua"/>
          <w:i/>
          <w:sz w:val="24"/>
          <w:szCs w:val="24"/>
        </w:rPr>
        <w:t>vs</w:t>
      </w:r>
      <w:r w:rsidRPr="00912B86">
        <w:rPr>
          <w:rFonts w:ascii="Book Antiqua" w:hAnsi="Book Antiqua"/>
          <w:sz w:val="24"/>
          <w:szCs w:val="24"/>
        </w:rPr>
        <w:t xml:space="preserve"> water. The point of infusion is indicated by an arrow. </w:t>
      </w:r>
    </w:p>
    <w:p w:rsidR="004E5E2A" w:rsidRPr="003E6E30" w:rsidRDefault="004E5E2A" w:rsidP="00912B86">
      <w:pPr>
        <w:pStyle w:val="ecxmsobodytext"/>
        <w:spacing w:before="0" w:beforeAutospacing="0" w:after="0" w:afterAutospacing="0" w:line="360" w:lineRule="auto"/>
        <w:jc w:val="both"/>
        <w:rPr>
          <w:rFonts w:ascii="Book Antiqua" w:eastAsia="宋体" w:hAnsi="Book Antiqua"/>
          <w:sz w:val="24"/>
          <w:szCs w:val="24"/>
          <w:lang w:eastAsia="zh-CN"/>
        </w:rPr>
      </w:pPr>
    </w:p>
    <w:p w:rsidR="004E5E2A" w:rsidRPr="00912B86" w:rsidRDefault="004E5E2A" w:rsidP="00912B86">
      <w:pPr>
        <w:pStyle w:val="ecxmsobodytext"/>
        <w:spacing w:before="0" w:beforeAutospacing="0" w:after="0" w:afterAutospacing="0" w:line="360" w:lineRule="auto"/>
        <w:jc w:val="both"/>
        <w:rPr>
          <w:rFonts w:ascii="Book Antiqua" w:hAnsi="Book Antiqua"/>
          <w:sz w:val="24"/>
          <w:szCs w:val="24"/>
        </w:rPr>
      </w:pPr>
      <w:r>
        <w:rPr>
          <w:rFonts w:ascii="Book Antiqua" w:hAnsi="Book Antiqua"/>
          <w:b/>
          <w:sz w:val="24"/>
          <w:szCs w:val="24"/>
        </w:rPr>
        <w:t>Figure 3</w:t>
      </w:r>
      <w:r w:rsidRPr="00912B86">
        <w:rPr>
          <w:rFonts w:ascii="Book Antiqua" w:hAnsi="Book Antiqua"/>
          <w:b/>
          <w:sz w:val="24"/>
          <w:szCs w:val="24"/>
        </w:rPr>
        <w:t xml:space="preserve"> Effects of triacetin on gastric antral contractions in fasting and postprandial phases.</w:t>
      </w:r>
      <w:r w:rsidRPr="00912B86">
        <w:rPr>
          <w:rFonts w:ascii="Book Antiqua" w:hAnsi="Book Antiqua"/>
          <w:sz w:val="24"/>
          <w:szCs w:val="24"/>
        </w:rPr>
        <w:t xml:space="preserve"> The antral contractions recorded at every 1 min after infusion in (A) fasted and (B) fed animals are presented as the relative magnitudes of change from the average values at 3 min before infusion.</w:t>
      </w:r>
      <w:r>
        <w:rPr>
          <w:rFonts w:ascii="Book Antiqua" w:hAnsi="Book Antiqua"/>
          <w:sz w:val="24"/>
          <w:szCs w:val="24"/>
        </w:rPr>
        <w:t xml:space="preserve"> Data are expressed as mean ± SE</w:t>
      </w:r>
      <w:r w:rsidRPr="00912B86">
        <w:rPr>
          <w:rFonts w:ascii="Book Antiqua" w:hAnsi="Book Antiqua"/>
          <w:sz w:val="24"/>
          <w:szCs w:val="24"/>
        </w:rPr>
        <w:t xml:space="preserve"> </w:t>
      </w:r>
      <w:proofErr w:type="gramStart"/>
      <w:r w:rsidRPr="003E6E30">
        <w:rPr>
          <w:rFonts w:ascii="Book Antiqua" w:hAnsi="Book Antiqua"/>
          <w:sz w:val="24"/>
          <w:szCs w:val="24"/>
          <w:vertAlign w:val="superscript"/>
        </w:rPr>
        <w:t>a</w:t>
      </w:r>
      <w:r w:rsidRPr="003E6E30">
        <w:rPr>
          <w:rFonts w:ascii="Book Antiqua" w:hAnsi="Book Antiqua"/>
          <w:i/>
          <w:caps/>
          <w:sz w:val="24"/>
          <w:szCs w:val="24"/>
        </w:rPr>
        <w:t>p</w:t>
      </w:r>
      <w:proofErr w:type="gramEnd"/>
      <w:r>
        <w:rPr>
          <w:rFonts w:ascii="Book Antiqua" w:hAnsi="Book Antiqua"/>
          <w:sz w:val="24"/>
          <w:szCs w:val="24"/>
        </w:rPr>
        <w:t xml:space="preserve"> &lt; 0.05 for 1% triacetin </w:t>
      </w:r>
      <w:r w:rsidRPr="003E6E30">
        <w:rPr>
          <w:rFonts w:ascii="Book Antiqua" w:hAnsi="Book Antiqua"/>
          <w:i/>
          <w:sz w:val="24"/>
          <w:szCs w:val="24"/>
        </w:rPr>
        <w:t>vs</w:t>
      </w:r>
      <w:r w:rsidRPr="00912B86">
        <w:rPr>
          <w:rFonts w:ascii="Book Antiqua" w:hAnsi="Book Antiqua"/>
          <w:sz w:val="24"/>
          <w:szCs w:val="24"/>
        </w:rPr>
        <w:t xml:space="preserve"> water, </w:t>
      </w:r>
      <w:r w:rsidRPr="003E6E30">
        <w:rPr>
          <w:rFonts w:ascii="Book Antiqua" w:hAnsi="Book Antiqua"/>
          <w:sz w:val="24"/>
          <w:szCs w:val="24"/>
          <w:vertAlign w:val="superscript"/>
        </w:rPr>
        <w:t>c</w:t>
      </w:r>
      <w:r w:rsidRPr="003E6E30">
        <w:rPr>
          <w:rFonts w:ascii="Book Antiqua" w:hAnsi="Book Antiqua"/>
          <w:i/>
          <w:caps/>
          <w:sz w:val="24"/>
          <w:szCs w:val="24"/>
        </w:rPr>
        <w:t>p</w:t>
      </w:r>
      <w:r>
        <w:rPr>
          <w:rFonts w:ascii="Book Antiqua" w:hAnsi="Book Antiqua"/>
          <w:sz w:val="24"/>
          <w:szCs w:val="24"/>
        </w:rPr>
        <w:t xml:space="preserve"> &lt; 0.05 for 2% triacetin </w:t>
      </w:r>
      <w:r w:rsidRPr="003E6E30">
        <w:rPr>
          <w:rFonts w:ascii="Book Antiqua" w:hAnsi="Book Antiqua"/>
          <w:i/>
          <w:sz w:val="24"/>
          <w:szCs w:val="24"/>
        </w:rPr>
        <w:t>vs</w:t>
      </w:r>
      <w:r w:rsidRPr="00912B86">
        <w:rPr>
          <w:rFonts w:ascii="Book Antiqua" w:hAnsi="Book Antiqua"/>
          <w:sz w:val="24"/>
          <w:szCs w:val="24"/>
        </w:rPr>
        <w:t xml:space="preserve"> water.</w:t>
      </w:r>
    </w:p>
    <w:p w:rsidR="004E5E2A" w:rsidRPr="003E6E30" w:rsidRDefault="004E5E2A" w:rsidP="00912B86">
      <w:pPr>
        <w:pStyle w:val="ecxmsobodytext"/>
        <w:spacing w:before="0" w:beforeAutospacing="0" w:after="0" w:afterAutospacing="0" w:line="360" w:lineRule="auto"/>
        <w:jc w:val="both"/>
        <w:rPr>
          <w:rFonts w:ascii="Book Antiqua" w:eastAsia="宋体" w:hAnsi="Book Antiqua"/>
          <w:sz w:val="24"/>
          <w:szCs w:val="24"/>
          <w:lang w:eastAsia="zh-CN"/>
        </w:rPr>
      </w:pPr>
    </w:p>
    <w:p w:rsidR="004E5E2A" w:rsidRPr="00912B86" w:rsidRDefault="004E5E2A" w:rsidP="00912B86">
      <w:pPr>
        <w:pStyle w:val="ecxmsobodytext"/>
        <w:spacing w:before="0" w:beforeAutospacing="0" w:after="0" w:afterAutospacing="0" w:line="360" w:lineRule="auto"/>
        <w:jc w:val="both"/>
        <w:rPr>
          <w:rFonts w:ascii="Book Antiqua" w:hAnsi="Book Antiqua"/>
          <w:sz w:val="24"/>
          <w:szCs w:val="24"/>
        </w:rPr>
      </w:pPr>
      <w:r>
        <w:rPr>
          <w:rFonts w:ascii="Book Antiqua" w:hAnsi="Book Antiqua"/>
          <w:b/>
          <w:sz w:val="24"/>
          <w:szCs w:val="24"/>
        </w:rPr>
        <w:t>Figure 4</w:t>
      </w:r>
      <w:r w:rsidRPr="00912B86">
        <w:rPr>
          <w:rFonts w:ascii="Book Antiqua" w:hAnsi="Book Antiqua"/>
          <w:b/>
          <w:sz w:val="24"/>
          <w:szCs w:val="24"/>
        </w:rPr>
        <w:t xml:space="preserve"> Effects of triacetin on duodenal contractions in fasting and postprandial phases.</w:t>
      </w:r>
      <w:r w:rsidRPr="00912B86">
        <w:rPr>
          <w:rFonts w:ascii="Book Antiqua" w:hAnsi="Book Antiqua"/>
          <w:sz w:val="24"/>
          <w:szCs w:val="24"/>
        </w:rPr>
        <w:t xml:space="preserve"> The duodenal contractions recorded at every 1 min after infusion in (A) fasted and (B) fed animals are presented as the relative magnitudes of change from the average values at 3 min before infusion. Data are expressed as mea</w:t>
      </w:r>
      <w:r>
        <w:rPr>
          <w:rFonts w:ascii="Book Antiqua" w:hAnsi="Book Antiqua"/>
          <w:sz w:val="24"/>
          <w:szCs w:val="24"/>
        </w:rPr>
        <w:t>n ± SE</w:t>
      </w:r>
      <w:r w:rsidRPr="00912B86">
        <w:rPr>
          <w:rFonts w:ascii="Book Antiqua" w:hAnsi="Book Antiqua"/>
          <w:sz w:val="24"/>
          <w:szCs w:val="24"/>
        </w:rPr>
        <w:t xml:space="preserve"> </w:t>
      </w:r>
      <w:proofErr w:type="gramStart"/>
      <w:r>
        <w:rPr>
          <w:rFonts w:ascii="Book Antiqua" w:eastAsia="宋体" w:hAnsi="Book Antiqua"/>
          <w:sz w:val="24"/>
          <w:szCs w:val="24"/>
          <w:vertAlign w:val="superscript"/>
          <w:lang w:eastAsia="zh-CN"/>
        </w:rPr>
        <w:t>a</w:t>
      </w:r>
      <w:r w:rsidRPr="003E6E30">
        <w:rPr>
          <w:rFonts w:ascii="Book Antiqua" w:hAnsi="Book Antiqua"/>
          <w:i/>
          <w:caps/>
          <w:sz w:val="24"/>
          <w:szCs w:val="24"/>
        </w:rPr>
        <w:t>p</w:t>
      </w:r>
      <w:proofErr w:type="gramEnd"/>
      <w:r>
        <w:rPr>
          <w:rFonts w:ascii="Book Antiqua" w:hAnsi="Book Antiqua"/>
          <w:sz w:val="24"/>
          <w:szCs w:val="24"/>
        </w:rPr>
        <w:t xml:space="preserve"> &lt; 0.05 for 2% triacetin </w:t>
      </w:r>
      <w:r w:rsidRPr="003E6E30">
        <w:rPr>
          <w:rFonts w:ascii="Book Antiqua" w:hAnsi="Book Antiqua"/>
          <w:i/>
          <w:sz w:val="24"/>
          <w:szCs w:val="24"/>
        </w:rPr>
        <w:t>vs</w:t>
      </w:r>
      <w:r w:rsidRPr="00912B86">
        <w:rPr>
          <w:rFonts w:ascii="Book Antiqua" w:hAnsi="Book Antiqua"/>
          <w:sz w:val="24"/>
          <w:szCs w:val="24"/>
        </w:rPr>
        <w:t xml:space="preserve"> water.</w:t>
      </w:r>
    </w:p>
    <w:p w:rsidR="004E5E2A" w:rsidRPr="00912B86" w:rsidRDefault="004E5E2A" w:rsidP="00912B86">
      <w:pPr>
        <w:spacing w:line="360" w:lineRule="auto"/>
        <w:jc w:val="both"/>
        <w:rPr>
          <w:rFonts w:ascii="Book Antiqua" w:hAnsi="Book Antiqua"/>
        </w:rPr>
      </w:pPr>
    </w:p>
    <w:p w:rsidR="004E5E2A" w:rsidRPr="00912B86" w:rsidRDefault="004E5E2A" w:rsidP="00912B86">
      <w:pPr>
        <w:spacing w:line="360" w:lineRule="auto"/>
        <w:jc w:val="both"/>
        <w:rPr>
          <w:rFonts w:ascii="Book Antiqua" w:hAnsi="Book Antiqua"/>
        </w:rPr>
      </w:pPr>
    </w:p>
    <w:sectPr w:rsidR="004E5E2A" w:rsidRPr="00912B86" w:rsidSect="00680DE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586" w:rsidRDefault="00172586" w:rsidP="00837192">
      <w:r>
        <w:separator/>
      </w:r>
    </w:p>
  </w:endnote>
  <w:endnote w:type="continuationSeparator" w:id="0">
    <w:p w:rsidR="00172586" w:rsidRDefault="00172586" w:rsidP="0083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default"/>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586" w:rsidRDefault="00172586" w:rsidP="00837192">
      <w:r>
        <w:separator/>
      </w:r>
    </w:p>
  </w:footnote>
  <w:footnote w:type="continuationSeparator" w:id="0">
    <w:p w:rsidR="00172586" w:rsidRDefault="00172586" w:rsidP="00837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B8F"/>
    <w:rsid w:val="00012E16"/>
    <w:rsid w:val="0002265A"/>
    <w:rsid w:val="00087321"/>
    <w:rsid w:val="000A63C6"/>
    <w:rsid w:val="000B1103"/>
    <w:rsid w:val="0010637A"/>
    <w:rsid w:val="00135734"/>
    <w:rsid w:val="00160554"/>
    <w:rsid w:val="00172586"/>
    <w:rsid w:val="00181920"/>
    <w:rsid w:val="00181FC5"/>
    <w:rsid w:val="001C697C"/>
    <w:rsid w:val="001E6081"/>
    <w:rsid w:val="002302AA"/>
    <w:rsid w:val="00236A72"/>
    <w:rsid w:val="00262557"/>
    <w:rsid w:val="002D53BE"/>
    <w:rsid w:val="002F70BF"/>
    <w:rsid w:val="00307D85"/>
    <w:rsid w:val="003800F1"/>
    <w:rsid w:val="003E6E30"/>
    <w:rsid w:val="00455C35"/>
    <w:rsid w:val="0046735B"/>
    <w:rsid w:val="00483B8F"/>
    <w:rsid w:val="0048525C"/>
    <w:rsid w:val="004962A3"/>
    <w:rsid w:val="004E5E2A"/>
    <w:rsid w:val="004F7BFC"/>
    <w:rsid w:val="00503707"/>
    <w:rsid w:val="00524D75"/>
    <w:rsid w:val="00591624"/>
    <w:rsid w:val="005B4D3B"/>
    <w:rsid w:val="00607DEB"/>
    <w:rsid w:val="0063086D"/>
    <w:rsid w:val="00631528"/>
    <w:rsid w:val="00672181"/>
    <w:rsid w:val="006737F2"/>
    <w:rsid w:val="00680DE4"/>
    <w:rsid w:val="006954EC"/>
    <w:rsid w:val="006F3637"/>
    <w:rsid w:val="006F57CF"/>
    <w:rsid w:val="007D7F3E"/>
    <w:rsid w:val="007F39D0"/>
    <w:rsid w:val="00837192"/>
    <w:rsid w:val="008A1CAA"/>
    <w:rsid w:val="008A73A1"/>
    <w:rsid w:val="008E267B"/>
    <w:rsid w:val="00912B86"/>
    <w:rsid w:val="00924E9D"/>
    <w:rsid w:val="00941110"/>
    <w:rsid w:val="009A1A48"/>
    <w:rsid w:val="009C434E"/>
    <w:rsid w:val="009D7830"/>
    <w:rsid w:val="009E398F"/>
    <w:rsid w:val="00A07D09"/>
    <w:rsid w:val="00A13586"/>
    <w:rsid w:val="00A343CA"/>
    <w:rsid w:val="00B0082E"/>
    <w:rsid w:val="00B70AC3"/>
    <w:rsid w:val="00BB4037"/>
    <w:rsid w:val="00BC04A8"/>
    <w:rsid w:val="00C638AF"/>
    <w:rsid w:val="00DF0C4F"/>
    <w:rsid w:val="00E41518"/>
    <w:rsid w:val="00E523F0"/>
    <w:rsid w:val="00E97277"/>
    <w:rsid w:val="00EB4495"/>
    <w:rsid w:val="00F02A53"/>
    <w:rsid w:val="00F525B8"/>
    <w:rsid w:val="00F60979"/>
    <w:rsid w:val="00F678FB"/>
    <w:rsid w:val="00FA5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321"/>
    <w:rPr>
      <w:rFonts w:ascii="Cambria" w:eastAsia="MS Mincho" w:hAnsi="Cambria"/>
      <w:kern w:val="0"/>
      <w:sz w:val="24"/>
      <w:szCs w:val="24"/>
      <w:lang w:eastAsia="en-US"/>
    </w:rPr>
  </w:style>
  <w:style w:type="paragraph" w:styleId="3">
    <w:name w:val="heading 3"/>
    <w:basedOn w:val="a"/>
    <w:next w:val="a"/>
    <w:link w:val="3Char"/>
    <w:uiPriority w:val="99"/>
    <w:qFormat/>
    <w:rsid w:val="002D53BE"/>
    <w:pPr>
      <w:keepNext/>
      <w:keepLines/>
      <w:bidi/>
      <w:spacing w:before="200" w:line="276" w:lineRule="auto"/>
      <w:outlineLvl w:val="2"/>
    </w:pPr>
    <w:rPr>
      <w:rFonts w:eastAsia="宋体"/>
      <w:b/>
      <w:bCs/>
      <w:color w:val="4F81BD"/>
      <w:sz w:val="20"/>
      <w:szCs w:val="20"/>
      <w:lang w:eastAsia="zh-CN"/>
    </w:rPr>
  </w:style>
  <w:style w:type="paragraph" w:styleId="4">
    <w:name w:val="heading 4"/>
    <w:basedOn w:val="a"/>
    <w:link w:val="4Char"/>
    <w:uiPriority w:val="99"/>
    <w:qFormat/>
    <w:rsid w:val="002D53BE"/>
    <w:pPr>
      <w:spacing w:before="100" w:beforeAutospacing="1" w:after="100" w:afterAutospacing="1"/>
      <w:outlineLvl w:val="3"/>
    </w:pPr>
    <w:rPr>
      <w:rFonts w:ascii="Times New Roman" w:eastAsia="宋体" w:hAnsi="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2D53BE"/>
    <w:rPr>
      <w:rFonts w:ascii="Cambria" w:hAnsi="Cambria"/>
      <w:b/>
      <w:color w:val="4F81BD"/>
    </w:rPr>
  </w:style>
  <w:style w:type="character" w:customStyle="1" w:styleId="4Char">
    <w:name w:val="标题 4 Char"/>
    <w:basedOn w:val="a0"/>
    <w:link w:val="4"/>
    <w:uiPriority w:val="99"/>
    <w:locked/>
    <w:rsid w:val="002D53BE"/>
    <w:rPr>
      <w:rFonts w:ascii="Times New Roman" w:hAnsi="Times New Roman"/>
      <w:b/>
      <w:sz w:val="24"/>
    </w:rPr>
  </w:style>
  <w:style w:type="paragraph" w:customStyle="1" w:styleId="ListParagraph1">
    <w:name w:val="List Paragraph1"/>
    <w:basedOn w:val="a"/>
    <w:uiPriority w:val="99"/>
    <w:rsid w:val="002D53BE"/>
    <w:pPr>
      <w:bidi/>
      <w:spacing w:after="200" w:line="276" w:lineRule="auto"/>
      <w:ind w:left="720"/>
      <w:contextualSpacing/>
    </w:pPr>
    <w:rPr>
      <w:rFonts w:ascii="Calibri" w:eastAsia="宋体" w:hAnsi="Calibri" w:cs="Arial"/>
      <w:sz w:val="22"/>
      <w:szCs w:val="22"/>
      <w:lang w:eastAsia="zh-CN"/>
    </w:rPr>
  </w:style>
  <w:style w:type="character" w:styleId="a3">
    <w:name w:val="Strong"/>
    <w:basedOn w:val="a0"/>
    <w:uiPriority w:val="99"/>
    <w:qFormat/>
    <w:rsid w:val="002D53BE"/>
    <w:rPr>
      <w:rFonts w:cs="Times New Roman"/>
      <w:b/>
    </w:rPr>
  </w:style>
  <w:style w:type="character" w:styleId="a4">
    <w:name w:val="Emphasis"/>
    <w:basedOn w:val="a0"/>
    <w:uiPriority w:val="99"/>
    <w:qFormat/>
    <w:rsid w:val="002D53BE"/>
    <w:rPr>
      <w:rFonts w:cs="Times New Roman"/>
      <w:i/>
    </w:rPr>
  </w:style>
  <w:style w:type="paragraph" w:customStyle="1" w:styleId="ecxmsobodytext">
    <w:name w:val="ecxmsobodytext"/>
    <w:basedOn w:val="a"/>
    <w:uiPriority w:val="99"/>
    <w:rsid w:val="00087321"/>
    <w:pPr>
      <w:spacing w:before="100" w:beforeAutospacing="1" w:after="100" w:afterAutospacing="1"/>
    </w:pPr>
    <w:rPr>
      <w:rFonts w:ascii="Times" w:hAnsi="Times"/>
      <w:sz w:val="20"/>
      <w:szCs w:val="20"/>
    </w:rPr>
  </w:style>
  <w:style w:type="paragraph" w:customStyle="1" w:styleId="ecxmsonormal">
    <w:name w:val="ecxmsonormal"/>
    <w:basedOn w:val="a"/>
    <w:uiPriority w:val="99"/>
    <w:rsid w:val="00087321"/>
    <w:pPr>
      <w:spacing w:before="100" w:beforeAutospacing="1" w:after="100" w:afterAutospacing="1"/>
    </w:pPr>
    <w:rPr>
      <w:rFonts w:ascii="Times" w:hAnsi="Times"/>
      <w:sz w:val="20"/>
      <w:szCs w:val="20"/>
    </w:rPr>
  </w:style>
  <w:style w:type="paragraph" w:customStyle="1" w:styleId="ecxnospacing1">
    <w:name w:val="ecxnospacing1"/>
    <w:basedOn w:val="a"/>
    <w:uiPriority w:val="99"/>
    <w:rsid w:val="00087321"/>
    <w:pPr>
      <w:spacing w:before="100" w:beforeAutospacing="1" w:after="100" w:afterAutospacing="1"/>
    </w:pPr>
    <w:rPr>
      <w:rFonts w:ascii="Times" w:hAnsi="Times"/>
      <w:sz w:val="20"/>
      <w:szCs w:val="20"/>
    </w:rPr>
  </w:style>
  <w:style w:type="character" w:customStyle="1" w:styleId="ecxslug-doi">
    <w:name w:val="ecxslug-doi"/>
    <w:basedOn w:val="a0"/>
    <w:uiPriority w:val="99"/>
    <w:rsid w:val="00087321"/>
    <w:rPr>
      <w:rFonts w:cs="Times New Roman"/>
    </w:rPr>
  </w:style>
  <w:style w:type="character" w:customStyle="1" w:styleId="ecxslug-doi2">
    <w:name w:val="ecxslug-doi2"/>
    <w:basedOn w:val="a0"/>
    <w:uiPriority w:val="99"/>
    <w:rsid w:val="00087321"/>
    <w:rPr>
      <w:rFonts w:cs="Times New Roman"/>
    </w:rPr>
  </w:style>
  <w:style w:type="character" w:styleId="a5">
    <w:name w:val="Hyperlink"/>
    <w:basedOn w:val="a0"/>
    <w:uiPriority w:val="99"/>
    <w:rsid w:val="00087321"/>
    <w:rPr>
      <w:rFonts w:cs="Times New Roman"/>
      <w:color w:val="0000FF"/>
      <w:u w:val="single"/>
    </w:rPr>
  </w:style>
  <w:style w:type="paragraph" w:styleId="a6">
    <w:name w:val="header"/>
    <w:basedOn w:val="a"/>
    <w:link w:val="Char"/>
    <w:uiPriority w:val="99"/>
    <w:rsid w:val="008371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locked/>
    <w:rsid w:val="00837192"/>
    <w:rPr>
      <w:rFonts w:ascii="Cambria" w:eastAsia="MS Mincho" w:hAnsi="Cambria" w:cs="Times New Roman"/>
      <w:sz w:val="18"/>
      <w:szCs w:val="18"/>
      <w:lang w:eastAsia="en-US"/>
    </w:rPr>
  </w:style>
  <w:style w:type="paragraph" w:styleId="a7">
    <w:name w:val="footer"/>
    <w:basedOn w:val="a"/>
    <w:link w:val="Char0"/>
    <w:uiPriority w:val="99"/>
    <w:rsid w:val="00837192"/>
    <w:pPr>
      <w:tabs>
        <w:tab w:val="center" w:pos="4153"/>
        <w:tab w:val="right" w:pos="8306"/>
      </w:tabs>
      <w:snapToGrid w:val="0"/>
    </w:pPr>
    <w:rPr>
      <w:sz w:val="18"/>
      <w:szCs w:val="18"/>
    </w:rPr>
  </w:style>
  <w:style w:type="character" w:customStyle="1" w:styleId="Char0">
    <w:name w:val="页脚 Char"/>
    <w:basedOn w:val="a0"/>
    <w:link w:val="a7"/>
    <w:uiPriority w:val="99"/>
    <w:locked/>
    <w:rsid w:val="00837192"/>
    <w:rPr>
      <w:rFonts w:ascii="Cambria" w:eastAsia="MS Mincho" w:hAnsi="Cambria" w:cs="Times New Roman"/>
      <w:sz w:val="18"/>
      <w:szCs w:val="18"/>
      <w:lang w:eastAsia="en-US"/>
    </w:rPr>
  </w:style>
  <w:style w:type="paragraph" w:styleId="a8">
    <w:name w:val="Balloon Text"/>
    <w:basedOn w:val="a"/>
    <w:link w:val="Char1"/>
    <w:uiPriority w:val="99"/>
    <w:semiHidden/>
    <w:rsid w:val="00941110"/>
    <w:pPr>
      <w:widowControl w:val="0"/>
      <w:jc w:val="both"/>
    </w:pPr>
    <w:rPr>
      <w:rFonts w:ascii="Times New Roman" w:eastAsia="宋体" w:hAnsi="Times New Roman"/>
      <w:kern w:val="2"/>
      <w:sz w:val="18"/>
      <w:szCs w:val="18"/>
      <w:lang w:eastAsia="zh-CN"/>
    </w:rPr>
  </w:style>
  <w:style w:type="character" w:customStyle="1" w:styleId="Char1">
    <w:name w:val="批注框文本 Char"/>
    <w:basedOn w:val="a0"/>
    <w:link w:val="a8"/>
    <w:uiPriority w:val="99"/>
    <w:semiHidden/>
    <w:locked/>
    <w:rsid w:val="00941110"/>
    <w:rPr>
      <w:rFonts w:ascii="Times New Roman" w:hAnsi="Times New Roman" w:cs="Times New Roman"/>
      <w:kern w:val="2"/>
      <w:sz w:val="18"/>
      <w:szCs w:val="18"/>
    </w:rPr>
  </w:style>
  <w:style w:type="character" w:styleId="a9">
    <w:name w:val="annotation reference"/>
    <w:basedOn w:val="a0"/>
    <w:uiPriority w:val="99"/>
    <w:semiHidden/>
    <w:rsid w:val="00941110"/>
    <w:rPr>
      <w:rFonts w:cs="Times New Roman"/>
      <w:sz w:val="21"/>
      <w:szCs w:val="21"/>
    </w:rPr>
  </w:style>
  <w:style w:type="paragraph" w:styleId="aa">
    <w:name w:val="annotation text"/>
    <w:basedOn w:val="a"/>
    <w:link w:val="Char2"/>
    <w:uiPriority w:val="99"/>
    <w:semiHidden/>
    <w:rsid w:val="00941110"/>
  </w:style>
  <w:style w:type="character" w:customStyle="1" w:styleId="Char2">
    <w:name w:val="批注文字 Char"/>
    <w:basedOn w:val="a0"/>
    <w:link w:val="aa"/>
    <w:uiPriority w:val="99"/>
    <w:semiHidden/>
    <w:locked/>
    <w:rsid w:val="00941110"/>
    <w:rPr>
      <w:rFonts w:ascii="Cambria" w:eastAsia="MS Mincho" w:hAnsi="Cambria" w:cs="Times New Roman"/>
      <w:sz w:val="24"/>
      <w:szCs w:val="24"/>
      <w:lang w:eastAsia="en-US"/>
    </w:rPr>
  </w:style>
  <w:style w:type="paragraph" w:styleId="ab">
    <w:name w:val="annotation subject"/>
    <w:basedOn w:val="aa"/>
    <w:next w:val="aa"/>
    <w:link w:val="Char3"/>
    <w:uiPriority w:val="99"/>
    <w:semiHidden/>
    <w:rsid w:val="00941110"/>
    <w:rPr>
      <w:b/>
      <w:bCs/>
    </w:rPr>
  </w:style>
  <w:style w:type="character" w:customStyle="1" w:styleId="Char3">
    <w:name w:val="批注主题 Char"/>
    <w:basedOn w:val="Char2"/>
    <w:link w:val="ab"/>
    <w:uiPriority w:val="99"/>
    <w:semiHidden/>
    <w:locked/>
    <w:rsid w:val="00941110"/>
    <w:rPr>
      <w:rFonts w:ascii="Cambria" w:eastAsia="MS Mincho" w:hAnsi="Cambria" w:cs="Times New Roman"/>
      <w:b/>
      <w:bCs/>
      <w:sz w:val="24"/>
      <w:szCs w:val="24"/>
      <w:lang w:eastAsia="en-US"/>
    </w:rPr>
  </w:style>
  <w:style w:type="character" w:customStyle="1" w:styleId="hps">
    <w:name w:val="hps"/>
    <w:basedOn w:val="a0"/>
    <w:uiPriority w:val="99"/>
    <w:rsid w:val="00607DE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321"/>
    <w:rPr>
      <w:rFonts w:ascii="Cambria" w:eastAsia="MS Mincho" w:hAnsi="Cambria"/>
      <w:kern w:val="0"/>
      <w:sz w:val="24"/>
      <w:szCs w:val="24"/>
      <w:lang w:eastAsia="en-US"/>
    </w:rPr>
  </w:style>
  <w:style w:type="paragraph" w:styleId="3">
    <w:name w:val="heading 3"/>
    <w:basedOn w:val="a"/>
    <w:next w:val="a"/>
    <w:link w:val="3Char"/>
    <w:uiPriority w:val="99"/>
    <w:qFormat/>
    <w:rsid w:val="002D53BE"/>
    <w:pPr>
      <w:keepNext/>
      <w:keepLines/>
      <w:bidi/>
      <w:spacing w:before="200" w:line="276" w:lineRule="auto"/>
      <w:outlineLvl w:val="2"/>
    </w:pPr>
    <w:rPr>
      <w:rFonts w:eastAsia="宋体"/>
      <w:b/>
      <w:bCs/>
      <w:color w:val="4F81BD"/>
      <w:sz w:val="20"/>
      <w:szCs w:val="20"/>
      <w:lang w:eastAsia="zh-CN"/>
    </w:rPr>
  </w:style>
  <w:style w:type="paragraph" w:styleId="4">
    <w:name w:val="heading 4"/>
    <w:basedOn w:val="a"/>
    <w:link w:val="4Char"/>
    <w:uiPriority w:val="99"/>
    <w:qFormat/>
    <w:rsid w:val="002D53BE"/>
    <w:pPr>
      <w:spacing w:before="100" w:beforeAutospacing="1" w:after="100" w:afterAutospacing="1"/>
      <w:outlineLvl w:val="3"/>
    </w:pPr>
    <w:rPr>
      <w:rFonts w:ascii="Times New Roman" w:eastAsia="宋体" w:hAnsi="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2D53BE"/>
    <w:rPr>
      <w:rFonts w:ascii="Cambria" w:hAnsi="Cambria"/>
      <w:b/>
      <w:color w:val="4F81BD"/>
    </w:rPr>
  </w:style>
  <w:style w:type="character" w:customStyle="1" w:styleId="4Char">
    <w:name w:val="标题 4 Char"/>
    <w:basedOn w:val="a0"/>
    <w:link w:val="4"/>
    <w:uiPriority w:val="99"/>
    <w:locked/>
    <w:rsid w:val="002D53BE"/>
    <w:rPr>
      <w:rFonts w:ascii="Times New Roman" w:hAnsi="Times New Roman"/>
      <w:b/>
      <w:sz w:val="24"/>
    </w:rPr>
  </w:style>
  <w:style w:type="paragraph" w:customStyle="1" w:styleId="ListParagraph1">
    <w:name w:val="List Paragraph1"/>
    <w:basedOn w:val="a"/>
    <w:uiPriority w:val="99"/>
    <w:rsid w:val="002D53BE"/>
    <w:pPr>
      <w:bidi/>
      <w:spacing w:after="200" w:line="276" w:lineRule="auto"/>
      <w:ind w:left="720"/>
      <w:contextualSpacing/>
    </w:pPr>
    <w:rPr>
      <w:rFonts w:ascii="Calibri" w:eastAsia="宋体" w:hAnsi="Calibri" w:cs="Arial"/>
      <w:sz w:val="22"/>
      <w:szCs w:val="22"/>
      <w:lang w:eastAsia="zh-CN"/>
    </w:rPr>
  </w:style>
  <w:style w:type="character" w:styleId="a3">
    <w:name w:val="Strong"/>
    <w:basedOn w:val="a0"/>
    <w:uiPriority w:val="99"/>
    <w:qFormat/>
    <w:rsid w:val="002D53BE"/>
    <w:rPr>
      <w:rFonts w:cs="Times New Roman"/>
      <w:b/>
    </w:rPr>
  </w:style>
  <w:style w:type="character" w:styleId="a4">
    <w:name w:val="Emphasis"/>
    <w:basedOn w:val="a0"/>
    <w:uiPriority w:val="99"/>
    <w:qFormat/>
    <w:rsid w:val="002D53BE"/>
    <w:rPr>
      <w:rFonts w:cs="Times New Roman"/>
      <w:i/>
    </w:rPr>
  </w:style>
  <w:style w:type="paragraph" w:customStyle="1" w:styleId="ecxmsobodytext">
    <w:name w:val="ecxmsobodytext"/>
    <w:basedOn w:val="a"/>
    <w:uiPriority w:val="99"/>
    <w:rsid w:val="00087321"/>
    <w:pPr>
      <w:spacing w:before="100" w:beforeAutospacing="1" w:after="100" w:afterAutospacing="1"/>
    </w:pPr>
    <w:rPr>
      <w:rFonts w:ascii="Times" w:hAnsi="Times"/>
      <w:sz w:val="20"/>
      <w:szCs w:val="20"/>
    </w:rPr>
  </w:style>
  <w:style w:type="paragraph" w:customStyle="1" w:styleId="ecxmsonormal">
    <w:name w:val="ecxmsonormal"/>
    <w:basedOn w:val="a"/>
    <w:uiPriority w:val="99"/>
    <w:rsid w:val="00087321"/>
    <w:pPr>
      <w:spacing w:before="100" w:beforeAutospacing="1" w:after="100" w:afterAutospacing="1"/>
    </w:pPr>
    <w:rPr>
      <w:rFonts w:ascii="Times" w:hAnsi="Times"/>
      <w:sz w:val="20"/>
      <w:szCs w:val="20"/>
    </w:rPr>
  </w:style>
  <w:style w:type="paragraph" w:customStyle="1" w:styleId="ecxnospacing1">
    <w:name w:val="ecxnospacing1"/>
    <w:basedOn w:val="a"/>
    <w:uiPriority w:val="99"/>
    <w:rsid w:val="00087321"/>
    <w:pPr>
      <w:spacing w:before="100" w:beforeAutospacing="1" w:after="100" w:afterAutospacing="1"/>
    </w:pPr>
    <w:rPr>
      <w:rFonts w:ascii="Times" w:hAnsi="Times"/>
      <w:sz w:val="20"/>
      <w:szCs w:val="20"/>
    </w:rPr>
  </w:style>
  <w:style w:type="character" w:customStyle="1" w:styleId="ecxslug-doi">
    <w:name w:val="ecxslug-doi"/>
    <w:basedOn w:val="a0"/>
    <w:uiPriority w:val="99"/>
    <w:rsid w:val="00087321"/>
    <w:rPr>
      <w:rFonts w:cs="Times New Roman"/>
    </w:rPr>
  </w:style>
  <w:style w:type="character" w:customStyle="1" w:styleId="ecxslug-doi2">
    <w:name w:val="ecxslug-doi2"/>
    <w:basedOn w:val="a0"/>
    <w:uiPriority w:val="99"/>
    <w:rsid w:val="00087321"/>
    <w:rPr>
      <w:rFonts w:cs="Times New Roman"/>
    </w:rPr>
  </w:style>
  <w:style w:type="character" w:styleId="a5">
    <w:name w:val="Hyperlink"/>
    <w:basedOn w:val="a0"/>
    <w:uiPriority w:val="99"/>
    <w:rsid w:val="00087321"/>
    <w:rPr>
      <w:rFonts w:cs="Times New Roman"/>
      <w:color w:val="0000FF"/>
      <w:u w:val="single"/>
    </w:rPr>
  </w:style>
  <w:style w:type="paragraph" w:styleId="a6">
    <w:name w:val="header"/>
    <w:basedOn w:val="a"/>
    <w:link w:val="Char"/>
    <w:uiPriority w:val="99"/>
    <w:rsid w:val="008371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locked/>
    <w:rsid w:val="00837192"/>
    <w:rPr>
      <w:rFonts w:ascii="Cambria" w:eastAsia="MS Mincho" w:hAnsi="Cambria" w:cs="Times New Roman"/>
      <w:sz w:val="18"/>
      <w:szCs w:val="18"/>
      <w:lang w:eastAsia="en-US"/>
    </w:rPr>
  </w:style>
  <w:style w:type="paragraph" w:styleId="a7">
    <w:name w:val="footer"/>
    <w:basedOn w:val="a"/>
    <w:link w:val="Char0"/>
    <w:uiPriority w:val="99"/>
    <w:rsid w:val="00837192"/>
    <w:pPr>
      <w:tabs>
        <w:tab w:val="center" w:pos="4153"/>
        <w:tab w:val="right" w:pos="8306"/>
      </w:tabs>
      <w:snapToGrid w:val="0"/>
    </w:pPr>
    <w:rPr>
      <w:sz w:val="18"/>
      <w:szCs w:val="18"/>
    </w:rPr>
  </w:style>
  <w:style w:type="character" w:customStyle="1" w:styleId="Char0">
    <w:name w:val="页脚 Char"/>
    <w:basedOn w:val="a0"/>
    <w:link w:val="a7"/>
    <w:uiPriority w:val="99"/>
    <w:locked/>
    <w:rsid w:val="00837192"/>
    <w:rPr>
      <w:rFonts w:ascii="Cambria" w:eastAsia="MS Mincho" w:hAnsi="Cambria" w:cs="Times New Roman"/>
      <w:sz w:val="18"/>
      <w:szCs w:val="18"/>
      <w:lang w:eastAsia="en-US"/>
    </w:rPr>
  </w:style>
  <w:style w:type="paragraph" w:styleId="a8">
    <w:name w:val="Balloon Text"/>
    <w:basedOn w:val="a"/>
    <w:link w:val="Char1"/>
    <w:uiPriority w:val="99"/>
    <w:semiHidden/>
    <w:rsid w:val="00941110"/>
    <w:pPr>
      <w:widowControl w:val="0"/>
      <w:jc w:val="both"/>
    </w:pPr>
    <w:rPr>
      <w:rFonts w:ascii="Times New Roman" w:eastAsia="宋体" w:hAnsi="Times New Roman"/>
      <w:kern w:val="2"/>
      <w:sz w:val="18"/>
      <w:szCs w:val="18"/>
      <w:lang w:eastAsia="zh-CN"/>
    </w:rPr>
  </w:style>
  <w:style w:type="character" w:customStyle="1" w:styleId="Char1">
    <w:name w:val="批注框文本 Char"/>
    <w:basedOn w:val="a0"/>
    <w:link w:val="a8"/>
    <w:uiPriority w:val="99"/>
    <w:semiHidden/>
    <w:locked/>
    <w:rsid w:val="00941110"/>
    <w:rPr>
      <w:rFonts w:ascii="Times New Roman" w:hAnsi="Times New Roman" w:cs="Times New Roman"/>
      <w:kern w:val="2"/>
      <w:sz w:val="18"/>
      <w:szCs w:val="18"/>
    </w:rPr>
  </w:style>
  <w:style w:type="character" w:styleId="a9">
    <w:name w:val="annotation reference"/>
    <w:basedOn w:val="a0"/>
    <w:uiPriority w:val="99"/>
    <w:semiHidden/>
    <w:rsid w:val="00941110"/>
    <w:rPr>
      <w:rFonts w:cs="Times New Roman"/>
      <w:sz w:val="21"/>
      <w:szCs w:val="21"/>
    </w:rPr>
  </w:style>
  <w:style w:type="paragraph" w:styleId="aa">
    <w:name w:val="annotation text"/>
    <w:basedOn w:val="a"/>
    <w:link w:val="Char2"/>
    <w:uiPriority w:val="99"/>
    <w:semiHidden/>
    <w:rsid w:val="00941110"/>
  </w:style>
  <w:style w:type="character" w:customStyle="1" w:styleId="Char2">
    <w:name w:val="批注文字 Char"/>
    <w:basedOn w:val="a0"/>
    <w:link w:val="aa"/>
    <w:uiPriority w:val="99"/>
    <w:semiHidden/>
    <w:locked/>
    <w:rsid w:val="00941110"/>
    <w:rPr>
      <w:rFonts w:ascii="Cambria" w:eastAsia="MS Mincho" w:hAnsi="Cambria" w:cs="Times New Roman"/>
      <w:sz w:val="24"/>
      <w:szCs w:val="24"/>
      <w:lang w:eastAsia="en-US"/>
    </w:rPr>
  </w:style>
  <w:style w:type="paragraph" w:styleId="ab">
    <w:name w:val="annotation subject"/>
    <w:basedOn w:val="aa"/>
    <w:next w:val="aa"/>
    <w:link w:val="Char3"/>
    <w:uiPriority w:val="99"/>
    <w:semiHidden/>
    <w:rsid w:val="00941110"/>
    <w:rPr>
      <w:b/>
      <w:bCs/>
    </w:rPr>
  </w:style>
  <w:style w:type="character" w:customStyle="1" w:styleId="Char3">
    <w:name w:val="批注主题 Char"/>
    <w:basedOn w:val="Char2"/>
    <w:link w:val="ab"/>
    <w:uiPriority w:val="99"/>
    <w:semiHidden/>
    <w:locked/>
    <w:rsid w:val="00941110"/>
    <w:rPr>
      <w:rFonts w:ascii="Cambria" w:eastAsia="MS Mincho" w:hAnsi="Cambria" w:cs="Times New Roman"/>
      <w:b/>
      <w:bCs/>
      <w:sz w:val="24"/>
      <w:szCs w:val="24"/>
      <w:lang w:eastAsia="en-US"/>
    </w:rPr>
  </w:style>
  <w:style w:type="character" w:customStyle="1" w:styleId="hps">
    <w:name w:val="hps"/>
    <w:basedOn w:val="a0"/>
    <w:uiPriority w:val="99"/>
    <w:rsid w:val="00607D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4248</Words>
  <Characters>24220</Characters>
  <Application>Microsoft Office Word</Application>
  <DocSecurity>0</DocSecurity>
  <Lines>201</Lines>
  <Paragraphs>56</Paragraphs>
  <ScaleCrop>false</ScaleCrop>
  <Company>微软中国</Company>
  <LinksUpToDate>false</LinksUpToDate>
  <CharactersWithSpaces>28412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asdasd</cp:lastModifiedBy>
  <cp:revision>3</cp:revision>
  <dcterms:created xsi:type="dcterms:W3CDTF">2013-12-05T03:38:00Z</dcterms:created>
  <dcterms:modified xsi:type="dcterms:W3CDTF">2013-12-05T05:44:00Z</dcterms:modified>
</cp:coreProperties>
</file>