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461190" w14:textId="5C0197B3" w:rsidR="003A4F59" w:rsidRPr="00284BD3" w:rsidRDefault="003A4F59" w:rsidP="00E51A26">
      <w:pPr>
        <w:pStyle w:val="NoSpacing1"/>
        <w:adjustRightInd w:val="0"/>
        <w:snapToGrid w:val="0"/>
        <w:spacing w:line="360" w:lineRule="auto"/>
        <w:jc w:val="both"/>
        <w:rPr>
          <w:rFonts w:ascii="Book Antiqua" w:hAnsi="Book Antiqua"/>
          <w:bCs/>
          <w:i/>
          <w:iCs/>
          <w:sz w:val="24"/>
          <w:szCs w:val="24"/>
          <w:lang w:val="en-GB"/>
        </w:rPr>
      </w:pPr>
      <w:bookmarkStart w:id="0" w:name="_Hlk15506733"/>
      <w:r w:rsidRPr="00E51A26">
        <w:rPr>
          <w:rFonts w:ascii="Book Antiqua" w:hAnsi="Book Antiqua"/>
          <w:b/>
          <w:sz w:val="24"/>
          <w:szCs w:val="24"/>
          <w:lang w:val="en-GB"/>
        </w:rPr>
        <w:t xml:space="preserve">Name of </w:t>
      </w:r>
      <w:bookmarkStart w:id="1" w:name="OLE_LINK321"/>
      <w:bookmarkStart w:id="2" w:name="OLE_LINK322"/>
      <w:r w:rsidR="0054607F" w:rsidRPr="00E51A26">
        <w:rPr>
          <w:rFonts w:ascii="Book Antiqua" w:hAnsi="Book Antiqua"/>
          <w:b/>
          <w:sz w:val="24"/>
          <w:szCs w:val="24"/>
          <w:lang w:val="en-GB"/>
        </w:rPr>
        <w:t>J</w:t>
      </w:r>
      <w:r w:rsidRPr="00E51A26">
        <w:rPr>
          <w:rFonts w:ascii="Book Antiqua" w:hAnsi="Book Antiqua"/>
          <w:b/>
          <w:sz w:val="24"/>
          <w:szCs w:val="24"/>
          <w:lang w:val="en-GB"/>
        </w:rPr>
        <w:t>ournal</w:t>
      </w:r>
      <w:bookmarkEnd w:id="1"/>
      <w:bookmarkEnd w:id="2"/>
      <w:r w:rsidRPr="00E51A26">
        <w:rPr>
          <w:rFonts w:ascii="Book Antiqua" w:hAnsi="Book Antiqua"/>
          <w:b/>
          <w:sz w:val="24"/>
          <w:szCs w:val="24"/>
          <w:lang w:val="en-GB"/>
        </w:rPr>
        <w:t xml:space="preserve">: </w:t>
      </w:r>
      <w:r w:rsidR="00DA100F" w:rsidRPr="00284BD3">
        <w:rPr>
          <w:rFonts w:ascii="Book Antiqua" w:hAnsi="Book Antiqua"/>
          <w:bCs/>
          <w:i/>
          <w:iCs/>
          <w:sz w:val="24"/>
          <w:szCs w:val="24"/>
          <w:lang w:val="en-GB"/>
        </w:rPr>
        <w:t>World Journal of Clinical Cases</w:t>
      </w:r>
    </w:p>
    <w:p w14:paraId="5E91FDC2" w14:textId="56D3B6A5" w:rsidR="003A4F59" w:rsidRPr="00284BD3" w:rsidRDefault="003A4F59" w:rsidP="00284BD3">
      <w:pPr>
        <w:pStyle w:val="NoSpacing1"/>
        <w:adjustRightInd w:val="0"/>
        <w:snapToGrid w:val="0"/>
        <w:spacing w:line="360" w:lineRule="auto"/>
        <w:jc w:val="both"/>
        <w:rPr>
          <w:rFonts w:ascii="Book Antiqua" w:hAnsi="Book Antiqua"/>
          <w:bCs/>
          <w:sz w:val="24"/>
          <w:szCs w:val="24"/>
          <w:lang w:val="en-GB"/>
        </w:rPr>
      </w:pPr>
      <w:r w:rsidRPr="00284BD3">
        <w:rPr>
          <w:rFonts w:ascii="Book Antiqua" w:hAnsi="Book Antiqua"/>
          <w:b/>
          <w:sz w:val="24"/>
          <w:szCs w:val="24"/>
          <w:lang w:val="en-GB"/>
        </w:rPr>
        <w:t>Manuscript NO:</w:t>
      </w:r>
      <w:r w:rsidR="00DA100F" w:rsidRPr="00284BD3">
        <w:rPr>
          <w:rFonts w:ascii="Book Antiqua" w:hAnsi="Book Antiqua"/>
          <w:b/>
          <w:sz w:val="24"/>
          <w:szCs w:val="24"/>
          <w:lang w:val="en-GB"/>
        </w:rPr>
        <w:t xml:space="preserve"> </w:t>
      </w:r>
      <w:r w:rsidR="00CB723A" w:rsidRPr="00AF08A7">
        <w:rPr>
          <w:rFonts w:ascii="Book Antiqua" w:hAnsi="Book Antiqua"/>
          <w:bCs/>
          <w:sz w:val="24"/>
          <w:szCs w:val="24"/>
          <w:lang w:val="en-GB"/>
        </w:rPr>
        <w:t>53494</w:t>
      </w:r>
    </w:p>
    <w:p w14:paraId="3F138F1A" w14:textId="77777777" w:rsidR="00DA100F" w:rsidRPr="00284BD3" w:rsidRDefault="00DA100F" w:rsidP="00284BD3">
      <w:pPr>
        <w:widowControl w:val="0"/>
        <w:adjustRightInd w:val="0"/>
        <w:snapToGrid w:val="0"/>
        <w:spacing w:after="0" w:line="360" w:lineRule="auto"/>
        <w:jc w:val="both"/>
        <w:rPr>
          <w:rFonts w:ascii="Book Antiqua" w:eastAsia="幼圆" w:hAnsi="Book Antiqua"/>
          <w:bCs/>
          <w:color w:val="000000"/>
          <w:kern w:val="2"/>
          <w:lang w:val="en-US" w:eastAsia="zh-CN"/>
        </w:rPr>
      </w:pPr>
      <w:bookmarkStart w:id="3" w:name="OLE_LINK3"/>
      <w:bookmarkStart w:id="4" w:name="OLE_LINK4"/>
      <w:bookmarkStart w:id="5" w:name="OLE_LINK1"/>
      <w:r w:rsidRPr="00284BD3">
        <w:rPr>
          <w:rFonts w:ascii="Book Antiqua" w:eastAsia="MS PMincho" w:hAnsi="Book Antiqua"/>
          <w:b/>
          <w:bCs/>
          <w:color w:val="000000"/>
          <w:kern w:val="2"/>
          <w:shd w:val="clear" w:color="auto" w:fill="FFFFFF"/>
          <w:lang w:val="en-US" w:eastAsia="ja-JP"/>
        </w:rPr>
        <w:t>Manuscript Type</w:t>
      </w:r>
      <w:r w:rsidRPr="00284BD3">
        <w:rPr>
          <w:rFonts w:ascii="Book Antiqua" w:eastAsia="MS PMincho" w:hAnsi="Book Antiqua"/>
          <w:b/>
          <w:bCs/>
          <w:color w:val="000000"/>
          <w:kern w:val="2"/>
          <w:lang w:val="en-US" w:eastAsia="ja-JP"/>
        </w:rPr>
        <w:t>:</w:t>
      </w:r>
      <w:bookmarkEnd w:id="3"/>
      <w:bookmarkEnd w:id="4"/>
      <w:r w:rsidRPr="00284BD3">
        <w:rPr>
          <w:rFonts w:ascii="Book Antiqua" w:eastAsia="宋体" w:hAnsi="Book Antiqua" w:cs="Arial"/>
          <w:b/>
          <w:bCs/>
          <w:color w:val="222222"/>
          <w:kern w:val="2"/>
          <w:shd w:val="clear" w:color="auto" w:fill="FFFFFF"/>
          <w:lang w:val="en-US" w:eastAsia="zh-CN"/>
        </w:rPr>
        <w:t xml:space="preserve"> </w:t>
      </w:r>
      <w:r w:rsidRPr="00284BD3">
        <w:rPr>
          <w:rFonts w:ascii="Book Antiqua" w:eastAsia="MS PMincho" w:hAnsi="Book Antiqua"/>
          <w:bCs/>
          <w:color w:val="000000"/>
          <w:kern w:val="2"/>
          <w:lang w:val="en-US" w:eastAsia="ja-JP"/>
        </w:rPr>
        <w:t>ORIGINAL ARTICLE</w:t>
      </w:r>
      <w:r w:rsidRPr="00284BD3">
        <w:rPr>
          <w:rFonts w:ascii="Book Antiqua" w:eastAsia="幼圆" w:hAnsi="Book Antiqua"/>
          <w:bCs/>
          <w:color w:val="000000"/>
          <w:kern w:val="2"/>
          <w:lang w:val="en-US" w:eastAsia="ja-JP"/>
        </w:rPr>
        <w:t xml:space="preserve"> </w:t>
      </w:r>
    </w:p>
    <w:p w14:paraId="6C24BC8A" w14:textId="77777777" w:rsidR="004F1C42" w:rsidRPr="00284BD3" w:rsidRDefault="004F1C42" w:rsidP="00284BD3">
      <w:pPr>
        <w:widowControl w:val="0"/>
        <w:adjustRightInd w:val="0"/>
        <w:snapToGrid w:val="0"/>
        <w:spacing w:after="0" w:line="360" w:lineRule="auto"/>
        <w:jc w:val="both"/>
        <w:rPr>
          <w:rFonts w:ascii="Book Antiqua" w:eastAsia="幼圆" w:hAnsi="Book Antiqua"/>
          <w:b/>
          <w:bCs/>
          <w:i/>
          <w:color w:val="000000"/>
          <w:kern w:val="2"/>
          <w:lang w:val="en-US" w:eastAsia="ja-JP"/>
        </w:rPr>
      </w:pPr>
    </w:p>
    <w:p w14:paraId="65D54BB8" w14:textId="57043144" w:rsidR="003A4F59" w:rsidRPr="00284BD3" w:rsidRDefault="004F1C42" w:rsidP="00284BD3">
      <w:pPr>
        <w:widowControl w:val="0"/>
        <w:adjustRightInd w:val="0"/>
        <w:snapToGrid w:val="0"/>
        <w:spacing w:after="0" w:line="360" w:lineRule="auto"/>
        <w:jc w:val="both"/>
        <w:rPr>
          <w:rFonts w:ascii="Book Antiqua" w:eastAsia="幼圆" w:hAnsi="Book Antiqua"/>
          <w:b/>
          <w:bCs/>
          <w:i/>
          <w:color w:val="000000"/>
          <w:kern w:val="2"/>
          <w:lang w:val="en-US" w:eastAsia="ja-JP"/>
        </w:rPr>
      </w:pPr>
      <w:bookmarkStart w:id="6" w:name="OLE_LINK60"/>
      <w:bookmarkStart w:id="7" w:name="OLE_LINK61"/>
      <w:r w:rsidRPr="00284BD3">
        <w:rPr>
          <w:rFonts w:ascii="Book Antiqua" w:eastAsia="幼圆" w:hAnsi="Book Antiqua"/>
          <w:b/>
          <w:bCs/>
          <w:i/>
          <w:color w:val="000000"/>
          <w:kern w:val="2"/>
          <w:lang w:val="en-US" w:eastAsia="ja-JP"/>
        </w:rPr>
        <w:t>Retrospective Study</w:t>
      </w:r>
      <w:bookmarkEnd w:id="5"/>
    </w:p>
    <w:p w14:paraId="19C5E723" w14:textId="758590A6" w:rsidR="00B665C7" w:rsidRPr="008C2A52" w:rsidRDefault="003912B3" w:rsidP="00284BD3">
      <w:pPr>
        <w:pStyle w:val="NoSpacing1"/>
        <w:adjustRightInd w:val="0"/>
        <w:snapToGrid w:val="0"/>
        <w:spacing w:line="360" w:lineRule="auto"/>
        <w:jc w:val="both"/>
        <w:rPr>
          <w:rFonts w:ascii="Book Antiqua" w:eastAsia="等线" w:hAnsi="Book Antiqua"/>
          <w:b/>
          <w:bCs/>
          <w:sz w:val="24"/>
          <w:szCs w:val="24"/>
          <w:lang w:val="en-GB" w:eastAsia="zh-CN"/>
        </w:rPr>
      </w:pPr>
      <w:bookmarkStart w:id="8" w:name="OLE_LINK20"/>
      <w:bookmarkStart w:id="9" w:name="OLE_LINK21"/>
      <w:bookmarkStart w:id="10" w:name="OLE_LINK16"/>
      <w:bookmarkEnd w:id="6"/>
      <w:bookmarkEnd w:id="7"/>
      <w:r w:rsidRPr="00284BD3">
        <w:rPr>
          <w:rFonts w:ascii="Book Antiqua" w:hAnsi="Book Antiqua"/>
          <w:b/>
          <w:bCs/>
          <w:sz w:val="24"/>
          <w:szCs w:val="24"/>
          <w:lang w:val="en-GB"/>
        </w:rPr>
        <w:t xml:space="preserve">Incidental anal </w:t>
      </w:r>
      <w:r w:rsidR="00436B5A" w:rsidRPr="00284BD3">
        <w:rPr>
          <w:rFonts w:ascii="Book Antiqua" w:hAnsi="Book Antiqua"/>
          <w:b/>
          <w:bCs/>
          <w:sz w:val="24"/>
          <w:szCs w:val="24"/>
          <w:vertAlign w:val="superscript"/>
          <w:lang w:val="en-GB"/>
        </w:rPr>
        <w:t>18</w:t>
      </w:r>
      <w:bookmarkStart w:id="11" w:name="OLE_LINK327"/>
      <w:bookmarkStart w:id="12" w:name="OLE_LINK328"/>
      <w:r w:rsidRPr="00284BD3">
        <w:rPr>
          <w:rFonts w:ascii="Book Antiqua" w:hAnsi="Book Antiqua"/>
          <w:b/>
          <w:bCs/>
          <w:sz w:val="24"/>
          <w:szCs w:val="24"/>
          <w:lang w:val="en-GB"/>
        </w:rPr>
        <w:t>fluorodeoxyglucose</w:t>
      </w:r>
      <w:bookmarkEnd w:id="11"/>
      <w:bookmarkEnd w:id="12"/>
      <w:r w:rsidRPr="00284BD3">
        <w:rPr>
          <w:rFonts w:ascii="Book Antiqua" w:hAnsi="Book Antiqua"/>
          <w:b/>
          <w:bCs/>
          <w:sz w:val="24"/>
          <w:szCs w:val="24"/>
          <w:lang w:val="en-GB"/>
        </w:rPr>
        <w:t xml:space="preserve"> uptake:</w:t>
      </w:r>
      <w:bookmarkStart w:id="13" w:name="_Hlk17563825"/>
      <w:r w:rsidR="000763B5" w:rsidRPr="00284BD3">
        <w:rPr>
          <w:rFonts w:ascii="Book Antiqua" w:hAnsi="Book Antiqua"/>
          <w:b/>
          <w:bCs/>
          <w:sz w:val="24"/>
          <w:szCs w:val="24"/>
          <w:lang w:val="en-GB"/>
        </w:rPr>
        <w:t xml:space="preserve"> S</w:t>
      </w:r>
      <w:r w:rsidRPr="00284BD3">
        <w:rPr>
          <w:rFonts w:ascii="Book Antiqua" w:hAnsi="Book Antiqua"/>
          <w:b/>
          <w:bCs/>
          <w:sz w:val="24"/>
          <w:szCs w:val="24"/>
          <w:lang w:val="en-GB"/>
        </w:rPr>
        <w:t>hould we further examine the patient</w:t>
      </w:r>
      <w:r w:rsidR="007D58D1" w:rsidRPr="007D58D1">
        <w:rPr>
          <w:rFonts w:ascii="Book Antiqua" w:hAnsi="Book Antiqua"/>
          <w:b/>
          <w:bCs/>
          <w:sz w:val="24"/>
          <w:szCs w:val="24"/>
        </w:rPr>
        <w:t>?</w:t>
      </w:r>
    </w:p>
    <w:bookmarkEnd w:id="8"/>
    <w:bookmarkEnd w:id="9"/>
    <w:bookmarkEnd w:id="10"/>
    <w:p w14:paraId="7E0EFE03" w14:textId="77777777" w:rsidR="003912B3" w:rsidRPr="00284BD3" w:rsidRDefault="003912B3" w:rsidP="00284BD3">
      <w:pPr>
        <w:pStyle w:val="NoSpacing1"/>
        <w:adjustRightInd w:val="0"/>
        <w:snapToGrid w:val="0"/>
        <w:spacing w:line="360" w:lineRule="auto"/>
        <w:jc w:val="both"/>
        <w:rPr>
          <w:rFonts w:ascii="Book Antiqua" w:hAnsi="Book Antiqua"/>
          <w:bCs/>
          <w:sz w:val="24"/>
          <w:szCs w:val="24"/>
          <w:lang w:val="en-GB"/>
        </w:rPr>
      </w:pPr>
    </w:p>
    <w:p w14:paraId="3CA975ED" w14:textId="65C6C5B9" w:rsidR="001220C4" w:rsidRPr="00284BD3" w:rsidRDefault="001220C4" w:rsidP="00284BD3">
      <w:pPr>
        <w:pStyle w:val="NoSpacing1"/>
        <w:adjustRightInd w:val="0"/>
        <w:snapToGrid w:val="0"/>
        <w:spacing w:line="360" w:lineRule="auto"/>
        <w:jc w:val="both"/>
        <w:rPr>
          <w:rFonts w:ascii="Book Antiqua" w:hAnsi="Book Antiqua"/>
          <w:iCs/>
          <w:sz w:val="24"/>
          <w:szCs w:val="24"/>
        </w:rPr>
      </w:pPr>
      <w:r w:rsidRPr="00284BD3">
        <w:rPr>
          <w:rFonts w:ascii="Book Antiqua" w:hAnsi="Book Antiqua"/>
          <w:iCs/>
          <w:sz w:val="24"/>
          <w:szCs w:val="24"/>
        </w:rPr>
        <w:t>Moussaddaq</w:t>
      </w:r>
      <w:r w:rsidR="0029005A" w:rsidRPr="00284BD3">
        <w:rPr>
          <w:rFonts w:ascii="Book Antiqua" w:hAnsi="Book Antiqua"/>
          <w:iCs/>
          <w:sz w:val="24"/>
          <w:szCs w:val="24"/>
        </w:rPr>
        <w:t xml:space="preserve"> </w:t>
      </w:r>
      <w:r w:rsidR="0029005A" w:rsidRPr="00284BD3">
        <w:rPr>
          <w:rFonts w:ascii="Book Antiqua" w:hAnsi="Book Antiqua"/>
          <w:iCs/>
          <w:sz w:val="24"/>
          <w:szCs w:val="24"/>
          <w:lang w:eastAsia="zh-CN"/>
        </w:rPr>
        <w:t>AS</w:t>
      </w:r>
      <w:r w:rsidRPr="00284BD3">
        <w:rPr>
          <w:rFonts w:ascii="Book Antiqua" w:hAnsi="Book Antiqua"/>
          <w:i/>
          <w:sz w:val="24"/>
          <w:szCs w:val="24"/>
        </w:rPr>
        <w:t xml:space="preserve"> et al.</w:t>
      </w:r>
      <w:r w:rsidR="003912B3" w:rsidRPr="00284BD3">
        <w:rPr>
          <w:rFonts w:ascii="Book Antiqua" w:hAnsi="Book Antiqua"/>
          <w:iCs/>
          <w:sz w:val="24"/>
          <w:szCs w:val="24"/>
        </w:rPr>
        <w:t xml:space="preserve"> </w:t>
      </w:r>
      <w:bookmarkStart w:id="14" w:name="OLE_LINK17"/>
      <w:bookmarkStart w:id="15" w:name="OLE_LINK40"/>
      <w:r w:rsidRPr="00284BD3">
        <w:rPr>
          <w:rFonts w:ascii="Book Antiqua" w:hAnsi="Book Antiqua"/>
          <w:iCs/>
          <w:sz w:val="24"/>
          <w:szCs w:val="24"/>
        </w:rPr>
        <w:t xml:space="preserve">Incidental anal </w:t>
      </w:r>
      <w:r w:rsidRPr="00284BD3">
        <w:rPr>
          <w:rFonts w:ascii="Book Antiqua" w:hAnsi="Book Antiqua"/>
          <w:iCs/>
          <w:sz w:val="24"/>
          <w:szCs w:val="24"/>
          <w:vertAlign w:val="superscript"/>
        </w:rPr>
        <w:t>18</w:t>
      </w:r>
      <w:r w:rsidRPr="00284BD3">
        <w:rPr>
          <w:rFonts w:ascii="Book Antiqua" w:hAnsi="Book Antiqua"/>
          <w:iCs/>
          <w:sz w:val="24"/>
          <w:szCs w:val="24"/>
        </w:rPr>
        <w:t>FDG</w:t>
      </w:r>
      <w:r w:rsidRPr="00284BD3">
        <w:rPr>
          <w:rFonts w:ascii="Book Antiqua" w:hAnsi="Book Antiqua"/>
          <w:b/>
          <w:iCs/>
          <w:sz w:val="24"/>
          <w:szCs w:val="24"/>
        </w:rPr>
        <w:t xml:space="preserve"> </w:t>
      </w:r>
      <w:r w:rsidRPr="00284BD3">
        <w:rPr>
          <w:rFonts w:ascii="Book Antiqua" w:hAnsi="Book Antiqua"/>
          <w:iCs/>
          <w:sz w:val="24"/>
          <w:szCs w:val="24"/>
        </w:rPr>
        <w:t>uptake</w:t>
      </w:r>
      <w:bookmarkEnd w:id="14"/>
      <w:bookmarkEnd w:id="15"/>
    </w:p>
    <w:bookmarkEnd w:id="13"/>
    <w:p w14:paraId="5840ECED" w14:textId="77777777" w:rsidR="00B665C7" w:rsidRPr="00284BD3" w:rsidRDefault="00B665C7" w:rsidP="00284BD3">
      <w:pPr>
        <w:pStyle w:val="NoSpacing1"/>
        <w:adjustRightInd w:val="0"/>
        <w:snapToGrid w:val="0"/>
        <w:spacing w:line="360" w:lineRule="auto"/>
        <w:jc w:val="both"/>
        <w:rPr>
          <w:rFonts w:ascii="Book Antiqua" w:hAnsi="Book Antiqua"/>
          <w:b/>
          <w:sz w:val="24"/>
          <w:szCs w:val="24"/>
        </w:rPr>
      </w:pPr>
    </w:p>
    <w:p w14:paraId="4DCE1750" w14:textId="325C2397" w:rsidR="00B665C7" w:rsidRPr="00284BD3" w:rsidRDefault="006550DC" w:rsidP="00284BD3">
      <w:pPr>
        <w:pStyle w:val="NoSpacing1"/>
        <w:adjustRightInd w:val="0"/>
        <w:snapToGrid w:val="0"/>
        <w:spacing w:line="360" w:lineRule="auto"/>
        <w:jc w:val="both"/>
        <w:rPr>
          <w:rFonts w:ascii="Book Antiqua" w:hAnsi="Book Antiqua"/>
          <w:sz w:val="24"/>
          <w:szCs w:val="24"/>
        </w:rPr>
      </w:pPr>
      <w:r w:rsidRPr="00284BD3">
        <w:rPr>
          <w:rFonts w:ascii="Book Antiqua" w:hAnsi="Book Antiqua"/>
          <w:sz w:val="24"/>
          <w:szCs w:val="24"/>
        </w:rPr>
        <w:t xml:space="preserve">Anne-Sophie </w:t>
      </w:r>
      <w:r w:rsidR="003912B3" w:rsidRPr="00284BD3">
        <w:rPr>
          <w:rFonts w:ascii="Book Antiqua" w:hAnsi="Book Antiqua"/>
          <w:sz w:val="24"/>
          <w:szCs w:val="24"/>
        </w:rPr>
        <w:t>Moussaddaq</w:t>
      </w:r>
      <w:r w:rsidRPr="00284BD3">
        <w:rPr>
          <w:rFonts w:ascii="Book Antiqua" w:hAnsi="Book Antiqua"/>
          <w:sz w:val="24"/>
          <w:szCs w:val="24"/>
        </w:rPr>
        <w:t xml:space="preserve">, Charlène </w:t>
      </w:r>
      <w:r w:rsidR="003912B3" w:rsidRPr="00284BD3">
        <w:rPr>
          <w:rFonts w:ascii="Book Antiqua" w:hAnsi="Book Antiqua"/>
          <w:sz w:val="24"/>
          <w:szCs w:val="24"/>
        </w:rPr>
        <w:t>Brochard</w:t>
      </w:r>
      <w:r w:rsidRPr="00284BD3">
        <w:rPr>
          <w:rFonts w:ascii="Book Antiqua" w:hAnsi="Book Antiqua"/>
          <w:sz w:val="24"/>
          <w:szCs w:val="24"/>
        </w:rPr>
        <w:t xml:space="preserve">, Xavier </w:t>
      </w:r>
      <w:r w:rsidR="003912B3" w:rsidRPr="00284BD3">
        <w:rPr>
          <w:rFonts w:ascii="Book Antiqua" w:hAnsi="Book Antiqua"/>
          <w:sz w:val="24"/>
          <w:szCs w:val="24"/>
        </w:rPr>
        <w:t>Palard-Novello</w:t>
      </w:r>
      <w:r w:rsidR="009A5AC3" w:rsidRPr="00284BD3">
        <w:rPr>
          <w:rFonts w:ascii="Book Antiqua" w:hAnsi="Book Antiqua"/>
          <w:sz w:val="24"/>
          <w:szCs w:val="24"/>
        </w:rPr>
        <w:t>, Etienne G</w:t>
      </w:r>
      <w:r w:rsidR="007D3377" w:rsidRPr="00284BD3">
        <w:rPr>
          <w:rFonts w:ascii="Book Antiqua" w:hAnsi="Book Antiqua"/>
          <w:sz w:val="24"/>
          <w:szCs w:val="24"/>
        </w:rPr>
        <w:t xml:space="preserve">arin, </w:t>
      </w:r>
      <w:r w:rsidRPr="00284BD3">
        <w:rPr>
          <w:rFonts w:ascii="Book Antiqua" w:hAnsi="Book Antiqua"/>
          <w:sz w:val="24"/>
          <w:szCs w:val="24"/>
        </w:rPr>
        <w:t xml:space="preserve">Timothée </w:t>
      </w:r>
      <w:r w:rsidR="007D3377" w:rsidRPr="00284BD3">
        <w:rPr>
          <w:rFonts w:ascii="Book Antiqua" w:hAnsi="Book Antiqua"/>
          <w:sz w:val="24"/>
          <w:szCs w:val="24"/>
        </w:rPr>
        <w:t>Wallenhorst</w:t>
      </w:r>
      <w:r w:rsidRPr="00284BD3">
        <w:rPr>
          <w:rFonts w:ascii="Book Antiqua" w:hAnsi="Book Antiqua"/>
          <w:sz w:val="24"/>
          <w:szCs w:val="24"/>
        </w:rPr>
        <w:t>, Eric L</w:t>
      </w:r>
      <w:r w:rsidR="007D3377" w:rsidRPr="00284BD3">
        <w:rPr>
          <w:rFonts w:ascii="Book Antiqua" w:hAnsi="Book Antiqua"/>
          <w:sz w:val="24"/>
          <w:szCs w:val="24"/>
        </w:rPr>
        <w:t>e</w:t>
      </w:r>
      <w:r w:rsidRPr="00284BD3">
        <w:rPr>
          <w:rFonts w:ascii="Book Antiqua" w:hAnsi="Book Antiqua"/>
          <w:sz w:val="24"/>
          <w:szCs w:val="24"/>
        </w:rPr>
        <w:t xml:space="preserve"> </w:t>
      </w:r>
      <w:r w:rsidR="007D3377" w:rsidRPr="00284BD3">
        <w:rPr>
          <w:rFonts w:ascii="Book Antiqua" w:hAnsi="Book Antiqua"/>
          <w:sz w:val="24"/>
          <w:szCs w:val="24"/>
        </w:rPr>
        <w:t>Balc’h</w:t>
      </w:r>
      <w:r w:rsidRPr="00284BD3">
        <w:rPr>
          <w:rFonts w:ascii="Book Antiqua" w:hAnsi="Book Antiqua"/>
          <w:sz w:val="24"/>
          <w:szCs w:val="24"/>
        </w:rPr>
        <w:t xml:space="preserve">, Alexandre </w:t>
      </w:r>
      <w:r w:rsidR="007D3377" w:rsidRPr="00284BD3">
        <w:rPr>
          <w:rFonts w:ascii="Book Antiqua" w:hAnsi="Book Antiqua"/>
          <w:sz w:val="24"/>
          <w:szCs w:val="24"/>
        </w:rPr>
        <w:t>Merlini L’heritier</w:t>
      </w:r>
      <w:r w:rsidRPr="00284BD3">
        <w:rPr>
          <w:rFonts w:ascii="Book Antiqua" w:hAnsi="Book Antiqua"/>
          <w:sz w:val="24"/>
          <w:szCs w:val="24"/>
        </w:rPr>
        <w:t xml:space="preserve">, Thomas </w:t>
      </w:r>
      <w:r w:rsidR="007D3377" w:rsidRPr="00284BD3">
        <w:rPr>
          <w:rFonts w:ascii="Book Antiqua" w:hAnsi="Book Antiqua"/>
          <w:sz w:val="24"/>
          <w:szCs w:val="24"/>
        </w:rPr>
        <w:t>Grainville</w:t>
      </w:r>
      <w:r w:rsidRPr="00284BD3">
        <w:rPr>
          <w:rFonts w:ascii="Book Antiqua" w:hAnsi="Book Antiqua"/>
          <w:sz w:val="24"/>
          <w:szCs w:val="24"/>
        </w:rPr>
        <w:t>, Laurent</w:t>
      </w:r>
      <w:r w:rsidR="007D3377" w:rsidRPr="00284BD3">
        <w:rPr>
          <w:rFonts w:ascii="Book Antiqua" w:hAnsi="Book Antiqua"/>
          <w:sz w:val="24"/>
          <w:szCs w:val="24"/>
        </w:rPr>
        <w:t xml:space="preserve"> Siproudhis</w:t>
      </w:r>
      <w:r w:rsidRPr="00284BD3">
        <w:rPr>
          <w:rFonts w:ascii="Book Antiqua" w:hAnsi="Book Antiqua"/>
          <w:sz w:val="24"/>
          <w:szCs w:val="24"/>
        </w:rPr>
        <w:t xml:space="preserve">, Astrid </w:t>
      </w:r>
      <w:r w:rsidR="007D3377" w:rsidRPr="00284BD3">
        <w:rPr>
          <w:rFonts w:ascii="Book Antiqua" w:hAnsi="Book Antiqua"/>
          <w:sz w:val="24"/>
          <w:szCs w:val="24"/>
        </w:rPr>
        <w:t xml:space="preserve">Lievre </w:t>
      </w:r>
    </w:p>
    <w:p w14:paraId="363FB1B7" w14:textId="49127F9A" w:rsidR="00110648" w:rsidRPr="00284BD3" w:rsidRDefault="00110648" w:rsidP="00284BD3">
      <w:pPr>
        <w:adjustRightInd w:val="0"/>
        <w:snapToGrid w:val="0"/>
        <w:spacing w:after="0" w:line="360" w:lineRule="auto"/>
        <w:jc w:val="both"/>
        <w:rPr>
          <w:rFonts w:ascii="Book Antiqua" w:hAnsi="Book Antiqua"/>
        </w:rPr>
      </w:pPr>
    </w:p>
    <w:p w14:paraId="2B72E762" w14:textId="2162931E" w:rsidR="004079B4" w:rsidRPr="00284BD3" w:rsidRDefault="004079B4" w:rsidP="00284BD3">
      <w:pPr>
        <w:adjustRightInd w:val="0"/>
        <w:snapToGrid w:val="0"/>
        <w:spacing w:after="0" w:line="360" w:lineRule="auto"/>
        <w:jc w:val="both"/>
        <w:rPr>
          <w:rFonts w:ascii="Book Antiqua" w:hAnsi="Book Antiqua"/>
        </w:rPr>
      </w:pPr>
      <w:r w:rsidRPr="00284BD3">
        <w:rPr>
          <w:rFonts w:ascii="Book Antiqua" w:hAnsi="Book Antiqua"/>
          <w:b/>
          <w:bCs/>
        </w:rPr>
        <w:t>Anne-Sophie Moussaddaq, Charlène Brochard, Timothée Wallenhorst, Eric Le Balc’h, Alexandre Merlini L’heritier, Thomas Grainville, Laurent Siproudhis, Astrid Lievre,</w:t>
      </w:r>
      <w:r w:rsidRPr="00284BD3">
        <w:rPr>
          <w:rFonts w:ascii="Book Antiqua" w:hAnsi="Book Antiqua"/>
        </w:rPr>
        <w:t xml:space="preserve"> Department of Gastroenterology, University Hospital of Rennes, </w:t>
      </w:r>
      <w:bookmarkStart w:id="16" w:name="OLE_LINK325"/>
      <w:bookmarkStart w:id="17" w:name="OLE_LINK326"/>
      <w:r w:rsidRPr="00284BD3">
        <w:rPr>
          <w:rFonts w:ascii="Book Antiqua" w:hAnsi="Book Antiqua"/>
        </w:rPr>
        <w:t>Pontchaillou</w:t>
      </w:r>
      <w:bookmarkEnd w:id="16"/>
      <w:bookmarkEnd w:id="17"/>
      <w:r w:rsidRPr="00284BD3">
        <w:rPr>
          <w:rFonts w:ascii="Book Antiqua" w:hAnsi="Book Antiqua"/>
        </w:rPr>
        <w:t xml:space="preserve">, Rennes 35000, </w:t>
      </w:r>
      <w:bookmarkStart w:id="18" w:name="OLE_LINK41"/>
      <w:bookmarkStart w:id="19" w:name="OLE_LINK42"/>
      <w:bookmarkStart w:id="20" w:name="OLE_LINK43"/>
      <w:r w:rsidR="00110648" w:rsidRPr="00284BD3">
        <w:rPr>
          <w:rFonts w:ascii="Book Antiqua" w:hAnsi="Book Antiqua"/>
        </w:rPr>
        <w:t>France</w:t>
      </w:r>
      <w:bookmarkEnd w:id="18"/>
      <w:bookmarkEnd w:id="19"/>
      <w:bookmarkEnd w:id="20"/>
    </w:p>
    <w:p w14:paraId="373CE697" w14:textId="77777777" w:rsidR="00110648" w:rsidRPr="00284BD3" w:rsidRDefault="00110648" w:rsidP="00284BD3">
      <w:pPr>
        <w:adjustRightInd w:val="0"/>
        <w:snapToGrid w:val="0"/>
        <w:spacing w:after="0" w:line="360" w:lineRule="auto"/>
        <w:jc w:val="both"/>
        <w:rPr>
          <w:rFonts w:ascii="Book Antiqua" w:hAnsi="Book Antiqua"/>
        </w:rPr>
      </w:pPr>
    </w:p>
    <w:p w14:paraId="212B08E9" w14:textId="13CE379E" w:rsidR="00110648" w:rsidRPr="00284BD3" w:rsidRDefault="00246528" w:rsidP="00284BD3">
      <w:pPr>
        <w:adjustRightInd w:val="0"/>
        <w:snapToGrid w:val="0"/>
        <w:spacing w:after="0" w:line="360" w:lineRule="auto"/>
        <w:jc w:val="both"/>
        <w:rPr>
          <w:rFonts w:ascii="Book Antiqua" w:hAnsi="Book Antiqua"/>
        </w:rPr>
      </w:pPr>
      <w:r w:rsidRPr="00284BD3">
        <w:rPr>
          <w:rFonts w:ascii="Book Antiqua" w:hAnsi="Book Antiqua"/>
          <w:b/>
          <w:bCs/>
        </w:rPr>
        <w:t>Charlène Brochard, Laurent Siproudhis</w:t>
      </w:r>
      <w:r w:rsidR="00204369" w:rsidRPr="00284BD3">
        <w:rPr>
          <w:rFonts w:ascii="Book Antiqua" w:eastAsia="宋体" w:hAnsi="Book Antiqua" w:cs="宋体"/>
          <w:b/>
          <w:bCs/>
          <w:lang w:eastAsia="zh-CN"/>
        </w:rPr>
        <w:t xml:space="preserve">, </w:t>
      </w:r>
      <w:r w:rsidR="000C786D" w:rsidRPr="00284BD3">
        <w:rPr>
          <w:rFonts w:ascii="Book Antiqua" w:hAnsi="Book Antiqua"/>
        </w:rPr>
        <w:t>I</w:t>
      </w:r>
      <w:r w:rsidR="00110648" w:rsidRPr="00284BD3">
        <w:rPr>
          <w:rFonts w:ascii="Book Antiqua" w:hAnsi="Book Antiqua"/>
          <w:lang w:eastAsia="zh-CN"/>
        </w:rPr>
        <w:t>nphy</w:t>
      </w:r>
      <w:r w:rsidR="000C786D" w:rsidRPr="00284BD3">
        <w:rPr>
          <w:rFonts w:ascii="Book Antiqua" w:hAnsi="Book Antiqua"/>
        </w:rPr>
        <w:t xml:space="preserve"> CIC 1414 University Hospital of Rennes</w:t>
      </w:r>
      <w:bookmarkStart w:id="21" w:name="OLE_LINK10"/>
      <w:bookmarkStart w:id="22" w:name="OLE_LINK13"/>
      <w:r w:rsidR="000C786D" w:rsidRPr="00284BD3">
        <w:rPr>
          <w:rFonts w:ascii="Book Antiqua" w:hAnsi="Book Antiqua"/>
        </w:rPr>
        <w:t xml:space="preserve">, </w:t>
      </w:r>
      <w:r w:rsidR="00110648" w:rsidRPr="00284BD3">
        <w:rPr>
          <w:rFonts w:ascii="Book Antiqua" w:hAnsi="Book Antiqua"/>
        </w:rPr>
        <w:t>Pontchaillou, Rennes 35000, France</w:t>
      </w:r>
    </w:p>
    <w:p w14:paraId="4C4DD6EB" w14:textId="0B019077" w:rsidR="000C786D" w:rsidRPr="00284BD3" w:rsidRDefault="000C786D" w:rsidP="00284BD3">
      <w:pPr>
        <w:adjustRightInd w:val="0"/>
        <w:snapToGrid w:val="0"/>
        <w:spacing w:after="0" w:line="360" w:lineRule="auto"/>
        <w:jc w:val="both"/>
        <w:rPr>
          <w:rFonts w:ascii="Book Antiqua" w:hAnsi="Book Antiqua"/>
        </w:rPr>
      </w:pPr>
    </w:p>
    <w:bookmarkEnd w:id="21"/>
    <w:bookmarkEnd w:id="22"/>
    <w:p w14:paraId="04A3475E" w14:textId="7ABC6BF0" w:rsidR="000E6638" w:rsidRPr="00284BD3" w:rsidRDefault="00246528" w:rsidP="00284BD3">
      <w:pPr>
        <w:adjustRightInd w:val="0"/>
        <w:snapToGrid w:val="0"/>
        <w:spacing w:after="0" w:line="360" w:lineRule="auto"/>
        <w:jc w:val="both"/>
        <w:rPr>
          <w:rFonts w:ascii="Book Antiqua" w:hAnsi="Book Antiqua"/>
        </w:rPr>
      </w:pPr>
      <w:r w:rsidRPr="00284BD3">
        <w:rPr>
          <w:rFonts w:ascii="Book Antiqua" w:hAnsi="Book Antiqua"/>
          <w:b/>
          <w:bCs/>
        </w:rPr>
        <w:t>Xavier Palard-Novello</w:t>
      </w:r>
      <w:r w:rsidR="000E6638" w:rsidRPr="00284BD3">
        <w:rPr>
          <w:rFonts w:ascii="Book Antiqua" w:hAnsi="Book Antiqua"/>
          <w:b/>
          <w:bCs/>
        </w:rPr>
        <w:t>,</w:t>
      </w:r>
      <w:r w:rsidR="000763B5" w:rsidRPr="00284BD3">
        <w:rPr>
          <w:rFonts w:ascii="Book Antiqua" w:hAnsi="Book Antiqua"/>
        </w:rPr>
        <w:t xml:space="preserve"> Department of Nuclear Medicine, Cancer Institute Eugène Marquis, Rennes 35000, France</w:t>
      </w:r>
    </w:p>
    <w:p w14:paraId="2985C0AA" w14:textId="77777777" w:rsidR="000763B5" w:rsidRPr="00284BD3" w:rsidRDefault="000763B5" w:rsidP="00284BD3">
      <w:pPr>
        <w:adjustRightInd w:val="0"/>
        <w:snapToGrid w:val="0"/>
        <w:spacing w:after="0" w:line="360" w:lineRule="auto"/>
        <w:jc w:val="both"/>
        <w:rPr>
          <w:rFonts w:ascii="Book Antiqua" w:hAnsi="Book Antiqua"/>
        </w:rPr>
      </w:pPr>
    </w:p>
    <w:p w14:paraId="507981C7" w14:textId="77777777" w:rsidR="0054607F" w:rsidRPr="00284BD3" w:rsidRDefault="000763B5" w:rsidP="00284BD3">
      <w:pPr>
        <w:pStyle w:val="NoSpacing1"/>
        <w:adjustRightInd w:val="0"/>
        <w:snapToGrid w:val="0"/>
        <w:spacing w:line="360" w:lineRule="auto"/>
        <w:jc w:val="both"/>
        <w:rPr>
          <w:rFonts w:ascii="Book Antiqua" w:hAnsi="Book Antiqua"/>
          <w:sz w:val="24"/>
          <w:szCs w:val="24"/>
        </w:rPr>
      </w:pPr>
      <w:bookmarkStart w:id="23" w:name="OLE_LINK323"/>
      <w:bookmarkStart w:id="24" w:name="OLE_LINK324"/>
      <w:r w:rsidRPr="00284BD3">
        <w:rPr>
          <w:rFonts w:ascii="Book Antiqua" w:hAnsi="Book Antiqua"/>
          <w:b/>
          <w:bCs/>
          <w:sz w:val="24"/>
          <w:szCs w:val="24"/>
        </w:rPr>
        <w:t>Etienne Garin,</w:t>
      </w:r>
      <w:bookmarkEnd w:id="23"/>
      <w:bookmarkEnd w:id="24"/>
      <w:r w:rsidRPr="00284BD3">
        <w:rPr>
          <w:rFonts w:ascii="Book Antiqua" w:hAnsi="Book Antiqua"/>
          <w:sz w:val="24"/>
          <w:szCs w:val="24"/>
        </w:rPr>
        <w:t xml:space="preserve"> Department of Nuclear Medicine, Cancer Institute Eugène Marquis,</w:t>
      </w:r>
      <w:r w:rsidR="0054607F" w:rsidRPr="00284BD3">
        <w:rPr>
          <w:rFonts w:ascii="Book Antiqua" w:hAnsi="Book Antiqua"/>
          <w:sz w:val="24"/>
          <w:szCs w:val="24"/>
        </w:rPr>
        <w:t xml:space="preserve"> Rennes 35000, France</w:t>
      </w:r>
    </w:p>
    <w:p w14:paraId="746F8FFB" w14:textId="77777777" w:rsidR="0054607F" w:rsidRPr="00284BD3" w:rsidRDefault="0054607F" w:rsidP="00284BD3">
      <w:pPr>
        <w:pStyle w:val="NoSpacing1"/>
        <w:adjustRightInd w:val="0"/>
        <w:snapToGrid w:val="0"/>
        <w:spacing w:line="360" w:lineRule="auto"/>
        <w:jc w:val="both"/>
        <w:rPr>
          <w:rFonts w:ascii="Book Antiqua" w:hAnsi="Book Antiqua"/>
          <w:sz w:val="24"/>
          <w:szCs w:val="24"/>
        </w:rPr>
      </w:pPr>
    </w:p>
    <w:p w14:paraId="64EECE20" w14:textId="3671DF81" w:rsidR="000763B5" w:rsidRPr="00284BD3" w:rsidRDefault="0054607F" w:rsidP="00284BD3">
      <w:pPr>
        <w:pStyle w:val="NoSpacing1"/>
        <w:adjustRightInd w:val="0"/>
        <w:snapToGrid w:val="0"/>
        <w:spacing w:line="360" w:lineRule="auto"/>
        <w:jc w:val="both"/>
        <w:rPr>
          <w:rFonts w:ascii="Book Antiqua" w:eastAsia="宋体" w:hAnsi="Book Antiqua" w:cs="宋体"/>
          <w:sz w:val="24"/>
          <w:szCs w:val="24"/>
          <w:lang w:eastAsia="zh-CN"/>
        </w:rPr>
      </w:pPr>
      <w:r w:rsidRPr="00284BD3">
        <w:rPr>
          <w:rFonts w:ascii="Book Antiqua" w:hAnsi="Book Antiqua"/>
          <w:b/>
          <w:bCs/>
          <w:sz w:val="24"/>
          <w:szCs w:val="24"/>
        </w:rPr>
        <w:t>Etienne Garin,</w:t>
      </w:r>
      <w:r w:rsidR="00DD7226" w:rsidRPr="00284BD3">
        <w:rPr>
          <w:rFonts w:ascii="Book Antiqua" w:hAnsi="Book Antiqua"/>
          <w:sz w:val="24"/>
          <w:szCs w:val="24"/>
          <w:lang w:eastAsia="zh-CN"/>
        </w:rPr>
        <w:t xml:space="preserve"> </w:t>
      </w:r>
      <w:bookmarkStart w:id="25" w:name="OLE_LINK9"/>
      <w:bookmarkStart w:id="26" w:name="OLE_LINK18"/>
      <w:bookmarkStart w:id="27" w:name="OLE_LINK25"/>
      <w:r w:rsidR="00F20AF9" w:rsidRPr="00F20AF9">
        <w:rPr>
          <w:rFonts w:ascii="Book Antiqua" w:hAnsi="Book Antiqua"/>
          <w:sz w:val="24"/>
          <w:szCs w:val="24"/>
        </w:rPr>
        <w:t>Laboratoire Tra</w:t>
      </w:r>
      <w:r w:rsidR="00636D53">
        <w:rPr>
          <w:rFonts w:ascii="Book Antiqua" w:hAnsi="Book Antiqua"/>
          <w:sz w:val="24"/>
          <w:szCs w:val="24"/>
        </w:rPr>
        <w:t>itement du Signal et de l'Image</w:t>
      </w:r>
      <w:r w:rsidR="000763B5" w:rsidRPr="00284BD3">
        <w:rPr>
          <w:rFonts w:ascii="Book Antiqua" w:hAnsi="Book Antiqua"/>
          <w:sz w:val="24"/>
          <w:szCs w:val="24"/>
        </w:rPr>
        <w:t>-UMR1099</w:t>
      </w:r>
      <w:bookmarkEnd w:id="25"/>
      <w:bookmarkEnd w:id="26"/>
      <w:bookmarkEnd w:id="27"/>
      <w:r w:rsidR="000763B5" w:rsidRPr="00284BD3">
        <w:rPr>
          <w:rFonts w:ascii="Book Antiqua" w:hAnsi="Book Antiqua"/>
          <w:sz w:val="24"/>
          <w:szCs w:val="24"/>
        </w:rPr>
        <w:t>, University of Rennes, Inserm, Rennes 35000, France</w:t>
      </w:r>
    </w:p>
    <w:p w14:paraId="5D2F4DCC" w14:textId="77777777" w:rsidR="000763B5" w:rsidRPr="00284BD3" w:rsidRDefault="000763B5" w:rsidP="00284BD3">
      <w:pPr>
        <w:adjustRightInd w:val="0"/>
        <w:snapToGrid w:val="0"/>
        <w:spacing w:after="0" w:line="360" w:lineRule="auto"/>
        <w:jc w:val="both"/>
        <w:rPr>
          <w:rFonts w:ascii="Book Antiqua" w:hAnsi="Book Antiqua"/>
        </w:rPr>
      </w:pPr>
    </w:p>
    <w:p w14:paraId="0B74E6A3" w14:textId="6B9CF3FC" w:rsidR="000763B5" w:rsidRPr="00284BD3" w:rsidRDefault="000C786D" w:rsidP="00284BD3">
      <w:pPr>
        <w:pStyle w:val="NoSpacing1"/>
        <w:adjustRightInd w:val="0"/>
        <w:snapToGrid w:val="0"/>
        <w:spacing w:line="360" w:lineRule="auto"/>
        <w:jc w:val="both"/>
        <w:rPr>
          <w:rFonts w:ascii="Book Antiqua" w:hAnsi="Book Antiqua"/>
          <w:sz w:val="24"/>
          <w:szCs w:val="24"/>
          <w:lang w:val="en-GB"/>
        </w:rPr>
      </w:pPr>
      <w:r w:rsidRPr="00284BD3">
        <w:rPr>
          <w:rFonts w:ascii="Book Antiqua" w:hAnsi="Book Antiqua"/>
          <w:b/>
          <w:bCs/>
          <w:sz w:val="24"/>
          <w:szCs w:val="24"/>
          <w:lang w:val="en-US"/>
        </w:rPr>
        <w:lastRenderedPageBreak/>
        <w:t>Astrid L</w:t>
      </w:r>
      <w:r w:rsidR="00246528" w:rsidRPr="00284BD3">
        <w:rPr>
          <w:rFonts w:ascii="Book Antiqua" w:hAnsi="Book Antiqua"/>
          <w:b/>
          <w:bCs/>
          <w:sz w:val="24"/>
          <w:szCs w:val="24"/>
          <w:lang w:val="en-US"/>
        </w:rPr>
        <w:t>ièvre</w:t>
      </w:r>
      <w:bookmarkStart w:id="28" w:name="OLE_LINK14"/>
      <w:bookmarkStart w:id="29" w:name="OLE_LINK15"/>
      <w:r w:rsidR="00F742F3" w:rsidRPr="00284BD3">
        <w:rPr>
          <w:rFonts w:ascii="Book Antiqua" w:hAnsi="Book Antiqua"/>
          <w:b/>
          <w:bCs/>
          <w:sz w:val="24"/>
          <w:szCs w:val="24"/>
          <w:lang w:val="en-US"/>
        </w:rPr>
        <w:t>,</w:t>
      </w:r>
      <w:r w:rsidRPr="00284BD3">
        <w:rPr>
          <w:rFonts w:ascii="Book Antiqua" w:hAnsi="Book Antiqua"/>
          <w:sz w:val="24"/>
          <w:szCs w:val="24"/>
          <w:lang w:val="en-GB"/>
        </w:rPr>
        <w:t xml:space="preserve"> </w:t>
      </w:r>
      <w:bookmarkStart w:id="30" w:name="OLE_LINK19"/>
      <w:bookmarkStart w:id="31" w:name="OLE_LINK22"/>
      <w:r w:rsidR="00F20AF9" w:rsidRPr="00F20AF9">
        <w:rPr>
          <w:rFonts w:ascii="Book Antiqua" w:hAnsi="Book Antiqua"/>
          <w:sz w:val="24"/>
          <w:szCs w:val="24"/>
          <w:lang w:val="en-GB"/>
        </w:rPr>
        <w:t>French National Institute of Health and Medical Research</w:t>
      </w:r>
      <w:r w:rsidR="000E6638" w:rsidRPr="00284BD3">
        <w:rPr>
          <w:rFonts w:ascii="Book Antiqua" w:hAnsi="Book Antiqua"/>
          <w:sz w:val="24"/>
          <w:szCs w:val="24"/>
          <w:lang w:val="en-GB"/>
        </w:rPr>
        <w:t xml:space="preserve"> U1242</w:t>
      </w:r>
      <w:bookmarkEnd w:id="30"/>
      <w:bookmarkEnd w:id="31"/>
      <w:r w:rsidR="000E6638" w:rsidRPr="00284BD3">
        <w:rPr>
          <w:rFonts w:ascii="Book Antiqua" w:hAnsi="Book Antiqua"/>
          <w:sz w:val="24"/>
          <w:szCs w:val="24"/>
          <w:lang w:val="en-GB"/>
        </w:rPr>
        <w:t>,</w:t>
      </w:r>
      <w:bookmarkEnd w:id="28"/>
      <w:bookmarkEnd w:id="29"/>
      <w:r w:rsidR="000E6638" w:rsidRPr="00284BD3">
        <w:rPr>
          <w:rFonts w:ascii="Book Antiqua" w:hAnsi="Book Antiqua"/>
          <w:sz w:val="24"/>
          <w:szCs w:val="24"/>
          <w:lang w:val="en-GB"/>
        </w:rPr>
        <w:t xml:space="preserve"> Chemistry Oncogenesis Stress </w:t>
      </w:r>
      <w:proofErr w:type="spellStart"/>
      <w:r w:rsidR="000E6638" w:rsidRPr="00284BD3">
        <w:rPr>
          <w:rFonts w:ascii="Book Antiqua" w:hAnsi="Book Antiqua"/>
          <w:sz w:val="24"/>
          <w:szCs w:val="24"/>
          <w:lang w:val="en-GB"/>
        </w:rPr>
        <w:t>Signaling</w:t>
      </w:r>
      <w:proofErr w:type="spellEnd"/>
      <w:r w:rsidR="000E6638" w:rsidRPr="00284BD3">
        <w:rPr>
          <w:rFonts w:ascii="Book Antiqua" w:hAnsi="Book Antiqua"/>
          <w:sz w:val="24"/>
          <w:szCs w:val="24"/>
          <w:lang w:val="en-GB"/>
        </w:rPr>
        <w:t>, University of Rennes 1, Rennes</w:t>
      </w:r>
      <w:r w:rsidR="00110648" w:rsidRPr="00284BD3">
        <w:rPr>
          <w:rFonts w:ascii="Book Antiqua" w:hAnsi="Book Antiqua"/>
          <w:sz w:val="24"/>
          <w:szCs w:val="24"/>
          <w:lang w:val="en-GB"/>
        </w:rPr>
        <w:t xml:space="preserve"> 35000</w:t>
      </w:r>
      <w:r w:rsidR="000E6638" w:rsidRPr="00284BD3">
        <w:rPr>
          <w:rFonts w:ascii="Book Antiqua" w:hAnsi="Book Antiqua"/>
          <w:sz w:val="24"/>
          <w:szCs w:val="24"/>
          <w:lang w:val="en-GB"/>
        </w:rPr>
        <w:t>, Franc</w:t>
      </w:r>
      <w:r w:rsidR="0054607F" w:rsidRPr="00284BD3">
        <w:rPr>
          <w:rFonts w:ascii="Book Antiqua" w:hAnsi="Book Antiqua"/>
          <w:sz w:val="24"/>
          <w:szCs w:val="24"/>
          <w:lang w:val="en-GB"/>
        </w:rPr>
        <w:t>e</w:t>
      </w:r>
    </w:p>
    <w:p w14:paraId="28428D8F" w14:textId="77777777" w:rsidR="008E534D" w:rsidRPr="00284BD3" w:rsidRDefault="008E534D" w:rsidP="00284BD3">
      <w:pPr>
        <w:pStyle w:val="NoSpacing1"/>
        <w:adjustRightInd w:val="0"/>
        <w:snapToGrid w:val="0"/>
        <w:spacing w:line="360" w:lineRule="auto"/>
        <w:jc w:val="both"/>
        <w:rPr>
          <w:rFonts w:ascii="Book Antiqua" w:hAnsi="Book Antiqua"/>
          <w:sz w:val="24"/>
          <w:szCs w:val="24"/>
          <w:lang w:val="en-US" w:eastAsia="zh-CN"/>
        </w:rPr>
      </w:pPr>
    </w:p>
    <w:p w14:paraId="0F98574F" w14:textId="38552B20" w:rsidR="00D6399C" w:rsidRPr="00284BD3" w:rsidRDefault="00D357B2" w:rsidP="00284BD3">
      <w:pPr>
        <w:widowControl w:val="0"/>
        <w:autoSpaceDE w:val="0"/>
        <w:autoSpaceDN w:val="0"/>
        <w:adjustRightInd w:val="0"/>
        <w:snapToGrid w:val="0"/>
        <w:spacing w:after="0" w:line="360" w:lineRule="auto"/>
        <w:jc w:val="both"/>
        <w:rPr>
          <w:rFonts w:ascii="Book Antiqua" w:hAnsi="Book Antiqua" w:cs="宋体"/>
          <w:color w:val="000000" w:themeColor="text1"/>
          <w:lang w:val="en-US" w:eastAsia="zh-CN"/>
        </w:rPr>
      </w:pPr>
      <w:r w:rsidRPr="00284BD3">
        <w:rPr>
          <w:rFonts w:ascii="Book Antiqua" w:hAnsi="Book Antiqua" w:cs="宋体"/>
          <w:b/>
          <w:color w:val="000000" w:themeColor="text1"/>
          <w:lang w:val="en-US" w:eastAsia="zh-CN"/>
        </w:rPr>
        <w:t xml:space="preserve">Author contributions: </w:t>
      </w:r>
      <w:proofErr w:type="spellStart"/>
      <w:r w:rsidR="00E0686A" w:rsidRPr="00284BD3">
        <w:rPr>
          <w:rFonts w:ascii="Book Antiqua" w:hAnsi="Book Antiqua" w:cs="宋体"/>
          <w:color w:val="000000" w:themeColor="text1"/>
          <w:lang w:val="en-US" w:eastAsia="zh-CN"/>
        </w:rPr>
        <w:t>Moussaddaq</w:t>
      </w:r>
      <w:proofErr w:type="spellEnd"/>
      <w:r w:rsidRPr="00284BD3">
        <w:rPr>
          <w:rFonts w:ascii="Book Antiqua" w:hAnsi="Book Antiqua" w:cs="宋体"/>
          <w:color w:val="000000" w:themeColor="text1"/>
          <w:lang w:val="en-US" w:eastAsia="zh-CN"/>
        </w:rPr>
        <w:t xml:space="preserve"> AS, </w:t>
      </w:r>
      <w:proofErr w:type="spellStart"/>
      <w:r w:rsidRPr="00284BD3">
        <w:rPr>
          <w:rFonts w:ascii="Book Antiqua" w:hAnsi="Book Antiqua" w:cs="宋体"/>
          <w:color w:val="000000" w:themeColor="text1"/>
          <w:lang w:val="en-US" w:eastAsia="zh-CN"/>
        </w:rPr>
        <w:t>B</w:t>
      </w:r>
      <w:r w:rsidR="00E0686A" w:rsidRPr="00284BD3">
        <w:rPr>
          <w:rFonts w:ascii="Book Antiqua" w:hAnsi="Book Antiqua" w:cs="宋体"/>
          <w:color w:val="000000" w:themeColor="text1"/>
          <w:lang w:val="en-US" w:eastAsia="zh-CN"/>
        </w:rPr>
        <w:t>rochard</w:t>
      </w:r>
      <w:proofErr w:type="spellEnd"/>
      <w:r w:rsidR="00881CCE">
        <w:rPr>
          <w:rFonts w:ascii="Book Antiqua" w:hAnsi="Book Antiqua" w:cs="宋体"/>
          <w:color w:val="000000" w:themeColor="text1"/>
          <w:lang w:val="en-US" w:eastAsia="zh-CN"/>
        </w:rPr>
        <w:t xml:space="preserve"> C</w:t>
      </w:r>
      <w:r w:rsidRPr="00284BD3">
        <w:rPr>
          <w:rFonts w:ascii="Book Antiqua" w:hAnsi="Book Antiqua" w:cs="宋体"/>
          <w:color w:val="000000" w:themeColor="text1"/>
          <w:lang w:val="en-US" w:eastAsia="zh-CN"/>
        </w:rPr>
        <w:t xml:space="preserve"> </w:t>
      </w:r>
      <w:r w:rsidR="0054607F" w:rsidRPr="00284BD3">
        <w:rPr>
          <w:rFonts w:ascii="Book Antiqua" w:hAnsi="Book Antiqua" w:cs="宋体"/>
          <w:color w:val="000000" w:themeColor="text1"/>
          <w:lang w:val="en-US" w:eastAsia="zh-CN"/>
        </w:rPr>
        <w:t xml:space="preserve">and </w:t>
      </w:r>
      <w:r w:rsidRPr="00284BD3">
        <w:rPr>
          <w:rFonts w:ascii="Book Antiqua" w:hAnsi="Book Antiqua" w:cs="宋体"/>
          <w:color w:val="000000" w:themeColor="text1"/>
          <w:lang w:val="en-US" w:eastAsia="zh-CN"/>
        </w:rPr>
        <w:t>L</w:t>
      </w:r>
      <w:r w:rsidR="00E0686A" w:rsidRPr="00284BD3">
        <w:rPr>
          <w:rFonts w:ascii="Book Antiqua" w:hAnsi="Book Antiqua" w:cs="宋体"/>
          <w:color w:val="000000" w:themeColor="text1"/>
          <w:lang w:val="en-US" w:eastAsia="zh-CN"/>
        </w:rPr>
        <w:t>ièvre</w:t>
      </w:r>
      <w:r w:rsidRPr="00284BD3">
        <w:rPr>
          <w:rFonts w:ascii="Book Antiqua" w:hAnsi="Book Antiqua" w:cs="宋体"/>
          <w:color w:val="000000" w:themeColor="text1"/>
          <w:lang w:val="en-US" w:eastAsia="zh-CN"/>
        </w:rPr>
        <w:t xml:space="preserve"> A</w:t>
      </w:r>
      <w:r w:rsidR="00D6399C" w:rsidRPr="00284BD3">
        <w:rPr>
          <w:rFonts w:ascii="Book Antiqua" w:hAnsi="Book Antiqua" w:cs="宋体"/>
          <w:color w:val="000000" w:themeColor="text1"/>
          <w:lang w:val="en-US" w:eastAsia="zh-CN"/>
        </w:rPr>
        <w:t>M</w:t>
      </w:r>
      <w:r w:rsidRPr="00284BD3">
        <w:rPr>
          <w:rFonts w:ascii="Book Antiqua" w:hAnsi="Book Antiqua" w:cs="宋体"/>
          <w:color w:val="000000" w:themeColor="text1"/>
          <w:lang w:val="en-US" w:eastAsia="zh-CN"/>
        </w:rPr>
        <w:t xml:space="preserve"> designed research;</w:t>
      </w:r>
      <w:r w:rsidRPr="00284BD3">
        <w:rPr>
          <w:rFonts w:ascii="Book Antiqua" w:hAnsi="Book Antiqua" w:cs="宋体"/>
          <w:b/>
          <w:color w:val="000000" w:themeColor="text1"/>
          <w:lang w:val="en-US" w:eastAsia="zh-CN"/>
        </w:rPr>
        <w:t xml:space="preserve"> </w:t>
      </w:r>
      <w:proofErr w:type="spellStart"/>
      <w:r w:rsidR="00E0686A" w:rsidRPr="00284BD3">
        <w:rPr>
          <w:rFonts w:ascii="Book Antiqua" w:hAnsi="Book Antiqua" w:cs="宋体"/>
          <w:color w:val="000000" w:themeColor="text1"/>
          <w:lang w:val="en-US" w:eastAsia="zh-CN"/>
        </w:rPr>
        <w:t>Moussaddaq</w:t>
      </w:r>
      <w:proofErr w:type="spellEnd"/>
      <w:r w:rsidR="00E0686A" w:rsidRPr="00284BD3">
        <w:rPr>
          <w:rFonts w:ascii="Book Antiqua" w:hAnsi="Book Antiqua" w:cs="宋体"/>
          <w:color w:val="000000" w:themeColor="text1"/>
          <w:lang w:val="en-US" w:eastAsia="zh-CN"/>
        </w:rPr>
        <w:t xml:space="preserve"> AS, </w:t>
      </w:r>
      <w:proofErr w:type="spellStart"/>
      <w:r w:rsidR="00E0686A" w:rsidRPr="00284BD3">
        <w:rPr>
          <w:rFonts w:ascii="Book Antiqua" w:hAnsi="Book Antiqua" w:cs="宋体"/>
          <w:color w:val="000000" w:themeColor="text1"/>
          <w:lang w:val="en-US" w:eastAsia="zh-CN"/>
        </w:rPr>
        <w:t>Brochard</w:t>
      </w:r>
      <w:proofErr w:type="spellEnd"/>
      <w:r w:rsidR="00E0686A" w:rsidRPr="00284BD3">
        <w:rPr>
          <w:rFonts w:ascii="Book Antiqua" w:hAnsi="Book Antiqua" w:cs="宋体"/>
          <w:color w:val="000000" w:themeColor="text1"/>
          <w:lang w:val="en-US" w:eastAsia="zh-CN"/>
        </w:rPr>
        <w:t xml:space="preserve"> C,</w:t>
      </w:r>
      <w:r w:rsidR="00881CCE">
        <w:rPr>
          <w:rFonts w:ascii="Book Antiqua" w:hAnsi="Book Antiqua" w:cs="宋体"/>
          <w:color w:val="000000" w:themeColor="text1"/>
          <w:lang w:val="en-US" w:eastAsia="zh-CN"/>
        </w:rPr>
        <w:t xml:space="preserve"> </w:t>
      </w:r>
      <w:proofErr w:type="spellStart"/>
      <w:r w:rsidR="00881CCE">
        <w:rPr>
          <w:rFonts w:ascii="Book Antiqua" w:hAnsi="Book Antiqua" w:cs="宋体"/>
          <w:color w:val="000000" w:themeColor="text1"/>
          <w:lang w:val="en-US" w:eastAsia="zh-CN"/>
        </w:rPr>
        <w:t>Palard-Novello</w:t>
      </w:r>
      <w:proofErr w:type="spellEnd"/>
      <w:r w:rsidR="00881CCE">
        <w:rPr>
          <w:rFonts w:ascii="Book Antiqua" w:hAnsi="Book Antiqua" w:cs="宋体"/>
          <w:color w:val="000000" w:themeColor="text1"/>
          <w:lang w:val="en-US" w:eastAsia="zh-CN"/>
        </w:rPr>
        <w:t xml:space="preserve"> X</w:t>
      </w:r>
      <w:r w:rsidR="00881CCE">
        <w:rPr>
          <w:rFonts w:ascii="Book Antiqua" w:eastAsia="等线" w:hAnsi="Book Antiqua" w:cs="宋体" w:hint="eastAsia"/>
          <w:color w:val="000000" w:themeColor="text1"/>
          <w:lang w:val="en-US" w:eastAsia="zh-CN"/>
        </w:rPr>
        <w:t>,</w:t>
      </w:r>
      <w:r w:rsidR="00E0686A" w:rsidRPr="00284BD3">
        <w:rPr>
          <w:rFonts w:ascii="Book Antiqua" w:hAnsi="Book Antiqua" w:cs="宋体"/>
          <w:color w:val="000000" w:themeColor="text1"/>
          <w:lang w:val="en-US" w:eastAsia="zh-CN"/>
        </w:rPr>
        <w:t xml:space="preserve"> </w:t>
      </w:r>
      <w:proofErr w:type="spellStart"/>
      <w:r w:rsidR="00E0686A" w:rsidRPr="00284BD3">
        <w:rPr>
          <w:rFonts w:ascii="Book Antiqua" w:hAnsi="Book Antiqua" w:cs="宋体"/>
          <w:color w:val="000000" w:themeColor="text1"/>
          <w:lang w:val="en-US" w:eastAsia="zh-CN"/>
        </w:rPr>
        <w:t>Garin</w:t>
      </w:r>
      <w:proofErr w:type="spellEnd"/>
      <w:r w:rsidR="00E0686A" w:rsidRPr="00284BD3">
        <w:rPr>
          <w:rFonts w:ascii="Book Antiqua" w:hAnsi="Book Antiqua" w:cs="宋体"/>
          <w:color w:val="000000" w:themeColor="text1"/>
          <w:lang w:val="en-US" w:eastAsia="zh-CN"/>
        </w:rPr>
        <w:t xml:space="preserve"> E, </w:t>
      </w:r>
      <w:proofErr w:type="spellStart"/>
      <w:r w:rsidR="00E0686A" w:rsidRPr="00284BD3">
        <w:rPr>
          <w:rFonts w:ascii="Book Antiqua" w:hAnsi="Book Antiqua" w:cs="宋体"/>
          <w:color w:val="000000" w:themeColor="text1"/>
          <w:lang w:val="en-US" w:eastAsia="zh-CN"/>
        </w:rPr>
        <w:t>Wallenhorst</w:t>
      </w:r>
      <w:proofErr w:type="spellEnd"/>
      <w:r w:rsidR="00E0686A" w:rsidRPr="00284BD3">
        <w:rPr>
          <w:rFonts w:ascii="Book Antiqua" w:hAnsi="Book Antiqua" w:cs="宋体"/>
          <w:color w:val="000000" w:themeColor="text1"/>
          <w:lang w:val="en-US" w:eastAsia="zh-CN"/>
        </w:rPr>
        <w:t xml:space="preserve">, T, Le Balch E, </w:t>
      </w:r>
      <w:proofErr w:type="spellStart"/>
      <w:r w:rsidR="00E0686A" w:rsidRPr="00284BD3">
        <w:rPr>
          <w:rFonts w:ascii="Book Antiqua" w:hAnsi="Book Antiqua" w:cs="宋体"/>
          <w:color w:val="000000" w:themeColor="text1"/>
          <w:lang w:val="en-US" w:eastAsia="zh-CN"/>
        </w:rPr>
        <w:t>Merlini</w:t>
      </w:r>
      <w:proofErr w:type="spellEnd"/>
      <w:r w:rsidR="00E0686A" w:rsidRPr="00284BD3">
        <w:rPr>
          <w:rFonts w:ascii="Book Antiqua" w:hAnsi="Book Antiqua" w:cs="宋体"/>
          <w:color w:val="000000" w:themeColor="text1"/>
          <w:lang w:val="en-US" w:eastAsia="zh-CN"/>
        </w:rPr>
        <w:t xml:space="preserve"> </w:t>
      </w:r>
      <w:proofErr w:type="spellStart"/>
      <w:r w:rsidR="00E0686A" w:rsidRPr="00284BD3">
        <w:rPr>
          <w:rFonts w:ascii="Book Antiqua" w:hAnsi="Book Antiqua" w:cs="宋体"/>
          <w:color w:val="000000" w:themeColor="text1"/>
          <w:lang w:val="en-US" w:eastAsia="zh-CN"/>
        </w:rPr>
        <w:t>L’Héritier</w:t>
      </w:r>
      <w:proofErr w:type="spellEnd"/>
      <w:r w:rsidR="00E0686A" w:rsidRPr="00284BD3">
        <w:rPr>
          <w:rFonts w:ascii="Book Antiqua" w:hAnsi="Book Antiqua" w:cs="宋体"/>
          <w:color w:val="000000" w:themeColor="text1"/>
          <w:lang w:val="en-US" w:eastAsia="zh-CN"/>
        </w:rPr>
        <w:t xml:space="preserve"> A</w:t>
      </w:r>
      <w:r w:rsidR="00881CCE">
        <w:rPr>
          <w:rFonts w:ascii="Book Antiqua" w:hAnsi="Book Antiqua" w:cs="宋体"/>
          <w:color w:val="000000" w:themeColor="text1"/>
          <w:lang w:val="en-US" w:eastAsia="zh-CN"/>
        </w:rPr>
        <w:t xml:space="preserve">, </w:t>
      </w:r>
      <w:proofErr w:type="spellStart"/>
      <w:r w:rsidR="00881CCE">
        <w:rPr>
          <w:rFonts w:ascii="Book Antiqua" w:hAnsi="Book Antiqua" w:cs="宋体"/>
          <w:color w:val="000000" w:themeColor="text1"/>
          <w:lang w:val="en-US" w:eastAsia="zh-CN"/>
        </w:rPr>
        <w:t>Grainville</w:t>
      </w:r>
      <w:proofErr w:type="spellEnd"/>
      <w:r w:rsidR="00881CCE">
        <w:rPr>
          <w:rFonts w:ascii="Book Antiqua" w:hAnsi="Book Antiqua" w:cs="宋体"/>
          <w:color w:val="000000" w:themeColor="text1"/>
          <w:lang w:val="en-US" w:eastAsia="zh-CN"/>
        </w:rPr>
        <w:t xml:space="preserve"> T</w:t>
      </w:r>
      <w:r w:rsidR="00E0686A" w:rsidRPr="00284BD3">
        <w:rPr>
          <w:rFonts w:ascii="Book Antiqua" w:hAnsi="Book Antiqua" w:cs="宋体"/>
          <w:color w:val="000000" w:themeColor="text1"/>
          <w:lang w:val="en-US" w:eastAsia="zh-CN"/>
        </w:rPr>
        <w:t xml:space="preserve"> </w:t>
      </w:r>
      <w:r w:rsidR="0054607F" w:rsidRPr="00284BD3">
        <w:rPr>
          <w:rFonts w:ascii="Book Antiqua" w:hAnsi="Book Antiqua" w:cs="宋体"/>
          <w:color w:val="000000" w:themeColor="text1"/>
          <w:lang w:val="en-US" w:eastAsia="zh-CN"/>
        </w:rPr>
        <w:t xml:space="preserve">and </w:t>
      </w:r>
      <w:proofErr w:type="spellStart"/>
      <w:r w:rsidR="00E0686A" w:rsidRPr="00284BD3">
        <w:rPr>
          <w:rFonts w:ascii="Book Antiqua" w:hAnsi="Book Antiqua" w:cs="宋体"/>
          <w:color w:val="000000" w:themeColor="text1"/>
          <w:lang w:val="en-US" w:eastAsia="zh-CN"/>
        </w:rPr>
        <w:t>Siproudhis</w:t>
      </w:r>
      <w:proofErr w:type="spellEnd"/>
      <w:r w:rsidR="00E0686A" w:rsidRPr="00284BD3">
        <w:rPr>
          <w:rFonts w:ascii="Book Antiqua" w:hAnsi="Book Antiqua" w:cs="宋体"/>
          <w:color w:val="000000" w:themeColor="text1"/>
          <w:lang w:val="en-US" w:eastAsia="zh-CN"/>
        </w:rPr>
        <w:t xml:space="preserve"> L</w:t>
      </w:r>
      <w:r w:rsidRPr="00284BD3">
        <w:rPr>
          <w:rFonts w:ascii="Book Antiqua" w:hAnsi="Book Antiqua" w:cs="宋体"/>
          <w:color w:val="000000" w:themeColor="text1"/>
          <w:lang w:val="en-US" w:eastAsia="zh-CN"/>
        </w:rPr>
        <w:t xml:space="preserve"> performed research; </w:t>
      </w:r>
      <w:proofErr w:type="spellStart"/>
      <w:r w:rsidR="00F03AFD" w:rsidRPr="00284BD3">
        <w:rPr>
          <w:rFonts w:ascii="Book Antiqua" w:hAnsi="Book Antiqua" w:cs="宋体"/>
          <w:color w:val="000000" w:themeColor="text1"/>
          <w:lang w:val="en-US" w:eastAsia="zh-CN"/>
        </w:rPr>
        <w:t>Moussaddaq</w:t>
      </w:r>
      <w:proofErr w:type="spellEnd"/>
      <w:r w:rsidR="00F03AFD" w:rsidRPr="00284BD3">
        <w:rPr>
          <w:rFonts w:ascii="Book Antiqua" w:hAnsi="Book Antiqua" w:cs="宋体"/>
          <w:color w:val="000000" w:themeColor="text1"/>
          <w:lang w:val="en-US" w:eastAsia="zh-CN"/>
        </w:rPr>
        <w:t xml:space="preserve"> AS, </w:t>
      </w:r>
      <w:proofErr w:type="spellStart"/>
      <w:r w:rsidR="00F03AFD" w:rsidRPr="00284BD3">
        <w:rPr>
          <w:rFonts w:ascii="Book Antiqua" w:hAnsi="Book Antiqua" w:cs="宋体"/>
          <w:color w:val="000000" w:themeColor="text1"/>
          <w:lang w:val="en-US" w:eastAsia="zh-CN"/>
        </w:rPr>
        <w:t>Brochard</w:t>
      </w:r>
      <w:proofErr w:type="spellEnd"/>
      <w:r w:rsidR="00F03AFD" w:rsidRPr="00284BD3">
        <w:rPr>
          <w:rFonts w:ascii="Book Antiqua" w:hAnsi="Book Antiqua" w:cs="宋体"/>
          <w:color w:val="000000" w:themeColor="text1"/>
          <w:lang w:val="en-US" w:eastAsia="zh-CN"/>
        </w:rPr>
        <w:t xml:space="preserve"> C, </w:t>
      </w:r>
      <w:proofErr w:type="spellStart"/>
      <w:r w:rsidR="00881CCE">
        <w:rPr>
          <w:rFonts w:ascii="Book Antiqua" w:hAnsi="Book Antiqua" w:cs="宋体"/>
          <w:color w:val="000000" w:themeColor="text1"/>
          <w:lang w:val="en-US" w:eastAsia="zh-CN"/>
        </w:rPr>
        <w:t>Palard-Novello</w:t>
      </w:r>
      <w:proofErr w:type="spellEnd"/>
      <w:r w:rsidR="00881CCE">
        <w:rPr>
          <w:rFonts w:ascii="Book Antiqua" w:hAnsi="Book Antiqua" w:cs="宋体"/>
          <w:color w:val="000000" w:themeColor="text1"/>
          <w:lang w:val="en-US" w:eastAsia="zh-CN"/>
        </w:rPr>
        <w:t xml:space="preserve"> X</w:t>
      </w:r>
      <w:r w:rsidR="00D6399C" w:rsidRPr="00284BD3">
        <w:rPr>
          <w:rFonts w:ascii="Book Antiqua" w:hAnsi="Book Antiqua" w:cs="宋体"/>
          <w:color w:val="000000" w:themeColor="text1"/>
          <w:lang w:val="en-US" w:eastAsia="zh-CN"/>
        </w:rPr>
        <w:t xml:space="preserve"> </w:t>
      </w:r>
      <w:r w:rsidR="0054607F" w:rsidRPr="00284BD3">
        <w:rPr>
          <w:rFonts w:ascii="Book Antiqua" w:hAnsi="Book Antiqua" w:cs="宋体"/>
          <w:color w:val="000000" w:themeColor="text1"/>
          <w:lang w:val="en-US" w:eastAsia="zh-CN"/>
        </w:rPr>
        <w:t xml:space="preserve">and </w:t>
      </w:r>
      <w:proofErr w:type="spellStart"/>
      <w:r w:rsidR="00F03AFD" w:rsidRPr="00284BD3">
        <w:rPr>
          <w:rFonts w:ascii="Book Antiqua" w:hAnsi="Book Antiqua" w:cs="宋体"/>
          <w:color w:val="000000" w:themeColor="text1"/>
          <w:lang w:val="en-US" w:eastAsia="zh-CN"/>
        </w:rPr>
        <w:t>Siproudhis</w:t>
      </w:r>
      <w:proofErr w:type="spellEnd"/>
      <w:r w:rsidR="00F03AFD" w:rsidRPr="00284BD3">
        <w:rPr>
          <w:rFonts w:ascii="Book Antiqua" w:hAnsi="Book Antiqua" w:cs="宋体"/>
          <w:color w:val="000000" w:themeColor="text1"/>
          <w:lang w:val="en-US" w:eastAsia="zh-CN"/>
        </w:rPr>
        <w:t xml:space="preserve"> L</w:t>
      </w:r>
      <w:r w:rsidRPr="00284BD3">
        <w:rPr>
          <w:rFonts w:ascii="Book Antiqua" w:hAnsi="Book Antiqua" w:cs="宋体"/>
          <w:color w:val="000000" w:themeColor="text1"/>
          <w:lang w:val="en-US" w:eastAsia="zh-CN"/>
        </w:rPr>
        <w:t xml:space="preserve"> </w:t>
      </w:r>
      <w:r w:rsidR="00F03AFD" w:rsidRPr="00284BD3">
        <w:rPr>
          <w:rFonts w:ascii="Book Antiqua" w:hAnsi="Book Antiqua" w:cs="宋体"/>
          <w:color w:val="000000" w:themeColor="text1"/>
          <w:lang w:val="en-US" w:eastAsia="zh-CN"/>
        </w:rPr>
        <w:t xml:space="preserve">contributed </w:t>
      </w:r>
      <w:r w:rsidRPr="00284BD3">
        <w:rPr>
          <w:rFonts w:ascii="Book Antiqua" w:hAnsi="Book Antiqua" w:cs="宋体"/>
          <w:color w:val="000000" w:themeColor="text1"/>
          <w:lang w:val="en-US" w:eastAsia="zh-CN"/>
        </w:rPr>
        <w:t xml:space="preserve">analytic tools; </w:t>
      </w:r>
      <w:proofErr w:type="spellStart"/>
      <w:r w:rsidR="00881CCE">
        <w:rPr>
          <w:rFonts w:ascii="Book Antiqua" w:hAnsi="Book Antiqua" w:cs="宋体"/>
          <w:color w:val="000000" w:themeColor="text1"/>
          <w:lang w:val="en-US" w:eastAsia="zh-CN"/>
        </w:rPr>
        <w:t>Moussaddaq</w:t>
      </w:r>
      <w:proofErr w:type="spellEnd"/>
      <w:r w:rsidR="00881CCE">
        <w:rPr>
          <w:rFonts w:ascii="Book Antiqua" w:hAnsi="Book Antiqua" w:cs="宋体"/>
          <w:color w:val="000000" w:themeColor="text1"/>
          <w:lang w:val="en-US" w:eastAsia="zh-CN"/>
        </w:rPr>
        <w:t xml:space="preserve"> AS, </w:t>
      </w:r>
      <w:proofErr w:type="spellStart"/>
      <w:r w:rsidR="00881CCE">
        <w:rPr>
          <w:rFonts w:ascii="Book Antiqua" w:hAnsi="Book Antiqua" w:cs="宋体"/>
          <w:color w:val="000000" w:themeColor="text1"/>
          <w:lang w:val="en-US" w:eastAsia="zh-CN"/>
        </w:rPr>
        <w:t>Brochard</w:t>
      </w:r>
      <w:proofErr w:type="spellEnd"/>
      <w:r w:rsidR="00881CCE">
        <w:rPr>
          <w:rFonts w:ascii="Book Antiqua" w:hAnsi="Book Antiqua" w:cs="宋体"/>
          <w:color w:val="000000" w:themeColor="text1"/>
          <w:lang w:val="en-US" w:eastAsia="zh-CN"/>
        </w:rPr>
        <w:t xml:space="preserve"> C</w:t>
      </w:r>
      <w:r w:rsidR="00F03AFD" w:rsidRPr="00284BD3">
        <w:rPr>
          <w:rFonts w:ascii="Book Antiqua" w:hAnsi="Book Antiqua" w:cs="宋体"/>
          <w:color w:val="000000" w:themeColor="text1"/>
          <w:lang w:val="en-US" w:eastAsia="zh-CN"/>
        </w:rPr>
        <w:t xml:space="preserve"> </w:t>
      </w:r>
      <w:r w:rsidR="0054607F" w:rsidRPr="00284BD3">
        <w:rPr>
          <w:rFonts w:ascii="Book Antiqua" w:hAnsi="Book Antiqua" w:cs="宋体"/>
          <w:color w:val="000000" w:themeColor="text1"/>
          <w:lang w:val="en-US" w:eastAsia="zh-CN"/>
        </w:rPr>
        <w:t xml:space="preserve">and </w:t>
      </w:r>
      <w:r w:rsidR="00F03AFD" w:rsidRPr="00284BD3">
        <w:rPr>
          <w:rFonts w:ascii="Book Antiqua" w:hAnsi="Book Antiqua" w:cs="宋体"/>
          <w:color w:val="000000" w:themeColor="text1"/>
          <w:lang w:val="en-US" w:eastAsia="zh-CN"/>
        </w:rPr>
        <w:t>Lièvre A</w:t>
      </w:r>
      <w:r w:rsidRPr="00284BD3">
        <w:rPr>
          <w:rFonts w:ascii="Book Antiqua" w:hAnsi="Book Antiqua" w:cs="宋体"/>
          <w:color w:val="000000" w:themeColor="text1"/>
          <w:lang w:val="en-US" w:eastAsia="zh-CN"/>
        </w:rPr>
        <w:t xml:space="preserve"> analyzed data; </w:t>
      </w:r>
      <w:proofErr w:type="spellStart"/>
      <w:r w:rsidR="00881CCE">
        <w:rPr>
          <w:rFonts w:ascii="Book Antiqua" w:hAnsi="Book Antiqua" w:cs="宋体"/>
          <w:color w:val="000000" w:themeColor="text1"/>
          <w:lang w:val="en-US" w:eastAsia="zh-CN"/>
        </w:rPr>
        <w:t>Moussaddaq</w:t>
      </w:r>
      <w:proofErr w:type="spellEnd"/>
      <w:r w:rsidR="00881CCE">
        <w:rPr>
          <w:rFonts w:ascii="Book Antiqua" w:hAnsi="Book Antiqua" w:cs="宋体"/>
          <w:color w:val="000000" w:themeColor="text1"/>
          <w:lang w:val="en-US" w:eastAsia="zh-CN"/>
        </w:rPr>
        <w:t xml:space="preserve"> AS, </w:t>
      </w:r>
      <w:proofErr w:type="spellStart"/>
      <w:r w:rsidR="00881CCE">
        <w:rPr>
          <w:rFonts w:ascii="Book Antiqua" w:hAnsi="Book Antiqua" w:cs="宋体"/>
          <w:color w:val="000000" w:themeColor="text1"/>
          <w:lang w:val="en-US" w:eastAsia="zh-CN"/>
        </w:rPr>
        <w:t>Brochard</w:t>
      </w:r>
      <w:proofErr w:type="spellEnd"/>
      <w:r w:rsidR="00881CCE">
        <w:rPr>
          <w:rFonts w:ascii="Book Antiqua" w:hAnsi="Book Antiqua" w:cs="宋体"/>
          <w:color w:val="000000" w:themeColor="text1"/>
          <w:lang w:val="en-US" w:eastAsia="zh-CN"/>
        </w:rPr>
        <w:t xml:space="preserve"> C</w:t>
      </w:r>
      <w:r w:rsidR="00F03AFD" w:rsidRPr="00284BD3">
        <w:rPr>
          <w:rFonts w:ascii="Book Antiqua" w:hAnsi="Book Antiqua" w:cs="宋体"/>
          <w:color w:val="000000" w:themeColor="text1"/>
          <w:lang w:val="en-US" w:eastAsia="zh-CN"/>
        </w:rPr>
        <w:t xml:space="preserve"> </w:t>
      </w:r>
      <w:r w:rsidR="0054607F" w:rsidRPr="00284BD3">
        <w:rPr>
          <w:rFonts w:ascii="Book Antiqua" w:hAnsi="Book Antiqua" w:cs="宋体"/>
          <w:color w:val="000000" w:themeColor="text1"/>
          <w:lang w:val="en-US" w:eastAsia="zh-CN"/>
        </w:rPr>
        <w:t xml:space="preserve">and </w:t>
      </w:r>
      <w:r w:rsidR="00F03AFD" w:rsidRPr="00284BD3">
        <w:rPr>
          <w:rFonts w:ascii="Book Antiqua" w:hAnsi="Book Antiqua" w:cs="宋体"/>
          <w:color w:val="000000" w:themeColor="text1"/>
          <w:lang w:val="en-US" w:eastAsia="zh-CN"/>
        </w:rPr>
        <w:t xml:space="preserve">Lièvre A </w:t>
      </w:r>
      <w:r w:rsidRPr="00284BD3">
        <w:rPr>
          <w:rFonts w:ascii="Book Antiqua" w:hAnsi="Book Antiqua" w:cs="宋体"/>
          <w:color w:val="000000" w:themeColor="text1"/>
          <w:lang w:val="en-US" w:eastAsia="zh-CN"/>
        </w:rPr>
        <w:t xml:space="preserve">wrote the paper. </w:t>
      </w:r>
    </w:p>
    <w:p w14:paraId="5918FC57" w14:textId="77777777" w:rsidR="008109B3" w:rsidRPr="00284BD3" w:rsidRDefault="008109B3" w:rsidP="00284BD3">
      <w:pPr>
        <w:adjustRightInd w:val="0"/>
        <w:snapToGrid w:val="0"/>
        <w:spacing w:after="0" w:line="360" w:lineRule="auto"/>
        <w:jc w:val="both"/>
        <w:rPr>
          <w:rFonts w:ascii="Book Antiqua" w:eastAsia="MS PMincho" w:hAnsi="Book Antiqua"/>
          <w:b/>
          <w:bCs/>
          <w:color w:val="000000"/>
          <w:kern w:val="2"/>
          <w:lang w:val="en-US" w:eastAsia="ja-JP"/>
        </w:rPr>
      </w:pPr>
    </w:p>
    <w:p w14:paraId="6D85ABC6" w14:textId="5A249134" w:rsidR="00B665C7" w:rsidRPr="00284BD3" w:rsidRDefault="006F7188" w:rsidP="00284BD3">
      <w:pPr>
        <w:adjustRightInd w:val="0"/>
        <w:snapToGrid w:val="0"/>
        <w:spacing w:after="0" w:line="360" w:lineRule="auto"/>
        <w:jc w:val="both"/>
        <w:rPr>
          <w:rFonts w:ascii="Book Antiqua" w:hAnsi="Book Antiqua"/>
          <w:lang w:val="en-GB"/>
        </w:rPr>
      </w:pPr>
      <w:r w:rsidRPr="00284BD3">
        <w:rPr>
          <w:rFonts w:ascii="Book Antiqua" w:eastAsia="MS PMincho" w:hAnsi="Book Antiqua"/>
          <w:b/>
          <w:bCs/>
          <w:color w:val="000000"/>
          <w:kern w:val="2"/>
          <w:lang w:val="en-US" w:eastAsia="ja-JP"/>
        </w:rPr>
        <w:t xml:space="preserve">Corresponding author: </w:t>
      </w:r>
      <w:proofErr w:type="spellStart"/>
      <w:r w:rsidR="006550DC" w:rsidRPr="00284BD3">
        <w:rPr>
          <w:rFonts w:ascii="Book Antiqua" w:hAnsi="Book Antiqua"/>
          <w:b/>
          <w:bCs/>
          <w:lang w:val="en-US"/>
        </w:rPr>
        <w:t>Charlène</w:t>
      </w:r>
      <w:proofErr w:type="spellEnd"/>
      <w:r w:rsidR="006550DC" w:rsidRPr="00284BD3">
        <w:rPr>
          <w:rFonts w:ascii="Book Antiqua" w:hAnsi="Book Antiqua"/>
          <w:b/>
          <w:bCs/>
          <w:lang w:val="en-US"/>
        </w:rPr>
        <w:t xml:space="preserve"> </w:t>
      </w:r>
      <w:proofErr w:type="spellStart"/>
      <w:r w:rsidR="006550DC" w:rsidRPr="00284BD3">
        <w:rPr>
          <w:rFonts w:ascii="Book Antiqua" w:hAnsi="Book Antiqua"/>
          <w:b/>
          <w:bCs/>
          <w:lang w:val="en-US"/>
        </w:rPr>
        <w:t>Brochard</w:t>
      </w:r>
      <w:proofErr w:type="spellEnd"/>
      <w:r w:rsidR="006550DC" w:rsidRPr="00284BD3">
        <w:rPr>
          <w:rFonts w:ascii="Book Antiqua" w:hAnsi="Book Antiqua"/>
          <w:lang w:val="en-US"/>
        </w:rPr>
        <w:t xml:space="preserve">, </w:t>
      </w:r>
      <w:r w:rsidR="006550DC" w:rsidRPr="00284BD3">
        <w:rPr>
          <w:rFonts w:ascii="Book Antiqua" w:hAnsi="Book Antiqua"/>
          <w:b/>
          <w:bCs/>
          <w:lang w:val="en-US"/>
        </w:rPr>
        <w:t>MD</w:t>
      </w:r>
      <w:r w:rsidR="004D0E7C" w:rsidRPr="00284BD3">
        <w:rPr>
          <w:rFonts w:ascii="Book Antiqua" w:hAnsi="Book Antiqua"/>
          <w:b/>
          <w:bCs/>
          <w:lang w:val="en-US"/>
        </w:rPr>
        <w:t>, PhD</w:t>
      </w:r>
      <w:r w:rsidRPr="00284BD3">
        <w:rPr>
          <w:rFonts w:ascii="Book Antiqua" w:hAnsi="Book Antiqua"/>
          <w:b/>
          <w:bCs/>
          <w:lang w:val="en-US"/>
        </w:rPr>
        <w:t>,</w:t>
      </w:r>
      <w:r w:rsidR="002E15C5" w:rsidRPr="00284BD3">
        <w:rPr>
          <w:rFonts w:ascii="Book Antiqua" w:hAnsi="Book Antiqua"/>
          <w:b/>
          <w:bCs/>
          <w:lang w:val="en-US"/>
        </w:rPr>
        <w:t xml:space="preserve"> </w:t>
      </w:r>
      <w:r w:rsidR="002E15C5" w:rsidRPr="00284BD3">
        <w:rPr>
          <w:rFonts w:ascii="Book Antiqua" w:hAnsi="Book Antiqua"/>
          <w:b/>
          <w:bCs/>
          <w:lang w:val="en-US" w:eastAsia="zh-CN"/>
        </w:rPr>
        <w:t>Doctor,</w:t>
      </w:r>
      <w:r w:rsidRPr="00284BD3">
        <w:rPr>
          <w:rFonts w:ascii="Book Antiqua" w:hAnsi="Book Antiqua"/>
          <w:lang w:val="en-US"/>
        </w:rPr>
        <w:t xml:space="preserve"> </w:t>
      </w:r>
      <w:r w:rsidR="008E534D" w:rsidRPr="00284BD3">
        <w:rPr>
          <w:rFonts w:ascii="Book Antiqua" w:hAnsi="Book Antiqua"/>
          <w:lang w:val="en-GB"/>
        </w:rPr>
        <w:t xml:space="preserve">Department of Gastroenterology, University Hospital of Rennes, </w:t>
      </w:r>
      <w:bookmarkStart w:id="32" w:name="OLE_LINK44"/>
      <w:bookmarkStart w:id="33" w:name="OLE_LINK47"/>
      <w:proofErr w:type="spellStart"/>
      <w:r w:rsidR="008E534D" w:rsidRPr="00284BD3">
        <w:rPr>
          <w:rFonts w:ascii="Book Antiqua" w:hAnsi="Book Antiqua"/>
          <w:lang w:val="en-US"/>
        </w:rPr>
        <w:t>Pontchaillou</w:t>
      </w:r>
      <w:proofErr w:type="spellEnd"/>
      <w:r w:rsidR="008E534D" w:rsidRPr="00284BD3">
        <w:rPr>
          <w:rFonts w:ascii="Book Antiqua" w:hAnsi="Book Antiqua"/>
          <w:lang w:val="en-US"/>
        </w:rPr>
        <w:t xml:space="preserve">, 2 rue Henri Le </w:t>
      </w:r>
      <w:proofErr w:type="spellStart"/>
      <w:r w:rsidR="008E534D" w:rsidRPr="00284BD3">
        <w:rPr>
          <w:rFonts w:ascii="Book Antiqua" w:hAnsi="Book Antiqua"/>
          <w:lang w:val="en-US"/>
        </w:rPr>
        <w:t>Guillou</w:t>
      </w:r>
      <w:bookmarkEnd w:id="32"/>
      <w:bookmarkEnd w:id="33"/>
      <w:proofErr w:type="spellEnd"/>
      <w:r w:rsidRPr="00284BD3">
        <w:rPr>
          <w:rFonts w:ascii="Book Antiqua" w:hAnsi="Book Antiqua"/>
          <w:lang w:val="en-US"/>
        </w:rPr>
        <w:t xml:space="preserve">, </w:t>
      </w:r>
      <w:r w:rsidR="008E534D" w:rsidRPr="00284BD3">
        <w:rPr>
          <w:rFonts w:ascii="Book Antiqua" w:hAnsi="Book Antiqua"/>
          <w:lang w:val="en-US"/>
        </w:rPr>
        <w:t>Rennes</w:t>
      </w:r>
      <w:r w:rsidRPr="00284BD3">
        <w:rPr>
          <w:rFonts w:ascii="Book Antiqua" w:hAnsi="Book Antiqua"/>
          <w:lang w:val="en-US"/>
        </w:rPr>
        <w:t xml:space="preserve"> 35000, France. </w:t>
      </w:r>
      <w:bookmarkStart w:id="34" w:name="OLE_LINK58"/>
      <w:bookmarkStart w:id="35" w:name="OLE_LINK59"/>
      <w:r w:rsidR="006550DC" w:rsidRPr="00284BD3">
        <w:rPr>
          <w:rFonts w:ascii="Book Antiqua" w:hAnsi="Book Antiqua"/>
          <w:lang w:val="en-GB"/>
        </w:rPr>
        <w:t>charlene.brochard@chu-rennes.fr</w:t>
      </w:r>
      <w:bookmarkEnd w:id="34"/>
      <w:bookmarkEnd w:id="35"/>
    </w:p>
    <w:p w14:paraId="2397EC2F" w14:textId="77777777" w:rsidR="0012584F" w:rsidRPr="00284BD3" w:rsidRDefault="0012584F" w:rsidP="00284BD3">
      <w:pPr>
        <w:adjustRightInd w:val="0"/>
        <w:snapToGrid w:val="0"/>
        <w:spacing w:after="0" w:line="360" w:lineRule="auto"/>
        <w:jc w:val="both"/>
        <w:rPr>
          <w:rFonts w:ascii="Book Antiqua" w:hAnsi="Book Antiqua" w:cs="Arial"/>
          <w:b/>
          <w:bCs/>
          <w:color w:val="53565A"/>
          <w:lang w:val="en-US"/>
        </w:rPr>
      </w:pPr>
    </w:p>
    <w:p w14:paraId="29DD502F" w14:textId="731DAA01" w:rsidR="00AA592A" w:rsidRPr="00284BD3" w:rsidRDefault="00AA592A" w:rsidP="00284BD3">
      <w:pPr>
        <w:pStyle w:val="NoSpacing2"/>
        <w:adjustRightInd w:val="0"/>
        <w:snapToGrid w:val="0"/>
        <w:spacing w:line="360" w:lineRule="auto"/>
        <w:jc w:val="both"/>
        <w:rPr>
          <w:rFonts w:ascii="Book Antiqua" w:eastAsia="微软雅黑" w:hAnsi="Book Antiqua" w:cs="微软雅黑"/>
          <w:sz w:val="24"/>
          <w:szCs w:val="24"/>
          <w:lang w:val="en-GB"/>
        </w:rPr>
      </w:pPr>
      <w:r w:rsidRPr="00284BD3">
        <w:rPr>
          <w:rFonts w:ascii="Book Antiqua" w:hAnsi="Book Antiqua"/>
          <w:b/>
          <w:bCs/>
          <w:sz w:val="24"/>
          <w:szCs w:val="24"/>
          <w:lang w:val="en-GB"/>
        </w:rPr>
        <w:t xml:space="preserve">Received: </w:t>
      </w:r>
      <w:r w:rsidR="00464D9E" w:rsidRPr="00284BD3">
        <w:rPr>
          <w:rFonts w:ascii="Book Antiqua" w:hAnsi="Book Antiqua"/>
          <w:sz w:val="24"/>
          <w:szCs w:val="24"/>
          <w:lang w:val="en-GB" w:eastAsia="zh-CN"/>
        </w:rPr>
        <w:t>January 3</w:t>
      </w:r>
      <w:r w:rsidR="00464D9E" w:rsidRPr="00284BD3">
        <w:rPr>
          <w:rFonts w:ascii="Book Antiqua" w:eastAsia="微软雅黑" w:hAnsi="Book Antiqua" w:cs="微软雅黑"/>
          <w:sz w:val="24"/>
          <w:szCs w:val="24"/>
          <w:lang w:val="en-GB" w:eastAsia="zh-CN"/>
        </w:rPr>
        <w:t>, 2020</w:t>
      </w:r>
    </w:p>
    <w:p w14:paraId="2A59EABA" w14:textId="6B2C3EDC" w:rsidR="00AA592A" w:rsidRPr="00284BD3" w:rsidRDefault="00AA592A" w:rsidP="00284BD3">
      <w:pPr>
        <w:pStyle w:val="NoSpacing2"/>
        <w:adjustRightInd w:val="0"/>
        <w:snapToGrid w:val="0"/>
        <w:spacing w:line="360" w:lineRule="auto"/>
        <w:jc w:val="both"/>
        <w:rPr>
          <w:rFonts w:ascii="Book Antiqua" w:hAnsi="Book Antiqua"/>
          <w:sz w:val="24"/>
          <w:szCs w:val="24"/>
          <w:lang w:val="en-GB"/>
        </w:rPr>
      </w:pPr>
      <w:r w:rsidRPr="00284BD3">
        <w:rPr>
          <w:rFonts w:ascii="Book Antiqua" w:hAnsi="Book Antiqua"/>
          <w:b/>
          <w:bCs/>
          <w:sz w:val="24"/>
          <w:szCs w:val="24"/>
          <w:lang w:val="en-GB"/>
        </w:rPr>
        <w:t xml:space="preserve">Revised: </w:t>
      </w:r>
      <w:r w:rsidR="00464D9E" w:rsidRPr="00284BD3">
        <w:rPr>
          <w:rFonts w:ascii="Book Antiqua" w:hAnsi="Book Antiqua"/>
          <w:sz w:val="24"/>
          <w:szCs w:val="24"/>
          <w:lang w:val="en-GB"/>
        </w:rPr>
        <w:t>May 15, 2020</w:t>
      </w:r>
      <w:r w:rsidRPr="00284BD3">
        <w:rPr>
          <w:rFonts w:ascii="Book Antiqua" w:hAnsi="Book Antiqua"/>
          <w:sz w:val="24"/>
          <w:szCs w:val="24"/>
          <w:lang w:val="en-GB"/>
        </w:rPr>
        <w:t xml:space="preserve"> </w:t>
      </w:r>
    </w:p>
    <w:p w14:paraId="568E9844" w14:textId="10DCFDBB" w:rsidR="00AA592A" w:rsidRPr="00CF2A68" w:rsidRDefault="00AA592A" w:rsidP="00284BD3">
      <w:pPr>
        <w:pStyle w:val="NoSpacing2"/>
        <w:adjustRightInd w:val="0"/>
        <w:snapToGrid w:val="0"/>
        <w:spacing w:line="360" w:lineRule="auto"/>
        <w:jc w:val="both"/>
        <w:rPr>
          <w:rFonts w:ascii="Book Antiqua" w:hAnsi="Book Antiqua"/>
          <w:b/>
          <w:bCs/>
          <w:sz w:val="24"/>
          <w:szCs w:val="24"/>
        </w:rPr>
      </w:pPr>
      <w:r w:rsidRPr="00284BD3">
        <w:rPr>
          <w:rFonts w:ascii="Book Antiqua" w:hAnsi="Book Antiqua"/>
          <w:b/>
          <w:bCs/>
          <w:sz w:val="24"/>
          <w:szCs w:val="24"/>
          <w:lang w:val="en-GB"/>
        </w:rPr>
        <w:t>Accepted:</w:t>
      </w:r>
      <w:r w:rsidR="00CF2A68" w:rsidRPr="00CF2A68">
        <w:t xml:space="preserve"> </w:t>
      </w:r>
      <w:r w:rsidR="00CF2A68" w:rsidRPr="00CF2A68">
        <w:rPr>
          <w:rFonts w:ascii="Book Antiqua" w:hAnsi="Book Antiqua"/>
          <w:sz w:val="24"/>
          <w:szCs w:val="24"/>
          <w:lang w:val="en-GB"/>
        </w:rPr>
        <w:t>August 1, 2020</w:t>
      </w:r>
    </w:p>
    <w:p w14:paraId="37745979" w14:textId="77777777" w:rsidR="00AA592A" w:rsidRPr="00284BD3" w:rsidRDefault="00AA592A" w:rsidP="00284BD3">
      <w:pPr>
        <w:pStyle w:val="NoSpacing2"/>
        <w:adjustRightInd w:val="0"/>
        <w:snapToGrid w:val="0"/>
        <w:spacing w:line="360" w:lineRule="auto"/>
        <w:jc w:val="both"/>
        <w:rPr>
          <w:rFonts w:ascii="Book Antiqua" w:hAnsi="Book Antiqua"/>
          <w:b/>
          <w:bCs/>
          <w:sz w:val="24"/>
          <w:szCs w:val="24"/>
          <w:lang w:val="en-GB"/>
        </w:rPr>
      </w:pPr>
      <w:r w:rsidRPr="00284BD3">
        <w:rPr>
          <w:rFonts w:ascii="Book Antiqua" w:hAnsi="Book Antiqua"/>
          <w:b/>
          <w:bCs/>
          <w:sz w:val="24"/>
          <w:szCs w:val="24"/>
          <w:lang w:val="en-GB"/>
        </w:rPr>
        <w:t>Published online:</w:t>
      </w:r>
    </w:p>
    <w:p w14:paraId="210504E4" w14:textId="77777777" w:rsidR="000763B5" w:rsidRPr="00284BD3" w:rsidRDefault="000763B5" w:rsidP="00284BD3">
      <w:pPr>
        <w:adjustRightInd w:val="0"/>
        <w:snapToGrid w:val="0"/>
        <w:spacing w:after="0" w:line="360" w:lineRule="auto"/>
        <w:jc w:val="both"/>
        <w:rPr>
          <w:rFonts w:ascii="Book Antiqua" w:hAnsi="Book Antiqua"/>
          <w:b/>
          <w:lang w:val="en-GB"/>
        </w:rPr>
      </w:pPr>
      <w:r w:rsidRPr="00284BD3">
        <w:rPr>
          <w:rFonts w:ascii="Book Antiqua" w:hAnsi="Book Antiqua"/>
          <w:b/>
          <w:lang w:val="en-GB"/>
        </w:rPr>
        <w:br w:type="page"/>
      </w:r>
    </w:p>
    <w:p w14:paraId="3B769521" w14:textId="479B0469" w:rsidR="00C22148" w:rsidRPr="00284BD3" w:rsidRDefault="006550DC" w:rsidP="00284BD3">
      <w:pPr>
        <w:adjustRightInd w:val="0"/>
        <w:snapToGrid w:val="0"/>
        <w:spacing w:after="0" w:line="360" w:lineRule="auto"/>
        <w:jc w:val="both"/>
        <w:rPr>
          <w:rFonts w:ascii="Book Antiqua" w:hAnsi="Book Antiqua"/>
          <w:b/>
          <w:lang w:val="en-GB"/>
        </w:rPr>
      </w:pPr>
      <w:r w:rsidRPr="00284BD3">
        <w:rPr>
          <w:rFonts w:ascii="Book Antiqua" w:hAnsi="Book Antiqua"/>
          <w:b/>
          <w:lang w:val="en-GB"/>
        </w:rPr>
        <w:lastRenderedPageBreak/>
        <w:t xml:space="preserve">Abstract </w:t>
      </w:r>
      <w:bookmarkStart w:id="36" w:name="_Hlk18438650"/>
      <w:bookmarkStart w:id="37" w:name="_Hlk17630195"/>
    </w:p>
    <w:p w14:paraId="710B14D5" w14:textId="77777777" w:rsidR="00C22148" w:rsidRPr="00284BD3" w:rsidRDefault="00C22148" w:rsidP="00284BD3">
      <w:pPr>
        <w:widowControl w:val="0"/>
        <w:adjustRightInd w:val="0"/>
        <w:snapToGrid w:val="0"/>
        <w:spacing w:after="0" w:line="360" w:lineRule="auto"/>
        <w:jc w:val="both"/>
        <w:rPr>
          <w:rFonts w:ascii="Book Antiqua" w:eastAsia="宋体" w:hAnsi="Book Antiqua"/>
          <w:bCs/>
          <w:color w:val="000000"/>
          <w:kern w:val="2"/>
          <w:lang w:val="en-US" w:eastAsia="zh-CN"/>
        </w:rPr>
      </w:pPr>
      <w:r w:rsidRPr="00284BD3">
        <w:rPr>
          <w:rFonts w:ascii="Book Antiqua" w:eastAsia="MS PMincho" w:hAnsi="Book Antiqua"/>
          <w:bCs/>
          <w:color w:val="000000"/>
          <w:kern w:val="2"/>
          <w:lang w:val="en-US" w:eastAsia="ja-JP"/>
        </w:rPr>
        <w:t>BACKGROUND</w:t>
      </w:r>
    </w:p>
    <w:p w14:paraId="3D84EE77" w14:textId="7BEF6809" w:rsidR="00B665C7" w:rsidRPr="00284BD3" w:rsidRDefault="006550DC" w:rsidP="00284BD3">
      <w:pPr>
        <w:adjustRightInd w:val="0"/>
        <w:snapToGrid w:val="0"/>
        <w:spacing w:after="0" w:line="360" w:lineRule="auto"/>
        <w:jc w:val="both"/>
        <w:rPr>
          <w:rFonts w:ascii="Book Antiqua" w:hAnsi="Book Antiqua"/>
          <w:lang w:val="en-GB"/>
        </w:rPr>
      </w:pPr>
      <w:r w:rsidRPr="00284BD3">
        <w:rPr>
          <w:rFonts w:ascii="Book Antiqua" w:hAnsi="Book Antiqua"/>
          <w:lang w:val="en-GB"/>
        </w:rPr>
        <w:t xml:space="preserve">There </w:t>
      </w:r>
      <w:r w:rsidR="00CA33BF" w:rsidRPr="00284BD3">
        <w:rPr>
          <w:rFonts w:ascii="Book Antiqua" w:hAnsi="Book Antiqua"/>
          <w:lang w:val="en-GB"/>
        </w:rPr>
        <w:t xml:space="preserve">are </w:t>
      </w:r>
      <w:r w:rsidRPr="00284BD3">
        <w:rPr>
          <w:rFonts w:ascii="Book Antiqua" w:hAnsi="Book Antiqua"/>
          <w:lang w:val="en-GB"/>
        </w:rPr>
        <w:t xml:space="preserve">no </w:t>
      </w:r>
      <w:r w:rsidR="00CA33BF" w:rsidRPr="00284BD3">
        <w:rPr>
          <w:rFonts w:ascii="Book Antiqua" w:hAnsi="Book Antiqua"/>
          <w:lang w:val="en-GB"/>
        </w:rPr>
        <w:t xml:space="preserve">studies </w:t>
      </w:r>
      <w:r w:rsidRPr="00284BD3">
        <w:rPr>
          <w:rFonts w:ascii="Book Antiqua" w:hAnsi="Book Antiqua"/>
          <w:lang w:val="en-GB"/>
        </w:rPr>
        <w:t xml:space="preserve">on incidental anal </w:t>
      </w:r>
      <w:r w:rsidR="000323C5" w:rsidRPr="00284BD3">
        <w:rPr>
          <w:rFonts w:ascii="Book Antiqua" w:hAnsi="Book Antiqua"/>
          <w:vertAlign w:val="superscript"/>
          <w:lang w:val="en-GB"/>
        </w:rPr>
        <w:t>18</w:t>
      </w:r>
      <w:r w:rsidR="000323C5" w:rsidRPr="00284BD3">
        <w:rPr>
          <w:rFonts w:ascii="Book Antiqua" w:hAnsi="Book Antiqua"/>
          <w:lang w:val="en-GB"/>
        </w:rPr>
        <w:t>F-fluorodeoxyglucose (</w:t>
      </w:r>
      <w:r w:rsidRPr="00284BD3">
        <w:rPr>
          <w:rFonts w:ascii="Book Antiqua" w:hAnsi="Book Antiqua"/>
          <w:vertAlign w:val="superscript"/>
          <w:lang w:val="en-GB"/>
        </w:rPr>
        <w:t>18</w:t>
      </w:r>
      <w:r w:rsidRPr="00284BD3">
        <w:rPr>
          <w:rFonts w:ascii="Book Antiqua" w:hAnsi="Book Antiqua"/>
          <w:lang w:val="en-GB"/>
        </w:rPr>
        <w:t>FDG</w:t>
      </w:r>
      <w:r w:rsidR="000323C5" w:rsidRPr="00284BD3">
        <w:rPr>
          <w:rFonts w:ascii="Book Antiqua" w:hAnsi="Book Antiqua"/>
          <w:lang w:val="en-GB"/>
        </w:rPr>
        <w:t>)</w:t>
      </w:r>
      <w:r w:rsidRPr="00284BD3">
        <w:rPr>
          <w:rFonts w:ascii="Book Antiqua" w:hAnsi="Book Antiqua"/>
          <w:lang w:val="en-GB"/>
        </w:rPr>
        <w:t xml:space="preserve"> uptake. </w:t>
      </w:r>
    </w:p>
    <w:p w14:paraId="79C724F6" w14:textId="77777777" w:rsidR="00B055E3" w:rsidRPr="00284BD3" w:rsidRDefault="00B055E3" w:rsidP="00284BD3">
      <w:pPr>
        <w:adjustRightInd w:val="0"/>
        <w:snapToGrid w:val="0"/>
        <w:spacing w:after="0" w:line="360" w:lineRule="auto"/>
        <w:jc w:val="both"/>
        <w:rPr>
          <w:rFonts w:ascii="Book Antiqua" w:hAnsi="Book Antiqua"/>
          <w:lang w:val="en-GB"/>
        </w:rPr>
      </w:pPr>
    </w:p>
    <w:p w14:paraId="1F696F09" w14:textId="77777777" w:rsidR="000F3F5C" w:rsidRPr="00284BD3" w:rsidRDefault="000F3F5C" w:rsidP="00284BD3">
      <w:pPr>
        <w:widowControl w:val="0"/>
        <w:adjustRightInd w:val="0"/>
        <w:snapToGrid w:val="0"/>
        <w:spacing w:after="0" w:line="360" w:lineRule="auto"/>
        <w:jc w:val="both"/>
        <w:rPr>
          <w:rFonts w:ascii="Book Antiqua" w:eastAsia="宋体" w:hAnsi="Book Antiqua"/>
          <w:bCs/>
          <w:color w:val="0000FF"/>
          <w:kern w:val="2"/>
          <w:lang w:val="en" w:eastAsia="zh-CN"/>
        </w:rPr>
      </w:pPr>
      <w:r w:rsidRPr="00284BD3">
        <w:rPr>
          <w:rFonts w:ascii="Book Antiqua" w:eastAsia="MS PMincho" w:hAnsi="Book Antiqua"/>
          <w:bCs/>
          <w:color w:val="000000"/>
          <w:kern w:val="2"/>
          <w:lang w:val="en-US" w:eastAsia="ja-JP"/>
        </w:rPr>
        <w:t>AIM</w:t>
      </w:r>
    </w:p>
    <w:p w14:paraId="60FAD9D4" w14:textId="0F9D04F1" w:rsidR="00F86FEA" w:rsidRPr="00284BD3" w:rsidRDefault="00C22148" w:rsidP="00284BD3">
      <w:pPr>
        <w:adjustRightInd w:val="0"/>
        <w:snapToGrid w:val="0"/>
        <w:spacing w:after="0" w:line="360" w:lineRule="auto"/>
        <w:jc w:val="both"/>
        <w:rPr>
          <w:rFonts w:ascii="Book Antiqua" w:hAnsi="Book Antiqua"/>
          <w:lang w:val="en-GB"/>
        </w:rPr>
      </w:pPr>
      <w:r w:rsidRPr="00284BD3">
        <w:rPr>
          <w:rFonts w:ascii="Book Antiqua" w:hAnsi="Book Antiqua"/>
          <w:lang w:val="en-GB"/>
        </w:rPr>
        <w:t>T</w:t>
      </w:r>
      <w:r w:rsidR="00F86FEA" w:rsidRPr="00284BD3">
        <w:rPr>
          <w:rFonts w:ascii="Book Antiqua" w:hAnsi="Book Antiqua"/>
          <w:lang w:val="en-GB"/>
        </w:rPr>
        <w:t xml:space="preserve">o assess the rate and aetiologies of incidental anal </w:t>
      </w:r>
      <w:r w:rsidR="00F86FEA" w:rsidRPr="00284BD3">
        <w:rPr>
          <w:rFonts w:ascii="Book Antiqua" w:hAnsi="Book Antiqua"/>
          <w:vertAlign w:val="superscript"/>
          <w:lang w:val="en-GB"/>
        </w:rPr>
        <w:t>18</w:t>
      </w:r>
      <w:r w:rsidR="00F86FEA" w:rsidRPr="00284BD3">
        <w:rPr>
          <w:rFonts w:ascii="Book Antiqua" w:hAnsi="Book Antiqua"/>
          <w:lang w:val="en-GB"/>
        </w:rPr>
        <w:t xml:space="preserve">FDG uptake and to evaluate the correlation between </w:t>
      </w:r>
      <w:r w:rsidR="00F86FEA" w:rsidRPr="00284BD3">
        <w:rPr>
          <w:rFonts w:ascii="Book Antiqua" w:hAnsi="Book Antiqua"/>
          <w:vertAlign w:val="superscript"/>
          <w:lang w:val="en-GB"/>
        </w:rPr>
        <w:t>18</w:t>
      </w:r>
      <w:r w:rsidR="00F86FEA" w:rsidRPr="00284BD3">
        <w:rPr>
          <w:rFonts w:ascii="Book Antiqua" w:hAnsi="Book Antiqua"/>
          <w:lang w:val="en-GB"/>
        </w:rPr>
        <w:t xml:space="preserve">FDG </w:t>
      </w:r>
      <w:r w:rsidR="000323C5" w:rsidRPr="00284BD3">
        <w:rPr>
          <w:rFonts w:ascii="Book Antiqua" w:hAnsi="Book Antiqua"/>
          <w:lang w:val="en-GB"/>
        </w:rPr>
        <w:t>positron-emission tomography/computed tomography (</w:t>
      </w:r>
      <w:r w:rsidR="00F86FEA" w:rsidRPr="00284BD3">
        <w:rPr>
          <w:rFonts w:ascii="Book Antiqua" w:hAnsi="Book Antiqua"/>
          <w:lang w:val="en-GB"/>
        </w:rPr>
        <w:t>PET/CT</w:t>
      </w:r>
      <w:r w:rsidR="000323C5" w:rsidRPr="00284BD3">
        <w:rPr>
          <w:rFonts w:ascii="Book Antiqua" w:hAnsi="Book Antiqua"/>
          <w:lang w:val="en-GB"/>
        </w:rPr>
        <w:t>)</w:t>
      </w:r>
      <w:r w:rsidR="00F86FEA" w:rsidRPr="00284BD3">
        <w:rPr>
          <w:rFonts w:ascii="Book Antiqua" w:hAnsi="Book Antiqua"/>
          <w:lang w:val="en-GB"/>
        </w:rPr>
        <w:t xml:space="preserve"> parameters and the diagnosis of an anorectal disease.</w:t>
      </w:r>
    </w:p>
    <w:p w14:paraId="5EDE23BD" w14:textId="77777777" w:rsidR="00B055E3" w:rsidRPr="00284BD3" w:rsidRDefault="00B055E3" w:rsidP="00284BD3">
      <w:pPr>
        <w:adjustRightInd w:val="0"/>
        <w:snapToGrid w:val="0"/>
        <w:spacing w:after="0" w:line="360" w:lineRule="auto"/>
        <w:jc w:val="both"/>
        <w:rPr>
          <w:rFonts w:ascii="Book Antiqua" w:hAnsi="Book Antiqua"/>
          <w:lang w:val="en-GB"/>
        </w:rPr>
      </w:pPr>
    </w:p>
    <w:p w14:paraId="520DAD2F" w14:textId="77777777" w:rsidR="00127F9F" w:rsidRPr="00284BD3" w:rsidRDefault="00127F9F" w:rsidP="00284BD3">
      <w:pPr>
        <w:widowControl w:val="0"/>
        <w:adjustRightInd w:val="0"/>
        <w:snapToGrid w:val="0"/>
        <w:spacing w:after="0" w:line="360" w:lineRule="auto"/>
        <w:jc w:val="both"/>
        <w:rPr>
          <w:rFonts w:ascii="Book Antiqua" w:eastAsia="宋体" w:hAnsi="Book Antiqua"/>
          <w:bCs/>
          <w:color w:val="0000FF"/>
          <w:kern w:val="2"/>
          <w:lang w:val="en" w:eastAsia="zh-CN"/>
        </w:rPr>
      </w:pPr>
      <w:r w:rsidRPr="00284BD3">
        <w:rPr>
          <w:rFonts w:ascii="Book Antiqua" w:eastAsia="MS PMincho" w:hAnsi="Book Antiqua"/>
          <w:bCs/>
          <w:color w:val="000000"/>
          <w:kern w:val="2"/>
          <w:lang w:val="en-US" w:eastAsia="ja-JP"/>
        </w:rPr>
        <w:t>METHODS</w:t>
      </w:r>
    </w:p>
    <w:p w14:paraId="2FBD2FB6" w14:textId="523839C9" w:rsidR="00B665C7" w:rsidRPr="00284BD3" w:rsidRDefault="00CA33BF" w:rsidP="00284BD3">
      <w:pPr>
        <w:adjustRightInd w:val="0"/>
        <w:snapToGrid w:val="0"/>
        <w:spacing w:after="0" w:line="360" w:lineRule="auto"/>
        <w:jc w:val="both"/>
        <w:rPr>
          <w:rFonts w:ascii="Book Antiqua" w:hAnsi="Book Antiqua"/>
          <w:lang w:val="en-GB"/>
        </w:rPr>
      </w:pPr>
      <w:r w:rsidRPr="00284BD3">
        <w:rPr>
          <w:rFonts w:ascii="Book Antiqua" w:hAnsi="Book Antiqua"/>
          <w:lang w:val="en-GB"/>
        </w:rPr>
        <w:t xml:space="preserve">The data </w:t>
      </w:r>
      <w:r w:rsidR="006550DC" w:rsidRPr="00284BD3">
        <w:rPr>
          <w:rFonts w:ascii="Book Antiqua" w:eastAsia="Calibri" w:hAnsi="Book Antiqua"/>
          <w:lang w:val="en-GB"/>
        </w:rPr>
        <w:t>from</w:t>
      </w:r>
      <w:r w:rsidR="006550DC" w:rsidRPr="00284BD3">
        <w:rPr>
          <w:rFonts w:ascii="Book Antiqua" w:hAnsi="Book Antiqua"/>
          <w:lang w:val="en-GB"/>
        </w:rPr>
        <w:t xml:space="preserve"> patients with incidental anal </w:t>
      </w:r>
      <w:r w:rsidR="006550DC" w:rsidRPr="00284BD3">
        <w:rPr>
          <w:rFonts w:ascii="Book Antiqua" w:hAnsi="Book Antiqua"/>
          <w:vertAlign w:val="superscript"/>
          <w:lang w:val="en-GB"/>
        </w:rPr>
        <w:t>18</w:t>
      </w:r>
      <w:r w:rsidR="006550DC" w:rsidRPr="00284BD3">
        <w:rPr>
          <w:rFonts w:ascii="Book Antiqua" w:hAnsi="Book Antiqua"/>
          <w:lang w:val="en-GB"/>
        </w:rPr>
        <w:t xml:space="preserve">FDG uptake were </w:t>
      </w:r>
      <w:r w:rsidR="00D97573" w:rsidRPr="00284BD3">
        <w:rPr>
          <w:rFonts w:ascii="Book Antiqua" w:hAnsi="Book Antiqua"/>
          <w:lang w:val="en-GB"/>
        </w:rPr>
        <w:t>retrospectively</w:t>
      </w:r>
      <w:r w:rsidR="00D97573" w:rsidRPr="00284BD3" w:rsidDel="00195277">
        <w:rPr>
          <w:rFonts w:ascii="Book Antiqua" w:hAnsi="Book Antiqua"/>
          <w:lang w:val="en-GB"/>
        </w:rPr>
        <w:t xml:space="preserve"> </w:t>
      </w:r>
      <w:r w:rsidR="00195277" w:rsidRPr="00284BD3">
        <w:rPr>
          <w:rFonts w:ascii="Book Antiqua" w:hAnsi="Book Antiqua"/>
          <w:lang w:val="en-GB"/>
        </w:rPr>
        <w:t>analysed</w:t>
      </w:r>
      <w:r w:rsidR="006550DC" w:rsidRPr="00284BD3">
        <w:rPr>
          <w:rFonts w:ascii="Book Antiqua" w:hAnsi="Book Antiqua"/>
          <w:lang w:val="en-GB"/>
        </w:rPr>
        <w:t xml:space="preserve">. </w:t>
      </w:r>
      <w:r w:rsidR="006550DC" w:rsidRPr="00284BD3">
        <w:rPr>
          <w:rFonts w:ascii="Book Antiqua" w:hAnsi="Book Antiqua"/>
          <w:color w:val="000000" w:themeColor="text1"/>
          <w:lang w:val="en-GB"/>
        </w:rPr>
        <w:t>P</w:t>
      </w:r>
      <w:r w:rsidR="006550DC" w:rsidRPr="00284BD3">
        <w:rPr>
          <w:rFonts w:ascii="Book Antiqua" w:hAnsi="Book Antiqua"/>
          <w:lang w:val="en-GB"/>
        </w:rPr>
        <w:t xml:space="preserve">atients who </w:t>
      </w:r>
      <w:r w:rsidRPr="00284BD3">
        <w:rPr>
          <w:rFonts w:ascii="Book Antiqua" w:hAnsi="Book Antiqua"/>
          <w:lang w:val="en-GB"/>
        </w:rPr>
        <w:t xml:space="preserve">underwent </w:t>
      </w:r>
      <w:r w:rsidR="006550DC" w:rsidRPr="00284BD3">
        <w:rPr>
          <w:rFonts w:ascii="Book Antiqua" w:hAnsi="Book Antiqua"/>
          <w:lang w:val="en-GB"/>
        </w:rPr>
        <w:t xml:space="preserve">anorectal </w:t>
      </w:r>
      <w:r w:rsidRPr="00284BD3">
        <w:rPr>
          <w:rFonts w:ascii="Book Antiqua" w:hAnsi="Book Antiqua"/>
          <w:lang w:val="en-GB"/>
        </w:rPr>
        <w:t xml:space="preserve">examinations </w:t>
      </w:r>
      <w:r w:rsidR="006550DC" w:rsidRPr="00284BD3">
        <w:rPr>
          <w:rFonts w:ascii="Book Antiqua" w:hAnsi="Book Antiqua"/>
          <w:lang w:val="en-GB"/>
        </w:rPr>
        <w:t xml:space="preserve">were identified and compared to those </w:t>
      </w:r>
      <w:r w:rsidR="00D97573" w:rsidRPr="00284BD3">
        <w:rPr>
          <w:rFonts w:ascii="Book Antiqua" w:hAnsi="Book Antiqua"/>
          <w:lang w:val="en-GB"/>
        </w:rPr>
        <w:t>who did not undergo</w:t>
      </w:r>
      <w:r w:rsidRPr="00284BD3">
        <w:rPr>
          <w:rFonts w:ascii="Book Antiqua" w:hAnsi="Book Antiqua"/>
          <w:lang w:val="en-GB"/>
        </w:rPr>
        <w:t xml:space="preserve"> examinations</w:t>
      </w:r>
      <w:r w:rsidR="006550DC" w:rsidRPr="00284BD3">
        <w:rPr>
          <w:rFonts w:ascii="Book Antiqua" w:hAnsi="Book Antiqua"/>
          <w:lang w:val="en-GB"/>
        </w:rPr>
        <w:t xml:space="preserve">. </w:t>
      </w:r>
      <w:bookmarkStart w:id="38" w:name="_Hlk17627913"/>
      <w:r w:rsidR="006550DC" w:rsidRPr="00284BD3">
        <w:rPr>
          <w:rFonts w:ascii="Book Antiqua" w:hAnsi="Book Antiqua"/>
          <w:lang w:val="en-GB"/>
        </w:rPr>
        <w:t xml:space="preserve">Patients who were offered treatment were then identified and compared to </w:t>
      </w:r>
      <w:r w:rsidRPr="00284BD3">
        <w:rPr>
          <w:rFonts w:ascii="Book Antiqua" w:hAnsi="Book Antiqua"/>
          <w:lang w:val="en-GB"/>
        </w:rPr>
        <w:t>those who did not receive treatment</w:t>
      </w:r>
      <w:r w:rsidR="006550DC" w:rsidRPr="00284BD3">
        <w:rPr>
          <w:rFonts w:ascii="Book Antiqua" w:hAnsi="Book Antiqua"/>
          <w:lang w:val="en-GB"/>
        </w:rPr>
        <w:t>.</w:t>
      </w:r>
      <w:bookmarkEnd w:id="38"/>
    </w:p>
    <w:p w14:paraId="2F0E54FA" w14:textId="77777777" w:rsidR="00B055E3" w:rsidRPr="00284BD3" w:rsidRDefault="00B055E3" w:rsidP="00284BD3">
      <w:pPr>
        <w:adjustRightInd w:val="0"/>
        <w:snapToGrid w:val="0"/>
        <w:spacing w:after="0" w:line="360" w:lineRule="auto"/>
        <w:jc w:val="both"/>
        <w:rPr>
          <w:rFonts w:ascii="Book Antiqua" w:hAnsi="Book Antiqua"/>
          <w:lang w:val="en-GB"/>
        </w:rPr>
      </w:pPr>
    </w:p>
    <w:p w14:paraId="5BA5FF63" w14:textId="77777777" w:rsidR="00127F9F" w:rsidRPr="00284BD3" w:rsidRDefault="00127F9F" w:rsidP="00284BD3">
      <w:pPr>
        <w:widowControl w:val="0"/>
        <w:adjustRightInd w:val="0"/>
        <w:snapToGrid w:val="0"/>
        <w:spacing w:after="0" w:line="360" w:lineRule="auto"/>
        <w:jc w:val="both"/>
        <w:rPr>
          <w:rFonts w:ascii="Book Antiqua" w:eastAsia="宋体" w:hAnsi="Book Antiqua"/>
          <w:bCs/>
          <w:color w:val="0000FF"/>
          <w:kern w:val="2"/>
          <w:lang w:val="en" w:eastAsia="zh-CN"/>
        </w:rPr>
      </w:pPr>
      <w:r w:rsidRPr="00284BD3">
        <w:rPr>
          <w:rFonts w:ascii="Book Antiqua" w:eastAsia="MS PMincho" w:hAnsi="Book Antiqua"/>
          <w:bCs/>
          <w:color w:val="000000"/>
          <w:kern w:val="2"/>
          <w:lang w:val="en-US" w:eastAsia="ja-JP"/>
        </w:rPr>
        <w:t>RESULTS</w:t>
      </w:r>
    </w:p>
    <w:p w14:paraId="07DC22DA" w14:textId="56A8202C" w:rsidR="00B665C7" w:rsidRPr="00284BD3" w:rsidRDefault="006550DC" w:rsidP="00284BD3">
      <w:pPr>
        <w:adjustRightInd w:val="0"/>
        <w:snapToGrid w:val="0"/>
        <w:spacing w:after="0" w:line="360" w:lineRule="auto"/>
        <w:jc w:val="both"/>
        <w:rPr>
          <w:rFonts w:ascii="Book Antiqua" w:hAnsi="Book Antiqua"/>
          <w:lang w:val="en-GB"/>
        </w:rPr>
      </w:pPr>
      <w:r w:rsidRPr="00284BD3">
        <w:rPr>
          <w:rFonts w:ascii="Book Antiqua" w:hAnsi="Book Antiqua"/>
          <w:bCs/>
          <w:lang w:val="en-GB"/>
        </w:rPr>
        <w:t xml:space="preserve">Among the 43 020 </w:t>
      </w:r>
      <w:r w:rsidRPr="00284BD3">
        <w:rPr>
          <w:rFonts w:ascii="Book Antiqua" w:hAnsi="Book Antiqua"/>
          <w:bCs/>
          <w:vertAlign w:val="superscript"/>
          <w:lang w:val="en-GB"/>
        </w:rPr>
        <w:t>18</w:t>
      </w:r>
      <w:r w:rsidRPr="00284BD3">
        <w:rPr>
          <w:rFonts w:ascii="Book Antiqua" w:hAnsi="Book Antiqua"/>
          <w:bCs/>
          <w:lang w:val="en-GB"/>
        </w:rPr>
        <w:t xml:space="preserve">FDG PET/CT </w:t>
      </w:r>
      <w:r w:rsidR="00CA33BF" w:rsidRPr="00284BD3">
        <w:rPr>
          <w:rFonts w:ascii="Book Antiqua" w:hAnsi="Book Antiqua"/>
          <w:bCs/>
          <w:lang w:val="en-GB"/>
        </w:rPr>
        <w:t xml:space="preserve">scans </w:t>
      </w:r>
      <w:r w:rsidR="00B24807" w:rsidRPr="00284BD3">
        <w:rPr>
          <w:rFonts w:ascii="Book Antiqua" w:hAnsi="Book Antiqua"/>
          <w:bCs/>
          <w:lang w:val="en-GB"/>
        </w:rPr>
        <w:t xml:space="preserve">performed, </w:t>
      </w:r>
      <w:r w:rsidRPr="00284BD3">
        <w:rPr>
          <w:rFonts w:ascii="Book Antiqua" w:hAnsi="Book Antiqua"/>
          <w:bCs/>
          <w:lang w:val="en-GB"/>
        </w:rPr>
        <w:t xml:space="preserve">197 </w:t>
      </w:r>
      <w:r w:rsidRPr="00284BD3">
        <w:rPr>
          <w:rFonts w:ascii="Book Antiqua" w:hAnsi="Book Antiqua"/>
          <w:bCs/>
          <w:vertAlign w:val="superscript"/>
          <w:lang w:val="en-GB"/>
        </w:rPr>
        <w:t>18</w:t>
      </w:r>
      <w:r w:rsidR="00FB50FC" w:rsidRPr="00284BD3">
        <w:rPr>
          <w:rFonts w:ascii="Book Antiqua" w:hAnsi="Book Antiqua"/>
          <w:lang w:val="en-GB"/>
        </w:rPr>
        <w:t xml:space="preserve">FDG PET/CT </w:t>
      </w:r>
      <w:r w:rsidR="00CA33BF" w:rsidRPr="00284BD3">
        <w:rPr>
          <w:rFonts w:ascii="Book Antiqua" w:hAnsi="Book Antiqua"/>
          <w:lang w:val="en-GB"/>
        </w:rPr>
        <w:t>scan</w:t>
      </w:r>
      <w:r w:rsidR="00D97573" w:rsidRPr="00284BD3">
        <w:rPr>
          <w:rFonts w:ascii="Book Antiqua" w:hAnsi="Book Antiqua"/>
          <w:lang w:val="en-GB"/>
        </w:rPr>
        <w:t>s</w:t>
      </w:r>
      <w:r w:rsidR="00CA33BF" w:rsidRPr="00284BD3">
        <w:rPr>
          <w:rFonts w:ascii="Book Antiqua" w:hAnsi="Book Antiqua"/>
          <w:lang w:val="en-GB"/>
        </w:rPr>
        <w:t xml:space="preserve"> of </w:t>
      </w:r>
      <w:r w:rsidR="00FB50FC" w:rsidRPr="00284BD3">
        <w:rPr>
          <w:rFonts w:ascii="Book Antiqua" w:hAnsi="Book Antiqua"/>
          <w:lang w:val="en-GB"/>
        </w:rPr>
        <w:t>146 patients (0.45%) reported incidental anal uptake</w:t>
      </w:r>
      <w:r w:rsidR="00EC2046" w:rsidRPr="00284BD3">
        <w:rPr>
          <w:rFonts w:ascii="Book Antiqua" w:hAnsi="Book Antiqua"/>
          <w:lang w:val="en-GB"/>
        </w:rPr>
        <w:t>. Among the 134 patients included, 48</w:t>
      </w:r>
      <w:r w:rsidR="00FB50FC" w:rsidRPr="00284BD3">
        <w:rPr>
          <w:rFonts w:ascii="Book Antiqua" w:hAnsi="Book Antiqua"/>
          <w:lang w:val="en-GB"/>
        </w:rPr>
        <w:t xml:space="preserve"> (35.8%) </w:t>
      </w:r>
      <w:r w:rsidR="00CA33BF" w:rsidRPr="00284BD3">
        <w:rPr>
          <w:rFonts w:ascii="Book Antiqua" w:hAnsi="Book Antiqua"/>
          <w:lang w:val="en-GB"/>
        </w:rPr>
        <w:t xml:space="preserve">patients </w:t>
      </w:r>
      <w:r w:rsidR="00FB50FC" w:rsidRPr="00284BD3">
        <w:rPr>
          <w:rFonts w:ascii="Book Antiqua" w:hAnsi="Book Antiqua"/>
          <w:lang w:val="en-GB"/>
        </w:rPr>
        <w:t xml:space="preserve">underwent anorectal </w:t>
      </w:r>
      <w:r w:rsidR="00D97573" w:rsidRPr="00284BD3">
        <w:rPr>
          <w:rFonts w:ascii="Book Antiqua" w:hAnsi="Book Antiqua"/>
          <w:lang w:val="en-GB"/>
        </w:rPr>
        <w:t>examinations</w:t>
      </w:r>
      <w:r w:rsidRPr="00284BD3">
        <w:rPr>
          <w:rFonts w:ascii="Book Antiqua" w:eastAsia="Calibri" w:hAnsi="Book Antiqua"/>
          <w:lang w:val="en-GB"/>
        </w:rPr>
        <w:t>,</w:t>
      </w:r>
      <w:r w:rsidR="00FB50FC" w:rsidRPr="00284BD3">
        <w:rPr>
          <w:rFonts w:ascii="Book Antiqua" w:hAnsi="Book Antiqua"/>
          <w:lang w:val="en-GB"/>
        </w:rPr>
        <w:t xml:space="preserve"> and anorectal disease</w:t>
      </w:r>
      <w:r w:rsidR="00D97573" w:rsidRPr="00284BD3">
        <w:rPr>
          <w:rFonts w:ascii="Book Antiqua" w:hAnsi="Book Antiqua"/>
          <w:lang w:val="en-GB"/>
        </w:rPr>
        <w:t>s</w:t>
      </w:r>
      <w:r w:rsidR="00FB50FC" w:rsidRPr="00284BD3">
        <w:rPr>
          <w:rFonts w:ascii="Book Antiqua" w:hAnsi="Book Antiqua"/>
          <w:lang w:val="en-GB"/>
        </w:rPr>
        <w:t xml:space="preserve"> </w:t>
      </w:r>
      <w:r w:rsidR="00D97573" w:rsidRPr="00284BD3">
        <w:rPr>
          <w:rFonts w:ascii="Book Antiqua" w:hAnsi="Book Antiqua"/>
          <w:lang w:val="en-GB"/>
        </w:rPr>
        <w:t xml:space="preserve">were </w:t>
      </w:r>
      <w:r w:rsidR="00FB50FC" w:rsidRPr="00284BD3">
        <w:rPr>
          <w:rFonts w:ascii="Book Antiqua" w:hAnsi="Book Antiqua"/>
          <w:lang w:val="en-GB"/>
        </w:rPr>
        <w:t>diagnosed in 33 (69</w:t>
      </w:r>
      <w:r w:rsidR="00BC3F03" w:rsidRPr="00284BD3">
        <w:rPr>
          <w:rFonts w:ascii="Book Antiqua" w:hAnsi="Book Antiqua"/>
          <w:lang w:val="en-GB"/>
        </w:rPr>
        <w:t>.0</w:t>
      </w:r>
      <w:r w:rsidR="00FB50FC" w:rsidRPr="00284BD3">
        <w:rPr>
          <w:rFonts w:ascii="Book Antiqua" w:hAnsi="Book Antiqua"/>
          <w:lang w:val="en-GB"/>
        </w:rPr>
        <w:t xml:space="preserve">%) of </w:t>
      </w:r>
      <w:r w:rsidR="00CA33BF" w:rsidRPr="00284BD3">
        <w:rPr>
          <w:rFonts w:ascii="Book Antiqua" w:hAnsi="Book Antiqua"/>
          <w:lang w:val="en-GB"/>
        </w:rPr>
        <w:t>these patients</w:t>
      </w:r>
      <w:r w:rsidR="007F50DC" w:rsidRPr="00284BD3">
        <w:rPr>
          <w:rFonts w:ascii="Book Antiqua" w:hAnsi="Book Antiqua"/>
          <w:lang w:val="en-GB"/>
        </w:rPr>
        <w:t xml:space="preserve"> and </w:t>
      </w:r>
      <w:r w:rsidR="00FB50FC" w:rsidRPr="00284BD3">
        <w:rPr>
          <w:rFonts w:ascii="Book Antiqua" w:hAnsi="Book Antiqua"/>
          <w:lang w:val="en-GB"/>
        </w:rPr>
        <w:t xml:space="preserve">treated in 18/48 (37.5%) patients. Among the </w:t>
      </w:r>
      <w:r w:rsidR="00D97573" w:rsidRPr="00284BD3">
        <w:rPr>
          <w:rFonts w:ascii="Book Antiqua" w:hAnsi="Book Antiqua"/>
          <w:lang w:val="en-GB"/>
        </w:rPr>
        <w:t xml:space="preserve">examined </w:t>
      </w:r>
      <w:r w:rsidR="00FB50FC" w:rsidRPr="00284BD3">
        <w:rPr>
          <w:rFonts w:ascii="Book Antiqua" w:hAnsi="Book Antiqua"/>
          <w:lang w:val="en-GB"/>
        </w:rPr>
        <w:t xml:space="preserve">patients, those with a pathology requiring treatment had significantly smaller </w:t>
      </w:r>
      <w:r w:rsidR="000323C5" w:rsidRPr="00284BD3">
        <w:rPr>
          <w:rFonts w:ascii="Book Antiqua" w:hAnsi="Book Antiqua"/>
          <w:lang w:val="en-GB"/>
        </w:rPr>
        <w:t xml:space="preserve">metabolic volumes (MV) </w:t>
      </w:r>
      <w:r w:rsidR="00FB50FC" w:rsidRPr="00284BD3">
        <w:rPr>
          <w:rFonts w:ascii="Book Antiqua" w:hAnsi="Book Antiqua"/>
          <w:lang w:val="en-GB"/>
        </w:rPr>
        <w:t>30 and MV41</w:t>
      </w:r>
      <w:r w:rsidR="00F80F0D" w:rsidRPr="00284BD3">
        <w:rPr>
          <w:rFonts w:ascii="Book Antiqua" w:hAnsi="Book Antiqua"/>
          <w:lang w:val="en-GB"/>
        </w:rPr>
        <w:t xml:space="preserve"> </w:t>
      </w:r>
      <w:r w:rsidR="00CA33BF" w:rsidRPr="00284BD3">
        <w:rPr>
          <w:rFonts w:ascii="Book Antiqua" w:hAnsi="Book Antiqua"/>
          <w:lang w:val="en-GB"/>
        </w:rPr>
        <w:t xml:space="preserve">values </w:t>
      </w:r>
      <w:r w:rsidR="00FB50FC" w:rsidRPr="00284BD3">
        <w:rPr>
          <w:rFonts w:ascii="Book Antiqua" w:hAnsi="Book Antiqua"/>
          <w:lang w:val="en-GB"/>
        </w:rPr>
        <w:t xml:space="preserve">and higher </w:t>
      </w:r>
      <w:r w:rsidR="000323C5" w:rsidRPr="00284BD3">
        <w:rPr>
          <w:rFonts w:ascii="Book Antiqua" w:hAnsi="Book Antiqua"/>
          <w:lang w:val="en-GB"/>
        </w:rPr>
        <w:t xml:space="preserve">maximal and mean standardized uptake value </w:t>
      </w:r>
      <w:r w:rsidR="00A67B0B" w:rsidRPr="00284BD3">
        <w:rPr>
          <w:rFonts w:ascii="Book Antiqua" w:hAnsi="Book Antiqua"/>
          <w:lang w:val="en-GB"/>
        </w:rPr>
        <w:t>measurements</w:t>
      </w:r>
      <w:r w:rsidR="00CA33BF" w:rsidRPr="00284BD3">
        <w:rPr>
          <w:rFonts w:ascii="Book Antiqua" w:hAnsi="Book Antiqua"/>
          <w:lang w:val="en-GB"/>
        </w:rPr>
        <w:t xml:space="preserve"> </w:t>
      </w:r>
      <w:r w:rsidR="00FB50FC" w:rsidRPr="00284BD3">
        <w:rPr>
          <w:rFonts w:ascii="Book Antiqua" w:hAnsi="Book Antiqua"/>
          <w:lang w:val="en-GB"/>
        </w:rPr>
        <w:t xml:space="preserve">than </w:t>
      </w:r>
      <w:r w:rsidR="00CA33BF" w:rsidRPr="00284BD3">
        <w:rPr>
          <w:rFonts w:ascii="Book Antiqua" w:hAnsi="Book Antiqua"/>
          <w:lang w:val="en-GB"/>
        </w:rPr>
        <w:t>those who did not require treatment</w:t>
      </w:r>
      <w:r w:rsidR="00FB50FC" w:rsidRPr="00284BD3">
        <w:rPr>
          <w:rFonts w:ascii="Book Antiqua" w:hAnsi="Book Antiqua"/>
          <w:lang w:val="en-GB"/>
        </w:rPr>
        <w:t>.</w:t>
      </w:r>
    </w:p>
    <w:p w14:paraId="21C0008D" w14:textId="77777777" w:rsidR="00B055E3" w:rsidRPr="00284BD3" w:rsidRDefault="00B055E3" w:rsidP="00284BD3">
      <w:pPr>
        <w:adjustRightInd w:val="0"/>
        <w:snapToGrid w:val="0"/>
        <w:spacing w:after="0" w:line="360" w:lineRule="auto"/>
        <w:jc w:val="both"/>
        <w:rPr>
          <w:rFonts w:ascii="Book Antiqua" w:hAnsi="Book Antiqua"/>
          <w:lang w:val="en-GB"/>
        </w:rPr>
      </w:pPr>
    </w:p>
    <w:p w14:paraId="7E51B756" w14:textId="77777777" w:rsidR="00426DFB" w:rsidRPr="00284BD3" w:rsidRDefault="00426DFB" w:rsidP="00284BD3">
      <w:pPr>
        <w:widowControl w:val="0"/>
        <w:adjustRightInd w:val="0"/>
        <w:snapToGrid w:val="0"/>
        <w:spacing w:after="0" w:line="360" w:lineRule="auto"/>
        <w:jc w:val="both"/>
        <w:rPr>
          <w:rFonts w:ascii="Book Antiqua" w:eastAsia="MS PMincho" w:hAnsi="Book Antiqua"/>
          <w:bCs/>
          <w:color w:val="000000"/>
          <w:kern w:val="2"/>
          <w:lang w:val="en" w:eastAsia="zh-CN"/>
        </w:rPr>
      </w:pPr>
      <w:r w:rsidRPr="00284BD3">
        <w:rPr>
          <w:rFonts w:ascii="Book Antiqua" w:eastAsia="MS PMincho" w:hAnsi="Book Antiqua"/>
          <w:bCs/>
          <w:color w:val="000000"/>
          <w:kern w:val="2"/>
          <w:lang w:val="en-US" w:eastAsia="ja-JP"/>
        </w:rPr>
        <w:t>CONCLUSION</w:t>
      </w:r>
      <w:r w:rsidRPr="00284BD3">
        <w:rPr>
          <w:rFonts w:ascii="Book Antiqua" w:eastAsia="MS PMincho" w:hAnsi="Book Antiqua"/>
          <w:bCs/>
          <w:color w:val="000000"/>
          <w:kern w:val="2"/>
          <w:lang w:val="en" w:eastAsia="ja-JP"/>
        </w:rPr>
        <w:t xml:space="preserve"> </w:t>
      </w:r>
    </w:p>
    <w:p w14:paraId="086C23C8" w14:textId="284F8640" w:rsidR="00F6027B" w:rsidRPr="00284BD3" w:rsidRDefault="006550DC" w:rsidP="00284BD3">
      <w:pPr>
        <w:adjustRightInd w:val="0"/>
        <w:snapToGrid w:val="0"/>
        <w:spacing w:after="0" w:line="360" w:lineRule="auto"/>
        <w:jc w:val="both"/>
        <w:rPr>
          <w:rFonts w:ascii="Book Antiqua" w:hAnsi="Book Antiqua"/>
          <w:lang w:val="en-GB"/>
        </w:rPr>
      </w:pPr>
      <w:r w:rsidRPr="00284BD3">
        <w:rPr>
          <w:rFonts w:ascii="Book Antiqua" w:hAnsi="Book Antiqua"/>
          <w:lang w:val="en-GB"/>
        </w:rPr>
        <w:t xml:space="preserve">Incidental anal </w:t>
      </w:r>
      <w:r w:rsidRPr="00284BD3">
        <w:rPr>
          <w:rFonts w:ascii="Book Antiqua" w:hAnsi="Book Antiqua"/>
          <w:vertAlign w:val="superscript"/>
          <w:lang w:val="en-GB"/>
        </w:rPr>
        <w:t>18</w:t>
      </w:r>
      <w:r w:rsidRPr="00284BD3">
        <w:rPr>
          <w:rFonts w:ascii="Book Antiqua" w:hAnsi="Book Antiqua"/>
          <w:lang w:val="en-GB"/>
        </w:rPr>
        <w:t>FDG uptake is rare</w:t>
      </w:r>
      <w:r w:rsidRPr="00284BD3">
        <w:rPr>
          <w:rFonts w:ascii="Book Antiqua" w:eastAsia="Calibri" w:hAnsi="Book Antiqua"/>
          <w:lang w:val="en-GB"/>
        </w:rPr>
        <w:t>,</w:t>
      </w:r>
      <w:r w:rsidRPr="00284BD3">
        <w:rPr>
          <w:rFonts w:ascii="Book Antiqua" w:hAnsi="Book Antiqua"/>
          <w:lang w:val="en-GB"/>
        </w:rPr>
        <w:t xml:space="preserve"> but a reliable anorectal diagnosis is </w:t>
      </w:r>
      <w:r w:rsidR="00D97573" w:rsidRPr="00284BD3">
        <w:rPr>
          <w:rFonts w:ascii="Book Antiqua" w:hAnsi="Book Antiqua"/>
          <w:lang w:val="en-GB"/>
        </w:rPr>
        <w:t xml:space="preserve">commonly </w:t>
      </w:r>
      <w:r w:rsidRPr="00284BD3">
        <w:rPr>
          <w:rFonts w:ascii="Book Antiqua" w:hAnsi="Book Antiqua"/>
          <w:lang w:val="en-GB"/>
        </w:rPr>
        <w:t xml:space="preserve">obtained when </w:t>
      </w:r>
      <w:r w:rsidR="00CA33BF" w:rsidRPr="00284BD3">
        <w:rPr>
          <w:rFonts w:ascii="Book Antiqua" w:hAnsi="Book Antiqua"/>
          <w:lang w:val="en-GB"/>
        </w:rPr>
        <w:t xml:space="preserve">an </w:t>
      </w:r>
      <w:r w:rsidRPr="00284BD3">
        <w:rPr>
          <w:rFonts w:ascii="Book Antiqua" w:hAnsi="Book Antiqua"/>
          <w:lang w:val="en-GB"/>
        </w:rPr>
        <w:t xml:space="preserve">anorectal </w:t>
      </w:r>
      <w:r w:rsidR="00D97573" w:rsidRPr="00284BD3">
        <w:rPr>
          <w:rFonts w:ascii="Book Antiqua" w:hAnsi="Book Antiqua"/>
          <w:lang w:val="en-GB"/>
        </w:rPr>
        <w:t xml:space="preserve">examination </w:t>
      </w:r>
      <w:r w:rsidRPr="00284BD3">
        <w:rPr>
          <w:rFonts w:ascii="Book Antiqua" w:hAnsi="Book Antiqua"/>
          <w:lang w:val="en-GB"/>
        </w:rPr>
        <w:t xml:space="preserve">is </w:t>
      </w:r>
      <w:r w:rsidR="007F50DC" w:rsidRPr="00284BD3">
        <w:rPr>
          <w:rFonts w:ascii="Book Antiqua" w:hAnsi="Book Antiqua"/>
          <w:lang w:val="en-GB"/>
        </w:rPr>
        <w:t>performed. T</w:t>
      </w:r>
      <w:r w:rsidR="00D97573" w:rsidRPr="00284BD3">
        <w:rPr>
          <w:rFonts w:ascii="Book Antiqua" w:hAnsi="Book Antiqua"/>
          <w:lang w:val="en-GB"/>
        </w:rPr>
        <w:t>he</w:t>
      </w:r>
      <w:r w:rsidRPr="00284BD3">
        <w:rPr>
          <w:rFonts w:ascii="Book Antiqua" w:hAnsi="Book Antiqua"/>
          <w:lang w:val="en-GB"/>
        </w:rPr>
        <w:t xml:space="preserve"> diagnosis </w:t>
      </w:r>
      <w:r w:rsidR="00CA33BF" w:rsidRPr="00284BD3">
        <w:rPr>
          <w:rFonts w:ascii="Book Antiqua" w:hAnsi="Book Antiqua"/>
          <w:lang w:val="en-GB"/>
        </w:rPr>
        <w:t xml:space="preserve">of an anorectal disease </w:t>
      </w:r>
      <w:r w:rsidRPr="00284BD3">
        <w:rPr>
          <w:rFonts w:ascii="Book Antiqua" w:hAnsi="Book Antiqua"/>
          <w:lang w:val="en-GB"/>
        </w:rPr>
        <w:t xml:space="preserve">induces treatment in more than </w:t>
      </w:r>
      <w:r w:rsidR="00CA33BF" w:rsidRPr="00284BD3">
        <w:rPr>
          <w:rFonts w:ascii="Book Antiqua" w:hAnsi="Book Antiqua"/>
          <w:lang w:val="en-GB"/>
        </w:rPr>
        <w:t>one-</w:t>
      </w:r>
      <w:r w:rsidRPr="00284BD3">
        <w:rPr>
          <w:rFonts w:ascii="Book Antiqua" w:hAnsi="Book Antiqua"/>
          <w:lang w:val="en-GB"/>
        </w:rPr>
        <w:t xml:space="preserve">third of </w:t>
      </w:r>
      <w:r w:rsidR="00CA33BF" w:rsidRPr="00284BD3">
        <w:rPr>
          <w:rFonts w:ascii="Book Antiqua" w:hAnsi="Book Antiqua"/>
          <w:lang w:val="en-GB"/>
        </w:rPr>
        <w:t>the patients</w:t>
      </w:r>
      <w:r w:rsidRPr="00284BD3">
        <w:rPr>
          <w:rFonts w:ascii="Book Antiqua" w:hAnsi="Book Antiqua"/>
          <w:lang w:val="en-GB"/>
        </w:rPr>
        <w:t xml:space="preserve">. These data should encourage practitioners to explore incidental anal </w:t>
      </w:r>
      <w:r w:rsidRPr="00284BD3">
        <w:rPr>
          <w:rFonts w:ascii="Book Antiqua" w:hAnsi="Book Antiqua"/>
          <w:vertAlign w:val="superscript"/>
          <w:lang w:val="en-GB"/>
        </w:rPr>
        <w:t>18</w:t>
      </w:r>
      <w:r w:rsidRPr="00284BD3">
        <w:rPr>
          <w:rFonts w:ascii="Book Antiqua" w:hAnsi="Book Antiqua"/>
          <w:lang w:val="en-GB"/>
        </w:rPr>
        <w:t>FDG uptake systematically.</w:t>
      </w:r>
      <w:bookmarkEnd w:id="36"/>
      <w:bookmarkEnd w:id="37"/>
    </w:p>
    <w:p w14:paraId="51900347" w14:textId="77777777" w:rsidR="00127F9F" w:rsidRPr="00284BD3" w:rsidRDefault="00127F9F" w:rsidP="00284BD3">
      <w:pPr>
        <w:widowControl w:val="0"/>
        <w:adjustRightInd w:val="0"/>
        <w:snapToGrid w:val="0"/>
        <w:spacing w:after="0" w:line="360" w:lineRule="auto"/>
        <w:jc w:val="both"/>
        <w:rPr>
          <w:rFonts w:ascii="Book Antiqua" w:eastAsia="MS PMincho" w:hAnsi="Book Antiqua"/>
          <w:bCs/>
          <w:color w:val="000000"/>
          <w:kern w:val="2"/>
          <w:lang w:val="en-US" w:eastAsia="ja-JP"/>
        </w:rPr>
      </w:pPr>
    </w:p>
    <w:p w14:paraId="7B03EF04" w14:textId="4C8AE63C" w:rsidR="00F20125" w:rsidRPr="00793E90" w:rsidRDefault="00127F9F" w:rsidP="00793E90">
      <w:pPr>
        <w:adjustRightInd w:val="0"/>
        <w:snapToGrid w:val="0"/>
        <w:spacing w:after="0" w:line="360" w:lineRule="auto"/>
        <w:jc w:val="both"/>
        <w:rPr>
          <w:rFonts w:ascii="Book Antiqua" w:hAnsi="Book Antiqua"/>
          <w:lang w:val="en-GB"/>
        </w:rPr>
      </w:pPr>
      <w:r w:rsidRPr="00793E90">
        <w:rPr>
          <w:rFonts w:ascii="Book Antiqua" w:eastAsia="MS PMincho" w:hAnsi="Book Antiqua"/>
          <w:b/>
          <w:bCs/>
          <w:color w:val="000000"/>
          <w:kern w:val="2"/>
          <w:lang w:val="en-US" w:eastAsia="ja-JP"/>
        </w:rPr>
        <w:lastRenderedPageBreak/>
        <w:t>Key words:</w:t>
      </w:r>
      <w:r w:rsidRPr="00793E90">
        <w:rPr>
          <w:rFonts w:ascii="Book Antiqua" w:eastAsia="MS PMincho" w:hAnsi="Book Antiqua"/>
          <w:bCs/>
          <w:color w:val="000000"/>
          <w:kern w:val="2"/>
          <w:lang w:val="en-US" w:eastAsia="ja-JP"/>
        </w:rPr>
        <w:t xml:space="preserve"> </w:t>
      </w:r>
      <w:r w:rsidR="00463259" w:rsidRPr="00793E90">
        <w:rPr>
          <w:rFonts w:ascii="Book Antiqua" w:hAnsi="Book Antiqua"/>
          <w:b/>
          <w:lang w:val="en-GB"/>
        </w:rPr>
        <w:t xml:space="preserve"> </w:t>
      </w:r>
      <w:bookmarkStart w:id="39" w:name="OLE_LINK62"/>
      <w:bookmarkStart w:id="40" w:name="OLE_LINK63"/>
      <w:r w:rsidRPr="00793E90">
        <w:rPr>
          <w:rFonts w:ascii="Book Antiqua" w:hAnsi="Book Antiqua"/>
          <w:lang w:val="en-GB"/>
        </w:rPr>
        <w:t>I</w:t>
      </w:r>
      <w:r w:rsidR="00173CEC" w:rsidRPr="00793E90">
        <w:rPr>
          <w:rFonts w:ascii="Book Antiqua" w:hAnsi="Book Antiqua"/>
          <w:lang w:val="en-GB"/>
        </w:rPr>
        <w:t xml:space="preserve">ncidental anal </w:t>
      </w:r>
      <w:r w:rsidR="00173CEC" w:rsidRPr="00793E90">
        <w:rPr>
          <w:rFonts w:ascii="Book Antiqua" w:hAnsi="Book Antiqua"/>
          <w:vertAlign w:val="superscript"/>
          <w:lang w:val="en-GB"/>
        </w:rPr>
        <w:t>18</w:t>
      </w:r>
      <w:r w:rsidR="006752FC" w:rsidRPr="00793E90">
        <w:rPr>
          <w:rFonts w:ascii="Book Antiqua" w:hAnsi="Book Antiqua"/>
          <w:lang w:val="en-GB"/>
        </w:rPr>
        <w:t>fluorodeoxyglucose</w:t>
      </w:r>
      <w:r w:rsidR="00173CEC" w:rsidRPr="00793E90">
        <w:rPr>
          <w:rFonts w:ascii="Book Antiqua" w:hAnsi="Book Antiqua"/>
          <w:lang w:val="en-GB"/>
        </w:rPr>
        <w:t xml:space="preserve"> uptake</w:t>
      </w:r>
      <w:bookmarkEnd w:id="39"/>
      <w:bookmarkEnd w:id="40"/>
      <w:r w:rsidRPr="00793E90">
        <w:rPr>
          <w:rFonts w:ascii="Book Antiqua" w:hAnsi="Book Antiqua"/>
          <w:lang w:val="en-GB"/>
        </w:rPr>
        <w:t xml:space="preserve">; </w:t>
      </w:r>
      <w:bookmarkStart w:id="41" w:name="OLE_LINK68"/>
      <w:bookmarkStart w:id="42" w:name="OLE_LINK69"/>
      <w:r w:rsidRPr="00793E90">
        <w:rPr>
          <w:rFonts w:ascii="Book Antiqua" w:hAnsi="Book Antiqua"/>
          <w:lang w:val="en-GB"/>
        </w:rPr>
        <w:t>A</w:t>
      </w:r>
      <w:r w:rsidR="00173CEC" w:rsidRPr="00793E90">
        <w:rPr>
          <w:rFonts w:ascii="Book Antiqua" w:hAnsi="Book Antiqua"/>
          <w:lang w:val="en-GB"/>
        </w:rPr>
        <w:t>norectal disease</w:t>
      </w:r>
      <w:bookmarkEnd w:id="41"/>
      <w:bookmarkEnd w:id="42"/>
      <w:r w:rsidRPr="00793E90">
        <w:rPr>
          <w:rFonts w:ascii="Book Antiqua" w:hAnsi="Book Antiqua"/>
          <w:lang w:val="en-GB"/>
        </w:rPr>
        <w:t xml:space="preserve">; </w:t>
      </w:r>
      <w:bookmarkStart w:id="43" w:name="OLE_LINK72"/>
      <w:bookmarkStart w:id="44" w:name="OLE_LINK73"/>
      <w:r w:rsidRPr="00793E90">
        <w:rPr>
          <w:rFonts w:ascii="Book Antiqua" w:hAnsi="Book Antiqua"/>
          <w:lang w:val="en-GB"/>
        </w:rPr>
        <w:t>R</w:t>
      </w:r>
      <w:r w:rsidR="00173CEC" w:rsidRPr="00793E90">
        <w:rPr>
          <w:rFonts w:ascii="Book Antiqua" w:hAnsi="Book Antiqua"/>
          <w:lang w:val="en-GB"/>
        </w:rPr>
        <w:t>are</w:t>
      </w:r>
      <w:bookmarkEnd w:id="43"/>
      <w:bookmarkEnd w:id="44"/>
    </w:p>
    <w:p w14:paraId="5E3E8ED6" w14:textId="77777777" w:rsidR="00127F9F" w:rsidRPr="00793E90" w:rsidRDefault="00127F9F" w:rsidP="00793E90">
      <w:pPr>
        <w:pStyle w:val="NoSpacing1"/>
        <w:adjustRightInd w:val="0"/>
        <w:snapToGrid w:val="0"/>
        <w:spacing w:line="360" w:lineRule="auto"/>
        <w:jc w:val="both"/>
        <w:rPr>
          <w:rFonts w:ascii="Book Antiqua" w:hAnsi="Book Antiqua"/>
          <w:b/>
          <w:bCs/>
          <w:sz w:val="24"/>
          <w:szCs w:val="24"/>
          <w:lang w:val="en-US"/>
        </w:rPr>
      </w:pPr>
    </w:p>
    <w:p w14:paraId="2A0959CC" w14:textId="4F7CD940" w:rsidR="00AA592A" w:rsidRPr="00793E90" w:rsidRDefault="00426938" w:rsidP="00793E90">
      <w:pPr>
        <w:pStyle w:val="NoSpacing1"/>
        <w:adjustRightInd w:val="0"/>
        <w:snapToGrid w:val="0"/>
        <w:spacing w:line="360" w:lineRule="auto"/>
        <w:jc w:val="both"/>
        <w:rPr>
          <w:rFonts w:ascii="Book Antiqua" w:hAnsi="Book Antiqua"/>
          <w:sz w:val="24"/>
          <w:szCs w:val="24"/>
          <w:lang w:val="en-US"/>
        </w:rPr>
      </w:pPr>
      <w:bookmarkStart w:id="45" w:name="OLE_LINK81"/>
      <w:bookmarkStart w:id="46" w:name="OLE_LINK82"/>
      <w:bookmarkStart w:id="47" w:name="OLE_LINK85"/>
      <w:r w:rsidRPr="00793E90">
        <w:rPr>
          <w:rFonts w:ascii="Book Antiqua" w:hAnsi="Book Antiqua"/>
          <w:color w:val="333333"/>
          <w:sz w:val="24"/>
          <w:szCs w:val="24"/>
        </w:rPr>
        <w:t>Moussaddaq AS</w:t>
      </w:r>
      <w:r w:rsidRPr="00793E90">
        <w:rPr>
          <w:rFonts w:ascii="Book Antiqua" w:hAnsi="Book Antiqua"/>
          <w:sz w:val="24"/>
          <w:szCs w:val="24"/>
        </w:rPr>
        <w:t>, Brochard C, Palard-Novello X, Garin E, Wallenhorst T, Le Balc’h E, Merlini l’Héritier A, Grainville T, Siproudhis L, Lievre A.</w:t>
      </w:r>
      <w:r w:rsidR="005C4954" w:rsidRPr="00793E90">
        <w:rPr>
          <w:rFonts w:ascii="Book Antiqua" w:hAnsi="Book Antiqua"/>
          <w:sz w:val="24"/>
          <w:szCs w:val="24"/>
        </w:rPr>
        <w:t xml:space="preserve"> </w:t>
      </w:r>
      <w:r w:rsidR="00127F9F" w:rsidRPr="00793E90">
        <w:rPr>
          <w:rFonts w:ascii="Book Antiqua" w:hAnsi="Book Antiqua"/>
          <w:bCs/>
          <w:sz w:val="24"/>
          <w:szCs w:val="24"/>
        </w:rPr>
        <w:t xml:space="preserve">Incidental anal </w:t>
      </w:r>
      <w:r w:rsidR="00127F9F" w:rsidRPr="00793E90">
        <w:rPr>
          <w:rFonts w:ascii="Book Antiqua" w:hAnsi="Book Antiqua"/>
          <w:bCs/>
          <w:sz w:val="24"/>
          <w:szCs w:val="24"/>
          <w:vertAlign w:val="superscript"/>
        </w:rPr>
        <w:t>18</w:t>
      </w:r>
      <w:r w:rsidR="00127F9F" w:rsidRPr="00793E90">
        <w:rPr>
          <w:rFonts w:ascii="Book Antiqua" w:hAnsi="Book Antiqua"/>
          <w:bCs/>
          <w:sz w:val="24"/>
          <w:szCs w:val="24"/>
        </w:rPr>
        <w:t xml:space="preserve">fluorodeoxyglucose uptake: </w:t>
      </w:r>
      <w:r w:rsidR="001205BC" w:rsidRPr="00793E90">
        <w:rPr>
          <w:rFonts w:ascii="Book Antiqua" w:hAnsi="Book Antiqua"/>
          <w:bCs/>
          <w:sz w:val="24"/>
          <w:szCs w:val="24"/>
          <w:lang w:eastAsia="zh-CN"/>
        </w:rPr>
        <w:t>S</w:t>
      </w:r>
      <w:r w:rsidR="00127F9F" w:rsidRPr="00793E90">
        <w:rPr>
          <w:rFonts w:ascii="Book Antiqua" w:hAnsi="Book Antiqua"/>
          <w:bCs/>
          <w:sz w:val="24"/>
          <w:szCs w:val="24"/>
        </w:rPr>
        <w:t>hould we further examine the patient</w:t>
      </w:r>
      <w:bookmarkStart w:id="48" w:name="OLE_LINK30"/>
      <w:bookmarkStart w:id="49" w:name="OLE_LINK31"/>
      <w:r w:rsidR="00127F9F" w:rsidRPr="00793E90">
        <w:rPr>
          <w:rFonts w:ascii="Book Antiqua" w:hAnsi="Book Antiqua"/>
          <w:bCs/>
          <w:sz w:val="24"/>
          <w:szCs w:val="24"/>
        </w:rPr>
        <w:t>?</w:t>
      </w:r>
      <w:bookmarkEnd w:id="48"/>
      <w:bookmarkEnd w:id="49"/>
      <w:r w:rsidR="005C4954" w:rsidRPr="00793E90">
        <w:rPr>
          <w:rFonts w:ascii="Book Antiqua" w:hAnsi="Book Antiqua"/>
          <w:bCs/>
          <w:sz w:val="24"/>
          <w:szCs w:val="24"/>
        </w:rPr>
        <w:t xml:space="preserve"> </w:t>
      </w:r>
      <w:r w:rsidR="00AA592A" w:rsidRPr="00793E90">
        <w:rPr>
          <w:rFonts w:ascii="Book Antiqua" w:hAnsi="Book Antiqua"/>
          <w:i/>
          <w:iCs/>
          <w:color w:val="333333"/>
          <w:sz w:val="24"/>
          <w:szCs w:val="24"/>
          <w:lang w:val="en-US" w:eastAsia="fr-FR"/>
        </w:rPr>
        <w:t>World J Clin Cases</w:t>
      </w:r>
      <w:r w:rsidR="00AA592A" w:rsidRPr="00793E90">
        <w:rPr>
          <w:rFonts w:ascii="Book Antiqua" w:hAnsi="Book Antiqua"/>
          <w:color w:val="333333"/>
          <w:sz w:val="24"/>
          <w:szCs w:val="24"/>
          <w:shd w:val="clear" w:color="auto" w:fill="FFFFFF"/>
          <w:lang w:val="en-US" w:eastAsia="fr-FR"/>
        </w:rPr>
        <w:t> 2020;</w:t>
      </w:r>
      <w:r w:rsidR="00385126" w:rsidRPr="00793E90">
        <w:rPr>
          <w:rFonts w:ascii="Book Antiqua" w:hAnsi="Book Antiqua"/>
          <w:color w:val="333333"/>
          <w:sz w:val="24"/>
          <w:szCs w:val="24"/>
          <w:shd w:val="clear" w:color="auto" w:fill="FFFFFF"/>
          <w:lang w:val="en-US" w:eastAsia="fr-FR"/>
        </w:rPr>
        <w:t xml:space="preserve"> </w:t>
      </w:r>
      <w:r w:rsidR="00385126" w:rsidRPr="00793E90">
        <w:rPr>
          <w:rFonts w:ascii="Book Antiqua" w:hAnsi="Book Antiqua"/>
          <w:color w:val="333333"/>
          <w:sz w:val="24"/>
          <w:szCs w:val="24"/>
          <w:shd w:val="clear" w:color="auto" w:fill="FFFFFF"/>
          <w:lang w:val="en-US" w:eastAsia="zh-CN"/>
        </w:rPr>
        <w:t>In press</w:t>
      </w:r>
    </w:p>
    <w:bookmarkEnd w:id="45"/>
    <w:bookmarkEnd w:id="46"/>
    <w:bookmarkEnd w:id="47"/>
    <w:p w14:paraId="7BD1BEE2" w14:textId="77777777" w:rsidR="003C7124" w:rsidRPr="00793E90" w:rsidRDefault="003C7124" w:rsidP="00793E90">
      <w:pPr>
        <w:adjustRightInd w:val="0"/>
        <w:snapToGrid w:val="0"/>
        <w:spacing w:after="0" w:line="360" w:lineRule="auto"/>
        <w:jc w:val="both"/>
        <w:rPr>
          <w:rFonts w:ascii="Book Antiqua" w:hAnsi="Book Antiqua"/>
          <w:lang w:val="en-GB"/>
        </w:rPr>
      </w:pPr>
    </w:p>
    <w:p w14:paraId="4ACCB6E6" w14:textId="5E14FD50" w:rsidR="003F0761" w:rsidRPr="00793E90" w:rsidRDefault="00FA0280" w:rsidP="00793E90">
      <w:pPr>
        <w:adjustRightInd w:val="0"/>
        <w:snapToGrid w:val="0"/>
        <w:spacing w:after="0" w:line="360" w:lineRule="auto"/>
        <w:jc w:val="both"/>
        <w:rPr>
          <w:rFonts w:ascii="Book Antiqua" w:hAnsi="Book Antiqua"/>
          <w:lang w:val="en-GB"/>
        </w:rPr>
      </w:pPr>
      <w:r w:rsidRPr="00793E90">
        <w:rPr>
          <w:rFonts w:ascii="Book Antiqua" w:hAnsi="Book Antiqua"/>
          <w:b/>
          <w:lang w:val="en-GB"/>
        </w:rPr>
        <w:t>Core tip:</w:t>
      </w:r>
      <w:r w:rsidR="00502A88" w:rsidRPr="00793E90">
        <w:rPr>
          <w:rFonts w:ascii="Book Antiqua" w:hAnsi="Book Antiqua"/>
          <w:b/>
          <w:lang w:val="en-GB"/>
        </w:rPr>
        <w:t xml:space="preserve"> </w:t>
      </w:r>
      <w:bookmarkStart w:id="50" w:name="OLE_LINK76"/>
      <w:bookmarkStart w:id="51" w:name="OLE_LINK78"/>
      <w:r w:rsidR="00502A88" w:rsidRPr="00793E90">
        <w:rPr>
          <w:rFonts w:ascii="Book Antiqua" w:hAnsi="Book Antiqua"/>
          <w:lang w:val="en-GB"/>
        </w:rPr>
        <w:t>This is a retrospective study to</w:t>
      </w:r>
      <w:r w:rsidR="00BD5698" w:rsidRPr="00793E90">
        <w:rPr>
          <w:rFonts w:ascii="Book Antiqua" w:hAnsi="Book Antiqua"/>
          <w:lang w:val="en-GB"/>
        </w:rPr>
        <w:t xml:space="preserve"> assess the rate and aetiologies of incidental anal </w:t>
      </w:r>
      <w:r w:rsidR="001927AB" w:rsidRPr="00793E90">
        <w:rPr>
          <w:rFonts w:ascii="Book Antiqua" w:hAnsi="Book Antiqua"/>
          <w:vertAlign w:val="superscript"/>
          <w:lang w:val="en-GB"/>
        </w:rPr>
        <w:t>18</w:t>
      </w:r>
      <w:r w:rsidR="001927AB" w:rsidRPr="00793E90">
        <w:rPr>
          <w:rFonts w:ascii="Book Antiqua" w:hAnsi="Book Antiqua"/>
          <w:lang w:val="en-GB"/>
        </w:rPr>
        <w:t>F-fluorodeoxyglucose</w:t>
      </w:r>
      <w:bookmarkStart w:id="52" w:name="OLE_LINK36"/>
      <w:bookmarkStart w:id="53" w:name="OLE_LINK37"/>
      <w:r w:rsidR="001927AB" w:rsidRPr="00793E90">
        <w:rPr>
          <w:rFonts w:ascii="Book Antiqua" w:hAnsi="Book Antiqua"/>
          <w:lang w:val="en-GB"/>
        </w:rPr>
        <w:t xml:space="preserve"> (</w:t>
      </w:r>
      <w:r w:rsidR="00BD5698" w:rsidRPr="00793E90">
        <w:rPr>
          <w:rFonts w:ascii="Book Antiqua" w:hAnsi="Book Antiqua"/>
          <w:vertAlign w:val="superscript"/>
          <w:lang w:val="en-GB"/>
        </w:rPr>
        <w:t>18</w:t>
      </w:r>
      <w:r w:rsidR="00BD5698" w:rsidRPr="00793E90">
        <w:rPr>
          <w:rFonts w:ascii="Book Antiqua" w:hAnsi="Book Antiqua"/>
          <w:lang w:val="en-GB"/>
        </w:rPr>
        <w:t>FDG</w:t>
      </w:r>
      <w:r w:rsidR="001927AB" w:rsidRPr="00793E90">
        <w:rPr>
          <w:rFonts w:ascii="Book Antiqua" w:hAnsi="Book Antiqua"/>
          <w:lang w:val="en-GB"/>
        </w:rPr>
        <w:t>)</w:t>
      </w:r>
      <w:bookmarkEnd w:id="52"/>
      <w:bookmarkEnd w:id="53"/>
      <w:r w:rsidR="00BD5698" w:rsidRPr="00793E90">
        <w:rPr>
          <w:rFonts w:ascii="Book Antiqua" w:hAnsi="Book Antiqua"/>
          <w:lang w:val="en-GB"/>
        </w:rPr>
        <w:t xml:space="preserve"> uptake and to evaluate the correlation between </w:t>
      </w:r>
      <w:r w:rsidR="00BD5698" w:rsidRPr="00793E90">
        <w:rPr>
          <w:rFonts w:ascii="Book Antiqua" w:hAnsi="Book Antiqua"/>
          <w:vertAlign w:val="superscript"/>
          <w:lang w:val="en-GB"/>
        </w:rPr>
        <w:t>18</w:t>
      </w:r>
      <w:r w:rsidR="00BD5698" w:rsidRPr="00793E90">
        <w:rPr>
          <w:rFonts w:ascii="Book Antiqua" w:hAnsi="Book Antiqua"/>
          <w:lang w:val="en-GB"/>
        </w:rPr>
        <w:t xml:space="preserve">FDG </w:t>
      </w:r>
      <w:r w:rsidR="00561310" w:rsidRPr="00793E90">
        <w:rPr>
          <w:rFonts w:ascii="Book Antiqua" w:hAnsi="Book Antiqua"/>
          <w:lang w:val="en-GB"/>
        </w:rPr>
        <w:t>positron-emission tomography/computed tomography</w:t>
      </w:r>
      <w:r w:rsidR="00BD5698" w:rsidRPr="00793E90">
        <w:rPr>
          <w:rFonts w:ascii="Book Antiqua" w:hAnsi="Book Antiqua"/>
          <w:lang w:val="en-GB"/>
        </w:rPr>
        <w:t xml:space="preserve"> parameters and the diagnosis of an anorectal disease.</w:t>
      </w:r>
      <w:r w:rsidR="003F0761" w:rsidRPr="00793E90">
        <w:rPr>
          <w:rFonts w:ascii="Book Antiqua" w:hAnsi="Book Antiqua"/>
          <w:lang w:val="en-GB"/>
        </w:rPr>
        <w:t xml:space="preserve"> Incidental anal </w:t>
      </w:r>
      <w:r w:rsidR="003F0761" w:rsidRPr="00793E90">
        <w:rPr>
          <w:rFonts w:ascii="Book Antiqua" w:hAnsi="Book Antiqua"/>
          <w:vertAlign w:val="superscript"/>
          <w:lang w:val="en-GB"/>
        </w:rPr>
        <w:t>18</w:t>
      </w:r>
      <w:r w:rsidR="003F0761" w:rsidRPr="00793E90">
        <w:rPr>
          <w:rFonts w:ascii="Book Antiqua" w:hAnsi="Book Antiqua"/>
          <w:lang w:val="en-GB"/>
        </w:rPr>
        <w:t>FDG uptake is rare</w:t>
      </w:r>
      <w:r w:rsidR="003F0761" w:rsidRPr="00793E90">
        <w:rPr>
          <w:rFonts w:ascii="Book Antiqua" w:eastAsia="Calibri" w:hAnsi="Book Antiqua"/>
          <w:lang w:val="en-GB"/>
        </w:rPr>
        <w:t>,</w:t>
      </w:r>
      <w:r w:rsidR="003F0761" w:rsidRPr="00793E90">
        <w:rPr>
          <w:rFonts w:ascii="Book Antiqua" w:hAnsi="Book Antiqua"/>
          <w:lang w:val="en-GB"/>
        </w:rPr>
        <w:t xml:space="preserve"> but a reliable anorectal diagnosis is commonly obtained when an anorectal examination is performed. The diagnosis of an anorectal disease induces treatment in more than one-third of the patients. These data should encourage practitioners to explore incidental anal </w:t>
      </w:r>
      <w:r w:rsidR="003F0761" w:rsidRPr="00793E90">
        <w:rPr>
          <w:rFonts w:ascii="Book Antiqua" w:hAnsi="Book Antiqua"/>
          <w:vertAlign w:val="superscript"/>
          <w:lang w:val="en-GB"/>
        </w:rPr>
        <w:t>18</w:t>
      </w:r>
      <w:r w:rsidR="003F0761" w:rsidRPr="00793E90">
        <w:rPr>
          <w:rFonts w:ascii="Book Antiqua" w:hAnsi="Book Antiqua"/>
          <w:lang w:val="en-GB"/>
        </w:rPr>
        <w:t>FDG uptake systematically.</w:t>
      </w:r>
      <w:bookmarkEnd w:id="50"/>
      <w:bookmarkEnd w:id="51"/>
    </w:p>
    <w:p w14:paraId="09984B58" w14:textId="77777777" w:rsidR="00793E90" w:rsidRPr="00793E90" w:rsidRDefault="000763B5" w:rsidP="00793E90">
      <w:pPr>
        <w:adjustRightInd w:val="0"/>
        <w:snapToGrid w:val="0"/>
        <w:spacing w:after="0" w:line="360" w:lineRule="auto"/>
        <w:jc w:val="both"/>
        <w:rPr>
          <w:rFonts w:ascii="Book Antiqua" w:hAnsi="Book Antiqua"/>
          <w:b/>
          <w:u w:val="single"/>
          <w:lang w:val="en-GB"/>
        </w:rPr>
      </w:pPr>
      <w:r w:rsidRPr="00793E90">
        <w:rPr>
          <w:rFonts w:ascii="Book Antiqua" w:hAnsi="Book Antiqua"/>
          <w:b/>
          <w:lang w:val="en-GB"/>
        </w:rPr>
        <w:br w:type="page"/>
      </w:r>
      <w:r w:rsidR="00793E90" w:rsidRPr="00793E90">
        <w:rPr>
          <w:rFonts w:ascii="Book Antiqua" w:hAnsi="Book Antiqua"/>
          <w:b/>
          <w:u w:val="single"/>
          <w:lang w:val="en-GB"/>
        </w:rPr>
        <w:lastRenderedPageBreak/>
        <w:t>INTRODUCTION</w:t>
      </w:r>
      <w:bookmarkStart w:id="54" w:name="_Hlk10034023"/>
    </w:p>
    <w:p w14:paraId="328F1E66" w14:textId="77777777" w:rsidR="00793E90" w:rsidRPr="00793E90" w:rsidRDefault="00793E90" w:rsidP="00793E90">
      <w:pPr>
        <w:adjustRightInd w:val="0"/>
        <w:snapToGrid w:val="0"/>
        <w:spacing w:after="0" w:line="360" w:lineRule="auto"/>
        <w:jc w:val="both"/>
        <w:rPr>
          <w:rFonts w:ascii="Book Antiqua" w:hAnsi="Book Antiqua"/>
          <w:b/>
          <w:lang w:val="en-GB"/>
        </w:rPr>
      </w:pPr>
      <w:bookmarkStart w:id="55" w:name="_Hlk14454491"/>
      <w:r w:rsidRPr="00793E90">
        <w:rPr>
          <w:rFonts w:ascii="Book Antiqua" w:hAnsi="Book Antiqua"/>
          <w:vertAlign w:val="superscript"/>
          <w:lang w:val="en-GB"/>
        </w:rPr>
        <w:t>18</w:t>
      </w:r>
      <w:r w:rsidRPr="00793E90">
        <w:rPr>
          <w:rFonts w:ascii="Book Antiqua" w:hAnsi="Book Antiqua"/>
          <w:lang w:val="en-GB"/>
        </w:rPr>
        <w:t>F-fluorodeoxyglucose (</w:t>
      </w:r>
      <w:r w:rsidRPr="00793E90">
        <w:rPr>
          <w:rFonts w:ascii="Book Antiqua" w:hAnsi="Book Antiqua"/>
          <w:vertAlign w:val="superscript"/>
          <w:lang w:val="en-GB"/>
        </w:rPr>
        <w:t>18</w:t>
      </w:r>
      <w:r w:rsidRPr="00793E90">
        <w:rPr>
          <w:rFonts w:ascii="Book Antiqua" w:hAnsi="Book Antiqua"/>
          <w:lang w:val="en-GB"/>
        </w:rPr>
        <w:t>FDG) positron-emission tomography/computed tomography (PET/CT) is a medical imaging technique based on the study of glucose metabolism.</w:t>
      </w:r>
      <w:bookmarkEnd w:id="55"/>
      <w:r w:rsidRPr="00793E90">
        <w:rPr>
          <w:rFonts w:ascii="Book Antiqua" w:hAnsi="Book Antiqua"/>
          <w:lang w:val="en-GB"/>
        </w:rPr>
        <w:t xml:space="preserve"> The use of this method has increased </w:t>
      </w:r>
      <w:r w:rsidRPr="00793E90">
        <w:rPr>
          <w:rFonts w:ascii="Book Antiqua" w:hAnsi="Book Antiqua"/>
          <w:color w:val="1A1718"/>
          <w:lang w:val="en-GB"/>
        </w:rPr>
        <w:t xml:space="preserve">in oncology for the initial staging of cancer, monitoring treatment response and </w:t>
      </w:r>
      <w:r w:rsidRPr="00793E90">
        <w:rPr>
          <w:rFonts w:ascii="Book Antiqua" w:eastAsia="Calibri" w:hAnsi="Book Antiqua"/>
          <w:color w:val="1A1718"/>
          <w:lang w:val="en-GB"/>
        </w:rPr>
        <w:t xml:space="preserve">detecting </w:t>
      </w:r>
      <w:r w:rsidRPr="00793E90">
        <w:rPr>
          <w:rFonts w:ascii="Book Antiqua" w:hAnsi="Book Antiqua"/>
          <w:color w:val="1A1718"/>
          <w:lang w:val="en-GB"/>
        </w:rPr>
        <w:t xml:space="preserve">early recurrence </w:t>
      </w:r>
      <w:r w:rsidRPr="00793E90">
        <w:rPr>
          <w:rFonts w:ascii="Book Antiqua" w:hAnsi="Book Antiqua"/>
          <w:lang w:val="en-GB"/>
        </w:rPr>
        <w:t xml:space="preserve">of a previously treated malignant </w:t>
      </w:r>
      <w:bookmarkEnd w:id="54"/>
      <w:r w:rsidRPr="00793E90">
        <w:rPr>
          <w:rFonts w:ascii="Book Antiqua" w:hAnsi="Book Antiqua"/>
          <w:lang w:val="en-GB"/>
        </w:rPr>
        <w:t>tumour</w:t>
      </w:r>
      <w:r w:rsidRPr="00793E90">
        <w:rPr>
          <w:rFonts w:ascii="Book Antiqua" w:hAnsi="Book Antiqua"/>
          <w:vertAlign w:val="superscript"/>
          <w:lang w:val="en-GB"/>
        </w:rPr>
        <w:fldChar w:fldCharType="begin"/>
      </w:r>
      <w:r w:rsidRPr="00793E90">
        <w:rPr>
          <w:rFonts w:ascii="Book Antiqua" w:hAnsi="Book Antiqua"/>
          <w:vertAlign w:val="superscript"/>
          <w:lang w:val="en-GB"/>
        </w:rPr>
        <w:instrText xml:space="preserve"> ADDIN ZOTERO_ITEM CSL_CITATION {"citationID":"gLmAO9p6","properties":{"formattedCitation":"(1)","plainCitation":"(1)","noteIndex":0},"citationItems":[{"id":36,"uris":["http://zotero.org/users/4891711/items/WJPPIT6Q"],"uri":["http://zotero.org/users/4891711/items/WJPPIT6Q"],"itemData":{"id":36,"type":"article-journal","title":"FDG PET/CT: EANM procedure guidelines for tumour imaging: version 2.0","container-title":"European Journal of Nuclear Medicine and Molecular Imaging","page":"328-354","volume":"42","issue":"2","source":"DOI.org (Crossref)","abstract":"The purpose of these guidelines is to assist physicians in recommending, performing, interpreting and reporting the results of FDG PET/CT for oncological imaging of adult patients. PET is a quantitative imaging technique and therefore requires a common quality control (QC)/quality assurance (QA) procedure to maintain the accuracy and precision of quantitation.","DOI":"10.1007/s00259-014-2961-x","ISSN":"1619-7070, 1619-7089","title-short":"FDG PET/CT","journalAbbreviation":"Eur J Nucl Med Mol Imaging","language":"en","author":[{"family":"Boellaard","given":"Ronald"},{"family":"Delgado-Bolton","given":"Roberto"},{"family":"Oyen","given":"Wim J. G."},{"family":"Giammarile","given":"Francesco"},{"family":"Tatsch","given":"Klaus"},{"family":"Eschner","given":"Wolfgang"},{"family":"Verzijlbergen","given":"Fred J."},{"family":"Barrington","given":"Sally F."},{"family":"Pike","given":"Lucy C."},{"family":"Weber","given":"Wolfgang A."},{"family":"Stroobants","given":"Sigrid"},{"family":"Delbeke","given":"Dominique"},{"family":"Donohoe","given":"Kevin J."},{"family":"Holbrook","given":"Scott"},{"family":"Graham","given":"Michael M."},{"family":"Testanera","given":"Giorgio"},{"family":"Hoekstra","given":"Otto S."},{"family":"Zijlstra","given":"Josee"},{"family":"Visser","given":"Eric"},{"family":"Hoekstra","given":"Corneline J."},{"family":"Pruim","given":"Jan"},{"family":"Willemsen","given":"Antoon"},{"family":"Arends","given":"Bertjan"},{"family":"Kotzerke","given":"Jörg"},{"family":"Bockisch","given":"Andreas"},{"family":"Beyer","given":"Thomas"},{"family":"Chiti","given":"Arturo"},{"family":"Krause","given":"Bernd J."}],"issued":{"date-parts":[["2015",2]]}}}],"schema":"https://github.com/citation-style-language/schema/raw/master/csl-citation.json"} </w:instrText>
      </w:r>
      <w:r w:rsidRPr="00793E90">
        <w:rPr>
          <w:rFonts w:ascii="Book Antiqua" w:hAnsi="Book Antiqua"/>
          <w:vertAlign w:val="superscript"/>
          <w:lang w:val="en-GB"/>
        </w:rPr>
        <w:fldChar w:fldCharType="separate"/>
      </w:r>
      <w:r w:rsidRPr="00793E90">
        <w:rPr>
          <w:rFonts w:ascii="Book Antiqua" w:hAnsi="Book Antiqua"/>
          <w:vertAlign w:val="superscript"/>
          <w:lang w:val="en-GB"/>
        </w:rPr>
        <w:t>[1]</w:t>
      </w:r>
      <w:r w:rsidRPr="00793E90">
        <w:rPr>
          <w:rFonts w:ascii="Book Antiqua" w:hAnsi="Book Antiqua"/>
          <w:vertAlign w:val="superscript"/>
          <w:lang w:val="en-GB"/>
        </w:rPr>
        <w:fldChar w:fldCharType="end"/>
      </w:r>
      <w:r w:rsidRPr="00793E90">
        <w:rPr>
          <w:rFonts w:ascii="Book Antiqua" w:hAnsi="Book Antiqua"/>
          <w:lang w:val="en-GB"/>
        </w:rPr>
        <w:t>. It is also used in the management of infectious or inflammatory diseases</w:t>
      </w:r>
      <w:r w:rsidRPr="00793E90">
        <w:rPr>
          <w:rFonts w:ascii="Book Antiqua" w:hAnsi="Book Antiqua"/>
          <w:vertAlign w:val="superscript"/>
          <w:lang w:val="en-GB"/>
        </w:rPr>
        <w:t>[</w:t>
      </w:r>
      <w:r w:rsidRPr="00793E90">
        <w:rPr>
          <w:rFonts w:ascii="Book Antiqua" w:hAnsi="Book Antiqua"/>
          <w:vertAlign w:val="superscript"/>
          <w:lang w:val="en-GB"/>
        </w:rPr>
        <w:fldChar w:fldCharType="begin"/>
      </w:r>
      <w:r w:rsidRPr="00793E90">
        <w:rPr>
          <w:rFonts w:ascii="Book Antiqua" w:hAnsi="Book Antiqua"/>
          <w:vertAlign w:val="superscript"/>
          <w:lang w:val="en-GB"/>
        </w:rPr>
        <w:instrText xml:space="preserve"> ADDIN ZOTERO_ITEM CSL_CITATION {"citationID":"vEGAYE9O","properties":{"formattedCitation":"(2)","plainCitation":"(2)","noteIndex":0},"citationItems":[{"id":38,"uris":["http://zotero.org/users/4891711/items/358XTRIS"],"uri":["http://zotero.org/users/4891711/items/358XTRIS"],"itemData":{"id":38,"type":"article-journal","title":"EANM/SNMMI Guideline for 18F-FDG Use in Inflammation and Infection","container-title":"Journal of Nuclear Medicine","page":"647-658","volume":"54","issue":"4","source":"DOI.org (Crossref)","DOI":"10.2967/jnumed.112.112524","ISSN":"0161-5505","journalAbbreviation":"Journal of Nuclear Medicine","language":"en","author":[{"family":"Jamar","given":"F."},{"family":"Buscombe","given":"J."},{"family":"Chiti","given":"A."},{"family":"Christian","given":"P. E."},{"family":"Delbeke","given":"D."},{"family":"Donohoe","given":"K. J."},{"family":"Israel","given":"O."},{"family":"Martin-Comin","given":"J."},{"family":"Signore","given":"A."}],"issued":{"date-parts":[["2013",4,1]]}}}],"schema":"https://github.com/citation-style-language/schema/raw/master/csl-citation.json"} </w:instrText>
      </w:r>
      <w:r w:rsidRPr="00793E90">
        <w:rPr>
          <w:rFonts w:ascii="Book Antiqua" w:hAnsi="Book Antiqua"/>
          <w:vertAlign w:val="superscript"/>
          <w:lang w:val="en-GB"/>
        </w:rPr>
        <w:fldChar w:fldCharType="separate"/>
      </w:r>
      <w:r w:rsidRPr="00793E90">
        <w:rPr>
          <w:rFonts w:ascii="Book Antiqua" w:hAnsi="Book Antiqua"/>
          <w:vertAlign w:val="superscript"/>
          <w:lang w:val="en-GB"/>
        </w:rPr>
        <w:t>2]</w:t>
      </w:r>
      <w:r w:rsidRPr="00793E90">
        <w:rPr>
          <w:rFonts w:ascii="Book Antiqua" w:hAnsi="Book Antiqua"/>
          <w:vertAlign w:val="superscript"/>
          <w:lang w:val="en-GB"/>
        </w:rPr>
        <w:fldChar w:fldCharType="end"/>
      </w:r>
      <w:r w:rsidRPr="00793E90">
        <w:rPr>
          <w:rFonts w:ascii="Book Antiqua" w:hAnsi="Book Antiqua"/>
          <w:lang w:val="en-GB"/>
        </w:rPr>
        <w:t>.</w:t>
      </w:r>
      <w:r w:rsidRPr="00793E90">
        <w:rPr>
          <w:rFonts w:ascii="Book Antiqua" w:hAnsi="Book Antiqua"/>
          <w:color w:val="1A1718"/>
          <w:lang w:val="en-GB"/>
        </w:rPr>
        <w:t xml:space="preserve"> As a result of the increased indications for and availability of </w:t>
      </w:r>
      <w:r w:rsidRPr="00793E90">
        <w:rPr>
          <w:rFonts w:ascii="Book Antiqua" w:hAnsi="Book Antiqua"/>
          <w:color w:val="1A1718"/>
          <w:position w:val="8"/>
          <w:vertAlign w:val="superscript"/>
          <w:lang w:val="en-GB"/>
        </w:rPr>
        <w:t>18</w:t>
      </w:r>
      <w:r w:rsidRPr="00793E90">
        <w:rPr>
          <w:rFonts w:ascii="Book Antiqua" w:hAnsi="Book Antiqua"/>
          <w:color w:val="1A1718"/>
          <w:lang w:val="en-GB"/>
        </w:rPr>
        <w:t xml:space="preserve">FDG PET/CT, unexpected </w:t>
      </w:r>
      <w:r w:rsidRPr="00793E90">
        <w:rPr>
          <w:rFonts w:ascii="Book Antiqua" w:hAnsi="Book Antiqua"/>
          <w:color w:val="1A1718"/>
          <w:position w:val="8"/>
          <w:vertAlign w:val="superscript"/>
          <w:lang w:val="en-GB"/>
        </w:rPr>
        <w:t>18</w:t>
      </w:r>
      <w:r w:rsidRPr="00793E90">
        <w:rPr>
          <w:rFonts w:ascii="Book Antiqua" w:hAnsi="Book Antiqua"/>
          <w:color w:val="1A1718"/>
          <w:lang w:val="en-GB"/>
        </w:rPr>
        <w:t>FDG uptake has been identified in a variety of sites</w:t>
      </w:r>
      <w:r w:rsidRPr="00793E90">
        <w:rPr>
          <w:rFonts w:ascii="Book Antiqua" w:hAnsi="Book Antiqua"/>
          <w:color w:val="1A1718"/>
          <w:vertAlign w:val="superscript"/>
          <w:lang w:val="en-GB"/>
        </w:rPr>
        <w:fldChar w:fldCharType="begin"/>
      </w:r>
      <w:r w:rsidRPr="00793E90">
        <w:rPr>
          <w:rFonts w:ascii="Book Antiqua" w:hAnsi="Book Antiqua"/>
          <w:color w:val="1A1718"/>
          <w:vertAlign w:val="superscript"/>
          <w:lang w:val="en-GB"/>
        </w:rPr>
        <w:instrText xml:space="preserve"> ADDIN ZOTERO_ITEM CSL_CITATION {"citationID":"iVBFz3Dj","properties":{"formattedCitation":"(3\\uc0\\u8211{}6)","plainCitation":"(3–6)","noteIndex":0},"citationItems":[{"id":61,"uris":["http://zotero.org/users/4891711/items/KEXCU4IU"],"uri":["http://zotero.org/users/4891711/items/KEXCU4IU"],"itemData":{"id":61,"type":"article-journal","title":"Detection of Clinically Unexpected Malignant and Premalignant Tumors with Whole-Body FDG PET: Histopathologic Comparison","container-title":"Radiology","page":"417-422","volume":"230","issue":"2","source":"DOI.org (Crossref)","abstract":"PURPOSE: To determine the clinical importance and malignant potential of unexpected abnormal foci of hypermetabolism at ﬂuorodeoxyglucose (FDG) positron emission tomography (PET) performed for evaluation of malignancy. MATERIALS AND METHODS: A total of 1,750 FDG PET scans were obtained to evaluate a variety of known or suspected malignancies. Each scan was evaluated for abnormal unexpected hypermetabolism based on unusual location (ie, foci that did not conform to the usual distribution of metastases given the primary tumor for which the PET scan was requested) and discrete focal nature of an abnormality. Unexpected ﬁndings were followed by pathologic conﬁrmation and were considered clinically important if the ﬁnal pathologic diagnosis was cancerous, precancerous, or noncancerous but had the potential for local destruction or systemic physiologic effects.\nRESULTS: On the basis of the normal spread pattern of the primary lesion, 58 abnormal unexpected foci of hypermetabolism were identiﬁed in 53 patients. Forty-ﬁve of these abnormalities were followed up with computed tomography (CT), magnetic resonance imaging, and/or mammography, and 42 had subsequent tissue conﬁrmation at endoscopic, CT-guided, or surgical biopsy. Of 42 histopathologically conﬁrmed abnormalities, 30 (71%) were either malignant or premalignant tumors that differed from the cancer for which the patient was originally scanned. Nine other suspicious abnormal foci proved benign and three represented falsepositive ﬁndings, with no abnormal ﬁndings at endoscopy. Three of nine nonmalignant lesions were considered clinically important because of the potential for local destruction and/or systemic effects.\nCONCLUSION: The identiﬁcation of unexpected foci of hypermetabolism at wholebody FDG PET may signal the presence of tumors that are unrelated to the neoplasm for which the patient was scanned. Findings of this study emphasize the need for follow-up of these abnormalities because the majority represent either malignant or premalignant neoplasms, which were not clinically apparent.","DOI":"10.1148/radiol.2302021685","ISSN":"0033-8419, 1527-1315","title-short":"Detection of Clinically Unexpected Malignant and Premalignant Tumors with Whole-Body FDG PET","journalAbbreviation":"Radiology","language":"en","author":[{"family":"Agress","given":"Harry"},{"family":"Cooper","given":"Benjamin Z."}],"issued":{"date-parts":[["2004",2]]}}},{"id":65,"uris":["http://zotero.org/users/4891711/items/8FSAZBUJ"],"uri":["http://zotero.org/users/4891711/items/8FSAZBUJ"],"itemData":{"id":65,"type":"article-journal","title":"The presentation of malignant tumours and pre-malignant lesions incidentally found on PET-CT","container-title":"European Journal of Nuclear Medicine and Molecular Imaging","page":"541-552","volume":"33","issue":"5","source":"DOI.org (Crossref)","abstract":"Purpose: The purpose of the study was to determine the general and organ-specific presentation of incidental primary tumours on PET-CT.","DOI":"10.1007/s00259-005-0056-4","ISSN":"1619-7070, 1619-7089","journalAbbreviation":"Eur J Nucl Med Mol Imaging","language":"en","author":[{"family":"Even-Sapir","given":"Einat"},{"family":"Lerman","given":"Hedva"},{"family":"Gutman","given":"Mordechai"},{"family":"Lievshitz","given":"Gennady"},{"family":"Zuriel","given":"Limor"},{"family":"Polliack","given":"Aaron"},{"family":"Inbar","given":"Moshe"},{"family":"Metser","given":"Ur"}],"issued":{"date-parts":[["2006",5,3]]}}},{"id":69,"uris":["http://zotero.org/users/4891711/items/M6EZLTV7"],"uri":["http://zotero.org/users/4891711/items/M6EZLTV7"],"itemData":{"id":69,"type":"article-journal","title":"Detection of Unexpected Additional Primary Malignancies with PET/CT","page":"7","source":"Zotero","language":"en","author":[{"family":"Ishimori","given":"Takayoshi"},{"family":"Patel","given":"Pavni V"},{"family":"Wahl","given":"Richard L"}]}},{"id":71,"uris":["http://zotero.org/users/4891711/items/8XV7FZ42"],"uri":["http://zotero.org/users/4891711/items/8XV7FZ42"],"itemData":{"id":71,"type":"article-journal","title":"Evidence based management of incidental focal uptake of fluorodeoxyglucose on PET-CT","container-title":"The British Journal of Radiology","page":"20170774","source":"DOI.org (Crossref)","abstract":"Focal incidental uptake, with or without CT abnormalities, is a common finding on fluorodeoxyglucose PET/CT and evidence-based management for this type of uptake is lacking. This article reviews the evidence on focal incidental uptake including the incidence of malignancy, differential diagnosis and imaging criteria which can be used to further characterize it. The article focusses on PET rather than CT criteria. The strength of the evidence base is highly variable ranging from systematic reviews and meta-analyses to a virtual absence of evidence. Caution needs to be used when using standardized uptake values (SUVs) reported in other studies due to interpatient and institution observed variation in SUVs. There is sufficient evidence to permit specific suggestions on how to interpret the foci and recommend further management in the: pituitary (investigate when SUVmax &gt;4.1), thyroid (investigate all), breast (investigate all), lung parenchyma (if focus of fluorodeoxyglucose without a CT nodule, no further investigations), colon (investigate all foci with SUVmax &gt;5.9, urgently if SUVmax &gt;11.4), adrenals (criteria depend on if patient has cancer) and prostate gland (investigate in males aged &gt;50 years or &gt;40 years if peripheral uptake or patient has other risk factors). There is some evidence to guide further management for the parotid gland, naso-orophaynx, oesophagus, pancreas, uterus and ovaries. There is insufficient evidence to guide management for the liver, spleen, kidneys, gallbladder, testis and bone, for these organs patient characteristics and other guidelines will likely be of more use in determining further management.","DOI":"10.1259/bjr.20170774","ISSN":"0007-1285, 1748-880X","journalAbbreviation":"BJR","language":"en","author":[{"family":"Pencharz","given":"Deborah"},{"family":"Nathan","given":"Malavika"},{"family":"Wagner","given":"Thomas L"}],"issued":{"date-parts":[["2017",12,15]]}}}],"schema":"https://github.com/citation-style-language/schema/raw/master/csl-citation.json"} </w:instrText>
      </w:r>
      <w:r w:rsidRPr="00793E90">
        <w:rPr>
          <w:rFonts w:ascii="Book Antiqua" w:hAnsi="Book Antiqua"/>
          <w:color w:val="1A1718"/>
          <w:vertAlign w:val="superscript"/>
          <w:lang w:val="en-GB"/>
        </w:rPr>
        <w:fldChar w:fldCharType="separate"/>
      </w:r>
      <w:r w:rsidRPr="00793E90">
        <w:rPr>
          <w:rFonts w:ascii="Book Antiqua" w:hAnsi="Book Antiqua"/>
          <w:vertAlign w:val="superscript"/>
          <w:lang w:val="en-GB"/>
        </w:rPr>
        <w:t>[3–6]</w:t>
      </w:r>
      <w:r w:rsidRPr="00793E90">
        <w:rPr>
          <w:rFonts w:ascii="Book Antiqua" w:hAnsi="Book Antiqua"/>
          <w:color w:val="1A1718"/>
          <w:vertAlign w:val="superscript"/>
          <w:lang w:val="en-GB"/>
        </w:rPr>
        <w:fldChar w:fldCharType="end"/>
      </w:r>
      <w:r w:rsidRPr="00A85E8B">
        <w:rPr>
          <w:rFonts w:ascii="Book Antiqua" w:hAnsi="Book Antiqua"/>
          <w:color w:val="1A1718"/>
          <w:lang w:val="en-GB"/>
        </w:rPr>
        <w:t xml:space="preserve">. </w:t>
      </w:r>
      <w:r w:rsidRPr="00793E90">
        <w:rPr>
          <w:rFonts w:ascii="Book Antiqua" w:hAnsi="Book Antiqua"/>
          <w:color w:val="1A1718"/>
          <w:lang w:val="en-GB"/>
        </w:rPr>
        <w:t>In the field of gastroenterology, several studies have focused on colorectal locations</w:t>
      </w:r>
      <w:r w:rsidRPr="00793E90">
        <w:rPr>
          <w:rFonts w:ascii="Book Antiqua" w:hAnsi="Book Antiqua"/>
          <w:color w:val="1A1718"/>
          <w:vertAlign w:val="superscript"/>
          <w:lang w:val="en-GB"/>
        </w:rPr>
        <w:fldChar w:fldCharType="begin"/>
      </w:r>
      <w:r w:rsidRPr="00793E90">
        <w:rPr>
          <w:rFonts w:ascii="Book Antiqua" w:hAnsi="Book Antiqua"/>
          <w:color w:val="1A1718"/>
          <w:vertAlign w:val="superscript"/>
          <w:lang w:val="en-GB"/>
        </w:rPr>
        <w:instrText xml:space="preserve"> ADDIN ZOTERO_ITEM CSL_CITATION {"citationID":"9ei7Z3VW","properties":{"formattedCitation":"(7\\uc0\\u8211{}17)","plainCitation":"(7–17)","noteIndex":0},"citationItems":[{"id":32,"uris":["http://zotero.org/users/4891711/items/77DD2EYP"],"uri":["http://zotero.org/users/4891711/items/77DD2EYP"],"itemData":{"id":32,"type":"article-journal","title":"Incidental colorectal focal 18 F-FDG uptake: a novel indication for colonoscopy","container-title":"Endoscopy International Open","page":"E924-E930","volume":"5","issue":"9","source":"PubMed Central","abstract":"Background and study aims\n\n The relevance of incidental colorectal focal\n18\nF-FDG PET/CT uptake is debatable. All patients who were referred for colonoscopy because of incidental colonic focal FDG uptake were included in this retrospective study.\n\n\nPatients and methods\n\n PET/CT imaging characteristics were reviewed by a nuclear physician who was blinded to endoscopic and histopathological findings to determine the location of FDG uptake sites and to measure the maximum standardized uptake values (SUVmax) and metabolic volume (MV). Endoscopic findings were categorized as malignant lesions (ML), high-risk polyps (HRP), low-risk polyps (LRP) or other non-neoplastic lesions (NNL).\n\n\nResults\n\n Seventy patients with 84 foci of FDG uptake were included. The proportions of true-positive (lesions found at colonoscopy at the same location) and false-positive (no lesion at colonoscopy) PET/CT findings were 65.5</w:instrText>
      </w:r>
      <w:r w:rsidRPr="00793E90">
        <w:rPr>
          <w:color w:val="1A1718"/>
          <w:vertAlign w:val="superscript"/>
          <w:lang w:val="en-GB"/>
        </w:rPr>
        <w:instrText> </w:instrText>
      </w:r>
      <w:r w:rsidRPr="00793E90">
        <w:rPr>
          <w:rFonts w:ascii="Book Antiqua" w:hAnsi="Book Antiqua"/>
          <w:color w:val="1A1718"/>
          <w:vertAlign w:val="superscript"/>
          <w:lang w:val="en-GB"/>
        </w:rPr>
        <w:instrText>% (n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55) and 34.5</w:instrText>
      </w:r>
      <w:r w:rsidRPr="00793E90">
        <w:rPr>
          <w:color w:val="1A1718"/>
          <w:vertAlign w:val="superscript"/>
          <w:lang w:val="en-GB"/>
        </w:rPr>
        <w:instrText> </w:instrText>
      </w:r>
      <w:r w:rsidRPr="00793E90">
        <w:rPr>
          <w:rFonts w:ascii="Book Antiqua" w:hAnsi="Book Antiqua"/>
          <w:color w:val="1A1718"/>
          <w:vertAlign w:val="superscript"/>
          <w:lang w:val="en-GB"/>
        </w:rPr>
        <w:instrText>% (n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29). Median SUVmax values did not differ between true-positive and false-positive findings (\nP\n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0.27). Median MV30 values differed significantly between true-positive (5.5</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[3.3</w:instrText>
      </w:r>
      <w:r w:rsidRPr="00793E90">
        <w:rPr>
          <w:color w:val="1A1718"/>
          <w:vertAlign w:val="superscript"/>
          <w:lang w:val="en-GB"/>
        </w:rPr>
        <w:instrText> </w:instrText>
      </w:r>
      <w:r w:rsidRPr="00793E90">
        <w:rPr>
          <w:rFonts w:ascii="Book Antiqua" w:hAnsi="Book Antiqua" w:cs="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10.9</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and false-positive (9.7</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[5.2</w:instrText>
      </w:r>
      <w:r w:rsidRPr="00793E90">
        <w:rPr>
          <w:color w:val="1A1718"/>
          <w:vertAlign w:val="superscript"/>
          <w:lang w:val="en-GB"/>
        </w:rPr>
        <w:instrText> </w:instrText>
      </w:r>
      <w:r w:rsidRPr="00793E90">
        <w:rPr>
          <w:rFonts w:ascii="Book Antiqua" w:hAnsi="Book Antiqua" w:cs="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40.8</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findings (\nP\n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0.015). Among the 55 true-positive FDG uptake sites, there were 14 (25.5</w:instrText>
      </w:r>
      <w:r w:rsidRPr="00793E90">
        <w:rPr>
          <w:color w:val="1A1718"/>
          <w:vertAlign w:val="superscript"/>
          <w:lang w:val="en-GB"/>
        </w:rPr>
        <w:instrText> </w:instrText>
      </w:r>
      <w:r w:rsidRPr="00793E90">
        <w:rPr>
          <w:rFonts w:ascii="Book Antiqua" w:hAnsi="Book Antiqua"/>
          <w:color w:val="1A1718"/>
          <w:vertAlign w:val="superscript"/>
          <w:lang w:val="en-GB"/>
        </w:rPr>
        <w:instrText>%) malignant lesions, 30 (54.5</w:instrText>
      </w:r>
      <w:r w:rsidRPr="00793E90">
        <w:rPr>
          <w:color w:val="1A1718"/>
          <w:vertAlign w:val="superscript"/>
          <w:lang w:val="en-GB"/>
        </w:rPr>
        <w:instrText> </w:instrText>
      </w:r>
      <w:r w:rsidRPr="00793E90">
        <w:rPr>
          <w:rFonts w:ascii="Book Antiqua" w:hAnsi="Book Antiqua"/>
          <w:color w:val="1A1718"/>
          <w:vertAlign w:val="superscript"/>
          <w:lang w:val="en-GB"/>
        </w:rPr>
        <w:instrText>%) HRP, 4 (7.3</w:instrText>
      </w:r>
      <w:r w:rsidRPr="00793E90">
        <w:rPr>
          <w:color w:val="1A1718"/>
          <w:vertAlign w:val="superscript"/>
          <w:lang w:val="en-GB"/>
        </w:rPr>
        <w:instrText> </w:instrText>
      </w:r>
      <w:r w:rsidRPr="00793E90">
        <w:rPr>
          <w:rFonts w:ascii="Book Antiqua" w:hAnsi="Book Antiqua"/>
          <w:color w:val="1A1718"/>
          <w:vertAlign w:val="superscript"/>
          <w:lang w:val="en-GB"/>
        </w:rPr>
        <w:instrText>%) LRP, and 7 (12.7</w:instrText>
      </w:r>
      <w:r w:rsidRPr="00793E90">
        <w:rPr>
          <w:color w:val="1A1718"/>
          <w:vertAlign w:val="superscript"/>
          <w:lang w:val="en-GB"/>
        </w:rPr>
        <w:instrText> </w:instrText>
      </w:r>
      <w:r w:rsidRPr="00793E90">
        <w:rPr>
          <w:rFonts w:ascii="Book Antiqua" w:hAnsi="Book Antiqua"/>
          <w:color w:val="1A1718"/>
          <w:vertAlign w:val="superscript"/>
          <w:lang w:val="en-GB"/>
        </w:rPr>
        <w:instrText>%) NNL. Median MV30 values differed significantly between advanced neoplasia (5.0</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[2.9</w:instrText>
      </w:r>
      <w:r w:rsidRPr="00793E90">
        <w:rPr>
          <w:color w:val="1A1718"/>
          <w:vertAlign w:val="superscript"/>
          <w:lang w:val="en-GB"/>
        </w:rPr>
        <w:instrText> </w:instrText>
      </w:r>
      <w:r w:rsidRPr="00793E90">
        <w:rPr>
          <w:rFonts w:ascii="Book Antiqua" w:hAnsi="Book Antiqua" w:cs="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9.7</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and other endoscopic findings (9.4</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[5.2</w:instrText>
      </w:r>
      <w:r w:rsidRPr="00793E90">
        <w:rPr>
          <w:color w:val="1A1718"/>
          <w:vertAlign w:val="superscript"/>
          <w:lang w:val="en-GB"/>
        </w:rPr>
        <w:instrText> </w:instrText>
      </w:r>
      <w:r w:rsidRPr="00793E90">
        <w:rPr>
          <w:rFonts w:ascii="Book Antiqua" w:hAnsi="Book Antiqua" w:cs="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39.8</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(\nP\n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0.001); the AUROC was 0.71.</w:instrText>
      </w:r>
      <w:r w:rsidRPr="00793E90">
        <w:rPr>
          <w:color w:val="1A1718"/>
          <w:vertAlign w:val="superscript"/>
          <w:lang w:val="en-GB"/>
        </w:rPr>
        <w:instrText> </w:instrText>
      </w:r>
      <w:r w:rsidRPr="00793E90">
        <w:rPr>
          <w:rFonts w:ascii="Book Antiqua" w:hAnsi="Book Antiqua"/>
          <w:color w:val="1A1718"/>
          <w:vertAlign w:val="superscript"/>
          <w:lang w:val="en-GB"/>
        </w:rPr>
        <w:instrText>By per-colonic segment analysis, the distribution of true-positive, false-negative, false-positive, and true-negative FDG PET/CT findings was as follows: 21.5</w:instrText>
      </w:r>
      <w:r w:rsidRPr="00793E90">
        <w:rPr>
          <w:color w:val="1A1718"/>
          <w:vertAlign w:val="superscript"/>
          <w:lang w:val="en-GB"/>
        </w:rPr>
        <w:instrText> </w:instrText>
      </w:r>
      <w:r w:rsidRPr="00793E90">
        <w:rPr>
          <w:rFonts w:ascii="Book Antiqua" w:hAnsi="Book Antiqua"/>
          <w:color w:val="1A1718"/>
          <w:vertAlign w:val="superscript"/>
          <w:lang w:val="en-GB"/>
        </w:rPr>
        <w:instrText>%, 14.2</w:instrText>
      </w:r>
      <w:r w:rsidRPr="00793E90">
        <w:rPr>
          <w:color w:val="1A1718"/>
          <w:vertAlign w:val="superscript"/>
          <w:lang w:val="en-GB"/>
        </w:rPr>
        <w:instrText> </w:instrText>
      </w:r>
      <w:r w:rsidRPr="00793E90">
        <w:rPr>
          <w:rFonts w:ascii="Book Antiqua" w:hAnsi="Book Antiqua"/>
          <w:color w:val="1A1718"/>
          <w:vertAlign w:val="superscript"/>
          <w:lang w:val="en-GB"/>
        </w:rPr>
        <w:instrText>%, 11.5</w:instrText>
      </w:r>
      <w:r w:rsidRPr="00793E90">
        <w:rPr>
          <w:color w:val="1A1718"/>
          <w:vertAlign w:val="superscript"/>
          <w:lang w:val="en-GB"/>
        </w:rPr>
        <w:instrText> </w:instrText>
      </w:r>
      <w:r w:rsidRPr="00793E90">
        <w:rPr>
          <w:rFonts w:ascii="Book Antiqua" w:hAnsi="Book Antiqua"/>
          <w:color w:val="1A1718"/>
          <w:vertAlign w:val="superscript"/>
          <w:lang w:val="en-GB"/>
        </w:rPr>
        <w:instrText>%, and 52.8</w:instrText>
      </w:r>
      <w:r w:rsidRPr="00793E90">
        <w:rPr>
          <w:color w:val="1A1718"/>
          <w:vertAlign w:val="superscript"/>
          <w:lang w:val="en-GB"/>
        </w:rPr>
        <w:instrText> </w:instrText>
      </w:r>
      <w:r w:rsidRPr="00793E90">
        <w:rPr>
          <w:rFonts w:ascii="Book Antiqua" w:hAnsi="Book Antiqua"/>
          <w:color w:val="1A1718"/>
          <w:vertAlign w:val="superscript"/>
          <w:lang w:val="en-GB"/>
        </w:rPr>
        <w:instrText>%, respectively.\n\n\nConclusion\n\n Our study demonstrates that follow-up complete colonoscopy is mandatory in all patients with incidental colorectal focal\n18\nF-FDG PET/CT uptake.","DOI":"10.1055/s-0043-116384","ISSN":"2364-3722","note":"PMID: 28924601\nPMCID: PMC5597934","title-short":"Incidental colorectal focal 18 F-FDG uptake","journalAbbreviation":"Endosc Int Open","author":[{"family":"Rigault","given":"Eugénie"},{"family":"Lenoir","given":"Laurence"},{"family":"Bouguen","given":"Guillaume"},{"family":"Pagenault","given":"Mael"},{"family":"Lièvre","given":"Astrid"},{"family":"Garin","given":"Etienne"},{"family":"Siproudhis","given":"Laurent"},{"family":"Bretagne","given":"Jean-François"}],"issued":{"date-parts":[["2017",9]]}}},{"id":73,"uris":["http://zotero.org/users/4891711/items/TZCCG77V"],"uri":["http://zotero.org/users/4891711/items/TZCCG77V"],"itemData":{"id":73,"type":"article-journal","title":"What approach should we take for the incidental finding of increased 18F-FDG uptake foci in the colon on PET/CT?:","container-title":"Nuclear Medicine Communications","page":"1195-1201","volume":"36","issue":"12","source":"DOI.org (Crossref)","DOI":"10.1097/MNM.0000000000000388","ISSN":"0143-3636","title-short":"What approach should we take for the incidental finding of increased 18F-FDG uptake foci in the colon on PET/CT?","journalAbbreviation":"Nuclear Medicine Communications","language":"en","author":[{"family":"Şimşek","given":"Fikri S."},{"family":"İspiroğlu","given":"Murat"},{"family":"Taşdemir","given":"Bekir"},{"family":"Köroğlu","given":"Reyhan"},{"family":"Ünal","given":"Kemal"},{"family":"Özercan","given":"Ibrahim H."},{"family":"Entok","given":"Emre"},{"family":"Kuşlu","given":"Duygu"},{"family":"Karabulut","given":"Koray"}],"issued":{"date-parts":[["2015",12]]}}},{"id":52,"uris":["http://zotero.org/users/4891711/items/SH4IXS7T"],"uri":["http://zotero.org/users/4891711/items/SH4IXS7T"],"itemData":{"id":52,"type":"article-journal","title":"Incidental Colonic Fluorodeoxyglucose Uptake: Correlation with Colonoscopic and Histopathologic Findings","container-title":"Radiology","page":"783-787","volume":"224","issue":"3","source":"DOI.org (Crossref)","abstract":"PURPOSE: To evaluate the pattern and degree of incidental colonic ﬂuorodeoxyglucose (FDG) uptake in patients without colorectal carcinoma who underwent whole-body FDG positron emission tomography (PET) for other purposes and compare them with colonoscopic and/or histopathologic ﬁndings. MATERIALS AND METHODS: Cases of 27 patients without known history of colorectal carcinoma who were referred for evaluation with whole-body FDG PET and displayed incidental colonic uptake were reviewed retrospectively. Colonoscopy was performed in 10 patients; histopathologic analysis, in two; and both, in 15. The colonic FDG uptake patterns were nodular-focal, nodular-multifocal, segmental, and diffuse. The FDG uptake level was scored with a four-point scale in relation to hepatic uptake. Binomial distribution was used to calculate 95% CIs for the probability of ﬁnding an abnormality at histologic examination, as predicted by ﬁndings at FDG PET.\nRESULTS: Colonoscopic ﬁndings in eight patients with a diffuse uptake pattern were normal. Thirteen patients with nodular high FDG uptake had pathologic ﬁndings. Six (22%) of the 27 patients were not suspected of having a malignancy, and seven had benign neoplasms. With a 95% CI, nodular high FDG uptake implies at least a 79% chance that histopathologic ﬁndings may be abnormal. Colitis was seen in ﬁve of six patients with a segmental pattern of high FDG uptake.\nCONCLUSION: Colonoscopy is a reasonable next step for further diagnostic examination of patients who display nodular high FDG uptake in the colon. Diffuse FDG uptake often is associated with normal ﬁndings at colonoscopy, while segmental high uptake may imply inﬂammation.","DOI":"10.1148/radiol.2243011214","ISSN":"0033-8419, 1527-1315","title-short":"Incidental Colonic Fluorodeoxyglucose Uptake","journalAbbreviation":"Radiology","language":"en","author":[{"family":"Tatlidil","given":"Rozet"},{"family":"Jadvar","given":"Hossein"},{"family":"Bading","given":"James R."},{"family":"Conti","given":"Peter S."}],"issued":{"date-parts":[["2002",9]]}}},{"id":75,"uris":["http://zotero.org/users/4891711/items/JVWJ835B"],"uri":["http://zotero.org/users/4891711/items/JVWJ835B"],"itemData":{"id":75,"type":"article-journal","title":"Clinical Relevance of Incidental Finding of Focal Uptakes in the Colon during 18F-FDG PET/CT Studies in Oncology Patients without Known Colorectal Carcinoma and Evaluation of the Impact on Management</w:instrText>
      </w:r>
      <w:r w:rsidRPr="00793E90">
        <w:rPr>
          <w:rFonts w:ascii="Nirmala UI" w:eastAsia="Nirmala UI" w:hAnsi="Nirmala UI" w:cs="Nirmala UI" w:hint="eastAsia"/>
          <w:color w:val="1A1718"/>
          <w:vertAlign w:val="superscript"/>
          <w:lang w:val="en-GB"/>
        </w:rPr>
        <w:instrText>ଝ</w:instrText>
      </w:r>
      <w:r w:rsidRPr="00793E90">
        <w:rPr>
          <w:rFonts w:ascii="Book Antiqua" w:hAnsi="Book Antiqua"/>
          <w:color w:val="1A1718"/>
          <w:vertAlign w:val="superscript"/>
          <w:lang w:val="en-GB"/>
        </w:rPr>
        <w:instrText xml:space="preserve">","container-title":"Rev Esp Med Nucl.","page":"7","source":"Zotero","abstract":"Aims: To assess the signiﬁcance and the impact of focal FDG uptake in the colon in oncology patients without known colorectal carcinoma. Materials and methods: A retrospective study was undertaken on 2220 18F-FDG PET/CT studies carried out consecutively in the Nuclear Medicine Department in our hospital from 2 December 2008 to 31 May 2010. Inclusion criteria were patients with abnormal 18F-FDG uptake in colorectal area that could not be explained (or not previously known) by their clinical histories. Patients previously diagnosed with colorectal carcinoma were excluded. A total of 86 patients (57 male, average age 63.4, range 46–85) were ﬁnally included. Colonoscopy with biopsy was established as a reference test. The impact of these ﬁndings on the diagnostic–therapeutic management in these patients was evaluated.","language":"en","author":[{"family":"Andía","given":"G Salazar"},{"family":"Soriano","given":"A Prieto"},{"family":"Candil","given":"A Ortega"},{"family":"Martín","given":"M N Cabrera"},{"family":"Roiz","given":"C González"},{"family":"Zapata","given":"J J Ortiz"},{"family":"Arboniés","given":"J Cardona"}]}},{"id":44,"uris":["http://zotero.org/users/4891711/items/FIJFNJ6H"],"uri":["http://zotero.org/users/4891711/items/FIJFNJ6H"],"itemData":{"id":44,"type":"article-journal","title":"Unexpected FDG-PET uptake in the gastrointestinal tract: Endoscopic and histopathological correlations","container-title":"World Journal of Gastroenterology","page":"4377","volume":"20","issue":"15","source":"DOI.org (Crossref)","abstract":"AIM: To investigate the nature and significance of unexpected positron emission tomography with fluorodeoxyglucose (FDG-PET) uptake within the gastrointestinal tract (GIT).","DOI":"10.3748/wjg.v20.i15.4377","ISSN":"1007-9327","title-short":"Unexpected FDG-PET uptake in the gastrointestinal tract","journalAbbreviation":"WJG","language":"en","author":[{"family":"Eran","given":"Goldin"}],"issued":{"date-parts":[["2014"]]}}},{"id":50,"uris":["http://zotero.org/users/4891711/items/3KLLGZBD"],"uri":["http://zotero.org/users/4891711/items/3KLLGZBD"],"itemData":{"id":50,"type":"article-journal","title":"PET/CT Detection of Unexpected Gastrointestinal Foci of 18F-FDG Uptake: Incidence, Localization Patterns, and Clinical Signiﬁcance","page":"6","source":"Zotero","language":"en","author":[{"family":"Israel","given":"Ora"},{"family":"Yefremov","given":"Nikolay"},{"family":"Bar-Shalom","given":"Rachel"},{"family":"Kagana","given":"Olga"},{"family":"Frenkel","given":"Alex"},{"family":"Keidar","given":"Zohar"},{"family":"Fischer","given":"Doron"}]}},{"id":54,"uris":["http://zotero.org/users/4891711/items/J49CVZIP"],"uri":["http://zotero.org/users/4891711/items/J49CVZIP"],"itemData":{"id":54,"type":"article-journal","title":"Prevalence and malignancy risk of focal colorectal incidental uptake detected by 18F-FDG-PET or PET/CT: a meta-analysis","container-title":"Radiology and Oncology","page":"99-104","volume":"48","issue":"2","source":"DOI.org (Crossref)","abstract":"Background. The aim of the study was to meta-analyze published data about prevalence and malignancy risk of focal colorectal incidentalomas (FCIs) detected by Fluorine-18-Fluorodeoxyglucose positron emission tomography or positron emission tomography/computed tomography (18F-FDG-PET or PET/CT).\nMethods. A comprehensive computer literature search of studies published through July 31st 2012 regarding FCIs detected by 18F-FDG-PET or PET/CT was performed. Pooled prevalence of patients with FCIs and risk of malignant or premalignant FCIs after colonoscopy or histopathology verification were calculated. Furthermore, separate calculations for geographic areas were performed. Finally, average standardized uptake values (SUV) in malignant, premalignant and benign FCIs were reported.\nResults. Thirty-two studies comprising 89,061 patients evaluated by 18F-FDG-PET or PET/CT were included. The pooled prevalence of FCIs detected by 18F-FDG-PET or PET/CT was 3.6% (95% confidence interval [95% CI]: 2.6-4.7%). Overall, 1,044 FCIs detected by 18F-FDG-PET or PET/CT underwent colonoscopy or histopathology evaluation. Pooled risk of malignant or premalignant lesions was 68% (95% CI: 60-75%). Risk of malignant and premalignant FCIs in Asia-Oceania was lower compared to that of Europe and America. A significant overlap in average SUV was found between malignant, premalignant and benign FCIs.\nConclusions. FCIs are observed in a not negligible number of patients who undergo 18F-FDG-PET or PET/CT studies with a high risk of malignant or premalignant lesions. SUV is not reliable as a tool to differentiate between malignant, premalignant and benign FCIs. Further investigation is warranted whenever FCIs are detected by 18F-FDG-PET or PET/CT.","DOI":"10.2478/raon-2013-0035","ISSN":"1581-3207, 1318-2099","title-short":"Prevalence and malignancy risk of focal colorectal incidental uptake detected by 18F-FDG-PET or PET/CT","language":"en","author":[{"family":"Treglia","given":"Giorgio"},{"family":"Taralli","given":"Silvia"},{"family":"Salsano","given":"Marco"},{"family":"Muoio","given":"Barbara"},{"family":"Sadeghi","given":"Ramin"},{"family":"Giovanella","given":"Luca"}],"issued":{"date-parts":[["2014",6,1]]}}},{"id":79,"uris":["http://zotero.org/users/4891711/items/NPZNU4EM"],"uri":["http://zotero.org/users/4891711/items/NPZNU4EM"],"itemData":{"id":79,"type":"article-journal","title":"Colonoscopic Findings in Patients With Incidental Colonic Focal FDG Uptake","container-title":"American Journal of Roentgenology","page":"W586-W591","volume":"204","issue":"5","source":"DOI.org (Crossref)","abstract":"OBJECTIVE. The purpose of this study was to investigate the nature of FDG-avid and non–FDG-avid lesions detected at colonoscopy in patients presenting with incidental focal colonic FDG uptake at PET/CT. MATERIALS AND METHODS. Among 9073 patients who underwent PET/CT over a 4-year period, 82 patients without a history of colonic disease had focal colonic FDG uptake and underwent colonoscopy. In consensus, a radiologist and a nuclear physician read images from these PET/CT examinations. They recorded the location of focal FDG uptake in the colon and associated CT abnormalities and measured maximum standardized uptake value (SUVmax) and metabolic volume (MV). Readings were performed twice—first without and second with knowledge of lesion location at colonoscopy. The final diagnosis was based on colonoscopic findings and histopathologic results categorized into benign, premalignant, or malignant.\nRESULTS. One hundred seven foci of colonic FDG uptake at PET/CT and 150 lesions at colonoscopy were detected. Among 107 foci of FDG uptake, 65 (61%) corresponded to a lesion at colonoscopy (true-positive findings), and 42 (39%) did not (false-positive findings). Among 150 lesions found at colonoscopy, 85 (57%) were not FDG avid (false-negative findings). The MV of true-positive findings was lower than that of false-positive findings (4.0 ± 0.4 cm3 vs 6.2 ± 0.7 cm3; p = 0.006), but SUVmax did not differ (7.4 ± 0.5 vs 7.7 ± 0.5; p = 0.649). Considering the histopathologic categories of the lesions and the false-positive findings, there was no difference in SUVmax (p = 0.103), but MV was lower in premalignant lesions than in false-positive findings (p = 0.005).\nCONCLUSION. Focal colonic FDG uptake may indicate the presence of a benign, premalignant, or malignant lesion. Subsequent colonoscopy should not be restricted to the colonic site of FDG uptake.","DOI":"10.2214/AJR.14.12817","ISSN":"0361-803X, 1546-3141","journalAbbreviation":"American Journal of Roentgenology","language":"en","author":[{"family":"Keyzer","given":"Caroline"},{"family":"Dhaene","given":"Benjamin"},{"family":"Blocklet","given":"Didier"},{"family":"De Maertelaer","given":"Viviane"},{"family":"Goldman","given":"Serge"},{"family":"Gevenois","given":"Pierre Alain"}],"issued":{"date-parts":[["2015",5]]}}},{"id":42,"uris":["http://zotero.org/users/4891711/items/HAE753AC"],"uri":["http://zotero.org/users/4891711/items/HAE753AC"],"itemData":{"id":42,"type":"article-journal","title":"Clinical significance of incidental [18 F]FDG uptake in the gastrointestinal tract on PET/CT imaging: a retrospective cohort study","container-title":"BMC Gastroenterology","page":"125","volume":"16","issue":"1","source":"DOI.org (Crossref)","abstract":"Background: The frequency and clinically important characteristics of incidental (18)F-fluorodeoxyglucose ([18 F]FDG) positron emission tomography (PET) uptake in the gastrointestinal tract (GIT) on PET/CT imaging in adults remain elusive.\nMethods: All PET/CT reports from 1/1/2000 to 12/31/2009 at a single tertiary referral center were reviewed; clinical information was obtained from cases with incidental (18)F-FDG uptake in the GIT, with follow-up through October, 2012.\nResults: Of the 41,538 PET/CT scans performed during the study period, 303 (0.7 %) had incidental GIT uptake. The most common indication for the PET/CT order was cancer staging (226 cases, 75 %), with 74 % for solid and 26 % for hematologic malignancies. Of those with solid malignancy, only 51 (17 %) had known metastatic disease. The most common site of GIT uptake was the colon, and of the 240 cases with colonic uptake, the most common areas of uptake were cecum (n = 65), sigmoid (n = 60), and ascending colon (n = 50). Investigations were pursued for the GIT uptake in 147 cases (49 %), whereas 51 % did not undergo additional studies, largely due to advanced disease. There were 73 premalignant colonic lesions diagnosed in 56 cases (tubular adenoma, n = 36; tubulovillous adenoma with low grade dysplasia, n = 27; sessile serrated adenoma, n = 4; tubulovillous adenoma with high grade dysplasia, n = 3; villous adenoma, n = 3), and 20 cases with newly diagnosed primary colon cancer. All 20 (100 %) patients with malignant colonic lesions had a focal pattern of [18 F]FDG uptake. Among cases with a known pattern of [18 F]FDG uptake, 98 % of those with premalignant lesions had focal [18 F]FDG uptake. Eighteen (90 %) of the cases with newly diagnosed colon cancer were not known to have metastatic disease of their primary tumor. Areas of incidental uptake in the ascending colon had the greatest chance (42 %) of being malignant and premalignant lesions than in any other area.\nConclusion: Focality of uptake is highly sensitive for malignant and premalignant lesions of the GIT. In patients without metastatic disease, incidental focal [18]FDG uptake in the GIT on PET/CT imaging warrants further evaluation.","DOI":"10.1186/s12876-016-0545-x","ISSN":"1471-230X","title-short":"Clinical significance of incidental [18 F]FDG uptake in the gastrointestinal tract on PET/CT imaging","journalAbbreviation":"BMC Gastroenterol","language":"en","author":[{"family":"Shmidt","given":"Eugenia"},{"family":"Nehra","given":"Vandana"},{"family":"Lowe","given":"Val"},{"family":"Oxentenko","given":"Amy S."}],"issued":{"date-parts":[["2016",12]]}}},{"id":83,"uris":["http://zotero.org/users/4891711/items/3XGDUNZR"],"uri":["http://zotero.org/users/4891711/items/3XGDUNZR"],"itemData":{"id":83,"type":"article-journal","title":"Signiﬁcance of Incidental 18F-FDG Accumulations in the Gastrointestinal Tract in PET/CT: Correlation with Endoscopic and Histopathologic Results","page":"8","source":"Zotero","language":"en","author":[{"family":"Kamel","given":"Ehab M"},{"family":"Thumshirn","given":"Miriam"},{"family":"Truninger","given":"Kaspar"},{"family":"Schiesser","given":"Marc"},{"family":"Fried","given":"Michael"},{"family":"Padberg","given":"Barbara"},{"family":"Schneiter","given":"Didier"},{"family":"Stoeckli","given":"Sandro J"},{"family":"Stumpe","given":"Katrin D M"}]}},{"id":40,"uris":["http://zotero.org/users/4891711/items/GSNFBFKB"],"uri":["http://zotero.org/users/4891711/items/GSNFBFKB"],"itemData":{"id":40,"type":"article-journal","title":"Role of fluorine 18 fluorodeoxyglucose positron emission tomography/computed tomography in gastrointestinal cancers","container-title":"Digestive and Liver Disease","page":"443-454","volume":"47","issue":"6","source":"DOI.org (Crossref)","abstract":"Fluorine-18 ﬂuorodeoxyglucose positron emission tomography/computed tomography (FDG-PET/CT) has become a routine imaging modality for many malignancies and its use is currently increasing. In the present review article, we will summarize the evidence for FDG-PET/CT use in digestive cancers (excluding neuroendocrine tumours), and review the existing recommendations. While PET/CT is nowadays considered to be an important tool in the initial workup of oesophageal and anal cancers, new data are emerging regarding its use in assessing therapeutic efﬁcacy, radiotherapy treatment planning, and detection of recurrence in case of isolated tumour marker elevation. Moreover, PET/CT may help decision making by detecting distant metastatic sites especially in potentially resectable metastatic colorectal cancer and, to a lesser extent, in localized gastric and pancreatic cancers. Finally, incidental focal colonic FDG uptakes require exploration by colonoscopy, as they are often associated with premalignant or malignant lesions.","DOI":"10.1016/j.dld.2015.02.005","ISSN":"15908658","journalAbbreviation":"Digestive and Liver Disease","language":"en","author":[{"family":"Gauthé","given":"Mathieu"},{"family":"Richard-Molard","given":"Marion"},{"family":"Cacheux","given":"Wulfran"},{"family":"Michel","given":"Pierre"},{"family":"Jouve","given":"Jean-Louis"},{"family":"Mitry","given":"Emmanuel"},{"family":"Alberini","given":"Jean-Louis"},{"family":"Lièvre","given":"Astrid"}],"issued":{"date-parts":[["2015",6]]}}}],"schema":"https://github.com/citation-style-language/schema/raw/master/csl-citation.json"} </w:instrText>
      </w:r>
      <w:r w:rsidRPr="00793E90">
        <w:rPr>
          <w:rFonts w:ascii="Book Antiqua" w:hAnsi="Book Antiqua"/>
          <w:color w:val="1A1718"/>
          <w:vertAlign w:val="superscript"/>
          <w:lang w:val="en-GB"/>
        </w:rPr>
        <w:fldChar w:fldCharType="separate"/>
      </w:r>
      <w:r w:rsidRPr="00793E90">
        <w:rPr>
          <w:rFonts w:ascii="Book Antiqua" w:hAnsi="Book Antiqua"/>
          <w:vertAlign w:val="superscript"/>
          <w:lang w:val="en-GB"/>
        </w:rPr>
        <w:t>[7–17]</w:t>
      </w:r>
      <w:r w:rsidRPr="00793E90">
        <w:rPr>
          <w:rFonts w:ascii="Book Antiqua" w:hAnsi="Book Antiqua"/>
          <w:color w:val="1A1718"/>
          <w:vertAlign w:val="superscript"/>
          <w:lang w:val="en-GB"/>
        </w:rPr>
        <w:fldChar w:fldCharType="end"/>
      </w:r>
      <w:r w:rsidRPr="00793E90">
        <w:rPr>
          <w:rFonts w:ascii="Book Antiqua" w:hAnsi="Book Antiqua"/>
          <w:color w:val="1A1718"/>
          <w:lang w:val="en-GB"/>
        </w:rPr>
        <w:t xml:space="preserve">. Incidental focal colorectal </w:t>
      </w:r>
      <w:r w:rsidRPr="00793E90">
        <w:rPr>
          <w:rFonts w:ascii="Book Antiqua" w:hAnsi="Book Antiqua"/>
          <w:color w:val="1A1718"/>
          <w:vertAlign w:val="superscript"/>
          <w:lang w:val="en-GB"/>
        </w:rPr>
        <w:t>18</w:t>
      </w:r>
      <w:r w:rsidRPr="00793E90">
        <w:rPr>
          <w:rFonts w:ascii="Book Antiqua" w:hAnsi="Book Antiqua"/>
          <w:color w:val="1A1718"/>
          <w:lang w:val="en-GB"/>
        </w:rPr>
        <w:t>FDG</w:t>
      </w:r>
      <w:r w:rsidRPr="00793E90">
        <w:rPr>
          <w:rFonts w:ascii="Book Antiqua" w:eastAsia="Calibri" w:hAnsi="Book Antiqua"/>
          <w:color w:val="1A1718"/>
          <w:lang w:val="en-GB"/>
        </w:rPr>
        <w:t xml:space="preserve"> </w:t>
      </w:r>
      <w:r w:rsidRPr="00793E90">
        <w:rPr>
          <w:rFonts w:ascii="Book Antiqua" w:hAnsi="Book Antiqua"/>
          <w:color w:val="1A1718"/>
          <w:lang w:val="en-GB"/>
        </w:rPr>
        <w:t xml:space="preserve">uptake on </w:t>
      </w:r>
      <w:r w:rsidRPr="00793E90">
        <w:rPr>
          <w:rFonts w:ascii="Book Antiqua" w:hAnsi="Book Antiqua"/>
          <w:color w:val="1A1718"/>
          <w:vertAlign w:val="superscript"/>
          <w:lang w:val="en-GB"/>
        </w:rPr>
        <w:t>18</w:t>
      </w:r>
      <w:r w:rsidRPr="00793E90">
        <w:rPr>
          <w:rFonts w:ascii="Book Antiqua" w:hAnsi="Book Antiqua"/>
          <w:color w:val="1A1718"/>
          <w:lang w:val="en-GB"/>
        </w:rPr>
        <w:t>FDG PET/CT imaging was associated with endoscopic lesions in two-thirds of the cases, with a high rate of advanced neoplasms</w:t>
      </w:r>
      <w:r w:rsidRPr="00793E90">
        <w:rPr>
          <w:rFonts w:ascii="Book Antiqua" w:hAnsi="Book Antiqua"/>
          <w:color w:val="1A1718"/>
          <w:vertAlign w:val="superscript"/>
          <w:lang w:val="en-GB"/>
        </w:rPr>
        <w:fldChar w:fldCharType="begin"/>
      </w:r>
      <w:r w:rsidRPr="00793E90">
        <w:rPr>
          <w:rFonts w:ascii="Book Antiqua" w:hAnsi="Book Antiqua"/>
          <w:color w:val="1A1718"/>
          <w:vertAlign w:val="superscript"/>
          <w:lang w:val="en-GB"/>
        </w:rPr>
        <w:instrText xml:space="preserve"> ADDIN ZOTERO_ITEM CSL_CITATION {"citationID":"33rfKVN6","properties":{"formattedCitation":"(7)","plainCitation":"(7)","noteIndex":0},"citationItems":[{"id":32,"uris":["http://zotero.org/users/4891711/items/77DD2EYP"],"uri":["http://zotero.org/users/4891711/items/77DD2EYP"],"itemData":{"id":32,"type":"article-journal","title":"Incidental colorectal focal 18 F-FDG uptake: a novel indication for colonoscopy","container-title":"Endoscopy International Open","page":"E924-E930","volume":"5","issue":"9","source":"PubMed Central","abstract":"Background and study aims\n\n The relevance of incidental colorectal focal\n18\nF-FDG PET/CT uptake is debatable. All patients who were referred for colonoscopy because of incidental colonic focal FDG uptake were included in this retrospective study.\n\n\nPatients and methods\n\n PET/CT imaging characteristics were reviewed by a nuclear physician who was blinded to endoscopic and histopathological findings to determine the location of FDG uptake sites and to measure the maximum standardized uptake values (SUVmax) and metabolic volume (MV). Endoscopic findings were categorized as malignant lesions (ML), high-risk polyps (HRP), low-risk polyps (LRP) or other non-neoplastic lesions (NNL).\n\n\nResults\n\n Seventy patients with 84 foci of FDG uptake were included. The proportions of true-positive (lesions found at colonoscopy at the same location) and false-positive (no lesion at colonoscopy) PET/CT findings were 65.5</w:instrText>
      </w:r>
      <w:r w:rsidRPr="00793E90">
        <w:rPr>
          <w:color w:val="1A1718"/>
          <w:vertAlign w:val="superscript"/>
          <w:lang w:val="en-GB"/>
        </w:rPr>
        <w:instrText> </w:instrText>
      </w:r>
      <w:r w:rsidRPr="00793E90">
        <w:rPr>
          <w:rFonts w:ascii="Book Antiqua" w:hAnsi="Book Antiqua"/>
          <w:color w:val="1A1718"/>
          <w:vertAlign w:val="superscript"/>
          <w:lang w:val="en-GB"/>
        </w:rPr>
        <w:instrText>% (n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55) and 34.5</w:instrText>
      </w:r>
      <w:r w:rsidRPr="00793E90">
        <w:rPr>
          <w:color w:val="1A1718"/>
          <w:vertAlign w:val="superscript"/>
          <w:lang w:val="en-GB"/>
        </w:rPr>
        <w:instrText> </w:instrText>
      </w:r>
      <w:r w:rsidRPr="00793E90">
        <w:rPr>
          <w:rFonts w:ascii="Book Antiqua" w:hAnsi="Book Antiqua"/>
          <w:color w:val="1A1718"/>
          <w:vertAlign w:val="superscript"/>
          <w:lang w:val="en-GB"/>
        </w:rPr>
        <w:instrText>% (n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29). Median SUVmax values did not differ between true-positive and false-positive findings (\nP\n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0.27). Median MV30 values differed significantly between true-positive (5.5</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[3.3</w:instrText>
      </w:r>
      <w:r w:rsidRPr="00793E90">
        <w:rPr>
          <w:color w:val="1A1718"/>
          <w:vertAlign w:val="superscript"/>
          <w:lang w:val="en-GB"/>
        </w:rPr>
        <w:instrText> </w:instrText>
      </w:r>
      <w:r w:rsidRPr="00793E90">
        <w:rPr>
          <w:rFonts w:ascii="Book Antiqua" w:hAnsi="Book Antiqua" w:cs="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10.9</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and false-positive (9.7</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[5.2</w:instrText>
      </w:r>
      <w:r w:rsidRPr="00793E90">
        <w:rPr>
          <w:color w:val="1A1718"/>
          <w:vertAlign w:val="superscript"/>
          <w:lang w:val="en-GB"/>
        </w:rPr>
        <w:instrText> </w:instrText>
      </w:r>
      <w:r w:rsidRPr="00793E90">
        <w:rPr>
          <w:rFonts w:ascii="Book Antiqua" w:hAnsi="Book Antiqua" w:cs="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40.8</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findings (\nP\n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0.015). Among the 55 true-positive FDG uptake sites, there were 14 (25.5</w:instrText>
      </w:r>
      <w:r w:rsidRPr="00793E90">
        <w:rPr>
          <w:color w:val="1A1718"/>
          <w:vertAlign w:val="superscript"/>
          <w:lang w:val="en-GB"/>
        </w:rPr>
        <w:instrText> </w:instrText>
      </w:r>
      <w:r w:rsidRPr="00793E90">
        <w:rPr>
          <w:rFonts w:ascii="Book Antiqua" w:hAnsi="Book Antiqua"/>
          <w:color w:val="1A1718"/>
          <w:vertAlign w:val="superscript"/>
          <w:lang w:val="en-GB"/>
        </w:rPr>
        <w:instrText>%) malignant lesions, 30 (54.5</w:instrText>
      </w:r>
      <w:r w:rsidRPr="00793E90">
        <w:rPr>
          <w:color w:val="1A1718"/>
          <w:vertAlign w:val="superscript"/>
          <w:lang w:val="en-GB"/>
        </w:rPr>
        <w:instrText> </w:instrText>
      </w:r>
      <w:r w:rsidRPr="00793E90">
        <w:rPr>
          <w:rFonts w:ascii="Book Antiqua" w:hAnsi="Book Antiqua"/>
          <w:color w:val="1A1718"/>
          <w:vertAlign w:val="superscript"/>
          <w:lang w:val="en-GB"/>
        </w:rPr>
        <w:instrText>%) HRP, 4 (7.3</w:instrText>
      </w:r>
      <w:r w:rsidRPr="00793E90">
        <w:rPr>
          <w:color w:val="1A1718"/>
          <w:vertAlign w:val="superscript"/>
          <w:lang w:val="en-GB"/>
        </w:rPr>
        <w:instrText> </w:instrText>
      </w:r>
      <w:r w:rsidRPr="00793E90">
        <w:rPr>
          <w:rFonts w:ascii="Book Antiqua" w:hAnsi="Book Antiqua"/>
          <w:color w:val="1A1718"/>
          <w:vertAlign w:val="superscript"/>
          <w:lang w:val="en-GB"/>
        </w:rPr>
        <w:instrText>%) LRP, and 7 (12.7</w:instrText>
      </w:r>
      <w:r w:rsidRPr="00793E90">
        <w:rPr>
          <w:color w:val="1A1718"/>
          <w:vertAlign w:val="superscript"/>
          <w:lang w:val="en-GB"/>
        </w:rPr>
        <w:instrText> </w:instrText>
      </w:r>
      <w:r w:rsidRPr="00793E90">
        <w:rPr>
          <w:rFonts w:ascii="Book Antiqua" w:hAnsi="Book Antiqua"/>
          <w:color w:val="1A1718"/>
          <w:vertAlign w:val="superscript"/>
          <w:lang w:val="en-GB"/>
        </w:rPr>
        <w:instrText>%) NNL. Median MV30 values differed significantly between advanced neoplasia (5.0</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[2.9</w:instrText>
      </w:r>
      <w:r w:rsidRPr="00793E90">
        <w:rPr>
          <w:color w:val="1A1718"/>
          <w:vertAlign w:val="superscript"/>
          <w:lang w:val="en-GB"/>
        </w:rPr>
        <w:instrText> </w:instrText>
      </w:r>
      <w:r w:rsidRPr="00793E90">
        <w:rPr>
          <w:rFonts w:ascii="Book Antiqua" w:hAnsi="Book Antiqua" w:cs="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9.7</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and other endoscopic findings (9.4</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[5.2</w:instrText>
      </w:r>
      <w:r w:rsidRPr="00793E90">
        <w:rPr>
          <w:color w:val="1A1718"/>
          <w:vertAlign w:val="superscript"/>
          <w:lang w:val="en-GB"/>
        </w:rPr>
        <w:instrText> </w:instrText>
      </w:r>
      <w:r w:rsidRPr="00793E90">
        <w:rPr>
          <w:rFonts w:ascii="Book Antiqua" w:hAnsi="Book Antiqua" w:cs="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39.8</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(\nP\n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0.001); the AUROC was 0.71.</w:instrText>
      </w:r>
      <w:r w:rsidRPr="00793E90">
        <w:rPr>
          <w:color w:val="1A1718"/>
          <w:vertAlign w:val="superscript"/>
          <w:lang w:val="en-GB"/>
        </w:rPr>
        <w:instrText> </w:instrText>
      </w:r>
      <w:r w:rsidRPr="00793E90">
        <w:rPr>
          <w:rFonts w:ascii="Book Antiqua" w:hAnsi="Book Antiqua"/>
          <w:color w:val="1A1718"/>
          <w:vertAlign w:val="superscript"/>
          <w:lang w:val="en-GB"/>
        </w:rPr>
        <w:instrText>By per-colonic segment analysis, the distribution of true-positive, false-negative, false-positive, and true-negative FDG PET/CT findings was as follows: 21.5</w:instrText>
      </w:r>
      <w:r w:rsidRPr="00793E90">
        <w:rPr>
          <w:color w:val="1A1718"/>
          <w:vertAlign w:val="superscript"/>
          <w:lang w:val="en-GB"/>
        </w:rPr>
        <w:instrText> </w:instrText>
      </w:r>
      <w:r w:rsidRPr="00793E90">
        <w:rPr>
          <w:rFonts w:ascii="Book Antiqua" w:hAnsi="Book Antiqua"/>
          <w:color w:val="1A1718"/>
          <w:vertAlign w:val="superscript"/>
          <w:lang w:val="en-GB"/>
        </w:rPr>
        <w:instrText>%, 14.2</w:instrText>
      </w:r>
      <w:r w:rsidRPr="00793E90">
        <w:rPr>
          <w:color w:val="1A1718"/>
          <w:vertAlign w:val="superscript"/>
          <w:lang w:val="en-GB"/>
        </w:rPr>
        <w:instrText> </w:instrText>
      </w:r>
      <w:r w:rsidRPr="00793E90">
        <w:rPr>
          <w:rFonts w:ascii="Book Antiqua" w:hAnsi="Book Antiqua"/>
          <w:color w:val="1A1718"/>
          <w:vertAlign w:val="superscript"/>
          <w:lang w:val="en-GB"/>
        </w:rPr>
        <w:instrText>%, 11.5</w:instrText>
      </w:r>
      <w:r w:rsidRPr="00793E90">
        <w:rPr>
          <w:color w:val="1A1718"/>
          <w:vertAlign w:val="superscript"/>
          <w:lang w:val="en-GB"/>
        </w:rPr>
        <w:instrText> </w:instrText>
      </w:r>
      <w:r w:rsidRPr="00793E90">
        <w:rPr>
          <w:rFonts w:ascii="Book Antiqua" w:hAnsi="Book Antiqua"/>
          <w:color w:val="1A1718"/>
          <w:vertAlign w:val="superscript"/>
          <w:lang w:val="en-GB"/>
        </w:rPr>
        <w:instrText>%, and 52.8</w:instrText>
      </w:r>
      <w:r w:rsidRPr="00793E90">
        <w:rPr>
          <w:color w:val="1A1718"/>
          <w:vertAlign w:val="superscript"/>
          <w:lang w:val="en-GB"/>
        </w:rPr>
        <w:instrText> </w:instrText>
      </w:r>
      <w:r w:rsidRPr="00793E90">
        <w:rPr>
          <w:rFonts w:ascii="Book Antiqua" w:hAnsi="Book Antiqua"/>
          <w:color w:val="1A1718"/>
          <w:vertAlign w:val="superscript"/>
          <w:lang w:val="en-GB"/>
        </w:rPr>
        <w:instrText xml:space="preserve">%, respectively.\n\n\nConclusion\n\n Our study demonstrates that follow-up complete colonoscopy is mandatory in all patients with incidental colorectal focal\n18\nF-FDG PET/CT uptake.","DOI":"10.1055/s-0043-116384","ISSN":"2364-3722","note":"PMID: 28924601\nPMCID: PMC5597934","title-short":"Incidental colorectal focal 18 F-FDG uptake","journalAbbreviation":"Endosc Int Open","author":[{"family":"Rigault","given":"Eugénie"},{"family":"Lenoir","given":"Laurence"},{"family":"Bouguen","given":"Guillaume"},{"family":"Pagenault","given":"Mael"},{"family":"Lièvre","given":"Astrid"},{"family":"Garin","given":"Etienne"},{"family":"Siproudhis","given":"Laurent"},{"family":"Bretagne","given":"Jean-François"}],"issued":{"date-parts":[["2017",9]]}}}],"schema":"https://github.com/citation-style-language/schema/raw/master/csl-citation.json"} </w:instrText>
      </w:r>
      <w:r w:rsidRPr="00793E90">
        <w:rPr>
          <w:rFonts w:ascii="Book Antiqua" w:hAnsi="Book Antiqua"/>
          <w:color w:val="1A1718"/>
          <w:vertAlign w:val="superscript"/>
          <w:lang w:val="en-GB"/>
        </w:rPr>
        <w:fldChar w:fldCharType="separate"/>
      </w:r>
      <w:r w:rsidRPr="00793E90">
        <w:rPr>
          <w:rFonts w:ascii="Book Antiqua" w:hAnsi="Book Antiqua"/>
          <w:vertAlign w:val="superscript"/>
          <w:lang w:val="en-GB"/>
        </w:rPr>
        <w:t>[7]</w:t>
      </w:r>
      <w:r w:rsidRPr="00793E90">
        <w:rPr>
          <w:rFonts w:ascii="Book Antiqua" w:hAnsi="Book Antiqua"/>
          <w:color w:val="1A1718"/>
          <w:vertAlign w:val="superscript"/>
          <w:lang w:val="en-GB"/>
        </w:rPr>
        <w:fldChar w:fldCharType="end"/>
      </w:r>
      <w:r w:rsidRPr="00793E90">
        <w:rPr>
          <w:rFonts w:ascii="Book Antiqua" w:eastAsia="Calibri" w:hAnsi="Book Antiqua"/>
          <w:color w:val="1A1718"/>
          <w:lang w:val="en-GB"/>
        </w:rPr>
        <w:t xml:space="preserve">, </w:t>
      </w:r>
      <w:r w:rsidRPr="00793E90">
        <w:rPr>
          <w:rFonts w:ascii="Book Antiqua" w:hAnsi="Book Antiqua"/>
          <w:color w:val="1A1718"/>
          <w:lang w:val="en-GB"/>
        </w:rPr>
        <w:t>but no metabolic parameter has been identified to distinguish neoplasms from benign lesions</w:t>
      </w:r>
      <w:r w:rsidRPr="00793E90">
        <w:rPr>
          <w:rFonts w:ascii="Book Antiqua" w:hAnsi="Book Antiqua"/>
          <w:color w:val="1A1718"/>
          <w:vertAlign w:val="superscript"/>
          <w:lang w:val="en-GB"/>
        </w:rPr>
        <w:fldChar w:fldCharType="begin"/>
      </w:r>
      <w:r w:rsidRPr="00793E90">
        <w:rPr>
          <w:rFonts w:ascii="Book Antiqua" w:hAnsi="Book Antiqua"/>
          <w:color w:val="1A1718"/>
          <w:vertAlign w:val="superscript"/>
          <w:lang w:val="en-GB"/>
        </w:rPr>
        <w:instrText xml:space="preserve"> ADDIN ZOTERO_ITEM CSL_CITATION {"citationID":"7dx7PxZR","properties":{"formattedCitation":"(7,18)","plainCitation":"(7,18)","noteIndex":0},"citationItems":[{"id":32,"uris":["http://zotero.org/users/4891711/items/77DD2EYP"],"uri":["http://zotero.org/users/4891711/items/77DD2EYP"],"itemData":{"id":32,"type":"article-journal","title":"Incidental colorectal focal 18 F-FDG uptake: a novel indication for colonoscopy","container-title":"Endoscopy International Open","page":"E924-E930","volume":"5","issue":"9","source":"PubMed Central","abstract":"Background and study aims\n\n The relevance of incidental colorectal focal\n18\nF-FDG PET/CT uptake is debatable. All patients who were referred for colonoscopy because of incidental colonic focal FDG uptake were included in this retrospective study.\n\n\nPatients and methods\n\n PET/CT imaging characteristics were reviewed by a nuclear physician who was blinded to endoscopic and histopathological findings to determine the location of FDG uptake sites and to measure the maximum standardized uptake values (SUVmax) and metabolic volume (MV). Endoscopic findings were categorized as malignant lesions (ML), high-risk polyps (HRP), low-risk polyps (LRP) or other non-neoplastic lesions (NNL).\n\n\nResults\n\n Seventy patients with 84 foci of FDG uptake were included. The proportions of true-positive (lesions found at colonoscopy at the same location) and false-positive (no lesion at colonoscopy) PET/CT findings were 65.5</w:instrText>
      </w:r>
      <w:r w:rsidRPr="00793E90">
        <w:rPr>
          <w:color w:val="1A1718"/>
          <w:vertAlign w:val="superscript"/>
          <w:lang w:val="en-GB"/>
        </w:rPr>
        <w:instrText> </w:instrText>
      </w:r>
      <w:r w:rsidRPr="00793E90">
        <w:rPr>
          <w:rFonts w:ascii="Book Antiqua" w:hAnsi="Book Antiqua"/>
          <w:color w:val="1A1718"/>
          <w:vertAlign w:val="superscript"/>
          <w:lang w:val="en-GB"/>
        </w:rPr>
        <w:instrText>% (n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55) and 34.5</w:instrText>
      </w:r>
      <w:r w:rsidRPr="00793E90">
        <w:rPr>
          <w:color w:val="1A1718"/>
          <w:vertAlign w:val="superscript"/>
          <w:lang w:val="en-GB"/>
        </w:rPr>
        <w:instrText> </w:instrText>
      </w:r>
      <w:r w:rsidRPr="00793E90">
        <w:rPr>
          <w:rFonts w:ascii="Book Antiqua" w:hAnsi="Book Antiqua"/>
          <w:color w:val="1A1718"/>
          <w:vertAlign w:val="superscript"/>
          <w:lang w:val="en-GB"/>
        </w:rPr>
        <w:instrText>% (n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29). Median SUVmax values did not differ between true-positive and false-positive findings (\nP\n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0.27). Median MV30 values differed significantly between true-positive (5.5</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[3.3</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10.9</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and false-positive (9.7</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[5.2</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40.8</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findings (\nP\n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0.015). Among the 55 true-positive FDG uptake sites, there were 14 (25.5</w:instrText>
      </w:r>
      <w:r w:rsidRPr="00793E90">
        <w:rPr>
          <w:color w:val="1A1718"/>
          <w:vertAlign w:val="superscript"/>
          <w:lang w:val="en-GB"/>
        </w:rPr>
        <w:instrText> </w:instrText>
      </w:r>
      <w:r w:rsidRPr="00793E90">
        <w:rPr>
          <w:rFonts w:ascii="Book Antiqua" w:hAnsi="Book Antiqua"/>
          <w:color w:val="1A1718"/>
          <w:vertAlign w:val="superscript"/>
          <w:lang w:val="en-GB"/>
        </w:rPr>
        <w:instrText>%) malignant lesions, 30 (54.5</w:instrText>
      </w:r>
      <w:r w:rsidRPr="00793E90">
        <w:rPr>
          <w:color w:val="1A1718"/>
          <w:vertAlign w:val="superscript"/>
          <w:lang w:val="en-GB"/>
        </w:rPr>
        <w:instrText> </w:instrText>
      </w:r>
      <w:r w:rsidRPr="00793E90">
        <w:rPr>
          <w:rFonts w:ascii="Book Antiqua" w:hAnsi="Book Antiqua"/>
          <w:color w:val="1A1718"/>
          <w:vertAlign w:val="superscript"/>
          <w:lang w:val="en-GB"/>
        </w:rPr>
        <w:instrText>%) HRP, 4 (7.3</w:instrText>
      </w:r>
      <w:r w:rsidRPr="00793E90">
        <w:rPr>
          <w:color w:val="1A1718"/>
          <w:vertAlign w:val="superscript"/>
          <w:lang w:val="en-GB"/>
        </w:rPr>
        <w:instrText> </w:instrText>
      </w:r>
      <w:r w:rsidRPr="00793E90">
        <w:rPr>
          <w:rFonts w:ascii="Book Antiqua" w:hAnsi="Book Antiqua"/>
          <w:color w:val="1A1718"/>
          <w:vertAlign w:val="superscript"/>
          <w:lang w:val="en-GB"/>
        </w:rPr>
        <w:instrText>%) LRP, and 7 (12.7</w:instrText>
      </w:r>
      <w:r w:rsidRPr="00793E90">
        <w:rPr>
          <w:color w:val="1A1718"/>
          <w:vertAlign w:val="superscript"/>
          <w:lang w:val="en-GB"/>
        </w:rPr>
        <w:instrText> </w:instrText>
      </w:r>
      <w:r w:rsidRPr="00793E90">
        <w:rPr>
          <w:rFonts w:ascii="Book Antiqua" w:hAnsi="Book Antiqua"/>
          <w:color w:val="1A1718"/>
          <w:vertAlign w:val="superscript"/>
          <w:lang w:val="en-GB"/>
        </w:rPr>
        <w:instrText>%) NNL. Median MV30 values differed significantly between advanced neoplasia (5.0</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[2.9</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9.7</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and other endoscopic findings (9.4</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[5.2</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39.8</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(\nP\n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0.001); the AUROC was 0.71.</w:instrText>
      </w:r>
      <w:r w:rsidRPr="00793E90">
        <w:rPr>
          <w:color w:val="1A1718"/>
          <w:vertAlign w:val="superscript"/>
          <w:lang w:val="en-GB"/>
        </w:rPr>
        <w:instrText> </w:instrText>
      </w:r>
      <w:r w:rsidRPr="00793E90">
        <w:rPr>
          <w:rFonts w:ascii="Book Antiqua" w:hAnsi="Book Antiqua"/>
          <w:color w:val="1A1718"/>
          <w:vertAlign w:val="superscript"/>
          <w:lang w:val="en-GB"/>
        </w:rPr>
        <w:instrText>By per-colonic segment analysis, the distribution of true-positive, false-negative, false-positive, and true-negative FDG PET/CT findings was as follows: 21.5</w:instrText>
      </w:r>
      <w:r w:rsidRPr="00793E90">
        <w:rPr>
          <w:color w:val="1A1718"/>
          <w:vertAlign w:val="superscript"/>
          <w:lang w:val="en-GB"/>
        </w:rPr>
        <w:instrText> </w:instrText>
      </w:r>
      <w:r w:rsidRPr="00793E90">
        <w:rPr>
          <w:rFonts w:ascii="Book Antiqua" w:hAnsi="Book Antiqua"/>
          <w:color w:val="1A1718"/>
          <w:vertAlign w:val="superscript"/>
          <w:lang w:val="en-GB"/>
        </w:rPr>
        <w:instrText>%, 14.2</w:instrText>
      </w:r>
      <w:r w:rsidRPr="00793E90">
        <w:rPr>
          <w:color w:val="1A1718"/>
          <w:vertAlign w:val="superscript"/>
          <w:lang w:val="en-GB"/>
        </w:rPr>
        <w:instrText> </w:instrText>
      </w:r>
      <w:r w:rsidRPr="00793E90">
        <w:rPr>
          <w:rFonts w:ascii="Book Antiqua" w:hAnsi="Book Antiqua"/>
          <w:color w:val="1A1718"/>
          <w:vertAlign w:val="superscript"/>
          <w:lang w:val="en-GB"/>
        </w:rPr>
        <w:instrText>%, 11.5</w:instrText>
      </w:r>
      <w:r w:rsidRPr="00793E90">
        <w:rPr>
          <w:color w:val="1A1718"/>
          <w:vertAlign w:val="superscript"/>
          <w:lang w:val="en-GB"/>
        </w:rPr>
        <w:instrText> </w:instrText>
      </w:r>
      <w:r w:rsidRPr="00793E90">
        <w:rPr>
          <w:rFonts w:ascii="Book Antiqua" w:hAnsi="Book Antiqua"/>
          <w:color w:val="1A1718"/>
          <w:vertAlign w:val="superscript"/>
          <w:lang w:val="en-GB"/>
        </w:rPr>
        <w:instrText>%, and 52.8</w:instrText>
      </w:r>
      <w:r w:rsidRPr="00793E90">
        <w:rPr>
          <w:color w:val="1A1718"/>
          <w:vertAlign w:val="superscript"/>
          <w:lang w:val="en-GB"/>
        </w:rPr>
        <w:instrText> </w:instrText>
      </w:r>
      <w:r w:rsidRPr="00793E90">
        <w:rPr>
          <w:rFonts w:ascii="Book Antiqua" w:hAnsi="Book Antiqua"/>
          <w:color w:val="1A1718"/>
          <w:vertAlign w:val="superscript"/>
          <w:lang w:val="en-GB"/>
        </w:rPr>
        <w:instrText xml:space="preserve">%, respectively.\n\n\nConclusion\n\n Our study demonstrates that follow-up complete colonoscopy is mandatory in all patients with incidental colorectal focal\n18\nF-FDG PET/CT uptake.","DOI":"10.1055/s-0043-116384","ISSN":"2364-3722","note":"PMID: 28924601\nPMCID: PMC5597934","title-short":"Incidental colorectal focal 18 F-FDG uptake","journalAbbreviation":"Endosc Int Open","author":[{"family":"Rigault","given":"Eugénie"},{"family":"Lenoir","given":"Laurence"},{"family":"Bouguen","given":"Guillaume"},{"family":"Pagenault","given":"Mael"},{"family":"Lièvre","given":"Astrid"},{"family":"Garin","given":"Etienne"},{"family":"Siproudhis","given":"Laurent"},{"family":"Bretagne","given":"Jean-François"}],"issued":{"date-parts":[["2017",9]]}}},{"id":85,"uris":["http://zotero.org/users/4891711/items/2DMKJ3MT"],"uri":["http://zotero.org/users/4891711/items/2DMKJ3MT"],"itemData":{"id":85,"type":"article-journal","title":"Incidental Colonic Focal Lesions Detected by FDG PET/CT","container-title":"American Journal of Roentgenology","page":"495-500","volume":"185","issue":"2","source":"DOI.org (Crossref)","abstract":"OBJECTIVE. The aim of this study was to assess the performance of FDG PET/CT for the detection of colonic lesions, especially advanced neoplasms (villous or &gt;10-mm adenomas, carcinomas). Because of 18F FDG accumulation in adenomatous polyps, PET using FDG can detect early premalignant colorectal lesions. MATERIALS AND METHODS. FDG PET/CT studies performed for a 1-year period in 1,716 consecutive patients with various malignant diseases, except colorectal cancer, were retrospectively reviewed. PET images obtained 1 hr after FDG injection and noncontrast CT images used for attenuation correction were fused for analysis. Of 45 patients showing intense focal colonic FDG uptake, 20 patients (with 21 foci) underwent a colonoscopic investigation, and, when necessary, polyp resection. The intensity of FDG uptake was quantified using the standardized uptake value (SUVmax).\nRESULTS. The FDG colonic foci were associated with 18 colonoscopic abnormalities in 15 patients, with no colonic abnormality detected in five patients (false-positive [FP] results). Histopathologic findings revealed advanced neoplasms in 13 patients (13 villous adenomas and three carcinomas) and two cases of hyperplastic polyps. A difference in the mean SUVmax was found between FP and true-positive colonic FDG foci but was not statistically significant (p = 0.14).\nCONCLUSION. Presence of a focal colonic FDG uptake incidental finding on a PET/CT scan justifies a colonoscopy to detect (pre-)malignant lesions. The fusion of PET and CT images allows an accurate localization of the lesions. PET/CT is a useful tool to differentiate pathologic from physiologic FDG uptake.","DOI":"10.2214/ajr.185.2.01850495","ISSN":"0361-803X, 1546-3141","journalAbbreviation":"American Journal of Roentgenology","language":"en","author":[{"family":"Gutman","given":"Fabrice"},{"family":"Alberini","given":"Jean-Louis"},{"family":"Wartski","given":"Myriam"},{"family":"Vilain","given":"Didier"},{"family":"Le Stanc","given":"Elise"},{"family":"Sarandi","given":"Farid"},{"family":"Corone","given":"Carine"},{"family":"Tainturier","given":"Catherine"},{"family":"Pecking","given":"Alain Paul"}],"issued":{"date-parts":[["2005",8]]}}}],"schema":"https://github.com/citation-style-language/schema/raw/master/csl-citation.json"} </w:instrText>
      </w:r>
      <w:r w:rsidRPr="00793E90">
        <w:rPr>
          <w:rFonts w:ascii="Book Antiqua" w:hAnsi="Book Antiqua"/>
          <w:color w:val="1A1718"/>
          <w:vertAlign w:val="superscript"/>
          <w:lang w:val="en-GB"/>
        </w:rPr>
        <w:fldChar w:fldCharType="separate"/>
      </w:r>
      <w:r w:rsidRPr="00793E90">
        <w:rPr>
          <w:rFonts w:ascii="Book Antiqua" w:hAnsi="Book Antiqua"/>
          <w:color w:val="1A1718"/>
          <w:vertAlign w:val="superscript"/>
          <w:lang w:val="en-GB"/>
        </w:rPr>
        <w:t>[7,18]</w:t>
      </w:r>
      <w:r w:rsidRPr="00793E90">
        <w:rPr>
          <w:rFonts w:ascii="Book Antiqua" w:hAnsi="Book Antiqua"/>
          <w:color w:val="1A1718"/>
          <w:vertAlign w:val="superscript"/>
          <w:lang w:val="en-GB"/>
        </w:rPr>
        <w:fldChar w:fldCharType="end"/>
      </w:r>
      <w:r w:rsidRPr="00793E90">
        <w:rPr>
          <w:rFonts w:ascii="Book Antiqua" w:hAnsi="Book Antiqua"/>
          <w:color w:val="1A1718"/>
          <w:lang w:val="en-GB"/>
        </w:rPr>
        <w:t>. Thus, a complete colonoscopy tends to be recommended for all patients.</w:t>
      </w:r>
    </w:p>
    <w:p w14:paraId="378E0812" w14:textId="77777777" w:rsidR="00793E90" w:rsidRPr="00793E90" w:rsidRDefault="00793E90" w:rsidP="00793E90">
      <w:pPr>
        <w:adjustRightInd w:val="0"/>
        <w:snapToGrid w:val="0"/>
        <w:spacing w:after="0" w:line="360" w:lineRule="auto"/>
        <w:ind w:firstLineChars="100" w:firstLine="240"/>
        <w:jc w:val="both"/>
        <w:rPr>
          <w:rFonts w:ascii="Book Antiqua" w:hAnsi="Book Antiqua"/>
          <w:lang w:val="en-GB"/>
        </w:rPr>
      </w:pPr>
      <w:r w:rsidRPr="00793E90">
        <w:rPr>
          <w:rFonts w:ascii="Book Antiqua" w:hAnsi="Book Antiqua"/>
          <w:lang w:val="en-GB"/>
        </w:rPr>
        <w:t xml:space="preserve">Within the field of gastroenterology, no studies to date have investigated incidental anal </w:t>
      </w:r>
      <w:r w:rsidRPr="00793E90">
        <w:rPr>
          <w:rFonts w:ascii="Book Antiqua" w:hAnsi="Book Antiqua"/>
          <w:color w:val="1A1718"/>
          <w:vertAlign w:val="superscript"/>
          <w:lang w:val="en-GB"/>
        </w:rPr>
        <w:t>18</w:t>
      </w:r>
      <w:r w:rsidRPr="00793E90">
        <w:rPr>
          <w:rFonts w:ascii="Book Antiqua" w:hAnsi="Book Antiqua"/>
          <w:color w:val="1A1718"/>
          <w:lang w:val="en-GB"/>
        </w:rPr>
        <w:t>FDG uptake</w:t>
      </w:r>
      <w:r w:rsidRPr="00793E90">
        <w:rPr>
          <w:rFonts w:ascii="Book Antiqua" w:hAnsi="Book Antiqua"/>
          <w:lang w:val="en-GB"/>
        </w:rPr>
        <w:t>. However, anorectal examinations are nevertheless simple and minimally invasive</w:t>
      </w:r>
      <w:r w:rsidRPr="00793E90">
        <w:rPr>
          <w:rFonts w:ascii="Book Antiqua" w:eastAsia="Calibri" w:hAnsi="Book Antiqua"/>
          <w:lang w:val="en-GB"/>
        </w:rPr>
        <w:t>,</w:t>
      </w:r>
      <w:r w:rsidRPr="00793E90">
        <w:rPr>
          <w:rFonts w:ascii="Book Antiqua" w:hAnsi="Book Antiqua"/>
          <w:lang w:val="en-GB"/>
        </w:rPr>
        <w:t xml:space="preserve"> and the diagnosis of anal pathologies is often based on the patient’s history or data obtained during the clinical examination. It seems important then to assess the rate of incidental anal </w:t>
      </w:r>
      <w:r w:rsidRPr="00793E90">
        <w:rPr>
          <w:rFonts w:ascii="Book Antiqua" w:hAnsi="Book Antiqua"/>
          <w:color w:val="1A1718"/>
          <w:vertAlign w:val="superscript"/>
          <w:lang w:val="en-GB"/>
        </w:rPr>
        <w:t>18</w:t>
      </w:r>
      <w:r w:rsidRPr="00793E90">
        <w:rPr>
          <w:rFonts w:ascii="Book Antiqua" w:hAnsi="Book Antiqua"/>
          <w:color w:val="1A1718"/>
          <w:lang w:val="en-GB"/>
        </w:rPr>
        <w:t xml:space="preserve">FDG uptake </w:t>
      </w:r>
      <w:r w:rsidRPr="00793E90">
        <w:rPr>
          <w:rFonts w:ascii="Book Antiqua" w:hAnsi="Book Antiqua"/>
          <w:lang w:val="en-GB"/>
        </w:rPr>
        <w:t>and to identify their aetiologies. Finally, no recommendations have been established in this particular situation.</w:t>
      </w:r>
    </w:p>
    <w:p w14:paraId="5ED86C49" w14:textId="001AB15D" w:rsidR="00793E90" w:rsidRPr="00793E90" w:rsidRDefault="00793E90" w:rsidP="00793E90">
      <w:pPr>
        <w:adjustRightInd w:val="0"/>
        <w:snapToGrid w:val="0"/>
        <w:spacing w:after="0" w:line="360" w:lineRule="auto"/>
        <w:ind w:firstLineChars="100" w:firstLine="240"/>
        <w:jc w:val="both"/>
        <w:rPr>
          <w:rFonts w:ascii="Book Antiqua" w:hAnsi="Book Antiqua"/>
          <w:color w:val="1A1718"/>
          <w:lang w:val="en-GB"/>
        </w:rPr>
      </w:pPr>
      <w:r w:rsidRPr="00793E90">
        <w:rPr>
          <w:rFonts w:ascii="Book Antiqua" w:hAnsi="Book Antiqua"/>
          <w:lang w:val="en-GB"/>
        </w:rPr>
        <w:t xml:space="preserve">The aims of this study were as follows: (1) </w:t>
      </w:r>
      <w:r w:rsidR="009344A0">
        <w:rPr>
          <w:rFonts w:ascii="Book Antiqua" w:eastAsia="等线" w:hAnsi="Book Antiqua"/>
          <w:lang w:val="en-GB" w:eastAsia="zh-CN"/>
        </w:rPr>
        <w:t>to</w:t>
      </w:r>
      <w:r w:rsidRPr="00793E90">
        <w:rPr>
          <w:rFonts w:ascii="Book Antiqua" w:hAnsi="Book Antiqua"/>
          <w:lang w:val="en-GB"/>
        </w:rPr>
        <w:t xml:space="preserve"> assess the rate of incidental anal </w:t>
      </w:r>
      <w:r w:rsidRPr="00793E90">
        <w:rPr>
          <w:rFonts w:ascii="Book Antiqua" w:hAnsi="Book Antiqua"/>
          <w:color w:val="1A1718"/>
          <w:vertAlign w:val="superscript"/>
          <w:lang w:val="en-GB"/>
        </w:rPr>
        <w:t>18</w:t>
      </w:r>
      <w:r w:rsidRPr="00793E90">
        <w:rPr>
          <w:rFonts w:ascii="Book Antiqua" w:hAnsi="Book Antiqua"/>
          <w:color w:val="1A1718"/>
          <w:lang w:val="en-GB"/>
        </w:rPr>
        <w:t>FDG uptake</w:t>
      </w:r>
      <w:r w:rsidRPr="00793E90">
        <w:rPr>
          <w:rFonts w:ascii="Book Antiqua" w:eastAsia="宋体" w:hAnsi="Book Antiqua" w:cs="宋体"/>
          <w:lang w:val="en-GB" w:eastAsia="zh-CN"/>
        </w:rPr>
        <w:t>;</w:t>
      </w:r>
      <w:r w:rsidRPr="00793E90">
        <w:rPr>
          <w:rFonts w:ascii="Book Antiqua" w:hAnsi="Book Antiqua"/>
          <w:lang w:val="en-GB"/>
        </w:rPr>
        <w:t xml:space="preserve"> (2) to identify the aetiologies of incidental anal </w:t>
      </w:r>
      <w:r w:rsidRPr="00793E90">
        <w:rPr>
          <w:rFonts w:ascii="Book Antiqua" w:hAnsi="Book Antiqua"/>
          <w:color w:val="1A1718"/>
          <w:vertAlign w:val="superscript"/>
          <w:lang w:val="en-GB"/>
        </w:rPr>
        <w:t>18</w:t>
      </w:r>
      <w:r w:rsidRPr="00793E90">
        <w:rPr>
          <w:rFonts w:ascii="Book Antiqua" w:hAnsi="Book Antiqua"/>
          <w:color w:val="1A1718"/>
          <w:lang w:val="en-GB"/>
        </w:rPr>
        <w:t>FDG uptake</w:t>
      </w:r>
      <w:r w:rsidR="00A85E8B">
        <w:rPr>
          <w:rFonts w:ascii="Book Antiqua" w:hAnsi="Book Antiqua"/>
          <w:color w:val="1A1718"/>
          <w:lang w:val="en-GB"/>
        </w:rPr>
        <w:t>;</w:t>
      </w:r>
      <w:r w:rsidRPr="00793E90">
        <w:rPr>
          <w:rFonts w:ascii="Book Antiqua" w:hAnsi="Book Antiqua"/>
          <w:color w:val="1A1718"/>
          <w:lang w:val="en-GB"/>
        </w:rPr>
        <w:t xml:space="preserve"> and (3) to evaluate the correlation between </w:t>
      </w:r>
      <w:r w:rsidRPr="00793E90">
        <w:rPr>
          <w:rFonts w:ascii="Book Antiqua" w:hAnsi="Book Antiqua"/>
          <w:color w:val="1A1718"/>
          <w:vertAlign w:val="superscript"/>
          <w:lang w:val="en-GB"/>
        </w:rPr>
        <w:t>18</w:t>
      </w:r>
      <w:r w:rsidRPr="00793E90">
        <w:rPr>
          <w:rFonts w:ascii="Book Antiqua" w:hAnsi="Book Antiqua"/>
          <w:color w:val="1A1718"/>
          <w:lang w:val="en-GB"/>
        </w:rPr>
        <w:t>FDG PET/CT parameters and the diagnosis of an anorectal disease and the management of the disease.</w:t>
      </w:r>
    </w:p>
    <w:p w14:paraId="2FBF0CE1" w14:textId="77777777" w:rsidR="00793E90" w:rsidRPr="00793E90" w:rsidRDefault="00793E90" w:rsidP="00793E90">
      <w:pPr>
        <w:adjustRightInd w:val="0"/>
        <w:snapToGrid w:val="0"/>
        <w:spacing w:after="0" w:line="360" w:lineRule="auto"/>
        <w:jc w:val="both"/>
        <w:rPr>
          <w:rFonts w:ascii="Book Antiqua" w:hAnsi="Book Antiqua"/>
          <w:color w:val="1A1718"/>
          <w:lang w:val="en-GB"/>
        </w:rPr>
      </w:pPr>
    </w:p>
    <w:p w14:paraId="4F5DDDD7" w14:textId="77777777" w:rsidR="00793E90" w:rsidRPr="00793E90" w:rsidRDefault="00793E90" w:rsidP="00793E90">
      <w:pPr>
        <w:adjustRightInd w:val="0"/>
        <w:snapToGrid w:val="0"/>
        <w:spacing w:after="0" w:line="360" w:lineRule="auto"/>
        <w:jc w:val="both"/>
        <w:rPr>
          <w:rFonts w:ascii="Book Antiqua" w:hAnsi="Book Antiqua"/>
          <w:u w:val="single"/>
          <w:lang w:val="en-GB"/>
        </w:rPr>
      </w:pPr>
      <w:r w:rsidRPr="00793E90">
        <w:rPr>
          <w:rFonts w:ascii="Book Antiqua" w:hAnsi="Book Antiqua"/>
          <w:b/>
          <w:u w:val="single"/>
          <w:lang w:val="en-GB"/>
        </w:rPr>
        <w:t>MATERIALS AND METHODS</w:t>
      </w:r>
    </w:p>
    <w:p w14:paraId="5F147398" w14:textId="77777777" w:rsidR="00793E90" w:rsidRPr="00793E90" w:rsidRDefault="00793E90" w:rsidP="00793E90">
      <w:pPr>
        <w:adjustRightInd w:val="0"/>
        <w:snapToGrid w:val="0"/>
        <w:spacing w:after="0" w:line="360" w:lineRule="auto"/>
        <w:jc w:val="both"/>
        <w:rPr>
          <w:rFonts w:ascii="Book Antiqua" w:hAnsi="Book Antiqua"/>
          <w:b/>
          <w:i/>
          <w:lang w:val="en-GB"/>
        </w:rPr>
      </w:pPr>
      <w:r w:rsidRPr="00793E90">
        <w:rPr>
          <w:rFonts w:ascii="Book Antiqua" w:hAnsi="Book Antiqua"/>
          <w:b/>
          <w:i/>
          <w:lang w:val="en-GB"/>
        </w:rPr>
        <w:t>Patients</w:t>
      </w:r>
    </w:p>
    <w:p w14:paraId="2EA37D0A" w14:textId="77777777" w:rsidR="00793E90" w:rsidRPr="00793E90" w:rsidRDefault="00793E90" w:rsidP="00793E90">
      <w:pPr>
        <w:adjustRightInd w:val="0"/>
        <w:snapToGrid w:val="0"/>
        <w:spacing w:after="0" w:line="360" w:lineRule="auto"/>
        <w:jc w:val="both"/>
        <w:rPr>
          <w:rFonts w:ascii="Book Antiqua" w:hAnsi="Book Antiqua"/>
          <w:color w:val="000000" w:themeColor="text1"/>
          <w:lang w:val="en-GB"/>
        </w:rPr>
      </w:pPr>
      <w:r w:rsidRPr="00793E90">
        <w:rPr>
          <w:rFonts w:ascii="Book Antiqua" w:hAnsi="Book Antiqua"/>
          <w:color w:val="000000" w:themeColor="text1"/>
          <w:lang w:val="en-GB"/>
        </w:rPr>
        <w:t xml:space="preserve">The database of </w:t>
      </w:r>
      <w:r w:rsidRPr="00793E90">
        <w:rPr>
          <w:rFonts w:ascii="Book Antiqua" w:hAnsi="Book Antiqua"/>
          <w:color w:val="1A1718"/>
          <w:vertAlign w:val="superscript"/>
          <w:lang w:val="en-GB"/>
        </w:rPr>
        <w:t>18</w:t>
      </w:r>
      <w:r w:rsidRPr="00793E90">
        <w:rPr>
          <w:rFonts w:ascii="Book Antiqua" w:hAnsi="Book Antiqua"/>
          <w:color w:val="1A1718"/>
          <w:lang w:val="en-GB"/>
        </w:rPr>
        <w:t>FDG</w:t>
      </w:r>
      <w:r w:rsidRPr="00793E90">
        <w:rPr>
          <w:rFonts w:ascii="Book Antiqua" w:hAnsi="Book Antiqua"/>
          <w:color w:val="000000" w:themeColor="text1"/>
          <w:lang w:val="en-GB"/>
        </w:rPr>
        <w:t xml:space="preserve"> PET/CT scans from a tertiary referral centre of nuclear medicine (January 2005 and December 2018) was reviewed.</w:t>
      </w:r>
      <w:r w:rsidRPr="00793E90">
        <w:rPr>
          <w:rFonts w:ascii="Book Antiqua" w:eastAsia="Calibri" w:hAnsi="Book Antiqua"/>
          <w:color w:val="000000"/>
          <w:lang w:val="en-GB"/>
        </w:rPr>
        <w:t xml:space="preserve"> </w:t>
      </w:r>
      <w:bookmarkStart w:id="56" w:name="_Hlk17628220"/>
      <w:r w:rsidRPr="00793E90">
        <w:rPr>
          <w:rFonts w:ascii="Book Antiqua" w:hAnsi="Book Antiqua"/>
          <w:color w:val="000000" w:themeColor="text1"/>
          <w:lang w:val="en-GB"/>
        </w:rPr>
        <w:t xml:space="preserve">Among 43020 </w:t>
      </w:r>
      <w:r w:rsidRPr="00793E90">
        <w:rPr>
          <w:rFonts w:ascii="Book Antiqua" w:hAnsi="Book Antiqua"/>
          <w:color w:val="1A1718"/>
          <w:vertAlign w:val="superscript"/>
          <w:lang w:val="en-GB"/>
        </w:rPr>
        <w:t>18</w:t>
      </w:r>
      <w:r w:rsidRPr="00793E90">
        <w:rPr>
          <w:rFonts w:ascii="Book Antiqua" w:hAnsi="Book Antiqua"/>
          <w:color w:val="1A1718"/>
          <w:lang w:val="en-GB"/>
        </w:rPr>
        <w:t>FDG</w:t>
      </w:r>
      <w:r w:rsidRPr="00793E90">
        <w:rPr>
          <w:rFonts w:ascii="Book Antiqua" w:hAnsi="Book Antiqua"/>
          <w:color w:val="000000" w:themeColor="text1"/>
          <w:lang w:val="en-GB"/>
        </w:rPr>
        <w:t xml:space="preserve"> PET/CT reports, those containing the terms “anal” or “anus” were identified. Then, </w:t>
      </w:r>
      <w:r w:rsidRPr="00793E90">
        <w:rPr>
          <w:rFonts w:ascii="Book Antiqua" w:hAnsi="Book Antiqua"/>
          <w:color w:val="000000" w:themeColor="text1"/>
          <w:lang w:val="en-GB"/>
        </w:rPr>
        <w:lastRenderedPageBreak/>
        <w:t xml:space="preserve">we selected examinations with incidental anal </w:t>
      </w:r>
      <w:r w:rsidRPr="00793E90">
        <w:rPr>
          <w:rFonts w:ascii="Book Antiqua" w:hAnsi="Book Antiqua"/>
          <w:color w:val="000000" w:themeColor="text1"/>
          <w:vertAlign w:val="superscript"/>
          <w:lang w:val="en-GB"/>
        </w:rPr>
        <w:t>18</w:t>
      </w:r>
      <w:r w:rsidRPr="00793E90">
        <w:rPr>
          <w:rFonts w:ascii="Book Antiqua" w:hAnsi="Book Antiqua"/>
          <w:color w:val="000000" w:themeColor="text1"/>
          <w:lang w:val="en-GB"/>
        </w:rPr>
        <w:t xml:space="preserve">FDG uptake. </w:t>
      </w:r>
      <w:bookmarkEnd w:id="56"/>
      <w:r w:rsidRPr="00793E90">
        <w:rPr>
          <w:rFonts w:ascii="Book Antiqua" w:hAnsi="Book Antiqua"/>
          <w:color w:val="000000" w:themeColor="text1"/>
          <w:lang w:val="en-GB"/>
        </w:rPr>
        <w:t xml:space="preserve">Patients with personal histories of anal cancer were excluded. Patients with a history of pelvic radiation within 3 months or anal surgery within 6 weeks before the </w:t>
      </w:r>
      <w:r w:rsidRPr="00793E90">
        <w:rPr>
          <w:rFonts w:ascii="Book Antiqua" w:hAnsi="Book Antiqua"/>
          <w:color w:val="1A1718"/>
          <w:vertAlign w:val="superscript"/>
          <w:lang w:val="en-GB"/>
        </w:rPr>
        <w:t>18</w:t>
      </w:r>
      <w:r w:rsidRPr="00793E90">
        <w:rPr>
          <w:rFonts w:ascii="Book Antiqua" w:hAnsi="Book Antiqua"/>
          <w:color w:val="1A1718"/>
          <w:lang w:val="en-GB"/>
        </w:rPr>
        <w:t>FDG</w:t>
      </w:r>
      <w:r w:rsidRPr="00793E90">
        <w:rPr>
          <w:rFonts w:ascii="Book Antiqua" w:hAnsi="Book Antiqua"/>
          <w:color w:val="000000" w:themeColor="text1"/>
          <w:lang w:val="en-GB"/>
        </w:rPr>
        <w:t xml:space="preserve"> PET/CT were also excluded. The patient demographic data, past medical histories, indications for </w:t>
      </w:r>
      <w:r w:rsidRPr="00793E90">
        <w:rPr>
          <w:rFonts w:ascii="Book Antiqua" w:hAnsi="Book Antiqua"/>
          <w:color w:val="1A1718"/>
          <w:vertAlign w:val="superscript"/>
          <w:lang w:val="en-GB"/>
        </w:rPr>
        <w:t>18</w:t>
      </w:r>
      <w:r w:rsidRPr="00793E90">
        <w:rPr>
          <w:rFonts w:ascii="Book Antiqua" w:hAnsi="Book Antiqua"/>
          <w:color w:val="1A1718"/>
          <w:lang w:val="en-GB"/>
        </w:rPr>
        <w:t>FDG</w:t>
      </w:r>
      <w:r w:rsidRPr="00793E90">
        <w:rPr>
          <w:rFonts w:ascii="Book Antiqua" w:hAnsi="Book Antiqua"/>
          <w:color w:val="000000" w:themeColor="text1"/>
          <w:lang w:val="en-GB"/>
        </w:rPr>
        <w:t xml:space="preserve"> PET/CT and results concerning the initial oncological pathology report were extracted from the database.</w:t>
      </w:r>
    </w:p>
    <w:p w14:paraId="5100B4E9" w14:textId="77777777" w:rsidR="00793E90" w:rsidRPr="00793E90" w:rsidRDefault="00793E90" w:rsidP="00793E90">
      <w:pPr>
        <w:adjustRightInd w:val="0"/>
        <w:snapToGrid w:val="0"/>
        <w:spacing w:after="0" w:line="360" w:lineRule="auto"/>
        <w:jc w:val="both"/>
        <w:rPr>
          <w:rFonts w:ascii="Book Antiqua" w:hAnsi="Book Antiqua"/>
          <w:lang w:val="en-GB"/>
        </w:rPr>
      </w:pPr>
    </w:p>
    <w:p w14:paraId="2329250A" w14:textId="77777777" w:rsidR="00793E90" w:rsidRPr="00793E90" w:rsidRDefault="00793E90" w:rsidP="00793E90">
      <w:pPr>
        <w:adjustRightInd w:val="0"/>
        <w:snapToGrid w:val="0"/>
        <w:spacing w:after="0" w:line="360" w:lineRule="auto"/>
        <w:jc w:val="both"/>
        <w:rPr>
          <w:rFonts w:ascii="Book Antiqua" w:hAnsi="Book Antiqua"/>
          <w:b/>
          <w:i/>
          <w:lang w:val="en-GB"/>
        </w:rPr>
      </w:pPr>
      <w:r w:rsidRPr="00793E90">
        <w:rPr>
          <w:rFonts w:ascii="Book Antiqua" w:hAnsi="Book Antiqua"/>
          <w:b/>
          <w:i/>
          <w:vertAlign w:val="superscript"/>
          <w:lang w:val="en-GB"/>
        </w:rPr>
        <w:t>18</w:t>
      </w:r>
      <w:r w:rsidRPr="00793E90">
        <w:rPr>
          <w:rFonts w:ascii="Book Antiqua" w:hAnsi="Book Antiqua"/>
          <w:b/>
          <w:i/>
          <w:lang w:val="en-GB"/>
        </w:rPr>
        <w:t>FDG PET/CT imaging protocol and analysis</w:t>
      </w:r>
    </w:p>
    <w:p w14:paraId="7C7EB4AA" w14:textId="3402B1C0" w:rsidR="00793E90" w:rsidRPr="00793E90" w:rsidRDefault="00793E90" w:rsidP="00793E90">
      <w:pPr>
        <w:adjustRightInd w:val="0"/>
        <w:snapToGrid w:val="0"/>
        <w:spacing w:after="0" w:line="360" w:lineRule="auto"/>
        <w:jc w:val="both"/>
        <w:rPr>
          <w:rFonts w:ascii="Book Antiqua" w:hAnsi="Book Antiqua"/>
          <w:lang w:val="en-GB"/>
        </w:rPr>
      </w:pPr>
      <w:r w:rsidRPr="00793E90">
        <w:rPr>
          <w:rFonts w:ascii="Book Antiqua" w:hAnsi="Book Antiqua"/>
          <w:lang w:val="en-GB"/>
        </w:rPr>
        <w:t xml:space="preserve">The patients fasted for at least 4 hours before </w:t>
      </w:r>
      <w:r w:rsidRPr="00793E90">
        <w:rPr>
          <w:rFonts w:ascii="Book Antiqua" w:hAnsi="Book Antiqua"/>
          <w:color w:val="1A1718"/>
          <w:vertAlign w:val="superscript"/>
          <w:lang w:val="en-GB"/>
        </w:rPr>
        <w:t>18</w:t>
      </w:r>
      <w:r w:rsidRPr="00793E90">
        <w:rPr>
          <w:rFonts w:ascii="Book Antiqua" w:hAnsi="Book Antiqua"/>
          <w:color w:val="1A1718"/>
          <w:lang w:val="en-GB"/>
        </w:rPr>
        <w:t>FDG</w:t>
      </w:r>
      <w:r w:rsidRPr="00793E90">
        <w:rPr>
          <w:rFonts w:ascii="Book Antiqua" w:hAnsi="Book Antiqua"/>
          <w:color w:val="000000" w:themeColor="text1"/>
          <w:lang w:val="en-GB"/>
        </w:rPr>
        <w:t xml:space="preserve"> PET/CT imaging</w:t>
      </w:r>
      <w:r w:rsidRPr="00793E90">
        <w:rPr>
          <w:rFonts w:ascii="Book Antiqua" w:hAnsi="Book Antiqua"/>
          <w:lang w:val="en-GB"/>
        </w:rPr>
        <w:t>. The blood glucose level was controlled before the FDG injection. The acquisition ranged from the base of the skull to the proximal thighs and was performed 60 to 90 min after an intravenous injection of FDG.</w:t>
      </w:r>
      <w:r w:rsidRPr="00793E90">
        <w:rPr>
          <w:rFonts w:ascii="Book Antiqua" w:hAnsi="Book Antiqua"/>
          <w:color w:val="1A1718"/>
          <w:lang w:val="en-GB"/>
        </w:rPr>
        <w:t xml:space="preserve"> </w:t>
      </w:r>
      <w:r w:rsidRPr="00793E90">
        <w:rPr>
          <w:rFonts w:ascii="Book Antiqua" w:hAnsi="Book Antiqua"/>
          <w:lang w:val="en-GB"/>
        </w:rPr>
        <w:t xml:space="preserve">From January 2005 to May 2016, </w:t>
      </w:r>
      <w:r w:rsidRPr="00793E90">
        <w:rPr>
          <w:rFonts w:ascii="Book Antiqua" w:hAnsi="Book Antiqua"/>
          <w:color w:val="1A1718"/>
          <w:vertAlign w:val="superscript"/>
          <w:lang w:val="en-GB"/>
        </w:rPr>
        <w:t>18</w:t>
      </w:r>
      <w:r w:rsidRPr="00793E90">
        <w:rPr>
          <w:rFonts w:ascii="Book Antiqua" w:hAnsi="Book Antiqua"/>
          <w:color w:val="1A1718"/>
          <w:lang w:val="en-GB"/>
        </w:rPr>
        <w:t>FDG</w:t>
      </w:r>
      <w:r w:rsidRPr="00793E90">
        <w:rPr>
          <w:rFonts w:ascii="Book Antiqua" w:hAnsi="Book Antiqua"/>
          <w:color w:val="000000" w:themeColor="text1"/>
          <w:lang w:val="en-GB"/>
        </w:rPr>
        <w:t xml:space="preserve"> PET/CT</w:t>
      </w:r>
      <w:r w:rsidRPr="00793E90">
        <w:rPr>
          <w:rFonts w:ascii="Book Antiqua" w:hAnsi="Book Antiqua"/>
          <w:lang w:val="en-GB"/>
        </w:rPr>
        <w:t xml:space="preserve"> exams were performed with a hybrid PET/CT scanner (Discovery LS, GE Medical Systems Inc., Waukesha, WI, United States) after an intravenous injection of 4 MBq/kg FDG. From June 2016 to December 2018, </w:t>
      </w:r>
      <w:r w:rsidRPr="00793E90">
        <w:rPr>
          <w:rFonts w:ascii="Book Antiqua" w:hAnsi="Book Antiqua"/>
          <w:color w:val="1A1718"/>
          <w:vertAlign w:val="superscript"/>
          <w:lang w:val="en-GB"/>
        </w:rPr>
        <w:t>18</w:t>
      </w:r>
      <w:r w:rsidRPr="00793E90">
        <w:rPr>
          <w:rFonts w:ascii="Book Antiqua" w:hAnsi="Book Antiqua"/>
          <w:color w:val="1A1718"/>
          <w:lang w:val="en-GB"/>
        </w:rPr>
        <w:t>FDG</w:t>
      </w:r>
      <w:r w:rsidRPr="00793E90">
        <w:rPr>
          <w:rFonts w:ascii="Book Antiqua" w:hAnsi="Book Antiqua"/>
          <w:color w:val="000000" w:themeColor="text1"/>
          <w:lang w:val="en-GB"/>
        </w:rPr>
        <w:t xml:space="preserve"> PET/CT exams w</w:t>
      </w:r>
      <w:r w:rsidRPr="00793E90">
        <w:rPr>
          <w:rFonts w:ascii="Book Antiqua" w:hAnsi="Book Antiqua"/>
          <w:lang w:val="en-GB"/>
        </w:rPr>
        <w:t xml:space="preserve">ere performed with </w:t>
      </w:r>
      <w:r w:rsidR="0024362C">
        <w:rPr>
          <w:rFonts w:ascii="Book Antiqua" w:hAnsi="Book Antiqua"/>
          <w:lang w:val="en-GB"/>
        </w:rPr>
        <w:t>a hybrid PET/</w:t>
      </w:r>
      <w:r w:rsidRPr="00793E90">
        <w:rPr>
          <w:rFonts w:ascii="Book Antiqua" w:hAnsi="Book Antiqua"/>
          <w:lang w:val="en-GB"/>
        </w:rPr>
        <w:t>CT scanner (Siemens Biograph system, Siemens, Knoxville, TN, United States) after an intravenous injection of 3 MBq/kg FDG. For both PET systems, the data were reconstructed using</w:t>
      </w:r>
      <w:r w:rsidRPr="00793E90">
        <w:rPr>
          <w:rFonts w:ascii="Book Antiqua" w:eastAsia="Calibri" w:hAnsi="Book Antiqua"/>
          <w:lang w:val="en-GB"/>
        </w:rPr>
        <w:t xml:space="preserve"> an</w:t>
      </w:r>
      <w:r w:rsidRPr="00793E90">
        <w:rPr>
          <w:rFonts w:ascii="Book Antiqua" w:hAnsi="Book Antiqua"/>
          <w:lang w:val="en-GB"/>
        </w:rPr>
        <w:t xml:space="preserve"> ordered-subsets expectation maximization iterative algorithm with corrections (attenuation, dead time, </w:t>
      </w:r>
      <w:proofErr w:type="spellStart"/>
      <w:r w:rsidRPr="00793E90">
        <w:rPr>
          <w:rFonts w:ascii="Book Antiqua" w:hAnsi="Book Antiqua"/>
          <w:lang w:val="en-GB"/>
        </w:rPr>
        <w:t>randoms</w:t>
      </w:r>
      <w:proofErr w:type="spellEnd"/>
      <w:r w:rsidRPr="00793E90">
        <w:rPr>
          <w:rFonts w:ascii="Book Antiqua" w:hAnsi="Book Antiqua"/>
          <w:lang w:val="en-GB"/>
        </w:rPr>
        <w:t>, scatter, and decay). The standardized uptake value (SUV) was calculated and adjusted by the mean injected dose according to the tissue activity concentration and patient body weight. To include patients with focal i</w:t>
      </w:r>
      <w:r w:rsidRPr="00793E90">
        <w:rPr>
          <w:rFonts w:ascii="Book Antiqua" w:hAnsi="Book Antiqua"/>
          <w:color w:val="000000" w:themeColor="text1"/>
          <w:lang w:val="en-GB"/>
        </w:rPr>
        <w:t xml:space="preserve">ncidental anal </w:t>
      </w:r>
      <w:r w:rsidRPr="00793E90">
        <w:rPr>
          <w:rFonts w:ascii="Book Antiqua" w:hAnsi="Book Antiqua"/>
          <w:color w:val="000000" w:themeColor="text1"/>
          <w:vertAlign w:val="superscript"/>
          <w:lang w:val="en-GB"/>
        </w:rPr>
        <w:t>18</w:t>
      </w:r>
      <w:r w:rsidRPr="00793E90">
        <w:rPr>
          <w:rFonts w:ascii="Book Antiqua" w:hAnsi="Book Antiqua"/>
          <w:color w:val="000000" w:themeColor="text1"/>
          <w:lang w:val="en-GB"/>
        </w:rPr>
        <w:t>FDG uptake,</w:t>
      </w:r>
      <w:r w:rsidRPr="00793E90">
        <w:rPr>
          <w:rFonts w:ascii="Book Antiqua" w:hAnsi="Book Antiqua"/>
          <w:lang w:val="en-GB"/>
        </w:rPr>
        <w:t xml:space="preserve"> all </w:t>
      </w:r>
      <w:r w:rsidRPr="00793E90">
        <w:rPr>
          <w:rFonts w:ascii="Book Antiqua" w:hAnsi="Book Antiqua"/>
          <w:color w:val="1A1718"/>
          <w:vertAlign w:val="superscript"/>
          <w:lang w:val="en-GB"/>
        </w:rPr>
        <w:t>18</w:t>
      </w:r>
      <w:r w:rsidRPr="00793E90">
        <w:rPr>
          <w:rFonts w:ascii="Book Antiqua" w:hAnsi="Book Antiqua"/>
          <w:color w:val="1A1718"/>
          <w:lang w:val="en-GB"/>
        </w:rPr>
        <w:t>FDG</w:t>
      </w:r>
      <w:r w:rsidRPr="00793E90">
        <w:rPr>
          <w:rFonts w:ascii="Book Antiqua" w:hAnsi="Book Antiqua"/>
          <w:color w:val="000000" w:themeColor="text1"/>
          <w:lang w:val="en-GB"/>
        </w:rPr>
        <w:t xml:space="preserve"> PET/CT </w:t>
      </w:r>
      <w:r w:rsidRPr="00793E90">
        <w:rPr>
          <w:rFonts w:ascii="Book Antiqua" w:hAnsi="Book Antiqua"/>
          <w:lang w:val="en-GB"/>
        </w:rPr>
        <w:t>images from patients identified with incidental anal uptake were retrospectively reassessed by a nuclear medicine physician at the Department of Nuclear Medicine who was blinded to the anorectal findings.</w:t>
      </w:r>
      <w:r w:rsidRPr="00793E90">
        <w:rPr>
          <w:rFonts w:ascii="Book Antiqua" w:hAnsi="Book Antiqua"/>
          <w:color w:val="000000" w:themeColor="text1"/>
          <w:lang w:val="en-GB"/>
        </w:rPr>
        <w:t xml:space="preserve"> </w:t>
      </w:r>
      <w:r w:rsidRPr="00793E90">
        <w:rPr>
          <w:rFonts w:ascii="Book Antiqua" w:hAnsi="Book Antiqua"/>
          <w:lang w:val="en-GB"/>
        </w:rPr>
        <w:t xml:space="preserve">Anal </w:t>
      </w:r>
      <w:r w:rsidRPr="00793E90">
        <w:rPr>
          <w:rFonts w:ascii="Book Antiqua" w:hAnsi="Book Antiqua"/>
          <w:color w:val="000000" w:themeColor="text1"/>
          <w:vertAlign w:val="superscript"/>
          <w:lang w:val="en-GB"/>
        </w:rPr>
        <w:t>18</w:t>
      </w:r>
      <w:r w:rsidRPr="00793E90">
        <w:rPr>
          <w:rFonts w:ascii="Book Antiqua" w:hAnsi="Book Antiqua"/>
          <w:color w:val="000000" w:themeColor="text1"/>
          <w:lang w:val="en-GB"/>
        </w:rPr>
        <w:t>FDG</w:t>
      </w:r>
      <w:r w:rsidRPr="00793E90">
        <w:rPr>
          <w:rFonts w:ascii="Book Antiqua" w:hAnsi="Book Antiqua"/>
          <w:lang w:val="en-GB"/>
        </w:rPr>
        <w:t xml:space="preserve"> uptake was defined as uptake located in the anal canal relative to the background activity. </w:t>
      </w:r>
      <w:r w:rsidRPr="00793E90">
        <w:rPr>
          <w:rFonts w:ascii="Book Antiqua" w:hAnsi="Book Antiqua"/>
          <w:color w:val="000000" w:themeColor="text1"/>
          <w:lang w:val="en-GB"/>
        </w:rPr>
        <w:t xml:space="preserve">Incidental anal </w:t>
      </w:r>
      <w:r w:rsidRPr="00793E90">
        <w:rPr>
          <w:rFonts w:ascii="Book Antiqua" w:hAnsi="Book Antiqua"/>
          <w:color w:val="000000" w:themeColor="text1"/>
          <w:vertAlign w:val="superscript"/>
          <w:lang w:val="en-GB"/>
        </w:rPr>
        <w:t>18</w:t>
      </w:r>
      <w:r w:rsidRPr="00793E90">
        <w:rPr>
          <w:rFonts w:ascii="Book Antiqua" w:hAnsi="Book Antiqua"/>
          <w:color w:val="000000" w:themeColor="text1"/>
          <w:lang w:val="en-GB"/>
        </w:rPr>
        <w:t xml:space="preserve">FDG uptake was defined by the existence of anal </w:t>
      </w:r>
      <w:proofErr w:type="spellStart"/>
      <w:r w:rsidRPr="00793E90">
        <w:rPr>
          <w:rFonts w:ascii="Book Antiqua" w:hAnsi="Book Antiqua"/>
          <w:color w:val="000000" w:themeColor="text1"/>
          <w:lang w:val="en-GB"/>
        </w:rPr>
        <w:t>hyperfixation</w:t>
      </w:r>
      <w:proofErr w:type="spellEnd"/>
      <w:r w:rsidRPr="00793E90">
        <w:rPr>
          <w:rFonts w:ascii="Book Antiqua" w:hAnsi="Book Antiqua"/>
          <w:color w:val="000000" w:themeColor="text1"/>
          <w:lang w:val="en-GB"/>
        </w:rPr>
        <w:t xml:space="preserve"> in patients with no known anal pathology before the </w:t>
      </w:r>
      <w:r w:rsidRPr="00793E90">
        <w:rPr>
          <w:rFonts w:ascii="Book Antiqua" w:hAnsi="Book Antiqua"/>
          <w:color w:val="1A1718"/>
          <w:vertAlign w:val="superscript"/>
          <w:lang w:val="en-GB"/>
        </w:rPr>
        <w:t>18</w:t>
      </w:r>
      <w:r w:rsidRPr="00793E90">
        <w:rPr>
          <w:rFonts w:ascii="Book Antiqua" w:hAnsi="Book Antiqua"/>
          <w:color w:val="1A1718"/>
          <w:lang w:val="en-GB"/>
        </w:rPr>
        <w:t>FDG</w:t>
      </w:r>
      <w:r w:rsidRPr="00793E90">
        <w:rPr>
          <w:rFonts w:ascii="Book Antiqua" w:hAnsi="Book Antiqua"/>
          <w:color w:val="000000" w:themeColor="text1"/>
          <w:lang w:val="en-GB"/>
        </w:rPr>
        <w:t xml:space="preserve"> PET/CT. </w:t>
      </w:r>
      <w:r w:rsidRPr="00793E90">
        <w:rPr>
          <w:rFonts w:ascii="Book Antiqua" w:hAnsi="Book Antiqua"/>
          <w:lang w:val="en-GB"/>
        </w:rPr>
        <w:t>A 3-D volume of interest (VOI) was manually drawn to extract metabolic parameters (</w:t>
      </w:r>
      <w:proofErr w:type="spellStart"/>
      <w:r w:rsidRPr="00793E90">
        <w:rPr>
          <w:rFonts w:ascii="Book Antiqua" w:hAnsi="Book Antiqua"/>
          <w:lang w:val="en-GB"/>
        </w:rPr>
        <w:t>Syngo.via</w:t>
      </w:r>
      <w:proofErr w:type="spellEnd"/>
      <w:r w:rsidRPr="00793E90">
        <w:rPr>
          <w:rFonts w:ascii="Book Antiqua" w:hAnsi="Book Antiqua"/>
          <w:lang w:val="en-GB"/>
        </w:rPr>
        <w:t xml:space="preserve"> software; Siemens). The metabolic parameters extracted were the </w:t>
      </w:r>
      <w:proofErr w:type="spellStart"/>
      <w:r w:rsidRPr="00793E90">
        <w:rPr>
          <w:rFonts w:ascii="Book Antiqua" w:hAnsi="Book Antiqua"/>
          <w:lang w:val="en-GB"/>
        </w:rPr>
        <w:t>SUV</w:t>
      </w:r>
      <w:r w:rsidRPr="00793E90">
        <w:rPr>
          <w:rFonts w:ascii="Book Antiqua" w:hAnsi="Book Antiqua"/>
          <w:vertAlign w:val="subscript"/>
          <w:lang w:val="en-GB"/>
        </w:rPr>
        <w:t>max</w:t>
      </w:r>
      <w:proofErr w:type="spellEnd"/>
      <w:r w:rsidRPr="00793E90">
        <w:rPr>
          <w:rFonts w:ascii="Book Antiqua" w:hAnsi="Book Antiqua"/>
          <w:lang w:val="en-GB"/>
        </w:rPr>
        <w:t xml:space="preserve"> (the highest SUV of all SUVs measured in the VOI), </w:t>
      </w:r>
      <w:proofErr w:type="spellStart"/>
      <w:r w:rsidRPr="00793E90">
        <w:rPr>
          <w:rFonts w:ascii="Book Antiqua" w:hAnsi="Book Antiqua"/>
          <w:lang w:val="en-GB"/>
        </w:rPr>
        <w:t>SUV</w:t>
      </w:r>
      <w:r w:rsidRPr="00793E90">
        <w:rPr>
          <w:rFonts w:ascii="Book Antiqua" w:hAnsi="Book Antiqua"/>
          <w:vertAlign w:val="subscript"/>
          <w:lang w:val="en-GB"/>
        </w:rPr>
        <w:t>mean</w:t>
      </w:r>
      <w:proofErr w:type="spellEnd"/>
      <w:r w:rsidRPr="00793E90">
        <w:rPr>
          <w:rFonts w:ascii="Book Antiqua" w:hAnsi="Book Antiqua"/>
          <w:lang w:val="en-GB"/>
        </w:rPr>
        <w:t xml:space="preserve"> (the mean of all </w:t>
      </w:r>
      <w:proofErr w:type="spellStart"/>
      <w:r w:rsidRPr="00793E90">
        <w:rPr>
          <w:rFonts w:ascii="Book Antiqua" w:hAnsi="Book Antiqua"/>
          <w:lang w:val="en-GB"/>
        </w:rPr>
        <w:t>SUV</w:t>
      </w:r>
      <w:r w:rsidRPr="00793E90">
        <w:rPr>
          <w:rFonts w:ascii="Book Antiqua" w:hAnsi="Book Antiqua"/>
          <w:vertAlign w:val="subscript"/>
          <w:lang w:val="en-GB"/>
        </w:rPr>
        <w:t>mean</w:t>
      </w:r>
      <w:proofErr w:type="spellEnd"/>
      <w:r w:rsidRPr="00793E90">
        <w:rPr>
          <w:rFonts w:ascii="Book Antiqua" w:hAnsi="Book Antiqua"/>
          <w:lang w:val="en-GB"/>
        </w:rPr>
        <w:t xml:space="preserve"> measurements from the tumour VOIs with a </w:t>
      </w:r>
      <w:r w:rsidRPr="00793E90">
        <w:rPr>
          <w:rFonts w:ascii="Book Antiqua" w:hAnsi="Book Antiqua"/>
          <w:lang w:val="en-GB"/>
        </w:rPr>
        <w:lastRenderedPageBreak/>
        <w:t xml:space="preserve">local </w:t>
      </w:r>
      <w:proofErr w:type="spellStart"/>
      <w:r w:rsidRPr="00793E90">
        <w:rPr>
          <w:rFonts w:ascii="Book Antiqua" w:hAnsi="Book Antiqua"/>
          <w:lang w:val="en-GB"/>
        </w:rPr>
        <w:t>SUV</w:t>
      </w:r>
      <w:r w:rsidRPr="00793E90">
        <w:rPr>
          <w:rFonts w:ascii="Book Antiqua" w:hAnsi="Book Antiqua"/>
          <w:vertAlign w:val="subscript"/>
          <w:lang w:val="en-GB"/>
        </w:rPr>
        <w:t>max</w:t>
      </w:r>
      <w:proofErr w:type="spellEnd"/>
      <w:r w:rsidRPr="00793E90">
        <w:rPr>
          <w:rFonts w:ascii="Book Antiqua" w:hAnsi="Book Antiqua"/>
          <w:lang w:val="en-GB"/>
        </w:rPr>
        <w:t xml:space="preserve"> threshold of 41%), and different metabolic volumes (MVs) defined as the volume produced by segmentation at the following fixed </w:t>
      </w:r>
      <w:proofErr w:type="spellStart"/>
      <w:r w:rsidRPr="00793E90">
        <w:rPr>
          <w:rFonts w:ascii="Book Antiqua" w:hAnsi="Book Antiqua"/>
          <w:lang w:val="en-GB"/>
        </w:rPr>
        <w:t>SUV</w:t>
      </w:r>
      <w:r w:rsidRPr="00793E90">
        <w:rPr>
          <w:rFonts w:ascii="Book Antiqua" w:hAnsi="Book Antiqua"/>
          <w:vertAlign w:val="subscript"/>
          <w:lang w:val="en-GB"/>
        </w:rPr>
        <w:t>max</w:t>
      </w:r>
      <w:proofErr w:type="spellEnd"/>
      <w:r w:rsidRPr="00793E90">
        <w:rPr>
          <w:rFonts w:ascii="Book Antiqua" w:hAnsi="Book Antiqua"/>
          <w:lang w:val="en-GB"/>
        </w:rPr>
        <w:t xml:space="preserve"> thresholds: 50% (MV50), 41% (MV41), and 30% (MV30)</w:t>
      </w:r>
      <w:r w:rsidRPr="00793E90">
        <w:rPr>
          <w:rFonts w:ascii="Book Antiqua" w:eastAsia="宋体" w:hAnsi="Book Antiqua" w:cs="宋体"/>
          <w:vertAlign w:val="superscript"/>
          <w:lang w:val="en-GB" w:eastAsia="zh-CN"/>
        </w:rPr>
        <w:t>[1,14]</w:t>
      </w:r>
      <w:r w:rsidRPr="00793E90">
        <w:rPr>
          <w:rFonts w:ascii="Book Antiqua" w:hAnsi="Book Antiqua"/>
          <w:lang w:val="en-GB"/>
        </w:rPr>
        <w:t xml:space="preserve">. In patients with anal uptake described on several </w:t>
      </w:r>
      <w:r w:rsidRPr="00793E90">
        <w:rPr>
          <w:rFonts w:ascii="Book Antiqua" w:hAnsi="Book Antiqua"/>
          <w:vertAlign w:val="superscript"/>
          <w:lang w:val="en-GB"/>
        </w:rPr>
        <w:t>18</w:t>
      </w:r>
      <w:r w:rsidRPr="00793E90">
        <w:rPr>
          <w:rFonts w:ascii="Book Antiqua" w:hAnsi="Book Antiqua"/>
          <w:color w:val="000000" w:themeColor="text1"/>
          <w:lang w:val="en-GB"/>
        </w:rPr>
        <w:t>FDG PET/CT scans</w:t>
      </w:r>
      <w:r w:rsidRPr="00793E90">
        <w:rPr>
          <w:rFonts w:ascii="Book Antiqua" w:hAnsi="Book Antiqua"/>
          <w:lang w:val="en-GB"/>
        </w:rPr>
        <w:t xml:space="preserve">, the metabolic parameters selected were those that corresponded to the </w:t>
      </w:r>
      <w:r w:rsidRPr="00793E90">
        <w:rPr>
          <w:rFonts w:ascii="Book Antiqua" w:hAnsi="Book Antiqua"/>
          <w:vertAlign w:val="superscript"/>
          <w:lang w:val="en-GB"/>
        </w:rPr>
        <w:t>18</w:t>
      </w:r>
      <w:r w:rsidRPr="00793E90">
        <w:rPr>
          <w:rFonts w:ascii="Book Antiqua" w:hAnsi="Book Antiqua"/>
          <w:color w:val="000000" w:themeColor="text1"/>
          <w:lang w:val="en-GB"/>
        </w:rPr>
        <w:t>FDG PET/CT</w:t>
      </w:r>
      <w:r w:rsidRPr="00793E90">
        <w:rPr>
          <w:rFonts w:ascii="Book Antiqua" w:hAnsi="Book Antiqua"/>
          <w:lang w:val="en-GB"/>
        </w:rPr>
        <w:t xml:space="preserve"> with the largest </w:t>
      </w:r>
      <w:proofErr w:type="spellStart"/>
      <w:r w:rsidRPr="00793E90">
        <w:rPr>
          <w:rFonts w:ascii="Book Antiqua" w:hAnsi="Book Antiqua"/>
          <w:lang w:val="en-GB"/>
        </w:rPr>
        <w:t>SUV</w:t>
      </w:r>
      <w:r w:rsidRPr="00793E90">
        <w:rPr>
          <w:rFonts w:ascii="Book Antiqua" w:hAnsi="Book Antiqua"/>
          <w:vertAlign w:val="subscript"/>
          <w:lang w:val="en-GB"/>
        </w:rPr>
        <w:t>max</w:t>
      </w:r>
      <w:proofErr w:type="spellEnd"/>
      <w:r w:rsidRPr="00793E90">
        <w:rPr>
          <w:rFonts w:ascii="Book Antiqua" w:hAnsi="Book Antiqua"/>
          <w:lang w:val="en-GB"/>
        </w:rPr>
        <w:t>.</w:t>
      </w:r>
    </w:p>
    <w:p w14:paraId="23E5DB44" w14:textId="77777777" w:rsidR="00793E90" w:rsidRPr="00793E90" w:rsidRDefault="00793E90" w:rsidP="00793E90">
      <w:pPr>
        <w:adjustRightInd w:val="0"/>
        <w:snapToGrid w:val="0"/>
        <w:spacing w:after="0" w:line="360" w:lineRule="auto"/>
        <w:jc w:val="both"/>
        <w:rPr>
          <w:rFonts w:ascii="Book Antiqua" w:hAnsi="Book Antiqua"/>
          <w:lang w:val="en-GB"/>
        </w:rPr>
      </w:pPr>
    </w:p>
    <w:p w14:paraId="44197CC5" w14:textId="77777777" w:rsidR="00793E90" w:rsidRPr="00793E90" w:rsidRDefault="00793E90" w:rsidP="00793E90">
      <w:pPr>
        <w:adjustRightInd w:val="0"/>
        <w:snapToGrid w:val="0"/>
        <w:spacing w:after="0" w:line="360" w:lineRule="auto"/>
        <w:jc w:val="both"/>
        <w:rPr>
          <w:rFonts w:ascii="Book Antiqua" w:hAnsi="Book Antiqua"/>
          <w:b/>
          <w:i/>
          <w:lang w:val="en-GB"/>
        </w:rPr>
      </w:pPr>
      <w:r w:rsidRPr="00793E90">
        <w:rPr>
          <w:rFonts w:ascii="Book Antiqua" w:hAnsi="Book Antiqua"/>
          <w:b/>
          <w:i/>
          <w:lang w:val="en-GB"/>
        </w:rPr>
        <w:t xml:space="preserve">Management of incidental anal </w:t>
      </w:r>
      <w:r w:rsidRPr="00793E90">
        <w:rPr>
          <w:rFonts w:ascii="Book Antiqua" w:hAnsi="Book Antiqua"/>
          <w:b/>
          <w:i/>
          <w:vertAlign w:val="superscript"/>
          <w:lang w:val="en-GB"/>
        </w:rPr>
        <w:t>18</w:t>
      </w:r>
      <w:r w:rsidRPr="00793E90">
        <w:rPr>
          <w:rFonts w:ascii="Book Antiqua" w:hAnsi="Book Antiqua"/>
          <w:b/>
          <w:i/>
          <w:lang w:val="en-GB"/>
        </w:rPr>
        <w:t>FDG uptake</w:t>
      </w:r>
    </w:p>
    <w:p w14:paraId="20D46CD5" w14:textId="77777777" w:rsidR="00793E90" w:rsidRPr="00793E90" w:rsidRDefault="00793E90" w:rsidP="00793E90">
      <w:pPr>
        <w:adjustRightInd w:val="0"/>
        <w:snapToGrid w:val="0"/>
        <w:spacing w:after="0" w:line="360" w:lineRule="auto"/>
        <w:jc w:val="both"/>
        <w:rPr>
          <w:rFonts w:ascii="Book Antiqua" w:hAnsi="Book Antiqua"/>
          <w:lang w:val="en-GB"/>
        </w:rPr>
      </w:pPr>
      <w:r w:rsidRPr="00793E90">
        <w:rPr>
          <w:rFonts w:ascii="Book Antiqua" w:hAnsi="Book Antiqua"/>
          <w:lang w:val="en-GB"/>
        </w:rPr>
        <w:t xml:space="preserve">The data about management after the discovery of </w:t>
      </w:r>
      <w:r w:rsidRPr="00793E90">
        <w:rPr>
          <w:rFonts w:ascii="Book Antiqua" w:hAnsi="Book Antiqua"/>
          <w:color w:val="000000" w:themeColor="text1"/>
          <w:lang w:val="en-GB"/>
        </w:rPr>
        <w:t xml:space="preserve">incidental anal </w:t>
      </w:r>
      <w:r w:rsidRPr="00793E90">
        <w:rPr>
          <w:rFonts w:ascii="Book Antiqua" w:hAnsi="Book Antiqua"/>
          <w:color w:val="000000" w:themeColor="text1"/>
          <w:vertAlign w:val="superscript"/>
          <w:lang w:val="en-GB"/>
        </w:rPr>
        <w:t>18</w:t>
      </w:r>
      <w:r w:rsidRPr="00793E90">
        <w:rPr>
          <w:rFonts w:ascii="Book Antiqua" w:hAnsi="Book Antiqua"/>
          <w:color w:val="000000" w:themeColor="text1"/>
          <w:lang w:val="en-GB"/>
        </w:rPr>
        <w:t>FDG uptake</w:t>
      </w:r>
      <w:r w:rsidRPr="00793E90">
        <w:rPr>
          <w:rFonts w:ascii="Book Antiqua" w:hAnsi="Book Antiqua"/>
          <w:lang w:val="en-GB"/>
        </w:rPr>
        <w:t xml:space="preserve"> were collected from</w:t>
      </w:r>
      <w:r w:rsidRPr="00793E90">
        <w:rPr>
          <w:rFonts w:ascii="Book Antiqua" w:eastAsia="Calibri" w:hAnsi="Book Antiqua"/>
          <w:lang w:val="en-GB"/>
        </w:rPr>
        <w:t xml:space="preserve"> the</w:t>
      </w:r>
      <w:r w:rsidRPr="00793E90">
        <w:rPr>
          <w:rFonts w:ascii="Book Antiqua" w:hAnsi="Book Antiqua"/>
          <w:lang w:val="en-GB"/>
        </w:rPr>
        <w:t xml:space="preserve"> patient records from </w:t>
      </w:r>
      <w:r w:rsidRPr="00793E90">
        <w:rPr>
          <w:rFonts w:ascii="Book Antiqua" w:eastAsia="Calibri" w:hAnsi="Book Antiqua"/>
          <w:lang w:val="en-GB"/>
        </w:rPr>
        <w:t xml:space="preserve">the </w:t>
      </w:r>
      <w:r w:rsidRPr="00793E90">
        <w:rPr>
          <w:rFonts w:ascii="Book Antiqua" w:hAnsi="Book Antiqua"/>
          <w:lang w:val="en-GB"/>
        </w:rPr>
        <w:t>Department of Nuclear Medicine. The data were compared with the patient records from the general practitioner and/or the specialist, if applicable.</w:t>
      </w:r>
    </w:p>
    <w:p w14:paraId="105FE400" w14:textId="617CC526" w:rsidR="00793E90" w:rsidRPr="00793E90" w:rsidRDefault="00793E90" w:rsidP="00793E90">
      <w:pPr>
        <w:adjustRightInd w:val="0"/>
        <w:snapToGrid w:val="0"/>
        <w:spacing w:after="0" w:line="360" w:lineRule="auto"/>
        <w:ind w:firstLineChars="100" w:firstLine="240"/>
        <w:jc w:val="both"/>
        <w:rPr>
          <w:rFonts w:ascii="Book Antiqua" w:hAnsi="Book Antiqua"/>
          <w:lang w:val="en-GB"/>
        </w:rPr>
      </w:pPr>
      <w:r w:rsidRPr="00793E90">
        <w:rPr>
          <w:rFonts w:ascii="Book Antiqua" w:hAnsi="Book Antiqua"/>
          <w:lang w:val="en-GB"/>
        </w:rPr>
        <w:t xml:space="preserve">The data collected from patients who further investigated were as follows: symptoms, practitioner who performed the evaluation (oncologist, radiotherapist, surgeon, gastroenterologist, or colorectal specialist), evaluation modality (rectal examination, </w:t>
      </w:r>
      <w:proofErr w:type="spellStart"/>
      <w:r w:rsidRPr="00793E90">
        <w:rPr>
          <w:rFonts w:ascii="Book Antiqua" w:hAnsi="Book Antiqua"/>
          <w:lang w:val="en-GB"/>
        </w:rPr>
        <w:t>anoscopy</w:t>
      </w:r>
      <w:proofErr w:type="spellEnd"/>
      <w:r w:rsidRPr="00793E90">
        <w:rPr>
          <w:rFonts w:ascii="Book Antiqua" w:hAnsi="Book Antiqua"/>
          <w:lang w:val="en-GB"/>
        </w:rPr>
        <w:t xml:space="preserve">), further examinations (CT scan, magnetic resonance imaging, </w:t>
      </w:r>
      <w:bookmarkStart w:id="57" w:name="OLE_LINK7"/>
      <w:bookmarkStart w:id="58" w:name="OLE_LINK8"/>
      <w:r w:rsidRPr="00793E90">
        <w:rPr>
          <w:rFonts w:ascii="Book Antiqua" w:hAnsi="Book Antiqua"/>
          <w:lang w:val="en-GB"/>
        </w:rPr>
        <w:t>endoanal ultrasound</w:t>
      </w:r>
      <w:bookmarkEnd w:id="57"/>
      <w:bookmarkEnd w:id="58"/>
      <w:r w:rsidRPr="00793E90">
        <w:rPr>
          <w:rFonts w:ascii="Book Antiqua" w:hAnsi="Book Antiqua"/>
          <w:lang w:val="en-GB"/>
        </w:rPr>
        <w:t xml:space="preserve">, </w:t>
      </w:r>
      <w:r w:rsidR="009E5758" w:rsidRPr="00793E90">
        <w:rPr>
          <w:rFonts w:ascii="Book Antiqua" w:hAnsi="Book Antiqua"/>
          <w:lang w:val="en-GB"/>
        </w:rPr>
        <w:t>and examinations</w:t>
      </w:r>
      <w:r w:rsidRPr="00793E90">
        <w:rPr>
          <w:rFonts w:ascii="Book Antiqua" w:hAnsi="Book Antiqua"/>
          <w:lang w:val="en-GB"/>
        </w:rPr>
        <w:t xml:space="preserve"> under general anaesthesia, colonoscopy, or histology) and results, if available. The diagnosis was recorded and classified as follows: haemorrhoidal disease, anal fissure, neoplasia, fistula, anal condyloma, or other diagnosis. Each proctologic report was reviewed by a specialist in proctology from </w:t>
      </w:r>
      <w:r w:rsidRPr="00793E90">
        <w:rPr>
          <w:rFonts w:ascii="Book Antiqua" w:eastAsia="Calibri" w:hAnsi="Book Antiqua"/>
          <w:lang w:val="en-GB"/>
        </w:rPr>
        <w:t xml:space="preserve">the </w:t>
      </w:r>
      <w:r w:rsidRPr="00793E90">
        <w:rPr>
          <w:rFonts w:ascii="Book Antiqua" w:hAnsi="Book Antiqua"/>
          <w:lang w:val="en-GB"/>
        </w:rPr>
        <w:t xml:space="preserve">University Hospital of Rennes. </w:t>
      </w:r>
      <w:r w:rsidRPr="00793E90">
        <w:rPr>
          <w:rFonts w:ascii="Book Antiqua" w:hAnsi="Book Antiqua"/>
          <w:lang w:val="en-US"/>
        </w:rPr>
        <w:t xml:space="preserve">Treatments were offered in case of symptomatic disease or if there was a risk of extension and/or aggravation of the disease. The treatment was chosen according to the habits of the practitioner. </w:t>
      </w:r>
      <w:r w:rsidRPr="00793E90">
        <w:rPr>
          <w:rFonts w:ascii="Book Antiqua" w:hAnsi="Book Antiqua"/>
          <w:lang w:val="en-GB"/>
        </w:rPr>
        <w:t>Patients who were offered treatment were identified and compared to those who were not treated. The proposed treatments were collected.</w:t>
      </w:r>
    </w:p>
    <w:p w14:paraId="49BA8574" w14:textId="77777777" w:rsidR="00793E90" w:rsidRPr="00793E90" w:rsidRDefault="00793E90" w:rsidP="00793E90">
      <w:pPr>
        <w:adjustRightInd w:val="0"/>
        <w:snapToGrid w:val="0"/>
        <w:spacing w:after="0" w:line="360" w:lineRule="auto"/>
        <w:ind w:firstLineChars="100" w:firstLine="240"/>
        <w:jc w:val="both"/>
        <w:rPr>
          <w:rFonts w:ascii="Book Antiqua" w:eastAsia="Calibri" w:hAnsi="Book Antiqua"/>
          <w:lang w:val="en-GB"/>
        </w:rPr>
      </w:pPr>
      <w:r w:rsidRPr="00793E90">
        <w:rPr>
          <w:rFonts w:ascii="Book Antiqua" w:hAnsi="Book Antiqua"/>
          <w:color w:val="000000" w:themeColor="text1"/>
          <w:lang w:val="en-GB"/>
        </w:rPr>
        <w:t xml:space="preserve">Among the patients with incidental anal </w:t>
      </w:r>
      <w:r w:rsidRPr="00793E90">
        <w:rPr>
          <w:rFonts w:ascii="Book Antiqua" w:hAnsi="Book Antiqua"/>
          <w:color w:val="000000" w:themeColor="text1"/>
          <w:vertAlign w:val="superscript"/>
          <w:lang w:val="en-GB"/>
        </w:rPr>
        <w:t>18</w:t>
      </w:r>
      <w:r w:rsidRPr="00793E90">
        <w:rPr>
          <w:rFonts w:ascii="Book Antiqua" w:hAnsi="Book Antiqua"/>
          <w:color w:val="000000" w:themeColor="text1"/>
          <w:lang w:val="en-GB"/>
        </w:rPr>
        <w:t xml:space="preserve">FDG uptake, the </w:t>
      </w:r>
      <w:r w:rsidRPr="00793E90">
        <w:rPr>
          <w:rFonts w:ascii="Book Antiqua" w:hAnsi="Book Antiqua"/>
          <w:lang w:val="en-GB"/>
        </w:rPr>
        <w:t>patient data were compared according to the occurrence of anorectal investigations</w:t>
      </w:r>
      <w:r w:rsidRPr="00793E90">
        <w:rPr>
          <w:rFonts w:ascii="Book Antiqua" w:eastAsia="Calibri" w:hAnsi="Book Antiqua"/>
          <w:lang w:val="en-GB"/>
        </w:rPr>
        <w:t>.</w:t>
      </w:r>
    </w:p>
    <w:p w14:paraId="139E887D" w14:textId="77777777" w:rsidR="00793E90" w:rsidRPr="00793E90" w:rsidRDefault="00793E90" w:rsidP="00793E90">
      <w:pPr>
        <w:adjustRightInd w:val="0"/>
        <w:snapToGrid w:val="0"/>
        <w:spacing w:after="0" w:line="360" w:lineRule="auto"/>
        <w:ind w:firstLineChars="100" w:firstLine="240"/>
        <w:jc w:val="both"/>
        <w:rPr>
          <w:rFonts w:ascii="Book Antiqua" w:hAnsi="Book Antiqua"/>
          <w:lang w:val="en-GB"/>
        </w:rPr>
      </w:pPr>
    </w:p>
    <w:p w14:paraId="43E6D29D" w14:textId="77777777" w:rsidR="00793E90" w:rsidRPr="00793E90" w:rsidRDefault="00793E90" w:rsidP="00793E90">
      <w:pPr>
        <w:adjustRightInd w:val="0"/>
        <w:snapToGrid w:val="0"/>
        <w:spacing w:after="0" w:line="360" w:lineRule="auto"/>
        <w:jc w:val="both"/>
        <w:rPr>
          <w:rFonts w:ascii="Book Antiqua" w:hAnsi="Book Antiqua"/>
          <w:b/>
          <w:i/>
          <w:lang w:val="en-GB"/>
        </w:rPr>
      </w:pPr>
      <w:r w:rsidRPr="00793E90">
        <w:rPr>
          <w:rFonts w:ascii="Book Antiqua" w:hAnsi="Book Antiqua"/>
          <w:b/>
          <w:i/>
          <w:lang w:val="en-GB"/>
        </w:rPr>
        <w:t>Statistical analyses</w:t>
      </w:r>
    </w:p>
    <w:p w14:paraId="092ABB83" w14:textId="77777777" w:rsidR="00793E90" w:rsidRPr="00793E90" w:rsidRDefault="00793E90" w:rsidP="00793E90">
      <w:pPr>
        <w:adjustRightInd w:val="0"/>
        <w:snapToGrid w:val="0"/>
        <w:spacing w:after="0" w:line="360" w:lineRule="auto"/>
        <w:jc w:val="both"/>
        <w:rPr>
          <w:rFonts w:ascii="Book Antiqua" w:hAnsi="Book Antiqua"/>
          <w:lang w:val="en-GB"/>
        </w:rPr>
      </w:pPr>
      <w:bookmarkStart w:id="59" w:name="_Hlk18789220"/>
      <w:r w:rsidRPr="00793E90">
        <w:rPr>
          <w:rFonts w:ascii="Book Antiqua" w:hAnsi="Book Antiqua"/>
          <w:lang w:val="en-GB"/>
        </w:rPr>
        <w:t xml:space="preserve">The quantitative variables are presented as means and percentiles </w:t>
      </w:r>
      <w:r w:rsidRPr="00793E90">
        <w:rPr>
          <w:rFonts w:ascii="Book Antiqua" w:eastAsia="宋体" w:hAnsi="Book Antiqua" w:cs="宋体"/>
          <w:lang w:val="en-GB" w:eastAsia="zh-CN"/>
        </w:rPr>
        <w:t>(</w:t>
      </w:r>
      <w:r w:rsidRPr="00793E90">
        <w:rPr>
          <w:rFonts w:ascii="Book Antiqua" w:hAnsi="Book Antiqua"/>
          <w:lang w:val="en-GB"/>
        </w:rPr>
        <w:t xml:space="preserve">interquartile range of 25% and 75%). The qualitative variables are presented as numbers and percentages. The qualitative variables were compared using </w:t>
      </w:r>
      <w:r w:rsidRPr="00793E90">
        <w:rPr>
          <w:rFonts w:ascii="Book Antiqua" w:hAnsi="Book Antiqua"/>
          <w:i/>
          <w:iCs/>
        </w:rPr>
        <w:t>χ</w:t>
      </w:r>
      <w:r w:rsidRPr="00F376D5">
        <w:rPr>
          <w:rFonts w:ascii="Book Antiqua" w:hAnsi="Book Antiqua"/>
          <w:i/>
          <w:iCs/>
          <w:vertAlign w:val="superscript"/>
          <w:lang w:val="en-US"/>
        </w:rPr>
        <w:t>2</w:t>
      </w:r>
      <w:r w:rsidRPr="00793E90">
        <w:rPr>
          <w:rFonts w:ascii="Book Antiqua" w:hAnsi="Book Antiqua"/>
          <w:i/>
          <w:iCs/>
          <w:lang w:val="en-US"/>
        </w:rPr>
        <w:t xml:space="preserve"> </w:t>
      </w:r>
      <w:r w:rsidRPr="00793E90">
        <w:rPr>
          <w:rFonts w:ascii="Book Antiqua" w:hAnsi="Book Antiqua"/>
          <w:lang w:val="en-US"/>
        </w:rPr>
        <w:t>tests</w:t>
      </w:r>
      <w:r w:rsidRPr="00793E90">
        <w:rPr>
          <w:rFonts w:ascii="Book Antiqua" w:hAnsi="Book Antiqua"/>
          <w:lang w:val="en-GB"/>
        </w:rPr>
        <w:t xml:space="preserve"> or Fischer’s exact </w:t>
      </w:r>
      <w:r w:rsidRPr="00793E90">
        <w:rPr>
          <w:rFonts w:ascii="Book Antiqua" w:hAnsi="Book Antiqua"/>
          <w:lang w:val="en-GB"/>
        </w:rPr>
        <w:lastRenderedPageBreak/>
        <w:t xml:space="preserve">tests, as appropriate. The quantitative variables were compared using the non-parametric Wilcoxon’s test. Comparisons between patients who underwent examinations with those who had not were performed using the Wilcoxon test and the </w:t>
      </w:r>
      <w:r w:rsidRPr="00793E90">
        <w:rPr>
          <w:rFonts w:ascii="Book Antiqua" w:hAnsi="Book Antiqua"/>
          <w:i/>
          <w:iCs/>
        </w:rPr>
        <w:t>χ</w:t>
      </w:r>
      <w:r w:rsidRPr="000215BB">
        <w:rPr>
          <w:rFonts w:ascii="Book Antiqua" w:hAnsi="Book Antiqua"/>
          <w:i/>
          <w:iCs/>
          <w:vertAlign w:val="superscript"/>
          <w:lang w:val="en-US"/>
        </w:rPr>
        <w:t>2</w:t>
      </w:r>
      <w:r w:rsidRPr="00793E90">
        <w:rPr>
          <w:rFonts w:ascii="Book Antiqua" w:hAnsi="Book Antiqua"/>
          <w:i/>
          <w:iCs/>
          <w:lang w:val="en-US"/>
        </w:rPr>
        <w:t xml:space="preserve"> </w:t>
      </w:r>
      <w:r w:rsidRPr="00793E90">
        <w:rPr>
          <w:rFonts w:ascii="Book Antiqua" w:hAnsi="Book Antiqua"/>
          <w:lang w:val="en-GB"/>
        </w:rPr>
        <w:t xml:space="preserve">test or Fisher’s exact test, as appropriate. The same tests were applied to compare patients who were offered treatment with those who were not. A </w:t>
      </w:r>
      <w:r w:rsidRPr="00793E90">
        <w:rPr>
          <w:rFonts w:ascii="Book Antiqua" w:hAnsi="Book Antiqua"/>
          <w:i/>
          <w:iCs/>
          <w:lang w:val="en-GB" w:eastAsia="zh-CN"/>
        </w:rPr>
        <w:t>P</w:t>
      </w:r>
      <w:r w:rsidRPr="00793E90">
        <w:rPr>
          <w:rFonts w:ascii="Book Antiqua" w:hAnsi="Book Antiqua"/>
          <w:lang w:val="en-GB"/>
        </w:rPr>
        <w:t xml:space="preserve"> value &lt; 0.05 was considered statistically significant. To measure </w:t>
      </w:r>
      <w:r w:rsidRPr="00793E90">
        <w:rPr>
          <w:rFonts w:ascii="Book Antiqua" w:eastAsia="Calibri" w:hAnsi="Book Antiqua"/>
          <w:lang w:val="en-GB"/>
        </w:rPr>
        <w:t xml:space="preserve">the </w:t>
      </w:r>
      <w:r w:rsidRPr="00793E90">
        <w:rPr>
          <w:rFonts w:ascii="Book Antiqua" w:hAnsi="Book Antiqua"/>
          <w:lang w:val="en-GB"/>
        </w:rPr>
        <w:t xml:space="preserve">discriminatory accuracy of SUV and MV for diagnostic and therapeutic </w:t>
      </w:r>
      <w:r w:rsidRPr="00793E90">
        <w:rPr>
          <w:rFonts w:ascii="Book Antiqua" w:eastAsia="Calibri" w:hAnsi="Book Antiqua"/>
          <w:lang w:val="en-GB"/>
        </w:rPr>
        <w:t>management</w:t>
      </w:r>
      <w:r w:rsidRPr="00793E90">
        <w:rPr>
          <w:rFonts w:ascii="Book Antiqua" w:hAnsi="Book Antiqua"/>
          <w:lang w:val="en-GB"/>
        </w:rPr>
        <w:t xml:space="preserve">, a receiver operating characteristic (ROC) analysis was performed, and the area under the ROC curve (AUROC) was calculated. Logistic regression analysis was performed with independent categorical items obtained at </w:t>
      </w:r>
      <w:r w:rsidRPr="00793E90">
        <w:rPr>
          <w:rFonts w:ascii="Book Antiqua" w:hAnsi="Book Antiqua"/>
          <w:i/>
          <w:iCs/>
          <w:lang w:val="en-GB"/>
        </w:rPr>
        <w:t>P</w:t>
      </w:r>
      <w:r w:rsidRPr="00793E90">
        <w:rPr>
          <w:rFonts w:ascii="Book Antiqua" w:hAnsi="Book Antiqua"/>
          <w:lang w:val="en-GB"/>
        </w:rPr>
        <w:t xml:space="preserve"> &lt; 0.05 by univariate analysis using a forward method to identify factors associated to treatment. </w:t>
      </w:r>
      <w:r w:rsidRPr="00793E90">
        <w:rPr>
          <w:rFonts w:ascii="Book Antiqua" w:hAnsi="Book Antiqua"/>
          <w:color w:val="000000"/>
          <w:lang w:val="en-GB"/>
        </w:rPr>
        <w:t xml:space="preserve">Pearson correlation coefficients </w:t>
      </w:r>
      <w:r w:rsidRPr="00793E90">
        <w:rPr>
          <w:rFonts w:ascii="Book Antiqua" w:eastAsia="Calibri" w:hAnsi="Book Antiqua"/>
          <w:color w:val="000000"/>
          <w:lang w:val="en-GB"/>
        </w:rPr>
        <w:t xml:space="preserve">and </w:t>
      </w:r>
      <w:r w:rsidRPr="00793E90">
        <w:rPr>
          <w:rFonts w:ascii="Book Antiqua" w:hAnsi="Book Antiqua"/>
          <w:color w:val="000000"/>
          <w:lang w:val="en-GB"/>
        </w:rPr>
        <w:t xml:space="preserve">Fisher tests were performed to verify whether the Pearson coefficients were significantly different </w:t>
      </w:r>
      <w:r w:rsidRPr="00793E90">
        <w:rPr>
          <w:rFonts w:ascii="Book Antiqua" w:eastAsia="Calibri" w:hAnsi="Book Antiqua"/>
          <w:color w:val="000000"/>
          <w:lang w:val="en-GB"/>
        </w:rPr>
        <w:t>from</w:t>
      </w:r>
      <w:r w:rsidRPr="00793E90">
        <w:rPr>
          <w:rFonts w:ascii="Book Antiqua" w:hAnsi="Book Antiqua"/>
          <w:color w:val="000000"/>
          <w:lang w:val="en-GB"/>
        </w:rPr>
        <w:t xml:space="preserve"> 0. </w:t>
      </w:r>
      <w:r w:rsidRPr="00793E90">
        <w:rPr>
          <w:rFonts w:ascii="Book Antiqua" w:hAnsi="Book Antiqua"/>
          <w:lang w:val="en-GB"/>
        </w:rPr>
        <w:t xml:space="preserve">The tests were performed using JMP Pro software, version 13.0.0 (SAS, Cary, NC, </w:t>
      </w:r>
      <w:r w:rsidRPr="00793E90">
        <w:rPr>
          <w:rFonts w:ascii="Book Antiqua" w:hAnsi="Book Antiqua"/>
          <w:lang w:val="en-GB" w:eastAsia="zh-CN"/>
        </w:rPr>
        <w:t>United States</w:t>
      </w:r>
      <w:r w:rsidRPr="00793E90">
        <w:rPr>
          <w:rFonts w:ascii="Book Antiqua" w:hAnsi="Book Antiqua"/>
          <w:lang w:val="en-GB"/>
        </w:rPr>
        <w:t>).</w:t>
      </w:r>
    </w:p>
    <w:bookmarkEnd w:id="59"/>
    <w:p w14:paraId="47684856" w14:textId="77777777" w:rsidR="00793E90" w:rsidRPr="00793E90" w:rsidRDefault="00793E90" w:rsidP="00793E90">
      <w:pPr>
        <w:adjustRightInd w:val="0"/>
        <w:snapToGrid w:val="0"/>
        <w:spacing w:after="0" w:line="360" w:lineRule="auto"/>
        <w:jc w:val="both"/>
        <w:rPr>
          <w:rFonts w:ascii="Book Antiqua" w:hAnsi="Book Antiqua"/>
          <w:b/>
          <w:lang w:val="en-GB"/>
        </w:rPr>
      </w:pPr>
    </w:p>
    <w:p w14:paraId="06ABEA7B" w14:textId="77777777" w:rsidR="00793E90" w:rsidRPr="00793E90" w:rsidRDefault="00793E90" w:rsidP="00793E90">
      <w:pPr>
        <w:widowControl w:val="0"/>
        <w:adjustRightInd w:val="0"/>
        <w:snapToGrid w:val="0"/>
        <w:spacing w:after="0" w:line="360" w:lineRule="auto"/>
        <w:jc w:val="both"/>
        <w:rPr>
          <w:rFonts w:ascii="Book Antiqua" w:eastAsia="MS PMincho" w:hAnsi="Book Antiqua"/>
          <w:b/>
          <w:bCs/>
          <w:color w:val="000000"/>
          <w:kern w:val="2"/>
          <w:u w:val="single"/>
          <w:lang w:val="en-US" w:eastAsia="ja-JP"/>
        </w:rPr>
      </w:pPr>
      <w:r w:rsidRPr="00793E90">
        <w:rPr>
          <w:rFonts w:ascii="Book Antiqua" w:eastAsia="MS PMincho" w:hAnsi="Book Antiqua"/>
          <w:b/>
          <w:bCs/>
          <w:color w:val="000000"/>
          <w:kern w:val="2"/>
          <w:u w:val="single"/>
          <w:lang w:val="en-US" w:eastAsia="ja-JP"/>
        </w:rPr>
        <w:t>RESULTS</w:t>
      </w:r>
    </w:p>
    <w:p w14:paraId="0C4F1EFE" w14:textId="77777777" w:rsidR="00793E90" w:rsidRPr="00793E90" w:rsidRDefault="00793E90" w:rsidP="00793E90">
      <w:pPr>
        <w:adjustRightInd w:val="0"/>
        <w:snapToGrid w:val="0"/>
        <w:spacing w:after="0" w:line="360" w:lineRule="auto"/>
        <w:jc w:val="both"/>
        <w:rPr>
          <w:rFonts w:ascii="Book Antiqua" w:hAnsi="Book Antiqua"/>
          <w:b/>
          <w:i/>
          <w:iCs/>
          <w:lang w:val="en-GB"/>
        </w:rPr>
      </w:pPr>
      <w:r w:rsidRPr="00793E90">
        <w:rPr>
          <w:rFonts w:ascii="Book Antiqua" w:hAnsi="Book Antiqua"/>
          <w:b/>
          <w:i/>
          <w:iCs/>
          <w:lang w:val="en-GB"/>
        </w:rPr>
        <w:t>Overall study population</w:t>
      </w:r>
    </w:p>
    <w:p w14:paraId="5264B37D" w14:textId="77777777" w:rsidR="00793E90" w:rsidRPr="00793E90" w:rsidRDefault="00793E90" w:rsidP="00793E90">
      <w:pPr>
        <w:adjustRightInd w:val="0"/>
        <w:snapToGrid w:val="0"/>
        <w:spacing w:after="0" w:line="360" w:lineRule="auto"/>
        <w:jc w:val="both"/>
        <w:rPr>
          <w:rFonts w:ascii="Book Antiqua" w:hAnsi="Book Antiqua"/>
          <w:bCs/>
          <w:lang w:val="en-GB"/>
        </w:rPr>
      </w:pPr>
      <w:r w:rsidRPr="00793E90">
        <w:rPr>
          <w:rFonts w:ascii="Book Antiqua" w:hAnsi="Book Antiqua"/>
          <w:bCs/>
          <w:lang w:val="en-GB"/>
        </w:rPr>
        <w:t xml:space="preserve">Among the 43020 </w:t>
      </w:r>
      <w:r w:rsidRPr="00793E90">
        <w:rPr>
          <w:rFonts w:ascii="Book Antiqua" w:hAnsi="Book Antiqua"/>
          <w:bCs/>
          <w:vertAlign w:val="superscript"/>
          <w:lang w:val="en-GB"/>
        </w:rPr>
        <w:t>18</w:t>
      </w:r>
      <w:r w:rsidRPr="00793E90">
        <w:rPr>
          <w:rFonts w:ascii="Book Antiqua" w:hAnsi="Book Antiqua"/>
          <w:bCs/>
          <w:lang w:val="en-GB"/>
        </w:rPr>
        <w:t xml:space="preserve">FDG PET/CT scans performed between January 2005 and December 2018, 197 </w:t>
      </w:r>
      <w:r w:rsidRPr="00793E90">
        <w:rPr>
          <w:rFonts w:ascii="Book Antiqua" w:hAnsi="Book Antiqua"/>
          <w:bCs/>
          <w:vertAlign w:val="superscript"/>
          <w:lang w:val="en-GB"/>
        </w:rPr>
        <w:t>18</w:t>
      </w:r>
      <w:r w:rsidRPr="00793E90">
        <w:rPr>
          <w:rFonts w:ascii="Book Antiqua" w:hAnsi="Book Antiqua"/>
          <w:bCs/>
          <w:lang w:val="en-GB"/>
        </w:rPr>
        <w:t>FDG PET/CT of 146 patients reported incidental anal uptake. Twelve patients were excluded; finally, 134 patients were included in the stud</w:t>
      </w:r>
      <w:bookmarkStart w:id="60" w:name="OLE_LINK26"/>
      <w:bookmarkStart w:id="61" w:name="OLE_LINK27"/>
      <w:r w:rsidRPr="00793E90">
        <w:rPr>
          <w:rFonts w:ascii="Book Antiqua" w:hAnsi="Book Antiqua"/>
          <w:bCs/>
          <w:lang w:val="en-GB"/>
        </w:rPr>
        <w:t xml:space="preserve">y (Figure 1). The patient characteristics and </w:t>
      </w:r>
      <w:r w:rsidRPr="00793E90">
        <w:rPr>
          <w:rFonts w:ascii="Book Antiqua" w:hAnsi="Book Antiqua"/>
          <w:bCs/>
          <w:vertAlign w:val="superscript"/>
          <w:lang w:val="en-GB"/>
        </w:rPr>
        <w:t>18</w:t>
      </w:r>
      <w:r w:rsidRPr="00793E90">
        <w:rPr>
          <w:rFonts w:ascii="Book Antiqua" w:hAnsi="Book Antiqua"/>
          <w:bCs/>
          <w:lang w:val="en-GB"/>
        </w:rPr>
        <w:t xml:space="preserve">FDG PET/CT indications are summarized in Table 1. Twenty-one (15.7%) patients had the following past anorectal histories: </w:t>
      </w:r>
      <w:bookmarkEnd w:id="60"/>
      <w:bookmarkEnd w:id="61"/>
      <w:r w:rsidRPr="00793E90">
        <w:rPr>
          <w:rFonts w:ascii="Book Antiqua" w:hAnsi="Book Antiqua"/>
          <w:bCs/>
          <w:lang w:val="en-GB"/>
        </w:rPr>
        <w:t xml:space="preserve">haemorrhoidal disease (7.8%), anal fistula (4.7%), anal fissure (1.6%), anal condyloma (1.6%), </w:t>
      </w:r>
      <w:r w:rsidRPr="00793E90">
        <w:rPr>
          <w:rFonts w:ascii="Book Antiqua" w:eastAsia="Calibri" w:hAnsi="Book Antiqua"/>
          <w:bCs/>
          <w:lang w:val="en-GB"/>
        </w:rPr>
        <w:t xml:space="preserve">and </w:t>
      </w:r>
      <w:r w:rsidRPr="00793E90">
        <w:rPr>
          <w:rFonts w:ascii="Book Antiqua" w:hAnsi="Book Antiqua"/>
          <w:bCs/>
          <w:lang w:val="en-GB"/>
        </w:rPr>
        <w:t>faecal incontinence (0.7%).</w:t>
      </w:r>
    </w:p>
    <w:p w14:paraId="7C46AB9B" w14:textId="77777777" w:rsidR="00793E90" w:rsidRPr="00793E90" w:rsidRDefault="00793E90" w:rsidP="00793E90">
      <w:pPr>
        <w:adjustRightInd w:val="0"/>
        <w:snapToGrid w:val="0"/>
        <w:spacing w:after="0" w:line="360" w:lineRule="auto"/>
        <w:jc w:val="both"/>
        <w:rPr>
          <w:rFonts w:ascii="Book Antiqua" w:hAnsi="Book Antiqua"/>
          <w:bCs/>
          <w:lang w:val="en-GB"/>
        </w:rPr>
      </w:pPr>
    </w:p>
    <w:p w14:paraId="3E325A69" w14:textId="77777777" w:rsidR="00793E90" w:rsidRPr="00793E90" w:rsidRDefault="00793E90" w:rsidP="00793E90">
      <w:pPr>
        <w:adjustRightInd w:val="0"/>
        <w:snapToGrid w:val="0"/>
        <w:spacing w:after="0" w:line="360" w:lineRule="auto"/>
        <w:jc w:val="both"/>
        <w:rPr>
          <w:rFonts w:ascii="Book Antiqua" w:hAnsi="Book Antiqua"/>
          <w:b/>
          <w:bCs/>
          <w:i/>
          <w:lang w:val="en-GB"/>
        </w:rPr>
      </w:pPr>
      <w:r w:rsidRPr="00793E90">
        <w:rPr>
          <w:rFonts w:ascii="Book Antiqua" w:hAnsi="Book Antiqua"/>
          <w:b/>
          <w:bCs/>
          <w:i/>
          <w:lang w:val="en-GB"/>
        </w:rPr>
        <w:t>Patients who underwent anorectal examinations</w:t>
      </w:r>
    </w:p>
    <w:p w14:paraId="2CC346C9" w14:textId="77777777" w:rsidR="00793E90" w:rsidRPr="00793E90" w:rsidRDefault="00793E90" w:rsidP="00793E90">
      <w:pPr>
        <w:adjustRightInd w:val="0"/>
        <w:snapToGrid w:val="0"/>
        <w:spacing w:after="0" w:line="360" w:lineRule="auto"/>
        <w:jc w:val="both"/>
        <w:rPr>
          <w:rFonts w:ascii="Book Antiqua" w:hAnsi="Book Antiqua"/>
          <w:lang w:val="en-GB"/>
        </w:rPr>
      </w:pPr>
      <w:r w:rsidRPr="00793E90">
        <w:rPr>
          <w:rFonts w:ascii="Book Antiqua" w:hAnsi="Book Antiqua"/>
          <w:lang w:val="en-GB"/>
        </w:rPr>
        <w:t xml:space="preserve">Among the 134 patients with incidental anal </w:t>
      </w:r>
      <w:r w:rsidRPr="00793E90">
        <w:rPr>
          <w:rFonts w:ascii="Book Antiqua" w:hAnsi="Book Antiqua"/>
          <w:vertAlign w:val="superscript"/>
          <w:lang w:val="en-GB"/>
        </w:rPr>
        <w:t>18</w:t>
      </w:r>
      <w:r w:rsidRPr="00793E90">
        <w:rPr>
          <w:rFonts w:ascii="Book Antiqua" w:hAnsi="Book Antiqua"/>
          <w:lang w:val="en-GB"/>
        </w:rPr>
        <w:t xml:space="preserve">FDG uptake, 48 (35.8%) underwent anorectal examinations to explore the anomaly. The characteristics of the patients who underwent examinations are depicted in Table 1 and Table 2. The patients were examined most frequently by a colorectal specialist (62.5%) or a gastroenterologist (20.8%). The clinical examinations ranged from a simple inspection of the anal </w:t>
      </w:r>
      <w:r w:rsidRPr="00793E90">
        <w:rPr>
          <w:rFonts w:ascii="Book Antiqua" w:hAnsi="Book Antiqua"/>
          <w:lang w:val="en-GB"/>
        </w:rPr>
        <w:lastRenderedPageBreak/>
        <w:t xml:space="preserve">margin (95.8%) to </w:t>
      </w:r>
      <w:proofErr w:type="spellStart"/>
      <w:r w:rsidRPr="00793E90">
        <w:rPr>
          <w:rFonts w:ascii="Book Antiqua" w:hAnsi="Book Antiqua"/>
          <w:lang w:val="en-GB"/>
        </w:rPr>
        <w:t>anoscopy</w:t>
      </w:r>
      <w:proofErr w:type="spellEnd"/>
      <w:r w:rsidRPr="00793E90">
        <w:rPr>
          <w:rFonts w:ascii="Book Antiqua" w:hAnsi="Book Antiqua"/>
          <w:lang w:val="en-GB"/>
        </w:rPr>
        <w:t xml:space="preserve"> (51.1%). More than half (54.2%) of the patients had at least one other examination. Patients who underwent examinations were compared with those who did not undergo examinations (Table 1). Th</w:t>
      </w:r>
      <w:r w:rsidRPr="00793E90">
        <w:rPr>
          <w:rFonts w:ascii="Book Antiqua" w:hAnsi="Book Antiqua"/>
          <w:bCs/>
          <w:lang w:val="en-GB"/>
        </w:rPr>
        <w:t xml:space="preserve">e two groups were comparable in terms of age, sex, indication for </w:t>
      </w:r>
      <w:r w:rsidRPr="00793E90">
        <w:rPr>
          <w:rFonts w:ascii="Book Antiqua" w:hAnsi="Book Antiqua"/>
          <w:bCs/>
          <w:vertAlign w:val="superscript"/>
          <w:lang w:val="en-GB"/>
        </w:rPr>
        <w:t>18</w:t>
      </w:r>
      <w:r w:rsidRPr="00793E90">
        <w:rPr>
          <w:rFonts w:ascii="Book Antiqua" w:hAnsi="Book Antiqua"/>
          <w:bCs/>
          <w:lang w:val="en-GB"/>
        </w:rPr>
        <w:t xml:space="preserve">FDG PET/CT, primitive cancer, history of pelvic radiotherapy and </w:t>
      </w:r>
      <w:r w:rsidRPr="00793E90">
        <w:rPr>
          <w:rFonts w:ascii="Book Antiqua" w:hAnsi="Book Antiqua"/>
          <w:bCs/>
          <w:vertAlign w:val="superscript"/>
          <w:lang w:val="en-GB"/>
        </w:rPr>
        <w:t>18</w:t>
      </w:r>
      <w:r w:rsidRPr="00793E90">
        <w:rPr>
          <w:rFonts w:ascii="Book Antiqua" w:hAnsi="Book Antiqua"/>
          <w:bCs/>
          <w:lang w:val="en-GB"/>
        </w:rPr>
        <w:t xml:space="preserve">FDG PET/CT metabolic parameters. Patients who </w:t>
      </w:r>
      <w:r w:rsidRPr="00793E90">
        <w:rPr>
          <w:rFonts w:ascii="Book Antiqua" w:hAnsi="Book Antiqua"/>
          <w:lang w:val="en-GB"/>
        </w:rPr>
        <w:t xml:space="preserve">underwent examinations </w:t>
      </w:r>
      <w:r w:rsidRPr="00793E90">
        <w:rPr>
          <w:rFonts w:ascii="Book Antiqua" w:hAnsi="Book Antiqua"/>
          <w:bCs/>
          <w:lang w:val="en-GB"/>
        </w:rPr>
        <w:t>more frequently</w:t>
      </w:r>
      <w:r w:rsidRPr="00793E90">
        <w:rPr>
          <w:rFonts w:ascii="Book Antiqua" w:eastAsia="Calibri" w:hAnsi="Book Antiqua"/>
          <w:bCs/>
          <w:lang w:val="en-GB"/>
        </w:rPr>
        <w:t xml:space="preserve"> had</w:t>
      </w:r>
      <w:r w:rsidRPr="00793E90">
        <w:rPr>
          <w:rFonts w:ascii="Book Antiqua" w:hAnsi="Book Antiqua"/>
          <w:bCs/>
          <w:lang w:val="en-GB"/>
        </w:rPr>
        <w:t xml:space="preserve"> a past history of anorectal disease than those who did not undergo examinations (</w:t>
      </w:r>
      <w:r w:rsidRPr="00793E90">
        <w:rPr>
          <w:rFonts w:ascii="Book Antiqua" w:hAnsi="Book Antiqua"/>
          <w:bCs/>
          <w:i/>
          <w:iCs/>
          <w:lang w:val="en-GB"/>
        </w:rPr>
        <w:t xml:space="preserve">P </w:t>
      </w:r>
      <w:r w:rsidRPr="00793E90">
        <w:rPr>
          <w:rFonts w:ascii="Book Antiqua" w:hAnsi="Book Antiqua"/>
          <w:bCs/>
          <w:lang w:val="en-GB"/>
        </w:rPr>
        <w:t>=</w:t>
      </w:r>
      <w:r w:rsidRPr="00793E90">
        <w:rPr>
          <w:rFonts w:ascii="Book Antiqua" w:hAnsi="Book Antiqua"/>
          <w:lang w:val="en-GB"/>
        </w:rPr>
        <w:t xml:space="preserve"> 0.0002). Among the 48 patients who underwent examinations, 33 (69%) had the following anorectal diseases: haemorrhoidal </w:t>
      </w:r>
      <w:bookmarkStart w:id="62" w:name="OLE_LINK329"/>
      <w:bookmarkStart w:id="63" w:name="OLE_LINK330"/>
      <w:r w:rsidRPr="00793E90">
        <w:rPr>
          <w:rFonts w:ascii="Book Antiqua" w:hAnsi="Book Antiqua"/>
          <w:lang w:val="en-GB"/>
        </w:rPr>
        <w:t>disease (</w:t>
      </w:r>
      <w:r w:rsidRPr="00793E90">
        <w:rPr>
          <w:rFonts w:ascii="Book Antiqua" w:hAnsi="Book Antiqua"/>
          <w:i/>
          <w:iCs/>
          <w:lang w:val="en-GB"/>
        </w:rPr>
        <w:t xml:space="preserve">n </w:t>
      </w:r>
      <w:bookmarkEnd w:id="62"/>
      <w:bookmarkEnd w:id="63"/>
      <w:r w:rsidRPr="00793E90">
        <w:rPr>
          <w:rFonts w:ascii="Book Antiqua" w:hAnsi="Book Antiqua"/>
          <w:lang w:val="en-GB"/>
        </w:rPr>
        <w:t>= 19), anal fissure (</w:t>
      </w:r>
      <w:r w:rsidRPr="00224A52">
        <w:rPr>
          <w:rFonts w:ascii="Book Antiqua" w:hAnsi="Book Antiqua"/>
          <w:i/>
          <w:lang w:val="en-GB"/>
        </w:rPr>
        <w:t>n</w:t>
      </w:r>
      <w:r w:rsidRPr="00793E90">
        <w:rPr>
          <w:rFonts w:ascii="Book Antiqua" w:hAnsi="Book Antiqua"/>
          <w:lang w:val="en-GB"/>
        </w:rPr>
        <w:t xml:space="preserve"> = 6), recurrence of rectal adenocarcinoma on the coloanal anastomosis (</w:t>
      </w:r>
      <w:r w:rsidRPr="00224A52">
        <w:rPr>
          <w:rFonts w:ascii="Book Antiqua" w:hAnsi="Book Antiqua"/>
          <w:i/>
          <w:lang w:val="en-GB"/>
        </w:rPr>
        <w:t>n</w:t>
      </w:r>
      <w:r w:rsidRPr="00793E90">
        <w:rPr>
          <w:rFonts w:ascii="Book Antiqua" w:hAnsi="Book Antiqua"/>
          <w:lang w:val="en-GB"/>
        </w:rPr>
        <w:t xml:space="preserve"> = 2), condyloma (</w:t>
      </w:r>
      <w:r w:rsidRPr="00224A52">
        <w:rPr>
          <w:rFonts w:ascii="Book Antiqua" w:hAnsi="Book Antiqua"/>
          <w:i/>
          <w:lang w:val="en-GB"/>
        </w:rPr>
        <w:t>n</w:t>
      </w:r>
      <w:r w:rsidRPr="00793E90">
        <w:rPr>
          <w:rFonts w:ascii="Book Antiqua" w:hAnsi="Book Antiqua"/>
          <w:lang w:val="en-GB"/>
        </w:rPr>
        <w:t xml:space="preserve"> = 3), faecal impaction (</w:t>
      </w:r>
      <w:r w:rsidRPr="00224A52">
        <w:rPr>
          <w:rFonts w:ascii="Book Antiqua" w:hAnsi="Book Antiqua"/>
          <w:i/>
          <w:lang w:val="en-GB"/>
        </w:rPr>
        <w:t>n</w:t>
      </w:r>
      <w:r w:rsidRPr="00793E90">
        <w:rPr>
          <w:rFonts w:ascii="Book Antiqua" w:hAnsi="Book Antiqua"/>
          <w:lang w:val="en-GB"/>
        </w:rPr>
        <w:t xml:space="preserve"> = 1), suppuration (</w:t>
      </w:r>
      <w:r w:rsidRPr="00224A52">
        <w:rPr>
          <w:rFonts w:ascii="Book Antiqua" w:hAnsi="Book Antiqua"/>
          <w:i/>
          <w:lang w:val="en-GB"/>
        </w:rPr>
        <w:t>n</w:t>
      </w:r>
      <w:r w:rsidRPr="00793E90">
        <w:rPr>
          <w:rFonts w:ascii="Book Antiqua" w:hAnsi="Book Antiqua"/>
          <w:lang w:val="en-GB"/>
        </w:rPr>
        <w:t xml:space="preserve"> = 1) and solitary rectal ulcer syndrome (</w:t>
      </w:r>
      <w:r w:rsidRPr="00224A52">
        <w:rPr>
          <w:rFonts w:ascii="Book Antiqua" w:hAnsi="Book Antiqua"/>
          <w:i/>
          <w:lang w:val="en-GB"/>
        </w:rPr>
        <w:t>n</w:t>
      </w:r>
      <w:r w:rsidRPr="00793E90">
        <w:rPr>
          <w:rFonts w:ascii="Book Antiqua" w:hAnsi="Book Antiqua"/>
          <w:lang w:val="en-GB"/>
        </w:rPr>
        <w:t xml:space="preserve"> = 1) (Figure 2).</w:t>
      </w:r>
    </w:p>
    <w:p w14:paraId="5A7F6249" w14:textId="77777777" w:rsidR="00793E90" w:rsidRPr="00793E90" w:rsidRDefault="00793E90" w:rsidP="00793E90">
      <w:pPr>
        <w:adjustRightInd w:val="0"/>
        <w:snapToGrid w:val="0"/>
        <w:spacing w:after="0" w:line="360" w:lineRule="auto"/>
        <w:ind w:firstLineChars="100" w:firstLine="240"/>
        <w:jc w:val="both"/>
        <w:rPr>
          <w:rFonts w:ascii="Book Antiqua" w:hAnsi="Book Antiqua"/>
          <w:lang w:val="en-GB" w:eastAsia="zh-CN"/>
        </w:rPr>
      </w:pPr>
      <w:r w:rsidRPr="00793E90">
        <w:rPr>
          <w:rFonts w:ascii="Book Antiqua" w:hAnsi="Book Antiqua"/>
          <w:lang w:val="en-GB"/>
        </w:rPr>
        <w:t xml:space="preserve">In our study group, no metabolic parameters were significantly associated with the presence or absence of a diagnosis; likewise, there were no significant differences between anorectal diseases according to the metabolic parameters. </w:t>
      </w:r>
    </w:p>
    <w:p w14:paraId="63EA7F7B" w14:textId="77777777" w:rsidR="00793E90" w:rsidRPr="00793E90" w:rsidRDefault="00793E90" w:rsidP="00793E90">
      <w:pPr>
        <w:adjustRightInd w:val="0"/>
        <w:snapToGrid w:val="0"/>
        <w:spacing w:after="0" w:line="360" w:lineRule="auto"/>
        <w:ind w:firstLineChars="100" w:firstLine="240"/>
        <w:jc w:val="both"/>
        <w:rPr>
          <w:rFonts w:ascii="Book Antiqua" w:hAnsi="Book Antiqua"/>
          <w:lang w:val="en-GB" w:eastAsia="zh-CN"/>
        </w:rPr>
      </w:pPr>
    </w:p>
    <w:p w14:paraId="36298047" w14:textId="77777777" w:rsidR="00793E90" w:rsidRPr="00793E90" w:rsidRDefault="00793E90" w:rsidP="00793E90">
      <w:pPr>
        <w:adjustRightInd w:val="0"/>
        <w:snapToGrid w:val="0"/>
        <w:spacing w:after="0" w:line="360" w:lineRule="auto"/>
        <w:jc w:val="both"/>
        <w:rPr>
          <w:rFonts w:ascii="Book Antiqua" w:hAnsi="Book Antiqua"/>
          <w:b/>
          <w:bCs/>
          <w:i/>
          <w:iCs/>
          <w:lang w:val="en-GB"/>
        </w:rPr>
      </w:pPr>
      <w:r w:rsidRPr="00793E90">
        <w:rPr>
          <w:rFonts w:ascii="Book Antiqua" w:hAnsi="Book Antiqua"/>
          <w:b/>
          <w:bCs/>
          <w:i/>
          <w:iCs/>
          <w:lang w:val="en-GB"/>
        </w:rPr>
        <w:t>Treated patients and therapeutic impact of metabolic parameters</w:t>
      </w:r>
    </w:p>
    <w:p w14:paraId="712B0187" w14:textId="23888224" w:rsidR="00793E90" w:rsidRPr="00793E90" w:rsidRDefault="00793E90" w:rsidP="00793E90">
      <w:pPr>
        <w:widowControl w:val="0"/>
        <w:autoSpaceDE w:val="0"/>
        <w:autoSpaceDN w:val="0"/>
        <w:adjustRightInd w:val="0"/>
        <w:snapToGrid w:val="0"/>
        <w:spacing w:after="0" w:line="360" w:lineRule="auto"/>
        <w:jc w:val="both"/>
        <w:rPr>
          <w:rFonts w:ascii="Book Antiqua" w:hAnsi="Book Antiqua"/>
          <w:lang w:val="en-GB"/>
        </w:rPr>
      </w:pPr>
      <w:r w:rsidRPr="00793E90">
        <w:rPr>
          <w:rFonts w:ascii="Book Antiqua" w:hAnsi="Book Antiqua"/>
          <w:lang w:val="en-GB"/>
        </w:rPr>
        <w:t>Among the 48 patients who underwent examinations, 18 (37.5%) were offered treatment</w:t>
      </w:r>
      <w:bookmarkStart w:id="64" w:name="OLE_LINK28"/>
      <w:bookmarkStart w:id="65" w:name="OLE_LINK29"/>
      <w:r w:rsidRPr="00793E90">
        <w:rPr>
          <w:rFonts w:ascii="Book Antiqua" w:hAnsi="Book Antiqua"/>
          <w:lang w:val="en-GB"/>
        </w:rPr>
        <w:t xml:space="preserve"> (Table 3). The characteristics of the treated patients were compared with those of the untreated patients and are depicted in Table 2. All patients wh</w:t>
      </w:r>
      <w:bookmarkEnd w:id="64"/>
      <w:bookmarkEnd w:id="65"/>
      <w:r w:rsidRPr="00793E90">
        <w:rPr>
          <w:rFonts w:ascii="Book Antiqua" w:hAnsi="Book Antiqua"/>
          <w:lang w:val="en-GB"/>
        </w:rPr>
        <w:t xml:space="preserve">o </w:t>
      </w:r>
      <w:r w:rsidRPr="00793E90">
        <w:rPr>
          <w:rFonts w:ascii="Book Antiqua" w:eastAsia="Calibri" w:hAnsi="Book Antiqua"/>
          <w:lang w:val="en-GB"/>
        </w:rPr>
        <w:t>received</w:t>
      </w:r>
      <w:r w:rsidRPr="00793E90">
        <w:rPr>
          <w:rFonts w:ascii="Book Antiqua" w:hAnsi="Book Antiqua"/>
          <w:lang w:val="en-GB"/>
        </w:rPr>
        <w:t xml:space="preserve"> treatment had more frequent complaints than those who did not receive treatment and were examined by colorectal specialists or gastroenterologists. </w:t>
      </w:r>
      <w:r w:rsidRPr="00793E90">
        <w:rPr>
          <w:rFonts w:ascii="Book Antiqua" w:hAnsi="Book Antiqua"/>
          <w:bCs/>
          <w:lang w:val="en-US"/>
        </w:rPr>
        <w:t>Of the asymptomatic patients, 18/29 were diagnosed [</w:t>
      </w:r>
      <w:r w:rsidRPr="00793E90">
        <w:rPr>
          <w:rFonts w:ascii="Book Antiqua" w:hAnsi="Book Antiqua"/>
          <w:lang w:val="en-GB"/>
        </w:rPr>
        <w:t>haemorrhoidal disease (</w:t>
      </w:r>
      <w:r w:rsidRPr="007133D0">
        <w:rPr>
          <w:rFonts w:ascii="Book Antiqua" w:hAnsi="Book Antiqua"/>
          <w:i/>
          <w:lang w:val="en-GB"/>
        </w:rPr>
        <w:t xml:space="preserve">n </w:t>
      </w:r>
      <w:r w:rsidRPr="00793E90">
        <w:rPr>
          <w:rFonts w:ascii="Book Antiqua" w:hAnsi="Book Antiqua"/>
          <w:lang w:val="en-GB"/>
        </w:rPr>
        <w:t>= 12), anal fissure (</w:t>
      </w:r>
      <w:r w:rsidRPr="007133D0">
        <w:rPr>
          <w:rFonts w:ascii="Book Antiqua" w:hAnsi="Book Antiqua"/>
          <w:i/>
          <w:lang w:val="en-GB"/>
        </w:rPr>
        <w:t>n</w:t>
      </w:r>
      <w:r w:rsidRPr="00793E90">
        <w:rPr>
          <w:rFonts w:ascii="Book Antiqua" w:hAnsi="Book Antiqua"/>
          <w:lang w:val="en-GB"/>
        </w:rPr>
        <w:t xml:space="preserve"> = 2), condyloma (</w:t>
      </w:r>
      <w:r w:rsidRPr="007133D0">
        <w:rPr>
          <w:rFonts w:ascii="Book Antiqua" w:hAnsi="Book Antiqua"/>
          <w:i/>
          <w:lang w:val="en-GB"/>
        </w:rPr>
        <w:t>n</w:t>
      </w:r>
      <w:r w:rsidRPr="00793E90">
        <w:rPr>
          <w:rFonts w:ascii="Book Antiqua" w:hAnsi="Book Antiqua"/>
          <w:lang w:val="en-GB"/>
        </w:rPr>
        <w:t xml:space="preserve"> = 3) and solitary rectal ulcer syndrome (</w:t>
      </w:r>
      <w:r w:rsidRPr="007133D0">
        <w:rPr>
          <w:rFonts w:ascii="Book Antiqua" w:hAnsi="Book Antiqua"/>
          <w:i/>
          <w:lang w:val="en-GB"/>
        </w:rPr>
        <w:t>n</w:t>
      </w:r>
      <w:r w:rsidRPr="00793E90">
        <w:rPr>
          <w:rFonts w:ascii="Book Antiqua" w:hAnsi="Book Antiqua"/>
          <w:lang w:val="en-GB"/>
        </w:rPr>
        <w:t xml:space="preserve"> = 1)] and 8/29 were offered treatment. Among the 29 asymptomatic patients, the </w:t>
      </w:r>
      <w:r w:rsidRPr="00793E90">
        <w:rPr>
          <w:rFonts w:ascii="Book Antiqua" w:hAnsi="Book Antiqua"/>
          <w:vertAlign w:val="superscript"/>
          <w:lang w:val="en-GB"/>
        </w:rPr>
        <w:t>18</w:t>
      </w:r>
      <w:r w:rsidRPr="00793E90">
        <w:rPr>
          <w:rFonts w:ascii="Book Antiqua" w:hAnsi="Book Antiqua"/>
          <w:lang w:val="en-GB"/>
        </w:rPr>
        <w:t xml:space="preserve">FDG PET/CT metabolic parameters differed significantly between treated and untreated patients. The group of asymptomatic patients that was offered treatment had higher </w:t>
      </w:r>
      <w:proofErr w:type="spellStart"/>
      <w:r w:rsidRPr="00793E90">
        <w:rPr>
          <w:rFonts w:ascii="Book Antiqua" w:hAnsi="Book Antiqua"/>
          <w:lang w:val="en-GB"/>
        </w:rPr>
        <w:t>SUV</w:t>
      </w:r>
      <w:r w:rsidRPr="00793E90">
        <w:rPr>
          <w:rFonts w:ascii="Book Antiqua" w:hAnsi="Book Antiqua"/>
          <w:vertAlign w:val="subscript"/>
          <w:lang w:val="en-GB"/>
        </w:rPr>
        <w:t>max</w:t>
      </w:r>
      <w:proofErr w:type="spellEnd"/>
      <w:r w:rsidRPr="00793E90">
        <w:rPr>
          <w:rFonts w:ascii="Book Antiqua" w:hAnsi="Book Antiqua"/>
          <w:lang w:val="en-GB"/>
        </w:rPr>
        <w:t xml:space="preserve"> and </w:t>
      </w:r>
      <w:proofErr w:type="spellStart"/>
      <w:r w:rsidRPr="00793E90">
        <w:rPr>
          <w:rFonts w:ascii="Book Antiqua" w:hAnsi="Book Antiqua"/>
          <w:lang w:val="en-GB"/>
        </w:rPr>
        <w:t>SUV</w:t>
      </w:r>
      <w:r w:rsidRPr="00793E90">
        <w:rPr>
          <w:rFonts w:ascii="Book Antiqua" w:hAnsi="Book Antiqua"/>
          <w:vertAlign w:val="subscript"/>
          <w:lang w:val="en-GB"/>
        </w:rPr>
        <w:t>mean</w:t>
      </w:r>
      <w:proofErr w:type="spellEnd"/>
      <w:r w:rsidRPr="00793E90">
        <w:rPr>
          <w:rFonts w:ascii="Book Antiqua" w:hAnsi="Book Antiqua"/>
          <w:lang w:val="en-GB"/>
        </w:rPr>
        <w:t xml:space="preserve"> measurements (</w:t>
      </w:r>
      <w:bookmarkStart w:id="66" w:name="OLE_LINK32"/>
      <w:bookmarkStart w:id="67" w:name="OLE_LINK33"/>
      <w:r w:rsidRPr="00793E90">
        <w:rPr>
          <w:rFonts w:ascii="Book Antiqua" w:hAnsi="Book Antiqua"/>
          <w:i/>
          <w:iCs/>
          <w:lang w:val="en-GB"/>
        </w:rPr>
        <w:t>P</w:t>
      </w:r>
      <w:r w:rsidRPr="00793E90">
        <w:rPr>
          <w:rFonts w:ascii="Book Antiqua" w:hAnsi="Book Antiqua"/>
          <w:lang w:val="en-GB"/>
        </w:rPr>
        <w:t xml:space="preserve"> =</w:t>
      </w:r>
      <w:bookmarkEnd w:id="66"/>
      <w:bookmarkEnd w:id="67"/>
      <w:r w:rsidRPr="00793E90">
        <w:rPr>
          <w:rFonts w:ascii="Book Antiqua" w:hAnsi="Book Antiqua"/>
          <w:lang w:val="en-GB"/>
        </w:rPr>
        <w:t xml:space="preserve"> 0.03 for both) and lower MV41 and MV30 values than the group asymptomatic patients without treatment (</w:t>
      </w:r>
      <w:r w:rsidRPr="00793E90">
        <w:rPr>
          <w:rFonts w:ascii="Book Antiqua" w:hAnsi="Book Antiqua"/>
          <w:i/>
          <w:iCs/>
          <w:lang w:val="en-GB"/>
        </w:rPr>
        <w:t>P</w:t>
      </w:r>
      <w:r w:rsidRPr="00793E90">
        <w:rPr>
          <w:rFonts w:ascii="Book Antiqua" w:hAnsi="Book Antiqua"/>
          <w:lang w:val="en-GB"/>
        </w:rPr>
        <w:t xml:space="preserve"> = 0.02 and </w:t>
      </w:r>
      <w:r w:rsidRPr="00793E90">
        <w:rPr>
          <w:rFonts w:ascii="Book Antiqua" w:hAnsi="Book Antiqua"/>
          <w:i/>
          <w:iCs/>
          <w:lang w:val="en-GB"/>
        </w:rPr>
        <w:t>P</w:t>
      </w:r>
      <w:r w:rsidRPr="00793E90">
        <w:rPr>
          <w:rFonts w:ascii="Book Antiqua" w:hAnsi="Book Antiqua"/>
          <w:lang w:val="en-GB"/>
        </w:rPr>
        <w:t xml:space="preserve"> = 0.03</w:t>
      </w:r>
      <w:r w:rsidRPr="00793E90">
        <w:rPr>
          <w:rFonts w:ascii="Book Antiqua" w:eastAsia="Calibri" w:hAnsi="Book Antiqua"/>
          <w:lang w:val="en-GB"/>
        </w:rPr>
        <w:t>,</w:t>
      </w:r>
      <w:r w:rsidRPr="00793E90">
        <w:rPr>
          <w:rFonts w:ascii="Book Antiqua" w:hAnsi="Book Antiqua"/>
          <w:lang w:val="en-GB"/>
        </w:rPr>
        <w:t xml:space="preserve"> respectively). Among the 15 patients with progressive PET-CT (considered poor prognosis), 8 had treatment and 7 had no treatment (</w:t>
      </w:r>
      <w:r w:rsidRPr="00793E90">
        <w:rPr>
          <w:rFonts w:ascii="Book Antiqua" w:hAnsi="Book Antiqua"/>
          <w:i/>
          <w:iCs/>
          <w:lang w:val="en-GB"/>
        </w:rPr>
        <w:t>P</w:t>
      </w:r>
      <w:r w:rsidRPr="00793E90">
        <w:rPr>
          <w:rFonts w:ascii="Book Antiqua" w:hAnsi="Book Antiqua"/>
          <w:lang w:val="en-GB"/>
        </w:rPr>
        <w:t xml:space="preserve"> = 0.46). The </w:t>
      </w:r>
      <w:r w:rsidRPr="00793E90">
        <w:rPr>
          <w:rFonts w:ascii="Book Antiqua" w:hAnsi="Book Antiqua"/>
          <w:vertAlign w:val="superscript"/>
          <w:lang w:val="en-GB"/>
        </w:rPr>
        <w:t>18</w:t>
      </w:r>
      <w:r w:rsidRPr="00793E90">
        <w:rPr>
          <w:rFonts w:ascii="Book Antiqua" w:hAnsi="Book Antiqua"/>
          <w:lang w:val="en-GB"/>
        </w:rPr>
        <w:t xml:space="preserve">FDG PET/CT </w:t>
      </w:r>
      <w:r w:rsidRPr="00793E90">
        <w:rPr>
          <w:rFonts w:ascii="Book Antiqua" w:hAnsi="Book Antiqua"/>
          <w:lang w:val="en-GB"/>
        </w:rPr>
        <w:lastRenderedPageBreak/>
        <w:t xml:space="preserve">metabolic parameters differed significantly between treated and untreated patients. The group of patients that was offered treatment had higher </w:t>
      </w:r>
      <w:proofErr w:type="spellStart"/>
      <w:r w:rsidRPr="00793E90">
        <w:rPr>
          <w:rFonts w:ascii="Book Antiqua" w:hAnsi="Book Antiqua"/>
          <w:lang w:val="en-GB"/>
        </w:rPr>
        <w:t>SUV</w:t>
      </w:r>
      <w:r w:rsidRPr="00793E90">
        <w:rPr>
          <w:rFonts w:ascii="Book Antiqua" w:hAnsi="Book Antiqua"/>
          <w:vertAlign w:val="subscript"/>
          <w:lang w:val="en-GB"/>
        </w:rPr>
        <w:t>max</w:t>
      </w:r>
      <w:proofErr w:type="spellEnd"/>
      <w:r w:rsidRPr="00793E90">
        <w:rPr>
          <w:rFonts w:ascii="Book Antiqua" w:hAnsi="Book Antiqua"/>
          <w:lang w:val="en-GB"/>
        </w:rPr>
        <w:t xml:space="preserve"> and </w:t>
      </w:r>
      <w:proofErr w:type="spellStart"/>
      <w:r w:rsidRPr="00793E90">
        <w:rPr>
          <w:rFonts w:ascii="Book Antiqua" w:hAnsi="Book Antiqua"/>
          <w:lang w:val="en-GB"/>
        </w:rPr>
        <w:t>SUV</w:t>
      </w:r>
      <w:r w:rsidRPr="00793E90">
        <w:rPr>
          <w:rFonts w:ascii="Book Antiqua" w:hAnsi="Book Antiqua"/>
          <w:vertAlign w:val="subscript"/>
          <w:lang w:val="en-GB"/>
        </w:rPr>
        <w:t>mean</w:t>
      </w:r>
      <w:proofErr w:type="spellEnd"/>
      <w:r w:rsidRPr="00793E90">
        <w:rPr>
          <w:rFonts w:ascii="Book Antiqua" w:hAnsi="Book Antiqua"/>
          <w:lang w:val="en-GB"/>
        </w:rPr>
        <w:t xml:space="preserve"> measurements (</w:t>
      </w:r>
      <w:r w:rsidRPr="00793E90">
        <w:rPr>
          <w:rFonts w:ascii="Book Antiqua" w:hAnsi="Book Antiqua"/>
          <w:i/>
          <w:iCs/>
          <w:lang w:val="en-GB"/>
        </w:rPr>
        <w:t>P</w:t>
      </w:r>
      <w:r w:rsidRPr="00793E90">
        <w:rPr>
          <w:rFonts w:ascii="Book Antiqua" w:hAnsi="Book Antiqua"/>
          <w:lang w:val="en-GB"/>
        </w:rPr>
        <w:t xml:space="preserve"> = 0.02 for both) and lower MV41 and MV30 values than the group without treatment (</w:t>
      </w:r>
      <w:r w:rsidRPr="00793E90">
        <w:rPr>
          <w:rFonts w:ascii="Book Antiqua" w:hAnsi="Book Antiqua"/>
          <w:i/>
          <w:iCs/>
          <w:lang w:val="en-GB"/>
        </w:rPr>
        <w:t>P</w:t>
      </w:r>
      <w:r w:rsidRPr="00793E90">
        <w:rPr>
          <w:rFonts w:ascii="Book Antiqua" w:hAnsi="Book Antiqua"/>
          <w:lang w:val="en-GB"/>
        </w:rPr>
        <w:t xml:space="preserve"> = 0.05 and </w:t>
      </w:r>
      <w:r w:rsidRPr="00793E90">
        <w:rPr>
          <w:rFonts w:ascii="Book Antiqua" w:hAnsi="Book Antiqua"/>
          <w:i/>
          <w:iCs/>
          <w:lang w:val="en-GB"/>
        </w:rPr>
        <w:t>P</w:t>
      </w:r>
      <w:r w:rsidRPr="00793E90">
        <w:rPr>
          <w:rFonts w:ascii="Book Antiqua" w:hAnsi="Book Antiqua"/>
          <w:lang w:val="en-GB"/>
        </w:rPr>
        <w:t xml:space="preserve"> = 0.03</w:t>
      </w:r>
      <w:r w:rsidRPr="00793E90">
        <w:rPr>
          <w:rFonts w:ascii="Book Antiqua" w:eastAsia="Calibri" w:hAnsi="Book Antiqua"/>
          <w:lang w:val="en-GB"/>
        </w:rPr>
        <w:t>,</w:t>
      </w:r>
      <w:r w:rsidRPr="00793E90">
        <w:rPr>
          <w:rFonts w:ascii="Book Antiqua" w:hAnsi="Book Antiqua"/>
          <w:lang w:val="en-GB"/>
        </w:rPr>
        <w:t xml:space="preserve"> respectively). The </w:t>
      </w:r>
      <w:r w:rsidRPr="00793E90">
        <w:rPr>
          <w:rFonts w:ascii="Book Antiqua" w:hAnsi="Book Antiqua"/>
          <w:lang w:val="en-GB" w:eastAsia="zh-CN"/>
        </w:rPr>
        <w:t>ROC</w:t>
      </w:r>
      <w:r w:rsidRPr="00793E90">
        <w:rPr>
          <w:rFonts w:ascii="Book Antiqua" w:hAnsi="Book Antiqua"/>
          <w:lang w:val="en-GB"/>
        </w:rPr>
        <w:t xml:space="preserve"> curves of the </w:t>
      </w:r>
      <w:proofErr w:type="spellStart"/>
      <w:r w:rsidRPr="00793E90">
        <w:rPr>
          <w:rFonts w:ascii="Book Antiqua" w:hAnsi="Book Antiqua"/>
          <w:lang w:val="en-GB"/>
        </w:rPr>
        <w:t>SUV</w:t>
      </w:r>
      <w:r w:rsidRPr="00793E90">
        <w:rPr>
          <w:rFonts w:ascii="Book Antiqua" w:hAnsi="Book Antiqua"/>
          <w:vertAlign w:val="subscript"/>
          <w:lang w:val="en-GB"/>
        </w:rPr>
        <w:t>max</w:t>
      </w:r>
      <w:proofErr w:type="spellEnd"/>
      <w:r w:rsidRPr="00793E90">
        <w:rPr>
          <w:rFonts w:ascii="Book Antiqua" w:hAnsi="Book Antiqua"/>
          <w:lang w:val="en-GB"/>
        </w:rPr>
        <w:t xml:space="preserve">, </w:t>
      </w:r>
      <w:proofErr w:type="spellStart"/>
      <w:r w:rsidRPr="00793E90">
        <w:rPr>
          <w:rFonts w:ascii="Book Antiqua" w:hAnsi="Book Antiqua"/>
          <w:lang w:val="en-GB"/>
        </w:rPr>
        <w:t>SUV</w:t>
      </w:r>
      <w:r w:rsidRPr="00793E90">
        <w:rPr>
          <w:rFonts w:ascii="Book Antiqua" w:hAnsi="Book Antiqua"/>
          <w:vertAlign w:val="subscript"/>
          <w:lang w:val="en-GB"/>
        </w:rPr>
        <w:t>mean</w:t>
      </w:r>
      <w:proofErr w:type="spellEnd"/>
      <w:r w:rsidRPr="00793E90">
        <w:rPr>
          <w:rFonts w:ascii="Book Antiqua" w:hAnsi="Book Antiqua"/>
          <w:lang w:val="en-GB"/>
        </w:rPr>
        <w:t xml:space="preserve">, MV41 and MV30 as predictive factors for the treatment of examined incidental anal </w:t>
      </w:r>
      <w:r w:rsidRPr="00793E90">
        <w:rPr>
          <w:rFonts w:ascii="Book Antiqua" w:hAnsi="Book Antiqua"/>
          <w:vertAlign w:val="superscript"/>
          <w:lang w:val="en-GB"/>
        </w:rPr>
        <w:t>18</w:t>
      </w:r>
      <w:r w:rsidRPr="00793E90">
        <w:rPr>
          <w:rFonts w:ascii="Book Antiqua" w:hAnsi="Book Antiqua"/>
          <w:lang w:val="en-GB"/>
        </w:rPr>
        <w:t xml:space="preserve">FDG uptake are shown in Figure 3. According to the ROC curves, the optimal cut-off for </w:t>
      </w:r>
      <w:proofErr w:type="spellStart"/>
      <w:r w:rsidRPr="00793E90">
        <w:rPr>
          <w:rFonts w:ascii="Book Antiqua" w:hAnsi="Book Antiqua"/>
          <w:lang w:val="en-GB"/>
        </w:rPr>
        <w:t>SUV</w:t>
      </w:r>
      <w:r w:rsidRPr="00793E90">
        <w:rPr>
          <w:rFonts w:ascii="Book Antiqua" w:hAnsi="Book Antiqua"/>
          <w:vertAlign w:val="subscript"/>
          <w:lang w:val="en-GB"/>
        </w:rPr>
        <w:t>max</w:t>
      </w:r>
      <w:proofErr w:type="spellEnd"/>
      <w:r w:rsidRPr="00793E90">
        <w:rPr>
          <w:rFonts w:ascii="Book Antiqua" w:hAnsi="Book Antiqua"/>
          <w:lang w:val="en-GB"/>
        </w:rPr>
        <w:t xml:space="preserve">, </w:t>
      </w:r>
      <w:proofErr w:type="spellStart"/>
      <w:r w:rsidRPr="00793E90">
        <w:rPr>
          <w:rFonts w:ascii="Book Antiqua" w:hAnsi="Book Antiqua"/>
          <w:lang w:val="en-GB"/>
        </w:rPr>
        <w:t>SUV</w:t>
      </w:r>
      <w:r w:rsidRPr="00793E90">
        <w:rPr>
          <w:rFonts w:ascii="Book Antiqua" w:hAnsi="Book Antiqua"/>
          <w:vertAlign w:val="subscript"/>
          <w:lang w:val="en-GB"/>
        </w:rPr>
        <w:t>mean</w:t>
      </w:r>
      <w:proofErr w:type="spellEnd"/>
      <w:r w:rsidRPr="00793E90">
        <w:rPr>
          <w:rFonts w:ascii="Book Antiqua" w:hAnsi="Book Antiqua"/>
          <w:lang w:val="en-GB"/>
        </w:rPr>
        <w:t>, MV41 and MV30 were 9.6, 6.1, 3.</w:t>
      </w:r>
      <w:r w:rsidRPr="00793E90">
        <w:rPr>
          <w:rFonts w:ascii="Book Antiqua" w:eastAsia="Calibri" w:hAnsi="Book Antiqua"/>
          <w:lang w:val="en-GB"/>
        </w:rPr>
        <w:t>1 cm³</w:t>
      </w:r>
      <w:r w:rsidRPr="00793E90">
        <w:rPr>
          <w:rFonts w:ascii="Book Antiqua" w:hAnsi="Book Antiqua"/>
          <w:lang w:val="en-GB"/>
        </w:rPr>
        <w:t xml:space="preserve"> and 7.4 cm³</w:t>
      </w:r>
      <w:r w:rsidRPr="00793E90">
        <w:rPr>
          <w:rFonts w:ascii="Book Antiqua" w:eastAsia="Calibri" w:hAnsi="Book Antiqua"/>
          <w:lang w:val="en-GB"/>
        </w:rPr>
        <w:t>,</w:t>
      </w:r>
      <w:r w:rsidRPr="00793E90">
        <w:rPr>
          <w:rFonts w:ascii="Book Antiqua" w:hAnsi="Book Antiqua"/>
          <w:lang w:val="en-GB"/>
        </w:rPr>
        <w:t xml:space="preserve"> respectively. The </w:t>
      </w:r>
      <w:proofErr w:type="spellStart"/>
      <w:r w:rsidRPr="00793E90">
        <w:rPr>
          <w:rFonts w:ascii="Book Antiqua" w:hAnsi="Book Antiqua"/>
          <w:lang w:val="en-GB"/>
        </w:rPr>
        <w:t>SUV</w:t>
      </w:r>
      <w:r w:rsidRPr="00793E90">
        <w:rPr>
          <w:rFonts w:ascii="Book Antiqua" w:hAnsi="Book Antiqua"/>
          <w:vertAlign w:val="subscript"/>
          <w:lang w:val="en-GB"/>
        </w:rPr>
        <w:t>max</w:t>
      </w:r>
      <w:proofErr w:type="spellEnd"/>
      <w:r w:rsidRPr="00793E90">
        <w:rPr>
          <w:rFonts w:ascii="Book Antiqua" w:hAnsi="Book Antiqua"/>
          <w:lang w:val="en-GB"/>
        </w:rPr>
        <w:t xml:space="preserve"> measurements were inversely correlated with MV41 </w:t>
      </w:r>
      <w:r w:rsidRPr="00793E90">
        <w:rPr>
          <w:rFonts w:ascii="Book Antiqua" w:hAnsi="Book Antiqua"/>
          <w:color w:val="000000" w:themeColor="text1"/>
          <w:lang w:val="en-GB"/>
        </w:rPr>
        <w:t xml:space="preserve">(r </w:t>
      </w:r>
      <w:r w:rsidR="007133D0">
        <w:rPr>
          <w:rFonts w:ascii="Book Antiqua" w:hAnsi="Book Antiqua"/>
          <w:color w:val="000000" w:themeColor="text1"/>
          <w:lang w:val="en-GB"/>
        </w:rPr>
        <w:t>= -</w:t>
      </w:r>
      <w:r w:rsidRPr="00793E90">
        <w:rPr>
          <w:rFonts w:ascii="Book Antiqua" w:hAnsi="Book Antiqua"/>
          <w:color w:val="000000" w:themeColor="text1"/>
          <w:lang w:val="en-GB"/>
        </w:rPr>
        <w:t xml:space="preserve">0.27, </w:t>
      </w:r>
      <w:bookmarkStart w:id="68" w:name="OLE_LINK34"/>
      <w:bookmarkStart w:id="69" w:name="OLE_LINK35"/>
      <w:r w:rsidRPr="00793E90">
        <w:rPr>
          <w:rFonts w:ascii="Book Antiqua" w:hAnsi="Book Antiqua"/>
          <w:i/>
          <w:iCs/>
          <w:lang w:val="en-GB"/>
        </w:rPr>
        <w:t>P</w:t>
      </w:r>
      <w:bookmarkEnd w:id="68"/>
      <w:bookmarkEnd w:id="69"/>
      <w:r w:rsidRPr="00793E90">
        <w:rPr>
          <w:rFonts w:ascii="Book Antiqua" w:hAnsi="Book Antiqua"/>
          <w:lang w:val="en-GB"/>
        </w:rPr>
        <w:t xml:space="preserve"> = 0.0006) and MV30 (r = -0.18, </w:t>
      </w:r>
      <w:r w:rsidRPr="00793E90">
        <w:rPr>
          <w:rFonts w:ascii="Book Antiqua" w:hAnsi="Book Antiqua"/>
          <w:i/>
          <w:iCs/>
          <w:lang w:val="en-GB"/>
        </w:rPr>
        <w:t>P</w:t>
      </w:r>
      <w:r w:rsidRPr="00793E90">
        <w:rPr>
          <w:rFonts w:ascii="Book Antiqua" w:hAnsi="Book Antiqua"/>
          <w:lang w:val="en-GB"/>
        </w:rPr>
        <w:t xml:space="preserve"> = 0.0002). In a multivariate analysis including the presence of symptoms, the diagnosis (yes) and the SUV </w:t>
      </w:r>
      <w:r w:rsidRPr="00793E90">
        <w:rPr>
          <w:rFonts w:ascii="Book Antiqua" w:hAnsi="Book Antiqua"/>
          <w:vertAlign w:val="subscript"/>
          <w:lang w:val="en-GB"/>
        </w:rPr>
        <w:t xml:space="preserve">mean </w:t>
      </w:r>
      <w:r w:rsidR="007133D0">
        <w:rPr>
          <w:rFonts w:ascii="Book Antiqua" w:eastAsia="等线" w:hAnsi="Book Antiqua" w:hint="eastAsia"/>
          <w:vertAlign w:val="subscript"/>
          <w:lang w:val="en-GB" w:eastAsia="zh-CN"/>
        </w:rPr>
        <w:t xml:space="preserve"> </w:t>
      </w:r>
      <w:r w:rsidRPr="00793E90">
        <w:rPr>
          <w:rFonts w:ascii="Book Antiqua" w:hAnsi="Book Antiqua"/>
          <w:lang w:val="en-GB"/>
        </w:rPr>
        <w:t>&gt; 6.1 cm</w:t>
      </w:r>
      <w:r w:rsidRPr="00793E90">
        <w:rPr>
          <w:rFonts w:ascii="Book Antiqua" w:hAnsi="Book Antiqua"/>
          <w:vertAlign w:val="superscript"/>
          <w:lang w:val="en-GB"/>
        </w:rPr>
        <w:t>3</w:t>
      </w:r>
      <w:r w:rsidRPr="00793E90">
        <w:rPr>
          <w:rFonts w:ascii="Book Antiqua" w:hAnsi="Book Antiqua"/>
          <w:lang w:val="en-GB"/>
        </w:rPr>
        <w:t xml:space="preserve">, the factor significantly associated with the treatment was the SUV </w:t>
      </w:r>
      <w:r w:rsidRPr="00793E90">
        <w:rPr>
          <w:rFonts w:ascii="Book Antiqua" w:hAnsi="Book Antiqua"/>
          <w:vertAlign w:val="subscript"/>
          <w:lang w:val="en-GB"/>
        </w:rPr>
        <w:t xml:space="preserve">mean </w:t>
      </w:r>
      <w:r w:rsidR="007133D0">
        <w:rPr>
          <w:rFonts w:ascii="Book Antiqua" w:eastAsia="等线" w:hAnsi="Book Antiqua" w:hint="eastAsia"/>
          <w:vertAlign w:val="subscript"/>
          <w:lang w:val="en-GB" w:eastAsia="zh-CN"/>
        </w:rPr>
        <w:t xml:space="preserve"> </w:t>
      </w:r>
      <w:r w:rsidRPr="00793E90">
        <w:rPr>
          <w:rFonts w:ascii="Book Antiqua" w:hAnsi="Book Antiqua"/>
          <w:lang w:val="en-GB"/>
        </w:rPr>
        <w:t>&gt; 6.1 cm</w:t>
      </w:r>
      <w:r w:rsidRPr="00793E90">
        <w:rPr>
          <w:rFonts w:ascii="Book Antiqua" w:hAnsi="Book Antiqua"/>
          <w:vertAlign w:val="superscript"/>
          <w:lang w:val="en-GB"/>
        </w:rPr>
        <w:t xml:space="preserve">3 </w:t>
      </w:r>
      <w:r w:rsidRPr="00793E90">
        <w:rPr>
          <w:rFonts w:ascii="Book Antiqua" w:eastAsia="宋体" w:hAnsi="Book Antiqua" w:cs="宋体"/>
          <w:lang w:val="en-GB" w:eastAsia="zh-CN"/>
        </w:rPr>
        <w:t>[</w:t>
      </w:r>
      <w:r w:rsidRPr="00793E90">
        <w:rPr>
          <w:rFonts w:ascii="Book Antiqua" w:hAnsi="Book Antiqua"/>
          <w:lang w:val="en-GB"/>
        </w:rPr>
        <w:t>OR</w:t>
      </w:r>
      <w:r w:rsidR="007133D0">
        <w:rPr>
          <w:rFonts w:ascii="Book Antiqua" w:eastAsia="等线" w:hAnsi="Book Antiqua" w:hint="eastAsia"/>
          <w:lang w:val="en-GB" w:eastAsia="zh-CN"/>
        </w:rPr>
        <w:t xml:space="preserve"> </w:t>
      </w:r>
      <w:r w:rsidRPr="00793E90">
        <w:rPr>
          <w:rFonts w:ascii="Book Antiqua" w:hAnsi="Book Antiqua"/>
          <w:lang w:val="en-GB"/>
        </w:rPr>
        <w:t xml:space="preserve">= 6.87 (1.18-29.9), </w:t>
      </w:r>
      <w:r w:rsidRPr="00793E90">
        <w:rPr>
          <w:rFonts w:ascii="Book Antiqua" w:hAnsi="Book Antiqua"/>
          <w:i/>
          <w:iCs/>
          <w:lang w:val="en-GB" w:eastAsia="zh-CN"/>
        </w:rPr>
        <w:t>P</w:t>
      </w:r>
      <w:r w:rsidRPr="00793E90">
        <w:rPr>
          <w:rFonts w:ascii="Book Antiqua" w:hAnsi="Book Antiqua"/>
          <w:lang w:val="en-GB"/>
        </w:rPr>
        <w:t xml:space="preserve"> = 0.03].</w:t>
      </w:r>
    </w:p>
    <w:p w14:paraId="19E67ACD" w14:textId="77777777" w:rsidR="00793E90" w:rsidRPr="00793E90" w:rsidRDefault="00793E90" w:rsidP="00793E90">
      <w:pPr>
        <w:adjustRightInd w:val="0"/>
        <w:snapToGrid w:val="0"/>
        <w:spacing w:after="0" w:line="360" w:lineRule="auto"/>
        <w:jc w:val="both"/>
        <w:rPr>
          <w:rFonts w:ascii="Book Antiqua" w:hAnsi="Book Antiqua"/>
          <w:lang w:val="en-GB"/>
        </w:rPr>
      </w:pPr>
    </w:p>
    <w:p w14:paraId="3A01CD62" w14:textId="77777777" w:rsidR="00793E90" w:rsidRPr="00793E90" w:rsidRDefault="00793E90" w:rsidP="00793E90">
      <w:pPr>
        <w:adjustRightInd w:val="0"/>
        <w:snapToGrid w:val="0"/>
        <w:spacing w:after="0" w:line="360" w:lineRule="auto"/>
        <w:jc w:val="both"/>
        <w:rPr>
          <w:rFonts w:ascii="Book Antiqua" w:hAnsi="Book Antiqua"/>
          <w:b/>
          <w:bCs/>
          <w:u w:val="single"/>
          <w:lang w:val="en-US"/>
        </w:rPr>
      </w:pPr>
      <w:bookmarkStart w:id="70" w:name="_Hlk15506771"/>
      <w:r w:rsidRPr="00793E90">
        <w:rPr>
          <w:rFonts w:ascii="Book Antiqua" w:hAnsi="Book Antiqua"/>
          <w:b/>
          <w:bCs/>
          <w:u w:val="single"/>
          <w:lang w:val="en-GB"/>
        </w:rPr>
        <w:t>D</w:t>
      </w:r>
      <w:r w:rsidRPr="00793E90">
        <w:rPr>
          <w:rFonts w:ascii="Book Antiqua" w:hAnsi="Book Antiqua"/>
          <w:b/>
          <w:bCs/>
          <w:u w:val="single"/>
          <w:lang w:val="en-US"/>
        </w:rPr>
        <w:t>ISCUSSION</w:t>
      </w:r>
    </w:p>
    <w:bookmarkEnd w:id="70"/>
    <w:p w14:paraId="72310A4E" w14:textId="77777777" w:rsidR="00793E90" w:rsidRPr="00793E90" w:rsidRDefault="00793E90" w:rsidP="00793E90">
      <w:pPr>
        <w:adjustRightInd w:val="0"/>
        <w:snapToGrid w:val="0"/>
        <w:spacing w:after="0" w:line="360" w:lineRule="auto"/>
        <w:jc w:val="both"/>
        <w:rPr>
          <w:rFonts w:ascii="Book Antiqua" w:hAnsi="Book Antiqua"/>
          <w:color w:val="000000" w:themeColor="text1"/>
          <w:lang w:val="en-GB"/>
        </w:rPr>
      </w:pPr>
      <w:r w:rsidRPr="00793E90">
        <w:rPr>
          <w:rFonts w:ascii="Book Antiqua" w:hAnsi="Book Antiqua"/>
          <w:color w:val="000000" w:themeColor="text1"/>
          <w:lang w:val="en-GB"/>
        </w:rPr>
        <w:t xml:space="preserve">To the best of our knowledge, this is the first study to evaluate the rate of </w:t>
      </w:r>
      <w:r w:rsidRPr="00793E90">
        <w:rPr>
          <w:rFonts w:ascii="Book Antiqua" w:hAnsi="Book Antiqua"/>
          <w:lang w:val="en-GB"/>
        </w:rPr>
        <w:t xml:space="preserve">incidental anal </w:t>
      </w:r>
      <w:r w:rsidRPr="00793E90">
        <w:rPr>
          <w:rFonts w:ascii="Book Antiqua" w:hAnsi="Book Antiqua"/>
          <w:vertAlign w:val="superscript"/>
          <w:lang w:val="en-GB"/>
        </w:rPr>
        <w:t>18</w:t>
      </w:r>
      <w:r w:rsidRPr="00793E90">
        <w:rPr>
          <w:rFonts w:ascii="Book Antiqua" w:hAnsi="Book Antiqua"/>
          <w:lang w:val="en-GB"/>
        </w:rPr>
        <w:t xml:space="preserve">FDG uptake and its diagnostic and therapeutic impact </w:t>
      </w:r>
      <w:r w:rsidRPr="00793E90">
        <w:rPr>
          <w:rFonts w:ascii="Book Antiqua" w:hAnsi="Book Antiqua"/>
          <w:color w:val="000000" w:themeColor="text1"/>
          <w:lang w:val="en-GB"/>
        </w:rPr>
        <w:t xml:space="preserve">in a large series of </w:t>
      </w:r>
      <w:r w:rsidRPr="00793E90">
        <w:rPr>
          <w:rFonts w:ascii="Book Antiqua" w:hAnsi="Book Antiqua"/>
          <w:color w:val="000000" w:themeColor="text1"/>
          <w:vertAlign w:val="superscript"/>
          <w:lang w:val="en-GB"/>
        </w:rPr>
        <w:t>18</w:t>
      </w:r>
      <w:r w:rsidRPr="00793E90">
        <w:rPr>
          <w:rFonts w:ascii="Book Antiqua" w:hAnsi="Book Antiqua"/>
          <w:bCs/>
          <w:lang w:val="en-GB"/>
        </w:rPr>
        <w:t xml:space="preserve">FDG PET/CT scans performed over a </w:t>
      </w:r>
      <w:r w:rsidRPr="00793E90">
        <w:rPr>
          <w:rFonts w:ascii="Book Antiqua" w:eastAsia="Calibri" w:hAnsi="Book Antiqua"/>
          <w:bCs/>
          <w:lang w:val="en-GB"/>
        </w:rPr>
        <w:t>14-year</w:t>
      </w:r>
      <w:r w:rsidRPr="00793E90">
        <w:rPr>
          <w:rFonts w:ascii="Book Antiqua" w:hAnsi="Book Antiqua"/>
          <w:bCs/>
          <w:lang w:val="en-GB"/>
        </w:rPr>
        <w:t xml:space="preserve"> period.</w:t>
      </w:r>
    </w:p>
    <w:p w14:paraId="5E654D24" w14:textId="77777777" w:rsidR="00793E90" w:rsidRPr="00793E90" w:rsidRDefault="00793E90" w:rsidP="00793E90">
      <w:pPr>
        <w:adjustRightInd w:val="0"/>
        <w:snapToGrid w:val="0"/>
        <w:spacing w:after="0" w:line="360" w:lineRule="auto"/>
        <w:ind w:firstLineChars="100" w:firstLine="240"/>
        <w:jc w:val="both"/>
        <w:rPr>
          <w:rFonts w:ascii="Book Antiqua" w:hAnsi="Book Antiqua"/>
          <w:lang w:val="en-GB"/>
        </w:rPr>
      </w:pPr>
      <w:r w:rsidRPr="00793E90">
        <w:rPr>
          <w:rFonts w:ascii="Book Antiqua" w:hAnsi="Book Antiqua"/>
          <w:color w:val="000000" w:themeColor="text1"/>
          <w:lang w:val="en-GB"/>
        </w:rPr>
        <w:t xml:space="preserve">The present work highlights that </w:t>
      </w:r>
      <w:r w:rsidRPr="00793E90">
        <w:rPr>
          <w:rFonts w:ascii="Book Antiqua" w:hAnsi="Book Antiqua"/>
          <w:lang w:val="en-GB"/>
        </w:rPr>
        <w:t xml:space="preserve">incidental anal </w:t>
      </w:r>
      <w:r w:rsidRPr="00793E90">
        <w:rPr>
          <w:rFonts w:ascii="Book Antiqua" w:hAnsi="Book Antiqua"/>
          <w:vertAlign w:val="superscript"/>
          <w:lang w:val="en-GB"/>
        </w:rPr>
        <w:t>18</w:t>
      </w:r>
      <w:r w:rsidRPr="00793E90">
        <w:rPr>
          <w:rFonts w:ascii="Book Antiqua" w:hAnsi="Book Antiqua"/>
          <w:lang w:val="en-GB"/>
        </w:rPr>
        <w:t xml:space="preserve">FDG uptake is a rare event (0.45%) and is not systematically explored (36%). When examinations are </w:t>
      </w:r>
      <w:r w:rsidRPr="00793E90">
        <w:rPr>
          <w:rFonts w:ascii="Book Antiqua" w:eastAsia="Calibri" w:hAnsi="Book Antiqua"/>
          <w:lang w:val="en-GB"/>
        </w:rPr>
        <w:t>performed</w:t>
      </w:r>
      <w:r w:rsidRPr="00793E90">
        <w:rPr>
          <w:rFonts w:ascii="Book Antiqua" w:hAnsi="Book Antiqua"/>
          <w:lang w:val="en-GB"/>
        </w:rPr>
        <w:t>, an anorectal disease was diagnosed in more than two-</w:t>
      </w:r>
      <w:r w:rsidRPr="00793E90">
        <w:rPr>
          <w:rFonts w:ascii="Book Antiqua" w:eastAsia="Calibri" w:hAnsi="Book Antiqua"/>
          <w:lang w:val="en-GB"/>
        </w:rPr>
        <w:t>thirds</w:t>
      </w:r>
      <w:r w:rsidRPr="00793E90">
        <w:rPr>
          <w:rFonts w:ascii="Book Antiqua" w:hAnsi="Book Antiqua"/>
          <w:lang w:val="en-GB"/>
        </w:rPr>
        <w:t xml:space="preserve"> of the patients (69%), and a specific treatment was proposed in almost 40% of these patients. </w:t>
      </w:r>
      <w:r w:rsidRPr="00793E90">
        <w:rPr>
          <w:rFonts w:ascii="Book Antiqua" w:eastAsia="Calibri" w:hAnsi="Book Antiqua"/>
          <w:lang w:val="en-GB"/>
        </w:rPr>
        <w:t>Finally</w:t>
      </w:r>
      <w:r w:rsidRPr="00793E90">
        <w:rPr>
          <w:rFonts w:ascii="Book Antiqua" w:hAnsi="Book Antiqua"/>
          <w:lang w:val="en-GB"/>
        </w:rPr>
        <w:t>, we identified some metabolic parameters (</w:t>
      </w:r>
      <w:proofErr w:type="spellStart"/>
      <w:r w:rsidRPr="00793E90">
        <w:rPr>
          <w:rFonts w:ascii="Book Antiqua" w:hAnsi="Book Antiqua"/>
          <w:lang w:val="en-GB"/>
        </w:rPr>
        <w:t>SUV</w:t>
      </w:r>
      <w:r w:rsidRPr="00793E90">
        <w:rPr>
          <w:rFonts w:ascii="Book Antiqua" w:hAnsi="Book Antiqua"/>
          <w:vertAlign w:val="subscript"/>
          <w:lang w:val="en-GB"/>
        </w:rPr>
        <w:t>max</w:t>
      </w:r>
      <w:proofErr w:type="spellEnd"/>
      <w:r w:rsidRPr="00793E90">
        <w:rPr>
          <w:rFonts w:ascii="Book Antiqua" w:hAnsi="Book Antiqua"/>
          <w:lang w:val="en-GB"/>
        </w:rPr>
        <w:t xml:space="preserve">, </w:t>
      </w:r>
      <w:proofErr w:type="spellStart"/>
      <w:r w:rsidRPr="00793E90">
        <w:rPr>
          <w:rFonts w:ascii="Book Antiqua" w:hAnsi="Book Antiqua"/>
          <w:lang w:val="en-GB"/>
        </w:rPr>
        <w:t>SUV</w:t>
      </w:r>
      <w:r w:rsidRPr="00793E90">
        <w:rPr>
          <w:rFonts w:ascii="Book Antiqua" w:hAnsi="Book Antiqua"/>
          <w:vertAlign w:val="subscript"/>
          <w:lang w:val="en-GB"/>
        </w:rPr>
        <w:t>mean</w:t>
      </w:r>
      <w:proofErr w:type="spellEnd"/>
      <w:r w:rsidRPr="00793E90">
        <w:rPr>
          <w:rFonts w:ascii="Book Antiqua" w:hAnsi="Book Antiqua"/>
          <w:lang w:val="en-GB"/>
        </w:rPr>
        <w:t xml:space="preserve">, MV41 and MV30) significantly associated with anorectal treatment, with </w:t>
      </w:r>
      <w:proofErr w:type="spellStart"/>
      <w:r w:rsidRPr="00793E90">
        <w:rPr>
          <w:rFonts w:ascii="Book Antiqua" w:hAnsi="Book Antiqua"/>
          <w:lang w:val="en-GB"/>
        </w:rPr>
        <w:t>SUV</w:t>
      </w:r>
      <w:r w:rsidRPr="00793E90">
        <w:rPr>
          <w:rFonts w:ascii="Book Antiqua" w:hAnsi="Book Antiqua"/>
          <w:vertAlign w:val="subscript"/>
          <w:lang w:val="en-GB"/>
        </w:rPr>
        <w:t>max</w:t>
      </w:r>
      <w:proofErr w:type="spellEnd"/>
      <w:r w:rsidRPr="00793E90">
        <w:rPr>
          <w:rFonts w:ascii="Book Antiqua" w:hAnsi="Book Antiqua"/>
          <w:lang w:val="en-GB"/>
        </w:rPr>
        <w:t xml:space="preserve"> having the best accuracy. Taken together, our data suggest that, although it is not frequent, incidental anal </w:t>
      </w:r>
      <w:r w:rsidRPr="00793E90">
        <w:rPr>
          <w:rFonts w:ascii="Book Antiqua" w:hAnsi="Book Antiqua"/>
          <w:vertAlign w:val="superscript"/>
          <w:lang w:val="en-GB"/>
        </w:rPr>
        <w:t>18</w:t>
      </w:r>
      <w:r w:rsidRPr="00793E90">
        <w:rPr>
          <w:rFonts w:ascii="Book Antiqua" w:hAnsi="Book Antiqua"/>
          <w:lang w:val="en-GB"/>
        </w:rPr>
        <w:t>FDG uptake should require anorectal examinations given its high diagnostic and therapeutic impact.</w:t>
      </w:r>
    </w:p>
    <w:p w14:paraId="6F4D5330" w14:textId="77777777" w:rsidR="00793E90" w:rsidRPr="00793E90" w:rsidRDefault="00793E90" w:rsidP="00793E90">
      <w:pPr>
        <w:widowControl w:val="0"/>
        <w:autoSpaceDE w:val="0"/>
        <w:autoSpaceDN w:val="0"/>
        <w:adjustRightInd w:val="0"/>
        <w:snapToGrid w:val="0"/>
        <w:spacing w:after="0" w:line="360" w:lineRule="auto"/>
        <w:ind w:firstLineChars="100" w:firstLine="240"/>
        <w:jc w:val="both"/>
        <w:rPr>
          <w:rFonts w:ascii="Book Antiqua" w:hAnsi="Book Antiqua"/>
          <w:lang w:val="en-GB"/>
        </w:rPr>
      </w:pPr>
      <w:r w:rsidRPr="00793E90">
        <w:rPr>
          <w:rFonts w:ascii="Book Antiqua" w:hAnsi="Book Antiqua"/>
          <w:lang w:val="en-GB"/>
        </w:rPr>
        <w:t xml:space="preserve">The main strengths of this work are the inclusion of </w:t>
      </w:r>
      <w:r w:rsidRPr="00793E90">
        <w:rPr>
          <w:rFonts w:ascii="Book Antiqua" w:hAnsi="Book Antiqua"/>
          <w:color w:val="000000"/>
          <w:lang w:val="en-GB"/>
        </w:rPr>
        <w:t xml:space="preserve">a large </w:t>
      </w:r>
      <w:r w:rsidRPr="00793E90">
        <w:rPr>
          <w:rFonts w:ascii="Book Antiqua" w:hAnsi="Book Antiqua"/>
          <w:lang w:val="en-GB"/>
        </w:rPr>
        <w:t xml:space="preserve">number of </w:t>
      </w:r>
      <w:r w:rsidRPr="00793E90">
        <w:rPr>
          <w:rFonts w:ascii="Book Antiqua" w:hAnsi="Book Antiqua"/>
          <w:vertAlign w:val="superscript"/>
          <w:lang w:val="en-GB"/>
        </w:rPr>
        <w:t>18</w:t>
      </w:r>
      <w:r w:rsidRPr="00793E90">
        <w:rPr>
          <w:rFonts w:ascii="Book Antiqua" w:hAnsi="Book Antiqua"/>
          <w:lang w:val="en-GB"/>
        </w:rPr>
        <w:t>FDG PET/CT scans requested for various indications over a long period of time,</w:t>
      </w:r>
      <w:r w:rsidRPr="00793E90">
        <w:rPr>
          <w:rFonts w:ascii="Book Antiqua" w:hAnsi="Book Antiqua"/>
          <w:color w:val="000000"/>
          <w:lang w:val="en-GB"/>
        </w:rPr>
        <w:t xml:space="preserve"> </w:t>
      </w:r>
      <w:r w:rsidRPr="00793E90">
        <w:rPr>
          <w:rFonts w:ascii="Book Antiqua" w:hAnsi="Book Antiqua"/>
          <w:lang w:val="en-GB"/>
        </w:rPr>
        <w:t xml:space="preserve">reassessment of </w:t>
      </w:r>
      <w:r w:rsidRPr="00793E90">
        <w:rPr>
          <w:rFonts w:ascii="Book Antiqua" w:hAnsi="Book Antiqua"/>
          <w:vertAlign w:val="superscript"/>
          <w:lang w:val="en-GB"/>
        </w:rPr>
        <w:t>18</w:t>
      </w:r>
      <w:r w:rsidRPr="00793E90">
        <w:rPr>
          <w:rFonts w:ascii="Book Antiqua" w:hAnsi="Book Antiqua"/>
          <w:lang w:val="en-GB"/>
        </w:rPr>
        <w:t xml:space="preserve">FDG PET/CT images by a physician who was blinded to anorectal findings and exhaustiveness of the anorectal data collection. As </w:t>
      </w:r>
      <w:r w:rsidRPr="00793E90">
        <w:rPr>
          <w:rFonts w:ascii="Book Antiqua" w:eastAsia="Calibri" w:hAnsi="Book Antiqua"/>
          <w:lang w:val="en-GB"/>
        </w:rPr>
        <w:t>previously</w:t>
      </w:r>
      <w:r w:rsidRPr="00793E90">
        <w:rPr>
          <w:rFonts w:ascii="Book Antiqua" w:hAnsi="Book Antiqua"/>
          <w:lang w:val="en-GB"/>
        </w:rPr>
        <w:t xml:space="preserve"> mentioned, </w:t>
      </w:r>
      <w:r w:rsidRPr="00793E90">
        <w:rPr>
          <w:rFonts w:ascii="Book Antiqua" w:eastAsia="Calibri" w:hAnsi="Book Antiqua"/>
          <w:lang w:val="en-GB"/>
        </w:rPr>
        <w:t>this</w:t>
      </w:r>
      <w:r w:rsidRPr="00793E90">
        <w:rPr>
          <w:rFonts w:ascii="Book Antiqua" w:hAnsi="Book Antiqua"/>
          <w:lang w:val="en-GB"/>
        </w:rPr>
        <w:t xml:space="preserve"> is also, </w:t>
      </w:r>
      <w:r w:rsidRPr="00793E90">
        <w:rPr>
          <w:rFonts w:ascii="Book Antiqua" w:hAnsi="Book Antiqua"/>
          <w:color w:val="000000"/>
          <w:lang w:val="en-GB"/>
        </w:rPr>
        <w:t xml:space="preserve">to the best of our knowledge, the first study </w:t>
      </w:r>
      <w:r w:rsidRPr="00793E90">
        <w:rPr>
          <w:rFonts w:ascii="Book Antiqua" w:hAnsi="Book Antiqua"/>
          <w:lang w:val="en-GB"/>
        </w:rPr>
        <w:t xml:space="preserve">to investigate the </w:t>
      </w:r>
      <w:r w:rsidRPr="00793E90">
        <w:rPr>
          <w:rFonts w:ascii="Book Antiqua" w:hAnsi="Book Antiqua"/>
          <w:lang w:val="en-GB"/>
        </w:rPr>
        <w:lastRenderedPageBreak/>
        <w:t xml:space="preserve">rate and management of incidental anal </w:t>
      </w:r>
      <w:r w:rsidRPr="00793E90">
        <w:rPr>
          <w:rFonts w:ascii="Book Antiqua" w:hAnsi="Book Antiqua"/>
          <w:vertAlign w:val="superscript"/>
          <w:lang w:val="en-GB"/>
        </w:rPr>
        <w:t>18</w:t>
      </w:r>
      <w:r w:rsidRPr="00793E90">
        <w:rPr>
          <w:rFonts w:ascii="Book Antiqua" w:hAnsi="Book Antiqua"/>
          <w:lang w:val="en-GB"/>
        </w:rPr>
        <w:t>FDG uptake.</w:t>
      </w:r>
    </w:p>
    <w:p w14:paraId="047D54F9" w14:textId="02A4ABA4" w:rsidR="00793E90" w:rsidRPr="00793E90" w:rsidRDefault="00793E90" w:rsidP="00793E90">
      <w:pPr>
        <w:adjustRightInd w:val="0"/>
        <w:snapToGrid w:val="0"/>
        <w:spacing w:after="0" w:line="360" w:lineRule="auto"/>
        <w:ind w:firstLineChars="100" w:firstLine="240"/>
        <w:jc w:val="both"/>
        <w:rPr>
          <w:rFonts w:ascii="Book Antiqua" w:hAnsi="Book Antiqua"/>
          <w:lang w:val="en-GB"/>
        </w:rPr>
      </w:pPr>
      <w:r w:rsidRPr="00793E90">
        <w:rPr>
          <w:rFonts w:ascii="Book Antiqua" w:hAnsi="Book Antiqua"/>
          <w:color w:val="000000" w:themeColor="text1"/>
          <w:lang w:val="en-GB"/>
        </w:rPr>
        <w:t xml:space="preserve">In our series, </w:t>
      </w:r>
      <w:r w:rsidRPr="00793E90">
        <w:rPr>
          <w:rFonts w:ascii="Book Antiqua" w:hAnsi="Book Antiqua"/>
          <w:lang w:val="en-GB"/>
        </w:rPr>
        <w:t xml:space="preserve">incidental anal </w:t>
      </w:r>
      <w:r w:rsidRPr="00793E90">
        <w:rPr>
          <w:rFonts w:ascii="Book Antiqua" w:hAnsi="Book Antiqua"/>
          <w:vertAlign w:val="superscript"/>
          <w:lang w:val="en-GB"/>
        </w:rPr>
        <w:t>18</w:t>
      </w:r>
      <w:r w:rsidRPr="00793E90">
        <w:rPr>
          <w:rFonts w:ascii="Book Antiqua" w:hAnsi="Book Antiqua"/>
          <w:lang w:val="en-GB"/>
        </w:rPr>
        <w:t xml:space="preserve">FDG uptake was investigated in 36% of the patients, which means that it was not been taken into account in almost two-thirds of the patients. Several explanations are possible. First, incidental anal </w:t>
      </w:r>
      <w:r w:rsidRPr="00793E90">
        <w:rPr>
          <w:rFonts w:ascii="Book Antiqua" w:hAnsi="Book Antiqua"/>
          <w:vertAlign w:val="superscript"/>
          <w:lang w:val="en-GB"/>
        </w:rPr>
        <w:t>18</w:t>
      </w:r>
      <w:r w:rsidRPr="00793E90">
        <w:rPr>
          <w:rFonts w:ascii="Book Antiqua" w:hAnsi="Book Antiqua"/>
          <w:lang w:val="en-GB"/>
        </w:rPr>
        <w:t xml:space="preserve">FDG uptake was not mentioned in the conclusion but only in the details of the </w:t>
      </w:r>
      <w:r w:rsidRPr="00793E90">
        <w:rPr>
          <w:rFonts w:ascii="Book Antiqua" w:hAnsi="Book Antiqua"/>
          <w:vertAlign w:val="superscript"/>
          <w:lang w:val="en-GB"/>
        </w:rPr>
        <w:t>18</w:t>
      </w:r>
      <w:r w:rsidRPr="00793E90">
        <w:rPr>
          <w:rFonts w:ascii="Book Antiqua" w:hAnsi="Book Antiqua"/>
          <w:lang w:val="en-GB"/>
        </w:rPr>
        <w:t xml:space="preserve">FDG PET/CT report of </w:t>
      </w:r>
      <w:r w:rsidRPr="00793E90">
        <w:rPr>
          <w:rFonts w:ascii="Book Antiqua" w:eastAsia="Calibri" w:hAnsi="Book Antiqua"/>
          <w:lang w:val="en-GB"/>
        </w:rPr>
        <w:t xml:space="preserve">many </w:t>
      </w:r>
      <w:r w:rsidRPr="00793E90">
        <w:rPr>
          <w:rFonts w:ascii="Book Antiqua" w:hAnsi="Book Antiqua"/>
          <w:lang w:val="en-GB"/>
        </w:rPr>
        <w:t xml:space="preserve">patients (58%), which suggests that many nuclear physicians considered this </w:t>
      </w:r>
      <w:r w:rsidRPr="00793E90">
        <w:rPr>
          <w:rFonts w:ascii="Book Antiqua" w:hAnsi="Book Antiqua"/>
          <w:vertAlign w:val="superscript"/>
          <w:lang w:val="en-GB"/>
        </w:rPr>
        <w:t>18</w:t>
      </w:r>
      <w:r w:rsidRPr="00793E90">
        <w:rPr>
          <w:rFonts w:ascii="Book Antiqua" w:hAnsi="Book Antiqua"/>
          <w:lang w:val="en-GB"/>
        </w:rPr>
        <w:t xml:space="preserve">FDG uptake </w:t>
      </w:r>
      <w:r w:rsidRPr="00793E90">
        <w:rPr>
          <w:rFonts w:ascii="Book Antiqua" w:eastAsia="Calibri" w:hAnsi="Book Antiqua"/>
          <w:lang w:val="en-GB"/>
        </w:rPr>
        <w:t>to be</w:t>
      </w:r>
      <w:r w:rsidRPr="00793E90">
        <w:rPr>
          <w:rFonts w:ascii="Book Antiqua" w:hAnsi="Book Antiqua"/>
          <w:lang w:val="en-GB"/>
        </w:rPr>
        <w:t xml:space="preserve"> non-clinically significant in the absence of data in the current literature. Furthermore, very few reports of consultations with the referring physician who prescribed the </w:t>
      </w:r>
      <w:r w:rsidRPr="00793E90">
        <w:rPr>
          <w:rFonts w:ascii="Book Antiqua" w:hAnsi="Book Antiqua"/>
          <w:vertAlign w:val="superscript"/>
          <w:lang w:val="en-GB"/>
        </w:rPr>
        <w:t>18</w:t>
      </w:r>
      <w:r w:rsidRPr="00793E90">
        <w:rPr>
          <w:rFonts w:ascii="Book Antiqua" w:hAnsi="Book Antiqua"/>
          <w:lang w:val="en-GB"/>
        </w:rPr>
        <w:t xml:space="preserve">FDG PET/CT mentioned the anal </w:t>
      </w:r>
      <w:r w:rsidRPr="00793E90">
        <w:rPr>
          <w:rFonts w:ascii="Book Antiqua" w:hAnsi="Book Antiqua"/>
          <w:vertAlign w:val="superscript"/>
          <w:lang w:val="en-GB"/>
        </w:rPr>
        <w:t>18</w:t>
      </w:r>
      <w:r w:rsidRPr="00793E90">
        <w:rPr>
          <w:rFonts w:ascii="Book Antiqua" w:hAnsi="Book Antiqua"/>
          <w:lang w:val="en-GB"/>
        </w:rPr>
        <w:t xml:space="preserve">FDG uptake, which may be explained by the following points: </w:t>
      </w:r>
      <w:r w:rsidRPr="00793E90">
        <w:rPr>
          <w:rFonts w:ascii="Book Antiqua" w:eastAsia="宋体" w:hAnsi="Book Antiqua" w:cs="宋体"/>
          <w:lang w:val="en-GB" w:eastAsia="zh-CN"/>
        </w:rPr>
        <w:t>(1)</w:t>
      </w:r>
      <w:r w:rsidRPr="00793E90">
        <w:rPr>
          <w:rFonts w:ascii="Book Antiqua" w:hAnsi="Book Antiqua"/>
          <w:lang w:val="en-GB"/>
        </w:rPr>
        <w:t xml:space="preserve"> no mention of the anal </w:t>
      </w:r>
      <w:r w:rsidRPr="00793E90">
        <w:rPr>
          <w:rFonts w:ascii="Book Antiqua" w:hAnsi="Book Antiqua"/>
          <w:vertAlign w:val="superscript"/>
          <w:lang w:val="en-GB"/>
        </w:rPr>
        <w:t>18</w:t>
      </w:r>
      <w:r w:rsidRPr="00793E90">
        <w:rPr>
          <w:rFonts w:ascii="Book Antiqua" w:hAnsi="Book Antiqua"/>
          <w:lang w:val="en-GB"/>
        </w:rPr>
        <w:t xml:space="preserve">FDG uptake in the conclusion of the </w:t>
      </w:r>
      <w:r w:rsidRPr="00793E90">
        <w:rPr>
          <w:rFonts w:ascii="Book Antiqua" w:hAnsi="Book Antiqua"/>
          <w:vertAlign w:val="superscript"/>
          <w:lang w:val="en-GB"/>
        </w:rPr>
        <w:t>18</w:t>
      </w:r>
      <w:r w:rsidRPr="00793E90">
        <w:rPr>
          <w:rFonts w:ascii="Book Antiqua" w:hAnsi="Book Antiqua"/>
          <w:lang w:val="en-GB"/>
        </w:rPr>
        <w:t xml:space="preserve">FDG/PET CT report; (2) the physician (an oncologist in the majority of cases) considered that the anal </w:t>
      </w:r>
      <w:r w:rsidRPr="00793E90">
        <w:rPr>
          <w:rFonts w:ascii="Book Antiqua" w:hAnsi="Book Antiqua"/>
          <w:vertAlign w:val="superscript"/>
          <w:lang w:val="en-GB"/>
        </w:rPr>
        <w:t>18</w:t>
      </w:r>
      <w:r w:rsidRPr="00793E90">
        <w:rPr>
          <w:rFonts w:ascii="Book Antiqua" w:hAnsi="Book Antiqua"/>
          <w:lang w:val="en-GB"/>
        </w:rPr>
        <w:t xml:space="preserve">FDG uptake was secondary compared to the pathology that motivated the </w:t>
      </w:r>
      <w:r w:rsidRPr="00793E90">
        <w:rPr>
          <w:rFonts w:ascii="Book Antiqua" w:hAnsi="Book Antiqua"/>
          <w:vertAlign w:val="superscript"/>
          <w:lang w:val="en-GB"/>
        </w:rPr>
        <w:t>18</w:t>
      </w:r>
      <w:r w:rsidRPr="00793E90">
        <w:rPr>
          <w:rFonts w:ascii="Book Antiqua" w:hAnsi="Book Antiqua"/>
          <w:lang w:val="en-GB"/>
        </w:rPr>
        <w:t>FDG PET/CT (tumour diagnosis, recurrence or progression), regardless of whether the patients underwent examinations, and was comparable in each setting</w:t>
      </w:r>
      <w:r w:rsidR="004464A9">
        <w:rPr>
          <w:rFonts w:ascii="Book Antiqua" w:eastAsia="等线" w:hAnsi="Book Antiqua" w:hint="eastAsia"/>
          <w:lang w:val="en-GB" w:eastAsia="zh-CN"/>
        </w:rPr>
        <w:t xml:space="preserve"> and</w:t>
      </w:r>
      <w:r w:rsidRPr="00793E90">
        <w:rPr>
          <w:rFonts w:ascii="Book Antiqua" w:hAnsi="Book Antiqua"/>
          <w:lang w:val="en-GB"/>
        </w:rPr>
        <w:t xml:space="preserve"> (3) the physician did not dare to discuss this abnormality with the patient or the patient refused to be examined, as we know that</w:t>
      </w:r>
      <w:r w:rsidRPr="00793E90">
        <w:rPr>
          <w:rStyle w:val="tlid-translation"/>
          <w:rFonts w:ascii="Book Antiqua" w:hAnsi="Book Antiqua"/>
          <w:lang w:val="en-GB"/>
        </w:rPr>
        <w:t xml:space="preserve"> </w:t>
      </w:r>
      <w:r w:rsidRPr="00793E90">
        <w:rPr>
          <w:rFonts w:ascii="Book Antiqua" w:hAnsi="Book Antiqua"/>
          <w:lang w:val="en-GB"/>
        </w:rPr>
        <w:t>anorectal complaints and examinations remain a taboo subject for both patients and physicians.</w:t>
      </w:r>
    </w:p>
    <w:p w14:paraId="57318396" w14:textId="77777777" w:rsidR="00793E90" w:rsidRPr="00793E90" w:rsidRDefault="00793E90" w:rsidP="00793E90">
      <w:pPr>
        <w:adjustRightInd w:val="0"/>
        <w:snapToGrid w:val="0"/>
        <w:spacing w:after="0" w:line="360" w:lineRule="auto"/>
        <w:ind w:firstLineChars="100" w:firstLine="240"/>
        <w:jc w:val="both"/>
        <w:rPr>
          <w:rFonts w:ascii="Book Antiqua" w:hAnsi="Book Antiqua"/>
          <w:lang w:val="en-GB"/>
        </w:rPr>
      </w:pPr>
      <w:r w:rsidRPr="00793E90">
        <w:rPr>
          <w:rFonts w:ascii="Book Antiqua" w:hAnsi="Book Antiqua"/>
          <w:lang w:val="en-GB"/>
        </w:rPr>
        <w:t>Importantly, patients who were examined underwent a specific anorectal treatment in almost 40% of the cases,</w:t>
      </w:r>
      <w:r w:rsidRPr="00793E90">
        <w:rPr>
          <w:rFonts w:ascii="Book Antiqua" w:hAnsi="Book Antiqua"/>
          <w:i/>
          <w:iCs/>
          <w:lang w:val="en-GB"/>
        </w:rPr>
        <w:t xml:space="preserve"> </w:t>
      </w:r>
      <w:r w:rsidRPr="00793E90">
        <w:rPr>
          <w:rFonts w:ascii="Book Antiqua" w:hAnsi="Book Antiqua"/>
          <w:lang w:val="en-GB"/>
        </w:rPr>
        <w:t>including surgery in 28% (5/18) of these cases. Therefore, it seems justified to systematically seek anorectal complaints and propose an anorectal examination, which should include at least an anal margin and rectal digital examination. This first assessment is simple and minimally invasive and makes it possible to evaluate if the patient needs to be referred to a specialist. However, this strategy cannot assess haemorrhoidal diseases with enough sensitivity. Notably, 40% of the examined patients in the present study had anorectal symptoms, which emphasizes the importance of a obtaining a good patient history to identify those who need to be directly addressed to a colorectal specialist.</w:t>
      </w:r>
    </w:p>
    <w:p w14:paraId="2191F500" w14:textId="77777777" w:rsidR="00793E90" w:rsidRPr="00793E90" w:rsidRDefault="00793E90" w:rsidP="00793E90">
      <w:pPr>
        <w:adjustRightInd w:val="0"/>
        <w:snapToGrid w:val="0"/>
        <w:spacing w:after="0" w:line="360" w:lineRule="auto"/>
        <w:ind w:firstLineChars="100" w:firstLine="240"/>
        <w:jc w:val="both"/>
        <w:rPr>
          <w:rFonts w:ascii="Book Antiqua" w:hAnsi="Book Antiqua"/>
          <w:color w:val="1A1718"/>
          <w:lang w:val="en-GB"/>
        </w:rPr>
      </w:pPr>
      <w:bookmarkStart w:id="71" w:name="_Hlk15726853"/>
      <w:r w:rsidRPr="00793E90">
        <w:rPr>
          <w:rFonts w:ascii="Book Antiqua" w:hAnsi="Book Antiqua"/>
          <w:lang w:val="en-GB"/>
        </w:rPr>
        <w:t xml:space="preserve">Our study identified SUV and MV measurements as factors associated with the anorectal examination having a therapeutic impact, with </w:t>
      </w:r>
      <w:proofErr w:type="spellStart"/>
      <w:r w:rsidRPr="00793E90">
        <w:rPr>
          <w:rFonts w:ascii="Book Antiqua" w:hAnsi="Book Antiqua"/>
          <w:lang w:val="en-GB"/>
        </w:rPr>
        <w:t>SUV</w:t>
      </w:r>
      <w:r w:rsidRPr="00793E90">
        <w:rPr>
          <w:rFonts w:ascii="Book Antiqua" w:hAnsi="Book Antiqua"/>
          <w:vertAlign w:val="subscript"/>
          <w:lang w:val="en-GB"/>
        </w:rPr>
        <w:t>max</w:t>
      </w:r>
      <w:proofErr w:type="spellEnd"/>
      <w:r w:rsidRPr="00793E90">
        <w:rPr>
          <w:rFonts w:ascii="Book Antiqua" w:hAnsi="Book Antiqua"/>
          <w:lang w:val="en-GB"/>
        </w:rPr>
        <w:t xml:space="preserve"> having the best accuracy.</w:t>
      </w:r>
      <w:r w:rsidRPr="00793E90">
        <w:rPr>
          <w:rFonts w:ascii="Book Antiqua" w:hAnsi="Book Antiqua"/>
          <w:color w:val="1A1718"/>
          <w:lang w:val="en-GB"/>
        </w:rPr>
        <w:t xml:space="preserve"> Interestingly, </w:t>
      </w:r>
      <w:r w:rsidRPr="00793E90">
        <w:rPr>
          <w:rFonts w:ascii="Book Antiqua" w:hAnsi="Book Antiqua"/>
          <w:lang w:val="en-GB"/>
        </w:rPr>
        <w:t xml:space="preserve">patients who received treatment had significantly lower </w:t>
      </w:r>
      <w:r w:rsidRPr="00793E90">
        <w:rPr>
          <w:rFonts w:ascii="Book Antiqua" w:hAnsi="Book Antiqua"/>
          <w:lang w:val="en-GB"/>
        </w:rPr>
        <w:lastRenderedPageBreak/>
        <w:t xml:space="preserve">MV30 and MV41 values and higher </w:t>
      </w:r>
      <w:proofErr w:type="spellStart"/>
      <w:r w:rsidRPr="00793E90">
        <w:rPr>
          <w:rFonts w:ascii="Book Antiqua" w:hAnsi="Book Antiqua"/>
          <w:lang w:val="en-GB"/>
        </w:rPr>
        <w:t>SUV</w:t>
      </w:r>
      <w:r w:rsidRPr="00793E90">
        <w:rPr>
          <w:rFonts w:ascii="Book Antiqua" w:hAnsi="Book Antiqua"/>
          <w:vertAlign w:val="subscript"/>
          <w:lang w:val="en-GB"/>
        </w:rPr>
        <w:t>max</w:t>
      </w:r>
      <w:proofErr w:type="spellEnd"/>
      <w:r w:rsidRPr="00793E90">
        <w:rPr>
          <w:rFonts w:ascii="Book Antiqua" w:hAnsi="Book Antiqua"/>
          <w:lang w:val="en-GB"/>
        </w:rPr>
        <w:t xml:space="preserve"> and </w:t>
      </w:r>
      <w:proofErr w:type="spellStart"/>
      <w:r w:rsidRPr="00793E90">
        <w:rPr>
          <w:rFonts w:ascii="Book Antiqua" w:hAnsi="Book Antiqua"/>
          <w:lang w:val="en-GB"/>
        </w:rPr>
        <w:t>SUV</w:t>
      </w:r>
      <w:r w:rsidRPr="00793E90">
        <w:rPr>
          <w:rFonts w:ascii="Book Antiqua" w:hAnsi="Book Antiqua"/>
          <w:vertAlign w:val="subscript"/>
          <w:lang w:val="en-GB"/>
        </w:rPr>
        <w:t>mean</w:t>
      </w:r>
      <w:proofErr w:type="spellEnd"/>
      <w:r w:rsidRPr="00793E90">
        <w:rPr>
          <w:rFonts w:ascii="Book Antiqua" w:hAnsi="Book Antiqua"/>
          <w:vertAlign w:val="subscript"/>
          <w:lang w:val="en-GB"/>
        </w:rPr>
        <w:t xml:space="preserve"> </w:t>
      </w:r>
      <w:r w:rsidRPr="00793E90">
        <w:rPr>
          <w:rFonts w:ascii="Book Antiqua" w:hAnsi="Book Antiqua"/>
          <w:lang w:val="en-GB"/>
        </w:rPr>
        <w:t>measurements than patients who did not receive treatment. These conclusions are different from those of colorectal positive uptake</w:t>
      </w:r>
      <w:bookmarkStart w:id="72" w:name="_Hlk17628902"/>
      <w:r w:rsidRPr="00793E90">
        <w:rPr>
          <w:rFonts w:ascii="Book Antiqua" w:hAnsi="Book Antiqua"/>
          <w:lang w:val="en-GB"/>
        </w:rPr>
        <w:t xml:space="preserve">. In the studies on </w:t>
      </w:r>
      <w:r w:rsidRPr="00793E90">
        <w:rPr>
          <w:rFonts w:ascii="Book Antiqua" w:hAnsi="Book Antiqua"/>
          <w:color w:val="1A1718"/>
          <w:lang w:val="en-GB"/>
        </w:rPr>
        <w:t xml:space="preserve">incidental focal colorectal </w:t>
      </w:r>
      <w:r w:rsidRPr="00793E90">
        <w:rPr>
          <w:rFonts w:ascii="Book Antiqua" w:hAnsi="Book Antiqua"/>
          <w:color w:val="1A1718"/>
          <w:vertAlign w:val="superscript"/>
          <w:lang w:val="en-GB"/>
        </w:rPr>
        <w:t>18</w:t>
      </w:r>
      <w:r w:rsidRPr="00793E90">
        <w:rPr>
          <w:rFonts w:ascii="Book Antiqua" w:hAnsi="Book Antiqua"/>
          <w:color w:val="1A1718"/>
          <w:lang w:val="en-GB"/>
        </w:rPr>
        <w:t>FDG uptake on</w:t>
      </w:r>
      <w:r w:rsidRPr="00793E90">
        <w:rPr>
          <w:rFonts w:ascii="Book Antiqua" w:eastAsia="Calibri" w:hAnsi="Book Antiqua"/>
          <w:color w:val="1A1718"/>
          <w:lang w:val="en-GB"/>
        </w:rPr>
        <w:t xml:space="preserve"> </w:t>
      </w:r>
      <w:r w:rsidRPr="00793E90">
        <w:rPr>
          <w:rFonts w:ascii="Book Antiqua" w:hAnsi="Book Antiqua"/>
          <w:color w:val="1A1718"/>
          <w:vertAlign w:val="superscript"/>
          <w:lang w:val="en-GB"/>
        </w:rPr>
        <w:t>18</w:t>
      </w:r>
      <w:r w:rsidRPr="00793E90">
        <w:rPr>
          <w:rFonts w:ascii="Book Antiqua" w:hAnsi="Book Antiqua"/>
          <w:color w:val="1A1718"/>
          <w:lang w:val="en-GB"/>
        </w:rPr>
        <w:t>FDG PET/CT images, the metabolic parameters could not differentiate between true positives and false positives, with acceptable sensitivity and specificity, and therefore had no diagnostic or therapeutic impact</w:t>
      </w:r>
      <w:r w:rsidRPr="00793E90">
        <w:rPr>
          <w:rFonts w:ascii="Book Antiqua" w:hAnsi="Book Antiqua"/>
          <w:color w:val="1A1718"/>
          <w:vertAlign w:val="superscript"/>
          <w:lang w:val="en-GB"/>
        </w:rPr>
        <w:fldChar w:fldCharType="begin"/>
      </w:r>
      <w:r w:rsidRPr="00793E90">
        <w:rPr>
          <w:rFonts w:ascii="Book Antiqua" w:hAnsi="Book Antiqua"/>
          <w:color w:val="1A1718"/>
          <w:vertAlign w:val="superscript"/>
          <w:lang w:val="en-GB"/>
        </w:rPr>
        <w:instrText xml:space="preserve"> ADDIN ZOTERO_ITEM CSL_CITATION {"citationID":"Ul61NgHw","properties":{"formattedCitation":"(7,17\\uc0\\u8211{}19)","plainCitation":"(7,17–19)","noteIndex":0},"citationItems":[{"id":32,"uris":["http://zotero.org/users/4891711/items/77DD2EYP"],"uri":["http://zotero.org/users/4891711/items/77DD2EYP"],"itemData":{"id":32,"type":"article-journal","title":"Incidental colorectal focal 18 F-FDG uptake: a novel indication for colonoscopy","container-title":"Endoscopy International Open","page":"E924-E930","volume":"5","issue":"9","source":"PubMed Central","abstract":"Background and study aims\n\n The relevance of incidental colorectal focal\n18\nF-FDG PET/CT uptake is debatable. All patients who were referred for colonoscopy because of incidental colonic focal FDG uptake were included in this retrospective study.\n\n\nPatients and methods\n\n PET/CT imaging characteristics were reviewed by a nuclear physician who was blinded to endoscopic and histopathological findings to determine the location of FDG uptake sites and to measure the maximum standardized uptake values (SUVmax) and metabolic volume (MV). Endoscopic findings were categorized as malignant lesions (ML), high-risk polyps (HRP), low-risk polyps (LRP) or other non-neoplastic lesions (NNL).\n\n\nResults\n\n Seventy patients with 84 foci of FDG uptake were included. The proportions of true-positive (lesions found at colonoscopy at the same location) and false-positive (no lesion at colonoscopy) PET/CT findings were 65.5</w:instrText>
      </w:r>
      <w:r w:rsidRPr="00793E90">
        <w:rPr>
          <w:color w:val="1A1718"/>
          <w:vertAlign w:val="superscript"/>
          <w:lang w:val="en-GB"/>
        </w:rPr>
        <w:instrText> </w:instrText>
      </w:r>
      <w:r w:rsidRPr="00793E90">
        <w:rPr>
          <w:rFonts w:ascii="Book Antiqua" w:hAnsi="Book Antiqua"/>
          <w:color w:val="1A1718"/>
          <w:vertAlign w:val="superscript"/>
          <w:lang w:val="en-GB"/>
        </w:rPr>
        <w:instrText>% (n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55) and 34.5</w:instrText>
      </w:r>
      <w:r w:rsidRPr="00793E90">
        <w:rPr>
          <w:color w:val="1A1718"/>
          <w:vertAlign w:val="superscript"/>
          <w:lang w:val="en-GB"/>
        </w:rPr>
        <w:instrText> </w:instrText>
      </w:r>
      <w:r w:rsidRPr="00793E90">
        <w:rPr>
          <w:rFonts w:ascii="Book Antiqua" w:hAnsi="Book Antiqua"/>
          <w:color w:val="1A1718"/>
          <w:vertAlign w:val="superscript"/>
          <w:lang w:val="en-GB"/>
        </w:rPr>
        <w:instrText>% (n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29). Median SUVmax values did not differ between true-positive and false-positive findings (\nP\n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0.27). Median MV30 values differed significantly between true-positive (5.5</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[3.3</w:instrText>
      </w:r>
      <w:r w:rsidRPr="00793E90">
        <w:rPr>
          <w:color w:val="1A1718"/>
          <w:vertAlign w:val="superscript"/>
          <w:lang w:val="en-GB"/>
        </w:rPr>
        <w:instrText> </w:instrText>
      </w:r>
      <w:r w:rsidRPr="00793E90">
        <w:rPr>
          <w:rFonts w:ascii="Book Antiqua" w:hAnsi="Book Antiqua" w:cs="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10.9</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and false-positive (9.7</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[5.2</w:instrText>
      </w:r>
      <w:r w:rsidRPr="00793E90">
        <w:rPr>
          <w:color w:val="1A1718"/>
          <w:vertAlign w:val="superscript"/>
          <w:lang w:val="en-GB"/>
        </w:rPr>
        <w:instrText> </w:instrText>
      </w:r>
      <w:r w:rsidRPr="00793E90">
        <w:rPr>
          <w:rFonts w:ascii="Book Antiqua" w:hAnsi="Book Antiqua" w:cs="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40.8</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findings (\nP\n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0.015). Among the 55 true-positive FDG uptake sites, there were 14 (25.5</w:instrText>
      </w:r>
      <w:r w:rsidRPr="00793E90">
        <w:rPr>
          <w:color w:val="1A1718"/>
          <w:vertAlign w:val="superscript"/>
          <w:lang w:val="en-GB"/>
        </w:rPr>
        <w:instrText> </w:instrText>
      </w:r>
      <w:r w:rsidRPr="00793E90">
        <w:rPr>
          <w:rFonts w:ascii="Book Antiqua" w:hAnsi="Book Antiqua"/>
          <w:color w:val="1A1718"/>
          <w:vertAlign w:val="superscript"/>
          <w:lang w:val="en-GB"/>
        </w:rPr>
        <w:instrText>%) malignant lesions, 30 (54.5</w:instrText>
      </w:r>
      <w:r w:rsidRPr="00793E90">
        <w:rPr>
          <w:color w:val="1A1718"/>
          <w:vertAlign w:val="superscript"/>
          <w:lang w:val="en-GB"/>
        </w:rPr>
        <w:instrText> </w:instrText>
      </w:r>
      <w:r w:rsidRPr="00793E90">
        <w:rPr>
          <w:rFonts w:ascii="Book Antiqua" w:hAnsi="Book Antiqua"/>
          <w:color w:val="1A1718"/>
          <w:vertAlign w:val="superscript"/>
          <w:lang w:val="en-GB"/>
        </w:rPr>
        <w:instrText>%) HRP, 4 (7.3</w:instrText>
      </w:r>
      <w:r w:rsidRPr="00793E90">
        <w:rPr>
          <w:color w:val="1A1718"/>
          <w:vertAlign w:val="superscript"/>
          <w:lang w:val="en-GB"/>
        </w:rPr>
        <w:instrText> </w:instrText>
      </w:r>
      <w:r w:rsidRPr="00793E90">
        <w:rPr>
          <w:rFonts w:ascii="Book Antiqua" w:hAnsi="Book Antiqua"/>
          <w:color w:val="1A1718"/>
          <w:vertAlign w:val="superscript"/>
          <w:lang w:val="en-GB"/>
        </w:rPr>
        <w:instrText>%) LRP, and 7 (12.7</w:instrText>
      </w:r>
      <w:r w:rsidRPr="00793E90">
        <w:rPr>
          <w:color w:val="1A1718"/>
          <w:vertAlign w:val="superscript"/>
          <w:lang w:val="en-GB"/>
        </w:rPr>
        <w:instrText> </w:instrText>
      </w:r>
      <w:r w:rsidRPr="00793E90">
        <w:rPr>
          <w:rFonts w:ascii="Book Antiqua" w:hAnsi="Book Antiqua"/>
          <w:color w:val="1A1718"/>
          <w:vertAlign w:val="superscript"/>
          <w:lang w:val="en-GB"/>
        </w:rPr>
        <w:instrText>%) NNL. Median MV30 values differed significantly between advanced neoplasia (5.0</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[2.9</w:instrText>
      </w:r>
      <w:r w:rsidRPr="00793E90">
        <w:rPr>
          <w:color w:val="1A1718"/>
          <w:vertAlign w:val="superscript"/>
          <w:lang w:val="en-GB"/>
        </w:rPr>
        <w:instrText> </w:instrText>
      </w:r>
      <w:r w:rsidRPr="00793E90">
        <w:rPr>
          <w:rFonts w:ascii="Book Antiqua" w:hAnsi="Book Antiqua" w:cs="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9.7</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and other endoscopic findings (9.4</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[5.2</w:instrText>
      </w:r>
      <w:r w:rsidRPr="00793E90">
        <w:rPr>
          <w:color w:val="1A1718"/>
          <w:vertAlign w:val="superscript"/>
          <w:lang w:val="en-GB"/>
        </w:rPr>
        <w:instrText> </w:instrText>
      </w:r>
      <w:r w:rsidRPr="00793E90">
        <w:rPr>
          <w:rFonts w:ascii="Book Antiqua" w:hAnsi="Book Antiqua" w:cs="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39.8</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(\nP\n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0.001); the AUROC was 0.71.</w:instrText>
      </w:r>
      <w:r w:rsidRPr="00793E90">
        <w:rPr>
          <w:color w:val="1A1718"/>
          <w:vertAlign w:val="superscript"/>
          <w:lang w:val="en-GB"/>
        </w:rPr>
        <w:instrText> </w:instrText>
      </w:r>
      <w:r w:rsidRPr="00793E90">
        <w:rPr>
          <w:rFonts w:ascii="Book Antiqua" w:hAnsi="Book Antiqua"/>
          <w:color w:val="1A1718"/>
          <w:vertAlign w:val="superscript"/>
          <w:lang w:val="en-GB"/>
        </w:rPr>
        <w:instrText>By per-colonic segment analysis, the distribution of true-positive, false-negative, false-positive, and true-negative FDG PET/CT findings was as follows: 21.5</w:instrText>
      </w:r>
      <w:r w:rsidRPr="00793E90">
        <w:rPr>
          <w:color w:val="1A1718"/>
          <w:vertAlign w:val="superscript"/>
          <w:lang w:val="en-GB"/>
        </w:rPr>
        <w:instrText> </w:instrText>
      </w:r>
      <w:r w:rsidRPr="00793E90">
        <w:rPr>
          <w:rFonts w:ascii="Book Antiqua" w:hAnsi="Book Antiqua"/>
          <w:color w:val="1A1718"/>
          <w:vertAlign w:val="superscript"/>
          <w:lang w:val="en-GB"/>
        </w:rPr>
        <w:instrText>%, 14.2</w:instrText>
      </w:r>
      <w:r w:rsidRPr="00793E90">
        <w:rPr>
          <w:color w:val="1A1718"/>
          <w:vertAlign w:val="superscript"/>
          <w:lang w:val="en-GB"/>
        </w:rPr>
        <w:instrText> </w:instrText>
      </w:r>
      <w:r w:rsidRPr="00793E90">
        <w:rPr>
          <w:rFonts w:ascii="Book Antiqua" w:hAnsi="Book Antiqua"/>
          <w:color w:val="1A1718"/>
          <w:vertAlign w:val="superscript"/>
          <w:lang w:val="en-GB"/>
        </w:rPr>
        <w:instrText>%, 11.5</w:instrText>
      </w:r>
      <w:r w:rsidRPr="00793E90">
        <w:rPr>
          <w:color w:val="1A1718"/>
          <w:vertAlign w:val="superscript"/>
          <w:lang w:val="en-GB"/>
        </w:rPr>
        <w:instrText> </w:instrText>
      </w:r>
      <w:r w:rsidRPr="00793E90">
        <w:rPr>
          <w:rFonts w:ascii="Book Antiqua" w:hAnsi="Book Antiqua"/>
          <w:color w:val="1A1718"/>
          <w:vertAlign w:val="superscript"/>
          <w:lang w:val="en-GB"/>
        </w:rPr>
        <w:instrText>%, and 52.8</w:instrText>
      </w:r>
      <w:r w:rsidRPr="00793E90">
        <w:rPr>
          <w:color w:val="1A1718"/>
          <w:vertAlign w:val="superscript"/>
          <w:lang w:val="en-GB"/>
        </w:rPr>
        <w:instrText> </w:instrText>
      </w:r>
      <w:r w:rsidRPr="00793E90">
        <w:rPr>
          <w:rFonts w:ascii="Book Antiqua" w:hAnsi="Book Antiqua"/>
          <w:color w:val="1A1718"/>
          <w:vertAlign w:val="superscript"/>
          <w:lang w:val="en-GB"/>
        </w:rPr>
        <w:instrText xml:space="preserve">%, respectively.\n\n\nConclusion\n\n Our study demonstrates that follow-up complete colonoscopy is mandatory in all patients with incidental colorectal focal\n18\nF-FDG PET/CT uptake.","DOI":"10.1055/s-0043-116384","ISSN":"2364-3722","note":"PMID: 28924601\nPMCID: PMC5597934","title-short":"Incidental colorectal focal 18 F-FDG uptake","journalAbbreviation":"Endosc Int Open","author":[{"family":"Rigault","given":"Eugénie"},{"family":"Lenoir","given":"Laurence"},{"family":"Bouguen","given":"Guillaume"},{"family":"Pagenault","given":"Mael"},{"family":"Lièvre","given":"Astrid"},{"family":"Garin","given":"Etienne"},{"family":"Siproudhis","given":"Laurent"},{"family":"Bretagne","given":"Jean-François"}],"issued":{"date-parts":[["2017",9]]}}},{"id":40,"uris":["http://zotero.org/users/4891711/items/GSNFBFKB"],"uri":["http://zotero.org/users/4891711/items/GSNFBFKB"],"itemData":{"id":40,"type":"article-journal","title":"Role of fluorine 18 fluorodeoxyglucose positron emission tomography/computed tomography in gastrointestinal cancers","container-title":"Digestive and Liver Disease","page":"443-454","volume":"47","issue":"6","source":"DOI.org (Crossref)","abstract":"Fluorine-18 ﬂuorodeoxyglucose positron emission tomography/computed tomography (FDG-PET/CT) has become a routine imaging modality for many malignancies and its use is currently increasing. In the present review article, we will summarize the evidence for FDG-PET/CT use in digestive cancers (excluding neuroendocrine tumours), and review the existing recommendations. While PET/CT is nowadays considered to be an important tool in the initial workup of oesophageal and anal cancers, new data are emerging regarding its use in assessing therapeutic efﬁcacy, radiotherapy treatment planning, and detection of recurrence in case of isolated tumour marker elevation. Moreover, PET/CT may help decision making by detecting distant metastatic sites especially in potentially resectable metastatic colorectal cancer and, to a lesser extent, in localized gastric and pancreatic cancers. Finally, incidental focal colonic FDG uptakes require exploration by colonoscopy, as they are often associated with premalignant or malignant lesions.","DOI":"10.1016/j.dld.2015.02.005","ISSN":"15908658","journalAbbreviation":"Digestive and Liver Disease","language":"en","author":[{"family":"Gauthé","given":"Mathieu"},{"family":"Richard-Molard","given":"Marion"},{"family":"Cacheux","given":"Wulfran"},{"family":"Michel","given":"Pierre"},{"family":"Jouve","given":"Jean-Louis"},{"family":"Mitry","given":"Emmanuel"},{"family":"Alberini","given":"Jean-Louis"},{"family":"Lièvre","given":"Astrid"}],"issued":{"date-parts":[["2015",6]]}}},{"id":85,"uris":["http://zotero.org/users/4891711/items/2DMKJ3MT"],"uri":["http://zotero.org/users/4891711/items/2DMKJ3MT"],"itemData":{"id":85,"type":"article-journal","title":"Incidental Colonic Focal Lesions Detected by FDG PET/CT","container-title":"American Journal of Roentgenology","page":"495-500","volume":"185","issue":"2","source":"DOI.org (Crossref)","abstract":"OBJECTIVE. The aim of this study was to assess the performance of FDG PET/CT for the detection of colonic lesions, especially advanced neoplasms (villous or &gt;10-mm adenomas, carcinomas). Because of 18F FDG accumulation in adenomatous polyps, PET using FDG can detect early premalignant colorectal lesions. MATERIALS AND METHODS. FDG PET/CT studies performed for a 1-year period in 1,716 consecutive patients with various malignant diseases, except colorectal cancer, were retrospectively reviewed. PET images obtained 1 hr after FDG injection and noncontrast CT images used for attenuation correction were fused for analysis. Of 45 patients showing intense focal colonic FDG uptake, 20 patients (with 21 foci) underwent a colonoscopic investigation, and, when necessary, polyp resection. The intensity of FDG uptake was quantified using the standardized uptake value (SUVmax).\nRESULTS. The FDG colonic foci were associated with 18 colonoscopic abnormalities in 15 patients, with no colonic abnormality detected in five patients (false-positive [FP] results). Histopathologic findings revealed advanced neoplasms in 13 patients (13 villous adenomas and three carcinomas) and two cases of hyperplastic polyps. A difference in the mean SUVmax was found between FP and true-positive colonic FDG foci but was not statistically significant (p = 0.14).\nCONCLUSION. Presence of a focal colonic FDG uptake incidental finding on a PET/CT scan justifies a colonoscopy to detect (pre-)malignant lesions. The fusion of PET and CT images allows an accurate localization of the lesions. PET/CT is a useful tool to differentiate pathologic from physiologic FDG uptake.","DOI":"10.2214/ajr.185.2.01850495","ISSN":"0361-803X, 1546-3141","journalAbbreviation":"American Journal of Roentgenology","language":"en","author":[{"family":"Gutman","given":"Fabrice"},{"family":"Alberini","given":"Jean-Louis"},{"family":"Wartski","given":"Myriam"},{"family":"Vilain","given":"Didier"},{"family":"Le Stanc","given":"Elise"},{"family":"Sarandi","given":"Farid"},{"family":"Corone","given":"Carine"},{"family":"Tainturier","given":"Catherine"},{"family":"Pecking","given":"Alain Paul"}],"issued":{"date-parts":[["2005",8]]}}},{"id":141,"uris":["http://zotero.org/users/4891711/items/CL7ZWWIN"],"uri":["http://zotero.org/users/4891711/items/CL7ZWWIN"],"itemData":{"id":141,"type":"article-journal","title":"Incidental colonic focal FDG uptake on PET/CT: can the maximum standardized uptake value (SUVmax) guide us in the timing of colonoscopy?","container-title":"European Journal of Nuclear Medicine and Molecular Imaging","page":"66-71","volume":"42","issue":"1","source":"DOI.org (Crossref)","abstract":"Methods The electronic records of all patients who underwent FDG PET/CT from January 2010 to March 2013 in our hospital were retrospectively reviewed. The main indications for PET/CT were: characterization of an indeterminate mass on radiological imaging, suspicion or staging of malignancy, and suspicion of inflammation. In patients with incidental focal FDG uptake in the large bowel, data regarding subsequent colonoscopy were retrieved, if performed within 120 days. The final diagnosis was defined using colonoscopy findings, combined with additional histopathological assessment of the lesion, if applicable.\nResults Of 7,318 patients analysed, 359 (5 %) had 404 foci of unexpected colonic FDG uptake. In 242 of these 404 lesions (60 %), colonoscopy follow-up data were available. Final diagnoses were: adenocarcinoma in 25 (10 %), adenoma in 90 (37 %), and benign in 127 (53 %). The median [IQR] SUVmax was significantly higher in adenocarcinoma (16.6 [12 – 20.8]) than in benign lesions (8.2 [5.9 – 10.1]; p&lt;0.0001), non-advanced adenoma (8.3 [6.1 – 10.5]; p&lt;0.0001) and advanced adenoma (9.7 [7.2 – 12.6]; p&lt;0.001). The receiver operating characteristic curve of SUVmax for malignant versus nonmalignant lesions had an area under the curve of 0.868 (SD±0.038), the optimal cut-off value being 11.4 (sensitivity 80 %, specificity 82 %, positive predictive value 34 %, negative predictive value 98 %).\nConclusion In these patients with incidental colonic focal activity undergoing PET/CT (the largest series published to date), malignancies had significantly higher SUVmax values than all other types of lesions. However, SUVmax could not distinguish between benign lesions and adenomas. In conclusion, all incidental findings in the colon should be further evaluated and lesions with SUVmax ≥11.4 should be evaluated without delay.","DOI":"10.1007/s00259-014-2887-3","ISSN":"1619-7070, 1619-7089","title-short":"Incidental colonic focal FDG uptake on PET/CT","journalAbbreviation":"Eur J Nucl Med Mol Imaging","language":"en","author":[{"family":"Hoeij","given":"F. B.","non-dropping-particle":"van"},{"family":"Keijsers","given":"R. G. M."},{"family":"Loffeld","given":"B. C. A. J."},{"family":"Dun","given":"G."},{"family":"Stadhouders","given":"P. H. G. M."},{"family":"Weusten","given":"B. L. A. M."}],"issued":{"date-parts":[["2015",1]]}}}],"schema":"https://github.com/citation-style-language/schema/raw/master/csl-citation.json"} </w:instrText>
      </w:r>
      <w:r w:rsidRPr="00793E90">
        <w:rPr>
          <w:rFonts w:ascii="Book Antiqua" w:hAnsi="Book Antiqua"/>
          <w:color w:val="1A1718"/>
          <w:vertAlign w:val="superscript"/>
          <w:lang w:val="en-GB"/>
        </w:rPr>
        <w:fldChar w:fldCharType="separate"/>
      </w:r>
      <w:r w:rsidRPr="00793E90">
        <w:rPr>
          <w:rFonts w:ascii="Book Antiqua" w:hAnsi="Book Antiqua"/>
          <w:vertAlign w:val="superscript"/>
          <w:lang w:val="en-GB"/>
        </w:rPr>
        <w:t>[7,17–19]</w:t>
      </w:r>
      <w:r w:rsidRPr="00793E90">
        <w:rPr>
          <w:rFonts w:ascii="Book Antiqua" w:hAnsi="Book Antiqua"/>
          <w:color w:val="1A1718"/>
          <w:vertAlign w:val="superscript"/>
          <w:lang w:val="en-GB"/>
        </w:rPr>
        <w:fldChar w:fldCharType="end"/>
      </w:r>
      <w:r w:rsidRPr="00793E90">
        <w:rPr>
          <w:rFonts w:ascii="Book Antiqua" w:hAnsi="Book Antiqua"/>
          <w:color w:val="1A1718"/>
          <w:lang w:val="en-GB"/>
        </w:rPr>
        <w:t>.</w:t>
      </w:r>
      <w:bookmarkEnd w:id="72"/>
    </w:p>
    <w:p w14:paraId="7770BCDD" w14:textId="77777777" w:rsidR="00793E90" w:rsidRPr="00793E90" w:rsidRDefault="00793E90" w:rsidP="00793E90">
      <w:pPr>
        <w:adjustRightInd w:val="0"/>
        <w:snapToGrid w:val="0"/>
        <w:spacing w:after="0" w:line="360" w:lineRule="auto"/>
        <w:ind w:firstLineChars="100" w:firstLine="240"/>
        <w:jc w:val="both"/>
        <w:rPr>
          <w:rFonts w:ascii="Book Antiqua" w:hAnsi="Book Antiqua"/>
          <w:lang w:val="en-GB"/>
        </w:rPr>
      </w:pPr>
      <w:r w:rsidRPr="00793E90">
        <w:rPr>
          <w:rFonts w:ascii="Book Antiqua" w:hAnsi="Book Antiqua"/>
          <w:lang w:val="en-GB"/>
        </w:rPr>
        <w:t xml:space="preserve">In our study, the diagnoses correspond more to inflammatory or infectious processes than to other conditions. In this field, the diagnostic, therapeutic or prognostic impact of metabolic parameters has not been identified, except for </w:t>
      </w:r>
      <w:proofErr w:type="spellStart"/>
      <w:r w:rsidRPr="00793E90">
        <w:rPr>
          <w:rFonts w:ascii="Book Antiqua" w:hAnsi="Book Antiqua"/>
          <w:lang w:val="en-GB"/>
        </w:rPr>
        <w:t>SUV</w:t>
      </w:r>
      <w:r w:rsidRPr="00793E90">
        <w:rPr>
          <w:rFonts w:ascii="Book Antiqua" w:hAnsi="Book Antiqua"/>
          <w:vertAlign w:val="subscript"/>
          <w:lang w:val="en-GB"/>
        </w:rPr>
        <w:t>max</w:t>
      </w:r>
      <w:proofErr w:type="spellEnd"/>
      <w:r w:rsidRPr="00793E90">
        <w:rPr>
          <w:rFonts w:ascii="Book Antiqua" w:eastAsia="Calibri" w:hAnsi="Book Antiqua"/>
          <w:vertAlign w:val="subscript"/>
          <w:lang w:val="en-GB"/>
        </w:rPr>
        <w:t>,</w:t>
      </w:r>
      <w:r w:rsidRPr="00793E90">
        <w:rPr>
          <w:rFonts w:ascii="Book Antiqua" w:hAnsi="Book Antiqua"/>
          <w:lang w:val="en-GB"/>
        </w:rPr>
        <w:t xml:space="preserve"> which has been shown to have a prognostic impact on cardiovascular events and corticosteroid response in patients with cardiac sarcoidosis</w:t>
      </w:r>
      <w:r w:rsidRPr="00793E90">
        <w:rPr>
          <w:rFonts w:ascii="Book Antiqua" w:hAnsi="Book Antiqua"/>
          <w:vertAlign w:val="superscript"/>
          <w:lang w:val="en-GB"/>
        </w:rPr>
        <w:fldChar w:fldCharType="begin"/>
      </w:r>
      <w:r w:rsidRPr="00793E90">
        <w:rPr>
          <w:rFonts w:ascii="Book Antiqua" w:hAnsi="Book Antiqua"/>
          <w:vertAlign w:val="superscript"/>
          <w:lang w:val="en-GB"/>
        </w:rPr>
        <w:instrText xml:space="preserve"> ADDIN ZOTERO_ITEM CSL_CITATION {"citationID":"BiQaofEs","properties":{"formattedCitation":"(20)","plainCitation":"(20)","noteIndex":0},"citationItems":[{"id":115,"uris":["http://zotero.org/users/4891711/items/SNE9FTXQ"],"uri":["http://zotero.org/users/4891711/items/SNE9FTXQ"],"itemData":{"id":115,"type":"article-journal","title":"FDG-PET in possible cardiac sarcoidosis: Right ventricular uptake and high total cardiac metabolic activity predict cardiovascular events","container-title":"Journal of Nuclear Cardiology","source":"DOI.org (Crossref)","abstract":"Background. Cardiac involvement accounts for the majority of morbidity and mortality in sarcoidosis. Pathological myocardial ﬂuorodeoxyglucose (FDG)-uptake in positron emission tomography (PET) has been associated with cardiovascular events and quantitative metabolic parameters have been shown to add prognostic value. Our aim was to study whether the pattern of pathological cardiac FDG-uptake and quantitative parameters are able to predict cardiovascular events in patients with suspected cardiac sarcoidosis (CS).\nMethods. 137 FDG-PET examinations performed in Tampere University Hospital were retrospectively analyzed visually and quantitatively. Location of pathological uptake was noted and pathological metabolic volume, average standardized uptake value (SUV), and total cardiac metabolic activity (tCMA) were calculated. Patients were followed for ventricular tachycardia, decrease in left ventricular ejection fraction, and death.\nResults. Eleven patients had one or more cardiovascular events during the follow-up. Five patients out of 12 with uptake in both ventricles had an event during follow-up. Eight patients had high tCMA (&gt; 900 MBq) and three of them had a cardiovascular event. Right ventricular uptake and tCMA were signiﬁcantly associated with cardiovascular events during follow-up (Pvalue .001 and .018, respectively).\nConclusions. High tCMA and right ventricular uptake were signiﬁcant risk markers for cardiac events among patient with suspected CS. (J Nucl Cardiol 2019)","URL":"http://link.springer.com/10.1007/s12350-019-01659-2","DOI":"10.1007/s12350-019-01659-2","ISSN":"1071-3581, 1532-6551","title-short":"FDG-PET in possible cardiac sarcoidosis","journalAbbreviation":"J. Nucl. Cardiol.","language":"en","author":[{"family":"Tuominen","given":"Heikki"},{"family":"Haarala","given":"Atte"},{"family":"Tikkakoski","given":"Antti"},{"family":"Kähönen","given":"Mika"},{"family":"Nikus","given":"Kjell"},{"family":"Sipilä","given":"Kalle"}],"issued":{"date-parts":[["2019",2,27]]},"accessed":{"date-parts":[["2019",8,3]]}}}],"schema":"https://github.com/citation-style-language/schema/raw/master/csl-citation.json"} </w:instrText>
      </w:r>
      <w:r w:rsidRPr="00793E90">
        <w:rPr>
          <w:rFonts w:ascii="Book Antiqua" w:hAnsi="Book Antiqua"/>
          <w:vertAlign w:val="superscript"/>
          <w:lang w:val="en-GB"/>
        </w:rPr>
        <w:fldChar w:fldCharType="separate"/>
      </w:r>
      <w:r w:rsidRPr="00793E90">
        <w:rPr>
          <w:rFonts w:ascii="Book Antiqua" w:hAnsi="Book Antiqua"/>
          <w:vertAlign w:val="superscript"/>
          <w:lang w:val="en-GB"/>
        </w:rPr>
        <w:t>[20]</w:t>
      </w:r>
      <w:r w:rsidRPr="00793E90">
        <w:rPr>
          <w:rFonts w:ascii="Book Antiqua" w:hAnsi="Book Antiqua"/>
          <w:vertAlign w:val="superscript"/>
          <w:lang w:val="en-GB"/>
        </w:rPr>
        <w:fldChar w:fldCharType="end"/>
      </w:r>
      <w:r w:rsidRPr="00793E90">
        <w:rPr>
          <w:rFonts w:ascii="Book Antiqua" w:hAnsi="Book Antiqua"/>
          <w:lang w:val="en-GB"/>
        </w:rPr>
        <w:t>. However, in oncology, the metabolic tumour volume (MTV) has a prognostic impact on diseases in several locations (</w:t>
      </w:r>
      <w:r w:rsidRPr="00793E90">
        <w:rPr>
          <w:rFonts w:ascii="Book Antiqua" w:eastAsia="Calibri" w:hAnsi="Book Antiqua"/>
          <w:lang w:val="en-GB"/>
        </w:rPr>
        <w:t>head</w:t>
      </w:r>
      <w:r w:rsidRPr="00793E90">
        <w:rPr>
          <w:rFonts w:ascii="Book Antiqua" w:hAnsi="Book Antiqua"/>
          <w:lang w:val="en-GB"/>
        </w:rPr>
        <w:t xml:space="preserve"> and neck cancers or anal cancers</w:t>
      </w:r>
      <w:r w:rsidRPr="00793E90">
        <w:rPr>
          <w:rFonts w:ascii="Book Antiqua" w:eastAsia="Calibri" w:hAnsi="Book Antiqua"/>
          <w:lang w:val="en-GB"/>
        </w:rPr>
        <w:t>,</w:t>
      </w:r>
      <w:r w:rsidRPr="00793E90">
        <w:rPr>
          <w:rFonts w:ascii="Book Antiqua" w:hAnsi="Book Antiqua"/>
          <w:lang w:val="en-GB"/>
        </w:rPr>
        <w:t xml:space="preserve"> for example), with a prognosis that worsens as the MTV increases</w:t>
      </w:r>
      <w:r w:rsidRPr="00793E90">
        <w:rPr>
          <w:rFonts w:ascii="Book Antiqua" w:hAnsi="Book Antiqua"/>
          <w:vertAlign w:val="superscript"/>
          <w:lang w:val="en-GB"/>
        </w:rPr>
        <w:fldChar w:fldCharType="begin"/>
      </w:r>
      <w:r w:rsidRPr="00793E90">
        <w:rPr>
          <w:rFonts w:ascii="Book Antiqua" w:hAnsi="Book Antiqua"/>
          <w:vertAlign w:val="superscript"/>
          <w:lang w:val="en-GB"/>
        </w:rPr>
        <w:instrText xml:space="preserve"> ADDIN ZOTERO_ITEM CSL_CITATION {"citationID":"R9NIBtJC","properties":{"formattedCitation":"(1,21\\uc0\\u8211{}27)","plainCitation":"(1,21–27)","noteIndex":0},"citationItems":[{"id":36,"uris":["http://zotero.org/users/4891711/items/WJPPIT6Q"],"uri":["http://zotero.org/users/4891711/items/WJPPIT6Q"],"itemData":{"id":36,"type":"article-journal","title":"FDG PET/CT: EANM procedure guidelines for tumour imaging: version 2.0","container-title":"European Journal of Nuclear Medicine and Molecular Imaging","page":"328-354","volume":"42","issue":"2","source":"DOI.org (Crossref)","abstract":"The purpose of these guidelines is to assist physicians in recommending, performing, interpreting and reporting the results of FDG PET/CT for oncological imaging of adult patients. PET is a quantitative imaging technique and therefore requires a common quality control (QC)/quality assurance (QA) procedure to maintain the accuracy and precision of quantitation.","DOI":"10.1007/s00259-014-2961-x","ISSN":"1619-7070, 1619-7089","title-short":"FDG PET/CT","journalAbbreviation":"Eur J Nucl Med Mol Imaging","language":"en","author":[{"family":"Boellaard","given":"Ronald"},{"family":"Delgado-Bolton","given":"Roberto"},{"family":"Oyen","given":"Wim J. G."},{"family":"Giammarile","given":"Francesco"},{"family":"Tatsch","given":"Klaus"},{"family":"Eschner","given":"Wolfgang"},{"family":"Verzijlbergen","given":"Fred J."},{"family":"Barrington","given":"Sally F."},{"family":"Pike","given":"Lucy C."},{"family":"Weber","given":"Wolfgang A."},{"family":"Stroobants","given":"Sigrid"},{"family":"Delbeke","given":"Dominique"},{"family":"Donohoe","given":"Kevin J."},{"family":"Holbrook","given":"Scott"},{"family":"Graham","given":"Michael M."},{"family":"Testanera","given":"Giorgio"},{"family":"Hoekstra","given":"Otto S."},{"family":"Zijlstra","given":"Josee"},{"family":"Visser","given":"Eric"},{"family":"Hoekstra","given":"Corneline J."},{"family":"Pruim","given":"Jan"},{"family":"Willemsen","given":"Antoon"},{"family":"Arends","given":"Bertjan"},{"family":"Kotzerke","given":"Jörg"},{"family":"Bockisch","given":"Andreas"},{"family":"Beyer","given":"Thomas"},{"family":"Chiti","given":"Arturo"},{"family":"Krause","given":"Bernd J."}],"issued":{"date-parts":[["2015",2]]}}},{"id":98,"uris":["http://zotero.org/users/4891711/items/7N64QKJV"],"uri":["http://zotero.org/users/4891711/items/7N64QKJV"],"itemData":{"id":98,"type":"article-journal","title":"Prognostic impact of tumour burden assessed by metabolic tumour volume on FDG PET/CT in anal canal cancer","container-title":"European Journal of Nuclear Medicine and Molecular Imaging","page":"63-70","volume":"44","issue":"1","source":"DOI.org (Crossref)","abstract":"Purpose The aim of this study was to confirm the prognostic value of metabolic tumour volume (MTV) at the primary site on initial work-up FDG PET/CT in patients with squamous cell carcinoma (SCC) of the anal canal.","DOI":"10.1007/s00259-016-3475-5","ISSN":"1619-7070, 1619-7089","journalAbbreviation":"Eur J Nucl Med Mol Imaging","language":"en","author":[{"family":"Gauthé","given":"Mathieu"},{"family":"Richard-Molard","given":"Marion"},{"family":"Fayard","given":"Juliette"},{"family":"Alberini","given":"Jean-Louis"},{"family":"Cacheux","given":"Wulfran"},{"family":"Lièvre","given":"Astrid"}],"issued":{"date-parts":[["2017",1]]}}},{"id":104,"uris":["http://zotero.org/users/4891711/items/T9674WLS"],"uri":["http://zotero.org/users/4891711/items/T9674WLS"],"itemData":{"id":104,"type":"article-journal","title":"18F-FDG Metabolic Tumor Volume and Total Glycolytic Activity of Oral Cavity and Oropharyngeal Squamous Cell Cancer: Adding Value to Clinical Staging","container-title":"Journal of Nuclear Medicine","page":"709-715","volume":"53","issue":"5","source":"DOI.org (Crossref)","DOI":"10.2967/jnumed.111.099531","ISSN":"0161-5505","title-short":"18F-FDG Metabolic Tumor Volume and Total Glycolytic Activity of Oral Cavity and Oropharyngeal Squamous Cell Cancer","journalAbbreviation":"Journal of Nuclear Medicine","language":"en","author":[{"family":"Dibble","given":"E. H."},{"family":"Lara Alvarez","given":"A. C."},{"family":"Truong","given":"M.-T."},{"family":"Mercier","given":"G."},{"family":"Cook","given":"E. F."},{"family":"Subramaniam","given":"R. M."}],"issued":{"date-parts":[["2012",5,1]]}}},{"id":103,"uris":["http://zotero.org/users/4891711/items/RZ2XYYYX"],"uri":["http://zotero.org/users/4891711/items/RZ2XYYYX"],"itemData":{"id":103,"type":"article-journal","title":"Prognostic Value of 18F-FDG PET/CT in Surgical Non-Small Cell Lung Cancer: A Meta-Analysis","container-title":"PLOS ONE","page":"e0146195","volume":"11","issue":"1","source":"DOI.org (Crossref)","DOI":"10.1371/journal.pone.0146195","ISSN":"1932-6203","title-short":"Prognostic Value of 18F-FDG PET/CT in Surgical Non-Small Cell Lung Cancer","journalAbbreviation":"PLoS ONE","language":"en","author":[{"family":"Liu","given":"Jing"},{"family":"Dong","given":"Min"},{"family":"Sun","given":"Xiaorong"},{"family":"Li","given":"Wenwu"},{"family":"Xing","given":"Ligang"},{"family":"Yu","given":"Jinming"}],"editor":[{"family":"Patnaik","given":"Santosh"}],"issued":{"date-parts":[["2016",1,4]]}}},{"id":100,"uris":["http://zotero.org/users/4891711/items/334MHEP7"],"uri":["http://zotero.org/users/4891711/items/334MHEP7"],"itemData":{"id":100,"type":"article-journal","title":"Metabolic Tumor Volume Predicts Disease Progression and Survival in Patients with Squamous Cell Carcinoma of the Anal Canal","container-title":"Journal of Nuclear Medicine","page":"27-32","volume":"54","issue":"1","source":"DOI.org (Crossref)","DOI":"10.2967/jnumed.112.109470","ISSN":"0161-5505","journalAbbreviation":"Journal of Nuclear Medicine","language":"en","author":[{"family":"Bazan","given":"J. G."},{"family":"Koong","given":"A. C."},{"family":"Kapp","given":"D. S."},{"family":"Quon","given":"A."},{"family":"Graves","given":"E. E."},{"family":"Loo","given":"B. W."},{"family":"Chang","given":"D. T."}],"issued":{"date-parts":[["2013",1,1]]}}},{"id":107,"uris":["http://zotero.org/users/4891711/items/GXQL5CIQ"],"uri":["http://zotero.org/users/4891711/items/GXQL5CIQ"],"itemData":{"id":107,"type":"article-journal","title":"Prognostic Value of Metabolic Tumor Volume and Total Lesion Glycolysis on Preoperative 18F-FDG PET/CT in Patients with Pancreatic Cancer","container-title":"Journal of Nuclear Medicine","page":"898-904","volume":"55","issue":"6","source":"DOI.org (Crossref)","DOI":"10.2967/jnumed.113.131847","ISSN":"0161-5505","journalAbbreviation":"Journal of Nuclear Medicine","language":"en","author":[{"family":"Lee","given":"J. W."},{"family":"Kang","given":"C. M."},{"family":"Choi","given":"H. J."},{"family":"Lee","given":"W. J."},{"family":"Song","given":"S. Y."},{"family":"Lee","given":"J.-H."},{"family":"Lee","given":"J. D."}],"issued":{"date-parts":[["2014",6,1]]}}},{"id":110,"uris":["http://zotero.org/users/4891711/items/HVG6FDQS"],"uri":["http://zotero.org/users/4891711/items/HVG6FDQS"],"itemData":{"id":110,"type":"article-journal","title":"Prognostic Value of Preoperative Metabolic Tumor Volume and Total Lesion Glycolysis Measured by 18F-FDG PET/CT in Salivary Gland Carcinomas","container-title":"Journal of Nuclear Medicine","page":"1032-1038","volume":"54","issue":"7","source":"DOI.org (Crossref)","DOI":"10.2967/jnumed.112.116053","ISSN":"0161-5505","journalAbbreviation":"Journal of Nuclear Medicine","language":"en","author":[{"family":"Ryu","given":"I. S."},{"family":"Kim","given":"J. S."},{"family":"Roh","given":"J.-L."},{"family":"Lee","given":"J. H."},{"family":"Cho","given":"K.-J."},{"family":"Choi","given":"S.-H."},{"family":"Nam","given":"S. Y."},{"family":"Kim","given":"S. Y."}],"issued":{"date-parts":[["2013",7,1]]}}},{"id":128,"uris":["http://zotero.org/users/4891711/items/84V2RKW4"],"uri":["http://zotero.org/users/4891711/items/84V2RKW4"],"itemData":{"id":128,"type":"article-journal","title":"Baseline Metabolic Tumor Volume Predicts Outcome in High–Tumor-Burden Follicular Lymphoma: A Pooled Analysis of Three Multicenter Studies","container-title":"Journal of Clinical Oncology","page":"3618-3626","volume":"34","issue":"30","source":"DOI.org (Crossref)","abstract":"Purpose Identifying patients at high risk of progression and early death among those with high-tumor-burden follicular lymphoma (FL) is unsatisfactory with current prognostic models. This study aimed to determine the prognostic impact of the total metabolic tumor volume (TMTV) measured at baseline with [18F]ﬂuorodeoxyglucose/positron emission tomography-computed tomography ([18F]FDG/PETCT) scans and its added value to these models. Patients and Methods A pooled analysis was performed by using patient data and centrally reviewed baseline PET-CT scans for 185 patients with FL who were receiving immunochemotherapy within three prospective trials. TMTV was computed by using the 41% maximum standardized uptake value thresholding method, and the optimal cutoff for survival prediction was determined.\nResults Median age was 55 years, 92% of patients had stage III to IV disease, 37% had a Follicular Lymphoma International Prognostic Index (FLIPI) score of 3 to 5, and 31% had a FLIPI2 score of 3 to 5. With a median follow-up of 64 months, overall 5-year progression-free survival (PFS) was 55% and overall survival (OS) was 92%. Median TMTV was 297 cm3 (quartile 1 through quartile 3, 135 to 567 cm3). The optimal cutoff identiﬁed was 510 cm3, with a markedly inferior survival in the 29% of patients with TMTV . 510 cm3. Fiveyear PFS was 33% versus 65% (hazard ratio [HR], 2.90; P , .001), and 5-year OS was 85% versus 95% (HR, 3.45; P = .010). On multivariable analysis, TMTV (HR, 2.3; P = .002) and FLIPI2 score (HR, 2.2; P = .002) were independent predictors of PFS. In combination, they identify three risk groups: high TMTV and intermediateto-high FLIPI2 score with 5-year PFS of 20% (HR, 5.0; P , .001), high TMTV or intermediate-to-high FLIPI2 score with 5-year PFS of 46% (HR, 2.1; P = .007), and low TMTV and low FLIP2 with 5-year PFS of 69%.\nConclusion Baseline TMTV is a strong independent predictor of outcome in FL. In combination with FLIPI2 score, it identiﬁes patients at high risk of early progression. It warrants further validation as a biomarker for development of ﬁrst-line PET-adapted approaches in FL.","DOI":"10.1200/JCO.2016.66.9440","ISSN":"0732-183X, 1527-7755","title-short":"Baseline Metabolic Tumor Volume Predicts Outcome in High–Tumor-Burden Follicular Lymphoma","journalAbbreviation":"JCO","language":"en","author":[{"family":"Meignan","given":"Michel"},{"family":"Cottereau","given":"Anne Ségolène"},{"family":"Versari","given":"Annibale"},{"family":"Chartier","given":"Loïc"},{"family":"Dupuis","given":"Jehan"},{"family":"Boussetta","given":"Sami"},{"family":"Grassi","given":"Ilaria"},{"family":"Casasnovas","given":"René-Olivier"},{"family":"Haioun","given":"Corinne"},{"family":"Tilly","given":"Hervé"},{"family":"Tarantino","given":"Vittoria"},{"family":"Dubreuil","given":"Julien"},{"family":"Federico","given":"Massimo"},{"family":"Salles","given":"Gilles"},{"family":"Luminari","given":"Stefano"},{"family":"Trotman","given":"Judith"}],"issued":{"date-parts":[["2016",10,20]]}}}],"schema":"https://github.com/citation-style-language/schema/raw/master/csl-citation.json"} </w:instrText>
      </w:r>
      <w:r w:rsidRPr="00793E90">
        <w:rPr>
          <w:rFonts w:ascii="Book Antiqua" w:hAnsi="Book Antiqua"/>
          <w:vertAlign w:val="superscript"/>
          <w:lang w:val="en-GB"/>
        </w:rPr>
        <w:fldChar w:fldCharType="separate"/>
      </w:r>
      <w:r w:rsidRPr="00793E90">
        <w:rPr>
          <w:rFonts w:ascii="Book Antiqua" w:hAnsi="Book Antiqua"/>
          <w:vertAlign w:val="superscript"/>
          <w:lang w:val="en-GB"/>
        </w:rPr>
        <w:t>[1,21–27]</w:t>
      </w:r>
      <w:r w:rsidRPr="00793E90">
        <w:rPr>
          <w:rFonts w:ascii="Book Antiqua" w:hAnsi="Book Antiqua"/>
          <w:vertAlign w:val="superscript"/>
          <w:lang w:val="en-GB"/>
        </w:rPr>
        <w:fldChar w:fldCharType="end"/>
      </w:r>
      <w:r w:rsidRPr="00793E90">
        <w:rPr>
          <w:rFonts w:ascii="Book Antiqua" w:hAnsi="Book Antiqua"/>
          <w:lang w:val="en-GB"/>
        </w:rPr>
        <w:t>, which is sometimes</w:t>
      </w:r>
      <w:r w:rsidRPr="00793E90">
        <w:rPr>
          <w:rFonts w:ascii="Book Antiqua" w:eastAsia="Calibri" w:hAnsi="Book Antiqua"/>
          <w:lang w:val="en-GB"/>
        </w:rPr>
        <w:t xml:space="preserve"> also </w:t>
      </w:r>
      <w:r w:rsidRPr="00793E90">
        <w:rPr>
          <w:rFonts w:ascii="Book Antiqua" w:hAnsi="Book Antiqua"/>
          <w:lang w:val="en-GB"/>
        </w:rPr>
        <w:t xml:space="preserve">the case for </w:t>
      </w:r>
      <w:proofErr w:type="spellStart"/>
      <w:r w:rsidRPr="00793E90">
        <w:rPr>
          <w:rFonts w:ascii="Book Antiqua" w:hAnsi="Book Antiqua"/>
          <w:lang w:val="en-GB"/>
        </w:rPr>
        <w:t>SUV</w:t>
      </w:r>
      <w:r w:rsidRPr="00793E90">
        <w:rPr>
          <w:rFonts w:ascii="Book Antiqua" w:hAnsi="Book Antiqua"/>
          <w:vertAlign w:val="subscript"/>
          <w:lang w:val="en-GB"/>
        </w:rPr>
        <w:t>max</w:t>
      </w:r>
      <w:proofErr w:type="spellEnd"/>
      <w:r w:rsidRPr="00793E90">
        <w:rPr>
          <w:rFonts w:ascii="Book Antiqua" w:hAnsi="Book Antiqua"/>
          <w:vertAlign w:val="superscript"/>
          <w:lang w:val="en-GB"/>
        </w:rPr>
        <w:fldChar w:fldCharType="begin"/>
      </w:r>
      <w:r w:rsidRPr="00793E90">
        <w:rPr>
          <w:rFonts w:ascii="Book Antiqua" w:hAnsi="Book Antiqua"/>
          <w:vertAlign w:val="superscript"/>
          <w:lang w:val="en-GB"/>
        </w:rPr>
        <w:instrText xml:space="preserve"> ADDIN ZOTERO_ITEM CSL_CITATION {"citationID":"yACSDww8","properties":{"formattedCitation":"(28\\uc0\\u8211{}31)","plainCitation":"(28–31)","noteIndex":0},"citationItems":[{"id":118,"uris":["http://zotero.org/users/4891711/items/Z5H4BRLF"],"uri":["http://zotero.org/users/4891711/items/Z5H4BRLF"],"itemData":{"id":118,"type":"article-journal","title":"Predictive and prognostic value of FDG-PET in nonsmall-cell lung cancer: A systematic review","container-title":"Cancer","page":"1654-1664","volume":"110","issue":"8","source":"DOI.org (Crossref)","DOI":"10.1002/cncr.22979","ISSN":"0008543X, 10970142","title-short":"Predictive and prognostic value of FDG-PET in nonsmall-cell lung cancer","journalAbbreviation":"Cancer","language":"en","author":[{"family":"Geus-Oei","given":"Lioe-Fee","non-dropping-particle":"de"},{"family":"Heijden","given":"Henricus F.M.","non-dropping-particle":"van der"},{"family":"Corstens","given":"Frans H.M."},{"family":"Oyen","given":"Wim J.G."}],"issued":{"date-parts":[["2007",10,15]]}}},{"id":120,"uris":["http://zotero.org/users/4891711/items/Z9BXT6VR"],"uri":["http://zotero.org/users/4891711/items/Z9BXT6VR"],"itemData":{"id":120,"type":"article-journal","title":"Prognostic significance of SUV on PET/CT in patients with esophageal cancer: a systematic review and meta-analysis:","container-title":"European Journal of Gastroenterology &amp; Hepatology","page":"1008-1015","volume":"21","issue":"9","source":"DOI.org (Crossref)","DOI":"10.1097/MEG.0b013e328323d6fa","ISSN":"0954-691X","title-short":"Prognostic significance of SUV on PET/CT in patients with esophageal cancer","journalAbbreviation":"European Journal of Gastroenterology &amp; Hepatology","language":"en","author":[{"family":"Pan","given":"LingLing"},{"family":"Gu","given":"Ping"},{"family":"Huang","given":"Gang"},{"family":"Xue","given":"HuiPing"},{"family":"Wu","given":"ShuQi"}],"issued":{"date-parts":[["2009",9]]}}},{"id":122,"uris":["http://zotero.org/users/4891711/items/W5H5GT6N"],"uri":["http://zotero.org/users/4891711/items/W5H5GT6N"],"itemData":{"id":122,"type":"article-journal","title":"18-Fluorodeoxyglucose positron emission tomography in predicting survival of patients with pancreatic carcinoma","container-title":"Journal of Gastrointestinal Surgery","page":"953-960","volume":"7","issue":"8","source":"DOI.org (Crossref)","DOI":"10.1016/j.gassur.2003.09.002","ISSN":"1091255X","journalAbbreviation":"Journal of Gastrointestinal Surgery","language":"en","author":[{"family":"Sperti","given":"C"}],"issued":{"date-parts":[["2003",12,1]]}}},{"id":124,"uris":["http://zotero.org/users/4891711/items/WMKW4IX4"],"uri":["http://zotero.org/users/4891711/items/WMKW4IX4"],"itemData":{"id":124,"type":"article-journal","title":"The prognostic value of SUVmax measuring on primary lesion and ALN by 18F-FDG PET or PET/CT in patients with breast cancer","container-title":"European Journal of Radiology","page":"1-7","volume":"105","source":"DOI.org (Crossref)","abstract":"Purpose: To evaluate the prognostic value of maximum standardized uptake values (SUVmax) measured in the primary lesion and axillary lymph nodes (ALN) by pretreatment ﬂuorine-18-ﬂuorodeoxyglucose (18F-FDG) positron emission tomography (PET) or positron emission tomography/computed tomography (PET/CT) in patients with breast cancer.\nMethods: We systematically searched PubMed, Embase, and the Cochrane Library. The primary prognosis endpoint was event-free survival (EFS), and the secondary endpoint was overall survival (OS). The pooled hazard ratio (HR) was estimated by using random-e</w:instrText>
      </w:r>
      <w:r w:rsidRPr="00793E90">
        <w:rPr>
          <w:rFonts w:eastAsia="宋体"/>
          <w:vertAlign w:val="superscript"/>
          <w:lang w:val="en-GB"/>
        </w:rPr>
        <w:instrText>ﬀ</w:instrText>
      </w:r>
      <w:r w:rsidRPr="00793E90">
        <w:rPr>
          <w:rFonts w:ascii="Book Antiqua" w:hAnsi="Book Antiqua"/>
          <w:vertAlign w:val="superscript"/>
          <w:lang w:val="en-GB"/>
        </w:rPr>
        <w:instrText xml:space="preserve">ects model according to the results of heterogeneity.\nResults: Fifteen eligible studies with 3574 breast cancer patients were included. For EFS, patients with higher primary SUVmax showed a poorer survival prognosis with pooled HR of 1.96 (95% conﬁdence interval (CI) 1.40–2.73). The combined HR of high SUVmax in ALN and ALN-to-primary SUVmax ratio (N/T ratio) were 1.89 (95% CI 0.70–5.07) and 2.06 (95% CI 0.59–7.21), respectively. In analyzing invasive ductal carcinoma (IDC) patients, the pooled HR was 1.91 (95% CI 1.40–2.64). For OS, the pooled HR of SUVmax in primary lesion and ALN were 0.64 (95% CI 0.23–1.84) and 1.09 (95% CI 0.07–16.53), respectively.\nConclusions: Our meta-analysis suggested that patients with high primary SUVmax may experience a higher risk for recurrence or a poor progression. Moreover, the SUVmax of 18F-FDG showed a signiﬁcant prognostic value in IDC patients.","DOI":"10.1016/j.ejrad.2018.05.014","ISSN":"0720048X","journalAbbreviation":"European Journal of Radiology","language":"en","author":[{"family":"Diao","given":"Wei"},{"family":"Tian","given":"Fangfang"},{"family":"Jia","given":"Zhiyun"}],"issued":{"date-parts":[["2018",8]]}}}],"schema":"https://github.com/citation-style-language/schema/raw/master/csl-citation.json"} </w:instrText>
      </w:r>
      <w:r w:rsidRPr="00793E90">
        <w:rPr>
          <w:rFonts w:ascii="Book Antiqua" w:hAnsi="Book Antiqua"/>
          <w:vertAlign w:val="superscript"/>
          <w:lang w:val="en-GB"/>
        </w:rPr>
        <w:fldChar w:fldCharType="separate"/>
      </w:r>
      <w:r w:rsidRPr="00793E90">
        <w:rPr>
          <w:rFonts w:ascii="Book Antiqua" w:hAnsi="Book Antiqua"/>
          <w:vertAlign w:val="superscript"/>
          <w:lang w:val="en-GB"/>
        </w:rPr>
        <w:t>[28–31]</w:t>
      </w:r>
      <w:r w:rsidRPr="00793E90">
        <w:rPr>
          <w:rFonts w:ascii="Book Antiqua" w:hAnsi="Book Antiqua"/>
          <w:vertAlign w:val="superscript"/>
          <w:lang w:val="en-GB"/>
        </w:rPr>
        <w:fldChar w:fldCharType="end"/>
      </w:r>
      <w:r w:rsidRPr="00793E90">
        <w:rPr>
          <w:rFonts w:ascii="Book Antiqua" w:hAnsi="Book Antiqua"/>
          <w:lang w:val="en-GB"/>
        </w:rPr>
        <w:t>.</w:t>
      </w:r>
      <w:r w:rsidRPr="00793E90">
        <w:rPr>
          <w:rFonts w:ascii="Book Antiqua" w:hAnsi="Book Antiqua"/>
          <w:b/>
          <w:bCs/>
          <w:lang w:val="en-GB"/>
        </w:rPr>
        <w:t xml:space="preserve"> </w:t>
      </w:r>
      <w:r w:rsidRPr="00793E90">
        <w:rPr>
          <w:rFonts w:ascii="Book Antiqua" w:hAnsi="Book Antiqua"/>
          <w:lang w:val="en-GB"/>
        </w:rPr>
        <w:t xml:space="preserve">These parameters also have a role </w:t>
      </w:r>
      <w:r w:rsidRPr="00793E90">
        <w:rPr>
          <w:rFonts w:ascii="Book Antiqua" w:eastAsia="Calibri" w:hAnsi="Book Antiqua"/>
          <w:lang w:val="en-GB"/>
        </w:rPr>
        <w:t>in</w:t>
      </w:r>
      <w:r w:rsidRPr="00793E90">
        <w:rPr>
          <w:rFonts w:ascii="Book Antiqua" w:hAnsi="Book Antiqua"/>
          <w:lang w:val="en-GB"/>
        </w:rPr>
        <w:t xml:space="preserve"> monitoring therapy response</w:t>
      </w:r>
      <w:r w:rsidRPr="00793E90">
        <w:rPr>
          <w:rFonts w:ascii="Book Antiqua" w:hAnsi="Book Antiqua"/>
          <w:b/>
          <w:bCs/>
          <w:vertAlign w:val="superscript"/>
          <w:lang w:val="en-GB"/>
        </w:rPr>
        <w:fldChar w:fldCharType="begin"/>
      </w:r>
      <w:r w:rsidRPr="00793E90">
        <w:rPr>
          <w:rFonts w:ascii="Book Antiqua" w:hAnsi="Book Antiqua"/>
          <w:b/>
          <w:bCs/>
          <w:vertAlign w:val="superscript"/>
          <w:lang w:val="en-GB"/>
        </w:rPr>
        <w:instrText xml:space="preserve"> ADDIN ZOTERO_ITEM CSL_CITATION {"citationID":"QFC5NIn2","properties":{"formattedCitation":"(1,32,33)","plainCitation":"(1,32,33)","noteIndex":0},"citationItems":[{"id":36,"uris":["http://zotero.org/users/4891711/items/WJPPIT6Q"],"uri":["http://zotero.org/users/4891711/items/WJPPIT6Q"],"itemData":{"id":36,"type":"article-journal","title":"FDG PET/CT: EANM procedure guidelines for tumour imaging: version 2.0","container-title":"European Journal of Nuclear Medicine and Molecular Imaging","page":"328-354","volume":"42","issue":"2","source":"DOI.org (Crossref)","abstract":"The purpose of these guidelines is to assist physicians in recommending, performing, interpreting and reporting the results of FDG PET/CT for oncological imaging of adult patients. PET is a quantitative imaging technique and therefore requires a common quality control (QC)/quality assurance (QA) procedure to maintain the accuracy and precision of quantitation.","DOI":"10.1007/s00259-014-2961-x","ISSN":"1619-7070, 1619-7089","title-short":"FDG PET/CT","journalAbbreviation":"Eur J Nucl Med Mol Imaging","language":"en","author":[{"family":"Boellaard","given":"Ronald"},{"family":"Delgado-Bolton","given":"Roberto"},{"family":"Oyen","given":"Wim J. G."},{"family":"Giammarile","given":"Francesco"},{"family":"Tatsch","given":"Klaus"},{"family":"Eschner","given":"Wolfgang"},{"family":"Verzijlbergen","given":"Fred J."},{"family":"Barrington","given":"Sally F."},{"family":"Pike","given":"Lucy C."},{"family":"Weber","given":"Wolfgang A."},{"family":"Stroobants","given":"Sigrid"},{"family":"Delbeke","given":"Dominique"},{"family":"Donohoe","given":"Kevin J."},{"family":"Holbrook","given":"Scott"},{"family":"Graham","given":"Michael M."},{"family":"Testanera","given":"Giorgio"},{"family":"Hoekstra","given":"Otto S."},{"family":"Zijlstra","given":"Josee"},{"family":"Visser","given":"Eric"},{"family":"Hoekstra","given":"Corneline J."},{"family":"Pruim","given":"Jan"},{"family":"Willemsen","given":"Antoon"},{"family":"Arends","given":"Bertjan"},{"family":"Kotzerke","given":"Jörg"},{"family":"Bockisch","given":"Andreas"},{"family":"Beyer","given":"Thomas"},{"family":"Chiti","given":"Arturo"},{"family":"Krause","given":"Bernd J."}],"issued":{"date-parts":[["2015",2]]}}},{"id":130,"uris":["http://zotero.org/users/4891711/items/HLBGCL95"],"uri":["http://zotero.org/users/4891711/items/HLBGCL95"],"itemData":{"id":130,"type":"article-journal","title":"Role of Positron Emission Tomography-Computed Tomography in the Management of Anal Cancer","container-title":"International Journal of Radiation Oncology*Biology*Physics","page":"66-72","volume":"84","issue":"1","source":"DOI.org (Crossref)","abstract":"Purpose: Pre- and post-treatment staging of anal cancer are often inaccurate. The role of positron emission tomograpy-computed tomography (PET-CT) in anal cancer is yet to be deﬁned. The aim of the study was to compare PET-CT with CT scan, sentinel node biopsy results of inguinal lymph nodes, and anal biopsy results in staging and in follow-up of anal cancer.\nMethods and Materials: Fifty-three consecutive patients diagnosed with anal cancer underwent PET-CT. Results were compared with computed tomography (CT), performed in 40 patients, and with sentinel node biopsy (SNB) (41 patients) at pretreatment workup. Early follow-up consisted of a digital rectal examination, an anoscopy, a PET-CT scan, and anal biopsies performed at 1 and 3 months after the end of treatment. Data sets were then compared.\nResults: At pretreatment assessment, anal cancer was identiﬁed by PET-CT in 47 patients (88.7%) and by CT in 30 patients (75%). The detection rates rose to 97.9% with PET-CT and to 82.9% with CT (PZ.042) when the 5 patients who had undergone surgery prior to this assessment and whose margins were positive at histological examination were censored. Perirectal and/or pelvic nodes were considered metastatic by PET-CT in 14 of 53 patients (26.4%) and by CT in 7 of 40 patients (17.5%). SNB was superior to both PET-CT and CT in detecting inguinal lymph nodes. PET-CT upstaged 37.5% of patients and downstaged 25% of patients. Radiation ﬁelds were changed in 12.6% of patients. PET-CT at 3 months was more accurate than PET-CT at 1 month in evaluating outcomes after chemoradiation therapy treatment: sensitivity was 100% vs 66.6%, and speciﬁcity was 97.4% vs 92.5%, respectively. Median follow-up was 20.3 months.\nConclusions: In this series, PET-CT detected the primary tumor more often than CT. Staging of perirectal/pelvic or inguinal lymph nodes was better with PET-CT. SNB was more accurate in staging inguinal lymph nodes. Ó 2012 Elsevier Inc.","DOI":"10.1016/j.ijrobp.2011.10.048","ISSN":"03603016","journalAbbreviation":"International Journal of Radiation Oncology*Biology*Physics","language":"en","author":[{"family":"Mistrangelo","given":"Massimiliano"},{"family":"Pelosi","given":"Ettore"},{"family":"Bellò","given":"Marilena"},{"family":"Ricardi","given":"Umberto"},{"family":"Milanesi","given":"Enrica"},{"family":"Cassoni","given":"Paola"},{"family":"Baccega","given":"Massimo"},{"family":"Filippini","given":"Claudia"},{"family":"Racca","given":"Patrizia"},{"family":"Lesca","given":"Adriana"},{"family":"Munoz","given":"Fernando H."},{"family":"Fora","given":"Gianluca"},{"family":"Skanjeti","given":"Andrea"},{"family":"Cravero","given":"Francesca"},{"family":"Morino","given":"Mario"}],"issued":{"date-parts":[["2012",9]]}}},{"id":132,"uris":["http://zotero.org/users/4891711/items/L3SGE5JP"],"uri":["http://zotero.org/users/4891711/items/L3SGE5JP"],"itemData":{"id":132,"type":"article-journal","title":"1–15 Early Prediction of Response to Chemotherapy in Metastatic Breast Cancer Using Sequential 18F-FDG PET","container-title":"Breast Diseases: A Year Book Quarterly","page":"41-42","volume":"18","issue":"1","source":"DOI.org (Crossref)","DOI":"10.1016/S1043-321X(07)80025-7","ISSN":"1043321X","journalAbbreviation":"Breast Diseases: A Year Book Quarterly","language":"en","author":[{"family":"Whitman","given":"G.J."}],"issued":{"date-parts":[["2007",4]]}}}],"schema":"https://github.com/citation-style-language/schema/raw/master/csl-citation.json"} </w:instrText>
      </w:r>
      <w:r w:rsidRPr="00793E90">
        <w:rPr>
          <w:rFonts w:ascii="Book Antiqua" w:hAnsi="Book Antiqua"/>
          <w:b/>
          <w:bCs/>
          <w:vertAlign w:val="superscript"/>
          <w:lang w:val="en-GB"/>
        </w:rPr>
        <w:fldChar w:fldCharType="separate"/>
      </w:r>
      <w:r w:rsidRPr="00793E90">
        <w:rPr>
          <w:rFonts w:ascii="Book Antiqua" w:hAnsi="Book Antiqua"/>
          <w:vertAlign w:val="superscript"/>
          <w:lang w:val="en-GB"/>
        </w:rPr>
        <w:t>[1,32</w:t>
      </w:r>
      <w:r w:rsidRPr="003A2A6E">
        <w:rPr>
          <w:rFonts w:ascii="Book Antiqua" w:hAnsi="Book Antiqua"/>
          <w:vertAlign w:val="superscript"/>
          <w:lang w:val="en-GB"/>
        </w:rPr>
        <w:t>-34]</w:t>
      </w:r>
      <w:r w:rsidRPr="00793E90">
        <w:rPr>
          <w:rFonts w:ascii="Book Antiqua" w:hAnsi="Book Antiqua"/>
          <w:b/>
          <w:bCs/>
          <w:vertAlign w:val="superscript"/>
          <w:lang w:val="en-GB"/>
        </w:rPr>
        <w:fldChar w:fldCharType="end"/>
      </w:r>
      <w:r w:rsidRPr="00793E90">
        <w:rPr>
          <w:rFonts w:ascii="Book Antiqua" w:hAnsi="Book Antiqua"/>
          <w:b/>
          <w:bCs/>
          <w:lang w:val="en-GB"/>
        </w:rPr>
        <w:t>.</w:t>
      </w:r>
      <w:r w:rsidRPr="00793E90">
        <w:rPr>
          <w:rFonts w:ascii="Book Antiqua" w:hAnsi="Book Antiqua"/>
          <w:lang w:val="en-GB"/>
        </w:rPr>
        <w:t xml:space="preserve"> Paradoxically, our results showed that smaller </w:t>
      </w:r>
      <w:r w:rsidRPr="00793E90">
        <w:rPr>
          <w:rFonts w:ascii="Book Antiqua" w:eastAsia="Calibri" w:hAnsi="Book Antiqua"/>
          <w:lang w:val="en-GB"/>
        </w:rPr>
        <w:t>MVs</w:t>
      </w:r>
      <w:r w:rsidRPr="00793E90">
        <w:rPr>
          <w:rFonts w:ascii="Book Antiqua" w:hAnsi="Book Antiqua"/>
          <w:lang w:val="en-GB"/>
        </w:rPr>
        <w:t xml:space="preserve"> are associated with treatment. We have not found any similar cases in the literature. </w:t>
      </w:r>
      <w:r w:rsidRPr="00793E90">
        <w:rPr>
          <w:rFonts w:ascii="Book Antiqua" w:eastAsia="Calibri" w:hAnsi="Book Antiqua"/>
          <w:lang w:val="en-GB"/>
        </w:rPr>
        <w:t>Additionally</w:t>
      </w:r>
      <w:r w:rsidRPr="00793E90">
        <w:rPr>
          <w:rFonts w:ascii="Book Antiqua" w:hAnsi="Book Antiqua"/>
          <w:lang w:val="en-GB"/>
        </w:rPr>
        <w:t>, a lesion does not necessarily require more treatment because it has a larger volume.</w:t>
      </w:r>
    </w:p>
    <w:bookmarkEnd w:id="71"/>
    <w:p w14:paraId="3B0A6F82" w14:textId="77777777" w:rsidR="00793E90" w:rsidRPr="00793E90" w:rsidRDefault="00793E90" w:rsidP="00793E90">
      <w:pPr>
        <w:adjustRightInd w:val="0"/>
        <w:snapToGrid w:val="0"/>
        <w:spacing w:after="0" w:line="360" w:lineRule="auto"/>
        <w:ind w:firstLineChars="100" w:firstLine="240"/>
        <w:jc w:val="both"/>
        <w:rPr>
          <w:rFonts w:ascii="Book Antiqua" w:hAnsi="Book Antiqua"/>
          <w:color w:val="000000"/>
          <w:lang w:val="en-GB"/>
        </w:rPr>
      </w:pPr>
      <w:r w:rsidRPr="00793E90">
        <w:rPr>
          <w:rFonts w:ascii="Book Antiqua" w:hAnsi="Book Antiqua"/>
          <w:lang w:val="en-GB"/>
        </w:rPr>
        <w:t>Our study results, however, should be interpreted with caution for several reasons. The main limitations of this study are its retrospective and monocentric design.</w:t>
      </w:r>
      <w:r w:rsidRPr="00793E90">
        <w:rPr>
          <w:rFonts w:ascii="Book Antiqua" w:hAnsi="Book Antiqua"/>
          <w:b/>
          <w:bCs/>
          <w:lang w:val="en-GB"/>
        </w:rPr>
        <w:t xml:space="preserve"> </w:t>
      </w:r>
      <w:r w:rsidRPr="00793E90">
        <w:rPr>
          <w:rFonts w:ascii="Book Antiqua" w:hAnsi="Book Antiqua"/>
          <w:lang w:val="en-GB"/>
        </w:rPr>
        <w:t xml:space="preserve">Moreover, it is possible that the rate of anal </w:t>
      </w:r>
      <w:r w:rsidRPr="00793E90">
        <w:rPr>
          <w:rFonts w:ascii="Book Antiqua" w:hAnsi="Book Antiqua"/>
          <w:vertAlign w:val="superscript"/>
          <w:lang w:val="en-GB"/>
        </w:rPr>
        <w:t>18</w:t>
      </w:r>
      <w:r w:rsidRPr="00793E90">
        <w:rPr>
          <w:rFonts w:ascii="Book Antiqua" w:hAnsi="Book Antiqua"/>
          <w:lang w:val="en-GB"/>
        </w:rPr>
        <w:t>FDG uptake we reported is underestimated because it cannot be excluded that this anomaly is not systematically described by all nuclear physicians, given the lack of clinical significance described so far. In addition, 62% of the patients included did not undergo anorectal examinations</w:t>
      </w:r>
      <w:r w:rsidRPr="00793E90">
        <w:rPr>
          <w:rFonts w:ascii="Book Antiqua" w:eastAsia="Calibri" w:hAnsi="Book Antiqua"/>
          <w:lang w:val="en-GB"/>
        </w:rPr>
        <w:t>;</w:t>
      </w:r>
      <w:r w:rsidRPr="00793E90">
        <w:rPr>
          <w:rFonts w:ascii="Book Antiqua" w:hAnsi="Book Antiqua"/>
          <w:lang w:val="en-GB"/>
        </w:rPr>
        <w:t xml:space="preserve"> thus</w:t>
      </w:r>
      <w:r w:rsidRPr="00793E90">
        <w:rPr>
          <w:rFonts w:ascii="Book Antiqua" w:eastAsia="Calibri" w:hAnsi="Book Antiqua"/>
          <w:lang w:val="en-GB"/>
        </w:rPr>
        <w:t>,</w:t>
      </w:r>
      <w:r w:rsidRPr="00793E90">
        <w:rPr>
          <w:rFonts w:ascii="Book Antiqua" w:hAnsi="Book Antiqua"/>
          <w:lang w:val="en-GB"/>
        </w:rPr>
        <w:t xml:space="preserve"> the aetiology of their anal </w:t>
      </w:r>
      <w:r w:rsidRPr="00793E90">
        <w:rPr>
          <w:rFonts w:ascii="Book Antiqua" w:hAnsi="Book Antiqua"/>
          <w:vertAlign w:val="superscript"/>
          <w:lang w:val="en-GB"/>
        </w:rPr>
        <w:t>18</w:t>
      </w:r>
      <w:r w:rsidRPr="00793E90">
        <w:rPr>
          <w:rFonts w:ascii="Book Antiqua" w:hAnsi="Book Antiqua"/>
          <w:lang w:val="en-GB"/>
        </w:rPr>
        <w:t>FDG uptake remains unknown. It would have</w:t>
      </w:r>
      <w:r w:rsidRPr="00793E90">
        <w:rPr>
          <w:rFonts w:ascii="Book Antiqua" w:eastAsia="Calibri" w:hAnsi="Book Antiqua"/>
          <w:lang w:val="en-GB"/>
        </w:rPr>
        <w:t xml:space="preserve"> also</w:t>
      </w:r>
      <w:r w:rsidRPr="00793E90">
        <w:rPr>
          <w:rFonts w:ascii="Book Antiqua" w:hAnsi="Book Antiqua"/>
          <w:lang w:val="en-GB"/>
        </w:rPr>
        <w:t xml:space="preserve"> been interesting to investigate a control group of patients without anal </w:t>
      </w:r>
      <w:r w:rsidRPr="00793E90">
        <w:rPr>
          <w:rFonts w:ascii="Book Antiqua" w:hAnsi="Book Antiqua"/>
          <w:vertAlign w:val="superscript"/>
          <w:lang w:val="en-GB"/>
        </w:rPr>
        <w:t>18</w:t>
      </w:r>
      <w:r w:rsidRPr="00793E90">
        <w:rPr>
          <w:rFonts w:ascii="Book Antiqua" w:hAnsi="Book Antiqua"/>
          <w:lang w:val="en-GB"/>
        </w:rPr>
        <w:t xml:space="preserve">FDG uptake to better demonstrate the diagnostic and therapeutic impact of anal </w:t>
      </w:r>
      <w:r w:rsidRPr="00793E90">
        <w:rPr>
          <w:rFonts w:ascii="Book Antiqua" w:hAnsi="Book Antiqua"/>
          <w:vertAlign w:val="superscript"/>
          <w:lang w:val="en-GB"/>
        </w:rPr>
        <w:t>18</w:t>
      </w:r>
      <w:r w:rsidRPr="00793E90">
        <w:rPr>
          <w:rFonts w:ascii="Book Antiqua" w:hAnsi="Book Antiqua"/>
          <w:lang w:val="en-GB"/>
        </w:rPr>
        <w:t>FDG uptake. In our study, the proportions of patients who underwent examinations and those who received treatment were low, which led to</w:t>
      </w:r>
      <w:r w:rsidRPr="00793E90">
        <w:rPr>
          <w:rFonts w:ascii="Book Antiqua" w:eastAsia="Calibri" w:hAnsi="Book Antiqua"/>
          <w:lang w:val="en-GB"/>
        </w:rPr>
        <w:t xml:space="preserve"> </w:t>
      </w:r>
      <w:r w:rsidRPr="00793E90">
        <w:rPr>
          <w:rFonts w:ascii="Book Antiqua" w:hAnsi="Book Antiqua"/>
          <w:lang w:val="en-GB"/>
        </w:rPr>
        <w:t xml:space="preserve">a lack of power, even though this is the largest series reported. </w:t>
      </w:r>
      <w:r w:rsidRPr="00793E90">
        <w:rPr>
          <w:rFonts w:ascii="Book Antiqua" w:hAnsi="Book Antiqua"/>
          <w:color w:val="000000"/>
          <w:lang w:val="en-GB"/>
        </w:rPr>
        <w:t xml:space="preserve">Due to the small sample size, we were unable to analyse the relationship between metabolic parameters and a </w:t>
      </w:r>
      <w:r w:rsidRPr="00793E90">
        <w:rPr>
          <w:rFonts w:ascii="Book Antiqua" w:hAnsi="Book Antiqua"/>
          <w:color w:val="000000"/>
          <w:lang w:val="en-GB"/>
        </w:rPr>
        <w:lastRenderedPageBreak/>
        <w:t xml:space="preserve">precise diagnosis. The role of haemorrhoidal disease in anal </w:t>
      </w:r>
      <w:r w:rsidRPr="00793E90">
        <w:rPr>
          <w:rFonts w:ascii="Book Antiqua" w:hAnsi="Book Antiqua"/>
          <w:color w:val="000000"/>
          <w:vertAlign w:val="superscript"/>
          <w:lang w:val="en-GB"/>
        </w:rPr>
        <w:t>18</w:t>
      </w:r>
      <w:r w:rsidRPr="00793E90">
        <w:rPr>
          <w:rFonts w:ascii="Book Antiqua" w:hAnsi="Book Antiqua"/>
          <w:color w:val="000000"/>
          <w:lang w:val="en-GB"/>
        </w:rPr>
        <w:t>FDG uptake remains somewhat speculative since haemorrhoids cushions are a normal compound of anal anatomy. Finally, symptomatic complaints not recorded (retrospective analyses) may bias the results (high proportion of treated anorectal lesions).</w:t>
      </w:r>
    </w:p>
    <w:p w14:paraId="1A64A66B" w14:textId="77777777" w:rsidR="00793E90" w:rsidRPr="00793E90" w:rsidRDefault="00793E90" w:rsidP="00793E90">
      <w:pPr>
        <w:adjustRightInd w:val="0"/>
        <w:snapToGrid w:val="0"/>
        <w:spacing w:after="0" w:line="360" w:lineRule="auto"/>
        <w:ind w:firstLineChars="100" w:firstLine="240"/>
        <w:jc w:val="both"/>
        <w:rPr>
          <w:rFonts w:ascii="Book Antiqua" w:hAnsi="Book Antiqua"/>
          <w:color w:val="000000"/>
          <w:lang w:val="en-GB"/>
        </w:rPr>
      </w:pPr>
      <w:r w:rsidRPr="00793E90">
        <w:rPr>
          <w:rFonts w:ascii="Book Antiqua" w:hAnsi="Book Antiqua"/>
          <w:color w:val="000000"/>
          <w:lang w:val="en-GB"/>
        </w:rPr>
        <w:t xml:space="preserve">In conclusion, incidental anal </w:t>
      </w:r>
      <w:r w:rsidRPr="00793E90">
        <w:rPr>
          <w:rFonts w:ascii="Book Antiqua" w:hAnsi="Book Antiqua"/>
          <w:color w:val="000000"/>
          <w:vertAlign w:val="superscript"/>
          <w:lang w:val="en-GB"/>
        </w:rPr>
        <w:t>18</w:t>
      </w:r>
      <w:r w:rsidRPr="00793E90">
        <w:rPr>
          <w:rFonts w:ascii="Book Antiqua" w:hAnsi="Book Antiqua"/>
          <w:color w:val="000000"/>
          <w:lang w:val="en-GB"/>
        </w:rPr>
        <w:t xml:space="preserve">FDG uptake is a rare event and is rarely explored. However, when explored, a diagnosis is made in more than two-thirds of the cases, and treatment is proposed in more than one-third of the cases. Some metabolic parameters associated with a therapeutic impact have been identified. These data should encourage practitioners to explore incidental anal </w:t>
      </w:r>
      <w:r w:rsidRPr="00793E90">
        <w:rPr>
          <w:rFonts w:ascii="Book Antiqua" w:hAnsi="Book Antiqua"/>
          <w:color w:val="000000"/>
          <w:vertAlign w:val="superscript"/>
          <w:lang w:val="en-GB"/>
        </w:rPr>
        <w:t>18</w:t>
      </w:r>
      <w:r w:rsidRPr="00793E90">
        <w:rPr>
          <w:rFonts w:ascii="Book Antiqua" w:hAnsi="Book Antiqua"/>
          <w:color w:val="000000"/>
          <w:lang w:val="en-GB"/>
        </w:rPr>
        <w:t>FDG uptake systematically because some patients may recover well from an anal pathology.</w:t>
      </w:r>
    </w:p>
    <w:p w14:paraId="225128B2" w14:textId="77777777" w:rsidR="00793E90" w:rsidRPr="00793E90" w:rsidRDefault="00793E90" w:rsidP="00793E90">
      <w:pPr>
        <w:adjustRightInd w:val="0"/>
        <w:snapToGrid w:val="0"/>
        <w:spacing w:after="0" w:line="360" w:lineRule="auto"/>
        <w:jc w:val="both"/>
        <w:rPr>
          <w:rFonts w:ascii="Book Antiqua" w:hAnsi="Book Antiqua"/>
          <w:color w:val="000000"/>
          <w:lang w:val="en-GB"/>
        </w:rPr>
      </w:pPr>
      <w:bookmarkStart w:id="73" w:name="OLE_LINK151"/>
      <w:bookmarkStart w:id="74" w:name="OLE_LINK259"/>
      <w:bookmarkStart w:id="75" w:name="OLE_LINK158"/>
      <w:bookmarkStart w:id="76" w:name="OLE_LINK159"/>
      <w:bookmarkStart w:id="77" w:name="OLE_LINK205"/>
      <w:bookmarkStart w:id="78" w:name="OLE_LINK206"/>
      <w:bookmarkStart w:id="79" w:name="OLE_LINK244"/>
      <w:bookmarkStart w:id="80" w:name="OLE_LINK245"/>
      <w:bookmarkStart w:id="81" w:name="OLE_LINK11"/>
      <w:bookmarkStart w:id="82" w:name="OLE_LINK12"/>
      <w:bookmarkStart w:id="83" w:name="OLE_LINK23"/>
      <w:bookmarkStart w:id="84" w:name="OLE_LINK24"/>
      <w:bookmarkStart w:id="85" w:name="OLE_LINK316"/>
      <w:bookmarkStart w:id="86" w:name="OLE_LINK332"/>
      <w:bookmarkStart w:id="87" w:name="OLE_LINK521"/>
      <w:bookmarkStart w:id="88" w:name="OLE_LINK403"/>
      <w:bookmarkStart w:id="89" w:name="OLE_LINK560"/>
    </w:p>
    <w:p w14:paraId="1E92F5A1" w14:textId="77777777" w:rsidR="00793E90" w:rsidRPr="00793E90" w:rsidRDefault="00793E90" w:rsidP="00793E90">
      <w:pPr>
        <w:adjustRightInd w:val="0"/>
        <w:snapToGrid w:val="0"/>
        <w:spacing w:after="0" w:line="360" w:lineRule="auto"/>
        <w:jc w:val="both"/>
        <w:rPr>
          <w:rFonts w:ascii="Book Antiqua" w:hAnsi="Book Antiqua" w:cs="宋体"/>
          <w:b/>
          <w:iCs/>
          <w:color w:val="000000" w:themeColor="text1"/>
          <w:u w:val="single"/>
          <w:lang w:val="en-US" w:eastAsia="zh-CN"/>
        </w:rPr>
      </w:pPr>
      <w:r w:rsidRPr="00793E90">
        <w:rPr>
          <w:rFonts w:ascii="Book Antiqua" w:hAnsi="Book Antiqua" w:cs="宋体"/>
          <w:b/>
          <w:iCs/>
          <w:color w:val="000000" w:themeColor="text1"/>
          <w:u w:val="single"/>
          <w:lang w:val="en-US" w:eastAsia="zh-CN"/>
        </w:rPr>
        <w:t>ARTICLE HIGHLIGHTS</w:t>
      </w:r>
    </w:p>
    <w:p w14:paraId="06E5E77A" w14:textId="77777777" w:rsidR="00793E90" w:rsidRPr="00793E90" w:rsidRDefault="00793E90" w:rsidP="00793E90">
      <w:pPr>
        <w:adjustRightInd w:val="0"/>
        <w:snapToGrid w:val="0"/>
        <w:spacing w:after="0" w:line="360" w:lineRule="auto"/>
        <w:jc w:val="both"/>
        <w:rPr>
          <w:rFonts w:ascii="Book Antiqua" w:hAnsi="Book Antiqua"/>
          <w:b/>
          <w:bCs/>
          <w:i/>
          <w:iCs/>
          <w:lang w:val="en-US" w:eastAsia="zh-CN"/>
        </w:rPr>
      </w:pPr>
      <w:r w:rsidRPr="00793E90">
        <w:rPr>
          <w:rFonts w:ascii="Book Antiqua" w:hAnsi="Book Antiqua"/>
          <w:b/>
          <w:bCs/>
          <w:i/>
          <w:iCs/>
          <w:lang w:val="en-US" w:eastAsia="zh-CN"/>
        </w:rPr>
        <w:t>Research background</w:t>
      </w:r>
    </w:p>
    <w:p w14:paraId="3CEDD976" w14:textId="495BFDBE" w:rsidR="00793E90" w:rsidRPr="00793E90" w:rsidRDefault="00793E90" w:rsidP="00793E90">
      <w:pPr>
        <w:adjustRightInd w:val="0"/>
        <w:snapToGrid w:val="0"/>
        <w:spacing w:after="0" w:line="360" w:lineRule="auto"/>
        <w:jc w:val="both"/>
        <w:rPr>
          <w:rFonts w:ascii="Book Antiqua" w:hAnsi="Book Antiqua"/>
          <w:color w:val="000000" w:themeColor="text1"/>
          <w:lang w:val="en-GB"/>
        </w:rPr>
      </w:pPr>
      <w:r w:rsidRPr="00793E90">
        <w:rPr>
          <w:rFonts w:ascii="Book Antiqua" w:hAnsi="Book Antiqua"/>
          <w:color w:val="000000" w:themeColor="text1"/>
          <w:lang w:val="en-GB"/>
        </w:rPr>
        <w:t>The use of</w:t>
      </w:r>
      <w:r w:rsidRPr="00793E90">
        <w:rPr>
          <w:rFonts w:ascii="Book Antiqua" w:hAnsi="Book Antiqua"/>
          <w:color w:val="000000" w:themeColor="text1"/>
          <w:vertAlign w:val="superscript"/>
          <w:lang w:val="en-GB"/>
        </w:rPr>
        <w:t xml:space="preserve"> 18</w:t>
      </w:r>
      <w:r w:rsidRPr="00793E90">
        <w:rPr>
          <w:rFonts w:ascii="Book Antiqua" w:hAnsi="Book Antiqua"/>
          <w:color w:val="000000" w:themeColor="text1"/>
          <w:lang w:val="en-GB"/>
        </w:rPr>
        <w:t>F-fluorodeoxyglucose</w:t>
      </w:r>
      <w:r w:rsidR="004C6C4D">
        <w:rPr>
          <w:rFonts w:ascii="Book Antiqua" w:eastAsia="等线" w:hAnsi="Book Antiqua" w:hint="eastAsia"/>
          <w:color w:val="000000" w:themeColor="text1"/>
          <w:lang w:val="en-GB" w:eastAsia="zh-CN"/>
        </w:rPr>
        <w:t xml:space="preserve"> (</w:t>
      </w:r>
      <w:r w:rsidR="004C6C4D" w:rsidRPr="00793E90">
        <w:rPr>
          <w:rFonts w:ascii="Book Antiqua" w:hAnsi="Book Antiqua"/>
          <w:color w:val="000000" w:themeColor="text1"/>
          <w:vertAlign w:val="superscript"/>
          <w:lang w:val="en-GB"/>
        </w:rPr>
        <w:t>18</w:t>
      </w:r>
      <w:r w:rsidR="004C6C4D" w:rsidRPr="00793E90">
        <w:rPr>
          <w:rFonts w:ascii="Book Antiqua" w:hAnsi="Book Antiqua"/>
          <w:color w:val="000000" w:themeColor="text1"/>
          <w:lang w:val="en-GB"/>
        </w:rPr>
        <w:t>FDG</w:t>
      </w:r>
      <w:r w:rsidR="004C6C4D">
        <w:rPr>
          <w:rFonts w:ascii="Book Antiqua" w:eastAsia="等线" w:hAnsi="Book Antiqua" w:hint="eastAsia"/>
          <w:color w:val="000000" w:themeColor="text1"/>
          <w:lang w:val="en-GB" w:eastAsia="zh-CN"/>
        </w:rPr>
        <w:t>)</w:t>
      </w:r>
      <w:r w:rsidRPr="00793E90">
        <w:rPr>
          <w:rFonts w:ascii="Book Antiqua" w:hAnsi="Book Antiqua"/>
          <w:color w:val="000000" w:themeColor="text1"/>
          <w:lang w:val="en-GB"/>
        </w:rPr>
        <w:t xml:space="preserve"> positron-emission tomography/computed tomography (PET/CT) has increased in oncology and in the management of infectious or inflammatory diseases. As a result of the increased indications for and availability of </w:t>
      </w:r>
      <w:r w:rsidRPr="00793E90">
        <w:rPr>
          <w:rFonts w:ascii="Book Antiqua" w:hAnsi="Book Antiqua"/>
          <w:color w:val="000000" w:themeColor="text1"/>
          <w:vertAlign w:val="superscript"/>
          <w:lang w:val="en-GB"/>
        </w:rPr>
        <w:t>18</w:t>
      </w:r>
      <w:r w:rsidRPr="00793E90">
        <w:rPr>
          <w:rFonts w:ascii="Book Antiqua" w:hAnsi="Book Antiqua"/>
          <w:color w:val="000000" w:themeColor="text1"/>
          <w:lang w:val="en-GB"/>
        </w:rPr>
        <w:t xml:space="preserve">FDG PET/CT, unexpected </w:t>
      </w:r>
      <w:r w:rsidRPr="00793E90">
        <w:rPr>
          <w:rFonts w:ascii="Book Antiqua" w:hAnsi="Book Antiqua"/>
          <w:color w:val="000000" w:themeColor="text1"/>
          <w:vertAlign w:val="superscript"/>
          <w:lang w:val="en-GB"/>
        </w:rPr>
        <w:t>18</w:t>
      </w:r>
      <w:r w:rsidRPr="00793E90">
        <w:rPr>
          <w:rFonts w:ascii="Book Antiqua" w:hAnsi="Book Antiqua"/>
          <w:color w:val="000000" w:themeColor="text1"/>
          <w:lang w:val="en-GB"/>
        </w:rPr>
        <w:t xml:space="preserve">FDG uptake has been identified in a variety of sites. In the field of gastroenterology, several studies have focused on incidental focal colorectal </w:t>
      </w:r>
      <w:r w:rsidRPr="00793E90">
        <w:rPr>
          <w:rFonts w:ascii="Book Antiqua" w:hAnsi="Book Antiqua"/>
          <w:color w:val="000000" w:themeColor="text1"/>
          <w:vertAlign w:val="superscript"/>
          <w:lang w:val="en-GB"/>
        </w:rPr>
        <w:t>18</w:t>
      </w:r>
      <w:r w:rsidRPr="00793E90">
        <w:rPr>
          <w:rFonts w:ascii="Book Antiqua" w:hAnsi="Book Antiqua"/>
          <w:color w:val="000000" w:themeColor="text1"/>
          <w:lang w:val="en-GB"/>
        </w:rPr>
        <w:t>FDG</w:t>
      </w:r>
      <w:r w:rsidRPr="00793E90">
        <w:rPr>
          <w:rFonts w:ascii="Book Antiqua" w:eastAsia="Calibri" w:hAnsi="Book Antiqua"/>
          <w:color w:val="000000" w:themeColor="text1"/>
          <w:lang w:val="en-GB"/>
        </w:rPr>
        <w:t xml:space="preserve"> </w:t>
      </w:r>
      <w:r w:rsidRPr="00793E90">
        <w:rPr>
          <w:rFonts w:ascii="Book Antiqua" w:hAnsi="Book Antiqua"/>
          <w:color w:val="000000" w:themeColor="text1"/>
          <w:lang w:val="en-GB"/>
        </w:rPr>
        <w:t xml:space="preserve">uptake. No studies to date have investigated incidental anal </w:t>
      </w:r>
      <w:r w:rsidRPr="00793E90">
        <w:rPr>
          <w:rFonts w:ascii="Book Antiqua" w:hAnsi="Book Antiqua"/>
          <w:color w:val="000000" w:themeColor="text1"/>
          <w:vertAlign w:val="superscript"/>
          <w:lang w:val="en-GB"/>
        </w:rPr>
        <w:t>18</w:t>
      </w:r>
      <w:r w:rsidRPr="00793E90">
        <w:rPr>
          <w:rFonts w:ascii="Book Antiqua" w:hAnsi="Book Antiqua"/>
          <w:color w:val="000000" w:themeColor="text1"/>
          <w:lang w:val="en-GB"/>
        </w:rPr>
        <w:t>FDG uptake. Anorectal examinations are nevertheless simple and minimally invasive</w:t>
      </w:r>
      <w:r w:rsidRPr="00793E90">
        <w:rPr>
          <w:rFonts w:ascii="Book Antiqua" w:eastAsia="Calibri" w:hAnsi="Book Antiqua"/>
          <w:color w:val="000000" w:themeColor="text1"/>
          <w:lang w:val="en-GB"/>
        </w:rPr>
        <w:t>,</w:t>
      </w:r>
      <w:r w:rsidRPr="00793E90">
        <w:rPr>
          <w:rFonts w:ascii="Book Antiqua" w:hAnsi="Book Antiqua"/>
          <w:color w:val="000000" w:themeColor="text1"/>
          <w:lang w:val="en-GB"/>
        </w:rPr>
        <w:t xml:space="preserve"> and the diagnosis of anal pathologies is often based on the patient’s history or data obtained during the clinical examination.</w:t>
      </w:r>
    </w:p>
    <w:p w14:paraId="0BBC48CE" w14:textId="77777777" w:rsidR="00793E90" w:rsidRPr="00793E90" w:rsidRDefault="00793E90" w:rsidP="00793E90">
      <w:pPr>
        <w:adjustRightInd w:val="0"/>
        <w:snapToGrid w:val="0"/>
        <w:spacing w:after="0" w:line="360" w:lineRule="auto"/>
        <w:jc w:val="both"/>
        <w:rPr>
          <w:rFonts w:ascii="Book Antiqua" w:hAnsi="Book Antiqua" w:cs="宋体"/>
          <w:color w:val="000000" w:themeColor="text1"/>
          <w:lang w:val="en-US" w:eastAsia="zh-CN"/>
        </w:rPr>
      </w:pPr>
    </w:p>
    <w:p w14:paraId="5141BE82" w14:textId="77777777" w:rsidR="00793E90" w:rsidRPr="00793E90" w:rsidRDefault="00793E90" w:rsidP="00793E90">
      <w:pPr>
        <w:adjustRightInd w:val="0"/>
        <w:snapToGrid w:val="0"/>
        <w:spacing w:after="0" w:line="360" w:lineRule="auto"/>
        <w:jc w:val="both"/>
        <w:rPr>
          <w:rFonts w:ascii="Book Antiqua" w:hAnsi="Book Antiqua"/>
          <w:b/>
          <w:bCs/>
          <w:i/>
          <w:iCs/>
          <w:lang w:val="en-US" w:eastAsia="zh-CN"/>
        </w:rPr>
      </w:pPr>
      <w:r w:rsidRPr="00793E90">
        <w:rPr>
          <w:rFonts w:ascii="Book Antiqua" w:hAnsi="Book Antiqua"/>
          <w:b/>
          <w:bCs/>
          <w:i/>
          <w:iCs/>
          <w:lang w:val="en-US" w:eastAsia="zh-CN"/>
        </w:rPr>
        <w:t>Research motivation</w:t>
      </w:r>
    </w:p>
    <w:p w14:paraId="6236597E" w14:textId="77777777" w:rsidR="00793E90" w:rsidRPr="00793E90" w:rsidRDefault="00793E90" w:rsidP="00793E90">
      <w:pPr>
        <w:adjustRightInd w:val="0"/>
        <w:snapToGrid w:val="0"/>
        <w:spacing w:after="0" w:line="360" w:lineRule="auto"/>
        <w:jc w:val="both"/>
        <w:rPr>
          <w:rFonts w:ascii="Book Antiqua" w:hAnsi="Book Antiqua"/>
          <w:color w:val="000000" w:themeColor="text1"/>
          <w:lang w:val="en-GB"/>
        </w:rPr>
      </w:pPr>
      <w:r w:rsidRPr="00793E90">
        <w:rPr>
          <w:rFonts w:ascii="Book Antiqua" w:hAnsi="Book Antiqua"/>
          <w:color w:val="000000" w:themeColor="text1"/>
          <w:lang w:val="en-GB"/>
        </w:rPr>
        <w:t xml:space="preserve">It seems important to assess the rate of incidental anal </w:t>
      </w:r>
      <w:r w:rsidRPr="00793E90">
        <w:rPr>
          <w:rFonts w:ascii="Book Antiqua" w:hAnsi="Book Antiqua"/>
          <w:color w:val="000000" w:themeColor="text1"/>
          <w:vertAlign w:val="superscript"/>
          <w:lang w:val="en-GB"/>
        </w:rPr>
        <w:t>18</w:t>
      </w:r>
      <w:r w:rsidRPr="00793E90">
        <w:rPr>
          <w:rFonts w:ascii="Book Antiqua" w:hAnsi="Book Antiqua"/>
          <w:color w:val="000000" w:themeColor="text1"/>
          <w:lang w:val="en-GB"/>
        </w:rPr>
        <w:t>FDG uptake and to identify their aetiologies. Finally, no recommendations have been established in this particular situation.</w:t>
      </w:r>
    </w:p>
    <w:p w14:paraId="5A140F90" w14:textId="77777777" w:rsidR="00793E90" w:rsidRPr="00793E90" w:rsidRDefault="00793E90" w:rsidP="00793E90">
      <w:pPr>
        <w:adjustRightInd w:val="0"/>
        <w:snapToGrid w:val="0"/>
        <w:spacing w:after="0" w:line="360" w:lineRule="auto"/>
        <w:jc w:val="both"/>
        <w:rPr>
          <w:rFonts w:ascii="Book Antiqua" w:hAnsi="Book Antiqua" w:cs="宋体"/>
          <w:b/>
          <w:color w:val="000000" w:themeColor="text1"/>
          <w:lang w:val="en-US" w:eastAsia="zh-CN"/>
        </w:rPr>
      </w:pPr>
    </w:p>
    <w:p w14:paraId="4EA5EA84" w14:textId="77777777" w:rsidR="00793E90" w:rsidRPr="00793E90" w:rsidRDefault="00793E90" w:rsidP="00793E90">
      <w:pPr>
        <w:adjustRightInd w:val="0"/>
        <w:snapToGrid w:val="0"/>
        <w:spacing w:after="0" w:line="360" w:lineRule="auto"/>
        <w:jc w:val="both"/>
        <w:rPr>
          <w:rFonts w:ascii="Book Antiqua" w:hAnsi="Book Antiqua"/>
          <w:b/>
          <w:bCs/>
          <w:i/>
          <w:iCs/>
          <w:lang w:val="en-US" w:eastAsia="zh-CN"/>
        </w:rPr>
      </w:pPr>
      <w:r w:rsidRPr="00793E90">
        <w:rPr>
          <w:rFonts w:ascii="Book Antiqua" w:hAnsi="Book Antiqua"/>
          <w:b/>
          <w:bCs/>
          <w:i/>
          <w:iCs/>
          <w:lang w:val="en-US" w:eastAsia="zh-CN"/>
        </w:rPr>
        <w:t>Research objectives</w:t>
      </w:r>
    </w:p>
    <w:p w14:paraId="4E22B6AC" w14:textId="77777777" w:rsidR="00793E90" w:rsidRPr="00793E90" w:rsidRDefault="00793E90" w:rsidP="00793E90">
      <w:pPr>
        <w:adjustRightInd w:val="0"/>
        <w:snapToGrid w:val="0"/>
        <w:spacing w:after="0" w:line="360" w:lineRule="auto"/>
        <w:jc w:val="both"/>
        <w:rPr>
          <w:rFonts w:ascii="Book Antiqua" w:hAnsi="Book Antiqua"/>
          <w:color w:val="000000" w:themeColor="text1"/>
          <w:lang w:val="en-GB"/>
        </w:rPr>
      </w:pPr>
      <w:r w:rsidRPr="00793E90">
        <w:rPr>
          <w:rFonts w:ascii="Book Antiqua" w:hAnsi="Book Antiqua"/>
          <w:color w:val="000000" w:themeColor="text1"/>
          <w:lang w:val="en-GB"/>
        </w:rPr>
        <w:t xml:space="preserve">The objectives of this study were as follows to assess the rate of incidental anal </w:t>
      </w:r>
      <w:r w:rsidRPr="00793E90">
        <w:rPr>
          <w:rFonts w:ascii="Book Antiqua" w:hAnsi="Book Antiqua"/>
          <w:color w:val="000000" w:themeColor="text1"/>
          <w:vertAlign w:val="superscript"/>
          <w:lang w:val="en-GB"/>
        </w:rPr>
        <w:t>18</w:t>
      </w:r>
      <w:r w:rsidRPr="00793E90">
        <w:rPr>
          <w:rFonts w:ascii="Book Antiqua" w:hAnsi="Book Antiqua"/>
          <w:color w:val="000000" w:themeColor="text1"/>
          <w:lang w:val="en-GB"/>
        </w:rPr>
        <w:t xml:space="preserve">FDG uptake, to identify the aetiologies of incidental anal </w:t>
      </w:r>
      <w:r w:rsidRPr="00793E90">
        <w:rPr>
          <w:rFonts w:ascii="Book Antiqua" w:hAnsi="Book Antiqua"/>
          <w:color w:val="000000" w:themeColor="text1"/>
          <w:vertAlign w:val="superscript"/>
          <w:lang w:val="en-GB"/>
        </w:rPr>
        <w:t>18</w:t>
      </w:r>
      <w:r w:rsidRPr="00793E90">
        <w:rPr>
          <w:rFonts w:ascii="Book Antiqua" w:hAnsi="Book Antiqua"/>
          <w:color w:val="000000" w:themeColor="text1"/>
          <w:lang w:val="en-GB"/>
        </w:rPr>
        <w:t xml:space="preserve">FDG uptake, and to evaluate </w:t>
      </w:r>
      <w:r w:rsidRPr="00793E90">
        <w:rPr>
          <w:rFonts w:ascii="Book Antiqua" w:hAnsi="Book Antiqua"/>
          <w:color w:val="000000" w:themeColor="text1"/>
          <w:lang w:val="en-GB"/>
        </w:rPr>
        <w:lastRenderedPageBreak/>
        <w:t xml:space="preserve">the correlation between </w:t>
      </w:r>
      <w:r w:rsidRPr="00793E90">
        <w:rPr>
          <w:rFonts w:ascii="Book Antiqua" w:hAnsi="Book Antiqua"/>
          <w:color w:val="000000" w:themeColor="text1"/>
          <w:vertAlign w:val="superscript"/>
          <w:lang w:val="en-GB"/>
        </w:rPr>
        <w:t>18</w:t>
      </w:r>
      <w:r w:rsidRPr="00793E90">
        <w:rPr>
          <w:rFonts w:ascii="Book Antiqua" w:hAnsi="Book Antiqua"/>
          <w:color w:val="000000" w:themeColor="text1"/>
          <w:lang w:val="en-GB"/>
        </w:rPr>
        <w:t>FDG PET/CT parameters and the diagnosis of an anorectal disease and the management of the disease.</w:t>
      </w:r>
    </w:p>
    <w:p w14:paraId="24C6D3D4" w14:textId="77777777" w:rsidR="00793E90" w:rsidRPr="00793E90" w:rsidRDefault="00793E90" w:rsidP="00793E90">
      <w:pPr>
        <w:adjustRightInd w:val="0"/>
        <w:snapToGrid w:val="0"/>
        <w:spacing w:after="0" w:line="360" w:lineRule="auto"/>
        <w:jc w:val="both"/>
        <w:rPr>
          <w:rFonts w:ascii="Book Antiqua" w:hAnsi="Book Antiqua" w:cs="宋体"/>
          <w:b/>
          <w:color w:val="000000" w:themeColor="text1"/>
          <w:lang w:val="en-US" w:eastAsia="zh-CN"/>
        </w:rPr>
      </w:pPr>
    </w:p>
    <w:p w14:paraId="7AB942B4" w14:textId="77777777" w:rsidR="00793E90" w:rsidRPr="00793E90" w:rsidRDefault="00793E90" w:rsidP="00793E90">
      <w:pPr>
        <w:adjustRightInd w:val="0"/>
        <w:snapToGrid w:val="0"/>
        <w:spacing w:after="0" w:line="360" w:lineRule="auto"/>
        <w:jc w:val="both"/>
        <w:rPr>
          <w:rFonts w:ascii="Book Antiqua" w:hAnsi="Book Antiqua"/>
          <w:b/>
          <w:bCs/>
          <w:i/>
          <w:iCs/>
          <w:lang w:val="en-US" w:eastAsia="zh-CN"/>
        </w:rPr>
      </w:pPr>
      <w:r w:rsidRPr="00793E90">
        <w:rPr>
          <w:rFonts w:ascii="Book Antiqua" w:hAnsi="Book Antiqua"/>
          <w:b/>
          <w:bCs/>
          <w:i/>
          <w:iCs/>
          <w:lang w:val="en-US" w:eastAsia="zh-CN"/>
        </w:rPr>
        <w:t>Research methods</w:t>
      </w:r>
    </w:p>
    <w:p w14:paraId="3040F9AA" w14:textId="77777777" w:rsidR="00793E90" w:rsidRPr="00793E90" w:rsidRDefault="00793E90" w:rsidP="00793E90">
      <w:pPr>
        <w:adjustRightInd w:val="0"/>
        <w:snapToGrid w:val="0"/>
        <w:spacing w:after="0" w:line="360" w:lineRule="auto"/>
        <w:jc w:val="both"/>
        <w:rPr>
          <w:rFonts w:ascii="Book Antiqua" w:hAnsi="Book Antiqua"/>
          <w:color w:val="000000" w:themeColor="text1"/>
          <w:lang w:val="en-GB"/>
        </w:rPr>
      </w:pPr>
      <w:r w:rsidRPr="00793E90">
        <w:rPr>
          <w:rFonts w:ascii="Book Antiqua" w:hAnsi="Book Antiqua" w:cs="宋体"/>
          <w:bCs/>
          <w:iCs/>
          <w:color w:val="000000" w:themeColor="text1"/>
          <w:lang w:val="en-US" w:eastAsia="zh-CN"/>
        </w:rPr>
        <w:t>We carried out a retrospective observational single-</w:t>
      </w:r>
      <w:proofErr w:type="spellStart"/>
      <w:r w:rsidRPr="00793E90">
        <w:rPr>
          <w:rFonts w:ascii="Book Antiqua" w:hAnsi="Book Antiqua" w:cs="宋体"/>
          <w:bCs/>
          <w:iCs/>
          <w:color w:val="000000" w:themeColor="text1"/>
          <w:lang w:val="en-US" w:eastAsia="zh-CN"/>
        </w:rPr>
        <w:t>centre</w:t>
      </w:r>
      <w:proofErr w:type="spellEnd"/>
      <w:r w:rsidRPr="00793E90">
        <w:rPr>
          <w:rFonts w:ascii="Book Antiqua" w:hAnsi="Book Antiqua" w:cs="宋体"/>
          <w:bCs/>
          <w:iCs/>
          <w:color w:val="000000" w:themeColor="text1"/>
          <w:lang w:val="en-US" w:eastAsia="zh-CN"/>
        </w:rPr>
        <w:t xml:space="preserve"> study. </w:t>
      </w:r>
      <w:r w:rsidRPr="00793E90">
        <w:rPr>
          <w:rFonts w:ascii="Book Antiqua" w:hAnsi="Book Antiqua"/>
          <w:color w:val="000000" w:themeColor="text1"/>
          <w:lang w:val="en-GB"/>
        </w:rPr>
        <w:t xml:space="preserve">The data </w:t>
      </w:r>
      <w:r w:rsidRPr="00793E90">
        <w:rPr>
          <w:rFonts w:ascii="Book Antiqua" w:eastAsia="Calibri" w:hAnsi="Book Antiqua"/>
          <w:color w:val="000000" w:themeColor="text1"/>
          <w:lang w:val="en-GB"/>
        </w:rPr>
        <w:t>from</w:t>
      </w:r>
      <w:r w:rsidRPr="00793E90">
        <w:rPr>
          <w:rFonts w:ascii="Book Antiqua" w:hAnsi="Book Antiqua"/>
          <w:color w:val="000000" w:themeColor="text1"/>
          <w:lang w:val="en-GB"/>
        </w:rPr>
        <w:t xml:space="preserve"> patients with incidental anal </w:t>
      </w:r>
      <w:r w:rsidRPr="00793E90">
        <w:rPr>
          <w:rFonts w:ascii="Book Antiqua" w:hAnsi="Book Antiqua"/>
          <w:color w:val="000000" w:themeColor="text1"/>
          <w:vertAlign w:val="superscript"/>
          <w:lang w:val="en-GB"/>
        </w:rPr>
        <w:t>18</w:t>
      </w:r>
      <w:r w:rsidRPr="00793E90">
        <w:rPr>
          <w:rFonts w:ascii="Book Antiqua" w:hAnsi="Book Antiqua"/>
          <w:color w:val="000000" w:themeColor="text1"/>
          <w:lang w:val="en-GB"/>
        </w:rPr>
        <w:t xml:space="preserve">FDG uptake were analysed. Patients who underwent anorectal examinations were identified and compared to those who did not undergo examinations. Patients who were offered treatment were then identified and compared to those who did not receive treatment. Comparisons between patients were performed using the Wilcoxon test and the chi-squared test or Fisher’s exact test, as appropriate. A </w:t>
      </w:r>
      <w:r w:rsidRPr="00793E90">
        <w:rPr>
          <w:rFonts w:ascii="Book Antiqua" w:hAnsi="Book Antiqua"/>
          <w:i/>
          <w:iCs/>
          <w:color w:val="000000" w:themeColor="text1"/>
          <w:lang w:val="en-GB"/>
        </w:rPr>
        <w:t>P</w:t>
      </w:r>
      <w:r w:rsidRPr="00793E90">
        <w:rPr>
          <w:rFonts w:ascii="Book Antiqua" w:hAnsi="Book Antiqua"/>
          <w:color w:val="000000" w:themeColor="text1"/>
          <w:lang w:val="en-GB"/>
        </w:rPr>
        <w:t xml:space="preserve"> value &lt; 0.05 was considered statistically significant.</w:t>
      </w:r>
    </w:p>
    <w:p w14:paraId="47B6B56A" w14:textId="77777777" w:rsidR="00793E90" w:rsidRPr="00793E90" w:rsidRDefault="00793E90" w:rsidP="00793E90">
      <w:pPr>
        <w:adjustRightInd w:val="0"/>
        <w:snapToGrid w:val="0"/>
        <w:spacing w:after="0" w:line="360" w:lineRule="auto"/>
        <w:jc w:val="both"/>
        <w:rPr>
          <w:rFonts w:ascii="Book Antiqua" w:hAnsi="Book Antiqua"/>
          <w:color w:val="000000" w:themeColor="text1"/>
          <w:lang w:val="en-GB"/>
        </w:rPr>
      </w:pPr>
    </w:p>
    <w:p w14:paraId="475A885C" w14:textId="77777777" w:rsidR="00793E90" w:rsidRPr="00793E90" w:rsidRDefault="00793E90" w:rsidP="00793E90">
      <w:pPr>
        <w:adjustRightInd w:val="0"/>
        <w:snapToGrid w:val="0"/>
        <w:spacing w:after="0" w:line="360" w:lineRule="auto"/>
        <w:jc w:val="both"/>
        <w:rPr>
          <w:rFonts w:ascii="Book Antiqua" w:hAnsi="Book Antiqua"/>
          <w:b/>
          <w:bCs/>
          <w:i/>
          <w:iCs/>
          <w:lang w:val="en-US" w:eastAsia="zh-CN"/>
        </w:rPr>
      </w:pPr>
      <w:r w:rsidRPr="00793E90">
        <w:rPr>
          <w:rFonts w:ascii="Book Antiqua" w:hAnsi="Book Antiqua"/>
          <w:b/>
          <w:bCs/>
          <w:i/>
          <w:iCs/>
          <w:lang w:val="en-US" w:eastAsia="zh-CN"/>
        </w:rPr>
        <w:t>Research results</w:t>
      </w:r>
    </w:p>
    <w:p w14:paraId="772E1DFD" w14:textId="5B0ED255" w:rsidR="00793E90" w:rsidRPr="00793E90" w:rsidRDefault="00793E90" w:rsidP="00793E90">
      <w:pPr>
        <w:adjustRightInd w:val="0"/>
        <w:snapToGrid w:val="0"/>
        <w:spacing w:after="0" w:line="360" w:lineRule="auto"/>
        <w:jc w:val="both"/>
        <w:rPr>
          <w:rFonts w:ascii="Book Antiqua" w:hAnsi="Book Antiqua"/>
          <w:color w:val="000000" w:themeColor="text1"/>
          <w:lang w:val="en-GB"/>
        </w:rPr>
      </w:pPr>
      <w:r w:rsidRPr="00793E90">
        <w:rPr>
          <w:rFonts w:ascii="Book Antiqua" w:hAnsi="Book Antiqua"/>
          <w:bCs/>
          <w:color w:val="000000" w:themeColor="text1"/>
          <w:lang w:val="en-GB"/>
        </w:rPr>
        <w:t xml:space="preserve">Among the 43020 </w:t>
      </w:r>
      <w:r w:rsidRPr="00793E90">
        <w:rPr>
          <w:rFonts w:ascii="Book Antiqua" w:hAnsi="Book Antiqua"/>
          <w:bCs/>
          <w:color w:val="000000" w:themeColor="text1"/>
          <w:vertAlign w:val="superscript"/>
          <w:lang w:val="en-GB"/>
        </w:rPr>
        <w:t>18</w:t>
      </w:r>
      <w:r w:rsidRPr="00793E90">
        <w:rPr>
          <w:rFonts w:ascii="Book Antiqua" w:hAnsi="Book Antiqua"/>
          <w:bCs/>
          <w:color w:val="000000" w:themeColor="text1"/>
          <w:lang w:val="en-GB"/>
        </w:rPr>
        <w:t xml:space="preserve">FDG PET/CT scans performed, 197 </w:t>
      </w:r>
      <w:r w:rsidRPr="00793E90">
        <w:rPr>
          <w:rFonts w:ascii="Book Antiqua" w:hAnsi="Book Antiqua"/>
          <w:bCs/>
          <w:color w:val="000000" w:themeColor="text1"/>
          <w:vertAlign w:val="superscript"/>
          <w:lang w:val="en-GB"/>
        </w:rPr>
        <w:t>18</w:t>
      </w:r>
      <w:r w:rsidRPr="00793E90">
        <w:rPr>
          <w:rFonts w:ascii="Book Antiqua" w:hAnsi="Book Antiqua"/>
          <w:color w:val="000000" w:themeColor="text1"/>
          <w:lang w:val="en-GB"/>
        </w:rPr>
        <w:t xml:space="preserve">FDG PET/CT scans of 146 patients reported incidental anal uptake: the rate of incidental anal </w:t>
      </w:r>
      <w:r w:rsidRPr="00793E90">
        <w:rPr>
          <w:rFonts w:ascii="Book Antiqua" w:hAnsi="Book Antiqua"/>
          <w:color w:val="000000" w:themeColor="text1"/>
          <w:vertAlign w:val="superscript"/>
          <w:lang w:val="en-GB"/>
        </w:rPr>
        <w:t>18</w:t>
      </w:r>
      <w:r w:rsidRPr="00793E90">
        <w:rPr>
          <w:rFonts w:ascii="Book Antiqua" w:hAnsi="Book Antiqua"/>
          <w:color w:val="000000" w:themeColor="text1"/>
          <w:lang w:val="en-GB"/>
        </w:rPr>
        <w:t>FDG uptake was 0.45%. Among the 134 patients included, 48 (35.8%) patients underwent anorectal examinations and anorectal diseases were diagnosed in 33 (69.0%) of these patients haemorrhoidal disease (</w:t>
      </w:r>
      <w:r w:rsidRPr="00317E3D">
        <w:rPr>
          <w:rFonts w:ascii="Book Antiqua" w:hAnsi="Book Antiqua"/>
          <w:i/>
          <w:color w:val="000000" w:themeColor="text1"/>
          <w:lang w:val="en-GB"/>
        </w:rPr>
        <w:t>n</w:t>
      </w:r>
      <w:r w:rsidRPr="00793E90">
        <w:rPr>
          <w:rFonts w:ascii="Book Antiqua" w:hAnsi="Book Antiqua"/>
          <w:color w:val="000000" w:themeColor="text1"/>
          <w:lang w:val="en-GB"/>
        </w:rPr>
        <w:t xml:space="preserve"> = 22), anal fissure (</w:t>
      </w:r>
      <w:r w:rsidRPr="00317E3D">
        <w:rPr>
          <w:rFonts w:ascii="Book Antiqua" w:hAnsi="Book Antiqua"/>
          <w:i/>
          <w:color w:val="000000" w:themeColor="text1"/>
          <w:lang w:val="en-GB"/>
        </w:rPr>
        <w:t>n</w:t>
      </w:r>
      <w:r w:rsidRPr="00793E90">
        <w:rPr>
          <w:rFonts w:ascii="Book Antiqua" w:hAnsi="Book Antiqua"/>
          <w:color w:val="000000" w:themeColor="text1"/>
          <w:lang w:val="en-GB"/>
        </w:rPr>
        <w:t xml:space="preserve"> = 6), recurrence of rectal adenocarcinoma on the coloanal anastomosis (</w:t>
      </w:r>
      <w:r w:rsidRPr="00317E3D">
        <w:rPr>
          <w:rFonts w:ascii="Book Antiqua" w:hAnsi="Book Antiqua"/>
          <w:i/>
          <w:color w:val="000000" w:themeColor="text1"/>
          <w:lang w:val="en-GB"/>
        </w:rPr>
        <w:t>n</w:t>
      </w:r>
      <w:r w:rsidRPr="00793E90">
        <w:rPr>
          <w:rFonts w:ascii="Book Antiqua" w:hAnsi="Book Antiqua"/>
          <w:color w:val="000000" w:themeColor="text1"/>
          <w:lang w:val="en-GB"/>
        </w:rPr>
        <w:t xml:space="preserve"> = 1), condyloma (</w:t>
      </w:r>
      <w:r w:rsidRPr="00317E3D">
        <w:rPr>
          <w:rFonts w:ascii="Book Antiqua" w:hAnsi="Book Antiqua"/>
          <w:i/>
          <w:color w:val="000000" w:themeColor="text1"/>
          <w:lang w:val="en-GB"/>
        </w:rPr>
        <w:t xml:space="preserve">n </w:t>
      </w:r>
      <w:r w:rsidRPr="00793E90">
        <w:rPr>
          <w:rFonts w:ascii="Book Antiqua" w:hAnsi="Book Antiqua"/>
          <w:color w:val="000000" w:themeColor="text1"/>
          <w:lang w:val="en-GB"/>
        </w:rPr>
        <w:t>= 3), faecal impaction (</w:t>
      </w:r>
      <w:r w:rsidRPr="00317E3D">
        <w:rPr>
          <w:rFonts w:ascii="Book Antiqua" w:hAnsi="Book Antiqua"/>
          <w:i/>
          <w:color w:val="000000" w:themeColor="text1"/>
          <w:lang w:val="en-GB"/>
        </w:rPr>
        <w:t>n</w:t>
      </w:r>
      <w:r w:rsidRPr="00793E90">
        <w:rPr>
          <w:rFonts w:ascii="Book Antiqua" w:hAnsi="Book Antiqua"/>
          <w:color w:val="000000" w:themeColor="text1"/>
          <w:lang w:val="en-GB"/>
        </w:rPr>
        <w:t xml:space="preserve"> = 1), suppuration (</w:t>
      </w:r>
      <w:r w:rsidRPr="00317E3D">
        <w:rPr>
          <w:rFonts w:ascii="Book Antiqua" w:hAnsi="Book Antiqua"/>
          <w:i/>
          <w:color w:val="000000" w:themeColor="text1"/>
          <w:lang w:val="en-GB"/>
        </w:rPr>
        <w:t>n</w:t>
      </w:r>
      <w:r w:rsidRPr="00793E90">
        <w:rPr>
          <w:rFonts w:ascii="Book Antiqua" w:hAnsi="Book Antiqua"/>
          <w:color w:val="000000" w:themeColor="text1"/>
          <w:lang w:val="en-GB"/>
        </w:rPr>
        <w:t xml:space="preserve"> = 2) and solitary rectal ulcer syndrome (</w:t>
      </w:r>
      <w:r w:rsidRPr="00317E3D">
        <w:rPr>
          <w:rFonts w:ascii="Book Antiqua" w:hAnsi="Book Antiqua"/>
          <w:i/>
          <w:color w:val="000000" w:themeColor="text1"/>
          <w:lang w:val="en-GB"/>
        </w:rPr>
        <w:t>n</w:t>
      </w:r>
      <w:r w:rsidRPr="00793E90">
        <w:rPr>
          <w:rFonts w:ascii="Book Antiqua" w:hAnsi="Book Antiqua"/>
          <w:color w:val="000000" w:themeColor="text1"/>
          <w:lang w:val="en-GB"/>
        </w:rPr>
        <w:t xml:space="preserve"> = 1). Eighteen/48 (37.5%) received treatment. Among the examined patients, those with a pathology requiring treatment had significantly smaller metabolic volumes (MV) 30 and MV41</w:t>
      </w:r>
      <w:r w:rsidR="004B7E72">
        <w:rPr>
          <w:rFonts w:ascii="Book Antiqua" w:eastAsia="等线" w:hAnsi="Book Antiqua" w:hint="eastAsia"/>
          <w:color w:val="000000" w:themeColor="text1"/>
          <w:lang w:val="en-GB" w:eastAsia="zh-CN"/>
        </w:rPr>
        <w:t xml:space="preserve"> </w:t>
      </w:r>
      <w:r w:rsidRPr="00793E90">
        <w:rPr>
          <w:rFonts w:ascii="Book Antiqua" w:hAnsi="Book Antiqua"/>
          <w:color w:val="000000" w:themeColor="text1"/>
          <w:lang w:val="en-GB"/>
        </w:rPr>
        <w:t>values and higher maximal and mean standardized uptake value measurements than those who did not require treatment.</w:t>
      </w:r>
    </w:p>
    <w:p w14:paraId="3F417AAE" w14:textId="77777777" w:rsidR="00793E90" w:rsidRPr="00793E90" w:rsidRDefault="00793E90" w:rsidP="00793E90">
      <w:pPr>
        <w:adjustRightInd w:val="0"/>
        <w:snapToGrid w:val="0"/>
        <w:spacing w:after="0" w:line="360" w:lineRule="auto"/>
        <w:jc w:val="both"/>
        <w:rPr>
          <w:rFonts w:ascii="Book Antiqua" w:hAnsi="Book Antiqua" w:cs="Segoe UI"/>
          <w:color w:val="000000" w:themeColor="text1"/>
          <w:shd w:val="clear" w:color="auto" w:fill="FFFFFF"/>
          <w:lang w:val="en-US" w:eastAsia="zh-CN"/>
        </w:rPr>
      </w:pPr>
    </w:p>
    <w:p w14:paraId="4E0C4425" w14:textId="77777777" w:rsidR="00793E90" w:rsidRPr="00793E90" w:rsidRDefault="00793E90" w:rsidP="00793E90">
      <w:pPr>
        <w:adjustRightInd w:val="0"/>
        <w:snapToGrid w:val="0"/>
        <w:spacing w:after="0" w:line="360" w:lineRule="auto"/>
        <w:jc w:val="both"/>
        <w:rPr>
          <w:rFonts w:ascii="Book Antiqua" w:hAnsi="Book Antiqua"/>
          <w:b/>
          <w:bCs/>
          <w:i/>
          <w:iCs/>
          <w:lang w:val="en-US" w:eastAsia="zh-CN"/>
        </w:rPr>
      </w:pPr>
      <w:r w:rsidRPr="00793E90">
        <w:rPr>
          <w:rFonts w:ascii="Book Antiqua" w:hAnsi="Book Antiqua"/>
          <w:b/>
          <w:bCs/>
          <w:i/>
          <w:iCs/>
          <w:lang w:val="en-US" w:eastAsia="zh-CN"/>
        </w:rPr>
        <w:t>Research conclusions</w:t>
      </w:r>
    </w:p>
    <w:p w14:paraId="479F1E9A" w14:textId="77777777" w:rsidR="00793E90" w:rsidRPr="00793E90" w:rsidRDefault="00793E90" w:rsidP="00793E90">
      <w:pPr>
        <w:adjustRightInd w:val="0"/>
        <w:snapToGrid w:val="0"/>
        <w:spacing w:after="0" w:line="360" w:lineRule="auto"/>
        <w:jc w:val="both"/>
        <w:rPr>
          <w:rFonts w:ascii="Book Antiqua" w:hAnsi="Book Antiqua"/>
          <w:lang w:val="en-US"/>
        </w:rPr>
      </w:pPr>
      <w:r w:rsidRPr="00793E90">
        <w:rPr>
          <w:rFonts w:ascii="Book Antiqua" w:hAnsi="Book Antiqua"/>
          <w:lang w:val="en-US"/>
        </w:rPr>
        <w:t xml:space="preserve">Incidental anal </w:t>
      </w:r>
      <w:r w:rsidRPr="00793E90">
        <w:rPr>
          <w:rFonts w:ascii="Book Antiqua" w:hAnsi="Book Antiqua"/>
          <w:vertAlign w:val="superscript"/>
          <w:lang w:val="en-US"/>
        </w:rPr>
        <w:t>18</w:t>
      </w:r>
      <w:r w:rsidRPr="00793E90">
        <w:rPr>
          <w:rFonts w:ascii="Book Antiqua" w:hAnsi="Book Antiqua"/>
          <w:lang w:val="en-US"/>
        </w:rPr>
        <w:t xml:space="preserve">FDG uptake is a rare event and is </w:t>
      </w:r>
      <w:r w:rsidRPr="00793E90">
        <w:rPr>
          <w:rFonts w:ascii="Book Antiqua" w:eastAsia="Calibri" w:hAnsi="Book Antiqua"/>
          <w:lang w:val="en-US"/>
        </w:rPr>
        <w:t>rarely</w:t>
      </w:r>
      <w:r w:rsidRPr="00793E90">
        <w:rPr>
          <w:rFonts w:ascii="Book Antiqua" w:hAnsi="Book Antiqua"/>
          <w:lang w:val="en-US"/>
        </w:rPr>
        <w:t xml:space="preserve"> explored. However, when explored, a diagnosis is made in more than two</w:t>
      </w:r>
      <w:r w:rsidRPr="00793E90">
        <w:rPr>
          <w:rFonts w:ascii="Book Antiqua" w:eastAsia="Calibri" w:hAnsi="Book Antiqua"/>
          <w:lang w:val="en-US"/>
        </w:rPr>
        <w:t xml:space="preserve">-thirds </w:t>
      </w:r>
      <w:r w:rsidRPr="00793E90">
        <w:rPr>
          <w:rFonts w:ascii="Book Antiqua" w:hAnsi="Book Antiqua"/>
          <w:lang w:val="en-US"/>
        </w:rPr>
        <w:t>of the cases</w:t>
      </w:r>
      <w:r w:rsidRPr="00793E90">
        <w:rPr>
          <w:rFonts w:ascii="Book Antiqua" w:eastAsia="Calibri" w:hAnsi="Book Antiqua"/>
          <w:lang w:val="en-US"/>
        </w:rPr>
        <w:t>,</w:t>
      </w:r>
      <w:r w:rsidRPr="00793E90">
        <w:rPr>
          <w:rFonts w:ascii="Book Antiqua" w:hAnsi="Book Antiqua"/>
          <w:lang w:val="en-US"/>
        </w:rPr>
        <w:t xml:space="preserve"> and treatment is proposed in more than one-third of the cases. Some metabolic parameters associated with a therapeutic impact have been identified. These data should encourage </w:t>
      </w:r>
      <w:r w:rsidRPr="00793E90">
        <w:rPr>
          <w:rFonts w:ascii="Book Antiqua" w:hAnsi="Book Antiqua"/>
          <w:lang w:val="en-US"/>
        </w:rPr>
        <w:lastRenderedPageBreak/>
        <w:t xml:space="preserve">practitioners to explore incidental anal </w:t>
      </w:r>
      <w:r w:rsidRPr="00793E90">
        <w:rPr>
          <w:rFonts w:ascii="Book Antiqua" w:hAnsi="Book Antiqua"/>
          <w:vertAlign w:val="superscript"/>
          <w:lang w:val="en-US"/>
        </w:rPr>
        <w:t>18</w:t>
      </w:r>
      <w:r w:rsidRPr="00793E90">
        <w:rPr>
          <w:rFonts w:ascii="Book Antiqua" w:hAnsi="Book Antiqua"/>
          <w:lang w:val="en-US"/>
        </w:rPr>
        <w:t>FDG uptake systematically because some patients may recover well from an anal pathology.</w:t>
      </w:r>
    </w:p>
    <w:p w14:paraId="3E65C7A5" w14:textId="77777777" w:rsidR="00793E90" w:rsidRPr="00793E90" w:rsidRDefault="00793E90" w:rsidP="00793E90">
      <w:pPr>
        <w:adjustRightInd w:val="0"/>
        <w:snapToGrid w:val="0"/>
        <w:spacing w:after="0" w:line="360" w:lineRule="auto"/>
        <w:jc w:val="both"/>
        <w:rPr>
          <w:rFonts w:ascii="Book Antiqua" w:hAnsi="Book Antiqua" w:cs="Segoe UI"/>
          <w:color w:val="000000" w:themeColor="text1"/>
          <w:shd w:val="clear" w:color="auto" w:fill="FFFFFF"/>
          <w:lang w:val="en-US" w:eastAsia="zh-CN"/>
        </w:rPr>
      </w:pPr>
    </w:p>
    <w:p w14:paraId="61A8ECA4" w14:textId="77777777" w:rsidR="00793E90" w:rsidRPr="00793E90" w:rsidRDefault="00793E90" w:rsidP="00793E90">
      <w:pPr>
        <w:adjustRightInd w:val="0"/>
        <w:snapToGrid w:val="0"/>
        <w:spacing w:after="0" w:line="360" w:lineRule="auto"/>
        <w:jc w:val="both"/>
        <w:rPr>
          <w:rFonts w:ascii="Book Antiqua" w:hAnsi="Book Antiqua"/>
          <w:b/>
          <w:bCs/>
          <w:i/>
          <w:iCs/>
          <w:lang w:val="en-US" w:eastAsia="zh-CN"/>
        </w:rPr>
      </w:pPr>
      <w:r w:rsidRPr="00793E90">
        <w:rPr>
          <w:rFonts w:ascii="Book Antiqua" w:hAnsi="Book Antiqua"/>
          <w:b/>
          <w:bCs/>
          <w:i/>
          <w:iCs/>
          <w:lang w:val="en-US" w:eastAsia="zh-CN"/>
        </w:rPr>
        <w:t>Research perspectives</w:t>
      </w:r>
    </w:p>
    <w:p w14:paraId="288B3868" w14:textId="62A7F984" w:rsidR="00793E90" w:rsidRPr="004B7E72" w:rsidRDefault="00793E90" w:rsidP="00793E90">
      <w:pPr>
        <w:adjustRightInd w:val="0"/>
        <w:snapToGrid w:val="0"/>
        <w:spacing w:after="0" w:line="360" w:lineRule="auto"/>
        <w:jc w:val="both"/>
        <w:rPr>
          <w:rFonts w:ascii="Book Antiqua" w:eastAsia="等线" w:hAnsi="Book Antiqua"/>
          <w:lang w:val="en-US" w:eastAsia="zh-CN"/>
        </w:rPr>
      </w:pPr>
      <w:r w:rsidRPr="00793E90">
        <w:rPr>
          <w:rFonts w:ascii="Book Antiqua" w:hAnsi="Book Antiqua"/>
          <w:lang w:val="en-US"/>
        </w:rPr>
        <w:t xml:space="preserve">Further large-scale prospective studies are needed. We would like to investigate a control group of patients without anal </w:t>
      </w:r>
      <w:r w:rsidRPr="00793E90">
        <w:rPr>
          <w:rFonts w:ascii="Book Antiqua" w:hAnsi="Book Antiqua"/>
          <w:vertAlign w:val="superscript"/>
          <w:lang w:val="en-US"/>
        </w:rPr>
        <w:t>18</w:t>
      </w:r>
      <w:r w:rsidRPr="00793E90">
        <w:rPr>
          <w:rFonts w:ascii="Book Antiqua" w:hAnsi="Book Antiqua"/>
          <w:lang w:val="en-US"/>
        </w:rPr>
        <w:t xml:space="preserve">FDG uptake to better demonstrate the diagnostic and therapeutic impact of anal </w:t>
      </w:r>
      <w:r w:rsidRPr="00793E90">
        <w:rPr>
          <w:rFonts w:ascii="Book Antiqua" w:hAnsi="Book Antiqua"/>
          <w:vertAlign w:val="superscript"/>
          <w:lang w:val="en-US"/>
        </w:rPr>
        <w:t>18</w:t>
      </w:r>
      <w:r w:rsidRPr="00793E90">
        <w:rPr>
          <w:rFonts w:ascii="Book Antiqua" w:hAnsi="Book Antiqua"/>
          <w:lang w:val="en-US"/>
        </w:rPr>
        <w:t>FDG uptake</w:t>
      </w:r>
      <w:r w:rsidR="004B7E72">
        <w:rPr>
          <w:rFonts w:ascii="Book Antiqua" w:eastAsia="等线" w:hAnsi="Book Antiqua" w:hint="eastAsia"/>
          <w:lang w:val="en-US" w:eastAsia="zh-CN"/>
        </w:rPr>
        <w:t>.</w:t>
      </w:r>
    </w:p>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14:paraId="7FFFA5AD" w14:textId="77777777" w:rsidR="00793E90" w:rsidRPr="00793E90" w:rsidRDefault="00793E90" w:rsidP="00793E90">
      <w:pPr>
        <w:adjustRightInd w:val="0"/>
        <w:snapToGrid w:val="0"/>
        <w:spacing w:after="0" w:line="360" w:lineRule="auto"/>
        <w:jc w:val="both"/>
        <w:rPr>
          <w:rFonts w:ascii="Book Antiqua" w:hAnsi="Book Antiqua"/>
          <w:b/>
          <w:bCs/>
          <w:lang w:val="en-GB"/>
        </w:rPr>
      </w:pPr>
      <w:r w:rsidRPr="00793E90">
        <w:rPr>
          <w:rFonts w:ascii="Book Antiqua" w:hAnsi="Book Antiqua"/>
          <w:b/>
          <w:bCs/>
          <w:lang w:val="en-GB"/>
        </w:rPr>
        <w:br w:type="page"/>
      </w:r>
    </w:p>
    <w:p w14:paraId="0D83CB06" w14:textId="77777777" w:rsidR="00793E90" w:rsidRPr="00793E90" w:rsidRDefault="00793E90" w:rsidP="00793E90">
      <w:pPr>
        <w:adjustRightInd w:val="0"/>
        <w:snapToGrid w:val="0"/>
        <w:spacing w:after="0" w:line="360" w:lineRule="auto"/>
        <w:jc w:val="both"/>
        <w:rPr>
          <w:rFonts w:ascii="Book Antiqua" w:hAnsi="Book Antiqua"/>
          <w:lang w:val="en-GB"/>
        </w:rPr>
      </w:pPr>
      <w:r w:rsidRPr="00793E90">
        <w:rPr>
          <w:rFonts w:ascii="Book Antiqua" w:hAnsi="Book Antiqua"/>
          <w:b/>
          <w:bCs/>
          <w:lang w:val="en-GB"/>
        </w:rPr>
        <w:lastRenderedPageBreak/>
        <w:t>REFERENCES</w:t>
      </w:r>
    </w:p>
    <w:p w14:paraId="727BB0F6"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bookmarkStart w:id="90" w:name="OLE_LINK46"/>
      <w:bookmarkStart w:id="91" w:name="OLE_LINK45"/>
      <w:r w:rsidRPr="00A6256F">
        <w:rPr>
          <w:rFonts w:ascii="Book Antiqua" w:eastAsia="宋体" w:hAnsi="Book Antiqua"/>
          <w:kern w:val="2"/>
          <w:lang w:val="en-US" w:eastAsia="zh-CN"/>
        </w:rPr>
        <w:t xml:space="preserve">1 </w:t>
      </w:r>
      <w:proofErr w:type="spellStart"/>
      <w:r w:rsidRPr="00A6256F">
        <w:rPr>
          <w:rFonts w:ascii="Book Antiqua" w:eastAsia="宋体" w:hAnsi="Book Antiqua"/>
          <w:b/>
          <w:kern w:val="2"/>
          <w:lang w:val="en-US" w:eastAsia="zh-CN"/>
        </w:rPr>
        <w:t>Boellaard</w:t>
      </w:r>
      <w:proofErr w:type="spellEnd"/>
      <w:r w:rsidRPr="00A6256F">
        <w:rPr>
          <w:rFonts w:ascii="Book Antiqua" w:eastAsia="宋体" w:hAnsi="Book Antiqua"/>
          <w:b/>
          <w:kern w:val="2"/>
          <w:lang w:val="en-US" w:eastAsia="zh-CN"/>
        </w:rPr>
        <w:t xml:space="preserve"> R</w:t>
      </w:r>
      <w:r w:rsidRPr="00A6256F">
        <w:rPr>
          <w:rFonts w:ascii="Book Antiqua" w:eastAsia="宋体" w:hAnsi="Book Antiqua"/>
          <w:kern w:val="2"/>
          <w:lang w:val="en-US" w:eastAsia="zh-CN"/>
        </w:rPr>
        <w:t xml:space="preserve">, Delgado-Bolton R, Oyen WJ, </w:t>
      </w:r>
      <w:proofErr w:type="spellStart"/>
      <w:r w:rsidRPr="00A6256F">
        <w:rPr>
          <w:rFonts w:ascii="Book Antiqua" w:eastAsia="宋体" w:hAnsi="Book Antiqua"/>
          <w:kern w:val="2"/>
          <w:lang w:val="en-US" w:eastAsia="zh-CN"/>
        </w:rPr>
        <w:t>Giammarile</w:t>
      </w:r>
      <w:proofErr w:type="spellEnd"/>
      <w:r w:rsidRPr="00A6256F">
        <w:rPr>
          <w:rFonts w:ascii="Book Antiqua" w:eastAsia="宋体" w:hAnsi="Book Antiqua"/>
          <w:kern w:val="2"/>
          <w:lang w:val="en-US" w:eastAsia="zh-CN"/>
        </w:rPr>
        <w:t xml:space="preserve"> F, Tatsch K, </w:t>
      </w:r>
      <w:proofErr w:type="spellStart"/>
      <w:r w:rsidRPr="00A6256F">
        <w:rPr>
          <w:rFonts w:ascii="Book Antiqua" w:eastAsia="宋体" w:hAnsi="Book Antiqua"/>
          <w:kern w:val="2"/>
          <w:lang w:val="en-US" w:eastAsia="zh-CN"/>
        </w:rPr>
        <w:t>Eschner</w:t>
      </w:r>
      <w:proofErr w:type="spellEnd"/>
      <w:r w:rsidRPr="00A6256F">
        <w:rPr>
          <w:rFonts w:ascii="Book Antiqua" w:eastAsia="宋体" w:hAnsi="Book Antiqua"/>
          <w:kern w:val="2"/>
          <w:lang w:val="en-US" w:eastAsia="zh-CN"/>
        </w:rPr>
        <w:t xml:space="preserve"> W, </w:t>
      </w:r>
      <w:proofErr w:type="spellStart"/>
      <w:r w:rsidRPr="00A6256F">
        <w:rPr>
          <w:rFonts w:ascii="Book Antiqua" w:eastAsia="宋体" w:hAnsi="Book Antiqua"/>
          <w:kern w:val="2"/>
          <w:lang w:val="en-US" w:eastAsia="zh-CN"/>
        </w:rPr>
        <w:t>Verzijlbergen</w:t>
      </w:r>
      <w:proofErr w:type="spellEnd"/>
      <w:r w:rsidRPr="00A6256F">
        <w:rPr>
          <w:rFonts w:ascii="Book Antiqua" w:eastAsia="宋体" w:hAnsi="Book Antiqua"/>
          <w:kern w:val="2"/>
          <w:lang w:val="en-US" w:eastAsia="zh-CN"/>
        </w:rPr>
        <w:t xml:space="preserve"> FJ, Barrington SF, Pike LC, Weber WA, </w:t>
      </w:r>
      <w:proofErr w:type="spellStart"/>
      <w:r w:rsidRPr="00A6256F">
        <w:rPr>
          <w:rFonts w:ascii="Book Antiqua" w:eastAsia="宋体" w:hAnsi="Book Antiqua"/>
          <w:kern w:val="2"/>
          <w:lang w:val="en-US" w:eastAsia="zh-CN"/>
        </w:rPr>
        <w:t>Stroobants</w:t>
      </w:r>
      <w:proofErr w:type="spellEnd"/>
      <w:r w:rsidRPr="00A6256F">
        <w:rPr>
          <w:rFonts w:ascii="Book Antiqua" w:eastAsia="宋体" w:hAnsi="Book Antiqua"/>
          <w:kern w:val="2"/>
          <w:lang w:val="en-US" w:eastAsia="zh-CN"/>
        </w:rPr>
        <w:t xml:space="preserve"> S, </w:t>
      </w:r>
      <w:proofErr w:type="spellStart"/>
      <w:r w:rsidRPr="00A6256F">
        <w:rPr>
          <w:rFonts w:ascii="Book Antiqua" w:eastAsia="宋体" w:hAnsi="Book Antiqua"/>
          <w:kern w:val="2"/>
          <w:lang w:val="en-US" w:eastAsia="zh-CN"/>
        </w:rPr>
        <w:t>Delbeke</w:t>
      </w:r>
      <w:proofErr w:type="spellEnd"/>
      <w:r w:rsidRPr="00A6256F">
        <w:rPr>
          <w:rFonts w:ascii="Book Antiqua" w:eastAsia="宋体" w:hAnsi="Book Antiqua"/>
          <w:kern w:val="2"/>
          <w:lang w:val="en-US" w:eastAsia="zh-CN"/>
        </w:rPr>
        <w:t xml:space="preserve"> D, Donohoe KJ, Holbrook S, Graham MM, </w:t>
      </w:r>
      <w:proofErr w:type="spellStart"/>
      <w:r w:rsidRPr="00A6256F">
        <w:rPr>
          <w:rFonts w:ascii="Book Antiqua" w:eastAsia="宋体" w:hAnsi="Book Antiqua"/>
          <w:kern w:val="2"/>
          <w:lang w:val="en-US" w:eastAsia="zh-CN"/>
        </w:rPr>
        <w:t>Testanera</w:t>
      </w:r>
      <w:proofErr w:type="spellEnd"/>
      <w:r w:rsidRPr="00A6256F">
        <w:rPr>
          <w:rFonts w:ascii="Book Antiqua" w:eastAsia="宋体" w:hAnsi="Book Antiqua"/>
          <w:kern w:val="2"/>
          <w:lang w:val="en-US" w:eastAsia="zh-CN"/>
        </w:rPr>
        <w:t xml:space="preserve"> G, Hoekstra OS, </w:t>
      </w:r>
      <w:proofErr w:type="spellStart"/>
      <w:r w:rsidRPr="00A6256F">
        <w:rPr>
          <w:rFonts w:ascii="Book Antiqua" w:eastAsia="宋体" w:hAnsi="Book Antiqua"/>
          <w:kern w:val="2"/>
          <w:lang w:val="en-US" w:eastAsia="zh-CN"/>
        </w:rPr>
        <w:t>Zijlstra</w:t>
      </w:r>
      <w:proofErr w:type="spellEnd"/>
      <w:r w:rsidRPr="00A6256F">
        <w:rPr>
          <w:rFonts w:ascii="Book Antiqua" w:eastAsia="宋体" w:hAnsi="Book Antiqua"/>
          <w:kern w:val="2"/>
          <w:lang w:val="en-US" w:eastAsia="zh-CN"/>
        </w:rPr>
        <w:t xml:space="preserve"> J, Visser E, Hoekstra CJ, </w:t>
      </w:r>
      <w:proofErr w:type="spellStart"/>
      <w:r w:rsidRPr="00A6256F">
        <w:rPr>
          <w:rFonts w:ascii="Book Antiqua" w:eastAsia="宋体" w:hAnsi="Book Antiqua"/>
          <w:kern w:val="2"/>
          <w:lang w:val="en-US" w:eastAsia="zh-CN"/>
        </w:rPr>
        <w:t>Pruim</w:t>
      </w:r>
      <w:proofErr w:type="spellEnd"/>
      <w:r w:rsidRPr="00A6256F">
        <w:rPr>
          <w:rFonts w:ascii="Book Antiqua" w:eastAsia="宋体" w:hAnsi="Book Antiqua"/>
          <w:kern w:val="2"/>
          <w:lang w:val="en-US" w:eastAsia="zh-CN"/>
        </w:rPr>
        <w:t xml:space="preserve"> J, Willemsen A, Arends B, </w:t>
      </w:r>
      <w:proofErr w:type="spellStart"/>
      <w:r w:rsidRPr="00A6256F">
        <w:rPr>
          <w:rFonts w:ascii="Book Antiqua" w:eastAsia="宋体" w:hAnsi="Book Antiqua"/>
          <w:kern w:val="2"/>
          <w:lang w:val="en-US" w:eastAsia="zh-CN"/>
        </w:rPr>
        <w:t>Kotzerke</w:t>
      </w:r>
      <w:proofErr w:type="spellEnd"/>
      <w:r w:rsidRPr="00A6256F">
        <w:rPr>
          <w:rFonts w:ascii="Book Antiqua" w:eastAsia="宋体" w:hAnsi="Book Antiqua"/>
          <w:kern w:val="2"/>
          <w:lang w:val="en-US" w:eastAsia="zh-CN"/>
        </w:rPr>
        <w:t xml:space="preserve"> J, </w:t>
      </w:r>
      <w:proofErr w:type="spellStart"/>
      <w:r w:rsidRPr="00A6256F">
        <w:rPr>
          <w:rFonts w:ascii="Book Antiqua" w:eastAsia="宋体" w:hAnsi="Book Antiqua"/>
          <w:kern w:val="2"/>
          <w:lang w:val="en-US" w:eastAsia="zh-CN"/>
        </w:rPr>
        <w:t>Bockisch</w:t>
      </w:r>
      <w:proofErr w:type="spellEnd"/>
      <w:r w:rsidRPr="00A6256F">
        <w:rPr>
          <w:rFonts w:ascii="Book Antiqua" w:eastAsia="宋体" w:hAnsi="Book Antiqua"/>
          <w:kern w:val="2"/>
          <w:lang w:val="en-US" w:eastAsia="zh-CN"/>
        </w:rPr>
        <w:t xml:space="preserve"> A, Beyer T, </w:t>
      </w:r>
      <w:proofErr w:type="spellStart"/>
      <w:r w:rsidRPr="00A6256F">
        <w:rPr>
          <w:rFonts w:ascii="Book Antiqua" w:eastAsia="宋体" w:hAnsi="Book Antiqua"/>
          <w:kern w:val="2"/>
          <w:lang w:val="en-US" w:eastAsia="zh-CN"/>
        </w:rPr>
        <w:t>Chiti</w:t>
      </w:r>
      <w:proofErr w:type="spellEnd"/>
      <w:r w:rsidRPr="00A6256F">
        <w:rPr>
          <w:rFonts w:ascii="Book Antiqua" w:eastAsia="宋体" w:hAnsi="Book Antiqua"/>
          <w:kern w:val="2"/>
          <w:lang w:val="en-US" w:eastAsia="zh-CN"/>
        </w:rPr>
        <w:t xml:space="preserve"> A, Krause BJ; European Association of Nuclear Medicine (EANM). FDG PET/CT: EANM procedure guidelines for </w:t>
      </w:r>
      <w:proofErr w:type="spellStart"/>
      <w:r w:rsidRPr="00A6256F">
        <w:rPr>
          <w:rFonts w:ascii="Book Antiqua" w:eastAsia="宋体" w:hAnsi="Book Antiqua"/>
          <w:kern w:val="2"/>
          <w:lang w:val="en-US" w:eastAsia="zh-CN"/>
        </w:rPr>
        <w:t>tumour</w:t>
      </w:r>
      <w:proofErr w:type="spellEnd"/>
      <w:r w:rsidRPr="00A6256F">
        <w:rPr>
          <w:rFonts w:ascii="Book Antiqua" w:eastAsia="宋体" w:hAnsi="Book Antiqua"/>
          <w:kern w:val="2"/>
          <w:lang w:val="en-US" w:eastAsia="zh-CN"/>
        </w:rPr>
        <w:t xml:space="preserve"> imaging: version 2.0. </w:t>
      </w:r>
      <w:r w:rsidRPr="00A6256F">
        <w:rPr>
          <w:rFonts w:ascii="Book Antiqua" w:eastAsia="宋体" w:hAnsi="Book Antiqua"/>
          <w:i/>
          <w:kern w:val="2"/>
          <w:lang w:val="en-US" w:eastAsia="zh-CN"/>
        </w:rPr>
        <w:t xml:space="preserve">Eur J </w:t>
      </w:r>
      <w:proofErr w:type="spellStart"/>
      <w:r w:rsidRPr="00A6256F">
        <w:rPr>
          <w:rFonts w:ascii="Book Antiqua" w:eastAsia="宋体" w:hAnsi="Book Antiqua"/>
          <w:i/>
          <w:kern w:val="2"/>
          <w:lang w:val="en-US" w:eastAsia="zh-CN"/>
        </w:rPr>
        <w:t>Nucl</w:t>
      </w:r>
      <w:proofErr w:type="spellEnd"/>
      <w:r w:rsidRPr="00A6256F">
        <w:rPr>
          <w:rFonts w:ascii="Book Antiqua" w:eastAsia="宋体" w:hAnsi="Book Antiqua"/>
          <w:i/>
          <w:kern w:val="2"/>
          <w:lang w:val="en-US" w:eastAsia="zh-CN"/>
        </w:rPr>
        <w:t xml:space="preserve"> Med Mol Imaging</w:t>
      </w:r>
      <w:r w:rsidRPr="00A6256F">
        <w:rPr>
          <w:rFonts w:ascii="Book Antiqua" w:eastAsia="宋体" w:hAnsi="Book Antiqua"/>
          <w:kern w:val="2"/>
          <w:lang w:val="en-US" w:eastAsia="zh-CN"/>
        </w:rPr>
        <w:t xml:space="preserve"> 2015; </w:t>
      </w:r>
      <w:r w:rsidRPr="00A6256F">
        <w:rPr>
          <w:rFonts w:ascii="Book Antiqua" w:eastAsia="宋体" w:hAnsi="Book Antiqua"/>
          <w:b/>
          <w:kern w:val="2"/>
          <w:lang w:val="en-US" w:eastAsia="zh-CN"/>
        </w:rPr>
        <w:t>42</w:t>
      </w:r>
      <w:r w:rsidRPr="00A6256F">
        <w:rPr>
          <w:rFonts w:ascii="Book Antiqua" w:eastAsia="宋体" w:hAnsi="Book Antiqua"/>
          <w:kern w:val="2"/>
          <w:lang w:val="en-US" w:eastAsia="zh-CN"/>
        </w:rPr>
        <w:t>: 328-354 [PMID: 25452219 DOI: 10.1007/s00259-014-2961-x]</w:t>
      </w:r>
    </w:p>
    <w:p w14:paraId="0E40BC1D"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2 </w:t>
      </w:r>
      <w:r w:rsidRPr="00A6256F">
        <w:rPr>
          <w:rFonts w:ascii="Book Antiqua" w:eastAsia="宋体" w:hAnsi="Book Antiqua"/>
          <w:b/>
          <w:kern w:val="2"/>
          <w:lang w:val="en-US" w:eastAsia="zh-CN"/>
        </w:rPr>
        <w:t>Jamar F</w:t>
      </w:r>
      <w:r w:rsidRPr="00A6256F">
        <w:rPr>
          <w:rFonts w:ascii="Book Antiqua" w:eastAsia="宋体" w:hAnsi="Book Antiqua"/>
          <w:kern w:val="2"/>
          <w:lang w:val="en-US" w:eastAsia="zh-CN"/>
        </w:rPr>
        <w:t xml:space="preserve">, </w:t>
      </w:r>
      <w:proofErr w:type="spellStart"/>
      <w:r w:rsidRPr="00A6256F">
        <w:rPr>
          <w:rFonts w:ascii="Book Antiqua" w:eastAsia="宋体" w:hAnsi="Book Antiqua"/>
          <w:kern w:val="2"/>
          <w:lang w:val="en-US" w:eastAsia="zh-CN"/>
        </w:rPr>
        <w:t>Buscombe</w:t>
      </w:r>
      <w:proofErr w:type="spellEnd"/>
      <w:r w:rsidRPr="00A6256F">
        <w:rPr>
          <w:rFonts w:ascii="Book Antiqua" w:eastAsia="宋体" w:hAnsi="Book Antiqua"/>
          <w:kern w:val="2"/>
          <w:lang w:val="en-US" w:eastAsia="zh-CN"/>
        </w:rPr>
        <w:t xml:space="preserve"> J, </w:t>
      </w:r>
      <w:proofErr w:type="spellStart"/>
      <w:r w:rsidRPr="00A6256F">
        <w:rPr>
          <w:rFonts w:ascii="Book Antiqua" w:eastAsia="宋体" w:hAnsi="Book Antiqua"/>
          <w:kern w:val="2"/>
          <w:lang w:val="en-US" w:eastAsia="zh-CN"/>
        </w:rPr>
        <w:t>Chiti</w:t>
      </w:r>
      <w:proofErr w:type="spellEnd"/>
      <w:r w:rsidRPr="00A6256F">
        <w:rPr>
          <w:rFonts w:ascii="Book Antiqua" w:eastAsia="宋体" w:hAnsi="Book Antiqua"/>
          <w:kern w:val="2"/>
          <w:lang w:val="en-US" w:eastAsia="zh-CN"/>
        </w:rPr>
        <w:t xml:space="preserve"> A, Christian PE, </w:t>
      </w:r>
      <w:proofErr w:type="spellStart"/>
      <w:r w:rsidRPr="00A6256F">
        <w:rPr>
          <w:rFonts w:ascii="Book Antiqua" w:eastAsia="宋体" w:hAnsi="Book Antiqua"/>
          <w:kern w:val="2"/>
          <w:lang w:val="en-US" w:eastAsia="zh-CN"/>
        </w:rPr>
        <w:t>Delbeke</w:t>
      </w:r>
      <w:proofErr w:type="spellEnd"/>
      <w:r w:rsidRPr="00A6256F">
        <w:rPr>
          <w:rFonts w:ascii="Book Antiqua" w:eastAsia="宋体" w:hAnsi="Book Antiqua"/>
          <w:kern w:val="2"/>
          <w:lang w:val="en-US" w:eastAsia="zh-CN"/>
        </w:rPr>
        <w:t xml:space="preserve"> D, Donohoe KJ, Israel O, Martin-Comin J, Signore A. EANM/SNMMI guideline for 18F-FDG use in inflammation and infection. </w:t>
      </w:r>
      <w:r w:rsidRPr="00A6256F">
        <w:rPr>
          <w:rFonts w:ascii="Book Antiqua" w:eastAsia="宋体" w:hAnsi="Book Antiqua"/>
          <w:i/>
          <w:kern w:val="2"/>
          <w:lang w:val="en-US" w:eastAsia="zh-CN"/>
        </w:rPr>
        <w:t xml:space="preserve">J </w:t>
      </w:r>
      <w:proofErr w:type="spellStart"/>
      <w:r w:rsidRPr="00A6256F">
        <w:rPr>
          <w:rFonts w:ascii="Book Antiqua" w:eastAsia="宋体" w:hAnsi="Book Antiqua"/>
          <w:i/>
          <w:kern w:val="2"/>
          <w:lang w:val="en-US" w:eastAsia="zh-CN"/>
        </w:rPr>
        <w:t>Nucl</w:t>
      </w:r>
      <w:proofErr w:type="spellEnd"/>
      <w:r w:rsidRPr="00A6256F">
        <w:rPr>
          <w:rFonts w:ascii="Book Antiqua" w:eastAsia="宋体" w:hAnsi="Book Antiqua"/>
          <w:i/>
          <w:kern w:val="2"/>
          <w:lang w:val="en-US" w:eastAsia="zh-CN"/>
        </w:rPr>
        <w:t xml:space="preserve"> Med</w:t>
      </w:r>
      <w:r w:rsidRPr="00A6256F">
        <w:rPr>
          <w:rFonts w:ascii="Book Antiqua" w:eastAsia="宋体" w:hAnsi="Book Antiqua"/>
          <w:kern w:val="2"/>
          <w:lang w:val="en-US" w:eastAsia="zh-CN"/>
        </w:rPr>
        <w:t xml:space="preserve"> 2013; </w:t>
      </w:r>
      <w:r w:rsidRPr="00A6256F">
        <w:rPr>
          <w:rFonts w:ascii="Book Antiqua" w:eastAsia="宋体" w:hAnsi="Book Antiqua"/>
          <w:b/>
          <w:kern w:val="2"/>
          <w:lang w:val="en-US" w:eastAsia="zh-CN"/>
        </w:rPr>
        <w:t>54</w:t>
      </w:r>
      <w:r w:rsidRPr="00A6256F">
        <w:rPr>
          <w:rFonts w:ascii="Book Antiqua" w:eastAsia="宋体" w:hAnsi="Book Antiqua"/>
          <w:kern w:val="2"/>
          <w:lang w:val="en-US" w:eastAsia="zh-CN"/>
        </w:rPr>
        <w:t>: 647-658 [PMID: 23359660 DOI: 10.2967/jnumed.112.112524]</w:t>
      </w:r>
    </w:p>
    <w:p w14:paraId="647D69D8"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3 </w:t>
      </w:r>
      <w:proofErr w:type="spellStart"/>
      <w:r w:rsidRPr="00A6256F">
        <w:rPr>
          <w:rFonts w:ascii="Book Antiqua" w:eastAsia="宋体" w:hAnsi="Book Antiqua"/>
          <w:b/>
          <w:kern w:val="2"/>
          <w:lang w:val="en-US" w:eastAsia="zh-CN"/>
        </w:rPr>
        <w:t>Agress</w:t>
      </w:r>
      <w:proofErr w:type="spellEnd"/>
      <w:r w:rsidRPr="00A6256F">
        <w:rPr>
          <w:rFonts w:ascii="Book Antiqua" w:eastAsia="宋体" w:hAnsi="Book Antiqua"/>
          <w:b/>
          <w:kern w:val="2"/>
          <w:lang w:val="en-US" w:eastAsia="zh-CN"/>
        </w:rPr>
        <w:t xml:space="preserve"> H Jr</w:t>
      </w:r>
      <w:r w:rsidRPr="00A6256F">
        <w:rPr>
          <w:rFonts w:ascii="Book Antiqua" w:eastAsia="宋体" w:hAnsi="Book Antiqua"/>
          <w:kern w:val="2"/>
          <w:lang w:val="en-US" w:eastAsia="zh-CN"/>
        </w:rPr>
        <w:t xml:space="preserve">, Cooper BZ. Detection of clinically unexpected malignant and premalignant tumors with whole-body FDG PET: histopathologic comparison. </w:t>
      </w:r>
      <w:r w:rsidRPr="00A6256F">
        <w:rPr>
          <w:rFonts w:ascii="Book Antiqua" w:eastAsia="宋体" w:hAnsi="Book Antiqua"/>
          <w:i/>
          <w:kern w:val="2"/>
          <w:lang w:val="en-US" w:eastAsia="zh-CN"/>
        </w:rPr>
        <w:t>Radiology</w:t>
      </w:r>
      <w:r w:rsidRPr="00A6256F">
        <w:rPr>
          <w:rFonts w:ascii="Book Antiqua" w:eastAsia="宋体" w:hAnsi="Book Antiqua"/>
          <w:kern w:val="2"/>
          <w:lang w:val="en-US" w:eastAsia="zh-CN"/>
        </w:rPr>
        <w:t xml:space="preserve"> 2004; </w:t>
      </w:r>
      <w:r w:rsidRPr="00A6256F">
        <w:rPr>
          <w:rFonts w:ascii="Book Antiqua" w:eastAsia="宋体" w:hAnsi="Book Antiqua"/>
          <w:b/>
          <w:kern w:val="2"/>
          <w:lang w:val="en-US" w:eastAsia="zh-CN"/>
        </w:rPr>
        <w:t>230</w:t>
      </w:r>
      <w:r w:rsidRPr="00A6256F">
        <w:rPr>
          <w:rFonts w:ascii="Book Antiqua" w:eastAsia="宋体" w:hAnsi="Book Antiqua"/>
          <w:kern w:val="2"/>
          <w:lang w:val="en-US" w:eastAsia="zh-CN"/>
        </w:rPr>
        <w:t>: 417-422 [PMID: 14699176 DOI: 10.1148/radiol.2302021685]</w:t>
      </w:r>
    </w:p>
    <w:p w14:paraId="3A525DFC"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4 </w:t>
      </w:r>
      <w:r w:rsidRPr="00A6256F">
        <w:rPr>
          <w:rFonts w:ascii="Book Antiqua" w:eastAsia="宋体" w:hAnsi="Book Antiqua"/>
          <w:b/>
          <w:kern w:val="2"/>
          <w:lang w:val="en-US" w:eastAsia="zh-CN"/>
        </w:rPr>
        <w:t>Even-Sapir E</w:t>
      </w:r>
      <w:r w:rsidRPr="00A6256F">
        <w:rPr>
          <w:rFonts w:ascii="Book Antiqua" w:eastAsia="宋体" w:hAnsi="Book Antiqua"/>
          <w:kern w:val="2"/>
          <w:lang w:val="en-US" w:eastAsia="zh-CN"/>
        </w:rPr>
        <w:t xml:space="preserve">, </w:t>
      </w:r>
      <w:proofErr w:type="spellStart"/>
      <w:r w:rsidRPr="00A6256F">
        <w:rPr>
          <w:rFonts w:ascii="Book Antiqua" w:eastAsia="宋体" w:hAnsi="Book Antiqua"/>
          <w:kern w:val="2"/>
          <w:lang w:val="en-US" w:eastAsia="zh-CN"/>
        </w:rPr>
        <w:t>Lerman</w:t>
      </w:r>
      <w:proofErr w:type="spellEnd"/>
      <w:r w:rsidRPr="00A6256F">
        <w:rPr>
          <w:rFonts w:ascii="Book Antiqua" w:eastAsia="宋体" w:hAnsi="Book Antiqua"/>
          <w:kern w:val="2"/>
          <w:lang w:val="en-US" w:eastAsia="zh-CN"/>
        </w:rPr>
        <w:t xml:space="preserve"> H, Gutman M, </w:t>
      </w:r>
      <w:proofErr w:type="spellStart"/>
      <w:r w:rsidRPr="00A6256F">
        <w:rPr>
          <w:rFonts w:ascii="Book Antiqua" w:eastAsia="宋体" w:hAnsi="Book Antiqua"/>
          <w:kern w:val="2"/>
          <w:lang w:val="en-US" w:eastAsia="zh-CN"/>
        </w:rPr>
        <w:t>Lievshitz</w:t>
      </w:r>
      <w:proofErr w:type="spellEnd"/>
      <w:r w:rsidRPr="00A6256F">
        <w:rPr>
          <w:rFonts w:ascii="Book Antiqua" w:eastAsia="宋体" w:hAnsi="Book Antiqua"/>
          <w:kern w:val="2"/>
          <w:lang w:val="en-US" w:eastAsia="zh-CN"/>
        </w:rPr>
        <w:t xml:space="preserve"> G, </w:t>
      </w:r>
      <w:proofErr w:type="spellStart"/>
      <w:r w:rsidRPr="00A6256F">
        <w:rPr>
          <w:rFonts w:ascii="Book Antiqua" w:eastAsia="宋体" w:hAnsi="Book Antiqua"/>
          <w:kern w:val="2"/>
          <w:lang w:val="en-US" w:eastAsia="zh-CN"/>
        </w:rPr>
        <w:t>Zuriel</w:t>
      </w:r>
      <w:proofErr w:type="spellEnd"/>
      <w:r w:rsidRPr="00A6256F">
        <w:rPr>
          <w:rFonts w:ascii="Book Antiqua" w:eastAsia="宋体" w:hAnsi="Book Antiqua"/>
          <w:kern w:val="2"/>
          <w:lang w:val="en-US" w:eastAsia="zh-CN"/>
        </w:rPr>
        <w:t xml:space="preserve"> L, </w:t>
      </w:r>
      <w:proofErr w:type="spellStart"/>
      <w:r w:rsidRPr="00A6256F">
        <w:rPr>
          <w:rFonts w:ascii="Book Antiqua" w:eastAsia="宋体" w:hAnsi="Book Antiqua"/>
          <w:kern w:val="2"/>
          <w:lang w:val="en-US" w:eastAsia="zh-CN"/>
        </w:rPr>
        <w:t>Polliack</w:t>
      </w:r>
      <w:proofErr w:type="spellEnd"/>
      <w:r w:rsidRPr="00A6256F">
        <w:rPr>
          <w:rFonts w:ascii="Book Antiqua" w:eastAsia="宋体" w:hAnsi="Book Antiqua"/>
          <w:kern w:val="2"/>
          <w:lang w:val="en-US" w:eastAsia="zh-CN"/>
        </w:rPr>
        <w:t xml:space="preserve"> A, Inbar M, </w:t>
      </w:r>
      <w:proofErr w:type="spellStart"/>
      <w:r w:rsidRPr="00A6256F">
        <w:rPr>
          <w:rFonts w:ascii="Book Antiqua" w:eastAsia="宋体" w:hAnsi="Book Antiqua"/>
          <w:kern w:val="2"/>
          <w:lang w:val="en-US" w:eastAsia="zh-CN"/>
        </w:rPr>
        <w:t>Metser</w:t>
      </w:r>
      <w:proofErr w:type="spellEnd"/>
      <w:r w:rsidRPr="00A6256F">
        <w:rPr>
          <w:rFonts w:ascii="Book Antiqua" w:eastAsia="宋体" w:hAnsi="Book Antiqua"/>
          <w:kern w:val="2"/>
          <w:lang w:val="en-US" w:eastAsia="zh-CN"/>
        </w:rPr>
        <w:t xml:space="preserve"> U. The presentation of malignant </w:t>
      </w:r>
      <w:proofErr w:type="spellStart"/>
      <w:r w:rsidRPr="00A6256F">
        <w:rPr>
          <w:rFonts w:ascii="Book Antiqua" w:eastAsia="宋体" w:hAnsi="Book Antiqua"/>
          <w:kern w:val="2"/>
          <w:lang w:val="en-US" w:eastAsia="zh-CN"/>
        </w:rPr>
        <w:t>tumours</w:t>
      </w:r>
      <w:proofErr w:type="spellEnd"/>
      <w:r w:rsidRPr="00A6256F">
        <w:rPr>
          <w:rFonts w:ascii="Book Antiqua" w:eastAsia="宋体" w:hAnsi="Book Antiqua"/>
          <w:kern w:val="2"/>
          <w:lang w:val="en-US" w:eastAsia="zh-CN"/>
        </w:rPr>
        <w:t xml:space="preserve"> and pre-malignant lesions incidentally found on PET-CT. </w:t>
      </w:r>
      <w:r w:rsidRPr="00A6256F">
        <w:rPr>
          <w:rFonts w:ascii="Book Antiqua" w:eastAsia="宋体" w:hAnsi="Book Antiqua"/>
          <w:i/>
          <w:kern w:val="2"/>
          <w:lang w:val="en-US" w:eastAsia="zh-CN"/>
        </w:rPr>
        <w:t xml:space="preserve">Eur J </w:t>
      </w:r>
      <w:proofErr w:type="spellStart"/>
      <w:r w:rsidRPr="00A6256F">
        <w:rPr>
          <w:rFonts w:ascii="Book Antiqua" w:eastAsia="宋体" w:hAnsi="Book Antiqua"/>
          <w:i/>
          <w:kern w:val="2"/>
          <w:lang w:val="en-US" w:eastAsia="zh-CN"/>
        </w:rPr>
        <w:t>Nucl</w:t>
      </w:r>
      <w:proofErr w:type="spellEnd"/>
      <w:r w:rsidRPr="00A6256F">
        <w:rPr>
          <w:rFonts w:ascii="Book Antiqua" w:eastAsia="宋体" w:hAnsi="Book Antiqua"/>
          <w:i/>
          <w:kern w:val="2"/>
          <w:lang w:val="en-US" w:eastAsia="zh-CN"/>
        </w:rPr>
        <w:t xml:space="preserve"> Med Mol Imaging</w:t>
      </w:r>
      <w:r w:rsidRPr="00A6256F">
        <w:rPr>
          <w:rFonts w:ascii="Book Antiqua" w:eastAsia="宋体" w:hAnsi="Book Antiqua"/>
          <w:kern w:val="2"/>
          <w:lang w:val="en-US" w:eastAsia="zh-CN"/>
        </w:rPr>
        <w:t xml:space="preserve"> 2006; </w:t>
      </w:r>
      <w:r w:rsidRPr="00A6256F">
        <w:rPr>
          <w:rFonts w:ascii="Book Antiqua" w:eastAsia="宋体" w:hAnsi="Book Antiqua"/>
          <w:b/>
          <w:kern w:val="2"/>
          <w:lang w:val="en-US" w:eastAsia="zh-CN"/>
        </w:rPr>
        <w:t>33</w:t>
      </w:r>
      <w:r w:rsidRPr="00A6256F">
        <w:rPr>
          <w:rFonts w:ascii="Book Antiqua" w:eastAsia="宋体" w:hAnsi="Book Antiqua"/>
          <w:kern w:val="2"/>
          <w:lang w:val="en-US" w:eastAsia="zh-CN"/>
        </w:rPr>
        <w:t>: 541-552 [PMID: 16491423 DOI: 10.1007/s00259-005-0056-4]</w:t>
      </w:r>
    </w:p>
    <w:p w14:paraId="04EC5036"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5 </w:t>
      </w:r>
      <w:proofErr w:type="spellStart"/>
      <w:r w:rsidRPr="00A6256F">
        <w:rPr>
          <w:rFonts w:ascii="Book Antiqua" w:eastAsia="宋体" w:hAnsi="Book Antiqua"/>
          <w:b/>
          <w:kern w:val="2"/>
          <w:lang w:val="en-US" w:eastAsia="zh-CN"/>
        </w:rPr>
        <w:t>Ishimori</w:t>
      </w:r>
      <w:proofErr w:type="spellEnd"/>
      <w:r w:rsidRPr="00A6256F">
        <w:rPr>
          <w:rFonts w:ascii="Book Antiqua" w:eastAsia="宋体" w:hAnsi="Book Antiqua"/>
          <w:b/>
          <w:kern w:val="2"/>
          <w:lang w:val="en-US" w:eastAsia="zh-CN"/>
        </w:rPr>
        <w:t xml:space="preserve"> T</w:t>
      </w:r>
      <w:r w:rsidRPr="00A6256F">
        <w:rPr>
          <w:rFonts w:ascii="Book Antiqua" w:eastAsia="宋体" w:hAnsi="Book Antiqua"/>
          <w:kern w:val="2"/>
          <w:lang w:val="en-US" w:eastAsia="zh-CN"/>
        </w:rPr>
        <w:t xml:space="preserve">, Patel PV, Wahl RL. Detection of unexpected additional primary malignancies with PET/CT. </w:t>
      </w:r>
      <w:r w:rsidRPr="00A6256F">
        <w:rPr>
          <w:rFonts w:ascii="Book Antiqua" w:eastAsia="宋体" w:hAnsi="Book Antiqua"/>
          <w:i/>
          <w:kern w:val="2"/>
          <w:lang w:val="en-US" w:eastAsia="zh-CN"/>
        </w:rPr>
        <w:t xml:space="preserve">J </w:t>
      </w:r>
      <w:proofErr w:type="spellStart"/>
      <w:r w:rsidRPr="00A6256F">
        <w:rPr>
          <w:rFonts w:ascii="Book Antiqua" w:eastAsia="宋体" w:hAnsi="Book Antiqua"/>
          <w:i/>
          <w:kern w:val="2"/>
          <w:lang w:val="en-US" w:eastAsia="zh-CN"/>
        </w:rPr>
        <w:t>Nucl</w:t>
      </w:r>
      <w:proofErr w:type="spellEnd"/>
      <w:r w:rsidRPr="00A6256F">
        <w:rPr>
          <w:rFonts w:ascii="Book Antiqua" w:eastAsia="宋体" w:hAnsi="Book Antiqua"/>
          <w:i/>
          <w:kern w:val="2"/>
          <w:lang w:val="en-US" w:eastAsia="zh-CN"/>
        </w:rPr>
        <w:t xml:space="preserve"> Med</w:t>
      </w:r>
      <w:r w:rsidRPr="00A6256F">
        <w:rPr>
          <w:rFonts w:ascii="Book Antiqua" w:eastAsia="宋体" w:hAnsi="Book Antiqua"/>
          <w:kern w:val="2"/>
          <w:lang w:val="en-US" w:eastAsia="zh-CN"/>
        </w:rPr>
        <w:t xml:space="preserve"> 2005; </w:t>
      </w:r>
      <w:r w:rsidRPr="00A6256F">
        <w:rPr>
          <w:rFonts w:ascii="Book Antiqua" w:eastAsia="宋体" w:hAnsi="Book Antiqua"/>
          <w:b/>
          <w:kern w:val="2"/>
          <w:lang w:val="en-US" w:eastAsia="zh-CN"/>
        </w:rPr>
        <w:t>46</w:t>
      </w:r>
      <w:r w:rsidRPr="00A6256F">
        <w:rPr>
          <w:rFonts w:ascii="Book Antiqua" w:eastAsia="宋体" w:hAnsi="Book Antiqua"/>
          <w:kern w:val="2"/>
          <w:lang w:val="en-US" w:eastAsia="zh-CN"/>
        </w:rPr>
        <w:t>: 752-757 [</w:t>
      </w:r>
      <w:bookmarkStart w:id="92" w:name="OLE_LINK48"/>
      <w:bookmarkStart w:id="93" w:name="OLE_LINK49"/>
      <w:r w:rsidRPr="00A6256F">
        <w:rPr>
          <w:rFonts w:ascii="Book Antiqua" w:eastAsia="宋体" w:hAnsi="Book Antiqua"/>
          <w:kern w:val="2"/>
          <w:lang w:val="en-US" w:eastAsia="zh-CN"/>
        </w:rPr>
        <w:t>PMID: 15872346</w:t>
      </w:r>
      <w:bookmarkEnd w:id="92"/>
      <w:bookmarkEnd w:id="93"/>
      <w:r w:rsidRPr="00A6256F">
        <w:rPr>
          <w:rFonts w:ascii="Book Antiqua" w:eastAsia="宋体" w:hAnsi="Book Antiqua"/>
          <w:kern w:val="2"/>
          <w:lang w:val="en-US" w:eastAsia="zh-CN"/>
        </w:rPr>
        <w:t>]</w:t>
      </w:r>
    </w:p>
    <w:p w14:paraId="78CDDBEA"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6 </w:t>
      </w:r>
      <w:proofErr w:type="spellStart"/>
      <w:r w:rsidRPr="00A6256F">
        <w:rPr>
          <w:rFonts w:ascii="Book Antiqua" w:eastAsia="宋体" w:hAnsi="Book Antiqua"/>
          <w:b/>
          <w:kern w:val="2"/>
          <w:lang w:val="en-US" w:eastAsia="zh-CN"/>
        </w:rPr>
        <w:t>Pencharz</w:t>
      </w:r>
      <w:proofErr w:type="spellEnd"/>
      <w:r w:rsidRPr="00A6256F">
        <w:rPr>
          <w:rFonts w:ascii="Book Antiqua" w:eastAsia="宋体" w:hAnsi="Book Antiqua"/>
          <w:b/>
          <w:kern w:val="2"/>
          <w:lang w:val="en-US" w:eastAsia="zh-CN"/>
        </w:rPr>
        <w:t xml:space="preserve"> D</w:t>
      </w:r>
      <w:r w:rsidRPr="00A6256F">
        <w:rPr>
          <w:rFonts w:ascii="Book Antiqua" w:eastAsia="宋体" w:hAnsi="Book Antiqua"/>
          <w:kern w:val="2"/>
          <w:lang w:val="en-US" w:eastAsia="zh-CN"/>
        </w:rPr>
        <w:t xml:space="preserve">, Nathan M, Wagner TL. Evidence-based management of incidental focal uptake of fluorodeoxyglucose on PET-CT. </w:t>
      </w:r>
      <w:r w:rsidRPr="00A6256F">
        <w:rPr>
          <w:rFonts w:ascii="Book Antiqua" w:eastAsia="宋体" w:hAnsi="Book Antiqua"/>
          <w:i/>
          <w:kern w:val="2"/>
          <w:lang w:val="en-US" w:eastAsia="zh-CN"/>
        </w:rPr>
        <w:t xml:space="preserve">Br J </w:t>
      </w:r>
      <w:proofErr w:type="spellStart"/>
      <w:r w:rsidRPr="00A6256F">
        <w:rPr>
          <w:rFonts w:ascii="Book Antiqua" w:eastAsia="宋体" w:hAnsi="Book Antiqua"/>
          <w:i/>
          <w:kern w:val="2"/>
          <w:lang w:val="en-US" w:eastAsia="zh-CN"/>
        </w:rPr>
        <w:t>Radiol</w:t>
      </w:r>
      <w:proofErr w:type="spellEnd"/>
      <w:r w:rsidRPr="00A6256F">
        <w:rPr>
          <w:rFonts w:ascii="Book Antiqua" w:eastAsia="宋体" w:hAnsi="Book Antiqua"/>
          <w:kern w:val="2"/>
          <w:lang w:val="en-US" w:eastAsia="zh-CN"/>
        </w:rPr>
        <w:t xml:space="preserve"> 2018; </w:t>
      </w:r>
      <w:r w:rsidRPr="00A6256F">
        <w:rPr>
          <w:rFonts w:ascii="Book Antiqua" w:eastAsia="宋体" w:hAnsi="Book Antiqua"/>
          <w:b/>
          <w:kern w:val="2"/>
          <w:lang w:val="en-US" w:eastAsia="zh-CN"/>
        </w:rPr>
        <w:t>91</w:t>
      </w:r>
      <w:r w:rsidRPr="00A6256F">
        <w:rPr>
          <w:rFonts w:ascii="Book Antiqua" w:eastAsia="宋体" w:hAnsi="Book Antiqua"/>
          <w:kern w:val="2"/>
          <w:lang w:val="en-US" w:eastAsia="zh-CN"/>
        </w:rPr>
        <w:t>: 20170774 [PMID: 29243502 DOI: 10.1259/bjr.20170774]</w:t>
      </w:r>
    </w:p>
    <w:p w14:paraId="0C7A97F9"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7 </w:t>
      </w:r>
      <w:proofErr w:type="spellStart"/>
      <w:r w:rsidRPr="00A6256F">
        <w:rPr>
          <w:rFonts w:ascii="Book Antiqua" w:eastAsia="宋体" w:hAnsi="Book Antiqua"/>
          <w:b/>
          <w:kern w:val="2"/>
          <w:lang w:val="en-US" w:eastAsia="zh-CN"/>
        </w:rPr>
        <w:t>Rigault</w:t>
      </w:r>
      <w:proofErr w:type="spellEnd"/>
      <w:r w:rsidRPr="00A6256F">
        <w:rPr>
          <w:rFonts w:ascii="Book Antiqua" w:eastAsia="宋体" w:hAnsi="Book Antiqua"/>
          <w:b/>
          <w:kern w:val="2"/>
          <w:lang w:val="en-US" w:eastAsia="zh-CN"/>
        </w:rPr>
        <w:t xml:space="preserve"> E</w:t>
      </w:r>
      <w:r w:rsidRPr="00A6256F">
        <w:rPr>
          <w:rFonts w:ascii="Book Antiqua" w:eastAsia="宋体" w:hAnsi="Book Antiqua"/>
          <w:kern w:val="2"/>
          <w:lang w:val="en-US" w:eastAsia="zh-CN"/>
        </w:rPr>
        <w:t xml:space="preserve">, Lenoir L, </w:t>
      </w:r>
      <w:proofErr w:type="spellStart"/>
      <w:r w:rsidRPr="00A6256F">
        <w:rPr>
          <w:rFonts w:ascii="Book Antiqua" w:eastAsia="宋体" w:hAnsi="Book Antiqua"/>
          <w:kern w:val="2"/>
          <w:lang w:val="en-US" w:eastAsia="zh-CN"/>
        </w:rPr>
        <w:t>Bouguen</w:t>
      </w:r>
      <w:proofErr w:type="spellEnd"/>
      <w:r w:rsidRPr="00A6256F">
        <w:rPr>
          <w:rFonts w:ascii="Book Antiqua" w:eastAsia="宋体" w:hAnsi="Book Antiqua"/>
          <w:kern w:val="2"/>
          <w:lang w:val="en-US" w:eastAsia="zh-CN"/>
        </w:rPr>
        <w:t xml:space="preserve"> G, </w:t>
      </w:r>
      <w:proofErr w:type="spellStart"/>
      <w:r w:rsidRPr="00A6256F">
        <w:rPr>
          <w:rFonts w:ascii="Book Antiqua" w:eastAsia="宋体" w:hAnsi="Book Antiqua"/>
          <w:kern w:val="2"/>
          <w:lang w:val="en-US" w:eastAsia="zh-CN"/>
        </w:rPr>
        <w:t>Pagenault</w:t>
      </w:r>
      <w:proofErr w:type="spellEnd"/>
      <w:r w:rsidRPr="00A6256F">
        <w:rPr>
          <w:rFonts w:ascii="Book Antiqua" w:eastAsia="宋体" w:hAnsi="Book Antiqua"/>
          <w:kern w:val="2"/>
          <w:lang w:val="en-US" w:eastAsia="zh-CN"/>
        </w:rPr>
        <w:t xml:space="preserve"> M, Lièvre A, </w:t>
      </w:r>
      <w:proofErr w:type="spellStart"/>
      <w:r w:rsidRPr="00A6256F">
        <w:rPr>
          <w:rFonts w:ascii="Book Antiqua" w:eastAsia="宋体" w:hAnsi="Book Antiqua"/>
          <w:kern w:val="2"/>
          <w:lang w:val="en-US" w:eastAsia="zh-CN"/>
        </w:rPr>
        <w:t>Garin</w:t>
      </w:r>
      <w:proofErr w:type="spellEnd"/>
      <w:r w:rsidRPr="00A6256F">
        <w:rPr>
          <w:rFonts w:ascii="Book Antiqua" w:eastAsia="宋体" w:hAnsi="Book Antiqua"/>
          <w:kern w:val="2"/>
          <w:lang w:val="en-US" w:eastAsia="zh-CN"/>
        </w:rPr>
        <w:t xml:space="preserve"> E, </w:t>
      </w:r>
      <w:proofErr w:type="spellStart"/>
      <w:r w:rsidRPr="00A6256F">
        <w:rPr>
          <w:rFonts w:ascii="Book Antiqua" w:eastAsia="宋体" w:hAnsi="Book Antiqua"/>
          <w:kern w:val="2"/>
          <w:lang w:val="en-US" w:eastAsia="zh-CN"/>
        </w:rPr>
        <w:t>Siproudhis</w:t>
      </w:r>
      <w:proofErr w:type="spellEnd"/>
      <w:r w:rsidRPr="00A6256F">
        <w:rPr>
          <w:rFonts w:ascii="Book Antiqua" w:eastAsia="宋体" w:hAnsi="Book Antiqua"/>
          <w:kern w:val="2"/>
          <w:lang w:val="en-US" w:eastAsia="zh-CN"/>
        </w:rPr>
        <w:t xml:space="preserve"> L, Bretagne JF. Incidental colorectal focal </w:t>
      </w:r>
      <w:r w:rsidRPr="00A6256F">
        <w:rPr>
          <w:rFonts w:ascii="Book Antiqua" w:eastAsia="宋体" w:hAnsi="Book Antiqua"/>
          <w:kern w:val="2"/>
          <w:vertAlign w:val="superscript"/>
          <w:lang w:val="en-US" w:eastAsia="zh-CN"/>
        </w:rPr>
        <w:t>18</w:t>
      </w:r>
      <w:r w:rsidRPr="00A6256F">
        <w:rPr>
          <w:rFonts w:ascii="Book Antiqua" w:eastAsia="宋体" w:hAnsi="Book Antiqua"/>
          <w:kern w:val="2"/>
          <w:lang w:val="en-US" w:eastAsia="zh-CN"/>
        </w:rPr>
        <w:t xml:space="preserve"> F-FDG uptake: a novel indication for colonoscopy. </w:t>
      </w:r>
      <w:proofErr w:type="spellStart"/>
      <w:r w:rsidRPr="00A6256F">
        <w:rPr>
          <w:rFonts w:ascii="Book Antiqua" w:eastAsia="宋体" w:hAnsi="Book Antiqua"/>
          <w:i/>
          <w:kern w:val="2"/>
          <w:lang w:val="en-US" w:eastAsia="zh-CN"/>
        </w:rPr>
        <w:t>Endosc</w:t>
      </w:r>
      <w:proofErr w:type="spellEnd"/>
      <w:r w:rsidRPr="00A6256F">
        <w:rPr>
          <w:rFonts w:ascii="Book Antiqua" w:eastAsia="宋体" w:hAnsi="Book Antiqua"/>
          <w:i/>
          <w:kern w:val="2"/>
          <w:lang w:val="en-US" w:eastAsia="zh-CN"/>
        </w:rPr>
        <w:t xml:space="preserve"> Int Open</w:t>
      </w:r>
      <w:r w:rsidRPr="00A6256F">
        <w:rPr>
          <w:rFonts w:ascii="Book Antiqua" w:eastAsia="宋体" w:hAnsi="Book Antiqua"/>
          <w:kern w:val="2"/>
          <w:lang w:val="en-US" w:eastAsia="zh-CN"/>
        </w:rPr>
        <w:t xml:space="preserve"> 2017; </w:t>
      </w:r>
      <w:r w:rsidRPr="00A6256F">
        <w:rPr>
          <w:rFonts w:ascii="Book Antiqua" w:eastAsia="宋体" w:hAnsi="Book Antiqua"/>
          <w:b/>
          <w:kern w:val="2"/>
          <w:lang w:val="en-US" w:eastAsia="zh-CN"/>
        </w:rPr>
        <w:t>5</w:t>
      </w:r>
      <w:r w:rsidRPr="00A6256F">
        <w:rPr>
          <w:rFonts w:ascii="Book Antiqua" w:eastAsia="宋体" w:hAnsi="Book Antiqua"/>
          <w:kern w:val="2"/>
          <w:lang w:val="en-US" w:eastAsia="zh-CN"/>
        </w:rPr>
        <w:t>: E924-E930 [PMID: 28924601 DOI: 10.1055/s-0043-116384]</w:t>
      </w:r>
    </w:p>
    <w:p w14:paraId="5624D797"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8 </w:t>
      </w:r>
      <w:proofErr w:type="spellStart"/>
      <w:r w:rsidRPr="00A6256F">
        <w:rPr>
          <w:rFonts w:ascii="Book Antiqua" w:eastAsia="宋体" w:hAnsi="Book Antiqua"/>
          <w:b/>
          <w:kern w:val="2"/>
          <w:lang w:val="en-US" w:eastAsia="zh-CN"/>
        </w:rPr>
        <w:t>Şimşek</w:t>
      </w:r>
      <w:proofErr w:type="spellEnd"/>
      <w:r w:rsidRPr="00A6256F">
        <w:rPr>
          <w:rFonts w:ascii="Book Antiqua" w:eastAsia="宋体" w:hAnsi="Book Antiqua"/>
          <w:b/>
          <w:kern w:val="2"/>
          <w:lang w:val="en-US" w:eastAsia="zh-CN"/>
        </w:rPr>
        <w:t xml:space="preserve"> FS</w:t>
      </w:r>
      <w:r w:rsidRPr="00A6256F">
        <w:rPr>
          <w:rFonts w:ascii="Book Antiqua" w:eastAsia="宋体" w:hAnsi="Book Antiqua"/>
          <w:kern w:val="2"/>
          <w:lang w:val="en-US" w:eastAsia="zh-CN"/>
        </w:rPr>
        <w:t xml:space="preserve">, </w:t>
      </w:r>
      <w:proofErr w:type="spellStart"/>
      <w:r w:rsidRPr="00A6256F">
        <w:rPr>
          <w:rFonts w:ascii="Book Antiqua" w:eastAsia="宋体" w:hAnsi="Book Antiqua"/>
          <w:kern w:val="2"/>
          <w:lang w:val="en-US" w:eastAsia="zh-CN"/>
        </w:rPr>
        <w:t>İspiroğlu</w:t>
      </w:r>
      <w:proofErr w:type="spellEnd"/>
      <w:r w:rsidRPr="00A6256F">
        <w:rPr>
          <w:rFonts w:ascii="Book Antiqua" w:eastAsia="宋体" w:hAnsi="Book Antiqua"/>
          <w:kern w:val="2"/>
          <w:lang w:val="en-US" w:eastAsia="zh-CN"/>
        </w:rPr>
        <w:t xml:space="preserve"> M, </w:t>
      </w:r>
      <w:proofErr w:type="spellStart"/>
      <w:r w:rsidRPr="00A6256F">
        <w:rPr>
          <w:rFonts w:ascii="Book Antiqua" w:eastAsia="宋体" w:hAnsi="Book Antiqua"/>
          <w:kern w:val="2"/>
          <w:lang w:val="en-US" w:eastAsia="zh-CN"/>
        </w:rPr>
        <w:t>Taşdemir</w:t>
      </w:r>
      <w:proofErr w:type="spellEnd"/>
      <w:r w:rsidRPr="00A6256F">
        <w:rPr>
          <w:rFonts w:ascii="Book Antiqua" w:eastAsia="宋体" w:hAnsi="Book Antiqua"/>
          <w:kern w:val="2"/>
          <w:lang w:val="en-US" w:eastAsia="zh-CN"/>
        </w:rPr>
        <w:t xml:space="preserve"> B, </w:t>
      </w:r>
      <w:proofErr w:type="spellStart"/>
      <w:r w:rsidRPr="00A6256F">
        <w:rPr>
          <w:rFonts w:ascii="Book Antiqua" w:eastAsia="宋体" w:hAnsi="Book Antiqua"/>
          <w:kern w:val="2"/>
          <w:lang w:val="en-US" w:eastAsia="zh-CN"/>
        </w:rPr>
        <w:t>Köroğlu</w:t>
      </w:r>
      <w:proofErr w:type="spellEnd"/>
      <w:r w:rsidRPr="00A6256F">
        <w:rPr>
          <w:rFonts w:ascii="Book Antiqua" w:eastAsia="宋体" w:hAnsi="Book Antiqua"/>
          <w:kern w:val="2"/>
          <w:lang w:val="en-US" w:eastAsia="zh-CN"/>
        </w:rPr>
        <w:t xml:space="preserve"> R, </w:t>
      </w:r>
      <w:proofErr w:type="spellStart"/>
      <w:r w:rsidRPr="00A6256F">
        <w:rPr>
          <w:rFonts w:ascii="Book Antiqua" w:eastAsia="宋体" w:hAnsi="Book Antiqua"/>
          <w:kern w:val="2"/>
          <w:lang w:val="en-US" w:eastAsia="zh-CN"/>
        </w:rPr>
        <w:t>Ünal</w:t>
      </w:r>
      <w:proofErr w:type="spellEnd"/>
      <w:r w:rsidRPr="00A6256F">
        <w:rPr>
          <w:rFonts w:ascii="Book Antiqua" w:eastAsia="宋体" w:hAnsi="Book Antiqua"/>
          <w:kern w:val="2"/>
          <w:lang w:val="en-US" w:eastAsia="zh-CN"/>
        </w:rPr>
        <w:t xml:space="preserve"> K, </w:t>
      </w:r>
      <w:proofErr w:type="spellStart"/>
      <w:r w:rsidRPr="00A6256F">
        <w:rPr>
          <w:rFonts w:ascii="Book Antiqua" w:eastAsia="宋体" w:hAnsi="Book Antiqua"/>
          <w:kern w:val="2"/>
          <w:lang w:val="en-US" w:eastAsia="zh-CN"/>
        </w:rPr>
        <w:t>Özercan</w:t>
      </w:r>
      <w:proofErr w:type="spellEnd"/>
      <w:r w:rsidRPr="00A6256F">
        <w:rPr>
          <w:rFonts w:ascii="Book Antiqua" w:eastAsia="宋体" w:hAnsi="Book Antiqua"/>
          <w:kern w:val="2"/>
          <w:lang w:val="en-US" w:eastAsia="zh-CN"/>
        </w:rPr>
        <w:t xml:space="preserve"> IH, </w:t>
      </w:r>
      <w:proofErr w:type="spellStart"/>
      <w:r w:rsidRPr="00A6256F">
        <w:rPr>
          <w:rFonts w:ascii="Book Antiqua" w:eastAsia="宋体" w:hAnsi="Book Antiqua"/>
          <w:kern w:val="2"/>
          <w:lang w:val="en-US" w:eastAsia="zh-CN"/>
        </w:rPr>
        <w:t>Entok</w:t>
      </w:r>
      <w:proofErr w:type="spellEnd"/>
      <w:r w:rsidRPr="00A6256F">
        <w:rPr>
          <w:rFonts w:ascii="Book Antiqua" w:eastAsia="宋体" w:hAnsi="Book Antiqua"/>
          <w:kern w:val="2"/>
          <w:lang w:val="en-US" w:eastAsia="zh-CN"/>
        </w:rPr>
        <w:t xml:space="preserve"> E, </w:t>
      </w:r>
      <w:proofErr w:type="spellStart"/>
      <w:r w:rsidRPr="00A6256F">
        <w:rPr>
          <w:rFonts w:ascii="Book Antiqua" w:eastAsia="宋体" w:hAnsi="Book Antiqua"/>
          <w:kern w:val="2"/>
          <w:lang w:val="en-US" w:eastAsia="zh-CN"/>
        </w:rPr>
        <w:t>Kuşlu</w:t>
      </w:r>
      <w:proofErr w:type="spellEnd"/>
      <w:r w:rsidRPr="00A6256F">
        <w:rPr>
          <w:rFonts w:ascii="Book Antiqua" w:eastAsia="宋体" w:hAnsi="Book Antiqua"/>
          <w:kern w:val="2"/>
          <w:lang w:val="en-US" w:eastAsia="zh-CN"/>
        </w:rPr>
        <w:t xml:space="preserve"> D, </w:t>
      </w:r>
      <w:proofErr w:type="spellStart"/>
      <w:r w:rsidRPr="00A6256F">
        <w:rPr>
          <w:rFonts w:ascii="Book Antiqua" w:eastAsia="宋体" w:hAnsi="Book Antiqua"/>
          <w:kern w:val="2"/>
          <w:lang w:val="en-US" w:eastAsia="zh-CN"/>
        </w:rPr>
        <w:t>Karabulut</w:t>
      </w:r>
      <w:proofErr w:type="spellEnd"/>
      <w:r w:rsidRPr="00A6256F">
        <w:rPr>
          <w:rFonts w:ascii="Book Antiqua" w:eastAsia="宋体" w:hAnsi="Book Antiqua"/>
          <w:kern w:val="2"/>
          <w:lang w:val="en-US" w:eastAsia="zh-CN"/>
        </w:rPr>
        <w:t xml:space="preserve"> K. What approach should we take for the incidental finding of increased 18F-FDG uptake foci in the colon on PET/CT? </w:t>
      </w:r>
      <w:proofErr w:type="spellStart"/>
      <w:r w:rsidRPr="00A6256F">
        <w:rPr>
          <w:rFonts w:ascii="Book Antiqua" w:eastAsia="宋体" w:hAnsi="Book Antiqua"/>
          <w:i/>
          <w:kern w:val="2"/>
          <w:lang w:val="en-US" w:eastAsia="zh-CN"/>
        </w:rPr>
        <w:t>Nucl</w:t>
      </w:r>
      <w:proofErr w:type="spellEnd"/>
      <w:r w:rsidRPr="00A6256F">
        <w:rPr>
          <w:rFonts w:ascii="Book Antiqua" w:eastAsia="宋体" w:hAnsi="Book Antiqua"/>
          <w:i/>
          <w:kern w:val="2"/>
          <w:lang w:val="en-US" w:eastAsia="zh-CN"/>
        </w:rPr>
        <w:t xml:space="preserve"> Med </w:t>
      </w:r>
      <w:proofErr w:type="spellStart"/>
      <w:r w:rsidRPr="00A6256F">
        <w:rPr>
          <w:rFonts w:ascii="Book Antiqua" w:eastAsia="宋体" w:hAnsi="Book Antiqua"/>
          <w:i/>
          <w:kern w:val="2"/>
          <w:lang w:val="en-US" w:eastAsia="zh-CN"/>
        </w:rPr>
        <w:t>Commun</w:t>
      </w:r>
      <w:proofErr w:type="spellEnd"/>
      <w:r w:rsidRPr="00A6256F">
        <w:rPr>
          <w:rFonts w:ascii="Book Antiqua" w:eastAsia="宋体" w:hAnsi="Book Antiqua"/>
          <w:kern w:val="2"/>
          <w:lang w:val="en-US" w:eastAsia="zh-CN"/>
        </w:rPr>
        <w:t xml:space="preserve"> 2015; </w:t>
      </w:r>
      <w:r w:rsidRPr="00A6256F">
        <w:rPr>
          <w:rFonts w:ascii="Book Antiqua" w:eastAsia="宋体" w:hAnsi="Book Antiqua"/>
          <w:b/>
          <w:kern w:val="2"/>
          <w:lang w:val="en-US" w:eastAsia="zh-CN"/>
        </w:rPr>
        <w:t>36</w:t>
      </w:r>
      <w:r w:rsidRPr="00A6256F">
        <w:rPr>
          <w:rFonts w:ascii="Book Antiqua" w:eastAsia="宋体" w:hAnsi="Book Antiqua"/>
          <w:kern w:val="2"/>
          <w:lang w:val="en-US" w:eastAsia="zh-CN"/>
        </w:rPr>
        <w:t xml:space="preserve">: </w:t>
      </w:r>
      <w:r w:rsidRPr="00A6256F">
        <w:rPr>
          <w:rFonts w:ascii="Book Antiqua" w:eastAsia="宋体" w:hAnsi="Book Antiqua"/>
          <w:kern w:val="2"/>
          <w:lang w:val="en-US" w:eastAsia="zh-CN"/>
        </w:rPr>
        <w:lastRenderedPageBreak/>
        <w:t>1195-1201 [PMID: 26426964 DOI: 10.1097/MNM.0000000000000388]</w:t>
      </w:r>
    </w:p>
    <w:p w14:paraId="5E6F952B"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9 </w:t>
      </w:r>
      <w:proofErr w:type="spellStart"/>
      <w:r w:rsidRPr="00A6256F">
        <w:rPr>
          <w:rFonts w:ascii="Book Antiqua" w:eastAsia="宋体" w:hAnsi="Book Antiqua"/>
          <w:b/>
          <w:kern w:val="2"/>
          <w:lang w:val="en-US" w:eastAsia="zh-CN"/>
        </w:rPr>
        <w:t>Tatlidil</w:t>
      </w:r>
      <w:proofErr w:type="spellEnd"/>
      <w:r w:rsidRPr="00A6256F">
        <w:rPr>
          <w:rFonts w:ascii="Book Antiqua" w:eastAsia="宋体" w:hAnsi="Book Antiqua"/>
          <w:b/>
          <w:kern w:val="2"/>
          <w:lang w:val="en-US" w:eastAsia="zh-CN"/>
        </w:rPr>
        <w:t xml:space="preserve"> R</w:t>
      </w:r>
      <w:r w:rsidRPr="00A6256F">
        <w:rPr>
          <w:rFonts w:ascii="Book Antiqua" w:eastAsia="宋体" w:hAnsi="Book Antiqua"/>
          <w:kern w:val="2"/>
          <w:lang w:val="en-US" w:eastAsia="zh-CN"/>
        </w:rPr>
        <w:t xml:space="preserve">, </w:t>
      </w:r>
      <w:proofErr w:type="spellStart"/>
      <w:r w:rsidRPr="00A6256F">
        <w:rPr>
          <w:rFonts w:ascii="Book Antiqua" w:eastAsia="宋体" w:hAnsi="Book Antiqua"/>
          <w:kern w:val="2"/>
          <w:lang w:val="en-US" w:eastAsia="zh-CN"/>
        </w:rPr>
        <w:t>Jadvar</w:t>
      </w:r>
      <w:proofErr w:type="spellEnd"/>
      <w:r w:rsidRPr="00A6256F">
        <w:rPr>
          <w:rFonts w:ascii="Book Antiqua" w:eastAsia="宋体" w:hAnsi="Book Antiqua"/>
          <w:kern w:val="2"/>
          <w:lang w:val="en-US" w:eastAsia="zh-CN"/>
        </w:rPr>
        <w:t xml:space="preserve"> H, </w:t>
      </w:r>
      <w:proofErr w:type="spellStart"/>
      <w:r w:rsidRPr="00A6256F">
        <w:rPr>
          <w:rFonts w:ascii="Book Antiqua" w:eastAsia="宋体" w:hAnsi="Book Antiqua"/>
          <w:kern w:val="2"/>
          <w:lang w:val="en-US" w:eastAsia="zh-CN"/>
        </w:rPr>
        <w:t>Bading</w:t>
      </w:r>
      <w:proofErr w:type="spellEnd"/>
      <w:r w:rsidRPr="00A6256F">
        <w:rPr>
          <w:rFonts w:ascii="Book Antiqua" w:eastAsia="宋体" w:hAnsi="Book Antiqua"/>
          <w:kern w:val="2"/>
          <w:lang w:val="en-US" w:eastAsia="zh-CN"/>
        </w:rPr>
        <w:t xml:space="preserve"> JR, Conti PS. Incidental colonic fluorodeoxyglucose uptake: correlation with </w:t>
      </w:r>
      <w:proofErr w:type="spellStart"/>
      <w:r w:rsidRPr="00A6256F">
        <w:rPr>
          <w:rFonts w:ascii="Book Antiqua" w:eastAsia="宋体" w:hAnsi="Book Antiqua"/>
          <w:kern w:val="2"/>
          <w:lang w:val="en-US" w:eastAsia="zh-CN"/>
        </w:rPr>
        <w:t>colonoscopic</w:t>
      </w:r>
      <w:proofErr w:type="spellEnd"/>
      <w:r w:rsidRPr="00A6256F">
        <w:rPr>
          <w:rFonts w:ascii="Book Antiqua" w:eastAsia="宋体" w:hAnsi="Book Antiqua"/>
          <w:kern w:val="2"/>
          <w:lang w:val="en-US" w:eastAsia="zh-CN"/>
        </w:rPr>
        <w:t xml:space="preserve"> and histopathologic findings. </w:t>
      </w:r>
      <w:r w:rsidRPr="00A6256F">
        <w:rPr>
          <w:rFonts w:ascii="Book Antiqua" w:eastAsia="宋体" w:hAnsi="Book Antiqua"/>
          <w:i/>
          <w:kern w:val="2"/>
          <w:lang w:val="en-US" w:eastAsia="zh-CN"/>
        </w:rPr>
        <w:t>Radiology</w:t>
      </w:r>
      <w:r w:rsidRPr="00A6256F">
        <w:rPr>
          <w:rFonts w:ascii="Book Antiqua" w:eastAsia="宋体" w:hAnsi="Book Antiqua"/>
          <w:kern w:val="2"/>
          <w:lang w:val="en-US" w:eastAsia="zh-CN"/>
        </w:rPr>
        <w:t xml:space="preserve"> 2002; </w:t>
      </w:r>
      <w:r w:rsidRPr="00A6256F">
        <w:rPr>
          <w:rFonts w:ascii="Book Antiqua" w:eastAsia="宋体" w:hAnsi="Book Antiqua"/>
          <w:b/>
          <w:kern w:val="2"/>
          <w:lang w:val="en-US" w:eastAsia="zh-CN"/>
        </w:rPr>
        <w:t>224</w:t>
      </w:r>
      <w:r w:rsidRPr="00A6256F">
        <w:rPr>
          <w:rFonts w:ascii="Book Antiqua" w:eastAsia="宋体" w:hAnsi="Book Antiqua"/>
          <w:kern w:val="2"/>
          <w:lang w:val="en-US" w:eastAsia="zh-CN"/>
        </w:rPr>
        <w:t>: 783-787 [PMID: 12202714 DOI: 10.1148/radiol.2243011214]</w:t>
      </w:r>
    </w:p>
    <w:p w14:paraId="79BA803D"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10 </w:t>
      </w:r>
      <w:r w:rsidRPr="00A6256F">
        <w:rPr>
          <w:rFonts w:ascii="Book Antiqua" w:eastAsia="宋体" w:hAnsi="Book Antiqua"/>
          <w:b/>
          <w:kern w:val="2"/>
          <w:lang w:val="en-US" w:eastAsia="zh-CN"/>
        </w:rPr>
        <w:t xml:space="preserve">Salazar </w:t>
      </w:r>
      <w:proofErr w:type="spellStart"/>
      <w:r w:rsidRPr="00A6256F">
        <w:rPr>
          <w:rFonts w:ascii="Book Antiqua" w:eastAsia="宋体" w:hAnsi="Book Antiqua"/>
          <w:b/>
          <w:kern w:val="2"/>
          <w:lang w:val="en-US" w:eastAsia="zh-CN"/>
        </w:rPr>
        <w:t>Andía</w:t>
      </w:r>
      <w:proofErr w:type="spellEnd"/>
      <w:r w:rsidRPr="00A6256F">
        <w:rPr>
          <w:rFonts w:ascii="Book Antiqua" w:eastAsia="宋体" w:hAnsi="Book Antiqua"/>
          <w:b/>
          <w:kern w:val="2"/>
          <w:lang w:val="en-US" w:eastAsia="zh-CN"/>
        </w:rPr>
        <w:t xml:space="preserve"> G</w:t>
      </w:r>
      <w:r w:rsidRPr="00A6256F">
        <w:rPr>
          <w:rFonts w:ascii="Book Antiqua" w:eastAsia="宋体" w:hAnsi="Book Antiqua"/>
          <w:kern w:val="2"/>
          <w:lang w:val="en-US" w:eastAsia="zh-CN"/>
        </w:rPr>
        <w:t xml:space="preserve">, Prieto Soriano A, Ortega </w:t>
      </w:r>
      <w:proofErr w:type="spellStart"/>
      <w:r w:rsidRPr="00A6256F">
        <w:rPr>
          <w:rFonts w:ascii="Book Antiqua" w:eastAsia="宋体" w:hAnsi="Book Antiqua"/>
          <w:kern w:val="2"/>
          <w:lang w:val="en-US" w:eastAsia="zh-CN"/>
        </w:rPr>
        <w:t>Candil</w:t>
      </w:r>
      <w:proofErr w:type="spellEnd"/>
      <w:r w:rsidRPr="00A6256F">
        <w:rPr>
          <w:rFonts w:ascii="Book Antiqua" w:eastAsia="宋体" w:hAnsi="Book Antiqua"/>
          <w:kern w:val="2"/>
          <w:lang w:val="en-US" w:eastAsia="zh-CN"/>
        </w:rPr>
        <w:t xml:space="preserve"> A, Cabrera Martín MN, González </w:t>
      </w:r>
      <w:proofErr w:type="spellStart"/>
      <w:r w:rsidRPr="00A6256F">
        <w:rPr>
          <w:rFonts w:ascii="Book Antiqua" w:eastAsia="宋体" w:hAnsi="Book Antiqua"/>
          <w:kern w:val="2"/>
          <w:lang w:val="en-US" w:eastAsia="zh-CN"/>
        </w:rPr>
        <w:t>Roiz</w:t>
      </w:r>
      <w:proofErr w:type="spellEnd"/>
      <w:r w:rsidRPr="00A6256F">
        <w:rPr>
          <w:rFonts w:ascii="Book Antiqua" w:eastAsia="宋体" w:hAnsi="Book Antiqua"/>
          <w:kern w:val="2"/>
          <w:lang w:val="en-US" w:eastAsia="zh-CN"/>
        </w:rPr>
        <w:t xml:space="preserve"> C, Ortiz Zapata JJ, Cardona </w:t>
      </w:r>
      <w:proofErr w:type="spellStart"/>
      <w:r w:rsidRPr="00A6256F">
        <w:rPr>
          <w:rFonts w:ascii="Book Antiqua" w:eastAsia="宋体" w:hAnsi="Book Antiqua"/>
          <w:kern w:val="2"/>
          <w:lang w:val="en-US" w:eastAsia="zh-CN"/>
        </w:rPr>
        <w:t>Arboniés</w:t>
      </w:r>
      <w:proofErr w:type="spellEnd"/>
      <w:r w:rsidRPr="00A6256F">
        <w:rPr>
          <w:rFonts w:ascii="Book Antiqua" w:eastAsia="宋体" w:hAnsi="Book Antiqua"/>
          <w:kern w:val="2"/>
          <w:lang w:val="en-US" w:eastAsia="zh-CN"/>
        </w:rPr>
        <w:t xml:space="preserve"> J, </w:t>
      </w:r>
      <w:proofErr w:type="spellStart"/>
      <w:r w:rsidRPr="00A6256F">
        <w:rPr>
          <w:rFonts w:ascii="Book Antiqua" w:eastAsia="宋体" w:hAnsi="Book Antiqua"/>
          <w:kern w:val="2"/>
          <w:lang w:val="en-US" w:eastAsia="zh-CN"/>
        </w:rPr>
        <w:t>Lapeña</w:t>
      </w:r>
      <w:proofErr w:type="spellEnd"/>
      <w:r w:rsidRPr="00A6256F">
        <w:rPr>
          <w:rFonts w:ascii="Book Antiqua" w:eastAsia="宋体" w:hAnsi="Book Antiqua"/>
          <w:kern w:val="2"/>
          <w:lang w:val="en-US" w:eastAsia="zh-CN"/>
        </w:rPr>
        <w:t xml:space="preserve"> Gutiérrez L, Carreras Delgado JL. Clinical relevance of incidental finding of focal uptakes in the colon during 18F-FDG PET/CT studies in oncology patients without known colorectal carcinoma and evaluation of the impact on management. </w:t>
      </w:r>
      <w:r w:rsidRPr="00A6256F">
        <w:rPr>
          <w:rFonts w:ascii="Book Antiqua" w:eastAsia="宋体" w:hAnsi="Book Antiqua"/>
          <w:i/>
          <w:kern w:val="2"/>
          <w:lang w:val="en-US" w:eastAsia="zh-CN"/>
        </w:rPr>
        <w:t xml:space="preserve">Rev </w:t>
      </w:r>
      <w:proofErr w:type="spellStart"/>
      <w:r w:rsidRPr="00A6256F">
        <w:rPr>
          <w:rFonts w:ascii="Book Antiqua" w:eastAsia="宋体" w:hAnsi="Book Antiqua"/>
          <w:i/>
          <w:kern w:val="2"/>
          <w:lang w:val="en-US" w:eastAsia="zh-CN"/>
        </w:rPr>
        <w:t>Esp</w:t>
      </w:r>
      <w:proofErr w:type="spellEnd"/>
      <w:r w:rsidRPr="00A6256F">
        <w:rPr>
          <w:rFonts w:ascii="Book Antiqua" w:eastAsia="宋体" w:hAnsi="Book Antiqua"/>
          <w:i/>
          <w:kern w:val="2"/>
          <w:lang w:val="en-US" w:eastAsia="zh-CN"/>
        </w:rPr>
        <w:t xml:space="preserve"> Med </w:t>
      </w:r>
      <w:proofErr w:type="spellStart"/>
      <w:r w:rsidRPr="00A6256F">
        <w:rPr>
          <w:rFonts w:ascii="Book Antiqua" w:eastAsia="宋体" w:hAnsi="Book Antiqua"/>
          <w:i/>
          <w:kern w:val="2"/>
          <w:lang w:val="en-US" w:eastAsia="zh-CN"/>
        </w:rPr>
        <w:t>Nucl</w:t>
      </w:r>
      <w:proofErr w:type="spellEnd"/>
      <w:r w:rsidRPr="00A6256F">
        <w:rPr>
          <w:rFonts w:ascii="Book Antiqua" w:eastAsia="宋体" w:hAnsi="Book Antiqua"/>
          <w:i/>
          <w:kern w:val="2"/>
          <w:lang w:val="en-US" w:eastAsia="zh-CN"/>
        </w:rPr>
        <w:t xml:space="preserve"> Imagen Mol</w:t>
      </w:r>
      <w:r w:rsidRPr="00A6256F">
        <w:rPr>
          <w:rFonts w:ascii="Book Antiqua" w:eastAsia="宋体" w:hAnsi="Book Antiqua"/>
          <w:kern w:val="2"/>
          <w:lang w:val="en-US" w:eastAsia="zh-CN"/>
        </w:rPr>
        <w:t xml:space="preserve"> 2012; </w:t>
      </w:r>
      <w:r w:rsidRPr="00A6256F">
        <w:rPr>
          <w:rFonts w:ascii="Book Antiqua" w:eastAsia="宋体" w:hAnsi="Book Antiqua"/>
          <w:b/>
          <w:kern w:val="2"/>
          <w:lang w:val="en-US" w:eastAsia="zh-CN"/>
        </w:rPr>
        <w:t>31</w:t>
      </w:r>
      <w:r w:rsidRPr="00A6256F">
        <w:rPr>
          <w:rFonts w:ascii="Book Antiqua" w:eastAsia="宋体" w:hAnsi="Book Antiqua"/>
          <w:kern w:val="2"/>
          <w:lang w:val="en-US" w:eastAsia="zh-CN"/>
        </w:rPr>
        <w:t>: 15-21 [PMID: 21640441 DOI: 10.1016/j.remn.2011.03.014]</w:t>
      </w:r>
    </w:p>
    <w:p w14:paraId="02D69A67"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11 </w:t>
      </w:r>
      <w:r w:rsidRPr="00A6256F">
        <w:rPr>
          <w:rFonts w:ascii="Book Antiqua" w:eastAsia="宋体" w:hAnsi="Book Antiqua"/>
          <w:b/>
          <w:kern w:val="2"/>
          <w:lang w:val="en-US" w:eastAsia="zh-CN"/>
        </w:rPr>
        <w:t>Goldin E</w:t>
      </w:r>
      <w:r w:rsidRPr="00A6256F">
        <w:rPr>
          <w:rFonts w:ascii="Book Antiqua" w:eastAsia="宋体" w:hAnsi="Book Antiqua"/>
          <w:kern w:val="2"/>
          <w:lang w:val="en-US" w:eastAsia="zh-CN"/>
        </w:rPr>
        <w:t xml:space="preserve">, </w:t>
      </w:r>
      <w:proofErr w:type="spellStart"/>
      <w:r w:rsidRPr="00A6256F">
        <w:rPr>
          <w:rFonts w:ascii="Book Antiqua" w:eastAsia="宋体" w:hAnsi="Book Antiqua"/>
          <w:kern w:val="2"/>
          <w:lang w:val="en-US" w:eastAsia="zh-CN"/>
        </w:rPr>
        <w:t>Mahamid</w:t>
      </w:r>
      <w:proofErr w:type="spellEnd"/>
      <w:r w:rsidRPr="00A6256F">
        <w:rPr>
          <w:rFonts w:ascii="Book Antiqua" w:eastAsia="宋体" w:hAnsi="Book Antiqua"/>
          <w:kern w:val="2"/>
          <w:lang w:val="en-US" w:eastAsia="zh-CN"/>
        </w:rPr>
        <w:t xml:space="preserve"> M, </w:t>
      </w:r>
      <w:proofErr w:type="spellStart"/>
      <w:r w:rsidRPr="00A6256F">
        <w:rPr>
          <w:rFonts w:ascii="Book Antiqua" w:eastAsia="宋体" w:hAnsi="Book Antiqua"/>
          <w:kern w:val="2"/>
          <w:lang w:val="en-US" w:eastAsia="zh-CN"/>
        </w:rPr>
        <w:t>Koslowsky</w:t>
      </w:r>
      <w:proofErr w:type="spellEnd"/>
      <w:r w:rsidRPr="00A6256F">
        <w:rPr>
          <w:rFonts w:ascii="Book Antiqua" w:eastAsia="宋体" w:hAnsi="Book Antiqua"/>
          <w:kern w:val="2"/>
          <w:lang w:val="en-US" w:eastAsia="zh-CN"/>
        </w:rPr>
        <w:t xml:space="preserve"> B, </w:t>
      </w:r>
      <w:proofErr w:type="spellStart"/>
      <w:r w:rsidRPr="00A6256F">
        <w:rPr>
          <w:rFonts w:ascii="Book Antiqua" w:eastAsia="宋体" w:hAnsi="Book Antiqua"/>
          <w:kern w:val="2"/>
          <w:lang w:val="en-US" w:eastAsia="zh-CN"/>
        </w:rPr>
        <w:t>Shteingart</w:t>
      </w:r>
      <w:proofErr w:type="spellEnd"/>
      <w:r w:rsidRPr="00A6256F">
        <w:rPr>
          <w:rFonts w:ascii="Book Antiqua" w:eastAsia="宋体" w:hAnsi="Book Antiqua"/>
          <w:kern w:val="2"/>
          <w:lang w:val="en-US" w:eastAsia="zh-CN"/>
        </w:rPr>
        <w:t xml:space="preserve"> S, Dubner Y, </w:t>
      </w:r>
      <w:proofErr w:type="spellStart"/>
      <w:r w:rsidRPr="00A6256F">
        <w:rPr>
          <w:rFonts w:ascii="Book Antiqua" w:eastAsia="宋体" w:hAnsi="Book Antiqua"/>
          <w:kern w:val="2"/>
          <w:lang w:val="en-US" w:eastAsia="zh-CN"/>
        </w:rPr>
        <w:t>Lalazar</w:t>
      </w:r>
      <w:proofErr w:type="spellEnd"/>
      <w:r w:rsidRPr="00A6256F">
        <w:rPr>
          <w:rFonts w:ascii="Book Antiqua" w:eastAsia="宋体" w:hAnsi="Book Antiqua"/>
          <w:kern w:val="2"/>
          <w:lang w:val="en-US" w:eastAsia="zh-CN"/>
        </w:rPr>
        <w:t xml:space="preserve"> G, </w:t>
      </w:r>
      <w:proofErr w:type="spellStart"/>
      <w:r w:rsidRPr="00A6256F">
        <w:rPr>
          <w:rFonts w:ascii="Book Antiqua" w:eastAsia="宋体" w:hAnsi="Book Antiqua"/>
          <w:kern w:val="2"/>
          <w:lang w:val="en-US" w:eastAsia="zh-CN"/>
        </w:rPr>
        <w:t>Wengrower</w:t>
      </w:r>
      <w:proofErr w:type="spellEnd"/>
      <w:r w:rsidRPr="00A6256F">
        <w:rPr>
          <w:rFonts w:ascii="Book Antiqua" w:eastAsia="宋体" w:hAnsi="Book Antiqua"/>
          <w:kern w:val="2"/>
          <w:lang w:val="en-US" w:eastAsia="zh-CN"/>
        </w:rPr>
        <w:t xml:space="preserve"> D. Unexpected FDG-PET uptake in the gastrointestinal tract: endoscopic and histopathological correlations. </w:t>
      </w:r>
      <w:r w:rsidRPr="00A6256F">
        <w:rPr>
          <w:rFonts w:ascii="Book Antiqua" w:eastAsia="宋体" w:hAnsi="Book Antiqua"/>
          <w:i/>
          <w:kern w:val="2"/>
          <w:lang w:val="en-US" w:eastAsia="zh-CN"/>
        </w:rPr>
        <w:t>World J Gastroenterol</w:t>
      </w:r>
      <w:r w:rsidRPr="00A6256F">
        <w:rPr>
          <w:rFonts w:ascii="Book Antiqua" w:eastAsia="宋体" w:hAnsi="Book Antiqua"/>
          <w:kern w:val="2"/>
          <w:lang w:val="en-US" w:eastAsia="zh-CN"/>
        </w:rPr>
        <w:t xml:space="preserve"> 2014; </w:t>
      </w:r>
      <w:r w:rsidRPr="00A6256F">
        <w:rPr>
          <w:rFonts w:ascii="Book Antiqua" w:eastAsia="宋体" w:hAnsi="Book Antiqua"/>
          <w:b/>
          <w:kern w:val="2"/>
          <w:lang w:val="en-US" w:eastAsia="zh-CN"/>
        </w:rPr>
        <w:t>20</w:t>
      </w:r>
      <w:r w:rsidRPr="00A6256F">
        <w:rPr>
          <w:rFonts w:ascii="Book Antiqua" w:eastAsia="宋体" w:hAnsi="Book Antiqua"/>
          <w:kern w:val="2"/>
          <w:lang w:val="en-US" w:eastAsia="zh-CN"/>
        </w:rPr>
        <w:t>: 4377-4381 [PMID: 24764676 DOI: 10.3748/wjg.v20.i15.4377]</w:t>
      </w:r>
    </w:p>
    <w:p w14:paraId="7DEE06A7"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12 </w:t>
      </w:r>
      <w:r w:rsidRPr="00A6256F">
        <w:rPr>
          <w:rFonts w:ascii="Book Antiqua" w:eastAsia="宋体" w:hAnsi="Book Antiqua"/>
          <w:b/>
          <w:kern w:val="2"/>
          <w:lang w:val="en-US" w:eastAsia="zh-CN"/>
        </w:rPr>
        <w:t>Israel O</w:t>
      </w:r>
      <w:r w:rsidRPr="00A6256F">
        <w:rPr>
          <w:rFonts w:ascii="Book Antiqua" w:eastAsia="宋体" w:hAnsi="Book Antiqua"/>
          <w:kern w:val="2"/>
          <w:lang w:val="en-US" w:eastAsia="zh-CN"/>
        </w:rPr>
        <w:t xml:space="preserve">, </w:t>
      </w:r>
      <w:proofErr w:type="spellStart"/>
      <w:r w:rsidRPr="00A6256F">
        <w:rPr>
          <w:rFonts w:ascii="Book Antiqua" w:eastAsia="宋体" w:hAnsi="Book Antiqua"/>
          <w:kern w:val="2"/>
          <w:lang w:val="en-US" w:eastAsia="zh-CN"/>
        </w:rPr>
        <w:t>Yefremov</w:t>
      </w:r>
      <w:proofErr w:type="spellEnd"/>
      <w:r w:rsidRPr="00A6256F">
        <w:rPr>
          <w:rFonts w:ascii="Book Antiqua" w:eastAsia="宋体" w:hAnsi="Book Antiqua"/>
          <w:kern w:val="2"/>
          <w:lang w:val="en-US" w:eastAsia="zh-CN"/>
        </w:rPr>
        <w:t xml:space="preserve"> N, Bar-Shalom R, </w:t>
      </w:r>
      <w:proofErr w:type="spellStart"/>
      <w:r w:rsidRPr="00A6256F">
        <w:rPr>
          <w:rFonts w:ascii="Book Antiqua" w:eastAsia="宋体" w:hAnsi="Book Antiqua"/>
          <w:kern w:val="2"/>
          <w:lang w:val="en-US" w:eastAsia="zh-CN"/>
        </w:rPr>
        <w:t>Kagana</w:t>
      </w:r>
      <w:proofErr w:type="spellEnd"/>
      <w:r w:rsidRPr="00A6256F">
        <w:rPr>
          <w:rFonts w:ascii="Book Antiqua" w:eastAsia="宋体" w:hAnsi="Book Antiqua"/>
          <w:kern w:val="2"/>
          <w:lang w:val="en-US" w:eastAsia="zh-CN"/>
        </w:rPr>
        <w:t xml:space="preserve"> O, Frenkel A, </w:t>
      </w:r>
      <w:proofErr w:type="spellStart"/>
      <w:r w:rsidRPr="00A6256F">
        <w:rPr>
          <w:rFonts w:ascii="Book Antiqua" w:eastAsia="宋体" w:hAnsi="Book Antiqua"/>
          <w:kern w:val="2"/>
          <w:lang w:val="en-US" w:eastAsia="zh-CN"/>
        </w:rPr>
        <w:t>Keidar</w:t>
      </w:r>
      <w:proofErr w:type="spellEnd"/>
      <w:r w:rsidRPr="00A6256F">
        <w:rPr>
          <w:rFonts w:ascii="Book Antiqua" w:eastAsia="宋体" w:hAnsi="Book Antiqua"/>
          <w:kern w:val="2"/>
          <w:lang w:val="en-US" w:eastAsia="zh-CN"/>
        </w:rPr>
        <w:t xml:space="preserve"> Z, Fischer D. PET/CT detection of unexpected gastrointestinal foci of 18F-FDG uptake: incidence, localization patterns, and clinical significance. </w:t>
      </w:r>
      <w:r w:rsidRPr="00A6256F">
        <w:rPr>
          <w:rFonts w:ascii="Book Antiqua" w:eastAsia="宋体" w:hAnsi="Book Antiqua"/>
          <w:i/>
          <w:kern w:val="2"/>
          <w:lang w:val="en-US" w:eastAsia="zh-CN"/>
        </w:rPr>
        <w:t xml:space="preserve">J </w:t>
      </w:r>
      <w:proofErr w:type="spellStart"/>
      <w:r w:rsidRPr="00A6256F">
        <w:rPr>
          <w:rFonts w:ascii="Book Antiqua" w:eastAsia="宋体" w:hAnsi="Book Antiqua"/>
          <w:i/>
          <w:kern w:val="2"/>
          <w:lang w:val="en-US" w:eastAsia="zh-CN"/>
        </w:rPr>
        <w:t>Nucl</w:t>
      </w:r>
      <w:proofErr w:type="spellEnd"/>
      <w:r w:rsidRPr="00A6256F">
        <w:rPr>
          <w:rFonts w:ascii="Book Antiqua" w:eastAsia="宋体" w:hAnsi="Book Antiqua"/>
          <w:i/>
          <w:kern w:val="2"/>
          <w:lang w:val="en-US" w:eastAsia="zh-CN"/>
        </w:rPr>
        <w:t xml:space="preserve"> Med</w:t>
      </w:r>
      <w:r w:rsidRPr="00A6256F">
        <w:rPr>
          <w:rFonts w:ascii="Book Antiqua" w:eastAsia="宋体" w:hAnsi="Book Antiqua"/>
          <w:kern w:val="2"/>
          <w:lang w:val="en-US" w:eastAsia="zh-CN"/>
        </w:rPr>
        <w:t xml:space="preserve"> 2005; </w:t>
      </w:r>
      <w:r w:rsidRPr="00A6256F">
        <w:rPr>
          <w:rFonts w:ascii="Book Antiqua" w:eastAsia="宋体" w:hAnsi="Book Antiqua"/>
          <w:b/>
          <w:kern w:val="2"/>
          <w:lang w:val="en-US" w:eastAsia="zh-CN"/>
        </w:rPr>
        <w:t>46</w:t>
      </w:r>
      <w:r w:rsidRPr="00A6256F">
        <w:rPr>
          <w:rFonts w:ascii="Book Antiqua" w:eastAsia="宋体" w:hAnsi="Book Antiqua"/>
          <w:kern w:val="2"/>
          <w:lang w:val="en-US" w:eastAsia="zh-CN"/>
        </w:rPr>
        <w:t>: 758-762 [</w:t>
      </w:r>
      <w:bookmarkStart w:id="94" w:name="OLE_LINK50"/>
      <w:bookmarkStart w:id="95" w:name="OLE_LINK51"/>
      <w:r w:rsidRPr="00A6256F">
        <w:rPr>
          <w:rFonts w:ascii="Book Antiqua" w:eastAsia="宋体" w:hAnsi="Book Antiqua"/>
          <w:kern w:val="2"/>
          <w:lang w:val="en-US" w:eastAsia="zh-CN"/>
        </w:rPr>
        <w:t>PMID: 15872347</w:t>
      </w:r>
      <w:bookmarkEnd w:id="94"/>
      <w:bookmarkEnd w:id="95"/>
      <w:r w:rsidRPr="00A6256F">
        <w:rPr>
          <w:rFonts w:ascii="Book Antiqua" w:eastAsia="宋体" w:hAnsi="Book Antiqua"/>
          <w:kern w:val="2"/>
          <w:lang w:val="en-US" w:eastAsia="zh-CN"/>
        </w:rPr>
        <w:t>]</w:t>
      </w:r>
    </w:p>
    <w:p w14:paraId="2F823F70"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13 </w:t>
      </w:r>
      <w:r w:rsidRPr="00A6256F">
        <w:rPr>
          <w:rFonts w:ascii="Book Antiqua" w:eastAsia="宋体" w:hAnsi="Book Antiqua"/>
          <w:b/>
          <w:kern w:val="2"/>
          <w:lang w:val="en-US" w:eastAsia="zh-CN"/>
        </w:rPr>
        <w:t>Treglia G</w:t>
      </w:r>
      <w:r w:rsidRPr="00A6256F">
        <w:rPr>
          <w:rFonts w:ascii="Book Antiqua" w:eastAsia="宋体" w:hAnsi="Book Antiqua"/>
          <w:kern w:val="2"/>
          <w:lang w:val="en-US" w:eastAsia="zh-CN"/>
        </w:rPr>
        <w:t xml:space="preserve">, </w:t>
      </w:r>
      <w:proofErr w:type="spellStart"/>
      <w:r w:rsidRPr="00A6256F">
        <w:rPr>
          <w:rFonts w:ascii="Book Antiqua" w:eastAsia="宋体" w:hAnsi="Book Antiqua"/>
          <w:kern w:val="2"/>
          <w:lang w:val="en-US" w:eastAsia="zh-CN"/>
        </w:rPr>
        <w:t>Taralli</w:t>
      </w:r>
      <w:proofErr w:type="spellEnd"/>
      <w:r w:rsidRPr="00A6256F">
        <w:rPr>
          <w:rFonts w:ascii="Book Antiqua" w:eastAsia="宋体" w:hAnsi="Book Antiqua"/>
          <w:kern w:val="2"/>
          <w:lang w:val="en-US" w:eastAsia="zh-CN"/>
        </w:rPr>
        <w:t xml:space="preserve"> S, Salsano M, </w:t>
      </w:r>
      <w:proofErr w:type="spellStart"/>
      <w:r w:rsidRPr="00A6256F">
        <w:rPr>
          <w:rFonts w:ascii="Book Antiqua" w:eastAsia="宋体" w:hAnsi="Book Antiqua"/>
          <w:kern w:val="2"/>
          <w:lang w:val="en-US" w:eastAsia="zh-CN"/>
        </w:rPr>
        <w:t>Muoio</w:t>
      </w:r>
      <w:proofErr w:type="spellEnd"/>
      <w:r w:rsidRPr="00A6256F">
        <w:rPr>
          <w:rFonts w:ascii="Book Antiqua" w:eastAsia="宋体" w:hAnsi="Book Antiqua"/>
          <w:kern w:val="2"/>
          <w:lang w:val="en-US" w:eastAsia="zh-CN"/>
        </w:rPr>
        <w:t xml:space="preserve"> B, Sadeghi R, </w:t>
      </w:r>
      <w:proofErr w:type="spellStart"/>
      <w:r w:rsidRPr="00A6256F">
        <w:rPr>
          <w:rFonts w:ascii="Book Antiqua" w:eastAsia="宋体" w:hAnsi="Book Antiqua"/>
          <w:kern w:val="2"/>
          <w:lang w:val="en-US" w:eastAsia="zh-CN"/>
        </w:rPr>
        <w:t>Giovanella</w:t>
      </w:r>
      <w:proofErr w:type="spellEnd"/>
      <w:r w:rsidRPr="00A6256F">
        <w:rPr>
          <w:rFonts w:ascii="Book Antiqua" w:eastAsia="宋体" w:hAnsi="Book Antiqua"/>
          <w:kern w:val="2"/>
          <w:lang w:val="en-US" w:eastAsia="zh-CN"/>
        </w:rPr>
        <w:t xml:space="preserve"> L. Prevalence and malignancy risk of focal colorectal incidental uptake detected by (18)F-FDG-PET or PET/CT: a meta-analysis. </w:t>
      </w:r>
      <w:proofErr w:type="spellStart"/>
      <w:r w:rsidRPr="00A6256F">
        <w:rPr>
          <w:rFonts w:ascii="Book Antiqua" w:eastAsia="宋体" w:hAnsi="Book Antiqua"/>
          <w:i/>
          <w:kern w:val="2"/>
          <w:lang w:val="en-US" w:eastAsia="zh-CN"/>
        </w:rPr>
        <w:t>Radiol</w:t>
      </w:r>
      <w:proofErr w:type="spellEnd"/>
      <w:r w:rsidRPr="00A6256F">
        <w:rPr>
          <w:rFonts w:ascii="Book Antiqua" w:eastAsia="宋体" w:hAnsi="Book Antiqua"/>
          <w:i/>
          <w:kern w:val="2"/>
          <w:lang w:val="en-US" w:eastAsia="zh-CN"/>
        </w:rPr>
        <w:t xml:space="preserve"> Oncol</w:t>
      </w:r>
      <w:r w:rsidRPr="00A6256F">
        <w:rPr>
          <w:rFonts w:ascii="Book Antiqua" w:eastAsia="宋体" w:hAnsi="Book Antiqua"/>
          <w:kern w:val="2"/>
          <w:lang w:val="en-US" w:eastAsia="zh-CN"/>
        </w:rPr>
        <w:t xml:space="preserve"> 2014; </w:t>
      </w:r>
      <w:r w:rsidRPr="00A6256F">
        <w:rPr>
          <w:rFonts w:ascii="Book Antiqua" w:eastAsia="宋体" w:hAnsi="Book Antiqua"/>
          <w:b/>
          <w:kern w:val="2"/>
          <w:lang w:val="en-US" w:eastAsia="zh-CN"/>
        </w:rPr>
        <w:t>48</w:t>
      </w:r>
      <w:r w:rsidRPr="00A6256F">
        <w:rPr>
          <w:rFonts w:ascii="Book Antiqua" w:eastAsia="宋体" w:hAnsi="Book Antiqua"/>
          <w:kern w:val="2"/>
          <w:lang w:val="en-US" w:eastAsia="zh-CN"/>
        </w:rPr>
        <w:t>: 99-104 [PMID: 24991198 DOI: 10.2478/raon-2013-0035]</w:t>
      </w:r>
    </w:p>
    <w:p w14:paraId="32C88561"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14 </w:t>
      </w:r>
      <w:proofErr w:type="spellStart"/>
      <w:r w:rsidRPr="00A6256F">
        <w:rPr>
          <w:rFonts w:ascii="Book Antiqua" w:eastAsia="宋体" w:hAnsi="Book Antiqua"/>
          <w:b/>
          <w:kern w:val="2"/>
          <w:lang w:val="en-US" w:eastAsia="zh-CN"/>
        </w:rPr>
        <w:t>Keyzer</w:t>
      </w:r>
      <w:proofErr w:type="spellEnd"/>
      <w:r w:rsidRPr="00A6256F">
        <w:rPr>
          <w:rFonts w:ascii="Book Antiqua" w:eastAsia="宋体" w:hAnsi="Book Antiqua"/>
          <w:b/>
          <w:kern w:val="2"/>
          <w:lang w:val="en-US" w:eastAsia="zh-CN"/>
        </w:rPr>
        <w:t xml:space="preserve"> C</w:t>
      </w:r>
      <w:r w:rsidRPr="00A6256F">
        <w:rPr>
          <w:rFonts w:ascii="Book Antiqua" w:eastAsia="宋体" w:hAnsi="Book Antiqua"/>
          <w:kern w:val="2"/>
          <w:lang w:val="en-US" w:eastAsia="zh-CN"/>
        </w:rPr>
        <w:t xml:space="preserve">, </w:t>
      </w:r>
      <w:proofErr w:type="spellStart"/>
      <w:r w:rsidRPr="00A6256F">
        <w:rPr>
          <w:rFonts w:ascii="Book Antiqua" w:eastAsia="宋体" w:hAnsi="Book Antiqua"/>
          <w:kern w:val="2"/>
          <w:lang w:val="en-US" w:eastAsia="zh-CN"/>
        </w:rPr>
        <w:t>Dhaene</w:t>
      </w:r>
      <w:proofErr w:type="spellEnd"/>
      <w:r w:rsidRPr="00A6256F">
        <w:rPr>
          <w:rFonts w:ascii="Book Antiqua" w:eastAsia="宋体" w:hAnsi="Book Antiqua"/>
          <w:kern w:val="2"/>
          <w:lang w:val="en-US" w:eastAsia="zh-CN"/>
        </w:rPr>
        <w:t xml:space="preserve"> B, </w:t>
      </w:r>
      <w:proofErr w:type="spellStart"/>
      <w:r w:rsidRPr="00A6256F">
        <w:rPr>
          <w:rFonts w:ascii="Book Antiqua" w:eastAsia="宋体" w:hAnsi="Book Antiqua"/>
          <w:kern w:val="2"/>
          <w:lang w:val="en-US" w:eastAsia="zh-CN"/>
        </w:rPr>
        <w:t>Blocklet</w:t>
      </w:r>
      <w:proofErr w:type="spellEnd"/>
      <w:r w:rsidRPr="00A6256F">
        <w:rPr>
          <w:rFonts w:ascii="Book Antiqua" w:eastAsia="宋体" w:hAnsi="Book Antiqua"/>
          <w:kern w:val="2"/>
          <w:lang w:val="en-US" w:eastAsia="zh-CN"/>
        </w:rPr>
        <w:t xml:space="preserve"> D, De </w:t>
      </w:r>
      <w:proofErr w:type="spellStart"/>
      <w:r w:rsidRPr="00A6256F">
        <w:rPr>
          <w:rFonts w:ascii="Book Antiqua" w:eastAsia="宋体" w:hAnsi="Book Antiqua"/>
          <w:kern w:val="2"/>
          <w:lang w:val="en-US" w:eastAsia="zh-CN"/>
        </w:rPr>
        <w:t>Maertelaer</w:t>
      </w:r>
      <w:proofErr w:type="spellEnd"/>
      <w:r w:rsidRPr="00A6256F">
        <w:rPr>
          <w:rFonts w:ascii="Book Antiqua" w:eastAsia="宋体" w:hAnsi="Book Antiqua"/>
          <w:kern w:val="2"/>
          <w:lang w:val="en-US" w:eastAsia="zh-CN"/>
        </w:rPr>
        <w:t xml:space="preserve"> V, Goldman S, </w:t>
      </w:r>
      <w:proofErr w:type="spellStart"/>
      <w:r w:rsidRPr="00A6256F">
        <w:rPr>
          <w:rFonts w:ascii="Book Antiqua" w:eastAsia="宋体" w:hAnsi="Book Antiqua"/>
          <w:kern w:val="2"/>
          <w:lang w:val="en-US" w:eastAsia="zh-CN"/>
        </w:rPr>
        <w:t>Gevenois</w:t>
      </w:r>
      <w:proofErr w:type="spellEnd"/>
      <w:r w:rsidRPr="00A6256F">
        <w:rPr>
          <w:rFonts w:ascii="Book Antiqua" w:eastAsia="宋体" w:hAnsi="Book Antiqua"/>
          <w:kern w:val="2"/>
          <w:lang w:val="en-US" w:eastAsia="zh-CN"/>
        </w:rPr>
        <w:t xml:space="preserve"> PA. </w:t>
      </w:r>
      <w:proofErr w:type="spellStart"/>
      <w:r w:rsidRPr="00A6256F">
        <w:rPr>
          <w:rFonts w:ascii="Book Antiqua" w:eastAsia="宋体" w:hAnsi="Book Antiqua"/>
          <w:kern w:val="2"/>
          <w:lang w:val="en-US" w:eastAsia="zh-CN"/>
        </w:rPr>
        <w:t>Colonoscopic</w:t>
      </w:r>
      <w:proofErr w:type="spellEnd"/>
      <w:r w:rsidRPr="00A6256F">
        <w:rPr>
          <w:rFonts w:ascii="Book Antiqua" w:eastAsia="宋体" w:hAnsi="Book Antiqua"/>
          <w:kern w:val="2"/>
          <w:lang w:val="en-US" w:eastAsia="zh-CN"/>
        </w:rPr>
        <w:t xml:space="preserve"> Findings in Patients </w:t>
      </w:r>
      <w:proofErr w:type="gramStart"/>
      <w:r w:rsidRPr="00A6256F">
        <w:rPr>
          <w:rFonts w:ascii="Book Antiqua" w:eastAsia="宋体" w:hAnsi="Book Antiqua"/>
          <w:kern w:val="2"/>
          <w:lang w:val="en-US" w:eastAsia="zh-CN"/>
        </w:rPr>
        <w:t>With</w:t>
      </w:r>
      <w:proofErr w:type="gramEnd"/>
      <w:r w:rsidRPr="00A6256F">
        <w:rPr>
          <w:rFonts w:ascii="Book Antiqua" w:eastAsia="宋体" w:hAnsi="Book Antiqua"/>
          <w:kern w:val="2"/>
          <w:lang w:val="en-US" w:eastAsia="zh-CN"/>
        </w:rPr>
        <w:t xml:space="preserve"> Incidental Colonic Focal FDG Uptake. </w:t>
      </w:r>
      <w:r w:rsidRPr="00A6256F">
        <w:rPr>
          <w:rFonts w:ascii="Book Antiqua" w:eastAsia="宋体" w:hAnsi="Book Antiqua"/>
          <w:i/>
          <w:kern w:val="2"/>
          <w:lang w:val="en-US" w:eastAsia="zh-CN"/>
        </w:rPr>
        <w:t xml:space="preserve">AJR Am J </w:t>
      </w:r>
      <w:proofErr w:type="spellStart"/>
      <w:r w:rsidRPr="00A6256F">
        <w:rPr>
          <w:rFonts w:ascii="Book Antiqua" w:eastAsia="宋体" w:hAnsi="Book Antiqua"/>
          <w:i/>
          <w:kern w:val="2"/>
          <w:lang w:val="en-US" w:eastAsia="zh-CN"/>
        </w:rPr>
        <w:t>Roentgenol</w:t>
      </w:r>
      <w:proofErr w:type="spellEnd"/>
      <w:r w:rsidRPr="00A6256F">
        <w:rPr>
          <w:rFonts w:ascii="Book Antiqua" w:eastAsia="宋体" w:hAnsi="Book Antiqua"/>
          <w:kern w:val="2"/>
          <w:lang w:val="en-US" w:eastAsia="zh-CN"/>
        </w:rPr>
        <w:t xml:space="preserve"> 2015; </w:t>
      </w:r>
      <w:r w:rsidRPr="00A6256F">
        <w:rPr>
          <w:rFonts w:ascii="Book Antiqua" w:eastAsia="宋体" w:hAnsi="Book Antiqua"/>
          <w:b/>
          <w:kern w:val="2"/>
          <w:lang w:val="en-US" w:eastAsia="zh-CN"/>
        </w:rPr>
        <w:t>204</w:t>
      </w:r>
      <w:r w:rsidRPr="00A6256F">
        <w:rPr>
          <w:rFonts w:ascii="Book Antiqua" w:eastAsia="宋体" w:hAnsi="Book Antiqua"/>
          <w:kern w:val="2"/>
          <w:lang w:val="en-US" w:eastAsia="zh-CN"/>
        </w:rPr>
        <w:t>: W586-W591 [PMID: 25905966 DOI: 10.2214/AJR.14.12817]</w:t>
      </w:r>
    </w:p>
    <w:p w14:paraId="51B19DF9"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15 </w:t>
      </w:r>
      <w:proofErr w:type="spellStart"/>
      <w:r w:rsidRPr="00A6256F">
        <w:rPr>
          <w:rFonts w:ascii="Book Antiqua" w:eastAsia="宋体" w:hAnsi="Book Antiqua"/>
          <w:b/>
          <w:kern w:val="2"/>
          <w:lang w:val="en-US" w:eastAsia="zh-CN"/>
        </w:rPr>
        <w:t>Shmidt</w:t>
      </w:r>
      <w:proofErr w:type="spellEnd"/>
      <w:r w:rsidRPr="00A6256F">
        <w:rPr>
          <w:rFonts w:ascii="Book Antiqua" w:eastAsia="宋体" w:hAnsi="Book Antiqua"/>
          <w:b/>
          <w:kern w:val="2"/>
          <w:lang w:val="en-US" w:eastAsia="zh-CN"/>
        </w:rPr>
        <w:t xml:space="preserve"> E</w:t>
      </w:r>
      <w:r w:rsidRPr="00A6256F">
        <w:rPr>
          <w:rFonts w:ascii="Book Antiqua" w:eastAsia="宋体" w:hAnsi="Book Antiqua"/>
          <w:kern w:val="2"/>
          <w:lang w:val="en-US" w:eastAsia="zh-CN"/>
        </w:rPr>
        <w:t xml:space="preserve">, Nehra V, Lowe V, </w:t>
      </w:r>
      <w:proofErr w:type="spellStart"/>
      <w:r w:rsidRPr="00A6256F">
        <w:rPr>
          <w:rFonts w:ascii="Book Antiqua" w:eastAsia="宋体" w:hAnsi="Book Antiqua"/>
          <w:kern w:val="2"/>
          <w:lang w:val="en-US" w:eastAsia="zh-CN"/>
        </w:rPr>
        <w:t>Oxentenko</w:t>
      </w:r>
      <w:proofErr w:type="spellEnd"/>
      <w:r w:rsidRPr="00A6256F">
        <w:rPr>
          <w:rFonts w:ascii="Book Antiqua" w:eastAsia="宋体" w:hAnsi="Book Antiqua"/>
          <w:kern w:val="2"/>
          <w:lang w:val="en-US" w:eastAsia="zh-CN"/>
        </w:rPr>
        <w:t xml:space="preserve"> AS. Clinical significance of incidental [18 </w:t>
      </w:r>
      <w:proofErr w:type="gramStart"/>
      <w:r w:rsidRPr="00A6256F">
        <w:rPr>
          <w:rFonts w:ascii="Book Antiqua" w:eastAsia="宋体" w:hAnsi="Book Antiqua"/>
          <w:kern w:val="2"/>
          <w:lang w:val="en-US" w:eastAsia="zh-CN"/>
        </w:rPr>
        <w:t>F]FDG</w:t>
      </w:r>
      <w:proofErr w:type="gramEnd"/>
      <w:r w:rsidRPr="00A6256F">
        <w:rPr>
          <w:rFonts w:ascii="Book Antiqua" w:eastAsia="宋体" w:hAnsi="Book Antiqua"/>
          <w:kern w:val="2"/>
          <w:lang w:val="en-US" w:eastAsia="zh-CN"/>
        </w:rPr>
        <w:t xml:space="preserve"> uptake in the gastrointestinal tract on PET/CT imaging: a retrospective cohort study. </w:t>
      </w:r>
      <w:r w:rsidRPr="00A6256F">
        <w:rPr>
          <w:rFonts w:ascii="Book Antiqua" w:eastAsia="宋体" w:hAnsi="Book Antiqua"/>
          <w:i/>
          <w:kern w:val="2"/>
          <w:lang w:val="en-US" w:eastAsia="zh-CN"/>
        </w:rPr>
        <w:t>BMC Gastroenterol</w:t>
      </w:r>
      <w:r w:rsidRPr="00A6256F">
        <w:rPr>
          <w:rFonts w:ascii="Book Antiqua" w:eastAsia="宋体" w:hAnsi="Book Antiqua"/>
          <w:kern w:val="2"/>
          <w:lang w:val="en-US" w:eastAsia="zh-CN"/>
        </w:rPr>
        <w:t xml:space="preserve"> 2016; </w:t>
      </w:r>
      <w:r w:rsidRPr="00A6256F">
        <w:rPr>
          <w:rFonts w:ascii="Book Antiqua" w:eastAsia="宋体" w:hAnsi="Book Antiqua"/>
          <w:b/>
          <w:kern w:val="2"/>
          <w:lang w:val="en-US" w:eastAsia="zh-CN"/>
        </w:rPr>
        <w:t>16</w:t>
      </w:r>
      <w:r w:rsidRPr="00A6256F">
        <w:rPr>
          <w:rFonts w:ascii="Book Antiqua" w:eastAsia="宋体" w:hAnsi="Book Antiqua"/>
          <w:kern w:val="2"/>
          <w:lang w:val="en-US" w:eastAsia="zh-CN"/>
        </w:rPr>
        <w:t>: 125 [PMID: 27716085 DOI: 10.1186/s12876-016-0545-x]</w:t>
      </w:r>
    </w:p>
    <w:p w14:paraId="26063B17"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16 </w:t>
      </w:r>
      <w:r w:rsidRPr="00A6256F">
        <w:rPr>
          <w:rFonts w:ascii="Book Antiqua" w:eastAsia="宋体" w:hAnsi="Book Antiqua"/>
          <w:b/>
          <w:kern w:val="2"/>
          <w:lang w:val="en-US" w:eastAsia="zh-CN"/>
        </w:rPr>
        <w:t>Kamel EM</w:t>
      </w:r>
      <w:r w:rsidRPr="00A6256F">
        <w:rPr>
          <w:rFonts w:ascii="Book Antiqua" w:eastAsia="宋体" w:hAnsi="Book Antiqua"/>
          <w:kern w:val="2"/>
          <w:lang w:val="en-US" w:eastAsia="zh-CN"/>
        </w:rPr>
        <w:t xml:space="preserve">, </w:t>
      </w:r>
      <w:proofErr w:type="spellStart"/>
      <w:r w:rsidRPr="00A6256F">
        <w:rPr>
          <w:rFonts w:ascii="Book Antiqua" w:eastAsia="宋体" w:hAnsi="Book Antiqua"/>
          <w:kern w:val="2"/>
          <w:lang w:val="en-US" w:eastAsia="zh-CN"/>
        </w:rPr>
        <w:t>Thumshirn</w:t>
      </w:r>
      <w:proofErr w:type="spellEnd"/>
      <w:r w:rsidRPr="00A6256F">
        <w:rPr>
          <w:rFonts w:ascii="Book Antiqua" w:eastAsia="宋体" w:hAnsi="Book Antiqua"/>
          <w:kern w:val="2"/>
          <w:lang w:val="en-US" w:eastAsia="zh-CN"/>
        </w:rPr>
        <w:t xml:space="preserve"> M, </w:t>
      </w:r>
      <w:proofErr w:type="spellStart"/>
      <w:r w:rsidRPr="00A6256F">
        <w:rPr>
          <w:rFonts w:ascii="Book Antiqua" w:eastAsia="宋体" w:hAnsi="Book Antiqua"/>
          <w:kern w:val="2"/>
          <w:lang w:val="en-US" w:eastAsia="zh-CN"/>
        </w:rPr>
        <w:t>Truninger</w:t>
      </w:r>
      <w:proofErr w:type="spellEnd"/>
      <w:r w:rsidRPr="00A6256F">
        <w:rPr>
          <w:rFonts w:ascii="Book Antiqua" w:eastAsia="宋体" w:hAnsi="Book Antiqua"/>
          <w:kern w:val="2"/>
          <w:lang w:val="en-US" w:eastAsia="zh-CN"/>
        </w:rPr>
        <w:t xml:space="preserve"> K, </w:t>
      </w:r>
      <w:proofErr w:type="spellStart"/>
      <w:r w:rsidRPr="00A6256F">
        <w:rPr>
          <w:rFonts w:ascii="Book Antiqua" w:eastAsia="宋体" w:hAnsi="Book Antiqua"/>
          <w:kern w:val="2"/>
          <w:lang w:val="en-US" w:eastAsia="zh-CN"/>
        </w:rPr>
        <w:t>Schiesser</w:t>
      </w:r>
      <w:proofErr w:type="spellEnd"/>
      <w:r w:rsidRPr="00A6256F">
        <w:rPr>
          <w:rFonts w:ascii="Book Antiqua" w:eastAsia="宋体" w:hAnsi="Book Antiqua"/>
          <w:kern w:val="2"/>
          <w:lang w:val="en-US" w:eastAsia="zh-CN"/>
        </w:rPr>
        <w:t xml:space="preserve"> M, Fried M, </w:t>
      </w:r>
      <w:proofErr w:type="spellStart"/>
      <w:r w:rsidRPr="00A6256F">
        <w:rPr>
          <w:rFonts w:ascii="Book Antiqua" w:eastAsia="宋体" w:hAnsi="Book Antiqua"/>
          <w:kern w:val="2"/>
          <w:lang w:val="en-US" w:eastAsia="zh-CN"/>
        </w:rPr>
        <w:t>Padberg</w:t>
      </w:r>
      <w:proofErr w:type="spellEnd"/>
      <w:r w:rsidRPr="00A6256F">
        <w:rPr>
          <w:rFonts w:ascii="Book Antiqua" w:eastAsia="宋体" w:hAnsi="Book Antiqua"/>
          <w:kern w:val="2"/>
          <w:lang w:val="en-US" w:eastAsia="zh-CN"/>
        </w:rPr>
        <w:t xml:space="preserve"> B, </w:t>
      </w:r>
      <w:proofErr w:type="spellStart"/>
      <w:r w:rsidRPr="00A6256F">
        <w:rPr>
          <w:rFonts w:ascii="Book Antiqua" w:eastAsia="宋体" w:hAnsi="Book Antiqua"/>
          <w:kern w:val="2"/>
          <w:lang w:val="en-US" w:eastAsia="zh-CN"/>
        </w:rPr>
        <w:t>Schneiter</w:t>
      </w:r>
      <w:proofErr w:type="spellEnd"/>
      <w:r w:rsidRPr="00A6256F">
        <w:rPr>
          <w:rFonts w:ascii="Book Antiqua" w:eastAsia="宋体" w:hAnsi="Book Antiqua"/>
          <w:kern w:val="2"/>
          <w:lang w:val="en-US" w:eastAsia="zh-CN"/>
        </w:rPr>
        <w:t xml:space="preserve"> D, </w:t>
      </w:r>
      <w:proofErr w:type="spellStart"/>
      <w:r w:rsidRPr="00A6256F">
        <w:rPr>
          <w:rFonts w:ascii="Book Antiqua" w:eastAsia="宋体" w:hAnsi="Book Antiqua"/>
          <w:kern w:val="2"/>
          <w:lang w:val="en-US" w:eastAsia="zh-CN"/>
        </w:rPr>
        <w:t>Stoeckli</w:t>
      </w:r>
      <w:proofErr w:type="spellEnd"/>
      <w:r w:rsidRPr="00A6256F">
        <w:rPr>
          <w:rFonts w:ascii="Book Antiqua" w:eastAsia="宋体" w:hAnsi="Book Antiqua"/>
          <w:kern w:val="2"/>
          <w:lang w:val="en-US" w:eastAsia="zh-CN"/>
        </w:rPr>
        <w:t xml:space="preserve"> SJ, von </w:t>
      </w:r>
      <w:proofErr w:type="spellStart"/>
      <w:r w:rsidRPr="00A6256F">
        <w:rPr>
          <w:rFonts w:ascii="Book Antiqua" w:eastAsia="宋体" w:hAnsi="Book Antiqua"/>
          <w:kern w:val="2"/>
          <w:lang w:val="en-US" w:eastAsia="zh-CN"/>
        </w:rPr>
        <w:t>Schulthess</w:t>
      </w:r>
      <w:proofErr w:type="spellEnd"/>
      <w:r w:rsidRPr="00A6256F">
        <w:rPr>
          <w:rFonts w:ascii="Book Antiqua" w:eastAsia="宋体" w:hAnsi="Book Antiqua"/>
          <w:kern w:val="2"/>
          <w:lang w:val="en-US" w:eastAsia="zh-CN"/>
        </w:rPr>
        <w:t xml:space="preserve"> GK, </w:t>
      </w:r>
      <w:proofErr w:type="spellStart"/>
      <w:r w:rsidRPr="00A6256F">
        <w:rPr>
          <w:rFonts w:ascii="Book Antiqua" w:eastAsia="宋体" w:hAnsi="Book Antiqua"/>
          <w:kern w:val="2"/>
          <w:lang w:val="en-US" w:eastAsia="zh-CN"/>
        </w:rPr>
        <w:t>Stumpe</w:t>
      </w:r>
      <w:proofErr w:type="spellEnd"/>
      <w:r w:rsidRPr="00A6256F">
        <w:rPr>
          <w:rFonts w:ascii="Book Antiqua" w:eastAsia="宋体" w:hAnsi="Book Antiqua"/>
          <w:kern w:val="2"/>
          <w:lang w:val="en-US" w:eastAsia="zh-CN"/>
        </w:rPr>
        <w:t xml:space="preserve"> KD. Significance of incidental </w:t>
      </w:r>
      <w:r w:rsidRPr="00A6256F">
        <w:rPr>
          <w:rFonts w:ascii="Book Antiqua" w:eastAsia="宋体" w:hAnsi="Book Antiqua"/>
          <w:kern w:val="2"/>
          <w:lang w:val="en-US" w:eastAsia="zh-CN"/>
        </w:rPr>
        <w:lastRenderedPageBreak/>
        <w:t xml:space="preserve">18F-FDG accumulations in the gastrointestinal tract in PET/CT: correlation with endoscopic and histopathologic results. </w:t>
      </w:r>
      <w:r w:rsidRPr="00A6256F">
        <w:rPr>
          <w:rFonts w:ascii="Book Antiqua" w:eastAsia="宋体" w:hAnsi="Book Antiqua"/>
          <w:i/>
          <w:kern w:val="2"/>
          <w:lang w:val="en-US" w:eastAsia="zh-CN"/>
        </w:rPr>
        <w:t xml:space="preserve">J </w:t>
      </w:r>
      <w:proofErr w:type="spellStart"/>
      <w:r w:rsidRPr="00A6256F">
        <w:rPr>
          <w:rFonts w:ascii="Book Antiqua" w:eastAsia="宋体" w:hAnsi="Book Antiqua"/>
          <w:i/>
          <w:kern w:val="2"/>
          <w:lang w:val="en-US" w:eastAsia="zh-CN"/>
        </w:rPr>
        <w:t>Nucl</w:t>
      </w:r>
      <w:proofErr w:type="spellEnd"/>
      <w:r w:rsidRPr="00A6256F">
        <w:rPr>
          <w:rFonts w:ascii="Book Antiqua" w:eastAsia="宋体" w:hAnsi="Book Antiqua"/>
          <w:i/>
          <w:kern w:val="2"/>
          <w:lang w:val="en-US" w:eastAsia="zh-CN"/>
        </w:rPr>
        <w:t xml:space="preserve"> Med</w:t>
      </w:r>
      <w:r w:rsidRPr="00A6256F">
        <w:rPr>
          <w:rFonts w:ascii="Book Antiqua" w:eastAsia="宋体" w:hAnsi="Book Antiqua"/>
          <w:kern w:val="2"/>
          <w:lang w:val="en-US" w:eastAsia="zh-CN"/>
        </w:rPr>
        <w:t xml:space="preserve"> 2004; </w:t>
      </w:r>
      <w:r w:rsidRPr="00A6256F">
        <w:rPr>
          <w:rFonts w:ascii="Book Antiqua" w:eastAsia="宋体" w:hAnsi="Book Antiqua"/>
          <w:b/>
          <w:kern w:val="2"/>
          <w:lang w:val="en-US" w:eastAsia="zh-CN"/>
        </w:rPr>
        <w:t>45</w:t>
      </w:r>
      <w:r w:rsidRPr="00A6256F">
        <w:rPr>
          <w:rFonts w:ascii="Book Antiqua" w:eastAsia="宋体" w:hAnsi="Book Antiqua"/>
          <w:kern w:val="2"/>
          <w:lang w:val="en-US" w:eastAsia="zh-CN"/>
        </w:rPr>
        <w:t>: 1804-1810 [</w:t>
      </w:r>
      <w:bookmarkStart w:id="96" w:name="OLE_LINK52"/>
      <w:bookmarkStart w:id="97" w:name="OLE_LINK53"/>
      <w:r w:rsidRPr="00A6256F">
        <w:rPr>
          <w:rFonts w:ascii="Book Antiqua" w:eastAsia="宋体" w:hAnsi="Book Antiqua"/>
          <w:kern w:val="2"/>
          <w:lang w:val="en-US" w:eastAsia="zh-CN"/>
        </w:rPr>
        <w:t>PMID: 15534047</w:t>
      </w:r>
      <w:bookmarkEnd w:id="96"/>
      <w:bookmarkEnd w:id="97"/>
      <w:r w:rsidRPr="00A6256F">
        <w:rPr>
          <w:rFonts w:ascii="Book Antiqua" w:eastAsia="宋体" w:hAnsi="Book Antiqua"/>
          <w:kern w:val="2"/>
          <w:lang w:val="en-US" w:eastAsia="zh-CN"/>
        </w:rPr>
        <w:t>]</w:t>
      </w:r>
    </w:p>
    <w:p w14:paraId="5815AED5"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17 </w:t>
      </w:r>
      <w:proofErr w:type="spellStart"/>
      <w:r w:rsidRPr="00A6256F">
        <w:rPr>
          <w:rFonts w:ascii="Book Antiqua" w:eastAsia="宋体" w:hAnsi="Book Antiqua"/>
          <w:b/>
          <w:kern w:val="2"/>
          <w:lang w:val="en-US" w:eastAsia="zh-CN"/>
        </w:rPr>
        <w:t>Gauthé</w:t>
      </w:r>
      <w:proofErr w:type="spellEnd"/>
      <w:r w:rsidRPr="00A6256F">
        <w:rPr>
          <w:rFonts w:ascii="Book Antiqua" w:eastAsia="宋体" w:hAnsi="Book Antiqua"/>
          <w:b/>
          <w:kern w:val="2"/>
          <w:lang w:val="en-US" w:eastAsia="zh-CN"/>
        </w:rPr>
        <w:t xml:space="preserve"> M</w:t>
      </w:r>
      <w:r w:rsidRPr="00A6256F">
        <w:rPr>
          <w:rFonts w:ascii="Book Antiqua" w:eastAsia="宋体" w:hAnsi="Book Antiqua"/>
          <w:kern w:val="2"/>
          <w:lang w:val="en-US" w:eastAsia="zh-CN"/>
        </w:rPr>
        <w:t>, Richard-</w:t>
      </w:r>
      <w:proofErr w:type="spellStart"/>
      <w:r w:rsidRPr="00A6256F">
        <w:rPr>
          <w:rFonts w:ascii="Book Antiqua" w:eastAsia="宋体" w:hAnsi="Book Antiqua"/>
          <w:kern w:val="2"/>
          <w:lang w:val="en-US" w:eastAsia="zh-CN"/>
        </w:rPr>
        <w:t>Molard</w:t>
      </w:r>
      <w:proofErr w:type="spellEnd"/>
      <w:r w:rsidRPr="00A6256F">
        <w:rPr>
          <w:rFonts w:ascii="Book Antiqua" w:eastAsia="宋体" w:hAnsi="Book Antiqua"/>
          <w:kern w:val="2"/>
          <w:lang w:val="en-US" w:eastAsia="zh-CN"/>
        </w:rPr>
        <w:t xml:space="preserve"> M, </w:t>
      </w:r>
      <w:proofErr w:type="spellStart"/>
      <w:r w:rsidRPr="00A6256F">
        <w:rPr>
          <w:rFonts w:ascii="Book Antiqua" w:eastAsia="宋体" w:hAnsi="Book Antiqua"/>
          <w:kern w:val="2"/>
          <w:lang w:val="en-US" w:eastAsia="zh-CN"/>
        </w:rPr>
        <w:t>Cacheux</w:t>
      </w:r>
      <w:proofErr w:type="spellEnd"/>
      <w:r w:rsidRPr="00A6256F">
        <w:rPr>
          <w:rFonts w:ascii="Book Antiqua" w:eastAsia="宋体" w:hAnsi="Book Antiqua"/>
          <w:kern w:val="2"/>
          <w:lang w:val="en-US" w:eastAsia="zh-CN"/>
        </w:rPr>
        <w:t xml:space="preserve"> W, Michel P, </w:t>
      </w:r>
      <w:proofErr w:type="spellStart"/>
      <w:r w:rsidRPr="00A6256F">
        <w:rPr>
          <w:rFonts w:ascii="Book Antiqua" w:eastAsia="宋体" w:hAnsi="Book Antiqua"/>
          <w:kern w:val="2"/>
          <w:lang w:val="en-US" w:eastAsia="zh-CN"/>
        </w:rPr>
        <w:t>Jouve</w:t>
      </w:r>
      <w:proofErr w:type="spellEnd"/>
      <w:r w:rsidRPr="00A6256F">
        <w:rPr>
          <w:rFonts w:ascii="Book Antiqua" w:eastAsia="宋体" w:hAnsi="Book Antiqua"/>
          <w:kern w:val="2"/>
          <w:lang w:val="en-US" w:eastAsia="zh-CN"/>
        </w:rPr>
        <w:t xml:space="preserve"> JL, </w:t>
      </w:r>
      <w:proofErr w:type="spellStart"/>
      <w:r w:rsidRPr="00A6256F">
        <w:rPr>
          <w:rFonts w:ascii="Book Antiqua" w:eastAsia="宋体" w:hAnsi="Book Antiqua"/>
          <w:kern w:val="2"/>
          <w:lang w:val="en-US" w:eastAsia="zh-CN"/>
        </w:rPr>
        <w:t>Mitry</w:t>
      </w:r>
      <w:proofErr w:type="spellEnd"/>
      <w:r w:rsidRPr="00A6256F">
        <w:rPr>
          <w:rFonts w:ascii="Book Antiqua" w:eastAsia="宋体" w:hAnsi="Book Antiqua"/>
          <w:kern w:val="2"/>
          <w:lang w:val="en-US" w:eastAsia="zh-CN"/>
        </w:rPr>
        <w:t xml:space="preserve"> E, </w:t>
      </w:r>
      <w:proofErr w:type="spellStart"/>
      <w:r w:rsidRPr="00A6256F">
        <w:rPr>
          <w:rFonts w:ascii="Book Antiqua" w:eastAsia="宋体" w:hAnsi="Book Antiqua"/>
          <w:kern w:val="2"/>
          <w:lang w:val="en-US" w:eastAsia="zh-CN"/>
        </w:rPr>
        <w:t>Alberini</w:t>
      </w:r>
      <w:proofErr w:type="spellEnd"/>
      <w:r w:rsidRPr="00A6256F">
        <w:rPr>
          <w:rFonts w:ascii="Book Antiqua" w:eastAsia="宋体" w:hAnsi="Book Antiqua"/>
          <w:kern w:val="2"/>
          <w:lang w:val="en-US" w:eastAsia="zh-CN"/>
        </w:rPr>
        <w:t xml:space="preserve"> JL, Lièvre A; Fédération Francophone de </w:t>
      </w:r>
      <w:proofErr w:type="spellStart"/>
      <w:r w:rsidRPr="00A6256F">
        <w:rPr>
          <w:rFonts w:ascii="Book Antiqua" w:eastAsia="宋体" w:hAnsi="Book Antiqua"/>
          <w:kern w:val="2"/>
          <w:lang w:val="en-US" w:eastAsia="zh-CN"/>
        </w:rPr>
        <w:t>Cancérologie</w:t>
      </w:r>
      <w:proofErr w:type="spellEnd"/>
      <w:r w:rsidRPr="00A6256F">
        <w:rPr>
          <w:rFonts w:ascii="Book Antiqua" w:eastAsia="宋体" w:hAnsi="Book Antiqua"/>
          <w:kern w:val="2"/>
          <w:lang w:val="en-US" w:eastAsia="zh-CN"/>
        </w:rPr>
        <w:t xml:space="preserve"> Digestive (FFCD). Role of fluorine 18 fluorodeoxyglucose positron emission tomography/computed tomography in gastrointestinal cancers. </w:t>
      </w:r>
      <w:r w:rsidRPr="00A6256F">
        <w:rPr>
          <w:rFonts w:ascii="Book Antiqua" w:eastAsia="宋体" w:hAnsi="Book Antiqua"/>
          <w:i/>
          <w:kern w:val="2"/>
          <w:lang w:val="en-US" w:eastAsia="zh-CN"/>
        </w:rPr>
        <w:t>Dig Liver Dis</w:t>
      </w:r>
      <w:r w:rsidRPr="00A6256F">
        <w:rPr>
          <w:rFonts w:ascii="Book Antiqua" w:eastAsia="宋体" w:hAnsi="Book Antiqua"/>
          <w:kern w:val="2"/>
          <w:lang w:val="en-US" w:eastAsia="zh-CN"/>
        </w:rPr>
        <w:t xml:space="preserve"> 2015; </w:t>
      </w:r>
      <w:r w:rsidRPr="00A6256F">
        <w:rPr>
          <w:rFonts w:ascii="Book Antiqua" w:eastAsia="宋体" w:hAnsi="Book Antiqua"/>
          <w:b/>
          <w:kern w:val="2"/>
          <w:lang w:val="en-US" w:eastAsia="zh-CN"/>
        </w:rPr>
        <w:t>47</w:t>
      </w:r>
      <w:r w:rsidRPr="00A6256F">
        <w:rPr>
          <w:rFonts w:ascii="Book Antiqua" w:eastAsia="宋体" w:hAnsi="Book Antiqua"/>
          <w:kern w:val="2"/>
          <w:lang w:val="en-US" w:eastAsia="zh-CN"/>
        </w:rPr>
        <w:t>: 443-454 [PMID: 25766918 DOI: 10.1016/j.dld.2015.02.005]</w:t>
      </w:r>
    </w:p>
    <w:p w14:paraId="52E0F42D"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18 </w:t>
      </w:r>
      <w:r w:rsidRPr="00A6256F">
        <w:rPr>
          <w:rFonts w:ascii="Book Antiqua" w:eastAsia="宋体" w:hAnsi="Book Antiqua"/>
          <w:b/>
          <w:kern w:val="2"/>
          <w:lang w:val="en-US" w:eastAsia="zh-CN"/>
        </w:rPr>
        <w:t>Gutman F</w:t>
      </w:r>
      <w:r w:rsidRPr="00A6256F">
        <w:rPr>
          <w:rFonts w:ascii="Book Antiqua" w:eastAsia="宋体" w:hAnsi="Book Antiqua"/>
          <w:kern w:val="2"/>
          <w:lang w:val="en-US" w:eastAsia="zh-CN"/>
        </w:rPr>
        <w:t xml:space="preserve">, </w:t>
      </w:r>
      <w:proofErr w:type="spellStart"/>
      <w:r w:rsidRPr="00A6256F">
        <w:rPr>
          <w:rFonts w:ascii="Book Antiqua" w:eastAsia="宋体" w:hAnsi="Book Antiqua"/>
          <w:kern w:val="2"/>
          <w:lang w:val="en-US" w:eastAsia="zh-CN"/>
        </w:rPr>
        <w:t>Alberini</w:t>
      </w:r>
      <w:proofErr w:type="spellEnd"/>
      <w:r w:rsidRPr="00A6256F">
        <w:rPr>
          <w:rFonts w:ascii="Book Antiqua" w:eastAsia="宋体" w:hAnsi="Book Antiqua"/>
          <w:kern w:val="2"/>
          <w:lang w:val="en-US" w:eastAsia="zh-CN"/>
        </w:rPr>
        <w:t xml:space="preserve"> JL, </w:t>
      </w:r>
      <w:proofErr w:type="spellStart"/>
      <w:r w:rsidRPr="00A6256F">
        <w:rPr>
          <w:rFonts w:ascii="Book Antiqua" w:eastAsia="宋体" w:hAnsi="Book Antiqua"/>
          <w:kern w:val="2"/>
          <w:lang w:val="en-US" w:eastAsia="zh-CN"/>
        </w:rPr>
        <w:t>Wartski</w:t>
      </w:r>
      <w:proofErr w:type="spellEnd"/>
      <w:r w:rsidRPr="00A6256F">
        <w:rPr>
          <w:rFonts w:ascii="Book Antiqua" w:eastAsia="宋体" w:hAnsi="Book Antiqua"/>
          <w:kern w:val="2"/>
          <w:lang w:val="en-US" w:eastAsia="zh-CN"/>
        </w:rPr>
        <w:t xml:space="preserve"> M, </w:t>
      </w:r>
      <w:proofErr w:type="spellStart"/>
      <w:r w:rsidRPr="00A6256F">
        <w:rPr>
          <w:rFonts w:ascii="Book Antiqua" w:eastAsia="宋体" w:hAnsi="Book Antiqua"/>
          <w:kern w:val="2"/>
          <w:lang w:val="en-US" w:eastAsia="zh-CN"/>
        </w:rPr>
        <w:t>Vilain</w:t>
      </w:r>
      <w:proofErr w:type="spellEnd"/>
      <w:r w:rsidRPr="00A6256F">
        <w:rPr>
          <w:rFonts w:ascii="Book Antiqua" w:eastAsia="宋体" w:hAnsi="Book Antiqua"/>
          <w:kern w:val="2"/>
          <w:lang w:val="en-US" w:eastAsia="zh-CN"/>
        </w:rPr>
        <w:t xml:space="preserve"> D, Le </w:t>
      </w:r>
      <w:proofErr w:type="spellStart"/>
      <w:r w:rsidRPr="00A6256F">
        <w:rPr>
          <w:rFonts w:ascii="Book Antiqua" w:eastAsia="宋体" w:hAnsi="Book Antiqua"/>
          <w:kern w:val="2"/>
          <w:lang w:val="en-US" w:eastAsia="zh-CN"/>
        </w:rPr>
        <w:t>Stanc</w:t>
      </w:r>
      <w:proofErr w:type="spellEnd"/>
      <w:r w:rsidRPr="00A6256F">
        <w:rPr>
          <w:rFonts w:ascii="Book Antiqua" w:eastAsia="宋体" w:hAnsi="Book Antiqua"/>
          <w:kern w:val="2"/>
          <w:lang w:val="en-US" w:eastAsia="zh-CN"/>
        </w:rPr>
        <w:t xml:space="preserve"> E, </w:t>
      </w:r>
      <w:proofErr w:type="spellStart"/>
      <w:r w:rsidRPr="00A6256F">
        <w:rPr>
          <w:rFonts w:ascii="Book Antiqua" w:eastAsia="宋体" w:hAnsi="Book Antiqua"/>
          <w:kern w:val="2"/>
          <w:lang w:val="en-US" w:eastAsia="zh-CN"/>
        </w:rPr>
        <w:t>Sarandi</w:t>
      </w:r>
      <w:proofErr w:type="spellEnd"/>
      <w:r w:rsidRPr="00A6256F">
        <w:rPr>
          <w:rFonts w:ascii="Book Antiqua" w:eastAsia="宋体" w:hAnsi="Book Antiqua"/>
          <w:kern w:val="2"/>
          <w:lang w:val="en-US" w:eastAsia="zh-CN"/>
        </w:rPr>
        <w:t xml:space="preserve"> F, </w:t>
      </w:r>
      <w:proofErr w:type="spellStart"/>
      <w:r w:rsidRPr="00A6256F">
        <w:rPr>
          <w:rFonts w:ascii="Book Antiqua" w:eastAsia="宋体" w:hAnsi="Book Antiqua"/>
          <w:kern w:val="2"/>
          <w:lang w:val="en-US" w:eastAsia="zh-CN"/>
        </w:rPr>
        <w:t>Corone</w:t>
      </w:r>
      <w:proofErr w:type="spellEnd"/>
      <w:r w:rsidRPr="00A6256F">
        <w:rPr>
          <w:rFonts w:ascii="Book Antiqua" w:eastAsia="宋体" w:hAnsi="Book Antiqua"/>
          <w:kern w:val="2"/>
          <w:lang w:val="en-US" w:eastAsia="zh-CN"/>
        </w:rPr>
        <w:t xml:space="preserve"> C, </w:t>
      </w:r>
      <w:proofErr w:type="spellStart"/>
      <w:r w:rsidRPr="00A6256F">
        <w:rPr>
          <w:rFonts w:ascii="Book Antiqua" w:eastAsia="宋体" w:hAnsi="Book Antiqua"/>
          <w:kern w:val="2"/>
          <w:lang w:val="en-US" w:eastAsia="zh-CN"/>
        </w:rPr>
        <w:t>Tainturier</w:t>
      </w:r>
      <w:proofErr w:type="spellEnd"/>
      <w:r w:rsidRPr="00A6256F">
        <w:rPr>
          <w:rFonts w:ascii="Book Antiqua" w:eastAsia="宋体" w:hAnsi="Book Antiqua"/>
          <w:kern w:val="2"/>
          <w:lang w:val="en-US" w:eastAsia="zh-CN"/>
        </w:rPr>
        <w:t xml:space="preserve"> C, Pecking AP. Incidental colonic focal lesions detected by FDG PET/CT. </w:t>
      </w:r>
      <w:r w:rsidRPr="00A6256F">
        <w:rPr>
          <w:rFonts w:ascii="Book Antiqua" w:eastAsia="宋体" w:hAnsi="Book Antiqua"/>
          <w:i/>
          <w:kern w:val="2"/>
          <w:lang w:val="en-US" w:eastAsia="zh-CN"/>
        </w:rPr>
        <w:t xml:space="preserve">AJR Am J </w:t>
      </w:r>
      <w:proofErr w:type="spellStart"/>
      <w:r w:rsidRPr="00A6256F">
        <w:rPr>
          <w:rFonts w:ascii="Book Antiqua" w:eastAsia="宋体" w:hAnsi="Book Antiqua"/>
          <w:i/>
          <w:kern w:val="2"/>
          <w:lang w:val="en-US" w:eastAsia="zh-CN"/>
        </w:rPr>
        <w:t>Roentgenol</w:t>
      </w:r>
      <w:proofErr w:type="spellEnd"/>
      <w:r w:rsidRPr="00A6256F">
        <w:rPr>
          <w:rFonts w:ascii="Book Antiqua" w:eastAsia="宋体" w:hAnsi="Book Antiqua"/>
          <w:kern w:val="2"/>
          <w:lang w:val="en-US" w:eastAsia="zh-CN"/>
        </w:rPr>
        <w:t xml:space="preserve"> 2005; </w:t>
      </w:r>
      <w:r w:rsidRPr="00A6256F">
        <w:rPr>
          <w:rFonts w:ascii="Book Antiqua" w:eastAsia="宋体" w:hAnsi="Book Antiqua"/>
          <w:b/>
          <w:kern w:val="2"/>
          <w:lang w:val="en-US" w:eastAsia="zh-CN"/>
        </w:rPr>
        <w:t>185</w:t>
      </w:r>
      <w:r w:rsidRPr="00A6256F">
        <w:rPr>
          <w:rFonts w:ascii="Book Antiqua" w:eastAsia="宋体" w:hAnsi="Book Antiqua"/>
          <w:kern w:val="2"/>
          <w:lang w:val="en-US" w:eastAsia="zh-CN"/>
        </w:rPr>
        <w:t>: 495-500 [PMID: 16037527 DOI: 10.2214/ajr.185.2.01850495]</w:t>
      </w:r>
    </w:p>
    <w:p w14:paraId="1B04312D"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19 </w:t>
      </w:r>
      <w:r w:rsidRPr="00A6256F">
        <w:rPr>
          <w:rFonts w:ascii="Book Antiqua" w:eastAsia="宋体" w:hAnsi="Book Antiqua"/>
          <w:b/>
          <w:kern w:val="2"/>
          <w:lang w:val="en-US" w:eastAsia="zh-CN"/>
        </w:rPr>
        <w:t xml:space="preserve">van </w:t>
      </w:r>
      <w:proofErr w:type="spellStart"/>
      <w:r w:rsidRPr="00A6256F">
        <w:rPr>
          <w:rFonts w:ascii="Book Antiqua" w:eastAsia="宋体" w:hAnsi="Book Antiqua"/>
          <w:b/>
          <w:kern w:val="2"/>
          <w:lang w:val="en-US" w:eastAsia="zh-CN"/>
        </w:rPr>
        <w:t>Hoeij</w:t>
      </w:r>
      <w:proofErr w:type="spellEnd"/>
      <w:r w:rsidRPr="00A6256F">
        <w:rPr>
          <w:rFonts w:ascii="Book Antiqua" w:eastAsia="宋体" w:hAnsi="Book Antiqua"/>
          <w:b/>
          <w:kern w:val="2"/>
          <w:lang w:val="en-US" w:eastAsia="zh-CN"/>
        </w:rPr>
        <w:t xml:space="preserve"> FB</w:t>
      </w:r>
      <w:r w:rsidRPr="00A6256F">
        <w:rPr>
          <w:rFonts w:ascii="Book Antiqua" w:eastAsia="宋体" w:hAnsi="Book Antiqua"/>
          <w:kern w:val="2"/>
          <w:lang w:val="en-US" w:eastAsia="zh-CN"/>
        </w:rPr>
        <w:t xml:space="preserve">, </w:t>
      </w:r>
      <w:proofErr w:type="spellStart"/>
      <w:r w:rsidRPr="00A6256F">
        <w:rPr>
          <w:rFonts w:ascii="Book Antiqua" w:eastAsia="宋体" w:hAnsi="Book Antiqua"/>
          <w:kern w:val="2"/>
          <w:lang w:val="en-US" w:eastAsia="zh-CN"/>
        </w:rPr>
        <w:t>Keijsers</w:t>
      </w:r>
      <w:proofErr w:type="spellEnd"/>
      <w:r w:rsidRPr="00A6256F">
        <w:rPr>
          <w:rFonts w:ascii="Book Antiqua" w:eastAsia="宋体" w:hAnsi="Book Antiqua"/>
          <w:kern w:val="2"/>
          <w:lang w:val="en-US" w:eastAsia="zh-CN"/>
        </w:rPr>
        <w:t xml:space="preserve"> RG, </w:t>
      </w:r>
      <w:proofErr w:type="spellStart"/>
      <w:r w:rsidRPr="00A6256F">
        <w:rPr>
          <w:rFonts w:ascii="Book Antiqua" w:eastAsia="宋体" w:hAnsi="Book Antiqua"/>
          <w:kern w:val="2"/>
          <w:lang w:val="en-US" w:eastAsia="zh-CN"/>
        </w:rPr>
        <w:t>Loffeld</w:t>
      </w:r>
      <w:proofErr w:type="spellEnd"/>
      <w:r w:rsidRPr="00A6256F">
        <w:rPr>
          <w:rFonts w:ascii="Book Antiqua" w:eastAsia="宋体" w:hAnsi="Book Antiqua"/>
          <w:kern w:val="2"/>
          <w:lang w:val="en-US" w:eastAsia="zh-CN"/>
        </w:rPr>
        <w:t xml:space="preserve"> BC, Dun G, </w:t>
      </w:r>
      <w:proofErr w:type="spellStart"/>
      <w:r w:rsidRPr="00A6256F">
        <w:rPr>
          <w:rFonts w:ascii="Book Antiqua" w:eastAsia="宋体" w:hAnsi="Book Antiqua"/>
          <w:kern w:val="2"/>
          <w:lang w:val="en-US" w:eastAsia="zh-CN"/>
        </w:rPr>
        <w:t>Stadhouders</w:t>
      </w:r>
      <w:proofErr w:type="spellEnd"/>
      <w:r w:rsidRPr="00A6256F">
        <w:rPr>
          <w:rFonts w:ascii="Book Antiqua" w:eastAsia="宋体" w:hAnsi="Book Antiqua"/>
          <w:kern w:val="2"/>
          <w:lang w:val="en-US" w:eastAsia="zh-CN"/>
        </w:rPr>
        <w:t xml:space="preserve"> PH, </w:t>
      </w:r>
      <w:proofErr w:type="spellStart"/>
      <w:r w:rsidRPr="00A6256F">
        <w:rPr>
          <w:rFonts w:ascii="Book Antiqua" w:eastAsia="宋体" w:hAnsi="Book Antiqua"/>
          <w:kern w:val="2"/>
          <w:lang w:val="en-US" w:eastAsia="zh-CN"/>
        </w:rPr>
        <w:t>Weusten</w:t>
      </w:r>
      <w:proofErr w:type="spellEnd"/>
      <w:r w:rsidRPr="00A6256F">
        <w:rPr>
          <w:rFonts w:ascii="Book Antiqua" w:eastAsia="宋体" w:hAnsi="Book Antiqua"/>
          <w:kern w:val="2"/>
          <w:lang w:val="en-US" w:eastAsia="zh-CN"/>
        </w:rPr>
        <w:t xml:space="preserve"> BL. Incidental colonic focal FDG uptake on PET/CT: can the maximum standardized uptake value (</w:t>
      </w:r>
      <w:proofErr w:type="spellStart"/>
      <w:r w:rsidRPr="00A6256F">
        <w:rPr>
          <w:rFonts w:ascii="Book Antiqua" w:eastAsia="宋体" w:hAnsi="Book Antiqua"/>
          <w:kern w:val="2"/>
          <w:lang w:val="en-US" w:eastAsia="zh-CN"/>
        </w:rPr>
        <w:t>SUVmax</w:t>
      </w:r>
      <w:proofErr w:type="spellEnd"/>
      <w:r w:rsidRPr="00A6256F">
        <w:rPr>
          <w:rFonts w:ascii="Book Antiqua" w:eastAsia="宋体" w:hAnsi="Book Antiqua"/>
          <w:kern w:val="2"/>
          <w:lang w:val="en-US" w:eastAsia="zh-CN"/>
        </w:rPr>
        <w:t xml:space="preserve">) guide us in the timing of colonoscopy? </w:t>
      </w:r>
      <w:r w:rsidRPr="00A6256F">
        <w:rPr>
          <w:rFonts w:ascii="Book Antiqua" w:eastAsia="宋体" w:hAnsi="Book Antiqua"/>
          <w:i/>
          <w:kern w:val="2"/>
          <w:lang w:val="en-US" w:eastAsia="zh-CN"/>
        </w:rPr>
        <w:t xml:space="preserve">Eur J </w:t>
      </w:r>
      <w:proofErr w:type="spellStart"/>
      <w:r w:rsidRPr="00A6256F">
        <w:rPr>
          <w:rFonts w:ascii="Book Antiqua" w:eastAsia="宋体" w:hAnsi="Book Antiqua"/>
          <w:i/>
          <w:kern w:val="2"/>
          <w:lang w:val="en-US" w:eastAsia="zh-CN"/>
        </w:rPr>
        <w:t>Nucl</w:t>
      </w:r>
      <w:proofErr w:type="spellEnd"/>
      <w:r w:rsidRPr="00A6256F">
        <w:rPr>
          <w:rFonts w:ascii="Book Antiqua" w:eastAsia="宋体" w:hAnsi="Book Antiqua"/>
          <w:i/>
          <w:kern w:val="2"/>
          <w:lang w:val="en-US" w:eastAsia="zh-CN"/>
        </w:rPr>
        <w:t xml:space="preserve"> Med Mol Imaging</w:t>
      </w:r>
      <w:r w:rsidRPr="00A6256F">
        <w:rPr>
          <w:rFonts w:ascii="Book Antiqua" w:eastAsia="宋体" w:hAnsi="Book Antiqua"/>
          <w:kern w:val="2"/>
          <w:lang w:val="en-US" w:eastAsia="zh-CN"/>
        </w:rPr>
        <w:t xml:space="preserve"> 2015; </w:t>
      </w:r>
      <w:r w:rsidRPr="00A6256F">
        <w:rPr>
          <w:rFonts w:ascii="Book Antiqua" w:eastAsia="宋体" w:hAnsi="Book Antiqua"/>
          <w:b/>
          <w:kern w:val="2"/>
          <w:lang w:val="en-US" w:eastAsia="zh-CN"/>
        </w:rPr>
        <w:t>42</w:t>
      </w:r>
      <w:r w:rsidRPr="00A6256F">
        <w:rPr>
          <w:rFonts w:ascii="Book Antiqua" w:eastAsia="宋体" w:hAnsi="Book Antiqua"/>
          <w:kern w:val="2"/>
          <w:lang w:val="en-US" w:eastAsia="zh-CN"/>
        </w:rPr>
        <w:t>: 66-71 [PMID: 25139518 DOI: 10.1007/s00259-014-2887-3]</w:t>
      </w:r>
    </w:p>
    <w:p w14:paraId="0ADF4220"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20 </w:t>
      </w:r>
      <w:r w:rsidRPr="00A6256F">
        <w:rPr>
          <w:rFonts w:ascii="Book Antiqua" w:eastAsia="宋体" w:hAnsi="Book Antiqua"/>
          <w:b/>
          <w:kern w:val="2"/>
          <w:lang w:val="en-US" w:eastAsia="zh-CN"/>
        </w:rPr>
        <w:t>Tuominen H</w:t>
      </w:r>
      <w:r w:rsidRPr="00A6256F">
        <w:rPr>
          <w:rFonts w:ascii="Book Antiqua" w:eastAsia="宋体" w:hAnsi="Book Antiqua"/>
          <w:kern w:val="2"/>
          <w:lang w:val="en-US" w:eastAsia="zh-CN"/>
        </w:rPr>
        <w:t xml:space="preserve">, </w:t>
      </w:r>
      <w:proofErr w:type="spellStart"/>
      <w:r w:rsidRPr="00A6256F">
        <w:rPr>
          <w:rFonts w:ascii="Book Antiqua" w:eastAsia="宋体" w:hAnsi="Book Antiqua"/>
          <w:kern w:val="2"/>
          <w:lang w:val="en-US" w:eastAsia="zh-CN"/>
        </w:rPr>
        <w:t>Haarala</w:t>
      </w:r>
      <w:proofErr w:type="spellEnd"/>
      <w:r w:rsidRPr="00A6256F">
        <w:rPr>
          <w:rFonts w:ascii="Book Antiqua" w:eastAsia="宋体" w:hAnsi="Book Antiqua"/>
          <w:kern w:val="2"/>
          <w:lang w:val="en-US" w:eastAsia="zh-CN"/>
        </w:rPr>
        <w:t xml:space="preserve"> A, </w:t>
      </w:r>
      <w:proofErr w:type="spellStart"/>
      <w:r w:rsidRPr="00A6256F">
        <w:rPr>
          <w:rFonts w:ascii="Book Antiqua" w:eastAsia="宋体" w:hAnsi="Book Antiqua"/>
          <w:kern w:val="2"/>
          <w:lang w:val="en-US" w:eastAsia="zh-CN"/>
        </w:rPr>
        <w:t>Tikkakoski</w:t>
      </w:r>
      <w:proofErr w:type="spellEnd"/>
      <w:r w:rsidRPr="00A6256F">
        <w:rPr>
          <w:rFonts w:ascii="Book Antiqua" w:eastAsia="宋体" w:hAnsi="Book Antiqua"/>
          <w:kern w:val="2"/>
          <w:lang w:val="en-US" w:eastAsia="zh-CN"/>
        </w:rPr>
        <w:t xml:space="preserve"> A, </w:t>
      </w:r>
      <w:proofErr w:type="spellStart"/>
      <w:r w:rsidRPr="00A6256F">
        <w:rPr>
          <w:rFonts w:ascii="Book Antiqua" w:eastAsia="宋体" w:hAnsi="Book Antiqua"/>
          <w:kern w:val="2"/>
          <w:lang w:val="en-US" w:eastAsia="zh-CN"/>
        </w:rPr>
        <w:t>Kähönen</w:t>
      </w:r>
      <w:proofErr w:type="spellEnd"/>
      <w:r w:rsidRPr="00A6256F">
        <w:rPr>
          <w:rFonts w:ascii="Book Antiqua" w:eastAsia="宋体" w:hAnsi="Book Antiqua"/>
          <w:kern w:val="2"/>
          <w:lang w:val="en-US" w:eastAsia="zh-CN"/>
        </w:rPr>
        <w:t xml:space="preserve"> M, </w:t>
      </w:r>
      <w:proofErr w:type="spellStart"/>
      <w:r w:rsidRPr="00A6256F">
        <w:rPr>
          <w:rFonts w:ascii="Book Antiqua" w:eastAsia="宋体" w:hAnsi="Book Antiqua"/>
          <w:kern w:val="2"/>
          <w:lang w:val="en-US" w:eastAsia="zh-CN"/>
        </w:rPr>
        <w:t>Nikus</w:t>
      </w:r>
      <w:proofErr w:type="spellEnd"/>
      <w:r w:rsidRPr="00A6256F">
        <w:rPr>
          <w:rFonts w:ascii="Book Antiqua" w:eastAsia="宋体" w:hAnsi="Book Antiqua"/>
          <w:kern w:val="2"/>
          <w:lang w:val="en-US" w:eastAsia="zh-CN"/>
        </w:rPr>
        <w:t xml:space="preserve"> K, </w:t>
      </w:r>
      <w:proofErr w:type="spellStart"/>
      <w:r w:rsidRPr="00A6256F">
        <w:rPr>
          <w:rFonts w:ascii="Book Antiqua" w:eastAsia="宋体" w:hAnsi="Book Antiqua"/>
          <w:kern w:val="2"/>
          <w:lang w:val="en-US" w:eastAsia="zh-CN"/>
        </w:rPr>
        <w:t>Sipilä</w:t>
      </w:r>
      <w:proofErr w:type="spellEnd"/>
      <w:r w:rsidRPr="00A6256F">
        <w:rPr>
          <w:rFonts w:ascii="Book Antiqua" w:eastAsia="宋体" w:hAnsi="Book Antiqua"/>
          <w:kern w:val="2"/>
          <w:lang w:val="en-US" w:eastAsia="zh-CN"/>
        </w:rPr>
        <w:t xml:space="preserve"> K. FDG-PET in possible cardiac sarcoidosis: Right ventricular uptake and high total cardiac metabolic activity predict cardiovascular events. </w:t>
      </w:r>
      <w:r w:rsidRPr="00A6256F">
        <w:rPr>
          <w:rFonts w:ascii="Book Antiqua" w:eastAsia="宋体" w:hAnsi="Book Antiqua"/>
          <w:i/>
          <w:kern w:val="2"/>
          <w:lang w:val="en-US" w:eastAsia="zh-CN"/>
        </w:rPr>
        <w:t xml:space="preserve">J </w:t>
      </w:r>
      <w:proofErr w:type="spellStart"/>
      <w:r w:rsidRPr="00A6256F">
        <w:rPr>
          <w:rFonts w:ascii="Book Antiqua" w:eastAsia="宋体" w:hAnsi="Book Antiqua"/>
          <w:i/>
          <w:kern w:val="2"/>
          <w:lang w:val="en-US" w:eastAsia="zh-CN"/>
        </w:rPr>
        <w:t>Nucl</w:t>
      </w:r>
      <w:proofErr w:type="spellEnd"/>
      <w:r w:rsidRPr="00A6256F">
        <w:rPr>
          <w:rFonts w:ascii="Book Antiqua" w:eastAsia="宋体" w:hAnsi="Book Antiqua"/>
          <w:i/>
          <w:kern w:val="2"/>
          <w:lang w:val="en-US" w:eastAsia="zh-CN"/>
        </w:rPr>
        <w:t xml:space="preserve"> </w:t>
      </w:r>
      <w:proofErr w:type="spellStart"/>
      <w:r w:rsidRPr="00A6256F">
        <w:rPr>
          <w:rFonts w:ascii="Book Antiqua" w:eastAsia="宋体" w:hAnsi="Book Antiqua"/>
          <w:i/>
          <w:kern w:val="2"/>
          <w:lang w:val="en-US" w:eastAsia="zh-CN"/>
        </w:rPr>
        <w:t>Cardiol</w:t>
      </w:r>
      <w:proofErr w:type="spellEnd"/>
      <w:r w:rsidRPr="00A6256F">
        <w:rPr>
          <w:rFonts w:ascii="Book Antiqua" w:eastAsia="宋体" w:hAnsi="Book Antiqua"/>
          <w:kern w:val="2"/>
          <w:lang w:val="en-US" w:eastAsia="zh-CN"/>
        </w:rPr>
        <w:t xml:space="preserve"> 2019</w:t>
      </w:r>
      <w:proofErr w:type="gramStart"/>
      <w:r w:rsidRPr="00A6256F">
        <w:rPr>
          <w:rFonts w:ascii="Book Antiqua" w:eastAsia="宋体" w:hAnsi="Book Antiqua"/>
          <w:kern w:val="2"/>
          <w:lang w:val="en-US" w:eastAsia="zh-CN"/>
        </w:rPr>
        <w:t>; :</w:t>
      </w:r>
      <w:proofErr w:type="gramEnd"/>
      <w:r w:rsidRPr="00A6256F">
        <w:rPr>
          <w:rFonts w:ascii="Book Antiqua" w:eastAsia="宋体" w:hAnsi="Book Antiqua"/>
          <w:kern w:val="2"/>
          <w:lang w:val="en-US" w:eastAsia="zh-CN"/>
        </w:rPr>
        <w:t xml:space="preserve">  [PMID: 30815833 DOI: 10.1007/s12350-019-01659-2]</w:t>
      </w:r>
    </w:p>
    <w:p w14:paraId="31F870A3"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21 </w:t>
      </w:r>
      <w:proofErr w:type="spellStart"/>
      <w:r w:rsidRPr="00A6256F">
        <w:rPr>
          <w:rFonts w:ascii="Book Antiqua" w:eastAsia="宋体" w:hAnsi="Book Antiqua"/>
          <w:b/>
          <w:kern w:val="2"/>
          <w:lang w:val="en-US" w:eastAsia="zh-CN"/>
        </w:rPr>
        <w:t>Gauthé</w:t>
      </w:r>
      <w:proofErr w:type="spellEnd"/>
      <w:r w:rsidRPr="00A6256F">
        <w:rPr>
          <w:rFonts w:ascii="Book Antiqua" w:eastAsia="宋体" w:hAnsi="Book Antiqua"/>
          <w:b/>
          <w:kern w:val="2"/>
          <w:lang w:val="en-US" w:eastAsia="zh-CN"/>
        </w:rPr>
        <w:t xml:space="preserve"> M</w:t>
      </w:r>
      <w:r w:rsidRPr="00A6256F">
        <w:rPr>
          <w:rFonts w:ascii="Book Antiqua" w:eastAsia="宋体" w:hAnsi="Book Antiqua"/>
          <w:kern w:val="2"/>
          <w:lang w:val="en-US" w:eastAsia="zh-CN"/>
        </w:rPr>
        <w:t>, Richard-</w:t>
      </w:r>
      <w:proofErr w:type="spellStart"/>
      <w:r w:rsidRPr="00A6256F">
        <w:rPr>
          <w:rFonts w:ascii="Book Antiqua" w:eastAsia="宋体" w:hAnsi="Book Antiqua"/>
          <w:kern w:val="2"/>
          <w:lang w:val="en-US" w:eastAsia="zh-CN"/>
        </w:rPr>
        <w:t>Molard</w:t>
      </w:r>
      <w:proofErr w:type="spellEnd"/>
      <w:r w:rsidRPr="00A6256F">
        <w:rPr>
          <w:rFonts w:ascii="Book Antiqua" w:eastAsia="宋体" w:hAnsi="Book Antiqua"/>
          <w:kern w:val="2"/>
          <w:lang w:val="en-US" w:eastAsia="zh-CN"/>
        </w:rPr>
        <w:t xml:space="preserve"> M, </w:t>
      </w:r>
      <w:proofErr w:type="spellStart"/>
      <w:r w:rsidRPr="00A6256F">
        <w:rPr>
          <w:rFonts w:ascii="Book Antiqua" w:eastAsia="宋体" w:hAnsi="Book Antiqua"/>
          <w:kern w:val="2"/>
          <w:lang w:val="en-US" w:eastAsia="zh-CN"/>
        </w:rPr>
        <w:t>Fayard</w:t>
      </w:r>
      <w:proofErr w:type="spellEnd"/>
      <w:r w:rsidRPr="00A6256F">
        <w:rPr>
          <w:rFonts w:ascii="Book Antiqua" w:eastAsia="宋体" w:hAnsi="Book Antiqua"/>
          <w:kern w:val="2"/>
          <w:lang w:val="en-US" w:eastAsia="zh-CN"/>
        </w:rPr>
        <w:t xml:space="preserve"> J, </w:t>
      </w:r>
      <w:proofErr w:type="spellStart"/>
      <w:r w:rsidRPr="00A6256F">
        <w:rPr>
          <w:rFonts w:ascii="Book Antiqua" w:eastAsia="宋体" w:hAnsi="Book Antiqua"/>
          <w:kern w:val="2"/>
          <w:lang w:val="en-US" w:eastAsia="zh-CN"/>
        </w:rPr>
        <w:t>Alberini</w:t>
      </w:r>
      <w:proofErr w:type="spellEnd"/>
      <w:r w:rsidRPr="00A6256F">
        <w:rPr>
          <w:rFonts w:ascii="Book Antiqua" w:eastAsia="宋体" w:hAnsi="Book Antiqua"/>
          <w:kern w:val="2"/>
          <w:lang w:val="en-US" w:eastAsia="zh-CN"/>
        </w:rPr>
        <w:t xml:space="preserve"> JL, </w:t>
      </w:r>
      <w:proofErr w:type="spellStart"/>
      <w:r w:rsidRPr="00A6256F">
        <w:rPr>
          <w:rFonts w:ascii="Book Antiqua" w:eastAsia="宋体" w:hAnsi="Book Antiqua"/>
          <w:kern w:val="2"/>
          <w:lang w:val="en-US" w:eastAsia="zh-CN"/>
        </w:rPr>
        <w:t>Cacheux</w:t>
      </w:r>
      <w:proofErr w:type="spellEnd"/>
      <w:r w:rsidRPr="00A6256F">
        <w:rPr>
          <w:rFonts w:ascii="Book Antiqua" w:eastAsia="宋体" w:hAnsi="Book Antiqua"/>
          <w:kern w:val="2"/>
          <w:lang w:val="en-US" w:eastAsia="zh-CN"/>
        </w:rPr>
        <w:t xml:space="preserve"> W, Lièvre A. Prognostic impact of </w:t>
      </w:r>
      <w:proofErr w:type="spellStart"/>
      <w:r w:rsidRPr="00A6256F">
        <w:rPr>
          <w:rFonts w:ascii="Book Antiqua" w:eastAsia="宋体" w:hAnsi="Book Antiqua"/>
          <w:kern w:val="2"/>
          <w:lang w:val="en-US" w:eastAsia="zh-CN"/>
        </w:rPr>
        <w:t>tumour</w:t>
      </w:r>
      <w:proofErr w:type="spellEnd"/>
      <w:r w:rsidRPr="00A6256F">
        <w:rPr>
          <w:rFonts w:ascii="Book Antiqua" w:eastAsia="宋体" w:hAnsi="Book Antiqua"/>
          <w:kern w:val="2"/>
          <w:lang w:val="en-US" w:eastAsia="zh-CN"/>
        </w:rPr>
        <w:t xml:space="preserve"> burden assessed by metabolic </w:t>
      </w:r>
      <w:proofErr w:type="spellStart"/>
      <w:r w:rsidRPr="00A6256F">
        <w:rPr>
          <w:rFonts w:ascii="Book Antiqua" w:eastAsia="宋体" w:hAnsi="Book Antiqua"/>
          <w:kern w:val="2"/>
          <w:lang w:val="en-US" w:eastAsia="zh-CN"/>
        </w:rPr>
        <w:t>tumour</w:t>
      </w:r>
      <w:proofErr w:type="spellEnd"/>
      <w:r w:rsidRPr="00A6256F">
        <w:rPr>
          <w:rFonts w:ascii="Book Antiqua" w:eastAsia="宋体" w:hAnsi="Book Antiqua"/>
          <w:kern w:val="2"/>
          <w:lang w:val="en-US" w:eastAsia="zh-CN"/>
        </w:rPr>
        <w:t xml:space="preserve"> volume on FDG PET/CT in anal canal cancer. </w:t>
      </w:r>
      <w:r w:rsidRPr="00A6256F">
        <w:rPr>
          <w:rFonts w:ascii="Book Antiqua" w:eastAsia="宋体" w:hAnsi="Book Antiqua"/>
          <w:i/>
          <w:kern w:val="2"/>
          <w:lang w:val="en-US" w:eastAsia="zh-CN"/>
        </w:rPr>
        <w:t xml:space="preserve">Eur J </w:t>
      </w:r>
      <w:proofErr w:type="spellStart"/>
      <w:r w:rsidRPr="00A6256F">
        <w:rPr>
          <w:rFonts w:ascii="Book Antiqua" w:eastAsia="宋体" w:hAnsi="Book Antiqua"/>
          <w:i/>
          <w:kern w:val="2"/>
          <w:lang w:val="en-US" w:eastAsia="zh-CN"/>
        </w:rPr>
        <w:t>Nucl</w:t>
      </w:r>
      <w:proofErr w:type="spellEnd"/>
      <w:r w:rsidRPr="00A6256F">
        <w:rPr>
          <w:rFonts w:ascii="Book Antiqua" w:eastAsia="宋体" w:hAnsi="Book Antiqua"/>
          <w:i/>
          <w:kern w:val="2"/>
          <w:lang w:val="en-US" w:eastAsia="zh-CN"/>
        </w:rPr>
        <w:t xml:space="preserve"> Med Mol Imaging</w:t>
      </w:r>
      <w:r w:rsidRPr="00A6256F">
        <w:rPr>
          <w:rFonts w:ascii="Book Antiqua" w:eastAsia="宋体" w:hAnsi="Book Antiqua"/>
          <w:kern w:val="2"/>
          <w:lang w:val="en-US" w:eastAsia="zh-CN"/>
        </w:rPr>
        <w:t xml:space="preserve"> 2017; </w:t>
      </w:r>
      <w:r w:rsidRPr="00A6256F">
        <w:rPr>
          <w:rFonts w:ascii="Book Antiqua" w:eastAsia="宋体" w:hAnsi="Book Antiqua"/>
          <w:b/>
          <w:kern w:val="2"/>
          <w:lang w:val="en-US" w:eastAsia="zh-CN"/>
        </w:rPr>
        <w:t>44</w:t>
      </w:r>
      <w:r w:rsidRPr="00A6256F">
        <w:rPr>
          <w:rFonts w:ascii="Book Antiqua" w:eastAsia="宋体" w:hAnsi="Book Antiqua"/>
          <w:kern w:val="2"/>
          <w:lang w:val="en-US" w:eastAsia="zh-CN"/>
        </w:rPr>
        <w:t>: 63-70 [PMID: 27503193 DOI: 10.1007/s00259-016-3475-5]</w:t>
      </w:r>
    </w:p>
    <w:p w14:paraId="2305DABC"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22 </w:t>
      </w:r>
      <w:r w:rsidRPr="00A6256F">
        <w:rPr>
          <w:rFonts w:ascii="Book Antiqua" w:eastAsia="宋体" w:hAnsi="Book Antiqua"/>
          <w:b/>
          <w:kern w:val="2"/>
          <w:lang w:val="en-US" w:eastAsia="zh-CN"/>
        </w:rPr>
        <w:t>Dibble EH</w:t>
      </w:r>
      <w:r w:rsidRPr="00A6256F">
        <w:rPr>
          <w:rFonts w:ascii="Book Antiqua" w:eastAsia="宋体" w:hAnsi="Book Antiqua"/>
          <w:kern w:val="2"/>
          <w:lang w:val="en-US" w:eastAsia="zh-CN"/>
        </w:rPr>
        <w:t xml:space="preserve">, Alvarez AC, Truong MT, Mercier G, Cook EF, Subramaniam RM. 18F-FDG metabolic tumor volume and total glycolytic activity of oral cavity and oropharyngeal squamous cell cancer: adding value to clinical staging. </w:t>
      </w:r>
      <w:r w:rsidRPr="00A6256F">
        <w:rPr>
          <w:rFonts w:ascii="Book Antiqua" w:eastAsia="宋体" w:hAnsi="Book Antiqua"/>
          <w:i/>
          <w:kern w:val="2"/>
          <w:lang w:val="en-US" w:eastAsia="zh-CN"/>
        </w:rPr>
        <w:t xml:space="preserve">J </w:t>
      </w:r>
      <w:proofErr w:type="spellStart"/>
      <w:r w:rsidRPr="00A6256F">
        <w:rPr>
          <w:rFonts w:ascii="Book Antiqua" w:eastAsia="宋体" w:hAnsi="Book Antiqua"/>
          <w:i/>
          <w:kern w:val="2"/>
          <w:lang w:val="en-US" w:eastAsia="zh-CN"/>
        </w:rPr>
        <w:t>Nucl</w:t>
      </w:r>
      <w:proofErr w:type="spellEnd"/>
      <w:r w:rsidRPr="00A6256F">
        <w:rPr>
          <w:rFonts w:ascii="Book Antiqua" w:eastAsia="宋体" w:hAnsi="Book Antiqua"/>
          <w:i/>
          <w:kern w:val="2"/>
          <w:lang w:val="en-US" w:eastAsia="zh-CN"/>
        </w:rPr>
        <w:t xml:space="preserve"> Med</w:t>
      </w:r>
      <w:r w:rsidRPr="00A6256F">
        <w:rPr>
          <w:rFonts w:ascii="Book Antiqua" w:eastAsia="宋体" w:hAnsi="Book Antiqua"/>
          <w:kern w:val="2"/>
          <w:lang w:val="en-US" w:eastAsia="zh-CN"/>
        </w:rPr>
        <w:t xml:space="preserve"> 2012; </w:t>
      </w:r>
      <w:r w:rsidRPr="00A6256F">
        <w:rPr>
          <w:rFonts w:ascii="Book Antiqua" w:eastAsia="宋体" w:hAnsi="Book Antiqua"/>
          <w:b/>
          <w:kern w:val="2"/>
          <w:lang w:val="en-US" w:eastAsia="zh-CN"/>
        </w:rPr>
        <w:t>53</w:t>
      </w:r>
      <w:r w:rsidRPr="00A6256F">
        <w:rPr>
          <w:rFonts w:ascii="Book Antiqua" w:eastAsia="宋体" w:hAnsi="Book Antiqua"/>
          <w:kern w:val="2"/>
          <w:lang w:val="en-US" w:eastAsia="zh-CN"/>
        </w:rPr>
        <w:t>: 709-715 [PMID: 22492732 DOI: 10.2967/jnumed.111.099531]</w:t>
      </w:r>
    </w:p>
    <w:p w14:paraId="32A516A5"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23 </w:t>
      </w:r>
      <w:r w:rsidRPr="00A6256F">
        <w:rPr>
          <w:rFonts w:ascii="Book Antiqua" w:eastAsia="宋体" w:hAnsi="Book Antiqua"/>
          <w:b/>
          <w:kern w:val="2"/>
          <w:lang w:val="en-US" w:eastAsia="zh-CN"/>
        </w:rPr>
        <w:t>Liu J</w:t>
      </w:r>
      <w:r w:rsidRPr="00A6256F">
        <w:rPr>
          <w:rFonts w:ascii="Book Antiqua" w:eastAsia="宋体" w:hAnsi="Book Antiqua"/>
          <w:kern w:val="2"/>
          <w:lang w:val="en-US" w:eastAsia="zh-CN"/>
        </w:rPr>
        <w:t xml:space="preserve">, Dong M, Sun X, Li W, Xing L, Yu J. Prognostic Value of 18F-FDG PET/CT in Surgical Non-Small Cell Lung Cancer: A Meta-Analysis. </w:t>
      </w:r>
      <w:proofErr w:type="spellStart"/>
      <w:r w:rsidRPr="00A6256F">
        <w:rPr>
          <w:rFonts w:ascii="Book Antiqua" w:eastAsia="宋体" w:hAnsi="Book Antiqua"/>
          <w:i/>
          <w:kern w:val="2"/>
          <w:lang w:val="en-US" w:eastAsia="zh-CN"/>
        </w:rPr>
        <w:t>PLoS</w:t>
      </w:r>
      <w:proofErr w:type="spellEnd"/>
      <w:r w:rsidRPr="00A6256F">
        <w:rPr>
          <w:rFonts w:ascii="Book Antiqua" w:eastAsia="宋体" w:hAnsi="Book Antiqua"/>
          <w:i/>
          <w:kern w:val="2"/>
          <w:lang w:val="en-US" w:eastAsia="zh-CN"/>
        </w:rPr>
        <w:t xml:space="preserve"> One</w:t>
      </w:r>
      <w:r w:rsidRPr="00A6256F">
        <w:rPr>
          <w:rFonts w:ascii="Book Antiqua" w:eastAsia="宋体" w:hAnsi="Book Antiqua"/>
          <w:kern w:val="2"/>
          <w:lang w:val="en-US" w:eastAsia="zh-CN"/>
        </w:rPr>
        <w:t xml:space="preserve"> 2016; </w:t>
      </w:r>
      <w:r w:rsidRPr="00A6256F">
        <w:rPr>
          <w:rFonts w:ascii="Book Antiqua" w:eastAsia="宋体" w:hAnsi="Book Antiqua"/>
          <w:b/>
          <w:kern w:val="2"/>
          <w:lang w:val="en-US" w:eastAsia="zh-CN"/>
        </w:rPr>
        <w:t>11</w:t>
      </w:r>
      <w:r w:rsidRPr="00A6256F">
        <w:rPr>
          <w:rFonts w:ascii="Book Antiqua" w:eastAsia="宋体" w:hAnsi="Book Antiqua"/>
          <w:kern w:val="2"/>
          <w:lang w:val="en-US" w:eastAsia="zh-CN"/>
        </w:rPr>
        <w:t>: e0146195 [PMID: 26727114 DOI: 10.1371/journal.pone.0146195]</w:t>
      </w:r>
    </w:p>
    <w:p w14:paraId="02628233"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lastRenderedPageBreak/>
        <w:t xml:space="preserve">24 </w:t>
      </w:r>
      <w:r w:rsidRPr="00A6256F">
        <w:rPr>
          <w:rFonts w:ascii="Book Antiqua" w:eastAsia="宋体" w:hAnsi="Book Antiqua"/>
          <w:b/>
          <w:kern w:val="2"/>
          <w:lang w:val="en-US" w:eastAsia="zh-CN"/>
        </w:rPr>
        <w:t>Bazan JG</w:t>
      </w:r>
      <w:r w:rsidRPr="00A6256F">
        <w:rPr>
          <w:rFonts w:ascii="Book Antiqua" w:eastAsia="宋体" w:hAnsi="Book Antiqua"/>
          <w:kern w:val="2"/>
          <w:lang w:val="en-US" w:eastAsia="zh-CN"/>
        </w:rPr>
        <w:t xml:space="preserve">, </w:t>
      </w:r>
      <w:proofErr w:type="spellStart"/>
      <w:r w:rsidRPr="00A6256F">
        <w:rPr>
          <w:rFonts w:ascii="Book Antiqua" w:eastAsia="宋体" w:hAnsi="Book Antiqua"/>
          <w:kern w:val="2"/>
          <w:lang w:val="en-US" w:eastAsia="zh-CN"/>
        </w:rPr>
        <w:t>Koong</w:t>
      </w:r>
      <w:proofErr w:type="spellEnd"/>
      <w:r w:rsidRPr="00A6256F">
        <w:rPr>
          <w:rFonts w:ascii="Book Antiqua" w:eastAsia="宋体" w:hAnsi="Book Antiqua"/>
          <w:kern w:val="2"/>
          <w:lang w:val="en-US" w:eastAsia="zh-CN"/>
        </w:rPr>
        <w:t xml:space="preserve"> AC, Kapp DS, </w:t>
      </w:r>
      <w:proofErr w:type="spellStart"/>
      <w:r w:rsidRPr="00A6256F">
        <w:rPr>
          <w:rFonts w:ascii="Book Antiqua" w:eastAsia="宋体" w:hAnsi="Book Antiqua"/>
          <w:kern w:val="2"/>
          <w:lang w:val="en-US" w:eastAsia="zh-CN"/>
        </w:rPr>
        <w:t>Quon</w:t>
      </w:r>
      <w:proofErr w:type="spellEnd"/>
      <w:r w:rsidRPr="00A6256F">
        <w:rPr>
          <w:rFonts w:ascii="Book Antiqua" w:eastAsia="宋体" w:hAnsi="Book Antiqua"/>
          <w:kern w:val="2"/>
          <w:lang w:val="en-US" w:eastAsia="zh-CN"/>
        </w:rPr>
        <w:t xml:space="preserve"> A, Graves EE, Loo BW Jr, Chang DT. Metabolic tumor volume predicts disease progression and survival in patients with squamous cell carcinoma of the anal canal. </w:t>
      </w:r>
      <w:r w:rsidRPr="00A6256F">
        <w:rPr>
          <w:rFonts w:ascii="Book Antiqua" w:eastAsia="宋体" w:hAnsi="Book Antiqua"/>
          <w:i/>
          <w:kern w:val="2"/>
          <w:lang w:val="en-US" w:eastAsia="zh-CN"/>
        </w:rPr>
        <w:t xml:space="preserve">J </w:t>
      </w:r>
      <w:proofErr w:type="spellStart"/>
      <w:r w:rsidRPr="00A6256F">
        <w:rPr>
          <w:rFonts w:ascii="Book Antiqua" w:eastAsia="宋体" w:hAnsi="Book Antiqua"/>
          <w:i/>
          <w:kern w:val="2"/>
          <w:lang w:val="en-US" w:eastAsia="zh-CN"/>
        </w:rPr>
        <w:t>Nucl</w:t>
      </w:r>
      <w:proofErr w:type="spellEnd"/>
      <w:r w:rsidRPr="00A6256F">
        <w:rPr>
          <w:rFonts w:ascii="Book Antiqua" w:eastAsia="宋体" w:hAnsi="Book Antiqua"/>
          <w:i/>
          <w:kern w:val="2"/>
          <w:lang w:val="en-US" w:eastAsia="zh-CN"/>
        </w:rPr>
        <w:t xml:space="preserve"> Med</w:t>
      </w:r>
      <w:r w:rsidRPr="00A6256F">
        <w:rPr>
          <w:rFonts w:ascii="Book Antiqua" w:eastAsia="宋体" w:hAnsi="Book Antiqua"/>
          <w:kern w:val="2"/>
          <w:lang w:val="en-US" w:eastAsia="zh-CN"/>
        </w:rPr>
        <w:t xml:space="preserve"> 2013; </w:t>
      </w:r>
      <w:r w:rsidRPr="00A6256F">
        <w:rPr>
          <w:rFonts w:ascii="Book Antiqua" w:eastAsia="宋体" w:hAnsi="Book Antiqua"/>
          <w:b/>
          <w:kern w:val="2"/>
          <w:lang w:val="en-US" w:eastAsia="zh-CN"/>
        </w:rPr>
        <w:t>54</w:t>
      </w:r>
      <w:r w:rsidRPr="00A6256F">
        <w:rPr>
          <w:rFonts w:ascii="Book Antiqua" w:eastAsia="宋体" w:hAnsi="Book Antiqua"/>
          <w:kern w:val="2"/>
          <w:lang w:val="en-US" w:eastAsia="zh-CN"/>
        </w:rPr>
        <w:t>: 27-32 [PMID: 23236018 DOI: 10.2967/jnumed.112.109470]</w:t>
      </w:r>
    </w:p>
    <w:p w14:paraId="1829923B"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25 </w:t>
      </w:r>
      <w:r w:rsidRPr="00A6256F">
        <w:rPr>
          <w:rFonts w:ascii="Book Antiqua" w:eastAsia="宋体" w:hAnsi="Book Antiqua"/>
          <w:b/>
          <w:kern w:val="2"/>
          <w:lang w:val="en-US" w:eastAsia="zh-CN"/>
        </w:rPr>
        <w:t>Lee JW</w:t>
      </w:r>
      <w:r w:rsidRPr="00A6256F">
        <w:rPr>
          <w:rFonts w:ascii="Book Antiqua" w:eastAsia="宋体" w:hAnsi="Book Antiqua"/>
          <w:kern w:val="2"/>
          <w:lang w:val="en-US" w:eastAsia="zh-CN"/>
        </w:rPr>
        <w:t>, Kang CM, Choi HJ, Lee WJ, Song SY, Lee JH, Lee JD. Prognostic Value of Metabolic Tumor Volume and Total Lesion Glycolysis on Preoperative ¹</w:t>
      </w:r>
      <w:r w:rsidRPr="00A6256F">
        <w:rPr>
          <w:rFonts w:eastAsia="宋体"/>
          <w:kern w:val="2"/>
          <w:lang w:val="en-US" w:eastAsia="zh-CN"/>
        </w:rPr>
        <w:t>⁸</w:t>
      </w:r>
      <w:r w:rsidRPr="00A6256F">
        <w:rPr>
          <w:rFonts w:ascii="Book Antiqua" w:eastAsia="宋体" w:hAnsi="Book Antiqua"/>
          <w:kern w:val="2"/>
          <w:lang w:val="en-US" w:eastAsia="zh-CN"/>
        </w:rPr>
        <w:t xml:space="preserve">F-FDG PET/CT in Patients with Pancreatic Cancer. </w:t>
      </w:r>
      <w:r w:rsidRPr="00A6256F">
        <w:rPr>
          <w:rFonts w:ascii="Book Antiqua" w:eastAsia="宋体" w:hAnsi="Book Antiqua"/>
          <w:i/>
          <w:kern w:val="2"/>
          <w:lang w:val="en-US" w:eastAsia="zh-CN"/>
        </w:rPr>
        <w:t xml:space="preserve">J </w:t>
      </w:r>
      <w:proofErr w:type="spellStart"/>
      <w:r w:rsidRPr="00A6256F">
        <w:rPr>
          <w:rFonts w:ascii="Book Antiqua" w:eastAsia="宋体" w:hAnsi="Book Antiqua"/>
          <w:i/>
          <w:kern w:val="2"/>
          <w:lang w:val="en-US" w:eastAsia="zh-CN"/>
        </w:rPr>
        <w:t>Nucl</w:t>
      </w:r>
      <w:proofErr w:type="spellEnd"/>
      <w:r w:rsidRPr="00A6256F">
        <w:rPr>
          <w:rFonts w:ascii="Book Antiqua" w:eastAsia="宋体" w:hAnsi="Book Antiqua"/>
          <w:i/>
          <w:kern w:val="2"/>
          <w:lang w:val="en-US" w:eastAsia="zh-CN"/>
        </w:rPr>
        <w:t xml:space="preserve"> Med</w:t>
      </w:r>
      <w:r w:rsidRPr="00A6256F">
        <w:rPr>
          <w:rFonts w:ascii="Book Antiqua" w:eastAsia="宋体" w:hAnsi="Book Antiqua"/>
          <w:kern w:val="2"/>
          <w:lang w:val="en-US" w:eastAsia="zh-CN"/>
        </w:rPr>
        <w:t xml:space="preserve"> 2014; </w:t>
      </w:r>
      <w:r w:rsidRPr="00A6256F">
        <w:rPr>
          <w:rFonts w:ascii="Book Antiqua" w:eastAsia="宋体" w:hAnsi="Book Antiqua"/>
          <w:b/>
          <w:kern w:val="2"/>
          <w:lang w:val="en-US" w:eastAsia="zh-CN"/>
        </w:rPr>
        <w:t>55</w:t>
      </w:r>
      <w:r w:rsidRPr="00A6256F">
        <w:rPr>
          <w:rFonts w:ascii="Book Antiqua" w:eastAsia="宋体" w:hAnsi="Book Antiqua"/>
          <w:kern w:val="2"/>
          <w:lang w:val="en-US" w:eastAsia="zh-CN"/>
        </w:rPr>
        <w:t>: 898-904 [PMID: 24711649 DOI: 10.2967/jnumed.113.131847]</w:t>
      </w:r>
    </w:p>
    <w:p w14:paraId="0DDBA1A7"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26 </w:t>
      </w:r>
      <w:r w:rsidRPr="00A6256F">
        <w:rPr>
          <w:rFonts w:ascii="Book Antiqua" w:eastAsia="宋体" w:hAnsi="Book Antiqua"/>
          <w:b/>
          <w:kern w:val="2"/>
          <w:lang w:val="en-US" w:eastAsia="zh-CN"/>
        </w:rPr>
        <w:t>Ryu IS</w:t>
      </w:r>
      <w:r w:rsidRPr="00A6256F">
        <w:rPr>
          <w:rFonts w:ascii="Book Antiqua" w:eastAsia="宋体" w:hAnsi="Book Antiqua"/>
          <w:kern w:val="2"/>
          <w:lang w:val="en-US" w:eastAsia="zh-CN"/>
        </w:rPr>
        <w:t xml:space="preserve">, Kim JS, </w:t>
      </w:r>
      <w:proofErr w:type="spellStart"/>
      <w:r w:rsidRPr="00A6256F">
        <w:rPr>
          <w:rFonts w:ascii="Book Antiqua" w:eastAsia="宋体" w:hAnsi="Book Antiqua"/>
          <w:kern w:val="2"/>
          <w:lang w:val="en-US" w:eastAsia="zh-CN"/>
        </w:rPr>
        <w:t>Roh</w:t>
      </w:r>
      <w:proofErr w:type="spellEnd"/>
      <w:r w:rsidRPr="00A6256F">
        <w:rPr>
          <w:rFonts w:ascii="Book Antiqua" w:eastAsia="宋体" w:hAnsi="Book Antiqua"/>
          <w:kern w:val="2"/>
          <w:lang w:val="en-US" w:eastAsia="zh-CN"/>
        </w:rPr>
        <w:t xml:space="preserve"> JL, Lee JH, Cho KJ, Choi SH, Nam SY, Kim SY. Prognostic value of preoperative metabolic tumor volume and total lesion glycolysis measured by 18F-FDG PET/CT in salivary gland carcinomas. </w:t>
      </w:r>
      <w:r w:rsidRPr="00A6256F">
        <w:rPr>
          <w:rFonts w:ascii="Book Antiqua" w:eastAsia="宋体" w:hAnsi="Book Antiqua"/>
          <w:i/>
          <w:kern w:val="2"/>
          <w:lang w:val="en-US" w:eastAsia="zh-CN"/>
        </w:rPr>
        <w:t xml:space="preserve">J </w:t>
      </w:r>
      <w:proofErr w:type="spellStart"/>
      <w:r w:rsidRPr="00A6256F">
        <w:rPr>
          <w:rFonts w:ascii="Book Antiqua" w:eastAsia="宋体" w:hAnsi="Book Antiqua"/>
          <w:i/>
          <w:kern w:val="2"/>
          <w:lang w:val="en-US" w:eastAsia="zh-CN"/>
        </w:rPr>
        <w:t>Nucl</w:t>
      </w:r>
      <w:proofErr w:type="spellEnd"/>
      <w:r w:rsidRPr="00A6256F">
        <w:rPr>
          <w:rFonts w:ascii="Book Antiqua" w:eastAsia="宋体" w:hAnsi="Book Antiqua"/>
          <w:i/>
          <w:kern w:val="2"/>
          <w:lang w:val="en-US" w:eastAsia="zh-CN"/>
        </w:rPr>
        <w:t xml:space="preserve"> Med</w:t>
      </w:r>
      <w:r w:rsidRPr="00A6256F">
        <w:rPr>
          <w:rFonts w:ascii="Book Antiqua" w:eastAsia="宋体" w:hAnsi="Book Antiqua"/>
          <w:kern w:val="2"/>
          <w:lang w:val="en-US" w:eastAsia="zh-CN"/>
        </w:rPr>
        <w:t xml:space="preserve"> 2013; </w:t>
      </w:r>
      <w:r w:rsidRPr="00A6256F">
        <w:rPr>
          <w:rFonts w:ascii="Book Antiqua" w:eastAsia="宋体" w:hAnsi="Book Antiqua"/>
          <w:b/>
          <w:kern w:val="2"/>
          <w:lang w:val="en-US" w:eastAsia="zh-CN"/>
        </w:rPr>
        <w:t>54</w:t>
      </w:r>
      <w:r w:rsidRPr="00A6256F">
        <w:rPr>
          <w:rFonts w:ascii="Book Antiqua" w:eastAsia="宋体" w:hAnsi="Book Antiqua"/>
          <w:kern w:val="2"/>
          <w:lang w:val="en-US" w:eastAsia="zh-CN"/>
        </w:rPr>
        <w:t>: 1032-1038 [PMID: 23670902 DOI: 10.2967/jnumed.112.116053]</w:t>
      </w:r>
    </w:p>
    <w:p w14:paraId="3DD54156"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27 </w:t>
      </w:r>
      <w:proofErr w:type="spellStart"/>
      <w:r w:rsidRPr="00A6256F">
        <w:rPr>
          <w:rFonts w:ascii="Book Antiqua" w:eastAsia="宋体" w:hAnsi="Book Antiqua"/>
          <w:b/>
          <w:kern w:val="2"/>
          <w:lang w:val="en-US" w:eastAsia="zh-CN"/>
        </w:rPr>
        <w:t>Meignan</w:t>
      </w:r>
      <w:proofErr w:type="spellEnd"/>
      <w:r w:rsidRPr="00A6256F">
        <w:rPr>
          <w:rFonts w:ascii="Book Antiqua" w:eastAsia="宋体" w:hAnsi="Book Antiqua"/>
          <w:b/>
          <w:kern w:val="2"/>
          <w:lang w:val="en-US" w:eastAsia="zh-CN"/>
        </w:rPr>
        <w:t xml:space="preserve"> M</w:t>
      </w:r>
      <w:r w:rsidRPr="00A6256F">
        <w:rPr>
          <w:rFonts w:ascii="Book Antiqua" w:eastAsia="宋体" w:hAnsi="Book Antiqua"/>
          <w:kern w:val="2"/>
          <w:lang w:val="en-US" w:eastAsia="zh-CN"/>
        </w:rPr>
        <w:t xml:space="preserve">, </w:t>
      </w:r>
      <w:proofErr w:type="spellStart"/>
      <w:r w:rsidRPr="00A6256F">
        <w:rPr>
          <w:rFonts w:ascii="Book Antiqua" w:eastAsia="宋体" w:hAnsi="Book Antiqua"/>
          <w:kern w:val="2"/>
          <w:lang w:val="en-US" w:eastAsia="zh-CN"/>
        </w:rPr>
        <w:t>Cottereau</w:t>
      </w:r>
      <w:proofErr w:type="spellEnd"/>
      <w:r w:rsidRPr="00A6256F">
        <w:rPr>
          <w:rFonts w:ascii="Book Antiqua" w:eastAsia="宋体" w:hAnsi="Book Antiqua"/>
          <w:kern w:val="2"/>
          <w:lang w:val="en-US" w:eastAsia="zh-CN"/>
        </w:rPr>
        <w:t xml:space="preserve"> AS, </w:t>
      </w:r>
      <w:proofErr w:type="spellStart"/>
      <w:r w:rsidRPr="00A6256F">
        <w:rPr>
          <w:rFonts w:ascii="Book Antiqua" w:eastAsia="宋体" w:hAnsi="Book Antiqua"/>
          <w:kern w:val="2"/>
          <w:lang w:val="en-US" w:eastAsia="zh-CN"/>
        </w:rPr>
        <w:t>Versari</w:t>
      </w:r>
      <w:proofErr w:type="spellEnd"/>
      <w:r w:rsidRPr="00A6256F">
        <w:rPr>
          <w:rFonts w:ascii="Book Antiqua" w:eastAsia="宋体" w:hAnsi="Book Antiqua"/>
          <w:kern w:val="2"/>
          <w:lang w:val="en-US" w:eastAsia="zh-CN"/>
        </w:rPr>
        <w:t xml:space="preserve"> A, </w:t>
      </w:r>
      <w:proofErr w:type="spellStart"/>
      <w:r w:rsidRPr="00A6256F">
        <w:rPr>
          <w:rFonts w:ascii="Book Antiqua" w:eastAsia="宋体" w:hAnsi="Book Antiqua"/>
          <w:kern w:val="2"/>
          <w:lang w:val="en-US" w:eastAsia="zh-CN"/>
        </w:rPr>
        <w:t>Chartier</w:t>
      </w:r>
      <w:proofErr w:type="spellEnd"/>
      <w:r w:rsidRPr="00A6256F">
        <w:rPr>
          <w:rFonts w:ascii="Book Antiqua" w:eastAsia="宋体" w:hAnsi="Book Antiqua"/>
          <w:kern w:val="2"/>
          <w:lang w:val="en-US" w:eastAsia="zh-CN"/>
        </w:rPr>
        <w:t xml:space="preserve"> L, Dupuis J, </w:t>
      </w:r>
      <w:proofErr w:type="spellStart"/>
      <w:r w:rsidRPr="00A6256F">
        <w:rPr>
          <w:rFonts w:ascii="Book Antiqua" w:eastAsia="宋体" w:hAnsi="Book Antiqua"/>
          <w:kern w:val="2"/>
          <w:lang w:val="en-US" w:eastAsia="zh-CN"/>
        </w:rPr>
        <w:t>Boussetta</w:t>
      </w:r>
      <w:proofErr w:type="spellEnd"/>
      <w:r w:rsidRPr="00A6256F">
        <w:rPr>
          <w:rFonts w:ascii="Book Antiqua" w:eastAsia="宋体" w:hAnsi="Book Antiqua"/>
          <w:kern w:val="2"/>
          <w:lang w:val="en-US" w:eastAsia="zh-CN"/>
        </w:rPr>
        <w:t xml:space="preserve"> S, Grassi I, </w:t>
      </w:r>
      <w:proofErr w:type="spellStart"/>
      <w:r w:rsidRPr="00A6256F">
        <w:rPr>
          <w:rFonts w:ascii="Book Antiqua" w:eastAsia="宋体" w:hAnsi="Book Antiqua"/>
          <w:kern w:val="2"/>
          <w:lang w:val="en-US" w:eastAsia="zh-CN"/>
        </w:rPr>
        <w:t>Casasnovas</w:t>
      </w:r>
      <w:proofErr w:type="spellEnd"/>
      <w:r w:rsidRPr="00A6256F">
        <w:rPr>
          <w:rFonts w:ascii="Book Antiqua" w:eastAsia="宋体" w:hAnsi="Book Antiqua"/>
          <w:kern w:val="2"/>
          <w:lang w:val="en-US" w:eastAsia="zh-CN"/>
        </w:rPr>
        <w:t xml:space="preserve"> RO, </w:t>
      </w:r>
      <w:proofErr w:type="spellStart"/>
      <w:r w:rsidRPr="00A6256F">
        <w:rPr>
          <w:rFonts w:ascii="Book Antiqua" w:eastAsia="宋体" w:hAnsi="Book Antiqua"/>
          <w:kern w:val="2"/>
          <w:lang w:val="en-US" w:eastAsia="zh-CN"/>
        </w:rPr>
        <w:t>Haioun</w:t>
      </w:r>
      <w:proofErr w:type="spellEnd"/>
      <w:r w:rsidRPr="00A6256F">
        <w:rPr>
          <w:rFonts w:ascii="Book Antiqua" w:eastAsia="宋体" w:hAnsi="Book Antiqua"/>
          <w:kern w:val="2"/>
          <w:lang w:val="en-US" w:eastAsia="zh-CN"/>
        </w:rPr>
        <w:t xml:space="preserve"> C, Tilly H, Tarantino V, </w:t>
      </w:r>
      <w:proofErr w:type="spellStart"/>
      <w:r w:rsidRPr="00A6256F">
        <w:rPr>
          <w:rFonts w:ascii="Book Antiqua" w:eastAsia="宋体" w:hAnsi="Book Antiqua"/>
          <w:kern w:val="2"/>
          <w:lang w:val="en-US" w:eastAsia="zh-CN"/>
        </w:rPr>
        <w:t>Dubreuil</w:t>
      </w:r>
      <w:proofErr w:type="spellEnd"/>
      <w:r w:rsidRPr="00A6256F">
        <w:rPr>
          <w:rFonts w:ascii="Book Antiqua" w:eastAsia="宋体" w:hAnsi="Book Antiqua"/>
          <w:kern w:val="2"/>
          <w:lang w:val="en-US" w:eastAsia="zh-CN"/>
        </w:rPr>
        <w:t xml:space="preserve"> J, Federico M, Salles G, </w:t>
      </w:r>
      <w:proofErr w:type="spellStart"/>
      <w:r w:rsidRPr="00A6256F">
        <w:rPr>
          <w:rFonts w:ascii="Book Antiqua" w:eastAsia="宋体" w:hAnsi="Book Antiqua"/>
          <w:kern w:val="2"/>
          <w:lang w:val="en-US" w:eastAsia="zh-CN"/>
        </w:rPr>
        <w:t>Luminari</w:t>
      </w:r>
      <w:proofErr w:type="spellEnd"/>
      <w:r w:rsidRPr="00A6256F">
        <w:rPr>
          <w:rFonts w:ascii="Book Antiqua" w:eastAsia="宋体" w:hAnsi="Book Antiqua"/>
          <w:kern w:val="2"/>
          <w:lang w:val="en-US" w:eastAsia="zh-CN"/>
        </w:rPr>
        <w:t xml:space="preserve"> S, Trotman J. Baseline Metabolic Tumor Volume Predicts Outcome in High-Tumor-Burden Follicular Lymphoma: A Pooled Analysis of Three Multicenter Studies. </w:t>
      </w:r>
      <w:r w:rsidRPr="00A6256F">
        <w:rPr>
          <w:rFonts w:ascii="Book Antiqua" w:eastAsia="宋体" w:hAnsi="Book Antiqua"/>
          <w:i/>
          <w:kern w:val="2"/>
          <w:lang w:val="en-US" w:eastAsia="zh-CN"/>
        </w:rPr>
        <w:t>J Clin Oncol</w:t>
      </w:r>
      <w:r w:rsidRPr="00A6256F">
        <w:rPr>
          <w:rFonts w:ascii="Book Antiqua" w:eastAsia="宋体" w:hAnsi="Book Antiqua"/>
          <w:kern w:val="2"/>
          <w:lang w:val="en-US" w:eastAsia="zh-CN"/>
        </w:rPr>
        <w:t xml:space="preserve"> 2016; </w:t>
      </w:r>
      <w:r w:rsidRPr="00A6256F">
        <w:rPr>
          <w:rFonts w:ascii="Book Antiqua" w:eastAsia="宋体" w:hAnsi="Book Antiqua"/>
          <w:b/>
          <w:kern w:val="2"/>
          <w:lang w:val="en-US" w:eastAsia="zh-CN"/>
        </w:rPr>
        <w:t>34</w:t>
      </w:r>
      <w:r w:rsidRPr="00A6256F">
        <w:rPr>
          <w:rFonts w:ascii="Book Antiqua" w:eastAsia="宋体" w:hAnsi="Book Antiqua"/>
          <w:kern w:val="2"/>
          <w:lang w:val="en-US" w:eastAsia="zh-CN"/>
        </w:rPr>
        <w:t>: 3618-3626 [PMID: 27551111 DOI: 10.1200/JCO.2016.66.9440]</w:t>
      </w:r>
    </w:p>
    <w:p w14:paraId="39384687"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28 </w:t>
      </w:r>
      <w:r w:rsidRPr="00A6256F">
        <w:rPr>
          <w:rFonts w:ascii="Book Antiqua" w:eastAsia="宋体" w:hAnsi="Book Antiqua"/>
          <w:b/>
          <w:kern w:val="2"/>
          <w:lang w:val="en-US" w:eastAsia="zh-CN"/>
        </w:rPr>
        <w:t xml:space="preserve">de </w:t>
      </w:r>
      <w:proofErr w:type="spellStart"/>
      <w:r w:rsidRPr="00A6256F">
        <w:rPr>
          <w:rFonts w:ascii="Book Antiqua" w:eastAsia="宋体" w:hAnsi="Book Antiqua"/>
          <w:b/>
          <w:kern w:val="2"/>
          <w:lang w:val="en-US" w:eastAsia="zh-CN"/>
        </w:rPr>
        <w:t>Geus-Oei</w:t>
      </w:r>
      <w:proofErr w:type="spellEnd"/>
      <w:r w:rsidRPr="00A6256F">
        <w:rPr>
          <w:rFonts w:ascii="Book Antiqua" w:eastAsia="宋体" w:hAnsi="Book Antiqua"/>
          <w:b/>
          <w:kern w:val="2"/>
          <w:lang w:val="en-US" w:eastAsia="zh-CN"/>
        </w:rPr>
        <w:t xml:space="preserve"> LF</w:t>
      </w:r>
      <w:r w:rsidRPr="00A6256F">
        <w:rPr>
          <w:rFonts w:ascii="Book Antiqua" w:eastAsia="宋体" w:hAnsi="Book Antiqua"/>
          <w:kern w:val="2"/>
          <w:lang w:val="en-US" w:eastAsia="zh-CN"/>
        </w:rPr>
        <w:t xml:space="preserve">, van der Heijden HF, </w:t>
      </w:r>
      <w:proofErr w:type="spellStart"/>
      <w:r w:rsidRPr="00A6256F">
        <w:rPr>
          <w:rFonts w:ascii="Book Antiqua" w:eastAsia="宋体" w:hAnsi="Book Antiqua"/>
          <w:kern w:val="2"/>
          <w:lang w:val="en-US" w:eastAsia="zh-CN"/>
        </w:rPr>
        <w:t>Corstens</w:t>
      </w:r>
      <w:proofErr w:type="spellEnd"/>
      <w:r w:rsidRPr="00A6256F">
        <w:rPr>
          <w:rFonts w:ascii="Book Antiqua" w:eastAsia="宋体" w:hAnsi="Book Antiqua"/>
          <w:kern w:val="2"/>
          <w:lang w:val="en-US" w:eastAsia="zh-CN"/>
        </w:rPr>
        <w:t xml:space="preserve"> FH, Oyen WJ. Predictive and prognostic value of FDG-PET in </w:t>
      </w:r>
      <w:proofErr w:type="spellStart"/>
      <w:r w:rsidRPr="00A6256F">
        <w:rPr>
          <w:rFonts w:ascii="Book Antiqua" w:eastAsia="宋体" w:hAnsi="Book Antiqua"/>
          <w:kern w:val="2"/>
          <w:lang w:val="en-US" w:eastAsia="zh-CN"/>
        </w:rPr>
        <w:t>nonsmall</w:t>
      </w:r>
      <w:proofErr w:type="spellEnd"/>
      <w:r w:rsidRPr="00A6256F">
        <w:rPr>
          <w:rFonts w:ascii="Book Antiqua" w:eastAsia="宋体" w:hAnsi="Book Antiqua"/>
          <w:kern w:val="2"/>
          <w:lang w:val="en-US" w:eastAsia="zh-CN"/>
        </w:rPr>
        <w:t xml:space="preserve">-cell lung cancer: a systematic review. </w:t>
      </w:r>
      <w:r w:rsidRPr="00A6256F">
        <w:rPr>
          <w:rFonts w:ascii="Book Antiqua" w:eastAsia="宋体" w:hAnsi="Book Antiqua"/>
          <w:i/>
          <w:kern w:val="2"/>
          <w:lang w:val="en-US" w:eastAsia="zh-CN"/>
        </w:rPr>
        <w:t>Cancer</w:t>
      </w:r>
      <w:r w:rsidRPr="00A6256F">
        <w:rPr>
          <w:rFonts w:ascii="Book Antiqua" w:eastAsia="宋体" w:hAnsi="Book Antiqua"/>
          <w:kern w:val="2"/>
          <w:lang w:val="en-US" w:eastAsia="zh-CN"/>
        </w:rPr>
        <w:t xml:space="preserve"> 2007; </w:t>
      </w:r>
      <w:r w:rsidRPr="00A6256F">
        <w:rPr>
          <w:rFonts w:ascii="Book Antiqua" w:eastAsia="宋体" w:hAnsi="Book Antiqua"/>
          <w:b/>
          <w:kern w:val="2"/>
          <w:lang w:val="en-US" w:eastAsia="zh-CN"/>
        </w:rPr>
        <w:t>110</w:t>
      </w:r>
      <w:r w:rsidRPr="00A6256F">
        <w:rPr>
          <w:rFonts w:ascii="Book Antiqua" w:eastAsia="宋体" w:hAnsi="Book Antiqua"/>
          <w:kern w:val="2"/>
          <w:lang w:val="en-US" w:eastAsia="zh-CN"/>
        </w:rPr>
        <w:t>: 1654-1664 [PMID: 17879371 DOI: 10.1002/cncr.22979]</w:t>
      </w:r>
    </w:p>
    <w:p w14:paraId="3EF66B0E"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29 </w:t>
      </w:r>
      <w:r w:rsidRPr="00A6256F">
        <w:rPr>
          <w:rFonts w:ascii="Book Antiqua" w:eastAsia="宋体" w:hAnsi="Book Antiqua"/>
          <w:b/>
          <w:kern w:val="2"/>
          <w:lang w:val="en-US" w:eastAsia="zh-CN"/>
        </w:rPr>
        <w:t>Pan L</w:t>
      </w:r>
      <w:r w:rsidRPr="00A6256F">
        <w:rPr>
          <w:rFonts w:ascii="Book Antiqua" w:eastAsia="宋体" w:hAnsi="Book Antiqua"/>
          <w:kern w:val="2"/>
          <w:lang w:val="en-US" w:eastAsia="zh-CN"/>
        </w:rPr>
        <w:t xml:space="preserve">, Gu P, Huang G, </w:t>
      </w:r>
      <w:proofErr w:type="spellStart"/>
      <w:r w:rsidRPr="00A6256F">
        <w:rPr>
          <w:rFonts w:ascii="Book Antiqua" w:eastAsia="宋体" w:hAnsi="Book Antiqua"/>
          <w:kern w:val="2"/>
          <w:lang w:val="en-US" w:eastAsia="zh-CN"/>
        </w:rPr>
        <w:t>Xue</w:t>
      </w:r>
      <w:proofErr w:type="spellEnd"/>
      <w:r w:rsidRPr="00A6256F">
        <w:rPr>
          <w:rFonts w:ascii="Book Antiqua" w:eastAsia="宋体" w:hAnsi="Book Antiqua"/>
          <w:kern w:val="2"/>
          <w:lang w:val="en-US" w:eastAsia="zh-CN"/>
        </w:rPr>
        <w:t xml:space="preserve"> H, Wu S. Prognostic significance of SUV on PET/CT in patients with esophageal cancer: a systematic review and meta-analysis. </w:t>
      </w:r>
      <w:r w:rsidRPr="00A6256F">
        <w:rPr>
          <w:rFonts w:ascii="Book Antiqua" w:eastAsia="宋体" w:hAnsi="Book Antiqua"/>
          <w:i/>
          <w:kern w:val="2"/>
          <w:lang w:val="en-US" w:eastAsia="zh-CN"/>
        </w:rPr>
        <w:t>Eur J Gastroenterol Hepatol</w:t>
      </w:r>
      <w:r w:rsidRPr="00A6256F">
        <w:rPr>
          <w:rFonts w:ascii="Book Antiqua" w:eastAsia="宋体" w:hAnsi="Book Antiqua"/>
          <w:kern w:val="2"/>
          <w:lang w:val="en-US" w:eastAsia="zh-CN"/>
        </w:rPr>
        <w:t xml:space="preserve"> 2009; </w:t>
      </w:r>
      <w:r w:rsidRPr="00A6256F">
        <w:rPr>
          <w:rFonts w:ascii="Book Antiqua" w:eastAsia="宋体" w:hAnsi="Book Antiqua"/>
          <w:b/>
          <w:kern w:val="2"/>
          <w:lang w:val="en-US" w:eastAsia="zh-CN"/>
        </w:rPr>
        <w:t>21</w:t>
      </w:r>
      <w:r w:rsidRPr="00A6256F">
        <w:rPr>
          <w:rFonts w:ascii="Book Antiqua" w:eastAsia="宋体" w:hAnsi="Book Antiqua"/>
          <w:kern w:val="2"/>
          <w:lang w:val="en-US" w:eastAsia="zh-CN"/>
        </w:rPr>
        <w:t>: 1008-1015 [PMID: 19352191 DOI: 10.1097/MEG.0b013e328323d6fa]</w:t>
      </w:r>
    </w:p>
    <w:p w14:paraId="0E75D2E7" w14:textId="23590E3E"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30 </w:t>
      </w:r>
      <w:proofErr w:type="spellStart"/>
      <w:r w:rsidRPr="00A6256F">
        <w:rPr>
          <w:rFonts w:ascii="Book Antiqua" w:eastAsia="宋体" w:hAnsi="Book Antiqua"/>
          <w:b/>
          <w:kern w:val="2"/>
          <w:lang w:val="en-US" w:eastAsia="zh-CN"/>
        </w:rPr>
        <w:t>Sperti</w:t>
      </w:r>
      <w:proofErr w:type="spellEnd"/>
      <w:r w:rsidRPr="00A6256F">
        <w:rPr>
          <w:rFonts w:ascii="Book Antiqua" w:eastAsia="宋体" w:hAnsi="Book Antiqua"/>
          <w:b/>
          <w:kern w:val="2"/>
          <w:lang w:val="en-US" w:eastAsia="zh-CN"/>
        </w:rPr>
        <w:t xml:space="preserve"> C</w:t>
      </w:r>
      <w:r w:rsidRPr="00A6256F">
        <w:rPr>
          <w:rFonts w:ascii="Book Antiqua" w:eastAsia="宋体" w:hAnsi="Book Antiqua"/>
          <w:kern w:val="2"/>
          <w:lang w:val="en-US" w:eastAsia="zh-CN"/>
        </w:rPr>
        <w:t xml:space="preserve">, </w:t>
      </w:r>
      <w:proofErr w:type="spellStart"/>
      <w:r w:rsidRPr="00A6256F">
        <w:rPr>
          <w:rFonts w:ascii="Book Antiqua" w:eastAsia="宋体" w:hAnsi="Book Antiqua"/>
          <w:kern w:val="2"/>
          <w:lang w:val="en-US" w:eastAsia="zh-CN"/>
        </w:rPr>
        <w:t>Pasquali</w:t>
      </w:r>
      <w:proofErr w:type="spellEnd"/>
      <w:r w:rsidRPr="00A6256F">
        <w:rPr>
          <w:rFonts w:ascii="Book Antiqua" w:eastAsia="宋体" w:hAnsi="Book Antiqua"/>
          <w:kern w:val="2"/>
          <w:lang w:val="en-US" w:eastAsia="zh-CN"/>
        </w:rPr>
        <w:t xml:space="preserve"> C, </w:t>
      </w:r>
      <w:proofErr w:type="spellStart"/>
      <w:r w:rsidRPr="00A6256F">
        <w:rPr>
          <w:rFonts w:ascii="Book Antiqua" w:eastAsia="宋体" w:hAnsi="Book Antiqua"/>
          <w:kern w:val="2"/>
          <w:lang w:val="en-US" w:eastAsia="zh-CN"/>
        </w:rPr>
        <w:t>Chierichetti</w:t>
      </w:r>
      <w:proofErr w:type="spellEnd"/>
      <w:r w:rsidRPr="00A6256F">
        <w:rPr>
          <w:rFonts w:ascii="Book Antiqua" w:eastAsia="宋体" w:hAnsi="Book Antiqua"/>
          <w:kern w:val="2"/>
          <w:lang w:val="en-US" w:eastAsia="zh-CN"/>
        </w:rPr>
        <w:t xml:space="preserve"> F, </w:t>
      </w:r>
      <w:proofErr w:type="spellStart"/>
      <w:r w:rsidRPr="00A6256F">
        <w:rPr>
          <w:rFonts w:ascii="Book Antiqua" w:eastAsia="宋体" w:hAnsi="Book Antiqua"/>
          <w:kern w:val="2"/>
          <w:lang w:val="en-US" w:eastAsia="zh-CN"/>
        </w:rPr>
        <w:t>Ferronato</w:t>
      </w:r>
      <w:proofErr w:type="spellEnd"/>
      <w:r w:rsidRPr="00A6256F">
        <w:rPr>
          <w:rFonts w:ascii="Book Antiqua" w:eastAsia="宋体" w:hAnsi="Book Antiqua"/>
          <w:kern w:val="2"/>
          <w:lang w:val="en-US" w:eastAsia="zh-CN"/>
        </w:rPr>
        <w:t xml:space="preserve"> A, </w:t>
      </w:r>
      <w:proofErr w:type="spellStart"/>
      <w:r w:rsidRPr="00A6256F">
        <w:rPr>
          <w:rFonts w:ascii="Book Antiqua" w:eastAsia="宋体" w:hAnsi="Book Antiqua"/>
          <w:kern w:val="2"/>
          <w:lang w:val="en-US" w:eastAsia="zh-CN"/>
        </w:rPr>
        <w:t>Decet</w:t>
      </w:r>
      <w:proofErr w:type="spellEnd"/>
      <w:r w:rsidRPr="00A6256F">
        <w:rPr>
          <w:rFonts w:ascii="Book Antiqua" w:eastAsia="宋体" w:hAnsi="Book Antiqua"/>
          <w:kern w:val="2"/>
          <w:lang w:val="en-US" w:eastAsia="zh-CN"/>
        </w:rPr>
        <w:t xml:space="preserve"> G, </w:t>
      </w:r>
      <w:proofErr w:type="spellStart"/>
      <w:r w:rsidRPr="00A6256F">
        <w:rPr>
          <w:rFonts w:ascii="Book Antiqua" w:eastAsia="宋体" w:hAnsi="Book Antiqua"/>
          <w:kern w:val="2"/>
          <w:lang w:val="en-US" w:eastAsia="zh-CN"/>
        </w:rPr>
        <w:t>Pedrazzoli</w:t>
      </w:r>
      <w:proofErr w:type="spellEnd"/>
      <w:r w:rsidRPr="00A6256F">
        <w:rPr>
          <w:rFonts w:ascii="Book Antiqua" w:eastAsia="宋体" w:hAnsi="Book Antiqua"/>
          <w:kern w:val="2"/>
          <w:lang w:val="en-US" w:eastAsia="zh-CN"/>
        </w:rPr>
        <w:t xml:space="preserve"> S. 18-Fluorodeoxyglucose positron emission tomography in predicting survival of patients with pancreatic carcinoma. </w:t>
      </w:r>
      <w:r w:rsidRPr="00A6256F">
        <w:rPr>
          <w:rFonts w:ascii="Book Antiqua" w:eastAsia="宋体" w:hAnsi="Book Antiqua"/>
          <w:i/>
          <w:kern w:val="2"/>
          <w:lang w:val="en-US" w:eastAsia="zh-CN"/>
        </w:rPr>
        <w:t xml:space="preserve">J </w:t>
      </w:r>
      <w:proofErr w:type="spellStart"/>
      <w:r w:rsidRPr="00A6256F">
        <w:rPr>
          <w:rFonts w:ascii="Book Antiqua" w:eastAsia="宋体" w:hAnsi="Book Antiqua"/>
          <w:i/>
          <w:kern w:val="2"/>
          <w:lang w:val="en-US" w:eastAsia="zh-CN"/>
        </w:rPr>
        <w:t>Gastrointest</w:t>
      </w:r>
      <w:proofErr w:type="spellEnd"/>
      <w:r w:rsidRPr="00A6256F">
        <w:rPr>
          <w:rFonts w:ascii="Book Antiqua" w:eastAsia="宋体" w:hAnsi="Book Antiqua"/>
          <w:i/>
          <w:kern w:val="2"/>
          <w:lang w:val="en-US" w:eastAsia="zh-CN"/>
        </w:rPr>
        <w:t xml:space="preserve"> Surg</w:t>
      </w:r>
      <w:r w:rsidRPr="00A6256F">
        <w:rPr>
          <w:rFonts w:ascii="Book Antiqua" w:eastAsia="宋体" w:hAnsi="Book Antiqua"/>
          <w:kern w:val="2"/>
          <w:lang w:val="en-US" w:eastAsia="zh-CN"/>
        </w:rPr>
        <w:t xml:space="preserve"> 2003; </w:t>
      </w:r>
      <w:r w:rsidRPr="00A6256F">
        <w:rPr>
          <w:rFonts w:ascii="Book Antiqua" w:eastAsia="宋体" w:hAnsi="Book Antiqua"/>
          <w:b/>
          <w:kern w:val="2"/>
          <w:lang w:val="en-US" w:eastAsia="zh-CN"/>
        </w:rPr>
        <w:t>7</w:t>
      </w:r>
      <w:r w:rsidRPr="00A6256F">
        <w:rPr>
          <w:rFonts w:ascii="Book Antiqua" w:eastAsia="宋体" w:hAnsi="Book Antiqua"/>
          <w:kern w:val="2"/>
          <w:lang w:val="en-US" w:eastAsia="zh-CN"/>
        </w:rPr>
        <w:t>: 953-</w:t>
      </w:r>
      <w:r w:rsidR="00A85E8B">
        <w:rPr>
          <w:rFonts w:ascii="Book Antiqua" w:eastAsia="宋体" w:hAnsi="Book Antiqua"/>
          <w:kern w:val="2"/>
          <w:lang w:val="en-US" w:eastAsia="zh-CN"/>
        </w:rPr>
        <w:t>95</w:t>
      </w:r>
      <w:r w:rsidRPr="00A6256F">
        <w:rPr>
          <w:rFonts w:ascii="Book Antiqua" w:eastAsia="宋体" w:hAnsi="Book Antiqua"/>
          <w:kern w:val="2"/>
          <w:lang w:val="en-US" w:eastAsia="zh-CN"/>
        </w:rPr>
        <w:t>9; discussion 959-</w:t>
      </w:r>
      <w:r w:rsidR="00A85E8B">
        <w:rPr>
          <w:rFonts w:ascii="Book Antiqua" w:eastAsia="宋体" w:hAnsi="Book Antiqua"/>
          <w:kern w:val="2"/>
          <w:lang w:val="en-US" w:eastAsia="zh-CN"/>
        </w:rPr>
        <w:t>9</w:t>
      </w:r>
      <w:r w:rsidRPr="00A6256F">
        <w:rPr>
          <w:rFonts w:ascii="Book Antiqua" w:eastAsia="宋体" w:hAnsi="Book Antiqua"/>
          <w:kern w:val="2"/>
          <w:lang w:val="en-US" w:eastAsia="zh-CN"/>
        </w:rPr>
        <w:t>60 [PMID: 14675704 DOI: 10.1016/j.gassur.2003.09.002]</w:t>
      </w:r>
    </w:p>
    <w:p w14:paraId="5928A116"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31 </w:t>
      </w:r>
      <w:proofErr w:type="spellStart"/>
      <w:r w:rsidRPr="00A6256F">
        <w:rPr>
          <w:rFonts w:ascii="Book Antiqua" w:eastAsia="宋体" w:hAnsi="Book Antiqua"/>
          <w:b/>
          <w:kern w:val="2"/>
          <w:lang w:val="en-US" w:eastAsia="zh-CN"/>
        </w:rPr>
        <w:t>Diao</w:t>
      </w:r>
      <w:proofErr w:type="spellEnd"/>
      <w:r w:rsidRPr="00A6256F">
        <w:rPr>
          <w:rFonts w:ascii="Book Antiqua" w:eastAsia="宋体" w:hAnsi="Book Antiqua"/>
          <w:b/>
          <w:kern w:val="2"/>
          <w:lang w:val="en-US" w:eastAsia="zh-CN"/>
        </w:rPr>
        <w:t xml:space="preserve"> W</w:t>
      </w:r>
      <w:r w:rsidRPr="00A6256F">
        <w:rPr>
          <w:rFonts w:ascii="Book Antiqua" w:eastAsia="宋体" w:hAnsi="Book Antiqua"/>
          <w:kern w:val="2"/>
          <w:lang w:val="en-US" w:eastAsia="zh-CN"/>
        </w:rPr>
        <w:t xml:space="preserve">, Tian F, Jia Z. The prognostic value of </w:t>
      </w:r>
      <w:proofErr w:type="spellStart"/>
      <w:r w:rsidRPr="00A6256F">
        <w:rPr>
          <w:rFonts w:ascii="Book Antiqua" w:eastAsia="宋体" w:hAnsi="Book Antiqua"/>
          <w:kern w:val="2"/>
          <w:lang w:val="en-US" w:eastAsia="zh-CN"/>
        </w:rPr>
        <w:t>SUV</w:t>
      </w:r>
      <w:r w:rsidRPr="00A6256F">
        <w:rPr>
          <w:rFonts w:ascii="Book Antiqua" w:eastAsia="宋体" w:hAnsi="Book Antiqua"/>
          <w:kern w:val="2"/>
          <w:vertAlign w:val="subscript"/>
          <w:lang w:val="en-US" w:eastAsia="zh-CN"/>
        </w:rPr>
        <w:t>max</w:t>
      </w:r>
      <w:proofErr w:type="spellEnd"/>
      <w:r w:rsidRPr="00A6256F">
        <w:rPr>
          <w:rFonts w:ascii="Book Antiqua" w:eastAsia="宋体" w:hAnsi="Book Antiqua"/>
          <w:kern w:val="2"/>
          <w:lang w:val="en-US" w:eastAsia="zh-CN"/>
        </w:rPr>
        <w:t xml:space="preserve"> measuring on primary lesion and ALN by </w:t>
      </w:r>
      <w:r w:rsidRPr="00A6256F">
        <w:rPr>
          <w:rFonts w:ascii="Book Antiqua" w:eastAsia="宋体" w:hAnsi="Book Antiqua"/>
          <w:kern w:val="2"/>
          <w:vertAlign w:val="superscript"/>
          <w:lang w:val="en-US" w:eastAsia="zh-CN"/>
        </w:rPr>
        <w:t>18</w:t>
      </w:r>
      <w:r w:rsidRPr="00A6256F">
        <w:rPr>
          <w:rFonts w:ascii="Book Antiqua" w:eastAsia="宋体" w:hAnsi="Book Antiqua"/>
          <w:kern w:val="2"/>
          <w:lang w:val="en-US" w:eastAsia="zh-CN"/>
        </w:rPr>
        <w:t xml:space="preserve">F-FDG PET or PET/CT in patients with breast cancer. </w:t>
      </w:r>
      <w:r w:rsidRPr="00A6256F">
        <w:rPr>
          <w:rFonts w:ascii="Book Antiqua" w:eastAsia="宋体" w:hAnsi="Book Antiqua"/>
          <w:i/>
          <w:kern w:val="2"/>
          <w:lang w:val="en-US" w:eastAsia="zh-CN"/>
        </w:rPr>
        <w:t xml:space="preserve">Eur J </w:t>
      </w:r>
      <w:proofErr w:type="spellStart"/>
      <w:r w:rsidRPr="00A6256F">
        <w:rPr>
          <w:rFonts w:ascii="Book Antiqua" w:eastAsia="宋体" w:hAnsi="Book Antiqua"/>
          <w:i/>
          <w:kern w:val="2"/>
          <w:lang w:val="en-US" w:eastAsia="zh-CN"/>
        </w:rPr>
        <w:lastRenderedPageBreak/>
        <w:t>Radiol</w:t>
      </w:r>
      <w:proofErr w:type="spellEnd"/>
      <w:r w:rsidRPr="00A6256F">
        <w:rPr>
          <w:rFonts w:ascii="Book Antiqua" w:eastAsia="宋体" w:hAnsi="Book Antiqua"/>
          <w:kern w:val="2"/>
          <w:lang w:val="en-US" w:eastAsia="zh-CN"/>
        </w:rPr>
        <w:t xml:space="preserve"> 2018; </w:t>
      </w:r>
      <w:r w:rsidRPr="00A6256F">
        <w:rPr>
          <w:rFonts w:ascii="Book Antiqua" w:eastAsia="宋体" w:hAnsi="Book Antiqua"/>
          <w:b/>
          <w:kern w:val="2"/>
          <w:lang w:val="en-US" w:eastAsia="zh-CN"/>
        </w:rPr>
        <w:t>105</w:t>
      </w:r>
      <w:r w:rsidRPr="00A6256F">
        <w:rPr>
          <w:rFonts w:ascii="Book Antiqua" w:eastAsia="宋体" w:hAnsi="Book Antiqua"/>
          <w:kern w:val="2"/>
          <w:lang w:val="en-US" w:eastAsia="zh-CN"/>
        </w:rPr>
        <w:t>: 1-7 [PMID: 30017264 DOI: 10.1016/j.ejrad.2018.05.014]</w:t>
      </w:r>
    </w:p>
    <w:p w14:paraId="06B8B98A"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32 </w:t>
      </w:r>
      <w:proofErr w:type="spellStart"/>
      <w:r w:rsidRPr="00A6256F">
        <w:rPr>
          <w:rFonts w:ascii="Book Antiqua" w:eastAsia="宋体" w:hAnsi="Book Antiqua"/>
          <w:b/>
          <w:kern w:val="2"/>
          <w:lang w:val="en-US" w:eastAsia="zh-CN"/>
        </w:rPr>
        <w:t>Mistrangelo</w:t>
      </w:r>
      <w:proofErr w:type="spellEnd"/>
      <w:r w:rsidRPr="00A6256F">
        <w:rPr>
          <w:rFonts w:ascii="Book Antiqua" w:eastAsia="宋体" w:hAnsi="Book Antiqua"/>
          <w:b/>
          <w:kern w:val="2"/>
          <w:lang w:val="en-US" w:eastAsia="zh-CN"/>
        </w:rPr>
        <w:t xml:space="preserve"> M</w:t>
      </w:r>
      <w:r w:rsidRPr="00A6256F">
        <w:rPr>
          <w:rFonts w:ascii="Book Antiqua" w:eastAsia="宋体" w:hAnsi="Book Antiqua"/>
          <w:kern w:val="2"/>
          <w:lang w:val="en-US" w:eastAsia="zh-CN"/>
        </w:rPr>
        <w:t xml:space="preserve">, Pelosi E, </w:t>
      </w:r>
      <w:proofErr w:type="spellStart"/>
      <w:r w:rsidRPr="00A6256F">
        <w:rPr>
          <w:rFonts w:ascii="Book Antiqua" w:eastAsia="宋体" w:hAnsi="Book Antiqua"/>
          <w:kern w:val="2"/>
          <w:lang w:val="en-US" w:eastAsia="zh-CN"/>
        </w:rPr>
        <w:t>Bellò</w:t>
      </w:r>
      <w:proofErr w:type="spellEnd"/>
      <w:r w:rsidRPr="00A6256F">
        <w:rPr>
          <w:rFonts w:ascii="Book Antiqua" w:eastAsia="宋体" w:hAnsi="Book Antiqua"/>
          <w:kern w:val="2"/>
          <w:lang w:val="en-US" w:eastAsia="zh-CN"/>
        </w:rPr>
        <w:t xml:space="preserve"> M, </w:t>
      </w:r>
      <w:proofErr w:type="spellStart"/>
      <w:r w:rsidRPr="00A6256F">
        <w:rPr>
          <w:rFonts w:ascii="Book Antiqua" w:eastAsia="宋体" w:hAnsi="Book Antiqua"/>
          <w:kern w:val="2"/>
          <w:lang w:val="en-US" w:eastAsia="zh-CN"/>
        </w:rPr>
        <w:t>Ricardi</w:t>
      </w:r>
      <w:proofErr w:type="spellEnd"/>
      <w:r w:rsidRPr="00A6256F">
        <w:rPr>
          <w:rFonts w:ascii="Book Antiqua" w:eastAsia="宋体" w:hAnsi="Book Antiqua"/>
          <w:kern w:val="2"/>
          <w:lang w:val="en-US" w:eastAsia="zh-CN"/>
        </w:rPr>
        <w:t xml:space="preserve"> U, </w:t>
      </w:r>
      <w:proofErr w:type="spellStart"/>
      <w:r w:rsidRPr="00A6256F">
        <w:rPr>
          <w:rFonts w:ascii="Book Antiqua" w:eastAsia="宋体" w:hAnsi="Book Antiqua"/>
          <w:kern w:val="2"/>
          <w:lang w:val="en-US" w:eastAsia="zh-CN"/>
        </w:rPr>
        <w:t>Milanesi</w:t>
      </w:r>
      <w:proofErr w:type="spellEnd"/>
      <w:r w:rsidRPr="00A6256F">
        <w:rPr>
          <w:rFonts w:ascii="Book Antiqua" w:eastAsia="宋体" w:hAnsi="Book Antiqua"/>
          <w:kern w:val="2"/>
          <w:lang w:val="en-US" w:eastAsia="zh-CN"/>
        </w:rPr>
        <w:t xml:space="preserve"> E, Cassoni P, </w:t>
      </w:r>
      <w:proofErr w:type="spellStart"/>
      <w:r w:rsidRPr="00A6256F">
        <w:rPr>
          <w:rFonts w:ascii="Book Antiqua" w:eastAsia="宋体" w:hAnsi="Book Antiqua"/>
          <w:kern w:val="2"/>
          <w:lang w:val="en-US" w:eastAsia="zh-CN"/>
        </w:rPr>
        <w:t>Baccega</w:t>
      </w:r>
      <w:proofErr w:type="spellEnd"/>
      <w:r w:rsidRPr="00A6256F">
        <w:rPr>
          <w:rFonts w:ascii="Book Antiqua" w:eastAsia="宋体" w:hAnsi="Book Antiqua"/>
          <w:kern w:val="2"/>
          <w:lang w:val="en-US" w:eastAsia="zh-CN"/>
        </w:rPr>
        <w:t xml:space="preserve"> M, </w:t>
      </w:r>
      <w:proofErr w:type="spellStart"/>
      <w:r w:rsidRPr="00A6256F">
        <w:rPr>
          <w:rFonts w:ascii="Book Antiqua" w:eastAsia="宋体" w:hAnsi="Book Antiqua"/>
          <w:kern w:val="2"/>
          <w:lang w:val="en-US" w:eastAsia="zh-CN"/>
        </w:rPr>
        <w:t>Filippini</w:t>
      </w:r>
      <w:proofErr w:type="spellEnd"/>
      <w:r w:rsidRPr="00A6256F">
        <w:rPr>
          <w:rFonts w:ascii="Book Antiqua" w:eastAsia="宋体" w:hAnsi="Book Antiqua"/>
          <w:kern w:val="2"/>
          <w:lang w:val="en-US" w:eastAsia="zh-CN"/>
        </w:rPr>
        <w:t xml:space="preserve"> C, </w:t>
      </w:r>
      <w:proofErr w:type="spellStart"/>
      <w:r w:rsidRPr="00A6256F">
        <w:rPr>
          <w:rFonts w:ascii="Book Antiqua" w:eastAsia="宋体" w:hAnsi="Book Antiqua"/>
          <w:kern w:val="2"/>
          <w:lang w:val="en-US" w:eastAsia="zh-CN"/>
        </w:rPr>
        <w:t>Racca</w:t>
      </w:r>
      <w:proofErr w:type="spellEnd"/>
      <w:r w:rsidRPr="00A6256F">
        <w:rPr>
          <w:rFonts w:ascii="Book Antiqua" w:eastAsia="宋体" w:hAnsi="Book Antiqua"/>
          <w:kern w:val="2"/>
          <w:lang w:val="en-US" w:eastAsia="zh-CN"/>
        </w:rPr>
        <w:t xml:space="preserve"> P, </w:t>
      </w:r>
      <w:proofErr w:type="spellStart"/>
      <w:r w:rsidRPr="00A6256F">
        <w:rPr>
          <w:rFonts w:ascii="Book Antiqua" w:eastAsia="宋体" w:hAnsi="Book Antiqua"/>
          <w:kern w:val="2"/>
          <w:lang w:val="en-US" w:eastAsia="zh-CN"/>
        </w:rPr>
        <w:t>Lesca</w:t>
      </w:r>
      <w:proofErr w:type="spellEnd"/>
      <w:r w:rsidRPr="00A6256F">
        <w:rPr>
          <w:rFonts w:ascii="Book Antiqua" w:eastAsia="宋体" w:hAnsi="Book Antiqua"/>
          <w:kern w:val="2"/>
          <w:lang w:val="en-US" w:eastAsia="zh-CN"/>
        </w:rPr>
        <w:t xml:space="preserve"> A, Munoz FH, Fora G, </w:t>
      </w:r>
      <w:proofErr w:type="spellStart"/>
      <w:r w:rsidRPr="00A6256F">
        <w:rPr>
          <w:rFonts w:ascii="Book Antiqua" w:eastAsia="宋体" w:hAnsi="Book Antiqua"/>
          <w:kern w:val="2"/>
          <w:lang w:val="en-US" w:eastAsia="zh-CN"/>
        </w:rPr>
        <w:t>Skanjeti</w:t>
      </w:r>
      <w:proofErr w:type="spellEnd"/>
      <w:r w:rsidRPr="00A6256F">
        <w:rPr>
          <w:rFonts w:ascii="Book Antiqua" w:eastAsia="宋体" w:hAnsi="Book Antiqua"/>
          <w:kern w:val="2"/>
          <w:lang w:val="en-US" w:eastAsia="zh-CN"/>
        </w:rPr>
        <w:t xml:space="preserve"> A, </w:t>
      </w:r>
      <w:proofErr w:type="spellStart"/>
      <w:r w:rsidRPr="00A6256F">
        <w:rPr>
          <w:rFonts w:ascii="Book Antiqua" w:eastAsia="宋体" w:hAnsi="Book Antiqua"/>
          <w:kern w:val="2"/>
          <w:lang w:val="en-US" w:eastAsia="zh-CN"/>
        </w:rPr>
        <w:t>Cravero</w:t>
      </w:r>
      <w:proofErr w:type="spellEnd"/>
      <w:r w:rsidRPr="00A6256F">
        <w:rPr>
          <w:rFonts w:ascii="Book Antiqua" w:eastAsia="宋体" w:hAnsi="Book Antiqua"/>
          <w:kern w:val="2"/>
          <w:lang w:val="en-US" w:eastAsia="zh-CN"/>
        </w:rPr>
        <w:t xml:space="preserve"> F, </w:t>
      </w:r>
      <w:proofErr w:type="spellStart"/>
      <w:r w:rsidRPr="00A6256F">
        <w:rPr>
          <w:rFonts w:ascii="Book Antiqua" w:eastAsia="宋体" w:hAnsi="Book Antiqua"/>
          <w:kern w:val="2"/>
          <w:lang w:val="en-US" w:eastAsia="zh-CN"/>
        </w:rPr>
        <w:t>Morino</w:t>
      </w:r>
      <w:proofErr w:type="spellEnd"/>
      <w:r w:rsidRPr="00A6256F">
        <w:rPr>
          <w:rFonts w:ascii="Book Antiqua" w:eastAsia="宋体" w:hAnsi="Book Antiqua"/>
          <w:kern w:val="2"/>
          <w:lang w:val="en-US" w:eastAsia="zh-CN"/>
        </w:rPr>
        <w:t xml:space="preserve"> M. Role of positron emission tomography-computed tomography in the management of anal cancer. </w:t>
      </w:r>
      <w:r w:rsidRPr="00A6256F">
        <w:rPr>
          <w:rFonts w:ascii="Book Antiqua" w:eastAsia="宋体" w:hAnsi="Book Antiqua"/>
          <w:i/>
          <w:kern w:val="2"/>
          <w:lang w:val="en-US" w:eastAsia="zh-CN"/>
        </w:rPr>
        <w:t xml:space="preserve">Int J </w:t>
      </w:r>
      <w:proofErr w:type="spellStart"/>
      <w:r w:rsidRPr="00A6256F">
        <w:rPr>
          <w:rFonts w:ascii="Book Antiqua" w:eastAsia="宋体" w:hAnsi="Book Antiqua"/>
          <w:i/>
          <w:kern w:val="2"/>
          <w:lang w:val="en-US" w:eastAsia="zh-CN"/>
        </w:rPr>
        <w:t>Radiat</w:t>
      </w:r>
      <w:proofErr w:type="spellEnd"/>
      <w:r w:rsidRPr="00A6256F">
        <w:rPr>
          <w:rFonts w:ascii="Book Antiqua" w:eastAsia="宋体" w:hAnsi="Book Antiqua"/>
          <w:i/>
          <w:kern w:val="2"/>
          <w:lang w:val="en-US" w:eastAsia="zh-CN"/>
        </w:rPr>
        <w:t xml:space="preserve"> Oncol Biol Phys</w:t>
      </w:r>
      <w:r w:rsidRPr="00A6256F">
        <w:rPr>
          <w:rFonts w:ascii="Book Antiqua" w:eastAsia="宋体" w:hAnsi="Book Antiqua"/>
          <w:kern w:val="2"/>
          <w:lang w:val="en-US" w:eastAsia="zh-CN"/>
        </w:rPr>
        <w:t xml:space="preserve"> 2012; </w:t>
      </w:r>
      <w:r w:rsidRPr="00A6256F">
        <w:rPr>
          <w:rFonts w:ascii="Book Antiqua" w:eastAsia="宋体" w:hAnsi="Book Antiqua"/>
          <w:b/>
          <w:kern w:val="2"/>
          <w:lang w:val="en-US" w:eastAsia="zh-CN"/>
        </w:rPr>
        <w:t>84</w:t>
      </w:r>
      <w:r w:rsidRPr="00A6256F">
        <w:rPr>
          <w:rFonts w:ascii="Book Antiqua" w:eastAsia="宋体" w:hAnsi="Book Antiqua"/>
          <w:kern w:val="2"/>
          <w:lang w:val="en-US" w:eastAsia="zh-CN"/>
        </w:rPr>
        <w:t>: 66-72 [PMID: 22592047 DOI: 10.1016/j.ijrobp.2011.10.048]</w:t>
      </w:r>
    </w:p>
    <w:p w14:paraId="77B28FDD"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33 </w:t>
      </w:r>
      <w:r w:rsidRPr="0067726F">
        <w:rPr>
          <w:rFonts w:ascii="Book Antiqua" w:eastAsia="宋体" w:hAnsi="Book Antiqua"/>
          <w:b/>
          <w:kern w:val="2"/>
          <w:lang w:val="en-US" w:eastAsia="zh-CN"/>
        </w:rPr>
        <w:t>Whitman GJ</w:t>
      </w:r>
      <w:r w:rsidRPr="00A6256F">
        <w:rPr>
          <w:rFonts w:ascii="Book Antiqua" w:eastAsia="宋体" w:hAnsi="Book Antiqua"/>
          <w:kern w:val="2"/>
          <w:lang w:val="en-US" w:eastAsia="zh-CN"/>
        </w:rPr>
        <w:t xml:space="preserve">. </w:t>
      </w:r>
      <w:bookmarkStart w:id="98" w:name="OLE_LINK56"/>
      <w:bookmarkStart w:id="99" w:name="OLE_LINK57"/>
      <w:r w:rsidRPr="00A6256F">
        <w:rPr>
          <w:rFonts w:ascii="Book Antiqua" w:eastAsia="宋体" w:hAnsi="Book Antiqua"/>
          <w:kern w:val="2"/>
          <w:lang w:val="en-US" w:eastAsia="zh-CN"/>
        </w:rPr>
        <w:t>1–15 Early Prediction of Response to Chemotherapy in Metastatic Breast Cancer Using Sequential 18F-FDG PET</w:t>
      </w:r>
      <w:bookmarkEnd w:id="98"/>
      <w:bookmarkEnd w:id="99"/>
      <w:r w:rsidRPr="00A6256F">
        <w:rPr>
          <w:rFonts w:ascii="Book Antiqua" w:eastAsia="宋体" w:hAnsi="Book Antiqua"/>
          <w:kern w:val="2"/>
          <w:lang w:val="en-US" w:eastAsia="zh-CN"/>
        </w:rPr>
        <w:t xml:space="preserve">. </w:t>
      </w:r>
      <w:r w:rsidRPr="00A6256F">
        <w:rPr>
          <w:rFonts w:ascii="Book Antiqua" w:eastAsia="宋体" w:hAnsi="Book Antiqua"/>
          <w:i/>
          <w:kern w:val="2"/>
          <w:lang w:val="en-US" w:eastAsia="zh-CN"/>
        </w:rPr>
        <w:t>Breast Diseases: A Year Book Quarterly</w:t>
      </w:r>
      <w:r w:rsidRPr="00A6256F">
        <w:rPr>
          <w:rFonts w:ascii="Book Antiqua" w:eastAsia="宋体" w:hAnsi="Book Antiqua"/>
          <w:kern w:val="2"/>
          <w:lang w:val="en-US" w:eastAsia="zh-CN"/>
        </w:rPr>
        <w:t xml:space="preserve"> 2007; </w:t>
      </w:r>
      <w:r w:rsidRPr="00A6256F">
        <w:rPr>
          <w:rFonts w:ascii="Book Antiqua" w:eastAsia="宋体" w:hAnsi="Book Antiqua"/>
          <w:b/>
          <w:kern w:val="2"/>
          <w:lang w:val="en-US" w:eastAsia="zh-CN"/>
        </w:rPr>
        <w:t>18</w:t>
      </w:r>
      <w:r w:rsidRPr="00A6256F">
        <w:rPr>
          <w:rFonts w:ascii="Book Antiqua" w:eastAsia="宋体" w:hAnsi="Book Antiqua"/>
          <w:kern w:val="2"/>
          <w:lang w:val="en-US" w:eastAsia="zh-CN"/>
        </w:rPr>
        <w:t>: 41-42 [</w:t>
      </w:r>
      <w:bookmarkStart w:id="100" w:name="OLE_LINK54"/>
      <w:bookmarkStart w:id="101" w:name="OLE_LINK55"/>
      <w:r w:rsidRPr="00A6256F">
        <w:rPr>
          <w:rFonts w:ascii="Book Antiqua" w:eastAsia="宋体" w:hAnsi="Book Antiqua"/>
          <w:kern w:val="2"/>
          <w:lang w:val="en-US" w:eastAsia="zh-CN"/>
        </w:rPr>
        <w:t>DOI: 10.1016/S1043-321</w:t>
      </w:r>
      <w:proofErr w:type="gramStart"/>
      <w:r w:rsidRPr="00A6256F">
        <w:rPr>
          <w:rFonts w:ascii="Book Antiqua" w:eastAsia="宋体" w:hAnsi="Book Antiqua"/>
          <w:kern w:val="2"/>
          <w:lang w:val="en-US" w:eastAsia="zh-CN"/>
        </w:rPr>
        <w:t>X(</w:t>
      </w:r>
      <w:proofErr w:type="gramEnd"/>
      <w:r w:rsidRPr="00A6256F">
        <w:rPr>
          <w:rFonts w:ascii="Book Antiqua" w:eastAsia="宋体" w:hAnsi="Book Antiqua"/>
          <w:kern w:val="2"/>
          <w:lang w:val="en-US" w:eastAsia="zh-CN"/>
        </w:rPr>
        <w:t>07)80025-7</w:t>
      </w:r>
      <w:bookmarkEnd w:id="100"/>
      <w:bookmarkEnd w:id="101"/>
      <w:r w:rsidRPr="00A6256F">
        <w:rPr>
          <w:rFonts w:ascii="Book Antiqua" w:eastAsia="宋体" w:hAnsi="Book Antiqua"/>
          <w:kern w:val="2"/>
          <w:lang w:val="en-US" w:eastAsia="zh-CN"/>
        </w:rPr>
        <w:t>]</w:t>
      </w:r>
    </w:p>
    <w:p w14:paraId="6B8C023F" w14:textId="722DA5E0" w:rsidR="00793E90" w:rsidRPr="00A7250C" w:rsidRDefault="00A6256F" w:rsidP="00A7250C">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34 </w:t>
      </w:r>
      <w:r w:rsidRPr="00A6256F">
        <w:rPr>
          <w:rFonts w:ascii="Book Antiqua" w:eastAsia="宋体" w:hAnsi="Book Antiqua"/>
          <w:b/>
          <w:kern w:val="2"/>
          <w:lang w:val="en-US" w:eastAsia="zh-CN"/>
        </w:rPr>
        <w:t>Galt RH</w:t>
      </w:r>
      <w:r w:rsidRPr="00A6256F">
        <w:rPr>
          <w:rFonts w:ascii="Book Antiqua" w:eastAsia="宋体" w:hAnsi="Book Antiqua"/>
          <w:kern w:val="2"/>
          <w:lang w:val="en-US" w:eastAsia="zh-CN"/>
        </w:rPr>
        <w:t xml:space="preserve">. The opiate anomalies--another possible explanation? </w:t>
      </w:r>
      <w:r w:rsidRPr="00A6256F">
        <w:rPr>
          <w:rFonts w:ascii="Book Antiqua" w:eastAsia="宋体" w:hAnsi="Book Antiqua"/>
          <w:i/>
          <w:kern w:val="2"/>
          <w:lang w:val="en-US" w:eastAsia="zh-CN"/>
        </w:rPr>
        <w:t xml:space="preserve">J Pharm </w:t>
      </w:r>
      <w:proofErr w:type="spellStart"/>
      <w:r w:rsidRPr="00A6256F">
        <w:rPr>
          <w:rFonts w:ascii="Book Antiqua" w:eastAsia="宋体" w:hAnsi="Book Antiqua"/>
          <w:i/>
          <w:kern w:val="2"/>
          <w:lang w:val="en-US" w:eastAsia="zh-CN"/>
        </w:rPr>
        <w:t>Pharmacol</w:t>
      </w:r>
      <w:proofErr w:type="spellEnd"/>
      <w:r w:rsidRPr="00A6256F">
        <w:rPr>
          <w:rFonts w:ascii="Book Antiqua" w:eastAsia="宋体" w:hAnsi="Book Antiqua"/>
          <w:kern w:val="2"/>
          <w:lang w:val="en-US" w:eastAsia="zh-CN"/>
        </w:rPr>
        <w:t xml:space="preserve"> 1977; </w:t>
      </w:r>
      <w:r w:rsidRPr="00A6256F">
        <w:rPr>
          <w:rFonts w:ascii="Book Antiqua" w:eastAsia="宋体" w:hAnsi="Book Antiqua"/>
          <w:b/>
          <w:kern w:val="2"/>
          <w:lang w:val="en-US" w:eastAsia="zh-CN"/>
        </w:rPr>
        <w:t>29</w:t>
      </w:r>
      <w:r w:rsidRPr="00A6256F">
        <w:rPr>
          <w:rFonts w:ascii="Book Antiqua" w:eastAsia="宋体" w:hAnsi="Book Antiqua"/>
          <w:kern w:val="2"/>
          <w:lang w:val="en-US" w:eastAsia="zh-CN"/>
        </w:rPr>
        <w:t>: 711-714 [PMID: 22614 DOI: 10.1097/RLU.0b013e318239245d]</w:t>
      </w:r>
      <w:bookmarkEnd w:id="90"/>
      <w:bookmarkEnd w:id="91"/>
      <w:r w:rsidR="00793E90" w:rsidRPr="00793E90">
        <w:rPr>
          <w:rFonts w:ascii="Book Antiqua" w:hAnsi="Book Antiqua"/>
          <w:b/>
          <w:lang w:val="en-GB"/>
        </w:rPr>
        <w:br w:type="page"/>
      </w:r>
    </w:p>
    <w:p w14:paraId="753F1176" w14:textId="77777777" w:rsidR="00793E90" w:rsidRPr="00793E90" w:rsidRDefault="00793E90" w:rsidP="00793E90">
      <w:pPr>
        <w:adjustRightInd w:val="0"/>
        <w:snapToGrid w:val="0"/>
        <w:spacing w:after="0" w:line="360" w:lineRule="auto"/>
        <w:jc w:val="both"/>
        <w:rPr>
          <w:rFonts w:ascii="Book Antiqua" w:hAnsi="Book Antiqua"/>
          <w:b/>
          <w:lang w:val="en-GB"/>
        </w:rPr>
      </w:pPr>
      <w:r w:rsidRPr="00793E90">
        <w:rPr>
          <w:rFonts w:ascii="Book Antiqua" w:hAnsi="Book Antiqua"/>
          <w:b/>
          <w:lang w:val="en-GB"/>
        </w:rPr>
        <w:lastRenderedPageBreak/>
        <w:t>Footnotes</w:t>
      </w:r>
    </w:p>
    <w:p w14:paraId="0F8DCF56" w14:textId="77777777" w:rsidR="00793E90" w:rsidRPr="00793E90" w:rsidRDefault="00793E90" w:rsidP="00793E90">
      <w:pPr>
        <w:adjustRightInd w:val="0"/>
        <w:snapToGrid w:val="0"/>
        <w:spacing w:after="0" w:line="360" w:lineRule="auto"/>
        <w:jc w:val="both"/>
        <w:rPr>
          <w:rFonts w:ascii="Book Antiqua" w:hAnsi="Book Antiqua"/>
          <w:lang w:val="en-GB"/>
        </w:rPr>
      </w:pPr>
      <w:r w:rsidRPr="00793E90">
        <w:rPr>
          <w:rFonts w:ascii="Book Antiqua" w:hAnsi="Book Antiqua"/>
          <w:b/>
          <w:lang w:val="en-GB"/>
        </w:rPr>
        <w:t xml:space="preserve">Institutional review board statement: </w:t>
      </w:r>
      <w:r w:rsidRPr="00793E90">
        <w:rPr>
          <w:rFonts w:ascii="Book Antiqua" w:hAnsi="Book Antiqua"/>
          <w:lang w:val="en-GB"/>
        </w:rPr>
        <w:t xml:space="preserve">This study was reviewed and approved by the Hospital Ethics Committee of Rennes (n° 19.38) on April 4, 2019. </w:t>
      </w:r>
    </w:p>
    <w:p w14:paraId="4E57C645" w14:textId="77777777" w:rsidR="00793E90" w:rsidRPr="00793E90" w:rsidRDefault="00793E90" w:rsidP="00793E90">
      <w:pPr>
        <w:adjustRightInd w:val="0"/>
        <w:snapToGrid w:val="0"/>
        <w:spacing w:after="0" w:line="360" w:lineRule="auto"/>
        <w:jc w:val="both"/>
        <w:rPr>
          <w:rFonts w:ascii="Book Antiqua" w:hAnsi="Book Antiqua"/>
          <w:lang w:val="en-GB"/>
        </w:rPr>
      </w:pPr>
    </w:p>
    <w:p w14:paraId="185E2F78" w14:textId="77777777" w:rsidR="00793E90" w:rsidRPr="00793E90" w:rsidRDefault="00793E90" w:rsidP="00793E90">
      <w:pPr>
        <w:adjustRightInd w:val="0"/>
        <w:snapToGrid w:val="0"/>
        <w:spacing w:after="0" w:line="360" w:lineRule="auto"/>
        <w:jc w:val="both"/>
        <w:rPr>
          <w:rFonts w:ascii="Book Antiqua" w:hAnsi="Book Antiqua"/>
          <w:lang w:val="en-GB"/>
        </w:rPr>
      </w:pPr>
      <w:r w:rsidRPr="00793E90">
        <w:rPr>
          <w:rFonts w:ascii="Book Antiqua" w:hAnsi="Book Antiqua"/>
          <w:b/>
          <w:lang w:val="en-GB"/>
        </w:rPr>
        <w:t>Informed consent statement</w:t>
      </w:r>
      <w:r w:rsidRPr="00793E90">
        <w:rPr>
          <w:rFonts w:ascii="Book Antiqua" w:hAnsi="Book Antiqua"/>
          <w:lang w:val="en-GB"/>
        </w:rPr>
        <w:t xml:space="preserve">: Patients were informed and did not </w:t>
      </w:r>
      <w:r w:rsidRPr="00793E90">
        <w:rPr>
          <w:rFonts w:ascii="Book Antiqua" w:eastAsia="Calibri" w:hAnsi="Book Antiqua"/>
          <w:lang w:val="en-GB"/>
        </w:rPr>
        <w:t>express</w:t>
      </w:r>
      <w:r w:rsidRPr="00793E90">
        <w:rPr>
          <w:rFonts w:ascii="Book Antiqua" w:hAnsi="Book Antiqua"/>
          <w:lang w:val="en-GB"/>
        </w:rPr>
        <w:t xml:space="preserve"> their opposition to participate in the study.</w:t>
      </w:r>
    </w:p>
    <w:p w14:paraId="704FBF5F" w14:textId="77777777" w:rsidR="00793E90" w:rsidRPr="00793E90" w:rsidRDefault="00793E90" w:rsidP="00793E90">
      <w:pPr>
        <w:adjustRightInd w:val="0"/>
        <w:snapToGrid w:val="0"/>
        <w:spacing w:after="0" w:line="360" w:lineRule="auto"/>
        <w:jc w:val="both"/>
        <w:rPr>
          <w:rFonts w:ascii="Book Antiqua" w:hAnsi="Book Antiqua"/>
          <w:lang w:val="en-GB"/>
        </w:rPr>
      </w:pPr>
    </w:p>
    <w:p w14:paraId="3E6D82DE" w14:textId="77777777" w:rsidR="00793E90" w:rsidRPr="00793E90" w:rsidRDefault="00793E90" w:rsidP="00793E90">
      <w:pPr>
        <w:adjustRightInd w:val="0"/>
        <w:snapToGrid w:val="0"/>
        <w:spacing w:after="0" w:line="360" w:lineRule="auto"/>
        <w:jc w:val="both"/>
        <w:rPr>
          <w:rFonts w:ascii="Book Antiqua" w:hAnsi="Book Antiqua"/>
          <w:color w:val="000000" w:themeColor="text1"/>
          <w:lang w:val="en-GB"/>
        </w:rPr>
      </w:pPr>
      <w:r w:rsidRPr="00793E90">
        <w:rPr>
          <w:rFonts w:ascii="Book Antiqua" w:hAnsi="Book Antiqua"/>
          <w:b/>
          <w:bCs/>
          <w:iCs/>
          <w:color w:val="000000" w:themeColor="text1"/>
          <w:lang w:val="en-US" w:eastAsia="zh-CN"/>
        </w:rPr>
        <w:t xml:space="preserve">Conflict-of-interest statement: </w:t>
      </w:r>
      <w:proofErr w:type="spellStart"/>
      <w:r w:rsidRPr="00793E90">
        <w:rPr>
          <w:rFonts w:ascii="Book Antiqua" w:hAnsi="Book Antiqua"/>
          <w:color w:val="000000" w:themeColor="text1"/>
          <w:lang w:val="en-GB"/>
        </w:rPr>
        <w:t>Charlène</w:t>
      </w:r>
      <w:proofErr w:type="spellEnd"/>
      <w:r w:rsidRPr="00793E90">
        <w:rPr>
          <w:rFonts w:ascii="Book Antiqua" w:hAnsi="Book Antiqua"/>
          <w:color w:val="000000" w:themeColor="text1"/>
          <w:lang w:val="en-GB"/>
        </w:rPr>
        <w:t xml:space="preserve"> </w:t>
      </w:r>
      <w:proofErr w:type="spellStart"/>
      <w:r w:rsidRPr="00793E90">
        <w:rPr>
          <w:rFonts w:ascii="Book Antiqua" w:hAnsi="Book Antiqua"/>
          <w:color w:val="000000" w:themeColor="text1"/>
          <w:lang w:val="en-GB"/>
        </w:rPr>
        <w:t>Brochard</w:t>
      </w:r>
      <w:proofErr w:type="spellEnd"/>
      <w:r w:rsidRPr="00793E90">
        <w:rPr>
          <w:rFonts w:ascii="Book Antiqua" w:hAnsi="Book Antiqua"/>
          <w:color w:val="000000" w:themeColor="text1"/>
          <w:lang w:val="en-GB"/>
        </w:rPr>
        <w:t xml:space="preserve"> received lecture fees from Ipsen. Laurent </w:t>
      </w:r>
      <w:proofErr w:type="spellStart"/>
      <w:r w:rsidRPr="00793E90">
        <w:rPr>
          <w:rFonts w:ascii="Book Antiqua" w:hAnsi="Book Antiqua"/>
          <w:color w:val="000000" w:themeColor="text1"/>
          <w:lang w:val="en-GB"/>
        </w:rPr>
        <w:t>Siproudhis</w:t>
      </w:r>
      <w:proofErr w:type="spellEnd"/>
      <w:r w:rsidRPr="00793E90">
        <w:rPr>
          <w:rFonts w:ascii="Book Antiqua" w:hAnsi="Book Antiqua"/>
          <w:color w:val="000000" w:themeColor="text1"/>
          <w:lang w:val="en-GB"/>
        </w:rPr>
        <w:t xml:space="preserve"> received lecture fees from </w:t>
      </w:r>
      <w:proofErr w:type="spellStart"/>
      <w:r w:rsidRPr="00793E90">
        <w:rPr>
          <w:rFonts w:ascii="Book Antiqua" w:hAnsi="Book Antiqua"/>
          <w:color w:val="000000" w:themeColor="text1"/>
          <w:lang w:val="en-GB"/>
        </w:rPr>
        <w:t>Abbvie</w:t>
      </w:r>
      <w:proofErr w:type="spellEnd"/>
      <w:r w:rsidRPr="00793E90">
        <w:rPr>
          <w:rFonts w:ascii="Book Antiqua" w:hAnsi="Book Antiqua"/>
          <w:color w:val="000000" w:themeColor="text1"/>
          <w:lang w:val="en-GB"/>
        </w:rPr>
        <w:t xml:space="preserve">, Ferring and MSD. Laurent </w:t>
      </w:r>
      <w:proofErr w:type="spellStart"/>
      <w:r w:rsidRPr="00793E90">
        <w:rPr>
          <w:rFonts w:ascii="Book Antiqua" w:hAnsi="Book Antiqua"/>
          <w:color w:val="000000" w:themeColor="text1"/>
          <w:lang w:val="en-GB"/>
        </w:rPr>
        <w:t>Siproudhis</w:t>
      </w:r>
      <w:proofErr w:type="spellEnd"/>
      <w:r w:rsidRPr="00793E90">
        <w:rPr>
          <w:rFonts w:ascii="Book Antiqua" w:hAnsi="Book Antiqua"/>
          <w:color w:val="000000" w:themeColor="text1"/>
          <w:lang w:val="en-GB"/>
        </w:rPr>
        <w:t xml:space="preserve"> received consultant fees from Takeda and Ferring. Others have no conflicts of interest.</w:t>
      </w:r>
    </w:p>
    <w:p w14:paraId="0A4252F2" w14:textId="77777777" w:rsidR="00793E90" w:rsidRPr="00793E90" w:rsidRDefault="00793E90" w:rsidP="00793E90">
      <w:pPr>
        <w:adjustRightInd w:val="0"/>
        <w:snapToGrid w:val="0"/>
        <w:spacing w:after="0" w:line="360" w:lineRule="auto"/>
        <w:jc w:val="both"/>
        <w:rPr>
          <w:rFonts w:ascii="Book Antiqua" w:hAnsi="Book Antiqua"/>
          <w:b/>
          <w:bCs/>
          <w:iCs/>
          <w:color w:val="FF0000"/>
          <w:lang w:val="en-US" w:eastAsia="zh-CN"/>
        </w:rPr>
      </w:pPr>
    </w:p>
    <w:p w14:paraId="2D74CEA7" w14:textId="77777777" w:rsidR="00793E90" w:rsidRPr="00793E90" w:rsidRDefault="00793E90" w:rsidP="00793E90">
      <w:pPr>
        <w:adjustRightInd w:val="0"/>
        <w:snapToGrid w:val="0"/>
        <w:spacing w:after="0" w:line="360" w:lineRule="auto"/>
        <w:jc w:val="both"/>
        <w:rPr>
          <w:rFonts w:ascii="Book Antiqua" w:hAnsi="Book Antiqua"/>
          <w:b/>
          <w:bCs/>
          <w:iCs/>
          <w:color w:val="000000" w:themeColor="text1"/>
          <w:lang w:val="en-US" w:eastAsia="zh-CN"/>
        </w:rPr>
      </w:pPr>
      <w:bookmarkStart w:id="102" w:name="OLE_LINK824"/>
      <w:bookmarkStart w:id="103" w:name="OLE_LINK825"/>
      <w:bookmarkStart w:id="104" w:name="OLE_LINK2"/>
      <w:bookmarkStart w:id="105" w:name="OLE_LINK5"/>
      <w:bookmarkStart w:id="106" w:name="OLE_LINK587"/>
      <w:bookmarkStart w:id="107" w:name="OLE_LINK765"/>
      <w:bookmarkStart w:id="108" w:name="OLE_LINK186"/>
      <w:r w:rsidRPr="00793E90">
        <w:rPr>
          <w:rFonts w:ascii="Book Antiqua" w:hAnsi="Book Antiqua"/>
          <w:b/>
          <w:bCs/>
          <w:iCs/>
          <w:color w:val="000000" w:themeColor="text1"/>
          <w:lang w:val="en-US" w:eastAsia="zh-CN"/>
        </w:rPr>
        <w:t>Data sharing statement:</w:t>
      </w:r>
      <w:bookmarkEnd w:id="102"/>
      <w:bookmarkEnd w:id="103"/>
      <w:r w:rsidRPr="00793E90">
        <w:rPr>
          <w:rFonts w:ascii="Book Antiqua" w:hAnsi="Book Antiqua"/>
          <w:b/>
          <w:bCs/>
          <w:iCs/>
          <w:color w:val="000000" w:themeColor="text1"/>
          <w:lang w:val="en-US" w:eastAsia="zh-CN"/>
        </w:rPr>
        <w:t xml:space="preserve"> </w:t>
      </w:r>
      <w:bookmarkEnd w:id="104"/>
      <w:bookmarkEnd w:id="105"/>
      <w:r w:rsidRPr="00793E90">
        <w:rPr>
          <w:rFonts w:ascii="Book Antiqua" w:hAnsi="Book Antiqua"/>
          <w:iCs/>
          <w:color w:val="000000" w:themeColor="text1"/>
          <w:lang w:val="en-US" w:eastAsia="zh-CN"/>
        </w:rPr>
        <w:t>Not applicable.</w:t>
      </w:r>
    </w:p>
    <w:bookmarkEnd w:id="106"/>
    <w:bookmarkEnd w:id="107"/>
    <w:bookmarkEnd w:id="108"/>
    <w:p w14:paraId="7528B41B" w14:textId="77777777" w:rsidR="00793E90" w:rsidRPr="00793E90" w:rsidRDefault="00793E90" w:rsidP="00793E90">
      <w:pPr>
        <w:adjustRightInd w:val="0"/>
        <w:snapToGrid w:val="0"/>
        <w:spacing w:after="0" w:line="360" w:lineRule="auto"/>
        <w:jc w:val="both"/>
        <w:rPr>
          <w:rFonts w:ascii="Book Antiqua" w:hAnsi="Book Antiqua"/>
          <w:lang w:val="en-GB"/>
        </w:rPr>
      </w:pPr>
    </w:p>
    <w:p w14:paraId="4DBA9671" w14:textId="05B08672" w:rsidR="00793E90" w:rsidRDefault="0068142C" w:rsidP="00793E90">
      <w:pPr>
        <w:adjustRightInd w:val="0"/>
        <w:snapToGrid w:val="0"/>
        <w:spacing w:after="0" w:line="360" w:lineRule="auto"/>
        <w:jc w:val="both"/>
        <w:rPr>
          <w:rFonts w:ascii="Book Antiqua" w:eastAsia="等线" w:hAnsi="Book Antiqua"/>
          <w:color w:val="000000"/>
          <w:lang w:eastAsia="zh-CN"/>
        </w:rPr>
      </w:pPr>
      <w:r w:rsidRPr="0068142C">
        <w:rPr>
          <w:rFonts w:ascii="Book Antiqua" w:hAnsi="Book Antiqua"/>
          <w:b/>
          <w:color w:val="000000"/>
        </w:rPr>
        <w:t>Open-Access:</w:t>
      </w:r>
      <w:r w:rsidRPr="0068142C">
        <w:rPr>
          <w:rFonts w:ascii="Book Antiqua" w:hAnsi="Book Antiqua"/>
          <w:color w:val="000000"/>
        </w:rPr>
        <w:t xml:space="preserve"> This article is an open-access </w:t>
      </w:r>
      <w:r w:rsidRPr="0068142C">
        <w:rPr>
          <w:rFonts w:ascii="Book Antiqua" w:hAnsi="Book Antiqua"/>
        </w:rPr>
        <w:t xml:space="preserve">article that was selected </w:t>
      </w:r>
      <w:r w:rsidRPr="0068142C">
        <w:rPr>
          <w:rFonts w:ascii="Book Antiqua" w:hAnsi="Book Antiqua"/>
          <w:color w:val="000000"/>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0226D13" w14:textId="77777777" w:rsidR="0068142C" w:rsidRPr="0068142C" w:rsidRDefault="0068142C" w:rsidP="00793E90">
      <w:pPr>
        <w:adjustRightInd w:val="0"/>
        <w:snapToGrid w:val="0"/>
        <w:spacing w:after="0" w:line="360" w:lineRule="auto"/>
        <w:jc w:val="both"/>
        <w:rPr>
          <w:rFonts w:ascii="Book Antiqua" w:eastAsia="等线" w:hAnsi="Book Antiqua"/>
          <w:b/>
          <w:lang w:val="en-US" w:eastAsia="zh-CN"/>
        </w:rPr>
      </w:pPr>
    </w:p>
    <w:p w14:paraId="1524B107" w14:textId="114E3573" w:rsidR="00793E90" w:rsidRDefault="00793E90" w:rsidP="00793E90">
      <w:pPr>
        <w:adjustRightInd w:val="0"/>
        <w:snapToGrid w:val="0"/>
        <w:spacing w:after="0" w:line="360" w:lineRule="auto"/>
        <w:jc w:val="both"/>
        <w:rPr>
          <w:rFonts w:ascii="Book Antiqua" w:eastAsia="等线" w:hAnsi="Book Antiqua"/>
          <w:color w:val="000000"/>
          <w:lang w:eastAsia="zh-CN"/>
        </w:rPr>
      </w:pPr>
      <w:r w:rsidRPr="00793E90">
        <w:rPr>
          <w:rFonts w:ascii="Book Antiqua" w:hAnsi="Book Antiqua"/>
          <w:b/>
          <w:lang w:val="en-GB"/>
        </w:rPr>
        <w:t>Manuscript source</w:t>
      </w:r>
      <w:r w:rsidRPr="00793E90">
        <w:rPr>
          <w:rFonts w:ascii="Book Antiqua" w:hAnsi="Book Antiqua"/>
          <w:lang w:val="en-GB"/>
        </w:rPr>
        <w:t xml:space="preserve">: </w:t>
      </w:r>
      <w:r w:rsidR="00611D93">
        <w:rPr>
          <w:rFonts w:ascii="Book Antiqua" w:hAnsi="Book Antiqua"/>
          <w:color w:val="000000"/>
          <w:lang w:eastAsia="pl-PL"/>
        </w:rPr>
        <w:t>Unsolicited manuscript</w:t>
      </w:r>
    </w:p>
    <w:p w14:paraId="006529BD" w14:textId="77777777" w:rsidR="00611D93" w:rsidRPr="00611D93" w:rsidRDefault="00611D93" w:rsidP="00793E90">
      <w:pPr>
        <w:adjustRightInd w:val="0"/>
        <w:snapToGrid w:val="0"/>
        <w:spacing w:after="0" w:line="360" w:lineRule="auto"/>
        <w:jc w:val="both"/>
        <w:rPr>
          <w:rFonts w:ascii="Book Antiqua" w:eastAsia="等线" w:hAnsi="Book Antiqua"/>
          <w:b/>
          <w:bCs/>
          <w:lang w:val="en-US" w:eastAsia="zh-CN"/>
        </w:rPr>
      </w:pPr>
    </w:p>
    <w:p w14:paraId="3BA8065A" w14:textId="0954F149" w:rsidR="00793E90" w:rsidRPr="00793E90" w:rsidRDefault="00793E90" w:rsidP="00793E90">
      <w:pPr>
        <w:adjustRightInd w:val="0"/>
        <w:snapToGrid w:val="0"/>
        <w:spacing w:after="0" w:line="360" w:lineRule="auto"/>
        <w:jc w:val="both"/>
        <w:rPr>
          <w:rFonts w:ascii="Book Antiqua" w:hAnsi="Book Antiqua"/>
          <w:lang w:val="en-GB"/>
        </w:rPr>
      </w:pPr>
      <w:r w:rsidRPr="00793E90">
        <w:rPr>
          <w:rFonts w:ascii="Book Antiqua" w:hAnsi="Book Antiqua"/>
          <w:b/>
          <w:bCs/>
          <w:lang w:val="en-US"/>
        </w:rPr>
        <w:t>Peer-review started:</w:t>
      </w:r>
      <w:r w:rsidR="0001325D">
        <w:rPr>
          <w:rFonts w:ascii="Book Antiqua" w:hAnsi="Book Antiqua"/>
          <w:lang w:val="en-US"/>
        </w:rPr>
        <w:t xml:space="preserve"> January </w:t>
      </w:r>
      <w:r w:rsidRPr="00793E90">
        <w:rPr>
          <w:rFonts w:ascii="Book Antiqua" w:hAnsi="Book Antiqua"/>
          <w:lang w:val="en-US"/>
        </w:rPr>
        <w:t>3, 2020</w:t>
      </w:r>
    </w:p>
    <w:p w14:paraId="38087600" w14:textId="77777777" w:rsidR="00793E90" w:rsidRPr="00793E90" w:rsidRDefault="00793E90" w:rsidP="00793E90">
      <w:pPr>
        <w:shd w:val="clear" w:color="auto" w:fill="FFFFFF"/>
        <w:adjustRightInd w:val="0"/>
        <w:snapToGrid w:val="0"/>
        <w:spacing w:after="0" w:line="360" w:lineRule="auto"/>
        <w:jc w:val="both"/>
        <w:rPr>
          <w:rFonts w:ascii="Book Antiqua" w:hAnsi="Book Antiqua"/>
          <w:lang w:val="en-US"/>
        </w:rPr>
      </w:pPr>
      <w:r w:rsidRPr="00793E90">
        <w:rPr>
          <w:rFonts w:ascii="Book Antiqua" w:hAnsi="Book Antiqua"/>
          <w:b/>
          <w:bCs/>
          <w:lang w:val="en-US"/>
        </w:rPr>
        <w:t>First decision:</w:t>
      </w:r>
      <w:r w:rsidRPr="00793E90">
        <w:rPr>
          <w:rFonts w:ascii="Book Antiqua" w:hAnsi="Book Antiqua"/>
          <w:lang w:val="en-US"/>
        </w:rPr>
        <w:t xml:space="preserve"> January 18, 2020</w:t>
      </w:r>
    </w:p>
    <w:p w14:paraId="37A3A688" w14:textId="77777777" w:rsidR="00793E90" w:rsidRPr="00793E90" w:rsidRDefault="00793E90" w:rsidP="00793E90">
      <w:pPr>
        <w:shd w:val="clear" w:color="auto" w:fill="FFFFFF"/>
        <w:adjustRightInd w:val="0"/>
        <w:snapToGrid w:val="0"/>
        <w:spacing w:after="0" w:line="360" w:lineRule="auto"/>
        <w:jc w:val="both"/>
        <w:rPr>
          <w:rFonts w:ascii="Book Antiqua" w:hAnsi="Book Antiqua"/>
          <w:b/>
          <w:bCs/>
          <w:lang w:val="en-US"/>
        </w:rPr>
      </w:pPr>
      <w:r w:rsidRPr="00793E90">
        <w:rPr>
          <w:rFonts w:ascii="Book Antiqua" w:hAnsi="Book Antiqua"/>
          <w:b/>
          <w:bCs/>
          <w:lang w:val="en-US"/>
        </w:rPr>
        <w:t xml:space="preserve">Article in press: </w:t>
      </w:r>
    </w:p>
    <w:p w14:paraId="1C3882A7" w14:textId="77777777" w:rsidR="00793E90" w:rsidRPr="00793E90" w:rsidRDefault="00793E90" w:rsidP="00793E90">
      <w:pPr>
        <w:shd w:val="clear" w:color="auto" w:fill="FFFFFF"/>
        <w:adjustRightInd w:val="0"/>
        <w:snapToGrid w:val="0"/>
        <w:spacing w:after="0" w:line="360" w:lineRule="auto"/>
        <w:jc w:val="both"/>
        <w:rPr>
          <w:rFonts w:ascii="Book Antiqua" w:hAnsi="Book Antiqua"/>
          <w:lang w:val="en-US"/>
        </w:rPr>
      </w:pPr>
    </w:p>
    <w:p w14:paraId="3EF912F1" w14:textId="77777777" w:rsidR="00793E90" w:rsidRPr="00793E90" w:rsidRDefault="00793E90" w:rsidP="00793E90">
      <w:pPr>
        <w:shd w:val="clear" w:color="auto" w:fill="FFFFFF"/>
        <w:adjustRightInd w:val="0"/>
        <w:snapToGrid w:val="0"/>
        <w:spacing w:after="0" w:line="360" w:lineRule="auto"/>
        <w:jc w:val="both"/>
        <w:rPr>
          <w:rFonts w:ascii="Book Antiqua" w:hAnsi="Book Antiqua"/>
          <w:b/>
          <w:bCs/>
          <w:lang w:val="en-US"/>
        </w:rPr>
      </w:pPr>
      <w:r w:rsidRPr="00793E90">
        <w:rPr>
          <w:rFonts w:ascii="Book Antiqua" w:hAnsi="Book Antiqua"/>
          <w:b/>
          <w:bCs/>
          <w:lang w:val="en-US"/>
        </w:rPr>
        <w:t xml:space="preserve">Specialty type: </w:t>
      </w:r>
      <w:r w:rsidRPr="00793E90">
        <w:rPr>
          <w:rFonts w:ascii="Book Antiqua" w:hAnsi="Book Antiqua"/>
          <w:lang w:val="en-US"/>
        </w:rPr>
        <w:t>Medicine, research and experimental</w:t>
      </w:r>
    </w:p>
    <w:p w14:paraId="74586BF5" w14:textId="77777777" w:rsidR="00793E90" w:rsidRPr="00793E90" w:rsidRDefault="00793E90" w:rsidP="00793E90">
      <w:pPr>
        <w:shd w:val="clear" w:color="auto" w:fill="FFFFFF"/>
        <w:adjustRightInd w:val="0"/>
        <w:snapToGrid w:val="0"/>
        <w:spacing w:after="0" w:line="360" w:lineRule="auto"/>
        <w:jc w:val="both"/>
        <w:rPr>
          <w:rFonts w:ascii="Book Antiqua" w:hAnsi="Book Antiqua"/>
          <w:b/>
          <w:bCs/>
          <w:lang w:val="en-US"/>
        </w:rPr>
      </w:pPr>
      <w:r w:rsidRPr="00793E90">
        <w:rPr>
          <w:rFonts w:ascii="Book Antiqua" w:hAnsi="Book Antiqua"/>
          <w:b/>
          <w:bCs/>
          <w:lang w:val="en-US"/>
        </w:rPr>
        <w:t xml:space="preserve">Country/Territory of origin: </w:t>
      </w:r>
      <w:r w:rsidRPr="00793E90">
        <w:rPr>
          <w:rFonts w:ascii="Book Antiqua" w:hAnsi="Book Antiqua"/>
          <w:lang w:val="en-US"/>
        </w:rPr>
        <w:t>France</w:t>
      </w:r>
    </w:p>
    <w:p w14:paraId="7F328FFC" w14:textId="77777777" w:rsidR="00793E90" w:rsidRPr="00793E90" w:rsidRDefault="00793E90" w:rsidP="00793E90">
      <w:pPr>
        <w:shd w:val="clear" w:color="auto" w:fill="FFFFFF"/>
        <w:adjustRightInd w:val="0"/>
        <w:snapToGrid w:val="0"/>
        <w:spacing w:after="0" w:line="360" w:lineRule="auto"/>
        <w:jc w:val="both"/>
        <w:rPr>
          <w:rFonts w:ascii="Book Antiqua" w:hAnsi="Book Antiqua"/>
          <w:lang w:val="en-US"/>
        </w:rPr>
      </w:pPr>
      <w:r w:rsidRPr="00793E90">
        <w:rPr>
          <w:rFonts w:ascii="Book Antiqua" w:hAnsi="Book Antiqua"/>
          <w:b/>
          <w:bCs/>
          <w:lang w:val="en-US"/>
        </w:rPr>
        <w:t xml:space="preserve">Peer-review report’s scientific quality classification </w:t>
      </w:r>
    </w:p>
    <w:p w14:paraId="51CAABA9" w14:textId="3717E159" w:rsidR="00793E90" w:rsidRPr="00D4031D" w:rsidRDefault="00793E90" w:rsidP="00793E90">
      <w:pPr>
        <w:shd w:val="clear" w:color="auto" w:fill="FFFFFF"/>
        <w:adjustRightInd w:val="0"/>
        <w:snapToGrid w:val="0"/>
        <w:spacing w:after="0" w:line="360" w:lineRule="auto"/>
        <w:jc w:val="both"/>
        <w:rPr>
          <w:rFonts w:ascii="Book Antiqua" w:eastAsia="等线" w:hAnsi="Book Antiqua"/>
          <w:lang w:val="en-US" w:eastAsia="zh-CN"/>
        </w:rPr>
      </w:pPr>
      <w:r w:rsidRPr="00793E90">
        <w:rPr>
          <w:rFonts w:ascii="Book Antiqua" w:hAnsi="Book Antiqua"/>
          <w:lang w:val="en-US"/>
        </w:rPr>
        <w:lastRenderedPageBreak/>
        <w:t>Grade A (Excellent):</w:t>
      </w:r>
      <w:r w:rsidR="00D4031D">
        <w:rPr>
          <w:rFonts w:ascii="Book Antiqua" w:eastAsia="等线" w:hAnsi="Book Antiqua" w:hint="eastAsia"/>
          <w:lang w:val="en-US" w:eastAsia="zh-CN"/>
        </w:rPr>
        <w:t xml:space="preserve"> 0</w:t>
      </w:r>
    </w:p>
    <w:p w14:paraId="672848A3" w14:textId="15B96382" w:rsidR="00793E90" w:rsidRPr="00D4031D" w:rsidRDefault="00793E90" w:rsidP="00793E90">
      <w:pPr>
        <w:shd w:val="clear" w:color="auto" w:fill="FFFFFF"/>
        <w:adjustRightInd w:val="0"/>
        <w:snapToGrid w:val="0"/>
        <w:spacing w:after="0" w:line="360" w:lineRule="auto"/>
        <w:jc w:val="both"/>
        <w:rPr>
          <w:rFonts w:ascii="Book Antiqua" w:eastAsia="等线" w:hAnsi="Book Antiqua"/>
          <w:lang w:val="en-US" w:eastAsia="zh-CN"/>
        </w:rPr>
      </w:pPr>
      <w:r w:rsidRPr="00793E90">
        <w:rPr>
          <w:rFonts w:ascii="Book Antiqua" w:hAnsi="Book Antiqua"/>
          <w:lang w:val="en-US"/>
        </w:rPr>
        <w:t>Grade B (Very good):</w:t>
      </w:r>
      <w:r w:rsidR="00D4031D">
        <w:rPr>
          <w:rFonts w:ascii="Book Antiqua" w:eastAsia="等线" w:hAnsi="Book Antiqua" w:hint="eastAsia"/>
          <w:lang w:val="en-US" w:eastAsia="zh-CN"/>
        </w:rPr>
        <w:t xml:space="preserve"> 0</w:t>
      </w:r>
    </w:p>
    <w:p w14:paraId="0F7771AE" w14:textId="71917480" w:rsidR="00793E90" w:rsidRPr="00793E90" w:rsidRDefault="00793E90" w:rsidP="00793E90">
      <w:pPr>
        <w:shd w:val="clear" w:color="auto" w:fill="FFFFFF"/>
        <w:adjustRightInd w:val="0"/>
        <w:snapToGrid w:val="0"/>
        <w:spacing w:after="0" w:line="360" w:lineRule="auto"/>
        <w:jc w:val="both"/>
        <w:rPr>
          <w:rFonts w:ascii="Book Antiqua" w:hAnsi="Book Antiqua"/>
          <w:lang w:val="en-US"/>
        </w:rPr>
      </w:pPr>
      <w:r w:rsidRPr="00793E90">
        <w:rPr>
          <w:rFonts w:ascii="Book Antiqua" w:hAnsi="Book Antiqua"/>
          <w:lang w:val="en-US"/>
        </w:rPr>
        <w:t>Grade C (Good):</w:t>
      </w:r>
      <w:r w:rsidR="00D4031D">
        <w:rPr>
          <w:rFonts w:ascii="Book Antiqua" w:eastAsia="等线" w:hAnsi="Book Antiqua" w:hint="eastAsia"/>
          <w:lang w:val="en-US" w:eastAsia="zh-CN"/>
        </w:rPr>
        <w:t xml:space="preserve"> </w:t>
      </w:r>
      <w:r w:rsidRPr="00793E90">
        <w:rPr>
          <w:rFonts w:ascii="Book Antiqua" w:hAnsi="Book Antiqua"/>
          <w:lang w:val="en-US"/>
        </w:rPr>
        <w:t>C</w:t>
      </w:r>
      <w:r w:rsidR="00D4031D">
        <w:rPr>
          <w:rFonts w:ascii="Book Antiqua" w:eastAsia="等线" w:hAnsi="Book Antiqua" w:hint="eastAsia"/>
          <w:lang w:val="en-US" w:eastAsia="zh-CN"/>
        </w:rPr>
        <w:t>, C</w:t>
      </w:r>
      <w:r w:rsidRPr="00793E90">
        <w:rPr>
          <w:rFonts w:ascii="Book Antiqua" w:hAnsi="Book Antiqua"/>
          <w:lang w:val="en-US"/>
        </w:rPr>
        <w:t xml:space="preserve"> </w:t>
      </w:r>
    </w:p>
    <w:p w14:paraId="7450D93A" w14:textId="3F7CC477" w:rsidR="00793E90" w:rsidRPr="00D4031D" w:rsidRDefault="00793E90" w:rsidP="00793E90">
      <w:pPr>
        <w:shd w:val="clear" w:color="auto" w:fill="FFFFFF"/>
        <w:adjustRightInd w:val="0"/>
        <w:snapToGrid w:val="0"/>
        <w:spacing w:after="0" w:line="360" w:lineRule="auto"/>
        <w:jc w:val="both"/>
        <w:rPr>
          <w:rFonts w:ascii="Book Antiqua" w:eastAsia="等线" w:hAnsi="Book Antiqua"/>
          <w:lang w:val="en-US" w:eastAsia="zh-CN"/>
        </w:rPr>
      </w:pPr>
      <w:r w:rsidRPr="00793E90">
        <w:rPr>
          <w:rFonts w:ascii="Book Antiqua" w:hAnsi="Book Antiqua"/>
          <w:lang w:val="en-US"/>
        </w:rPr>
        <w:t>Grade D (Fair):</w:t>
      </w:r>
      <w:r w:rsidR="00D4031D">
        <w:rPr>
          <w:rFonts w:ascii="Book Antiqua" w:eastAsia="等线" w:hAnsi="Book Antiqua" w:hint="eastAsia"/>
          <w:lang w:val="en-US" w:eastAsia="zh-CN"/>
        </w:rPr>
        <w:t xml:space="preserve"> 0</w:t>
      </w:r>
    </w:p>
    <w:p w14:paraId="5CAA8F0A" w14:textId="742F4A4F" w:rsidR="00793E90" w:rsidRPr="00D4031D" w:rsidRDefault="00793E90" w:rsidP="00793E90">
      <w:pPr>
        <w:shd w:val="clear" w:color="auto" w:fill="FFFFFF"/>
        <w:adjustRightInd w:val="0"/>
        <w:snapToGrid w:val="0"/>
        <w:spacing w:after="0" w:line="360" w:lineRule="auto"/>
        <w:jc w:val="both"/>
        <w:rPr>
          <w:rFonts w:ascii="Book Antiqua" w:eastAsia="等线" w:hAnsi="Book Antiqua"/>
          <w:lang w:val="en-US" w:eastAsia="zh-CN"/>
        </w:rPr>
      </w:pPr>
      <w:bookmarkStart w:id="109" w:name="OLE_LINK38"/>
      <w:bookmarkStart w:id="110" w:name="OLE_LINK39"/>
      <w:r w:rsidRPr="00793E90">
        <w:rPr>
          <w:rFonts w:ascii="Book Antiqua" w:hAnsi="Book Antiqua"/>
          <w:lang w:val="en-US"/>
        </w:rPr>
        <w:t xml:space="preserve">Grade E (Poor): </w:t>
      </w:r>
      <w:r w:rsidR="00D4031D">
        <w:rPr>
          <w:rFonts w:ascii="Book Antiqua" w:eastAsia="等线" w:hAnsi="Book Antiqua" w:hint="eastAsia"/>
          <w:lang w:val="en-US" w:eastAsia="zh-CN"/>
        </w:rPr>
        <w:t>0</w:t>
      </w:r>
    </w:p>
    <w:bookmarkEnd w:id="109"/>
    <w:bookmarkEnd w:id="110"/>
    <w:p w14:paraId="5542A39F" w14:textId="77777777" w:rsidR="00D4031D" w:rsidRDefault="00D4031D" w:rsidP="00793E90">
      <w:pPr>
        <w:adjustRightInd w:val="0"/>
        <w:snapToGrid w:val="0"/>
        <w:spacing w:after="0" w:line="360" w:lineRule="auto"/>
        <w:jc w:val="both"/>
        <w:rPr>
          <w:rFonts w:ascii="Book Antiqua" w:eastAsia="等线" w:hAnsi="Book Antiqua"/>
          <w:b/>
          <w:bCs/>
          <w:lang w:val="en-US" w:eastAsia="zh-CN"/>
        </w:rPr>
      </w:pPr>
    </w:p>
    <w:p w14:paraId="163E4DF9" w14:textId="346836AB" w:rsidR="00793E90" w:rsidRPr="00793E90" w:rsidRDefault="00793E90" w:rsidP="00793E90">
      <w:pPr>
        <w:adjustRightInd w:val="0"/>
        <w:snapToGrid w:val="0"/>
        <w:spacing w:after="0" w:line="360" w:lineRule="auto"/>
        <w:jc w:val="both"/>
        <w:rPr>
          <w:rFonts w:ascii="Book Antiqua" w:eastAsia="宋体" w:hAnsi="Book Antiqua" w:cs="宋体"/>
          <w:lang w:val="en-US" w:eastAsia="zh-CN"/>
        </w:rPr>
      </w:pPr>
      <w:r w:rsidRPr="00793E90">
        <w:rPr>
          <w:rFonts w:ascii="Book Antiqua" w:hAnsi="Book Antiqua"/>
          <w:b/>
          <w:bCs/>
          <w:lang w:val="en-US"/>
        </w:rPr>
        <w:t xml:space="preserve">P-Reviewer: </w:t>
      </w:r>
      <w:r w:rsidRPr="00793E90">
        <w:rPr>
          <w:rFonts w:ascii="Book Antiqua" w:eastAsia="宋体" w:hAnsi="Book Antiqua" w:cs="宋体"/>
          <w:color w:val="000000"/>
          <w:shd w:val="clear" w:color="auto" w:fill="FFFFFF"/>
          <w:lang w:val="en-US" w:eastAsia="zh-CN"/>
        </w:rPr>
        <w:t>Afzal</w:t>
      </w:r>
      <w:r w:rsidRPr="00793E90">
        <w:rPr>
          <w:rFonts w:ascii="Book Antiqua" w:eastAsia="宋体" w:hAnsi="Book Antiqua" w:cs="宋体"/>
          <w:lang w:val="en-US" w:eastAsia="zh-CN"/>
        </w:rPr>
        <w:t xml:space="preserve"> M,</w:t>
      </w:r>
      <w:r w:rsidRPr="00793E90">
        <w:rPr>
          <w:rFonts w:ascii="Book Antiqua" w:eastAsia="宋体" w:hAnsi="Book Antiqua" w:cs="宋体"/>
          <w:color w:val="000000"/>
          <w:shd w:val="clear" w:color="auto" w:fill="FFFFFF"/>
          <w:lang w:val="en-US" w:eastAsia="zh-CN"/>
        </w:rPr>
        <w:t xml:space="preserve"> </w:t>
      </w:r>
      <w:proofErr w:type="spellStart"/>
      <w:r w:rsidRPr="00793E90">
        <w:rPr>
          <w:rFonts w:ascii="Book Antiqua" w:eastAsia="宋体" w:hAnsi="Book Antiqua" w:cs="宋体"/>
          <w:color w:val="000000"/>
          <w:shd w:val="clear" w:color="auto" w:fill="FFFFFF"/>
          <w:lang w:val="en-US" w:eastAsia="zh-CN"/>
        </w:rPr>
        <w:t>Kuwai</w:t>
      </w:r>
      <w:proofErr w:type="spellEnd"/>
      <w:r w:rsidRPr="00793E90">
        <w:rPr>
          <w:rFonts w:ascii="Book Antiqua" w:eastAsia="宋体" w:hAnsi="Book Antiqua" w:cs="宋体"/>
          <w:lang w:val="en-US" w:eastAsia="zh-CN"/>
        </w:rPr>
        <w:t xml:space="preserve"> T </w:t>
      </w:r>
      <w:r w:rsidRPr="00793E90">
        <w:rPr>
          <w:rFonts w:ascii="Book Antiqua" w:hAnsi="Book Antiqua"/>
          <w:b/>
          <w:bCs/>
          <w:lang w:val="en-US"/>
        </w:rPr>
        <w:t xml:space="preserve">S-Editor: </w:t>
      </w:r>
      <w:r w:rsidR="008D188D">
        <w:rPr>
          <w:rFonts w:ascii="Book Antiqua" w:eastAsia="等线" w:hAnsi="Book Antiqua" w:hint="eastAsia"/>
          <w:lang w:val="en-US" w:eastAsia="zh-CN"/>
        </w:rPr>
        <w:t>Zhang H</w:t>
      </w:r>
      <w:r w:rsidRPr="00793E90">
        <w:rPr>
          <w:rFonts w:ascii="Book Antiqua" w:eastAsia="宋体" w:hAnsi="Book Antiqua" w:cs="宋体"/>
          <w:lang w:val="en-US" w:eastAsia="zh-CN"/>
        </w:rPr>
        <w:t xml:space="preserve"> </w:t>
      </w:r>
      <w:r w:rsidRPr="00793E90">
        <w:rPr>
          <w:rFonts w:ascii="Book Antiqua" w:hAnsi="Book Antiqua"/>
          <w:b/>
          <w:bCs/>
          <w:lang w:val="en-US"/>
        </w:rPr>
        <w:t xml:space="preserve">L-Editor: E-Editor: </w:t>
      </w:r>
    </w:p>
    <w:p w14:paraId="6F420D0A" w14:textId="77777777" w:rsidR="00793E90" w:rsidRPr="00793E90" w:rsidRDefault="00793E90" w:rsidP="00793E90">
      <w:pPr>
        <w:adjustRightInd w:val="0"/>
        <w:snapToGrid w:val="0"/>
        <w:spacing w:after="0" w:line="360" w:lineRule="auto"/>
        <w:jc w:val="both"/>
        <w:rPr>
          <w:rFonts w:ascii="Book Antiqua" w:hAnsi="Book Antiqua"/>
          <w:b/>
          <w:bCs/>
          <w:lang w:val="en-US"/>
        </w:rPr>
      </w:pPr>
      <w:bookmarkStart w:id="111" w:name="OLE_LINK6"/>
      <w:r w:rsidRPr="00793E90">
        <w:rPr>
          <w:rFonts w:ascii="Book Antiqua" w:hAnsi="Book Antiqua"/>
          <w:b/>
          <w:bCs/>
          <w:lang w:val="en-US"/>
        </w:rPr>
        <w:br w:type="page"/>
      </w:r>
    </w:p>
    <w:p w14:paraId="53FB32B1" w14:textId="77777777" w:rsidR="00793E90" w:rsidRPr="00793E90" w:rsidRDefault="00793E90" w:rsidP="00793E90">
      <w:pPr>
        <w:widowControl w:val="0"/>
        <w:adjustRightInd w:val="0"/>
        <w:snapToGrid w:val="0"/>
        <w:spacing w:after="0" w:line="360" w:lineRule="auto"/>
        <w:jc w:val="both"/>
        <w:rPr>
          <w:rFonts w:ascii="Book Antiqua" w:eastAsia="MS PMincho" w:hAnsi="Book Antiqua"/>
          <w:b/>
          <w:bCs/>
          <w:color w:val="000000"/>
          <w:kern w:val="2"/>
          <w:lang w:val="en-US" w:eastAsia="zh-CN"/>
        </w:rPr>
      </w:pPr>
      <w:r w:rsidRPr="00793E90">
        <w:rPr>
          <w:rFonts w:ascii="Book Antiqua" w:eastAsia="MS PMincho" w:hAnsi="Book Antiqua"/>
          <w:b/>
          <w:bCs/>
          <w:color w:val="000000"/>
          <w:kern w:val="2"/>
          <w:lang w:val="en-US" w:eastAsia="ja-JP"/>
        </w:rPr>
        <w:lastRenderedPageBreak/>
        <w:t>Figure Legends</w:t>
      </w:r>
      <w:bookmarkEnd w:id="111"/>
    </w:p>
    <w:p w14:paraId="2EE04B15" w14:textId="33449780" w:rsidR="00E435F5" w:rsidRDefault="00E061AC" w:rsidP="00793E90">
      <w:pPr>
        <w:adjustRightInd w:val="0"/>
        <w:snapToGrid w:val="0"/>
        <w:spacing w:after="0" w:line="360" w:lineRule="auto"/>
        <w:jc w:val="both"/>
        <w:rPr>
          <w:rFonts w:ascii="Book Antiqua" w:eastAsia="等线" w:hAnsi="Book Antiqua"/>
          <w:b/>
          <w:bCs/>
          <w:iCs/>
          <w:color w:val="000000" w:themeColor="text1"/>
          <w:kern w:val="24"/>
          <w:lang w:val="en-US" w:eastAsia="zh-CN"/>
        </w:rPr>
      </w:pPr>
      <w:r>
        <w:rPr>
          <w:noProof/>
          <w:lang w:val="en-US" w:eastAsia="zh-CN"/>
        </w:rPr>
        <w:drawing>
          <wp:inline distT="0" distB="0" distL="0" distR="0" wp14:anchorId="6974D673" wp14:editId="0A893643">
            <wp:extent cx="5760720" cy="45491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549140"/>
                    </a:xfrm>
                    <a:prstGeom prst="rect">
                      <a:avLst/>
                    </a:prstGeom>
                  </pic:spPr>
                </pic:pic>
              </a:graphicData>
            </a:graphic>
          </wp:inline>
        </w:drawing>
      </w:r>
    </w:p>
    <w:p w14:paraId="18C26641" w14:textId="0DCB7DBD" w:rsidR="00651438" w:rsidRPr="00A84004" w:rsidRDefault="00793E90" w:rsidP="00A84004">
      <w:pPr>
        <w:adjustRightInd w:val="0"/>
        <w:snapToGrid w:val="0"/>
        <w:spacing w:after="0" w:line="360" w:lineRule="auto"/>
        <w:jc w:val="both"/>
        <w:rPr>
          <w:rFonts w:ascii="Book Antiqua" w:eastAsia="等线" w:hAnsi="Book Antiqua"/>
          <w:iCs/>
          <w:lang w:val="en-US" w:eastAsia="zh-CN"/>
        </w:rPr>
      </w:pPr>
      <w:r w:rsidRPr="00793E90">
        <w:rPr>
          <w:rFonts w:ascii="Book Antiqua" w:hAnsi="Book Antiqua"/>
          <w:b/>
          <w:bCs/>
          <w:iCs/>
          <w:color w:val="000000" w:themeColor="text1"/>
          <w:kern w:val="24"/>
          <w:lang w:val="en-US"/>
        </w:rPr>
        <w:t>Figure 1 Flow chart</w:t>
      </w:r>
      <w:r w:rsidRPr="00793E90">
        <w:rPr>
          <w:rFonts w:ascii="Book Antiqua" w:hAnsi="Book Antiqua"/>
          <w:iCs/>
          <w:lang w:val="en-US" w:eastAsia="zh-CN"/>
        </w:rPr>
        <w:t xml:space="preserve">. </w:t>
      </w:r>
      <w:r w:rsidRPr="00793E90">
        <w:rPr>
          <w:rFonts w:ascii="Book Antiqua" w:hAnsi="Book Antiqua"/>
          <w:color w:val="000000" w:themeColor="text1"/>
          <w:kern w:val="24"/>
          <w:lang w:val="en-US"/>
        </w:rPr>
        <w:t>Among the 144 patients with non-incidental uptake, 121 had known anal cancer; 14 had pelvic c</w:t>
      </w:r>
      <w:r w:rsidR="001767B1">
        <w:rPr>
          <w:rFonts w:ascii="Book Antiqua" w:hAnsi="Book Antiqua"/>
          <w:color w:val="000000" w:themeColor="text1"/>
          <w:kern w:val="24"/>
          <w:lang w:val="en-US"/>
        </w:rPr>
        <w:t>ancer with known anal extension</w:t>
      </w:r>
      <w:r w:rsidRPr="00793E90">
        <w:rPr>
          <w:rFonts w:ascii="Book Antiqua" w:hAnsi="Book Antiqua"/>
          <w:color w:val="000000" w:themeColor="text1"/>
          <w:kern w:val="24"/>
          <w:lang w:val="en-US"/>
        </w:rPr>
        <w:t xml:space="preserve">; 2 had a known abnormality on anorectal examination at the time of the </w:t>
      </w:r>
      <w:r w:rsidR="004615B8">
        <w:rPr>
          <w:rFonts w:ascii="Book Antiqua" w:eastAsia="等线" w:hAnsi="Book Antiqua" w:hint="eastAsia"/>
          <w:color w:val="000000" w:themeColor="text1"/>
          <w:kern w:val="24"/>
          <w:lang w:val="en-US" w:eastAsia="zh-CN"/>
        </w:rPr>
        <w:t>p</w:t>
      </w:r>
      <w:r w:rsidR="004615B8">
        <w:rPr>
          <w:rFonts w:ascii="Book Antiqua" w:hAnsi="Book Antiqua"/>
          <w:color w:val="000000" w:themeColor="text1"/>
          <w:kern w:val="24"/>
          <w:lang w:val="en-US"/>
        </w:rPr>
        <w:t>ositron emission tomography with computed tomography</w:t>
      </w:r>
      <w:r w:rsidRPr="00793E90">
        <w:rPr>
          <w:rFonts w:ascii="Book Antiqua" w:hAnsi="Book Antiqua"/>
          <w:color w:val="000000" w:themeColor="text1"/>
          <w:kern w:val="24"/>
          <w:lang w:val="en-US"/>
        </w:rPr>
        <w:t>; 7 had recent pelvic radiotherapy or surgery.</w:t>
      </w:r>
      <w:r w:rsidR="00E435F5">
        <w:rPr>
          <w:rFonts w:ascii="Book Antiqua" w:eastAsia="等线" w:hAnsi="Book Antiqua" w:hint="eastAsia"/>
          <w:iCs/>
          <w:lang w:val="en-US" w:eastAsia="zh-CN"/>
        </w:rPr>
        <w:t xml:space="preserve"> </w:t>
      </w:r>
      <w:r w:rsidRPr="00793E90">
        <w:rPr>
          <w:rFonts w:ascii="Book Antiqua" w:hAnsi="Book Antiqua"/>
          <w:color w:val="000000" w:themeColor="text1"/>
          <w:kern w:val="24"/>
          <w:lang w:val="en-US"/>
        </w:rPr>
        <w:t xml:space="preserve">PET/CT: </w:t>
      </w:r>
      <w:bookmarkStart w:id="112" w:name="OLE_LINK64"/>
      <w:bookmarkStart w:id="113" w:name="OLE_LINK65"/>
      <w:r w:rsidRPr="00793E90">
        <w:rPr>
          <w:rFonts w:ascii="Book Antiqua" w:hAnsi="Book Antiqua"/>
          <w:color w:val="000000" w:themeColor="text1"/>
          <w:kern w:val="24"/>
          <w:lang w:val="en-US"/>
        </w:rPr>
        <w:t>Positron emission tomography with computed tomography</w:t>
      </w:r>
      <w:bookmarkEnd w:id="112"/>
      <w:bookmarkEnd w:id="113"/>
      <w:r w:rsidR="00E435F5">
        <w:rPr>
          <w:rFonts w:ascii="Book Antiqua" w:eastAsia="等线" w:hAnsi="Book Antiqua" w:hint="eastAsia"/>
          <w:color w:val="000000" w:themeColor="text1"/>
          <w:kern w:val="24"/>
          <w:lang w:val="en-US" w:eastAsia="zh-CN"/>
        </w:rPr>
        <w:t>.</w:t>
      </w:r>
      <w:r w:rsidR="00651438">
        <w:rPr>
          <w:rFonts w:ascii="Book Antiqua" w:hAnsi="Book Antiqua"/>
          <w:b/>
          <w:iCs/>
          <w:lang w:val="en-GB"/>
        </w:rPr>
        <w:br w:type="page"/>
      </w:r>
    </w:p>
    <w:p w14:paraId="68003B17" w14:textId="3BEF888D" w:rsidR="00793E90" w:rsidRPr="00793E90" w:rsidRDefault="00651438" w:rsidP="00793E90">
      <w:pPr>
        <w:adjustRightInd w:val="0"/>
        <w:snapToGrid w:val="0"/>
        <w:spacing w:after="0" w:line="360" w:lineRule="auto"/>
        <w:jc w:val="both"/>
        <w:rPr>
          <w:rFonts w:ascii="Book Antiqua" w:hAnsi="Book Antiqua"/>
          <w:b/>
          <w:iCs/>
          <w:lang w:val="en-GB"/>
        </w:rPr>
      </w:pPr>
      <w:r>
        <w:rPr>
          <w:rFonts w:ascii="Book Antiqua" w:hAnsi="Book Antiqua"/>
          <w:b/>
          <w:iCs/>
          <w:noProof/>
          <w:lang w:val="en-US" w:eastAsia="zh-CN"/>
        </w:rPr>
        <w:lastRenderedPageBreak/>
        <w:drawing>
          <wp:inline distT="0" distB="0" distL="0" distR="0" wp14:anchorId="0F39C8A7" wp14:editId="0C5C579C">
            <wp:extent cx="5662238" cy="4019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6230" cy="4022384"/>
                    </a:xfrm>
                    <a:prstGeom prst="rect">
                      <a:avLst/>
                    </a:prstGeom>
                    <a:noFill/>
                  </pic:spPr>
                </pic:pic>
              </a:graphicData>
            </a:graphic>
          </wp:inline>
        </w:drawing>
      </w:r>
      <w:r w:rsidR="00793E90" w:rsidRPr="00793E90">
        <w:rPr>
          <w:rFonts w:ascii="Book Antiqua" w:hAnsi="Book Antiqua"/>
          <w:b/>
          <w:iCs/>
          <w:lang w:val="en-GB"/>
        </w:rPr>
        <w:t>Figure 2</w:t>
      </w:r>
      <w:r w:rsidR="00793E90" w:rsidRPr="00793E90">
        <w:rPr>
          <w:rFonts w:ascii="Book Antiqua" w:hAnsi="Book Antiqua"/>
          <w:b/>
          <w:iCs/>
          <w:lang w:val="en-GB" w:eastAsia="zh-CN"/>
        </w:rPr>
        <w:t xml:space="preserve"> </w:t>
      </w:r>
      <w:r w:rsidR="008A358C">
        <w:rPr>
          <w:rFonts w:ascii="Book Antiqua" w:eastAsia="等线" w:hAnsi="Book Antiqua" w:hint="eastAsia"/>
          <w:b/>
          <w:iCs/>
          <w:lang w:val="en-GB" w:eastAsia="zh-CN"/>
        </w:rPr>
        <w:t>I</w:t>
      </w:r>
      <w:r w:rsidR="008A358C" w:rsidRPr="008A358C">
        <w:rPr>
          <w:rFonts w:ascii="Book Antiqua" w:hAnsi="Book Antiqua"/>
          <w:b/>
          <w:iCs/>
          <w:lang w:val="en-GB" w:eastAsia="zh-CN"/>
        </w:rPr>
        <w:t xml:space="preserve">ncidental anal </w:t>
      </w:r>
      <w:r w:rsidR="008A358C" w:rsidRPr="004B4D85">
        <w:rPr>
          <w:rFonts w:ascii="Book Antiqua" w:hAnsi="Book Antiqua"/>
          <w:b/>
          <w:iCs/>
          <w:vertAlign w:val="superscript"/>
          <w:lang w:val="en-GB" w:eastAsia="zh-CN"/>
        </w:rPr>
        <w:t>18</w:t>
      </w:r>
      <w:r w:rsidR="008A358C" w:rsidRPr="008A358C">
        <w:rPr>
          <w:rFonts w:ascii="Book Antiqua" w:hAnsi="Book Antiqua"/>
          <w:b/>
          <w:iCs/>
          <w:lang w:val="en-GB" w:eastAsia="zh-CN"/>
        </w:rPr>
        <w:t>F-fluorodeoxyglucose uptake</w:t>
      </w:r>
      <w:r w:rsidR="008A358C">
        <w:rPr>
          <w:rFonts w:ascii="Book Antiqua" w:eastAsia="等线" w:hAnsi="Book Antiqua" w:hint="eastAsia"/>
          <w:b/>
          <w:iCs/>
          <w:lang w:val="en-GB" w:eastAsia="zh-CN"/>
        </w:rPr>
        <w:t>.</w:t>
      </w:r>
      <w:r w:rsidR="008A358C" w:rsidRPr="008A358C">
        <w:rPr>
          <w:rFonts w:ascii="Book Antiqua" w:hAnsi="Book Antiqua"/>
          <w:b/>
          <w:iCs/>
          <w:lang w:val="en-GB" w:eastAsia="zh-CN"/>
        </w:rPr>
        <w:t xml:space="preserve"> </w:t>
      </w:r>
      <w:r w:rsidR="00793E90" w:rsidRPr="00793E90">
        <w:rPr>
          <w:rFonts w:ascii="Book Antiqua" w:hAnsi="Book Antiqua"/>
          <w:bCs/>
          <w:iCs/>
          <w:lang w:val="en-GB" w:eastAsia="zh-CN"/>
        </w:rPr>
        <w:t>A:</w:t>
      </w:r>
      <w:r>
        <w:rPr>
          <w:rFonts w:ascii="Book Antiqua" w:eastAsia="等线" w:hAnsi="Book Antiqua" w:hint="eastAsia"/>
          <w:bCs/>
          <w:iCs/>
          <w:lang w:val="en-GB" w:eastAsia="zh-CN"/>
        </w:rPr>
        <w:t xml:space="preserve"> </w:t>
      </w:r>
      <w:r w:rsidR="00793E90" w:rsidRPr="00793E90">
        <w:rPr>
          <w:rFonts w:ascii="Book Antiqua" w:hAnsi="Book Antiqua"/>
          <w:bCs/>
          <w:color w:val="000000" w:themeColor="text1"/>
          <w:lang w:val="en-US"/>
        </w:rPr>
        <w:t xml:space="preserve">An incidental anal </w:t>
      </w:r>
      <w:r w:rsidR="00793E90" w:rsidRPr="00793E90">
        <w:rPr>
          <w:rFonts w:ascii="Book Antiqua" w:hAnsi="Book Antiqua"/>
          <w:bCs/>
          <w:vertAlign w:val="superscript"/>
          <w:lang w:val="en-GB"/>
        </w:rPr>
        <w:t>18</w:t>
      </w:r>
      <w:r w:rsidR="00793E90" w:rsidRPr="00793E90">
        <w:rPr>
          <w:rFonts w:ascii="Book Antiqua" w:hAnsi="Book Antiqua"/>
          <w:bCs/>
          <w:lang w:val="en-GB"/>
        </w:rPr>
        <w:t>F-fluorodeoxyglucose</w:t>
      </w:r>
      <w:r w:rsidR="00793E90" w:rsidRPr="00793E90">
        <w:rPr>
          <w:rFonts w:ascii="Book Antiqua" w:hAnsi="Book Antiqua"/>
          <w:bCs/>
          <w:color w:val="000000" w:themeColor="text1"/>
          <w:lang w:val="en-US"/>
        </w:rPr>
        <w:t xml:space="preserve"> uptake in 1 study patient with </w:t>
      </w:r>
      <w:proofErr w:type="spellStart"/>
      <w:r w:rsidR="00793E90" w:rsidRPr="00793E90">
        <w:rPr>
          <w:rFonts w:ascii="Book Antiqua" w:hAnsi="Book Antiqua"/>
          <w:bCs/>
          <w:color w:val="000000" w:themeColor="text1"/>
          <w:lang w:val="en-US"/>
        </w:rPr>
        <w:t>hemo</w:t>
      </w:r>
      <w:proofErr w:type="spellEnd"/>
      <w:r w:rsidR="00793E90" w:rsidRPr="00793E90">
        <w:rPr>
          <w:rFonts w:ascii="Book Antiqua" w:hAnsi="Book Antiqua"/>
          <w:bCs/>
          <w:color w:val="000000" w:themeColor="text1"/>
          <w:lang w:val="en-US"/>
        </w:rPr>
        <w:t xml:space="preserve"> </w:t>
      </w:r>
      <w:proofErr w:type="spellStart"/>
      <w:r w:rsidR="00793E90" w:rsidRPr="00793E90">
        <w:rPr>
          <w:rFonts w:ascii="Book Antiqua" w:hAnsi="Book Antiqua"/>
          <w:bCs/>
          <w:color w:val="000000" w:themeColor="text1"/>
          <w:lang w:val="en-US"/>
        </w:rPr>
        <w:t>rrhoidal</w:t>
      </w:r>
      <w:proofErr w:type="spellEnd"/>
      <w:r w:rsidR="00793E90" w:rsidRPr="00793E90">
        <w:rPr>
          <w:rFonts w:ascii="Book Antiqua" w:hAnsi="Book Antiqua"/>
          <w:bCs/>
          <w:color w:val="000000" w:themeColor="text1"/>
          <w:lang w:val="en-US"/>
        </w:rPr>
        <w:t xml:space="preserve"> disease that required medical treatment (</w:t>
      </w:r>
      <w:r w:rsidR="005B6570" w:rsidRPr="00793E90">
        <w:rPr>
          <w:rFonts w:ascii="Book Antiqua" w:hAnsi="Book Antiqua"/>
          <w:bCs/>
          <w:lang w:val="en-GB"/>
        </w:rPr>
        <w:t>standardized uptake value</w:t>
      </w:r>
      <w:r w:rsidR="005B6570" w:rsidRPr="00793E90">
        <w:rPr>
          <w:rFonts w:ascii="Book Antiqua" w:hAnsi="Book Antiqua"/>
          <w:bCs/>
          <w:color w:val="000000" w:themeColor="text1"/>
          <w:lang w:val="en-US"/>
        </w:rPr>
        <w:t xml:space="preserve"> max</w:t>
      </w:r>
      <w:r w:rsidR="00793E90" w:rsidRPr="00793E90">
        <w:rPr>
          <w:rFonts w:ascii="Book Antiqua" w:hAnsi="Book Antiqua"/>
          <w:bCs/>
          <w:color w:val="000000" w:themeColor="text1"/>
          <w:lang w:val="en-US"/>
        </w:rPr>
        <w:t xml:space="preserve"> = 18.1);</w:t>
      </w:r>
      <w:r w:rsidR="00793E90" w:rsidRPr="00793E90">
        <w:rPr>
          <w:rFonts w:ascii="Book Antiqua" w:hAnsi="Book Antiqua"/>
          <w:bCs/>
          <w:iCs/>
          <w:lang w:val="en-GB" w:eastAsia="zh-CN"/>
        </w:rPr>
        <w:t xml:space="preserve"> B: </w:t>
      </w:r>
      <w:r w:rsidR="00793E90" w:rsidRPr="00793E90">
        <w:rPr>
          <w:rFonts w:ascii="Book Antiqua" w:hAnsi="Book Antiqua"/>
          <w:bCs/>
          <w:color w:val="000000" w:themeColor="text1"/>
          <w:lang w:val="en-US"/>
        </w:rPr>
        <w:t xml:space="preserve">An incidental anal </w:t>
      </w:r>
      <w:r w:rsidR="00793E90" w:rsidRPr="00793E90">
        <w:rPr>
          <w:rFonts w:ascii="Book Antiqua" w:hAnsi="Book Antiqua"/>
          <w:bCs/>
          <w:vertAlign w:val="superscript"/>
          <w:lang w:val="en-GB"/>
        </w:rPr>
        <w:t>18</w:t>
      </w:r>
      <w:r w:rsidR="00793E90" w:rsidRPr="00793E90">
        <w:rPr>
          <w:rFonts w:ascii="Book Antiqua" w:hAnsi="Book Antiqua"/>
          <w:bCs/>
          <w:lang w:val="en-GB"/>
        </w:rPr>
        <w:t>F-fluorodeoxyglucose</w:t>
      </w:r>
      <w:r w:rsidR="00793E90" w:rsidRPr="00793E90">
        <w:rPr>
          <w:rFonts w:ascii="Book Antiqua" w:hAnsi="Book Antiqua"/>
          <w:bCs/>
          <w:color w:val="000000" w:themeColor="text1"/>
          <w:lang w:val="en-US"/>
        </w:rPr>
        <w:t xml:space="preserve"> uptake in 1 study patient without proctological diagnosis (</w:t>
      </w:r>
      <w:r w:rsidR="005B6570" w:rsidRPr="00793E90">
        <w:rPr>
          <w:rFonts w:ascii="Book Antiqua" w:hAnsi="Book Antiqua"/>
          <w:bCs/>
          <w:lang w:val="en-GB"/>
        </w:rPr>
        <w:t>standardized uptake value</w:t>
      </w:r>
      <w:r w:rsidR="00793E90" w:rsidRPr="00793E90">
        <w:rPr>
          <w:rFonts w:ascii="Book Antiqua" w:hAnsi="Book Antiqua"/>
          <w:bCs/>
          <w:color w:val="000000" w:themeColor="text1"/>
          <w:lang w:val="en-US"/>
        </w:rPr>
        <w:t xml:space="preserve"> max = 4.9); C: An incidental anal </w:t>
      </w:r>
      <w:r w:rsidR="00793E90" w:rsidRPr="00793E90">
        <w:rPr>
          <w:rFonts w:ascii="Book Antiqua" w:hAnsi="Book Antiqua"/>
          <w:bCs/>
          <w:vertAlign w:val="superscript"/>
          <w:lang w:val="en-GB"/>
        </w:rPr>
        <w:t>18</w:t>
      </w:r>
      <w:r w:rsidR="00793E90" w:rsidRPr="00793E90">
        <w:rPr>
          <w:rFonts w:ascii="Book Antiqua" w:hAnsi="Book Antiqua"/>
          <w:bCs/>
          <w:lang w:val="en-GB"/>
        </w:rPr>
        <w:t>F-fluorodeoxyglucose</w:t>
      </w:r>
      <w:r w:rsidR="00793E90" w:rsidRPr="00793E90">
        <w:rPr>
          <w:rFonts w:ascii="Book Antiqua" w:hAnsi="Book Antiqua"/>
          <w:bCs/>
          <w:color w:val="000000" w:themeColor="text1"/>
          <w:lang w:val="en-US"/>
        </w:rPr>
        <w:t xml:space="preserve"> uptake in 1 study patient with hemorrhoidal disease that did not require treatment (</w:t>
      </w:r>
      <w:r w:rsidR="006A2C2B" w:rsidRPr="00793E90">
        <w:rPr>
          <w:rFonts w:ascii="Book Antiqua" w:hAnsi="Book Antiqua"/>
          <w:bCs/>
          <w:lang w:val="en-GB"/>
        </w:rPr>
        <w:t>standardized uptake val</w:t>
      </w:r>
      <w:r w:rsidR="00793E90" w:rsidRPr="00793E90">
        <w:rPr>
          <w:rFonts w:ascii="Book Antiqua" w:hAnsi="Book Antiqua"/>
          <w:bCs/>
          <w:lang w:val="en-GB"/>
        </w:rPr>
        <w:t>ue</w:t>
      </w:r>
      <w:r w:rsidR="00793E90" w:rsidRPr="00793E90">
        <w:rPr>
          <w:rFonts w:ascii="Book Antiqua" w:hAnsi="Book Antiqua"/>
          <w:bCs/>
          <w:color w:val="000000" w:themeColor="text1"/>
          <w:lang w:val="en-US"/>
        </w:rPr>
        <w:t xml:space="preserve"> max = 8.8).</w:t>
      </w:r>
    </w:p>
    <w:p w14:paraId="6BE7C3CF" w14:textId="77777777" w:rsidR="00793E90" w:rsidRPr="00793E90" w:rsidRDefault="00793E90" w:rsidP="00793E90">
      <w:pPr>
        <w:adjustRightInd w:val="0"/>
        <w:snapToGrid w:val="0"/>
        <w:spacing w:after="0" w:line="360" w:lineRule="auto"/>
        <w:jc w:val="both"/>
        <w:rPr>
          <w:rFonts w:ascii="Book Antiqua" w:hAnsi="Book Antiqua"/>
          <w:b/>
          <w:i/>
          <w:lang w:val="en-GB"/>
        </w:rPr>
      </w:pPr>
    </w:p>
    <w:p w14:paraId="2DB1BEE3" w14:textId="77777777" w:rsidR="009D64E7" w:rsidRDefault="009D64E7">
      <w:pPr>
        <w:rPr>
          <w:rFonts w:ascii="Book Antiqua" w:hAnsi="Book Antiqua"/>
          <w:b/>
          <w:iCs/>
          <w:lang w:val="en-GB"/>
        </w:rPr>
      </w:pPr>
      <w:r>
        <w:rPr>
          <w:rFonts w:ascii="Book Antiqua" w:hAnsi="Book Antiqua"/>
          <w:b/>
          <w:iCs/>
          <w:lang w:val="en-GB"/>
        </w:rPr>
        <w:br w:type="page"/>
      </w:r>
    </w:p>
    <w:p w14:paraId="149FA1C7" w14:textId="0A7CA338" w:rsidR="00412438" w:rsidRDefault="00412438" w:rsidP="00647083">
      <w:pPr>
        <w:adjustRightInd w:val="0"/>
        <w:snapToGrid w:val="0"/>
        <w:spacing w:after="0" w:line="360" w:lineRule="auto"/>
        <w:jc w:val="both"/>
        <w:rPr>
          <w:rFonts w:ascii="Book Antiqua" w:eastAsia="等线" w:hAnsi="Book Antiqua"/>
          <w:b/>
          <w:iCs/>
          <w:noProof/>
          <w:lang w:val="en-US" w:eastAsia="zh-CN"/>
        </w:rPr>
      </w:pPr>
      <w:r>
        <w:rPr>
          <w:rFonts w:ascii="Book Antiqua" w:eastAsia="等线" w:hAnsi="Book Antiqua"/>
          <w:b/>
          <w:iCs/>
          <w:noProof/>
          <w:lang w:val="en-US" w:eastAsia="zh-CN"/>
        </w:rPr>
        <w:lastRenderedPageBreak/>
        <w:drawing>
          <wp:inline distT="0" distB="0" distL="0" distR="0" wp14:anchorId="2288457D" wp14:editId="55E0D4DF">
            <wp:extent cx="5739168" cy="555250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0787" cy="5554068"/>
                    </a:xfrm>
                    <a:prstGeom prst="rect">
                      <a:avLst/>
                    </a:prstGeom>
                    <a:noFill/>
                  </pic:spPr>
                </pic:pic>
              </a:graphicData>
            </a:graphic>
          </wp:inline>
        </w:drawing>
      </w:r>
    </w:p>
    <w:p w14:paraId="43C268F1" w14:textId="43545076" w:rsidR="00EA494C" w:rsidRDefault="00793E90" w:rsidP="00647083">
      <w:pPr>
        <w:adjustRightInd w:val="0"/>
        <w:snapToGrid w:val="0"/>
        <w:spacing w:after="0" w:line="360" w:lineRule="auto"/>
        <w:jc w:val="both"/>
        <w:rPr>
          <w:rFonts w:ascii="Book Antiqua" w:eastAsia="等线" w:hAnsi="Book Antiqua"/>
          <w:lang w:val="en-GB" w:eastAsia="zh-CN"/>
        </w:rPr>
      </w:pPr>
      <w:r w:rsidRPr="00793E90">
        <w:rPr>
          <w:rFonts w:ascii="Book Antiqua" w:hAnsi="Book Antiqua"/>
          <w:b/>
          <w:iCs/>
          <w:lang w:val="en-GB"/>
        </w:rPr>
        <w:t>Figure 3</w:t>
      </w:r>
      <w:r w:rsidRPr="00793E90">
        <w:rPr>
          <w:rFonts w:ascii="Book Antiqua" w:hAnsi="Book Antiqua"/>
          <w:b/>
          <w:i/>
          <w:lang w:val="en-GB"/>
        </w:rPr>
        <w:t xml:space="preserve"> </w:t>
      </w:r>
      <w:r w:rsidRPr="009D64E7">
        <w:rPr>
          <w:rFonts w:ascii="Book Antiqua" w:hAnsi="Book Antiqua"/>
          <w:b/>
          <w:lang w:val="en-GB"/>
        </w:rPr>
        <w:t xml:space="preserve">Receiver </w:t>
      </w:r>
      <w:r w:rsidR="009D64E7" w:rsidRPr="009D64E7">
        <w:rPr>
          <w:rFonts w:ascii="Book Antiqua" w:hAnsi="Book Antiqua"/>
          <w:b/>
          <w:lang w:val="en-GB"/>
        </w:rPr>
        <w:t>operating characteristic c</w:t>
      </w:r>
      <w:r w:rsidRPr="009D64E7">
        <w:rPr>
          <w:rFonts w:ascii="Book Antiqua" w:hAnsi="Book Antiqua"/>
          <w:b/>
          <w:lang w:val="en-GB"/>
        </w:rPr>
        <w:t>urve</w:t>
      </w:r>
      <w:r w:rsidR="009D64E7">
        <w:rPr>
          <w:rFonts w:ascii="Book Antiqua" w:eastAsia="等线" w:hAnsi="Book Antiqua" w:hint="eastAsia"/>
          <w:b/>
          <w:lang w:val="en-GB" w:eastAsia="zh-CN"/>
        </w:rPr>
        <w:t xml:space="preserve">. </w:t>
      </w:r>
      <w:r w:rsidRPr="00793E90">
        <w:rPr>
          <w:rFonts w:ascii="Book Antiqua" w:hAnsi="Book Antiqua"/>
          <w:lang w:val="en-GB"/>
        </w:rPr>
        <w:t xml:space="preserve">A: Standardized </w:t>
      </w:r>
      <w:r w:rsidR="009D64E7" w:rsidRPr="00793E90">
        <w:rPr>
          <w:rFonts w:ascii="Book Antiqua" w:hAnsi="Book Antiqua"/>
          <w:lang w:val="en-GB"/>
        </w:rPr>
        <w:t>uptake value m</w:t>
      </w:r>
      <w:r w:rsidRPr="00793E90">
        <w:rPr>
          <w:rFonts w:ascii="Book Antiqua" w:hAnsi="Book Antiqua"/>
          <w:lang w:val="en-GB"/>
        </w:rPr>
        <w:t>ean; B: Standa</w:t>
      </w:r>
      <w:r w:rsidR="009D64E7" w:rsidRPr="00793E90">
        <w:rPr>
          <w:rFonts w:ascii="Book Antiqua" w:hAnsi="Book Antiqua"/>
          <w:lang w:val="en-GB"/>
        </w:rPr>
        <w:t>rdized uptake value</w:t>
      </w:r>
      <w:r w:rsidRPr="00793E90">
        <w:rPr>
          <w:rFonts w:ascii="Book Antiqua" w:hAnsi="Book Antiqua"/>
          <w:lang w:val="en-GB"/>
        </w:rPr>
        <w:t xml:space="preserve"> max; C: Metaboli</w:t>
      </w:r>
      <w:r w:rsidR="009D64E7" w:rsidRPr="00793E90">
        <w:rPr>
          <w:rFonts w:ascii="Book Antiqua" w:hAnsi="Book Antiqua"/>
          <w:lang w:val="en-GB"/>
        </w:rPr>
        <w:t>c vo</w:t>
      </w:r>
      <w:r w:rsidRPr="00793E90">
        <w:rPr>
          <w:rFonts w:ascii="Book Antiqua" w:hAnsi="Book Antiqua"/>
          <w:lang w:val="en-GB"/>
        </w:rPr>
        <w:t xml:space="preserve">lumes 41; D: Metabolic </w:t>
      </w:r>
      <w:r w:rsidR="009D64E7" w:rsidRPr="00793E90">
        <w:rPr>
          <w:rFonts w:ascii="Book Antiqua" w:hAnsi="Book Antiqua"/>
          <w:lang w:val="en-GB"/>
        </w:rPr>
        <w:t>volum</w:t>
      </w:r>
      <w:r w:rsidRPr="00793E90">
        <w:rPr>
          <w:rFonts w:ascii="Book Antiqua" w:hAnsi="Book Antiqua"/>
          <w:lang w:val="en-GB"/>
        </w:rPr>
        <w:t>es 30, to differentiate patients requiring treatment from others.</w:t>
      </w:r>
      <w:r w:rsidR="000D2E4A">
        <w:rPr>
          <w:rFonts w:ascii="Book Antiqua" w:eastAsia="等线" w:hAnsi="Book Antiqua" w:hint="eastAsia"/>
          <w:lang w:val="en-GB" w:eastAsia="zh-CN"/>
        </w:rPr>
        <w:t xml:space="preserve"> </w:t>
      </w:r>
      <w:bookmarkStart w:id="114" w:name="OLE_LINK66"/>
      <w:bookmarkStart w:id="115" w:name="OLE_LINK67"/>
      <w:r w:rsidR="000D2E4A">
        <w:rPr>
          <w:rFonts w:ascii="Book Antiqua" w:eastAsia="等线" w:hAnsi="Book Antiqua" w:hint="eastAsia"/>
          <w:lang w:val="en-GB" w:eastAsia="zh-CN"/>
        </w:rPr>
        <w:t>AUC</w:t>
      </w:r>
      <w:bookmarkEnd w:id="114"/>
      <w:bookmarkEnd w:id="115"/>
      <w:r w:rsidR="000D2E4A">
        <w:rPr>
          <w:rFonts w:ascii="Book Antiqua" w:eastAsia="等线" w:hAnsi="Book Antiqua" w:hint="eastAsia"/>
          <w:lang w:val="en-GB" w:eastAsia="zh-CN"/>
        </w:rPr>
        <w:t>:</w:t>
      </w:r>
      <w:r w:rsidR="000D2E4A" w:rsidRPr="000D2E4A">
        <w:t xml:space="preserve"> </w:t>
      </w:r>
      <w:r w:rsidR="000D2E4A">
        <w:rPr>
          <w:rFonts w:ascii="Book Antiqua" w:eastAsia="等线" w:hAnsi="Book Antiqua" w:hint="eastAsia"/>
          <w:lang w:val="en-GB" w:eastAsia="zh-CN"/>
        </w:rPr>
        <w:t>A</w:t>
      </w:r>
      <w:r w:rsidR="000D2E4A" w:rsidRPr="000D2E4A">
        <w:rPr>
          <w:rFonts w:ascii="Book Antiqua" w:eastAsia="等线" w:hAnsi="Book Antiqua"/>
          <w:lang w:val="en-GB" w:eastAsia="zh-CN"/>
        </w:rPr>
        <w:t>rea under the curve</w:t>
      </w:r>
      <w:r w:rsidR="000D2E4A">
        <w:rPr>
          <w:rFonts w:ascii="Book Antiqua" w:eastAsia="等线" w:hAnsi="Book Antiqua" w:hint="eastAsia"/>
          <w:lang w:val="en-GB" w:eastAsia="zh-CN"/>
        </w:rPr>
        <w:t>.</w:t>
      </w:r>
    </w:p>
    <w:p w14:paraId="14991E61" w14:textId="77777777" w:rsidR="00EA494C" w:rsidRDefault="00EA494C">
      <w:pPr>
        <w:rPr>
          <w:rFonts w:ascii="Book Antiqua" w:eastAsia="等线" w:hAnsi="Book Antiqua"/>
          <w:lang w:val="en-GB" w:eastAsia="zh-CN"/>
        </w:rPr>
      </w:pPr>
      <w:r>
        <w:rPr>
          <w:rFonts w:ascii="Book Antiqua" w:eastAsia="等线" w:hAnsi="Book Antiqua"/>
          <w:lang w:val="en-GB" w:eastAsia="zh-CN"/>
        </w:rPr>
        <w:br w:type="page"/>
      </w:r>
    </w:p>
    <w:p w14:paraId="74E0B6FF" w14:textId="7D5BB8AF" w:rsidR="00D36EC0" w:rsidRDefault="00EA494C" w:rsidP="00647083">
      <w:pPr>
        <w:adjustRightInd w:val="0"/>
        <w:snapToGrid w:val="0"/>
        <w:spacing w:after="0" w:line="360" w:lineRule="auto"/>
        <w:jc w:val="both"/>
        <w:rPr>
          <w:rFonts w:ascii="Book Antiqua" w:eastAsia="等线" w:hAnsi="Book Antiqua"/>
          <w:b/>
          <w:lang w:val="en-US" w:eastAsia="zh-CN"/>
        </w:rPr>
      </w:pPr>
      <w:r w:rsidRPr="00EA494C">
        <w:rPr>
          <w:rFonts w:ascii="Book Antiqua" w:hAnsi="Book Antiqua"/>
          <w:b/>
          <w:lang w:val="en-US"/>
        </w:rPr>
        <w:lastRenderedPageBreak/>
        <w:t>Table 1 Characteristics of the global population (</w:t>
      </w:r>
      <w:r w:rsidRPr="00EA494C">
        <w:rPr>
          <w:rFonts w:ascii="Book Antiqua" w:hAnsi="Book Antiqua"/>
          <w:b/>
          <w:i/>
          <w:lang w:val="en-US"/>
        </w:rPr>
        <w:t>n</w:t>
      </w:r>
      <w:r w:rsidRPr="00EA494C">
        <w:rPr>
          <w:rFonts w:ascii="Book Antiqua" w:hAnsi="Book Antiqua"/>
          <w:b/>
          <w:lang w:val="en-US"/>
        </w:rPr>
        <w:t xml:space="preserve"> = 134)</w:t>
      </w:r>
    </w:p>
    <w:tbl>
      <w:tblPr>
        <w:tblpPr w:leftFromText="141" w:rightFromText="141" w:vertAnchor="page" w:horzAnchor="page" w:tblpX="370" w:tblpY="1985"/>
        <w:tblW w:w="11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493"/>
        <w:gridCol w:w="1598"/>
        <w:gridCol w:w="1654"/>
        <w:gridCol w:w="1748"/>
        <w:gridCol w:w="1810"/>
      </w:tblGrid>
      <w:tr w:rsidR="00E910F7" w:rsidRPr="00E600F6" w14:paraId="68624C56" w14:textId="77777777" w:rsidTr="00430031">
        <w:trPr>
          <w:trHeight w:val="725"/>
        </w:trPr>
        <w:tc>
          <w:tcPr>
            <w:tcW w:w="4493" w:type="dxa"/>
            <w:vMerge w:val="restart"/>
            <w:tcBorders>
              <w:top w:val="single" w:sz="4" w:space="0" w:color="auto"/>
              <w:left w:val="nil"/>
              <w:right w:val="nil"/>
            </w:tcBorders>
            <w:shd w:val="clear" w:color="auto" w:fill="auto"/>
          </w:tcPr>
          <w:p w14:paraId="172FE8A5" w14:textId="77777777" w:rsidR="00E910F7" w:rsidRPr="00E600F6" w:rsidRDefault="00E910F7" w:rsidP="00E600F6">
            <w:pPr>
              <w:adjustRightInd w:val="0"/>
              <w:snapToGrid w:val="0"/>
              <w:spacing w:after="0" w:line="360" w:lineRule="auto"/>
              <w:jc w:val="both"/>
              <w:rPr>
                <w:rFonts w:ascii="Book Antiqua" w:hAnsi="Book Antiqua"/>
                <w:b/>
                <w:bCs/>
              </w:rPr>
            </w:pPr>
            <w:r w:rsidRPr="00E600F6">
              <w:rPr>
                <w:rFonts w:ascii="Book Antiqua" w:hAnsi="Book Antiqua"/>
                <w:b/>
                <w:bCs/>
              </w:rPr>
              <w:t>Variables</w:t>
            </w:r>
          </w:p>
        </w:tc>
        <w:tc>
          <w:tcPr>
            <w:tcW w:w="1598" w:type="dxa"/>
            <w:tcBorders>
              <w:top w:val="single" w:sz="4" w:space="0" w:color="auto"/>
              <w:left w:val="nil"/>
              <w:bottom w:val="nil"/>
              <w:right w:val="nil"/>
            </w:tcBorders>
            <w:shd w:val="clear" w:color="auto" w:fill="auto"/>
          </w:tcPr>
          <w:p w14:paraId="02FA290E" w14:textId="07EDD12D" w:rsidR="00E910F7" w:rsidRPr="00E600F6" w:rsidRDefault="00E910F7" w:rsidP="00E600F6">
            <w:pPr>
              <w:adjustRightInd w:val="0"/>
              <w:snapToGrid w:val="0"/>
              <w:spacing w:after="0" w:line="360" w:lineRule="auto"/>
              <w:jc w:val="both"/>
              <w:rPr>
                <w:rFonts w:ascii="Book Antiqua" w:eastAsia="等线" w:hAnsi="Book Antiqua"/>
                <w:b/>
                <w:lang w:val="en-US" w:eastAsia="zh-CN"/>
              </w:rPr>
            </w:pPr>
            <w:r w:rsidRPr="00E600F6">
              <w:rPr>
                <w:rFonts w:ascii="Book Antiqua" w:hAnsi="Book Antiqua"/>
                <w:b/>
                <w:lang w:val="en-US"/>
              </w:rPr>
              <w:t>Global population</w:t>
            </w:r>
          </w:p>
        </w:tc>
        <w:tc>
          <w:tcPr>
            <w:tcW w:w="1654" w:type="dxa"/>
            <w:tcBorders>
              <w:top w:val="single" w:sz="4" w:space="0" w:color="auto"/>
              <w:left w:val="nil"/>
              <w:bottom w:val="nil"/>
              <w:right w:val="nil"/>
            </w:tcBorders>
            <w:shd w:val="clear" w:color="auto" w:fill="auto"/>
          </w:tcPr>
          <w:p w14:paraId="64598DAB" w14:textId="021556A0" w:rsidR="00E910F7" w:rsidRPr="00E600F6" w:rsidRDefault="00E910F7" w:rsidP="00E600F6">
            <w:pPr>
              <w:adjustRightInd w:val="0"/>
              <w:snapToGrid w:val="0"/>
              <w:spacing w:after="0" w:line="360" w:lineRule="auto"/>
              <w:jc w:val="both"/>
              <w:rPr>
                <w:rFonts w:ascii="Book Antiqua" w:eastAsia="等线" w:hAnsi="Book Antiqua"/>
                <w:b/>
                <w:lang w:val="en-US" w:eastAsia="zh-CN"/>
              </w:rPr>
            </w:pPr>
            <w:r w:rsidRPr="00E600F6">
              <w:rPr>
                <w:rFonts w:ascii="Book Antiqua" w:hAnsi="Book Antiqua"/>
                <w:b/>
                <w:lang w:val="en-US"/>
              </w:rPr>
              <w:t>Patients non investigated</w:t>
            </w:r>
          </w:p>
        </w:tc>
        <w:tc>
          <w:tcPr>
            <w:tcW w:w="1748" w:type="dxa"/>
            <w:tcBorders>
              <w:top w:val="single" w:sz="4" w:space="0" w:color="auto"/>
              <w:left w:val="nil"/>
              <w:bottom w:val="nil"/>
              <w:right w:val="nil"/>
            </w:tcBorders>
            <w:shd w:val="clear" w:color="auto" w:fill="auto"/>
          </w:tcPr>
          <w:p w14:paraId="03DE02E6" w14:textId="47CC95F9" w:rsidR="00E910F7" w:rsidRPr="00E600F6" w:rsidRDefault="00E910F7" w:rsidP="00E600F6">
            <w:pPr>
              <w:adjustRightInd w:val="0"/>
              <w:snapToGrid w:val="0"/>
              <w:spacing w:after="0" w:line="360" w:lineRule="auto"/>
              <w:jc w:val="both"/>
              <w:rPr>
                <w:rFonts w:ascii="Book Antiqua" w:eastAsia="等线" w:hAnsi="Book Antiqua"/>
                <w:b/>
                <w:lang w:val="en-US" w:eastAsia="zh-CN"/>
              </w:rPr>
            </w:pPr>
            <w:r w:rsidRPr="00E600F6">
              <w:rPr>
                <w:rFonts w:ascii="Book Antiqua" w:hAnsi="Book Antiqua"/>
                <w:b/>
                <w:lang w:val="en-US"/>
              </w:rPr>
              <w:t>Patients investigated</w:t>
            </w:r>
          </w:p>
        </w:tc>
        <w:tc>
          <w:tcPr>
            <w:tcW w:w="1810" w:type="dxa"/>
            <w:vMerge w:val="restart"/>
            <w:tcBorders>
              <w:top w:val="single" w:sz="4" w:space="0" w:color="auto"/>
              <w:left w:val="nil"/>
              <w:right w:val="nil"/>
            </w:tcBorders>
            <w:shd w:val="clear" w:color="auto" w:fill="auto"/>
          </w:tcPr>
          <w:p w14:paraId="7721D7D7" w14:textId="49DF23DF" w:rsidR="00E910F7" w:rsidRPr="00E600F6" w:rsidRDefault="00E910F7" w:rsidP="00E600F6">
            <w:pPr>
              <w:adjustRightInd w:val="0"/>
              <w:snapToGrid w:val="0"/>
              <w:spacing w:after="0" w:line="360" w:lineRule="auto"/>
              <w:jc w:val="both"/>
              <w:rPr>
                <w:rFonts w:ascii="Book Antiqua" w:hAnsi="Book Antiqua"/>
                <w:b/>
              </w:rPr>
            </w:pPr>
            <w:r w:rsidRPr="00E600F6">
              <w:rPr>
                <w:rFonts w:ascii="Book Antiqua" w:hAnsi="Book Antiqua"/>
                <w:b/>
                <w:i/>
                <w:iCs/>
              </w:rPr>
              <w:t>P</w:t>
            </w:r>
            <w:r w:rsidR="00430031" w:rsidRPr="00430031">
              <w:rPr>
                <w:rFonts w:ascii="Book Antiqua" w:eastAsia="等线" w:hAnsi="Book Antiqua" w:hint="eastAsia"/>
                <w:b/>
                <w:lang w:eastAsia="zh-CN"/>
              </w:rPr>
              <w:t xml:space="preserve"> </w:t>
            </w:r>
            <w:r w:rsidRPr="00E600F6">
              <w:rPr>
                <w:rFonts w:ascii="Book Antiqua" w:hAnsi="Book Antiqua"/>
                <w:b/>
              </w:rPr>
              <w:t>value</w:t>
            </w:r>
          </w:p>
        </w:tc>
      </w:tr>
      <w:tr w:rsidR="00E910F7" w:rsidRPr="00E600F6" w14:paraId="3A6BE46B" w14:textId="77777777" w:rsidTr="00430031">
        <w:trPr>
          <w:trHeight w:val="725"/>
        </w:trPr>
        <w:tc>
          <w:tcPr>
            <w:tcW w:w="4493" w:type="dxa"/>
            <w:vMerge/>
            <w:tcBorders>
              <w:left w:val="nil"/>
              <w:right w:val="nil"/>
            </w:tcBorders>
            <w:shd w:val="clear" w:color="auto" w:fill="auto"/>
          </w:tcPr>
          <w:p w14:paraId="0019F86A" w14:textId="77777777" w:rsidR="00E910F7" w:rsidRPr="00E600F6" w:rsidRDefault="00E910F7" w:rsidP="00E600F6">
            <w:pPr>
              <w:adjustRightInd w:val="0"/>
              <w:snapToGrid w:val="0"/>
              <w:spacing w:after="0" w:line="360" w:lineRule="auto"/>
              <w:jc w:val="both"/>
              <w:rPr>
                <w:rFonts w:ascii="Book Antiqua" w:hAnsi="Book Antiqua"/>
                <w:b/>
                <w:bCs/>
              </w:rPr>
            </w:pPr>
          </w:p>
        </w:tc>
        <w:tc>
          <w:tcPr>
            <w:tcW w:w="1598" w:type="dxa"/>
            <w:tcBorders>
              <w:top w:val="nil"/>
              <w:left w:val="nil"/>
              <w:bottom w:val="nil"/>
              <w:right w:val="nil"/>
            </w:tcBorders>
            <w:shd w:val="clear" w:color="auto" w:fill="auto"/>
          </w:tcPr>
          <w:p w14:paraId="7F5B9B19" w14:textId="75ACF526" w:rsidR="00E910F7" w:rsidRPr="00E600F6" w:rsidRDefault="00E910F7" w:rsidP="00E600F6">
            <w:pPr>
              <w:adjustRightInd w:val="0"/>
              <w:snapToGrid w:val="0"/>
              <w:spacing w:after="0" w:line="360" w:lineRule="auto"/>
              <w:jc w:val="both"/>
              <w:rPr>
                <w:rFonts w:ascii="Book Antiqua" w:hAnsi="Book Antiqua"/>
                <w:b/>
                <w:lang w:val="en-US"/>
              </w:rPr>
            </w:pPr>
            <w:bookmarkStart w:id="116" w:name="OLE_LINK79"/>
            <w:bookmarkStart w:id="117" w:name="OLE_LINK80"/>
            <w:r w:rsidRPr="004364F1">
              <w:rPr>
                <w:rFonts w:ascii="Book Antiqua" w:hAnsi="Book Antiqua"/>
                <w:b/>
                <w:bCs/>
                <w:i/>
                <w:lang w:val="en-US"/>
              </w:rPr>
              <w:t>n</w:t>
            </w:r>
            <w:r>
              <w:rPr>
                <w:rFonts w:ascii="Book Antiqua" w:hAnsi="Book Antiqua"/>
                <w:b/>
                <w:bCs/>
                <w:lang w:val="en-US"/>
              </w:rPr>
              <w:t xml:space="preserve"> (%) or mean </w:t>
            </w:r>
            <w:r>
              <w:rPr>
                <w:b/>
                <w:bCs/>
                <w:lang w:val="en-US"/>
              </w:rPr>
              <w:t>±</w:t>
            </w:r>
            <w:r>
              <w:rPr>
                <w:rFonts w:ascii="Book Antiqua" w:eastAsia="等线" w:hAnsi="Book Antiqua" w:hint="eastAsia"/>
                <w:b/>
                <w:bCs/>
                <w:lang w:val="en-US" w:eastAsia="zh-CN"/>
              </w:rPr>
              <w:t xml:space="preserve"> </w:t>
            </w:r>
            <w:r>
              <w:rPr>
                <w:rFonts w:ascii="Book Antiqua" w:hAnsi="Book Antiqua"/>
                <w:b/>
                <w:bCs/>
                <w:lang w:val="en-US"/>
              </w:rPr>
              <w:t>SD</w:t>
            </w:r>
            <w:bookmarkEnd w:id="116"/>
            <w:bookmarkEnd w:id="117"/>
          </w:p>
        </w:tc>
        <w:tc>
          <w:tcPr>
            <w:tcW w:w="1654" w:type="dxa"/>
            <w:tcBorders>
              <w:top w:val="nil"/>
              <w:left w:val="nil"/>
              <w:bottom w:val="nil"/>
              <w:right w:val="nil"/>
            </w:tcBorders>
            <w:shd w:val="clear" w:color="auto" w:fill="auto"/>
          </w:tcPr>
          <w:p w14:paraId="785A0ECF" w14:textId="62DB08FF" w:rsidR="00E910F7" w:rsidRPr="00E600F6" w:rsidRDefault="00E910F7" w:rsidP="00E600F6">
            <w:pPr>
              <w:adjustRightInd w:val="0"/>
              <w:snapToGrid w:val="0"/>
              <w:spacing w:after="0" w:line="360" w:lineRule="auto"/>
              <w:jc w:val="both"/>
              <w:rPr>
                <w:rFonts w:ascii="Book Antiqua" w:hAnsi="Book Antiqua"/>
                <w:b/>
                <w:lang w:val="en-US"/>
              </w:rPr>
            </w:pPr>
            <w:bookmarkStart w:id="118" w:name="OLE_LINK83"/>
            <w:bookmarkStart w:id="119" w:name="OLE_LINK84"/>
            <w:r w:rsidRPr="004364F1">
              <w:rPr>
                <w:rFonts w:ascii="Book Antiqua" w:hAnsi="Book Antiqua"/>
                <w:b/>
                <w:bCs/>
                <w:i/>
                <w:lang w:val="en-US"/>
              </w:rPr>
              <w:t>n</w:t>
            </w:r>
            <w:r>
              <w:rPr>
                <w:rFonts w:ascii="Book Antiqua" w:hAnsi="Book Antiqua"/>
                <w:b/>
                <w:bCs/>
                <w:lang w:val="en-US"/>
              </w:rPr>
              <w:t xml:space="preserve"> (%) or mean </w:t>
            </w:r>
            <w:r>
              <w:rPr>
                <w:b/>
                <w:bCs/>
                <w:lang w:val="en-US"/>
              </w:rPr>
              <w:t>±</w:t>
            </w:r>
            <w:r>
              <w:rPr>
                <w:rFonts w:ascii="Book Antiqua" w:eastAsia="等线" w:hAnsi="Book Antiqua" w:hint="eastAsia"/>
                <w:b/>
                <w:bCs/>
                <w:lang w:val="en-US" w:eastAsia="zh-CN"/>
              </w:rPr>
              <w:t xml:space="preserve"> </w:t>
            </w:r>
            <w:r>
              <w:rPr>
                <w:rFonts w:ascii="Book Antiqua" w:hAnsi="Book Antiqua"/>
                <w:b/>
                <w:bCs/>
                <w:lang w:val="en-US"/>
              </w:rPr>
              <w:t>SD</w:t>
            </w:r>
            <w:bookmarkEnd w:id="118"/>
            <w:bookmarkEnd w:id="119"/>
          </w:p>
        </w:tc>
        <w:tc>
          <w:tcPr>
            <w:tcW w:w="1748" w:type="dxa"/>
            <w:tcBorders>
              <w:top w:val="nil"/>
              <w:left w:val="nil"/>
              <w:bottom w:val="nil"/>
              <w:right w:val="nil"/>
            </w:tcBorders>
            <w:shd w:val="clear" w:color="auto" w:fill="auto"/>
          </w:tcPr>
          <w:p w14:paraId="31F704ED" w14:textId="3E84699B" w:rsidR="00E910F7" w:rsidRPr="00E600F6" w:rsidRDefault="00E910F7" w:rsidP="00E600F6">
            <w:pPr>
              <w:adjustRightInd w:val="0"/>
              <w:snapToGrid w:val="0"/>
              <w:spacing w:after="0" w:line="360" w:lineRule="auto"/>
              <w:jc w:val="both"/>
              <w:rPr>
                <w:rFonts w:ascii="Book Antiqua" w:hAnsi="Book Antiqua"/>
                <w:b/>
                <w:lang w:val="en-US"/>
              </w:rPr>
            </w:pPr>
            <w:r w:rsidRPr="004364F1">
              <w:rPr>
                <w:rFonts w:ascii="Book Antiqua" w:hAnsi="Book Antiqua"/>
                <w:b/>
                <w:bCs/>
                <w:i/>
                <w:lang w:val="en-US"/>
              </w:rPr>
              <w:t>n</w:t>
            </w:r>
            <w:r>
              <w:rPr>
                <w:rFonts w:ascii="Book Antiqua" w:hAnsi="Book Antiqua"/>
                <w:b/>
                <w:bCs/>
                <w:lang w:val="en-US"/>
              </w:rPr>
              <w:t xml:space="preserve"> (%) or mean </w:t>
            </w:r>
            <w:r>
              <w:rPr>
                <w:b/>
                <w:bCs/>
                <w:lang w:val="en-US"/>
              </w:rPr>
              <w:t>±</w:t>
            </w:r>
            <w:r>
              <w:rPr>
                <w:rFonts w:ascii="Book Antiqua" w:eastAsia="等线" w:hAnsi="Book Antiqua" w:hint="eastAsia"/>
                <w:b/>
                <w:bCs/>
                <w:lang w:val="en-US" w:eastAsia="zh-CN"/>
              </w:rPr>
              <w:t xml:space="preserve"> </w:t>
            </w:r>
            <w:r>
              <w:rPr>
                <w:rFonts w:ascii="Book Antiqua" w:hAnsi="Book Antiqua"/>
                <w:b/>
                <w:bCs/>
                <w:lang w:val="en-US"/>
              </w:rPr>
              <w:t>SD</w:t>
            </w:r>
          </w:p>
        </w:tc>
        <w:tc>
          <w:tcPr>
            <w:tcW w:w="1810" w:type="dxa"/>
            <w:vMerge/>
            <w:tcBorders>
              <w:left w:val="nil"/>
              <w:right w:val="nil"/>
            </w:tcBorders>
            <w:shd w:val="clear" w:color="auto" w:fill="auto"/>
          </w:tcPr>
          <w:p w14:paraId="6C84B6F6" w14:textId="77777777" w:rsidR="00E910F7" w:rsidRPr="00E600F6" w:rsidRDefault="00E910F7" w:rsidP="00E600F6">
            <w:pPr>
              <w:adjustRightInd w:val="0"/>
              <w:snapToGrid w:val="0"/>
              <w:spacing w:after="0" w:line="360" w:lineRule="auto"/>
              <w:jc w:val="both"/>
              <w:rPr>
                <w:rFonts w:ascii="Book Antiqua" w:hAnsi="Book Antiqua"/>
                <w:i/>
                <w:iCs/>
              </w:rPr>
            </w:pPr>
          </w:p>
        </w:tc>
      </w:tr>
      <w:tr w:rsidR="00E910F7" w:rsidRPr="00E600F6" w14:paraId="179349C7" w14:textId="77777777" w:rsidTr="00430031">
        <w:trPr>
          <w:trHeight w:val="489"/>
        </w:trPr>
        <w:tc>
          <w:tcPr>
            <w:tcW w:w="4493" w:type="dxa"/>
            <w:vMerge/>
            <w:tcBorders>
              <w:left w:val="nil"/>
              <w:bottom w:val="single" w:sz="4" w:space="0" w:color="auto"/>
              <w:right w:val="nil"/>
            </w:tcBorders>
            <w:shd w:val="clear" w:color="auto" w:fill="auto"/>
          </w:tcPr>
          <w:p w14:paraId="5826A9AC" w14:textId="77777777" w:rsidR="00E910F7" w:rsidRPr="00E600F6" w:rsidRDefault="00E910F7" w:rsidP="00E600F6">
            <w:pPr>
              <w:adjustRightInd w:val="0"/>
              <w:snapToGrid w:val="0"/>
              <w:spacing w:after="0" w:line="360" w:lineRule="auto"/>
              <w:jc w:val="both"/>
              <w:rPr>
                <w:rFonts w:ascii="Book Antiqua" w:hAnsi="Book Antiqua"/>
                <w:b/>
                <w:bCs/>
              </w:rPr>
            </w:pPr>
          </w:p>
        </w:tc>
        <w:tc>
          <w:tcPr>
            <w:tcW w:w="1598" w:type="dxa"/>
            <w:tcBorders>
              <w:top w:val="nil"/>
              <w:left w:val="nil"/>
              <w:bottom w:val="single" w:sz="4" w:space="0" w:color="auto"/>
              <w:right w:val="nil"/>
            </w:tcBorders>
            <w:shd w:val="clear" w:color="auto" w:fill="auto"/>
          </w:tcPr>
          <w:p w14:paraId="5E480C4A" w14:textId="79D8BE46" w:rsidR="00E910F7" w:rsidRPr="00E600F6" w:rsidRDefault="00E910F7" w:rsidP="00E600F6">
            <w:pPr>
              <w:adjustRightInd w:val="0"/>
              <w:snapToGrid w:val="0"/>
              <w:spacing w:after="0" w:line="360" w:lineRule="auto"/>
              <w:jc w:val="both"/>
              <w:rPr>
                <w:rFonts w:ascii="Book Antiqua" w:hAnsi="Book Antiqua"/>
                <w:b/>
                <w:lang w:val="en-US"/>
              </w:rPr>
            </w:pPr>
            <w:r w:rsidRPr="003E396F">
              <w:rPr>
                <w:rFonts w:ascii="Book Antiqua" w:hAnsi="Book Antiqua"/>
                <w:b/>
                <w:i/>
                <w:lang w:val="en-US"/>
              </w:rPr>
              <w:t>n</w:t>
            </w:r>
            <w:r w:rsidRPr="00E600F6">
              <w:rPr>
                <w:rFonts w:ascii="Book Antiqua" w:hAnsi="Book Antiqua"/>
                <w:b/>
                <w:lang w:val="en-US"/>
              </w:rPr>
              <w:t xml:space="preserve"> = 134</w:t>
            </w:r>
          </w:p>
        </w:tc>
        <w:tc>
          <w:tcPr>
            <w:tcW w:w="1654" w:type="dxa"/>
            <w:tcBorders>
              <w:top w:val="nil"/>
              <w:left w:val="nil"/>
              <w:bottom w:val="single" w:sz="4" w:space="0" w:color="auto"/>
              <w:right w:val="nil"/>
            </w:tcBorders>
            <w:shd w:val="clear" w:color="auto" w:fill="auto"/>
          </w:tcPr>
          <w:p w14:paraId="0D0C66CD" w14:textId="4428824D" w:rsidR="00E910F7" w:rsidRPr="00E600F6" w:rsidRDefault="00E910F7" w:rsidP="00E600F6">
            <w:pPr>
              <w:adjustRightInd w:val="0"/>
              <w:snapToGrid w:val="0"/>
              <w:spacing w:after="0" w:line="360" w:lineRule="auto"/>
              <w:jc w:val="both"/>
              <w:rPr>
                <w:rFonts w:ascii="Book Antiqua" w:hAnsi="Book Antiqua"/>
                <w:b/>
                <w:lang w:val="en-US"/>
              </w:rPr>
            </w:pPr>
            <w:r w:rsidRPr="000838A4">
              <w:rPr>
                <w:rFonts w:ascii="Book Antiqua" w:hAnsi="Book Antiqua"/>
                <w:b/>
                <w:i/>
                <w:lang w:val="en-US"/>
              </w:rPr>
              <w:t>n</w:t>
            </w:r>
            <w:r w:rsidRPr="00E600F6">
              <w:rPr>
                <w:rFonts w:ascii="Book Antiqua" w:hAnsi="Book Antiqua"/>
                <w:b/>
                <w:lang w:val="en-US"/>
              </w:rPr>
              <w:t xml:space="preserve"> =  86</w:t>
            </w:r>
          </w:p>
        </w:tc>
        <w:tc>
          <w:tcPr>
            <w:tcW w:w="1748" w:type="dxa"/>
            <w:tcBorders>
              <w:top w:val="nil"/>
              <w:left w:val="nil"/>
              <w:bottom w:val="single" w:sz="4" w:space="0" w:color="auto"/>
              <w:right w:val="nil"/>
            </w:tcBorders>
            <w:shd w:val="clear" w:color="auto" w:fill="auto"/>
          </w:tcPr>
          <w:p w14:paraId="2FD079E0" w14:textId="30F93A28" w:rsidR="00E910F7" w:rsidRPr="00E600F6" w:rsidRDefault="00E910F7" w:rsidP="00E600F6">
            <w:pPr>
              <w:adjustRightInd w:val="0"/>
              <w:snapToGrid w:val="0"/>
              <w:spacing w:after="0" w:line="360" w:lineRule="auto"/>
              <w:jc w:val="both"/>
              <w:rPr>
                <w:rFonts w:ascii="Book Antiqua" w:hAnsi="Book Antiqua"/>
                <w:b/>
                <w:lang w:val="en-US"/>
              </w:rPr>
            </w:pPr>
            <w:r w:rsidRPr="00E910F7">
              <w:rPr>
                <w:rFonts w:ascii="Book Antiqua" w:hAnsi="Book Antiqua"/>
                <w:b/>
                <w:i/>
                <w:lang w:val="en-US"/>
              </w:rPr>
              <w:t>n</w:t>
            </w:r>
            <w:r w:rsidRPr="00E600F6">
              <w:rPr>
                <w:rFonts w:ascii="Book Antiqua" w:hAnsi="Book Antiqua"/>
                <w:b/>
                <w:lang w:val="en-US"/>
              </w:rPr>
              <w:t xml:space="preserve"> =  48</w:t>
            </w:r>
          </w:p>
        </w:tc>
        <w:tc>
          <w:tcPr>
            <w:tcW w:w="1810" w:type="dxa"/>
            <w:vMerge/>
            <w:tcBorders>
              <w:left w:val="nil"/>
              <w:bottom w:val="single" w:sz="4" w:space="0" w:color="auto"/>
              <w:right w:val="nil"/>
            </w:tcBorders>
            <w:shd w:val="clear" w:color="auto" w:fill="auto"/>
          </w:tcPr>
          <w:p w14:paraId="6BE05113" w14:textId="77777777" w:rsidR="00E910F7" w:rsidRPr="00E600F6" w:rsidRDefault="00E910F7" w:rsidP="00E600F6">
            <w:pPr>
              <w:adjustRightInd w:val="0"/>
              <w:snapToGrid w:val="0"/>
              <w:spacing w:after="0" w:line="360" w:lineRule="auto"/>
              <w:jc w:val="both"/>
              <w:rPr>
                <w:rFonts w:ascii="Book Antiqua" w:hAnsi="Book Antiqua"/>
                <w:i/>
                <w:iCs/>
              </w:rPr>
            </w:pPr>
          </w:p>
        </w:tc>
      </w:tr>
      <w:tr w:rsidR="00E600F6" w:rsidRPr="00E600F6" w14:paraId="469E8CAC" w14:textId="77777777" w:rsidTr="00412523">
        <w:trPr>
          <w:trHeight w:val="403"/>
        </w:trPr>
        <w:tc>
          <w:tcPr>
            <w:tcW w:w="4493" w:type="dxa"/>
            <w:tcBorders>
              <w:top w:val="single" w:sz="4" w:space="0" w:color="auto"/>
              <w:left w:val="nil"/>
              <w:bottom w:val="nil"/>
              <w:right w:val="nil"/>
            </w:tcBorders>
            <w:shd w:val="clear" w:color="auto" w:fill="auto"/>
          </w:tcPr>
          <w:p w14:paraId="1E177B67" w14:textId="22B7D010" w:rsidR="00E600F6" w:rsidRPr="00E600F6" w:rsidRDefault="004B4D85" w:rsidP="00E600F6">
            <w:pPr>
              <w:adjustRightInd w:val="0"/>
              <w:snapToGrid w:val="0"/>
              <w:spacing w:after="0" w:line="360" w:lineRule="auto"/>
              <w:jc w:val="both"/>
              <w:rPr>
                <w:rFonts w:ascii="Book Antiqua" w:hAnsi="Book Antiqua"/>
              </w:rPr>
            </w:pPr>
            <w:r>
              <w:rPr>
                <w:rFonts w:ascii="Book Antiqua" w:hAnsi="Book Antiqua"/>
              </w:rPr>
              <w:t>Age (yr</w:t>
            </w:r>
            <w:r w:rsidR="00E600F6" w:rsidRPr="00E600F6">
              <w:rPr>
                <w:rFonts w:ascii="Book Antiqua" w:hAnsi="Book Antiqua"/>
              </w:rPr>
              <w:t>)</w:t>
            </w:r>
          </w:p>
        </w:tc>
        <w:tc>
          <w:tcPr>
            <w:tcW w:w="1598" w:type="dxa"/>
            <w:tcBorders>
              <w:top w:val="single" w:sz="4" w:space="0" w:color="auto"/>
              <w:left w:val="nil"/>
              <w:bottom w:val="nil"/>
              <w:right w:val="nil"/>
            </w:tcBorders>
            <w:shd w:val="clear" w:color="auto" w:fill="auto"/>
          </w:tcPr>
          <w:p w14:paraId="05E5D113"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61.3 (12.8)</w:t>
            </w:r>
          </w:p>
        </w:tc>
        <w:tc>
          <w:tcPr>
            <w:tcW w:w="1654" w:type="dxa"/>
            <w:tcBorders>
              <w:top w:val="single" w:sz="4" w:space="0" w:color="auto"/>
              <w:left w:val="nil"/>
              <w:bottom w:val="nil"/>
              <w:right w:val="nil"/>
            </w:tcBorders>
            <w:shd w:val="clear" w:color="auto" w:fill="auto"/>
          </w:tcPr>
          <w:p w14:paraId="5C927149"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61.0 (12.1)</w:t>
            </w:r>
          </w:p>
        </w:tc>
        <w:tc>
          <w:tcPr>
            <w:tcW w:w="1748" w:type="dxa"/>
            <w:tcBorders>
              <w:top w:val="single" w:sz="4" w:space="0" w:color="auto"/>
              <w:left w:val="nil"/>
              <w:bottom w:val="nil"/>
              <w:right w:val="nil"/>
            </w:tcBorders>
            <w:shd w:val="clear" w:color="auto" w:fill="auto"/>
          </w:tcPr>
          <w:p w14:paraId="7910DDE0"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61.9 (14.1)</w:t>
            </w:r>
          </w:p>
        </w:tc>
        <w:tc>
          <w:tcPr>
            <w:tcW w:w="1810" w:type="dxa"/>
            <w:tcBorders>
              <w:top w:val="single" w:sz="4" w:space="0" w:color="auto"/>
              <w:left w:val="nil"/>
              <w:bottom w:val="nil"/>
              <w:right w:val="nil"/>
            </w:tcBorders>
            <w:shd w:val="clear" w:color="auto" w:fill="auto"/>
          </w:tcPr>
          <w:p w14:paraId="171CCAD8"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0.69</w:t>
            </w:r>
          </w:p>
        </w:tc>
      </w:tr>
      <w:tr w:rsidR="00E600F6" w:rsidRPr="00E600F6" w14:paraId="0CFAADDA" w14:textId="77777777" w:rsidTr="00412523">
        <w:trPr>
          <w:trHeight w:val="402"/>
        </w:trPr>
        <w:tc>
          <w:tcPr>
            <w:tcW w:w="4493" w:type="dxa"/>
            <w:tcBorders>
              <w:top w:val="nil"/>
              <w:left w:val="nil"/>
              <w:bottom w:val="nil"/>
              <w:right w:val="nil"/>
            </w:tcBorders>
            <w:shd w:val="clear" w:color="auto" w:fill="auto"/>
            <w:hideMark/>
          </w:tcPr>
          <w:p w14:paraId="4B8771E8"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Gender (male)</w:t>
            </w:r>
          </w:p>
        </w:tc>
        <w:tc>
          <w:tcPr>
            <w:tcW w:w="1598" w:type="dxa"/>
            <w:tcBorders>
              <w:top w:val="nil"/>
              <w:left w:val="nil"/>
              <w:bottom w:val="nil"/>
              <w:right w:val="nil"/>
            </w:tcBorders>
            <w:shd w:val="clear" w:color="auto" w:fill="auto"/>
            <w:hideMark/>
          </w:tcPr>
          <w:p w14:paraId="2629BFCD"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84 (62.7)</w:t>
            </w:r>
          </w:p>
        </w:tc>
        <w:tc>
          <w:tcPr>
            <w:tcW w:w="1654" w:type="dxa"/>
            <w:tcBorders>
              <w:top w:val="nil"/>
              <w:left w:val="nil"/>
              <w:bottom w:val="nil"/>
              <w:right w:val="nil"/>
            </w:tcBorders>
            <w:shd w:val="clear" w:color="auto" w:fill="auto"/>
          </w:tcPr>
          <w:p w14:paraId="2AAFF23E"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56 (65.1)</w:t>
            </w:r>
          </w:p>
        </w:tc>
        <w:tc>
          <w:tcPr>
            <w:tcW w:w="1748" w:type="dxa"/>
            <w:tcBorders>
              <w:top w:val="nil"/>
              <w:left w:val="nil"/>
              <w:bottom w:val="nil"/>
              <w:right w:val="nil"/>
            </w:tcBorders>
            <w:shd w:val="clear" w:color="auto" w:fill="auto"/>
          </w:tcPr>
          <w:p w14:paraId="3AECF50A"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28 (58.3)</w:t>
            </w:r>
          </w:p>
        </w:tc>
        <w:tc>
          <w:tcPr>
            <w:tcW w:w="1810" w:type="dxa"/>
            <w:tcBorders>
              <w:top w:val="nil"/>
              <w:left w:val="nil"/>
              <w:bottom w:val="nil"/>
              <w:right w:val="nil"/>
            </w:tcBorders>
            <w:shd w:val="clear" w:color="auto" w:fill="auto"/>
          </w:tcPr>
          <w:p w14:paraId="2F81432C"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0.43</w:t>
            </w:r>
          </w:p>
        </w:tc>
      </w:tr>
      <w:tr w:rsidR="00E600F6" w:rsidRPr="00E600F6" w14:paraId="17ECDD40" w14:textId="77777777" w:rsidTr="00412523">
        <w:trPr>
          <w:trHeight w:val="403"/>
        </w:trPr>
        <w:tc>
          <w:tcPr>
            <w:tcW w:w="4493" w:type="dxa"/>
            <w:tcBorders>
              <w:top w:val="nil"/>
              <w:left w:val="nil"/>
              <w:bottom w:val="nil"/>
              <w:right w:val="nil"/>
            </w:tcBorders>
            <w:shd w:val="clear" w:color="auto" w:fill="auto"/>
            <w:hideMark/>
          </w:tcPr>
          <w:p w14:paraId="07EC46E3"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vertAlign w:val="superscript"/>
              </w:rPr>
              <w:t>18</w:t>
            </w:r>
            <w:r w:rsidRPr="00E600F6">
              <w:rPr>
                <w:rFonts w:ascii="Book Antiqua" w:hAnsi="Book Antiqua"/>
              </w:rPr>
              <w:t>FDG PET/CT indications</w:t>
            </w:r>
          </w:p>
        </w:tc>
        <w:tc>
          <w:tcPr>
            <w:tcW w:w="1598" w:type="dxa"/>
            <w:tcBorders>
              <w:top w:val="nil"/>
              <w:left w:val="nil"/>
              <w:bottom w:val="nil"/>
              <w:right w:val="nil"/>
            </w:tcBorders>
            <w:shd w:val="clear" w:color="auto" w:fill="auto"/>
            <w:hideMark/>
          </w:tcPr>
          <w:p w14:paraId="0E6818E8" w14:textId="77777777" w:rsidR="00E600F6" w:rsidRPr="00E600F6" w:rsidRDefault="00E600F6" w:rsidP="00E600F6">
            <w:pPr>
              <w:adjustRightInd w:val="0"/>
              <w:snapToGrid w:val="0"/>
              <w:spacing w:after="0" w:line="360" w:lineRule="auto"/>
              <w:jc w:val="both"/>
              <w:rPr>
                <w:rFonts w:ascii="Book Antiqua" w:hAnsi="Book Antiqua"/>
              </w:rPr>
            </w:pPr>
          </w:p>
        </w:tc>
        <w:tc>
          <w:tcPr>
            <w:tcW w:w="1654" w:type="dxa"/>
            <w:tcBorders>
              <w:top w:val="nil"/>
              <w:left w:val="nil"/>
              <w:bottom w:val="nil"/>
              <w:right w:val="nil"/>
            </w:tcBorders>
            <w:shd w:val="clear" w:color="auto" w:fill="auto"/>
          </w:tcPr>
          <w:p w14:paraId="4A9036BA" w14:textId="77777777" w:rsidR="00E600F6" w:rsidRPr="00E600F6" w:rsidRDefault="00E600F6" w:rsidP="00E600F6">
            <w:pPr>
              <w:adjustRightInd w:val="0"/>
              <w:snapToGrid w:val="0"/>
              <w:spacing w:after="0" w:line="360" w:lineRule="auto"/>
              <w:jc w:val="both"/>
              <w:rPr>
                <w:rFonts w:ascii="Book Antiqua" w:hAnsi="Book Antiqua"/>
              </w:rPr>
            </w:pPr>
          </w:p>
        </w:tc>
        <w:tc>
          <w:tcPr>
            <w:tcW w:w="1748" w:type="dxa"/>
            <w:tcBorders>
              <w:top w:val="nil"/>
              <w:left w:val="nil"/>
              <w:bottom w:val="nil"/>
              <w:right w:val="nil"/>
            </w:tcBorders>
            <w:shd w:val="clear" w:color="auto" w:fill="auto"/>
          </w:tcPr>
          <w:p w14:paraId="19904B20" w14:textId="77777777" w:rsidR="00E600F6" w:rsidRPr="00E600F6" w:rsidRDefault="00E600F6" w:rsidP="00E600F6">
            <w:pPr>
              <w:adjustRightInd w:val="0"/>
              <w:snapToGrid w:val="0"/>
              <w:spacing w:after="0" w:line="360" w:lineRule="auto"/>
              <w:jc w:val="both"/>
              <w:rPr>
                <w:rFonts w:ascii="Book Antiqua" w:hAnsi="Book Antiqua"/>
              </w:rPr>
            </w:pPr>
          </w:p>
        </w:tc>
        <w:tc>
          <w:tcPr>
            <w:tcW w:w="1810" w:type="dxa"/>
            <w:tcBorders>
              <w:top w:val="nil"/>
              <w:left w:val="nil"/>
              <w:bottom w:val="nil"/>
              <w:right w:val="nil"/>
            </w:tcBorders>
            <w:shd w:val="clear" w:color="auto" w:fill="auto"/>
          </w:tcPr>
          <w:p w14:paraId="4F9EBE06"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0.42</w:t>
            </w:r>
          </w:p>
        </w:tc>
      </w:tr>
      <w:tr w:rsidR="00E600F6" w:rsidRPr="00E600F6" w14:paraId="4DDC6ED1" w14:textId="77777777" w:rsidTr="00412523">
        <w:trPr>
          <w:trHeight w:val="402"/>
        </w:trPr>
        <w:tc>
          <w:tcPr>
            <w:tcW w:w="4493" w:type="dxa"/>
            <w:tcBorders>
              <w:top w:val="nil"/>
              <w:left w:val="nil"/>
              <w:bottom w:val="nil"/>
              <w:right w:val="nil"/>
            </w:tcBorders>
            <w:shd w:val="clear" w:color="auto" w:fill="auto"/>
            <w:hideMark/>
          </w:tcPr>
          <w:p w14:paraId="74F09765"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Diagnosis</w:t>
            </w:r>
          </w:p>
        </w:tc>
        <w:tc>
          <w:tcPr>
            <w:tcW w:w="1598" w:type="dxa"/>
            <w:tcBorders>
              <w:top w:val="nil"/>
              <w:left w:val="nil"/>
              <w:bottom w:val="nil"/>
              <w:right w:val="nil"/>
            </w:tcBorders>
            <w:shd w:val="clear" w:color="auto" w:fill="auto"/>
            <w:hideMark/>
          </w:tcPr>
          <w:p w14:paraId="4CECF1E8"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20 (14.9)</w:t>
            </w:r>
          </w:p>
        </w:tc>
        <w:tc>
          <w:tcPr>
            <w:tcW w:w="1654" w:type="dxa"/>
            <w:tcBorders>
              <w:top w:val="nil"/>
              <w:left w:val="nil"/>
              <w:bottom w:val="nil"/>
              <w:right w:val="nil"/>
            </w:tcBorders>
            <w:shd w:val="clear" w:color="auto" w:fill="auto"/>
          </w:tcPr>
          <w:p w14:paraId="390920A2"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10 (11.6)</w:t>
            </w:r>
          </w:p>
        </w:tc>
        <w:tc>
          <w:tcPr>
            <w:tcW w:w="1748" w:type="dxa"/>
            <w:tcBorders>
              <w:top w:val="nil"/>
              <w:left w:val="nil"/>
              <w:bottom w:val="nil"/>
              <w:right w:val="nil"/>
            </w:tcBorders>
            <w:shd w:val="clear" w:color="auto" w:fill="auto"/>
          </w:tcPr>
          <w:p w14:paraId="2E35A80A"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10 (20.8)</w:t>
            </w:r>
          </w:p>
        </w:tc>
        <w:tc>
          <w:tcPr>
            <w:tcW w:w="1810" w:type="dxa"/>
            <w:tcBorders>
              <w:top w:val="nil"/>
              <w:left w:val="nil"/>
              <w:bottom w:val="nil"/>
              <w:right w:val="nil"/>
            </w:tcBorders>
            <w:shd w:val="clear" w:color="auto" w:fill="auto"/>
          </w:tcPr>
          <w:p w14:paraId="5B7C6285" w14:textId="77777777" w:rsidR="00E600F6" w:rsidRPr="00E600F6" w:rsidRDefault="00E600F6" w:rsidP="00E600F6">
            <w:pPr>
              <w:adjustRightInd w:val="0"/>
              <w:snapToGrid w:val="0"/>
              <w:spacing w:after="0" w:line="360" w:lineRule="auto"/>
              <w:jc w:val="both"/>
              <w:rPr>
                <w:rFonts w:ascii="Book Antiqua" w:hAnsi="Book Antiqua"/>
              </w:rPr>
            </w:pPr>
          </w:p>
        </w:tc>
      </w:tr>
      <w:tr w:rsidR="00E600F6" w:rsidRPr="00E600F6" w14:paraId="63DD4204" w14:textId="77777777" w:rsidTr="00412523">
        <w:trPr>
          <w:trHeight w:val="402"/>
        </w:trPr>
        <w:tc>
          <w:tcPr>
            <w:tcW w:w="4493" w:type="dxa"/>
            <w:tcBorders>
              <w:top w:val="nil"/>
              <w:left w:val="nil"/>
              <w:bottom w:val="nil"/>
              <w:right w:val="nil"/>
            </w:tcBorders>
            <w:shd w:val="clear" w:color="auto" w:fill="auto"/>
            <w:hideMark/>
          </w:tcPr>
          <w:p w14:paraId="1C943459" w14:textId="77777777" w:rsidR="00E600F6" w:rsidRPr="00E600F6" w:rsidRDefault="00E600F6" w:rsidP="00E600F6">
            <w:pPr>
              <w:adjustRightInd w:val="0"/>
              <w:snapToGrid w:val="0"/>
              <w:spacing w:after="0" w:line="360" w:lineRule="auto"/>
              <w:jc w:val="both"/>
              <w:rPr>
                <w:rFonts w:ascii="Book Antiqua" w:hAnsi="Book Antiqua"/>
                <w:lang w:val="en-US"/>
              </w:rPr>
            </w:pPr>
            <w:r w:rsidRPr="00E600F6">
              <w:rPr>
                <w:rFonts w:ascii="Book Antiqua" w:hAnsi="Book Antiqua"/>
                <w:lang w:val="en-US"/>
              </w:rPr>
              <w:t>Follow-up of a known cancer</w:t>
            </w:r>
          </w:p>
        </w:tc>
        <w:tc>
          <w:tcPr>
            <w:tcW w:w="1598" w:type="dxa"/>
            <w:tcBorders>
              <w:top w:val="nil"/>
              <w:left w:val="nil"/>
              <w:bottom w:val="nil"/>
              <w:right w:val="nil"/>
            </w:tcBorders>
            <w:shd w:val="clear" w:color="auto" w:fill="auto"/>
            <w:hideMark/>
          </w:tcPr>
          <w:p w14:paraId="7CA90DCC"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47 (35.1)</w:t>
            </w:r>
          </w:p>
        </w:tc>
        <w:tc>
          <w:tcPr>
            <w:tcW w:w="1654" w:type="dxa"/>
            <w:tcBorders>
              <w:top w:val="nil"/>
              <w:left w:val="nil"/>
              <w:bottom w:val="nil"/>
              <w:right w:val="nil"/>
            </w:tcBorders>
            <w:shd w:val="clear" w:color="auto" w:fill="auto"/>
          </w:tcPr>
          <w:p w14:paraId="7C8358A5"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32 (37.2)</w:t>
            </w:r>
          </w:p>
        </w:tc>
        <w:tc>
          <w:tcPr>
            <w:tcW w:w="1748" w:type="dxa"/>
            <w:tcBorders>
              <w:top w:val="nil"/>
              <w:left w:val="nil"/>
              <w:bottom w:val="nil"/>
              <w:right w:val="nil"/>
            </w:tcBorders>
            <w:shd w:val="clear" w:color="auto" w:fill="auto"/>
          </w:tcPr>
          <w:p w14:paraId="55ECB6CA"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15 (31.3)</w:t>
            </w:r>
          </w:p>
        </w:tc>
        <w:tc>
          <w:tcPr>
            <w:tcW w:w="1810" w:type="dxa"/>
            <w:tcBorders>
              <w:top w:val="nil"/>
              <w:left w:val="nil"/>
              <w:bottom w:val="nil"/>
              <w:right w:val="nil"/>
            </w:tcBorders>
            <w:shd w:val="clear" w:color="auto" w:fill="auto"/>
          </w:tcPr>
          <w:p w14:paraId="752D3F2B" w14:textId="77777777" w:rsidR="00E600F6" w:rsidRPr="00E600F6" w:rsidRDefault="00E600F6" w:rsidP="00E600F6">
            <w:pPr>
              <w:adjustRightInd w:val="0"/>
              <w:snapToGrid w:val="0"/>
              <w:spacing w:after="0" w:line="360" w:lineRule="auto"/>
              <w:jc w:val="both"/>
              <w:rPr>
                <w:rFonts w:ascii="Book Antiqua" w:hAnsi="Book Antiqua"/>
              </w:rPr>
            </w:pPr>
          </w:p>
        </w:tc>
      </w:tr>
      <w:tr w:rsidR="00E600F6" w:rsidRPr="00E600F6" w14:paraId="37E8C3FA" w14:textId="77777777" w:rsidTr="00412523">
        <w:trPr>
          <w:trHeight w:val="402"/>
        </w:trPr>
        <w:tc>
          <w:tcPr>
            <w:tcW w:w="4493" w:type="dxa"/>
            <w:tcBorders>
              <w:top w:val="nil"/>
              <w:left w:val="nil"/>
              <w:bottom w:val="nil"/>
              <w:right w:val="nil"/>
            </w:tcBorders>
            <w:shd w:val="clear" w:color="auto" w:fill="auto"/>
            <w:hideMark/>
          </w:tcPr>
          <w:p w14:paraId="3A3A74C9" w14:textId="77777777" w:rsidR="00E600F6" w:rsidRPr="00E600F6" w:rsidRDefault="00E600F6" w:rsidP="00E600F6">
            <w:pPr>
              <w:adjustRightInd w:val="0"/>
              <w:snapToGrid w:val="0"/>
              <w:spacing w:after="0" w:line="360" w:lineRule="auto"/>
              <w:jc w:val="both"/>
              <w:rPr>
                <w:rFonts w:ascii="Book Antiqua" w:hAnsi="Book Antiqua"/>
                <w:lang w:val="en-US"/>
              </w:rPr>
            </w:pPr>
            <w:r w:rsidRPr="00E600F6">
              <w:rPr>
                <w:rFonts w:ascii="Book Antiqua" w:hAnsi="Book Antiqua"/>
                <w:lang w:val="en-US"/>
              </w:rPr>
              <w:t>Staging of a known cancer</w:t>
            </w:r>
          </w:p>
        </w:tc>
        <w:tc>
          <w:tcPr>
            <w:tcW w:w="1598" w:type="dxa"/>
            <w:tcBorders>
              <w:top w:val="nil"/>
              <w:left w:val="nil"/>
              <w:bottom w:val="nil"/>
              <w:right w:val="nil"/>
            </w:tcBorders>
            <w:shd w:val="clear" w:color="auto" w:fill="auto"/>
            <w:hideMark/>
          </w:tcPr>
          <w:p w14:paraId="6F9F1AFC"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45 (33.6)</w:t>
            </w:r>
          </w:p>
        </w:tc>
        <w:tc>
          <w:tcPr>
            <w:tcW w:w="1654" w:type="dxa"/>
            <w:tcBorders>
              <w:top w:val="nil"/>
              <w:left w:val="nil"/>
              <w:bottom w:val="nil"/>
              <w:right w:val="nil"/>
            </w:tcBorders>
            <w:shd w:val="clear" w:color="auto" w:fill="auto"/>
          </w:tcPr>
          <w:p w14:paraId="45DB18D4"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32 (37.2)</w:t>
            </w:r>
          </w:p>
        </w:tc>
        <w:tc>
          <w:tcPr>
            <w:tcW w:w="1748" w:type="dxa"/>
            <w:tcBorders>
              <w:top w:val="nil"/>
              <w:left w:val="nil"/>
              <w:bottom w:val="nil"/>
              <w:right w:val="nil"/>
            </w:tcBorders>
            <w:shd w:val="clear" w:color="auto" w:fill="auto"/>
          </w:tcPr>
          <w:p w14:paraId="01544A6C"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13 (27.1)</w:t>
            </w:r>
          </w:p>
        </w:tc>
        <w:tc>
          <w:tcPr>
            <w:tcW w:w="1810" w:type="dxa"/>
            <w:tcBorders>
              <w:top w:val="nil"/>
              <w:left w:val="nil"/>
              <w:bottom w:val="nil"/>
              <w:right w:val="nil"/>
            </w:tcBorders>
            <w:shd w:val="clear" w:color="auto" w:fill="auto"/>
          </w:tcPr>
          <w:p w14:paraId="19B7B6B4" w14:textId="77777777" w:rsidR="00E600F6" w:rsidRPr="00E600F6" w:rsidRDefault="00E600F6" w:rsidP="00E600F6">
            <w:pPr>
              <w:adjustRightInd w:val="0"/>
              <w:snapToGrid w:val="0"/>
              <w:spacing w:after="0" w:line="360" w:lineRule="auto"/>
              <w:jc w:val="both"/>
              <w:rPr>
                <w:rFonts w:ascii="Book Antiqua" w:hAnsi="Book Antiqua"/>
              </w:rPr>
            </w:pPr>
          </w:p>
        </w:tc>
      </w:tr>
      <w:tr w:rsidR="00E600F6" w:rsidRPr="00E600F6" w14:paraId="483203BE" w14:textId="77777777" w:rsidTr="00412523">
        <w:trPr>
          <w:trHeight w:val="403"/>
        </w:trPr>
        <w:tc>
          <w:tcPr>
            <w:tcW w:w="4493" w:type="dxa"/>
            <w:tcBorders>
              <w:top w:val="nil"/>
              <w:left w:val="nil"/>
              <w:bottom w:val="nil"/>
              <w:right w:val="nil"/>
            </w:tcBorders>
            <w:shd w:val="clear" w:color="auto" w:fill="auto"/>
            <w:hideMark/>
          </w:tcPr>
          <w:p w14:paraId="77B30FB7" w14:textId="77777777" w:rsidR="00E600F6" w:rsidRPr="00E600F6" w:rsidRDefault="00E600F6" w:rsidP="00E600F6">
            <w:pPr>
              <w:adjustRightInd w:val="0"/>
              <w:snapToGrid w:val="0"/>
              <w:spacing w:after="0" w:line="360" w:lineRule="auto"/>
              <w:jc w:val="both"/>
              <w:rPr>
                <w:rFonts w:ascii="Book Antiqua" w:hAnsi="Book Antiqua"/>
                <w:lang w:val="en-US"/>
              </w:rPr>
            </w:pPr>
            <w:r w:rsidRPr="00E600F6">
              <w:rPr>
                <w:rFonts w:ascii="Book Antiqua" w:hAnsi="Book Antiqua"/>
                <w:lang w:val="en-US"/>
              </w:rPr>
              <w:t xml:space="preserve">Suspicion of cancer recurrence </w:t>
            </w:r>
          </w:p>
        </w:tc>
        <w:tc>
          <w:tcPr>
            <w:tcW w:w="1598" w:type="dxa"/>
            <w:tcBorders>
              <w:top w:val="nil"/>
              <w:left w:val="nil"/>
              <w:bottom w:val="nil"/>
              <w:right w:val="nil"/>
            </w:tcBorders>
            <w:shd w:val="clear" w:color="auto" w:fill="auto"/>
            <w:hideMark/>
          </w:tcPr>
          <w:p w14:paraId="2B6EE96D"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17 (12.7)</w:t>
            </w:r>
          </w:p>
        </w:tc>
        <w:tc>
          <w:tcPr>
            <w:tcW w:w="1654" w:type="dxa"/>
            <w:tcBorders>
              <w:top w:val="nil"/>
              <w:left w:val="nil"/>
              <w:bottom w:val="nil"/>
              <w:right w:val="nil"/>
            </w:tcBorders>
            <w:shd w:val="clear" w:color="auto" w:fill="auto"/>
          </w:tcPr>
          <w:p w14:paraId="58FDBD82"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9 (10.5)</w:t>
            </w:r>
          </w:p>
        </w:tc>
        <w:tc>
          <w:tcPr>
            <w:tcW w:w="1748" w:type="dxa"/>
            <w:tcBorders>
              <w:top w:val="nil"/>
              <w:left w:val="nil"/>
              <w:bottom w:val="nil"/>
              <w:right w:val="nil"/>
            </w:tcBorders>
            <w:shd w:val="clear" w:color="auto" w:fill="auto"/>
          </w:tcPr>
          <w:p w14:paraId="195C05F0"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8 (16.7)</w:t>
            </w:r>
          </w:p>
        </w:tc>
        <w:tc>
          <w:tcPr>
            <w:tcW w:w="1810" w:type="dxa"/>
            <w:tcBorders>
              <w:top w:val="nil"/>
              <w:left w:val="nil"/>
              <w:bottom w:val="nil"/>
              <w:right w:val="nil"/>
            </w:tcBorders>
            <w:shd w:val="clear" w:color="auto" w:fill="auto"/>
          </w:tcPr>
          <w:p w14:paraId="7A5C7644" w14:textId="77777777" w:rsidR="00E600F6" w:rsidRPr="00E600F6" w:rsidRDefault="00E600F6" w:rsidP="00E600F6">
            <w:pPr>
              <w:adjustRightInd w:val="0"/>
              <w:snapToGrid w:val="0"/>
              <w:spacing w:after="0" w:line="360" w:lineRule="auto"/>
              <w:jc w:val="both"/>
              <w:rPr>
                <w:rFonts w:ascii="Book Antiqua" w:hAnsi="Book Antiqua"/>
              </w:rPr>
            </w:pPr>
          </w:p>
        </w:tc>
      </w:tr>
      <w:tr w:rsidR="00E600F6" w:rsidRPr="00E600F6" w14:paraId="27D1A919" w14:textId="77777777" w:rsidTr="00412523">
        <w:trPr>
          <w:trHeight w:val="682"/>
        </w:trPr>
        <w:tc>
          <w:tcPr>
            <w:tcW w:w="4493" w:type="dxa"/>
            <w:tcBorders>
              <w:top w:val="nil"/>
              <w:left w:val="nil"/>
              <w:bottom w:val="nil"/>
              <w:right w:val="nil"/>
            </w:tcBorders>
            <w:shd w:val="clear" w:color="auto" w:fill="auto"/>
          </w:tcPr>
          <w:p w14:paraId="41C65F39" w14:textId="77777777" w:rsidR="00E600F6" w:rsidRPr="00E600F6" w:rsidRDefault="00E600F6" w:rsidP="00E600F6">
            <w:pPr>
              <w:adjustRightInd w:val="0"/>
              <w:snapToGrid w:val="0"/>
              <w:spacing w:after="0" w:line="360" w:lineRule="auto"/>
              <w:jc w:val="both"/>
              <w:rPr>
                <w:rFonts w:ascii="Book Antiqua" w:hAnsi="Book Antiqua"/>
                <w:lang w:val="en-US"/>
              </w:rPr>
            </w:pPr>
            <w:r w:rsidRPr="00E600F6">
              <w:rPr>
                <w:rFonts w:ascii="Book Antiqua" w:hAnsi="Book Antiqua"/>
                <w:lang w:val="en-US"/>
              </w:rPr>
              <w:t>Diagnosis of infectious/inflammatory disease</w:t>
            </w:r>
          </w:p>
        </w:tc>
        <w:tc>
          <w:tcPr>
            <w:tcW w:w="1598" w:type="dxa"/>
            <w:tcBorders>
              <w:top w:val="nil"/>
              <w:left w:val="nil"/>
              <w:bottom w:val="nil"/>
              <w:right w:val="nil"/>
            </w:tcBorders>
            <w:shd w:val="clear" w:color="auto" w:fill="auto"/>
          </w:tcPr>
          <w:p w14:paraId="723FE752"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5 (3.7)</w:t>
            </w:r>
          </w:p>
          <w:p w14:paraId="189A17EC" w14:textId="77777777" w:rsidR="00E600F6" w:rsidRPr="00E600F6" w:rsidRDefault="00E600F6" w:rsidP="00E600F6">
            <w:pPr>
              <w:adjustRightInd w:val="0"/>
              <w:snapToGrid w:val="0"/>
              <w:spacing w:after="0" w:line="360" w:lineRule="auto"/>
              <w:jc w:val="both"/>
              <w:rPr>
                <w:rFonts w:ascii="Book Antiqua" w:hAnsi="Book Antiqua"/>
              </w:rPr>
            </w:pPr>
          </w:p>
        </w:tc>
        <w:tc>
          <w:tcPr>
            <w:tcW w:w="1654" w:type="dxa"/>
            <w:tcBorders>
              <w:top w:val="nil"/>
              <w:left w:val="nil"/>
              <w:bottom w:val="nil"/>
              <w:right w:val="nil"/>
            </w:tcBorders>
            <w:shd w:val="clear" w:color="auto" w:fill="auto"/>
          </w:tcPr>
          <w:p w14:paraId="6A947832"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3 (3.5)</w:t>
            </w:r>
          </w:p>
        </w:tc>
        <w:tc>
          <w:tcPr>
            <w:tcW w:w="1748" w:type="dxa"/>
            <w:tcBorders>
              <w:top w:val="nil"/>
              <w:left w:val="nil"/>
              <w:bottom w:val="nil"/>
              <w:right w:val="nil"/>
            </w:tcBorders>
            <w:shd w:val="clear" w:color="auto" w:fill="auto"/>
          </w:tcPr>
          <w:p w14:paraId="5CD41098"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2 (4.2)</w:t>
            </w:r>
          </w:p>
        </w:tc>
        <w:tc>
          <w:tcPr>
            <w:tcW w:w="1810" w:type="dxa"/>
            <w:tcBorders>
              <w:top w:val="nil"/>
              <w:left w:val="nil"/>
              <w:bottom w:val="nil"/>
              <w:right w:val="nil"/>
            </w:tcBorders>
            <w:shd w:val="clear" w:color="auto" w:fill="auto"/>
          </w:tcPr>
          <w:p w14:paraId="4E8D8FC7" w14:textId="77777777" w:rsidR="00E600F6" w:rsidRPr="00E600F6" w:rsidRDefault="00E600F6" w:rsidP="00E600F6">
            <w:pPr>
              <w:adjustRightInd w:val="0"/>
              <w:snapToGrid w:val="0"/>
              <w:spacing w:after="0" w:line="360" w:lineRule="auto"/>
              <w:jc w:val="both"/>
              <w:rPr>
                <w:rFonts w:ascii="Book Antiqua" w:hAnsi="Book Antiqua"/>
              </w:rPr>
            </w:pPr>
          </w:p>
        </w:tc>
      </w:tr>
      <w:tr w:rsidR="00E600F6" w:rsidRPr="00E600F6" w14:paraId="1709071D" w14:textId="77777777" w:rsidTr="00412523">
        <w:trPr>
          <w:trHeight w:val="402"/>
        </w:trPr>
        <w:tc>
          <w:tcPr>
            <w:tcW w:w="4493" w:type="dxa"/>
            <w:tcBorders>
              <w:top w:val="nil"/>
              <w:left w:val="nil"/>
              <w:bottom w:val="nil"/>
              <w:right w:val="nil"/>
            </w:tcBorders>
            <w:shd w:val="clear" w:color="auto" w:fill="auto"/>
            <w:hideMark/>
          </w:tcPr>
          <w:p w14:paraId="3150FBD3"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Primitive cancer</w:t>
            </w:r>
          </w:p>
        </w:tc>
        <w:tc>
          <w:tcPr>
            <w:tcW w:w="1598" w:type="dxa"/>
            <w:tcBorders>
              <w:top w:val="nil"/>
              <w:left w:val="nil"/>
              <w:bottom w:val="nil"/>
              <w:right w:val="nil"/>
            </w:tcBorders>
            <w:shd w:val="clear" w:color="auto" w:fill="auto"/>
            <w:hideMark/>
          </w:tcPr>
          <w:p w14:paraId="0AD99C08" w14:textId="77777777" w:rsidR="00E600F6" w:rsidRPr="00E600F6" w:rsidRDefault="00E600F6" w:rsidP="00E600F6">
            <w:pPr>
              <w:adjustRightInd w:val="0"/>
              <w:snapToGrid w:val="0"/>
              <w:spacing w:after="0" w:line="360" w:lineRule="auto"/>
              <w:jc w:val="both"/>
              <w:rPr>
                <w:rFonts w:ascii="Book Antiqua" w:hAnsi="Book Antiqua"/>
              </w:rPr>
            </w:pPr>
          </w:p>
        </w:tc>
        <w:tc>
          <w:tcPr>
            <w:tcW w:w="1654" w:type="dxa"/>
            <w:tcBorders>
              <w:top w:val="nil"/>
              <w:left w:val="nil"/>
              <w:bottom w:val="nil"/>
              <w:right w:val="nil"/>
            </w:tcBorders>
            <w:shd w:val="clear" w:color="auto" w:fill="auto"/>
          </w:tcPr>
          <w:p w14:paraId="5943923B" w14:textId="77777777" w:rsidR="00E600F6" w:rsidRPr="00E600F6" w:rsidRDefault="00E600F6" w:rsidP="00E600F6">
            <w:pPr>
              <w:adjustRightInd w:val="0"/>
              <w:snapToGrid w:val="0"/>
              <w:spacing w:after="0" w:line="360" w:lineRule="auto"/>
              <w:jc w:val="both"/>
              <w:rPr>
                <w:rFonts w:ascii="Book Antiqua" w:hAnsi="Book Antiqua"/>
              </w:rPr>
            </w:pPr>
          </w:p>
        </w:tc>
        <w:tc>
          <w:tcPr>
            <w:tcW w:w="1748" w:type="dxa"/>
            <w:tcBorders>
              <w:top w:val="nil"/>
              <w:left w:val="nil"/>
              <w:bottom w:val="nil"/>
              <w:right w:val="nil"/>
            </w:tcBorders>
            <w:shd w:val="clear" w:color="auto" w:fill="auto"/>
          </w:tcPr>
          <w:p w14:paraId="104DCB89" w14:textId="77777777" w:rsidR="00E600F6" w:rsidRPr="00E600F6" w:rsidRDefault="00E600F6" w:rsidP="00E600F6">
            <w:pPr>
              <w:adjustRightInd w:val="0"/>
              <w:snapToGrid w:val="0"/>
              <w:spacing w:after="0" w:line="360" w:lineRule="auto"/>
              <w:jc w:val="both"/>
              <w:rPr>
                <w:rFonts w:ascii="Book Antiqua" w:hAnsi="Book Antiqua"/>
              </w:rPr>
            </w:pPr>
          </w:p>
        </w:tc>
        <w:tc>
          <w:tcPr>
            <w:tcW w:w="1810" w:type="dxa"/>
            <w:tcBorders>
              <w:top w:val="nil"/>
              <w:left w:val="nil"/>
              <w:bottom w:val="nil"/>
              <w:right w:val="nil"/>
            </w:tcBorders>
            <w:shd w:val="clear" w:color="auto" w:fill="auto"/>
          </w:tcPr>
          <w:p w14:paraId="1386020A"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0.13</w:t>
            </w:r>
          </w:p>
        </w:tc>
      </w:tr>
      <w:tr w:rsidR="00E600F6" w:rsidRPr="00E600F6" w14:paraId="6F4EAF56" w14:textId="77777777" w:rsidTr="00412523">
        <w:trPr>
          <w:trHeight w:val="402"/>
        </w:trPr>
        <w:tc>
          <w:tcPr>
            <w:tcW w:w="4493" w:type="dxa"/>
            <w:tcBorders>
              <w:top w:val="nil"/>
              <w:left w:val="nil"/>
              <w:bottom w:val="nil"/>
              <w:right w:val="nil"/>
            </w:tcBorders>
            <w:shd w:val="clear" w:color="auto" w:fill="auto"/>
            <w:hideMark/>
          </w:tcPr>
          <w:p w14:paraId="50628FF8"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 xml:space="preserve">Hematological cancer </w:t>
            </w:r>
          </w:p>
        </w:tc>
        <w:tc>
          <w:tcPr>
            <w:tcW w:w="1598" w:type="dxa"/>
            <w:tcBorders>
              <w:top w:val="nil"/>
              <w:left w:val="nil"/>
              <w:bottom w:val="nil"/>
              <w:right w:val="nil"/>
            </w:tcBorders>
            <w:shd w:val="clear" w:color="auto" w:fill="auto"/>
            <w:hideMark/>
          </w:tcPr>
          <w:p w14:paraId="7039EBEA"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22 (16.4)</w:t>
            </w:r>
          </w:p>
        </w:tc>
        <w:tc>
          <w:tcPr>
            <w:tcW w:w="1654" w:type="dxa"/>
            <w:tcBorders>
              <w:top w:val="nil"/>
              <w:left w:val="nil"/>
              <w:bottom w:val="nil"/>
              <w:right w:val="nil"/>
            </w:tcBorders>
            <w:shd w:val="clear" w:color="auto" w:fill="auto"/>
          </w:tcPr>
          <w:p w14:paraId="791C7381"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17 (20.0)</w:t>
            </w:r>
          </w:p>
        </w:tc>
        <w:tc>
          <w:tcPr>
            <w:tcW w:w="1748" w:type="dxa"/>
            <w:tcBorders>
              <w:top w:val="nil"/>
              <w:left w:val="nil"/>
              <w:bottom w:val="nil"/>
              <w:right w:val="nil"/>
            </w:tcBorders>
            <w:shd w:val="clear" w:color="auto" w:fill="auto"/>
          </w:tcPr>
          <w:p w14:paraId="538813AC"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5 (10.5)</w:t>
            </w:r>
          </w:p>
        </w:tc>
        <w:tc>
          <w:tcPr>
            <w:tcW w:w="1810" w:type="dxa"/>
            <w:tcBorders>
              <w:top w:val="nil"/>
              <w:left w:val="nil"/>
              <w:bottom w:val="nil"/>
              <w:right w:val="nil"/>
            </w:tcBorders>
            <w:shd w:val="clear" w:color="auto" w:fill="auto"/>
          </w:tcPr>
          <w:p w14:paraId="26679869" w14:textId="77777777" w:rsidR="00E600F6" w:rsidRPr="00E600F6" w:rsidRDefault="00E600F6" w:rsidP="00E600F6">
            <w:pPr>
              <w:adjustRightInd w:val="0"/>
              <w:snapToGrid w:val="0"/>
              <w:spacing w:after="0" w:line="360" w:lineRule="auto"/>
              <w:jc w:val="both"/>
              <w:rPr>
                <w:rFonts w:ascii="Book Antiqua" w:hAnsi="Book Antiqua"/>
              </w:rPr>
            </w:pPr>
          </w:p>
        </w:tc>
      </w:tr>
      <w:tr w:rsidR="00E600F6" w:rsidRPr="00E600F6" w14:paraId="4847BE0D" w14:textId="77777777" w:rsidTr="00412523">
        <w:trPr>
          <w:trHeight w:val="402"/>
        </w:trPr>
        <w:tc>
          <w:tcPr>
            <w:tcW w:w="4493" w:type="dxa"/>
            <w:tcBorders>
              <w:top w:val="nil"/>
              <w:left w:val="nil"/>
              <w:bottom w:val="nil"/>
              <w:right w:val="nil"/>
            </w:tcBorders>
            <w:shd w:val="clear" w:color="auto" w:fill="auto"/>
            <w:hideMark/>
          </w:tcPr>
          <w:p w14:paraId="38A9631D"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Head and neck cancer</w:t>
            </w:r>
          </w:p>
        </w:tc>
        <w:tc>
          <w:tcPr>
            <w:tcW w:w="1598" w:type="dxa"/>
            <w:tcBorders>
              <w:top w:val="nil"/>
              <w:left w:val="nil"/>
              <w:bottom w:val="nil"/>
              <w:right w:val="nil"/>
            </w:tcBorders>
            <w:shd w:val="clear" w:color="auto" w:fill="auto"/>
            <w:hideMark/>
          </w:tcPr>
          <w:p w14:paraId="554C2687"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14 (10.4)</w:t>
            </w:r>
          </w:p>
        </w:tc>
        <w:tc>
          <w:tcPr>
            <w:tcW w:w="1654" w:type="dxa"/>
            <w:tcBorders>
              <w:top w:val="nil"/>
              <w:left w:val="nil"/>
              <w:bottom w:val="nil"/>
              <w:right w:val="nil"/>
            </w:tcBorders>
            <w:shd w:val="clear" w:color="auto" w:fill="auto"/>
          </w:tcPr>
          <w:p w14:paraId="656EDE76"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9 (10.5)</w:t>
            </w:r>
          </w:p>
        </w:tc>
        <w:tc>
          <w:tcPr>
            <w:tcW w:w="1748" w:type="dxa"/>
            <w:tcBorders>
              <w:top w:val="nil"/>
              <w:left w:val="nil"/>
              <w:bottom w:val="nil"/>
              <w:right w:val="nil"/>
            </w:tcBorders>
            <w:shd w:val="clear" w:color="auto" w:fill="auto"/>
          </w:tcPr>
          <w:p w14:paraId="69593167"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5 (10.4)</w:t>
            </w:r>
          </w:p>
        </w:tc>
        <w:tc>
          <w:tcPr>
            <w:tcW w:w="1810" w:type="dxa"/>
            <w:tcBorders>
              <w:top w:val="nil"/>
              <w:left w:val="nil"/>
              <w:bottom w:val="nil"/>
              <w:right w:val="nil"/>
            </w:tcBorders>
            <w:shd w:val="clear" w:color="auto" w:fill="auto"/>
          </w:tcPr>
          <w:p w14:paraId="1DC922C6" w14:textId="77777777" w:rsidR="00E600F6" w:rsidRPr="00E600F6" w:rsidRDefault="00E600F6" w:rsidP="00E600F6">
            <w:pPr>
              <w:adjustRightInd w:val="0"/>
              <w:snapToGrid w:val="0"/>
              <w:spacing w:after="0" w:line="360" w:lineRule="auto"/>
              <w:jc w:val="both"/>
              <w:rPr>
                <w:rFonts w:ascii="Book Antiqua" w:hAnsi="Book Antiqua"/>
              </w:rPr>
            </w:pPr>
          </w:p>
        </w:tc>
      </w:tr>
      <w:tr w:rsidR="00E600F6" w:rsidRPr="00E600F6" w14:paraId="41F82969" w14:textId="77777777" w:rsidTr="00412523">
        <w:trPr>
          <w:trHeight w:val="402"/>
        </w:trPr>
        <w:tc>
          <w:tcPr>
            <w:tcW w:w="4493" w:type="dxa"/>
            <w:tcBorders>
              <w:top w:val="nil"/>
              <w:left w:val="nil"/>
              <w:bottom w:val="nil"/>
              <w:right w:val="nil"/>
            </w:tcBorders>
            <w:shd w:val="clear" w:color="auto" w:fill="auto"/>
            <w:hideMark/>
          </w:tcPr>
          <w:p w14:paraId="0352D470"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Lung cancer</w:t>
            </w:r>
          </w:p>
        </w:tc>
        <w:tc>
          <w:tcPr>
            <w:tcW w:w="1598" w:type="dxa"/>
            <w:tcBorders>
              <w:top w:val="nil"/>
              <w:left w:val="nil"/>
              <w:bottom w:val="nil"/>
              <w:right w:val="nil"/>
            </w:tcBorders>
            <w:shd w:val="clear" w:color="auto" w:fill="auto"/>
            <w:hideMark/>
          </w:tcPr>
          <w:p w14:paraId="1BAC8CC1"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25 (18.6)</w:t>
            </w:r>
          </w:p>
        </w:tc>
        <w:tc>
          <w:tcPr>
            <w:tcW w:w="1654" w:type="dxa"/>
            <w:tcBorders>
              <w:top w:val="nil"/>
              <w:left w:val="nil"/>
              <w:bottom w:val="nil"/>
              <w:right w:val="nil"/>
            </w:tcBorders>
            <w:shd w:val="clear" w:color="auto" w:fill="auto"/>
          </w:tcPr>
          <w:p w14:paraId="45A08735"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21 (24.4)</w:t>
            </w:r>
          </w:p>
        </w:tc>
        <w:tc>
          <w:tcPr>
            <w:tcW w:w="1748" w:type="dxa"/>
            <w:tcBorders>
              <w:top w:val="nil"/>
              <w:left w:val="nil"/>
              <w:bottom w:val="nil"/>
              <w:right w:val="nil"/>
            </w:tcBorders>
            <w:shd w:val="clear" w:color="auto" w:fill="auto"/>
          </w:tcPr>
          <w:p w14:paraId="3A6FC47C"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4 (8.3)</w:t>
            </w:r>
          </w:p>
        </w:tc>
        <w:tc>
          <w:tcPr>
            <w:tcW w:w="1810" w:type="dxa"/>
            <w:tcBorders>
              <w:top w:val="nil"/>
              <w:left w:val="nil"/>
              <w:bottom w:val="nil"/>
              <w:right w:val="nil"/>
            </w:tcBorders>
            <w:shd w:val="clear" w:color="auto" w:fill="auto"/>
          </w:tcPr>
          <w:p w14:paraId="6CD1A6C8" w14:textId="77777777" w:rsidR="00E600F6" w:rsidRPr="00E600F6" w:rsidRDefault="00E600F6" w:rsidP="00E600F6">
            <w:pPr>
              <w:adjustRightInd w:val="0"/>
              <w:snapToGrid w:val="0"/>
              <w:spacing w:after="0" w:line="360" w:lineRule="auto"/>
              <w:jc w:val="both"/>
              <w:rPr>
                <w:rFonts w:ascii="Book Antiqua" w:hAnsi="Book Antiqua"/>
              </w:rPr>
            </w:pPr>
          </w:p>
        </w:tc>
      </w:tr>
      <w:tr w:rsidR="00E600F6" w:rsidRPr="00E600F6" w14:paraId="0415B708" w14:textId="77777777" w:rsidTr="00412523">
        <w:trPr>
          <w:trHeight w:val="402"/>
        </w:trPr>
        <w:tc>
          <w:tcPr>
            <w:tcW w:w="4493" w:type="dxa"/>
            <w:tcBorders>
              <w:top w:val="nil"/>
              <w:left w:val="nil"/>
              <w:bottom w:val="nil"/>
              <w:right w:val="nil"/>
            </w:tcBorders>
            <w:shd w:val="clear" w:color="auto" w:fill="auto"/>
            <w:hideMark/>
          </w:tcPr>
          <w:p w14:paraId="68598A6B"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 xml:space="preserve">Gynecological cancer </w:t>
            </w:r>
          </w:p>
        </w:tc>
        <w:tc>
          <w:tcPr>
            <w:tcW w:w="1598" w:type="dxa"/>
            <w:tcBorders>
              <w:top w:val="nil"/>
              <w:left w:val="nil"/>
              <w:bottom w:val="nil"/>
              <w:right w:val="nil"/>
            </w:tcBorders>
            <w:shd w:val="clear" w:color="auto" w:fill="auto"/>
            <w:hideMark/>
          </w:tcPr>
          <w:p w14:paraId="4E200C94"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22 (16.4)</w:t>
            </w:r>
          </w:p>
        </w:tc>
        <w:tc>
          <w:tcPr>
            <w:tcW w:w="1654" w:type="dxa"/>
            <w:tcBorders>
              <w:top w:val="nil"/>
              <w:left w:val="nil"/>
              <w:bottom w:val="nil"/>
              <w:right w:val="nil"/>
            </w:tcBorders>
            <w:shd w:val="clear" w:color="auto" w:fill="auto"/>
          </w:tcPr>
          <w:p w14:paraId="3E8F5E36"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13 (15.1)</w:t>
            </w:r>
          </w:p>
        </w:tc>
        <w:tc>
          <w:tcPr>
            <w:tcW w:w="1748" w:type="dxa"/>
            <w:tcBorders>
              <w:top w:val="nil"/>
              <w:left w:val="nil"/>
              <w:bottom w:val="nil"/>
              <w:right w:val="nil"/>
            </w:tcBorders>
            <w:shd w:val="clear" w:color="auto" w:fill="auto"/>
          </w:tcPr>
          <w:p w14:paraId="1D1E0C4B"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9 (18.8)</w:t>
            </w:r>
          </w:p>
        </w:tc>
        <w:tc>
          <w:tcPr>
            <w:tcW w:w="1810" w:type="dxa"/>
            <w:tcBorders>
              <w:top w:val="nil"/>
              <w:left w:val="nil"/>
              <w:bottom w:val="nil"/>
              <w:right w:val="nil"/>
            </w:tcBorders>
            <w:shd w:val="clear" w:color="auto" w:fill="auto"/>
          </w:tcPr>
          <w:p w14:paraId="24CA6873" w14:textId="77777777" w:rsidR="00E600F6" w:rsidRPr="00E600F6" w:rsidRDefault="00E600F6" w:rsidP="00E600F6">
            <w:pPr>
              <w:adjustRightInd w:val="0"/>
              <w:snapToGrid w:val="0"/>
              <w:spacing w:after="0" w:line="360" w:lineRule="auto"/>
              <w:jc w:val="both"/>
              <w:rPr>
                <w:rFonts w:ascii="Book Antiqua" w:hAnsi="Book Antiqua"/>
              </w:rPr>
            </w:pPr>
          </w:p>
        </w:tc>
      </w:tr>
      <w:tr w:rsidR="00E600F6" w:rsidRPr="00E600F6" w14:paraId="465D7D21" w14:textId="77777777" w:rsidTr="00412523">
        <w:trPr>
          <w:trHeight w:val="402"/>
        </w:trPr>
        <w:tc>
          <w:tcPr>
            <w:tcW w:w="4493" w:type="dxa"/>
            <w:tcBorders>
              <w:top w:val="nil"/>
              <w:left w:val="nil"/>
              <w:bottom w:val="nil"/>
              <w:right w:val="nil"/>
            </w:tcBorders>
            <w:shd w:val="clear" w:color="auto" w:fill="auto"/>
            <w:hideMark/>
          </w:tcPr>
          <w:p w14:paraId="501B6AAC"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 xml:space="preserve">Urological cancer </w:t>
            </w:r>
          </w:p>
        </w:tc>
        <w:tc>
          <w:tcPr>
            <w:tcW w:w="1598" w:type="dxa"/>
            <w:tcBorders>
              <w:top w:val="nil"/>
              <w:left w:val="nil"/>
              <w:bottom w:val="nil"/>
              <w:right w:val="nil"/>
            </w:tcBorders>
            <w:shd w:val="clear" w:color="auto" w:fill="auto"/>
            <w:hideMark/>
          </w:tcPr>
          <w:p w14:paraId="46D82E3D"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4 (3.0)</w:t>
            </w:r>
          </w:p>
        </w:tc>
        <w:tc>
          <w:tcPr>
            <w:tcW w:w="1654" w:type="dxa"/>
            <w:tcBorders>
              <w:top w:val="nil"/>
              <w:left w:val="nil"/>
              <w:bottom w:val="nil"/>
              <w:right w:val="nil"/>
            </w:tcBorders>
            <w:shd w:val="clear" w:color="auto" w:fill="auto"/>
          </w:tcPr>
          <w:p w14:paraId="6E72A742"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1 (1.1)</w:t>
            </w:r>
          </w:p>
        </w:tc>
        <w:tc>
          <w:tcPr>
            <w:tcW w:w="1748" w:type="dxa"/>
            <w:tcBorders>
              <w:top w:val="nil"/>
              <w:left w:val="nil"/>
              <w:bottom w:val="nil"/>
              <w:right w:val="nil"/>
            </w:tcBorders>
            <w:shd w:val="clear" w:color="auto" w:fill="auto"/>
          </w:tcPr>
          <w:p w14:paraId="3F878BA8"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3 (6.3)</w:t>
            </w:r>
          </w:p>
        </w:tc>
        <w:tc>
          <w:tcPr>
            <w:tcW w:w="1810" w:type="dxa"/>
            <w:tcBorders>
              <w:top w:val="nil"/>
              <w:left w:val="nil"/>
              <w:bottom w:val="nil"/>
              <w:right w:val="nil"/>
            </w:tcBorders>
            <w:shd w:val="clear" w:color="auto" w:fill="auto"/>
          </w:tcPr>
          <w:p w14:paraId="4E058F76" w14:textId="77777777" w:rsidR="00E600F6" w:rsidRPr="00E600F6" w:rsidRDefault="00E600F6" w:rsidP="00E600F6">
            <w:pPr>
              <w:adjustRightInd w:val="0"/>
              <w:snapToGrid w:val="0"/>
              <w:spacing w:after="0" w:line="360" w:lineRule="auto"/>
              <w:jc w:val="both"/>
              <w:rPr>
                <w:rFonts w:ascii="Book Antiqua" w:hAnsi="Book Antiqua"/>
              </w:rPr>
            </w:pPr>
          </w:p>
        </w:tc>
      </w:tr>
      <w:tr w:rsidR="00E600F6" w:rsidRPr="00E600F6" w14:paraId="230A6FEF" w14:textId="77777777" w:rsidTr="00412523">
        <w:trPr>
          <w:trHeight w:val="402"/>
        </w:trPr>
        <w:tc>
          <w:tcPr>
            <w:tcW w:w="4493" w:type="dxa"/>
            <w:tcBorders>
              <w:top w:val="nil"/>
              <w:left w:val="nil"/>
              <w:bottom w:val="nil"/>
              <w:right w:val="nil"/>
            </w:tcBorders>
            <w:shd w:val="clear" w:color="auto" w:fill="auto"/>
            <w:hideMark/>
          </w:tcPr>
          <w:p w14:paraId="0B963DF9"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Digestive cancer</w:t>
            </w:r>
          </w:p>
        </w:tc>
        <w:tc>
          <w:tcPr>
            <w:tcW w:w="1598" w:type="dxa"/>
            <w:tcBorders>
              <w:top w:val="nil"/>
              <w:left w:val="nil"/>
              <w:bottom w:val="nil"/>
              <w:right w:val="nil"/>
            </w:tcBorders>
            <w:shd w:val="clear" w:color="auto" w:fill="auto"/>
            <w:hideMark/>
          </w:tcPr>
          <w:p w14:paraId="1DD42AEA"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14 (10.5)</w:t>
            </w:r>
          </w:p>
        </w:tc>
        <w:tc>
          <w:tcPr>
            <w:tcW w:w="1654" w:type="dxa"/>
            <w:tcBorders>
              <w:top w:val="nil"/>
              <w:left w:val="nil"/>
              <w:bottom w:val="nil"/>
              <w:right w:val="nil"/>
            </w:tcBorders>
            <w:shd w:val="clear" w:color="auto" w:fill="auto"/>
          </w:tcPr>
          <w:p w14:paraId="6F7F01FC"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8 (3.5)</w:t>
            </w:r>
          </w:p>
        </w:tc>
        <w:tc>
          <w:tcPr>
            <w:tcW w:w="1748" w:type="dxa"/>
            <w:tcBorders>
              <w:top w:val="nil"/>
              <w:left w:val="nil"/>
              <w:bottom w:val="nil"/>
              <w:right w:val="nil"/>
            </w:tcBorders>
            <w:shd w:val="clear" w:color="auto" w:fill="auto"/>
          </w:tcPr>
          <w:p w14:paraId="767C1C7A"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6 (12.5)</w:t>
            </w:r>
          </w:p>
        </w:tc>
        <w:tc>
          <w:tcPr>
            <w:tcW w:w="1810" w:type="dxa"/>
            <w:tcBorders>
              <w:top w:val="nil"/>
              <w:left w:val="nil"/>
              <w:bottom w:val="nil"/>
              <w:right w:val="nil"/>
            </w:tcBorders>
            <w:shd w:val="clear" w:color="auto" w:fill="auto"/>
          </w:tcPr>
          <w:p w14:paraId="125D5ECC" w14:textId="77777777" w:rsidR="00E600F6" w:rsidRPr="00E600F6" w:rsidRDefault="00E600F6" w:rsidP="00E600F6">
            <w:pPr>
              <w:adjustRightInd w:val="0"/>
              <w:snapToGrid w:val="0"/>
              <w:spacing w:after="0" w:line="360" w:lineRule="auto"/>
              <w:jc w:val="both"/>
              <w:rPr>
                <w:rFonts w:ascii="Book Antiqua" w:hAnsi="Book Antiqua"/>
              </w:rPr>
            </w:pPr>
          </w:p>
        </w:tc>
      </w:tr>
      <w:tr w:rsidR="00E600F6" w:rsidRPr="00E600F6" w14:paraId="5EE2F2DA" w14:textId="77777777" w:rsidTr="00412523">
        <w:trPr>
          <w:trHeight w:val="402"/>
        </w:trPr>
        <w:tc>
          <w:tcPr>
            <w:tcW w:w="4493" w:type="dxa"/>
            <w:tcBorders>
              <w:top w:val="nil"/>
              <w:left w:val="nil"/>
              <w:bottom w:val="nil"/>
              <w:right w:val="nil"/>
            </w:tcBorders>
            <w:shd w:val="clear" w:color="auto" w:fill="auto"/>
            <w:hideMark/>
          </w:tcPr>
          <w:p w14:paraId="6274E3A9"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Melanoma</w:t>
            </w:r>
          </w:p>
        </w:tc>
        <w:tc>
          <w:tcPr>
            <w:tcW w:w="1598" w:type="dxa"/>
            <w:tcBorders>
              <w:top w:val="nil"/>
              <w:left w:val="nil"/>
              <w:bottom w:val="nil"/>
              <w:right w:val="nil"/>
            </w:tcBorders>
            <w:shd w:val="clear" w:color="auto" w:fill="auto"/>
            <w:hideMark/>
          </w:tcPr>
          <w:p w14:paraId="394EC14E"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9 (6.7)</w:t>
            </w:r>
          </w:p>
        </w:tc>
        <w:tc>
          <w:tcPr>
            <w:tcW w:w="1654" w:type="dxa"/>
            <w:tcBorders>
              <w:top w:val="nil"/>
              <w:left w:val="nil"/>
              <w:bottom w:val="nil"/>
              <w:right w:val="nil"/>
            </w:tcBorders>
            <w:shd w:val="clear" w:color="auto" w:fill="auto"/>
          </w:tcPr>
          <w:p w14:paraId="1D5AB14B"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5 (5.8)</w:t>
            </w:r>
          </w:p>
        </w:tc>
        <w:tc>
          <w:tcPr>
            <w:tcW w:w="1748" w:type="dxa"/>
            <w:tcBorders>
              <w:top w:val="nil"/>
              <w:left w:val="nil"/>
              <w:bottom w:val="nil"/>
              <w:right w:val="nil"/>
            </w:tcBorders>
            <w:shd w:val="clear" w:color="auto" w:fill="auto"/>
          </w:tcPr>
          <w:p w14:paraId="3B504990"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4 (8.3)</w:t>
            </w:r>
          </w:p>
        </w:tc>
        <w:tc>
          <w:tcPr>
            <w:tcW w:w="1810" w:type="dxa"/>
            <w:tcBorders>
              <w:top w:val="nil"/>
              <w:left w:val="nil"/>
              <w:bottom w:val="nil"/>
              <w:right w:val="nil"/>
            </w:tcBorders>
            <w:shd w:val="clear" w:color="auto" w:fill="auto"/>
          </w:tcPr>
          <w:p w14:paraId="1222DF73" w14:textId="77777777" w:rsidR="00E600F6" w:rsidRPr="00E600F6" w:rsidRDefault="00E600F6" w:rsidP="00E600F6">
            <w:pPr>
              <w:adjustRightInd w:val="0"/>
              <w:snapToGrid w:val="0"/>
              <w:spacing w:after="0" w:line="360" w:lineRule="auto"/>
              <w:jc w:val="both"/>
              <w:rPr>
                <w:rFonts w:ascii="Book Antiqua" w:hAnsi="Book Antiqua"/>
              </w:rPr>
            </w:pPr>
          </w:p>
        </w:tc>
      </w:tr>
      <w:tr w:rsidR="00E600F6" w:rsidRPr="00E600F6" w14:paraId="553C81D4" w14:textId="77777777" w:rsidTr="00412523">
        <w:trPr>
          <w:trHeight w:val="402"/>
        </w:trPr>
        <w:tc>
          <w:tcPr>
            <w:tcW w:w="4493" w:type="dxa"/>
            <w:tcBorders>
              <w:top w:val="nil"/>
              <w:left w:val="nil"/>
              <w:bottom w:val="nil"/>
              <w:right w:val="nil"/>
            </w:tcBorders>
            <w:shd w:val="clear" w:color="auto" w:fill="auto"/>
            <w:hideMark/>
          </w:tcPr>
          <w:p w14:paraId="438B7840"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Others</w:t>
            </w:r>
            <w:r w:rsidRPr="00E600F6">
              <w:rPr>
                <w:rFonts w:ascii="Book Antiqua" w:hAnsi="Book Antiqua"/>
                <w:vertAlign w:val="superscript"/>
              </w:rPr>
              <w:t xml:space="preserve">1 </w:t>
            </w:r>
          </w:p>
        </w:tc>
        <w:tc>
          <w:tcPr>
            <w:tcW w:w="1598" w:type="dxa"/>
            <w:tcBorders>
              <w:top w:val="nil"/>
              <w:left w:val="nil"/>
              <w:bottom w:val="nil"/>
              <w:right w:val="nil"/>
            </w:tcBorders>
            <w:shd w:val="clear" w:color="auto" w:fill="auto"/>
            <w:hideMark/>
          </w:tcPr>
          <w:p w14:paraId="58910E08"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7 (5.2)</w:t>
            </w:r>
          </w:p>
        </w:tc>
        <w:tc>
          <w:tcPr>
            <w:tcW w:w="1654" w:type="dxa"/>
            <w:tcBorders>
              <w:top w:val="nil"/>
              <w:left w:val="nil"/>
              <w:bottom w:val="nil"/>
              <w:right w:val="nil"/>
            </w:tcBorders>
            <w:shd w:val="clear" w:color="auto" w:fill="auto"/>
          </w:tcPr>
          <w:p w14:paraId="4FD4407E"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3 (3.5)</w:t>
            </w:r>
          </w:p>
        </w:tc>
        <w:tc>
          <w:tcPr>
            <w:tcW w:w="1748" w:type="dxa"/>
            <w:tcBorders>
              <w:top w:val="nil"/>
              <w:left w:val="nil"/>
              <w:bottom w:val="nil"/>
              <w:right w:val="nil"/>
            </w:tcBorders>
            <w:shd w:val="clear" w:color="auto" w:fill="auto"/>
          </w:tcPr>
          <w:p w14:paraId="1CBAF7B8"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4 (8.3)</w:t>
            </w:r>
          </w:p>
        </w:tc>
        <w:tc>
          <w:tcPr>
            <w:tcW w:w="1810" w:type="dxa"/>
            <w:tcBorders>
              <w:top w:val="nil"/>
              <w:left w:val="nil"/>
              <w:bottom w:val="nil"/>
              <w:right w:val="nil"/>
            </w:tcBorders>
            <w:shd w:val="clear" w:color="auto" w:fill="auto"/>
          </w:tcPr>
          <w:p w14:paraId="4BBE0E6E" w14:textId="77777777" w:rsidR="00E600F6" w:rsidRPr="00E600F6" w:rsidRDefault="00E600F6" w:rsidP="00E600F6">
            <w:pPr>
              <w:adjustRightInd w:val="0"/>
              <w:snapToGrid w:val="0"/>
              <w:spacing w:after="0" w:line="360" w:lineRule="auto"/>
              <w:jc w:val="both"/>
              <w:rPr>
                <w:rFonts w:ascii="Book Antiqua" w:hAnsi="Book Antiqua"/>
              </w:rPr>
            </w:pPr>
          </w:p>
        </w:tc>
      </w:tr>
      <w:tr w:rsidR="00E600F6" w:rsidRPr="00E600F6" w14:paraId="4DA8AC8C" w14:textId="77777777" w:rsidTr="00412523">
        <w:trPr>
          <w:trHeight w:val="402"/>
        </w:trPr>
        <w:tc>
          <w:tcPr>
            <w:tcW w:w="4493" w:type="dxa"/>
            <w:tcBorders>
              <w:top w:val="nil"/>
              <w:left w:val="nil"/>
              <w:bottom w:val="nil"/>
              <w:right w:val="nil"/>
            </w:tcBorders>
            <w:shd w:val="clear" w:color="auto" w:fill="auto"/>
            <w:hideMark/>
          </w:tcPr>
          <w:p w14:paraId="0D4D8320" w14:textId="77777777" w:rsidR="00E600F6" w:rsidRPr="00E600F6" w:rsidRDefault="00E600F6" w:rsidP="00E600F6">
            <w:pPr>
              <w:adjustRightInd w:val="0"/>
              <w:snapToGrid w:val="0"/>
              <w:spacing w:after="0" w:line="360" w:lineRule="auto"/>
              <w:jc w:val="both"/>
              <w:rPr>
                <w:rFonts w:ascii="Book Antiqua" w:hAnsi="Book Antiqua"/>
                <w:lang w:val="en-US"/>
              </w:rPr>
            </w:pPr>
            <w:r w:rsidRPr="00E600F6">
              <w:rPr>
                <w:rFonts w:ascii="Book Antiqua" w:hAnsi="Book Antiqua"/>
                <w:lang w:val="en-US"/>
              </w:rPr>
              <w:t>Past history of pelvic radiotherapy</w:t>
            </w:r>
            <w:r w:rsidRPr="00E600F6">
              <w:rPr>
                <w:rFonts w:ascii="Book Antiqua" w:hAnsi="Book Antiqua"/>
                <w:vertAlign w:val="superscript"/>
                <w:lang w:val="en-US"/>
              </w:rPr>
              <w:t>2</w:t>
            </w:r>
          </w:p>
        </w:tc>
        <w:tc>
          <w:tcPr>
            <w:tcW w:w="1598" w:type="dxa"/>
            <w:tcBorders>
              <w:top w:val="nil"/>
              <w:left w:val="nil"/>
              <w:bottom w:val="nil"/>
              <w:right w:val="nil"/>
            </w:tcBorders>
            <w:shd w:val="clear" w:color="auto" w:fill="auto"/>
            <w:hideMark/>
          </w:tcPr>
          <w:p w14:paraId="71AC25AF"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13 (9.7)</w:t>
            </w:r>
          </w:p>
        </w:tc>
        <w:tc>
          <w:tcPr>
            <w:tcW w:w="1654" w:type="dxa"/>
            <w:tcBorders>
              <w:top w:val="nil"/>
              <w:left w:val="nil"/>
              <w:bottom w:val="nil"/>
              <w:right w:val="nil"/>
            </w:tcBorders>
            <w:shd w:val="clear" w:color="auto" w:fill="auto"/>
          </w:tcPr>
          <w:p w14:paraId="742E9A37"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8 (9.3)</w:t>
            </w:r>
          </w:p>
        </w:tc>
        <w:tc>
          <w:tcPr>
            <w:tcW w:w="1748" w:type="dxa"/>
            <w:tcBorders>
              <w:top w:val="nil"/>
              <w:left w:val="nil"/>
              <w:bottom w:val="nil"/>
              <w:right w:val="nil"/>
            </w:tcBorders>
            <w:shd w:val="clear" w:color="auto" w:fill="auto"/>
          </w:tcPr>
          <w:p w14:paraId="3ADF228C"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5 (10.4)</w:t>
            </w:r>
          </w:p>
        </w:tc>
        <w:tc>
          <w:tcPr>
            <w:tcW w:w="1810" w:type="dxa"/>
            <w:tcBorders>
              <w:top w:val="nil"/>
              <w:left w:val="nil"/>
              <w:bottom w:val="nil"/>
              <w:right w:val="nil"/>
            </w:tcBorders>
            <w:shd w:val="clear" w:color="auto" w:fill="auto"/>
          </w:tcPr>
          <w:p w14:paraId="1D3D245C"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0.83</w:t>
            </w:r>
          </w:p>
        </w:tc>
      </w:tr>
      <w:tr w:rsidR="00E600F6" w:rsidRPr="00E600F6" w14:paraId="2F6B1EB2" w14:textId="77777777" w:rsidTr="00412523">
        <w:trPr>
          <w:trHeight w:val="402"/>
        </w:trPr>
        <w:tc>
          <w:tcPr>
            <w:tcW w:w="4493" w:type="dxa"/>
            <w:tcBorders>
              <w:top w:val="nil"/>
              <w:left w:val="nil"/>
              <w:bottom w:val="nil"/>
              <w:right w:val="nil"/>
            </w:tcBorders>
            <w:shd w:val="clear" w:color="auto" w:fill="auto"/>
            <w:hideMark/>
          </w:tcPr>
          <w:p w14:paraId="5AF04981" w14:textId="1D93CD2A" w:rsidR="00E600F6" w:rsidRPr="00E600F6" w:rsidRDefault="00E600F6" w:rsidP="005E4657">
            <w:pPr>
              <w:adjustRightInd w:val="0"/>
              <w:snapToGrid w:val="0"/>
              <w:spacing w:after="0" w:line="360" w:lineRule="auto"/>
              <w:jc w:val="both"/>
              <w:rPr>
                <w:rFonts w:ascii="Book Antiqua" w:hAnsi="Book Antiqua"/>
                <w:lang w:val="en-US"/>
              </w:rPr>
            </w:pPr>
            <w:r w:rsidRPr="00E600F6">
              <w:rPr>
                <w:rFonts w:ascii="Book Antiqua" w:hAnsi="Book Antiqua"/>
                <w:lang w:val="en-US"/>
              </w:rPr>
              <w:t xml:space="preserve">Past history of proctologic </w:t>
            </w:r>
            <w:proofErr w:type="spellStart"/>
            <w:r w:rsidRPr="00E600F6">
              <w:rPr>
                <w:rFonts w:ascii="Book Antiqua" w:hAnsi="Book Antiqua"/>
                <w:lang w:val="en-US"/>
              </w:rPr>
              <w:t>disease</w:t>
            </w:r>
            <w:r w:rsidR="005E4657">
              <w:rPr>
                <w:rFonts w:ascii="Book Antiqua" w:hAnsi="Book Antiqua"/>
                <w:vertAlign w:val="superscript"/>
                <w:lang w:val="en-US"/>
              </w:rPr>
              <w:t>b</w:t>
            </w:r>
            <w:proofErr w:type="spellEnd"/>
            <w:r w:rsidRPr="00E600F6">
              <w:rPr>
                <w:rFonts w:ascii="Book Antiqua" w:hAnsi="Book Antiqua"/>
                <w:lang w:val="en-US"/>
              </w:rPr>
              <w:t xml:space="preserve"> </w:t>
            </w:r>
          </w:p>
        </w:tc>
        <w:tc>
          <w:tcPr>
            <w:tcW w:w="1598" w:type="dxa"/>
            <w:tcBorders>
              <w:top w:val="nil"/>
              <w:left w:val="nil"/>
              <w:bottom w:val="nil"/>
              <w:right w:val="nil"/>
            </w:tcBorders>
            <w:shd w:val="clear" w:color="auto" w:fill="auto"/>
            <w:hideMark/>
          </w:tcPr>
          <w:p w14:paraId="4F40C11D"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21 (15.7)</w:t>
            </w:r>
          </w:p>
        </w:tc>
        <w:tc>
          <w:tcPr>
            <w:tcW w:w="1654" w:type="dxa"/>
            <w:tcBorders>
              <w:top w:val="nil"/>
              <w:left w:val="nil"/>
              <w:bottom w:val="nil"/>
              <w:right w:val="nil"/>
            </w:tcBorders>
            <w:shd w:val="clear" w:color="auto" w:fill="auto"/>
          </w:tcPr>
          <w:p w14:paraId="023D5AEB"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6 (7.0)</w:t>
            </w:r>
          </w:p>
        </w:tc>
        <w:tc>
          <w:tcPr>
            <w:tcW w:w="1748" w:type="dxa"/>
            <w:tcBorders>
              <w:top w:val="nil"/>
              <w:left w:val="nil"/>
              <w:bottom w:val="nil"/>
              <w:right w:val="nil"/>
            </w:tcBorders>
            <w:shd w:val="clear" w:color="auto" w:fill="auto"/>
          </w:tcPr>
          <w:p w14:paraId="06D593A2"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15 (31.3)</w:t>
            </w:r>
          </w:p>
        </w:tc>
        <w:tc>
          <w:tcPr>
            <w:tcW w:w="1810" w:type="dxa"/>
            <w:tcBorders>
              <w:top w:val="nil"/>
              <w:left w:val="nil"/>
              <w:bottom w:val="nil"/>
              <w:right w:val="nil"/>
            </w:tcBorders>
            <w:shd w:val="clear" w:color="auto" w:fill="auto"/>
          </w:tcPr>
          <w:p w14:paraId="4A8D726A"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0.0002</w:t>
            </w:r>
          </w:p>
        </w:tc>
      </w:tr>
      <w:tr w:rsidR="00E600F6" w:rsidRPr="00E600F6" w14:paraId="76699CEB" w14:textId="77777777" w:rsidTr="00412523">
        <w:trPr>
          <w:trHeight w:val="402"/>
        </w:trPr>
        <w:tc>
          <w:tcPr>
            <w:tcW w:w="4493" w:type="dxa"/>
            <w:tcBorders>
              <w:top w:val="nil"/>
              <w:left w:val="nil"/>
              <w:bottom w:val="nil"/>
              <w:right w:val="nil"/>
            </w:tcBorders>
            <w:shd w:val="clear" w:color="auto" w:fill="auto"/>
            <w:hideMark/>
          </w:tcPr>
          <w:p w14:paraId="3B85672F"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vertAlign w:val="superscript"/>
              </w:rPr>
              <w:t>18</w:t>
            </w:r>
            <w:r w:rsidRPr="00E600F6">
              <w:rPr>
                <w:rFonts w:ascii="Book Antiqua" w:hAnsi="Book Antiqua"/>
              </w:rPr>
              <w:t xml:space="preserve">FDG PET/CT </w:t>
            </w:r>
          </w:p>
        </w:tc>
        <w:tc>
          <w:tcPr>
            <w:tcW w:w="6810" w:type="dxa"/>
            <w:gridSpan w:val="4"/>
            <w:tcBorders>
              <w:top w:val="nil"/>
              <w:left w:val="nil"/>
              <w:bottom w:val="nil"/>
              <w:right w:val="nil"/>
            </w:tcBorders>
            <w:shd w:val="clear" w:color="auto" w:fill="auto"/>
            <w:hideMark/>
          </w:tcPr>
          <w:p w14:paraId="07D44BB9" w14:textId="77777777" w:rsidR="00E600F6" w:rsidRPr="00E600F6" w:rsidRDefault="00E600F6" w:rsidP="00E600F6">
            <w:pPr>
              <w:adjustRightInd w:val="0"/>
              <w:snapToGrid w:val="0"/>
              <w:spacing w:after="0" w:line="360" w:lineRule="auto"/>
              <w:jc w:val="both"/>
              <w:rPr>
                <w:rFonts w:ascii="Book Antiqua" w:hAnsi="Book Antiqua"/>
              </w:rPr>
            </w:pPr>
          </w:p>
        </w:tc>
      </w:tr>
      <w:tr w:rsidR="00E600F6" w:rsidRPr="00E600F6" w14:paraId="0D36F548" w14:textId="77777777" w:rsidTr="00412523">
        <w:trPr>
          <w:trHeight w:val="403"/>
        </w:trPr>
        <w:tc>
          <w:tcPr>
            <w:tcW w:w="4493" w:type="dxa"/>
            <w:tcBorders>
              <w:top w:val="nil"/>
              <w:left w:val="nil"/>
              <w:bottom w:val="nil"/>
              <w:right w:val="nil"/>
            </w:tcBorders>
            <w:shd w:val="clear" w:color="auto" w:fill="auto"/>
          </w:tcPr>
          <w:p w14:paraId="4CB5E3B9" w14:textId="77777777" w:rsidR="00E600F6" w:rsidRPr="00E600F6" w:rsidRDefault="00E600F6" w:rsidP="00F15812">
            <w:pPr>
              <w:adjustRightInd w:val="0"/>
              <w:snapToGrid w:val="0"/>
              <w:spacing w:after="0" w:line="360" w:lineRule="auto"/>
              <w:ind w:firstLineChars="50" w:firstLine="120"/>
              <w:jc w:val="both"/>
              <w:rPr>
                <w:rFonts w:ascii="Book Antiqua" w:hAnsi="Book Antiqua"/>
              </w:rPr>
            </w:pPr>
            <w:r w:rsidRPr="00E600F6">
              <w:rPr>
                <w:rFonts w:ascii="Book Antiqua" w:hAnsi="Book Antiqua"/>
                <w:lang w:val="en-US"/>
              </w:rPr>
              <w:t>SUV mean</w:t>
            </w:r>
          </w:p>
        </w:tc>
        <w:tc>
          <w:tcPr>
            <w:tcW w:w="1598" w:type="dxa"/>
            <w:tcBorders>
              <w:top w:val="nil"/>
              <w:left w:val="nil"/>
              <w:bottom w:val="nil"/>
              <w:right w:val="nil"/>
            </w:tcBorders>
            <w:shd w:val="clear" w:color="auto" w:fill="auto"/>
          </w:tcPr>
          <w:p w14:paraId="78EE0FE3"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5.5 (2.3)</w:t>
            </w:r>
          </w:p>
        </w:tc>
        <w:tc>
          <w:tcPr>
            <w:tcW w:w="1654" w:type="dxa"/>
            <w:tcBorders>
              <w:top w:val="nil"/>
              <w:left w:val="nil"/>
              <w:bottom w:val="nil"/>
              <w:right w:val="nil"/>
            </w:tcBorders>
            <w:shd w:val="clear" w:color="auto" w:fill="auto"/>
          </w:tcPr>
          <w:p w14:paraId="5FE475F1"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5.3 (2.1)</w:t>
            </w:r>
          </w:p>
        </w:tc>
        <w:tc>
          <w:tcPr>
            <w:tcW w:w="1748" w:type="dxa"/>
            <w:tcBorders>
              <w:top w:val="nil"/>
              <w:left w:val="nil"/>
              <w:bottom w:val="nil"/>
              <w:right w:val="nil"/>
            </w:tcBorders>
            <w:shd w:val="clear" w:color="auto" w:fill="auto"/>
          </w:tcPr>
          <w:p w14:paraId="5A8D8FC4"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5.9 (2.6)</w:t>
            </w:r>
          </w:p>
        </w:tc>
        <w:tc>
          <w:tcPr>
            <w:tcW w:w="1810" w:type="dxa"/>
            <w:tcBorders>
              <w:top w:val="nil"/>
              <w:left w:val="nil"/>
              <w:bottom w:val="nil"/>
              <w:right w:val="nil"/>
            </w:tcBorders>
            <w:shd w:val="clear" w:color="auto" w:fill="auto"/>
          </w:tcPr>
          <w:p w14:paraId="03D13DA7"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0.15</w:t>
            </w:r>
          </w:p>
        </w:tc>
      </w:tr>
      <w:tr w:rsidR="00E600F6" w:rsidRPr="00E600F6" w14:paraId="6693EC3C" w14:textId="77777777" w:rsidTr="00412523">
        <w:trPr>
          <w:trHeight w:val="403"/>
        </w:trPr>
        <w:tc>
          <w:tcPr>
            <w:tcW w:w="4493" w:type="dxa"/>
            <w:tcBorders>
              <w:top w:val="nil"/>
              <w:left w:val="nil"/>
              <w:bottom w:val="nil"/>
              <w:right w:val="nil"/>
            </w:tcBorders>
            <w:shd w:val="clear" w:color="auto" w:fill="auto"/>
          </w:tcPr>
          <w:p w14:paraId="106C74D2" w14:textId="77777777" w:rsidR="00E600F6" w:rsidRPr="00E600F6" w:rsidRDefault="00E600F6" w:rsidP="00F15812">
            <w:pPr>
              <w:adjustRightInd w:val="0"/>
              <w:snapToGrid w:val="0"/>
              <w:spacing w:after="0" w:line="360" w:lineRule="auto"/>
              <w:ind w:firstLineChars="50" w:firstLine="120"/>
              <w:jc w:val="both"/>
              <w:rPr>
                <w:rFonts w:ascii="Book Antiqua" w:hAnsi="Book Antiqua"/>
              </w:rPr>
            </w:pPr>
            <w:r w:rsidRPr="00E600F6">
              <w:rPr>
                <w:rFonts w:ascii="Book Antiqua" w:hAnsi="Book Antiqua"/>
                <w:lang w:val="en-US"/>
              </w:rPr>
              <w:t>SUV max</w:t>
            </w:r>
          </w:p>
        </w:tc>
        <w:tc>
          <w:tcPr>
            <w:tcW w:w="1598" w:type="dxa"/>
            <w:tcBorders>
              <w:top w:val="nil"/>
              <w:left w:val="nil"/>
              <w:bottom w:val="nil"/>
              <w:right w:val="nil"/>
            </w:tcBorders>
            <w:shd w:val="clear" w:color="auto" w:fill="auto"/>
          </w:tcPr>
          <w:p w14:paraId="2BCA4F77"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9.6 (3.9)</w:t>
            </w:r>
          </w:p>
        </w:tc>
        <w:tc>
          <w:tcPr>
            <w:tcW w:w="1654" w:type="dxa"/>
            <w:tcBorders>
              <w:top w:val="nil"/>
              <w:left w:val="nil"/>
              <w:bottom w:val="nil"/>
              <w:right w:val="nil"/>
            </w:tcBorders>
            <w:shd w:val="clear" w:color="auto" w:fill="auto"/>
          </w:tcPr>
          <w:p w14:paraId="0B576465"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9.2 (3.5)</w:t>
            </w:r>
          </w:p>
        </w:tc>
        <w:tc>
          <w:tcPr>
            <w:tcW w:w="1748" w:type="dxa"/>
            <w:tcBorders>
              <w:top w:val="nil"/>
              <w:left w:val="nil"/>
              <w:bottom w:val="nil"/>
              <w:right w:val="nil"/>
            </w:tcBorders>
            <w:shd w:val="clear" w:color="auto" w:fill="auto"/>
          </w:tcPr>
          <w:p w14:paraId="32B33A34"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10.2 (4.5)</w:t>
            </w:r>
          </w:p>
        </w:tc>
        <w:tc>
          <w:tcPr>
            <w:tcW w:w="1810" w:type="dxa"/>
            <w:tcBorders>
              <w:top w:val="nil"/>
              <w:left w:val="nil"/>
              <w:bottom w:val="nil"/>
              <w:right w:val="nil"/>
            </w:tcBorders>
            <w:shd w:val="clear" w:color="auto" w:fill="auto"/>
          </w:tcPr>
          <w:p w14:paraId="20CCA99F"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0.13</w:t>
            </w:r>
          </w:p>
        </w:tc>
      </w:tr>
      <w:tr w:rsidR="00E600F6" w:rsidRPr="00E600F6" w14:paraId="37EA8A13" w14:textId="77777777" w:rsidTr="00412523">
        <w:trPr>
          <w:trHeight w:val="402"/>
        </w:trPr>
        <w:tc>
          <w:tcPr>
            <w:tcW w:w="4493" w:type="dxa"/>
            <w:tcBorders>
              <w:top w:val="nil"/>
              <w:left w:val="nil"/>
              <w:bottom w:val="nil"/>
              <w:right w:val="nil"/>
            </w:tcBorders>
            <w:shd w:val="clear" w:color="auto" w:fill="auto"/>
          </w:tcPr>
          <w:p w14:paraId="53DAB1D5" w14:textId="77777777" w:rsidR="00E600F6" w:rsidRPr="00E600F6" w:rsidRDefault="00E600F6" w:rsidP="00F15812">
            <w:pPr>
              <w:adjustRightInd w:val="0"/>
              <w:snapToGrid w:val="0"/>
              <w:spacing w:after="0" w:line="360" w:lineRule="auto"/>
              <w:ind w:firstLineChars="50" w:firstLine="120"/>
              <w:jc w:val="both"/>
              <w:rPr>
                <w:rFonts w:ascii="Book Antiqua" w:hAnsi="Book Antiqua"/>
              </w:rPr>
            </w:pPr>
            <w:r w:rsidRPr="00E600F6">
              <w:rPr>
                <w:rFonts w:ascii="Book Antiqua" w:hAnsi="Book Antiqua"/>
                <w:lang w:val="en-US"/>
              </w:rPr>
              <w:t>MV50 (cm</w:t>
            </w:r>
            <w:r w:rsidRPr="00E600F6">
              <w:rPr>
                <w:rFonts w:ascii="Book Antiqua" w:hAnsi="Book Antiqua"/>
                <w:vertAlign w:val="superscript"/>
                <w:lang w:val="en-US"/>
              </w:rPr>
              <w:t>3</w:t>
            </w:r>
            <w:r w:rsidRPr="00E600F6">
              <w:rPr>
                <w:rFonts w:ascii="Book Antiqua" w:hAnsi="Book Antiqua"/>
                <w:lang w:val="en-US"/>
              </w:rPr>
              <w:t>)</w:t>
            </w:r>
          </w:p>
        </w:tc>
        <w:tc>
          <w:tcPr>
            <w:tcW w:w="1598" w:type="dxa"/>
            <w:tcBorders>
              <w:top w:val="nil"/>
              <w:left w:val="nil"/>
              <w:bottom w:val="nil"/>
              <w:right w:val="nil"/>
            </w:tcBorders>
            <w:shd w:val="clear" w:color="auto" w:fill="auto"/>
          </w:tcPr>
          <w:p w14:paraId="07E511C6"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4.1 (2.8)</w:t>
            </w:r>
          </w:p>
        </w:tc>
        <w:tc>
          <w:tcPr>
            <w:tcW w:w="1654" w:type="dxa"/>
            <w:tcBorders>
              <w:top w:val="nil"/>
              <w:left w:val="nil"/>
              <w:bottom w:val="nil"/>
              <w:right w:val="nil"/>
            </w:tcBorders>
            <w:shd w:val="clear" w:color="auto" w:fill="auto"/>
          </w:tcPr>
          <w:p w14:paraId="79E780CA"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4.2 (3.0)</w:t>
            </w:r>
          </w:p>
        </w:tc>
        <w:tc>
          <w:tcPr>
            <w:tcW w:w="1748" w:type="dxa"/>
            <w:tcBorders>
              <w:top w:val="nil"/>
              <w:left w:val="nil"/>
              <w:bottom w:val="nil"/>
              <w:right w:val="nil"/>
            </w:tcBorders>
            <w:shd w:val="clear" w:color="auto" w:fill="auto"/>
          </w:tcPr>
          <w:p w14:paraId="4144B780"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4.0 (2.3)</w:t>
            </w:r>
          </w:p>
        </w:tc>
        <w:tc>
          <w:tcPr>
            <w:tcW w:w="1810" w:type="dxa"/>
            <w:tcBorders>
              <w:top w:val="nil"/>
              <w:left w:val="nil"/>
              <w:bottom w:val="nil"/>
              <w:right w:val="nil"/>
            </w:tcBorders>
            <w:shd w:val="clear" w:color="auto" w:fill="auto"/>
          </w:tcPr>
          <w:p w14:paraId="0440758E"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0.65</w:t>
            </w:r>
          </w:p>
        </w:tc>
      </w:tr>
      <w:tr w:rsidR="00E600F6" w:rsidRPr="00E600F6" w14:paraId="42FE82B1" w14:textId="77777777" w:rsidTr="00412523">
        <w:trPr>
          <w:trHeight w:val="402"/>
        </w:trPr>
        <w:tc>
          <w:tcPr>
            <w:tcW w:w="4493" w:type="dxa"/>
            <w:tcBorders>
              <w:top w:val="nil"/>
              <w:left w:val="nil"/>
              <w:bottom w:val="nil"/>
              <w:right w:val="nil"/>
            </w:tcBorders>
            <w:shd w:val="clear" w:color="auto" w:fill="auto"/>
          </w:tcPr>
          <w:p w14:paraId="3BBFCB4D" w14:textId="77777777" w:rsidR="00E600F6" w:rsidRPr="00E600F6" w:rsidRDefault="00E600F6" w:rsidP="00F15812">
            <w:pPr>
              <w:adjustRightInd w:val="0"/>
              <w:snapToGrid w:val="0"/>
              <w:spacing w:after="0" w:line="360" w:lineRule="auto"/>
              <w:ind w:firstLineChars="50" w:firstLine="120"/>
              <w:jc w:val="both"/>
              <w:rPr>
                <w:rFonts w:ascii="Book Antiqua" w:hAnsi="Book Antiqua"/>
              </w:rPr>
            </w:pPr>
            <w:r w:rsidRPr="00E600F6">
              <w:rPr>
                <w:rFonts w:ascii="Book Antiqua" w:hAnsi="Book Antiqua"/>
                <w:lang w:val="en-US"/>
              </w:rPr>
              <w:lastRenderedPageBreak/>
              <w:t>MV41 (cm</w:t>
            </w:r>
            <w:r w:rsidRPr="00E600F6">
              <w:rPr>
                <w:rFonts w:ascii="Book Antiqua" w:hAnsi="Book Antiqua"/>
                <w:vertAlign w:val="superscript"/>
                <w:lang w:val="en-US"/>
              </w:rPr>
              <w:t>3</w:t>
            </w:r>
            <w:r w:rsidRPr="00E600F6">
              <w:rPr>
                <w:rFonts w:ascii="Book Antiqua" w:hAnsi="Book Antiqua"/>
                <w:lang w:val="en-US"/>
              </w:rPr>
              <w:t>)</w:t>
            </w:r>
          </w:p>
        </w:tc>
        <w:tc>
          <w:tcPr>
            <w:tcW w:w="1598" w:type="dxa"/>
            <w:tcBorders>
              <w:top w:val="nil"/>
              <w:left w:val="nil"/>
              <w:bottom w:val="nil"/>
              <w:right w:val="nil"/>
            </w:tcBorders>
            <w:shd w:val="clear" w:color="auto" w:fill="auto"/>
          </w:tcPr>
          <w:p w14:paraId="47E71EFD"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6.6 (4.2)</w:t>
            </w:r>
          </w:p>
        </w:tc>
        <w:tc>
          <w:tcPr>
            <w:tcW w:w="1654" w:type="dxa"/>
            <w:tcBorders>
              <w:top w:val="nil"/>
              <w:left w:val="nil"/>
              <w:bottom w:val="nil"/>
              <w:right w:val="nil"/>
            </w:tcBorders>
            <w:shd w:val="clear" w:color="auto" w:fill="auto"/>
          </w:tcPr>
          <w:p w14:paraId="089CBDD5"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6.7 (4.6)</w:t>
            </w:r>
          </w:p>
        </w:tc>
        <w:tc>
          <w:tcPr>
            <w:tcW w:w="1748" w:type="dxa"/>
            <w:tcBorders>
              <w:top w:val="nil"/>
              <w:left w:val="nil"/>
              <w:bottom w:val="nil"/>
              <w:right w:val="nil"/>
            </w:tcBorders>
            <w:shd w:val="clear" w:color="auto" w:fill="auto"/>
          </w:tcPr>
          <w:p w14:paraId="002B59C4"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6.4 (3.5)</w:t>
            </w:r>
          </w:p>
        </w:tc>
        <w:tc>
          <w:tcPr>
            <w:tcW w:w="1810" w:type="dxa"/>
            <w:tcBorders>
              <w:top w:val="nil"/>
              <w:left w:val="nil"/>
              <w:bottom w:val="nil"/>
              <w:right w:val="nil"/>
            </w:tcBorders>
            <w:shd w:val="clear" w:color="auto" w:fill="auto"/>
          </w:tcPr>
          <w:p w14:paraId="1A1F6F53"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0.64</w:t>
            </w:r>
          </w:p>
        </w:tc>
      </w:tr>
      <w:tr w:rsidR="00E600F6" w:rsidRPr="00E600F6" w14:paraId="0904F9DD" w14:textId="77777777" w:rsidTr="00412523">
        <w:trPr>
          <w:trHeight w:val="402"/>
        </w:trPr>
        <w:tc>
          <w:tcPr>
            <w:tcW w:w="4493" w:type="dxa"/>
            <w:tcBorders>
              <w:top w:val="nil"/>
              <w:left w:val="nil"/>
              <w:bottom w:val="single" w:sz="4" w:space="0" w:color="auto"/>
              <w:right w:val="nil"/>
            </w:tcBorders>
            <w:shd w:val="clear" w:color="auto" w:fill="auto"/>
          </w:tcPr>
          <w:p w14:paraId="38E8A9B5" w14:textId="77777777" w:rsidR="00E600F6" w:rsidRPr="00E600F6" w:rsidRDefault="00E600F6" w:rsidP="00F15812">
            <w:pPr>
              <w:adjustRightInd w:val="0"/>
              <w:snapToGrid w:val="0"/>
              <w:spacing w:after="0" w:line="360" w:lineRule="auto"/>
              <w:ind w:firstLineChars="50" w:firstLine="120"/>
              <w:jc w:val="both"/>
              <w:rPr>
                <w:rFonts w:ascii="Book Antiqua" w:hAnsi="Book Antiqua"/>
              </w:rPr>
            </w:pPr>
            <w:r w:rsidRPr="00E600F6">
              <w:rPr>
                <w:rFonts w:ascii="Book Antiqua" w:hAnsi="Book Antiqua"/>
                <w:lang w:val="en-US"/>
              </w:rPr>
              <w:t>MV 30 (cm</w:t>
            </w:r>
            <w:r w:rsidRPr="00E600F6">
              <w:rPr>
                <w:rFonts w:ascii="Book Antiqua" w:hAnsi="Book Antiqua"/>
                <w:vertAlign w:val="superscript"/>
                <w:lang w:val="en-US"/>
              </w:rPr>
              <w:t>3</w:t>
            </w:r>
            <w:r w:rsidRPr="00E600F6">
              <w:rPr>
                <w:rFonts w:ascii="Book Antiqua" w:hAnsi="Book Antiqua"/>
                <w:lang w:val="en-US"/>
              </w:rPr>
              <w:t>)</w:t>
            </w:r>
          </w:p>
        </w:tc>
        <w:tc>
          <w:tcPr>
            <w:tcW w:w="1598" w:type="dxa"/>
            <w:tcBorders>
              <w:top w:val="nil"/>
              <w:left w:val="nil"/>
              <w:bottom w:val="single" w:sz="4" w:space="0" w:color="auto"/>
              <w:right w:val="nil"/>
            </w:tcBorders>
            <w:shd w:val="clear" w:color="auto" w:fill="auto"/>
          </w:tcPr>
          <w:p w14:paraId="50C355E7"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11.9 (7.1)</w:t>
            </w:r>
          </w:p>
        </w:tc>
        <w:tc>
          <w:tcPr>
            <w:tcW w:w="1654" w:type="dxa"/>
            <w:tcBorders>
              <w:top w:val="nil"/>
              <w:left w:val="nil"/>
              <w:bottom w:val="single" w:sz="4" w:space="0" w:color="auto"/>
              <w:right w:val="nil"/>
            </w:tcBorders>
            <w:shd w:val="clear" w:color="auto" w:fill="auto"/>
          </w:tcPr>
          <w:p w14:paraId="70C34DE4"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12.2 (7.7)</w:t>
            </w:r>
          </w:p>
        </w:tc>
        <w:tc>
          <w:tcPr>
            <w:tcW w:w="1748" w:type="dxa"/>
            <w:tcBorders>
              <w:top w:val="nil"/>
              <w:left w:val="nil"/>
              <w:bottom w:val="single" w:sz="4" w:space="0" w:color="auto"/>
              <w:right w:val="nil"/>
            </w:tcBorders>
            <w:shd w:val="clear" w:color="auto" w:fill="auto"/>
          </w:tcPr>
          <w:p w14:paraId="0F900EE7"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11.4 (5.9)</w:t>
            </w:r>
          </w:p>
        </w:tc>
        <w:tc>
          <w:tcPr>
            <w:tcW w:w="1810" w:type="dxa"/>
            <w:tcBorders>
              <w:top w:val="nil"/>
              <w:left w:val="nil"/>
              <w:bottom w:val="single" w:sz="4" w:space="0" w:color="auto"/>
              <w:right w:val="nil"/>
            </w:tcBorders>
            <w:shd w:val="clear" w:color="auto" w:fill="auto"/>
          </w:tcPr>
          <w:p w14:paraId="24987D20"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0.51</w:t>
            </w:r>
          </w:p>
        </w:tc>
      </w:tr>
    </w:tbl>
    <w:p w14:paraId="631FEB22" w14:textId="12AA87C9" w:rsidR="00AC2ED8" w:rsidRPr="00AC2ED8" w:rsidRDefault="005E4657" w:rsidP="00AC2ED8">
      <w:pPr>
        <w:adjustRightInd w:val="0"/>
        <w:snapToGrid w:val="0"/>
        <w:spacing w:after="0" w:line="360" w:lineRule="auto"/>
        <w:jc w:val="both"/>
        <w:rPr>
          <w:rFonts w:ascii="Book Antiqua" w:eastAsia="等线" w:hAnsi="Book Antiqua"/>
          <w:color w:val="000000"/>
          <w:lang w:val="en-US" w:eastAsia="zh-CN"/>
        </w:rPr>
      </w:pPr>
      <w:proofErr w:type="spellStart"/>
      <w:r>
        <w:rPr>
          <w:rFonts w:ascii="Book Antiqua" w:hAnsi="Book Antiqua"/>
          <w:vertAlign w:val="superscript"/>
          <w:lang w:val="en-US"/>
        </w:rPr>
        <w:t>b</w:t>
      </w:r>
      <w:r w:rsidR="00AC2ED8" w:rsidRPr="00E600F6">
        <w:rPr>
          <w:rFonts w:ascii="Book Antiqua" w:hAnsi="Book Antiqua"/>
          <w:i/>
          <w:iCs/>
          <w:lang w:val="en-US"/>
        </w:rPr>
        <w:t>P</w:t>
      </w:r>
      <w:proofErr w:type="spellEnd"/>
      <w:r w:rsidR="00AC2ED8" w:rsidRPr="00E600F6">
        <w:rPr>
          <w:rFonts w:ascii="Book Antiqua" w:hAnsi="Book Antiqua"/>
          <w:lang w:val="en-US"/>
        </w:rPr>
        <w:t xml:space="preserve"> &lt; 0.01</w:t>
      </w:r>
      <w:r w:rsidR="00AC2ED8">
        <w:rPr>
          <w:rFonts w:ascii="Book Antiqua" w:eastAsia="等线" w:hAnsi="Book Antiqua" w:hint="eastAsia"/>
          <w:lang w:val="en-US" w:eastAsia="zh-CN"/>
        </w:rPr>
        <w:t>.</w:t>
      </w:r>
      <w:r w:rsidR="008A3766">
        <w:rPr>
          <w:rFonts w:ascii="Book Antiqua" w:eastAsia="等线" w:hAnsi="Book Antiqua"/>
          <w:lang w:val="en-US" w:eastAsia="zh-CN"/>
        </w:rPr>
        <w:t xml:space="preserve"> </w:t>
      </w:r>
      <w:r w:rsidR="008A3766" w:rsidRPr="00E600F6">
        <w:rPr>
          <w:rFonts w:ascii="Book Antiqua" w:hAnsi="Book Antiqua"/>
          <w:color w:val="000000"/>
          <w:vertAlign w:val="superscript"/>
          <w:lang w:val="en-US"/>
        </w:rPr>
        <w:t>1</w:t>
      </w:r>
      <w:r w:rsidR="008A3766" w:rsidRPr="00E600F6">
        <w:rPr>
          <w:rFonts w:ascii="Book Antiqua" w:hAnsi="Book Antiqua"/>
          <w:color w:val="000000"/>
          <w:lang w:val="en-US"/>
        </w:rPr>
        <w:t>Others: sarcoma, neuroendocrine carcinoma, neurological cancer, carc</w:t>
      </w:r>
      <w:r w:rsidR="008A3766">
        <w:rPr>
          <w:rFonts w:ascii="Book Antiqua" w:hAnsi="Book Antiqua"/>
          <w:color w:val="000000"/>
          <w:lang w:val="en-US"/>
        </w:rPr>
        <w:t>inoma unknown primary syndrome</w:t>
      </w:r>
      <w:r w:rsidR="008A3766">
        <w:rPr>
          <w:rFonts w:ascii="Book Antiqua" w:eastAsia="等线" w:hAnsi="Book Antiqua"/>
          <w:color w:val="000000"/>
          <w:lang w:val="en-US" w:eastAsia="zh-CN"/>
        </w:rPr>
        <w:t>.</w:t>
      </w:r>
      <w:r w:rsidR="008A3766">
        <w:rPr>
          <w:rFonts w:ascii="Book Antiqua" w:eastAsia="等线" w:hAnsi="Book Antiqua" w:hint="eastAsia"/>
          <w:color w:val="000000"/>
          <w:lang w:val="en-US" w:eastAsia="zh-CN"/>
        </w:rPr>
        <w:t xml:space="preserve"> </w:t>
      </w:r>
      <w:r w:rsidR="008A3766" w:rsidRPr="00E600F6">
        <w:rPr>
          <w:rFonts w:ascii="Book Antiqua" w:hAnsi="Book Antiqua"/>
          <w:color w:val="000000"/>
          <w:vertAlign w:val="superscript"/>
          <w:lang w:val="en-US"/>
        </w:rPr>
        <w:t>2</w:t>
      </w:r>
      <w:r w:rsidR="008A3766" w:rsidRPr="00E600F6">
        <w:rPr>
          <w:rFonts w:ascii="Book Antiqua" w:hAnsi="Book Antiqua"/>
          <w:lang w:val="en-US"/>
        </w:rPr>
        <w:t xml:space="preserve">&gt; 3 </w:t>
      </w:r>
      <w:proofErr w:type="spellStart"/>
      <w:r w:rsidR="008A3766" w:rsidRPr="00E600F6">
        <w:rPr>
          <w:rFonts w:ascii="Book Antiqua" w:hAnsi="Book Antiqua"/>
          <w:lang w:val="en-US"/>
        </w:rPr>
        <w:t>mo</w:t>
      </w:r>
      <w:proofErr w:type="spellEnd"/>
      <w:r w:rsidR="008A3766">
        <w:rPr>
          <w:rFonts w:ascii="Book Antiqua" w:hAnsi="Book Antiqua"/>
          <w:lang w:val="en-US"/>
        </w:rPr>
        <w:t xml:space="preserve"> </w:t>
      </w:r>
      <w:r w:rsidR="008A3766" w:rsidRPr="00E600F6">
        <w:rPr>
          <w:rFonts w:ascii="Book Antiqua" w:hAnsi="Book Antiqua"/>
          <w:lang w:val="en-US"/>
        </w:rPr>
        <w:t>before</w:t>
      </w:r>
      <w:r w:rsidR="00A64A87">
        <w:rPr>
          <w:rFonts w:ascii="Book Antiqua" w:hAnsi="Book Antiqua"/>
          <w:lang w:val="en-US"/>
        </w:rPr>
        <w:t xml:space="preserve"> </w:t>
      </w:r>
      <w:r w:rsidR="008A3766" w:rsidRPr="00AC2ED8">
        <w:rPr>
          <w:rFonts w:ascii="Book Antiqua" w:hAnsi="Book Antiqua"/>
          <w:lang w:val="en-US"/>
        </w:rPr>
        <w:t>fluorodeoxyglucose positron emission tomography with computed tomography</w:t>
      </w:r>
      <w:r w:rsidR="008A3766">
        <w:rPr>
          <w:rFonts w:ascii="Book Antiqua" w:eastAsia="等线" w:hAnsi="Book Antiqua" w:hint="eastAsia"/>
          <w:lang w:val="en-US" w:eastAsia="zh-CN"/>
        </w:rPr>
        <w:t>.</w:t>
      </w:r>
      <w:r w:rsidR="00AC2ED8" w:rsidRPr="00AC2ED8">
        <w:rPr>
          <w:rFonts w:ascii="Book Antiqua" w:hAnsi="Book Antiqua"/>
          <w:vertAlign w:val="superscript"/>
          <w:lang w:val="en-US"/>
        </w:rPr>
        <w:t>18</w:t>
      </w:r>
      <w:r w:rsidR="00AC2ED8">
        <w:rPr>
          <w:rFonts w:ascii="Book Antiqua" w:hAnsi="Book Antiqua"/>
          <w:lang w:val="en-US"/>
        </w:rPr>
        <w:t>F-FDG PET/CT</w:t>
      </w:r>
      <w:r w:rsidR="00AC2ED8">
        <w:rPr>
          <w:rFonts w:ascii="Book Antiqua" w:eastAsia="等线" w:hAnsi="Book Antiqua" w:hint="eastAsia"/>
          <w:lang w:val="en-US" w:eastAsia="zh-CN"/>
        </w:rPr>
        <w:t>:</w:t>
      </w:r>
      <w:r w:rsidR="00AC2ED8" w:rsidRPr="00E600F6">
        <w:rPr>
          <w:rFonts w:ascii="Book Antiqua" w:hAnsi="Book Antiqua"/>
          <w:lang w:val="en-US"/>
        </w:rPr>
        <w:t xml:space="preserve"> Fluorine-18-fluorodeoxyglucose positron emission tomography with computed tomography; SUV: Maximum standardized uptake value; MV: Metabolic volume.</w:t>
      </w:r>
      <w:r w:rsidR="00AC2ED8">
        <w:rPr>
          <w:rFonts w:ascii="Book Antiqua" w:eastAsia="等线" w:hAnsi="Book Antiqua" w:hint="eastAsia"/>
          <w:color w:val="000000"/>
          <w:lang w:val="en-US" w:eastAsia="zh-CN"/>
        </w:rPr>
        <w:t xml:space="preserve"> </w:t>
      </w:r>
    </w:p>
    <w:p w14:paraId="5642AC9E" w14:textId="77777777" w:rsidR="00E600F6" w:rsidRPr="00E600F6" w:rsidRDefault="00E600F6" w:rsidP="00647083">
      <w:pPr>
        <w:adjustRightInd w:val="0"/>
        <w:snapToGrid w:val="0"/>
        <w:spacing w:after="0" w:line="360" w:lineRule="auto"/>
        <w:jc w:val="both"/>
        <w:rPr>
          <w:rFonts w:ascii="Book Antiqua" w:eastAsia="等线" w:hAnsi="Book Antiqua"/>
          <w:b/>
          <w:lang w:val="en-US" w:eastAsia="zh-CN"/>
        </w:rPr>
      </w:pPr>
    </w:p>
    <w:p w14:paraId="6A0CF8F9" w14:textId="1654D96D" w:rsidR="00D36EC0" w:rsidRPr="00920127" w:rsidRDefault="001C03E1">
      <w:pPr>
        <w:rPr>
          <w:rFonts w:ascii="Book Antiqua" w:eastAsia="等线" w:hAnsi="Book Antiqua"/>
          <w:b/>
          <w:lang w:val="en-US" w:eastAsia="zh-CN"/>
        </w:rPr>
      </w:pPr>
      <w:r>
        <w:rPr>
          <w:rFonts w:ascii="Book Antiqua" w:hAnsi="Book Antiqua"/>
          <w:b/>
          <w:lang w:val="en-US"/>
        </w:rPr>
        <w:br w:type="page"/>
      </w:r>
    </w:p>
    <w:tbl>
      <w:tblPr>
        <w:tblpPr w:leftFromText="141" w:rightFromText="141" w:horzAnchor="page" w:tblpX="550" w:tblpY="-699"/>
        <w:tblW w:w="58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124"/>
        <w:gridCol w:w="2510"/>
        <w:gridCol w:w="1934"/>
        <w:gridCol w:w="2183"/>
        <w:gridCol w:w="876"/>
      </w:tblGrid>
      <w:tr w:rsidR="00920127" w:rsidRPr="0012358F" w14:paraId="4963CB99" w14:textId="77777777" w:rsidTr="00412523">
        <w:trPr>
          <w:trHeight w:val="333"/>
        </w:trPr>
        <w:tc>
          <w:tcPr>
            <w:tcW w:w="5000" w:type="pct"/>
            <w:gridSpan w:val="5"/>
            <w:tcBorders>
              <w:top w:val="nil"/>
              <w:left w:val="nil"/>
              <w:bottom w:val="single" w:sz="4" w:space="0" w:color="auto"/>
              <w:right w:val="nil"/>
            </w:tcBorders>
            <w:shd w:val="clear" w:color="auto" w:fill="auto"/>
          </w:tcPr>
          <w:p w14:paraId="0728F5A1" w14:textId="0779C0F7" w:rsidR="00920127" w:rsidRPr="00BF740E" w:rsidRDefault="00920127" w:rsidP="00412523">
            <w:pPr>
              <w:keepNext/>
              <w:adjustRightInd w:val="0"/>
              <w:snapToGrid w:val="0"/>
              <w:spacing w:after="0" w:line="360" w:lineRule="auto"/>
              <w:jc w:val="both"/>
              <w:rPr>
                <w:rFonts w:ascii="Book Antiqua" w:hAnsi="Book Antiqua"/>
                <w:b/>
                <w:i/>
                <w:iCs/>
                <w:lang w:val="en-US"/>
              </w:rPr>
            </w:pPr>
            <w:r w:rsidRPr="00BF740E">
              <w:rPr>
                <w:rFonts w:ascii="Book Antiqua" w:hAnsi="Book Antiqua"/>
                <w:b/>
                <w:lang w:val="en-US"/>
              </w:rPr>
              <w:lastRenderedPageBreak/>
              <w:t>Table 2 Characteristics of population investigated (</w:t>
            </w:r>
            <w:r w:rsidRPr="00920127">
              <w:rPr>
                <w:rFonts w:ascii="Book Antiqua" w:hAnsi="Book Antiqua"/>
                <w:b/>
                <w:i/>
                <w:lang w:val="en-US"/>
              </w:rPr>
              <w:t>n</w:t>
            </w:r>
            <w:r>
              <w:rPr>
                <w:rFonts w:ascii="Book Antiqua" w:hAnsi="Book Antiqua"/>
                <w:b/>
                <w:lang w:val="en-US"/>
              </w:rPr>
              <w:t xml:space="preserve"> </w:t>
            </w:r>
            <w:r w:rsidRPr="00BF740E">
              <w:rPr>
                <w:rFonts w:ascii="Book Antiqua" w:hAnsi="Book Antiqua"/>
                <w:b/>
                <w:lang w:val="en-US"/>
              </w:rPr>
              <w:t>=</w:t>
            </w:r>
            <w:r>
              <w:rPr>
                <w:rFonts w:ascii="Book Antiqua" w:hAnsi="Book Antiqua"/>
                <w:b/>
                <w:lang w:val="en-US"/>
              </w:rPr>
              <w:t xml:space="preserve"> </w:t>
            </w:r>
            <w:r w:rsidRPr="00BF740E">
              <w:rPr>
                <w:rFonts w:ascii="Book Antiqua" w:hAnsi="Book Antiqua"/>
                <w:b/>
                <w:lang w:val="en-US"/>
              </w:rPr>
              <w:t>48)</w:t>
            </w:r>
          </w:p>
        </w:tc>
      </w:tr>
      <w:tr w:rsidR="007770E8" w:rsidRPr="00BF740E" w14:paraId="048035EE" w14:textId="77777777" w:rsidTr="00472D43">
        <w:trPr>
          <w:trHeight w:val="826"/>
        </w:trPr>
        <w:tc>
          <w:tcPr>
            <w:tcW w:w="1472" w:type="pct"/>
            <w:vMerge w:val="restart"/>
            <w:tcBorders>
              <w:top w:val="single" w:sz="4" w:space="0" w:color="auto"/>
              <w:left w:val="nil"/>
              <w:right w:val="nil"/>
            </w:tcBorders>
            <w:shd w:val="clear" w:color="auto" w:fill="auto"/>
          </w:tcPr>
          <w:p w14:paraId="14868992" w14:textId="77777777" w:rsidR="007770E8" w:rsidRPr="002B0DB7" w:rsidRDefault="007770E8" w:rsidP="00412523">
            <w:pPr>
              <w:keepNext/>
              <w:adjustRightInd w:val="0"/>
              <w:snapToGrid w:val="0"/>
              <w:spacing w:after="0" w:line="360" w:lineRule="auto"/>
              <w:jc w:val="both"/>
              <w:rPr>
                <w:rFonts w:ascii="Book Antiqua" w:hAnsi="Book Antiqua"/>
                <w:b/>
                <w:bCs/>
                <w:i/>
                <w:iCs/>
                <w:lang w:val="en-US"/>
              </w:rPr>
            </w:pPr>
          </w:p>
        </w:tc>
        <w:tc>
          <w:tcPr>
            <w:tcW w:w="1183" w:type="pct"/>
            <w:tcBorders>
              <w:top w:val="single" w:sz="4" w:space="0" w:color="auto"/>
              <w:left w:val="nil"/>
              <w:bottom w:val="nil"/>
              <w:right w:val="nil"/>
            </w:tcBorders>
            <w:shd w:val="clear" w:color="auto" w:fill="auto"/>
          </w:tcPr>
          <w:p w14:paraId="3C20D65E" w14:textId="2415E34C" w:rsidR="007770E8" w:rsidRPr="00D53DA5" w:rsidRDefault="007770E8" w:rsidP="00412523">
            <w:pPr>
              <w:keepNext/>
              <w:adjustRightInd w:val="0"/>
              <w:snapToGrid w:val="0"/>
              <w:spacing w:after="0" w:line="360" w:lineRule="auto"/>
              <w:jc w:val="both"/>
              <w:rPr>
                <w:rFonts w:ascii="Book Antiqua" w:eastAsia="等线" w:hAnsi="Book Antiqua"/>
                <w:b/>
                <w:bCs/>
                <w:lang w:val="en-US" w:eastAsia="zh-CN"/>
              </w:rPr>
            </w:pPr>
            <w:r w:rsidRPr="002B0DB7">
              <w:rPr>
                <w:rFonts w:ascii="Book Antiqua" w:hAnsi="Book Antiqua"/>
                <w:b/>
                <w:bCs/>
                <w:lang w:val="en-US"/>
              </w:rPr>
              <w:t>All</w:t>
            </w:r>
          </w:p>
        </w:tc>
        <w:tc>
          <w:tcPr>
            <w:tcW w:w="912" w:type="pct"/>
            <w:tcBorders>
              <w:top w:val="single" w:sz="4" w:space="0" w:color="auto"/>
              <w:left w:val="nil"/>
              <w:bottom w:val="nil"/>
              <w:right w:val="nil"/>
            </w:tcBorders>
            <w:shd w:val="clear" w:color="auto" w:fill="auto"/>
          </w:tcPr>
          <w:p w14:paraId="5F06E709" w14:textId="241BDE3D" w:rsidR="007770E8" w:rsidRPr="007770E8" w:rsidRDefault="007770E8" w:rsidP="00412523">
            <w:pPr>
              <w:keepNext/>
              <w:adjustRightInd w:val="0"/>
              <w:snapToGrid w:val="0"/>
              <w:spacing w:after="0" w:line="360" w:lineRule="auto"/>
              <w:jc w:val="both"/>
              <w:rPr>
                <w:rFonts w:ascii="Book Antiqua" w:eastAsia="等线" w:hAnsi="Book Antiqua"/>
                <w:b/>
                <w:bCs/>
                <w:lang w:val="en-US" w:eastAsia="zh-CN"/>
              </w:rPr>
            </w:pPr>
            <w:r w:rsidRPr="002B0DB7">
              <w:rPr>
                <w:rFonts w:ascii="Book Antiqua" w:hAnsi="Book Antiqua"/>
                <w:b/>
                <w:bCs/>
                <w:lang w:val="en-US"/>
              </w:rPr>
              <w:t>No treatment offered</w:t>
            </w:r>
          </w:p>
        </w:tc>
        <w:tc>
          <w:tcPr>
            <w:tcW w:w="1029" w:type="pct"/>
            <w:tcBorders>
              <w:top w:val="single" w:sz="4" w:space="0" w:color="auto"/>
              <w:left w:val="nil"/>
              <w:bottom w:val="nil"/>
              <w:right w:val="nil"/>
            </w:tcBorders>
            <w:shd w:val="clear" w:color="auto" w:fill="auto"/>
          </w:tcPr>
          <w:p w14:paraId="6BF58B64" w14:textId="4E9E77B2" w:rsidR="007770E8" w:rsidRPr="007770E8" w:rsidRDefault="007770E8" w:rsidP="00412523">
            <w:pPr>
              <w:keepNext/>
              <w:adjustRightInd w:val="0"/>
              <w:snapToGrid w:val="0"/>
              <w:spacing w:after="0" w:line="360" w:lineRule="auto"/>
              <w:jc w:val="both"/>
              <w:rPr>
                <w:rFonts w:ascii="Book Antiqua" w:eastAsia="等线" w:hAnsi="Book Antiqua"/>
                <w:b/>
                <w:bCs/>
                <w:lang w:val="en-US" w:eastAsia="zh-CN"/>
              </w:rPr>
            </w:pPr>
            <w:r w:rsidRPr="002B0DB7">
              <w:rPr>
                <w:rFonts w:ascii="Book Antiqua" w:hAnsi="Book Antiqua"/>
                <w:b/>
                <w:bCs/>
                <w:lang w:val="en-US"/>
              </w:rPr>
              <w:t>Treatment offered</w:t>
            </w:r>
          </w:p>
        </w:tc>
        <w:tc>
          <w:tcPr>
            <w:tcW w:w="404" w:type="pct"/>
            <w:vMerge w:val="restart"/>
            <w:tcBorders>
              <w:top w:val="single" w:sz="4" w:space="0" w:color="auto"/>
              <w:left w:val="nil"/>
              <w:right w:val="nil"/>
            </w:tcBorders>
            <w:shd w:val="clear" w:color="auto" w:fill="auto"/>
          </w:tcPr>
          <w:p w14:paraId="0C2F0FDD" w14:textId="135E5BDA" w:rsidR="007770E8" w:rsidRPr="00472D43" w:rsidRDefault="007770E8" w:rsidP="00412523">
            <w:pPr>
              <w:keepNext/>
              <w:adjustRightInd w:val="0"/>
              <w:snapToGrid w:val="0"/>
              <w:spacing w:after="0" w:line="360" w:lineRule="auto"/>
              <w:jc w:val="both"/>
              <w:rPr>
                <w:rFonts w:ascii="Book Antiqua" w:eastAsia="等线" w:hAnsi="Book Antiqua"/>
                <w:b/>
                <w:bCs/>
                <w:lang w:val="en-US" w:eastAsia="zh-CN"/>
              </w:rPr>
            </w:pPr>
            <w:r w:rsidRPr="002B0DB7">
              <w:rPr>
                <w:rFonts w:ascii="Book Antiqua" w:hAnsi="Book Antiqua"/>
                <w:b/>
                <w:bCs/>
                <w:i/>
                <w:iCs/>
                <w:lang w:val="en-US"/>
              </w:rPr>
              <w:t>P</w:t>
            </w:r>
            <w:r w:rsidR="00FC19A9">
              <w:rPr>
                <w:rFonts w:ascii="Book Antiqua" w:eastAsia="等线" w:hAnsi="Book Antiqua" w:hint="eastAsia"/>
                <w:b/>
                <w:bCs/>
                <w:lang w:val="en-US" w:eastAsia="zh-CN"/>
              </w:rPr>
              <w:t xml:space="preserve"> </w:t>
            </w:r>
            <w:r w:rsidRPr="002B0DB7">
              <w:rPr>
                <w:rFonts w:ascii="Book Antiqua" w:hAnsi="Book Antiqua"/>
                <w:b/>
                <w:bCs/>
                <w:lang w:val="en-US"/>
              </w:rPr>
              <w:t>value</w:t>
            </w:r>
          </w:p>
        </w:tc>
      </w:tr>
      <w:tr w:rsidR="007770E8" w:rsidRPr="00BF740E" w14:paraId="68E64306" w14:textId="77777777" w:rsidTr="00472D43">
        <w:trPr>
          <w:trHeight w:val="796"/>
        </w:trPr>
        <w:tc>
          <w:tcPr>
            <w:tcW w:w="1472" w:type="pct"/>
            <w:vMerge/>
            <w:tcBorders>
              <w:left w:val="nil"/>
              <w:right w:val="nil"/>
            </w:tcBorders>
            <w:shd w:val="clear" w:color="auto" w:fill="auto"/>
          </w:tcPr>
          <w:p w14:paraId="35378105" w14:textId="77777777" w:rsidR="007770E8" w:rsidRPr="002B0DB7" w:rsidRDefault="007770E8" w:rsidP="00412523">
            <w:pPr>
              <w:keepNext/>
              <w:adjustRightInd w:val="0"/>
              <w:snapToGrid w:val="0"/>
              <w:spacing w:after="0" w:line="360" w:lineRule="auto"/>
              <w:jc w:val="both"/>
              <w:rPr>
                <w:rFonts w:ascii="Book Antiqua" w:hAnsi="Book Antiqua"/>
                <w:b/>
                <w:bCs/>
                <w:i/>
                <w:iCs/>
                <w:lang w:val="en-US"/>
              </w:rPr>
            </w:pPr>
          </w:p>
        </w:tc>
        <w:tc>
          <w:tcPr>
            <w:tcW w:w="1183" w:type="pct"/>
            <w:tcBorders>
              <w:top w:val="nil"/>
              <w:left w:val="nil"/>
              <w:bottom w:val="nil"/>
              <w:right w:val="nil"/>
            </w:tcBorders>
            <w:shd w:val="clear" w:color="auto" w:fill="auto"/>
          </w:tcPr>
          <w:p w14:paraId="2D5D602E" w14:textId="50ECB62E" w:rsidR="007770E8" w:rsidRPr="00D53DA5" w:rsidRDefault="007770E8" w:rsidP="00D53DA5">
            <w:pPr>
              <w:keepNext/>
              <w:adjustRightInd w:val="0"/>
              <w:snapToGrid w:val="0"/>
              <w:spacing w:after="0" w:line="360" w:lineRule="auto"/>
              <w:jc w:val="both"/>
              <w:rPr>
                <w:rFonts w:ascii="Book Antiqua" w:eastAsia="等线" w:hAnsi="Book Antiqua"/>
                <w:b/>
                <w:bCs/>
                <w:lang w:val="en-US" w:eastAsia="zh-CN"/>
              </w:rPr>
            </w:pPr>
            <w:bookmarkStart w:id="120" w:name="OLE_LINK70"/>
            <w:bookmarkStart w:id="121" w:name="OLE_LINK71"/>
            <w:r w:rsidRPr="004364F1">
              <w:rPr>
                <w:rFonts w:ascii="Book Antiqua" w:hAnsi="Book Antiqua"/>
                <w:b/>
                <w:bCs/>
                <w:i/>
                <w:lang w:val="en-US"/>
              </w:rPr>
              <w:t>n</w:t>
            </w:r>
            <w:r>
              <w:rPr>
                <w:rFonts w:ascii="Book Antiqua" w:hAnsi="Book Antiqua"/>
                <w:b/>
                <w:bCs/>
                <w:lang w:val="en-US"/>
              </w:rPr>
              <w:t xml:space="preserve"> (%) or mean </w:t>
            </w:r>
            <w:r>
              <w:rPr>
                <w:b/>
                <w:bCs/>
                <w:lang w:val="en-US"/>
              </w:rPr>
              <w:t>±</w:t>
            </w:r>
            <w:r>
              <w:rPr>
                <w:rFonts w:ascii="Book Antiqua" w:eastAsia="等线" w:hAnsi="Book Antiqua" w:hint="eastAsia"/>
                <w:b/>
                <w:bCs/>
                <w:lang w:val="en-US" w:eastAsia="zh-CN"/>
              </w:rPr>
              <w:t xml:space="preserve"> </w:t>
            </w:r>
            <w:r>
              <w:rPr>
                <w:rFonts w:ascii="Book Antiqua" w:hAnsi="Book Antiqua"/>
                <w:b/>
                <w:bCs/>
                <w:lang w:val="en-US"/>
              </w:rPr>
              <w:t>SD</w:t>
            </w:r>
            <w:bookmarkEnd w:id="120"/>
            <w:bookmarkEnd w:id="121"/>
          </w:p>
        </w:tc>
        <w:tc>
          <w:tcPr>
            <w:tcW w:w="912" w:type="pct"/>
            <w:tcBorders>
              <w:top w:val="nil"/>
              <w:left w:val="nil"/>
              <w:bottom w:val="nil"/>
              <w:right w:val="nil"/>
            </w:tcBorders>
            <w:shd w:val="clear" w:color="auto" w:fill="auto"/>
          </w:tcPr>
          <w:p w14:paraId="723F8380" w14:textId="71F451F8" w:rsidR="007770E8" w:rsidRPr="002B0DB7" w:rsidRDefault="007770E8" w:rsidP="00412523">
            <w:pPr>
              <w:keepNext/>
              <w:adjustRightInd w:val="0"/>
              <w:snapToGrid w:val="0"/>
              <w:spacing w:after="0" w:line="360" w:lineRule="auto"/>
              <w:jc w:val="both"/>
              <w:rPr>
                <w:rFonts w:ascii="Book Antiqua" w:hAnsi="Book Antiqua"/>
                <w:b/>
                <w:bCs/>
                <w:lang w:val="en-US"/>
              </w:rPr>
            </w:pPr>
            <w:bookmarkStart w:id="122" w:name="OLE_LINK74"/>
            <w:bookmarkStart w:id="123" w:name="OLE_LINK75"/>
            <w:bookmarkStart w:id="124" w:name="OLE_LINK77"/>
            <w:bookmarkStart w:id="125" w:name="OLE_LINK87"/>
            <w:r w:rsidRPr="004364F1">
              <w:rPr>
                <w:rFonts w:ascii="Book Antiqua" w:hAnsi="Book Antiqua"/>
                <w:b/>
                <w:bCs/>
                <w:i/>
                <w:lang w:val="en-US"/>
              </w:rPr>
              <w:t>n</w:t>
            </w:r>
            <w:r>
              <w:rPr>
                <w:rFonts w:ascii="Book Antiqua" w:hAnsi="Book Antiqua"/>
                <w:b/>
                <w:bCs/>
                <w:lang w:val="en-US"/>
              </w:rPr>
              <w:t xml:space="preserve"> (%) or mean </w:t>
            </w:r>
            <w:r>
              <w:rPr>
                <w:b/>
                <w:bCs/>
                <w:lang w:val="en-US"/>
              </w:rPr>
              <w:t>±</w:t>
            </w:r>
            <w:r>
              <w:rPr>
                <w:rFonts w:ascii="Book Antiqua" w:eastAsia="等线" w:hAnsi="Book Antiqua" w:hint="eastAsia"/>
                <w:b/>
                <w:bCs/>
                <w:lang w:val="en-US" w:eastAsia="zh-CN"/>
              </w:rPr>
              <w:t xml:space="preserve"> </w:t>
            </w:r>
            <w:r>
              <w:rPr>
                <w:rFonts w:ascii="Book Antiqua" w:hAnsi="Book Antiqua"/>
                <w:b/>
                <w:bCs/>
                <w:lang w:val="en-US"/>
              </w:rPr>
              <w:t>SD</w:t>
            </w:r>
            <w:bookmarkEnd w:id="122"/>
            <w:bookmarkEnd w:id="123"/>
            <w:bookmarkEnd w:id="124"/>
            <w:bookmarkEnd w:id="125"/>
          </w:p>
        </w:tc>
        <w:tc>
          <w:tcPr>
            <w:tcW w:w="1029" w:type="pct"/>
            <w:tcBorders>
              <w:top w:val="nil"/>
              <w:left w:val="nil"/>
              <w:bottom w:val="nil"/>
              <w:right w:val="nil"/>
            </w:tcBorders>
            <w:shd w:val="clear" w:color="auto" w:fill="auto"/>
          </w:tcPr>
          <w:p w14:paraId="09A4A796" w14:textId="30685BCD" w:rsidR="007770E8" w:rsidRPr="002B0DB7" w:rsidRDefault="007770E8" w:rsidP="00412523">
            <w:pPr>
              <w:keepNext/>
              <w:adjustRightInd w:val="0"/>
              <w:snapToGrid w:val="0"/>
              <w:spacing w:after="0" w:line="360" w:lineRule="auto"/>
              <w:jc w:val="both"/>
              <w:rPr>
                <w:rFonts w:ascii="Book Antiqua" w:hAnsi="Book Antiqua"/>
                <w:b/>
                <w:bCs/>
                <w:lang w:val="en-US"/>
              </w:rPr>
            </w:pPr>
            <w:r w:rsidRPr="004364F1">
              <w:rPr>
                <w:rFonts w:ascii="Book Antiqua" w:hAnsi="Book Antiqua"/>
                <w:b/>
                <w:bCs/>
                <w:i/>
                <w:lang w:val="en-US"/>
              </w:rPr>
              <w:t>n</w:t>
            </w:r>
            <w:r>
              <w:rPr>
                <w:rFonts w:ascii="Book Antiqua" w:hAnsi="Book Antiqua"/>
                <w:b/>
                <w:bCs/>
                <w:lang w:val="en-US"/>
              </w:rPr>
              <w:t xml:space="preserve"> (%) or mean </w:t>
            </w:r>
            <w:r>
              <w:rPr>
                <w:b/>
                <w:bCs/>
                <w:lang w:val="en-US"/>
              </w:rPr>
              <w:t>±</w:t>
            </w:r>
            <w:r>
              <w:rPr>
                <w:rFonts w:ascii="Book Antiqua" w:eastAsia="等线" w:hAnsi="Book Antiqua" w:hint="eastAsia"/>
                <w:b/>
                <w:bCs/>
                <w:lang w:val="en-US" w:eastAsia="zh-CN"/>
              </w:rPr>
              <w:t xml:space="preserve"> </w:t>
            </w:r>
            <w:r>
              <w:rPr>
                <w:rFonts w:ascii="Book Antiqua" w:hAnsi="Book Antiqua"/>
                <w:b/>
                <w:bCs/>
                <w:lang w:val="en-US"/>
              </w:rPr>
              <w:t>SD</w:t>
            </w:r>
          </w:p>
        </w:tc>
        <w:tc>
          <w:tcPr>
            <w:tcW w:w="404" w:type="pct"/>
            <w:vMerge/>
            <w:tcBorders>
              <w:left w:val="nil"/>
              <w:right w:val="nil"/>
            </w:tcBorders>
            <w:shd w:val="clear" w:color="auto" w:fill="auto"/>
          </w:tcPr>
          <w:p w14:paraId="0CBDD021" w14:textId="77777777" w:rsidR="007770E8" w:rsidRPr="002B0DB7" w:rsidRDefault="007770E8" w:rsidP="00412523">
            <w:pPr>
              <w:keepNext/>
              <w:adjustRightInd w:val="0"/>
              <w:snapToGrid w:val="0"/>
              <w:spacing w:after="0" w:line="360" w:lineRule="auto"/>
              <w:jc w:val="both"/>
              <w:rPr>
                <w:rFonts w:ascii="Book Antiqua" w:hAnsi="Book Antiqua"/>
                <w:b/>
                <w:bCs/>
                <w:i/>
                <w:iCs/>
                <w:lang w:val="en-US"/>
              </w:rPr>
            </w:pPr>
          </w:p>
        </w:tc>
      </w:tr>
      <w:tr w:rsidR="007770E8" w:rsidRPr="00BF740E" w14:paraId="163DCCD4" w14:textId="77777777" w:rsidTr="00472D43">
        <w:trPr>
          <w:trHeight w:val="496"/>
        </w:trPr>
        <w:tc>
          <w:tcPr>
            <w:tcW w:w="1472" w:type="pct"/>
            <w:vMerge/>
            <w:tcBorders>
              <w:left w:val="nil"/>
              <w:bottom w:val="single" w:sz="4" w:space="0" w:color="auto"/>
              <w:right w:val="nil"/>
            </w:tcBorders>
            <w:shd w:val="clear" w:color="auto" w:fill="auto"/>
          </w:tcPr>
          <w:p w14:paraId="64A6307E" w14:textId="77777777" w:rsidR="007770E8" w:rsidRPr="002B0DB7" w:rsidRDefault="007770E8" w:rsidP="00412523">
            <w:pPr>
              <w:keepNext/>
              <w:adjustRightInd w:val="0"/>
              <w:snapToGrid w:val="0"/>
              <w:spacing w:after="0" w:line="360" w:lineRule="auto"/>
              <w:jc w:val="both"/>
              <w:rPr>
                <w:rFonts w:ascii="Book Antiqua" w:hAnsi="Book Antiqua"/>
                <w:b/>
                <w:bCs/>
                <w:i/>
                <w:iCs/>
                <w:lang w:val="en-US"/>
              </w:rPr>
            </w:pPr>
          </w:p>
        </w:tc>
        <w:tc>
          <w:tcPr>
            <w:tcW w:w="1183" w:type="pct"/>
            <w:tcBorders>
              <w:top w:val="nil"/>
              <w:left w:val="nil"/>
              <w:bottom w:val="single" w:sz="4" w:space="0" w:color="auto"/>
              <w:right w:val="nil"/>
            </w:tcBorders>
            <w:shd w:val="clear" w:color="auto" w:fill="auto"/>
          </w:tcPr>
          <w:p w14:paraId="569F4084" w14:textId="03864409" w:rsidR="007770E8" w:rsidRPr="002B0DB7" w:rsidRDefault="007770E8" w:rsidP="00412523">
            <w:pPr>
              <w:keepNext/>
              <w:adjustRightInd w:val="0"/>
              <w:snapToGrid w:val="0"/>
              <w:spacing w:after="0" w:line="360" w:lineRule="auto"/>
              <w:jc w:val="both"/>
              <w:rPr>
                <w:rFonts w:ascii="Book Antiqua" w:hAnsi="Book Antiqua"/>
                <w:b/>
                <w:bCs/>
                <w:lang w:val="en-US"/>
              </w:rPr>
            </w:pPr>
            <w:r w:rsidRPr="004364F1">
              <w:rPr>
                <w:rFonts w:ascii="Book Antiqua" w:hAnsi="Book Antiqua"/>
                <w:b/>
                <w:bCs/>
                <w:i/>
                <w:lang w:val="en-US"/>
              </w:rPr>
              <w:t>n</w:t>
            </w:r>
            <w:r>
              <w:rPr>
                <w:rFonts w:ascii="Book Antiqua" w:hAnsi="Book Antiqua"/>
                <w:b/>
                <w:bCs/>
                <w:lang w:val="en-US"/>
              </w:rPr>
              <w:t xml:space="preserve"> </w:t>
            </w:r>
            <w:r w:rsidRPr="002B0DB7">
              <w:rPr>
                <w:rFonts w:ascii="Book Antiqua" w:hAnsi="Book Antiqua"/>
                <w:b/>
                <w:bCs/>
                <w:lang w:val="en-US"/>
              </w:rPr>
              <w:t>=</w:t>
            </w:r>
            <w:r>
              <w:rPr>
                <w:rFonts w:ascii="Book Antiqua" w:hAnsi="Book Antiqua"/>
                <w:b/>
                <w:bCs/>
                <w:lang w:val="en-US"/>
              </w:rPr>
              <w:t xml:space="preserve"> </w:t>
            </w:r>
            <w:r w:rsidRPr="002B0DB7">
              <w:rPr>
                <w:rFonts w:ascii="Book Antiqua" w:hAnsi="Book Antiqua"/>
                <w:b/>
                <w:bCs/>
                <w:lang w:val="en-US"/>
              </w:rPr>
              <w:t>48</w:t>
            </w:r>
          </w:p>
        </w:tc>
        <w:tc>
          <w:tcPr>
            <w:tcW w:w="912" w:type="pct"/>
            <w:tcBorders>
              <w:top w:val="nil"/>
              <w:left w:val="nil"/>
              <w:bottom w:val="single" w:sz="4" w:space="0" w:color="auto"/>
              <w:right w:val="nil"/>
            </w:tcBorders>
            <w:shd w:val="clear" w:color="auto" w:fill="auto"/>
          </w:tcPr>
          <w:p w14:paraId="367AF3A0" w14:textId="52156F4A" w:rsidR="007770E8" w:rsidRPr="002B0DB7" w:rsidRDefault="007770E8" w:rsidP="00412523">
            <w:pPr>
              <w:keepNext/>
              <w:adjustRightInd w:val="0"/>
              <w:snapToGrid w:val="0"/>
              <w:spacing w:after="0" w:line="360" w:lineRule="auto"/>
              <w:jc w:val="both"/>
              <w:rPr>
                <w:rFonts w:ascii="Book Antiqua" w:hAnsi="Book Antiqua"/>
                <w:b/>
                <w:bCs/>
                <w:lang w:val="en-US"/>
              </w:rPr>
            </w:pPr>
            <w:r w:rsidRPr="00D53DA5">
              <w:rPr>
                <w:rFonts w:ascii="Book Antiqua" w:hAnsi="Book Antiqua"/>
                <w:b/>
                <w:bCs/>
                <w:i/>
                <w:lang w:val="en-US"/>
              </w:rPr>
              <w:t>n</w:t>
            </w:r>
            <w:r>
              <w:rPr>
                <w:rFonts w:ascii="Book Antiqua" w:hAnsi="Book Antiqua"/>
                <w:b/>
                <w:bCs/>
                <w:lang w:val="en-US"/>
              </w:rPr>
              <w:t xml:space="preserve"> </w:t>
            </w:r>
            <w:r w:rsidRPr="002B0DB7">
              <w:rPr>
                <w:rFonts w:ascii="Book Antiqua" w:hAnsi="Book Antiqua"/>
                <w:b/>
                <w:bCs/>
                <w:lang w:val="en-US"/>
              </w:rPr>
              <w:t>=</w:t>
            </w:r>
            <w:r>
              <w:rPr>
                <w:rFonts w:ascii="Book Antiqua" w:hAnsi="Book Antiqua"/>
                <w:b/>
                <w:bCs/>
                <w:lang w:val="en-US"/>
              </w:rPr>
              <w:t xml:space="preserve"> </w:t>
            </w:r>
            <w:r w:rsidRPr="002B0DB7">
              <w:rPr>
                <w:rFonts w:ascii="Book Antiqua" w:hAnsi="Book Antiqua"/>
                <w:b/>
                <w:bCs/>
                <w:lang w:val="en-US"/>
              </w:rPr>
              <w:t>30</w:t>
            </w:r>
          </w:p>
        </w:tc>
        <w:tc>
          <w:tcPr>
            <w:tcW w:w="1029" w:type="pct"/>
            <w:tcBorders>
              <w:top w:val="nil"/>
              <w:left w:val="nil"/>
              <w:bottom w:val="single" w:sz="4" w:space="0" w:color="auto"/>
              <w:right w:val="nil"/>
            </w:tcBorders>
            <w:shd w:val="clear" w:color="auto" w:fill="auto"/>
          </w:tcPr>
          <w:p w14:paraId="25E11BA4" w14:textId="5F2F4F54" w:rsidR="007770E8" w:rsidRPr="002B0DB7" w:rsidRDefault="007770E8" w:rsidP="00412523">
            <w:pPr>
              <w:keepNext/>
              <w:adjustRightInd w:val="0"/>
              <w:snapToGrid w:val="0"/>
              <w:spacing w:after="0" w:line="360" w:lineRule="auto"/>
              <w:jc w:val="both"/>
              <w:rPr>
                <w:rFonts w:ascii="Book Antiqua" w:hAnsi="Book Antiqua"/>
                <w:b/>
                <w:bCs/>
                <w:lang w:val="en-US"/>
              </w:rPr>
            </w:pPr>
            <w:r w:rsidRPr="007770E8">
              <w:rPr>
                <w:rFonts w:ascii="Book Antiqua" w:hAnsi="Book Antiqua"/>
                <w:b/>
                <w:bCs/>
                <w:i/>
                <w:lang w:val="en-US"/>
              </w:rPr>
              <w:t>n</w:t>
            </w:r>
            <w:r>
              <w:rPr>
                <w:rFonts w:ascii="Book Antiqua" w:hAnsi="Book Antiqua"/>
                <w:b/>
                <w:bCs/>
                <w:lang w:val="en-US"/>
              </w:rPr>
              <w:t xml:space="preserve"> </w:t>
            </w:r>
            <w:r w:rsidRPr="002B0DB7">
              <w:rPr>
                <w:rFonts w:ascii="Book Antiqua" w:hAnsi="Book Antiqua"/>
                <w:b/>
                <w:bCs/>
                <w:lang w:val="en-US"/>
              </w:rPr>
              <w:t>=</w:t>
            </w:r>
            <w:r>
              <w:rPr>
                <w:rFonts w:ascii="Book Antiqua" w:hAnsi="Book Antiqua"/>
                <w:b/>
                <w:bCs/>
                <w:lang w:val="en-US"/>
              </w:rPr>
              <w:t xml:space="preserve"> </w:t>
            </w:r>
            <w:r w:rsidRPr="002B0DB7">
              <w:rPr>
                <w:rFonts w:ascii="Book Antiqua" w:hAnsi="Book Antiqua"/>
                <w:b/>
                <w:bCs/>
                <w:lang w:val="en-US"/>
              </w:rPr>
              <w:t>18</w:t>
            </w:r>
          </w:p>
        </w:tc>
        <w:tc>
          <w:tcPr>
            <w:tcW w:w="404" w:type="pct"/>
            <w:vMerge/>
            <w:tcBorders>
              <w:left w:val="nil"/>
              <w:bottom w:val="single" w:sz="4" w:space="0" w:color="auto"/>
              <w:right w:val="nil"/>
            </w:tcBorders>
            <w:shd w:val="clear" w:color="auto" w:fill="auto"/>
          </w:tcPr>
          <w:p w14:paraId="47EE263D" w14:textId="77777777" w:rsidR="007770E8" w:rsidRPr="002B0DB7" w:rsidRDefault="007770E8" w:rsidP="00412523">
            <w:pPr>
              <w:keepNext/>
              <w:adjustRightInd w:val="0"/>
              <w:snapToGrid w:val="0"/>
              <w:spacing w:after="0" w:line="360" w:lineRule="auto"/>
              <w:jc w:val="both"/>
              <w:rPr>
                <w:rFonts w:ascii="Book Antiqua" w:hAnsi="Book Antiqua"/>
                <w:b/>
                <w:bCs/>
                <w:i/>
                <w:iCs/>
                <w:lang w:val="en-US"/>
              </w:rPr>
            </w:pPr>
          </w:p>
        </w:tc>
      </w:tr>
      <w:tr w:rsidR="00FC19A9" w:rsidRPr="00BF740E" w14:paraId="3F7A90B5" w14:textId="77777777" w:rsidTr="00FC19A9">
        <w:trPr>
          <w:trHeight w:val="351"/>
        </w:trPr>
        <w:tc>
          <w:tcPr>
            <w:tcW w:w="1472" w:type="pct"/>
            <w:tcBorders>
              <w:top w:val="single" w:sz="4" w:space="0" w:color="auto"/>
              <w:left w:val="nil"/>
              <w:bottom w:val="nil"/>
              <w:right w:val="nil"/>
            </w:tcBorders>
            <w:shd w:val="clear" w:color="auto" w:fill="auto"/>
          </w:tcPr>
          <w:p w14:paraId="45A1981E" w14:textId="77777777" w:rsidR="00920127" w:rsidRPr="00BF740E" w:rsidRDefault="00920127" w:rsidP="00412523">
            <w:pPr>
              <w:adjustRightInd w:val="0"/>
              <w:snapToGrid w:val="0"/>
              <w:spacing w:after="0" w:line="360" w:lineRule="auto"/>
              <w:jc w:val="both"/>
              <w:rPr>
                <w:rFonts w:ascii="Book Antiqua" w:hAnsi="Book Antiqua"/>
                <w:lang w:val="en-US"/>
              </w:rPr>
            </w:pPr>
            <w:proofErr w:type="spellStart"/>
            <w:r w:rsidRPr="00BF740E">
              <w:rPr>
                <w:rFonts w:ascii="Book Antiqua" w:hAnsi="Book Antiqua"/>
                <w:lang w:val="en-US"/>
              </w:rPr>
              <w:t>Assessment</w:t>
            </w:r>
            <w:r w:rsidRPr="00BF740E">
              <w:rPr>
                <w:rFonts w:ascii="Book Antiqua" w:hAnsi="Book Antiqua"/>
                <w:vertAlign w:val="superscript"/>
                <w:lang w:val="en-US"/>
              </w:rPr>
              <w:t>a</w:t>
            </w:r>
            <w:proofErr w:type="spellEnd"/>
            <w:r w:rsidRPr="00BF740E">
              <w:rPr>
                <w:rFonts w:ascii="Book Antiqua" w:hAnsi="Book Antiqua"/>
                <w:lang w:val="en-US"/>
              </w:rPr>
              <w:t xml:space="preserve"> by </w:t>
            </w:r>
          </w:p>
        </w:tc>
        <w:tc>
          <w:tcPr>
            <w:tcW w:w="1183" w:type="pct"/>
            <w:tcBorders>
              <w:top w:val="single" w:sz="4" w:space="0" w:color="auto"/>
              <w:left w:val="nil"/>
              <w:bottom w:val="nil"/>
              <w:right w:val="nil"/>
            </w:tcBorders>
            <w:shd w:val="clear" w:color="auto" w:fill="auto"/>
          </w:tcPr>
          <w:p w14:paraId="63559AA0" w14:textId="77777777" w:rsidR="00920127" w:rsidRPr="00BF740E" w:rsidRDefault="00920127" w:rsidP="00412523">
            <w:pPr>
              <w:adjustRightInd w:val="0"/>
              <w:snapToGrid w:val="0"/>
              <w:spacing w:after="0" w:line="360" w:lineRule="auto"/>
              <w:jc w:val="both"/>
              <w:rPr>
                <w:rFonts w:ascii="Book Antiqua" w:hAnsi="Book Antiqua"/>
                <w:lang w:val="en-US"/>
              </w:rPr>
            </w:pPr>
          </w:p>
        </w:tc>
        <w:tc>
          <w:tcPr>
            <w:tcW w:w="912" w:type="pct"/>
            <w:tcBorders>
              <w:top w:val="single" w:sz="4" w:space="0" w:color="auto"/>
              <w:left w:val="nil"/>
              <w:bottom w:val="nil"/>
              <w:right w:val="nil"/>
            </w:tcBorders>
            <w:shd w:val="clear" w:color="auto" w:fill="auto"/>
          </w:tcPr>
          <w:p w14:paraId="6619E342"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c>
          <w:tcPr>
            <w:tcW w:w="1029" w:type="pct"/>
            <w:tcBorders>
              <w:top w:val="single" w:sz="4" w:space="0" w:color="auto"/>
              <w:left w:val="nil"/>
              <w:bottom w:val="nil"/>
              <w:right w:val="nil"/>
            </w:tcBorders>
            <w:shd w:val="clear" w:color="auto" w:fill="auto"/>
          </w:tcPr>
          <w:p w14:paraId="0A3053D7"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c>
          <w:tcPr>
            <w:tcW w:w="404" w:type="pct"/>
            <w:tcBorders>
              <w:top w:val="single" w:sz="4" w:space="0" w:color="auto"/>
              <w:left w:val="nil"/>
              <w:bottom w:val="nil"/>
              <w:right w:val="nil"/>
            </w:tcBorders>
            <w:shd w:val="clear" w:color="auto" w:fill="auto"/>
          </w:tcPr>
          <w:p w14:paraId="7B0D120E"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0.0457</w:t>
            </w:r>
          </w:p>
        </w:tc>
      </w:tr>
      <w:tr w:rsidR="00FC19A9" w:rsidRPr="00BF740E" w14:paraId="5D373712" w14:textId="77777777" w:rsidTr="00FC19A9">
        <w:trPr>
          <w:trHeight w:val="88"/>
        </w:trPr>
        <w:tc>
          <w:tcPr>
            <w:tcW w:w="1472" w:type="pct"/>
            <w:tcBorders>
              <w:top w:val="nil"/>
              <w:left w:val="nil"/>
              <w:bottom w:val="nil"/>
              <w:right w:val="nil"/>
            </w:tcBorders>
            <w:shd w:val="clear" w:color="auto" w:fill="auto"/>
          </w:tcPr>
          <w:p w14:paraId="5C0E3FB3"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Proctologist</w:t>
            </w:r>
          </w:p>
        </w:tc>
        <w:tc>
          <w:tcPr>
            <w:tcW w:w="1183" w:type="pct"/>
            <w:tcBorders>
              <w:top w:val="nil"/>
              <w:left w:val="nil"/>
              <w:bottom w:val="nil"/>
              <w:right w:val="nil"/>
            </w:tcBorders>
            <w:shd w:val="clear" w:color="auto" w:fill="auto"/>
          </w:tcPr>
          <w:p w14:paraId="29AEAEF7"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30 (62.5)</w:t>
            </w:r>
          </w:p>
        </w:tc>
        <w:tc>
          <w:tcPr>
            <w:tcW w:w="912" w:type="pct"/>
            <w:tcBorders>
              <w:top w:val="nil"/>
              <w:left w:val="nil"/>
              <w:bottom w:val="nil"/>
              <w:right w:val="nil"/>
            </w:tcBorders>
            <w:shd w:val="clear" w:color="auto" w:fill="auto"/>
          </w:tcPr>
          <w:p w14:paraId="2D7AF3A7"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15 (50.0)</w:t>
            </w:r>
          </w:p>
        </w:tc>
        <w:tc>
          <w:tcPr>
            <w:tcW w:w="1029" w:type="pct"/>
            <w:tcBorders>
              <w:top w:val="nil"/>
              <w:left w:val="nil"/>
              <w:bottom w:val="nil"/>
              <w:right w:val="nil"/>
            </w:tcBorders>
            <w:shd w:val="clear" w:color="auto" w:fill="auto"/>
          </w:tcPr>
          <w:p w14:paraId="60E210CD"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15 (83.3)</w:t>
            </w:r>
          </w:p>
        </w:tc>
        <w:tc>
          <w:tcPr>
            <w:tcW w:w="404" w:type="pct"/>
            <w:tcBorders>
              <w:top w:val="nil"/>
              <w:left w:val="nil"/>
              <w:bottom w:val="nil"/>
              <w:right w:val="nil"/>
            </w:tcBorders>
            <w:shd w:val="clear" w:color="auto" w:fill="auto"/>
          </w:tcPr>
          <w:p w14:paraId="5BAB7F15"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r>
      <w:tr w:rsidR="00FC19A9" w:rsidRPr="00BF740E" w14:paraId="51D95070" w14:textId="77777777" w:rsidTr="00FC19A9">
        <w:trPr>
          <w:trHeight w:val="88"/>
        </w:trPr>
        <w:tc>
          <w:tcPr>
            <w:tcW w:w="1472" w:type="pct"/>
            <w:tcBorders>
              <w:top w:val="nil"/>
              <w:left w:val="nil"/>
              <w:bottom w:val="nil"/>
              <w:right w:val="nil"/>
            </w:tcBorders>
            <w:shd w:val="clear" w:color="auto" w:fill="auto"/>
          </w:tcPr>
          <w:p w14:paraId="2A48A3B4"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Gastroenterologist</w:t>
            </w:r>
          </w:p>
        </w:tc>
        <w:tc>
          <w:tcPr>
            <w:tcW w:w="1183" w:type="pct"/>
            <w:tcBorders>
              <w:top w:val="nil"/>
              <w:left w:val="nil"/>
              <w:bottom w:val="nil"/>
              <w:right w:val="nil"/>
            </w:tcBorders>
            <w:shd w:val="clear" w:color="auto" w:fill="auto"/>
          </w:tcPr>
          <w:p w14:paraId="3FBCF506"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10 (20.8)</w:t>
            </w:r>
          </w:p>
        </w:tc>
        <w:tc>
          <w:tcPr>
            <w:tcW w:w="912" w:type="pct"/>
            <w:tcBorders>
              <w:top w:val="nil"/>
              <w:left w:val="nil"/>
              <w:bottom w:val="nil"/>
              <w:right w:val="nil"/>
            </w:tcBorders>
            <w:shd w:val="clear" w:color="auto" w:fill="auto"/>
          </w:tcPr>
          <w:p w14:paraId="4F10CFB4"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7 (23.3)</w:t>
            </w:r>
          </w:p>
        </w:tc>
        <w:tc>
          <w:tcPr>
            <w:tcW w:w="1029" w:type="pct"/>
            <w:tcBorders>
              <w:top w:val="nil"/>
              <w:left w:val="nil"/>
              <w:bottom w:val="nil"/>
              <w:right w:val="nil"/>
            </w:tcBorders>
            <w:shd w:val="clear" w:color="auto" w:fill="auto"/>
          </w:tcPr>
          <w:p w14:paraId="52FD1524"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3 (16.7)</w:t>
            </w:r>
          </w:p>
        </w:tc>
        <w:tc>
          <w:tcPr>
            <w:tcW w:w="404" w:type="pct"/>
            <w:tcBorders>
              <w:top w:val="nil"/>
              <w:left w:val="nil"/>
              <w:bottom w:val="nil"/>
              <w:right w:val="nil"/>
            </w:tcBorders>
            <w:shd w:val="clear" w:color="auto" w:fill="auto"/>
          </w:tcPr>
          <w:p w14:paraId="5220DD5E"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r>
      <w:tr w:rsidR="00FC19A9" w:rsidRPr="00BF740E" w14:paraId="5C2724C3" w14:textId="77777777" w:rsidTr="00FC19A9">
        <w:trPr>
          <w:trHeight w:val="88"/>
        </w:trPr>
        <w:tc>
          <w:tcPr>
            <w:tcW w:w="1472" w:type="pct"/>
            <w:tcBorders>
              <w:top w:val="nil"/>
              <w:left w:val="nil"/>
              <w:bottom w:val="nil"/>
              <w:right w:val="nil"/>
            </w:tcBorders>
            <w:shd w:val="clear" w:color="auto" w:fill="auto"/>
          </w:tcPr>
          <w:p w14:paraId="18EFCB1B"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Oncologist</w:t>
            </w:r>
          </w:p>
        </w:tc>
        <w:tc>
          <w:tcPr>
            <w:tcW w:w="1183" w:type="pct"/>
            <w:tcBorders>
              <w:top w:val="nil"/>
              <w:left w:val="nil"/>
              <w:bottom w:val="nil"/>
              <w:right w:val="nil"/>
            </w:tcBorders>
            <w:shd w:val="clear" w:color="auto" w:fill="auto"/>
          </w:tcPr>
          <w:p w14:paraId="424F8C4C"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2 (4.2)</w:t>
            </w:r>
          </w:p>
        </w:tc>
        <w:tc>
          <w:tcPr>
            <w:tcW w:w="912" w:type="pct"/>
            <w:tcBorders>
              <w:top w:val="nil"/>
              <w:left w:val="nil"/>
              <w:bottom w:val="nil"/>
              <w:right w:val="nil"/>
            </w:tcBorders>
            <w:shd w:val="clear" w:color="auto" w:fill="auto"/>
          </w:tcPr>
          <w:p w14:paraId="00C61003"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2 (6.7)</w:t>
            </w:r>
          </w:p>
        </w:tc>
        <w:tc>
          <w:tcPr>
            <w:tcW w:w="1029" w:type="pct"/>
            <w:tcBorders>
              <w:top w:val="nil"/>
              <w:left w:val="nil"/>
              <w:bottom w:val="nil"/>
              <w:right w:val="nil"/>
            </w:tcBorders>
            <w:shd w:val="clear" w:color="auto" w:fill="auto"/>
          </w:tcPr>
          <w:p w14:paraId="4960F2BE" w14:textId="618B274F" w:rsidR="00920127" w:rsidRPr="00F15812" w:rsidRDefault="00920127" w:rsidP="00412523">
            <w:pPr>
              <w:adjustRightInd w:val="0"/>
              <w:snapToGrid w:val="0"/>
              <w:spacing w:after="0" w:line="360" w:lineRule="auto"/>
              <w:jc w:val="both"/>
              <w:rPr>
                <w:rFonts w:ascii="Book Antiqua" w:eastAsia="等线" w:hAnsi="Book Antiqua"/>
                <w:color w:val="000000"/>
                <w:lang w:val="en-US" w:eastAsia="zh-CN"/>
              </w:rPr>
            </w:pPr>
          </w:p>
        </w:tc>
        <w:tc>
          <w:tcPr>
            <w:tcW w:w="404" w:type="pct"/>
            <w:tcBorders>
              <w:top w:val="nil"/>
              <w:left w:val="nil"/>
              <w:bottom w:val="nil"/>
              <w:right w:val="nil"/>
            </w:tcBorders>
            <w:shd w:val="clear" w:color="auto" w:fill="auto"/>
          </w:tcPr>
          <w:p w14:paraId="274D50F2"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r>
      <w:tr w:rsidR="00FC19A9" w:rsidRPr="00BF740E" w14:paraId="60611D6D" w14:textId="77777777" w:rsidTr="00FC19A9">
        <w:trPr>
          <w:trHeight w:val="88"/>
        </w:trPr>
        <w:tc>
          <w:tcPr>
            <w:tcW w:w="1472" w:type="pct"/>
            <w:tcBorders>
              <w:top w:val="nil"/>
              <w:left w:val="nil"/>
              <w:bottom w:val="nil"/>
              <w:right w:val="nil"/>
            </w:tcBorders>
            <w:shd w:val="clear" w:color="auto" w:fill="auto"/>
          </w:tcPr>
          <w:p w14:paraId="64BA264D"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Radiotherapist</w:t>
            </w:r>
          </w:p>
        </w:tc>
        <w:tc>
          <w:tcPr>
            <w:tcW w:w="1183" w:type="pct"/>
            <w:tcBorders>
              <w:top w:val="nil"/>
              <w:left w:val="nil"/>
              <w:bottom w:val="nil"/>
              <w:right w:val="nil"/>
            </w:tcBorders>
            <w:shd w:val="clear" w:color="auto" w:fill="auto"/>
          </w:tcPr>
          <w:p w14:paraId="545C5387"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5 (10.4)</w:t>
            </w:r>
          </w:p>
        </w:tc>
        <w:tc>
          <w:tcPr>
            <w:tcW w:w="912" w:type="pct"/>
            <w:tcBorders>
              <w:top w:val="nil"/>
              <w:left w:val="nil"/>
              <w:bottom w:val="nil"/>
              <w:right w:val="nil"/>
            </w:tcBorders>
            <w:shd w:val="clear" w:color="auto" w:fill="auto"/>
          </w:tcPr>
          <w:p w14:paraId="74FD5009"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5 (16.7)</w:t>
            </w:r>
          </w:p>
        </w:tc>
        <w:tc>
          <w:tcPr>
            <w:tcW w:w="1029" w:type="pct"/>
            <w:tcBorders>
              <w:top w:val="nil"/>
              <w:left w:val="nil"/>
              <w:bottom w:val="nil"/>
              <w:right w:val="nil"/>
            </w:tcBorders>
            <w:shd w:val="clear" w:color="auto" w:fill="auto"/>
          </w:tcPr>
          <w:p w14:paraId="34F45BFC" w14:textId="326FE01C" w:rsidR="00920127" w:rsidRPr="00F15812" w:rsidRDefault="00920127" w:rsidP="00412523">
            <w:pPr>
              <w:adjustRightInd w:val="0"/>
              <w:snapToGrid w:val="0"/>
              <w:spacing w:after="0" w:line="360" w:lineRule="auto"/>
              <w:jc w:val="both"/>
              <w:rPr>
                <w:rFonts w:ascii="Book Antiqua" w:eastAsia="等线" w:hAnsi="Book Antiqua"/>
                <w:color w:val="000000"/>
                <w:lang w:val="en-US" w:eastAsia="zh-CN"/>
              </w:rPr>
            </w:pPr>
          </w:p>
        </w:tc>
        <w:tc>
          <w:tcPr>
            <w:tcW w:w="404" w:type="pct"/>
            <w:tcBorders>
              <w:top w:val="nil"/>
              <w:left w:val="nil"/>
              <w:bottom w:val="nil"/>
              <w:right w:val="nil"/>
            </w:tcBorders>
            <w:shd w:val="clear" w:color="auto" w:fill="auto"/>
          </w:tcPr>
          <w:p w14:paraId="1D79AFFC"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r>
      <w:tr w:rsidR="00FC19A9" w:rsidRPr="00BF740E" w14:paraId="708E4AD5" w14:textId="77777777" w:rsidTr="00FC19A9">
        <w:trPr>
          <w:trHeight w:val="88"/>
        </w:trPr>
        <w:tc>
          <w:tcPr>
            <w:tcW w:w="1472" w:type="pct"/>
            <w:tcBorders>
              <w:top w:val="nil"/>
              <w:left w:val="nil"/>
              <w:bottom w:val="nil"/>
              <w:right w:val="nil"/>
            </w:tcBorders>
            <w:shd w:val="clear" w:color="auto" w:fill="auto"/>
          </w:tcPr>
          <w:p w14:paraId="08B2D85C"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Surgeon</w:t>
            </w:r>
          </w:p>
        </w:tc>
        <w:tc>
          <w:tcPr>
            <w:tcW w:w="1183" w:type="pct"/>
            <w:tcBorders>
              <w:top w:val="nil"/>
              <w:left w:val="nil"/>
              <w:bottom w:val="nil"/>
              <w:right w:val="nil"/>
            </w:tcBorders>
            <w:shd w:val="clear" w:color="auto" w:fill="auto"/>
          </w:tcPr>
          <w:p w14:paraId="5022FB44"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1 (2.1)</w:t>
            </w:r>
          </w:p>
        </w:tc>
        <w:tc>
          <w:tcPr>
            <w:tcW w:w="912" w:type="pct"/>
            <w:tcBorders>
              <w:top w:val="nil"/>
              <w:left w:val="nil"/>
              <w:bottom w:val="nil"/>
              <w:right w:val="nil"/>
            </w:tcBorders>
            <w:shd w:val="clear" w:color="auto" w:fill="auto"/>
          </w:tcPr>
          <w:p w14:paraId="690E423B"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 (3.3)</w:t>
            </w:r>
          </w:p>
        </w:tc>
        <w:tc>
          <w:tcPr>
            <w:tcW w:w="1029" w:type="pct"/>
            <w:tcBorders>
              <w:top w:val="nil"/>
              <w:left w:val="nil"/>
              <w:bottom w:val="nil"/>
              <w:right w:val="nil"/>
            </w:tcBorders>
            <w:shd w:val="clear" w:color="auto" w:fill="auto"/>
          </w:tcPr>
          <w:p w14:paraId="630FCC2A" w14:textId="08F566EB" w:rsidR="00920127" w:rsidRPr="00F15812" w:rsidRDefault="00920127" w:rsidP="00412523">
            <w:pPr>
              <w:adjustRightInd w:val="0"/>
              <w:snapToGrid w:val="0"/>
              <w:spacing w:after="0" w:line="360" w:lineRule="auto"/>
              <w:jc w:val="both"/>
              <w:rPr>
                <w:rFonts w:ascii="Book Antiqua" w:eastAsia="等线" w:hAnsi="Book Antiqua"/>
                <w:color w:val="000000"/>
                <w:lang w:val="en-US" w:eastAsia="zh-CN"/>
              </w:rPr>
            </w:pPr>
          </w:p>
        </w:tc>
        <w:tc>
          <w:tcPr>
            <w:tcW w:w="404" w:type="pct"/>
            <w:tcBorders>
              <w:top w:val="nil"/>
              <w:left w:val="nil"/>
              <w:bottom w:val="nil"/>
              <w:right w:val="nil"/>
            </w:tcBorders>
            <w:shd w:val="clear" w:color="auto" w:fill="auto"/>
          </w:tcPr>
          <w:p w14:paraId="70185553"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r>
      <w:tr w:rsidR="00FC19A9" w:rsidRPr="00BF740E" w14:paraId="46B053EF" w14:textId="77777777" w:rsidTr="00FC19A9">
        <w:trPr>
          <w:trHeight w:val="240"/>
        </w:trPr>
        <w:tc>
          <w:tcPr>
            <w:tcW w:w="1472" w:type="pct"/>
            <w:tcBorders>
              <w:top w:val="nil"/>
              <w:left w:val="nil"/>
              <w:bottom w:val="nil"/>
              <w:right w:val="nil"/>
            </w:tcBorders>
            <w:shd w:val="clear" w:color="auto" w:fill="auto"/>
          </w:tcPr>
          <w:p w14:paraId="1DD9CCFC"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 xml:space="preserve">Examination </w:t>
            </w:r>
          </w:p>
        </w:tc>
        <w:tc>
          <w:tcPr>
            <w:tcW w:w="1183" w:type="pct"/>
            <w:tcBorders>
              <w:top w:val="nil"/>
              <w:left w:val="nil"/>
              <w:bottom w:val="nil"/>
              <w:right w:val="nil"/>
            </w:tcBorders>
            <w:shd w:val="clear" w:color="auto" w:fill="auto"/>
          </w:tcPr>
          <w:p w14:paraId="47999FE9" w14:textId="77777777" w:rsidR="00920127" w:rsidRPr="00BF740E" w:rsidRDefault="00920127" w:rsidP="00412523">
            <w:pPr>
              <w:adjustRightInd w:val="0"/>
              <w:snapToGrid w:val="0"/>
              <w:spacing w:after="0" w:line="360" w:lineRule="auto"/>
              <w:jc w:val="both"/>
              <w:rPr>
                <w:rFonts w:ascii="Book Antiqua" w:hAnsi="Book Antiqua"/>
                <w:lang w:val="en-US"/>
              </w:rPr>
            </w:pPr>
          </w:p>
        </w:tc>
        <w:tc>
          <w:tcPr>
            <w:tcW w:w="912" w:type="pct"/>
            <w:tcBorders>
              <w:top w:val="nil"/>
              <w:left w:val="nil"/>
              <w:bottom w:val="nil"/>
              <w:right w:val="nil"/>
            </w:tcBorders>
            <w:shd w:val="clear" w:color="auto" w:fill="auto"/>
          </w:tcPr>
          <w:p w14:paraId="6B98889B"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c>
          <w:tcPr>
            <w:tcW w:w="1029" w:type="pct"/>
            <w:tcBorders>
              <w:top w:val="nil"/>
              <w:left w:val="nil"/>
              <w:bottom w:val="nil"/>
              <w:right w:val="nil"/>
            </w:tcBorders>
            <w:shd w:val="clear" w:color="auto" w:fill="auto"/>
          </w:tcPr>
          <w:p w14:paraId="55BD8FC7"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c>
          <w:tcPr>
            <w:tcW w:w="404" w:type="pct"/>
            <w:tcBorders>
              <w:top w:val="nil"/>
              <w:left w:val="nil"/>
              <w:bottom w:val="nil"/>
              <w:right w:val="nil"/>
            </w:tcBorders>
            <w:shd w:val="clear" w:color="auto" w:fill="auto"/>
          </w:tcPr>
          <w:p w14:paraId="6441ADAB"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p>
        </w:tc>
      </w:tr>
      <w:tr w:rsidR="00FC19A9" w:rsidRPr="00BF740E" w14:paraId="384EC447" w14:textId="77777777" w:rsidTr="00FC19A9">
        <w:trPr>
          <w:trHeight w:val="231"/>
        </w:trPr>
        <w:tc>
          <w:tcPr>
            <w:tcW w:w="1472" w:type="pct"/>
            <w:tcBorders>
              <w:top w:val="nil"/>
              <w:left w:val="nil"/>
              <w:bottom w:val="nil"/>
              <w:right w:val="nil"/>
            </w:tcBorders>
            <w:shd w:val="clear" w:color="auto" w:fill="auto"/>
          </w:tcPr>
          <w:p w14:paraId="7590D75B"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Anal margin</w:t>
            </w:r>
          </w:p>
        </w:tc>
        <w:tc>
          <w:tcPr>
            <w:tcW w:w="1183" w:type="pct"/>
            <w:tcBorders>
              <w:top w:val="nil"/>
              <w:left w:val="nil"/>
              <w:bottom w:val="nil"/>
              <w:right w:val="nil"/>
            </w:tcBorders>
            <w:shd w:val="clear" w:color="auto" w:fill="auto"/>
          </w:tcPr>
          <w:p w14:paraId="50A2AE9A"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46 (95.8)</w:t>
            </w:r>
          </w:p>
        </w:tc>
        <w:tc>
          <w:tcPr>
            <w:tcW w:w="912" w:type="pct"/>
            <w:tcBorders>
              <w:top w:val="nil"/>
              <w:left w:val="nil"/>
              <w:bottom w:val="nil"/>
              <w:right w:val="nil"/>
            </w:tcBorders>
            <w:shd w:val="clear" w:color="auto" w:fill="auto"/>
          </w:tcPr>
          <w:p w14:paraId="0C111D0B" w14:textId="77777777" w:rsidR="00920127" w:rsidRPr="00BF740E" w:rsidRDefault="00920127" w:rsidP="00412523">
            <w:pPr>
              <w:adjustRightInd w:val="0"/>
              <w:snapToGrid w:val="0"/>
              <w:spacing w:after="0" w:line="360" w:lineRule="auto"/>
              <w:jc w:val="both"/>
              <w:rPr>
                <w:rFonts w:ascii="Book Antiqua" w:hAnsi="Book Antiqua"/>
                <w:i/>
                <w:color w:val="000000"/>
                <w:lang w:val="en-US"/>
              </w:rPr>
            </w:pPr>
            <w:r w:rsidRPr="00BF740E">
              <w:rPr>
                <w:rFonts w:ascii="Book Antiqua" w:hAnsi="Book Antiqua"/>
                <w:color w:val="000000"/>
                <w:lang w:val="en-US"/>
              </w:rPr>
              <w:t>29 (96.7)</w:t>
            </w:r>
          </w:p>
        </w:tc>
        <w:tc>
          <w:tcPr>
            <w:tcW w:w="1029" w:type="pct"/>
            <w:tcBorders>
              <w:top w:val="nil"/>
              <w:left w:val="nil"/>
              <w:bottom w:val="nil"/>
              <w:right w:val="nil"/>
            </w:tcBorders>
            <w:shd w:val="clear" w:color="auto" w:fill="auto"/>
          </w:tcPr>
          <w:p w14:paraId="0793F356" w14:textId="77777777" w:rsidR="00920127" w:rsidRPr="00BF740E" w:rsidRDefault="00920127" w:rsidP="00412523">
            <w:pPr>
              <w:adjustRightInd w:val="0"/>
              <w:snapToGrid w:val="0"/>
              <w:spacing w:after="0" w:line="360" w:lineRule="auto"/>
              <w:jc w:val="both"/>
              <w:rPr>
                <w:rFonts w:ascii="Book Antiqua" w:hAnsi="Book Antiqua"/>
                <w:i/>
                <w:color w:val="000000"/>
                <w:lang w:val="en-US"/>
              </w:rPr>
            </w:pPr>
            <w:r w:rsidRPr="00BF740E">
              <w:rPr>
                <w:rFonts w:ascii="Book Antiqua" w:hAnsi="Book Antiqua"/>
                <w:color w:val="000000"/>
                <w:lang w:val="en-US"/>
              </w:rPr>
              <w:t>17 (94.4)</w:t>
            </w:r>
          </w:p>
        </w:tc>
        <w:tc>
          <w:tcPr>
            <w:tcW w:w="404" w:type="pct"/>
            <w:tcBorders>
              <w:top w:val="nil"/>
              <w:left w:val="nil"/>
              <w:bottom w:val="nil"/>
              <w:right w:val="nil"/>
            </w:tcBorders>
            <w:shd w:val="clear" w:color="auto" w:fill="auto"/>
          </w:tcPr>
          <w:p w14:paraId="51EAD088"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r w:rsidRPr="00BF740E">
              <w:rPr>
                <w:rFonts w:ascii="Book Antiqua" w:hAnsi="Book Antiqua"/>
                <w:color w:val="000000"/>
                <w:lang w:val="en-US"/>
              </w:rPr>
              <w:t>0.71</w:t>
            </w:r>
          </w:p>
        </w:tc>
      </w:tr>
      <w:tr w:rsidR="00FC19A9" w:rsidRPr="00BF740E" w14:paraId="45D94309" w14:textId="77777777" w:rsidTr="00FC19A9">
        <w:trPr>
          <w:trHeight w:val="231"/>
        </w:trPr>
        <w:tc>
          <w:tcPr>
            <w:tcW w:w="1472" w:type="pct"/>
            <w:tcBorders>
              <w:top w:val="nil"/>
              <w:left w:val="nil"/>
              <w:bottom w:val="nil"/>
              <w:right w:val="nil"/>
            </w:tcBorders>
            <w:shd w:val="clear" w:color="auto" w:fill="auto"/>
          </w:tcPr>
          <w:p w14:paraId="40CCAD96"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rectal digital examination</w:t>
            </w:r>
          </w:p>
        </w:tc>
        <w:tc>
          <w:tcPr>
            <w:tcW w:w="1183" w:type="pct"/>
            <w:tcBorders>
              <w:top w:val="nil"/>
              <w:left w:val="nil"/>
              <w:bottom w:val="nil"/>
              <w:right w:val="nil"/>
            </w:tcBorders>
            <w:shd w:val="clear" w:color="auto" w:fill="auto"/>
          </w:tcPr>
          <w:p w14:paraId="072C2C83"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40 (85.2)</w:t>
            </w:r>
          </w:p>
        </w:tc>
        <w:tc>
          <w:tcPr>
            <w:tcW w:w="912" w:type="pct"/>
            <w:tcBorders>
              <w:top w:val="nil"/>
              <w:left w:val="nil"/>
              <w:bottom w:val="nil"/>
              <w:right w:val="nil"/>
            </w:tcBorders>
            <w:shd w:val="clear" w:color="auto" w:fill="auto"/>
          </w:tcPr>
          <w:p w14:paraId="44B448F9" w14:textId="77777777" w:rsidR="00920127" w:rsidRPr="00BF740E" w:rsidRDefault="00920127" w:rsidP="00412523">
            <w:pPr>
              <w:adjustRightInd w:val="0"/>
              <w:snapToGrid w:val="0"/>
              <w:spacing w:after="0" w:line="360" w:lineRule="auto"/>
              <w:jc w:val="both"/>
              <w:rPr>
                <w:rFonts w:ascii="Book Antiqua" w:hAnsi="Book Antiqua"/>
                <w:i/>
                <w:color w:val="000000"/>
                <w:lang w:val="en-US"/>
              </w:rPr>
            </w:pPr>
            <w:r w:rsidRPr="00BF740E">
              <w:rPr>
                <w:rFonts w:ascii="Book Antiqua" w:hAnsi="Book Antiqua"/>
                <w:color w:val="000000"/>
                <w:lang w:val="en-US"/>
              </w:rPr>
              <w:t>25 (86.2)</w:t>
            </w:r>
          </w:p>
        </w:tc>
        <w:tc>
          <w:tcPr>
            <w:tcW w:w="1029" w:type="pct"/>
            <w:tcBorders>
              <w:top w:val="nil"/>
              <w:left w:val="nil"/>
              <w:bottom w:val="nil"/>
              <w:right w:val="nil"/>
            </w:tcBorders>
            <w:shd w:val="clear" w:color="auto" w:fill="auto"/>
          </w:tcPr>
          <w:p w14:paraId="536058D0" w14:textId="77777777" w:rsidR="00920127" w:rsidRPr="00BF740E" w:rsidRDefault="00920127" w:rsidP="00412523">
            <w:pPr>
              <w:adjustRightInd w:val="0"/>
              <w:snapToGrid w:val="0"/>
              <w:spacing w:after="0" w:line="360" w:lineRule="auto"/>
              <w:jc w:val="both"/>
              <w:rPr>
                <w:rFonts w:ascii="Book Antiqua" w:hAnsi="Book Antiqua"/>
                <w:i/>
                <w:color w:val="000000"/>
                <w:lang w:val="en-US"/>
              </w:rPr>
            </w:pPr>
            <w:r w:rsidRPr="00BF740E">
              <w:rPr>
                <w:rFonts w:ascii="Book Antiqua" w:hAnsi="Book Antiqua"/>
                <w:color w:val="000000"/>
                <w:lang w:val="en-US"/>
              </w:rPr>
              <w:t>15 (83.3)</w:t>
            </w:r>
          </w:p>
        </w:tc>
        <w:tc>
          <w:tcPr>
            <w:tcW w:w="404" w:type="pct"/>
            <w:tcBorders>
              <w:top w:val="nil"/>
              <w:left w:val="nil"/>
              <w:bottom w:val="nil"/>
              <w:right w:val="nil"/>
            </w:tcBorders>
            <w:shd w:val="clear" w:color="auto" w:fill="auto"/>
          </w:tcPr>
          <w:p w14:paraId="323C1408"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r w:rsidRPr="00BF740E">
              <w:rPr>
                <w:rFonts w:ascii="Book Antiqua" w:hAnsi="Book Antiqua"/>
                <w:color w:val="000000"/>
                <w:lang w:val="en-US"/>
              </w:rPr>
              <w:t>0.78</w:t>
            </w:r>
          </w:p>
        </w:tc>
      </w:tr>
      <w:tr w:rsidR="00FC19A9" w:rsidRPr="00BF740E" w14:paraId="3B0CBEA2" w14:textId="77777777" w:rsidTr="00FC19A9">
        <w:trPr>
          <w:trHeight w:val="231"/>
        </w:trPr>
        <w:tc>
          <w:tcPr>
            <w:tcW w:w="1472" w:type="pct"/>
            <w:tcBorders>
              <w:top w:val="nil"/>
              <w:left w:val="nil"/>
              <w:bottom w:val="nil"/>
              <w:right w:val="nil"/>
            </w:tcBorders>
            <w:shd w:val="clear" w:color="auto" w:fill="auto"/>
          </w:tcPr>
          <w:p w14:paraId="3AED78BA" w14:textId="77777777" w:rsidR="00920127" w:rsidRPr="00BF740E" w:rsidRDefault="00920127" w:rsidP="00412523">
            <w:pPr>
              <w:adjustRightInd w:val="0"/>
              <w:snapToGrid w:val="0"/>
              <w:spacing w:after="0" w:line="360" w:lineRule="auto"/>
              <w:jc w:val="both"/>
              <w:rPr>
                <w:rFonts w:ascii="Book Antiqua" w:hAnsi="Book Antiqua"/>
                <w:lang w:val="en-US"/>
              </w:rPr>
            </w:pPr>
            <w:proofErr w:type="spellStart"/>
            <w:r w:rsidRPr="00BF740E">
              <w:rPr>
                <w:rFonts w:ascii="Book Antiqua" w:hAnsi="Book Antiqua"/>
                <w:lang w:val="en-US"/>
              </w:rPr>
              <w:t>Anoscopy</w:t>
            </w:r>
            <w:proofErr w:type="spellEnd"/>
          </w:p>
        </w:tc>
        <w:tc>
          <w:tcPr>
            <w:tcW w:w="1183" w:type="pct"/>
            <w:tcBorders>
              <w:top w:val="nil"/>
              <w:left w:val="nil"/>
              <w:bottom w:val="nil"/>
              <w:right w:val="nil"/>
            </w:tcBorders>
            <w:shd w:val="clear" w:color="auto" w:fill="auto"/>
          </w:tcPr>
          <w:p w14:paraId="433D43D9"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24 (51.1)</w:t>
            </w:r>
          </w:p>
        </w:tc>
        <w:tc>
          <w:tcPr>
            <w:tcW w:w="912" w:type="pct"/>
            <w:tcBorders>
              <w:top w:val="nil"/>
              <w:left w:val="nil"/>
              <w:bottom w:val="nil"/>
              <w:right w:val="nil"/>
            </w:tcBorders>
            <w:shd w:val="clear" w:color="auto" w:fill="auto"/>
          </w:tcPr>
          <w:p w14:paraId="2060B23A" w14:textId="77777777" w:rsidR="00920127" w:rsidRPr="00BF740E" w:rsidRDefault="00920127" w:rsidP="00412523">
            <w:pPr>
              <w:adjustRightInd w:val="0"/>
              <w:snapToGrid w:val="0"/>
              <w:spacing w:after="0" w:line="360" w:lineRule="auto"/>
              <w:jc w:val="both"/>
              <w:rPr>
                <w:rFonts w:ascii="Book Antiqua" w:hAnsi="Book Antiqua"/>
                <w:i/>
                <w:color w:val="000000"/>
                <w:lang w:val="en-US"/>
              </w:rPr>
            </w:pPr>
            <w:r w:rsidRPr="00BF740E">
              <w:rPr>
                <w:rFonts w:ascii="Book Antiqua" w:hAnsi="Book Antiqua"/>
                <w:color w:val="000000"/>
                <w:lang w:val="en-US"/>
              </w:rPr>
              <w:t>12 (41.4)</w:t>
            </w:r>
          </w:p>
        </w:tc>
        <w:tc>
          <w:tcPr>
            <w:tcW w:w="1029" w:type="pct"/>
            <w:tcBorders>
              <w:top w:val="nil"/>
              <w:left w:val="nil"/>
              <w:bottom w:val="nil"/>
              <w:right w:val="nil"/>
            </w:tcBorders>
            <w:shd w:val="clear" w:color="auto" w:fill="auto"/>
          </w:tcPr>
          <w:p w14:paraId="38A21F1B" w14:textId="77777777" w:rsidR="00920127" w:rsidRPr="00BF740E" w:rsidRDefault="00920127" w:rsidP="00412523">
            <w:pPr>
              <w:adjustRightInd w:val="0"/>
              <w:snapToGrid w:val="0"/>
              <w:spacing w:after="0" w:line="360" w:lineRule="auto"/>
              <w:jc w:val="both"/>
              <w:rPr>
                <w:rFonts w:ascii="Book Antiqua" w:hAnsi="Book Antiqua"/>
                <w:i/>
                <w:color w:val="000000"/>
                <w:lang w:val="en-US"/>
              </w:rPr>
            </w:pPr>
            <w:r w:rsidRPr="00BF740E">
              <w:rPr>
                <w:rFonts w:ascii="Book Antiqua" w:hAnsi="Book Antiqua"/>
                <w:color w:val="000000"/>
                <w:lang w:val="en-US"/>
              </w:rPr>
              <w:t>12 (66.7)</w:t>
            </w:r>
          </w:p>
        </w:tc>
        <w:tc>
          <w:tcPr>
            <w:tcW w:w="404" w:type="pct"/>
            <w:tcBorders>
              <w:top w:val="nil"/>
              <w:left w:val="nil"/>
              <w:bottom w:val="nil"/>
              <w:right w:val="nil"/>
            </w:tcBorders>
            <w:shd w:val="clear" w:color="auto" w:fill="auto"/>
          </w:tcPr>
          <w:p w14:paraId="3E9025F3"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r w:rsidRPr="00BF740E">
              <w:rPr>
                <w:rFonts w:ascii="Book Antiqua" w:hAnsi="Book Antiqua"/>
                <w:color w:val="000000"/>
                <w:lang w:val="en-US"/>
              </w:rPr>
              <w:t>0.09</w:t>
            </w:r>
          </w:p>
        </w:tc>
      </w:tr>
      <w:tr w:rsidR="00FC19A9" w:rsidRPr="00BF740E" w14:paraId="54D23801" w14:textId="77777777" w:rsidTr="00FC19A9">
        <w:trPr>
          <w:trHeight w:val="231"/>
        </w:trPr>
        <w:tc>
          <w:tcPr>
            <w:tcW w:w="1472" w:type="pct"/>
            <w:tcBorders>
              <w:top w:val="nil"/>
              <w:left w:val="nil"/>
              <w:bottom w:val="nil"/>
              <w:right w:val="nil"/>
            </w:tcBorders>
            <w:shd w:val="clear" w:color="auto" w:fill="auto"/>
          </w:tcPr>
          <w:p w14:paraId="72FA2125"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Colonoscopy</w:t>
            </w:r>
          </w:p>
        </w:tc>
        <w:tc>
          <w:tcPr>
            <w:tcW w:w="1183" w:type="pct"/>
            <w:tcBorders>
              <w:top w:val="nil"/>
              <w:left w:val="nil"/>
              <w:bottom w:val="nil"/>
              <w:right w:val="nil"/>
            </w:tcBorders>
            <w:shd w:val="clear" w:color="auto" w:fill="auto"/>
          </w:tcPr>
          <w:p w14:paraId="00D66F8C"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17 (36.2)</w:t>
            </w:r>
          </w:p>
        </w:tc>
        <w:tc>
          <w:tcPr>
            <w:tcW w:w="912" w:type="pct"/>
            <w:tcBorders>
              <w:top w:val="nil"/>
              <w:left w:val="nil"/>
              <w:bottom w:val="nil"/>
              <w:right w:val="nil"/>
            </w:tcBorders>
            <w:shd w:val="clear" w:color="auto" w:fill="auto"/>
          </w:tcPr>
          <w:p w14:paraId="3D81FEF0" w14:textId="77777777" w:rsidR="00920127" w:rsidRPr="00BF740E" w:rsidRDefault="00920127" w:rsidP="00412523">
            <w:pPr>
              <w:adjustRightInd w:val="0"/>
              <w:snapToGrid w:val="0"/>
              <w:spacing w:after="0" w:line="360" w:lineRule="auto"/>
              <w:jc w:val="both"/>
              <w:rPr>
                <w:rFonts w:ascii="Book Antiqua" w:hAnsi="Book Antiqua"/>
                <w:i/>
                <w:color w:val="000000"/>
                <w:lang w:val="en-US"/>
              </w:rPr>
            </w:pPr>
            <w:r w:rsidRPr="00BF740E">
              <w:rPr>
                <w:rFonts w:ascii="Book Antiqua" w:hAnsi="Book Antiqua"/>
                <w:color w:val="000000"/>
                <w:lang w:val="en-US"/>
              </w:rPr>
              <w:t>11 (38.0)</w:t>
            </w:r>
          </w:p>
        </w:tc>
        <w:tc>
          <w:tcPr>
            <w:tcW w:w="1029" w:type="pct"/>
            <w:tcBorders>
              <w:top w:val="nil"/>
              <w:left w:val="nil"/>
              <w:bottom w:val="nil"/>
              <w:right w:val="nil"/>
            </w:tcBorders>
            <w:shd w:val="clear" w:color="auto" w:fill="auto"/>
          </w:tcPr>
          <w:p w14:paraId="3F1E160E" w14:textId="77777777" w:rsidR="00920127" w:rsidRPr="00BF740E" w:rsidRDefault="00920127" w:rsidP="00412523">
            <w:pPr>
              <w:adjustRightInd w:val="0"/>
              <w:snapToGrid w:val="0"/>
              <w:spacing w:after="0" w:line="360" w:lineRule="auto"/>
              <w:jc w:val="both"/>
              <w:rPr>
                <w:rFonts w:ascii="Book Antiqua" w:hAnsi="Book Antiqua"/>
                <w:i/>
                <w:color w:val="000000"/>
                <w:lang w:val="en-US"/>
              </w:rPr>
            </w:pPr>
            <w:r w:rsidRPr="00BF740E">
              <w:rPr>
                <w:rFonts w:ascii="Book Antiqua" w:hAnsi="Book Antiqua"/>
                <w:color w:val="000000"/>
                <w:lang w:val="en-US"/>
              </w:rPr>
              <w:t>6 (33.3)</w:t>
            </w:r>
          </w:p>
        </w:tc>
        <w:tc>
          <w:tcPr>
            <w:tcW w:w="404" w:type="pct"/>
            <w:tcBorders>
              <w:top w:val="nil"/>
              <w:left w:val="nil"/>
              <w:bottom w:val="nil"/>
              <w:right w:val="nil"/>
            </w:tcBorders>
            <w:shd w:val="clear" w:color="auto" w:fill="auto"/>
          </w:tcPr>
          <w:p w14:paraId="0040E65D"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r w:rsidRPr="00BF740E">
              <w:rPr>
                <w:rFonts w:ascii="Book Antiqua" w:hAnsi="Book Antiqua"/>
                <w:color w:val="000000"/>
                <w:lang w:val="en-US"/>
              </w:rPr>
              <w:t>0.75</w:t>
            </w:r>
          </w:p>
        </w:tc>
      </w:tr>
      <w:tr w:rsidR="00FC19A9" w:rsidRPr="00BF740E" w14:paraId="761C5C89" w14:textId="77777777" w:rsidTr="00FC19A9">
        <w:trPr>
          <w:trHeight w:val="231"/>
        </w:trPr>
        <w:tc>
          <w:tcPr>
            <w:tcW w:w="1472" w:type="pct"/>
            <w:tcBorders>
              <w:top w:val="nil"/>
              <w:left w:val="nil"/>
              <w:bottom w:val="nil"/>
              <w:right w:val="nil"/>
            </w:tcBorders>
            <w:shd w:val="clear" w:color="auto" w:fill="auto"/>
          </w:tcPr>
          <w:p w14:paraId="1FBB5D60"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 xml:space="preserve">Examination under general </w:t>
            </w:r>
            <w:proofErr w:type="spellStart"/>
            <w:r w:rsidRPr="00BF740E">
              <w:rPr>
                <w:rFonts w:ascii="Book Antiqua" w:hAnsi="Book Antiqua"/>
                <w:lang w:val="en-US"/>
              </w:rPr>
              <w:t>anesthesia</w:t>
            </w:r>
            <w:r w:rsidRPr="00BF740E">
              <w:rPr>
                <w:rFonts w:ascii="Book Antiqua" w:hAnsi="Book Antiqua"/>
                <w:vertAlign w:val="superscript"/>
                <w:lang w:val="en-US"/>
              </w:rPr>
              <w:t>a</w:t>
            </w:r>
            <w:proofErr w:type="spellEnd"/>
          </w:p>
        </w:tc>
        <w:tc>
          <w:tcPr>
            <w:tcW w:w="1183" w:type="pct"/>
            <w:tcBorders>
              <w:top w:val="nil"/>
              <w:left w:val="nil"/>
              <w:bottom w:val="nil"/>
              <w:right w:val="nil"/>
            </w:tcBorders>
            <w:shd w:val="clear" w:color="auto" w:fill="auto"/>
          </w:tcPr>
          <w:p w14:paraId="71F9FA06"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5 (10.6)</w:t>
            </w:r>
          </w:p>
        </w:tc>
        <w:tc>
          <w:tcPr>
            <w:tcW w:w="912" w:type="pct"/>
            <w:tcBorders>
              <w:top w:val="nil"/>
              <w:left w:val="nil"/>
              <w:bottom w:val="nil"/>
              <w:right w:val="nil"/>
            </w:tcBorders>
            <w:shd w:val="clear" w:color="auto" w:fill="auto"/>
          </w:tcPr>
          <w:p w14:paraId="1DF9A354" w14:textId="77777777" w:rsidR="00920127" w:rsidRPr="00BF740E" w:rsidRDefault="00920127" w:rsidP="00412523">
            <w:pPr>
              <w:adjustRightInd w:val="0"/>
              <w:snapToGrid w:val="0"/>
              <w:spacing w:after="0" w:line="360" w:lineRule="auto"/>
              <w:jc w:val="both"/>
              <w:rPr>
                <w:rFonts w:ascii="Book Antiqua" w:hAnsi="Book Antiqua"/>
                <w:i/>
                <w:color w:val="000000"/>
                <w:lang w:val="en-US"/>
              </w:rPr>
            </w:pPr>
            <w:r w:rsidRPr="00BF740E">
              <w:rPr>
                <w:rFonts w:ascii="Book Antiqua" w:hAnsi="Book Antiqua"/>
                <w:color w:val="000000"/>
                <w:lang w:val="en-US"/>
              </w:rPr>
              <w:t>1 (3.5)</w:t>
            </w:r>
          </w:p>
        </w:tc>
        <w:tc>
          <w:tcPr>
            <w:tcW w:w="1029" w:type="pct"/>
            <w:tcBorders>
              <w:top w:val="nil"/>
              <w:left w:val="nil"/>
              <w:bottom w:val="nil"/>
              <w:right w:val="nil"/>
            </w:tcBorders>
            <w:shd w:val="clear" w:color="auto" w:fill="auto"/>
          </w:tcPr>
          <w:p w14:paraId="0CFB9D9E" w14:textId="77777777" w:rsidR="00920127" w:rsidRPr="00BF740E" w:rsidRDefault="00920127" w:rsidP="00412523">
            <w:pPr>
              <w:adjustRightInd w:val="0"/>
              <w:snapToGrid w:val="0"/>
              <w:spacing w:after="0" w:line="360" w:lineRule="auto"/>
              <w:jc w:val="both"/>
              <w:rPr>
                <w:rFonts w:ascii="Book Antiqua" w:hAnsi="Book Antiqua"/>
                <w:i/>
                <w:color w:val="000000"/>
                <w:lang w:val="en-US"/>
              </w:rPr>
            </w:pPr>
            <w:r w:rsidRPr="00BF740E">
              <w:rPr>
                <w:rFonts w:ascii="Book Antiqua" w:hAnsi="Book Antiqua"/>
                <w:color w:val="000000"/>
                <w:lang w:val="en-US"/>
              </w:rPr>
              <w:t>4 (22.2)</w:t>
            </w:r>
          </w:p>
        </w:tc>
        <w:tc>
          <w:tcPr>
            <w:tcW w:w="404" w:type="pct"/>
            <w:tcBorders>
              <w:top w:val="nil"/>
              <w:left w:val="nil"/>
              <w:bottom w:val="nil"/>
              <w:right w:val="nil"/>
            </w:tcBorders>
            <w:shd w:val="clear" w:color="auto" w:fill="auto"/>
          </w:tcPr>
          <w:p w14:paraId="2BDA708B"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r w:rsidRPr="00BF740E">
              <w:rPr>
                <w:rFonts w:ascii="Book Antiqua" w:hAnsi="Book Antiqua"/>
                <w:color w:val="000000"/>
                <w:lang w:val="en-US"/>
              </w:rPr>
              <w:t>0.04</w:t>
            </w:r>
          </w:p>
        </w:tc>
      </w:tr>
      <w:tr w:rsidR="00FC19A9" w:rsidRPr="00BF740E" w14:paraId="41FA1AF0" w14:textId="77777777" w:rsidTr="00FC19A9">
        <w:trPr>
          <w:trHeight w:val="231"/>
        </w:trPr>
        <w:tc>
          <w:tcPr>
            <w:tcW w:w="1472" w:type="pct"/>
            <w:tcBorders>
              <w:top w:val="nil"/>
              <w:left w:val="nil"/>
              <w:bottom w:val="nil"/>
              <w:right w:val="nil"/>
            </w:tcBorders>
            <w:shd w:val="clear" w:color="auto" w:fill="auto"/>
          </w:tcPr>
          <w:p w14:paraId="3916DE05"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Biopsies</w:t>
            </w:r>
          </w:p>
        </w:tc>
        <w:tc>
          <w:tcPr>
            <w:tcW w:w="1183" w:type="pct"/>
            <w:tcBorders>
              <w:top w:val="nil"/>
              <w:left w:val="nil"/>
              <w:bottom w:val="nil"/>
              <w:right w:val="nil"/>
            </w:tcBorders>
            <w:shd w:val="clear" w:color="auto" w:fill="auto"/>
          </w:tcPr>
          <w:p w14:paraId="3D502F06"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8 (17.0)</w:t>
            </w:r>
          </w:p>
        </w:tc>
        <w:tc>
          <w:tcPr>
            <w:tcW w:w="912" w:type="pct"/>
            <w:tcBorders>
              <w:top w:val="nil"/>
              <w:left w:val="nil"/>
              <w:bottom w:val="nil"/>
              <w:right w:val="nil"/>
            </w:tcBorders>
            <w:shd w:val="clear" w:color="auto" w:fill="auto"/>
          </w:tcPr>
          <w:p w14:paraId="4828BE6A" w14:textId="77777777" w:rsidR="00920127" w:rsidRPr="00BF740E" w:rsidRDefault="00920127" w:rsidP="00412523">
            <w:pPr>
              <w:adjustRightInd w:val="0"/>
              <w:snapToGrid w:val="0"/>
              <w:spacing w:after="0" w:line="360" w:lineRule="auto"/>
              <w:jc w:val="both"/>
              <w:rPr>
                <w:rFonts w:ascii="Book Antiqua" w:hAnsi="Book Antiqua"/>
                <w:i/>
                <w:color w:val="000000"/>
                <w:lang w:val="en-US"/>
              </w:rPr>
            </w:pPr>
            <w:r w:rsidRPr="00BF740E">
              <w:rPr>
                <w:rFonts w:ascii="Book Antiqua" w:hAnsi="Book Antiqua"/>
                <w:color w:val="000000"/>
                <w:lang w:val="en-US"/>
              </w:rPr>
              <w:t>3 (10.3)</w:t>
            </w:r>
          </w:p>
        </w:tc>
        <w:tc>
          <w:tcPr>
            <w:tcW w:w="1029" w:type="pct"/>
            <w:tcBorders>
              <w:top w:val="nil"/>
              <w:left w:val="nil"/>
              <w:bottom w:val="nil"/>
              <w:right w:val="nil"/>
            </w:tcBorders>
            <w:shd w:val="clear" w:color="auto" w:fill="auto"/>
          </w:tcPr>
          <w:p w14:paraId="5E1DBC0D" w14:textId="77777777" w:rsidR="00920127" w:rsidRPr="00BF740E" w:rsidRDefault="00920127" w:rsidP="00412523">
            <w:pPr>
              <w:adjustRightInd w:val="0"/>
              <w:snapToGrid w:val="0"/>
              <w:spacing w:after="0" w:line="360" w:lineRule="auto"/>
              <w:jc w:val="both"/>
              <w:rPr>
                <w:rFonts w:ascii="Book Antiqua" w:hAnsi="Book Antiqua"/>
                <w:i/>
                <w:color w:val="000000"/>
                <w:lang w:val="en-US"/>
              </w:rPr>
            </w:pPr>
            <w:r w:rsidRPr="00BF740E">
              <w:rPr>
                <w:rFonts w:ascii="Book Antiqua" w:hAnsi="Book Antiqua"/>
                <w:color w:val="000000"/>
                <w:lang w:val="en-US"/>
              </w:rPr>
              <w:t>5 (27.8)</w:t>
            </w:r>
          </w:p>
        </w:tc>
        <w:tc>
          <w:tcPr>
            <w:tcW w:w="404" w:type="pct"/>
            <w:tcBorders>
              <w:top w:val="nil"/>
              <w:left w:val="nil"/>
              <w:bottom w:val="nil"/>
              <w:right w:val="nil"/>
            </w:tcBorders>
            <w:shd w:val="clear" w:color="auto" w:fill="auto"/>
          </w:tcPr>
          <w:p w14:paraId="35C42CDE"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r w:rsidRPr="00BF740E">
              <w:rPr>
                <w:rFonts w:ascii="Book Antiqua" w:hAnsi="Book Antiqua"/>
                <w:color w:val="000000"/>
                <w:lang w:val="en-US"/>
              </w:rPr>
              <w:t>0.12</w:t>
            </w:r>
          </w:p>
        </w:tc>
      </w:tr>
      <w:tr w:rsidR="00FC19A9" w:rsidRPr="00BF740E" w14:paraId="1432AF62" w14:textId="77777777" w:rsidTr="00FC19A9">
        <w:trPr>
          <w:trHeight w:val="231"/>
        </w:trPr>
        <w:tc>
          <w:tcPr>
            <w:tcW w:w="1472" w:type="pct"/>
            <w:tcBorders>
              <w:top w:val="nil"/>
              <w:left w:val="nil"/>
              <w:bottom w:val="nil"/>
              <w:right w:val="nil"/>
            </w:tcBorders>
            <w:shd w:val="clear" w:color="auto" w:fill="auto"/>
          </w:tcPr>
          <w:p w14:paraId="32E83E4F"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 xml:space="preserve">Endoanal ultrasound </w:t>
            </w:r>
          </w:p>
        </w:tc>
        <w:tc>
          <w:tcPr>
            <w:tcW w:w="1183" w:type="pct"/>
            <w:tcBorders>
              <w:top w:val="nil"/>
              <w:left w:val="nil"/>
              <w:bottom w:val="nil"/>
              <w:right w:val="nil"/>
            </w:tcBorders>
            <w:shd w:val="clear" w:color="auto" w:fill="auto"/>
          </w:tcPr>
          <w:p w14:paraId="12AB1D5E"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7 (14.9)</w:t>
            </w:r>
          </w:p>
        </w:tc>
        <w:tc>
          <w:tcPr>
            <w:tcW w:w="912" w:type="pct"/>
            <w:tcBorders>
              <w:top w:val="nil"/>
              <w:left w:val="nil"/>
              <w:bottom w:val="nil"/>
              <w:right w:val="nil"/>
            </w:tcBorders>
            <w:shd w:val="clear" w:color="auto" w:fill="auto"/>
          </w:tcPr>
          <w:p w14:paraId="49924942" w14:textId="77777777" w:rsidR="00920127" w:rsidRPr="00BF740E" w:rsidRDefault="00920127" w:rsidP="00412523">
            <w:pPr>
              <w:adjustRightInd w:val="0"/>
              <w:snapToGrid w:val="0"/>
              <w:spacing w:after="0" w:line="360" w:lineRule="auto"/>
              <w:jc w:val="both"/>
              <w:rPr>
                <w:rFonts w:ascii="Book Antiqua" w:hAnsi="Book Antiqua"/>
                <w:i/>
                <w:color w:val="000000"/>
                <w:lang w:val="en-US"/>
              </w:rPr>
            </w:pPr>
            <w:r w:rsidRPr="00BF740E">
              <w:rPr>
                <w:rFonts w:ascii="Book Antiqua" w:hAnsi="Book Antiqua"/>
                <w:color w:val="000000"/>
                <w:lang w:val="en-US"/>
              </w:rPr>
              <w:t>5 (17.2)</w:t>
            </w:r>
          </w:p>
        </w:tc>
        <w:tc>
          <w:tcPr>
            <w:tcW w:w="1029" w:type="pct"/>
            <w:tcBorders>
              <w:top w:val="nil"/>
              <w:left w:val="nil"/>
              <w:bottom w:val="nil"/>
              <w:right w:val="nil"/>
            </w:tcBorders>
            <w:shd w:val="clear" w:color="auto" w:fill="auto"/>
          </w:tcPr>
          <w:p w14:paraId="0C1145F7" w14:textId="77777777" w:rsidR="00920127" w:rsidRPr="00BF740E" w:rsidRDefault="00920127" w:rsidP="00412523">
            <w:pPr>
              <w:adjustRightInd w:val="0"/>
              <w:snapToGrid w:val="0"/>
              <w:spacing w:after="0" w:line="360" w:lineRule="auto"/>
              <w:jc w:val="both"/>
              <w:rPr>
                <w:rFonts w:ascii="Book Antiqua" w:hAnsi="Book Antiqua"/>
                <w:i/>
                <w:color w:val="000000"/>
                <w:lang w:val="en-US"/>
              </w:rPr>
            </w:pPr>
            <w:r w:rsidRPr="00BF740E">
              <w:rPr>
                <w:rFonts w:ascii="Book Antiqua" w:hAnsi="Book Antiqua"/>
                <w:color w:val="000000"/>
                <w:lang w:val="en-US"/>
              </w:rPr>
              <w:t>2 (11.1)</w:t>
            </w:r>
          </w:p>
        </w:tc>
        <w:tc>
          <w:tcPr>
            <w:tcW w:w="404" w:type="pct"/>
            <w:tcBorders>
              <w:top w:val="nil"/>
              <w:left w:val="nil"/>
              <w:bottom w:val="nil"/>
              <w:right w:val="nil"/>
            </w:tcBorders>
            <w:shd w:val="clear" w:color="auto" w:fill="auto"/>
          </w:tcPr>
          <w:p w14:paraId="0DB5D82B"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r w:rsidRPr="00BF740E">
              <w:rPr>
                <w:rFonts w:ascii="Book Antiqua" w:hAnsi="Book Antiqua"/>
                <w:color w:val="000000"/>
                <w:lang w:val="en-US"/>
              </w:rPr>
              <w:t>0.56</w:t>
            </w:r>
          </w:p>
        </w:tc>
      </w:tr>
      <w:tr w:rsidR="00FC19A9" w:rsidRPr="00BF740E" w14:paraId="21792594" w14:textId="77777777" w:rsidTr="00FC19A9">
        <w:trPr>
          <w:trHeight w:val="450"/>
        </w:trPr>
        <w:tc>
          <w:tcPr>
            <w:tcW w:w="1472" w:type="pct"/>
            <w:tcBorders>
              <w:top w:val="nil"/>
              <w:left w:val="nil"/>
              <w:bottom w:val="nil"/>
              <w:right w:val="nil"/>
            </w:tcBorders>
            <w:shd w:val="clear" w:color="auto" w:fill="auto"/>
          </w:tcPr>
          <w:p w14:paraId="777EFA32"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Pelvic MRI</w:t>
            </w:r>
          </w:p>
        </w:tc>
        <w:tc>
          <w:tcPr>
            <w:tcW w:w="1183" w:type="pct"/>
            <w:tcBorders>
              <w:top w:val="nil"/>
              <w:left w:val="nil"/>
              <w:bottom w:val="nil"/>
              <w:right w:val="nil"/>
            </w:tcBorders>
            <w:shd w:val="clear" w:color="auto" w:fill="auto"/>
          </w:tcPr>
          <w:p w14:paraId="5D5147D3"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2 (4.3)</w:t>
            </w:r>
          </w:p>
        </w:tc>
        <w:tc>
          <w:tcPr>
            <w:tcW w:w="912" w:type="pct"/>
            <w:tcBorders>
              <w:top w:val="nil"/>
              <w:left w:val="nil"/>
              <w:bottom w:val="nil"/>
              <w:right w:val="nil"/>
            </w:tcBorders>
            <w:shd w:val="clear" w:color="auto" w:fill="auto"/>
          </w:tcPr>
          <w:p w14:paraId="123D46A4" w14:textId="77777777" w:rsidR="00920127" w:rsidRPr="00BF740E" w:rsidRDefault="00920127" w:rsidP="00412523">
            <w:pPr>
              <w:adjustRightInd w:val="0"/>
              <w:snapToGrid w:val="0"/>
              <w:spacing w:after="0" w:line="360" w:lineRule="auto"/>
              <w:jc w:val="both"/>
              <w:rPr>
                <w:rFonts w:ascii="Book Antiqua" w:hAnsi="Book Antiqua"/>
                <w:i/>
                <w:color w:val="000000"/>
                <w:lang w:val="en-US"/>
              </w:rPr>
            </w:pPr>
            <w:r w:rsidRPr="00BF740E">
              <w:rPr>
                <w:rFonts w:ascii="Book Antiqua" w:hAnsi="Book Antiqua"/>
                <w:color w:val="000000"/>
                <w:lang w:val="en-US"/>
              </w:rPr>
              <w:t>1 (3.5)</w:t>
            </w:r>
          </w:p>
        </w:tc>
        <w:tc>
          <w:tcPr>
            <w:tcW w:w="1029" w:type="pct"/>
            <w:tcBorders>
              <w:top w:val="nil"/>
              <w:left w:val="nil"/>
              <w:bottom w:val="nil"/>
              <w:right w:val="nil"/>
            </w:tcBorders>
            <w:shd w:val="clear" w:color="auto" w:fill="auto"/>
          </w:tcPr>
          <w:p w14:paraId="53CBC503" w14:textId="77777777" w:rsidR="00920127" w:rsidRPr="00BF740E" w:rsidRDefault="00920127" w:rsidP="00412523">
            <w:pPr>
              <w:adjustRightInd w:val="0"/>
              <w:snapToGrid w:val="0"/>
              <w:spacing w:after="0" w:line="360" w:lineRule="auto"/>
              <w:jc w:val="both"/>
              <w:rPr>
                <w:rFonts w:ascii="Book Antiqua" w:hAnsi="Book Antiqua"/>
                <w:i/>
                <w:color w:val="000000"/>
                <w:lang w:val="en-US"/>
              </w:rPr>
            </w:pPr>
            <w:r w:rsidRPr="00BF740E">
              <w:rPr>
                <w:rFonts w:ascii="Book Antiqua" w:hAnsi="Book Antiqua"/>
                <w:color w:val="000000"/>
                <w:lang w:val="en-US"/>
              </w:rPr>
              <w:t>1 (5.6)</w:t>
            </w:r>
          </w:p>
        </w:tc>
        <w:tc>
          <w:tcPr>
            <w:tcW w:w="404" w:type="pct"/>
            <w:tcBorders>
              <w:top w:val="nil"/>
              <w:left w:val="nil"/>
              <w:bottom w:val="nil"/>
              <w:right w:val="nil"/>
            </w:tcBorders>
            <w:shd w:val="clear" w:color="auto" w:fill="auto"/>
          </w:tcPr>
          <w:p w14:paraId="4B51F036"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r w:rsidRPr="00BF740E">
              <w:rPr>
                <w:rFonts w:ascii="Book Antiqua" w:hAnsi="Book Antiqua"/>
                <w:color w:val="000000"/>
                <w:lang w:val="en-US"/>
              </w:rPr>
              <w:t>0.73</w:t>
            </w:r>
          </w:p>
        </w:tc>
      </w:tr>
      <w:tr w:rsidR="00FC19A9" w:rsidRPr="00BF740E" w14:paraId="595B0F0E" w14:textId="77777777" w:rsidTr="00FC19A9">
        <w:trPr>
          <w:trHeight w:val="77"/>
        </w:trPr>
        <w:tc>
          <w:tcPr>
            <w:tcW w:w="1472" w:type="pct"/>
            <w:tcBorders>
              <w:top w:val="nil"/>
              <w:left w:val="nil"/>
              <w:bottom w:val="nil"/>
              <w:right w:val="nil"/>
            </w:tcBorders>
            <w:shd w:val="clear" w:color="auto" w:fill="auto"/>
          </w:tcPr>
          <w:p w14:paraId="3FA37010"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Symptom</w:t>
            </w:r>
          </w:p>
        </w:tc>
        <w:tc>
          <w:tcPr>
            <w:tcW w:w="1183" w:type="pct"/>
            <w:tcBorders>
              <w:top w:val="nil"/>
              <w:left w:val="nil"/>
              <w:bottom w:val="nil"/>
              <w:right w:val="nil"/>
            </w:tcBorders>
            <w:shd w:val="clear" w:color="auto" w:fill="auto"/>
          </w:tcPr>
          <w:p w14:paraId="7C0EF2B8"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19 (40.4)</w:t>
            </w:r>
          </w:p>
        </w:tc>
        <w:tc>
          <w:tcPr>
            <w:tcW w:w="912" w:type="pct"/>
            <w:tcBorders>
              <w:top w:val="nil"/>
              <w:left w:val="nil"/>
              <w:bottom w:val="nil"/>
              <w:right w:val="nil"/>
            </w:tcBorders>
            <w:shd w:val="clear" w:color="auto" w:fill="auto"/>
          </w:tcPr>
          <w:p w14:paraId="64828609"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9 (31.0)</w:t>
            </w:r>
          </w:p>
        </w:tc>
        <w:tc>
          <w:tcPr>
            <w:tcW w:w="1029" w:type="pct"/>
            <w:tcBorders>
              <w:top w:val="nil"/>
              <w:left w:val="nil"/>
              <w:bottom w:val="nil"/>
              <w:right w:val="nil"/>
            </w:tcBorders>
            <w:shd w:val="clear" w:color="auto" w:fill="auto"/>
          </w:tcPr>
          <w:p w14:paraId="7E5CF795"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10 (58.8)</w:t>
            </w:r>
          </w:p>
        </w:tc>
        <w:tc>
          <w:tcPr>
            <w:tcW w:w="404" w:type="pct"/>
            <w:tcBorders>
              <w:top w:val="nil"/>
              <w:left w:val="nil"/>
              <w:bottom w:val="nil"/>
              <w:right w:val="nil"/>
            </w:tcBorders>
            <w:shd w:val="clear" w:color="auto" w:fill="auto"/>
          </w:tcPr>
          <w:p w14:paraId="4F931A0C" w14:textId="77777777" w:rsidR="00920127" w:rsidRPr="00BF740E" w:rsidRDefault="00920127" w:rsidP="00412523">
            <w:pPr>
              <w:adjustRightInd w:val="0"/>
              <w:snapToGrid w:val="0"/>
              <w:spacing w:after="0" w:line="360" w:lineRule="auto"/>
              <w:jc w:val="both"/>
              <w:rPr>
                <w:rFonts w:ascii="Book Antiqua" w:hAnsi="Book Antiqua"/>
                <w:color w:val="E7E6E6"/>
                <w:lang w:val="en-US"/>
              </w:rPr>
            </w:pPr>
            <w:r w:rsidRPr="00BF740E">
              <w:rPr>
                <w:rFonts w:ascii="Book Antiqua" w:hAnsi="Book Antiqua"/>
                <w:color w:val="000000"/>
                <w:lang w:val="en-US"/>
              </w:rPr>
              <w:t>0.06</w:t>
            </w:r>
          </w:p>
        </w:tc>
      </w:tr>
      <w:tr w:rsidR="00FC19A9" w:rsidRPr="00BF740E" w14:paraId="77FD4261" w14:textId="77777777" w:rsidTr="00FC19A9">
        <w:trPr>
          <w:trHeight w:val="76"/>
        </w:trPr>
        <w:tc>
          <w:tcPr>
            <w:tcW w:w="1472" w:type="pct"/>
            <w:tcBorders>
              <w:top w:val="nil"/>
              <w:left w:val="nil"/>
              <w:bottom w:val="nil"/>
              <w:right w:val="nil"/>
            </w:tcBorders>
            <w:shd w:val="clear" w:color="auto" w:fill="auto"/>
          </w:tcPr>
          <w:p w14:paraId="155D7DFB"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vertAlign w:val="superscript"/>
              </w:rPr>
              <w:t>18</w:t>
            </w:r>
            <w:r w:rsidRPr="00BF740E">
              <w:rPr>
                <w:rFonts w:ascii="Book Antiqua" w:hAnsi="Book Antiqua"/>
              </w:rPr>
              <w:t>FDG PET/CT</w:t>
            </w:r>
          </w:p>
        </w:tc>
        <w:tc>
          <w:tcPr>
            <w:tcW w:w="1183" w:type="pct"/>
            <w:tcBorders>
              <w:top w:val="nil"/>
              <w:left w:val="nil"/>
              <w:bottom w:val="nil"/>
              <w:right w:val="nil"/>
            </w:tcBorders>
            <w:shd w:val="clear" w:color="auto" w:fill="auto"/>
          </w:tcPr>
          <w:p w14:paraId="3EB6BD42" w14:textId="77777777" w:rsidR="00920127" w:rsidRPr="00BF740E" w:rsidRDefault="00920127" w:rsidP="00412523">
            <w:pPr>
              <w:adjustRightInd w:val="0"/>
              <w:snapToGrid w:val="0"/>
              <w:spacing w:after="0" w:line="360" w:lineRule="auto"/>
              <w:jc w:val="both"/>
              <w:rPr>
                <w:rFonts w:ascii="Book Antiqua" w:hAnsi="Book Antiqua"/>
                <w:lang w:val="en-US"/>
              </w:rPr>
            </w:pPr>
          </w:p>
        </w:tc>
        <w:tc>
          <w:tcPr>
            <w:tcW w:w="912" w:type="pct"/>
            <w:tcBorders>
              <w:top w:val="nil"/>
              <w:left w:val="nil"/>
              <w:bottom w:val="nil"/>
              <w:right w:val="nil"/>
            </w:tcBorders>
            <w:shd w:val="clear" w:color="auto" w:fill="auto"/>
          </w:tcPr>
          <w:p w14:paraId="038753DD"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p>
        </w:tc>
        <w:tc>
          <w:tcPr>
            <w:tcW w:w="1029" w:type="pct"/>
            <w:tcBorders>
              <w:top w:val="nil"/>
              <w:left w:val="nil"/>
              <w:bottom w:val="nil"/>
              <w:right w:val="nil"/>
            </w:tcBorders>
            <w:shd w:val="clear" w:color="auto" w:fill="auto"/>
          </w:tcPr>
          <w:p w14:paraId="79A8F250"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p>
        </w:tc>
        <w:tc>
          <w:tcPr>
            <w:tcW w:w="404" w:type="pct"/>
            <w:tcBorders>
              <w:top w:val="nil"/>
              <w:left w:val="nil"/>
              <w:bottom w:val="nil"/>
              <w:right w:val="nil"/>
            </w:tcBorders>
            <w:shd w:val="clear" w:color="auto" w:fill="auto"/>
          </w:tcPr>
          <w:p w14:paraId="6164EDA2"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p>
        </w:tc>
      </w:tr>
      <w:tr w:rsidR="00FC19A9" w:rsidRPr="00BF740E" w14:paraId="6CC98C72" w14:textId="77777777" w:rsidTr="00FC19A9">
        <w:trPr>
          <w:trHeight w:val="76"/>
        </w:trPr>
        <w:tc>
          <w:tcPr>
            <w:tcW w:w="1472" w:type="pct"/>
            <w:tcBorders>
              <w:top w:val="nil"/>
              <w:left w:val="nil"/>
              <w:bottom w:val="nil"/>
              <w:right w:val="nil"/>
            </w:tcBorders>
            <w:shd w:val="clear" w:color="auto" w:fill="auto"/>
          </w:tcPr>
          <w:p w14:paraId="49E87DF8" w14:textId="77777777" w:rsidR="00920127" w:rsidRPr="00BF740E" w:rsidRDefault="00920127" w:rsidP="00F15812">
            <w:pPr>
              <w:adjustRightInd w:val="0"/>
              <w:snapToGrid w:val="0"/>
              <w:spacing w:after="0" w:line="360" w:lineRule="auto"/>
              <w:ind w:firstLineChars="50" w:firstLine="120"/>
              <w:jc w:val="both"/>
              <w:rPr>
                <w:rFonts w:ascii="Book Antiqua" w:hAnsi="Book Antiqua"/>
                <w:lang w:val="en-US"/>
              </w:rPr>
            </w:pPr>
            <w:r w:rsidRPr="00BF740E">
              <w:rPr>
                <w:rFonts w:ascii="Book Antiqua" w:hAnsi="Book Antiqua"/>
                <w:lang w:val="en-US"/>
              </w:rPr>
              <w:t xml:space="preserve">SUV </w:t>
            </w:r>
            <w:proofErr w:type="spellStart"/>
            <w:r w:rsidRPr="00BF740E">
              <w:rPr>
                <w:rFonts w:ascii="Book Antiqua" w:hAnsi="Book Antiqua"/>
                <w:lang w:val="en-US"/>
              </w:rPr>
              <w:t>mean</w:t>
            </w:r>
            <w:r w:rsidRPr="00BF740E">
              <w:rPr>
                <w:rFonts w:ascii="Book Antiqua" w:hAnsi="Book Antiqua"/>
                <w:vertAlign w:val="superscript"/>
                <w:lang w:val="en-US"/>
              </w:rPr>
              <w:t>a</w:t>
            </w:r>
            <w:proofErr w:type="spellEnd"/>
          </w:p>
        </w:tc>
        <w:tc>
          <w:tcPr>
            <w:tcW w:w="1183" w:type="pct"/>
            <w:tcBorders>
              <w:top w:val="nil"/>
              <w:left w:val="nil"/>
              <w:bottom w:val="nil"/>
              <w:right w:val="nil"/>
            </w:tcBorders>
            <w:shd w:val="clear" w:color="auto" w:fill="auto"/>
          </w:tcPr>
          <w:p w14:paraId="77358129"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5.9 (2.6)</w:t>
            </w:r>
          </w:p>
        </w:tc>
        <w:tc>
          <w:tcPr>
            <w:tcW w:w="912" w:type="pct"/>
            <w:tcBorders>
              <w:top w:val="nil"/>
              <w:left w:val="nil"/>
              <w:bottom w:val="nil"/>
              <w:right w:val="nil"/>
            </w:tcBorders>
            <w:shd w:val="clear" w:color="auto" w:fill="auto"/>
          </w:tcPr>
          <w:p w14:paraId="5AA8FB94"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5.2 (1.9)</w:t>
            </w:r>
          </w:p>
        </w:tc>
        <w:tc>
          <w:tcPr>
            <w:tcW w:w="1029" w:type="pct"/>
            <w:tcBorders>
              <w:top w:val="nil"/>
              <w:left w:val="nil"/>
              <w:bottom w:val="nil"/>
              <w:right w:val="nil"/>
            </w:tcBorders>
            <w:shd w:val="clear" w:color="auto" w:fill="auto"/>
          </w:tcPr>
          <w:p w14:paraId="1FC83602"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7.2 (3.2)</w:t>
            </w:r>
          </w:p>
        </w:tc>
        <w:tc>
          <w:tcPr>
            <w:tcW w:w="404" w:type="pct"/>
            <w:tcBorders>
              <w:top w:val="nil"/>
              <w:left w:val="nil"/>
              <w:bottom w:val="nil"/>
              <w:right w:val="nil"/>
            </w:tcBorders>
            <w:shd w:val="clear" w:color="auto" w:fill="auto"/>
          </w:tcPr>
          <w:p w14:paraId="5ECCAB03" w14:textId="77777777" w:rsidR="00920127" w:rsidRPr="00BF740E" w:rsidRDefault="00920127" w:rsidP="00412523">
            <w:pPr>
              <w:adjustRightInd w:val="0"/>
              <w:snapToGrid w:val="0"/>
              <w:spacing w:after="0" w:line="360" w:lineRule="auto"/>
              <w:jc w:val="both"/>
              <w:rPr>
                <w:rFonts w:ascii="Book Antiqua" w:hAnsi="Book Antiqua"/>
                <w:color w:val="E7E6E6"/>
                <w:lang w:val="en-US"/>
              </w:rPr>
            </w:pPr>
            <w:r w:rsidRPr="00BF740E">
              <w:rPr>
                <w:rFonts w:ascii="Book Antiqua" w:hAnsi="Book Antiqua"/>
                <w:color w:val="000000"/>
                <w:lang w:val="en-US"/>
              </w:rPr>
              <w:t>0.02</w:t>
            </w:r>
          </w:p>
        </w:tc>
      </w:tr>
      <w:tr w:rsidR="00FC19A9" w:rsidRPr="00BF740E" w14:paraId="5703B585" w14:textId="77777777" w:rsidTr="00FC19A9">
        <w:trPr>
          <w:trHeight w:val="76"/>
        </w:trPr>
        <w:tc>
          <w:tcPr>
            <w:tcW w:w="1472" w:type="pct"/>
            <w:tcBorders>
              <w:top w:val="nil"/>
              <w:left w:val="nil"/>
              <w:bottom w:val="nil"/>
              <w:right w:val="nil"/>
            </w:tcBorders>
            <w:shd w:val="clear" w:color="auto" w:fill="auto"/>
          </w:tcPr>
          <w:p w14:paraId="0B1DE302" w14:textId="77777777" w:rsidR="00920127" w:rsidRPr="00BF740E" w:rsidRDefault="00920127" w:rsidP="00F15812">
            <w:pPr>
              <w:adjustRightInd w:val="0"/>
              <w:snapToGrid w:val="0"/>
              <w:spacing w:after="0" w:line="360" w:lineRule="auto"/>
              <w:ind w:firstLineChars="50" w:firstLine="120"/>
              <w:jc w:val="both"/>
              <w:rPr>
                <w:rFonts w:ascii="Book Antiqua" w:hAnsi="Book Antiqua"/>
                <w:lang w:val="en-US"/>
              </w:rPr>
            </w:pPr>
            <w:r w:rsidRPr="00BF740E">
              <w:rPr>
                <w:rFonts w:ascii="Book Antiqua" w:hAnsi="Book Antiqua"/>
                <w:lang w:val="en-US"/>
              </w:rPr>
              <w:t xml:space="preserve">SUV </w:t>
            </w:r>
            <w:proofErr w:type="spellStart"/>
            <w:r w:rsidRPr="00BF740E">
              <w:rPr>
                <w:rFonts w:ascii="Book Antiqua" w:hAnsi="Book Antiqua"/>
                <w:lang w:val="en-US"/>
              </w:rPr>
              <w:t>max</w:t>
            </w:r>
            <w:r w:rsidRPr="00BF740E">
              <w:rPr>
                <w:rFonts w:ascii="Book Antiqua" w:hAnsi="Book Antiqua"/>
                <w:vertAlign w:val="superscript"/>
                <w:lang w:val="en-US"/>
              </w:rPr>
              <w:t>a</w:t>
            </w:r>
            <w:proofErr w:type="spellEnd"/>
          </w:p>
        </w:tc>
        <w:tc>
          <w:tcPr>
            <w:tcW w:w="1183" w:type="pct"/>
            <w:tcBorders>
              <w:top w:val="nil"/>
              <w:left w:val="nil"/>
              <w:bottom w:val="nil"/>
              <w:right w:val="nil"/>
            </w:tcBorders>
            <w:shd w:val="clear" w:color="auto" w:fill="auto"/>
          </w:tcPr>
          <w:p w14:paraId="149A854B"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10.2 (4.5)</w:t>
            </w:r>
          </w:p>
        </w:tc>
        <w:tc>
          <w:tcPr>
            <w:tcW w:w="912" w:type="pct"/>
            <w:tcBorders>
              <w:top w:val="nil"/>
              <w:left w:val="nil"/>
              <w:bottom w:val="nil"/>
              <w:right w:val="nil"/>
            </w:tcBorders>
            <w:shd w:val="clear" w:color="auto" w:fill="auto"/>
          </w:tcPr>
          <w:p w14:paraId="06F83F41"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9.0 (3.3)</w:t>
            </w:r>
          </w:p>
        </w:tc>
        <w:tc>
          <w:tcPr>
            <w:tcW w:w="1029" w:type="pct"/>
            <w:tcBorders>
              <w:top w:val="nil"/>
              <w:left w:val="nil"/>
              <w:bottom w:val="nil"/>
              <w:right w:val="nil"/>
            </w:tcBorders>
            <w:shd w:val="clear" w:color="auto" w:fill="auto"/>
          </w:tcPr>
          <w:p w14:paraId="7C9F4C25"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12.4 (5.4)</w:t>
            </w:r>
          </w:p>
        </w:tc>
        <w:tc>
          <w:tcPr>
            <w:tcW w:w="404" w:type="pct"/>
            <w:tcBorders>
              <w:top w:val="nil"/>
              <w:left w:val="nil"/>
              <w:bottom w:val="nil"/>
              <w:right w:val="nil"/>
            </w:tcBorders>
            <w:shd w:val="clear" w:color="auto" w:fill="auto"/>
          </w:tcPr>
          <w:p w14:paraId="063915BD" w14:textId="77777777" w:rsidR="00920127" w:rsidRPr="00BF740E" w:rsidRDefault="00920127" w:rsidP="00412523">
            <w:pPr>
              <w:adjustRightInd w:val="0"/>
              <w:snapToGrid w:val="0"/>
              <w:spacing w:after="0" w:line="360" w:lineRule="auto"/>
              <w:jc w:val="both"/>
              <w:rPr>
                <w:rFonts w:ascii="Book Antiqua" w:hAnsi="Book Antiqua"/>
                <w:color w:val="E7E6E6"/>
                <w:lang w:val="en-US"/>
              </w:rPr>
            </w:pPr>
            <w:r w:rsidRPr="00BF740E">
              <w:rPr>
                <w:rFonts w:ascii="Book Antiqua" w:hAnsi="Book Antiqua"/>
                <w:color w:val="000000"/>
                <w:lang w:val="en-US"/>
              </w:rPr>
              <w:t>0.02</w:t>
            </w:r>
          </w:p>
        </w:tc>
      </w:tr>
      <w:tr w:rsidR="00FC19A9" w:rsidRPr="00BF740E" w14:paraId="2BB9E852" w14:textId="77777777" w:rsidTr="00FC19A9">
        <w:trPr>
          <w:trHeight w:val="105"/>
        </w:trPr>
        <w:tc>
          <w:tcPr>
            <w:tcW w:w="1472" w:type="pct"/>
            <w:tcBorders>
              <w:top w:val="nil"/>
              <w:left w:val="nil"/>
              <w:bottom w:val="nil"/>
              <w:right w:val="nil"/>
            </w:tcBorders>
            <w:shd w:val="clear" w:color="auto" w:fill="auto"/>
          </w:tcPr>
          <w:p w14:paraId="4457A28E" w14:textId="77777777" w:rsidR="00920127" w:rsidRPr="00BF740E" w:rsidRDefault="00920127" w:rsidP="00F15812">
            <w:pPr>
              <w:adjustRightInd w:val="0"/>
              <w:snapToGrid w:val="0"/>
              <w:spacing w:after="0" w:line="360" w:lineRule="auto"/>
              <w:ind w:firstLineChars="50" w:firstLine="120"/>
              <w:jc w:val="both"/>
              <w:rPr>
                <w:rFonts w:ascii="Book Antiqua" w:hAnsi="Book Antiqua"/>
                <w:lang w:val="en-US"/>
              </w:rPr>
            </w:pPr>
            <w:r w:rsidRPr="00BF740E">
              <w:rPr>
                <w:rFonts w:ascii="Book Antiqua" w:hAnsi="Book Antiqua"/>
                <w:lang w:val="en-US"/>
              </w:rPr>
              <w:t>MV50</w:t>
            </w:r>
          </w:p>
        </w:tc>
        <w:tc>
          <w:tcPr>
            <w:tcW w:w="1183" w:type="pct"/>
            <w:tcBorders>
              <w:top w:val="nil"/>
              <w:left w:val="nil"/>
              <w:bottom w:val="nil"/>
              <w:right w:val="nil"/>
            </w:tcBorders>
            <w:shd w:val="clear" w:color="auto" w:fill="auto"/>
          </w:tcPr>
          <w:p w14:paraId="7104095C"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4.0 (2.3)</w:t>
            </w:r>
          </w:p>
        </w:tc>
        <w:tc>
          <w:tcPr>
            <w:tcW w:w="912" w:type="pct"/>
            <w:tcBorders>
              <w:top w:val="nil"/>
              <w:left w:val="nil"/>
              <w:bottom w:val="nil"/>
              <w:right w:val="nil"/>
            </w:tcBorders>
            <w:shd w:val="clear" w:color="auto" w:fill="auto"/>
          </w:tcPr>
          <w:p w14:paraId="42E7FE37"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4.4 (2.4)</w:t>
            </w:r>
          </w:p>
        </w:tc>
        <w:tc>
          <w:tcPr>
            <w:tcW w:w="1029" w:type="pct"/>
            <w:tcBorders>
              <w:top w:val="nil"/>
              <w:left w:val="nil"/>
              <w:bottom w:val="nil"/>
              <w:right w:val="nil"/>
            </w:tcBorders>
            <w:shd w:val="clear" w:color="auto" w:fill="auto"/>
          </w:tcPr>
          <w:p w14:paraId="59105E1E"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3.3 (2.0)</w:t>
            </w:r>
          </w:p>
        </w:tc>
        <w:tc>
          <w:tcPr>
            <w:tcW w:w="404" w:type="pct"/>
            <w:tcBorders>
              <w:top w:val="nil"/>
              <w:left w:val="nil"/>
              <w:bottom w:val="nil"/>
              <w:right w:val="nil"/>
            </w:tcBorders>
            <w:shd w:val="clear" w:color="auto" w:fill="auto"/>
          </w:tcPr>
          <w:p w14:paraId="63F79271" w14:textId="77777777" w:rsidR="00920127" w:rsidRPr="00BF740E" w:rsidRDefault="00920127" w:rsidP="00412523">
            <w:pPr>
              <w:adjustRightInd w:val="0"/>
              <w:snapToGrid w:val="0"/>
              <w:spacing w:after="0" w:line="360" w:lineRule="auto"/>
              <w:jc w:val="both"/>
              <w:rPr>
                <w:rFonts w:ascii="Book Antiqua" w:hAnsi="Book Antiqua"/>
                <w:color w:val="E7E6E6"/>
                <w:lang w:val="en-US"/>
              </w:rPr>
            </w:pPr>
            <w:r w:rsidRPr="00BF740E">
              <w:rPr>
                <w:rFonts w:ascii="Book Antiqua" w:hAnsi="Book Antiqua"/>
                <w:color w:val="000000"/>
                <w:lang w:val="en-US"/>
              </w:rPr>
              <w:t>0.13</w:t>
            </w:r>
          </w:p>
        </w:tc>
      </w:tr>
      <w:tr w:rsidR="00FC19A9" w:rsidRPr="00BF740E" w14:paraId="2DF48CB0" w14:textId="77777777" w:rsidTr="00FC19A9">
        <w:trPr>
          <w:trHeight w:val="104"/>
        </w:trPr>
        <w:tc>
          <w:tcPr>
            <w:tcW w:w="1472" w:type="pct"/>
            <w:tcBorders>
              <w:top w:val="nil"/>
              <w:left w:val="nil"/>
              <w:bottom w:val="nil"/>
              <w:right w:val="nil"/>
            </w:tcBorders>
            <w:shd w:val="clear" w:color="auto" w:fill="auto"/>
          </w:tcPr>
          <w:p w14:paraId="16126184" w14:textId="77777777" w:rsidR="00920127" w:rsidRPr="00BF740E" w:rsidRDefault="00920127" w:rsidP="00F15812">
            <w:pPr>
              <w:adjustRightInd w:val="0"/>
              <w:snapToGrid w:val="0"/>
              <w:spacing w:after="0" w:line="360" w:lineRule="auto"/>
              <w:ind w:firstLineChars="50" w:firstLine="120"/>
              <w:jc w:val="both"/>
              <w:rPr>
                <w:rFonts w:ascii="Book Antiqua" w:hAnsi="Book Antiqua"/>
                <w:lang w:val="en-US"/>
              </w:rPr>
            </w:pPr>
            <w:r w:rsidRPr="00BF740E">
              <w:rPr>
                <w:rFonts w:ascii="Book Antiqua" w:hAnsi="Book Antiqua"/>
                <w:lang w:val="en-US"/>
              </w:rPr>
              <w:t>MV41</w:t>
            </w:r>
          </w:p>
        </w:tc>
        <w:tc>
          <w:tcPr>
            <w:tcW w:w="1183" w:type="pct"/>
            <w:tcBorders>
              <w:top w:val="nil"/>
              <w:left w:val="nil"/>
              <w:bottom w:val="nil"/>
              <w:right w:val="nil"/>
            </w:tcBorders>
            <w:shd w:val="clear" w:color="auto" w:fill="auto"/>
          </w:tcPr>
          <w:p w14:paraId="5A33C29E"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6.4 (3.5)</w:t>
            </w:r>
          </w:p>
        </w:tc>
        <w:tc>
          <w:tcPr>
            <w:tcW w:w="912" w:type="pct"/>
            <w:tcBorders>
              <w:top w:val="nil"/>
              <w:left w:val="nil"/>
              <w:bottom w:val="nil"/>
              <w:right w:val="nil"/>
            </w:tcBorders>
            <w:shd w:val="clear" w:color="auto" w:fill="auto"/>
          </w:tcPr>
          <w:p w14:paraId="0EBE140C"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7.2 (3.6)</w:t>
            </w:r>
          </w:p>
        </w:tc>
        <w:tc>
          <w:tcPr>
            <w:tcW w:w="1029" w:type="pct"/>
            <w:tcBorders>
              <w:top w:val="nil"/>
              <w:left w:val="nil"/>
              <w:bottom w:val="nil"/>
              <w:right w:val="nil"/>
            </w:tcBorders>
            <w:shd w:val="clear" w:color="auto" w:fill="auto"/>
          </w:tcPr>
          <w:p w14:paraId="2D13D25F"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5.1 (3.0)</w:t>
            </w:r>
          </w:p>
        </w:tc>
        <w:tc>
          <w:tcPr>
            <w:tcW w:w="404" w:type="pct"/>
            <w:tcBorders>
              <w:top w:val="nil"/>
              <w:left w:val="nil"/>
              <w:bottom w:val="nil"/>
              <w:right w:val="nil"/>
            </w:tcBorders>
            <w:shd w:val="clear" w:color="auto" w:fill="auto"/>
          </w:tcPr>
          <w:p w14:paraId="6C7A6153" w14:textId="77777777" w:rsidR="00920127" w:rsidRPr="00BF740E" w:rsidRDefault="00920127" w:rsidP="00412523">
            <w:pPr>
              <w:adjustRightInd w:val="0"/>
              <w:snapToGrid w:val="0"/>
              <w:spacing w:after="0" w:line="360" w:lineRule="auto"/>
              <w:jc w:val="both"/>
              <w:rPr>
                <w:rFonts w:ascii="Book Antiqua" w:hAnsi="Book Antiqua"/>
                <w:color w:val="E7E6E6"/>
                <w:lang w:val="en-US"/>
              </w:rPr>
            </w:pPr>
            <w:r w:rsidRPr="00BF740E">
              <w:rPr>
                <w:rFonts w:ascii="Book Antiqua" w:hAnsi="Book Antiqua"/>
                <w:color w:val="000000"/>
                <w:lang w:val="en-US"/>
              </w:rPr>
              <w:t>0.05</w:t>
            </w:r>
          </w:p>
        </w:tc>
      </w:tr>
      <w:tr w:rsidR="00FC19A9" w:rsidRPr="00BF740E" w14:paraId="32E7E5B2" w14:textId="77777777" w:rsidTr="00FC19A9">
        <w:trPr>
          <w:trHeight w:val="88"/>
        </w:trPr>
        <w:tc>
          <w:tcPr>
            <w:tcW w:w="1472" w:type="pct"/>
            <w:tcBorders>
              <w:top w:val="nil"/>
              <w:left w:val="nil"/>
              <w:bottom w:val="nil"/>
              <w:right w:val="nil"/>
            </w:tcBorders>
            <w:shd w:val="clear" w:color="auto" w:fill="auto"/>
          </w:tcPr>
          <w:p w14:paraId="19C60632" w14:textId="77777777" w:rsidR="00920127" w:rsidRPr="00BF740E" w:rsidRDefault="00920127" w:rsidP="00F15812">
            <w:pPr>
              <w:adjustRightInd w:val="0"/>
              <w:snapToGrid w:val="0"/>
              <w:spacing w:after="0" w:line="360" w:lineRule="auto"/>
              <w:ind w:firstLineChars="50" w:firstLine="120"/>
              <w:jc w:val="both"/>
              <w:rPr>
                <w:rFonts w:ascii="Book Antiqua" w:hAnsi="Book Antiqua"/>
                <w:lang w:val="en-US"/>
              </w:rPr>
            </w:pPr>
            <w:r w:rsidRPr="00BF740E">
              <w:rPr>
                <w:rFonts w:ascii="Book Antiqua" w:hAnsi="Book Antiqua"/>
                <w:lang w:val="en-US"/>
              </w:rPr>
              <w:t>MV 30</w:t>
            </w:r>
            <w:r w:rsidRPr="00BF740E">
              <w:rPr>
                <w:rFonts w:ascii="Book Antiqua" w:hAnsi="Book Antiqua"/>
                <w:vertAlign w:val="superscript"/>
                <w:lang w:val="en-US"/>
              </w:rPr>
              <w:t>a</w:t>
            </w:r>
          </w:p>
        </w:tc>
        <w:tc>
          <w:tcPr>
            <w:tcW w:w="1183" w:type="pct"/>
            <w:tcBorders>
              <w:top w:val="nil"/>
              <w:left w:val="nil"/>
              <w:bottom w:val="nil"/>
              <w:right w:val="nil"/>
            </w:tcBorders>
            <w:shd w:val="clear" w:color="auto" w:fill="auto"/>
          </w:tcPr>
          <w:p w14:paraId="5CE85FDD"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11.4 (6.0)</w:t>
            </w:r>
          </w:p>
        </w:tc>
        <w:tc>
          <w:tcPr>
            <w:tcW w:w="912" w:type="pct"/>
            <w:tcBorders>
              <w:top w:val="nil"/>
              <w:left w:val="nil"/>
              <w:bottom w:val="nil"/>
              <w:right w:val="nil"/>
            </w:tcBorders>
            <w:shd w:val="clear" w:color="auto" w:fill="auto"/>
          </w:tcPr>
          <w:p w14:paraId="59B287DC"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12.9 (6.3)</w:t>
            </w:r>
          </w:p>
        </w:tc>
        <w:tc>
          <w:tcPr>
            <w:tcW w:w="1029" w:type="pct"/>
            <w:tcBorders>
              <w:top w:val="nil"/>
              <w:left w:val="nil"/>
              <w:bottom w:val="nil"/>
              <w:right w:val="nil"/>
            </w:tcBorders>
            <w:shd w:val="clear" w:color="auto" w:fill="auto"/>
          </w:tcPr>
          <w:p w14:paraId="3112F650"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8.9 (4.4)</w:t>
            </w:r>
          </w:p>
        </w:tc>
        <w:tc>
          <w:tcPr>
            <w:tcW w:w="404" w:type="pct"/>
            <w:tcBorders>
              <w:top w:val="nil"/>
              <w:left w:val="nil"/>
              <w:bottom w:val="nil"/>
              <w:right w:val="nil"/>
            </w:tcBorders>
            <w:shd w:val="clear" w:color="auto" w:fill="auto"/>
          </w:tcPr>
          <w:p w14:paraId="3F802A69" w14:textId="77777777" w:rsidR="00920127" w:rsidRPr="00BF740E" w:rsidRDefault="00920127" w:rsidP="00412523">
            <w:pPr>
              <w:adjustRightInd w:val="0"/>
              <w:snapToGrid w:val="0"/>
              <w:spacing w:after="0" w:line="360" w:lineRule="auto"/>
              <w:jc w:val="both"/>
              <w:rPr>
                <w:rFonts w:ascii="Book Antiqua" w:hAnsi="Book Antiqua"/>
                <w:color w:val="E7E6E6"/>
                <w:lang w:val="en-US"/>
              </w:rPr>
            </w:pPr>
            <w:r w:rsidRPr="00BF740E">
              <w:rPr>
                <w:rFonts w:ascii="Book Antiqua" w:hAnsi="Book Antiqua"/>
                <w:color w:val="000000"/>
                <w:lang w:val="en-US"/>
              </w:rPr>
              <w:t>0.03</w:t>
            </w:r>
          </w:p>
        </w:tc>
      </w:tr>
      <w:tr w:rsidR="00FC19A9" w:rsidRPr="00BF740E" w14:paraId="05B53C20" w14:textId="77777777" w:rsidTr="00FC19A9">
        <w:trPr>
          <w:trHeight w:val="25"/>
        </w:trPr>
        <w:tc>
          <w:tcPr>
            <w:tcW w:w="1472" w:type="pct"/>
            <w:tcBorders>
              <w:top w:val="nil"/>
              <w:left w:val="nil"/>
              <w:bottom w:val="nil"/>
              <w:right w:val="nil"/>
            </w:tcBorders>
            <w:shd w:val="clear" w:color="auto" w:fill="auto"/>
          </w:tcPr>
          <w:p w14:paraId="0563B88E" w14:textId="77777777" w:rsidR="00920127" w:rsidRPr="00BF740E" w:rsidRDefault="00920127" w:rsidP="006A5B0F">
            <w:pPr>
              <w:adjustRightInd w:val="0"/>
              <w:snapToGrid w:val="0"/>
              <w:spacing w:after="0" w:line="360" w:lineRule="auto"/>
              <w:jc w:val="both"/>
              <w:rPr>
                <w:rFonts w:ascii="Book Antiqua" w:hAnsi="Book Antiqua"/>
                <w:lang w:val="en-US"/>
              </w:rPr>
            </w:pPr>
            <w:r w:rsidRPr="00BF740E">
              <w:rPr>
                <w:rFonts w:ascii="Book Antiqua" w:hAnsi="Book Antiqua"/>
                <w:lang w:val="en-US"/>
              </w:rPr>
              <w:t xml:space="preserve">Diagnosis of a proctological </w:t>
            </w:r>
            <w:proofErr w:type="spellStart"/>
            <w:r w:rsidRPr="00BF740E">
              <w:rPr>
                <w:rFonts w:ascii="Book Antiqua" w:hAnsi="Book Antiqua"/>
                <w:lang w:val="en-US"/>
              </w:rPr>
              <w:lastRenderedPageBreak/>
              <w:t>disease</w:t>
            </w:r>
            <w:r w:rsidRPr="00BF740E">
              <w:rPr>
                <w:rFonts w:ascii="Book Antiqua" w:hAnsi="Book Antiqua"/>
                <w:vertAlign w:val="superscript"/>
                <w:lang w:val="en-US"/>
              </w:rPr>
              <w:t>b</w:t>
            </w:r>
            <w:proofErr w:type="spellEnd"/>
          </w:p>
        </w:tc>
        <w:tc>
          <w:tcPr>
            <w:tcW w:w="1183" w:type="pct"/>
            <w:tcBorders>
              <w:top w:val="nil"/>
              <w:left w:val="nil"/>
              <w:bottom w:val="nil"/>
              <w:right w:val="nil"/>
            </w:tcBorders>
            <w:shd w:val="clear" w:color="auto" w:fill="auto"/>
          </w:tcPr>
          <w:p w14:paraId="5DABDFB9"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lastRenderedPageBreak/>
              <w:t>33 (68.8)</w:t>
            </w:r>
          </w:p>
        </w:tc>
        <w:tc>
          <w:tcPr>
            <w:tcW w:w="912" w:type="pct"/>
            <w:tcBorders>
              <w:top w:val="nil"/>
              <w:left w:val="nil"/>
              <w:bottom w:val="nil"/>
              <w:right w:val="nil"/>
            </w:tcBorders>
            <w:shd w:val="clear" w:color="auto" w:fill="auto"/>
          </w:tcPr>
          <w:p w14:paraId="25B2A8A1"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15 (50.0)</w:t>
            </w:r>
          </w:p>
        </w:tc>
        <w:tc>
          <w:tcPr>
            <w:tcW w:w="1029" w:type="pct"/>
            <w:tcBorders>
              <w:top w:val="nil"/>
              <w:left w:val="nil"/>
              <w:bottom w:val="nil"/>
              <w:right w:val="nil"/>
            </w:tcBorders>
            <w:shd w:val="clear" w:color="auto" w:fill="auto"/>
          </w:tcPr>
          <w:p w14:paraId="51FBFBF5"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18 (100.0)</w:t>
            </w:r>
          </w:p>
        </w:tc>
        <w:tc>
          <w:tcPr>
            <w:tcW w:w="404" w:type="pct"/>
            <w:tcBorders>
              <w:top w:val="nil"/>
              <w:left w:val="nil"/>
              <w:bottom w:val="nil"/>
              <w:right w:val="nil"/>
            </w:tcBorders>
            <w:shd w:val="clear" w:color="auto" w:fill="auto"/>
          </w:tcPr>
          <w:p w14:paraId="4AFDCD2E"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0.003</w:t>
            </w:r>
          </w:p>
        </w:tc>
      </w:tr>
      <w:tr w:rsidR="00FC19A9" w:rsidRPr="00BF740E" w14:paraId="03DACE71" w14:textId="77777777" w:rsidTr="00FC19A9">
        <w:trPr>
          <w:trHeight w:val="21"/>
        </w:trPr>
        <w:tc>
          <w:tcPr>
            <w:tcW w:w="1472" w:type="pct"/>
            <w:tcBorders>
              <w:top w:val="nil"/>
              <w:left w:val="nil"/>
              <w:bottom w:val="nil"/>
              <w:right w:val="nil"/>
            </w:tcBorders>
            <w:shd w:val="clear" w:color="auto" w:fill="auto"/>
          </w:tcPr>
          <w:p w14:paraId="14D04602"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GB"/>
              </w:rPr>
              <w:t>Haemorrhoidal disease</w:t>
            </w:r>
          </w:p>
        </w:tc>
        <w:tc>
          <w:tcPr>
            <w:tcW w:w="1183" w:type="pct"/>
            <w:tcBorders>
              <w:top w:val="nil"/>
              <w:left w:val="nil"/>
              <w:bottom w:val="nil"/>
              <w:right w:val="nil"/>
            </w:tcBorders>
            <w:shd w:val="clear" w:color="auto" w:fill="auto"/>
          </w:tcPr>
          <w:p w14:paraId="151A7EEA"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19</w:t>
            </w:r>
          </w:p>
        </w:tc>
        <w:tc>
          <w:tcPr>
            <w:tcW w:w="912" w:type="pct"/>
            <w:tcBorders>
              <w:top w:val="nil"/>
              <w:left w:val="nil"/>
              <w:bottom w:val="nil"/>
              <w:right w:val="nil"/>
            </w:tcBorders>
            <w:shd w:val="clear" w:color="auto" w:fill="auto"/>
          </w:tcPr>
          <w:p w14:paraId="348395B9"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2</w:t>
            </w:r>
          </w:p>
        </w:tc>
        <w:tc>
          <w:tcPr>
            <w:tcW w:w="1029" w:type="pct"/>
            <w:tcBorders>
              <w:top w:val="nil"/>
              <w:left w:val="nil"/>
              <w:bottom w:val="nil"/>
              <w:right w:val="nil"/>
            </w:tcBorders>
            <w:shd w:val="clear" w:color="auto" w:fill="auto"/>
          </w:tcPr>
          <w:p w14:paraId="3713B552"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12</w:t>
            </w:r>
          </w:p>
        </w:tc>
        <w:tc>
          <w:tcPr>
            <w:tcW w:w="404" w:type="pct"/>
            <w:tcBorders>
              <w:top w:val="nil"/>
              <w:left w:val="nil"/>
              <w:bottom w:val="nil"/>
              <w:right w:val="nil"/>
            </w:tcBorders>
            <w:shd w:val="clear" w:color="auto" w:fill="auto"/>
          </w:tcPr>
          <w:p w14:paraId="0A1FDFD6"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r>
      <w:tr w:rsidR="00FC19A9" w:rsidRPr="00BF740E" w14:paraId="5BB06288" w14:textId="77777777" w:rsidTr="00FC19A9">
        <w:trPr>
          <w:trHeight w:val="21"/>
        </w:trPr>
        <w:tc>
          <w:tcPr>
            <w:tcW w:w="1472" w:type="pct"/>
            <w:tcBorders>
              <w:top w:val="nil"/>
              <w:left w:val="nil"/>
              <w:bottom w:val="nil"/>
              <w:right w:val="nil"/>
            </w:tcBorders>
            <w:shd w:val="clear" w:color="auto" w:fill="auto"/>
          </w:tcPr>
          <w:p w14:paraId="7C2E7347"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Anal fissure</w:t>
            </w:r>
          </w:p>
        </w:tc>
        <w:tc>
          <w:tcPr>
            <w:tcW w:w="1183" w:type="pct"/>
            <w:tcBorders>
              <w:top w:val="nil"/>
              <w:left w:val="nil"/>
              <w:bottom w:val="nil"/>
              <w:right w:val="nil"/>
            </w:tcBorders>
            <w:shd w:val="clear" w:color="auto" w:fill="auto"/>
          </w:tcPr>
          <w:p w14:paraId="1D096DC5"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6</w:t>
            </w:r>
          </w:p>
        </w:tc>
        <w:tc>
          <w:tcPr>
            <w:tcW w:w="912" w:type="pct"/>
            <w:tcBorders>
              <w:top w:val="nil"/>
              <w:left w:val="nil"/>
              <w:bottom w:val="nil"/>
              <w:right w:val="nil"/>
            </w:tcBorders>
            <w:shd w:val="clear" w:color="auto" w:fill="auto"/>
          </w:tcPr>
          <w:p w14:paraId="0DC4E587"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w:t>
            </w:r>
          </w:p>
        </w:tc>
        <w:tc>
          <w:tcPr>
            <w:tcW w:w="1029" w:type="pct"/>
            <w:tcBorders>
              <w:top w:val="nil"/>
              <w:left w:val="nil"/>
              <w:bottom w:val="nil"/>
              <w:right w:val="nil"/>
            </w:tcBorders>
            <w:shd w:val="clear" w:color="auto" w:fill="auto"/>
          </w:tcPr>
          <w:p w14:paraId="55A6200B"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5</w:t>
            </w:r>
          </w:p>
        </w:tc>
        <w:tc>
          <w:tcPr>
            <w:tcW w:w="404" w:type="pct"/>
            <w:tcBorders>
              <w:top w:val="nil"/>
              <w:left w:val="nil"/>
              <w:bottom w:val="nil"/>
              <w:right w:val="nil"/>
            </w:tcBorders>
            <w:shd w:val="clear" w:color="auto" w:fill="auto"/>
          </w:tcPr>
          <w:p w14:paraId="61282215"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r>
      <w:tr w:rsidR="00FC19A9" w:rsidRPr="00BF740E" w14:paraId="30E417A8" w14:textId="77777777" w:rsidTr="00FC19A9">
        <w:trPr>
          <w:trHeight w:val="21"/>
        </w:trPr>
        <w:tc>
          <w:tcPr>
            <w:tcW w:w="1472" w:type="pct"/>
            <w:tcBorders>
              <w:top w:val="nil"/>
              <w:left w:val="nil"/>
              <w:bottom w:val="nil"/>
              <w:right w:val="nil"/>
            </w:tcBorders>
            <w:shd w:val="clear" w:color="auto" w:fill="auto"/>
          </w:tcPr>
          <w:p w14:paraId="18C0F29F"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Recurrence of rectal adenocarcinoma</w:t>
            </w:r>
          </w:p>
        </w:tc>
        <w:tc>
          <w:tcPr>
            <w:tcW w:w="1183" w:type="pct"/>
            <w:tcBorders>
              <w:top w:val="nil"/>
              <w:left w:val="nil"/>
              <w:bottom w:val="nil"/>
              <w:right w:val="nil"/>
            </w:tcBorders>
            <w:shd w:val="clear" w:color="auto" w:fill="auto"/>
          </w:tcPr>
          <w:p w14:paraId="3D2870DD"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2</w:t>
            </w:r>
          </w:p>
        </w:tc>
        <w:tc>
          <w:tcPr>
            <w:tcW w:w="912" w:type="pct"/>
            <w:tcBorders>
              <w:top w:val="nil"/>
              <w:left w:val="nil"/>
              <w:bottom w:val="nil"/>
              <w:right w:val="nil"/>
            </w:tcBorders>
            <w:shd w:val="clear" w:color="auto" w:fill="auto"/>
          </w:tcPr>
          <w:p w14:paraId="537EA37A"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0</w:t>
            </w:r>
          </w:p>
        </w:tc>
        <w:tc>
          <w:tcPr>
            <w:tcW w:w="1029" w:type="pct"/>
            <w:tcBorders>
              <w:top w:val="nil"/>
              <w:left w:val="nil"/>
              <w:bottom w:val="nil"/>
              <w:right w:val="nil"/>
            </w:tcBorders>
            <w:shd w:val="clear" w:color="auto" w:fill="auto"/>
          </w:tcPr>
          <w:p w14:paraId="3C526D51"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2</w:t>
            </w:r>
          </w:p>
        </w:tc>
        <w:tc>
          <w:tcPr>
            <w:tcW w:w="404" w:type="pct"/>
            <w:tcBorders>
              <w:top w:val="nil"/>
              <w:left w:val="nil"/>
              <w:bottom w:val="nil"/>
              <w:right w:val="nil"/>
            </w:tcBorders>
            <w:shd w:val="clear" w:color="auto" w:fill="auto"/>
          </w:tcPr>
          <w:p w14:paraId="413888C7"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r>
      <w:tr w:rsidR="00FC19A9" w:rsidRPr="00BF740E" w14:paraId="68EDE6D3" w14:textId="77777777" w:rsidTr="00FC19A9">
        <w:trPr>
          <w:trHeight w:val="21"/>
        </w:trPr>
        <w:tc>
          <w:tcPr>
            <w:tcW w:w="1472" w:type="pct"/>
            <w:tcBorders>
              <w:top w:val="nil"/>
              <w:left w:val="nil"/>
              <w:bottom w:val="nil"/>
              <w:right w:val="nil"/>
            </w:tcBorders>
            <w:shd w:val="clear" w:color="auto" w:fill="auto"/>
          </w:tcPr>
          <w:p w14:paraId="396C47F2"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Condyloma</w:t>
            </w:r>
          </w:p>
        </w:tc>
        <w:tc>
          <w:tcPr>
            <w:tcW w:w="1183" w:type="pct"/>
            <w:tcBorders>
              <w:top w:val="nil"/>
              <w:left w:val="nil"/>
              <w:bottom w:val="nil"/>
              <w:right w:val="nil"/>
            </w:tcBorders>
            <w:shd w:val="clear" w:color="auto" w:fill="auto"/>
          </w:tcPr>
          <w:p w14:paraId="0A10E66F"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3</w:t>
            </w:r>
          </w:p>
        </w:tc>
        <w:tc>
          <w:tcPr>
            <w:tcW w:w="912" w:type="pct"/>
            <w:tcBorders>
              <w:top w:val="nil"/>
              <w:left w:val="nil"/>
              <w:bottom w:val="nil"/>
              <w:right w:val="nil"/>
            </w:tcBorders>
            <w:shd w:val="clear" w:color="auto" w:fill="auto"/>
          </w:tcPr>
          <w:p w14:paraId="4564E9CB"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w:t>
            </w:r>
          </w:p>
        </w:tc>
        <w:tc>
          <w:tcPr>
            <w:tcW w:w="1029" w:type="pct"/>
            <w:tcBorders>
              <w:top w:val="nil"/>
              <w:left w:val="nil"/>
              <w:bottom w:val="nil"/>
              <w:right w:val="nil"/>
            </w:tcBorders>
            <w:shd w:val="clear" w:color="auto" w:fill="auto"/>
          </w:tcPr>
          <w:p w14:paraId="4B69F6CC"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2</w:t>
            </w:r>
          </w:p>
        </w:tc>
        <w:tc>
          <w:tcPr>
            <w:tcW w:w="404" w:type="pct"/>
            <w:tcBorders>
              <w:top w:val="nil"/>
              <w:left w:val="nil"/>
              <w:bottom w:val="nil"/>
              <w:right w:val="nil"/>
            </w:tcBorders>
            <w:shd w:val="clear" w:color="auto" w:fill="auto"/>
          </w:tcPr>
          <w:p w14:paraId="3B2DD916"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r>
      <w:tr w:rsidR="00FC19A9" w:rsidRPr="00BF740E" w14:paraId="74E22DCE" w14:textId="77777777" w:rsidTr="00FC19A9">
        <w:trPr>
          <w:trHeight w:val="21"/>
        </w:trPr>
        <w:tc>
          <w:tcPr>
            <w:tcW w:w="1472" w:type="pct"/>
            <w:tcBorders>
              <w:top w:val="nil"/>
              <w:left w:val="nil"/>
              <w:bottom w:val="nil"/>
              <w:right w:val="nil"/>
            </w:tcBorders>
            <w:shd w:val="clear" w:color="auto" w:fill="auto"/>
          </w:tcPr>
          <w:p w14:paraId="09BD1196"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Fecal impaction</w:t>
            </w:r>
          </w:p>
        </w:tc>
        <w:tc>
          <w:tcPr>
            <w:tcW w:w="1183" w:type="pct"/>
            <w:tcBorders>
              <w:top w:val="nil"/>
              <w:left w:val="nil"/>
              <w:bottom w:val="nil"/>
              <w:right w:val="nil"/>
            </w:tcBorders>
            <w:shd w:val="clear" w:color="auto" w:fill="auto"/>
          </w:tcPr>
          <w:p w14:paraId="35584E4E"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w:t>
            </w:r>
          </w:p>
        </w:tc>
        <w:tc>
          <w:tcPr>
            <w:tcW w:w="912" w:type="pct"/>
            <w:tcBorders>
              <w:top w:val="nil"/>
              <w:left w:val="nil"/>
              <w:bottom w:val="nil"/>
              <w:right w:val="nil"/>
            </w:tcBorders>
            <w:shd w:val="clear" w:color="auto" w:fill="auto"/>
          </w:tcPr>
          <w:p w14:paraId="17C0E3A0"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w:t>
            </w:r>
          </w:p>
        </w:tc>
        <w:tc>
          <w:tcPr>
            <w:tcW w:w="1029" w:type="pct"/>
            <w:tcBorders>
              <w:top w:val="nil"/>
              <w:left w:val="nil"/>
              <w:bottom w:val="nil"/>
              <w:right w:val="nil"/>
            </w:tcBorders>
            <w:shd w:val="clear" w:color="auto" w:fill="auto"/>
          </w:tcPr>
          <w:p w14:paraId="5DE92A12"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0</w:t>
            </w:r>
          </w:p>
        </w:tc>
        <w:tc>
          <w:tcPr>
            <w:tcW w:w="404" w:type="pct"/>
            <w:tcBorders>
              <w:top w:val="nil"/>
              <w:left w:val="nil"/>
              <w:bottom w:val="nil"/>
              <w:right w:val="nil"/>
            </w:tcBorders>
            <w:shd w:val="clear" w:color="auto" w:fill="auto"/>
          </w:tcPr>
          <w:p w14:paraId="54FFD02D"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r>
      <w:tr w:rsidR="00FC19A9" w:rsidRPr="00BF740E" w14:paraId="0D3517E4" w14:textId="77777777" w:rsidTr="00FC19A9">
        <w:trPr>
          <w:trHeight w:val="76"/>
        </w:trPr>
        <w:tc>
          <w:tcPr>
            <w:tcW w:w="1472" w:type="pct"/>
            <w:tcBorders>
              <w:top w:val="nil"/>
              <w:left w:val="nil"/>
              <w:bottom w:val="nil"/>
              <w:right w:val="nil"/>
            </w:tcBorders>
            <w:shd w:val="clear" w:color="auto" w:fill="auto"/>
          </w:tcPr>
          <w:p w14:paraId="24042169"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Anal suppuration</w:t>
            </w:r>
          </w:p>
        </w:tc>
        <w:tc>
          <w:tcPr>
            <w:tcW w:w="1183" w:type="pct"/>
            <w:tcBorders>
              <w:top w:val="nil"/>
              <w:left w:val="nil"/>
              <w:bottom w:val="nil"/>
              <w:right w:val="nil"/>
            </w:tcBorders>
            <w:shd w:val="clear" w:color="auto" w:fill="auto"/>
          </w:tcPr>
          <w:p w14:paraId="4D82906F"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w:t>
            </w:r>
          </w:p>
        </w:tc>
        <w:tc>
          <w:tcPr>
            <w:tcW w:w="912" w:type="pct"/>
            <w:tcBorders>
              <w:top w:val="nil"/>
              <w:left w:val="nil"/>
              <w:bottom w:val="nil"/>
              <w:right w:val="nil"/>
            </w:tcBorders>
            <w:shd w:val="clear" w:color="auto" w:fill="auto"/>
          </w:tcPr>
          <w:p w14:paraId="24EBE39E"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0</w:t>
            </w:r>
          </w:p>
        </w:tc>
        <w:tc>
          <w:tcPr>
            <w:tcW w:w="1029" w:type="pct"/>
            <w:tcBorders>
              <w:top w:val="nil"/>
              <w:left w:val="nil"/>
              <w:bottom w:val="nil"/>
              <w:right w:val="nil"/>
            </w:tcBorders>
            <w:shd w:val="clear" w:color="auto" w:fill="auto"/>
          </w:tcPr>
          <w:p w14:paraId="0887F074"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w:t>
            </w:r>
          </w:p>
        </w:tc>
        <w:tc>
          <w:tcPr>
            <w:tcW w:w="404" w:type="pct"/>
            <w:tcBorders>
              <w:top w:val="nil"/>
              <w:left w:val="nil"/>
              <w:bottom w:val="nil"/>
              <w:right w:val="nil"/>
            </w:tcBorders>
            <w:shd w:val="clear" w:color="auto" w:fill="auto"/>
          </w:tcPr>
          <w:p w14:paraId="622053A0"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r>
      <w:tr w:rsidR="00FC19A9" w:rsidRPr="00BF740E" w14:paraId="4D84F5FD" w14:textId="77777777" w:rsidTr="00FC19A9">
        <w:trPr>
          <w:trHeight w:val="75"/>
        </w:trPr>
        <w:tc>
          <w:tcPr>
            <w:tcW w:w="1472" w:type="pct"/>
            <w:tcBorders>
              <w:top w:val="nil"/>
              <w:left w:val="nil"/>
              <w:bottom w:val="nil"/>
              <w:right w:val="nil"/>
            </w:tcBorders>
            <w:shd w:val="clear" w:color="auto" w:fill="auto"/>
          </w:tcPr>
          <w:p w14:paraId="48E2357B"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GB"/>
              </w:rPr>
              <w:t>Solitary rectal ulcer syndrome</w:t>
            </w:r>
          </w:p>
        </w:tc>
        <w:tc>
          <w:tcPr>
            <w:tcW w:w="1183" w:type="pct"/>
            <w:tcBorders>
              <w:top w:val="nil"/>
              <w:left w:val="nil"/>
              <w:bottom w:val="nil"/>
              <w:right w:val="nil"/>
            </w:tcBorders>
            <w:shd w:val="clear" w:color="auto" w:fill="auto"/>
          </w:tcPr>
          <w:p w14:paraId="292A9D9B"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w:t>
            </w:r>
          </w:p>
        </w:tc>
        <w:tc>
          <w:tcPr>
            <w:tcW w:w="912" w:type="pct"/>
            <w:tcBorders>
              <w:top w:val="nil"/>
              <w:left w:val="nil"/>
              <w:bottom w:val="nil"/>
              <w:right w:val="nil"/>
            </w:tcBorders>
            <w:shd w:val="clear" w:color="auto" w:fill="auto"/>
          </w:tcPr>
          <w:p w14:paraId="62ED08B1"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0</w:t>
            </w:r>
          </w:p>
        </w:tc>
        <w:tc>
          <w:tcPr>
            <w:tcW w:w="1029" w:type="pct"/>
            <w:tcBorders>
              <w:top w:val="nil"/>
              <w:left w:val="nil"/>
              <w:bottom w:val="nil"/>
              <w:right w:val="nil"/>
            </w:tcBorders>
            <w:shd w:val="clear" w:color="auto" w:fill="auto"/>
          </w:tcPr>
          <w:p w14:paraId="3A734FC8"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w:t>
            </w:r>
          </w:p>
        </w:tc>
        <w:tc>
          <w:tcPr>
            <w:tcW w:w="404" w:type="pct"/>
            <w:tcBorders>
              <w:top w:val="nil"/>
              <w:left w:val="nil"/>
              <w:bottom w:val="nil"/>
              <w:right w:val="nil"/>
            </w:tcBorders>
            <w:shd w:val="clear" w:color="auto" w:fill="auto"/>
          </w:tcPr>
          <w:p w14:paraId="74C8918E"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r>
      <w:tr w:rsidR="00FC19A9" w:rsidRPr="00BF740E" w14:paraId="4B6C9E9F" w14:textId="77777777" w:rsidTr="00FC19A9">
        <w:trPr>
          <w:trHeight w:val="88"/>
        </w:trPr>
        <w:tc>
          <w:tcPr>
            <w:tcW w:w="1472" w:type="pct"/>
            <w:tcBorders>
              <w:top w:val="nil"/>
              <w:left w:val="nil"/>
              <w:bottom w:val="nil"/>
              <w:right w:val="nil"/>
            </w:tcBorders>
            <w:shd w:val="clear" w:color="auto" w:fill="auto"/>
          </w:tcPr>
          <w:p w14:paraId="00DDB911"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 xml:space="preserve">Treatment </w:t>
            </w:r>
          </w:p>
        </w:tc>
        <w:tc>
          <w:tcPr>
            <w:tcW w:w="1183" w:type="pct"/>
            <w:tcBorders>
              <w:top w:val="nil"/>
              <w:left w:val="nil"/>
              <w:bottom w:val="nil"/>
              <w:right w:val="nil"/>
            </w:tcBorders>
            <w:shd w:val="clear" w:color="auto" w:fill="auto"/>
          </w:tcPr>
          <w:p w14:paraId="55115F99"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18 (37.5)</w:t>
            </w:r>
          </w:p>
        </w:tc>
        <w:tc>
          <w:tcPr>
            <w:tcW w:w="912" w:type="pct"/>
            <w:tcBorders>
              <w:top w:val="nil"/>
              <w:left w:val="nil"/>
              <w:bottom w:val="nil"/>
              <w:right w:val="nil"/>
            </w:tcBorders>
            <w:shd w:val="clear" w:color="auto" w:fill="auto"/>
          </w:tcPr>
          <w:p w14:paraId="168D40AF" w14:textId="0959E524" w:rsidR="00920127" w:rsidRPr="006A5B0F" w:rsidRDefault="00920127" w:rsidP="00412523">
            <w:pPr>
              <w:adjustRightInd w:val="0"/>
              <w:snapToGrid w:val="0"/>
              <w:spacing w:after="0" w:line="360" w:lineRule="auto"/>
              <w:jc w:val="both"/>
              <w:rPr>
                <w:rFonts w:ascii="Book Antiqua" w:eastAsia="等线" w:hAnsi="Book Antiqua"/>
                <w:color w:val="000000"/>
                <w:lang w:val="en-US" w:eastAsia="zh-CN"/>
              </w:rPr>
            </w:pPr>
          </w:p>
        </w:tc>
        <w:tc>
          <w:tcPr>
            <w:tcW w:w="1029" w:type="pct"/>
            <w:tcBorders>
              <w:top w:val="nil"/>
              <w:left w:val="nil"/>
              <w:bottom w:val="nil"/>
              <w:right w:val="nil"/>
            </w:tcBorders>
            <w:shd w:val="clear" w:color="auto" w:fill="auto"/>
          </w:tcPr>
          <w:p w14:paraId="43F73F2F"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18 (100)</w:t>
            </w:r>
          </w:p>
        </w:tc>
        <w:tc>
          <w:tcPr>
            <w:tcW w:w="404" w:type="pct"/>
            <w:tcBorders>
              <w:top w:val="nil"/>
              <w:left w:val="nil"/>
              <w:bottom w:val="nil"/>
              <w:right w:val="nil"/>
            </w:tcBorders>
            <w:shd w:val="clear" w:color="auto" w:fill="auto"/>
          </w:tcPr>
          <w:p w14:paraId="7F3FBE18"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p>
        </w:tc>
      </w:tr>
      <w:tr w:rsidR="00FC19A9" w:rsidRPr="00BF740E" w14:paraId="473D8F95" w14:textId="77777777" w:rsidTr="00FC19A9">
        <w:trPr>
          <w:trHeight w:val="88"/>
        </w:trPr>
        <w:tc>
          <w:tcPr>
            <w:tcW w:w="1472" w:type="pct"/>
            <w:tcBorders>
              <w:top w:val="nil"/>
              <w:left w:val="nil"/>
              <w:bottom w:val="nil"/>
              <w:right w:val="nil"/>
            </w:tcBorders>
            <w:shd w:val="clear" w:color="auto" w:fill="auto"/>
          </w:tcPr>
          <w:p w14:paraId="210E1600"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Medical treatment</w:t>
            </w:r>
          </w:p>
        </w:tc>
        <w:tc>
          <w:tcPr>
            <w:tcW w:w="1183" w:type="pct"/>
            <w:tcBorders>
              <w:top w:val="nil"/>
              <w:left w:val="nil"/>
              <w:bottom w:val="nil"/>
              <w:right w:val="nil"/>
            </w:tcBorders>
            <w:shd w:val="clear" w:color="auto" w:fill="auto"/>
          </w:tcPr>
          <w:p w14:paraId="346EC87B" w14:textId="77777777" w:rsidR="00920127" w:rsidRPr="00BF740E" w:rsidRDefault="00920127" w:rsidP="00412523">
            <w:pPr>
              <w:adjustRightInd w:val="0"/>
              <w:snapToGrid w:val="0"/>
              <w:spacing w:after="0" w:line="360" w:lineRule="auto"/>
              <w:jc w:val="both"/>
              <w:rPr>
                <w:rFonts w:ascii="Book Antiqua" w:hAnsi="Book Antiqua"/>
                <w:lang w:val="en-US"/>
              </w:rPr>
            </w:pPr>
          </w:p>
        </w:tc>
        <w:tc>
          <w:tcPr>
            <w:tcW w:w="912" w:type="pct"/>
            <w:tcBorders>
              <w:top w:val="nil"/>
              <w:left w:val="nil"/>
              <w:bottom w:val="nil"/>
              <w:right w:val="nil"/>
            </w:tcBorders>
            <w:shd w:val="clear" w:color="auto" w:fill="auto"/>
          </w:tcPr>
          <w:p w14:paraId="190DDF4B"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c>
          <w:tcPr>
            <w:tcW w:w="1029" w:type="pct"/>
            <w:tcBorders>
              <w:top w:val="nil"/>
              <w:left w:val="nil"/>
              <w:bottom w:val="nil"/>
              <w:right w:val="nil"/>
            </w:tcBorders>
            <w:shd w:val="clear" w:color="auto" w:fill="auto"/>
          </w:tcPr>
          <w:p w14:paraId="443BF419"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11 (61.1)</w:t>
            </w:r>
          </w:p>
        </w:tc>
        <w:tc>
          <w:tcPr>
            <w:tcW w:w="404" w:type="pct"/>
            <w:tcBorders>
              <w:top w:val="nil"/>
              <w:left w:val="nil"/>
              <w:bottom w:val="nil"/>
              <w:right w:val="nil"/>
            </w:tcBorders>
            <w:shd w:val="clear" w:color="auto" w:fill="auto"/>
          </w:tcPr>
          <w:p w14:paraId="4B10313B"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p>
        </w:tc>
      </w:tr>
      <w:tr w:rsidR="00FC19A9" w:rsidRPr="00BF740E" w14:paraId="0984A0D7" w14:textId="77777777" w:rsidTr="00FC19A9">
        <w:trPr>
          <w:trHeight w:val="88"/>
        </w:trPr>
        <w:tc>
          <w:tcPr>
            <w:tcW w:w="1472" w:type="pct"/>
            <w:tcBorders>
              <w:top w:val="nil"/>
              <w:left w:val="nil"/>
              <w:bottom w:val="nil"/>
              <w:right w:val="nil"/>
            </w:tcBorders>
            <w:shd w:val="clear" w:color="auto" w:fill="auto"/>
          </w:tcPr>
          <w:p w14:paraId="1FBA173B"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Surgical treatment</w:t>
            </w:r>
          </w:p>
        </w:tc>
        <w:tc>
          <w:tcPr>
            <w:tcW w:w="1183" w:type="pct"/>
            <w:tcBorders>
              <w:top w:val="nil"/>
              <w:left w:val="nil"/>
              <w:bottom w:val="nil"/>
              <w:right w:val="nil"/>
            </w:tcBorders>
            <w:shd w:val="clear" w:color="auto" w:fill="auto"/>
          </w:tcPr>
          <w:p w14:paraId="4119EC94" w14:textId="77777777" w:rsidR="00920127" w:rsidRPr="00BF740E" w:rsidRDefault="00920127" w:rsidP="00412523">
            <w:pPr>
              <w:adjustRightInd w:val="0"/>
              <w:snapToGrid w:val="0"/>
              <w:spacing w:after="0" w:line="360" w:lineRule="auto"/>
              <w:jc w:val="both"/>
              <w:rPr>
                <w:rFonts w:ascii="Book Antiqua" w:hAnsi="Book Antiqua"/>
                <w:lang w:val="en-US"/>
              </w:rPr>
            </w:pPr>
          </w:p>
        </w:tc>
        <w:tc>
          <w:tcPr>
            <w:tcW w:w="912" w:type="pct"/>
            <w:tcBorders>
              <w:top w:val="nil"/>
              <w:left w:val="nil"/>
              <w:bottom w:val="nil"/>
              <w:right w:val="nil"/>
            </w:tcBorders>
            <w:shd w:val="clear" w:color="auto" w:fill="auto"/>
          </w:tcPr>
          <w:p w14:paraId="1A95C1CF"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c>
          <w:tcPr>
            <w:tcW w:w="1029" w:type="pct"/>
            <w:tcBorders>
              <w:top w:val="nil"/>
              <w:left w:val="nil"/>
              <w:bottom w:val="nil"/>
              <w:right w:val="nil"/>
            </w:tcBorders>
            <w:shd w:val="clear" w:color="auto" w:fill="auto"/>
          </w:tcPr>
          <w:p w14:paraId="7E38E615"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5 (27.8)</w:t>
            </w:r>
          </w:p>
        </w:tc>
        <w:tc>
          <w:tcPr>
            <w:tcW w:w="404" w:type="pct"/>
            <w:tcBorders>
              <w:top w:val="nil"/>
              <w:left w:val="nil"/>
              <w:bottom w:val="nil"/>
              <w:right w:val="nil"/>
            </w:tcBorders>
            <w:shd w:val="clear" w:color="auto" w:fill="auto"/>
          </w:tcPr>
          <w:p w14:paraId="67DFA332"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p>
        </w:tc>
      </w:tr>
      <w:tr w:rsidR="00FC19A9" w:rsidRPr="00BF740E" w14:paraId="7C03FB2F" w14:textId="77777777" w:rsidTr="00FC19A9">
        <w:trPr>
          <w:trHeight w:val="88"/>
        </w:trPr>
        <w:tc>
          <w:tcPr>
            <w:tcW w:w="1472" w:type="pct"/>
            <w:tcBorders>
              <w:top w:val="nil"/>
              <w:left w:val="nil"/>
              <w:bottom w:val="nil"/>
              <w:right w:val="nil"/>
            </w:tcBorders>
            <w:shd w:val="clear" w:color="auto" w:fill="auto"/>
          </w:tcPr>
          <w:p w14:paraId="401B0C42"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Medical and instrumental treatments</w:t>
            </w:r>
          </w:p>
        </w:tc>
        <w:tc>
          <w:tcPr>
            <w:tcW w:w="1183" w:type="pct"/>
            <w:tcBorders>
              <w:top w:val="nil"/>
              <w:left w:val="nil"/>
              <w:bottom w:val="nil"/>
              <w:right w:val="nil"/>
            </w:tcBorders>
            <w:shd w:val="clear" w:color="auto" w:fill="auto"/>
          </w:tcPr>
          <w:p w14:paraId="68B203A2" w14:textId="77777777" w:rsidR="00920127" w:rsidRPr="00BF740E" w:rsidRDefault="00920127" w:rsidP="00412523">
            <w:pPr>
              <w:adjustRightInd w:val="0"/>
              <w:snapToGrid w:val="0"/>
              <w:spacing w:after="0" w:line="360" w:lineRule="auto"/>
              <w:jc w:val="both"/>
              <w:rPr>
                <w:rFonts w:ascii="Book Antiqua" w:hAnsi="Book Antiqua"/>
                <w:lang w:val="en-US"/>
              </w:rPr>
            </w:pPr>
          </w:p>
        </w:tc>
        <w:tc>
          <w:tcPr>
            <w:tcW w:w="912" w:type="pct"/>
            <w:tcBorders>
              <w:top w:val="nil"/>
              <w:left w:val="nil"/>
              <w:bottom w:val="nil"/>
              <w:right w:val="nil"/>
            </w:tcBorders>
            <w:shd w:val="clear" w:color="auto" w:fill="auto"/>
          </w:tcPr>
          <w:p w14:paraId="10425EE2"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c>
          <w:tcPr>
            <w:tcW w:w="1029" w:type="pct"/>
            <w:tcBorders>
              <w:top w:val="nil"/>
              <w:left w:val="nil"/>
              <w:bottom w:val="nil"/>
              <w:right w:val="nil"/>
            </w:tcBorders>
            <w:shd w:val="clear" w:color="auto" w:fill="auto"/>
          </w:tcPr>
          <w:p w14:paraId="5D3EAF55"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 (5.6)</w:t>
            </w:r>
          </w:p>
          <w:p w14:paraId="48D948AA"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c>
          <w:tcPr>
            <w:tcW w:w="404" w:type="pct"/>
            <w:tcBorders>
              <w:top w:val="nil"/>
              <w:left w:val="nil"/>
              <w:bottom w:val="nil"/>
              <w:right w:val="nil"/>
            </w:tcBorders>
            <w:shd w:val="clear" w:color="auto" w:fill="auto"/>
          </w:tcPr>
          <w:p w14:paraId="52C5741A"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p>
        </w:tc>
      </w:tr>
      <w:tr w:rsidR="00FC19A9" w:rsidRPr="00BF740E" w14:paraId="1748D305" w14:textId="77777777" w:rsidTr="00FC19A9">
        <w:trPr>
          <w:trHeight w:val="88"/>
        </w:trPr>
        <w:tc>
          <w:tcPr>
            <w:tcW w:w="1472" w:type="pct"/>
            <w:tcBorders>
              <w:top w:val="nil"/>
              <w:left w:val="nil"/>
              <w:bottom w:val="single" w:sz="4" w:space="0" w:color="auto"/>
              <w:right w:val="nil"/>
            </w:tcBorders>
            <w:shd w:val="clear" w:color="auto" w:fill="auto"/>
          </w:tcPr>
          <w:p w14:paraId="3FC82FF0"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Endoscopic treatment</w:t>
            </w:r>
          </w:p>
        </w:tc>
        <w:tc>
          <w:tcPr>
            <w:tcW w:w="1183" w:type="pct"/>
            <w:tcBorders>
              <w:top w:val="nil"/>
              <w:left w:val="nil"/>
              <w:bottom w:val="single" w:sz="4" w:space="0" w:color="auto"/>
              <w:right w:val="nil"/>
            </w:tcBorders>
            <w:shd w:val="clear" w:color="auto" w:fill="auto"/>
          </w:tcPr>
          <w:p w14:paraId="7DE3D962" w14:textId="77777777" w:rsidR="00920127" w:rsidRPr="00BF740E" w:rsidRDefault="00920127" w:rsidP="00412523">
            <w:pPr>
              <w:adjustRightInd w:val="0"/>
              <w:snapToGrid w:val="0"/>
              <w:spacing w:after="0" w:line="360" w:lineRule="auto"/>
              <w:jc w:val="both"/>
              <w:rPr>
                <w:rFonts w:ascii="Book Antiqua" w:hAnsi="Book Antiqua"/>
                <w:lang w:val="en-US"/>
              </w:rPr>
            </w:pPr>
          </w:p>
        </w:tc>
        <w:tc>
          <w:tcPr>
            <w:tcW w:w="912" w:type="pct"/>
            <w:tcBorders>
              <w:top w:val="nil"/>
              <w:left w:val="nil"/>
              <w:bottom w:val="single" w:sz="4" w:space="0" w:color="auto"/>
              <w:right w:val="nil"/>
            </w:tcBorders>
            <w:shd w:val="clear" w:color="auto" w:fill="auto"/>
          </w:tcPr>
          <w:p w14:paraId="29178495"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c>
          <w:tcPr>
            <w:tcW w:w="1029" w:type="pct"/>
            <w:tcBorders>
              <w:top w:val="nil"/>
              <w:left w:val="nil"/>
              <w:bottom w:val="single" w:sz="4" w:space="0" w:color="auto"/>
              <w:right w:val="nil"/>
            </w:tcBorders>
            <w:shd w:val="clear" w:color="auto" w:fill="auto"/>
          </w:tcPr>
          <w:p w14:paraId="064604E6"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 (5.6)</w:t>
            </w:r>
          </w:p>
        </w:tc>
        <w:tc>
          <w:tcPr>
            <w:tcW w:w="404" w:type="pct"/>
            <w:tcBorders>
              <w:top w:val="nil"/>
              <w:left w:val="nil"/>
              <w:bottom w:val="single" w:sz="4" w:space="0" w:color="auto"/>
              <w:right w:val="nil"/>
            </w:tcBorders>
            <w:shd w:val="clear" w:color="auto" w:fill="auto"/>
          </w:tcPr>
          <w:p w14:paraId="4736AAF2"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p>
        </w:tc>
      </w:tr>
    </w:tbl>
    <w:p w14:paraId="3FDEA592" w14:textId="236F5689" w:rsidR="006A5B0F" w:rsidRPr="00021CB3" w:rsidRDefault="006A5B0F" w:rsidP="006A5B0F">
      <w:pPr>
        <w:adjustRightInd w:val="0"/>
        <w:snapToGrid w:val="0"/>
        <w:spacing w:after="0" w:line="360" w:lineRule="auto"/>
        <w:jc w:val="both"/>
        <w:rPr>
          <w:rFonts w:ascii="Book Antiqua" w:eastAsia="等线" w:hAnsi="Book Antiqua"/>
          <w:lang w:val="en-US" w:eastAsia="zh-CN"/>
        </w:rPr>
      </w:pPr>
      <w:proofErr w:type="spellStart"/>
      <w:r w:rsidRPr="00BF740E">
        <w:rPr>
          <w:rFonts w:ascii="Book Antiqua" w:hAnsi="Book Antiqua"/>
          <w:vertAlign w:val="superscript"/>
          <w:lang w:val="en-US"/>
        </w:rPr>
        <w:t>a</w:t>
      </w:r>
      <w:r w:rsidRPr="00BF740E">
        <w:rPr>
          <w:rFonts w:ascii="Book Antiqua" w:hAnsi="Book Antiqua"/>
          <w:i/>
          <w:iCs/>
          <w:lang w:val="en-US"/>
        </w:rPr>
        <w:t>P</w:t>
      </w:r>
      <w:proofErr w:type="spellEnd"/>
      <w:r w:rsidRPr="00BF740E">
        <w:rPr>
          <w:rFonts w:ascii="Book Antiqua" w:hAnsi="Book Antiqua"/>
          <w:lang w:val="en-US"/>
        </w:rPr>
        <w:t xml:space="preserve"> &lt; 0.05</w:t>
      </w:r>
      <w:r>
        <w:rPr>
          <w:rFonts w:ascii="Book Antiqua" w:eastAsia="等线" w:hAnsi="Book Antiqua" w:hint="eastAsia"/>
          <w:lang w:val="en-US" w:eastAsia="zh-CN"/>
        </w:rPr>
        <w:t xml:space="preserve">; </w:t>
      </w:r>
      <w:proofErr w:type="spellStart"/>
      <w:r w:rsidRPr="00BF740E">
        <w:rPr>
          <w:rFonts w:ascii="Book Antiqua" w:hAnsi="Book Antiqua"/>
          <w:vertAlign w:val="superscript"/>
          <w:lang w:val="en-US"/>
        </w:rPr>
        <w:t>b</w:t>
      </w:r>
      <w:r w:rsidRPr="00BF740E">
        <w:rPr>
          <w:rFonts w:ascii="Book Antiqua" w:hAnsi="Book Antiqua"/>
          <w:i/>
          <w:iCs/>
          <w:lang w:val="en-US"/>
        </w:rPr>
        <w:t>P</w:t>
      </w:r>
      <w:proofErr w:type="spellEnd"/>
      <w:r w:rsidRPr="00BF740E">
        <w:rPr>
          <w:rFonts w:ascii="Book Antiqua" w:hAnsi="Book Antiqua"/>
          <w:lang w:val="en-US"/>
        </w:rPr>
        <w:t xml:space="preserve"> &lt; 0.01</w:t>
      </w:r>
      <w:r>
        <w:rPr>
          <w:rFonts w:ascii="Book Antiqua" w:eastAsia="等线" w:hAnsi="Book Antiqua" w:hint="eastAsia"/>
          <w:lang w:val="en-US" w:eastAsia="zh-CN"/>
        </w:rPr>
        <w:t xml:space="preserve">. </w:t>
      </w:r>
      <w:r>
        <w:rPr>
          <w:rFonts w:ascii="Book Antiqua" w:hAnsi="Book Antiqua"/>
          <w:color w:val="000000"/>
          <w:lang w:val="en-US"/>
        </w:rPr>
        <w:t>MRI</w:t>
      </w:r>
      <w:r>
        <w:rPr>
          <w:rFonts w:ascii="Book Antiqua" w:eastAsia="等线" w:hAnsi="Book Antiqua" w:hint="eastAsia"/>
          <w:color w:val="000000"/>
          <w:lang w:val="en-US" w:eastAsia="zh-CN"/>
        </w:rPr>
        <w:t>:</w:t>
      </w:r>
      <w:r w:rsidRPr="00BF740E">
        <w:rPr>
          <w:rFonts w:ascii="Book Antiqua" w:hAnsi="Book Antiqua"/>
          <w:color w:val="000000"/>
          <w:lang w:val="en-US"/>
        </w:rPr>
        <w:t xml:space="preserve"> Magnetic </w:t>
      </w:r>
      <w:r>
        <w:rPr>
          <w:rFonts w:ascii="Book Antiqua" w:hAnsi="Book Antiqua"/>
          <w:color w:val="000000"/>
          <w:lang w:val="en-US"/>
        </w:rPr>
        <w:t>r</w:t>
      </w:r>
      <w:r w:rsidRPr="00BF740E">
        <w:rPr>
          <w:rFonts w:ascii="Book Antiqua" w:hAnsi="Book Antiqua"/>
          <w:color w:val="000000"/>
          <w:lang w:val="en-US"/>
        </w:rPr>
        <w:t xml:space="preserve">esonance </w:t>
      </w:r>
      <w:r>
        <w:rPr>
          <w:rFonts w:ascii="Book Antiqua" w:hAnsi="Book Antiqua"/>
          <w:color w:val="000000"/>
          <w:lang w:val="en-US"/>
        </w:rPr>
        <w:t>i</w:t>
      </w:r>
      <w:r w:rsidRPr="00BF740E">
        <w:rPr>
          <w:rFonts w:ascii="Book Antiqua" w:hAnsi="Book Antiqua"/>
          <w:color w:val="000000"/>
          <w:lang w:val="en-US"/>
        </w:rPr>
        <w:t xml:space="preserve">maging; </w:t>
      </w:r>
      <w:r w:rsidRPr="00BF740E">
        <w:rPr>
          <w:rFonts w:ascii="Book Antiqua" w:hAnsi="Book Antiqua"/>
          <w:vertAlign w:val="superscript"/>
          <w:lang w:val="en-US"/>
        </w:rPr>
        <w:t>18</w:t>
      </w:r>
      <w:r w:rsidRPr="00BF740E">
        <w:rPr>
          <w:rFonts w:ascii="Book Antiqua" w:hAnsi="Book Antiqua"/>
          <w:lang w:val="en-US"/>
        </w:rPr>
        <w:t>F-FDG PET/CT</w:t>
      </w:r>
      <w:r>
        <w:rPr>
          <w:rFonts w:ascii="Book Antiqua" w:hAnsi="Book Antiqua"/>
          <w:lang w:val="en-US"/>
        </w:rPr>
        <w:t>:</w:t>
      </w:r>
      <w:r w:rsidRPr="00BF740E">
        <w:rPr>
          <w:rFonts w:ascii="Book Antiqua" w:hAnsi="Book Antiqua"/>
          <w:lang w:val="en-US"/>
        </w:rPr>
        <w:t xml:space="preserve"> </w:t>
      </w:r>
      <w:r>
        <w:rPr>
          <w:rFonts w:ascii="Book Antiqua" w:hAnsi="Book Antiqua"/>
          <w:lang w:val="en-US"/>
        </w:rPr>
        <w:t>F</w:t>
      </w:r>
      <w:r w:rsidRPr="00BF740E">
        <w:rPr>
          <w:rFonts w:ascii="Book Antiqua" w:hAnsi="Book Antiqua"/>
          <w:lang w:val="en-US"/>
        </w:rPr>
        <w:t>luorine-18-fluorodeoxyglucose positron emission tomography with computed tomography; SUV: Maximum standardized uptake value; MV: metabolic volume</w:t>
      </w:r>
      <w:r w:rsidR="00021CB3">
        <w:rPr>
          <w:rFonts w:ascii="Book Antiqua" w:eastAsia="等线" w:hAnsi="Book Antiqua" w:hint="eastAsia"/>
          <w:lang w:val="en-US" w:eastAsia="zh-CN"/>
        </w:rPr>
        <w:t>.</w:t>
      </w:r>
    </w:p>
    <w:p w14:paraId="703CFE40" w14:textId="77777777" w:rsidR="00920127" w:rsidRPr="001C03E1" w:rsidRDefault="00920127">
      <w:pPr>
        <w:rPr>
          <w:rFonts w:ascii="Book Antiqua" w:eastAsia="等线" w:hAnsi="Book Antiqua"/>
          <w:b/>
          <w:lang w:val="en-US" w:eastAsia="zh-CN"/>
        </w:rPr>
      </w:pPr>
    </w:p>
    <w:p w14:paraId="2D5FCE72" w14:textId="77777777" w:rsidR="00920127" w:rsidRDefault="00920127">
      <w:pPr>
        <w:rPr>
          <w:rFonts w:ascii="Book Antiqua" w:eastAsia="等线" w:hAnsi="Book Antiqua"/>
          <w:b/>
          <w:lang w:val="en-US" w:eastAsia="zh-CN"/>
        </w:rPr>
      </w:pPr>
      <w:r>
        <w:rPr>
          <w:rFonts w:ascii="Book Antiqua" w:eastAsia="等线" w:hAnsi="Book Antiqua"/>
          <w:b/>
          <w:lang w:val="en-US" w:eastAsia="zh-CN"/>
        </w:rPr>
        <w:br w:type="page"/>
      </w:r>
    </w:p>
    <w:p w14:paraId="049D1CAA" w14:textId="42115111" w:rsidR="00793E90" w:rsidRDefault="00D36EC0" w:rsidP="00D36EC0">
      <w:pPr>
        <w:adjustRightInd w:val="0"/>
        <w:snapToGrid w:val="0"/>
        <w:spacing w:after="0" w:line="360" w:lineRule="auto"/>
        <w:jc w:val="both"/>
        <w:rPr>
          <w:rFonts w:ascii="Book Antiqua" w:eastAsia="等线" w:hAnsi="Book Antiqua"/>
          <w:b/>
          <w:lang w:val="en-US" w:eastAsia="zh-CN"/>
        </w:rPr>
      </w:pPr>
      <w:r>
        <w:rPr>
          <w:rFonts w:ascii="Book Antiqua" w:eastAsia="等线" w:hAnsi="Book Antiqua"/>
          <w:b/>
          <w:lang w:val="en-US" w:eastAsia="zh-CN"/>
        </w:rPr>
        <w:lastRenderedPageBreak/>
        <w:t>Table 3</w:t>
      </w:r>
      <w:r w:rsidRPr="00D36EC0">
        <w:rPr>
          <w:rFonts w:ascii="Book Antiqua" w:eastAsia="等线" w:hAnsi="Book Antiqua"/>
          <w:b/>
          <w:lang w:val="en-US" w:eastAsia="zh-CN"/>
        </w:rPr>
        <w:t xml:space="preserve"> Treatments</w:t>
      </w:r>
    </w:p>
    <w:tbl>
      <w:tblPr>
        <w:tblW w:w="5000" w:type="pct"/>
        <w:tblLook w:val="0420" w:firstRow="1" w:lastRow="0" w:firstColumn="0" w:lastColumn="0" w:noHBand="0" w:noVBand="1"/>
      </w:tblPr>
      <w:tblGrid>
        <w:gridCol w:w="6808"/>
        <w:gridCol w:w="2264"/>
      </w:tblGrid>
      <w:tr w:rsidR="00D36EC0" w:rsidRPr="00793E90" w14:paraId="04E227EA" w14:textId="77777777" w:rsidTr="00C50FA7">
        <w:trPr>
          <w:trHeight w:val="510"/>
        </w:trPr>
        <w:tc>
          <w:tcPr>
            <w:tcW w:w="3752" w:type="pct"/>
            <w:tcBorders>
              <w:top w:val="single" w:sz="4" w:space="0" w:color="auto"/>
              <w:bottom w:val="single" w:sz="4" w:space="0" w:color="auto"/>
            </w:tcBorders>
            <w:shd w:val="clear" w:color="auto" w:fill="auto"/>
          </w:tcPr>
          <w:p w14:paraId="75EE82DE" w14:textId="77777777" w:rsidR="00D36EC0" w:rsidRPr="008C16C1" w:rsidRDefault="00D36EC0" w:rsidP="00412523">
            <w:pPr>
              <w:adjustRightInd w:val="0"/>
              <w:snapToGrid w:val="0"/>
              <w:spacing w:after="0" w:line="360" w:lineRule="auto"/>
              <w:jc w:val="both"/>
              <w:rPr>
                <w:rFonts w:ascii="Book Antiqua" w:hAnsi="Book Antiqua"/>
                <w:b/>
              </w:rPr>
            </w:pPr>
          </w:p>
        </w:tc>
        <w:tc>
          <w:tcPr>
            <w:tcW w:w="1248" w:type="pct"/>
            <w:tcBorders>
              <w:top w:val="single" w:sz="4" w:space="0" w:color="auto"/>
              <w:bottom w:val="single" w:sz="4" w:space="0" w:color="auto"/>
            </w:tcBorders>
            <w:shd w:val="clear" w:color="auto" w:fill="auto"/>
          </w:tcPr>
          <w:p w14:paraId="5A1F7BED" w14:textId="09404B00" w:rsidR="00D36EC0" w:rsidRPr="008C16C1" w:rsidRDefault="008C16C1" w:rsidP="00412523">
            <w:pPr>
              <w:adjustRightInd w:val="0"/>
              <w:snapToGrid w:val="0"/>
              <w:spacing w:after="0" w:line="360" w:lineRule="auto"/>
              <w:jc w:val="both"/>
              <w:rPr>
                <w:rFonts w:ascii="Book Antiqua" w:hAnsi="Book Antiqua"/>
                <w:b/>
              </w:rPr>
            </w:pPr>
            <w:r w:rsidRPr="008C16C1">
              <w:rPr>
                <w:rFonts w:ascii="Book Antiqua" w:hAnsi="Book Antiqua"/>
                <w:b/>
                <w:i/>
              </w:rPr>
              <w:t>n</w:t>
            </w:r>
            <w:r w:rsidR="00D36EC0" w:rsidRPr="008C16C1">
              <w:rPr>
                <w:rFonts w:ascii="Book Antiqua" w:hAnsi="Book Antiqua"/>
                <w:b/>
              </w:rPr>
              <w:t xml:space="preserve"> (%)</w:t>
            </w:r>
          </w:p>
        </w:tc>
      </w:tr>
      <w:tr w:rsidR="00D36EC0" w:rsidRPr="00793E90" w14:paraId="15D3C55D" w14:textId="77777777" w:rsidTr="00C50FA7">
        <w:trPr>
          <w:trHeight w:val="510"/>
        </w:trPr>
        <w:tc>
          <w:tcPr>
            <w:tcW w:w="3752" w:type="pct"/>
            <w:tcBorders>
              <w:top w:val="single" w:sz="4" w:space="0" w:color="auto"/>
            </w:tcBorders>
            <w:shd w:val="clear" w:color="auto" w:fill="auto"/>
          </w:tcPr>
          <w:p w14:paraId="7321F64D" w14:textId="77777777" w:rsidR="00D36EC0" w:rsidRPr="00793E90" w:rsidRDefault="00D36EC0" w:rsidP="00412523">
            <w:pPr>
              <w:adjustRightInd w:val="0"/>
              <w:snapToGrid w:val="0"/>
              <w:spacing w:after="0" w:line="360" w:lineRule="auto"/>
              <w:jc w:val="both"/>
              <w:rPr>
                <w:rFonts w:ascii="Book Antiqua" w:hAnsi="Book Antiqua"/>
              </w:rPr>
            </w:pPr>
            <w:r w:rsidRPr="00793E90">
              <w:rPr>
                <w:rFonts w:ascii="Book Antiqua" w:hAnsi="Book Antiqua"/>
              </w:rPr>
              <w:t>Total</w:t>
            </w:r>
          </w:p>
        </w:tc>
        <w:tc>
          <w:tcPr>
            <w:tcW w:w="1248" w:type="pct"/>
            <w:tcBorders>
              <w:top w:val="single" w:sz="4" w:space="0" w:color="auto"/>
            </w:tcBorders>
            <w:shd w:val="clear" w:color="auto" w:fill="auto"/>
          </w:tcPr>
          <w:p w14:paraId="78F2CDF2" w14:textId="77777777" w:rsidR="00D36EC0" w:rsidRPr="00793E90" w:rsidRDefault="00D36EC0" w:rsidP="00412523">
            <w:pPr>
              <w:adjustRightInd w:val="0"/>
              <w:snapToGrid w:val="0"/>
              <w:spacing w:after="0" w:line="360" w:lineRule="auto"/>
              <w:jc w:val="both"/>
              <w:rPr>
                <w:rFonts w:ascii="Book Antiqua" w:hAnsi="Book Antiqua"/>
              </w:rPr>
            </w:pPr>
            <w:r w:rsidRPr="00793E90">
              <w:rPr>
                <w:rFonts w:ascii="Book Antiqua" w:hAnsi="Book Antiqua"/>
              </w:rPr>
              <w:t>18 (100)</w:t>
            </w:r>
          </w:p>
        </w:tc>
      </w:tr>
      <w:tr w:rsidR="00D36EC0" w:rsidRPr="00793E90" w14:paraId="4FDA3D61" w14:textId="77777777" w:rsidTr="00C50FA7">
        <w:trPr>
          <w:trHeight w:val="510"/>
        </w:trPr>
        <w:tc>
          <w:tcPr>
            <w:tcW w:w="3752" w:type="pct"/>
            <w:shd w:val="clear" w:color="auto" w:fill="auto"/>
          </w:tcPr>
          <w:p w14:paraId="78472B6B" w14:textId="77777777" w:rsidR="00D36EC0" w:rsidRPr="00793E90" w:rsidRDefault="00D36EC0" w:rsidP="00412523">
            <w:pPr>
              <w:adjustRightInd w:val="0"/>
              <w:snapToGrid w:val="0"/>
              <w:spacing w:after="0" w:line="360" w:lineRule="auto"/>
              <w:jc w:val="both"/>
              <w:rPr>
                <w:rFonts w:ascii="Book Antiqua" w:hAnsi="Book Antiqua"/>
              </w:rPr>
            </w:pPr>
            <w:r w:rsidRPr="00793E90">
              <w:rPr>
                <w:rFonts w:ascii="Book Antiqua" w:hAnsi="Book Antiqua"/>
              </w:rPr>
              <w:t xml:space="preserve">Medical treatment </w:t>
            </w:r>
          </w:p>
        </w:tc>
        <w:tc>
          <w:tcPr>
            <w:tcW w:w="1248" w:type="pct"/>
            <w:shd w:val="clear" w:color="auto" w:fill="auto"/>
          </w:tcPr>
          <w:p w14:paraId="5D598F45" w14:textId="77777777" w:rsidR="00D36EC0" w:rsidRPr="00793E90" w:rsidRDefault="00D36EC0" w:rsidP="00412523">
            <w:pPr>
              <w:adjustRightInd w:val="0"/>
              <w:snapToGrid w:val="0"/>
              <w:spacing w:after="0" w:line="360" w:lineRule="auto"/>
              <w:jc w:val="both"/>
              <w:rPr>
                <w:rFonts w:ascii="Book Antiqua" w:hAnsi="Book Antiqua"/>
              </w:rPr>
            </w:pPr>
            <w:r w:rsidRPr="00793E90">
              <w:rPr>
                <w:rFonts w:ascii="Book Antiqua" w:hAnsi="Book Antiqua"/>
              </w:rPr>
              <w:t>11 (61.1)</w:t>
            </w:r>
          </w:p>
        </w:tc>
      </w:tr>
      <w:tr w:rsidR="00D36EC0" w:rsidRPr="00793E90" w14:paraId="2B0FB413" w14:textId="77777777" w:rsidTr="00C50FA7">
        <w:trPr>
          <w:trHeight w:val="510"/>
        </w:trPr>
        <w:tc>
          <w:tcPr>
            <w:tcW w:w="3752" w:type="pct"/>
            <w:shd w:val="clear" w:color="auto" w:fill="auto"/>
          </w:tcPr>
          <w:p w14:paraId="0271A0FD" w14:textId="77777777" w:rsidR="00D36EC0" w:rsidRPr="00793E90" w:rsidRDefault="00D36EC0" w:rsidP="00412523">
            <w:pPr>
              <w:adjustRightInd w:val="0"/>
              <w:snapToGrid w:val="0"/>
              <w:spacing w:after="0" w:line="360" w:lineRule="auto"/>
              <w:jc w:val="both"/>
              <w:rPr>
                <w:rFonts w:ascii="Book Antiqua" w:hAnsi="Book Antiqua"/>
                <w:lang w:val="en-US"/>
              </w:rPr>
            </w:pPr>
            <w:r w:rsidRPr="00793E90">
              <w:rPr>
                <w:rFonts w:ascii="Book Antiqua" w:hAnsi="Book Antiqua"/>
                <w:lang w:val="en-US"/>
              </w:rPr>
              <w:t>Transit regulator</w:t>
            </w:r>
          </w:p>
        </w:tc>
        <w:tc>
          <w:tcPr>
            <w:tcW w:w="1248" w:type="pct"/>
            <w:shd w:val="clear" w:color="auto" w:fill="auto"/>
          </w:tcPr>
          <w:p w14:paraId="5C39A8DB" w14:textId="77777777" w:rsidR="00D36EC0" w:rsidRPr="00793E90" w:rsidRDefault="00D36EC0" w:rsidP="00412523">
            <w:pPr>
              <w:adjustRightInd w:val="0"/>
              <w:snapToGrid w:val="0"/>
              <w:spacing w:after="0" w:line="360" w:lineRule="auto"/>
              <w:jc w:val="both"/>
              <w:rPr>
                <w:rFonts w:ascii="Book Antiqua" w:hAnsi="Book Antiqua"/>
                <w:color w:val="000000"/>
                <w:lang w:val="en-US"/>
              </w:rPr>
            </w:pPr>
            <w:r w:rsidRPr="00793E90">
              <w:rPr>
                <w:rFonts w:ascii="Book Antiqua" w:hAnsi="Book Antiqua"/>
                <w:color w:val="000000"/>
                <w:lang w:val="en-US"/>
              </w:rPr>
              <w:t>4 (22.2)</w:t>
            </w:r>
          </w:p>
        </w:tc>
      </w:tr>
      <w:tr w:rsidR="00D36EC0" w:rsidRPr="00793E90" w14:paraId="72D53AD9" w14:textId="77777777" w:rsidTr="00C50FA7">
        <w:trPr>
          <w:trHeight w:val="510"/>
        </w:trPr>
        <w:tc>
          <w:tcPr>
            <w:tcW w:w="3752" w:type="pct"/>
            <w:shd w:val="clear" w:color="auto" w:fill="auto"/>
          </w:tcPr>
          <w:p w14:paraId="147C1792" w14:textId="77777777" w:rsidR="00D36EC0" w:rsidRPr="00793E90" w:rsidRDefault="00D36EC0" w:rsidP="00412523">
            <w:pPr>
              <w:adjustRightInd w:val="0"/>
              <w:snapToGrid w:val="0"/>
              <w:spacing w:after="0" w:line="360" w:lineRule="auto"/>
              <w:jc w:val="both"/>
              <w:rPr>
                <w:rFonts w:ascii="Book Antiqua" w:hAnsi="Book Antiqua"/>
                <w:lang w:val="en-US"/>
              </w:rPr>
            </w:pPr>
            <w:r w:rsidRPr="00793E90">
              <w:rPr>
                <w:rFonts w:ascii="Book Antiqua" w:hAnsi="Book Antiqua"/>
                <w:lang w:val="en-US"/>
              </w:rPr>
              <w:t xml:space="preserve">Oral analgesic treatment </w:t>
            </w:r>
          </w:p>
        </w:tc>
        <w:tc>
          <w:tcPr>
            <w:tcW w:w="1248" w:type="pct"/>
            <w:shd w:val="clear" w:color="auto" w:fill="auto"/>
          </w:tcPr>
          <w:p w14:paraId="77A0E745" w14:textId="77777777" w:rsidR="00D36EC0" w:rsidRPr="00793E90" w:rsidRDefault="00D36EC0" w:rsidP="00412523">
            <w:pPr>
              <w:adjustRightInd w:val="0"/>
              <w:snapToGrid w:val="0"/>
              <w:spacing w:after="0" w:line="360" w:lineRule="auto"/>
              <w:jc w:val="both"/>
              <w:rPr>
                <w:rFonts w:ascii="Book Antiqua" w:hAnsi="Book Antiqua"/>
                <w:iCs/>
                <w:color w:val="000000"/>
                <w:lang w:val="en-US"/>
              </w:rPr>
            </w:pPr>
            <w:r w:rsidRPr="00793E90">
              <w:rPr>
                <w:rFonts w:ascii="Book Antiqua" w:hAnsi="Book Antiqua"/>
                <w:iCs/>
                <w:color w:val="000000"/>
                <w:lang w:val="en-US"/>
              </w:rPr>
              <w:t>1 (5.6)</w:t>
            </w:r>
          </w:p>
        </w:tc>
      </w:tr>
      <w:tr w:rsidR="00971732" w:rsidRPr="00793E90" w14:paraId="489986AD" w14:textId="77777777" w:rsidTr="00C50FA7">
        <w:trPr>
          <w:trHeight w:val="510"/>
        </w:trPr>
        <w:tc>
          <w:tcPr>
            <w:tcW w:w="3752" w:type="pct"/>
            <w:shd w:val="clear" w:color="auto" w:fill="auto"/>
          </w:tcPr>
          <w:p w14:paraId="033E6958" w14:textId="670C3179" w:rsidR="00971732" w:rsidRPr="00793E90" w:rsidRDefault="00971732" w:rsidP="00971732">
            <w:pPr>
              <w:adjustRightInd w:val="0"/>
              <w:snapToGrid w:val="0"/>
              <w:spacing w:after="0" w:line="360" w:lineRule="auto"/>
              <w:ind w:firstLineChars="50" w:firstLine="120"/>
              <w:jc w:val="both"/>
              <w:rPr>
                <w:rFonts w:ascii="Book Antiqua" w:hAnsi="Book Antiqua"/>
                <w:lang w:val="en-US"/>
              </w:rPr>
            </w:pPr>
            <w:r>
              <w:rPr>
                <w:rFonts w:ascii="Book Antiqua" w:hAnsi="Book Antiqua"/>
                <w:lang w:val="en-US"/>
              </w:rPr>
              <w:t xml:space="preserve">Topical treatment </w:t>
            </w:r>
            <w:r w:rsidRPr="00793E90">
              <w:rPr>
                <w:rFonts w:ascii="Book Antiqua" w:hAnsi="Book Antiqua"/>
                <w:lang w:val="en-US"/>
              </w:rPr>
              <w:t xml:space="preserve"> </w:t>
            </w:r>
          </w:p>
        </w:tc>
        <w:tc>
          <w:tcPr>
            <w:tcW w:w="1248" w:type="pct"/>
            <w:shd w:val="clear" w:color="auto" w:fill="auto"/>
          </w:tcPr>
          <w:p w14:paraId="74A3BD13" w14:textId="16D9DDD6" w:rsidR="00971732" w:rsidRPr="00971732" w:rsidRDefault="00971732" w:rsidP="00412523">
            <w:pPr>
              <w:adjustRightInd w:val="0"/>
              <w:snapToGrid w:val="0"/>
              <w:spacing w:after="0" w:line="360" w:lineRule="auto"/>
              <w:jc w:val="both"/>
              <w:rPr>
                <w:rFonts w:ascii="Book Antiqua" w:eastAsia="等线" w:hAnsi="Book Antiqua"/>
                <w:iCs/>
                <w:color w:val="000000"/>
                <w:lang w:val="en-US" w:eastAsia="zh-CN"/>
              </w:rPr>
            </w:pPr>
            <w:r>
              <w:rPr>
                <w:rFonts w:ascii="Book Antiqua" w:hAnsi="Book Antiqua"/>
                <w:iCs/>
                <w:color w:val="000000"/>
                <w:lang w:val="en-US"/>
              </w:rPr>
              <w:t>8 (44.4)</w:t>
            </w:r>
          </w:p>
        </w:tc>
      </w:tr>
      <w:tr w:rsidR="00971732" w:rsidRPr="00793E90" w14:paraId="6431D03A" w14:textId="77777777" w:rsidTr="00C50FA7">
        <w:trPr>
          <w:trHeight w:val="510"/>
        </w:trPr>
        <w:tc>
          <w:tcPr>
            <w:tcW w:w="3752" w:type="pct"/>
            <w:shd w:val="clear" w:color="auto" w:fill="auto"/>
          </w:tcPr>
          <w:p w14:paraId="6B15402E" w14:textId="54AC998F" w:rsidR="00971732" w:rsidRPr="00793E90" w:rsidRDefault="00971732" w:rsidP="00971732">
            <w:pPr>
              <w:adjustRightInd w:val="0"/>
              <w:snapToGrid w:val="0"/>
              <w:spacing w:after="0" w:line="360" w:lineRule="auto"/>
              <w:ind w:firstLineChars="50" w:firstLine="120"/>
              <w:jc w:val="both"/>
              <w:rPr>
                <w:rFonts w:ascii="Book Antiqua" w:hAnsi="Book Antiqua"/>
                <w:lang w:val="en-US"/>
              </w:rPr>
            </w:pPr>
            <w:r w:rsidRPr="00793E90">
              <w:rPr>
                <w:rFonts w:ascii="Book Antiqua" w:hAnsi="Book Antiqua"/>
                <w:lang w:val="en-US"/>
              </w:rPr>
              <w:t>Treatment of hemorrhoids</w:t>
            </w:r>
          </w:p>
        </w:tc>
        <w:tc>
          <w:tcPr>
            <w:tcW w:w="1248" w:type="pct"/>
            <w:shd w:val="clear" w:color="auto" w:fill="auto"/>
          </w:tcPr>
          <w:p w14:paraId="294C0392" w14:textId="278E524F" w:rsidR="00971732" w:rsidRPr="00971732" w:rsidRDefault="00971732" w:rsidP="00412523">
            <w:pPr>
              <w:adjustRightInd w:val="0"/>
              <w:snapToGrid w:val="0"/>
              <w:spacing w:after="0" w:line="360" w:lineRule="auto"/>
              <w:jc w:val="both"/>
              <w:rPr>
                <w:rFonts w:ascii="Book Antiqua" w:eastAsia="等线" w:hAnsi="Book Antiqua"/>
                <w:iCs/>
                <w:color w:val="000000"/>
                <w:lang w:val="en-US" w:eastAsia="zh-CN"/>
              </w:rPr>
            </w:pPr>
            <w:r>
              <w:rPr>
                <w:rFonts w:ascii="Book Antiqua" w:hAnsi="Book Antiqua"/>
                <w:iCs/>
                <w:color w:val="000000"/>
                <w:lang w:val="en-US"/>
              </w:rPr>
              <w:t>4 (22.2)</w:t>
            </w:r>
          </w:p>
        </w:tc>
      </w:tr>
      <w:tr w:rsidR="00971732" w:rsidRPr="00793E90" w14:paraId="77023888" w14:textId="77777777" w:rsidTr="00C50FA7">
        <w:trPr>
          <w:trHeight w:val="510"/>
        </w:trPr>
        <w:tc>
          <w:tcPr>
            <w:tcW w:w="3752" w:type="pct"/>
            <w:shd w:val="clear" w:color="auto" w:fill="auto"/>
          </w:tcPr>
          <w:p w14:paraId="660E3941" w14:textId="73FB4414" w:rsidR="00971732" w:rsidRPr="00971732" w:rsidRDefault="00971732" w:rsidP="00971732">
            <w:pPr>
              <w:adjustRightInd w:val="0"/>
              <w:snapToGrid w:val="0"/>
              <w:spacing w:after="0" w:line="360" w:lineRule="auto"/>
              <w:ind w:firstLineChars="50" w:firstLine="120"/>
              <w:jc w:val="both"/>
              <w:rPr>
                <w:rFonts w:ascii="Book Antiqua" w:eastAsia="等线" w:hAnsi="Book Antiqua"/>
                <w:lang w:val="en-US" w:eastAsia="zh-CN"/>
              </w:rPr>
            </w:pPr>
            <w:r>
              <w:rPr>
                <w:rFonts w:ascii="Book Antiqua" w:hAnsi="Book Antiqua"/>
                <w:lang w:val="en-US"/>
              </w:rPr>
              <w:t>5-</w:t>
            </w:r>
            <w:r w:rsidR="005557F6">
              <w:rPr>
                <w:rFonts w:ascii="Book Antiqua" w:hAnsi="Book Antiqua"/>
                <w:lang w:val="en-US"/>
              </w:rPr>
              <w:t>a</w:t>
            </w:r>
            <w:r>
              <w:rPr>
                <w:rFonts w:ascii="Book Antiqua" w:hAnsi="Book Antiqua"/>
                <w:lang w:val="en-US"/>
              </w:rPr>
              <w:t xml:space="preserve">minosalicylic </w:t>
            </w:r>
            <w:r w:rsidR="00F23653">
              <w:rPr>
                <w:rFonts w:ascii="Book Antiqua" w:hAnsi="Book Antiqua"/>
                <w:lang w:val="en-US"/>
              </w:rPr>
              <w:t>a</w:t>
            </w:r>
            <w:r>
              <w:rPr>
                <w:rFonts w:ascii="Book Antiqua" w:hAnsi="Book Antiqua"/>
                <w:lang w:val="en-US"/>
              </w:rPr>
              <w:t xml:space="preserve">cid </w:t>
            </w:r>
          </w:p>
        </w:tc>
        <w:tc>
          <w:tcPr>
            <w:tcW w:w="1248" w:type="pct"/>
            <w:shd w:val="clear" w:color="auto" w:fill="auto"/>
          </w:tcPr>
          <w:p w14:paraId="4AB759F0" w14:textId="3E50A7A5" w:rsidR="00971732" w:rsidRPr="00971732" w:rsidRDefault="00971732" w:rsidP="00412523">
            <w:pPr>
              <w:adjustRightInd w:val="0"/>
              <w:snapToGrid w:val="0"/>
              <w:spacing w:after="0" w:line="360" w:lineRule="auto"/>
              <w:jc w:val="both"/>
              <w:rPr>
                <w:rFonts w:ascii="Book Antiqua" w:eastAsia="等线" w:hAnsi="Book Antiqua"/>
                <w:iCs/>
                <w:color w:val="000000"/>
                <w:lang w:val="en-US" w:eastAsia="zh-CN"/>
              </w:rPr>
            </w:pPr>
            <w:r>
              <w:rPr>
                <w:rFonts w:ascii="Book Antiqua" w:hAnsi="Book Antiqua"/>
                <w:iCs/>
                <w:color w:val="000000"/>
                <w:lang w:val="en-US"/>
              </w:rPr>
              <w:t>1 (5.6)</w:t>
            </w:r>
          </w:p>
        </w:tc>
      </w:tr>
      <w:tr w:rsidR="00971732" w:rsidRPr="00793E90" w14:paraId="3156B3B1" w14:textId="77777777" w:rsidTr="00C50FA7">
        <w:trPr>
          <w:trHeight w:val="510"/>
        </w:trPr>
        <w:tc>
          <w:tcPr>
            <w:tcW w:w="3752" w:type="pct"/>
            <w:shd w:val="clear" w:color="auto" w:fill="auto"/>
          </w:tcPr>
          <w:p w14:paraId="2B3FAC46" w14:textId="793D09CA" w:rsidR="00971732" w:rsidRPr="00793E90" w:rsidRDefault="00971732" w:rsidP="00971732">
            <w:pPr>
              <w:adjustRightInd w:val="0"/>
              <w:snapToGrid w:val="0"/>
              <w:spacing w:after="0" w:line="360" w:lineRule="auto"/>
              <w:ind w:firstLineChars="50" w:firstLine="120"/>
              <w:jc w:val="both"/>
              <w:rPr>
                <w:rFonts w:ascii="Book Antiqua" w:hAnsi="Book Antiqua"/>
                <w:lang w:val="en-US"/>
              </w:rPr>
            </w:pPr>
            <w:r w:rsidRPr="00793E90">
              <w:rPr>
                <w:rFonts w:ascii="Book Antiqua" w:hAnsi="Book Antiqua"/>
                <w:lang w:val="en-US"/>
              </w:rPr>
              <w:t>Antibiotic (</w:t>
            </w:r>
            <w:r w:rsidR="00F23653" w:rsidRPr="00793E90">
              <w:rPr>
                <w:rFonts w:ascii="Book Antiqua" w:hAnsi="Book Antiqua"/>
                <w:lang w:val="en-US"/>
              </w:rPr>
              <w:t>m</w:t>
            </w:r>
            <w:r w:rsidRPr="00793E90">
              <w:rPr>
                <w:rFonts w:ascii="Book Antiqua" w:hAnsi="Book Antiqua"/>
                <w:lang w:val="en-US"/>
              </w:rPr>
              <w:t>etronidazole)</w:t>
            </w:r>
          </w:p>
        </w:tc>
        <w:tc>
          <w:tcPr>
            <w:tcW w:w="1248" w:type="pct"/>
            <w:shd w:val="clear" w:color="auto" w:fill="auto"/>
          </w:tcPr>
          <w:p w14:paraId="44C0BE70" w14:textId="6C66E1FA" w:rsidR="00971732" w:rsidRPr="00971732" w:rsidRDefault="00971732" w:rsidP="00412523">
            <w:pPr>
              <w:adjustRightInd w:val="0"/>
              <w:snapToGrid w:val="0"/>
              <w:spacing w:after="0" w:line="360" w:lineRule="auto"/>
              <w:jc w:val="both"/>
              <w:rPr>
                <w:rFonts w:ascii="Book Antiqua" w:eastAsia="等线" w:hAnsi="Book Antiqua"/>
                <w:iCs/>
                <w:color w:val="000000"/>
                <w:lang w:val="en-US" w:eastAsia="zh-CN"/>
              </w:rPr>
            </w:pPr>
            <w:r>
              <w:rPr>
                <w:rFonts w:ascii="Book Antiqua" w:hAnsi="Book Antiqua"/>
                <w:iCs/>
                <w:color w:val="000000"/>
                <w:lang w:val="en-US"/>
              </w:rPr>
              <w:t>1 (5.6)</w:t>
            </w:r>
          </w:p>
        </w:tc>
      </w:tr>
      <w:tr w:rsidR="00971732" w:rsidRPr="00793E90" w14:paraId="2737AC73" w14:textId="77777777" w:rsidTr="00C50FA7">
        <w:trPr>
          <w:trHeight w:val="510"/>
        </w:trPr>
        <w:tc>
          <w:tcPr>
            <w:tcW w:w="3752" w:type="pct"/>
            <w:shd w:val="clear" w:color="auto" w:fill="auto"/>
          </w:tcPr>
          <w:p w14:paraId="66386171" w14:textId="29FF098B" w:rsidR="00971732" w:rsidRPr="00793E90" w:rsidRDefault="00971732" w:rsidP="00971732">
            <w:pPr>
              <w:adjustRightInd w:val="0"/>
              <w:snapToGrid w:val="0"/>
              <w:spacing w:after="0" w:line="360" w:lineRule="auto"/>
              <w:ind w:firstLineChars="50" w:firstLine="120"/>
              <w:jc w:val="both"/>
              <w:rPr>
                <w:rFonts w:ascii="Book Antiqua" w:hAnsi="Book Antiqua"/>
                <w:lang w:val="en-US"/>
              </w:rPr>
            </w:pPr>
            <w:r w:rsidRPr="00793E90">
              <w:rPr>
                <w:rFonts w:ascii="Book Antiqua" w:hAnsi="Book Antiqua"/>
                <w:lang w:val="en-US"/>
              </w:rPr>
              <w:t>Botulinum toxin injection</w:t>
            </w:r>
          </w:p>
        </w:tc>
        <w:tc>
          <w:tcPr>
            <w:tcW w:w="1248" w:type="pct"/>
            <w:shd w:val="clear" w:color="auto" w:fill="auto"/>
          </w:tcPr>
          <w:p w14:paraId="1BFF2B95" w14:textId="6A110D03" w:rsidR="00971732" w:rsidRPr="00971732" w:rsidRDefault="00971732" w:rsidP="00412523">
            <w:pPr>
              <w:adjustRightInd w:val="0"/>
              <w:snapToGrid w:val="0"/>
              <w:spacing w:after="0" w:line="360" w:lineRule="auto"/>
              <w:jc w:val="both"/>
              <w:rPr>
                <w:rFonts w:ascii="Book Antiqua" w:eastAsia="等线" w:hAnsi="Book Antiqua"/>
                <w:iCs/>
                <w:color w:val="000000"/>
                <w:lang w:val="en-US" w:eastAsia="zh-CN"/>
              </w:rPr>
            </w:pPr>
            <w:r>
              <w:rPr>
                <w:rFonts w:ascii="Book Antiqua" w:hAnsi="Book Antiqua"/>
                <w:iCs/>
                <w:color w:val="000000"/>
                <w:lang w:val="en-US"/>
              </w:rPr>
              <w:t>1 (5.6)</w:t>
            </w:r>
          </w:p>
        </w:tc>
      </w:tr>
      <w:tr w:rsidR="00971732" w:rsidRPr="00793E90" w14:paraId="2B6E0472" w14:textId="77777777" w:rsidTr="00C50FA7">
        <w:trPr>
          <w:trHeight w:val="510"/>
        </w:trPr>
        <w:tc>
          <w:tcPr>
            <w:tcW w:w="3752" w:type="pct"/>
            <w:shd w:val="clear" w:color="auto" w:fill="auto"/>
          </w:tcPr>
          <w:p w14:paraId="1DDF8FE5" w14:textId="5EB96D96" w:rsidR="00971732" w:rsidRPr="00793E90" w:rsidRDefault="00971732" w:rsidP="00971732">
            <w:pPr>
              <w:adjustRightInd w:val="0"/>
              <w:snapToGrid w:val="0"/>
              <w:spacing w:after="0" w:line="360" w:lineRule="auto"/>
              <w:ind w:firstLineChars="50" w:firstLine="120"/>
              <w:jc w:val="both"/>
              <w:rPr>
                <w:rFonts w:ascii="Book Antiqua" w:hAnsi="Book Antiqua"/>
                <w:lang w:val="en-US"/>
              </w:rPr>
            </w:pPr>
            <w:r w:rsidRPr="00793E90">
              <w:rPr>
                <w:rFonts w:ascii="Book Antiqua" w:hAnsi="Book Antiqua"/>
                <w:lang w:val="en-US"/>
              </w:rPr>
              <w:t>Healing cream</w:t>
            </w:r>
          </w:p>
        </w:tc>
        <w:tc>
          <w:tcPr>
            <w:tcW w:w="1248" w:type="pct"/>
            <w:shd w:val="clear" w:color="auto" w:fill="auto"/>
          </w:tcPr>
          <w:p w14:paraId="24A00F0C" w14:textId="68F7D6EE" w:rsidR="00971732" w:rsidRPr="00793E90" w:rsidRDefault="00971732" w:rsidP="00412523">
            <w:pPr>
              <w:adjustRightInd w:val="0"/>
              <w:snapToGrid w:val="0"/>
              <w:spacing w:after="0" w:line="360" w:lineRule="auto"/>
              <w:jc w:val="both"/>
              <w:rPr>
                <w:rFonts w:ascii="Book Antiqua" w:hAnsi="Book Antiqua"/>
                <w:iCs/>
                <w:color w:val="000000"/>
                <w:lang w:val="en-US"/>
              </w:rPr>
            </w:pPr>
            <w:r>
              <w:rPr>
                <w:rFonts w:ascii="Book Antiqua" w:hAnsi="Book Antiqua"/>
                <w:iCs/>
                <w:color w:val="000000"/>
                <w:lang w:val="en-US"/>
              </w:rPr>
              <w:t>1 (5.6)</w:t>
            </w:r>
          </w:p>
        </w:tc>
      </w:tr>
      <w:tr w:rsidR="00D36EC0" w:rsidRPr="00793E90" w14:paraId="7841FA7E" w14:textId="77777777" w:rsidTr="00C50FA7">
        <w:trPr>
          <w:trHeight w:val="510"/>
        </w:trPr>
        <w:tc>
          <w:tcPr>
            <w:tcW w:w="3752" w:type="pct"/>
            <w:shd w:val="clear" w:color="auto" w:fill="auto"/>
          </w:tcPr>
          <w:p w14:paraId="44D06F97" w14:textId="77777777" w:rsidR="00D36EC0" w:rsidRPr="00641D10" w:rsidRDefault="00D36EC0" w:rsidP="00412523">
            <w:pPr>
              <w:adjustRightInd w:val="0"/>
              <w:snapToGrid w:val="0"/>
              <w:spacing w:after="0" w:line="360" w:lineRule="auto"/>
              <w:jc w:val="both"/>
              <w:rPr>
                <w:rFonts w:ascii="Book Antiqua" w:hAnsi="Book Antiqua"/>
                <w:lang w:val="en-US"/>
              </w:rPr>
            </w:pPr>
            <w:r w:rsidRPr="00641D10">
              <w:rPr>
                <w:rFonts w:ascii="Book Antiqua" w:hAnsi="Book Antiqua"/>
                <w:bCs/>
                <w:lang w:val="en-US"/>
              </w:rPr>
              <w:t>Surgical treatment</w:t>
            </w:r>
          </w:p>
        </w:tc>
        <w:tc>
          <w:tcPr>
            <w:tcW w:w="1248" w:type="pct"/>
            <w:shd w:val="clear" w:color="auto" w:fill="auto"/>
          </w:tcPr>
          <w:p w14:paraId="0B55DE68" w14:textId="77777777" w:rsidR="00D36EC0" w:rsidRPr="00793E90" w:rsidRDefault="00D36EC0" w:rsidP="00412523">
            <w:pPr>
              <w:adjustRightInd w:val="0"/>
              <w:snapToGrid w:val="0"/>
              <w:spacing w:after="0" w:line="360" w:lineRule="auto"/>
              <w:jc w:val="both"/>
              <w:rPr>
                <w:rFonts w:ascii="Book Antiqua" w:hAnsi="Book Antiqua"/>
                <w:iCs/>
                <w:color w:val="000000"/>
                <w:lang w:val="en-US"/>
              </w:rPr>
            </w:pPr>
            <w:r w:rsidRPr="00793E90">
              <w:rPr>
                <w:rFonts w:ascii="Book Antiqua" w:hAnsi="Book Antiqua"/>
                <w:iCs/>
                <w:color w:val="000000"/>
                <w:lang w:val="en-US"/>
              </w:rPr>
              <w:t>5 (27.9)</w:t>
            </w:r>
          </w:p>
        </w:tc>
      </w:tr>
      <w:tr w:rsidR="00971732" w:rsidRPr="00793E90" w14:paraId="72B2C70F" w14:textId="77777777" w:rsidTr="00C50FA7">
        <w:trPr>
          <w:trHeight w:val="510"/>
        </w:trPr>
        <w:tc>
          <w:tcPr>
            <w:tcW w:w="3752" w:type="pct"/>
            <w:shd w:val="clear" w:color="auto" w:fill="auto"/>
          </w:tcPr>
          <w:p w14:paraId="70EA62ED" w14:textId="6156EAC8" w:rsidR="00971732" w:rsidRPr="00971732" w:rsidRDefault="00971732" w:rsidP="00971732">
            <w:pPr>
              <w:adjustRightInd w:val="0"/>
              <w:snapToGrid w:val="0"/>
              <w:spacing w:after="0" w:line="360" w:lineRule="auto"/>
              <w:ind w:firstLineChars="50" w:firstLine="120"/>
              <w:jc w:val="both"/>
              <w:rPr>
                <w:rFonts w:ascii="Book Antiqua" w:hAnsi="Book Antiqua"/>
                <w:lang w:val="en-US"/>
              </w:rPr>
            </w:pPr>
            <w:r w:rsidRPr="00793E90">
              <w:rPr>
                <w:rFonts w:ascii="Book Antiqua" w:hAnsi="Book Antiqua"/>
                <w:lang w:val="en-US"/>
              </w:rPr>
              <w:t xml:space="preserve">Electrocoagulation of condyloma  </w:t>
            </w:r>
          </w:p>
        </w:tc>
        <w:tc>
          <w:tcPr>
            <w:tcW w:w="1248" w:type="pct"/>
            <w:shd w:val="clear" w:color="auto" w:fill="auto"/>
          </w:tcPr>
          <w:p w14:paraId="15582C93" w14:textId="00A4F6F3" w:rsidR="00971732" w:rsidRPr="00971732" w:rsidRDefault="00971732" w:rsidP="00412523">
            <w:pPr>
              <w:adjustRightInd w:val="0"/>
              <w:snapToGrid w:val="0"/>
              <w:spacing w:after="0" w:line="360" w:lineRule="auto"/>
              <w:jc w:val="both"/>
              <w:rPr>
                <w:rFonts w:ascii="Book Antiqua" w:eastAsia="等线" w:hAnsi="Book Antiqua"/>
                <w:iCs/>
                <w:color w:val="000000"/>
                <w:lang w:val="en-US" w:eastAsia="zh-CN"/>
              </w:rPr>
            </w:pPr>
            <w:r>
              <w:rPr>
                <w:rFonts w:ascii="Book Antiqua" w:hAnsi="Book Antiqua"/>
                <w:iCs/>
                <w:color w:val="000000"/>
                <w:lang w:val="en-US"/>
              </w:rPr>
              <w:t>1 (5.6)</w:t>
            </w:r>
          </w:p>
        </w:tc>
      </w:tr>
      <w:tr w:rsidR="00971732" w:rsidRPr="00793E90" w14:paraId="401FC708" w14:textId="77777777" w:rsidTr="00C50FA7">
        <w:trPr>
          <w:trHeight w:val="510"/>
        </w:trPr>
        <w:tc>
          <w:tcPr>
            <w:tcW w:w="3752" w:type="pct"/>
            <w:shd w:val="clear" w:color="auto" w:fill="auto"/>
          </w:tcPr>
          <w:p w14:paraId="6D835F2E" w14:textId="76319874" w:rsidR="00971732" w:rsidRPr="00793E90" w:rsidRDefault="00971732" w:rsidP="00971732">
            <w:pPr>
              <w:adjustRightInd w:val="0"/>
              <w:snapToGrid w:val="0"/>
              <w:spacing w:after="0" w:line="360" w:lineRule="auto"/>
              <w:ind w:firstLineChars="50" w:firstLine="120"/>
              <w:jc w:val="both"/>
              <w:rPr>
                <w:rFonts w:ascii="Book Antiqua" w:hAnsi="Book Antiqua"/>
                <w:lang w:val="en-US"/>
              </w:rPr>
            </w:pPr>
            <w:r w:rsidRPr="00793E90">
              <w:rPr>
                <w:rFonts w:ascii="Book Antiqua" w:hAnsi="Book Antiqua"/>
                <w:lang w:val="en-US"/>
              </w:rPr>
              <w:t>Surgery of hemorrhoids</w:t>
            </w:r>
          </w:p>
        </w:tc>
        <w:tc>
          <w:tcPr>
            <w:tcW w:w="1248" w:type="pct"/>
            <w:shd w:val="clear" w:color="auto" w:fill="auto"/>
          </w:tcPr>
          <w:p w14:paraId="63E76BCF" w14:textId="3FEAB568" w:rsidR="00971732" w:rsidRPr="00971732" w:rsidRDefault="00971732" w:rsidP="00412523">
            <w:pPr>
              <w:adjustRightInd w:val="0"/>
              <w:snapToGrid w:val="0"/>
              <w:spacing w:after="0" w:line="360" w:lineRule="auto"/>
              <w:jc w:val="both"/>
              <w:rPr>
                <w:rFonts w:ascii="Book Antiqua" w:eastAsia="等线" w:hAnsi="Book Antiqua"/>
                <w:iCs/>
                <w:color w:val="000000"/>
                <w:lang w:val="en-US" w:eastAsia="zh-CN"/>
              </w:rPr>
            </w:pPr>
            <w:r>
              <w:rPr>
                <w:rFonts w:ascii="Book Antiqua" w:hAnsi="Book Antiqua"/>
                <w:iCs/>
                <w:color w:val="000000"/>
                <w:lang w:val="en-US"/>
              </w:rPr>
              <w:t>2 (11.1)</w:t>
            </w:r>
          </w:p>
        </w:tc>
      </w:tr>
      <w:tr w:rsidR="00971732" w:rsidRPr="00793E90" w14:paraId="09475A22" w14:textId="77777777" w:rsidTr="00C50FA7">
        <w:trPr>
          <w:trHeight w:val="510"/>
        </w:trPr>
        <w:tc>
          <w:tcPr>
            <w:tcW w:w="3752" w:type="pct"/>
            <w:shd w:val="clear" w:color="auto" w:fill="auto"/>
          </w:tcPr>
          <w:p w14:paraId="1E2347CA" w14:textId="4558838D" w:rsidR="00971732" w:rsidRPr="00793E90" w:rsidRDefault="00971732" w:rsidP="00971732">
            <w:pPr>
              <w:adjustRightInd w:val="0"/>
              <w:snapToGrid w:val="0"/>
              <w:spacing w:after="0" w:line="360" w:lineRule="auto"/>
              <w:ind w:firstLineChars="50" w:firstLine="120"/>
              <w:jc w:val="both"/>
              <w:rPr>
                <w:rFonts w:ascii="Book Antiqua" w:hAnsi="Book Antiqua"/>
                <w:lang w:val="en-US"/>
              </w:rPr>
            </w:pPr>
            <w:proofErr w:type="spellStart"/>
            <w:r w:rsidRPr="00793E90">
              <w:rPr>
                <w:rFonts w:ascii="Book Antiqua" w:hAnsi="Book Antiqua"/>
                <w:lang w:val="en-US"/>
              </w:rPr>
              <w:t>Fissurectomy</w:t>
            </w:r>
            <w:proofErr w:type="spellEnd"/>
          </w:p>
        </w:tc>
        <w:tc>
          <w:tcPr>
            <w:tcW w:w="1248" w:type="pct"/>
            <w:shd w:val="clear" w:color="auto" w:fill="auto"/>
          </w:tcPr>
          <w:p w14:paraId="4A85C79B" w14:textId="1CCEDA45" w:rsidR="00971732" w:rsidRPr="00971732" w:rsidRDefault="00971732" w:rsidP="00412523">
            <w:pPr>
              <w:adjustRightInd w:val="0"/>
              <w:snapToGrid w:val="0"/>
              <w:spacing w:after="0" w:line="360" w:lineRule="auto"/>
              <w:jc w:val="both"/>
              <w:rPr>
                <w:rFonts w:ascii="Book Antiqua" w:eastAsia="等线" w:hAnsi="Book Antiqua"/>
                <w:iCs/>
                <w:color w:val="000000"/>
                <w:lang w:val="en-US" w:eastAsia="zh-CN"/>
              </w:rPr>
            </w:pPr>
            <w:r>
              <w:rPr>
                <w:rFonts w:ascii="Book Antiqua" w:hAnsi="Book Antiqua"/>
                <w:iCs/>
                <w:color w:val="000000"/>
                <w:lang w:val="en-US"/>
              </w:rPr>
              <w:t>1 (5.6)</w:t>
            </w:r>
          </w:p>
        </w:tc>
      </w:tr>
      <w:tr w:rsidR="00971732" w:rsidRPr="00793E90" w14:paraId="1E40C9C2" w14:textId="77777777" w:rsidTr="00C50FA7">
        <w:trPr>
          <w:trHeight w:val="510"/>
        </w:trPr>
        <w:tc>
          <w:tcPr>
            <w:tcW w:w="3752" w:type="pct"/>
            <w:shd w:val="clear" w:color="auto" w:fill="auto"/>
          </w:tcPr>
          <w:p w14:paraId="11596F25" w14:textId="678747FF" w:rsidR="00971732" w:rsidRPr="00793E90" w:rsidRDefault="00971732" w:rsidP="00971732">
            <w:pPr>
              <w:adjustRightInd w:val="0"/>
              <w:snapToGrid w:val="0"/>
              <w:spacing w:after="0" w:line="360" w:lineRule="auto"/>
              <w:ind w:firstLineChars="50" w:firstLine="120"/>
              <w:jc w:val="both"/>
              <w:rPr>
                <w:rFonts w:ascii="Book Antiqua" w:hAnsi="Book Antiqua"/>
                <w:lang w:val="en-US"/>
              </w:rPr>
            </w:pPr>
            <w:r w:rsidRPr="00793E90">
              <w:rPr>
                <w:rFonts w:ascii="Book Antiqua" w:hAnsi="Book Antiqua"/>
                <w:lang w:val="en-US"/>
              </w:rPr>
              <w:t xml:space="preserve">Posterior </w:t>
            </w:r>
            <w:proofErr w:type="spellStart"/>
            <w:r w:rsidRPr="00793E90">
              <w:rPr>
                <w:rFonts w:ascii="Book Antiqua" w:hAnsi="Book Antiqua"/>
                <w:lang w:val="en-US"/>
              </w:rPr>
              <w:t>pelvectomy</w:t>
            </w:r>
            <w:proofErr w:type="spellEnd"/>
          </w:p>
        </w:tc>
        <w:tc>
          <w:tcPr>
            <w:tcW w:w="1248" w:type="pct"/>
            <w:shd w:val="clear" w:color="auto" w:fill="auto"/>
          </w:tcPr>
          <w:p w14:paraId="2F099909" w14:textId="541E081E" w:rsidR="00971732" w:rsidRPr="00793E90" w:rsidRDefault="00971732" w:rsidP="00412523">
            <w:pPr>
              <w:adjustRightInd w:val="0"/>
              <w:snapToGrid w:val="0"/>
              <w:spacing w:after="0" w:line="360" w:lineRule="auto"/>
              <w:jc w:val="both"/>
              <w:rPr>
                <w:rFonts w:ascii="Book Antiqua" w:hAnsi="Book Antiqua"/>
                <w:iCs/>
                <w:color w:val="000000"/>
                <w:lang w:val="en-US"/>
              </w:rPr>
            </w:pPr>
            <w:r w:rsidRPr="00793E90">
              <w:rPr>
                <w:rFonts w:ascii="Book Antiqua" w:hAnsi="Book Antiqua"/>
                <w:iCs/>
                <w:color w:val="000000"/>
                <w:lang w:val="en-US"/>
              </w:rPr>
              <w:t>1 (5.6)</w:t>
            </w:r>
          </w:p>
        </w:tc>
      </w:tr>
      <w:tr w:rsidR="00D36EC0" w:rsidRPr="00793E90" w14:paraId="426141CB" w14:textId="77777777" w:rsidTr="00C50FA7">
        <w:trPr>
          <w:trHeight w:val="510"/>
        </w:trPr>
        <w:tc>
          <w:tcPr>
            <w:tcW w:w="3752" w:type="pct"/>
            <w:shd w:val="clear" w:color="auto" w:fill="auto"/>
          </w:tcPr>
          <w:p w14:paraId="4F8B8B7A" w14:textId="77777777" w:rsidR="00D36EC0" w:rsidRPr="00641D10" w:rsidRDefault="00D36EC0" w:rsidP="00412523">
            <w:pPr>
              <w:adjustRightInd w:val="0"/>
              <w:snapToGrid w:val="0"/>
              <w:spacing w:after="0" w:line="360" w:lineRule="auto"/>
              <w:jc w:val="both"/>
              <w:rPr>
                <w:rFonts w:ascii="Book Antiqua" w:hAnsi="Book Antiqua"/>
                <w:lang w:val="en-US"/>
              </w:rPr>
            </w:pPr>
            <w:r w:rsidRPr="00641D10">
              <w:rPr>
                <w:rFonts w:ascii="Book Antiqua" w:hAnsi="Book Antiqua"/>
                <w:bCs/>
                <w:lang w:val="en-US"/>
              </w:rPr>
              <w:t xml:space="preserve">Instrumental and medical treatment </w:t>
            </w:r>
          </w:p>
        </w:tc>
        <w:tc>
          <w:tcPr>
            <w:tcW w:w="1248" w:type="pct"/>
            <w:shd w:val="clear" w:color="auto" w:fill="auto"/>
          </w:tcPr>
          <w:p w14:paraId="377298EB" w14:textId="77777777" w:rsidR="00D36EC0" w:rsidRPr="00793E90" w:rsidRDefault="00D36EC0" w:rsidP="00412523">
            <w:pPr>
              <w:adjustRightInd w:val="0"/>
              <w:snapToGrid w:val="0"/>
              <w:spacing w:after="0" w:line="360" w:lineRule="auto"/>
              <w:jc w:val="both"/>
              <w:rPr>
                <w:rFonts w:ascii="Book Antiqua" w:hAnsi="Book Antiqua"/>
                <w:iCs/>
                <w:color w:val="000000"/>
                <w:lang w:val="en-US"/>
              </w:rPr>
            </w:pPr>
          </w:p>
        </w:tc>
      </w:tr>
      <w:tr w:rsidR="00D36EC0" w:rsidRPr="00793E90" w14:paraId="3C44D595" w14:textId="77777777" w:rsidTr="00C50FA7">
        <w:trPr>
          <w:trHeight w:val="510"/>
        </w:trPr>
        <w:tc>
          <w:tcPr>
            <w:tcW w:w="3752" w:type="pct"/>
            <w:shd w:val="clear" w:color="auto" w:fill="auto"/>
          </w:tcPr>
          <w:p w14:paraId="2825DB18" w14:textId="77777777" w:rsidR="00D36EC0" w:rsidRPr="00641D10" w:rsidRDefault="00D36EC0" w:rsidP="00641D10">
            <w:pPr>
              <w:adjustRightInd w:val="0"/>
              <w:snapToGrid w:val="0"/>
              <w:spacing w:afterLines="67" w:line="360" w:lineRule="auto"/>
              <w:ind w:firstLineChars="50" w:firstLine="120"/>
              <w:jc w:val="both"/>
              <w:rPr>
                <w:rFonts w:ascii="Book Antiqua" w:eastAsia="等线" w:hAnsi="Book Antiqua"/>
                <w:lang w:val="en-US" w:eastAsia="zh-CN"/>
              </w:rPr>
            </w:pPr>
            <w:r w:rsidRPr="00793E90">
              <w:rPr>
                <w:rFonts w:ascii="Book Antiqua" w:hAnsi="Book Antiqua"/>
                <w:lang w:val="en-US"/>
              </w:rPr>
              <w:t>Infrared coagulation and imiquimod</w:t>
            </w:r>
          </w:p>
        </w:tc>
        <w:tc>
          <w:tcPr>
            <w:tcW w:w="1248" w:type="pct"/>
            <w:shd w:val="clear" w:color="auto" w:fill="auto"/>
          </w:tcPr>
          <w:p w14:paraId="4F52F319" w14:textId="77777777" w:rsidR="00D36EC0" w:rsidRPr="00793E90" w:rsidRDefault="00D36EC0" w:rsidP="00412523">
            <w:pPr>
              <w:adjustRightInd w:val="0"/>
              <w:snapToGrid w:val="0"/>
              <w:spacing w:afterLines="67" w:line="360" w:lineRule="auto"/>
              <w:jc w:val="both"/>
              <w:rPr>
                <w:rFonts w:ascii="Book Antiqua" w:hAnsi="Book Antiqua"/>
                <w:i/>
                <w:color w:val="E7E6E6"/>
                <w:lang w:val="en-US"/>
              </w:rPr>
            </w:pPr>
            <w:r w:rsidRPr="00793E90">
              <w:rPr>
                <w:rFonts w:ascii="Book Antiqua" w:hAnsi="Book Antiqua"/>
                <w:iCs/>
                <w:color w:val="000000"/>
                <w:lang w:val="en-US"/>
              </w:rPr>
              <w:t>1 (5.6)</w:t>
            </w:r>
          </w:p>
        </w:tc>
      </w:tr>
      <w:tr w:rsidR="00D36EC0" w:rsidRPr="00793E90" w14:paraId="2AD6BF3B" w14:textId="77777777" w:rsidTr="00C50FA7">
        <w:trPr>
          <w:trHeight w:val="510"/>
        </w:trPr>
        <w:tc>
          <w:tcPr>
            <w:tcW w:w="3752" w:type="pct"/>
            <w:shd w:val="clear" w:color="auto" w:fill="auto"/>
          </w:tcPr>
          <w:p w14:paraId="37C28441" w14:textId="77777777" w:rsidR="00D36EC0" w:rsidRPr="008D284C" w:rsidRDefault="00D36EC0" w:rsidP="00412523">
            <w:pPr>
              <w:adjustRightInd w:val="0"/>
              <w:snapToGrid w:val="0"/>
              <w:spacing w:after="0" w:line="360" w:lineRule="auto"/>
              <w:jc w:val="both"/>
              <w:rPr>
                <w:rFonts w:ascii="Book Antiqua" w:hAnsi="Book Antiqua"/>
                <w:lang w:val="en-US"/>
              </w:rPr>
            </w:pPr>
            <w:r w:rsidRPr="008D284C">
              <w:rPr>
                <w:rFonts w:ascii="Book Antiqua" w:hAnsi="Book Antiqua"/>
                <w:bCs/>
                <w:lang w:val="en-US"/>
              </w:rPr>
              <w:t xml:space="preserve">Endoscopic treatment </w:t>
            </w:r>
          </w:p>
        </w:tc>
        <w:tc>
          <w:tcPr>
            <w:tcW w:w="1248" w:type="pct"/>
            <w:shd w:val="clear" w:color="auto" w:fill="auto"/>
          </w:tcPr>
          <w:p w14:paraId="3C588442" w14:textId="77777777" w:rsidR="00D36EC0" w:rsidRPr="00793E90" w:rsidRDefault="00D36EC0" w:rsidP="00412523">
            <w:pPr>
              <w:adjustRightInd w:val="0"/>
              <w:snapToGrid w:val="0"/>
              <w:spacing w:after="0" w:line="360" w:lineRule="auto"/>
              <w:jc w:val="both"/>
              <w:rPr>
                <w:rFonts w:ascii="Book Antiqua" w:hAnsi="Book Antiqua"/>
                <w:iCs/>
                <w:color w:val="000000"/>
                <w:lang w:val="en-US"/>
              </w:rPr>
            </w:pPr>
          </w:p>
        </w:tc>
      </w:tr>
      <w:tr w:rsidR="00D36EC0" w:rsidRPr="00793E90" w14:paraId="10E910FB" w14:textId="77777777" w:rsidTr="00C50FA7">
        <w:trPr>
          <w:trHeight w:val="510"/>
        </w:trPr>
        <w:tc>
          <w:tcPr>
            <w:tcW w:w="3752" w:type="pct"/>
            <w:tcBorders>
              <w:bottom w:val="single" w:sz="4" w:space="0" w:color="auto"/>
            </w:tcBorders>
            <w:shd w:val="clear" w:color="auto" w:fill="auto"/>
          </w:tcPr>
          <w:p w14:paraId="0B72F974" w14:textId="77777777" w:rsidR="00D36EC0" w:rsidRPr="00793E90" w:rsidRDefault="00D36EC0" w:rsidP="00641D10">
            <w:pPr>
              <w:adjustRightInd w:val="0"/>
              <w:snapToGrid w:val="0"/>
              <w:spacing w:after="0" w:line="360" w:lineRule="auto"/>
              <w:ind w:firstLineChars="50" w:firstLine="120"/>
              <w:jc w:val="both"/>
              <w:rPr>
                <w:rFonts w:ascii="Book Antiqua" w:hAnsi="Book Antiqua"/>
                <w:lang w:val="en-US"/>
              </w:rPr>
            </w:pPr>
            <w:r w:rsidRPr="00793E90">
              <w:rPr>
                <w:rFonts w:ascii="Book Antiqua" w:hAnsi="Book Antiqua"/>
                <w:lang w:val="en-US"/>
              </w:rPr>
              <w:t xml:space="preserve">Hydraulic dilatation </w:t>
            </w:r>
          </w:p>
        </w:tc>
        <w:tc>
          <w:tcPr>
            <w:tcW w:w="1248" w:type="pct"/>
            <w:tcBorders>
              <w:bottom w:val="single" w:sz="4" w:space="0" w:color="auto"/>
            </w:tcBorders>
            <w:shd w:val="clear" w:color="auto" w:fill="auto"/>
          </w:tcPr>
          <w:p w14:paraId="54D88166" w14:textId="77777777" w:rsidR="00D36EC0" w:rsidRPr="00793E90" w:rsidRDefault="00D36EC0" w:rsidP="00412523">
            <w:pPr>
              <w:adjustRightInd w:val="0"/>
              <w:snapToGrid w:val="0"/>
              <w:spacing w:after="0" w:line="360" w:lineRule="auto"/>
              <w:jc w:val="both"/>
              <w:rPr>
                <w:rFonts w:ascii="Book Antiqua" w:hAnsi="Book Antiqua"/>
                <w:i/>
                <w:color w:val="E7E6E6"/>
                <w:lang w:val="en-US"/>
              </w:rPr>
            </w:pPr>
            <w:r w:rsidRPr="00793E90">
              <w:rPr>
                <w:rFonts w:ascii="Book Antiqua" w:hAnsi="Book Antiqua"/>
                <w:iCs/>
                <w:color w:val="000000"/>
                <w:lang w:val="en-US"/>
              </w:rPr>
              <w:t>1 (5.6)</w:t>
            </w:r>
          </w:p>
        </w:tc>
      </w:tr>
      <w:bookmarkEnd w:id="0"/>
    </w:tbl>
    <w:p w14:paraId="0F784F2C" w14:textId="77777777" w:rsidR="000763B5" w:rsidRPr="00793E90" w:rsidRDefault="000763B5" w:rsidP="00793E90">
      <w:pPr>
        <w:adjustRightInd w:val="0"/>
        <w:snapToGrid w:val="0"/>
        <w:spacing w:after="0" w:line="360" w:lineRule="auto"/>
        <w:jc w:val="both"/>
        <w:rPr>
          <w:rFonts w:ascii="Book Antiqua" w:hAnsi="Book Antiqua"/>
          <w:b/>
          <w:lang w:val="en-GB"/>
        </w:rPr>
      </w:pPr>
    </w:p>
    <w:sectPr w:rsidR="000763B5" w:rsidRPr="00793E90">
      <w:footerReference w:type="even"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390A9E" w14:textId="77777777" w:rsidR="00900475" w:rsidRDefault="00900475">
      <w:r>
        <w:separator/>
      </w:r>
    </w:p>
  </w:endnote>
  <w:endnote w:type="continuationSeparator" w:id="0">
    <w:p w14:paraId="3A174BC6" w14:textId="77777777" w:rsidR="00900475" w:rsidRDefault="00900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MS PMincho">
    <w:charset w:val="80"/>
    <w:family w:val="roman"/>
    <w:pitch w:val="variable"/>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Nirmala UI">
    <w:panose1 w:val="020B0502040204020203"/>
    <w:charset w:val="00"/>
    <w:family w:val="swiss"/>
    <w:pitch w:val="variable"/>
    <w:sig w:usb0="80FF8023" w:usb1="0000004A" w:usb2="000002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3C952" w14:textId="77777777" w:rsidR="00397272" w:rsidRDefault="00397272" w:rsidP="00027593">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62D5BB6A" w14:textId="77777777" w:rsidR="00397272" w:rsidRDefault="00397272" w:rsidP="00D80FF4">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25D6B" w14:textId="77777777" w:rsidR="00397272" w:rsidRPr="004F0144" w:rsidRDefault="00397272" w:rsidP="004F0144">
    <w:pPr>
      <w:pStyle w:val="af"/>
      <w:jc w:val="right"/>
      <w:rPr>
        <w:color w:val="000000" w:themeColor="text1"/>
      </w:rPr>
    </w:pPr>
    <w:r w:rsidRPr="004F0144">
      <w:rPr>
        <w:color w:val="000000" w:themeColor="text1"/>
        <w:lang w:val="zh-CN"/>
      </w:rPr>
      <w:t xml:space="preserve"> </w:t>
    </w:r>
    <w:r w:rsidRPr="004F0144">
      <w:rPr>
        <w:color w:val="000000" w:themeColor="text1"/>
      </w:rPr>
      <w:fldChar w:fldCharType="begin"/>
    </w:r>
    <w:r w:rsidRPr="004F0144">
      <w:rPr>
        <w:color w:val="000000" w:themeColor="text1"/>
      </w:rPr>
      <w:instrText>PAGE  \* Arabic  \* MERGEFORMAT</w:instrText>
    </w:r>
    <w:r w:rsidRPr="004F0144">
      <w:rPr>
        <w:color w:val="000000" w:themeColor="text1"/>
      </w:rPr>
      <w:fldChar w:fldCharType="separate"/>
    </w:r>
    <w:r w:rsidR="005557F6" w:rsidRPr="005557F6">
      <w:rPr>
        <w:noProof/>
        <w:color w:val="000000" w:themeColor="text1"/>
        <w:lang w:val="zh-CN"/>
      </w:rPr>
      <w:t>29</w:t>
    </w:r>
    <w:r w:rsidRPr="004F0144">
      <w:rPr>
        <w:color w:val="000000" w:themeColor="text1"/>
      </w:rPr>
      <w:fldChar w:fldCharType="end"/>
    </w:r>
    <w:r w:rsidRPr="004F0144">
      <w:rPr>
        <w:color w:val="000000" w:themeColor="text1"/>
        <w:lang w:val="zh-CN"/>
      </w:rPr>
      <w:t xml:space="preserve"> / </w:t>
    </w:r>
    <w:r w:rsidRPr="004F0144">
      <w:rPr>
        <w:color w:val="000000" w:themeColor="text1"/>
      </w:rPr>
      <w:fldChar w:fldCharType="begin"/>
    </w:r>
    <w:r w:rsidRPr="004F0144">
      <w:rPr>
        <w:color w:val="000000" w:themeColor="text1"/>
      </w:rPr>
      <w:instrText>NUMPAGES  \* Arabic  \* MERGEFORMAT</w:instrText>
    </w:r>
    <w:r w:rsidRPr="004F0144">
      <w:rPr>
        <w:color w:val="000000" w:themeColor="text1"/>
      </w:rPr>
      <w:fldChar w:fldCharType="separate"/>
    </w:r>
    <w:r w:rsidR="005557F6" w:rsidRPr="005557F6">
      <w:rPr>
        <w:noProof/>
        <w:color w:val="000000" w:themeColor="text1"/>
        <w:lang w:val="zh-CN"/>
      </w:rPr>
      <w:t>30</w:t>
    </w:r>
    <w:r w:rsidRPr="004F0144">
      <w:rPr>
        <w:color w:val="000000" w:themeColor="text1"/>
      </w:rPr>
      <w:fldChar w:fldCharType="end"/>
    </w:r>
  </w:p>
  <w:p w14:paraId="71233F04" w14:textId="77777777" w:rsidR="00397272" w:rsidRPr="004F0144" w:rsidRDefault="00397272" w:rsidP="00D80FF4">
    <w:pPr>
      <w:pStyle w:val="af"/>
      <w:ind w:right="360"/>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19AC8B" w14:textId="77777777" w:rsidR="00900475" w:rsidRDefault="00900475">
      <w:r>
        <w:separator/>
      </w:r>
    </w:p>
  </w:footnote>
  <w:footnote w:type="continuationSeparator" w:id="0">
    <w:p w14:paraId="370BD9E4" w14:textId="77777777" w:rsidR="00900475" w:rsidRDefault="009004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7B3E63"/>
    <w:multiLevelType w:val="hybridMultilevel"/>
    <w:tmpl w:val="2B002188"/>
    <w:lvl w:ilvl="0" w:tplc="B1DE22CA">
      <w:start w:val="1"/>
      <w:numFmt w:val="bullet"/>
      <w:lvlText w:val=""/>
      <w:lvlJc w:val="left"/>
      <w:pPr>
        <w:ind w:left="720" w:hanging="360"/>
      </w:pPr>
      <w:rPr>
        <w:rFonts w:ascii="Wingdings" w:hAnsi="Wingdings" w:hint="default"/>
        <w:color w:val="2F549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E656E3"/>
    <w:multiLevelType w:val="hybridMultilevel"/>
    <w:tmpl w:val="2B5CB1C8"/>
    <w:lvl w:ilvl="0" w:tplc="B1DE22CA">
      <w:start w:val="1"/>
      <w:numFmt w:val="bullet"/>
      <w:lvlText w:val=""/>
      <w:lvlJc w:val="left"/>
      <w:pPr>
        <w:ind w:left="720" w:hanging="360"/>
      </w:pPr>
      <w:rPr>
        <w:rFonts w:ascii="Wingdings" w:hAnsi="Wingdings" w:hint="default"/>
        <w:color w:val="2F5496"/>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5B40CC"/>
    <w:multiLevelType w:val="hybridMultilevel"/>
    <w:tmpl w:val="024A0D34"/>
    <w:lvl w:ilvl="0" w:tplc="B1DE22CA">
      <w:start w:val="1"/>
      <w:numFmt w:val="bullet"/>
      <w:lvlText w:val=""/>
      <w:lvlJc w:val="left"/>
      <w:pPr>
        <w:ind w:left="720" w:hanging="360"/>
      </w:pPr>
      <w:rPr>
        <w:rFonts w:ascii="Wingdings" w:hAnsi="Wingdings" w:hint="default"/>
        <w:color w:val="2F5496"/>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637560"/>
    <w:multiLevelType w:val="hybridMultilevel"/>
    <w:tmpl w:val="FEB03B84"/>
    <w:lvl w:ilvl="0" w:tplc="E1E46F48">
      <w:numFmt w:val="bullet"/>
      <w:lvlText w:val="-"/>
      <w:lvlJc w:val="left"/>
      <w:pPr>
        <w:ind w:left="720" w:hanging="360"/>
      </w:pPr>
      <w:rPr>
        <w:rFonts w:ascii="Times New Roman" w:eastAsiaTheme="minorHAnsi" w:hAnsi="Times New Roman" w:cs="Times New Roman" w:hint="default"/>
      </w:rPr>
    </w:lvl>
    <w:lvl w:ilvl="1" w:tplc="B4443F22" w:tentative="1">
      <w:start w:val="1"/>
      <w:numFmt w:val="bullet"/>
      <w:lvlText w:val="o"/>
      <w:lvlJc w:val="left"/>
      <w:pPr>
        <w:ind w:left="1440" w:hanging="360"/>
      </w:pPr>
      <w:rPr>
        <w:rFonts w:ascii="Courier New" w:hAnsi="Courier New" w:cs="Courier New" w:hint="default"/>
      </w:rPr>
    </w:lvl>
    <w:lvl w:ilvl="2" w:tplc="49663466" w:tentative="1">
      <w:start w:val="1"/>
      <w:numFmt w:val="bullet"/>
      <w:lvlText w:val=""/>
      <w:lvlJc w:val="left"/>
      <w:pPr>
        <w:ind w:left="2160" w:hanging="360"/>
      </w:pPr>
      <w:rPr>
        <w:rFonts w:ascii="Wingdings" w:hAnsi="Wingdings" w:hint="default"/>
      </w:rPr>
    </w:lvl>
    <w:lvl w:ilvl="3" w:tplc="B7B062C0" w:tentative="1">
      <w:start w:val="1"/>
      <w:numFmt w:val="bullet"/>
      <w:lvlText w:val=""/>
      <w:lvlJc w:val="left"/>
      <w:pPr>
        <w:ind w:left="2880" w:hanging="360"/>
      </w:pPr>
      <w:rPr>
        <w:rFonts w:ascii="Symbol" w:hAnsi="Symbol" w:hint="default"/>
      </w:rPr>
    </w:lvl>
    <w:lvl w:ilvl="4" w:tplc="E2F805AA" w:tentative="1">
      <w:start w:val="1"/>
      <w:numFmt w:val="bullet"/>
      <w:lvlText w:val="o"/>
      <w:lvlJc w:val="left"/>
      <w:pPr>
        <w:ind w:left="3600" w:hanging="360"/>
      </w:pPr>
      <w:rPr>
        <w:rFonts w:ascii="Courier New" w:hAnsi="Courier New" w:cs="Courier New" w:hint="default"/>
      </w:rPr>
    </w:lvl>
    <w:lvl w:ilvl="5" w:tplc="A18290E6" w:tentative="1">
      <w:start w:val="1"/>
      <w:numFmt w:val="bullet"/>
      <w:lvlText w:val=""/>
      <w:lvlJc w:val="left"/>
      <w:pPr>
        <w:ind w:left="4320" w:hanging="360"/>
      </w:pPr>
      <w:rPr>
        <w:rFonts w:ascii="Wingdings" w:hAnsi="Wingdings" w:hint="default"/>
      </w:rPr>
    </w:lvl>
    <w:lvl w:ilvl="6" w:tplc="6DBC4240" w:tentative="1">
      <w:start w:val="1"/>
      <w:numFmt w:val="bullet"/>
      <w:lvlText w:val=""/>
      <w:lvlJc w:val="left"/>
      <w:pPr>
        <w:ind w:left="5040" w:hanging="360"/>
      </w:pPr>
      <w:rPr>
        <w:rFonts w:ascii="Symbol" w:hAnsi="Symbol" w:hint="default"/>
      </w:rPr>
    </w:lvl>
    <w:lvl w:ilvl="7" w:tplc="DBB0A012" w:tentative="1">
      <w:start w:val="1"/>
      <w:numFmt w:val="bullet"/>
      <w:lvlText w:val="o"/>
      <w:lvlJc w:val="left"/>
      <w:pPr>
        <w:ind w:left="5760" w:hanging="360"/>
      </w:pPr>
      <w:rPr>
        <w:rFonts w:ascii="Courier New" w:hAnsi="Courier New" w:cs="Courier New" w:hint="default"/>
      </w:rPr>
    </w:lvl>
    <w:lvl w:ilvl="8" w:tplc="6508582E" w:tentative="1">
      <w:start w:val="1"/>
      <w:numFmt w:val="bullet"/>
      <w:lvlText w:val=""/>
      <w:lvlJc w:val="left"/>
      <w:pPr>
        <w:ind w:left="6480" w:hanging="360"/>
      </w:pPr>
      <w:rPr>
        <w:rFonts w:ascii="Wingdings" w:hAnsi="Wingdings" w:hint="default"/>
      </w:rPr>
    </w:lvl>
  </w:abstractNum>
  <w:abstractNum w:abstractNumId="5" w15:restartNumberingAfterBreak="0">
    <w:nsid w:val="26455419"/>
    <w:multiLevelType w:val="hybridMultilevel"/>
    <w:tmpl w:val="FE86F312"/>
    <w:lvl w:ilvl="0" w:tplc="B1DE22CA">
      <w:start w:val="1"/>
      <w:numFmt w:val="bullet"/>
      <w:lvlText w:val=""/>
      <w:lvlJc w:val="left"/>
      <w:pPr>
        <w:ind w:left="720" w:hanging="360"/>
      </w:pPr>
      <w:rPr>
        <w:rFonts w:ascii="Wingdings" w:hAnsi="Wingdings" w:hint="default"/>
        <w:color w:val="2F5496"/>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7286A9C"/>
    <w:multiLevelType w:val="hybridMultilevel"/>
    <w:tmpl w:val="486E0588"/>
    <w:lvl w:ilvl="0" w:tplc="B1DE22CA">
      <w:start w:val="1"/>
      <w:numFmt w:val="bullet"/>
      <w:lvlText w:val=""/>
      <w:lvlJc w:val="left"/>
      <w:pPr>
        <w:ind w:left="720" w:hanging="360"/>
      </w:pPr>
      <w:rPr>
        <w:rFonts w:ascii="Wingdings" w:hAnsi="Wingdings" w:hint="default"/>
        <w:color w:val="2F5496"/>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E3076E"/>
    <w:multiLevelType w:val="hybridMultilevel"/>
    <w:tmpl w:val="83667CBA"/>
    <w:lvl w:ilvl="0" w:tplc="54081DEA">
      <w:start w:val="1"/>
      <w:numFmt w:val="upperLetter"/>
      <w:lvlText w:val="%1)"/>
      <w:lvlJc w:val="left"/>
      <w:pPr>
        <w:tabs>
          <w:tab w:val="num" w:pos="720"/>
        </w:tabs>
        <w:ind w:left="720" w:hanging="360"/>
      </w:pPr>
    </w:lvl>
    <w:lvl w:ilvl="1" w:tplc="D974C724" w:tentative="1">
      <w:start w:val="1"/>
      <w:numFmt w:val="upperLetter"/>
      <w:lvlText w:val="%2)"/>
      <w:lvlJc w:val="left"/>
      <w:pPr>
        <w:tabs>
          <w:tab w:val="num" w:pos="1440"/>
        </w:tabs>
        <w:ind w:left="1440" w:hanging="360"/>
      </w:pPr>
    </w:lvl>
    <w:lvl w:ilvl="2" w:tplc="5382F524" w:tentative="1">
      <w:start w:val="1"/>
      <w:numFmt w:val="upperLetter"/>
      <w:lvlText w:val="%3)"/>
      <w:lvlJc w:val="left"/>
      <w:pPr>
        <w:tabs>
          <w:tab w:val="num" w:pos="2160"/>
        </w:tabs>
        <w:ind w:left="2160" w:hanging="360"/>
      </w:pPr>
    </w:lvl>
    <w:lvl w:ilvl="3" w:tplc="F356D7BE" w:tentative="1">
      <w:start w:val="1"/>
      <w:numFmt w:val="upperLetter"/>
      <w:lvlText w:val="%4)"/>
      <w:lvlJc w:val="left"/>
      <w:pPr>
        <w:tabs>
          <w:tab w:val="num" w:pos="2880"/>
        </w:tabs>
        <w:ind w:left="2880" w:hanging="360"/>
      </w:pPr>
    </w:lvl>
    <w:lvl w:ilvl="4" w:tplc="27FA2D7E" w:tentative="1">
      <w:start w:val="1"/>
      <w:numFmt w:val="upperLetter"/>
      <w:lvlText w:val="%5)"/>
      <w:lvlJc w:val="left"/>
      <w:pPr>
        <w:tabs>
          <w:tab w:val="num" w:pos="3600"/>
        </w:tabs>
        <w:ind w:left="3600" w:hanging="360"/>
      </w:pPr>
    </w:lvl>
    <w:lvl w:ilvl="5" w:tplc="AEBC0362" w:tentative="1">
      <w:start w:val="1"/>
      <w:numFmt w:val="upperLetter"/>
      <w:lvlText w:val="%6)"/>
      <w:lvlJc w:val="left"/>
      <w:pPr>
        <w:tabs>
          <w:tab w:val="num" w:pos="4320"/>
        </w:tabs>
        <w:ind w:left="4320" w:hanging="360"/>
      </w:pPr>
    </w:lvl>
    <w:lvl w:ilvl="6" w:tplc="1B68DF54" w:tentative="1">
      <w:start w:val="1"/>
      <w:numFmt w:val="upperLetter"/>
      <w:lvlText w:val="%7)"/>
      <w:lvlJc w:val="left"/>
      <w:pPr>
        <w:tabs>
          <w:tab w:val="num" w:pos="5040"/>
        </w:tabs>
        <w:ind w:left="5040" w:hanging="360"/>
      </w:pPr>
    </w:lvl>
    <w:lvl w:ilvl="7" w:tplc="32508666" w:tentative="1">
      <w:start w:val="1"/>
      <w:numFmt w:val="upperLetter"/>
      <w:lvlText w:val="%8)"/>
      <w:lvlJc w:val="left"/>
      <w:pPr>
        <w:tabs>
          <w:tab w:val="num" w:pos="5760"/>
        </w:tabs>
        <w:ind w:left="5760" w:hanging="360"/>
      </w:pPr>
    </w:lvl>
    <w:lvl w:ilvl="8" w:tplc="7502728A" w:tentative="1">
      <w:start w:val="1"/>
      <w:numFmt w:val="upperLetter"/>
      <w:lvlText w:val="%9)"/>
      <w:lvlJc w:val="left"/>
      <w:pPr>
        <w:tabs>
          <w:tab w:val="num" w:pos="6480"/>
        </w:tabs>
        <w:ind w:left="6480" w:hanging="360"/>
      </w:pPr>
    </w:lvl>
  </w:abstractNum>
  <w:abstractNum w:abstractNumId="8" w15:restartNumberingAfterBreak="0">
    <w:nsid w:val="3A255564"/>
    <w:multiLevelType w:val="hybridMultilevel"/>
    <w:tmpl w:val="4ECA13A2"/>
    <w:lvl w:ilvl="0" w:tplc="9800E2A6">
      <w:numFmt w:val="bullet"/>
      <w:lvlText w:val=""/>
      <w:lvlJc w:val="left"/>
      <w:pPr>
        <w:ind w:left="1068" w:hanging="360"/>
      </w:pPr>
      <w:rPr>
        <w:rFonts w:ascii="Wingdings" w:eastAsiaTheme="minorHAnsi" w:hAnsi="Wingdings" w:cs="Times New Roman" w:hint="default"/>
      </w:rPr>
    </w:lvl>
    <w:lvl w:ilvl="1" w:tplc="A022E760" w:tentative="1">
      <w:start w:val="1"/>
      <w:numFmt w:val="bullet"/>
      <w:lvlText w:val="o"/>
      <w:lvlJc w:val="left"/>
      <w:pPr>
        <w:ind w:left="1788" w:hanging="360"/>
      </w:pPr>
      <w:rPr>
        <w:rFonts w:ascii="Courier New" w:hAnsi="Courier New" w:cs="Courier New" w:hint="default"/>
      </w:rPr>
    </w:lvl>
    <w:lvl w:ilvl="2" w:tplc="F1F86E4E" w:tentative="1">
      <w:start w:val="1"/>
      <w:numFmt w:val="bullet"/>
      <w:lvlText w:val=""/>
      <w:lvlJc w:val="left"/>
      <w:pPr>
        <w:ind w:left="2508" w:hanging="360"/>
      </w:pPr>
      <w:rPr>
        <w:rFonts w:ascii="Wingdings" w:hAnsi="Wingdings" w:hint="default"/>
      </w:rPr>
    </w:lvl>
    <w:lvl w:ilvl="3" w:tplc="0652F0CE" w:tentative="1">
      <w:start w:val="1"/>
      <w:numFmt w:val="bullet"/>
      <w:lvlText w:val=""/>
      <w:lvlJc w:val="left"/>
      <w:pPr>
        <w:ind w:left="3228" w:hanging="360"/>
      </w:pPr>
      <w:rPr>
        <w:rFonts w:ascii="Symbol" w:hAnsi="Symbol" w:hint="default"/>
      </w:rPr>
    </w:lvl>
    <w:lvl w:ilvl="4" w:tplc="BB96E614" w:tentative="1">
      <w:start w:val="1"/>
      <w:numFmt w:val="bullet"/>
      <w:lvlText w:val="o"/>
      <w:lvlJc w:val="left"/>
      <w:pPr>
        <w:ind w:left="3948" w:hanging="360"/>
      </w:pPr>
      <w:rPr>
        <w:rFonts w:ascii="Courier New" w:hAnsi="Courier New" w:cs="Courier New" w:hint="default"/>
      </w:rPr>
    </w:lvl>
    <w:lvl w:ilvl="5" w:tplc="43F680BC" w:tentative="1">
      <w:start w:val="1"/>
      <w:numFmt w:val="bullet"/>
      <w:lvlText w:val=""/>
      <w:lvlJc w:val="left"/>
      <w:pPr>
        <w:ind w:left="4668" w:hanging="360"/>
      </w:pPr>
      <w:rPr>
        <w:rFonts w:ascii="Wingdings" w:hAnsi="Wingdings" w:hint="default"/>
      </w:rPr>
    </w:lvl>
    <w:lvl w:ilvl="6" w:tplc="4A507058" w:tentative="1">
      <w:start w:val="1"/>
      <w:numFmt w:val="bullet"/>
      <w:lvlText w:val=""/>
      <w:lvlJc w:val="left"/>
      <w:pPr>
        <w:ind w:left="5388" w:hanging="360"/>
      </w:pPr>
      <w:rPr>
        <w:rFonts w:ascii="Symbol" w:hAnsi="Symbol" w:hint="default"/>
      </w:rPr>
    </w:lvl>
    <w:lvl w:ilvl="7" w:tplc="4D88DF0C" w:tentative="1">
      <w:start w:val="1"/>
      <w:numFmt w:val="bullet"/>
      <w:lvlText w:val="o"/>
      <w:lvlJc w:val="left"/>
      <w:pPr>
        <w:ind w:left="6108" w:hanging="360"/>
      </w:pPr>
      <w:rPr>
        <w:rFonts w:ascii="Courier New" w:hAnsi="Courier New" w:cs="Courier New" w:hint="default"/>
      </w:rPr>
    </w:lvl>
    <w:lvl w:ilvl="8" w:tplc="6F581CCC" w:tentative="1">
      <w:start w:val="1"/>
      <w:numFmt w:val="bullet"/>
      <w:lvlText w:val=""/>
      <w:lvlJc w:val="left"/>
      <w:pPr>
        <w:ind w:left="6828" w:hanging="360"/>
      </w:pPr>
      <w:rPr>
        <w:rFonts w:ascii="Wingdings" w:hAnsi="Wingdings" w:hint="default"/>
      </w:rPr>
    </w:lvl>
  </w:abstractNum>
  <w:abstractNum w:abstractNumId="9" w15:restartNumberingAfterBreak="0">
    <w:nsid w:val="4D1445FB"/>
    <w:multiLevelType w:val="hybridMultilevel"/>
    <w:tmpl w:val="D476634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554A4184"/>
    <w:multiLevelType w:val="hybridMultilevel"/>
    <w:tmpl w:val="5290EB9A"/>
    <w:lvl w:ilvl="0" w:tplc="B1DE22CA">
      <w:start w:val="1"/>
      <w:numFmt w:val="bullet"/>
      <w:lvlText w:val=""/>
      <w:lvlJc w:val="left"/>
      <w:pPr>
        <w:ind w:left="720" w:hanging="360"/>
      </w:pPr>
      <w:rPr>
        <w:rFonts w:ascii="Wingdings" w:hAnsi="Wingdings" w:hint="default"/>
        <w:color w:val="2F5496"/>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8335C59"/>
    <w:multiLevelType w:val="hybridMultilevel"/>
    <w:tmpl w:val="065E8CE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5A5548D9"/>
    <w:multiLevelType w:val="hybridMultilevel"/>
    <w:tmpl w:val="D8A6FFCC"/>
    <w:lvl w:ilvl="0" w:tplc="FAF2CB50">
      <w:start w:val="1"/>
      <w:numFmt w:val="decimal"/>
      <w:lvlText w:val="%1."/>
      <w:lvlJc w:val="left"/>
      <w:pPr>
        <w:ind w:left="502" w:hanging="360"/>
      </w:pPr>
      <w:rPr>
        <w:rFonts w:hint="default"/>
      </w:rPr>
    </w:lvl>
    <w:lvl w:ilvl="1" w:tplc="447497B8" w:tentative="1">
      <w:start w:val="1"/>
      <w:numFmt w:val="lowerLetter"/>
      <w:lvlText w:val="%2."/>
      <w:lvlJc w:val="left"/>
      <w:pPr>
        <w:ind w:left="1080" w:hanging="360"/>
      </w:pPr>
    </w:lvl>
    <w:lvl w:ilvl="2" w:tplc="DDF49D0E" w:tentative="1">
      <w:start w:val="1"/>
      <w:numFmt w:val="lowerRoman"/>
      <w:lvlText w:val="%3."/>
      <w:lvlJc w:val="right"/>
      <w:pPr>
        <w:ind w:left="1800" w:hanging="180"/>
      </w:pPr>
    </w:lvl>
    <w:lvl w:ilvl="3" w:tplc="C504D2A0" w:tentative="1">
      <w:start w:val="1"/>
      <w:numFmt w:val="decimal"/>
      <w:lvlText w:val="%4."/>
      <w:lvlJc w:val="left"/>
      <w:pPr>
        <w:ind w:left="2520" w:hanging="360"/>
      </w:pPr>
    </w:lvl>
    <w:lvl w:ilvl="4" w:tplc="C1B84F32" w:tentative="1">
      <w:start w:val="1"/>
      <w:numFmt w:val="lowerLetter"/>
      <w:lvlText w:val="%5."/>
      <w:lvlJc w:val="left"/>
      <w:pPr>
        <w:ind w:left="3240" w:hanging="360"/>
      </w:pPr>
    </w:lvl>
    <w:lvl w:ilvl="5" w:tplc="86E0A8B4" w:tentative="1">
      <w:start w:val="1"/>
      <w:numFmt w:val="lowerRoman"/>
      <w:lvlText w:val="%6."/>
      <w:lvlJc w:val="right"/>
      <w:pPr>
        <w:ind w:left="3960" w:hanging="180"/>
      </w:pPr>
    </w:lvl>
    <w:lvl w:ilvl="6" w:tplc="B0F435A4" w:tentative="1">
      <w:start w:val="1"/>
      <w:numFmt w:val="decimal"/>
      <w:lvlText w:val="%7."/>
      <w:lvlJc w:val="left"/>
      <w:pPr>
        <w:ind w:left="4680" w:hanging="360"/>
      </w:pPr>
    </w:lvl>
    <w:lvl w:ilvl="7" w:tplc="54407702" w:tentative="1">
      <w:start w:val="1"/>
      <w:numFmt w:val="lowerLetter"/>
      <w:lvlText w:val="%8."/>
      <w:lvlJc w:val="left"/>
      <w:pPr>
        <w:ind w:left="5400" w:hanging="360"/>
      </w:pPr>
    </w:lvl>
    <w:lvl w:ilvl="8" w:tplc="0FC07654" w:tentative="1">
      <w:start w:val="1"/>
      <w:numFmt w:val="lowerRoman"/>
      <w:lvlText w:val="%9."/>
      <w:lvlJc w:val="right"/>
      <w:pPr>
        <w:ind w:left="6120" w:hanging="180"/>
      </w:pPr>
    </w:lvl>
  </w:abstractNum>
  <w:abstractNum w:abstractNumId="13" w15:restartNumberingAfterBreak="0">
    <w:nsid w:val="637E285E"/>
    <w:multiLevelType w:val="hybridMultilevel"/>
    <w:tmpl w:val="E222E950"/>
    <w:lvl w:ilvl="0" w:tplc="B1DE22CA">
      <w:start w:val="1"/>
      <w:numFmt w:val="bullet"/>
      <w:lvlText w:val=""/>
      <w:lvlJc w:val="left"/>
      <w:pPr>
        <w:ind w:left="1080" w:hanging="360"/>
      </w:pPr>
      <w:rPr>
        <w:rFonts w:ascii="Wingdings" w:hAnsi="Wingdings" w:hint="default"/>
        <w:color w:val="2F5496"/>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6480437D"/>
    <w:multiLevelType w:val="hybridMultilevel"/>
    <w:tmpl w:val="CDD4C3A0"/>
    <w:lvl w:ilvl="0" w:tplc="B1DE22CA">
      <w:start w:val="1"/>
      <w:numFmt w:val="bullet"/>
      <w:lvlText w:val=""/>
      <w:lvlJc w:val="left"/>
      <w:pPr>
        <w:ind w:left="720" w:hanging="360"/>
      </w:pPr>
      <w:rPr>
        <w:rFonts w:ascii="Wingdings" w:hAnsi="Wingdings" w:hint="default"/>
        <w:color w:val="2F5496"/>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7587057"/>
    <w:multiLevelType w:val="hybridMultilevel"/>
    <w:tmpl w:val="6A34A3D0"/>
    <w:lvl w:ilvl="0" w:tplc="B1DE22CA">
      <w:start w:val="1"/>
      <w:numFmt w:val="bullet"/>
      <w:lvlText w:val=""/>
      <w:lvlJc w:val="left"/>
      <w:pPr>
        <w:ind w:left="720" w:hanging="360"/>
      </w:pPr>
      <w:rPr>
        <w:rFonts w:ascii="Wingdings" w:hAnsi="Wingdings" w:hint="default"/>
        <w:color w:val="2F5496"/>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8"/>
  </w:num>
  <w:num w:numId="4">
    <w:abstractNumId w:val="0"/>
  </w:num>
  <w:num w:numId="5">
    <w:abstractNumId w:val="7"/>
  </w:num>
  <w:num w:numId="6">
    <w:abstractNumId w:val="13"/>
  </w:num>
  <w:num w:numId="7">
    <w:abstractNumId w:val="15"/>
  </w:num>
  <w:num w:numId="8">
    <w:abstractNumId w:val="14"/>
  </w:num>
  <w:num w:numId="9">
    <w:abstractNumId w:val="3"/>
  </w:num>
  <w:num w:numId="10">
    <w:abstractNumId w:val="6"/>
  </w:num>
  <w:num w:numId="11">
    <w:abstractNumId w:val="2"/>
  </w:num>
  <w:num w:numId="12">
    <w:abstractNumId w:val="5"/>
  </w:num>
  <w:num w:numId="13">
    <w:abstractNumId w:val="1"/>
  </w:num>
  <w:num w:numId="14">
    <w:abstractNumId w:val="10"/>
  </w:num>
  <w:num w:numId="15">
    <w:abstractNumId w:val="9"/>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hineID" w:val="207|207|197|185|203|197|199|187|197|187|185|197|204|207|197|201|204|"/>
    <w:docVar w:name="Username" w:val="Editor"/>
  </w:docVars>
  <w:rsids>
    <w:rsidRoot w:val="00B665C7"/>
    <w:rsid w:val="00001F1A"/>
    <w:rsid w:val="00003DFF"/>
    <w:rsid w:val="0001325D"/>
    <w:rsid w:val="00013E4A"/>
    <w:rsid w:val="00020480"/>
    <w:rsid w:val="000215BB"/>
    <w:rsid w:val="00021CB3"/>
    <w:rsid w:val="00022193"/>
    <w:rsid w:val="00022E62"/>
    <w:rsid w:val="00027593"/>
    <w:rsid w:val="0003027E"/>
    <w:rsid w:val="000323C5"/>
    <w:rsid w:val="00035337"/>
    <w:rsid w:val="00035477"/>
    <w:rsid w:val="0003779E"/>
    <w:rsid w:val="000478D7"/>
    <w:rsid w:val="0005356D"/>
    <w:rsid w:val="00056D3A"/>
    <w:rsid w:val="00062EBA"/>
    <w:rsid w:val="00062FD4"/>
    <w:rsid w:val="00067E24"/>
    <w:rsid w:val="000725DF"/>
    <w:rsid w:val="00073400"/>
    <w:rsid w:val="000763B5"/>
    <w:rsid w:val="000838A4"/>
    <w:rsid w:val="00083A07"/>
    <w:rsid w:val="00086091"/>
    <w:rsid w:val="00090A3E"/>
    <w:rsid w:val="00092A47"/>
    <w:rsid w:val="000950C2"/>
    <w:rsid w:val="0009566E"/>
    <w:rsid w:val="000A045D"/>
    <w:rsid w:val="000A0A69"/>
    <w:rsid w:val="000A3013"/>
    <w:rsid w:val="000A5533"/>
    <w:rsid w:val="000A5941"/>
    <w:rsid w:val="000B4422"/>
    <w:rsid w:val="000B4FE2"/>
    <w:rsid w:val="000B5562"/>
    <w:rsid w:val="000B5F47"/>
    <w:rsid w:val="000B64F9"/>
    <w:rsid w:val="000C6290"/>
    <w:rsid w:val="000C786D"/>
    <w:rsid w:val="000D0D7B"/>
    <w:rsid w:val="000D140E"/>
    <w:rsid w:val="000D1F77"/>
    <w:rsid w:val="000D2E1E"/>
    <w:rsid w:val="000D2E4A"/>
    <w:rsid w:val="000D62A4"/>
    <w:rsid w:val="000D7D1F"/>
    <w:rsid w:val="000E3215"/>
    <w:rsid w:val="000E55ED"/>
    <w:rsid w:val="000E6638"/>
    <w:rsid w:val="000E6917"/>
    <w:rsid w:val="000E794F"/>
    <w:rsid w:val="000F1DFB"/>
    <w:rsid w:val="000F2D24"/>
    <w:rsid w:val="000F3AF6"/>
    <w:rsid w:val="000F3F5C"/>
    <w:rsid w:val="000F4406"/>
    <w:rsid w:val="000F7A30"/>
    <w:rsid w:val="00100DE6"/>
    <w:rsid w:val="00101000"/>
    <w:rsid w:val="001033FE"/>
    <w:rsid w:val="00110648"/>
    <w:rsid w:val="00110B22"/>
    <w:rsid w:val="00111E36"/>
    <w:rsid w:val="00117B7F"/>
    <w:rsid w:val="001205BC"/>
    <w:rsid w:val="001220C4"/>
    <w:rsid w:val="0012358F"/>
    <w:rsid w:val="00124D7A"/>
    <w:rsid w:val="0012584F"/>
    <w:rsid w:val="00127F9F"/>
    <w:rsid w:val="00131DBE"/>
    <w:rsid w:val="001324D2"/>
    <w:rsid w:val="00132519"/>
    <w:rsid w:val="00132609"/>
    <w:rsid w:val="001350D5"/>
    <w:rsid w:val="001419D2"/>
    <w:rsid w:val="001429DF"/>
    <w:rsid w:val="00142A1D"/>
    <w:rsid w:val="001459DD"/>
    <w:rsid w:val="00146BCD"/>
    <w:rsid w:val="00155AE0"/>
    <w:rsid w:val="0016439B"/>
    <w:rsid w:val="00165665"/>
    <w:rsid w:val="00172868"/>
    <w:rsid w:val="00173CEC"/>
    <w:rsid w:val="001750F8"/>
    <w:rsid w:val="001767B1"/>
    <w:rsid w:val="001773C9"/>
    <w:rsid w:val="001777A3"/>
    <w:rsid w:val="0018229E"/>
    <w:rsid w:val="00183C7A"/>
    <w:rsid w:val="001907A7"/>
    <w:rsid w:val="00190B61"/>
    <w:rsid w:val="001927AB"/>
    <w:rsid w:val="001931A5"/>
    <w:rsid w:val="00195277"/>
    <w:rsid w:val="00196B9E"/>
    <w:rsid w:val="001A0A66"/>
    <w:rsid w:val="001A2AB8"/>
    <w:rsid w:val="001A79BC"/>
    <w:rsid w:val="001A7BD7"/>
    <w:rsid w:val="001B1248"/>
    <w:rsid w:val="001B333B"/>
    <w:rsid w:val="001B410C"/>
    <w:rsid w:val="001B543D"/>
    <w:rsid w:val="001B65D5"/>
    <w:rsid w:val="001B7124"/>
    <w:rsid w:val="001B7AE2"/>
    <w:rsid w:val="001C03E1"/>
    <w:rsid w:val="001C1179"/>
    <w:rsid w:val="001C7B51"/>
    <w:rsid w:val="001D03F6"/>
    <w:rsid w:val="001D3687"/>
    <w:rsid w:val="001E4996"/>
    <w:rsid w:val="001F04C8"/>
    <w:rsid w:val="001F34F5"/>
    <w:rsid w:val="001F7A8E"/>
    <w:rsid w:val="002002B4"/>
    <w:rsid w:val="00204369"/>
    <w:rsid w:val="00207B5A"/>
    <w:rsid w:val="00211AE1"/>
    <w:rsid w:val="0021530E"/>
    <w:rsid w:val="00215F27"/>
    <w:rsid w:val="00220585"/>
    <w:rsid w:val="002231F4"/>
    <w:rsid w:val="002242B8"/>
    <w:rsid w:val="00224A52"/>
    <w:rsid w:val="002257F3"/>
    <w:rsid w:val="00225D84"/>
    <w:rsid w:val="00226336"/>
    <w:rsid w:val="00226BBD"/>
    <w:rsid w:val="0024362C"/>
    <w:rsid w:val="00246528"/>
    <w:rsid w:val="00247179"/>
    <w:rsid w:val="00253330"/>
    <w:rsid w:val="00256ADE"/>
    <w:rsid w:val="00265FB7"/>
    <w:rsid w:val="0027090D"/>
    <w:rsid w:val="002724DA"/>
    <w:rsid w:val="00272B1D"/>
    <w:rsid w:val="00275019"/>
    <w:rsid w:val="002768B6"/>
    <w:rsid w:val="00277FB7"/>
    <w:rsid w:val="00281927"/>
    <w:rsid w:val="00282B44"/>
    <w:rsid w:val="00284BD3"/>
    <w:rsid w:val="00285AC8"/>
    <w:rsid w:val="0029005A"/>
    <w:rsid w:val="00292087"/>
    <w:rsid w:val="00294134"/>
    <w:rsid w:val="002A20D7"/>
    <w:rsid w:val="002A2E0C"/>
    <w:rsid w:val="002A342B"/>
    <w:rsid w:val="002A5105"/>
    <w:rsid w:val="002B0DB7"/>
    <w:rsid w:val="002B1FB6"/>
    <w:rsid w:val="002B347F"/>
    <w:rsid w:val="002B54C0"/>
    <w:rsid w:val="002B5A1F"/>
    <w:rsid w:val="002C0478"/>
    <w:rsid w:val="002C236A"/>
    <w:rsid w:val="002C3069"/>
    <w:rsid w:val="002C3921"/>
    <w:rsid w:val="002E15C5"/>
    <w:rsid w:val="002E260A"/>
    <w:rsid w:val="002E5BC3"/>
    <w:rsid w:val="002F07C8"/>
    <w:rsid w:val="002F14CE"/>
    <w:rsid w:val="002F295B"/>
    <w:rsid w:val="00304E13"/>
    <w:rsid w:val="00307EBF"/>
    <w:rsid w:val="00317E3D"/>
    <w:rsid w:val="00330262"/>
    <w:rsid w:val="0034079C"/>
    <w:rsid w:val="00346C97"/>
    <w:rsid w:val="00354E5D"/>
    <w:rsid w:val="003571E0"/>
    <w:rsid w:val="003641DD"/>
    <w:rsid w:val="0036755E"/>
    <w:rsid w:val="00371457"/>
    <w:rsid w:val="0037387B"/>
    <w:rsid w:val="00374FE0"/>
    <w:rsid w:val="003764F4"/>
    <w:rsid w:val="00382901"/>
    <w:rsid w:val="00382A01"/>
    <w:rsid w:val="00384607"/>
    <w:rsid w:val="00385126"/>
    <w:rsid w:val="003912B3"/>
    <w:rsid w:val="00397272"/>
    <w:rsid w:val="003A031B"/>
    <w:rsid w:val="003A27EC"/>
    <w:rsid w:val="003A2A6E"/>
    <w:rsid w:val="003A4F59"/>
    <w:rsid w:val="003B3E7F"/>
    <w:rsid w:val="003B6406"/>
    <w:rsid w:val="003B6D55"/>
    <w:rsid w:val="003C634B"/>
    <w:rsid w:val="003C7124"/>
    <w:rsid w:val="003D27DC"/>
    <w:rsid w:val="003E07F7"/>
    <w:rsid w:val="003E396F"/>
    <w:rsid w:val="003E58A2"/>
    <w:rsid w:val="003F0761"/>
    <w:rsid w:val="003F15EF"/>
    <w:rsid w:val="003F6743"/>
    <w:rsid w:val="00400216"/>
    <w:rsid w:val="0040057F"/>
    <w:rsid w:val="004028B7"/>
    <w:rsid w:val="00404047"/>
    <w:rsid w:val="00406BE2"/>
    <w:rsid w:val="004079B4"/>
    <w:rsid w:val="00412438"/>
    <w:rsid w:val="00416452"/>
    <w:rsid w:val="00421368"/>
    <w:rsid w:val="0042223D"/>
    <w:rsid w:val="00423A1F"/>
    <w:rsid w:val="00423A40"/>
    <w:rsid w:val="004258E7"/>
    <w:rsid w:val="00426675"/>
    <w:rsid w:val="00426938"/>
    <w:rsid w:val="00426DFB"/>
    <w:rsid w:val="00430031"/>
    <w:rsid w:val="00432DA5"/>
    <w:rsid w:val="0043579D"/>
    <w:rsid w:val="004364F1"/>
    <w:rsid w:val="00436B5A"/>
    <w:rsid w:val="00437E33"/>
    <w:rsid w:val="004464A9"/>
    <w:rsid w:val="00450E3D"/>
    <w:rsid w:val="00456D97"/>
    <w:rsid w:val="004573D2"/>
    <w:rsid w:val="004615B8"/>
    <w:rsid w:val="00463259"/>
    <w:rsid w:val="00464D9E"/>
    <w:rsid w:val="00466014"/>
    <w:rsid w:val="00472D43"/>
    <w:rsid w:val="0048049E"/>
    <w:rsid w:val="0048254E"/>
    <w:rsid w:val="00487FE5"/>
    <w:rsid w:val="0049000A"/>
    <w:rsid w:val="004965F6"/>
    <w:rsid w:val="004A5028"/>
    <w:rsid w:val="004B2BEC"/>
    <w:rsid w:val="004B3C4E"/>
    <w:rsid w:val="004B4D85"/>
    <w:rsid w:val="004B5BC3"/>
    <w:rsid w:val="004B7E72"/>
    <w:rsid w:val="004C6C4D"/>
    <w:rsid w:val="004C733F"/>
    <w:rsid w:val="004D00FE"/>
    <w:rsid w:val="004D0E7C"/>
    <w:rsid w:val="004D7327"/>
    <w:rsid w:val="004E61CF"/>
    <w:rsid w:val="004E6218"/>
    <w:rsid w:val="004F0144"/>
    <w:rsid w:val="004F03A2"/>
    <w:rsid w:val="004F1C42"/>
    <w:rsid w:val="004F2F33"/>
    <w:rsid w:val="004F314D"/>
    <w:rsid w:val="004F4015"/>
    <w:rsid w:val="004F6DCD"/>
    <w:rsid w:val="00501C6C"/>
    <w:rsid w:val="0050211B"/>
    <w:rsid w:val="00502A88"/>
    <w:rsid w:val="00502CDD"/>
    <w:rsid w:val="0050774F"/>
    <w:rsid w:val="00510B4C"/>
    <w:rsid w:val="00511B15"/>
    <w:rsid w:val="00513167"/>
    <w:rsid w:val="0051376C"/>
    <w:rsid w:val="005171FD"/>
    <w:rsid w:val="00517896"/>
    <w:rsid w:val="005245CD"/>
    <w:rsid w:val="005257D0"/>
    <w:rsid w:val="0053199A"/>
    <w:rsid w:val="00535D88"/>
    <w:rsid w:val="00536CAC"/>
    <w:rsid w:val="005409EB"/>
    <w:rsid w:val="00540DE1"/>
    <w:rsid w:val="0054393E"/>
    <w:rsid w:val="0054607F"/>
    <w:rsid w:val="005557F6"/>
    <w:rsid w:val="00561310"/>
    <w:rsid w:val="00562EB2"/>
    <w:rsid w:val="00567EF4"/>
    <w:rsid w:val="00573E4F"/>
    <w:rsid w:val="0057765D"/>
    <w:rsid w:val="005802A9"/>
    <w:rsid w:val="0058052B"/>
    <w:rsid w:val="005830BC"/>
    <w:rsid w:val="0058643E"/>
    <w:rsid w:val="005A0AED"/>
    <w:rsid w:val="005A49A0"/>
    <w:rsid w:val="005A7395"/>
    <w:rsid w:val="005B4E52"/>
    <w:rsid w:val="005B5AFB"/>
    <w:rsid w:val="005B6570"/>
    <w:rsid w:val="005C47BC"/>
    <w:rsid w:val="005C4954"/>
    <w:rsid w:val="005C5797"/>
    <w:rsid w:val="005D71BB"/>
    <w:rsid w:val="005E02E9"/>
    <w:rsid w:val="005E4657"/>
    <w:rsid w:val="005E4A16"/>
    <w:rsid w:val="005F1A1C"/>
    <w:rsid w:val="005F4AD9"/>
    <w:rsid w:val="00606706"/>
    <w:rsid w:val="00611112"/>
    <w:rsid w:val="00611D93"/>
    <w:rsid w:val="00612E43"/>
    <w:rsid w:val="006178ED"/>
    <w:rsid w:val="006254EE"/>
    <w:rsid w:val="006279D0"/>
    <w:rsid w:val="00636D53"/>
    <w:rsid w:val="00641D10"/>
    <w:rsid w:val="00642D6D"/>
    <w:rsid w:val="00645EB9"/>
    <w:rsid w:val="0064608C"/>
    <w:rsid w:val="00647083"/>
    <w:rsid w:val="00651438"/>
    <w:rsid w:val="006550DC"/>
    <w:rsid w:val="00655265"/>
    <w:rsid w:val="00656E5D"/>
    <w:rsid w:val="00661023"/>
    <w:rsid w:val="006633B7"/>
    <w:rsid w:val="0067201C"/>
    <w:rsid w:val="00674D32"/>
    <w:rsid w:val="006752FC"/>
    <w:rsid w:val="0067726F"/>
    <w:rsid w:val="0068142C"/>
    <w:rsid w:val="006875AA"/>
    <w:rsid w:val="00687F2A"/>
    <w:rsid w:val="00690153"/>
    <w:rsid w:val="006947B4"/>
    <w:rsid w:val="006959B4"/>
    <w:rsid w:val="006A0A3A"/>
    <w:rsid w:val="006A10C1"/>
    <w:rsid w:val="006A2C2B"/>
    <w:rsid w:val="006A5B0F"/>
    <w:rsid w:val="006A607D"/>
    <w:rsid w:val="006B1408"/>
    <w:rsid w:val="006B3723"/>
    <w:rsid w:val="006B5E77"/>
    <w:rsid w:val="006B7659"/>
    <w:rsid w:val="006C58E8"/>
    <w:rsid w:val="006C6B45"/>
    <w:rsid w:val="006D0A6D"/>
    <w:rsid w:val="006D4D02"/>
    <w:rsid w:val="006D4F0C"/>
    <w:rsid w:val="006D61B2"/>
    <w:rsid w:val="006E32F6"/>
    <w:rsid w:val="006E3785"/>
    <w:rsid w:val="006E4FEE"/>
    <w:rsid w:val="006E7621"/>
    <w:rsid w:val="006F080B"/>
    <w:rsid w:val="006F3742"/>
    <w:rsid w:val="006F637A"/>
    <w:rsid w:val="006F7188"/>
    <w:rsid w:val="00700C71"/>
    <w:rsid w:val="00701B56"/>
    <w:rsid w:val="00707D09"/>
    <w:rsid w:val="007109C1"/>
    <w:rsid w:val="007121AB"/>
    <w:rsid w:val="007133D0"/>
    <w:rsid w:val="0071443B"/>
    <w:rsid w:val="00716E11"/>
    <w:rsid w:val="00717E73"/>
    <w:rsid w:val="00725B51"/>
    <w:rsid w:val="007361B5"/>
    <w:rsid w:val="00736538"/>
    <w:rsid w:val="00740937"/>
    <w:rsid w:val="00741137"/>
    <w:rsid w:val="0075485E"/>
    <w:rsid w:val="00760104"/>
    <w:rsid w:val="00761791"/>
    <w:rsid w:val="00767CB3"/>
    <w:rsid w:val="007707F1"/>
    <w:rsid w:val="00776C7E"/>
    <w:rsid w:val="007770E8"/>
    <w:rsid w:val="00784168"/>
    <w:rsid w:val="00790254"/>
    <w:rsid w:val="00793E90"/>
    <w:rsid w:val="00795279"/>
    <w:rsid w:val="00796690"/>
    <w:rsid w:val="007A12EE"/>
    <w:rsid w:val="007A7D7F"/>
    <w:rsid w:val="007D3377"/>
    <w:rsid w:val="007D58D1"/>
    <w:rsid w:val="007D73B0"/>
    <w:rsid w:val="007E0672"/>
    <w:rsid w:val="007E3953"/>
    <w:rsid w:val="007E5285"/>
    <w:rsid w:val="007F08FC"/>
    <w:rsid w:val="007F1345"/>
    <w:rsid w:val="007F162B"/>
    <w:rsid w:val="007F4599"/>
    <w:rsid w:val="007F50DC"/>
    <w:rsid w:val="007F6A69"/>
    <w:rsid w:val="00804BB4"/>
    <w:rsid w:val="00804C5C"/>
    <w:rsid w:val="00805CB7"/>
    <w:rsid w:val="008108A9"/>
    <w:rsid w:val="008109B3"/>
    <w:rsid w:val="00811E14"/>
    <w:rsid w:val="00815D13"/>
    <w:rsid w:val="00816DCC"/>
    <w:rsid w:val="008200E1"/>
    <w:rsid w:val="00821F75"/>
    <w:rsid w:val="00824141"/>
    <w:rsid w:val="008327C0"/>
    <w:rsid w:val="008327FA"/>
    <w:rsid w:val="00832DF4"/>
    <w:rsid w:val="00833C64"/>
    <w:rsid w:val="0083440B"/>
    <w:rsid w:val="0083715E"/>
    <w:rsid w:val="00852A60"/>
    <w:rsid w:val="00855E8C"/>
    <w:rsid w:val="0086116F"/>
    <w:rsid w:val="00862F6C"/>
    <w:rsid w:val="00864F40"/>
    <w:rsid w:val="008703C9"/>
    <w:rsid w:val="00871CC9"/>
    <w:rsid w:val="0087344B"/>
    <w:rsid w:val="00881CCE"/>
    <w:rsid w:val="00890357"/>
    <w:rsid w:val="00890C4B"/>
    <w:rsid w:val="0089170C"/>
    <w:rsid w:val="00893098"/>
    <w:rsid w:val="0089589C"/>
    <w:rsid w:val="008A005C"/>
    <w:rsid w:val="008A358C"/>
    <w:rsid w:val="008A3766"/>
    <w:rsid w:val="008A5AA7"/>
    <w:rsid w:val="008C16C1"/>
    <w:rsid w:val="008C2A52"/>
    <w:rsid w:val="008C2CBE"/>
    <w:rsid w:val="008D01A0"/>
    <w:rsid w:val="008D0A99"/>
    <w:rsid w:val="008D188D"/>
    <w:rsid w:val="008D284C"/>
    <w:rsid w:val="008D63A5"/>
    <w:rsid w:val="008E534D"/>
    <w:rsid w:val="008E5C46"/>
    <w:rsid w:val="008F6F2F"/>
    <w:rsid w:val="00900475"/>
    <w:rsid w:val="00920127"/>
    <w:rsid w:val="0092196B"/>
    <w:rsid w:val="009244CB"/>
    <w:rsid w:val="0092576F"/>
    <w:rsid w:val="00931139"/>
    <w:rsid w:val="00931828"/>
    <w:rsid w:val="009320D1"/>
    <w:rsid w:val="0093314C"/>
    <w:rsid w:val="00933161"/>
    <w:rsid w:val="009344A0"/>
    <w:rsid w:val="009351F1"/>
    <w:rsid w:val="00935CF4"/>
    <w:rsid w:val="00941F72"/>
    <w:rsid w:val="00943C9C"/>
    <w:rsid w:val="00945A88"/>
    <w:rsid w:val="009460F4"/>
    <w:rsid w:val="00946176"/>
    <w:rsid w:val="00950570"/>
    <w:rsid w:val="00953FF2"/>
    <w:rsid w:val="00954E2C"/>
    <w:rsid w:val="00955B73"/>
    <w:rsid w:val="00956A8F"/>
    <w:rsid w:val="00960C2B"/>
    <w:rsid w:val="0096281C"/>
    <w:rsid w:val="00965D8A"/>
    <w:rsid w:val="00967DD9"/>
    <w:rsid w:val="00971732"/>
    <w:rsid w:val="00971A0E"/>
    <w:rsid w:val="009776D8"/>
    <w:rsid w:val="0098697E"/>
    <w:rsid w:val="00987870"/>
    <w:rsid w:val="009952C7"/>
    <w:rsid w:val="009A2135"/>
    <w:rsid w:val="009A30CE"/>
    <w:rsid w:val="009A4BE1"/>
    <w:rsid w:val="009A5AC3"/>
    <w:rsid w:val="009B11C6"/>
    <w:rsid w:val="009B1671"/>
    <w:rsid w:val="009B6B44"/>
    <w:rsid w:val="009C4DE6"/>
    <w:rsid w:val="009D6210"/>
    <w:rsid w:val="009D64E7"/>
    <w:rsid w:val="009D6549"/>
    <w:rsid w:val="009D67DE"/>
    <w:rsid w:val="009E5758"/>
    <w:rsid w:val="009F42BC"/>
    <w:rsid w:val="009F46F6"/>
    <w:rsid w:val="00A078C4"/>
    <w:rsid w:val="00A13097"/>
    <w:rsid w:val="00A20780"/>
    <w:rsid w:val="00A23DA9"/>
    <w:rsid w:val="00A3129F"/>
    <w:rsid w:val="00A3704D"/>
    <w:rsid w:val="00A41186"/>
    <w:rsid w:val="00A44C5E"/>
    <w:rsid w:val="00A46003"/>
    <w:rsid w:val="00A47671"/>
    <w:rsid w:val="00A5274F"/>
    <w:rsid w:val="00A5717A"/>
    <w:rsid w:val="00A62150"/>
    <w:rsid w:val="00A6256F"/>
    <w:rsid w:val="00A629F6"/>
    <w:rsid w:val="00A64A87"/>
    <w:rsid w:val="00A67B0B"/>
    <w:rsid w:val="00A7250C"/>
    <w:rsid w:val="00A74E50"/>
    <w:rsid w:val="00A82475"/>
    <w:rsid w:val="00A84004"/>
    <w:rsid w:val="00A85E8B"/>
    <w:rsid w:val="00A90726"/>
    <w:rsid w:val="00A91E05"/>
    <w:rsid w:val="00A95753"/>
    <w:rsid w:val="00AA4EB9"/>
    <w:rsid w:val="00AA592A"/>
    <w:rsid w:val="00AA657E"/>
    <w:rsid w:val="00AB4ACE"/>
    <w:rsid w:val="00AB72B7"/>
    <w:rsid w:val="00AC0582"/>
    <w:rsid w:val="00AC2ED8"/>
    <w:rsid w:val="00AC327B"/>
    <w:rsid w:val="00AC67BA"/>
    <w:rsid w:val="00AE76E2"/>
    <w:rsid w:val="00AF08A7"/>
    <w:rsid w:val="00B0010D"/>
    <w:rsid w:val="00B01D2E"/>
    <w:rsid w:val="00B055E3"/>
    <w:rsid w:val="00B10F58"/>
    <w:rsid w:val="00B12161"/>
    <w:rsid w:val="00B163DA"/>
    <w:rsid w:val="00B16BE9"/>
    <w:rsid w:val="00B24807"/>
    <w:rsid w:val="00B24C43"/>
    <w:rsid w:val="00B27B69"/>
    <w:rsid w:val="00B35D9D"/>
    <w:rsid w:val="00B36E54"/>
    <w:rsid w:val="00B41DE5"/>
    <w:rsid w:val="00B43596"/>
    <w:rsid w:val="00B52C07"/>
    <w:rsid w:val="00B53D56"/>
    <w:rsid w:val="00B57D08"/>
    <w:rsid w:val="00B6021F"/>
    <w:rsid w:val="00B62773"/>
    <w:rsid w:val="00B628D8"/>
    <w:rsid w:val="00B665C7"/>
    <w:rsid w:val="00B66A20"/>
    <w:rsid w:val="00B75AF4"/>
    <w:rsid w:val="00B828C1"/>
    <w:rsid w:val="00B82D59"/>
    <w:rsid w:val="00B8446A"/>
    <w:rsid w:val="00B85FFF"/>
    <w:rsid w:val="00B9706F"/>
    <w:rsid w:val="00BA1168"/>
    <w:rsid w:val="00BA3A4F"/>
    <w:rsid w:val="00BA44B4"/>
    <w:rsid w:val="00BA49A8"/>
    <w:rsid w:val="00BA6096"/>
    <w:rsid w:val="00BA647F"/>
    <w:rsid w:val="00BA7B44"/>
    <w:rsid w:val="00BB0DE5"/>
    <w:rsid w:val="00BB35EA"/>
    <w:rsid w:val="00BC3213"/>
    <w:rsid w:val="00BC3F03"/>
    <w:rsid w:val="00BC647D"/>
    <w:rsid w:val="00BD5698"/>
    <w:rsid w:val="00BE4902"/>
    <w:rsid w:val="00BE70E6"/>
    <w:rsid w:val="00BF2C8E"/>
    <w:rsid w:val="00BF30C8"/>
    <w:rsid w:val="00BF3816"/>
    <w:rsid w:val="00BF3FFD"/>
    <w:rsid w:val="00BF55DD"/>
    <w:rsid w:val="00BF740E"/>
    <w:rsid w:val="00C018C3"/>
    <w:rsid w:val="00C057A2"/>
    <w:rsid w:val="00C062D7"/>
    <w:rsid w:val="00C12D00"/>
    <w:rsid w:val="00C141FC"/>
    <w:rsid w:val="00C14B78"/>
    <w:rsid w:val="00C14C77"/>
    <w:rsid w:val="00C15504"/>
    <w:rsid w:val="00C20070"/>
    <w:rsid w:val="00C20BC0"/>
    <w:rsid w:val="00C22148"/>
    <w:rsid w:val="00C22553"/>
    <w:rsid w:val="00C22E08"/>
    <w:rsid w:val="00C22E83"/>
    <w:rsid w:val="00C42686"/>
    <w:rsid w:val="00C448B9"/>
    <w:rsid w:val="00C50FA7"/>
    <w:rsid w:val="00C513D9"/>
    <w:rsid w:val="00C51638"/>
    <w:rsid w:val="00C617A8"/>
    <w:rsid w:val="00C633CB"/>
    <w:rsid w:val="00C673FF"/>
    <w:rsid w:val="00C6748D"/>
    <w:rsid w:val="00C75378"/>
    <w:rsid w:val="00C76E7D"/>
    <w:rsid w:val="00C85F47"/>
    <w:rsid w:val="00C900CC"/>
    <w:rsid w:val="00C916EC"/>
    <w:rsid w:val="00C930D0"/>
    <w:rsid w:val="00C9567F"/>
    <w:rsid w:val="00CA14D8"/>
    <w:rsid w:val="00CA33BF"/>
    <w:rsid w:val="00CA5EA8"/>
    <w:rsid w:val="00CA6C89"/>
    <w:rsid w:val="00CB2A6C"/>
    <w:rsid w:val="00CB2BDD"/>
    <w:rsid w:val="00CB5003"/>
    <w:rsid w:val="00CB569C"/>
    <w:rsid w:val="00CB6E3D"/>
    <w:rsid w:val="00CB723A"/>
    <w:rsid w:val="00CC0B6E"/>
    <w:rsid w:val="00CC1879"/>
    <w:rsid w:val="00CC48AE"/>
    <w:rsid w:val="00CD24B7"/>
    <w:rsid w:val="00CD7A0C"/>
    <w:rsid w:val="00CE368F"/>
    <w:rsid w:val="00CF1D25"/>
    <w:rsid w:val="00CF2A68"/>
    <w:rsid w:val="00CF5E52"/>
    <w:rsid w:val="00CF6E46"/>
    <w:rsid w:val="00D05A68"/>
    <w:rsid w:val="00D0618D"/>
    <w:rsid w:val="00D117B8"/>
    <w:rsid w:val="00D155BE"/>
    <w:rsid w:val="00D202D8"/>
    <w:rsid w:val="00D23CED"/>
    <w:rsid w:val="00D31850"/>
    <w:rsid w:val="00D3236B"/>
    <w:rsid w:val="00D337C4"/>
    <w:rsid w:val="00D34E65"/>
    <w:rsid w:val="00D357B2"/>
    <w:rsid w:val="00D36EC0"/>
    <w:rsid w:val="00D37840"/>
    <w:rsid w:val="00D4031D"/>
    <w:rsid w:val="00D4116F"/>
    <w:rsid w:val="00D503A7"/>
    <w:rsid w:val="00D52124"/>
    <w:rsid w:val="00D53DA5"/>
    <w:rsid w:val="00D56DDB"/>
    <w:rsid w:val="00D617AC"/>
    <w:rsid w:val="00D6399C"/>
    <w:rsid w:val="00D66A45"/>
    <w:rsid w:val="00D671FC"/>
    <w:rsid w:val="00D72C25"/>
    <w:rsid w:val="00D80FF4"/>
    <w:rsid w:val="00D87C34"/>
    <w:rsid w:val="00D93044"/>
    <w:rsid w:val="00D96912"/>
    <w:rsid w:val="00D972B4"/>
    <w:rsid w:val="00D97573"/>
    <w:rsid w:val="00DA100F"/>
    <w:rsid w:val="00DA2893"/>
    <w:rsid w:val="00DA2C0B"/>
    <w:rsid w:val="00DA61DB"/>
    <w:rsid w:val="00DC09B1"/>
    <w:rsid w:val="00DC0A05"/>
    <w:rsid w:val="00DC12CD"/>
    <w:rsid w:val="00DC13DF"/>
    <w:rsid w:val="00DC658C"/>
    <w:rsid w:val="00DC7F7E"/>
    <w:rsid w:val="00DD3312"/>
    <w:rsid w:val="00DD4097"/>
    <w:rsid w:val="00DD580D"/>
    <w:rsid w:val="00DD5CD2"/>
    <w:rsid w:val="00DD7226"/>
    <w:rsid w:val="00DE10E9"/>
    <w:rsid w:val="00DE115B"/>
    <w:rsid w:val="00DE258D"/>
    <w:rsid w:val="00DF4AC8"/>
    <w:rsid w:val="00DF7B34"/>
    <w:rsid w:val="00E05D94"/>
    <w:rsid w:val="00E061AC"/>
    <w:rsid w:val="00E0686A"/>
    <w:rsid w:val="00E06BCB"/>
    <w:rsid w:val="00E10597"/>
    <w:rsid w:val="00E12DF2"/>
    <w:rsid w:val="00E31314"/>
    <w:rsid w:val="00E40413"/>
    <w:rsid w:val="00E4212C"/>
    <w:rsid w:val="00E42E02"/>
    <w:rsid w:val="00E435F5"/>
    <w:rsid w:val="00E4410A"/>
    <w:rsid w:val="00E50956"/>
    <w:rsid w:val="00E518BC"/>
    <w:rsid w:val="00E51A0D"/>
    <w:rsid w:val="00E51A26"/>
    <w:rsid w:val="00E600F6"/>
    <w:rsid w:val="00E60AE6"/>
    <w:rsid w:val="00E62783"/>
    <w:rsid w:val="00E7389D"/>
    <w:rsid w:val="00E73A9D"/>
    <w:rsid w:val="00E910F7"/>
    <w:rsid w:val="00E91118"/>
    <w:rsid w:val="00E93A78"/>
    <w:rsid w:val="00EA1AC4"/>
    <w:rsid w:val="00EA4598"/>
    <w:rsid w:val="00EA494C"/>
    <w:rsid w:val="00EB2722"/>
    <w:rsid w:val="00EC2046"/>
    <w:rsid w:val="00EC3189"/>
    <w:rsid w:val="00EC3CE7"/>
    <w:rsid w:val="00EC58C1"/>
    <w:rsid w:val="00ED17CA"/>
    <w:rsid w:val="00ED1F7F"/>
    <w:rsid w:val="00ED386A"/>
    <w:rsid w:val="00ED52A5"/>
    <w:rsid w:val="00ED5B7D"/>
    <w:rsid w:val="00ED7FBC"/>
    <w:rsid w:val="00EE0384"/>
    <w:rsid w:val="00EE23C4"/>
    <w:rsid w:val="00EE2E50"/>
    <w:rsid w:val="00EE4508"/>
    <w:rsid w:val="00EF3403"/>
    <w:rsid w:val="00F01945"/>
    <w:rsid w:val="00F0196F"/>
    <w:rsid w:val="00F01C6E"/>
    <w:rsid w:val="00F03AFD"/>
    <w:rsid w:val="00F064DB"/>
    <w:rsid w:val="00F06974"/>
    <w:rsid w:val="00F13B0F"/>
    <w:rsid w:val="00F15812"/>
    <w:rsid w:val="00F200E8"/>
    <w:rsid w:val="00F20125"/>
    <w:rsid w:val="00F20AF9"/>
    <w:rsid w:val="00F22C5C"/>
    <w:rsid w:val="00F235C3"/>
    <w:rsid w:val="00F23653"/>
    <w:rsid w:val="00F2535D"/>
    <w:rsid w:val="00F272BB"/>
    <w:rsid w:val="00F27F92"/>
    <w:rsid w:val="00F33F11"/>
    <w:rsid w:val="00F3732C"/>
    <w:rsid w:val="00F376D5"/>
    <w:rsid w:val="00F3799A"/>
    <w:rsid w:val="00F41E4D"/>
    <w:rsid w:val="00F50FFC"/>
    <w:rsid w:val="00F542BF"/>
    <w:rsid w:val="00F54AAB"/>
    <w:rsid w:val="00F6027B"/>
    <w:rsid w:val="00F6239A"/>
    <w:rsid w:val="00F742F3"/>
    <w:rsid w:val="00F752E1"/>
    <w:rsid w:val="00F76517"/>
    <w:rsid w:val="00F80F0D"/>
    <w:rsid w:val="00F83443"/>
    <w:rsid w:val="00F86FEA"/>
    <w:rsid w:val="00F9024D"/>
    <w:rsid w:val="00F92DA9"/>
    <w:rsid w:val="00FA0280"/>
    <w:rsid w:val="00FA3446"/>
    <w:rsid w:val="00FA51B0"/>
    <w:rsid w:val="00FA63F5"/>
    <w:rsid w:val="00FB50FC"/>
    <w:rsid w:val="00FC19A9"/>
    <w:rsid w:val="00FC659A"/>
    <w:rsid w:val="00FD0E1A"/>
    <w:rsid w:val="00FD1BAE"/>
    <w:rsid w:val="00FD24D9"/>
    <w:rsid w:val="00FD3737"/>
    <w:rsid w:val="00FE2D50"/>
    <w:rsid w:val="00FE4B02"/>
    <w:rsid w:val="00FE6856"/>
    <w:rsid w:val="00FF642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2D7C5C"/>
  <w15:docId w15:val="{ABEC47B7-9503-4CFE-94FF-9C0A213FB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宋体"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57A2"/>
    <w:rPr>
      <w:rFonts w:ascii="Times New Roman" w:eastAsia="Times New Roman" w:hAnsi="Times New Roman" w:cs="Times New Roman"/>
      <w:sz w:val="24"/>
      <w:szCs w:val="24"/>
      <w:lang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Spacing1">
    <w:name w:val="No Spacing1"/>
    <w:uiPriority w:val="1"/>
    <w:qFormat/>
    <w:rsid w:val="00B665C7"/>
    <w:pPr>
      <w:spacing w:after="0" w:line="240" w:lineRule="auto"/>
    </w:pPr>
    <w:rPr>
      <w:rFonts w:ascii="Calibri" w:eastAsia="Times New Roman" w:hAnsi="Calibri" w:cs="Times New Roman"/>
    </w:rPr>
  </w:style>
  <w:style w:type="paragraph" w:customStyle="1" w:styleId="NoSpacing2">
    <w:name w:val="No Spacing2"/>
    <w:uiPriority w:val="1"/>
    <w:qFormat/>
    <w:rsid w:val="00B665C7"/>
    <w:pPr>
      <w:spacing w:after="0" w:line="240" w:lineRule="auto"/>
    </w:pPr>
    <w:rPr>
      <w:rFonts w:ascii="Calibri" w:eastAsia="Calibri" w:hAnsi="Calibri" w:cs="Times New Roman"/>
    </w:rPr>
  </w:style>
  <w:style w:type="character" w:styleId="a3">
    <w:name w:val="annotation reference"/>
    <w:basedOn w:val="a0"/>
    <w:uiPriority w:val="99"/>
    <w:semiHidden/>
    <w:unhideWhenUsed/>
    <w:rsid w:val="00B665C7"/>
    <w:rPr>
      <w:rFonts w:ascii="Tahoma" w:hAnsi="Tahoma" w:cs="Tahoma"/>
      <w:b w:val="0"/>
      <w:i w:val="0"/>
      <w:caps w:val="0"/>
      <w:strike w:val="0"/>
      <w:sz w:val="16"/>
      <w:szCs w:val="18"/>
      <w:u w:val="none"/>
    </w:rPr>
  </w:style>
  <w:style w:type="paragraph" w:styleId="a4">
    <w:name w:val="annotation text"/>
    <w:basedOn w:val="a"/>
    <w:link w:val="a5"/>
    <w:uiPriority w:val="99"/>
    <w:unhideWhenUsed/>
    <w:rsid w:val="00B665C7"/>
    <w:rPr>
      <w:rFonts w:ascii="Tahoma" w:hAnsi="Tahoma" w:cs="Tahoma"/>
      <w:sz w:val="16"/>
      <w:lang w:val="en-US"/>
    </w:rPr>
  </w:style>
  <w:style w:type="character" w:customStyle="1" w:styleId="a5">
    <w:name w:val="批注文字 字符"/>
    <w:basedOn w:val="a0"/>
    <w:link w:val="a4"/>
    <w:uiPriority w:val="99"/>
    <w:rsid w:val="00B665C7"/>
    <w:rPr>
      <w:rFonts w:ascii="Tahoma" w:hAnsi="Tahoma" w:cs="Tahoma"/>
      <w:sz w:val="16"/>
      <w:szCs w:val="24"/>
      <w:lang w:val="en-US"/>
    </w:rPr>
  </w:style>
  <w:style w:type="paragraph" w:styleId="a6">
    <w:name w:val="No Spacing"/>
    <w:uiPriority w:val="1"/>
    <w:qFormat/>
    <w:rsid w:val="00B665C7"/>
    <w:pPr>
      <w:spacing w:after="0" w:line="240" w:lineRule="auto"/>
    </w:pPr>
    <w:rPr>
      <w:rFonts w:eastAsiaTheme="minorEastAsia"/>
      <w:lang w:eastAsia="fr-FR"/>
    </w:rPr>
  </w:style>
  <w:style w:type="paragraph" w:styleId="a7">
    <w:name w:val="Balloon Text"/>
    <w:basedOn w:val="a"/>
    <w:link w:val="a8"/>
    <w:uiPriority w:val="99"/>
    <w:semiHidden/>
    <w:unhideWhenUsed/>
    <w:rsid w:val="00B665C7"/>
    <w:rPr>
      <w:rFonts w:ascii="Segoe UI" w:hAnsi="Segoe UI" w:cs="Segoe UI"/>
      <w:sz w:val="18"/>
      <w:szCs w:val="18"/>
      <w:lang w:val="en-US"/>
    </w:rPr>
  </w:style>
  <w:style w:type="character" w:customStyle="1" w:styleId="a8">
    <w:name w:val="批注框文本 字符"/>
    <w:basedOn w:val="a0"/>
    <w:link w:val="a7"/>
    <w:uiPriority w:val="99"/>
    <w:semiHidden/>
    <w:rsid w:val="00B665C7"/>
    <w:rPr>
      <w:rFonts w:ascii="Segoe UI" w:hAnsi="Segoe UI" w:cs="Segoe UI"/>
      <w:sz w:val="18"/>
      <w:szCs w:val="18"/>
      <w:lang w:val="en-US"/>
    </w:rPr>
  </w:style>
  <w:style w:type="paragraph" w:styleId="a9">
    <w:name w:val="List Paragraph"/>
    <w:basedOn w:val="a"/>
    <w:uiPriority w:val="34"/>
    <w:qFormat/>
    <w:rsid w:val="00B665C7"/>
    <w:pPr>
      <w:ind w:left="720"/>
      <w:contextualSpacing/>
    </w:pPr>
  </w:style>
  <w:style w:type="paragraph" w:styleId="aa">
    <w:name w:val="Bibliography"/>
    <w:basedOn w:val="a"/>
    <w:next w:val="a"/>
    <w:uiPriority w:val="37"/>
    <w:unhideWhenUsed/>
    <w:rsid w:val="00B665C7"/>
    <w:pPr>
      <w:tabs>
        <w:tab w:val="left" w:pos="504"/>
      </w:tabs>
      <w:spacing w:after="240"/>
      <w:ind w:left="504" w:hanging="504"/>
    </w:pPr>
  </w:style>
  <w:style w:type="paragraph" w:styleId="ab">
    <w:name w:val="Normal (Web)"/>
    <w:basedOn w:val="a"/>
    <w:uiPriority w:val="99"/>
    <w:semiHidden/>
    <w:unhideWhenUsed/>
    <w:rsid w:val="00B665C7"/>
    <w:pPr>
      <w:spacing w:before="100" w:beforeAutospacing="1" w:after="100" w:afterAutospacing="1"/>
    </w:pPr>
    <w:rPr>
      <w:rFonts w:eastAsiaTheme="minorEastAsia"/>
    </w:rPr>
  </w:style>
  <w:style w:type="character" w:customStyle="1" w:styleId="current-selection">
    <w:name w:val="current-selection"/>
    <w:basedOn w:val="a0"/>
    <w:rsid w:val="00B665C7"/>
  </w:style>
  <w:style w:type="character" w:customStyle="1" w:styleId="ac">
    <w:name w:val="_"/>
    <w:basedOn w:val="a0"/>
    <w:rsid w:val="00B665C7"/>
  </w:style>
  <w:style w:type="character" w:customStyle="1" w:styleId="ff5">
    <w:name w:val="ff5"/>
    <w:basedOn w:val="a0"/>
    <w:rsid w:val="00B665C7"/>
  </w:style>
  <w:style w:type="paragraph" w:styleId="ad">
    <w:name w:val="annotation subject"/>
    <w:basedOn w:val="a4"/>
    <w:next w:val="a4"/>
    <w:link w:val="ae"/>
    <w:uiPriority w:val="99"/>
    <w:semiHidden/>
    <w:unhideWhenUsed/>
    <w:rsid w:val="00B665C7"/>
    <w:rPr>
      <w:b/>
      <w:bCs/>
      <w:sz w:val="20"/>
      <w:szCs w:val="20"/>
    </w:rPr>
  </w:style>
  <w:style w:type="character" w:customStyle="1" w:styleId="ae">
    <w:name w:val="批注主题 字符"/>
    <w:basedOn w:val="a5"/>
    <w:link w:val="ad"/>
    <w:uiPriority w:val="99"/>
    <w:semiHidden/>
    <w:rsid w:val="00B665C7"/>
    <w:rPr>
      <w:rFonts w:ascii="Tahoma" w:hAnsi="Tahoma" w:cs="Tahoma"/>
      <w:b/>
      <w:bCs/>
      <w:sz w:val="20"/>
      <w:szCs w:val="20"/>
      <w:lang w:val="en-US"/>
    </w:rPr>
  </w:style>
  <w:style w:type="character" w:customStyle="1" w:styleId="tlid-translation">
    <w:name w:val="tlid-translation"/>
    <w:basedOn w:val="a0"/>
    <w:rsid w:val="00B665C7"/>
  </w:style>
  <w:style w:type="paragraph" w:styleId="af">
    <w:name w:val="footer"/>
    <w:basedOn w:val="a"/>
    <w:link w:val="af0"/>
    <w:uiPriority w:val="99"/>
    <w:unhideWhenUsed/>
    <w:rsid w:val="00D80FF4"/>
    <w:pPr>
      <w:tabs>
        <w:tab w:val="center" w:pos="4536"/>
        <w:tab w:val="right" w:pos="9072"/>
      </w:tabs>
    </w:pPr>
  </w:style>
  <w:style w:type="character" w:customStyle="1" w:styleId="af0">
    <w:name w:val="页脚 字符"/>
    <w:basedOn w:val="a0"/>
    <w:link w:val="af"/>
    <w:uiPriority w:val="99"/>
    <w:rsid w:val="00D80FF4"/>
  </w:style>
  <w:style w:type="character" w:styleId="af1">
    <w:name w:val="page number"/>
    <w:basedOn w:val="a0"/>
    <w:uiPriority w:val="99"/>
    <w:semiHidden/>
    <w:unhideWhenUsed/>
    <w:rsid w:val="00D80FF4"/>
  </w:style>
  <w:style w:type="paragraph" w:customStyle="1" w:styleId="1">
    <w:name w:val="正文1"/>
    <w:uiPriority w:val="99"/>
    <w:rsid w:val="00B055E3"/>
    <w:pPr>
      <w:spacing w:after="0" w:line="276" w:lineRule="auto"/>
    </w:pPr>
    <w:rPr>
      <w:rFonts w:ascii="Arial" w:hAnsi="Arial" w:cs="Arial"/>
      <w:color w:val="000000"/>
      <w:szCs w:val="20"/>
      <w:lang w:val="pl-PL" w:eastAsia="pl-PL"/>
    </w:rPr>
  </w:style>
  <w:style w:type="paragraph" w:customStyle="1" w:styleId="p1">
    <w:name w:val="p1"/>
    <w:basedOn w:val="a"/>
    <w:rsid w:val="00B055E3"/>
    <w:rPr>
      <w:rFonts w:ascii="Helvetica" w:hAnsi="Helvetica"/>
      <w:sz w:val="18"/>
      <w:szCs w:val="18"/>
      <w:lang w:val="en-US" w:eastAsia="zh-CN"/>
    </w:rPr>
  </w:style>
  <w:style w:type="character" w:styleId="af2">
    <w:name w:val="Hyperlink"/>
    <w:basedOn w:val="a0"/>
    <w:uiPriority w:val="99"/>
    <w:unhideWhenUsed/>
    <w:rsid w:val="00F3732C"/>
    <w:rPr>
      <w:color w:val="0000FF"/>
      <w:u w:val="single"/>
    </w:rPr>
  </w:style>
  <w:style w:type="character" w:customStyle="1" w:styleId="apple-converted-space">
    <w:name w:val="apple-converted-space"/>
    <w:basedOn w:val="a0"/>
    <w:rsid w:val="00F3732C"/>
  </w:style>
  <w:style w:type="character" w:customStyle="1" w:styleId="highlight">
    <w:name w:val="highlight"/>
    <w:basedOn w:val="a0"/>
    <w:rsid w:val="00196B9E"/>
  </w:style>
  <w:style w:type="character" w:styleId="af3">
    <w:name w:val="FollowedHyperlink"/>
    <w:basedOn w:val="a0"/>
    <w:uiPriority w:val="99"/>
    <w:semiHidden/>
    <w:unhideWhenUsed/>
    <w:rsid w:val="00D972B4"/>
    <w:rPr>
      <w:color w:val="954F72" w:themeColor="followedHyperlink"/>
      <w:u w:val="single"/>
    </w:rPr>
  </w:style>
  <w:style w:type="paragraph" w:styleId="af4">
    <w:name w:val="Revision"/>
    <w:hidden/>
    <w:uiPriority w:val="99"/>
    <w:semiHidden/>
    <w:rsid w:val="000E794F"/>
    <w:pPr>
      <w:spacing w:after="0" w:line="240" w:lineRule="auto"/>
    </w:pPr>
    <w:rPr>
      <w:rFonts w:ascii="Times New Roman" w:eastAsia="Times New Roman" w:hAnsi="Times New Roman" w:cs="Times New Roman"/>
      <w:sz w:val="24"/>
      <w:szCs w:val="24"/>
      <w:lang w:eastAsia="fr-FR"/>
    </w:rPr>
  </w:style>
  <w:style w:type="paragraph" w:styleId="af5">
    <w:name w:val="header"/>
    <w:basedOn w:val="a"/>
    <w:link w:val="af6"/>
    <w:uiPriority w:val="99"/>
    <w:unhideWhenUsed/>
    <w:rsid w:val="00C14B78"/>
    <w:pPr>
      <w:pBdr>
        <w:bottom w:val="single" w:sz="6" w:space="1" w:color="auto"/>
      </w:pBdr>
      <w:tabs>
        <w:tab w:val="center" w:pos="4153"/>
        <w:tab w:val="right" w:pos="8306"/>
      </w:tabs>
      <w:snapToGrid w:val="0"/>
      <w:spacing w:line="240" w:lineRule="auto"/>
      <w:jc w:val="center"/>
    </w:pPr>
    <w:rPr>
      <w:sz w:val="18"/>
      <w:szCs w:val="18"/>
    </w:rPr>
  </w:style>
  <w:style w:type="character" w:customStyle="1" w:styleId="af6">
    <w:name w:val="页眉 字符"/>
    <w:basedOn w:val="a0"/>
    <w:link w:val="af5"/>
    <w:uiPriority w:val="99"/>
    <w:rsid w:val="00C14B78"/>
    <w:rPr>
      <w:rFonts w:ascii="Times New Roman" w:eastAsia="Times New Roman" w:hAnsi="Times New Roman" w:cs="Times New Roman"/>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4632">
      <w:bodyDiv w:val="1"/>
      <w:marLeft w:val="0"/>
      <w:marRight w:val="0"/>
      <w:marTop w:val="0"/>
      <w:marBottom w:val="0"/>
      <w:divBdr>
        <w:top w:val="none" w:sz="0" w:space="0" w:color="auto"/>
        <w:left w:val="none" w:sz="0" w:space="0" w:color="auto"/>
        <w:bottom w:val="none" w:sz="0" w:space="0" w:color="auto"/>
        <w:right w:val="none" w:sz="0" w:space="0" w:color="auto"/>
      </w:divBdr>
    </w:div>
    <w:div w:id="7954280">
      <w:bodyDiv w:val="1"/>
      <w:marLeft w:val="0"/>
      <w:marRight w:val="0"/>
      <w:marTop w:val="0"/>
      <w:marBottom w:val="0"/>
      <w:divBdr>
        <w:top w:val="none" w:sz="0" w:space="0" w:color="auto"/>
        <w:left w:val="none" w:sz="0" w:space="0" w:color="auto"/>
        <w:bottom w:val="none" w:sz="0" w:space="0" w:color="auto"/>
        <w:right w:val="none" w:sz="0" w:space="0" w:color="auto"/>
      </w:divBdr>
    </w:div>
    <w:div w:id="11496986">
      <w:bodyDiv w:val="1"/>
      <w:marLeft w:val="0"/>
      <w:marRight w:val="0"/>
      <w:marTop w:val="0"/>
      <w:marBottom w:val="0"/>
      <w:divBdr>
        <w:top w:val="none" w:sz="0" w:space="0" w:color="auto"/>
        <w:left w:val="none" w:sz="0" w:space="0" w:color="auto"/>
        <w:bottom w:val="none" w:sz="0" w:space="0" w:color="auto"/>
        <w:right w:val="none" w:sz="0" w:space="0" w:color="auto"/>
      </w:divBdr>
    </w:div>
    <w:div w:id="15624984">
      <w:bodyDiv w:val="1"/>
      <w:marLeft w:val="0"/>
      <w:marRight w:val="0"/>
      <w:marTop w:val="0"/>
      <w:marBottom w:val="0"/>
      <w:divBdr>
        <w:top w:val="none" w:sz="0" w:space="0" w:color="auto"/>
        <w:left w:val="none" w:sz="0" w:space="0" w:color="auto"/>
        <w:bottom w:val="none" w:sz="0" w:space="0" w:color="auto"/>
        <w:right w:val="none" w:sz="0" w:space="0" w:color="auto"/>
      </w:divBdr>
    </w:div>
    <w:div w:id="95830213">
      <w:bodyDiv w:val="1"/>
      <w:marLeft w:val="0"/>
      <w:marRight w:val="0"/>
      <w:marTop w:val="0"/>
      <w:marBottom w:val="0"/>
      <w:divBdr>
        <w:top w:val="none" w:sz="0" w:space="0" w:color="auto"/>
        <w:left w:val="none" w:sz="0" w:space="0" w:color="auto"/>
        <w:bottom w:val="none" w:sz="0" w:space="0" w:color="auto"/>
        <w:right w:val="none" w:sz="0" w:space="0" w:color="auto"/>
      </w:divBdr>
    </w:div>
    <w:div w:id="113141426">
      <w:bodyDiv w:val="1"/>
      <w:marLeft w:val="0"/>
      <w:marRight w:val="0"/>
      <w:marTop w:val="0"/>
      <w:marBottom w:val="0"/>
      <w:divBdr>
        <w:top w:val="none" w:sz="0" w:space="0" w:color="auto"/>
        <w:left w:val="none" w:sz="0" w:space="0" w:color="auto"/>
        <w:bottom w:val="none" w:sz="0" w:space="0" w:color="auto"/>
        <w:right w:val="none" w:sz="0" w:space="0" w:color="auto"/>
      </w:divBdr>
    </w:div>
    <w:div w:id="119882507">
      <w:bodyDiv w:val="1"/>
      <w:marLeft w:val="0"/>
      <w:marRight w:val="0"/>
      <w:marTop w:val="0"/>
      <w:marBottom w:val="0"/>
      <w:divBdr>
        <w:top w:val="none" w:sz="0" w:space="0" w:color="auto"/>
        <w:left w:val="none" w:sz="0" w:space="0" w:color="auto"/>
        <w:bottom w:val="none" w:sz="0" w:space="0" w:color="auto"/>
        <w:right w:val="none" w:sz="0" w:space="0" w:color="auto"/>
      </w:divBdr>
    </w:div>
    <w:div w:id="120416723">
      <w:bodyDiv w:val="1"/>
      <w:marLeft w:val="0"/>
      <w:marRight w:val="0"/>
      <w:marTop w:val="0"/>
      <w:marBottom w:val="0"/>
      <w:divBdr>
        <w:top w:val="none" w:sz="0" w:space="0" w:color="auto"/>
        <w:left w:val="none" w:sz="0" w:space="0" w:color="auto"/>
        <w:bottom w:val="none" w:sz="0" w:space="0" w:color="auto"/>
        <w:right w:val="none" w:sz="0" w:space="0" w:color="auto"/>
      </w:divBdr>
    </w:div>
    <w:div w:id="187910127">
      <w:bodyDiv w:val="1"/>
      <w:marLeft w:val="0"/>
      <w:marRight w:val="0"/>
      <w:marTop w:val="0"/>
      <w:marBottom w:val="0"/>
      <w:divBdr>
        <w:top w:val="none" w:sz="0" w:space="0" w:color="auto"/>
        <w:left w:val="none" w:sz="0" w:space="0" w:color="auto"/>
        <w:bottom w:val="none" w:sz="0" w:space="0" w:color="auto"/>
        <w:right w:val="none" w:sz="0" w:space="0" w:color="auto"/>
      </w:divBdr>
    </w:div>
    <w:div w:id="201404993">
      <w:bodyDiv w:val="1"/>
      <w:marLeft w:val="0"/>
      <w:marRight w:val="0"/>
      <w:marTop w:val="0"/>
      <w:marBottom w:val="0"/>
      <w:divBdr>
        <w:top w:val="none" w:sz="0" w:space="0" w:color="auto"/>
        <w:left w:val="none" w:sz="0" w:space="0" w:color="auto"/>
        <w:bottom w:val="none" w:sz="0" w:space="0" w:color="auto"/>
        <w:right w:val="none" w:sz="0" w:space="0" w:color="auto"/>
      </w:divBdr>
    </w:div>
    <w:div w:id="229728979">
      <w:bodyDiv w:val="1"/>
      <w:marLeft w:val="0"/>
      <w:marRight w:val="0"/>
      <w:marTop w:val="0"/>
      <w:marBottom w:val="0"/>
      <w:divBdr>
        <w:top w:val="none" w:sz="0" w:space="0" w:color="auto"/>
        <w:left w:val="none" w:sz="0" w:space="0" w:color="auto"/>
        <w:bottom w:val="none" w:sz="0" w:space="0" w:color="auto"/>
        <w:right w:val="none" w:sz="0" w:space="0" w:color="auto"/>
      </w:divBdr>
    </w:div>
    <w:div w:id="239562366">
      <w:bodyDiv w:val="1"/>
      <w:marLeft w:val="0"/>
      <w:marRight w:val="0"/>
      <w:marTop w:val="0"/>
      <w:marBottom w:val="0"/>
      <w:divBdr>
        <w:top w:val="none" w:sz="0" w:space="0" w:color="auto"/>
        <w:left w:val="none" w:sz="0" w:space="0" w:color="auto"/>
        <w:bottom w:val="none" w:sz="0" w:space="0" w:color="auto"/>
        <w:right w:val="none" w:sz="0" w:space="0" w:color="auto"/>
      </w:divBdr>
    </w:div>
    <w:div w:id="286156546">
      <w:bodyDiv w:val="1"/>
      <w:marLeft w:val="0"/>
      <w:marRight w:val="0"/>
      <w:marTop w:val="0"/>
      <w:marBottom w:val="0"/>
      <w:divBdr>
        <w:top w:val="none" w:sz="0" w:space="0" w:color="auto"/>
        <w:left w:val="none" w:sz="0" w:space="0" w:color="auto"/>
        <w:bottom w:val="none" w:sz="0" w:space="0" w:color="auto"/>
        <w:right w:val="none" w:sz="0" w:space="0" w:color="auto"/>
      </w:divBdr>
      <w:divsChild>
        <w:div w:id="1093933088">
          <w:marLeft w:val="0"/>
          <w:marRight w:val="0"/>
          <w:marTop w:val="0"/>
          <w:marBottom w:val="0"/>
          <w:divBdr>
            <w:top w:val="none" w:sz="0" w:space="0" w:color="auto"/>
            <w:left w:val="none" w:sz="0" w:space="0" w:color="auto"/>
            <w:bottom w:val="none" w:sz="0" w:space="0" w:color="auto"/>
            <w:right w:val="none" w:sz="0" w:space="0" w:color="auto"/>
          </w:divBdr>
          <w:divsChild>
            <w:div w:id="2026008058">
              <w:marLeft w:val="0"/>
              <w:marRight w:val="0"/>
              <w:marTop w:val="0"/>
              <w:marBottom w:val="0"/>
              <w:divBdr>
                <w:top w:val="none" w:sz="0" w:space="0" w:color="auto"/>
                <w:left w:val="none" w:sz="0" w:space="0" w:color="auto"/>
                <w:bottom w:val="none" w:sz="0" w:space="0" w:color="auto"/>
                <w:right w:val="none" w:sz="0" w:space="0" w:color="auto"/>
              </w:divBdr>
              <w:divsChild>
                <w:div w:id="18193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574087">
      <w:bodyDiv w:val="1"/>
      <w:marLeft w:val="0"/>
      <w:marRight w:val="0"/>
      <w:marTop w:val="0"/>
      <w:marBottom w:val="0"/>
      <w:divBdr>
        <w:top w:val="none" w:sz="0" w:space="0" w:color="auto"/>
        <w:left w:val="none" w:sz="0" w:space="0" w:color="auto"/>
        <w:bottom w:val="none" w:sz="0" w:space="0" w:color="auto"/>
        <w:right w:val="none" w:sz="0" w:space="0" w:color="auto"/>
      </w:divBdr>
    </w:div>
    <w:div w:id="444423963">
      <w:bodyDiv w:val="1"/>
      <w:marLeft w:val="0"/>
      <w:marRight w:val="0"/>
      <w:marTop w:val="0"/>
      <w:marBottom w:val="0"/>
      <w:divBdr>
        <w:top w:val="none" w:sz="0" w:space="0" w:color="auto"/>
        <w:left w:val="none" w:sz="0" w:space="0" w:color="auto"/>
        <w:bottom w:val="none" w:sz="0" w:space="0" w:color="auto"/>
        <w:right w:val="none" w:sz="0" w:space="0" w:color="auto"/>
      </w:divBdr>
    </w:div>
    <w:div w:id="457533792">
      <w:bodyDiv w:val="1"/>
      <w:marLeft w:val="0"/>
      <w:marRight w:val="0"/>
      <w:marTop w:val="0"/>
      <w:marBottom w:val="0"/>
      <w:divBdr>
        <w:top w:val="none" w:sz="0" w:space="0" w:color="auto"/>
        <w:left w:val="none" w:sz="0" w:space="0" w:color="auto"/>
        <w:bottom w:val="none" w:sz="0" w:space="0" w:color="auto"/>
        <w:right w:val="none" w:sz="0" w:space="0" w:color="auto"/>
      </w:divBdr>
    </w:div>
    <w:div w:id="490829581">
      <w:bodyDiv w:val="1"/>
      <w:marLeft w:val="0"/>
      <w:marRight w:val="0"/>
      <w:marTop w:val="0"/>
      <w:marBottom w:val="0"/>
      <w:divBdr>
        <w:top w:val="none" w:sz="0" w:space="0" w:color="auto"/>
        <w:left w:val="none" w:sz="0" w:space="0" w:color="auto"/>
        <w:bottom w:val="none" w:sz="0" w:space="0" w:color="auto"/>
        <w:right w:val="none" w:sz="0" w:space="0" w:color="auto"/>
      </w:divBdr>
    </w:div>
    <w:div w:id="517431410">
      <w:bodyDiv w:val="1"/>
      <w:marLeft w:val="0"/>
      <w:marRight w:val="0"/>
      <w:marTop w:val="0"/>
      <w:marBottom w:val="0"/>
      <w:divBdr>
        <w:top w:val="none" w:sz="0" w:space="0" w:color="auto"/>
        <w:left w:val="none" w:sz="0" w:space="0" w:color="auto"/>
        <w:bottom w:val="none" w:sz="0" w:space="0" w:color="auto"/>
        <w:right w:val="none" w:sz="0" w:space="0" w:color="auto"/>
      </w:divBdr>
    </w:div>
    <w:div w:id="553153356">
      <w:bodyDiv w:val="1"/>
      <w:marLeft w:val="0"/>
      <w:marRight w:val="0"/>
      <w:marTop w:val="0"/>
      <w:marBottom w:val="0"/>
      <w:divBdr>
        <w:top w:val="none" w:sz="0" w:space="0" w:color="auto"/>
        <w:left w:val="none" w:sz="0" w:space="0" w:color="auto"/>
        <w:bottom w:val="none" w:sz="0" w:space="0" w:color="auto"/>
        <w:right w:val="none" w:sz="0" w:space="0" w:color="auto"/>
      </w:divBdr>
    </w:div>
    <w:div w:id="567157896">
      <w:bodyDiv w:val="1"/>
      <w:marLeft w:val="0"/>
      <w:marRight w:val="0"/>
      <w:marTop w:val="0"/>
      <w:marBottom w:val="0"/>
      <w:divBdr>
        <w:top w:val="none" w:sz="0" w:space="0" w:color="auto"/>
        <w:left w:val="none" w:sz="0" w:space="0" w:color="auto"/>
        <w:bottom w:val="none" w:sz="0" w:space="0" w:color="auto"/>
        <w:right w:val="none" w:sz="0" w:space="0" w:color="auto"/>
      </w:divBdr>
    </w:div>
    <w:div w:id="580140800">
      <w:bodyDiv w:val="1"/>
      <w:marLeft w:val="0"/>
      <w:marRight w:val="0"/>
      <w:marTop w:val="0"/>
      <w:marBottom w:val="0"/>
      <w:divBdr>
        <w:top w:val="none" w:sz="0" w:space="0" w:color="auto"/>
        <w:left w:val="none" w:sz="0" w:space="0" w:color="auto"/>
        <w:bottom w:val="none" w:sz="0" w:space="0" w:color="auto"/>
        <w:right w:val="none" w:sz="0" w:space="0" w:color="auto"/>
      </w:divBdr>
    </w:div>
    <w:div w:id="591008727">
      <w:bodyDiv w:val="1"/>
      <w:marLeft w:val="0"/>
      <w:marRight w:val="0"/>
      <w:marTop w:val="0"/>
      <w:marBottom w:val="0"/>
      <w:divBdr>
        <w:top w:val="none" w:sz="0" w:space="0" w:color="auto"/>
        <w:left w:val="none" w:sz="0" w:space="0" w:color="auto"/>
        <w:bottom w:val="none" w:sz="0" w:space="0" w:color="auto"/>
        <w:right w:val="none" w:sz="0" w:space="0" w:color="auto"/>
      </w:divBdr>
    </w:div>
    <w:div w:id="608509849">
      <w:bodyDiv w:val="1"/>
      <w:marLeft w:val="0"/>
      <w:marRight w:val="0"/>
      <w:marTop w:val="0"/>
      <w:marBottom w:val="0"/>
      <w:divBdr>
        <w:top w:val="none" w:sz="0" w:space="0" w:color="auto"/>
        <w:left w:val="none" w:sz="0" w:space="0" w:color="auto"/>
        <w:bottom w:val="none" w:sz="0" w:space="0" w:color="auto"/>
        <w:right w:val="none" w:sz="0" w:space="0" w:color="auto"/>
      </w:divBdr>
    </w:div>
    <w:div w:id="614214782">
      <w:bodyDiv w:val="1"/>
      <w:marLeft w:val="0"/>
      <w:marRight w:val="0"/>
      <w:marTop w:val="0"/>
      <w:marBottom w:val="0"/>
      <w:divBdr>
        <w:top w:val="none" w:sz="0" w:space="0" w:color="auto"/>
        <w:left w:val="none" w:sz="0" w:space="0" w:color="auto"/>
        <w:bottom w:val="none" w:sz="0" w:space="0" w:color="auto"/>
        <w:right w:val="none" w:sz="0" w:space="0" w:color="auto"/>
      </w:divBdr>
    </w:div>
    <w:div w:id="727151356">
      <w:bodyDiv w:val="1"/>
      <w:marLeft w:val="0"/>
      <w:marRight w:val="0"/>
      <w:marTop w:val="0"/>
      <w:marBottom w:val="0"/>
      <w:divBdr>
        <w:top w:val="none" w:sz="0" w:space="0" w:color="auto"/>
        <w:left w:val="none" w:sz="0" w:space="0" w:color="auto"/>
        <w:bottom w:val="none" w:sz="0" w:space="0" w:color="auto"/>
        <w:right w:val="none" w:sz="0" w:space="0" w:color="auto"/>
      </w:divBdr>
    </w:div>
    <w:div w:id="733745421">
      <w:bodyDiv w:val="1"/>
      <w:marLeft w:val="0"/>
      <w:marRight w:val="0"/>
      <w:marTop w:val="0"/>
      <w:marBottom w:val="0"/>
      <w:divBdr>
        <w:top w:val="none" w:sz="0" w:space="0" w:color="auto"/>
        <w:left w:val="none" w:sz="0" w:space="0" w:color="auto"/>
        <w:bottom w:val="none" w:sz="0" w:space="0" w:color="auto"/>
        <w:right w:val="none" w:sz="0" w:space="0" w:color="auto"/>
      </w:divBdr>
    </w:div>
    <w:div w:id="739132234">
      <w:bodyDiv w:val="1"/>
      <w:marLeft w:val="0"/>
      <w:marRight w:val="0"/>
      <w:marTop w:val="0"/>
      <w:marBottom w:val="0"/>
      <w:divBdr>
        <w:top w:val="none" w:sz="0" w:space="0" w:color="auto"/>
        <w:left w:val="none" w:sz="0" w:space="0" w:color="auto"/>
        <w:bottom w:val="none" w:sz="0" w:space="0" w:color="auto"/>
        <w:right w:val="none" w:sz="0" w:space="0" w:color="auto"/>
      </w:divBdr>
    </w:div>
    <w:div w:id="750590372">
      <w:bodyDiv w:val="1"/>
      <w:marLeft w:val="0"/>
      <w:marRight w:val="0"/>
      <w:marTop w:val="0"/>
      <w:marBottom w:val="0"/>
      <w:divBdr>
        <w:top w:val="none" w:sz="0" w:space="0" w:color="auto"/>
        <w:left w:val="none" w:sz="0" w:space="0" w:color="auto"/>
        <w:bottom w:val="none" w:sz="0" w:space="0" w:color="auto"/>
        <w:right w:val="none" w:sz="0" w:space="0" w:color="auto"/>
      </w:divBdr>
    </w:div>
    <w:div w:id="776952317">
      <w:bodyDiv w:val="1"/>
      <w:marLeft w:val="0"/>
      <w:marRight w:val="0"/>
      <w:marTop w:val="0"/>
      <w:marBottom w:val="0"/>
      <w:divBdr>
        <w:top w:val="none" w:sz="0" w:space="0" w:color="auto"/>
        <w:left w:val="none" w:sz="0" w:space="0" w:color="auto"/>
        <w:bottom w:val="none" w:sz="0" w:space="0" w:color="auto"/>
        <w:right w:val="none" w:sz="0" w:space="0" w:color="auto"/>
      </w:divBdr>
    </w:div>
    <w:div w:id="798644198">
      <w:bodyDiv w:val="1"/>
      <w:marLeft w:val="0"/>
      <w:marRight w:val="0"/>
      <w:marTop w:val="0"/>
      <w:marBottom w:val="0"/>
      <w:divBdr>
        <w:top w:val="none" w:sz="0" w:space="0" w:color="auto"/>
        <w:left w:val="none" w:sz="0" w:space="0" w:color="auto"/>
        <w:bottom w:val="none" w:sz="0" w:space="0" w:color="auto"/>
        <w:right w:val="none" w:sz="0" w:space="0" w:color="auto"/>
      </w:divBdr>
    </w:div>
    <w:div w:id="803621180">
      <w:bodyDiv w:val="1"/>
      <w:marLeft w:val="0"/>
      <w:marRight w:val="0"/>
      <w:marTop w:val="0"/>
      <w:marBottom w:val="0"/>
      <w:divBdr>
        <w:top w:val="none" w:sz="0" w:space="0" w:color="auto"/>
        <w:left w:val="none" w:sz="0" w:space="0" w:color="auto"/>
        <w:bottom w:val="none" w:sz="0" w:space="0" w:color="auto"/>
        <w:right w:val="none" w:sz="0" w:space="0" w:color="auto"/>
      </w:divBdr>
    </w:div>
    <w:div w:id="824518770">
      <w:bodyDiv w:val="1"/>
      <w:marLeft w:val="0"/>
      <w:marRight w:val="0"/>
      <w:marTop w:val="0"/>
      <w:marBottom w:val="0"/>
      <w:divBdr>
        <w:top w:val="none" w:sz="0" w:space="0" w:color="auto"/>
        <w:left w:val="none" w:sz="0" w:space="0" w:color="auto"/>
        <w:bottom w:val="none" w:sz="0" w:space="0" w:color="auto"/>
        <w:right w:val="none" w:sz="0" w:space="0" w:color="auto"/>
      </w:divBdr>
    </w:div>
    <w:div w:id="830566273">
      <w:bodyDiv w:val="1"/>
      <w:marLeft w:val="0"/>
      <w:marRight w:val="0"/>
      <w:marTop w:val="0"/>
      <w:marBottom w:val="0"/>
      <w:divBdr>
        <w:top w:val="none" w:sz="0" w:space="0" w:color="auto"/>
        <w:left w:val="none" w:sz="0" w:space="0" w:color="auto"/>
        <w:bottom w:val="none" w:sz="0" w:space="0" w:color="auto"/>
        <w:right w:val="none" w:sz="0" w:space="0" w:color="auto"/>
      </w:divBdr>
    </w:div>
    <w:div w:id="855312073">
      <w:bodyDiv w:val="1"/>
      <w:marLeft w:val="0"/>
      <w:marRight w:val="0"/>
      <w:marTop w:val="0"/>
      <w:marBottom w:val="0"/>
      <w:divBdr>
        <w:top w:val="none" w:sz="0" w:space="0" w:color="auto"/>
        <w:left w:val="none" w:sz="0" w:space="0" w:color="auto"/>
        <w:bottom w:val="none" w:sz="0" w:space="0" w:color="auto"/>
        <w:right w:val="none" w:sz="0" w:space="0" w:color="auto"/>
      </w:divBdr>
    </w:div>
    <w:div w:id="927813683">
      <w:bodyDiv w:val="1"/>
      <w:marLeft w:val="0"/>
      <w:marRight w:val="0"/>
      <w:marTop w:val="0"/>
      <w:marBottom w:val="0"/>
      <w:divBdr>
        <w:top w:val="none" w:sz="0" w:space="0" w:color="auto"/>
        <w:left w:val="none" w:sz="0" w:space="0" w:color="auto"/>
        <w:bottom w:val="none" w:sz="0" w:space="0" w:color="auto"/>
        <w:right w:val="none" w:sz="0" w:space="0" w:color="auto"/>
      </w:divBdr>
      <w:divsChild>
        <w:div w:id="1851794115">
          <w:marLeft w:val="0"/>
          <w:marRight w:val="0"/>
          <w:marTop w:val="0"/>
          <w:marBottom w:val="0"/>
          <w:divBdr>
            <w:top w:val="none" w:sz="0" w:space="0" w:color="auto"/>
            <w:left w:val="none" w:sz="0" w:space="0" w:color="auto"/>
            <w:bottom w:val="none" w:sz="0" w:space="0" w:color="auto"/>
            <w:right w:val="none" w:sz="0" w:space="0" w:color="auto"/>
          </w:divBdr>
          <w:divsChild>
            <w:div w:id="1050228759">
              <w:marLeft w:val="0"/>
              <w:marRight w:val="0"/>
              <w:marTop w:val="0"/>
              <w:marBottom w:val="0"/>
              <w:divBdr>
                <w:top w:val="none" w:sz="0" w:space="0" w:color="auto"/>
                <w:left w:val="none" w:sz="0" w:space="0" w:color="auto"/>
                <w:bottom w:val="none" w:sz="0" w:space="0" w:color="auto"/>
                <w:right w:val="none" w:sz="0" w:space="0" w:color="auto"/>
              </w:divBdr>
              <w:divsChild>
                <w:div w:id="391734968">
                  <w:marLeft w:val="0"/>
                  <w:marRight w:val="0"/>
                  <w:marTop w:val="0"/>
                  <w:marBottom w:val="0"/>
                  <w:divBdr>
                    <w:top w:val="none" w:sz="0" w:space="0" w:color="auto"/>
                    <w:left w:val="none" w:sz="0" w:space="0" w:color="auto"/>
                    <w:bottom w:val="none" w:sz="0" w:space="0" w:color="auto"/>
                    <w:right w:val="none" w:sz="0" w:space="0" w:color="auto"/>
                  </w:divBdr>
                  <w:divsChild>
                    <w:div w:id="124703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627207">
      <w:bodyDiv w:val="1"/>
      <w:marLeft w:val="0"/>
      <w:marRight w:val="0"/>
      <w:marTop w:val="0"/>
      <w:marBottom w:val="0"/>
      <w:divBdr>
        <w:top w:val="none" w:sz="0" w:space="0" w:color="auto"/>
        <w:left w:val="none" w:sz="0" w:space="0" w:color="auto"/>
        <w:bottom w:val="none" w:sz="0" w:space="0" w:color="auto"/>
        <w:right w:val="none" w:sz="0" w:space="0" w:color="auto"/>
      </w:divBdr>
    </w:div>
    <w:div w:id="1089694656">
      <w:bodyDiv w:val="1"/>
      <w:marLeft w:val="0"/>
      <w:marRight w:val="0"/>
      <w:marTop w:val="0"/>
      <w:marBottom w:val="0"/>
      <w:divBdr>
        <w:top w:val="none" w:sz="0" w:space="0" w:color="auto"/>
        <w:left w:val="none" w:sz="0" w:space="0" w:color="auto"/>
        <w:bottom w:val="none" w:sz="0" w:space="0" w:color="auto"/>
        <w:right w:val="none" w:sz="0" w:space="0" w:color="auto"/>
      </w:divBdr>
    </w:div>
    <w:div w:id="1110469546">
      <w:bodyDiv w:val="1"/>
      <w:marLeft w:val="0"/>
      <w:marRight w:val="0"/>
      <w:marTop w:val="0"/>
      <w:marBottom w:val="0"/>
      <w:divBdr>
        <w:top w:val="none" w:sz="0" w:space="0" w:color="auto"/>
        <w:left w:val="none" w:sz="0" w:space="0" w:color="auto"/>
        <w:bottom w:val="none" w:sz="0" w:space="0" w:color="auto"/>
        <w:right w:val="none" w:sz="0" w:space="0" w:color="auto"/>
      </w:divBdr>
    </w:div>
    <w:div w:id="1116220096">
      <w:bodyDiv w:val="1"/>
      <w:marLeft w:val="0"/>
      <w:marRight w:val="0"/>
      <w:marTop w:val="0"/>
      <w:marBottom w:val="0"/>
      <w:divBdr>
        <w:top w:val="none" w:sz="0" w:space="0" w:color="auto"/>
        <w:left w:val="none" w:sz="0" w:space="0" w:color="auto"/>
        <w:bottom w:val="none" w:sz="0" w:space="0" w:color="auto"/>
        <w:right w:val="none" w:sz="0" w:space="0" w:color="auto"/>
      </w:divBdr>
    </w:div>
    <w:div w:id="1116488766">
      <w:bodyDiv w:val="1"/>
      <w:marLeft w:val="0"/>
      <w:marRight w:val="0"/>
      <w:marTop w:val="0"/>
      <w:marBottom w:val="0"/>
      <w:divBdr>
        <w:top w:val="none" w:sz="0" w:space="0" w:color="auto"/>
        <w:left w:val="none" w:sz="0" w:space="0" w:color="auto"/>
        <w:bottom w:val="none" w:sz="0" w:space="0" w:color="auto"/>
        <w:right w:val="none" w:sz="0" w:space="0" w:color="auto"/>
      </w:divBdr>
    </w:div>
    <w:div w:id="1127166385">
      <w:bodyDiv w:val="1"/>
      <w:marLeft w:val="0"/>
      <w:marRight w:val="0"/>
      <w:marTop w:val="0"/>
      <w:marBottom w:val="0"/>
      <w:divBdr>
        <w:top w:val="none" w:sz="0" w:space="0" w:color="auto"/>
        <w:left w:val="none" w:sz="0" w:space="0" w:color="auto"/>
        <w:bottom w:val="none" w:sz="0" w:space="0" w:color="auto"/>
        <w:right w:val="none" w:sz="0" w:space="0" w:color="auto"/>
      </w:divBdr>
    </w:div>
    <w:div w:id="1198198249">
      <w:bodyDiv w:val="1"/>
      <w:marLeft w:val="0"/>
      <w:marRight w:val="0"/>
      <w:marTop w:val="0"/>
      <w:marBottom w:val="0"/>
      <w:divBdr>
        <w:top w:val="none" w:sz="0" w:space="0" w:color="auto"/>
        <w:left w:val="none" w:sz="0" w:space="0" w:color="auto"/>
        <w:bottom w:val="none" w:sz="0" w:space="0" w:color="auto"/>
        <w:right w:val="none" w:sz="0" w:space="0" w:color="auto"/>
      </w:divBdr>
    </w:div>
    <w:div w:id="1221555945">
      <w:bodyDiv w:val="1"/>
      <w:marLeft w:val="0"/>
      <w:marRight w:val="0"/>
      <w:marTop w:val="0"/>
      <w:marBottom w:val="0"/>
      <w:divBdr>
        <w:top w:val="none" w:sz="0" w:space="0" w:color="auto"/>
        <w:left w:val="none" w:sz="0" w:space="0" w:color="auto"/>
        <w:bottom w:val="none" w:sz="0" w:space="0" w:color="auto"/>
        <w:right w:val="none" w:sz="0" w:space="0" w:color="auto"/>
      </w:divBdr>
    </w:div>
    <w:div w:id="1227105859">
      <w:bodyDiv w:val="1"/>
      <w:marLeft w:val="0"/>
      <w:marRight w:val="0"/>
      <w:marTop w:val="0"/>
      <w:marBottom w:val="0"/>
      <w:divBdr>
        <w:top w:val="none" w:sz="0" w:space="0" w:color="auto"/>
        <w:left w:val="none" w:sz="0" w:space="0" w:color="auto"/>
        <w:bottom w:val="none" w:sz="0" w:space="0" w:color="auto"/>
        <w:right w:val="none" w:sz="0" w:space="0" w:color="auto"/>
      </w:divBdr>
    </w:div>
    <w:div w:id="1236822360">
      <w:bodyDiv w:val="1"/>
      <w:marLeft w:val="0"/>
      <w:marRight w:val="0"/>
      <w:marTop w:val="0"/>
      <w:marBottom w:val="0"/>
      <w:divBdr>
        <w:top w:val="none" w:sz="0" w:space="0" w:color="auto"/>
        <w:left w:val="none" w:sz="0" w:space="0" w:color="auto"/>
        <w:bottom w:val="none" w:sz="0" w:space="0" w:color="auto"/>
        <w:right w:val="none" w:sz="0" w:space="0" w:color="auto"/>
      </w:divBdr>
    </w:div>
    <w:div w:id="1239171867">
      <w:bodyDiv w:val="1"/>
      <w:marLeft w:val="0"/>
      <w:marRight w:val="0"/>
      <w:marTop w:val="0"/>
      <w:marBottom w:val="0"/>
      <w:divBdr>
        <w:top w:val="none" w:sz="0" w:space="0" w:color="auto"/>
        <w:left w:val="none" w:sz="0" w:space="0" w:color="auto"/>
        <w:bottom w:val="none" w:sz="0" w:space="0" w:color="auto"/>
        <w:right w:val="none" w:sz="0" w:space="0" w:color="auto"/>
      </w:divBdr>
    </w:div>
    <w:div w:id="1300844227">
      <w:bodyDiv w:val="1"/>
      <w:marLeft w:val="0"/>
      <w:marRight w:val="0"/>
      <w:marTop w:val="0"/>
      <w:marBottom w:val="0"/>
      <w:divBdr>
        <w:top w:val="none" w:sz="0" w:space="0" w:color="auto"/>
        <w:left w:val="none" w:sz="0" w:space="0" w:color="auto"/>
        <w:bottom w:val="none" w:sz="0" w:space="0" w:color="auto"/>
        <w:right w:val="none" w:sz="0" w:space="0" w:color="auto"/>
      </w:divBdr>
    </w:div>
    <w:div w:id="1328097195">
      <w:bodyDiv w:val="1"/>
      <w:marLeft w:val="0"/>
      <w:marRight w:val="0"/>
      <w:marTop w:val="0"/>
      <w:marBottom w:val="0"/>
      <w:divBdr>
        <w:top w:val="none" w:sz="0" w:space="0" w:color="auto"/>
        <w:left w:val="none" w:sz="0" w:space="0" w:color="auto"/>
        <w:bottom w:val="none" w:sz="0" w:space="0" w:color="auto"/>
        <w:right w:val="none" w:sz="0" w:space="0" w:color="auto"/>
      </w:divBdr>
    </w:div>
    <w:div w:id="1356073450">
      <w:bodyDiv w:val="1"/>
      <w:marLeft w:val="0"/>
      <w:marRight w:val="0"/>
      <w:marTop w:val="0"/>
      <w:marBottom w:val="0"/>
      <w:divBdr>
        <w:top w:val="none" w:sz="0" w:space="0" w:color="auto"/>
        <w:left w:val="none" w:sz="0" w:space="0" w:color="auto"/>
        <w:bottom w:val="none" w:sz="0" w:space="0" w:color="auto"/>
        <w:right w:val="none" w:sz="0" w:space="0" w:color="auto"/>
      </w:divBdr>
    </w:div>
    <w:div w:id="1413309984">
      <w:bodyDiv w:val="1"/>
      <w:marLeft w:val="0"/>
      <w:marRight w:val="0"/>
      <w:marTop w:val="0"/>
      <w:marBottom w:val="0"/>
      <w:divBdr>
        <w:top w:val="none" w:sz="0" w:space="0" w:color="auto"/>
        <w:left w:val="none" w:sz="0" w:space="0" w:color="auto"/>
        <w:bottom w:val="none" w:sz="0" w:space="0" w:color="auto"/>
        <w:right w:val="none" w:sz="0" w:space="0" w:color="auto"/>
      </w:divBdr>
    </w:div>
    <w:div w:id="1484740311">
      <w:bodyDiv w:val="1"/>
      <w:marLeft w:val="0"/>
      <w:marRight w:val="0"/>
      <w:marTop w:val="0"/>
      <w:marBottom w:val="0"/>
      <w:divBdr>
        <w:top w:val="none" w:sz="0" w:space="0" w:color="auto"/>
        <w:left w:val="none" w:sz="0" w:space="0" w:color="auto"/>
        <w:bottom w:val="none" w:sz="0" w:space="0" w:color="auto"/>
        <w:right w:val="none" w:sz="0" w:space="0" w:color="auto"/>
      </w:divBdr>
    </w:div>
    <w:div w:id="1539052156">
      <w:bodyDiv w:val="1"/>
      <w:marLeft w:val="0"/>
      <w:marRight w:val="0"/>
      <w:marTop w:val="0"/>
      <w:marBottom w:val="0"/>
      <w:divBdr>
        <w:top w:val="none" w:sz="0" w:space="0" w:color="auto"/>
        <w:left w:val="none" w:sz="0" w:space="0" w:color="auto"/>
        <w:bottom w:val="none" w:sz="0" w:space="0" w:color="auto"/>
        <w:right w:val="none" w:sz="0" w:space="0" w:color="auto"/>
      </w:divBdr>
    </w:div>
    <w:div w:id="1548881161">
      <w:bodyDiv w:val="1"/>
      <w:marLeft w:val="0"/>
      <w:marRight w:val="0"/>
      <w:marTop w:val="0"/>
      <w:marBottom w:val="0"/>
      <w:divBdr>
        <w:top w:val="none" w:sz="0" w:space="0" w:color="auto"/>
        <w:left w:val="none" w:sz="0" w:space="0" w:color="auto"/>
        <w:bottom w:val="none" w:sz="0" w:space="0" w:color="auto"/>
        <w:right w:val="none" w:sz="0" w:space="0" w:color="auto"/>
      </w:divBdr>
    </w:div>
    <w:div w:id="1562058359">
      <w:bodyDiv w:val="1"/>
      <w:marLeft w:val="0"/>
      <w:marRight w:val="0"/>
      <w:marTop w:val="0"/>
      <w:marBottom w:val="0"/>
      <w:divBdr>
        <w:top w:val="none" w:sz="0" w:space="0" w:color="auto"/>
        <w:left w:val="none" w:sz="0" w:space="0" w:color="auto"/>
        <w:bottom w:val="none" w:sz="0" w:space="0" w:color="auto"/>
        <w:right w:val="none" w:sz="0" w:space="0" w:color="auto"/>
      </w:divBdr>
    </w:div>
    <w:div w:id="1575700226">
      <w:bodyDiv w:val="1"/>
      <w:marLeft w:val="0"/>
      <w:marRight w:val="0"/>
      <w:marTop w:val="0"/>
      <w:marBottom w:val="0"/>
      <w:divBdr>
        <w:top w:val="none" w:sz="0" w:space="0" w:color="auto"/>
        <w:left w:val="none" w:sz="0" w:space="0" w:color="auto"/>
        <w:bottom w:val="none" w:sz="0" w:space="0" w:color="auto"/>
        <w:right w:val="none" w:sz="0" w:space="0" w:color="auto"/>
      </w:divBdr>
    </w:div>
    <w:div w:id="1588733958">
      <w:bodyDiv w:val="1"/>
      <w:marLeft w:val="0"/>
      <w:marRight w:val="0"/>
      <w:marTop w:val="0"/>
      <w:marBottom w:val="0"/>
      <w:divBdr>
        <w:top w:val="none" w:sz="0" w:space="0" w:color="auto"/>
        <w:left w:val="none" w:sz="0" w:space="0" w:color="auto"/>
        <w:bottom w:val="none" w:sz="0" w:space="0" w:color="auto"/>
        <w:right w:val="none" w:sz="0" w:space="0" w:color="auto"/>
      </w:divBdr>
    </w:div>
    <w:div w:id="1629702816">
      <w:bodyDiv w:val="1"/>
      <w:marLeft w:val="0"/>
      <w:marRight w:val="0"/>
      <w:marTop w:val="0"/>
      <w:marBottom w:val="0"/>
      <w:divBdr>
        <w:top w:val="none" w:sz="0" w:space="0" w:color="auto"/>
        <w:left w:val="none" w:sz="0" w:space="0" w:color="auto"/>
        <w:bottom w:val="none" w:sz="0" w:space="0" w:color="auto"/>
        <w:right w:val="none" w:sz="0" w:space="0" w:color="auto"/>
      </w:divBdr>
    </w:div>
    <w:div w:id="1663657618">
      <w:bodyDiv w:val="1"/>
      <w:marLeft w:val="0"/>
      <w:marRight w:val="0"/>
      <w:marTop w:val="0"/>
      <w:marBottom w:val="0"/>
      <w:divBdr>
        <w:top w:val="none" w:sz="0" w:space="0" w:color="auto"/>
        <w:left w:val="none" w:sz="0" w:space="0" w:color="auto"/>
        <w:bottom w:val="none" w:sz="0" w:space="0" w:color="auto"/>
        <w:right w:val="none" w:sz="0" w:space="0" w:color="auto"/>
      </w:divBdr>
    </w:div>
    <w:div w:id="1679381506">
      <w:bodyDiv w:val="1"/>
      <w:marLeft w:val="0"/>
      <w:marRight w:val="0"/>
      <w:marTop w:val="0"/>
      <w:marBottom w:val="0"/>
      <w:divBdr>
        <w:top w:val="none" w:sz="0" w:space="0" w:color="auto"/>
        <w:left w:val="none" w:sz="0" w:space="0" w:color="auto"/>
        <w:bottom w:val="none" w:sz="0" w:space="0" w:color="auto"/>
        <w:right w:val="none" w:sz="0" w:space="0" w:color="auto"/>
      </w:divBdr>
    </w:div>
    <w:div w:id="1693340450">
      <w:bodyDiv w:val="1"/>
      <w:marLeft w:val="0"/>
      <w:marRight w:val="0"/>
      <w:marTop w:val="0"/>
      <w:marBottom w:val="0"/>
      <w:divBdr>
        <w:top w:val="none" w:sz="0" w:space="0" w:color="auto"/>
        <w:left w:val="none" w:sz="0" w:space="0" w:color="auto"/>
        <w:bottom w:val="none" w:sz="0" w:space="0" w:color="auto"/>
        <w:right w:val="none" w:sz="0" w:space="0" w:color="auto"/>
      </w:divBdr>
    </w:div>
    <w:div w:id="1715613538">
      <w:bodyDiv w:val="1"/>
      <w:marLeft w:val="0"/>
      <w:marRight w:val="0"/>
      <w:marTop w:val="0"/>
      <w:marBottom w:val="0"/>
      <w:divBdr>
        <w:top w:val="none" w:sz="0" w:space="0" w:color="auto"/>
        <w:left w:val="none" w:sz="0" w:space="0" w:color="auto"/>
        <w:bottom w:val="none" w:sz="0" w:space="0" w:color="auto"/>
        <w:right w:val="none" w:sz="0" w:space="0" w:color="auto"/>
      </w:divBdr>
    </w:div>
    <w:div w:id="1724206495">
      <w:bodyDiv w:val="1"/>
      <w:marLeft w:val="0"/>
      <w:marRight w:val="0"/>
      <w:marTop w:val="0"/>
      <w:marBottom w:val="0"/>
      <w:divBdr>
        <w:top w:val="none" w:sz="0" w:space="0" w:color="auto"/>
        <w:left w:val="none" w:sz="0" w:space="0" w:color="auto"/>
        <w:bottom w:val="none" w:sz="0" w:space="0" w:color="auto"/>
        <w:right w:val="none" w:sz="0" w:space="0" w:color="auto"/>
      </w:divBdr>
    </w:div>
    <w:div w:id="1811360102">
      <w:bodyDiv w:val="1"/>
      <w:marLeft w:val="0"/>
      <w:marRight w:val="0"/>
      <w:marTop w:val="0"/>
      <w:marBottom w:val="0"/>
      <w:divBdr>
        <w:top w:val="none" w:sz="0" w:space="0" w:color="auto"/>
        <w:left w:val="none" w:sz="0" w:space="0" w:color="auto"/>
        <w:bottom w:val="none" w:sz="0" w:space="0" w:color="auto"/>
        <w:right w:val="none" w:sz="0" w:space="0" w:color="auto"/>
      </w:divBdr>
    </w:div>
    <w:div w:id="1818650240">
      <w:bodyDiv w:val="1"/>
      <w:marLeft w:val="0"/>
      <w:marRight w:val="0"/>
      <w:marTop w:val="0"/>
      <w:marBottom w:val="0"/>
      <w:divBdr>
        <w:top w:val="none" w:sz="0" w:space="0" w:color="auto"/>
        <w:left w:val="none" w:sz="0" w:space="0" w:color="auto"/>
        <w:bottom w:val="none" w:sz="0" w:space="0" w:color="auto"/>
        <w:right w:val="none" w:sz="0" w:space="0" w:color="auto"/>
      </w:divBdr>
    </w:div>
    <w:div w:id="1834560501">
      <w:bodyDiv w:val="1"/>
      <w:marLeft w:val="0"/>
      <w:marRight w:val="0"/>
      <w:marTop w:val="0"/>
      <w:marBottom w:val="0"/>
      <w:divBdr>
        <w:top w:val="none" w:sz="0" w:space="0" w:color="auto"/>
        <w:left w:val="none" w:sz="0" w:space="0" w:color="auto"/>
        <w:bottom w:val="none" w:sz="0" w:space="0" w:color="auto"/>
        <w:right w:val="none" w:sz="0" w:space="0" w:color="auto"/>
      </w:divBdr>
    </w:div>
    <w:div w:id="1863350353">
      <w:bodyDiv w:val="1"/>
      <w:marLeft w:val="0"/>
      <w:marRight w:val="0"/>
      <w:marTop w:val="0"/>
      <w:marBottom w:val="0"/>
      <w:divBdr>
        <w:top w:val="none" w:sz="0" w:space="0" w:color="auto"/>
        <w:left w:val="none" w:sz="0" w:space="0" w:color="auto"/>
        <w:bottom w:val="none" w:sz="0" w:space="0" w:color="auto"/>
        <w:right w:val="none" w:sz="0" w:space="0" w:color="auto"/>
      </w:divBdr>
    </w:div>
    <w:div w:id="1873570521">
      <w:bodyDiv w:val="1"/>
      <w:marLeft w:val="0"/>
      <w:marRight w:val="0"/>
      <w:marTop w:val="0"/>
      <w:marBottom w:val="0"/>
      <w:divBdr>
        <w:top w:val="none" w:sz="0" w:space="0" w:color="auto"/>
        <w:left w:val="none" w:sz="0" w:space="0" w:color="auto"/>
        <w:bottom w:val="none" w:sz="0" w:space="0" w:color="auto"/>
        <w:right w:val="none" w:sz="0" w:space="0" w:color="auto"/>
      </w:divBdr>
    </w:div>
    <w:div w:id="1874729377">
      <w:bodyDiv w:val="1"/>
      <w:marLeft w:val="0"/>
      <w:marRight w:val="0"/>
      <w:marTop w:val="0"/>
      <w:marBottom w:val="0"/>
      <w:divBdr>
        <w:top w:val="none" w:sz="0" w:space="0" w:color="auto"/>
        <w:left w:val="none" w:sz="0" w:space="0" w:color="auto"/>
        <w:bottom w:val="none" w:sz="0" w:space="0" w:color="auto"/>
        <w:right w:val="none" w:sz="0" w:space="0" w:color="auto"/>
      </w:divBdr>
    </w:div>
    <w:div w:id="1876304703">
      <w:bodyDiv w:val="1"/>
      <w:marLeft w:val="0"/>
      <w:marRight w:val="0"/>
      <w:marTop w:val="0"/>
      <w:marBottom w:val="0"/>
      <w:divBdr>
        <w:top w:val="none" w:sz="0" w:space="0" w:color="auto"/>
        <w:left w:val="none" w:sz="0" w:space="0" w:color="auto"/>
        <w:bottom w:val="none" w:sz="0" w:space="0" w:color="auto"/>
        <w:right w:val="none" w:sz="0" w:space="0" w:color="auto"/>
      </w:divBdr>
    </w:div>
    <w:div w:id="1888569435">
      <w:bodyDiv w:val="1"/>
      <w:marLeft w:val="0"/>
      <w:marRight w:val="0"/>
      <w:marTop w:val="0"/>
      <w:marBottom w:val="0"/>
      <w:divBdr>
        <w:top w:val="none" w:sz="0" w:space="0" w:color="auto"/>
        <w:left w:val="none" w:sz="0" w:space="0" w:color="auto"/>
        <w:bottom w:val="none" w:sz="0" w:space="0" w:color="auto"/>
        <w:right w:val="none" w:sz="0" w:space="0" w:color="auto"/>
      </w:divBdr>
    </w:div>
    <w:div w:id="1904096500">
      <w:bodyDiv w:val="1"/>
      <w:marLeft w:val="0"/>
      <w:marRight w:val="0"/>
      <w:marTop w:val="0"/>
      <w:marBottom w:val="0"/>
      <w:divBdr>
        <w:top w:val="none" w:sz="0" w:space="0" w:color="auto"/>
        <w:left w:val="none" w:sz="0" w:space="0" w:color="auto"/>
        <w:bottom w:val="none" w:sz="0" w:space="0" w:color="auto"/>
        <w:right w:val="none" w:sz="0" w:space="0" w:color="auto"/>
      </w:divBdr>
    </w:div>
    <w:div w:id="1908682991">
      <w:bodyDiv w:val="1"/>
      <w:marLeft w:val="0"/>
      <w:marRight w:val="0"/>
      <w:marTop w:val="0"/>
      <w:marBottom w:val="0"/>
      <w:divBdr>
        <w:top w:val="none" w:sz="0" w:space="0" w:color="auto"/>
        <w:left w:val="none" w:sz="0" w:space="0" w:color="auto"/>
        <w:bottom w:val="none" w:sz="0" w:space="0" w:color="auto"/>
        <w:right w:val="none" w:sz="0" w:space="0" w:color="auto"/>
      </w:divBdr>
    </w:div>
    <w:div w:id="1966538814">
      <w:bodyDiv w:val="1"/>
      <w:marLeft w:val="0"/>
      <w:marRight w:val="0"/>
      <w:marTop w:val="0"/>
      <w:marBottom w:val="0"/>
      <w:divBdr>
        <w:top w:val="none" w:sz="0" w:space="0" w:color="auto"/>
        <w:left w:val="none" w:sz="0" w:space="0" w:color="auto"/>
        <w:bottom w:val="none" w:sz="0" w:space="0" w:color="auto"/>
        <w:right w:val="none" w:sz="0" w:space="0" w:color="auto"/>
      </w:divBdr>
    </w:div>
    <w:div w:id="1982156196">
      <w:bodyDiv w:val="1"/>
      <w:marLeft w:val="0"/>
      <w:marRight w:val="0"/>
      <w:marTop w:val="0"/>
      <w:marBottom w:val="0"/>
      <w:divBdr>
        <w:top w:val="none" w:sz="0" w:space="0" w:color="auto"/>
        <w:left w:val="none" w:sz="0" w:space="0" w:color="auto"/>
        <w:bottom w:val="none" w:sz="0" w:space="0" w:color="auto"/>
        <w:right w:val="none" w:sz="0" w:space="0" w:color="auto"/>
      </w:divBdr>
    </w:div>
    <w:div w:id="2028864681">
      <w:bodyDiv w:val="1"/>
      <w:marLeft w:val="0"/>
      <w:marRight w:val="0"/>
      <w:marTop w:val="0"/>
      <w:marBottom w:val="0"/>
      <w:divBdr>
        <w:top w:val="none" w:sz="0" w:space="0" w:color="auto"/>
        <w:left w:val="none" w:sz="0" w:space="0" w:color="auto"/>
        <w:bottom w:val="none" w:sz="0" w:space="0" w:color="auto"/>
        <w:right w:val="none" w:sz="0" w:space="0" w:color="auto"/>
      </w:divBdr>
    </w:div>
    <w:div w:id="2043163710">
      <w:bodyDiv w:val="1"/>
      <w:marLeft w:val="0"/>
      <w:marRight w:val="0"/>
      <w:marTop w:val="0"/>
      <w:marBottom w:val="0"/>
      <w:divBdr>
        <w:top w:val="none" w:sz="0" w:space="0" w:color="auto"/>
        <w:left w:val="none" w:sz="0" w:space="0" w:color="auto"/>
        <w:bottom w:val="none" w:sz="0" w:space="0" w:color="auto"/>
        <w:right w:val="none" w:sz="0" w:space="0" w:color="auto"/>
      </w:divBdr>
    </w:div>
    <w:div w:id="2097090331">
      <w:bodyDiv w:val="1"/>
      <w:marLeft w:val="0"/>
      <w:marRight w:val="0"/>
      <w:marTop w:val="0"/>
      <w:marBottom w:val="0"/>
      <w:divBdr>
        <w:top w:val="none" w:sz="0" w:space="0" w:color="auto"/>
        <w:left w:val="none" w:sz="0" w:space="0" w:color="auto"/>
        <w:bottom w:val="none" w:sz="0" w:space="0" w:color="auto"/>
        <w:right w:val="none" w:sz="0" w:space="0" w:color="auto"/>
      </w:divBdr>
    </w:div>
    <w:div w:id="2101565756">
      <w:bodyDiv w:val="1"/>
      <w:marLeft w:val="0"/>
      <w:marRight w:val="0"/>
      <w:marTop w:val="0"/>
      <w:marBottom w:val="0"/>
      <w:divBdr>
        <w:top w:val="none" w:sz="0" w:space="0" w:color="auto"/>
        <w:left w:val="none" w:sz="0" w:space="0" w:color="auto"/>
        <w:bottom w:val="none" w:sz="0" w:space="0" w:color="auto"/>
        <w:right w:val="none" w:sz="0" w:space="0" w:color="auto"/>
      </w:divBdr>
    </w:div>
    <w:div w:id="2106725227">
      <w:bodyDiv w:val="1"/>
      <w:marLeft w:val="0"/>
      <w:marRight w:val="0"/>
      <w:marTop w:val="0"/>
      <w:marBottom w:val="0"/>
      <w:divBdr>
        <w:top w:val="none" w:sz="0" w:space="0" w:color="auto"/>
        <w:left w:val="none" w:sz="0" w:space="0" w:color="auto"/>
        <w:bottom w:val="none" w:sz="0" w:space="0" w:color="auto"/>
        <w:right w:val="none" w:sz="0" w:space="0" w:color="auto"/>
      </w:divBdr>
    </w:div>
    <w:div w:id="2108962888">
      <w:bodyDiv w:val="1"/>
      <w:marLeft w:val="0"/>
      <w:marRight w:val="0"/>
      <w:marTop w:val="0"/>
      <w:marBottom w:val="0"/>
      <w:divBdr>
        <w:top w:val="none" w:sz="0" w:space="0" w:color="auto"/>
        <w:left w:val="none" w:sz="0" w:space="0" w:color="auto"/>
        <w:bottom w:val="none" w:sz="0" w:space="0" w:color="auto"/>
        <w:right w:val="none" w:sz="0" w:space="0" w:color="auto"/>
      </w:divBdr>
    </w:div>
    <w:div w:id="2117553046">
      <w:bodyDiv w:val="1"/>
      <w:marLeft w:val="0"/>
      <w:marRight w:val="0"/>
      <w:marTop w:val="0"/>
      <w:marBottom w:val="0"/>
      <w:divBdr>
        <w:top w:val="none" w:sz="0" w:space="0" w:color="auto"/>
        <w:left w:val="none" w:sz="0" w:space="0" w:color="auto"/>
        <w:bottom w:val="none" w:sz="0" w:space="0" w:color="auto"/>
        <w:right w:val="none" w:sz="0" w:space="0" w:color="auto"/>
      </w:divBdr>
    </w:div>
    <w:div w:id="213675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E3029-B4FB-4411-8532-BDFD6C750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17788</Words>
  <Characters>101393</Characters>
  <Application>Microsoft Office Word</Application>
  <DocSecurity>0</DocSecurity>
  <Lines>844</Lines>
  <Paragraphs>237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Sophie Moussaddaq</dc:creator>
  <cp:lastModifiedBy>Liansheng Ma</cp:lastModifiedBy>
  <cp:revision>2</cp:revision>
  <dcterms:created xsi:type="dcterms:W3CDTF">2020-08-01T05:22:00Z</dcterms:created>
  <dcterms:modified xsi:type="dcterms:W3CDTF">2020-08-01T05:22:00Z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zotero-version="5.0.74"&gt;&lt;session id="kPjy3I0h"/&gt;&lt;style id="http://www.zotero.org/styles/vancouver" locale="fr-FR" hasBibliography="1" bibliographyStyleHasBeenSet="1"/&gt;&lt;prefs&gt;&lt;pref name="fieldType" value="Field"/&gt;&lt;/prefs&gt;&lt;/data&gt;</vt:lpwstr>
  </property>
  <property fmtid="{D5CDD505-2E9C-101B-9397-08002B2CF9AE}" pid="3" name="UseTimer">
    <vt:bool>true</vt:bool>
  </property>
  <property fmtid="{D5CDD505-2E9C-101B-9397-08002B2CF9AE}" pid="4" name="EditTimer">
    <vt:i4>2835</vt:i4>
  </property>
</Properties>
</file>