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2BFE" w14:textId="77777777" w:rsidR="001F565A" w:rsidRPr="0087291A" w:rsidRDefault="001F565A" w:rsidP="0087291A">
      <w:pPr>
        <w:adjustRightInd w:val="0"/>
        <w:snapToGrid w:val="0"/>
        <w:spacing w:line="360" w:lineRule="auto"/>
        <w:rPr>
          <w:rFonts w:ascii="Book Antiqua" w:hAnsi="Book Antiqua" w:cs="Arial"/>
          <w:b/>
          <w:color w:val="222222"/>
          <w:sz w:val="24"/>
          <w:szCs w:val="24"/>
          <w:shd w:val="clear" w:color="auto" w:fill="FFFFFF"/>
        </w:rPr>
      </w:pPr>
      <w:r w:rsidRPr="0087291A">
        <w:rPr>
          <w:rFonts w:ascii="Book Antiqua" w:hAnsi="Book Antiqua" w:cs="Arial"/>
          <w:b/>
          <w:color w:val="222222"/>
          <w:sz w:val="24"/>
          <w:szCs w:val="24"/>
          <w:shd w:val="clear" w:color="auto" w:fill="FFFFFF"/>
        </w:rPr>
        <w:t xml:space="preserve">Name of Journal: </w:t>
      </w:r>
      <w:r w:rsidRPr="0087291A">
        <w:rPr>
          <w:rFonts w:ascii="Book Antiqua" w:hAnsi="Book Antiqua" w:cs="Arial"/>
          <w:i/>
          <w:color w:val="222222"/>
          <w:sz w:val="24"/>
          <w:szCs w:val="24"/>
          <w:shd w:val="clear" w:color="auto" w:fill="FFFFFF"/>
        </w:rPr>
        <w:t>World Journal of Clinical Cases</w:t>
      </w:r>
    </w:p>
    <w:p w14:paraId="613B904E" w14:textId="77777777" w:rsidR="001F565A" w:rsidRPr="0087291A" w:rsidRDefault="001F565A" w:rsidP="0087291A">
      <w:pPr>
        <w:adjustRightInd w:val="0"/>
        <w:snapToGrid w:val="0"/>
        <w:spacing w:line="360" w:lineRule="auto"/>
        <w:rPr>
          <w:rFonts w:ascii="Book Antiqua" w:hAnsi="Book Antiqua" w:cs="Arial"/>
          <w:b/>
          <w:color w:val="222222"/>
          <w:sz w:val="24"/>
          <w:szCs w:val="24"/>
          <w:shd w:val="clear" w:color="auto" w:fill="FFFFFF"/>
        </w:rPr>
      </w:pPr>
      <w:r w:rsidRPr="0087291A">
        <w:rPr>
          <w:rFonts w:ascii="Book Antiqua" w:hAnsi="Book Antiqua" w:cs="Arial"/>
          <w:b/>
          <w:color w:val="222222"/>
          <w:sz w:val="24"/>
          <w:szCs w:val="24"/>
          <w:shd w:val="clear" w:color="auto" w:fill="FFFFFF"/>
        </w:rPr>
        <w:t xml:space="preserve">Manuscript NO: </w:t>
      </w:r>
      <w:r w:rsidRPr="0087291A">
        <w:rPr>
          <w:rFonts w:ascii="Book Antiqua" w:hAnsi="Book Antiqua" w:cs="Arial"/>
          <w:color w:val="222222"/>
          <w:sz w:val="24"/>
          <w:szCs w:val="24"/>
          <w:shd w:val="clear" w:color="auto" w:fill="FFFFFF"/>
        </w:rPr>
        <w:t>53510</w:t>
      </w:r>
    </w:p>
    <w:p w14:paraId="451BE2CB" w14:textId="77777777" w:rsidR="001F565A" w:rsidRPr="0087291A" w:rsidRDefault="001F565A" w:rsidP="0087291A">
      <w:pPr>
        <w:adjustRightInd w:val="0"/>
        <w:snapToGrid w:val="0"/>
        <w:spacing w:line="360" w:lineRule="auto"/>
        <w:rPr>
          <w:rFonts w:ascii="Book Antiqua" w:eastAsia="幼圆" w:hAnsi="Book Antiqua"/>
          <w:sz w:val="24"/>
          <w:szCs w:val="24"/>
        </w:rPr>
      </w:pPr>
      <w:bookmarkStart w:id="0" w:name="OLE_LINK3"/>
      <w:bookmarkStart w:id="1" w:name="OLE_LINK4"/>
      <w:r w:rsidRPr="0087291A">
        <w:rPr>
          <w:rFonts w:ascii="Book Antiqua" w:hAnsi="Book Antiqua"/>
          <w:b/>
          <w:color w:val="000000"/>
          <w:sz w:val="24"/>
          <w:szCs w:val="24"/>
          <w:shd w:val="clear" w:color="auto" w:fill="FFFFFF"/>
        </w:rPr>
        <w:t>Manuscript Type</w:t>
      </w:r>
      <w:r w:rsidRPr="0087291A">
        <w:rPr>
          <w:rFonts w:ascii="Book Antiqua" w:hAnsi="Book Antiqua"/>
          <w:b/>
          <w:color w:val="000000"/>
          <w:sz w:val="24"/>
          <w:szCs w:val="24"/>
        </w:rPr>
        <w:t>:</w:t>
      </w:r>
      <w:bookmarkEnd w:id="0"/>
      <w:bookmarkEnd w:id="1"/>
      <w:r w:rsidRPr="0087291A">
        <w:rPr>
          <w:rFonts w:ascii="Book Antiqua" w:hAnsi="Book Antiqua" w:cs="Arial"/>
          <w:b/>
          <w:color w:val="222222"/>
          <w:sz w:val="24"/>
          <w:szCs w:val="24"/>
          <w:shd w:val="clear" w:color="auto" w:fill="FFFFFF"/>
        </w:rPr>
        <w:t xml:space="preserve"> </w:t>
      </w:r>
      <w:r w:rsidRPr="0087291A">
        <w:rPr>
          <w:rFonts w:ascii="Book Antiqua" w:hAnsi="Book Antiqua"/>
          <w:sz w:val="24"/>
          <w:szCs w:val="24"/>
        </w:rPr>
        <w:t>ORIGINAL ARTICLE</w:t>
      </w:r>
    </w:p>
    <w:p w14:paraId="59D85325" w14:textId="77777777" w:rsidR="001F565A" w:rsidRPr="0087291A" w:rsidRDefault="001F565A" w:rsidP="0087291A">
      <w:pPr>
        <w:adjustRightInd w:val="0"/>
        <w:snapToGrid w:val="0"/>
        <w:spacing w:line="360" w:lineRule="auto"/>
        <w:rPr>
          <w:rFonts w:ascii="Book Antiqua" w:eastAsia="幼圆" w:hAnsi="Book Antiqua"/>
          <w:sz w:val="24"/>
          <w:szCs w:val="24"/>
        </w:rPr>
      </w:pPr>
    </w:p>
    <w:p w14:paraId="5AFAA4A1" w14:textId="77777777" w:rsidR="001F565A" w:rsidRPr="0087291A" w:rsidRDefault="001F565A" w:rsidP="0087291A">
      <w:pPr>
        <w:adjustRightInd w:val="0"/>
        <w:snapToGrid w:val="0"/>
        <w:spacing w:line="360" w:lineRule="auto"/>
        <w:rPr>
          <w:rFonts w:ascii="Book Antiqua" w:eastAsia="幼圆" w:hAnsi="Book Antiqua"/>
          <w:b/>
          <w:i/>
          <w:sz w:val="24"/>
          <w:szCs w:val="24"/>
        </w:rPr>
      </w:pPr>
      <w:r w:rsidRPr="0087291A">
        <w:rPr>
          <w:rFonts w:ascii="Book Antiqua" w:eastAsia="幼圆" w:hAnsi="Book Antiqua"/>
          <w:b/>
          <w:i/>
          <w:sz w:val="24"/>
          <w:szCs w:val="24"/>
        </w:rPr>
        <w:t>Retrospective Study</w:t>
      </w:r>
    </w:p>
    <w:p w14:paraId="5C8AADCC" w14:textId="77777777" w:rsidR="001F565A" w:rsidRPr="0087291A" w:rsidRDefault="001F565A" w:rsidP="0087291A">
      <w:pPr>
        <w:widowControl/>
        <w:snapToGrid w:val="0"/>
        <w:spacing w:line="360" w:lineRule="auto"/>
        <w:rPr>
          <w:rFonts w:ascii="Book Antiqua" w:hAnsi="Book Antiqua" w:cs="Times New Roman"/>
          <w:b/>
          <w:kern w:val="0"/>
          <w:sz w:val="24"/>
          <w:szCs w:val="24"/>
          <w:lang w:eastAsia="pl-PL"/>
        </w:rPr>
      </w:pPr>
      <w:r w:rsidRPr="0087291A">
        <w:rPr>
          <w:rFonts w:ascii="Book Antiqua" w:hAnsi="Book Antiqua" w:cs="Times New Roman"/>
          <w:b/>
          <w:kern w:val="0"/>
          <w:sz w:val="24"/>
          <w:szCs w:val="24"/>
          <w:lang w:eastAsia="pl-PL"/>
        </w:rPr>
        <w:t xml:space="preserve">Outcomes of </w:t>
      </w:r>
      <w:r w:rsidR="009F557C" w:rsidRPr="0087291A">
        <w:rPr>
          <w:rFonts w:ascii="Book Antiqua" w:hAnsi="Book Antiqua" w:cs="Times New Roman"/>
          <w:b/>
          <w:kern w:val="0"/>
          <w:sz w:val="24"/>
          <w:szCs w:val="24"/>
          <w:lang w:eastAsia="pl-PL"/>
        </w:rPr>
        <w:t xml:space="preserve">patients </w:t>
      </w:r>
      <w:r w:rsidRPr="0087291A">
        <w:rPr>
          <w:rFonts w:ascii="Book Antiqua" w:hAnsi="Book Antiqua" w:cs="Times New Roman"/>
          <w:b/>
          <w:kern w:val="0"/>
          <w:sz w:val="24"/>
          <w:szCs w:val="24"/>
          <w:lang w:eastAsia="pl-PL"/>
        </w:rPr>
        <w:t xml:space="preserve">with </w:t>
      </w:r>
      <w:r w:rsidR="009F557C" w:rsidRPr="0087291A">
        <w:rPr>
          <w:rFonts w:ascii="Book Antiqua" w:hAnsi="Book Antiqua" w:cs="Times New Roman"/>
          <w:b/>
          <w:kern w:val="0"/>
          <w:sz w:val="24"/>
          <w:szCs w:val="24"/>
          <w:lang w:eastAsia="pl-PL"/>
        </w:rPr>
        <w:t xml:space="preserve">pelvic leiomyosarcoma treated </w:t>
      </w:r>
      <w:r w:rsidRPr="0087291A">
        <w:rPr>
          <w:rFonts w:ascii="Book Antiqua" w:hAnsi="Book Antiqua" w:cs="Times New Roman"/>
          <w:b/>
          <w:kern w:val="0"/>
          <w:sz w:val="24"/>
          <w:szCs w:val="24"/>
          <w:lang w:eastAsia="pl-PL"/>
        </w:rPr>
        <w:t xml:space="preserve">by </w:t>
      </w:r>
      <w:r w:rsidR="009F557C" w:rsidRPr="0087291A">
        <w:rPr>
          <w:rFonts w:ascii="Book Antiqua" w:hAnsi="Book Antiqua" w:cs="Times New Roman"/>
          <w:b/>
          <w:kern w:val="0"/>
          <w:sz w:val="24"/>
          <w:szCs w:val="24"/>
          <w:lang w:eastAsia="pl-PL"/>
        </w:rPr>
        <w:t xml:space="preserve">surgery </w:t>
      </w:r>
      <w:r w:rsidRPr="0087291A">
        <w:rPr>
          <w:rFonts w:ascii="Book Antiqua" w:hAnsi="Book Antiqua" w:cs="Times New Roman"/>
          <w:b/>
          <w:kern w:val="0"/>
          <w:sz w:val="24"/>
          <w:szCs w:val="24"/>
          <w:lang w:eastAsia="pl-PL"/>
        </w:rPr>
        <w:t xml:space="preserve">and </w:t>
      </w:r>
      <w:r w:rsidR="009F557C" w:rsidRPr="0087291A">
        <w:rPr>
          <w:rFonts w:ascii="Book Antiqua" w:hAnsi="Book Antiqua" w:cs="Times New Roman"/>
          <w:b/>
          <w:kern w:val="0"/>
          <w:sz w:val="24"/>
          <w:szCs w:val="24"/>
          <w:lang w:eastAsia="pl-PL"/>
        </w:rPr>
        <w:t>relevant auxiliary diagnosis</w:t>
      </w:r>
    </w:p>
    <w:p w14:paraId="4F3A47DF" w14:textId="77777777" w:rsidR="00692E97" w:rsidRPr="0087291A" w:rsidRDefault="00692E97" w:rsidP="0087291A">
      <w:pPr>
        <w:snapToGrid w:val="0"/>
        <w:spacing w:line="360" w:lineRule="auto"/>
        <w:rPr>
          <w:rFonts w:ascii="Book Antiqua" w:hAnsi="Book Antiqua" w:cs="Times New Roman"/>
          <w:bCs/>
          <w:kern w:val="36"/>
          <w:sz w:val="24"/>
          <w:szCs w:val="24"/>
          <w:lang w:eastAsia="pl-PL"/>
        </w:rPr>
      </w:pPr>
    </w:p>
    <w:p w14:paraId="09E40AE9"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Cs/>
          <w:kern w:val="36"/>
          <w:sz w:val="24"/>
          <w:szCs w:val="24"/>
          <w:lang w:eastAsia="pl-PL"/>
        </w:rPr>
        <w:t>S</w:t>
      </w:r>
      <w:r w:rsidR="009F557C" w:rsidRPr="0087291A">
        <w:rPr>
          <w:rFonts w:ascii="Book Antiqua" w:hAnsi="Book Antiqua" w:cs="Times New Roman"/>
          <w:bCs/>
          <w:kern w:val="36"/>
          <w:sz w:val="24"/>
          <w:szCs w:val="24"/>
          <w:lang w:eastAsia="pl-PL"/>
        </w:rPr>
        <w:t>un Q</w:t>
      </w:r>
      <w:r w:rsidRPr="0087291A">
        <w:rPr>
          <w:rFonts w:ascii="Book Antiqua" w:hAnsi="Book Antiqua" w:cs="Times New Roman"/>
          <w:bCs/>
          <w:kern w:val="36"/>
          <w:sz w:val="24"/>
          <w:szCs w:val="24"/>
          <w:lang w:eastAsia="pl-PL"/>
        </w:rPr>
        <w:t xml:space="preserve"> </w:t>
      </w:r>
      <w:r w:rsidRPr="0087291A">
        <w:rPr>
          <w:rFonts w:ascii="Book Antiqua" w:hAnsi="Book Antiqua" w:cs="Times New Roman"/>
          <w:i/>
          <w:kern w:val="0"/>
          <w:sz w:val="24"/>
          <w:szCs w:val="24"/>
          <w:lang w:eastAsia="pl-PL"/>
        </w:rPr>
        <w:t>et al.</w:t>
      </w:r>
      <w:r w:rsidRPr="0087291A">
        <w:rPr>
          <w:rFonts w:ascii="Book Antiqua" w:hAnsi="Book Antiqua" w:cs="Times New Roman"/>
          <w:bCs/>
          <w:kern w:val="36"/>
          <w:sz w:val="24"/>
          <w:szCs w:val="24"/>
          <w:lang w:eastAsia="pl-PL"/>
        </w:rPr>
        <w:t xml:space="preserve"> Outcomes</w:t>
      </w:r>
      <w:r w:rsidR="008012FF" w:rsidRPr="0087291A">
        <w:rPr>
          <w:rFonts w:ascii="Book Antiqua" w:hAnsi="Book Antiqua" w:cs="Times New Roman"/>
          <w:bCs/>
          <w:kern w:val="36"/>
          <w:sz w:val="24"/>
          <w:szCs w:val="24"/>
          <w:lang w:eastAsia="pl-PL"/>
        </w:rPr>
        <w:t xml:space="preserve"> </w:t>
      </w:r>
      <w:r w:rsidR="008012FF" w:rsidRPr="0087291A">
        <w:rPr>
          <w:rFonts w:ascii="Book Antiqua" w:hAnsi="Book Antiqua" w:cs="Times New Roman"/>
          <w:bCs/>
          <w:kern w:val="36"/>
          <w:sz w:val="24"/>
          <w:szCs w:val="24"/>
        </w:rPr>
        <w:t>and diagnosis</w:t>
      </w:r>
      <w:r w:rsidRPr="0087291A">
        <w:rPr>
          <w:rFonts w:ascii="Book Antiqua" w:hAnsi="Book Antiqua" w:cs="Times New Roman"/>
          <w:bCs/>
          <w:kern w:val="36"/>
          <w:sz w:val="24"/>
          <w:szCs w:val="24"/>
          <w:lang w:eastAsia="pl-PL"/>
        </w:rPr>
        <w:t xml:space="preserve"> of pelvic leiomyosarcoma</w:t>
      </w:r>
    </w:p>
    <w:p w14:paraId="0C833868"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p>
    <w:p w14:paraId="2117A442"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Cs/>
          <w:kern w:val="36"/>
          <w:sz w:val="24"/>
          <w:szCs w:val="24"/>
          <w:lang w:eastAsia="pl-PL"/>
        </w:rPr>
        <w:t>Qian Sun, Xin Yang, Zhen Zeng, Xiao Wei, Ke</w:t>
      </w:r>
      <w:r w:rsidR="00B67903" w:rsidRPr="0087291A">
        <w:rPr>
          <w:rFonts w:ascii="Book Antiqua" w:hAnsi="Book Antiqua" w:cs="Times New Roman"/>
          <w:bCs/>
          <w:kern w:val="36"/>
          <w:sz w:val="24"/>
          <w:szCs w:val="24"/>
          <w:lang w:eastAsia="pl-PL"/>
        </w:rPr>
        <w:t xml:space="preserve">-Zhen </w:t>
      </w:r>
      <w:r w:rsidRPr="0087291A">
        <w:rPr>
          <w:rFonts w:ascii="Book Antiqua" w:hAnsi="Book Antiqua" w:cs="Times New Roman"/>
          <w:bCs/>
          <w:kern w:val="36"/>
          <w:sz w:val="24"/>
          <w:szCs w:val="24"/>
          <w:lang w:eastAsia="pl-PL"/>
        </w:rPr>
        <w:t>Li, Xiao</w:t>
      </w:r>
      <w:r w:rsidR="00B67903" w:rsidRPr="0087291A">
        <w:rPr>
          <w:rFonts w:ascii="Book Antiqua" w:hAnsi="Book Antiqua" w:cs="Times New Roman"/>
          <w:bCs/>
          <w:kern w:val="36"/>
          <w:sz w:val="24"/>
          <w:szCs w:val="24"/>
          <w:lang w:eastAsia="pl-PL"/>
        </w:rPr>
        <w:t xml:space="preserve">-Yan </w:t>
      </w:r>
      <w:r w:rsidRPr="0087291A">
        <w:rPr>
          <w:rFonts w:ascii="Book Antiqua" w:hAnsi="Book Antiqua" w:cs="Times New Roman"/>
          <w:bCs/>
          <w:kern w:val="36"/>
          <w:sz w:val="24"/>
          <w:szCs w:val="24"/>
          <w:lang w:eastAsia="pl-PL"/>
        </w:rPr>
        <w:t>Xu.</w:t>
      </w:r>
    </w:p>
    <w:p w14:paraId="23052D7A"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p>
    <w:p w14:paraId="18AE6F53" w14:textId="77777777"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
          <w:bCs/>
          <w:kern w:val="36"/>
          <w:sz w:val="24"/>
          <w:szCs w:val="24"/>
          <w:lang w:eastAsia="pl-PL"/>
        </w:rPr>
        <w:t>Qian Sun, Xin Yang, Zhen Zeng, Xiao Wei, Ke</w:t>
      </w:r>
      <w:r w:rsidR="00B67903" w:rsidRPr="0087291A">
        <w:rPr>
          <w:rFonts w:ascii="Book Antiqua" w:hAnsi="Book Antiqua" w:cs="Times New Roman"/>
          <w:b/>
          <w:bCs/>
          <w:kern w:val="36"/>
          <w:sz w:val="24"/>
          <w:szCs w:val="24"/>
          <w:lang w:eastAsia="pl-PL"/>
        </w:rPr>
        <w:t xml:space="preserve">-Zhen </w:t>
      </w:r>
      <w:r w:rsidRPr="0087291A">
        <w:rPr>
          <w:rFonts w:ascii="Book Antiqua" w:hAnsi="Book Antiqua" w:cs="Times New Roman"/>
          <w:b/>
          <w:bCs/>
          <w:kern w:val="36"/>
          <w:sz w:val="24"/>
          <w:szCs w:val="24"/>
          <w:lang w:eastAsia="pl-PL"/>
        </w:rPr>
        <w:t>Li, Xiao</w:t>
      </w:r>
      <w:r w:rsidR="00B67903" w:rsidRPr="0087291A">
        <w:rPr>
          <w:rFonts w:ascii="Book Antiqua" w:hAnsi="Book Antiqua" w:cs="Times New Roman"/>
          <w:b/>
          <w:bCs/>
          <w:kern w:val="36"/>
          <w:sz w:val="24"/>
          <w:szCs w:val="24"/>
          <w:lang w:eastAsia="pl-PL"/>
        </w:rPr>
        <w:t xml:space="preserve">-Yan </w:t>
      </w:r>
      <w:r w:rsidRPr="0087291A">
        <w:rPr>
          <w:rFonts w:ascii="Book Antiqua" w:hAnsi="Book Antiqua" w:cs="Times New Roman"/>
          <w:b/>
          <w:bCs/>
          <w:kern w:val="36"/>
          <w:sz w:val="24"/>
          <w:szCs w:val="24"/>
          <w:lang w:eastAsia="pl-PL"/>
        </w:rPr>
        <w:t xml:space="preserve">Xu, </w:t>
      </w:r>
      <w:r w:rsidRPr="0087291A">
        <w:rPr>
          <w:rFonts w:ascii="Book Antiqua" w:hAnsi="Book Antiqua" w:cs="Times New Roman"/>
          <w:bCs/>
          <w:kern w:val="36"/>
          <w:sz w:val="24"/>
          <w:szCs w:val="24"/>
          <w:lang w:eastAsia="pl-PL"/>
        </w:rPr>
        <w:t xml:space="preserve">Department of Obstetrics and Gynaecology, Tongji Hospital, Tongji Medical College, Huazhong University of Science and </w:t>
      </w:r>
      <w:r w:rsidR="00B67903" w:rsidRPr="0087291A">
        <w:rPr>
          <w:rFonts w:ascii="Book Antiqua" w:hAnsi="Book Antiqua" w:cs="Times New Roman"/>
          <w:bCs/>
          <w:kern w:val="36"/>
          <w:sz w:val="24"/>
          <w:szCs w:val="24"/>
          <w:lang w:eastAsia="pl-PL"/>
        </w:rPr>
        <w:t>Technology, Wuhan 430030, Hubei Province, China</w:t>
      </w:r>
    </w:p>
    <w:p w14:paraId="76F179FF" w14:textId="77777777" w:rsidR="001F565A" w:rsidRPr="0087291A" w:rsidRDefault="001F565A" w:rsidP="0087291A">
      <w:pPr>
        <w:snapToGrid w:val="0"/>
        <w:spacing w:line="360" w:lineRule="auto"/>
        <w:rPr>
          <w:rFonts w:ascii="Book Antiqua" w:hAnsi="Book Antiqua" w:cs="Arial"/>
          <w:b/>
          <w:sz w:val="24"/>
          <w:szCs w:val="24"/>
          <w:lang w:val="en-GB"/>
        </w:rPr>
      </w:pPr>
    </w:p>
    <w:p w14:paraId="28E22A58" w14:textId="41D227BB"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Arial"/>
          <w:b/>
          <w:sz w:val="24"/>
          <w:szCs w:val="24"/>
          <w:lang w:val="en-GB"/>
        </w:rPr>
        <w:t>Author contributions:</w:t>
      </w:r>
      <w:r w:rsidRPr="0087291A">
        <w:rPr>
          <w:rFonts w:ascii="Book Antiqua" w:hAnsi="Book Antiqua" w:cs="Arial"/>
          <w:sz w:val="24"/>
          <w:szCs w:val="24"/>
          <w:lang w:val="en-GB"/>
        </w:rPr>
        <w:t xml:space="preserve"> </w:t>
      </w:r>
      <w:r w:rsidRPr="0087291A">
        <w:rPr>
          <w:rFonts w:ascii="Book Antiqua" w:hAnsi="Book Antiqua" w:cs="Times New Roman"/>
          <w:bCs/>
          <w:kern w:val="36"/>
          <w:sz w:val="24"/>
          <w:szCs w:val="24"/>
          <w:lang w:eastAsia="pl-PL"/>
        </w:rPr>
        <w:t xml:space="preserve">Sun </w:t>
      </w:r>
      <w:r w:rsidR="00BC25C1" w:rsidRPr="0087291A">
        <w:rPr>
          <w:rFonts w:ascii="Book Antiqua" w:hAnsi="Book Antiqua" w:cs="Times New Roman"/>
          <w:bCs/>
          <w:kern w:val="36"/>
          <w:sz w:val="24"/>
          <w:szCs w:val="24"/>
          <w:lang w:eastAsia="pl-PL"/>
        </w:rPr>
        <w:t xml:space="preserve">Q </w:t>
      </w:r>
      <w:r w:rsidRPr="0087291A">
        <w:rPr>
          <w:rFonts w:ascii="Book Antiqua" w:hAnsi="Book Antiqua" w:cs="Times New Roman"/>
          <w:bCs/>
          <w:kern w:val="36"/>
          <w:sz w:val="24"/>
          <w:szCs w:val="24"/>
          <w:lang w:eastAsia="pl-PL"/>
        </w:rPr>
        <w:t>and Yang</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desi</w:t>
      </w:r>
      <w:r w:rsidR="00BC25C1" w:rsidRPr="0087291A">
        <w:rPr>
          <w:rFonts w:ascii="Book Antiqua" w:hAnsi="Book Antiqua" w:cs="Times New Roman"/>
          <w:bCs/>
          <w:kern w:val="36"/>
          <w:sz w:val="24"/>
          <w:szCs w:val="24"/>
          <w:lang w:eastAsia="pl-PL"/>
        </w:rPr>
        <w:t>gned and performed the research;</w:t>
      </w:r>
      <w:r w:rsidRPr="0087291A">
        <w:rPr>
          <w:rFonts w:ascii="Book Antiqua" w:hAnsi="Book Antiqua" w:cs="Times New Roman"/>
          <w:bCs/>
          <w:kern w:val="36"/>
          <w:sz w:val="24"/>
          <w:szCs w:val="24"/>
          <w:lang w:eastAsia="pl-PL"/>
        </w:rPr>
        <w:t xml:space="preserve"> Wei</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and Zeng</w:t>
      </w:r>
      <w:r w:rsidR="00BC25C1" w:rsidRPr="0087291A">
        <w:rPr>
          <w:rFonts w:ascii="Book Antiqua" w:hAnsi="Book Antiqua" w:cs="Times New Roman"/>
          <w:bCs/>
          <w:kern w:val="36"/>
          <w:sz w:val="24"/>
          <w:szCs w:val="24"/>
          <w:lang w:eastAsia="pl-PL"/>
        </w:rPr>
        <w:t xml:space="preserve"> Z</w:t>
      </w:r>
      <w:r w:rsidRPr="0087291A">
        <w:rPr>
          <w:rFonts w:ascii="Book Antiqua" w:hAnsi="Book Antiqua" w:cs="Times New Roman"/>
          <w:bCs/>
          <w:kern w:val="36"/>
          <w:sz w:val="24"/>
          <w:szCs w:val="24"/>
          <w:lang w:eastAsia="pl-PL"/>
        </w:rPr>
        <w:t xml:space="preserve"> </w:t>
      </w:r>
      <w:r w:rsidR="006417D2" w:rsidRPr="006417D2">
        <w:rPr>
          <w:rFonts w:ascii="Book Antiqua" w:hAnsi="Book Antiqua" w:cs="Times New Roman"/>
          <w:bCs/>
          <w:kern w:val="36"/>
          <w:sz w:val="24"/>
          <w:szCs w:val="24"/>
          <w:lang w:eastAsia="pl-PL"/>
        </w:rPr>
        <w:t>conceptualized the study</w:t>
      </w:r>
      <w:r w:rsidR="006417D2" w:rsidRPr="006417D2" w:rsidDel="006417D2">
        <w:rPr>
          <w:rFonts w:ascii="Book Antiqua" w:hAnsi="Book Antiqua" w:cs="Times New Roman"/>
          <w:bCs/>
          <w:kern w:val="36"/>
          <w:sz w:val="24"/>
          <w:szCs w:val="24"/>
          <w:lang w:eastAsia="pl-PL"/>
        </w:rPr>
        <w:t xml:space="preserve"> </w:t>
      </w:r>
      <w:r w:rsidR="00BC25C1" w:rsidRPr="0087291A">
        <w:rPr>
          <w:rFonts w:ascii="Book Antiqua" w:hAnsi="Book Antiqua" w:cs="Times New Roman"/>
          <w:bCs/>
          <w:kern w:val="36"/>
          <w:sz w:val="24"/>
          <w:szCs w:val="24"/>
          <w:lang w:eastAsia="pl-PL"/>
        </w:rPr>
        <w:t>and analyzed</w:t>
      </w:r>
      <w:r w:rsidR="006417D2">
        <w:rPr>
          <w:rFonts w:ascii="Book Antiqua" w:hAnsi="Book Antiqua" w:cs="Times New Roman"/>
          <w:bCs/>
          <w:kern w:val="36"/>
          <w:sz w:val="24"/>
          <w:szCs w:val="24"/>
          <w:lang w:eastAsia="pl-PL"/>
        </w:rPr>
        <w:t xml:space="preserve"> the</w:t>
      </w:r>
      <w:r w:rsidR="00BC25C1" w:rsidRPr="0087291A">
        <w:rPr>
          <w:rFonts w:ascii="Book Antiqua" w:hAnsi="Book Antiqua" w:cs="Times New Roman"/>
          <w:bCs/>
          <w:kern w:val="36"/>
          <w:sz w:val="24"/>
          <w:szCs w:val="24"/>
          <w:lang w:eastAsia="pl-PL"/>
        </w:rPr>
        <w:t xml:space="preserve"> clinical data;</w:t>
      </w:r>
      <w:r w:rsidRPr="0087291A">
        <w:rPr>
          <w:rFonts w:ascii="Book Antiqua" w:hAnsi="Book Antiqua" w:cs="Times New Roman"/>
          <w:bCs/>
          <w:kern w:val="36"/>
          <w:sz w:val="24"/>
          <w:szCs w:val="24"/>
          <w:lang w:eastAsia="pl-PL"/>
        </w:rPr>
        <w:t xml:space="preserve"> Li</w:t>
      </w:r>
      <w:r w:rsidR="00BC25C1" w:rsidRPr="0087291A">
        <w:rPr>
          <w:rFonts w:ascii="Book Antiqua" w:hAnsi="Book Antiqua" w:cs="Times New Roman"/>
          <w:bCs/>
          <w:kern w:val="36"/>
          <w:sz w:val="24"/>
          <w:szCs w:val="24"/>
          <w:lang w:eastAsia="pl-PL"/>
        </w:rPr>
        <w:t xml:space="preserve"> KZ</w:t>
      </w:r>
      <w:r w:rsidRPr="0087291A">
        <w:rPr>
          <w:rFonts w:ascii="Book Antiqua" w:hAnsi="Book Antiqua" w:cs="Times New Roman"/>
          <w:bCs/>
          <w:kern w:val="36"/>
          <w:sz w:val="24"/>
          <w:szCs w:val="24"/>
          <w:lang w:eastAsia="pl-PL"/>
        </w:rPr>
        <w:t xml:space="preserve"> and Xu</w:t>
      </w:r>
      <w:r w:rsidR="00BC25C1" w:rsidRPr="0087291A">
        <w:rPr>
          <w:rFonts w:ascii="Book Antiqua" w:hAnsi="Book Antiqua" w:cs="Times New Roman"/>
          <w:bCs/>
          <w:kern w:val="36"/>
          <w:sz w:val="24"/>
          <w:szCs w:val="24"/>
          <w:lang w:eastAsia="pl-PL"/>
        </w:rPr>
        <w:t xml:space="preserve"> XY</w:t>
      </w:r>
      <w:r w:rsidRPr="0087291A">
        <w:rPr>
          <w:rFonts w:ascii="Book Antiqua" w:hAnsi="Book Antiqua"/>
          <w:sz w:val="24"/>
          <w:szCs w:val="24"/>
        </w:rPr>
        <w:t xml:space="preserve"> </w:t>
      </w:r>
      <w:r w:rsidRPr="0087291A">
        <w:rPr>
          <w:rFonts w:ascii="Book Antiqua" w:hAnsi="Book Antiqua" w:cs="Times New Roman"/>
          <w:bCs/>
          <w:kern w:val="36"/>
          <w:sz w:val="24"/>
          <w:szCs w:val="24"/>
          <w:lang w:eastAsia="pl-PL"/>
        </w:rPr>
        <w:t>supervised the study</w:t>
      </w:r>
      <w:r w:rsidR="00BC25C1" w:rsidRPr="0087291A">
        <w:rPr>
          <w:rFonts w:ascii="Book Antiqua" w:hAnsi="Book Antiqua" w:cs="Times New Roman"/>
          <w:bCs/>
          <w:kern w:val="36"/>
          <w:sz w:val="24"/>
          <w:szCs w:val="24"/>
          <w:lang w:eastAsia="pl-PL"/>
        </w:rPr>
        <w:t>;</w:t>
      </w:r>
      <w:r w:rsidRPr="0087291A">
        <w:rPr>
          <w:rFonts w:ascii="Book Antiqua" w:hAnsi="Book Antiqua" w:cs="Times New Roman"/>
          <w:bCs/>
          <w:kern w:val="36"/>
          <w:sz w:val="24"/>
          <w:szCs w:val="24"/>
          <w:lang w:eastAsia="pl-PL"/>
        </w:rPr>
        <w:t xml:space="preserve"> Sun</w:t>
      </w:r>
      <w:r w:rsidR="00BC25C1" w:rsidRPr="0087291A">
        <w:rPr>
          <w:rFonts w:ascii="Book Antiqua" w:hAnsi="Book Antiqua" w:cs="Times New Roman"/>
          <w:bCs/>
          <w:kern w:val="36"/>
          <w:sz w:val="24"/>
          <w:szCs w:val="24"/>
          <w:lang w:eastAsia="pl-PL"/>
        </w:rPr>
        <w:t xml:space="preserve"> Q</w:t>
      </w:r>
      <w:r w:rsidRPr="0087291A">
        <w:rPr>
          <w:rFonts w:ascii="Book Antiqua" w:hAnsi="Book Antiqua" w:cs="Times New Roman"/>
          <w:bCs/>
          <w:kern w:val="36"/>
          <w:sz w:val="24"/>
          <w:szCs w:val="24"/>
          <w:lang w:eastAsia="pl-PL"/>
        </w:rPr>
        <w:t xml:space="preserve"> and Yang</w:t>
      </w:r>
      <w:r w:rsidR="00BC25C1" w:rsidRPr="0087291A">
        <w:rPr>
          <w:rFonts w:ascii="Book Antiqua" w:hAnsi="Book Antiqua" w:cs="Times New Roman"/>
          <w:bCs/>
          <w:kern w:val="36"/>
          <w:sz w:val="24"/>
          <w:szCs w:val="24"/>
          <w:lang w:eastAsia="pl-PL"/>
        </w:rPr>
        <w:t xml:space="preserve"> X</w:t>
      </w:r>
      <w:r w:rsidRPr="0087291A">
        <w:rPr>
          <w:rFonts w:ascii="Book Antiqua" w:hAnsi="Book Antiqua" w:cs="Times New Roman"/>
          <w:bCs/>
          <w:kern w:val="36"/>
          <w:sz w:val="24"/>
          <w:szCs w:val="24"/>
          <w:lang w:eastAsia="pl-PL"/>
        </w:rPr>
        <w:t xml:space="preserve"> </w:t>
      </w:r>
      <w:r w:rsidRPr="0087291A">
        <w:rPr>
          <w:rFonts w:ascii="Book Antiqua" w:hAnsi="Book Antiqua" w:cs="Arial"/>
          <w:sz w:val="24"/>
          <w:szCs w:val="24"/>
          <w:lang w:val="en-GB"/>
        </w:rPr>
        <w:t>contributed equally to this work</w:t>
      </w:r>
      <w:r w:rsidR="00BC25C1" w:rsidRPr="0087291A">
        <w:rPr>
          <w:rFonts w:ascii="Book Antiqua" w:hAnsi="Book Antiqua" w:cs="Times New Roman"/>
          <w:bCs/>
          <w:kern w:val="36"/>
          <w:sz w:val="24"/>
          <w:szCs w:val="24"/>
          <w:lang w:val="en-GB" w:eastAsia="pl-PL"/>
        </w:rPr>
        <w:t>;</w:t>
      </w:r>
      <w:r w:rsidRPr="0087291A">
        <w:rPr>
          <w:rFonts w:ascii="Book Antiqua" w:hAnsi="Book Antiqua" w:cs="Times New Roman"/>
          <w:bCs/>
          <w:kern w:val="36"/>
          <w:sz w:val="24"/>
          <w:szCs w:val="24"/>
          <w:lang w:val="en-GB" w:eastAsia="pl-PL"/>
        </w:rPr>
        <w:t xml:space="preserve"> </w:t>
      </w:r>
      <w:r w:rsidR="006417D2">
        <w:rPr>
          <w:rFonts w:ascii="Book Antiqua" w:hAnsi="Book Antiqua" w:cs="Times New Roman"/>
          <w:bCs/>
          <w:kern w:val="36"/>
          <w:sz w:val="24"/>
          <w:szCs w:val="24"/>
          <w:lang w:eastAsia="pl-PL"/>
        </w:rPr>
        <w:t>a</w:t>
      </w:r>
      <w:r w:rsidR="006417D2" w:rsidRPr="0087291A">
        <w:rPr>
          <w:rFonts w:ascii="Book Antiqua" w:hAnsi="Book Antiqua" w:cs="Times New Roman"/>
          <w:bCs/>
          <w:kern w:val="36"/>
          <w:sz w:val="24"/>
          <w:szCs w:val="24"/>
          <w:lang w:eastAsia="pl-PL"/>
        </w:rPr>
        <w:t xml:space="preserve">ll </w:t>
      </w:r>
      <w:r w:rsidRPr="0087291A">
        <w:rPr>
          <w:rFonts w:ascii="Book Antiqua" w:hAnsi="Book Antiqua" w:cs="Times New Roman"/>
          <w:bCs/>
          <w:kern w:val="36"/>
          <w:sz w:val="24"/>
          <w:szCs w:val="24"/>
          <w:lang w:eastAsia="pl-PL"/>
        </w:rPr>
        <w:t xml:space="preserve">authors </w:t>
      </w:r>
      <w:r w:rsidR="006417D2">
        <w:rPr>
          <w:rFonts w:ascii="Book Antiqua" w:hAnsi="Book Antiqua" w:cs="Times New Roman"/>
          <w:bCs/>
          <w:kern w:val="36"/>
          <w:sz w:val="24"/>
          <w:szCs w:val="24"/>
          <w:lang w:eastAsia="pl-PL"/>
        </w:rPr>
        <w:t>approved</w:t>
      </w:r>
      <w:r w:rsidRPr="0087291A">
        <w:rPr>
          <w:rFonts w:ascii="Book Antiqua" w:hAnsi="Book Antiqua" w:cs="Times New Roman"/>
          <w:bCs/>
          <w:kern w:val="36"/>
          <w:sz w:val="24"/>
          <w:szCs w:val="24"/>
          <w:lang w:eastAsia="pl-PL"/>
        </w:rPr>
        <w:t xml:space="preserve"> the submitted version.</w:t>
      </w:r>
    </w:p>
    <w:p w14:paraId="077F2B71" w14:textId="77777777" w:rsidR="001F565A" w:rsidRPr="00A072D3" w:rsidRDefault="001F565A" w:rsidP="0087291A">
      <w:pPr>
        <w:snapToGrid w:val="0"/>
        <w:spacing w:line="360" w:lineRule="auto"/>
        <w:rPr>
          <w:rFonts w:ascii="Book Antiqua" w:hAnsi="Book Antiqua" w:cs="Arial"/>
          <w:b/>
          <w:sz w:val="24"/>
          <w:szCs w:val="24"/>
        </w:rPr>
      </w:pPr>
    </w:p>
    <w:p w14:paraId="34B24DBE"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b/>
          <w:sz w:val="24"/>
          <w:szCs w:val="24"/>
          <w:lang w:val="en-GB"/>
        </w:rPr>
        <w:t>Supported by</w:t>
      </w:r>
      <w:r w:rsidRPr="0087291A">
        <w:rPr>
          <w:rFonts w:ascii="Book Antiqua" w:hAnsi="Book Antiqua"/>
          <w:sz w:val="24"/>
          <w:szCs w:val="24"/>
        </w:rPr>
        <w:t xml:space="preserve"> </w:t>
      </w:r>
      <w:r w:rsidRPr="0087291A">
        <w:rPr>
          <w:rFonts w:ascii="Book Antiqua" w:hAnsi="Book Antiqua" w:cs="Arial"/>
          <w:sz w:val="24"/>
          <w:szCs w:val="24"/>
          <w:lang w:val="en-GB"/>
        </w:rPr>
        <w:t>National Natural Science Foundation of China</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81501530</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Scientific Research Projects of Hubei Health Commission</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WJ2019M130</w:t>
      </w:r>
      <w:r w:rsidR="00BC25C1" w:rsidRPr="0087291A">
        <w:rPr>
          <w:rFonts w:ascii="Book Antiqua" w:hAnsi="Book Antiqua" w:cs="Arial"/>
          <w:sz w:val="24"/>
          <w:szCs w:val="24"/>
          <w:lang w:val="en-GB"/>
        </w:rPr>
        <w:t>;</w:t>
      </w:r>
      <w:r w:rsidRPr="0087291A">
        <w:rPr>
          <w:rFonts w:ascii="Book Antiqua" w:hAnsi="Book Antiqua" w:cs="Arial"/>
          <w:sz w:val="24"/>
          <w:szCs w:val="24"/>
          <w:lang w:val="en-GB"/>
        </w:rPr>
        <w:t xml:space="preserve"> and Scientific Research Fund of Tongji Hospital</w:t>
      </w:r>
      <w:r w:rsidR="00F530D9">
        <w:rPr>
          <w:rFonts w:ascii="Book Antiqua" w:hAnsi="Book Antiqua" w:cs="Arial"/>
          <w:sz w:val="24"/>
          <w:szCs w:val="24"/>
          <w:lang w:val="en-GB"/>
        </w:rPr>
        <w:t>,</w:t>
      </w:r>
      <w:r w:rsidRPr="0087291A">
        <w:rPr>
          <w:rFonts w:ascii="Book Antiqua" w:hAnsi="Book Antiqua" w:cs="Arial"/>
          <w:sz w:val="24"/>
          <w:szCs w:val="24"/>
          <w:lang w:val="en-GB"/>
        </w:rPr>
        <w:t xml:space="preserve"> No.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2018B02.</w:t>
      </w:r>
    </w:p>
    <w:p w14:paraId="375D34A3" w14:textId="77777777" w:rsidR="001F565A" w:rsidRPr="0087291A" w:rsidRDefault="001F565A" w:rsidP="0087291A">
      <w:pPr>
        <w:snapToGrid w:val="0"/>
        <w:spacing w:line="360" w:lineRule="auto"/>
        <w:rPr>
          <w:rFonts w:ascii="Book Antiqua" w:hAnsi="Book Antiqua" w:cs="Arial"/>
          <w:b/>
          <w:sz w:val="24"/>
          <w:szCs w:val="24"/>
          <w:lang w:val="en-GB"/>
        </w:rPr>
      </w:pPr>
    </w:p>
    <w:p w14:paraId="0DB9170D" w14:textId="64B0A6FF" w:rsidR="001F565A" w:rsidRPr="0087291A" w:rsidRDefault="001F565A" w:rsidP="0087291A">
      <w:pPr>
        <w:snapToGrid w:val="0"/>
        <w:spacing w:line="360" w:lineRule="auto"/>
        <w:rPr>
          <w:rFonts w:ascii="Book Antiqua" w:hAnsi="Book Antiqua" w:cs="Times New Roman"/>
          <w:bCs/>
          <w:kern w:val="36"/>
          <w:sz w:val="24"/>
          <w:szCs w:val="24"/>
          <w:lang w:eastAsia="pl-PL"/>
        </w:rPr>
      </w:pPr>
      <w:r w:rsidRPr="0087291A">
        <w:rPr>
          <w:rFonts w:ascii="Book Antiqua" w:hAnsi="Book Antiqua" w:cs="Times New Roman"/>
          <w:b/>
          <w:bCs/>
          <w:kern w:val="36"/>
          <w:sz w:val="24"/>
          <w:szCs w:val="24"/>
          <w:lang w:eastAsia="pl-PL"/>
        </w:rPr>
        <w:t>Corresponding author: Xiao</w:t>
      </w:r>
      <w:r w:rsidR="00BC25C1" w:rsidRPr="0087291A">
        <w:rPr>
          <w:rFonts w:ascii="Book Antiqua" w:hAnsi="Book Antiqua" w:cs="Times New Roman"/>
          <w:b/>
          <w:bCs/>
          <w:kern w:val="36"/>
          <w:sz w:val="24"/>
          <w:szCs w:val="24"/>
          <w:lang w:eastAsia="pl-PL"/>
        </w:rPr>
        <w:t xml:space="preserve">-Yan </w:t>
      </w:r>
      <w:r w:rsidRPr="0087291A">
        <w:rPr>
          <w:rFonts w:ascii="Book Antiqua" w:hAnsi="Book Antiqua" w:cs="Times New Roman"/>
          <w:b/>
          <w:bCs/>
          <w:kern w:val="36"/>
          <w:sz w:val="24"/>
          <w:szCs w:val="24"/>
          <w:lang w:eastAsia="pl-PL"/>
        </w:rPr>
        <w:t xml:space="preserve">Xu, PhD, Doctor, </w:t>
      </w:r>
      <w:r w:rsidRPr="0087291A">
        <w:rPr>
          <w:rFonts w:ascii="Book Antiqua" w:hAnsi="Book Antiqua" w:cs="Arial"/>
          <w:sz w:val="24"/>
          <w:szCs w:val="24"/>
        </w:rPr>
        <w:t>Department of Obstetrics and Gynaecology, Tongji Hospital, Tongji Medical College, Huazhong University of Science and Technology, No.</w:t>
      </w:r>
      <w:r w:rsidR="006417D2">
        <w:rPr>
          <w:rFonts w:ascii="Book Antiqua" w:hAnsi="Book Antiqua" w:cs="Arial"/>
          <w:sz w:val="24"/>
          <w:szCs w:val="24"/>
        </w:rPr>
        <w:t xml:space="preserve"> </w:t>
      </w:r>
      <w:r w:rsidRPr="0087291A">
        <w:rPr>
          <w:rFonts w:ascii="Book Antiqua" w:hAnsi="Book Antiqua" w:cs="Arial"/>
          <w:sz w:val="24"/>
          <w:szCs w:val="24"/>
        </w:rPr>
        <w:t>1095</w:t>
      </w:r>
      <w:r w:rsidR="006417D2">
        <w:rPr>
          <w:rFonts w:ascii="Book Antiqua" w:hAnsi="Book Antiqua" w:cs="Arial"/>
          <w:sz w:val="24"/>
          <w:szCs w:val="24"/>
        </w:rPr>
        <w:t>,</w:t>
      </w:r>
      <w:r w:rsidRPr="0087291A">
        <w:rPr>
          <w:rFonts w:ascii="Book Antiqua" w:hAnsi="Book Antiqua" w:cs="Arial"/>
          <w:sz w:val="24"/>
          <w:szCs w:val="24"/>
        </w:rPr>
        <w:t xml:space="preserve"> Jiefang Avenue, Wuhan 430030, </w:t>
      </w:r>
      <w:r w:rsidR="00BC25C1" w:rsidRPr="0087291A">
        <w:rPr>
          <w:rFonts w:ascii="Book Antiqua" w:hAnsi="Book Antiqua" w:cs="Times New Roman"/>
          <w:bCs/>
          <w:kern w:val="36"/>
          <w:sz w:val="24"/>
          <w:szCs w:val="24"/>
          <w:lang w:eastAsia="pl-PL"/>
        </w:rPr>
        <w:t xml:space="preserve">Hubei Province, </w:t>
      </w:r>
      <w:r w:rsidRPr="0087291A">
        <w:rPr>
          <w:rFonts w:ascii="Book Antiqua" w:hAnsi="Book Antiqua" w:cs="Arial"/>
          <w:sz w:val="24"/>
          <w:szCs w:val="24"/>
        </w:rPr>
        <w:t>China</w:t>
      </w:r>
      <w:r w:rsidRPr="0087291A">
        <w:rPr>
          <w:rFonts w:ascii="Book Antiqua" w:hAnsi="Book Antiqua" w:cs="Times New Roman"/>
          <w:bCs/>
          <w:kern w:val="36"/>
          <w:sz w:val="24"/>
          <w:szCs w:val="24"/>
          <w:lang w:eastAsia="pl-PL"/>
        </w:rPr>
        <w:t xml:space="preserve">. </w:t>
      </w:r>
      <w:r w:rsidRPr="00BE219D">
        <w:rPr>
          <w:rFonts w:ascii="Book Antiqua" w:hAnsi="Book Antiqua" w:cs="Times New Roman"/>
          <w:bCs/>
          <w:kern w:val="36"/>
          <w:sz w:val="24"/>
          <w:szCs w:val="24"/>
          <w:lang w:eastAsia="pl-PL"/>
        </w:rPr>
        <w:t>xuxiaoyan@tjh.tjmu.edu.cn</w:t>
      </w:r>
    </w:p>
    <w:p w14:paraId="10B60C4A" w14:textId="77777777" w:rsidR="001F565A" w:rsidRPr="0087291A" w:rsidRDefault="001F565A" w:rsidP="0087291A">
      <w:pPr>
        <w:snapToGrid w:val="0"/>
        <w:spacing w:line="360" w:lineRule="auto"/>
        <w:rPr>
          <w:rFonts w:ascii="Book Antiqua" w:hAnsi="Book Antiqua" w:cs="Arial"/>
          <w:b/>
          <w:sz w:val="24"/>
          <w:szCs w:val="24"/>
          <w:lang w:val="en-GB"/>
        </w:rPr>
      </w:pPr>
    </w:p>
    <w:p w14:paraId="3302400F" w14:textId="77777777"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lastRenderedPageBreak/>
        <w:t xml:space="preserve">Received: </w:t>
      </w:r>
      <w:r w:rsidRPr="0087291A">
        <w:rPr>
          <w:rFonts w:ascii="Book Antiqua" w:hAnsi="Book Antiqua" w:cs="Arial"/>
          <w:sz w:val="24"/>
          <w:szCs w:val="24"/>
          <w:lang w:val="en-GB"/>
        </w:rPr>
        <w:t>December 30, 2019</w:t>
      </w:r>
    </w:p>
    <w:p w14:paraId="78605CBB" w14:textId="77777777"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t xml:space="preserve">Revised: </w:t>
      </w:r>
      <w:r w:rsidR="00BC25C1" w:rsidRPr="0087291A">
        <w:rPr>
          <w:rFonts w:ascii="Book Antiqua" w:hAnsi="Book Antiqua" w:cs="Arial"/>
          <w:sz w:val="24"/>
          <w:szCs w:val="24"/>
          <w:lang w:val="en-GB"/>
        </w:rPr>
        <w:t>April 7</w:t>
      </w:r>
      <w:r w:rsidRPr="0087291A">
        <w:rPr>
          <w:rFonts w:ascii="Book Antiqua" w:hAnsi="Book Antiqua" w:cs="Arial"/>
          <w:sz w:val="24"/>
          <w:szCs w:val="24"/>
          <w:lang w:val="en-GB"/>
        </w:rPr>
        <w:t>, 2020</w:t>
      </w:r>
    </w:p>
    <w:p w14:paraId="23D2779C" w14:textId="33BA5DD6" w:rsidR="001F565A" w:rsidRPr="00D3266F" w:rsidRDefault="00B266DD" w:rsidP="0087291A">
      <w:pPr>
        <w:snapToGrid w:val="0"/>
        <w:spacing w:line="360" w:lineRule="auto"/>
        <w:rPr>
          <w:rFonts w:ascii="Book Antiqua" w:hAnsi="Book Antiqua"/>
          <w:bCs/>
          <w:color w:val="000000" w:themeColor="text1"/>
          <w:sz w:val="24"/>
          <w:szCs w:val="24"/>
        </w:rPr>
      </w:pPr>
      <w:r w:rsidRPr="0087291A">
        <w:rPr>
          <w:rFonts w:ascii="Book Antiqua" w:hAnsi="Book Antiqua" w:cs="Arial"/>
          <w:b/>
          <w:sz w:val="24"/>
          <w:szCs w:val="24"/>
          <w:lang w:val="en-GB"/>
        </w:rPr>
        <w:t>Accepted:</w:t>
      </w:r>
      <w:r w:rsidR="00D3266F" w:rsidRPr="00D3266F">
        <w:rPr>
          <w:rFonts w:ascii="Book Antiqua" w:hAnsi="Book Antiqua"/>
          <w:bCs/>
          <w:color w:val="000000" w:themeColor="text1"/>
          <w:sz w:val="24"/>
          <w:szCs w:val="24"/>
        </w:rPr>
        <w:t xml:space="preserve"> </w:t>
      </w:r>
      <w:r w:rsidR="00D3266F">
        <w:rPr>
          <w:rFonts w:ascii="Book Antiqua" w:hAnsi="Book Antiqua"/>
          <w:bCs/>
          <w:color w:val="000000" w:themeColor="text1"/>
          <w:sz w:val="24"/>
          <w:szCs w:val="24"/>
        </w:rPr>
        <w:t>April 22, 2020</w:t>
      </w:r>
    </w:p>
    <w:p w14:paraId="5C4350F2" w14:textId="17DC06AB" w:rsidR="001F565A" w:rsidRPr="0087291A" w:rsidRDefault="001F565A" w:rsidP="0087291A">
      <w:pPr>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t>Published online:</w:t>
      </w:r>
      <w:r w:rsidR="00E37A89">
        <w:rPr>
          <w:rFonts w:ascii="Book Antiqua" w:hAnsi="Book Antiqua" w:cs="Arial" w:hint="eastAsia"/>
          <w:b/>
          <w:sz w:val="24"/>
          <w:szCs w:val="24"/>
          <w:lang w:val="en-GB"/>
        </w:rPr>
        <w:t xml:space="preserve"> </w:t>
      </w:r>
      <w:r w:rsidR="00E37A89" w:rsidRPr="00E37A89">
        <w:rPr>
          <w:rFonts w:ascii="Book Antiqua" w:hAnsi="Book Antiqua" w:cs="Arial" w:hint="eastAsia"/>
          <w:sz w:val="24"/>
          <w:szCs w:val="24"/>
          <w:lang w:val="en-GB"/>
        </w:rPr>
        <w:t>May 26, 2020</w:t>
      </w:r>
    </w:p>
    <w:p w14:paraId="1D853360" w14:textId="77777777" w:rsidR="00BC25C1" w:rsidRPr="0087291A" w:rsidRDefault="00BC25C1" w:rsidP="0087291A">
      <w:pPr>
        <w:widowControl/>
        <w:snapToGrid w:val="0"/>
        <w:spacing w:line="360" w:lineRule="auto"/>
        <w:rPr>
          <w:rFonts w:ascii="Book Antiqua" w:hAnsi="Book Antiqua" w:cs="Arial"/>
          <w:b/>
          <w:sz w:val="24"/>
          <w:szCs w:val="24"/>
          <w:lang w:val="en-GB"/>
        </w:rPr>
      </w:pPr>
      <w:r w:rsidRPr="0087291A">
        <w:rPr>
          <w:rFonts w:ascii="Book Antiqua" w:hAnsi="Book Antiqua" w:cs="Arial"/>
          <w:b/>
          <w:sz w:val="24"/>
          <w:szCs w:val="24"/>
          <w:lang w:val="en-GB"/>
        </w:rPr>
        <w:br w:type="page"/>
      </w:r>
    </w:p>
    <w:p w14:paraId="1A10AD17" w14:textId="77777777" w:rsidR="001F565A" w:rsidRPr="0087291A" w:rsidRDefault="001F565A" w:rsidP="0087291A">
      <w:pPr>
        <w:snapToGrid w:val="0"/>
        <w:spacing w:line="360" w:lineRule="auto"/>
        <w:rPr>
          <w:rFonts w:ascii="Book Antiqua" w:hAnsi="Book Antiqua" w:cs="Arial"/>
          <w:b/>
          <w:color w:val="000000"/>
          <w:kern w:val="36"/>
          <w:sz w:val="24"/>
          <w:szCs w:val="24"/>
          <w:lang w:val="en-GB"/>
        </w:rPr>
      </w:pPr>
      <w:r w:rsidRPr="0087291A">
        <w:rPr>
          <w:rFonts w:ascii="Book Antiqua" w:hAnsi="Book Antiqua" w:cs="Arial"/>
          <w:b/>
          <w:color w:val="000000"/>
          <w:kern w:val="36"/>
          <w:sz w:val="24"/>
          <w:szCs w:val="24"/>
          <w:lang w:val="en-GB"/>
        </w:rPr>
        <w:t>Abstract</w:t>
      </w:r>
    </w:p>
    <w:p w14:paraId="0CCCFC36" w14:textId="77777777" w:rsidR="001F565A" w:rsidRPr="0087291A" w:rsidRDefault="001F565A" w:rsidP="0087291A">
      <w:pPr>
        <w:snapToGrid w:val="0"/>
        <w:spacing w:line="360" w:lineRule="auto"/>
        <w:rPr>
          <w:rFonts w:ascii="Book Antiqua" w:hAnsi="Book Antiqua" w:cs="Arial"/>
          <w:color w:val="000000"/>
          <w:kern w:val="36"/>
          <w:sz w:val="24"/>
          <w:szCs w:val="24"/>
          <w:lang w:val="en-GB"/>
        </w:rPr>
      </w:pPr>
      <w:r w:rsidRPr="0087291A">
        <w:rPr>
          <w:rFonts w:ascii="Book Antiqua" w:hAnsi="Book Antiqua" w:cs="Arial"/>
          <w:color w:val="000000"/>
          <w:kern w:val="36"/>
          <w:sz w:val="24"/>
          <w:szCs w:val="24"/>
          <w:lang w:val="en-GB"/>
        </w:rPr>
        <w:t>BACKGROUND</w:t>
      </w:r>
    </w:p>
    <w:p w14:paraId="2EF46794"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Leiomyosarcoma is a subtype of soft tissue sarcoma with adverse outcomes. Leiomyosarcoma accounts for nearly 70% of all uterine sarcomas and is responsible for a considerable proportion of deaths because of uterine cancer. Clinical characteristics and relevant diagnosis of pelvic leiomyosarcoma should be further explored.</w:t>
      </w:r>
    </w:p>
    <w:p w14:paraId="713668F0" w14:textId="77777777" w:rsidR="001F565A" w:rsidRPr="0087291A" w:rsidRDefault="001F565A" w:rsidP="0087291A">
      <w:pPr>
        <w:snapToGrid w:val="0"/>
        <w:spacing w:line="360" w:lineRule="auto"/>
        <w:rPr>
          <w:rFonts w:ascii="Book Antiqua" w:hAnsi="Book Antiqua" w:cs="Arial"/>
          <w:sz w:val="24"/>
          <w:szCs w:val="24"/>
          <w:lang w:val="en-GB"/>
        </w:rPr>
      </w:pPr>
    </w:p>
    <w:p w14:paraId="4F64A6AA"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AIM</w:t>
      </w:r>
    </w:p>
    <w:p w14:paraId="635A9BC0" w14:textId="77777777" w:rsidR="001F565A" w:rsidRPr="0087291A" w:rsidRDefault="00BC25C1"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To </w:t>
      </w:r>
      <w:r w:rsidR="001F565A" w:rsidRPr="0087291A">
        <w:rPr>
          <w:rFonts w:ascii="Book Antiqua" w:hAnsi="Book Antiqua" w:cs="Arial"/>
          <w:sz w:val="24"/>
          <w:szCs w:val="24"/>
          <w:lang w:val="en-GB"/>
        </w:rPr>
        <w:t>identify the outcome and relevant perioperative evaluation of patients with pelvic leiomyosarcoma.</w:t>
      </w:r>
    </w:p>
    <w:p w14:paraId="26160658" w14:textId="77777777" w:rsidR="001F565A" w:rsidRPr="0087291A" w:rsidRDefault="001F565A" w:rsidP="0087291A">
      <w:pPr>
        <w:snapToGrid w:val="0"/>
        <w:spacing w:line="360" w:lineRule="auto"/>
        <w:rPr>
          <w:rFonts w:ascii="Book Antiqua" w:hAnsi="Book Antiqua" w:cs="Arial"/>
          <w:b/>
          <w:sz w:val="24"/>
          <w:szCs w:val="24"/>
          <w:lang w:val="en-GB"/>
        </w:rPr>
      </w:pPr>
    </w:p>
    <w:p w14:paraId="35FE1F88"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METHODS</w:t>
      </w:r>
    </w:p>
    <w:p w14:paraId="710C7BC5"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The Kaplan-Meier method was used to determine progression-free survival and overall survival rates. Factors predictive of outcomes were identified using univariate and multivariate Cox proportional hazards models.</w:t>
      </w:r>
    </w:p>
    <w:p w14:paraId="06F52CD5" w14:textId="77777777" w:rsidR="001F565A" w:rsidRPr="0087291A" w:rsidRDefault="001F565A" w:rsidP="0087291A">
      <w:pPr>
        <w:snapToGrid w:val="0"/>
        <w:spacing w:line="360" w:lineRule="auto"/>
        <w:rPr>
          <w:rFonts w:ascii="Book Antiqua" w:hAnsi="Book Antiqua" w:cs="Arial"/>
          <w:sz w:val="24"/>
          <w:szCs w:val="24"/>
          <w:lang w:val="en-GB"/>
        </w:rPr>
      </w:pPr>
    </w:p>
    <w:p w14:paraId="06C58907"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RESULTS</w:t>
      </w:r>
    </w:p>
    <w:p w14:paraId="63267402"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Fifty-one patients with pelvic leiomyosarcoma were enrolled and divided into two groups including uterine leiomyosarcoma and non-uterine leiomyosarcoma. Overall, 28.6% and 45.5% of uterine leiomyosarcoma and non-uterine leiomyosarcoma patients, respectively, ha</w:t>
      </w:r>
      <w:r w:rsidR="00BC25C1" w:rsidRPr="0087291A">
        <w:rPr>
          <w:rFonts w:ascii="Book Antiqua" w:hAnsi="Book Antiqua" w:cs="Arial"/>
          <w:sz w:val="24"/>
          <w:szCs w:val="24"/>
          <w:lang w:val="en-GB"/>
        </w:rPr>
        <w:t xml:space="preserve">d elevated carbohydrate antigen </w:t>
      </w:r>
      <w:r w:rsidRPr="0087291A">
        <w:rPr>
          <w:rFonts w:ascii="Book Antiqua" w:hAnsi="Book Antiqua" w:cs="Arial"/>
          <w:sz w:val="24"/>
          <w:szCs w:val="24"/>
          <w:lang w:val="en-GB"/>
        </w:rPr>
        <w:t>125 levels, whereas 45.7% and 68.8%, respectively, underwent ultrasonography. Although 68.8% of uterine leiomyosarcoma patients were initially diagnosed with hysteromyoma, 72.7% of non-uterine leiomyosarcoma patients had pelvic and abdominal masses. Moreover, 93.3% of the recurrent lesions were detected using ultrasonography. Patients with International Federation of Gynaecology and Obstetrics (FIGO) stages III–IV disease had poorer progression-free survival values than those with FIGO stages I–II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0.027) disease. FIGO stage was significantly associated with poor progression-free survival in the univariate (hazard ratio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2.64,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0.03) and multivariate (hazard ratio</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2.49, </w:t>
      </w:r>
      <w:r w:rsidRPr="0087291A">
        <w:rPr>
          <w:rFonts w:ascii="Book Antiqua" w:hAnsi="Book Antiqua" w:cs="Arial"/>
          <w:i/>
          <w:sz w:val="24"/>
          <w:szCs w:val="24"/>
          <w:lang w:val="en-GB"/>
        </w:rPr>
        <w:t>P</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BC25C1" w:rsidRPr="0087291A">
        <w:rPr>
          <w:rFonts w:ascii="Book Antiqua" w:hAnsi="Book Antiqua" w:cs="Arial"/>
          <w:sz w:val="24"/>
          <w:szCs w:val="24"/>
          <w:lang w:val="en-GB"/>
        </w:rPr>
        <w:t xml:space="preserve"> </w:t>
      </w:r>
      <w:r w:rsidRPr="0087291A">
        <w:rPr>
          <w:rFonts w:ascii="Book Antiqua" w:hAnsi="Book Antiqua" w:cs="Arial"/>
          <w:sz w:val="24"/>
          <w:szCs w:val="24"/>
          <w:lang w:val="en-GB"/>
        </w:rPr>
        <w:t>0.048) analyses.</w:t>
      </w:r>
    </w:p>
    <w:p w14:paraId="553D5FD8" w14:textId="77777777" w:rsidR="001F565A" w:rsidRPr="0087291A" w:rsidRDefault="001F565A" w:rsidP="0087291A">
      <w:pPr>
        <w:snapToGrid w:val="0"/>
        <w:spacing w:line="360" w:lineRule="auto"/>
        <w:rPr>
          <w:rFonts w:ascii="Book Antiqua" w:hAnsi="Book Antiqua" w:cs="Arial"/>
          <w:sz w:val="24"/>
          <w:szCs w:val="24"/>
          <w:lang w:val="en-GB"/>
        </w:rPr>
      </w:pPr>
    </w:p>
    <w:p w14:paraId="2E92C99F"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CONCLUSION</w:t>
      </w:r>
    </w:p>
    <w:p w14:paraId="504D9EAB"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Serum tumour biomarkers cannot be used for pelvic leiomyosarcoma diagnosis. FIGO stage is critical to predict the outcome of uterine leiomyosarcoma. Ultrasonography is more reliable for postoperative follow-up than preoperative diagnosis.</w:t>
      </w:r>
    </w:p>
    <w:p w14:paraId="4CCCF204" w14:textId="77777777" w:rsidR="001F565A" w:rsidRPr="0087291A" w:rsidRDefault="001F565A" w:rsidP="0087291A">
      <w:pPr>
        <w:snapToGrid w:val="0"/>
        <w:spacing w:line="360" w:lineRule="auto"/>
        <w:rPr>
          <w:rFonts w:ascii="Book Antiqua" w:hAnsi="Book Antiqua" w:cs="Arial"/>
          <w:sz w:val="24"/>
          <w:szCs w:val="24"/>
          <w:lang w:val="en-GB"/>
        </w:rPr>
      </w:pPr>
    </w:p>
    <w:p w14:paraId="6D6D72D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b/>
          <w:sz w:val="24"/>
          <w:szCs w:val="24"/>
        </w:rPr>
        <w:t>Key words:</w:t>
      </w:r>
      <w:r w:rsidRPr="0087291A">
        <w:rPr>
          <w:rFonts w:ascii="Book Antiqua" w:hAnsi="Book Antiqua"/>
          <w:sz w:val="24"/>
          <w:szCs w:val="24"/>
        </w:rPr>
        <w:t xml:space="preserve"> </w:t>
      </w:r>
      <w:r w:rsidRPr="0087291A">
        <w:rPr>
          <w:rFonts w:ascii="Book Antiqua" w:hAnsi="Book Antiqua" w:cs="Times New Roman"/>
          <w:sz w:val="24"/>
          <w:szCs w:val="24"/>
        </w:rPr>
        <w:t xml:space="preserve">Uterine leiomyosarcoma; </w:t>
      </w:r>
      <w:r w:rsidR="00BC25C1" w:rsidRPr="0087291A">
        <w:rPr>
          <w:rFonts w:ascii="Book Antiqua" w:hAnsi="Book Antiqua" w:cs="Times New Roman"/>
          <w:sz w:val="24"/>
          <w:szCs w:val="24"/>
        </w:rPr>
        <w:t>Non</w:t>
      </w:r>
      <w:r w:rsidRPr="0087291A">
        <w:rPr>
          <w:rFonts w:ascii="Book Antiqua" w:hAnsi="Book Antiqua" w:cs="Times New Roman"/>
          <w:sz w:val="24"/>
          <w:szCs w:val="24"/>
        </w:rPr>
        <w:t xml:space="preserve">-uterine leiomyosarcoma; </w:t>
      </w:r>
      <w:r w:rsidR="00BC25C1" w:rsidRPr="0087291A">
        <w:rPr>
          <w:rFonts w:ascii="Book Antiqua" w:hAnsi="Book Antiqua" w:cs="Times New Roman"/>
          <w:sz w:val="24"/>
          <w:szCs w:val="24"/>
        </w:rPr>
        <w:t xml:space="preserve">Serum </w:t>
      </w:r>
      <w:r w:rsidRPr="0087291A">
        <w:rPr>
          <w:rFonts w:ascii="Book Antiqua" w:hAnsi="Book Antiqua" w:cs="Times New Roman"/>
          <w:sz w:val="24"/>
          <w:szCs w:val="24"/>
        </w:rPr>
        <w:t xml:space="preserve">biomarker; </w:t>
      </w:r>
      <w:r w:rsidR="00BC25C1" w:rsidRPr="0087291A">
        <w:rPr>
          <w:rFonts w:ascii="Book Antiqua" w:hAnsi="Book Antiqua" w:cs="Times New Roman"/>
          <w:sz w:val="24"/>
          <w:szCs w:val="24"/>
        </w:rPr>
        <w:t>Prognosis</w:t>
      </w:r>
      <w:r w:rsidRPr="0087291A">
        <w:rPr>
          <w:rFonts w:ascii="Book Antiqua" w:hAnsi="Book Antiqua" w:cs="Times New Roman"/>
          <w:sz w:val="24"/>
          <w:szCs w:val="24"/>
        </w:rPr>
        <w:t xml:space="preserve">; </w:t>
      </w:r>
      <w:r w:rsidR="00BC25C1" w:rsidRPr="0087291A">
        <w:rPr>
          <w:rFonts w:ascii="Book Antiqua" w:hAnsi="Book Antiqua" w:cs="Times New Roman"/>
          <w:sz w:val="24"/>
          <w:szCs w:val="24"/>
        </w:rPr>
        <w:t>Ultrasonography</w:t>
      </w:r>
    </w:p>
    <w:p w14:paraId="1ADCB2AD" w14:textId="77777777" w:rsidR="001F565A" w:rsidRPr="0087291A" w:rsidRDefault="001F565A" w:rsidP="0087291A">
      <w:pPr>
        <w:snapToGrid w:val="0"/>
        <w:spacing w:line="360" w:lineRule="auto"/>
        <w:rPr>
          <w:rFonts w:ascii="Book Antiqua" w:hAnsi="Book Antiqua" w:cs="Times New Roman"/>
          <w:sz w:val="24"/>
          <w:szCs w:val="24"/>
        </w:rPr>
      </w:pPr>
    </w:p>
    <w:p w14:paraId="4B737FF1" w14:textId="1CD07565" w:rsidR="005F4AEE" w:rsidRDefault="005F4AEE" w:rsidP="0087291A">
      <w:pPr>
        <w:snapToGrid w:val="0"/>
        <w:spacing w:line="360" w:lineRule="auto"/>
        <w:rPr>
          <w:rFonts w:ascii="Book Antiqua" w:hAnsi="Book Antiqua" w:cs="Times New Roman" w:hint="eastAsia"/>
          <w:iCs/>
          <w:sz w:val="24"/>
          <w:szCs w:val="24"/>
        </w:rPr>
      </w:pPr>
      <w:bookmarkStart w:id="2" w:name="_GoBack"/>
      <w:r w:rsidRPr="005F4AEE">
        <w:rPr>
          <w:rFonts w:ascii="Book Antiqua" w:hAnsi="Book Antiqua" w:cs="Times New Roman" w:hint="eastAsia"/>
          <w:b/>
          <w:bCs/>
          <w:kern w:val="36"/>
          <w:sz w:val="24"/>
          <w:szCs w:val="24"/>
        </w:rPr>
        <w:t xml:space="preserve">Citation: </w:t>
      </w:r>
      <w:bookmarkEnd w:id="2"/>
      <w:r w:rsidR="001F565A" w:rsidRPr="0087291A">
        <w:rPr>
          <w:rFonts w:ascii="Book Antiqua" w:hAnsi="Book Antiqua" w:cs="Times New Roman"/>
          <w:bCs/>
          <w:kern w:val="36"/>
          <w:sz w:val="24"/>
          <w:szCs w:val="24"/>
          <w:lang w:eastAsia="pl-PL"/>
        </w:rPr>
        <w:t>Sun Q, Yang X, Zeng Z, Wei X, Li K</w:t>
      </w:r>
      <w:r w:rsidR="00943812" w:rsidRPr="0087291A">
        <w:rPr>
          <w:rFonts w:ascii="Book Antiqua" w:hAnsi="Book Antiqua" w:cs="Times New Roman"/>
          <w:bCs/>
          <w:kern w:val="36"/>
          <w:sz w:val="24"/>
          <w:szCs w:val="24"/>
          <w:lang w:eastAsia="pl-PL"/>
        </w:rPr>
        <w:t>Z</w:t>
      </w:r>
      <w:r w:rsidR="001F565A" w:rsidRPr="0087291A">
        <w:rPr>
          <w:rFonts w:ascii="Book Antiqua" w:hAnsi="Book Antiqua" w:cs="Times New Roman"/>
          <w:bCs/>
          <w:kern w:val="36"/>
          <w:sz w:val="24"/>
          <w:szCs w:val="24"/>
          <w:lang w:eastAsia="pl-PL"/>
        </w:rPr>
        <w:t>, Xu X</w:t>
      </w:r>
      <w:r w:rsidR="00943812" w:rsidRPr="0087291A">
        <w:rPr>
          <w:rFonts w:ascii="Book Antiqua" w:hAnsi="Book Antiqua" w:cs="Times New Roman"/>
          <w:bCs/>
          <w:kern w:val="36"/>
          <w:sz w:val="24"/>
          <w:szCs w:val="24"/>
          <w:lang w:eastAsia="pl-PL"/>
        </w:rPr>
        <w:t>Y</w:t>
      </w:r>
      <w:r w:rsidR="001F565A" w:rsidRPr="0087291A">
        <w:rPr>
          <w:rFonts w:ascii="Book Antiqua" w:hAnsi="Book Antiqua" w:cs="Times New Roman"/>
          <w:bCs/>
          <w:kern w:val="36"/>
          <w:sz w:val="24"/>
          <w:szCs w:val="24"/>
          <w:lang w:eastAsia="pl-PL"/>
        </w:rPr>
        <w:t>.</w:t>
      </w:r>
      <w:r w:rsidR="001F565A" w:rsidRPr="0087291A">
        <w:rPr>
          <w:rFonts w:ascii="Book Antiqua" w:hAnsi="Book Antiqua" w:cs="Times New Roman"/>
          <w:i/>
          <w:iCs/>
          <w:sz w:val="24"/>
          <w:szCs w:val="24"/>
        </w:rPr>
        <w:t xml:space="preserve"> </w:t>
      </w:r>
      <w:r w:rsidR="00943812" w:rsidRPr="0087291A">
        <w:rPr>
          <w:rFonts w:ascii="Book Antiqua" w:hAnsi="Book Antiqua" w:cs="Times New Roman"/>
          <w:iCs/>
          <w:sz w:val="24"/>
          <w:szCs w:val="24"/>
        </w:rPr>
        <w:t>Outcomes of patients with pelvic leiomyosarcoma treated by surgery and relevant auxiliary diagnosis</w:t>
      </w:r>
      <w:r w:rsidR="001F565A" w:rsidRPr="0087291A">
        <w:rPr>
          <w:rFonts w:ascii="Book Antiqua" w:hAnsi="Book Antiqua" w:cs="Times New Roman"/>
          <w:i/>
          <w:iCs/>
          <w:sz w:val="24"/>
          <w:szCs w:val="24"/>
        </w:rPr>
        <w:t>. World J Clin Cases</w:t>
      </w:r>
      <w:r w:rsidR="001F565A" w:rsidRPr="0087291A">
        <w:rPr>
          <w:rFonts w:ascii="Book Antiqua" w:hAnsi="Book Antiqua" w:cs="Times New Roman"/>
          <w:iCs/>
          <w:sz w:val="24"/>
          <w:szCs w:val="24"/>
        </w:rPr>
        <w:t xml:space="preserve"> </w:t>
      </w:r>
      <w:r w:rsidR="009D6F08">
        <w:rPr>
          <w:rFonts w:ascii="Book Antiqua" w:hAnsi="Book Antiqua" w:cs="Times New Roman"/>
          <w:iCs/>
          <w:sz w:val="24"/>
          <w:szCs w:val="24"/>
        </w:rPr>
        <w:t>2020; 8(</w:t>
      </w:r>
      <w:r w:rsidR="009D6F08">
        <w:rPr>
          <w:rFonts w:ascii="Book Antiqua" w:hAnsi="Book Antiqua" w:cs="Times New Roman" w:hint="eastAsia"/>
          <w:iCs/>
          <w:sz w:val="24"/>
          <w:szCs w:val="24"/>
        </w:rPr>
        <w:t>10</w:t>
      </w:r>
      <w:r w:rsidR="009D6F08" w:rsidRPr="009D6F08">
        <w:rPr>
          <w:rFonts w:ascii="Book Antiqua" w:hAnsi="Book Antiqua" w:cs="Times New Roman"/>
          <w:iCs/>
          <w:sz w:val="24"/>
          <w:szCs w:val="24"/>
        </w:rPr>
        <w:t xml:space="preserve">): </w:t>
      </w:r>
      <w:r w:rsidR="00C208C7" w:rsidRPr="00C208C7">
        <w:rPr>
          <w:rFonts w:ascii="Book Antiqua" w:hAnsi="Book Antiqua" w:cs="Times New Roman"/>
          <w:iCs/>
          <w:sz w:val="24"/>
          <w:szCs w:val="24"/>
        </w:rPr>
        <w:t>1887-1896</w:t>
      </w:r>
      <w:r w:rsidR="009D6F08" w:rsidRPr="009D6F08">
        <w:rPr>
          <w:rFonts w:ascii="Book Antiqua" w:hAnsi="Book Antiqua" w:cs="Times New Roman"/>
          <w:iCs/>
          <w:sz w:val="24"/>
          <w:szCs w:val="24"/>
        </w:rPr>
        <w:t xml:space="preserve"> </w:t>
      </w:r>
    </w:p>
    <w:p w14:paraId="03A26446" w14:textId="77777777" w:rsidR="005F4AEE" w:rsidRDefault="009D6F08" w:rsidP="0087291A">
      <w:pPr>
        <w:snapToGrid w:val="0"/>
        <w:spacing w:line="360" w:lineRule="auto"/>
        <w:rPr>
          <w:rFonts w:ascii="Book Antiqua" w:hAnsi="Book Antiqua" w:cs="Times New Roman" w:hint="eastAsia"/>
          <w:iCs/>
          <w:sz w:val="24"/>
          <w:szCs w:val="24"/>
        </w:rPr>
      </w:pPr>
      <w:r w:rsidRPr="005F4AEE">
        <w:rPr>
          <w:rFonts w:ascii="Book Antiqua" w:hAnsi="Book Antiqua" w:cs="Times New Roman"/>
          <w:b/>
          <w:iCs/>
          <w:sz w:val="24"/>
          <w:szCs w:val="24"/>
        </w:rPr>
        <w:t>URL:</w:t>
      </w:r>
      <w:r w:rsidRPr="009D6F08">
        <w:rPr>
          <w:rFonts w:ascii="Book Antiqua" w:hAnsi="Book Antiqua" w:cs="Times New Roman"/>
          <w:iCs/>
          <w:sz w:val="24"/>
          <w:szCs w:val="24"/>
        </w:rPr>
        <w:t xml:space="preserve"> https://www</w:t>
      </w:r>
      <w:r>
        <w:rPr>
          <w:rFonts w:ascii="Book Antiqua" w:hAnsi="Book Antiqua" w:cs="Times New Roman"/>
          <w:iCs/>
          <w:sz w:val="24"/>
          <w:szCs w:val="24"/>
        </w:rPr>
        <w:t>.wjgnet.com/2307-8960/full/v8/i</w:t>
      </w:r>
      <w:r>
        <w:rPr>
          <w:rFonts w:ascii="Book Antiqua" w:hAnsi="Book Antiqua" w:cs="Times New Roman" w:hint="eastAsia"/>
          <w:iCs/>
          <w:sz w:val="24"/>
          <w:szCs w:val="24"/>
        </w:rPr>
        <w:t>10</w:t>
      </w:r>
      <w:r w:rsidRPr="009D6F08">
        <w:rPr>
          <w:rFonts w:ascii="Book Antiqua" w:hAnsi="Book Antiqua" w:cs="Times New Roman"/>
          <w:iCs/>
          <w:sz w:val="24"/>
          <w:szCs w:val="24"/>
        </w:rPr>
        <w:t>/</w:t>
      </w:r>
      <w:r w:rsidR="00C208C7">
        <w:rPr>
          <w:rFonts w:ascii="Book Antiqua" w:hAnsi="Book Antiqua" w:cs="Times New Roman" w:hint="eastAsia"/>
          <w:iCs/>
          <w:sz w:val="24"/>
          <w:szCs w:val="24"/>
        </w:rPr>
        <w:t>1887</w:t>
      </w:r>
      <w:r w:rsidRPr="009D6F08">
        <w:rPr>
          <w:rFonts w:ascii="Book Antiqua" w:hAnsi="Book Antiqua" w:cs="Times New Roman"/>
          <w:iCs/>
          <w:sz w:val="24"/>
          <w:szCs w:val="24"/>
        </w:rPr>
        <w:t xml:space="preserve">.htm </w:t>
      </w:r>
    </w:p>
    <w:p w14:paraId="08E3A035" w14:textId="07ED7300" w:rsidR="001F565A" w:rsidRDefault="009D6F08" w:rsidP="0087291A">
      <w:pPr>
        <w:snapToGrid w:val="0"/>
        <w:spacing w:line="360" w:lineRule="auto"/>
        <w:rPr>
          <w:rFonts w:ascii="Book Antiqua" w:hAnsi="Book Antiqua" w:cs="Times New Roman"/>
          <w:iCs/>
          <w:sz w:val="24"/>
          <w:szCs w:val="24"/>
        </w:rPr>
      </w:pPr>
      <w:r w:rsidRPr="005F4AEE">
        <w:rPr>
          <w:rFonts w:ascii="Book Antiqua" w:hAnsi="Book Antiqua" w:cs="Times New Roman"/>
          <w:b/>
          <w:iCs/>
          <w:sz w:val="24"/>
          <w:szCs w:val="24"/>
        </w:rPr>
        <w:t>DOI:</w:t>
      </w:r>
      <w:r w:rsidRPr="009D6F08">
        <w:rPr>
          <w:rFonts w:ascii="Book Antiqua" w:hAnsi="Book Antiqua" w:cs="Times New Roman"/>
          <w:iCs/>
          <w:sz w:val="24"/>
          <w:szCs w:val="24"/>
        </w:rPr>
        <w:t xml:space="preserve"> </w:t>
      </w:r>
      <w:r w:rsidRPr="00BE219D">
        <w:rPr>
          <w:rFonts w:ascii="Book Antiqua" w:hAnsi="Book Antiqua" w:cs="Times New Roman"/>
          <w:iCs/>
          <w:sz w:val="24"/>
          <w:szCs w:val="24"/>
        </w:rPr>
        <w:t>https://dx.doi.org/10.12998/wjcc.v8.i</w:t>
      </w:r>
      <w:r w:rsidRPr="00BE219D">
        <w:rPr>
          <w:rFonts w:ascii="Book Antiqua" w:hAnsi="Book Antiqua" w:cs="Times New Roman" w:hint="eastAsia"/>
          <w:iCs/>
          <w:sz w:val="24"/>
          <w:szCs w:val="24"/>
        </w:rPr>
        <w:t>10</w:t>
      </w:r>
      <w:r w:rsidRPr="00BE219D">
        <w:rPr>
          <w:rFonts w:ascii="Book Antiqua" w:hAnsi="Book Antiqua" w:cs="Times New Roman"/>
          <w:iCs/>
          <w:sz w:val="24"/>
          <w:szCs w:val="24"/>
        </w:rPr>
        <w:t>.</w:t>
      </w:r>
      <w:r w:rsidR="00C208C7">
        <w:rPr>
          <w:rFonts w:ascii="Book Antiqua" w:hAnsi="Book Antiqua" w:cs="Times New Roman" w:hint="eastAsia"/>
          <w:iCs/>
          <w:sz w:val="24"/>
          <w:szCs w:val="24"/>
        </w:rPr>
        <w:t>1887</w:t>
      </w:r>
    </w:p>
    <w:p w14:paraId="58D9F139" w14:textId="77777777" w:rsidR="009D6F08" w:rsidRPr="0087291A" w:rsidRDefault="009D6F08" w:rsidP="0087291A">
      <w:pPr>
        <w:snapToGrid w:val="0"/>
        <w:spacing w:line="360" w:lineRule="auto"/>
        <w:rPr>
          <w:rFonts w:ascii="Book Antiqua" w:hAnsi="Book Antiqua" w:cs="Arial"/>
          <w:sz w:val="24"/>
          <w:szCs w:val="24"/>
          <w:lang w:val="en-GB"/>
        </w:rPr>
      </w:pPr>
    </w:p>
    <w:p w14:paraId="1F85C3FC"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b/>
          <w:sz w:val="24"/>
          <w:szCs w:val="24"/>
          <w:lang w:val="en-GB"/>
        </w:rPr>
        <w:t>Core tip:</w:t>
      </w:r>
      <w:r w:rsidRPr="0087291A">
        <w:rPr>
          <w:rFonts w:ascii="Book Antiqua" w:hAnsi="Book Antiqua"/>
          <w:sz w:val="24"/>
          <w:szCs w:val="24"/>
        </w:rPr>
        <w:t xml:space="preserve"> </w:t>
      </w:r>
      <w:r w:rsidRPr="0087291A">
        <w:rPr>
          <w:rFonts w:ascii="Book Antiqua" w:hAnsi="Book Antiqua" w:cs="Arial"/>
          <w:sz w:val="24"/>
          <w:szCs w:val="24"/>
          <w:lang w:val="en-GB"/>
        </w:rPr>
        <w:t>Owing to a l</w:t>
      </w:r>
      <w:r w:rsidR="00943812" w:rsidRPr="0087291A">
        <w:rPr>
          <w:rFonts w:ascii="Book Antiqua" w:hAnsi="Book Antiqua" w:cs="Arial"/>
          <w:sz w:val="24"/>
          <w:szCs w:val="24"/>
          <w:lang w:val="en-GB"/>
        </w:rPr>
        <w:t>ack of long-term leiomyosarcoma</w:t>
      </w:r>
      <w:r w:rsidRPr="0087291A">
        <w:rPr>
          <w:rFonts w:ascii="Book Antiqua" w:hAnsi="Book Antiqua" w:cs="Arial"/>
          <w:sz w:val="24"/>
          <w:szCs w:val="24"/>
          <w:lang w:val="en-GB"/>
        </w:rPr>
        <w:t>-focused studies, the clinical features of pelvic leiomyosarcoma among women remain unclear. Our study showed that serum tumour biomarkers cannot be used for pelvic leiomyosarcoma diagnosis and ultrasonography is more reliable for postoperative follow-up than preoperative diagnosis.</w:t>
      </w:r>
    </w:p>
    <w:p w14:paraId="69BC4CE5" w14:textId="77777777" w:rsidR="00943812" w:rsidRPr="0087291A" w:rsidRDefault="00943812"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77DEEFCA" w14:textId="77777777" w:rsidR="00943812" w:rsidRPr="0087291A" w:rsidRDefault="00943812" w:rsidP="0087291A">
      <w:pPr>
        <w:adjustRightInd w:val="0"/>
        <w:snapToGrid w:val="0"/>
        <w:spacing w:line="360" w:lineRule="auto"/>
        <w:rPr>
          <w:rFonts w:ascii="Book Antiqua" w:hAnsi="Book Antiqua"/>
          <w:b/>
          <w:sz w:val="24"/>
          <w:szCs w:val="24"/>
          <w:u w:val="single"/>
        </w:rPr>
      </w:pPr>
      <w:r w:rsidRPr="0087291A">
        <w:rPr>
          <w:rFonts w:ascii="Book Antiqua" w:hAnsi="Book Antiqua"/>
          <w:b/>
          <w:sz w:val="24"/>
          <w:szCs w:val="24"/>
          <w:u w:val="single"/>
        </w:rPr>
        <w:t>INTRODUCTION</w:t>
      </w:r>
    </w:p>
    <w:p w14:paraId="3EA2093A" w14:textId="364B0022"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Leiomyosarcoma is a subtype of soft tissue sarcoma that is derived from smooth muscles located in the uterus and soft tissue. The most frequently involved organs are the retroperitoneal space, extremities</w:t>
      </w:r>
      <w:r w:rsidR="00594265">
        <w:rPr>
          <w:rFonts w:ascii="Book Antiqua" w:hAnsi="Book Antiqua" w:cs="Arial"/>
          <w:sz w:val="24"/>
          <w:szCs w:val="24"/>
          <w:lang w:val="en-GB"/>
        </w:rPr>
        <w:t>,</w:t>
      </w:r>
      <w:r w:rsidRPr="0087291A">
        <w:rPr>
          <w:rFonts w:ascii="Book Antiqua" w:hAnsi="Book Antiqua" w:cs="Arial"/>
          <w:sz w:val="24"/>
          <w:szCs w:val="24"/>
          <w:lang w:val="en-GB"/>
        </w:rPr>
        <w:t xml:space="preserve"> and uterus. Despite its low annual incidence (</w:t>
      </w:r>
      <w:r w:rsidR="00943812" w:rsidRPr="0087291A">
        <w:rPr>
          <w:rFonts w:ascii="Book Antiqua" w:hAnsi="Book Antiqua" w:cs="Arial"/>
          <w:sz w:val="24"/>
          <w:szCs w:val="24"/>
          <w:lang w:val="en-GB"/>
        </w:rPr>
        <w:t>approximately 0.36–0.64 per 100</w:t>
      </w:r>
      <w:r w:rsidRPr="0087291A">
        <w:rPr>
          <w:rFonts w:ascii="Book Antiqua" w:hAnsi="Book Antiqua" w:cs="Arial"/>
          <w:sz w:val="24"/>
          <w:szCs w:val="24"/>
          <w:lang w:val="en-GB"/>
        </w:rPr>
        <w:t xml:space="preserve">000 women), </w:t>
      </w:r>
      <w:r w:rsidR="00594265">
        <w:rPr>
          <w:rFonts w:ascii="Book Antiqua" w:hAnsi="Book Antiqua" w:cs="Arial"/>
          <w:sz w:val="24"/>
          <w:szCs w:val="24"/>
          <w:lang w:val="en-GB"/>
        </w:rPr>
        <w:t>l</w:t>
      </w:r>
      <w:r w:rsidR="00594265" w:rsidRPr="0087291A">
        <w:rPr>
          <w:rFonts w:ascii="Book Antiqua" w:hAnsi="Book Antiqua" w:cs="Arial"/>
          <w:sz w:val="24"/>
          <w:szCs w:val="24"/>
          <w:lang w:val="en-GB"/>
        </w:rPr>
        <w:t xml:space="preserve">eiomyosarcoma </w:t>
      </w:r>
      <w:r w:rsidRPr="0087291A">
        <w:rPr>
          <w:rFonts w:ascii="Book Antiqua" w:hAnsi="Book Antiqua" w:cs="Arial"/>
          <w:sz w:val="24"/>
          <w:szCs w:val="24"/>
          <w:lang w:val="en-GB"/>
        </w:rPr>
        <w:t>accounts for nearly 70% of all uterine sarcomas and is responsible for a considerable proportion of d</w:t>
      </w:r>
      <w:r w:rsidR="00271462" w:rsidRPr="0087291A">
        <w:rPr>
          <w:rFonts w:ascii="Book Antiqua" w:hAnsi="Book Antiqua" w:cs="Arial"/>
          <w:sz w:val="24"/>
          <w:szCs w:val="24"/>
          <w:lang w:val="en-GB"/>
        </w:rPr>
        <w:t>eaths because of uterine cancer</w:t>
      </w:r>
      <w:r w:rsidR="00943812" w:rsidRPr="0087291A">
        <w:rPr>
          <w:rFonts w:ascii="Book Antiqua" w:hAnsi="Book Antiqua" w:cs="Arial"/>
          <w:noProof/>
          <w:sz w:val="24"/>
          <w:szCs w:val="24"/>
          <w:vertAlign w:val="superscript"/>
          <w:lang w:val="en-GB"/>
        </w:rPr>
        <w:t>[1-</w:t>
      </w:r>
      <w:r w:rsidRPr="0087291A">
        <w:rPr>
          <w:rFonts w:ascii="Book Antiqua" w:hAnsi="Book Antiqua" w:cs="Arial"/>
          <w:noProof/>
          <w:sz w:val="24"/>
          <w:szCs w:val="24"/>
          <w:vertAlign w:val="superscript"/>
          <w:lang w:val="en-GB"/>
        </w:rPr>
        <w:t>3]</w:t>
      </w:r>
      <w:r w:rsidR="00271462" w:rsidRPr="0087291A">
        <w:rPr>
          <w:rFonts w:ascii="Book Antiqua" w:hAnsi="Book Antiqua" w:cs="Arial"/>
          <w:sz w:val="24"/>
          <w:szCs w:val="24"/>
          <w:lang w:val="en-GB"/>
        </w:rPr>
        <w:t xml:space="preserve">. </w:t>
      </w:r>
      <w:r w:rsidRPr="0087291A">
        <w:rPr>
          <w:rFonts w:ascii="Book Antiqua" w:hAnsi="Book Antiqua" w:cs="Arial"/>
          <w:sz w:val="24"/>
          <w:szCs w:val="24"/>
          <w:lang w:val="en-GB"/>
        </w:rPr>
        <w:t>Leiomyosarcoma can occur at any site, but it occurs most commonly in the retroperit</w:t>
      </w:r>
      <w:r w:rsidR="00271462" w:rsidRPr="0087291A">
        <w:rPr>
          <w:rFonts w:ascii="Book Antiqua" w:hAnsi="Book Antiqua" w:cs="Arial"/>
          <w:sz w:val="24"/>
          <w:szCs w:val="24"/>
          <w:lang w:val="en-GB"/>
        </w:rPr>
        <w:t>oneum and proximal extremities</w:t>
      </w:r>
      <w:r w:rsidR="00943812" w:rsidRPr="0087291A">
        <w:rPr>
          <w:rFonts w:ascii="Book Antiqua" w:hAnsi="Book Antiqua" w:cs="Arial"/>
          <w:noProof/>
          <w:sz w:val="24"/>
          <w:szCs w:val="24"/>
          <w:vertAlign w:val="superscript"/>
          <w:lang w:val="en-GB"/>
        </w:rPr>
        <w:t>[4,</w:t>
      </w:r>
      <w:r w:rsidRPr="0087291A">
        <w:rPr>
          <w:rFonts w:ascii="Book Antiqua" w:hAnsi="Book Antiqua" w:cs="Arial"/>
          <w:noProof/>
          <w:sz w:val="24"/>
          <w:szCs w:val="24"/>
          <w:vertAlign w:val="superscript"/>
          <w:lang w:val="en-GB"/>
        </w:rPr>
        <w:t>5]</w:t>
      </w:r>
      <w:r w:rsidR="00271462" w:rsidRPr="0087291A">
        <w:rPr>
          <w:rFonts w:ascii="Book Antiqua" w:hAnsi="Book Antiqua" w:cs="Arial"/>
          <w:sz w:val="24"/>
          <w:szCs w:val="24"/>
          <w:lang w:val="en-GB"/>
        </w:rPr>
        <w:t xml:space="preserve">. </w:t>
      </w:r>
      <w:r w:rsidRPr="0087291A">
        <w:rPr>
          <w:rFonts w:ascii="Book Antiqua" w:hAnsi="Book Antiqua" w:cs="Arial"/>
          <w:sz w:val="24"/>
          <w:szCs w:val="24"/>
          <w:lang w:val="en-GB"/>
        </w:rPr>
        <w:t>However, there is a lack of convincing data on pel</w:t>
      </w:r>
      <w:r w:rsidR="00661EAA" w:rsidRPr="0087291A">
        <w:rPr>
          <w:rFonts w:ascii="Book Antiqua" w:hAnsi="Book Antiqua" w:cs="Arial"/>
          <w:sz w:val="24"/>
          <w:szCs w:val="24"/>
          <w:lang w:val="en-GB"/>
        </w:rPr>
        <w:t>vic non-uterine leiomyosarcoma</w:t>
      </w:r>
      <w:r w:rsidRPr="0087291A">
        <w:rPr>
          <w:rFonts w:ascii="Book Antiqua" w:hAnsi="Book Antiqua" w:cs="Arial"/>
          <w:noProof/>
          <w:sz w:val="24"/>
          <w:szCs w:val="24"/>
          <w:vertAlign w:val="superscript"/>
          <w:lang w:val="en-GB"/>
        </w:rPr>
        <w:t>[6]</w:t>
      </w:r>
      <w:r w:rsidR="00661EAA" w:rsidRPr="0087291A">
        <w:rPr>
          <w:rFonts w:ascii="Book Antiqua" w:hAnsi="Book Antiqua" w:cs="Arial"/>
          <w:sz w:val="24"/>
          <w:szCs w:val="24"/>
          <w:lang w:val="en-GB"/>
        </w:rPr>
        <w:t xml:space="preserve">, </w:t>
      </w:r>
      <w:r w:rsidRPr="0087291A">
        <w:rPr>
          <w:rFonts w:ascii="Book Antiqua" w:hAnsi="Book Antiqua" w:cs="Arial"/>
          <w:sz w:val="24"/>
          <w:szCs w:val="24"/>
          <w:lang w:val="en-GB"/>
        </w:rPr>
        <w:t>and the biological behaviour of this tumour type, including the associated metastases and prognoses, requires further exploration.</w:t>
      </w:r>
    </w:p>
    <w:p w14:paraId="6948BED3" w14:textId="2D61D53F" w:rsidR="00E7232D" w:rsidRPr="0087291A" w:rsidRDefault="001F565A" w:rsidP="0087291A">
      <w:pPr>
        <w:snapToGrid w:val="0"/>
        <w:spacing w:line="360" w:lineRule="auto"/>
        <w:ind w:firstLineChars="100" w:firstLine="240"/>
        <w:rPr>
          <w:rFonts w:ascii="Book Antiqua" w:hAnsi="Book Antiqua" w:cs="Arial"/>
          <w:noProof/>
          <w:sz w:val="24"/>
          <w:szCs w:val="24"/>
          <w:vertAlign w:val="superscript"/>
          <w:lang w:val="en-GB"/>
        </w:rPr>
      </w:pPr>
      <w:r w:rsidRPr="0087291A">
        <w:rPr>
          <w:rFonts w:ascii="Book Antiqua" w:hAnsi="Book Antiqua" w:cs="Arial"/>
          <w:sz w:val="24"/>
          <w:szCs w:val="24"/>
          <w:lang w:val="en-GB"/>
        </w:rPr>
        <w:t xml:space="preserve">Although various diagnostic tools have been used to preoperatively evaluate uterine leiomyosarcoma, they have </w:t>
      </w:r>
      <w:r w:rsidR="00594265">
        <w:rPr>
          <w:rFonts w:ascii="Book Antiqua" w:hAnsi="Book Antiqua" w:cs="Arial"/>
          <w:sz w:val="24"/>
          <w:szCs w:val="24"/>
          <w:lang w:val="en-GB"/>
        </w:rPr>
        <w:t xml:space="preserve">a </w:t>
      </w:r>
      <w:r w:rsidRPr="0087291A">
        <w:rPr>
          <w:rFonts w:ascii="Book Antiqua" w:hAnsi="Book Antiqua" w:cs="Arial"/>
          <w:sz w:val="24"/>
          <w:szCs w:val="24"/>
          <w:lang w:val="en-GB"/>
        </w:rPr>
        <w:t>low sensitivity for differentiating uterine leiomyosarcoma from fibroids; a previous study revealed that only approximately 54% of uterine leiomyosarcoma lesions we</w:t>
      </w:r>
      <w:r w:rsidR="00661EAA" w:rsidRPr="0087291A">
        <w:rPr>
          <w:rFonts w:ascii="Book Antiqua" w:hAnsi="Book Antiqua" w:cs="Arial"/>
          <w:sz w:val="24"/>
          <w:szCs w:val="24"/>
          <w:lang w:val="en-GB"/>
        </w:rPr>
        <w:t>re unidentified before surgery</w:t>
      </w:r>
      <w:r w:rsidRPr="0087291A">
        <w:rPr>
          <w:rFonts w:ascii="Book Antiqua" w:hAnsi="Book Antiqua" w:cs="Arial"/>
          <w:noProof/>
          <w:sz w:val="24"/>
          <w:szCs w:val="24"/>
          <w:vertAlign w:val="superscript"/>
          <w:lang w:val="en-GB"/>
        </w:rPr>
        <w:t>[7]</w:t>
      </w:r>
      <w:r w:rsidR="00661EAA" w:rsidRPr="0087291A">
        <w:rPr>
          <w:rFonts w:ascii="Book Antiqua" w:hAnsi="Book Antiqua" w:cs="Arial"/>
          <w:sz w:val="24"/>
          <w:szCs w:val="24"/>
          <w:lang w:val="en-GB"/>
        </w:rPr>
        <w:t xml:space="preserve">. </w:t>
      </w:r>
      <w:r w:rsidRPr="0087291A">
        <w:rPr>
          <w:rFonts w:ascii="Book Antiqua" w:hAnsi="Book Antiqua" w:cs="Arial"/>
          <w:sz w:val="24"/>
          <w:szCs w:val="24"/>
          <w:lang w:val="en-GB"/>
        </w:rPr>
        <w:t>Moreover, unlike in the case of ovarian cancer, regular serum tumour markers have limited value in dia</w:t>
      </w:r>
      <w:r w:rsidR="00E7232D" w:rsidRPr="0087291A">
        <w:rPr>
          <w:rFonts w:ascii="Book Antiqua" w:hAnsi="Book Antiqua" w:cs="Arial"/>
          <w:sz w:val="24"/>
          <w:szCs w:val="24"/>
          <w:lang w:val="en-GB"/>
        </w:rPr>
        <w:t>gnosing uterine leiomyosarcoma</w:t>
      </w:r>
      <w:r w:rsidRPr="0087291A">
        <w:rPr>
          <w:rFonts w:ascii="Book Antiqua" w:hAnsi="Book Antiqua" w:cs="Arial"/>
          <w:noProof/>
          <w:sz w:val="24"/>
          <w:szCs w:val="24"/>
          <w:vertAlign w:val="superscript"/>
          <w:lang w:val="en-GB"/>
        </w:rPr>
        <w:t>[8-10]</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Of all auxiliary examinations, only medical imaging can identify the existence and position of lesions. Computed tomography, magnetic resonance imaging, positron emission tomography, and ultrasonography can be used in the examination and follo</w:t>
      </w:r>
      <w:r w:rsidR="00E7232D" w:rsidRPr="0087291A">
        <w:rPr>
          <w:rFonts w:ascii="Book Antiqua" w:hAnsi="Book Antiqua" w:cs="Arial"/>
          <w:sz w:val="24"/>
          <w:szCs w:val="24"/>
          <w:lang w:val="en-GB"/>
        </w:rPr>
        <w:t>w-up of leiomyosarcoma patients</w:t>
      </w:r>
      <w:r w:rsidR="00E7232D" w:rsidRPr="0087291A">
        <w:rPr>
          <w:rFonts w:ascii="Book Antiqua" w:hAnsi="Book Antiqua" w:cs="Arial"/>
          <w:noProof/>
          <w:sz w:val="24"/>
          <w:szCs w:val="24"/>
          <w:vertAlign w:val="superscript"/>
          <w:lang w:val="en-GB"/>
        </w:rPr>
        <w:t>[11-13]</w:t>
      </w:r>
      <w:r w:rsidR="00E7232D" w:rsidRPr="0087291A">
        <w:rPr>
          <w:rFonts w:ascii="Book Antiqua" w:hAnsi="Book Antiqua" w:cs="Arial"/>
          <w:sz w:val="24"/>
          <w:szCs w:val="24"/>
          <w:lang w:val="en-GB"/>
        </w:rPr>
        <w:t>.</w:t>
      </w:r>
    </w:p>
    <w:p w14:paraId="26CD8CCE" w14:textId="7650F1F6"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The treatment methods and prognostic factors related to leiomyosarcoma require extensive research because of the disease’s high malignant potential. Previous studies have confirmed that the standard surgical resection of uterine leiomyosarcoma is ass</w:t>
      </w:r>
      <w:r w:rsidR="00E7232D" w:rsidRPr="0087291A">
        <w:rPr>
          <w:rFonts w:ascii="Book Antiqua" w:hAnsi="Book Antiqua" w:cs="Arial"/>
          <w:sz w:val="24"/>
          <w:szCs w:val="24"/>
          <w:lang w:val="en-GB"/>
        </w:rPr>
        <w:t>ociated with improved prognoses</w:t>
      </w:r>
      <w:r w:rsidR="00C273D4" w:rsidRPr="0087291A">
        <w:rPr>
          <w:rFonts w:ascii="Book Antiqua" w:hAnsi="Book Antiqua" w:cs="Arial"/>
          <w:noProof/>
          <w:sz w:val="24"/>
          <w:szCs w:val="24"/>
          <w:vertAlign w:val="superscript"/>
          <w:lang w:val="en-GB"/>
        </w:rPr>
        <w:t>[12,</w:t>
      </w:r>
      <w:r w:rsidRPr="0087291A">
        <w:rPr>
          <w:rFonts w:ascii="Book Antiqua" w:hAnsi="Book Antiqua" w:cs="Arial"/>
          <w:noProof/>
          <w:sz w:val="24"/>
          <w:szCs w:val="24"/>
          <w:vertAlign w:val="superscript"/>
          <w:lang w:val="en-GB"/>
        </w:rPr>
        <w:t>14]</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Lymphadenectomy is recommended following the intraoperative discovery of palpable lymph nodes in </w:t>
      </w:r>
      <w:r w:rsidR="00E7232D" w:rsidRPr="0087291A">
        <w:rPr>
          <w:rFonts w:ascii="Book Antiqua" w:hAnsi="Book Antiqua" w:cs="Arial"/>
          <w:sz w:val="24"/>
          <w:szCs w:val="24"/>
          <w:lang w:val="en-GB"/>
        </w:rPr>
        <w:t>women with extrauterine disease</w:t>
      </w:r>
      <w:r w:rsidR="00C273D4" w:rsidRPr="0087291A">
        <w:rPr>
          <w:rFonts w:ascii="Book Antiqua" w:hAnsi="Book Antiqua" w:cs="Arial"/>
          <w:noProof/>
          <w:sz w:val="24"/>
          <w:szCs w:val="24"/>
          <w:vertAlign w:val="superscript"/>
          <w:lang w:val="en-GB"/>
        </w:rPr>
        <w:t>[15,</w:t>
      </w:r>
      <w:r w:rsidRPr="0087291A">
        <w:rPr>
          <w:rFonts w:ascii="Book Antiqua" w:hAnsi="Book Antiqua" w:cs="Arial"/>
          <w:noProof/>
          <w:sz w:val="24"/>
          <w:szCs w:val="24"/>
          <w:vertAlign w:val="superscript"/>
          <w:lang w:val="en-GB"/>
        </w:rPr>
        <w:t>16]</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Recent studies have implied that tumour stage, size</w:t>
      </w:r>
      <w:r w:rsidR="00594265">
        <w:rPr>
          <w:rFonts w:ascii="Book Antiqua" w:hAnsi="Book Antiqua" w:cs="Arial"/>
          <w:sz w:val="24"/>
          <w:szCs w:val="24"/>
          <w:lang w:val="en-GB"/>
        </w:rPr>
        <w:t>,</w:t>
      </w:r>
      <w:r w:rsidRPr="0087291A">
        <w:rPr>
          <w:rFonts w:ascii="Book Antiqua" w:hAnsi="Book Antiqua" w:cs="Arial"/>
          <w:sz w:val="24"/>
          <w:szCs w:val="24"/>
          <w:lang w:val="en-GB"/>
        </w:rPr>
        <w:t xml:space="preserve"> and relapse status, and mitotic index are associated with overall survival and progression-free survival in uterine </w:t>
      </w:r>
      <w:r w:rsidR="00E7232D" w:rsidRPr="0087291A">
        <w:rPr>
          <w:rFonts w:ascii="Book Antiqua" w:hAnsi="Book Antiqua" w:cs="Arial"/>
          <w:sz w:val="24"/>
          <w:szCs w:val="24"/>
          <w:lang w:val="en-GB"/>
        </w:rPr>
        <w:t>leiomyosarcoma</w:t>
      </w:r>
      <w:r w:rsidRPr="0087291A">
        <w:rPr>
          <w:rFonts w:ascii="Book Antiqua" w:hAnsi="Book Antiqua" w:cs="Arial"/>
          <w:noProof/>
          <w:sz w:val="24"/>
          <w:szCs w:val="24"/>
          <w:vertAlign w:val="superscript"/>
          <w:lang w:val="en-GB"/>
        </w:rPr>
        <w:t>[17-19]</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Furthermore, the disease stage at diagnosis is an i</w:t>
      </w:r>
      <w:r w:rsidR="00E7232D" w:rsidRPr="0087291A">
        <w:rPr>
          <w:rFonts w:ascii="Book Antiqua" w:hAnsi="Book Antiqua" w:cs="Arial"/>
          <w:sz w:val="24"/>
          <w:szCs w:val="24"/>
          <w:lang w:val="en-GB"/>
        </w:rPr>
        <w:t>mportant predictor of survival</w:t>
      </w:r>
      <w:r w:rsidR="00C273D4" w:rsidRPr="0087291A">
        <w:rPr>
          <w:rFonts w:ascii="Book Antiqua" w:hAnsi="Book Antiqua" w:cs="Arial"/>
          <w:noProof/>
          <w:sz w:val="24"/>
          <w:szCs w:val="24"/>
          <w:vertAlign w:val="superscript"/>
          <w:lang w:val="en-GB"/>
        </w:rPr>
        <w:t>[20,</w:t>
      </w:r>
      <w:r w:rsidRPr="0087291A">
        <w:rPr>
          <w:rFonts w:ascii="Book Antiqua" w:hAnsi="Book Antiqua" w:cs="Arial"/>
          <w:noProof/>
          <w:sz w:val="24"/>
          <w:szCs w:val="24"/>
          <w:vertAlign w:val="superscript"/>
          <w:lang w:val="en-GB"/>
        </w:rPr>
        <w:t>21]</w:t>
      </w:r>
      <w:r w:rsidR="00E7232D" w:rsidRPr="0087291A">
        <w:rPr>
          <w:rFonts w:ascii="Book Antiqua" w:hAnsi="Book Antiqua" w:cs="Arial"/>
          <w:sz w:val="24"/>
          <w:szCs w:val="24"/>
          <w:lang w:val="en-GB"/>
        </w:rPr>
        <w:t xml:space="preserve">. </w:t>
      </w:r>
      <w:r w:rsidRPr="0087291A">
        <w:rPr>
          <w:rFonts w:ascii="Book Antiqua" w:hAnsi="Book Antiqua" w:cs="Arial"/>
          <w:sz w:val="24"/>
          <w:szCs w:val="24"/>
          <w:lang w:val="en-GB"/>
        </w:rPr>
        <w:t>However, there is a lack of standardised treatment guidelines and specialised investigations focusing on non-uterine leiomyosarcoma</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of the pelvic cavity. Studies that compared the clinical differences ha</w:t>
      </w:r>
      <w:r w:rsidR="00643977" w:rsidRPr="0087291A">
        <w:rPr>
          <w:rFonts w:ascii="Book Antiqua" w:hAnsi="Book Antiqua" w:cs="Arial"/>
          <w:sz w:val="24"/>
          <w:szCs w:val="24"/>
          <w:lang w:val="en-GB"/>
        </w:rPr>
        <w:t>ve not shown consistent results</w:t>
      </w:r>
      <w:r w:rsidR="00C273D4" w:rsidRPr="0087291A">
        <w:rPr>
          <w:rFonts w:ascii="Book Antiqua" w:hAnsi="Book Antiqua" w:cs="Arial"/>
          <w:noProof/>
          <w:sz w:val="24"/>
          <w:szCs w:val="24"/>
          <w:vertAlign w:val="superscript"/>
          <w:lang w:val="en-GB"/>
        </w:rPr>
        <w:t>[4,</w:t>
      </w:r>
      <w:r w:rsidRPr="0087291A">
        <w:rPr>
          <w:rFonts w:ascii="Book Antiqua" w:hAnsi="Book Antiqua" w:cs="Arial"/>
          <w:noProof/>
          <w:sz w:val="24"/>
          <w:szCs w:val="24"/>
          <w:vertAlign w:val="superscript"/>
          <w:lang w:val="en-GB"/>
        </w:rPr>
        <w:t>22]</w:t>
      </w:r>
      <w:r w:rsidR="00643977" w:rsidRPr="0087291A">
        <w:rPr>
          <w:rFonts w:ascii="Book Antiqua" w:hAnsi="Book Antiqua" w:cs="Arial"/>
          <w:sz w:val="24"/>
          <w:szCs w:val="24"/>
          <w:lang w:val="en-GB"/>
        </w:rPr>
        <w:t xml:space="preserve">. </w:t>
      </w:r>
      <w:r w:rsidRPr="0087291A">
        <w:rPr>
          <w:rFonts w:ascii="Book Antiqua" w:hAnsi="Book Antiqua" w:cs="Arial"/>
          <w:sz w:val="24"/>
          <w:szCs w:val="24"/>
          <w:lang w:val="en-GB"/>
        </w:rPr>
        <w:t>Thus, there is an urgent need to identify clinical characteristics of non-uterine leiomyosarcoma to provide early diagnosis and proper treatment.</w:t>
      </w:r>
    </w:p>
    <w:p w14:paraId="369F80BF" w14:textId="77777777"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Owing to a lack of long-term </w:t>
      </w:r>
      <w:r w:rsidR="00C273D4" w:rsidRPr="0087291A">
        <w:rPr>
          <w:rFonts w:ascii="Book Antiqua" w:hAnsi="Book Antiqua" w:cs="Arial"/>
          <w:sz w:val="24"/>
          <w:szCs w:val="24"/>
          <w:lang w:val="en-GB"/>
        </w:rPr>
        <w:t>leiomyosarcoma</w:t>
      </w:r>
      <w:r w:rsidRPr="0087291A">
        <w:rPr>
          <w:rFonts w:ascii="Book Antiqua" w:hAnsi="Book Antiqua" w:cs="Arial"/>
          <w:sz w:val="24"/>
          <w:szCs w:val="24"/>
          <w:lang w:val="en-GB"/>
        </w:rPr>
        <w:t>-focused studies, the clinical and ultrasonographic features of uterine leiomyosarcoma and non-uterine leiomyosarcoma among women remain unclear. Therefore, we retrospectively analysed patients with uterine leiomyosarcoma and non-uterine leiomyosarcoma to identify their clinical characteristics in detail.</w:t>
      </w:r>
    </w:p>
    <w:p w14:paraId="201AE4EC" w14:textId="77777777" w:rsidR="001F565A" w:rsidRPr="0087291A" w:rsidRDefault="001F565A" w:rsidP="0087291A">
      <w:pPr>
        <w:snapToGrid w:val="0"/>
        <w:spacing w:line="360" w:lineRule="auto"/>
        <w:rPr>
          <w:rFonts w:ascii="Book Antiqua" w:hAnsi="Book Antiqua" w:cs="Arial"/>
          <w:b/>
          <w:sz w:val="24"/>
          <w:szCs w:val="24"/>
          <w:lang w:val="en-GB"/>
        </w:rPr>
      </w:pPr>
    </w:p>
    <w:p w14:paraId="42CCFACA" w14:textId="77777777" w:rsidR="00C273D4" w:rsidRPr="0087291A" w:rsidRDefault="00C273D4" w:rsidP="0087291A">
      <w:pPr>
        <w:adjustRightInd w:val="0"/>
        <w:snapToGrid w:val="0"/>
        <w:spacing w:line="360" w:lineRule="auto"/>
        <w:rPr>
          <w:rFonts w:ascii="Book Antiqua" w:hAnsi="Book Antiqua"/>
          <w:b/>
          <w:sz w:val="24"/>
          <w:szCs w:val="24"/>
          <w:u w:val="single"/>
        </w:rPr>
      </w:pPr>
      <w:r w:rsidRPr="0087291A">
        <w:rPr>
          <w:rFonts w:ascii="Book Antiqua" w:hAnsi="Book Antiqua"/>
          <w:b/>
          <w:sz w:val="24"/>
          <w:szCs w:val="24"/>
          <w:u w:val="single"/>
        </w:rPr>
        <w:t>MATERIALS AND METHODS</w:t>
      </w:r>
    </w:p>
    <w:p w14:paraId="4CBDF50B" w14:textId="77777777" w:rsidR="001F565A" w:rsidRPr="0087291A" w:rsidRDefault="001F565A" w:rsidP="0087291A">
      <w:pPr>
        <w:snapToGrid w:val="0"/>
        <w:spacing w:line="360" w:lineRule="auto"/>
        <w:rPr>
          <w:rFonts w:ascii="Book Antiqua" w:hAnsi="Book Antiqua" w:cs="Arial"/>
          <w:color w:val="231F20"/>
          <w:sz w:val="24"/>
          <w:szCs w:val="24"/>
          <w:lang w:val="en-GB"/>
        </w:rPr>
      </w:pPr>
      <w:r w:rsidRPr="0087291A">
        <w:rPr>
          <w:rFonts w:ascii="Book Antiqua" w:hAnsi="Book Antiqua" w:cs="Arial"/>
          <w:color w:val="231F20"/>
          <w:sz w:val="24"/>
          <w:szCs w:val="24"/>
          <w:lang w:val="en-GB"/>
        </w:rPr>
        <w:t xml:space="preserve">Fifty-one patients treated between 2000 and 2018 were retrospectively examined in our study; the patients included 35 (68.6%) with </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and 16 (31.4%) with </w:t>
      </w:r>
      <w:r w:rsidRPr="0087291A">
        <w:rPr>
          <w:rFonts w:ascii="Book Antiqua" w:hAnsi="Book Antiqua" w:cs="Arial"/>
          <w:sz w:val="24"/>
          <w:szCs w:val="24"/>
          <w:lang w:val="en-GB"/>
        </w:rPr>
        <w:t>non-uterine leiomyosarcoma</w:t>
      </w:r>
      <w:r w:rsidRPr="0087291A">
        <w:rPr>
          <w:rFonts w:ascii="Book Antiqua" w:hAnsi="Book Antiqua" w:cs="Arial"/>
          <w:color w:val="231F20"/>
          <w:sz w:val="24"/>
          <w:szCs w:val="24"/>
          <w:lang w:val="en-GB"/>
        </w:rPr>
        <w:t xml:space="preserve">. The study was approved by the Ethical Committee of the Medical Faculty of Tongji Medical College, and verbal informed consent was obtained from the participants or their relatives. The tumour stages were evaluated based on International Federation of Gynaecology </w:t>
      </w:r>
      <w:r w:rsidR="00643977" w:rsidRPr="0087291A">
        <w:rPr>
          <w:rFonts w:ascii="Book Antiqua" w:hAnsi="Book Antiqua" w:cs="Arial"/>
          <w:color w:val="231F20"/>
          <w:sz w:val="24"/>
          <w:szCs w:val="24"/>
          <w:lang w:val="en-GB"/>
        </w:rPr>
        <w:t>and Obstetrics (FIGO) criteria</w:t>
      </w:r>
      <w:r w:rsidRPr="0087291A">
        <w:rPr>
          <w:rFonts w:ascii="Book Antiqua" w:hAnsi="Book Antiqua" w:cs="Arial"/>
          <w:noProof/>
          <w:color w:val="231F20"/>
          <w:sz w:val="24"/>
          <w:szCs w:val="24"/>
          <w:vertAlign w:val="superscript"/>
          <w:lang w:val="en-GB"/>
        </w:rPr>
        <w:t>[23]</w:t>
      </w:r>
      <w:r w:rsidR="00643977"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The outcomes included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and </w:t>
      </w:r>
      <w:r w:rsidRPr="0087291A">
        <w:rPr>
          <w:rFonts w:ascii="Book Antiqua" w:hAnsi="Book Antiqua" w:cs="Arial"/>
          <w:sz w:val="24"/>
          <w:szCs w:val="24"/>
          <w:lang w:val="en-GB"/>
        </w:rPr>
        <w:t>overall survival</w:t>
      </w:r>
      <w:r w:rsidRPr="0087291A">
        <w:rPr>
          <w:rFonts w:ascii="Book Antiqua" w:hAnsi="Book Antiqua" w:cs="Arial"/>
          <w:color w:val="231F20"/>
          <w:sz w:val="24"/>
          <w:szCs w:val="24"/>
          <w:lang w:val="en-GB"/>
        </w:rPr>
        <w:t xml:space="preserve">;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was calculated from the surgery date when the diagnosis was first confirmed to the date of detection of recurrence </w:t>
      </w:r>
      <w:r w:rsidRPr="0087291A">
        <w:rPr>
          <w:rFonts w:ascii="Book Antiqua" w:hAnsi="Book Antiqua" w:cs="Arial"/>
          <w:i/>
          <w:color w:val="231F20"/>
          <w:sz w:val="24"/>
          <w:szCs w:val="24"/>
          <w:lang w:val="en-GB"/>
        </w:rPr>
        <w:t>via</w:t>
      </w:r>
      <w:r w:rsidRPr="0087291A">
        <w:rPr>
          <w:rFonts w:ascii="Book Antiqua" w:hAnsi="Book Antiqua" w:cs="Arial"/>
          <w:color w:val="231F20"/>
          <w:sz w:val="24"/>
          <w:szCs w:val="24"/>
          <w:lang w:val="en-GB"/>
        </w:rPr>
        <w:t xml:space="preserve"> imaging examination. Overall survival was calculated from the date of surgery that first confirmed the diagnosis to the date of death or that of the last follow-up for survivors.</w:t>
      </w:r>
    </w:p>
    <w:p w14:paraId="2E6E82C9" w14:textId="77777777" w:rsidR="001F565A" w:rsidRPr="0087291A" w:rsidRDefault="001F565A" w:rsidP="0087291A">
      <w:pPr>
        <w:snapToGrid w:val="0"/>
        <w:spacing w:line="360" w:lineRule="auto"/>
        <w:rPr>
          <w:rFonts w:ascii="Book Antiqua" w:hAnsi="Book Antiqua" w:cs="Arial"/>
          <w:color w:val="231F20"/>
          <w:sz w:val="24"/>
          <w:szCs w:val="24"/>
          <w:lang w:val="en-GB"/>
        </w:rPr>
      </w:pPr>
    </w:p>
    <w:p w14:paraId="609C200D" w14:textId="77777777" w:rsidR="001F565A" w:rsidRPr="0087291A" w:rsidRDefault="001F565A" w:rsidP="0087291A">
      <w:pPr>
        <w:snapToGrid w:val="0"/>
        <w:spacing w:line="360" w:lineRule="auto"/>
        <w:rPr>
          <w:rFonts w:ascii="Book Antiqua" w:hAnsi="Book Antiqua" w:cs="Arial"/>
          <w:b/>
          <w:i/>
          <w:color w:val="231F20"/>
          <w:sz w:val="24"/>
          <w:szCs w:val="24"/>
          <w:lang w:val="en-GB"/>
        </w:rPr>
      </w:pPr>
      <w:r w:rsidRPr="0087291A">
        <w:rPr>
          <w:rFonts w:ascii="Book Antiqua" w:hAnsi="Book Antiqua" w:cs="Arial"/>
          <w:b/>
          <w:i/>
          <w:sz w:val="24"/>
          <w:szCs w:val="24"/>
          <w:lang w:val="en-GB"/>
        </w:rPr>
        <w:t>Statistical analysis</w:t>
      </w:r>
    </w:p>
    <w:p w14:paraId="6086740E" w14:textId="1A5F73DD" w:rsidR="001F565A" w:rsidRPr="0087291A" w:rsidRDefault="001F565A" w:rsidP="0087291A">
      <w:pPr>
        <w:snapToGrid w:val="0"/>
        <w:spacing w:line="360" w:lineRule="auto"/>
        <w:rPr>
          <w:rFonts w:ascii="Book Antiqua" w:hAnsi="Book Antiqua" w:cs="Arial"/>
          <w:color w:val="231F20"/>
          <w:sz w:val="24"/>
          <w:szCs w:val="24"/>
          <w:lang w:val="en-GB"/>
        </w:rPr>
      </w:pPr>
      <w:r w:rsidRPr="0087291A">
        <w:rPr>
          <w:rFonts w:ascii="Book Antiqua" w:hAnsi="Book Antiqua" w:cs="Arial"/>
          <w:color w:val="231F20"/>
          <w:sz w:val="24"/>
          <w:szCs w:val="24"/>
          <w:lang w:val="en-GB"/>
        </w:rPr>
        <w:t xml:space="preserve">The </w:t>
      </w:r>
      <w:r w:rsidRPr="0087291A">
        <w:rPr>
          <w:rFonts w:ascii="Book Antiqua" w:hAnsi="Book Antiqua" w:cs="Arial"/>
          <w:sz w:val="24"/>
          <w:szCs w:val="24"/>
          <w:lang w:val="en-GB"/>
        </w:rPr>
        <w:t>overall survival</w:t>
      </w:r>
      <w:r w:rsidRPr="0087291A">
        <w:rPr>
          <w:rFonts w:ascii="Book Antiqua" w:hAnsi="Book Antiqua" w:cs="Arial"/>
          <w:color w:val="231F20"/>
          <w:sz w:val="24"/>
          <w:szCs w:val="24"/>
          <w:lang w:val="en-GB"/>
        </w:rPr>
        <w:t xml:space="preserve"> and </w:t>
      </w:r>
      <w:r w:rsidRPr="0087291A">
        <w:rPr>
          <w:rFonts w:ascii="Book Antiqua" w:hAnsi="Book Antiqua" w:cs="Arial"/>
          <w:sz w:val="24"/>
          <w:szCs w:val="24"/>
          <w:lang w:val="en-GB"/>
        </w:rPr>
        <w:t>progression-free survival</w:t>
      </w:r>
      <w:r w:rsidRPr="0087291A">
        <w:rPr>
          <w:rFonts w:ascii="Book Antiqua" w:hAnsi="Book Antiqua" w:cs="Arial"/>
          <w:color w:val="231F20"/>
          <w:sz w:val="24"/>
          <w:szCs w:val="24"/>
          <w:lang w:val="en-GB"/>
        </w:rPr>
        <w:t xml:space="preserve"> of patients were estimated using Kaplan-Meier curves, and differences between </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and non-</w:t>
      </w:r>
      <w:r w:rsidRPr="0087291A">
        <w:rPr>
          <w:rFonts w:ascii="Book Antiqua" w:hAnsi="Book Antiqua" w:cs="Arial"/>
          <w:sz w:val="24"/>
          <w:szCs w:val="24"/>
          <w:lang w:val="en-GB"/>
        </w:rPr>
        <w:t>uterine leiomyosarcoma</w:t>
      </w:r>
      <w:r w:rsidRPr="0087291A">
        <w:rPr>
          <w:rFonts w:ascii="Book Antiqua" w:hAnsi="Book Antiqua" w:cs="Arial"/>
          <w:color w:val="231F20"/>
          <w:sz w:val="24"/>
          <w:szCs w:val="24"/>
          <w:lang w:val="en-GB"/>
        </w:rPr>
        <w:t xml:space="preserve"> patients were compared using a log-rank test. Pearson’s </w:t>
      </w:r>
      <w:r w:rsidR="00C273D4" w:rsidRPr="0087291A">
        <w:rPr>
          <w:rFonts w:ascii="Book Antiqua" w:hAnsi="Book Antiqua" w:cs="Cambria Math"/>
          <w:i/>
          <w:color w:val="231F20"/>
          <w:sz w:val="24"/>
          <w:szCs w:val="24"/>
          <w:lang w:val="en-GB"/>
        </w:rPr>
        <w:t>χ</w:t>
      </w:r>
      <w:r w:rsidRPr="0087291A">
        <w:rPr>
          <w:rFonts w:ascii="Book Antiqua" w:hAnsi="Book Antiqua" w:cs="Arial"/>
          <w:color w:val="231F20"/>
          <w:sz w:val="24"/>
          <w:szCs w:val="24"/>
          <w:vertAlign w:val="superscript"/>
          <w:lang w:val="en-GB"/>
        </w:rPr>
        <w:t>2</w:t>
      </w:r>
      <w:r w:rsidRPr="0087291A">
        <w:rPr>
          <w:rFonts w:ascii="Book Antiqua" w:hAnsi="Book Antiqua" w:cs="Arial"/>
          <w:color w:val="231F20"/>
          <w:sz w:val="24"/>
          <w:szCs w:val="24"/>
          <w:lang w:val="en-GB"/>
        </w:rPr>
        <w:t xml:space="preserve"> test or Fisher’s exact test was used to assess the association among clinicopathologic features. Statistical significance and differences in survival were assessed using the Cox proportional hazards regression model. Factors with </w:t>
      </w:r>
      <w:r w:rsidRPr="0087291A">
        <w:rPr>
          <w:rFonts w:ascii="Book Antiqua" w:hAnsi="Book Antiqua" w:cs="Arial"/>
          <w:i/>
          <w:color w:val="231F20"/>
          <w:sz w:val="24"/>
          <w:szCs w:val="24"/>
          <w:lang w:val="en-GB"/>
        </w:rPr>
        <w:t>P</w:t>
      </w:r>
      <w:r w:rsidRPr="0087291A">
        <w:rPr>
          <w:rFonts w:ascii="Book Antiqua" w:hAnsi="Book Antiqua" w:cs="Arial"/>
          <w:color w:val="231F20"/>
          <w:sz w:val="24"/>
          <w:szCs w:val="24"/>
          <w:lang w:val="en-GB"/>
        </w:rPr>
        <w:t xml:space="preserve"> values &lt;</w:t>
      </w:r>
      <w:r w:rsidR="00C273D4"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0.05 in the univariate analysis were included in the multivariate Cox regression analysis. For all analyses, the level of statistical significance was set at </w:t>
      </w:r>
      <w:r w:rsidRPr="0087291A">
        <w:rPr>
          <w:rFonts w:ascii="Book Antiqua" w:hAnsi="Book Antiqua" w:cs="Arial"/>
          <w:i/>
          <w:color w:val="231F20"/>
          <w:sz w:val="24"/>
          <w:szCs w:val="24"/>
          <w:lang w:val="en-GB"/>
        </w:rPr>
        <w:t>P</w:t>
      </w:r>
      <w:r w:rsidR="00594265">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&lt;</w:t>
      </w:r>
      <w:r w:rsidR="00C273D4"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0.05. Data analyses were performed using the Statistical Product and Service Solutions software (SPSS, version 22.0; IBM Corp., Armonk, NY</w:t>
      </w:r>
      <w:r w:rsidR="00C273D4" w:rsidRPr="0087291A">
        <w:rPr>
          <w:rFonts w:ascii="Book Antiqua" w:hAnsi="Book Antiqua" w:cs="Arial"/>
          <w:color w:val="231F20"/>
          <w:sz w:val="24"/>
          <w:szCs w:val="24"/>
          <w:lang w:val="en-GB"/>
        </w:rPr>
        <w:t>, United States</w:t>
      </w:r>
      <w:r w:rsidRPr="0087291A">
        <w:rPr>
          <w:rFonts w:ascii="Book Antiqua" w:hAnsi="Book Antiqua" w:cs="Arial"/>
          <w:color w:val="231F20"/>
          <w:sz w:val="24"/>
          <w:szCs w:val="24"/>
          <w:lang w:val="en-GB"/>
        </w:rPr>
        <w:t>).</w:t>
      </w:r>
    </w:p>
    <w:p w14:paraId="211F150E" w14:textId="77777777" w:rsidR="001F565A" w:rsidRPr="0087291A" w:rsidRDefault="001F565A" w:rsidP="0087291A">
      <w:pPr>
        <w:snapToGrid w:val="0"/>
        <w:spacing w:line="360" w:lineRule="auto"/>
        <w:rPr>
          <w:rFonts w:ascii="Book Antiqua" w:hAnsi="Book Antiqua" w:cs="Arial"/>
          <w:color w:val="231F20"/>
          <w:sz w:val="24"/>
          <w:szCs w:val="24"/>
          <w:lang w:val="en-GB"/>
        </w:rPr>
      </w:pPr>
    </w:p>
    <w:p w14:paraId="40777701" w14:textId="77777777" w:rsidR="001F565A" w:rsidRPr="0087291A" w:rsidRDefault="001F565A" w:rsidP="0087291A">
      <w:pPr>
        <w:snapToGrid w:val="0"/>
        <w:spacing w:line="360" w:lineRule="auto"/>
        <w:rPr>
          <w:rFonts w:ascii="Book Antiqua" w:eastAsia="Times New Roman" w:hAnsi="Book Antiqua" w:cs="Times New Roman"/>
          <w:b/>
          <w:caps/>
          <w:sz w:val="24"/>
          <w:szCs w:val="24"/>
          <w:u w:val="single"/>
        </w:rPr>
      </w:pPr>
      <w:r w:rsidRPr="0087291A">
        <w:rPr>
          <w:rFonts w:ascii="Book Antiqua" w:eastAsia="Times New Roman" w:hAnsi="Book Antiqua" w:cs="Times New Roman"/>
          <w:b/>
          <w:caps/>
          <w:sz w:val="24"/>
          <w:szCs w:val="24"/>
          <w:u w:val="single"/>
        </w:rPr>
        <w:t>Results</w:t>
      </w:r>
    </w:p>
    <w:p w14:paraId="421D2EB1" w14:textId="5AECA4C0"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Descriptive characteristics</w:t>
      </w:r>
      <w:r w:rsidR="00C273D4" w:rsidRPr="0087291A">
        <w:rPr>
          <w:rFonts w:ascii="Book Antiqua" w:hAnsi="Book Antiqua" w:cs="Arial"/>
          <w:b/>
          <w:i/>
          <w:sz w:val="24"/>
          <w:szCs w:val="24"/>
          <w:lang w:val="en-GB"/>
        </w:rPr>
        <w:t xml:space="preserve"> of leiomyosarcoma patients</w:t>
      </w:r>
    </w:p>
    <w:p w14:paraId="74950128" w14:textId="108FAFDB"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Fifty-one women with leiomyosarcoma were enrolled and were divided into the uterine leiomyosarcoma and non-uterine leiomyosarcoma groups based on tumour origin. Thirty-five</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 xml:space="preserve">(68.6%) </w:t>
      </w:r>
      <w:r w:rsidR="00594265" w:rsidRPr="0087291A">
        <w:rPr>
          <w:rFonts w:ascii="Book Antiqua" w:hAnsi="Book Antiqua" w:cs="Arial"/>
          <w:sz w:val="24"/>
          <w:szCs w:val="24"/>
          <w:lang w:val="en-GB"/>
        </w:rPr>
        <w:t xml:space="preserve">patients </w:t>
      </w:r>
      <w:r w:rsidRPr="0087291A">
        <w:rPr>
          <w:rFonts w:ascii="Book Antiqua" w:hAnsi="Book Antiqua" w:cs="Arial"/>
          <w:sz w:val="24"/>
          <w:szCs w:val="24"/>
          <w:lang w:val="en-GB"/>
        </w:rPr>
        <w:t>were classified as having uterine leiomyosarcoma, whereas 16 (31.4%) had non-uterine leiomyosarcoma. We followed</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 xml:space="preserve">43 women till May 2019. The patients’ characteristics are shown in Table 1. </w:t>
      </w:r>
      <w:bookmarkStart w:id="3" w:name="OLE_LINK12"/>
      <w:bookmarkStart w:id="4" w:name="OLE_LINK11"/>
      <w:r w:rsidRPr="0087291A">
        <w:rPr>
          <w:rFonts w:ascii="Book Antiqua" w:hAnsi="Book Antiqua" w:cs="Arial"/>
          <w:sz w:val="24"/>
          <w:szCs w:val="24"/>
          <w:lang w:val="en-GB"/>
        </w:rPr>
        <w:t>The mean ages of the patients in the uterine leiomyosarcoma and non-uterine leiomyosarcoma groups were 49.6 (range, 32</w:t>
      </w:r>
      <w:r w:rsidR="00002E44">
        <w:rPr>
          <w:rFonts w:ascii="Book Antiqua" w:hAnsi="Book Antiqua" w:cs="Arial"/>
          <w:sz w:val="24"/>
          <w:szCs w:val="24"/>
          <w:lang w:val="en-GB"/>
        </w:rPr>
        <w:t>-</w:t>
      </w:r>
      <w:r w:rsidRPr="0087291A">
        <w:rPr>
          <w:rFonts w:ascii="Book Antiqua" w:hAnsi="Book Antiqua" w:cs="Arial"/>
          <w:sz w:val="24"/>
          <w:szCs w:val="24"/>
          <w:lang w:val="en-GB"/>
        </w:rPr>
        <w:t>71) years and 46 (range, 29</w:t>
      </w:r>
      <w:r w:rsidR="00002E44">
        <w:rPr>
          <w:rFonts w:ascii="Book Antiqua" w:hAnsi="Book Antiqua" w:cs="Arial"/>
          <w:sz w:val="24"/>
          <w:szCs w:val="24"/>
          <w:lang w:val="en-GB"/>
        </w:rPr>
        <w:t>-</w:t>
      </w:r>
      <w:r w:rsidRPr="0087291A">
        <w:rPr>
          <w:rFonts w:ascii="Book Antiqua" w:hAnsi="Book Antiqua" w:cs="Arial"/>
          <w:sz w:val="24"/>
          <w:szCs w:val="24"/>
          <w:lang w:val="en-GB"/>
        </w:rPr>
        <w:t xml:space="preserve">66) years, respectively. </w:t>
      </w:r>
      <w:r w:rsidR="00594265">
        <w:rPr>
          <w:rFonts w:ascii="Book Antiqua" w:hAnsi="Book Antiqua" w:cs="Arial"/>
          <w:color w:val="231F20"/>
          <w:sz w:val="24"/>
          <w:szCs w:val="24"/>
          <w:lang w:val="en-GB"/>
        </w:rPr>
        <w:t>The</w:t>
      </w:r>
      <w:r w:rsidR="00594265" w:rsidRPr="0087291A">
        <w:rPr>
          <w:rFonts w:ascii="Book Antiqua" w:hAnsi="Book Antiqua" w:cs="Arial"/>
          <w:color w:val="231F20"/>
          <w:sz w:val="24"/>
          <w:szCs w:val="24"/>
          <w:lang w:val="en-GB"/>
        </w:rPr>
        <w:t xml:space="preserve"> </w:t>
      </w:r>
      <w:r w:rsidRPr="0087291A">
        <w:rPr>
          <w:rFonts w:ascii="Book Antiqua" w:hAnsi="Book Antiqua" w:cs="Arial"/>
          <w:color w:val="231F20"/>
          <w:sz w:val="24"/>
          <w:szCs w:val="24"/>
          <w:lang w:val="en-GB"/>
        </w:rPr>
        <w:t xml:space="preserve">majority of the patients in both the groups initially presented with menopause (60% </w:t>
      </w:r>
      <w:r w:rsidRPr="0087291A">
        <w:rPr>
          <w:rFonts w:ascii="Book Antiqua" w:hAnsi="Book Antiqua" w:cs="Arial"/>
          <w:sz w:val="24"/>
          <w:szCs w:val="24"/>
          <w:lang w:val="en-GB"/>
        </w:rPr>
        <w:t>in the uterine leiomyosarcoma group and 56.3% in the non-uterine leiomyosarcoma group). Other medical conditions such as hypertension and diabetes mellitus were rarely observed, with &lt;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20% of the patients presenting with these two disorders. Initial symptoms were particularly important for patient diagnoses. A plurality of patients with uterine leiomyosarcoma (45.7%) did not state obvious symptoms, and their lesions were diagnosed during medical examination. Furthermore, 25.7% of the patients with uterine leiomyosarcoma sought medical advice for menorrhagia and menstrual disorders, which were the most frequently reported complaints. Additionally, 17.1% of the patients with uterine leiomyosarcoma complained of abdominal pain and distention, and 5.7% had a palpable mass and postmenopausal bleeding. In contrast, 50% of patients with non-uterine leiomyosarcoma presented with abdominal pain and abdominal distention, whereas other complaints were rarely reported.</w:t>
      </w:r>
    </w:p>
    <w:p w14:paraId="135A58F7" w14:textId="77777777" w:rsidR="001F565A" w:rsidRPr="0087291A" w:rsidRDefault="001F565A" w:rsidP="0087291A">
      <w:pPr>
        <w:snapToGrid w:val="0"/>
        <w:spacing w:line="360" w:lineRule="auto"/>
        <w:rPr>
          <w:rFonts w:ascii="Book Antiqua" w:hAnsi="Book Antiqua" w:cs="Arial"/>
          <w:bCs/>
          <w:i/>
          <w:iCs/>
          <w:sz w:val="24"/>
          <w:szCs w:val="24"/>
          <w:lang w:val="en-GB"/>
        </w:rPr>
      </w:pPr>
    </w:p>
    <w:p w14:paraId="0C13B1E8"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 xml:space="preserve">Serum </w:t>
      </w:r>
      <w:r w:rsidRPr="0087291A">
        <w:rPr>
          <w:rFonts w:ascii="Book Antiqua" w:hAnsi="Book Antiqua" w:cs="Arial"/>
          <w:b/>
          <w:bCs/>
          <w:i/>
          <w:iCs/>
          <w:sz w:val="24"/>
          <w:szCs w:val="24"/>
          <w:lang w:val="en-GB"/>
        </w:rPr>
        <w:t>tumour</w:t>
      </w:r>
      <w:r w:rsidRPr="0087291A">
        <w:rPr>
          <w:rFonts w:ascii="Book Antiqua" w:hAnsi="Book Antiqua" w:cs="Arial"/>
          <w:b/>
          <w:i/>
          <w:sz w:val="24"/>
          <w:szCs w:val="24"/>
          <w:lang w:val="en-GB"/>
        </w:rPr>
        <w:t xml:space="preserve"> markers a</w:t>
      </w:r>
      <w:r w:rsidR="007B14CB" w:rsidRPr="0087291A">
        <w:rPr>
          <w:rFonts w:ascii="Book Antiqua" w:hAnsi="Book Antiqua" w:cs="Arial"/>
          <w:b/>
          <w:i/>
          <w:sz w:val="24"/>
          <w:szCs w:val="24"/>
          <w:lang w:val="en-GB"/>
        </w:rPr>
        <w:t>nd medical imaging examinations</w:t>
      </w:r>
    </w:p>
    <w:p w14:paraId="6A9CD145" w14:textId="62086690"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The levels of serum tumour markers, </w:t>
      </w:r>
      <w:r w:rsidRPr="0087291A">
        <w:rPr>
          <w:rFonts w:ascii="Book Antiqua" w:hAnsi="Book Antiqua" w:cs="Arial"/>
          <w:i/>
          <w:sz w:val="24"/>
          <w:szCs w:val="24"/>
          <w:lang w:val="en-GB"/>
        </w:rPr>
        <w:t>i.e.</w:t>
      </w:r>
      <w:r w:rsidRPr="0087291A">
        <w:rPr>
          <w:rFonts w:ascii="Book Antiqua" w:hAnsi="Book Antiqua" w:cs="Arial"/>
          <w:sz w:val="24"/>
          <w:szCs w:val="24"/>
          <w:lang w:val="en-GB"/>
        </w:rPr>
        <w:t>, carbohydrate antigen (CA)125, alpha-fetoprotein, carcinoembryonic antigen (CEA), CA199, CA153, and CA724, were assessed for their potential association with leiomyosarcoma considering their roles in other mal</w:t>
      </w:r>
      <w:r w:rsidR="00DA1650" w:rsidRPr="0087291A">
        <w:rPr>
          <w:rFonts w:ascii="Book Antiqua" w:hAnsi="Book Antiqua" w:cs="Arial"/>
          <w:sz w:val="24"/>
          <w:szCs w:val="24"/>
          <w:lang w:val="en-GB"/>
        </w:rPr>
        <w:t>ignant gynaecological diseases</w:t>
      </w:r>
      <w:r w:rsidR="007B14CB" w:rsidRPr="0087291A">
        <w:rPr>
          <w:rFonts w:ascii="Book Antiqua" w:hAnsi="Book Antiqua" w:cs="Arial"/>
          <w:noProof/>
          <w:sz w:val="24"/>
          <w:szCs w:val="24"/>
          <w:vertAlign w:val="superscript"/>
          <w:lang w:val="en-GB"/>
        </w:rPr>
        <w:t>[8,24,</w:t>
      </w:r>
      <w:r w:rsidRPr="0087291A">
        <w:rPr>
          <w:rFonts w:ascii="Book Antiqua" w:hAnsi="Book Antiqua" w:cs="Arial"/>
          <w:noProof/>
          <w:sz w:val="24"/>
          <w:szCs w:val="24"/>
          <w:vertAlign w:val="superscript"/>
          <w:lang w:val="en-GB"/>
        </w:rPr>
        <w:t>25]</w:t>
      </w:r>
      <w:r w:rsidR="00DA1650" w:rsidRPr="0087291A">
        <w:rPr>
          <w:rFonts w:ascii="Book Antiqua" w:hAnsi="Book Antiqua" w:cs="Arial"/>
          <w:sz w:val="24"/>
          <w:szCs w:val="24"/>
          <w:lang w:val="en-GB"/>
        </w:rPr>
        <w:t xml:space="preserve">. </w:t>
      </w:r>
      <w:r w:rsidRPr="0087291A">
        <w:rPr>
          <w:rFonts w:ascii="Book Antiqua" w:hAnsi="Book Antiqua" w:cs="Arial"/>
          <w:sz w:val="24"/>
          <w:szCs w:val="24"/>
          <w:lang w:val="en-GB"/>
        </w:rPr>
        <w:t>Because of our study’s long time span, only a proportion of our patients underwent serum tumour marker screening (Table</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 Most patients were screened for CA125 levels (60% in the uterine leiomyosarcoma group and 68.8% in the non-uterine leiomyosarcoma group); however, the CA125 </w:t>
      </w:r>
      <w:r w:rsidR="00594265">
        <w:rPr>
          <w:rFonts w:ascii="Book Antiqua" w:hAnsi="Book Antiqua" w:cs="Arial"/>
          <w:sz w:val="24"/>
          <w:szCs w:val="24"/>
          <w:lang w:val="en-GB"/>
        </w:rPr>
        <w:t>positive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rates were not high in either group. Only 28.6% and 45.5% of patients in the uterine leiomyosarcoma and non-uterine leiomyosarcoma groups, respectively, had elevated CA125 levels. Of the 42.9% and 63.6% of uterine leiomyosarcoma and non-uterine leiomyosarcoma patients, respectively, whose CEA levels were assessed, only one uterine leiomyosarcoma patient had elevated levels (with no non-uterine leiomyosarcoma patient having such elevations). Moreover, the </w:t>
      </w:r>
      <w:r w:rsidR="007B14CB" w:rsidRPr="0087291A">
        <w:rPr>
          <w:rFonts w:ascii="Book Antiqua" w:hAnsi="Book Antiqua" w:cs="Arial"/>
          <w:sz w:val="24"/>
          <w:szCs w:val="24"/>
          <w:lang w:val="en-GB"/>
        </w:rPr>
        <w:t>alpha-fetoprotein</w:t>
      </w:r>
      <w:r w:rsidRPr="0087291A">
        <w:rPr>
          <w:rFonts w:ascii="Book Antiqua" w:hAnsi="Book Antiqua" w:cs="Arial"/>
          <w:sz w:val="24"/>
          <w:szCs w:val="24"/>
          <w:lang w:val="en-GB"/>
        </w:rPr>
        <w:t xml:space="preserve"> and CA199 levels were normal in both</w:t>
      </w:r>
      <w:r w:rsidR="00594265">
        <w:rPr>
          <w:rFonts w:ascii="Book Antiqua" w:hAnsi="Book Antiqua" w:cs="Arial"/>
          <w:sz w:val="24"/>
          <w:szCs w:val="24"/>
          <w:lang w:val="en-GB"/>
        </w:rPr>
        <w:t xml:space="preserve"> </w:t>
      </w:r>
      <w:r w:rsidRPr="0087291A">
        <w:rPr>
          <w:rFonts w:ascii="Book Antiqua" w:hAnsi="Book Antiqua" w:cs="Arial"/>
          <w:sz w:val="24"/>
          <w:szCs w:val="24"/>
          <w:lang w:val="en-GB"/>
        </w:rPr>
        <w:t>groups. Only a minority of patients with uterine leiomyosarcoma underwent CA153 and CA724 screening; none of the patients had elevated CA153 levels and two had elevated CA724 levels, accounting for 40% of all the examined patients. These observations demonstrate that serum tumour markers have limited ability in leiomyosarcoma diagnosis; therefore, we next examined the medical imaging findings.</w:t>
      </w:r>
    </w:p>
    <w:p w14:paraId="1D15228E" w14:textId="58C8F619"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Ultrasonography was the most widely performed procedure and was performed in 45.7% and 68.8% of patients in the uterine leiomyosarcoma and non-uterine leiomyosarcoma groups, respectively. However, </w:t>
      </w:r>
      <w:r w:rsidR="00594265">
        <w:rPr>
          <w:rFonts w:ascii="Book Antiqua" w:hAnsi="Book Antiqua" w:cs="Arial"/>
          <w:sz w:val="24"/>
          <w:szCs w:val="24"/>
          <w:lang w:val="en-GB"/>
        </w:rPr>
        <w:t>the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majority of the patients with uterine leiomyosarcoma (68.8%) were diagnosed with hysteromyoma, whereas </w:t>
      </w:r>
      <w:r w:rsidR="00594265">
        <w:rPr>
          <w:rFonts w:ascii="Book Antiqua" w:hAnsi="Book Antiqua" w:cs="Arial"/>
          <w:sz w:val="24"/>
          <w:szCs w:val="24"/>
          <w:lang w:val="en-GB"/>
        </w:rPr>
        <w:t>the</w:t>
      </w:r>
      <w:r w:rsidR="00594265" w:rsidRPr="0087291A">
        <w:rPr>
          <w:rFonts w:ascii="Book Antiqua" w:hAnsi="Book Antiqua" w:cs="Arial"/>
          <w:sz w:val="24"/>
          <w:szCs w:val="24"/>
          <w:lang w:val="en-GB"/>
        </w:rPr>
        <w:t xml:space="preserve"> </w:t>
      </w:r>
      <w:r w:rsidRPr="0087291A">
        <w:rPr>
          <w:rFonts w:ascii="Book Antiqua" w:hAnsi="Book Antiqua" w:cs="Arial"/>
          <w:sz w:val="24"/>
          <w:szCs w:val="24"/>
          <w:lang w:val="en-GB"/>
        </w:rPr>
        <w:t>majority of patients with non-uterine leiomyosarcoma (72.7%) were diagnosed with pelvic and abdominal masses. These data imply that ultrasonography has limited ability in distinguishing bet</w:t>
      </w:r>
      <w:r w:rsidR="007B14CB" w:rsidRPr="0087291A">
        <w:rPr>
          <w:rFonts w:ascii="Book Antiqua" w:hAnsi="Book Antiqua" w:cs="Arial"/>
          <w:sz w:val="24"/>
          <w:szCs w:val="24"/>
          <w:lang w:val="en-GB"/>
        </w:rPr>
        <w:t>ween benign and malignant foci.</w:t>
      </w:r>
    </w:p>
    <w:p w14:paraId="4EDB56EF" w14:textId="77777777" w:rsidR="001F565A" w:rsidRPr="0087291A" w:rsidRDefault="001F565A" w:rsidP="0087291A">
      <w:pPr>
        <w:snapToGrid w:val="0"/>
        <w:spacing w:line="360" w:lineRule="auto"/>
        <w:rPr>
          <w:rFonts w:ascii="Book Antiqua" w:hAnsi="Book Antiqua" w:cs="Arial"/>
          <w:sz w:val="24"/>
          <w:szCs w:val="24"/>
          <w:lang w:val="en-GB"/>
        </w:rPr>
      </w:pPr>
    </w:p>
    <w:p w14:paraId="4FA2F540" w14:textId="77777777" w:rsidR="001F565A" w:rsidRPr="0087291A" w:rsidRDefault="001F565A" w:rsidP="0087291A">
      <w:pPr>
        <w:snapToGrid w:val="0"/>
        <w:spacing w:line="360" w:lineRule="auto"/>
        <w:rPr>
          <w:rFonts w:ascii="Book Antiqua" w:hAnsi="Book Antiqua" w:cs="Arial"/>
          <w:i/>
          <w:sz w:val="24"/>
          <w:szCs w:val="24"/>
          <w:lang w:val="en-GB"/>
        </w:rPr>
      </w:pPr>
      <w:r w:rsidRPr="0087291A">
        <w:rPr>
          <w:rFonts w:ascii="Book Antiqua" w:hAnsi="Book Antiqua" w:cs="Arial"/>
          <w:b/>
          <w:i/>
          <w:sz w:val="24"/>
          <w:szCs w:val="24"/>
          <w:lang w:val="en-GB"/>
        </w:rPr>
        <w:t>Comparison of prognoses between uterine leiomyosarcoma and non-uterine leiomyosarcoma</w:t>
      </w:r>
    </w:p>
    <w:p w14:paraId="39A77DB4" w14:textId="3095FEB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We followed 43 patients, including 29 with uterine leiomyosarcoma (67.4%) and 14 with non-uterine leiomyosarcoma (32.6%). In the Kaplan-Meier analysis, no significant differences were found in the progression-free survival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0.54) and overall survival values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0.97) between patients in the uterine leiomyosarcoma and non-uterin</w:t>
      </w:r>
      <w:r w:rsidR="007B14CB" w:rsidRPr="0087291A">
        <w:rPr>
          <w:rFonts w:ascii="Book Antiqua" w:hAnsi="Book Antiqua" w:cs="Arial"/>
          <w:sz w:val="24"/>
          <w:szCs w:val="24"/>
          <w:lang w:val="en-GB"/>
        </w:rPr>
        <w:t xml:space="preserve">e leiomyosarcoma groups (Figure 1A and </w:t>
      </w:r>
      <w:r w:rsidRPr="0087291A">
        <w:rPr>
          <w:rFonts w:ascii="Book Antiqua" w:hAnsi="Book Antiqua" w:cs="Arial"/>
          <w:sz w:val="24"/>
          <w:szCs w:val="24"/>
          <w:lang w:val="en-GB"/>
        </w:rPr>
        <w:t xml:space="preserve">B). </w:t>
      </w:r>
      <w:bookmarkEnd w:id="3"/>
      <w:bookmarkEnd w:id="4"/>
      <w:r w:rsidRPr="0087291A">
        <w:rPr>
          <w:rFonts w:ascii="Book Antiqua" w:hAnsi="Book Antiqua" w:cs="Arial"/>
          <w:sz w:val="24"/>
          <w:szCs w:val="24"/>
          <w:lang w:val="en-GB"/>
        </w:rPr>
        <w:t xml:space="preserve">Because FIGO stage </w:t>
      </w:r>
      <w:r w:rsidR="00985FA7" w:rsidRPr="0087291A">
        <w:rPr>
          <w:rFonts w:ascii="Book Antiqua" w:hAnsi="Book Antiqua" w:cs="Arial"/>
          <w:sz w:val="24"/>
          <w:szCs w:val="24"/>
          <w:lang w:val="en-GB"/>
        </w:rPr>
        <w:t>is a known prognostic indicator</w:t>
      </w:r>
      <w:r w:rsidRPr="0087291A">
        <w:rPr>
          <w:rFonts w:ascii="Book Antiqua" w:hAnsi="Book Antiqua" w:cs="Arial"/>
          <w:noProof/>
          <w:sz w:val="24"/>
          <w:szCs w:val="24"/>
          <w:vertAlign w:val="superscript"/>
          <w:lang w:val="en-GB"/>
        </w:rPr>
        <w:t>[26]</w:t>
      </w:r>
      <w:r w:rsidR="00985FA7" w:rsidRPr="0087291A">
        <w:rPr>
          <w:rFonts w:ascii="Book Antiqua" w:hAnsi="Book Antiqua" w:cs="Arial"/>
          <w:noProof/>
          <w:sz w:val="24"/>
          <w:szCs w:val="24"/>
          <w:lang w:val="en-GB"/>
        </w:rPr>
        <w:t>,</w:t>
      </w:r>
      <w:r w:rsidR="00985FA7" w:rsidRPr="0087291A">
        <w:rPr>
          <w:rFonts w:ascii="Book Antiqua" w:hAnsi="Book Antiqua" w:cs="Arial"/>
          <w:noProof/>
          <w:sz w:val="24"/>
          <w:szCs w:val="24"/>
          <w:vertAlign w:val="superscript"/>
          <w:lang w:val="en-GB"/>
        </w:rPr>
        <w:t xml:space="preserve"> </w:t>
      </w:r>
      <w:r w:rsidRPr="0087291A">
        <w:rPr>
          <w:rFonts w:ascii="Book Antiqua" w:hAnsi="Book Antiqua" w:cs="Arial"/>
          <w:sz w:val="24"/>
          <w:szCs w:val="24"/>
          <w:lang w:val="en-GB"/>
        </w:rPr>
        <w:t>we divided uterine leiomyo</w:t>
      </w:r>
      <w:r w:rsidR="007B14CB" w:rsidRPr="0087291A">
        <w:rPr>
          <w:rFonts w:ascii="Book Antiqua" w:hAnsi="Book Antiqua" w:cs="Arial"/>
          <w:sz w:val="24"/>
          <w:szCs w:val="24"/>
          <w:lang w:val="en-GB"/>
        </w:rPr>
        <w:t>sarcoma patients into the early</w:t>
      </w:r>
      <w:r w:rsidRPr="0087291A">
        <w:rPr>
          <w:rFonts w:ascii="Book Antiqua" w:hAnsi="Book Antiqua" w:cs="Arial"/>
          <w:sz w:val="24"/>
          <w:szCs w:val="24"/>
          <w:lang w:val="en-GB"/>
        </w:rPr>
        <w:t xml:space="preserve"> and late-stage groups and compared their survival curves with those of non-uterine leiomyosarcoma patients. We found significant differences in progression-free survival values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0.027) between the early- and late-stage groups (Figure 1C); however, this did not apply to ove</w:t>
      </w:r>
      <w:r w:rsidR="007B14CB" w:rsidRPr="0087291A">
        <w:rPr>
          <w:rFonts w:ascii="Book Antiqua" w:hAnsi="Book Antiqua" w:cs="Arial"/>
          <w:sz w:val="24"/>
          <w:szCs w:val="24"/>
          <w:lang w:val="en-GB"/>
        </w:rPr>
        <w:t>rall survival (Figure 1D).</w:t>
      </w:r>
    </w:p>
    <w:p w14:paraId="698E39FB" w14:textId="77777777" w:rsidR="001F565A" w:rsidRPr="0087291A" w:rsidRDefault="001F565A" w:rsidP="0087291A">
      <w:pPr>
        <w:snapToGrid w:val="0"/>
        <w:spacing w:line="360" w:lineRule="auto"/>
        <w:rPr>
          <w:rFonts w:ascii="Book Antiqua" w:hAnsi="Book Antiqua" w:cs="Arial"/>
          <w:bCs/>
          <w:i/>
          <w:iCs/>
          <w:sz w:val="24"/>
          <w:szCs w:val="24"/>
          <w:lang w:val="en-GB"/>
        </w:rPr>
      </w:pPr>
    </w:p>
    <w:p w14:paraId="105338FD"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Clinical factors associate</w:t>
      </w:r>
      <w:r w:rsidR="007B14CB" w:rsidRPr="0087291A">
        <w:rPr>
          <w:rFonts w:ascii="Book Antiqua" w:hAnsi="Book Antiqua" w:cs="Arial"/>
          <w:b/>
          <w:i/>
          <w:sz w:val="24"/>
          <w:szCs w:val="24"/>
          <w:lang w:val="en-GB"/>
        </w:rPr>
        <w:t>d with leiomyosarcoma prognosis</w:t>
      </w:r>
    </w:p>
    <w:p w14:paraId="63BDFD7A" w14:textId="13A79439"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We incorporated various clinical characteristics to identify factors that affected the prognosis of patients with leiomyosarcoma. In the univariate Cox regression analysis, FIGO stage </w:t>
      </w:r>
      <w:r w:rsidR="007B14CB" w:rsidRPr="0087291A">
        <w:rPr>
          <w:rFonts w:ascii="Book Antiqua" w:hAnsi="Book Antiqua" w:cs="Arial"/>
          <w:sz w:val="24"/>
          <w:szCs w:val="24"/>
          <w:lang w:val="en-GB"/>
        </w:rPr>
        <w:t xml:space="preserve">(uterine leiomyosarcoma I–II </w:t>
      </w:r>
      <w:r w:rsidR="007B14CB" w:rsidRPr="0087291A">
        <w:rPr>
          <w:rFonts w:ascii="Book Antiqua" w:hAnsi="Book Antiqua" w:cs="Arial"/>
          <w:i/>
          <w:sz w:val="24"/>
          <w:szCs w:val="24"/>
          <w:lang w:val="en-GB"/>
        </w:rPr>
        <w:t>vs</w:t>
      </w:r>
      <w:r w:rsidRPr="0087291A">
        <w:rPr>
          <w:rFonts w:ascii="Book Antiqua" w:hAnsi="Book Antiqua" w:cs="Arial"/>
          <w:sz w:val="24"/>
          <w:szCs w:val="24"/>
          <w:lang w:val="en-GB"/>
        </w:rPr>
        <w:t xml:space="preserve"> III–IV: </w:t>
      </w:r>
      <w:r w:rsidR="00BE219D">
        <w:rPr>
          <w:rFonts w:ascii="Book Antiqua" w:hAnsi="Book Antiqua" w:cs="Arial" w:hint="eastAsia"/>
          <w:sz w:val="24"/>
          <w:szCs w:val="24"/>
          <w:lang w:val="en-GB"/>
        </w:rPr>
        <w:t>H</w:t>
      </w:r>
      <w:r w:rsidR="007B14CB" w:rsidRPr="0087291A">
        <w:rPr>
          <w:rFonts w:ascii="Book Antiqua" w:hAnsi="Book Antiqua" w:cs="Arial"/>
          <w:sz w:val="24"/>
          <w:szCs w:val="24"/>
          <w:lang w:val="en-GB"/>
        </w:rPr>
        <w:t xml:space="preserve">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2.64,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0.03), chemotherapy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2.95,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0.03), and neoplasm metastasis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3.31,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0.006) were independent factors that were significantly related to poor progression-free survival. Factors with </w:t>
      </w:r>
      <w:r w:rsidRPr="0087291A">
        <w:rPr>
          <w:rFonts w:ascii="Book Antiqua" w:hAnsi="Book Antiqua" w:cs="Arial"/>
          <w:i/>
          <w:sz w:val="24"/>
          <w:szCs w:val="24"/>
          <w:lang w:val="en-GB"/>
        </w:rPr>
        <w:t>P</w:t>
      </w:r>
      <w:r w:rsidRPr="0087291A">
        <w:rPr>
          <w:rFonts w:ascii="Book Antiqua" w:hAnsi="Book Antiqua" w:cs="Arial"/>
          <w:sz w:val="24"/>
          <w:szCs w:val="24"/>
          <w:lang w:val="en-GB"/>
        </w:rPr>
        <w:t xml:space="preserve"> values &lt;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0.05 in the univariate analysis were included in the multivariate Cox regression analysis. Because collinearity existed between FIGO stage and tumour metastasis, we only included FIGO stage and chemotherapy in the multivariate analysis (Table 3). FIGO stage was a significant predictor of progression-free survival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2.49,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0.048), whereas chemotherapy was not (</w:t>
      </w:r>
      <w:r w:rsidR="007B14CB" w:rsidRPr="0087291A">
        <w:rPr>
          <w:rFonts w:ascii="Book Antiqua" w:hAnsi="Book Antiqua" w:cs="Arial"/>
          <w:sz w:val="24"/>
          <w:szCs w:val="24"/>
          <w:lang w:val="en-GB"/>
        </w:rPr>
        <w:t xml:space="preserve">hazard </w:t>
      </w:r>
      <w:r w:rsidRPr="0087291A">
        <w:rPr>
          <w:rFonts w:ascii="Book Antiqua" w:hAnsi="Book Antiqua" w:cs="Arial"/>
          <w:sz w:val="24"/>
          <w:szCs w:val="24"/>
          <w:lang w:val="en-GB"/>
        </w:rPr>
        <w:t>ratio =</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1.47, </w:t>
      </w:r>
      <w:r w:rsidRPr="0087291A">
        <w:rPr>
          <w:rFonts w:ascii="Book Antiqua" w:hAnsi="Book Antiqua" w:cs="Arial"/>
          <w:i/>
          <w:sz w:val="24"/>
          <w:szCs w:val="24"/>
          <w:lang w:val="en-GB"/>
        </w:rPr>
        <w:t>P</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0.47). Univariate Cox regression analysis was also performed for overall survival; however, </w:t>
      </w:r>
      <w:r w:rsidR="004526B0">
        <w:rPr>
          <w:rFonts w:ascii="Book Antiqua" w:hAnsi="Book Antiqua" w:cs="Arial"/>
          <w:sz w:val="24"/>
          <w:szCs w:val="24"/>
          <w:lang w:val="en-GB"/>
        </w:rPr>
        <w:t xml:space="preserve">there was </w:t>
      </w:r>
      <w:r w:rsidRPr="0087291A">
        <w:rPr>
          <w:rFonts w:ascii="Book Antiqua" w:hAnsi="Book Antiqua" w:cs="Arial"/>
          <w:sz w:val="24"/>
          <w:szCs w:val="24"/>
          <w:lang w:val="en-GB"/>
        </w:rPr>
        <w:t xml:space="preserve">no significant relationship between any of the clinical variables investigated and overall </w:t>
      </w:r>
      <w:r w:rsidR="007B14CB" w:rsidRPr="0087291A">
        <w:rPr>
          <w:rFonts w:ascii="Book Antiqua" w:hAnsi="Book Antiqua" w:cs="Arial"/>
          <w:sz w:val="24"/>
          <w:szCs w:val="24"/>
          <w:lang w:val="en-GB"/>
        </w:rPr>
        <w:t>survival.</w:t>
      </w:r>
    </w:p>
    <w:p w14:paraId="0AB21AAC" w14:textId="77777777" w:rsidR="001F565A" w:rsidRPr="0087291A" w:rsidRDefault="001F565A" w:rsidP="0087291A">
      <w:pPr>
        <w:snapToGrid w:val="0"/>
        <w:spacing w:line="360" w:lineRule="auto"/>
        <w:rPr>
          <w:rFonts w:ascii="Book Antiqua" w:hAnsi="Book Antiqua" w:cs="Arial"/>
          <w:sz w:val="24"/>
          <w:szCs w:val="24"/>
          <w:lang w:val="en-GB"/>
        </w:rPr>
      </w:pPr>
    </w:p>
    <w:p w14:paraId="6DB5FACB" w14:textId="77777777" w:rsidR="001F565A" w:rsidRPr="0087291A" w:rsidRDefault="001F565A" w:rsidP="0087291A">
      <w:pPr>
        <w:snapToGrid w:val="0"/>
        <w:spacing w:line="360" w:lineRule="auto"/>
        <w:rPr>
          <w:rFonts w:ascii="Book Antiqua" w:hAnsi="Book Antiqua" w:cs="Arial"/>
          <w:b/>
          <w:i/>
          <w:sz w:val="24"/>
          <w:szCs w:val="24"/>
          <w:lang w:val="en-GB"/>
        </w:rPr>
      </w:pPr>
      <w:r w:rsidRPr="0087291A">
        <w:rPr>
          <w:rFonts w:ascii="Book Antiqua" w:hAnsi="Book Antiqua" w:cs="Arial"/>
          <w:b/>
          <w:i/>
          <w:sz w:val="24"/>
          <w:szCs w:val="24"/>
          <w:lang w:val="en-GB"/>
        </w:rPr>
        <w:t>Ultrasonographic features of primary and recurrent leiomyosarcoma lesions</w:t>
      </w:r>
    </w:p>
    <w:p w14:paraId="7963346E"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Ultrasonography is the most widely used imaging examination for the screening and postoperative follow-up of patients with leiomyosarcoma. We found that ultrasonography could indicate the location of lesions be</w:t>
      </w:r>
      <w:r w:rsidR="007B14CB" w:rsidRPr="0087291A">
        <w:rPr>
          <w:rFonts w:ascii="Book Antiqua" w:hAnsi="Book Antiqua" w:cs="Arial"/>
          <w:sz w:val="24"/>
          <w:szCs w:val="24"/>
          <w:lang w:val="en-GB"/>
        </w:rPr>
        <w:t xml:space="preserve">fore operation (Figure 2A and </w:t>
      </w:r>
      <w:r w:rsidRPr="0087291A">
        <w:rPr>
          <w:rFonts w:ascii="Book Antiqua" w:hAnsi="Book Antiqua" w:cs="Arial"/>
          <w:sz w:val="24"/>
          <w:szCs w:val="24"/>
          <w:lang w:val="en-GB"/>
        </w:rPr>
        <w:t>B). Additionally, 93.3% of the recurrences (14/15) were detected by ultrasonography, and only one patient experienced pulmonary relapse. Ultrasonography could clearly identify substantive masses in the pelvic cavity (Figures 2C). These observations imply that ultrasonography may serve as a comprehensive examination technique for recurrent pelvic leiomyosarcoma lesions.</w:t>
      </w:r>
    </w:p>
    <w:p w14:paraId="6DDF555F" w14:textId="77777777" w:rsidR="001F565A" w:rsidRPr="0087291A" w:rsidRDefault="001F565A" w:rsidP="0087291A">
      <w:pPr>
        <w:snapToGrid w:val="0"/>
        <w:spacing w:line="360" w:lineRule="auto"/>
        <w:rPr>
          <w:rFonts w:ascii="Book Antiqua" w:hAnsi="Book Antiqua" w:cs="Arial"/>
          <w:sz w:val="24"/>
          <w:szCs w:val="24"/>
          <w:lang w:val="en-GB"/>
        </w:rPr>
      </w:pPr>
    </w:p>
    <w:p w14:paraId="2BDB0FA1" w14:textId="77777777" w:rsidR="001F565A" w:rsidRPr="0087291A" w:rsidRDefault="001F565A" w:rsidP="0087291A">
      <w:pPr>
        <w:snapToGrid w:val="0"/>
        <w:spacing w:line="360" w:lineRule="auto"/>
        <w:rPr>
          <w:rFonts w:ascii="Book Antiqua" w:hAnsi="Book Antiqua" w:cs="Times New Roman"/>
          <w:b/>
          <w:caps/>
          <w:sz w:val="24"/>
          <w:szCs w:val="24"/>
          <w:u w:val="single"/>
        </w:rPr>
      </w:pPr>
      <w:r w:rsidRPr="0087291A">
        <w:rPr>
          <w:rFonts w:ascii="Book Antiqua" w:hAnsi="Book Antiqua" w:cs="Times New Roman"/>
          <w:b/>
          <w:caps/>
          <w:sz w:val="24"/>
          <w:szCs w:val="24"/>
          <w:u w:val="single"/>
        </w:rPr>
        <w:t>Discussion</w:t>
      </w:r>
    </w:p>
    <w:p w14:paraId="0DF35F8B"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Although uterine leiomyosarcoma and non-uterine leiomyosarcoma are ostensibly the same disease, we gathered ample evidence implying the presence of significant differences in terms of clinical features, prognoses, and pathological characteristics. In our retrospective study, we assessed clinical aspects and prognoses of 35 and 16 patients with uterine leiomyosarcoma and non-uterine leiomyosarcoma, respectively, and summarised the ultrasonographic features of primary and recurrent tumour sites. We confirmed that patients with leiomyosarcoma do not necessarily exhibit elevated serum levels of known tumour biomarkers and that medical imaging is useful for identifying the presence of lesions but not their identities. Unlike i</w:t>
      </w:r>
      <w:r w:rsidR="00985FA7" w:rsidRPr="0087291A">
        <w:rPr>
          <w:rFonts w:ascii="Book Antiqua" w:hAnsi="Book Antiqua" w:cs="Arial"/>
          <w:sz w:val="24"/>
          <w:szCs w:val="24"/>
          <w:lang w:val="en-GB"/>
        </w:rPr>
        <w:t>n other gynaecological cancers</w:t>
      </w:r>
      <w:r w:rsidRPr="0087291A">
        <w:rPr>
          <w:rFonts w:ascii="Book Antiqua" w:hAnsi="Book Antiqua" w:cs="Arial"/>
          <w:noProof/>
          <w:sz w:val="24"/>
          <w:szCs w:val="24"/>
          <w:vertAlign w:val="superscript"/>
          <w:lang w:val="en-GB"/>
        </w:rPr>
        <w:t>[27]</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pelvic lymph node metastases were rarely observed in our leiomyosarcoma patients.</w:t>
      </w:r>
    </w:p>
    <w:p w14:paraId="4CA518FC" w14:textId="5D88034C"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 xml:space="preserve">In terms of treatment, platinum-based chemotherapy accounted for the largest proportion of postoperative adjuvant therapies in </w:t>
      </w:r>
      <w:r w:rsidR="00DA22E6">
        <w:rPr>
          <w:rFonts w:ascii="Book Antiqua" w:hAnsi="Book Antiqua" w:cs="Arial"/>
          <w:sz w:val="24"/>
          <w:szCs w:val="24"/>
          <w:lang w:val="en-GB"/>
        </w:rPr>
        <w:t xml:space="preserve">both </w:t>
      </w:r>
      <w:r w:rsidRPr="0087291A">
        <w:rPr>
          <w:rFonts w:ascii="Book Antiqua" w:hAnsi="Book Antiqua" w:cs="Arial"/>
          <w:sz w:val="24"/>
          <w:szCs w:val="24"/>
          <w:lang w:val="en-GB"/>
        </w:rPr>
        <w:t xml:space="preserve">patients with uterine leiomyosarcoma and </w:t>
      </w:r>
      <w:r w:rsidR="00DA22E6">
        <w:rPr>
          <w:rFonts w:ascii="Book Antiqua" w:hAnsi="Book Antiqua" w:cs="Arial"/>
          <w:sz w:val="24"/>
          <w:szCs w:val="24"/>
          <w:lang w:val="en-GB"/>
        </w:rPr>
        <w:t xml:space="preserve">those with </w:t>
      </w:r>
      <w:r w:rsidRPr="0087291A">
        <w:rPr>
          <w:rFonts w:ascii="Book Antiqua" w:hAnsi="Book Antiqua" w:cs="Arial"/>
          <w:sz w:val="24"/>
          <w:szCs w:val="24"/>
          <w:lang w:val="en-GB"/>
        </w:rPr>
        <w:t>non-uterine leiomyosarcoma. The prognoses of our patients were poor, with no significant differences in progression-free survival and overall survival rates between the uterine leiomyosarcoma and non-uterine leiomyosarcoma groups. However, the univariate and multivariate analyses revealed that FIGO stage was significantly associated with progression-free survival</w:t>
      </w:r>
      <w:r w:rsidRPr="0087291A">
        <w:rPr>
          <w:rFonts w:ascii="Book Antiqua" w:hAnsi="Book Antiqua" w:cs="Arial"/>
          <w:color w:val="000000"/>
          <w:sz w:val="24"/>
          <w:szCs w:val="24"/>
          <w:lang w:val="en-GB"/>
        </w:rPr>
        <w:t xml:space="preserve">. </w:t>
      </w:r>
      <w:r w:rsidRPr="0087291A">
        <w:rPr>
          <w:rFonts w:ascii="Book Antiqua" w:hAnsi="Book Antiqua" w:cs="Arial"/>
          <w:sz w:val="24"/>
          <w:szCs w:val="24"/>
          <w:lang w:val="en-GB"/>
        </w:rPr>
        <w:t>Because serum tumour biomarkers were found to be unreliable diagnostic features, imaging has a particularly important r</w:t>
      </w:r>
      <w:r w:rsidR="00985FA7" w:rsidRPr="0087291A">
        <w:rPr>
          <w:rFonts w:ascii="Book Antiqua" w:hAnsi="Book Antiqua" w:cs="Arial"/>
          <w:sz w:val="24"/>
          <w:szCs w:val="24"/>
          <w:lang w:val="en-GB"/>
        </w:rPr>
        <w:t xml:space="preserve">ole for </w:t>
      </w:r>
      <w:r w:rsidR="00DA22E6">
        <w:rPr>
          <w:rFonts w:ascii="Book Antiqua" w:hAnsi="Book Antiqua" w:cs="Arial"/>
          <w:sz w:val="24"/>
          <w:szCs w:val="24"/>
          <w:lang w:val="en-GB"/>
        </w:rPr>
        <w:t xml:space="preserve">the diagnosis of </w:t>
      </w:r>
      <w:r w:rsidR="00985FA7" w:rsidRPr="0087291A">
        <w:rPr>
          <w:rFonts w:ascii="Book Antiqua" w:hAnsi="Book Antiqua" w:cs="Arial"/>
          <w:sz w:val="24"/>
          <w:szCs w:val="24"/>
          <w:lang w:val="en-GB"/>
        </w:rPr>
        <w:t>leiomyosarcoma</w:t>
      </w:r>
      <w:r w:rsidRPr="0087291A">
        <w:rPr>
          <w:rFonts w:ascii="Book Antiqua" w:hAnsi="Book Antiqua" w:cs="Arial"/>
          <w:noProof/>
          <w:sz w:val="24"/>
          <w:szCs w:val="24"/>
          <w:vertAlign w:val="superscript"/>
          <w:lang w:val="en-GB"/>
        </w:rPr>
        <w:t>[28]</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Ultrasonography was the most widely used modality, although its accuracy in diagnosing uterine leiomyosarcoma was unsatisfactory because most of such tumours were initially considered leiomyomas. In contrast to uterine leiomyosarcoma, most non-uterine leiomyosarcoma lesions were detected as pelvic masses by ultrasonography. In both uterine leiomyosarcoma and non-uterine leiomyosarcoma patients, however, ultrasonography accurately diagnosed relapse, demonstrating this technique’s potential in monitoring leiomyosarcoma recurrence.</w:t>
      </w:r>
    </w:p>
    <w:p w14:paraId="74BC4BF1" w14:textId="1C21F55C"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While both uterine leiomyosarcoma and non-uterine leiomyosarcoma are sarcomas, they have varied anatomical locations, clinical characteristic</w:t>
      </w:r>
      <w:r w:rsidR="00985FA7" w:rsidRPr="0087291A">
        <w:rPr>
          <w:rFonts w:ascii="Book Antiqua" w:hAnsi="Book Antiqua" w:cs="Arial"/>
          <w:sz w:val="24"/>
          <w:szCs w:val="24"/>
          <w:lang w:val="en-GB"/>
        </w:rPr>
        <w:t>s, and gene expression patterns</w:t>
      </w:r>
      <w:r w:rsidRPr="0087291A">
        <w:rPr>
          <w:rFonts w:ascii="Book Antiqua" w:hAnsi="Book Antiqua" w:cs="Arial"/>
          <w:noProof/>
          <w:sz w:val="24"/>
          <w:szCs w:val="24"/>
          <w:vertAlign w:val="superscript"/>
          <w:lang w:val="en-GB"/>
        </w:rPr>
        <w:t>[29]</w:t>
      </w:r>
      <w:r w:rsidR="00985FA7"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Our study also found that patients with these two types of leiomyosarcoma </w:t>
      </w:r>
      <w:r w:rsidR="00DA22E6" w:rsidRPr="0087291A">
        <w:rPr>
          <w:rFonts w:ascii="Book Antiqua" w:hAnsi="Book Antiqua" w:cs="Arial"/>
          <w:sz w:val="24"/>
          <w:szCs w:val="24"/>
          <w:lang w:val="en-GB"/>
        </w:rPr>
        <w:t>ha</w:t>
      </w:r>
      <w:r w:rsidR="00DA22E6">
        <w:rPr>
          <w:rFonts w:ascii="Book Antiqua" w:hAnsi="Book Antiqua" w:cs="Arial"/>
          <w:sz w:val="24"/>
          <w:szCs w:val="24"/>
          <w:lang w:val="en-GB"/>
        </w:rPr>
        <w:t>d</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different clinical symptoms because most patients with uterine leiomyosarcoma experience</w:t>
      </w:r>
      <w:r w:rsidR="00DA22E6">
        <w:rPr>
          <w:rFonts w:ascii="Book Antiqua" w:hAnsi="Book Antiqua" w:cs="Arial"/>
          <w:sz w:val="24"/>
          <w:szCs w:val="24"/>
          <w:lang w:val="en-GB"/>
        </w:rPr>
        <w:t>d</w:t>
      </w:r>
      <w:r w:rsidRPr="0087291A">
        <w:rPr>
          <w:rFonts w:ascii="Book Antiqua" w:hAnsi="Book Antiqua" w:cs="Arial"/>
          <w:sz w:val="24"/>
          <w:szCs w:val="24"/>
          <w:lang w:val="en-GB"/>
        </w:rPr>
        <w:t xml:space="preserve"> menorrhagia and menstrual disorder, whereas those with non-uterine leiomyosarcoma more commonly present</w:t>
      </w:r>
      <w:r w:rsidR="00DA22E6">
        <w:rPr>
          <w:rFonts w:ascii="Book Antiqua" w:hAnsi="Book Antiqua" w:cs="Arial"/>
          <w:sz w:val="24"/>
          <w:szCs w:val="24"/>
          <w:lang w:val="en-GB"/>
        </w:rPr>
        <w:t>ed</w:t>
      </w:r>
      <w:r w:rsidRPr="0087291A">
        <w:rPr>
          <w:rFonts w:ascii="Book Antiqua" w:hAnsi="Book Antiqua" w:cs="Arial"/>
          <w:sz w:val="24"/>
          <w:szCs w:val="24"/>
          <w:lang w:val="en-GB"/>
        </w:rPr>
        <w:t xml:space="preserve"> with abdominal pain and distention.</w:t>
      </w:r>
      <w:r w:rsidR="007B14CB" w:rsidRPr="0087291A">
        <w:rPr>
          <w:rFonts w:ascii="Book Antiqua" w:hAnsi="Book Antiqua" w:cs="Arial"/>
          <w:sz w:val="24"/>
          <w:szCs w:val="24"/>
          <w:lang w:val="en-GB"/>
        </w:rPr>
        <w:t xml:space="preserve"> </w:t>
      </w:r>
      <w:r w:rsidRPr="0087291A">
        <w:rPr>
          <w:rFonts w:ascii="Book Antiqua" w:hAnsi="Book Antiqua" w:cs="Arial"/>
          <w:sz w:val="24"/>
          <w:szCs w:val="24"/>
          <w:lang w:val="en-GB"/>
        </w:rPr>
        <w:t>We found no significant differences in the prognoses of patients with uterine leiomyosarcoma and non-uterine leiomyosarcoma in terms of both progression-free survival and overall survival, consistent wi</w:t>
      </w:r>
      <w:r w:rsidR="00985FA7" w:rsidRPr="0087291A">
        <w:rPr>
          <w:rFonts w:ascii="Book Antiqua" w:hAnsi="Book Antiqua" w:cs="Arial"/>
          <w:sz w:val="24"/>
          <w:szCs w:val="24"/>
          <w:lang w:val="en-GB"/>
        </w:rPr>
        <w:t xml:space="preserve">th the findings of Farid </w:t>
      </w:r>
      <w:r w:rsidR="00985FA7" w:rsidRPr="0087291A">
        <w:rPr>
          <w:rFonts w:ascii="Book Antiqua" w:hAnsi="Book Antiqua" w:cs="Arial"/>
          <w:i/>
          <w:sz w:val="24"/>
          <w:szCs w:val="24"/>
          <w:lang w:val="en-GB"/>
        </w:rPr>
        <w:t>et al</w:t>
      </w:r>
      <w:r w:rsidRPr="0087291A">
        <w:rPr>
          <w:rFonts w:ascii="Book Antiqua" w:hAnsi="Book Antiqua" w:cs="Arial"/>
          <w:noProof/>
          <w:sz w:val="24"/>
          <w:szCs w:val="24"/>
          <w:vertAlign w:val="superscript"/>
          <w:lang w:val="en-GB"/>
        </w:rPr>
        <w:t>[29]</w:t>
      </w:r>
      <w:r w:rsidRPr="0087291A">
        <w:rPr>
          <w:rFonts w:ascii="Book Antiqua" w:hAnsi="Book Antiqua" w:cs="Arial"/>
          <w:sz w:val="24"/>
          <w:szCs w:val="24"/>
          <w:lang w:val="en-GB"/>
        </w:rPr>
        <w:t xml:space="preserve"> bu</w:t>
      </w:r>
      <w:r w:rsidR="007B14CB" w:rsidRPr="0087291A">
        <w:rPr>
          <w:rFonts w:ascii="Book Antiqua" w:hAnsi="Book Antiqua" w:cs="Arial"/>
          <w:sz w:val="24"/>
          <w:szCs w:val="24"/>
          <w:lang w:val="en-GB"/>
        </w:rPr>
        <w:t xml:space="preserve">t not with those of Lamm </w:t>
      </w:r>
      <w:r w:rsidR="007B14CB" w:rsidRPr="0087291A">
        <w:rPr>
          <w:rFonts w:ascii="Book Antiqua" w:hAnsi="Book Antiqua" w:cs="Arial"/>
          <w:i/>
          <w:sz w:val="24"/>
          <w:szCs w:val="24"/>
          <w:lang w:val="en-GB"/>
        </w:rPr>
        <w:t>et al</w:t>
      </w:r>
      <w:r w:rsidRPr="0087291A">
        <w:rPr>
          <w:rFonts w:ascii="Book Antiqua" w:hAnsi="Book Antiqua" w:cs="Arial"/>
          <w:noProof/>
          <w:sz w:val="24"/>
          <w:szCs w:val="24"/>
          <w:vertAlign w:val="superscript"/>
          <w:lang w:val="en-GB"/>
        </w:rPr>
        <w:t>[4</w:t>
      </w:r>
      <w:r w:rsidR="00DA22E6" w:rsidRPr="0087291A">
        <w:rPr>
          <w:rFonts w:ascii="Book Antiqua" w:hAnsi="Book Antiqua" w:cs="Arial"/>
          <w:noProof/>
          <w:sz w:val="24"/>
          <w:szCs w:val="24"/>
          <w:vertAlign w:val="superscript"/>
          <w:lang w:val="en-GB"/>
        </w:rPr>
        <w:t>]</w:t>
      </w:r>
      <w:r w:rsidR="00DA22E6">
        <w:rPr>
          <w:rFonts w:ascii="Book Antiqua" w:hAnsi="Book Antiqua" w:cs="Arial"/>
          <w:sz w:val="24"/>
          <w:szCs w:val="24"/>
          <w:lang w:val="en-GB"/>
        </w:rPr>
        <w:t xml:space="preserve">. </w:t>
      </w:r>
      <w:r w:rsidRPr="0087291A">
        <w:rPr>
          <w:rFonts w:ascii="Book Antiqua" w:hAnsi="Book Antiqua" w:cs="Arial"/>
          <w:sz w:val="24"/>
          <w:szCs w:val="24"/>
          <w:lang w:val="en-GB"/>
        </w:rPr>
        <w:t>Such discrepancies can be attributed to the rare occurrence of leiomyosarcoma. Consistent with previous studies, we demonstrated that FIGO stage was the most significant factor as</w:t>
      </w:r>
      <w:r w:rsidR="00985FA7" w:rsidRPr="0087291A">
        <w:rPr>
          <w:rFonts w:ascii="Book Antiqua" w:hAnsi="Book Antiqua" w:cs="Arial"/>
          <w:sz w:val="24"/>
          <w:szCs w:val="24"/>
          <w:lang w:val="en-GB"/>
        </w:rPr>
        <w:t>sociated with patient prognoses</w:t>
      </w:r>
      <w:r w:rsidRPr="0087291A">
        <w:rPr>
          <w:rFonts w:ascii="Book Antiqua" w:hAnsi="Book Antiqua" w:cs="Arial"/>
          <w:noProof/>
          <w:sz w:val="24"/>
          <w:szCs w:val="24"/>
          <w:vertAlign w:val="superscript"/>
          <w:lang w:val="en-GB"/>
        </w:rPr>
        <w:t>[12]</w:t>
      </w:r>
      <w:r w:rsidR="00985FA7" w:rsidRPr="0087291A">
        <w:rPr>
          <w:rFonts w:ascii="Book Antiqua" w:hAnsi="Book Antiqua" w:cs="Arial"/>
          <w:sz w:val="24"/>
          <w:szCs w:val="24"/>
          <w:lang w:val="en-GB"/>
        </w:rPr>
        <w:t xml:space="preserve">. </w:t>
      </w:r>
      <w:r w:rsidR="001E0BCF" w:rsidRPr="0087291A">
        <w:rPr>
          <w:rFonts w:ascii="Book Antiqua" w:hAnsi="Book Antiqua" w:cs="Arial"/>
          <w:sz w:val="24"/>
          <w:szCs w:val="24"/>
          <w:lang w:val="en-GB"/>
        </w:rPr>
        <w:t>Chemotherapy may a</w:t>
      </w:r>
      <w:r w:rsidR="007B14CB" w:rsidRPr="0087291A">
        <w:rPr>
          <w:rFonts w:ascii="Book Antiqua" w:hAnsi="Book Antiqua" w:cs="Arial"/>
          <w:sz w:val="24"/>
          <w:szCs w:val="24"/>
          <w:lang w:val="en-GB"/>
        </w:rPr>
        <w:t>ffect the prognosis of patients</w:t>
      </w:r>
      <w:r w:rsidR="007B14CB" w:rsidRPr="0087291A">
        <w:rPr>
          <w:rFonts w:ascii="Book Antiqua" w:hAnsi="Book Antiqua" w:cs="Arial"/>
          <w:noProof/>
          <w:sz w:val="24"/>
          <w:szCs w:val="24"/>
          <w:vertAlign w:val="superscript"/>
          <w:lang w:val="en-GB"/>
        </w:rPr>
        <w:t>[30,</w:t>
      </w:r>
      <w:r w:rsidRPr="0087291A">
        <w:rPr>
          <w:rFonts w:ascii="Book Antiqua" w:hAnsi="Book Antiqua" w:cs="Arial"/>
          <w:noProof/>
          <w:sz w:val="24"/>
          <w:szCs w:val="24"/>
          <w:vertAlign w:val="superscript"/>
          <w:lang w:val="en-GB"/>
        </w:rPr>
        <w:t>31]</w:t>
      </w:r>
      <w:r w:rsidR="00516C84" w:rsidRPr="0087291A">
        <w:rPr>
          <w:rFonts w:ascii="Book Antiqua" w:hAnsi="Book Antiqua" w:cs="Arial"/>
          <w:sz w:val="24"/>
          <w:szCs w:val="24"/>
          <w:lang w:val="en-GB"/>
        </w:rPr>
        <w:t xml:space="preserve">. </w:t>
      </w:r>
      <w:r w:rsidR="001E0BCF" w:rsidRPr="0087291A">
        <w:rPr>
          <w:rFonts w:ascii="Book Antiqua" w:hAnsi="Book Antiqua" w:cs="Arial"/>
          <w:sz w:val="24"/>
          <w:szCs w:val="24"/>
          <w:lang w:val="en-GB"/>
        </w:rPr>
        <w:t>Moreover, we found that chemotherapy use was independently associated with poor progression-free survival in the univariate (but not multivariate) analysis</w:t>
      </w:r>
    </w:p>
    <w:p w14:paraId="76BA58EE" w14:textId="567B89D2"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The differential diagnosis of uterine leiomyoma and leiomyosarcoma remains a challenge in the medical imaging field. Ultrasonography is a reliable tool used to examine the uterus and accurat</w:t>
      </w:r>
      <w:r w:rsidR="00516C84" w:rsidRPr="0087291A">
        <w:rPr>
          <w:rFonts w:ascii="Book Antiqua" w:hAnsi="Book Antiqua" w:cs="Arial"/>
          <w:sz w:val="24"/>
          <w:szCs w:val="24"/>
          <w:lang w:val="en-GB"/>
        </w:rPr>
        <w:t>ely identify uterine leiomyomas</w:t>
      </w:r>
      <w:r w:rsidRPr="0087291A">
        <w:rPr>
          <w:rFonts w:ascii="Book Antiqua" w:hAnsi="Book Antiqua" w:cs="Arial"/>
          <w:noProof/>
          <w:sz w:val="24"/>
          <w:szCs w:val="24"/>
          <w:vertAlign w:val="superscript"/>
          <w:lang w:val="en-GB"/>
        </w:rPr>
        <w:t>[32]</w:t>
      </w:r>
      <w:r w:rsidR="00516C84" w:rsidRPr="0087291A">
        <w:rPr>
          <w:rFonts w:ascii="Book Antiqua" w:hAnsi="Book Antiqua" w:cs="Arial"/>
          <w:sz w:val="24"/>
          <w:szCs w:val="24"/>
          <w:lang w:val="en-GB"/>
        </w:rPr>
        <w:t xml:space="preserve">. </w:t>
      </w:r>
      <w:r w:rsidR="007B14CB" w:rsidRPr="0087291A">
        <w:rPr>
          <w:rFonts w:ascii="Book Antiqua" w:hAnsi="Book Antiqua" w:cs="Arial"/>
          <w:sz w:val="24"/>
          <w:szCs w:val="24"/>
          <w:lang w:val="en-GB"/>
        </w:rPr>
        <w:t xml:space="preserve">Exacoustos </w:t>
      </w:r>
      <w:r w:rsidR="007B14CB" w:rsidRPr="0087291A">
        <w:rPr>
          <w:rFonts w:ascii="Book Antiqua" w:hAnsi="Book Antiqua" w:cs="Arial"/>
          <w:i/>
          <w:sz w:val="24"/>
          <w:szCs w:val="24"/>
          <w:lang w:val="en-GB"/>
        </w:rPr>
        <w:t>et al</w:t>
      </w:r>
      <w:r w:rsidRPr="0087291A">
        <w:rPr>
          <w:rFonts w:ascii="Book Antiqua" w:hAnsi="Book Antiqua" w:cs="Arial"/>
          <w:noProof/>
          <w:sz w:val="24"/>
          <w:szCs w:val="24"/>
          <w:vertAlign w:val="superscript"/>
          <w:lang w:val="en-GB"/>
        </w:rPr>
        <w:t>[13]</w:t>
      </w:r>
      <w:r w:rsidRPr="0087291A">
        <w:rPr>
          <w:rFonts w:ascii="Book Antiqua" w:hAnsi="Book Antiqua" w:cs="Arial"/>
          <w:sz w:val="24"/>
          <w:szCs w:val="24"/>
          <w:lang w:val="en-GB"/>
        </w:rPr>
        <w:t xml:space="preserve"> reported that uterine leiomyosarcoma lesions are significantly larger than uterine leiomyomas and have different grayscale sonographic characteristics. Furthermore, colour Doppler and power Doppler vascular patterns could be used as ancillary diagnostic methods to differentiate uterine sa</w:t>
      </w:r>
      <w:r w:rsidR="00516C84" w:rsidRPr="0087291A">
        <w:rPr>
          <w:rFonts w:ascii="Book Antiqua" w:hAnsi="Book Antiqua" w:cs="Arial"/>
          <w:sz w:val="24"/>
          <w:szCs w:val="24"/>
          <w:lang w:val="en-GB"/>
        </w:rPr>
        <w:t>rcomas from other tumour types</w:t>
      </w:r>
      <w:r w:rsidRPr="0087291A">
        <w:rPr>
          <w:rFonts w:ascii="Book Antiqua" w:hAnsi="Book Antiqua" w:cs="Arial"/>
          <w:noProof/>
          <w:sz w:val="24"/>
          <w:szCs w:val="24"/>
          <w:vertAlign w:val="superscript"/>
          <w:lang w:val="en-GB"/>
        </w:rPr>
        <w:t>[32]</w:t>
      </w:r>
      <w:r w:rsidR="00516C84" w:rsidRPr="0087291A">
        <w:rPr>
          <w:rFonts w:ascii="Book Antiqua" w:hAnsi="Book Antiqua" w:cs="Arial"/>
          <w:sz w:val="24"/>
          <w:szCs w:val="24"/>
          <w:lang w:val="en-GB"/>
        </w:rPr>
        <w:t xml:space="preserve">. </w:t>
      </w:r>
      <w:r w:rsidRPr="0087291A">
        <w:rPr>
          <w:rFonts w:ascii="Book Antiqua" w:hAnsi="Book Antiqua" w:cs="Arial"/>
          <w:sz w:val="24"/>
          <w:szCs w:val="24"/>
          <w:lang w:val="en-GB"/>
        </w:rPr>
        <w:t>Our study has some limitations pertaining to its retrospective nature; therefore, prospective studies focusing on the medical imaging-based diagnosis of leiomyosarcoma are required, particularly those</w:t>
      </w:r>
      <w:r w:rsidR="00DA22E6">
        <w:rPr>
          <w:rFonts w:ascii="Book Antiqua" w:hAnsi="Book Antiqua" w:cs="Arial"/>
          <w:sz w:val="24"/>
          <w:szCs w:val="24"/>
          <w:lang w:val="en-GB"/>
        </w:rPr>
        <w:t xml:space="preserve"> </w:t>
      </w:r>
      <w:r w:rsidR="00DA22E6" w:rsidRPr="0087291A">
        <w:rPr>
          <w:rFonts w:ascii="Book Antiqua" w:hAnsi="Book Antiqua" w:cs="Arial"/>
          <w:sz w:val="24"/>
          <w:szCs w:val="24"/>
          <w:lang w:val="en-GB"/>
        </w:rPr>
        <w:t>investigat</w:t>
      </w:r>
      <w:r w:rsidR="00DA22E6">
        <w:rPr>
          <w:rFonts w:ascii="Book Antiqua" w:hAnsi="Book Antiqua" w:cs="Arial"/>
          <w:sz w:val="24"/>
          <w:szCs w:val="24"/>
          <w:lang w:val="en-GB"/>
        </w:rPr>
        <w:t>ing</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the utility of power Doppler and contrast-enhanced ultrasonography.</w:t>
      </w:r>
    </w:p>
    <w:p w14:paraId="65F29061" w14:textId="5C63175A" w:rsidR="001F565A" w:rsidRPr="0087291A" w:rsidRDefault="001F565A" w:rsidP="0087291A">
      <w:pPr>
        <w:snapToGrid w:val="0"/>
        <w:spacing w:line="360" w:lineRule="auto"/>
        <w:ind w:firstLineChars="100" w:firstLine="240"/>
        <w:rPr>
          <w:rFonts w:ascii="Book Antiqua" w:hAnsi="Book Antiqua" w:cs="Arial"/>
          <w:sz w:val="24"/>
          <w:szCs w:val="24"/>
          <w:lang w:val="en-GB"/>
        </w:rPr>
      </w:pPr>
      <w:r w:rsidRPr="0087291A">
        <w:rPr>
          <w:rFonts w:ascii="Book Antiqua" w:hAnsi="Book Antiqua" w:cs="Arial"/>
          <w:sz w:val="24"/>
          <w:szCs w:val="24"/>
          <w:lang w:val="en-GB"/>
        </w:rPr>
        <w:t>In conclusion, our study suggests that serum tumour markers are of little value in leiomyosarcoma diagnosis, and ultrasonography cannot accurately differentiate leiomyosarcoma from uterine leiomyoma, although it remains valuable in monitoring</w:t>
      </w:r>
      <w:r w:rsidR="00DA22E6">
        <w:rPr>
          <w:rFonts w:ascii="Book Antiqua" w:hAnsi="Book Antiqua" w:cs="Arial"/>
          <w:sz w:val="24"/>
          <w:szCs w:val="24"/>
          <w:lang w:val="en-GB"/>
        </w:rPr>
        <w:t xml:space="preserve"> </w:t>
      </w:r>
      <w:r w:rsidRPr="0087291A">
        <w:rPr>
          <w:rFonts w:ascii="Book Antiqua" w:hAnsi="Book Antiqua" w:cs="Arial"/>
          <w:sz w:val="24"/>
          <w:szCs w:val="24"/>
          <w:lang w:val="en-GB"/>
        </w:rPr>
        <w:t>recurrence. Our study also showed that FIGO stage is significantly as</w:t>
      </w:r>
      <w:r w:rsidR="007B14CB" w:rsidRPr="0087291A">
        <w:rPr>
          <w:rFonts w:ascii="Book Antiqua" w:hAnsi="Book Antiqua" w:cs="Arial"/>
          <w:sz w:val="24"/>
          <w:szCs w:val="24"/>
          <w:lang w:val="en-GB"/>
        </w:rPr>
        <w:t>sociated with patient outcomes.</w:t>
      </w:r>
    </w:p>
    <w:p w14:paraId="2599C510" w14:textId="77777777" w:rsidR="001F565A" w:rsidRPr="0087291A" w:rsidRDefault="001F565A" w:rsidP="0087291A">
      <w:pPr>
        <w:snapToGrid w:val="0"/>
        <w:spacing w:line="360" w:lineRule="auto"/>
        <w:rPr>
          <w:rFonts w:ascii="Book Antiqua" w:hAnsi="Book Antiqua" w:cs="Arial"/>
          <w:sz w:val="24"/>
          <w:szCs w:val="24"/>
          <w:lang w:val="en-GB"/>
        </w:rPr>
      </w:pPr>
    </w:p>
    <w:p w14:paraId="1729B8E7" w14:textId="77777777" w:rsidR="007B14CB" w:rsidRPr="0087291A" w:rsidRDefault="007B14CB" w:rsidP="0087291A">
      <w:pPr>
        <w:adjustRightInd w:val="0"/>
        <w:snapToGrid w:val="0"/>
        <w:spacing w:line="360" w:lineRule="auto"/>
        <w:rPr>
          <w:rFonts w:ascii="Book Antiqua" w:hAnsi="Book Antiqua"/>
          <w:b/>
          <w:color w:val="000000"/>
          <w:sz w:val="24"/>
          <w:szCs w:val="24"/>
          <w:u w:val="single"/>
        </w:rPr>
      </w:pPr>
      <w:r w:rsidRPr="0087291A">
        <w:rPr>
          <w:rFonts w:ascii="Book Antiqua" w:hAnsi="Book Antiqua"/>
          <w:b/>
          <w:color w:val="000000"/>
          <w:sz w:val="24"/>
          <w:szCs w:val="24"/>
          <w:u w:val="single"/>
        </w:rPr>
        <w:t>ARTICLE HIGHLIGHTS</w:t>
      </w:r>
    </w:p>
    <w:p w14:paraId="36A73156"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background</w:t>
      </w:r>
    </w:p>
    <w:p w14:paraId="471C8BA8" w14:textId="39275075"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rPr>
        <w:t>L</w:t>
      </w:r>
      <w:r w:rsidRPr="0087291A">
        <w:rPr>
          <w:rFonts w:ascii="Book Antiqua" w:hAnsi="Book Antiqua" w:cs="Arial"/>
          <w:sz w:val="24"/>
          <w:szCs w:val="24"/>
          <w:lang w:val="en-GB"/>
        </w:rPr>
        <w:t xml:space="preserve">eimyosarcoma of </w:t>
      </w:r>
      <w:r w:rsidR="00DA22E6">
        <w:rPr>
          <w:rFonts w:ascii="Book Antiqua" w:hAnsi="Book Antiqua" w:cs="Arial"/>
          <w:sz w:val="24"/>
          <w:szCs w:val="24"/>
          <w:lang w:val="en-GB"/>
        </w:rPr>
        <w:t xml:space="preserve">the </w:t>
      </w:r>
      <w:r w:rsidRPr="0087291A">
        <w:rPr>
          <w:rFonts w:ascii="Book Antiqua" w:hAnsi="Book Antiqua" w:cs="Arial"/>
          <w:sz w:val="24"/>
          <w:szCs w:val="24"/>
          <w:lang w:val="en-GB"/>
        </w:rPr>
        <w:t xml:space="preserve">pelvic </w:t>
      </w:r>
      <w:r w:rsidR="00AA4BD4" w:rsidRPr="0087291A">
        <w:rPr>
          <w:rFonts w:ascii="Book Antiqua" w:hAnsi="Book Antiqua" w:cs="Arial"/>
          <w:sz w:val="24"/>
          <w:szCs w:val="24"/>
          <w:lang w:val="en-GB"/>
        </w:rPr>
        <w:t xml:space="preserve">cavity </w:t>
      </w:r>
      <w:r w:rsidRPr="0087291A">
        <w:rPr>
          <w:rFonts w:ascii="Book Antiqua" w:hAnsi="Book Antiqua" w:cs="Arial"/>
          <w:sz w:val="24"/>
          <w:szCs w:val="24"/>
          <w:lang w:val="en-GB"/>
        </w:rPr>
        <w:t xml:space="preserve">heavily </w:t>
      </w:r>
      <w:r w:rsidR="00DA22E6" w:rsidRPr="0087291A">
        <w:rPr>
          <w:rFonts w:ascii="Book Antiqua" w:hAnsi="Book Antiqua" w:cs="Arial"/>
          <w:sz w:val="24"/>
          <w:szCs w:val="24"/>
          <w:lang w:val="en-GB"/>
        </w:rPr>
        <w:t>affect</w:t>
      </w:r>
      <w:r w:rsidR="00DA22E6">
        <w:rPr>
          <w:rFonts w:ascii="Book Antiqua" w:hAnsi="Book Antiqua" w:cs="Arial"/>
          <w:sz w:val="24"/>
          <w:szCs w:val="24"/>
          <w:lang w:val="en-GB"/>
        </w:rPr>
        <w:t>s</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 xml:space="preserve">the health and life of women, but clinical characteristics and relevant diagnosis of the disease </w:t>
      </w:r>
      <w:r w:rsidR="00DA22E6">
        <w:rPr>
          <w:rFonts w:ascii="Book Antiqua" w:hAnsi="Book Antiqua" w:cs="Arial"/>
          <w:sz w:val="24"/>
          <w:szCs w:val="24"/>
          <w:lang w:val="en-GB"/>
        </w:rPr>
        <w:t>are</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still unclear. It is necessary to carry out clinical research related to pelvic leiomyosarcoma.</w:t>
      </w:r>
    </w:p>
    <w:p w14:paraId="2D267696" w14:textId="77777777" w:rsidR="001F565A" w:rsidRPr="0087291A" w:rsidRDefault="001F565A" w:rsidP="0087291A">
      <w:pPr>
        <w:adjustRightInd w:val="0"/>
        <w:snapToGrid w:val="0"/>
        <w:spacing w:line="360" w:lineRule="auto"/>
        <w:rPr>
          <w:rFonts w:ascii="Book Antiqua" w:hAnsi="Book Antiqua" w:cs="宋体"/>
          <w:b/>
          <w:i/>
          <w:kern w:val="0"/>
          <w:sz w:val="24"/>
          <w:szCs w:val="24"/>
        </w:rPr>
      </w:pPr>
    </w:p>
    <w:p w14:paraId="37A02811" w14:textId="77777777" w:rsidR="001F565A" w:rsidRPr="0087291A" w:rsidRDefault="001F565A" w:rsidP="0087291A">
      <w:pPr>
        <w:adjustRightInd w:val="0"/>
        <w:snapToGrid w:val="0"/>
        <w:spacing w:line="360" w:lineRule="auto"/>
        <w:rPr>
          <w:rFonts w:ascii="Book Antiqua" w:hAnsi="Book Antiqua" w:cs="宋体"/>
          <w:kern w:val="0"/>
          <w:sz w:val="24"/>
          <w:szCs w:val="24"/>
        </w:rPr>
      </w:pPr>
      <w:r w:rsidRPr="0087291A">
        <w:rPr>
          <w:rFonts w:ascii="Book Antiqua" w:hAnsi="Book Antiqua"/>
          <w:b/>
          <w:i/>
          <w:color w:val="000000"/>
          <w:sz w:val="24"/>
          <w:szCs w:val="24"/>
        </w:rPr>
        <w:t>Research motivation</w:t>
      </w:r>
    </w:p>
    <w:p w14:paraId="162DEA45" w14:textId="0C0AFDC0"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Preoperative diagnosis of pelvic leiomyosarcoma </w:t>
      </w:r>
      <w:r w:rsidR="00DA22E6">
        <w:rPr>
          <w:rFonts w:ascii="Book Antiqua" w:hAnsi="Book Antiqua" w:cs="Arial"/>
          <w:sz w:val="24"/>
          <w:szCs w:val="24"/>
          <w:lang w:val="en-GB"/>
        </w:rPr>
        <w:t>i</w:t>
      </w:r>
      <w:r w:rsidR="00DA22E6" w:rsidRPr="0087291A">
        <w:rPr>
          <w:rFonts w:ascii="Book Antiqua" w:hAnsi="Book Antiqua" w:cs="Arial"/>
          <w:sz w:val="24"/>
          <w:szCs w:val="24"/>
          <w:lang w:val="en-GB"/>
        </w:rPr>
        <w:t xml:space="preserve">s </w:t>
      </w:r>
      <w:r w:rsidRPr="0087291A">
        <w:rPr>
          <w:rFonts w:ascii="Book Antiqua" w:hAnsi="Book Antiqua" w:cs="Arial"/>
          <w:sz w:val="24"/>
          <w:szCs w:val="24"/>
          <w:lang w:val="en-GB"/>
        </w:rPr>
        <w:t xml:space="preserve">very difficult, </w:t>
      </w:r>
      <w:r w:rsidR="00DA22E6">
        <w:rPr>
          <w:rFonts w:ascii="Book Antiqua" w:hAnsi="Book Antiqua" w:cs="Arial"/>
          <w:sz w:val="24"/>
          <w:szCs w:val="24"/>
          <w:lang w:val="en-GB"/>
        </w:rPr>
        <w:t xml:space="preserve">and </w:t>
      </w:r>
      <w:r w:rsidRPr="0087291A">
        <w:rPr>
          <w:rFonts w:ascii="Book Antiqua" w:hAnsi="Book Antiqua" w:cs="Arial"/>
          <w:sz w:val="24"/>
          <w:szCs w:val="24"/>
          <w:lang w:val="en-GB"/>
        </w:rPr>
        <w:t xml:space="preserve">only the pathological examination after operation </w:t>
      </w:r>
      <w:r w:rsidR="00DA22E6" w:rsidRPr="0087291A">
        <w:rPr>
          <w:rFonts w:ascii="Book Antiqua" w:hAnsi="Book Antiqua" w:cs="Arial"/>
          <w:sz w:val="24"/>
          <w:szCs w:val="24"/>
          <w:lang w:val="en-GB"/>
        </w:rPr>
        <w:t>c</w:t>
      </w:r>
      <w:r w:rsidR="00DA22E6">
        <w:rPr>
          <w:rFonts w:ascii="Book Antiqua" w:hAnsi="Book Antiqua" w:cs="Arial"/>
          <w:sz w:val="24"/>
          <w:szCs w:val="24"/>
          <w:lang w:val="en-GB"/>
        </w:rPr>
        <w:t>an</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provide an accurate diagnosis for this disease. We would like to study the causes affecting diagnosis and factors affecting outcomes of those patients.</w:t>
      </w:r>
    </w:p>
    <w:p w14:paraId="7A812797" w14:textId="77777777" w:rsidR="001F565A" w:rsidRPr="0087291A" w:rsidRDefault="001F565A" w:rsidP="0087291A">
      <w:pPr>
        <w:snapToGrid w:val="0"/>
        <w:spacing w:line="360" w:lineRule="auto"/>
        <w:rPr>
          <w:rFonts w:ascii="Book Antiqua" w:hAnsi="Book Antiqua" w:cs="Arial"/>
          <w:sz w:val="24"/>
          <w:szCs w:val="24"/>
          <w:lang w:val="en-GB"/>
        </w:rPr>
      </w:pPr>
    </w:p>
    <w:p w14:paraId="47D8B37B" w14:textId="77777777" w:rsidR="001F565A" w:rsidRPr="0087291A" w:rsidRDefault="001F565A" w:rsidP="0087291A">
      <w:pPr>
        <w:adjustRightInd w:val="0"/>
        <w:snapToGrid w:val="0"/>
        <w:spacing w:line="360" w:lineRule="auto"/>
        <w:rPr>
          <w:rFonts w:ascii="Book Antiqua" w:hAnsi="Book Antiqua"/>
          <w:b/>
          <w:i/>
          <w:color w:val="000000"/>
          <w:sz w:val="24"/>
          <w:szCs w:val="24"/>
        </w:rPr>
      </w:pPr>
      <w:r w:rsidRPr="0087291A">
        <w:rPr>
          <w:rFonts w:ascii="Book Antiqua" w:hAnsi="Book Antiqua"/>
          <w:b/>
          <w:i/>
          <w:color w:val="000000"/>
          <w:sz w:val="24"/>
          <w:szCs w:val="24"/>
        </w:rPr>
        <w:t>Research objectives</w:t>
      </w:r>
    </w:p>
    <w:p w14:paraId="5F6A579D" w14:textId="7777777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This study aimed to identify the outcome</w:t>
      </w:r>
      <w:r w:rsidR="00DB4E01" w:rsidRPr="0087291A">
        <w:rPr>
          <w:rFonts w:ascii="Book Antiqua" w:hAnsi="Book Antiqua" w:cs="Arial"/>
          <w:sz w:val="24"/>
          <w:szCs w:val="24"/>
          <w:lang w:val="en-GB"/>
        </w:rPr>
        <w:t>s</w:t>
      </w:r>
      <w:r w:rsidRPr="0087291A">
        <w:rPr>
          <w:rFonts w:ascii="Book Antiqua" w:hAnsi="Book Antiqua" w:cs="Arial"/>
          <w:sz w:val="24"/>
          <w:szCs w:val="24"/>
          <w:lang w:val="en-GB"/>
        </w:rPr>
        <w:t xml:space="preserve"> and relevant perioperative evaluation of patients with pelvic leiomyosarcoma.</w:t>
      </w:r>
    </w:p>
    <w:p w14:paraId="0DB00B63" w14:textId="77777777" w:rsidR="001F565A" w:rsidRPr="0087291A" w:rsidRDefault="001F565A" w:rsidP="0087291A">
      <w:pPr>
        <w:snapToGrid w:val="0"/>
        <w:spacing w:line="360" w:lineRule="auto"/>
        <w:rPr>
          <w:rFonts w:ascii="Book Antiqua" w:hAnsi="Book Antiqua" w:cs="Arial"/>
          <w:sz w:val="24"/>
          <w:szCs w:val="24"/>
          <w:lang w:val="en-GB"/>
        </w:rPr>
      </w:pPr>
    </w:p>
    <w:p w14:paraId="35B19747"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methods</w:t>
      </w:r>
    </w:p>
    <w:p w14:paraId="79054F1D" w14:textId="1CB56347"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 xml:space="preserve">We used Kaplan-Meier method to determine progression-free survival and overall survival rates. Univariate and multivariate Cox proportional hazards models were </w:t>
      </w:r>
      <w:r w:rsidR="00DA22E6">
        <w:rPr>
          <w:rFonts w:ascii="Book Antiqua" w:hAnsi="Book Antiqua" w:cs="Arial"/>
          <w:sz w:val="24"/>
          <w:szCs w:val="24"/>
          <w:lang w:val="en-GB"/>
        </w:rPr>
        <w:t>used</w:t>
      </w:r>
      <w:r w:rsidR="00DA22E6" w:rsidRPr="0087291A">
        <w:rPr>
          <w:rFonts w:ascii="Book Antiqua" w:hAnsi="Book Antiqua" w:cs="Arial"/>
          <w:sz w:val="24"/>
          <w:szCs w:val="24"/>
          <w:lang w:val="en-GB"/>
        </w:rPr>
        <w:t xml:space="preserve"> </w:t>
      </w:r>
      <w:r w:rsidRPr="0087291A">
        <w:rPr>
          <w:rFonts w:ascii="Book Antiqua" w:hAnsi="Book Antiqua" w:cs="Arial"/>
          <w:sz w:val="24"/>
          <w:szCs w:val="24"/>
          <w:lang w:val="en-GB"/>
        </w:rPr>
        <w:t>to comprehensively analyse the prognostic factors</w:t>
      </w:r>
    </w:p>
    <w:p w14:paraId="5BB900F2" w14:textId="77777777" w:rsidR="001F565A" w:rsidRPr="0087291A" w:rsidRDefault="001F565A" w:rsidP="0087291A">
      <w:pPr>
        <w:widowControl/>
        <w:adjustRightInd w:val="0"/>
        <w:snapToGrid w:val="0"/>
        <w:spacing w:line="360" w:lineRule="auto"/>
        <w:rPr>
          <w:rFonts w:ascii="Book Antiqua" w:hAnsi="Book Antiqua"/>
          <w:sz w:val="24"/>
          <w:szCs w:val="24"/>
          <w:lang w:val="en-GB"/>
        </w:rPr>
      </w:pPr>
    </w:p>
    <w:p w14:paraId="63663607" w14:textId="77777777" w:rsidR="001F565A" w:rsidRPr="0087291A" w:rsidRDefault="001F565A" w:rsidP="0087291A">
      <w:pPr>
        <w:widowControl/>
        <w:adjustRightInd w:val="0"/>
        <w:snapToGrid w:val="0"/>
        <w:spacing w:line="360" w:lineRule="auto"/>
        <w:rPr>
          <w:rFonts w:ascii="Book Antiqua" w:hAnsi="Book Antiqua" w:cs="宋体"/>
          <w:b/>
          <w:i/>
          <w:kern w:val="0"/>
          <w:sz w:val="24"/>
          <w:szCs w:val="24"/>
        </w:rPr>
      </w:pPr>
      <w:r w:rsidRPr="0087291A">
        <w:rPr>
          <w:rFonts w:ascii="Book Antiqua" w:hAnsi="Book Antiqua"/>
          <w:b/>
          <w:i/>
          <w:color w:val="000000"/>
          <w:sz w:val="24"/>
          <w:szCs w:val="24"/>
        </w:rPr>
        <w:t>Research results</w:t>
      </w:r>
    </w:p>
    <w:p w14:paraId="63339CE2" w14:textId="7A5AA87D" w:rsidR="001F565A" w:rsidRPr="0087291A" w:rsidRDefault="001F565A" w:rsidP="0087291A">
      <w:pPr>
        <w:snapToGrid w:val="0"/>
        <w:spacing w:line="360" w:lineRule="auto"/>
        <w:rPr>
          <w:rFonts w:ascii="Book Antiqua" w:hAnsi="Book Antiqua" w:cs="Arial"/>
          <w:sz w:val="24"/>
          <w:szCs w:val="24"/>
          <w:lang w:val="en-GB"/>
        </w:rPr>
      </w:pPr>
      <w:r w:rsidRPr="0087291A">
        <w:rPr>
          <w:rFonts w:ascii="Book Antiqua" w:hAnsi="Book Antiqua" w:cs="Segoe UI"/>
          <w:kern w:val="0"/>
          <w:sz w:val="24"/>
          <w:szCs w:val="24"/>
          <w:shd w:val="clear" w:color="auto" w:fill="FFFFFF"/>
        </w:rPr>
        <w:t xml:space="preserve">The results indicated </w:t>
      </w:r>
      <w:r w:rsidR="00DA22E6">
        <w:rPr>
          <w:rFonts w:ascii="Book Antiqua" w:hAnsi="Book Antiqua" w:cs="Segoe UI"/>
          <w:kern w:val="0"/>
          <w:sz w:val="24"/>
          <w:szCs w:val="24"/>
          <w:shd w:val="clear" w:color="auto" w:fill="FFFFFF"/>
        </w:rPr>
        <w:t xml:space="preserve">that </w:t>
      </w:r>
      <w:r w:rsidRPr="0087291A">
        <w:rPr>
          <w:rFonts w:ascii="Book Antiqua" w:hAnsi="Book Antiqua" w:cs="Segoe UI"/>
          <w:kern w:val="0"/>
          <w:sz w:val="24"/>
          <w:szCs w:val="24"/>
          <w:shd w:val="clear" w:color="auto" w:fill="FFFFFF"/>
        </w:rPr>
        <w:t>serum biomarkers</w:t>
      </w:r>
      <w:r w:rsidRPr="0087291A">
        <w:rPr>
          <w:rFonts w:ascii="Book Antiqua" w:hAnsi="Book Antiqua" w:cs="Arial"/>
          <w:sz w:val="24"/>
          <w:szCs w:val="24"/>
          <w:lang w:val="en-GB"/>
        </w:rPr>
        <w:t xml:space="preserve"> had limited ability in leiomyosarcoma diagnosis and ultrasonography could not accurately differentiate leiomyosarcoma from uterine leiomyoma. However, most of the recurrent lesions could be detected using ultrasonography. FIGO stage was significantly associated with poor progression-free survival in the univariate and multivariate analyses.</w:t>
      </w:r>
    </w:p>
    <w:p w14:paraId="4E166AFC" w14:textId="77777777" w:rsidR="001F565A" w:rsidRPr="0087291A" w:rsidRDefault="001F565A" w:rsidP="0087291A">
      <w:pPr>
        <w:widowControl/>
        <w:adjustRightInd w:val="0"/>
        <w:snapToGrid w:val="0"/>
        <w:spacing w:line="360" w:lineRule="auto"/>
        <w:rPr>
          <w:rFonts w:ascii="Book Antiqua" w:hAnsi="Book Antiqua" w:cs="Segoe UI"/>
          <w:kern w:val="0"/>
          <w:sz w:val="24"/>
          <w:szCs w:val="24"/>
          <w:shd w:val="clear" w:color="auto" w:fill="FFFFFF"/>
          <w:lang w:val="en-GB"/>
        </w:rPr>
      </w:pPr>
    </w:p>
    <w:p w14:paraId="4D131A11" w14:textId="77777777" w:rsidR="001F565A" w:rsidRPr="0087291A" w:rsidRDefault="001F565A" w:rsidP="0087291A">
      <w:pPr>
        <w:widowControl/>
        <w:adjustRightInd w:val="0"/>
        <w:snapToGrid w:val="0"/>
        <w:spacing w:line="360" w:lineRule="auto"/>
        <w:rPr>
          <w:rFonts w:ascii="Book Antiqua" w:hAnsi="Book Antiqua" w:cs="Segoe UI"/>
          <w:b/>
          <w:i/>
          <w:kern w:val="0"/>
          <w:sz w:val="24"/>
          <w:szCs w:val="24"/>
          <w:shd w:val="clear" w:color="auto" w:fill="FFFFFF"/>
        </w:rPr>
      </w:pPr>
      <w:r w:rsidRPr="0087291A">
        <w:rPr>
          <w:rFonts w:ascii="Book Antiqua" w:hAnsi="Book Antiqua"/>
          <w:b/>
          <w:i/>
          <w:color w:val="000000"/>
          <w:sz w:val="24"/>
          <w:szCs w:val="24"/>
        </w:rPr>
        <w:t>Research conclusions</w:t>
      </w:r>
    </w:p>
    <w:p w14:paraId="70DBD3D1" w14:textId="75AE5AEE" w:rsidR="001F565A" w:rsidRPr="0087291A" w:rsidRDefault="001F565A" w:rsidP="0087291A">
      <w:pPr>
        <w:widowControl/>
        <w:adjustRightInd w:val="0"/>
        <w:snapToGrid w:val="0"/>
        <w:spacing w:line="360" w:lineRule="auto"/>
        <w:rPr>
          <w:rFonts w:ascii="Book Antiqua" w:hAnsi="Book Antiqua"/>
          <w:sz w:val="24"/>
          <w:szCs w:val="24"/>
        </w:rPr>
      </w:pPr>
      <w:r w:rsidRPr="0087291A">
        <w:rPr>
          <w:rFonts w:ascii="Book Antiqua" w:hAnsi="Book Antiqua"/>
          <w:sz w:val="24"/>
          <w:szCs w:val="24"/>
        </w:rPr>
        <w:t>Serum tumour markers and ultrasonography cannot accurately diagnose pelvic leiomyosarcoma. Ultrasonography remains valuable in monitoring</w:t>
      </w:r>
      <w:r w:rsidR="00DA22E6">
        <w:rPr>
          <w:rFonts w:ascii="Book Antiqua" w:hAnsi="Book Antiqua"/>
          <w:sz w:val="24"/>
          <w:szCs w:val="24"/>
        </w:rPr>
        <w:t xml:space="preserve"> </w:t>
      </w:r>
      <w:r w:rsidRPr="0087291A">
        <w:rPr>
          <w:rFonts w:ascii="Book Antiqua" w:hAnsi="Book Antiqua"/>
          <w:sz w:val="24"/>
          <w:szCs w:val="24"/>
        </w:rPr>
        <w:t xml:space="preserve"> recurrence. FIGO stage is significantly associated with patient outcomes.</w:t>
      </w:r>
    </w:p>
    <w:p w14:paraId="3C59EA5E" w14:textId="77777777" w:rsidR="001F565A" w:rsidRPr="0087291A" w:rsidRDefault="001F565A" w:rsidP="0087291A">
      <w:pPr>
        <w:widowControl/>
        <w:adjustRightInd w:val="0"/>
        <w:snapToGrid w:val="0"/>
        <w:spacing w:line="360" w:lineRule="auto"/>
        <w:rPr>
          <w:rFonts w:ascii="Book Antiqua" w:hAnsi="Book Antiqua"/>
          <w:sz w:val="24"/>
          <w:szCs w:val="24"/>
        </w:rPr>
      </w:pPr>
    </w:p>
    <w:p w14:paraId="6080F249"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r w:rsidRPr="0087291A">
        <w:rPr>
          <w:rFonts w:ascii="Book Antiqua" w:hAnsi="Book Antiqua"/>
          <w:b/>
          <w:i/>
          <w:color w:val="000000"/>
          <w:sz w:val="24"/>
          <w:szCs w:val="24"/>
        </w:rPr>
        <w:t>Research perspectives</w:t>
      </w:r>
    </w:p>
    <w:p w14:paraId="4DDBC810"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r w:rsidRPr="0087291A">
        <w:rPr>
          <w:rFonts w:ascii="Book Antiqua" w:eastAsia="宋体" w:hAnsi="Book Antiqua" w:cs="Times New Roman"/>
          <w:sz w:val="24"/>
          <w:szCs w:val="24"/>
        </w:rPr>
        <w:t>Although accurate preoperative diagnosis of pelvic leiomyosarcoma was very difficult, our results showed that FIGO stage was significantly related to prognosis. Therefore, improving the early diagnosis rate is a promising field in the future.</w:t>
      </w:r>
    </w:p>
    <w:p w14:paraId="0396FD16" w14:textId="77777777" w:rsidR="001F565A" w:rsidRPr="0087291A" w:rsidRDefault="001F565A" w:rsidP="0087291A">
      <w:pPr>
        <w:widowControl/>
        <w:adjustRightInd w:val="0"/>
        <w:snapToGrid w:val="0"/>
        <w:spacing w:line="360" w:lineRule="auto"/>
        <w:rPr>
          <w:rFonts w:ascii="Book Antiqua" w:eastAsia="宋体" w:hAnsi="Book Antiqua" w:cs="Times New Roman"/>
          <w:sz w:val="24"/>
          <w:szCs w:val="24"/>
        </w:rPr>
      </w:pPr>
    </w:p>
    <w:p w14:paraId="5277DE5A" w14:textId="77777777" w:rsidR="007B14CB" w:rsidRPr="0087291A" w:rsidRDefault="007B14CB"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t>REFERENCES</w:t>
      </w:r>
    </w:p>
    <w:p w14:paraId="5B9A06B9"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 </w:t>
      </w:r>
      <w:r w:rsidRPr="0087291A">
        <w:rPr>
          <w:rFonts w:ascii="Book Antiqua" w:hAnsi="Book Antiqua"/>
          <w:b/>
          <w:sz w:val="24"/>
          <w:szCs w:val="24"/>
        </w:rPr>
        <w:t>Toro JR</w:t>
      </w:r>
      <w:r w:rsidRPr="0087291A">
        <w:rPr>
          <w:rFonts w:ascii="Book Antiqua" w:hAnsi="Book Antiqua"/>
          <w:sz w:val="24"/>
          <w:szCs w:val="24"/>
        </w:rPr>
        <w:t xml:space="preserve">, Travis LB, Wu HJ, Zhu K, Fletcher CD, Devesa SS. Incidence patterns of soft tissue sarcomas, regardless of primary site, in the surveillance, epidemiology and end results program, 1978-2001: An analysis of 26,758 cases. </w:t>
      </w:r>
      <w:r w:rsidRPr="0087291A">
        <w:rPr>
          <w:rFonts w:ascii="Book Antiqua" w:hAnsi="Book Antiqua"/>
          <w:i/>
          <w:sz w:val="24"/>
          <w:szCs w:val="24"/>
        </w:rPr>
        <w:t>Int J Cancer</w:t>
      </w:r>
      <w:r w:rsidRPr="0087291A">
        <w:rPr>
          <w:rFonts w:ascii="Book Antiqua" w:hAnsi="Book Antiqua"/>
          <w:sz w:val="24"/>
          <w:szCs w:val="24"/>
        </w:rPr>
        <w:t xml:space="preserve"> 2006; </w:t>
      </w:r>
      <w:r w:rsidRPr="0087291A">
        <w:rPr>
          <w:rFonts w:ascii="Book Antiqua" w:hAnsi="Book Antiqua"/>
          <w:b/>
          <w:sz w:val="24"/>
          <w:szCs w:val="24"/>
        </w:rPr>
        <w:t>119</w:t>
      </w:r>
      <w:r w:rsidRPr="0087291A">
        <w:rPr>
          <w:rFonts w:ascii="Book Antiqua" w:hAnsi="Book Antiqua"/>
          <w:sz w:val="24"/>
          <w:szCs w:val="24"/>
        </w:rPr>
        <w:t>: 2922-2930 [PMID: 17013893 DOI: 10.1002/ijc.22239]</w:t>
      </w:r>
    </w:p>
    <w:p w14:paraId="3F00D3D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 </w:t>
      </w:r>
      <w:r w:rsidRPr="0087291A">
        <w:rPr>
          <w:rFonts w:ascii="Book Antiqua" w:hAnsi="Book Antiqua"/>
          <w:b/>
          <w:sz w:val="24"/>
          <w:szCs w:val="24"/>
        </w:rPr>
        <w:t>Ricci S</w:t>
      </w:r>
      <w:r w:rsidRPr="0087291A">
        <w:rPr>
          <w:rFonts w:ascii="Book Antiqua" w:hAnsi="Book Antiqua"/>
          <w:sz w:val="24"/>
          <w:szCs w:val="24"/>
        </w:rPr>
        <w:t xml:space="preserve">, Stone RL, Fader AN. Uterine leiomyosarcoma: Epidemiology, contemporary treatment strategies and the impact of uterine morcellation. </w:t>
      </w:r>
      <w:r w:rsidRPr="0087291A">
        <w:rPr>
          <w:rFonts w:ascii="Book Antiqua" w:hAnsi="Book Antiqua"/>
          <w:i/>
          <w:sz w:val="24"/>
          <w:szCs w:val="24"/>
        </w:rPr>
        <w:t>Gynecol Oncol</w:t>
      </w:r>
      <w:r w:rsidRPr="0087291A">
        <w:rPr>
          <w:rFonts w:ascii="Book Antiqua" w:hAnsi="Book Antiqua"/>
          <w:sz w:val="24"/>
          <w:szCs w:val="24"/>
        </w:rPr>
        <w:t xml:space="preserve"> 2017; </w:t>
      </w:r>
      <w:r w:rsidRPr="0087291A">
        <w:rPr>
          <w:rFonts w:ascii="Book Antiqua" w:hAnsi="Book Antiqua"/>
          <w:b/>
          <w:sz w:val="24"/>
          <w:szCs w:val="24"/>
        </w:rPr>
        <w:t>145</w:t>
      </w:r>
      <w:r w:rsidRPr="0087291A">
        <w:rPr>
          <w:rFonts w:ascii="Book Antiqua" w:hAnsi="Book Antiqua"/>
          <w:sz w:val="24"/>
          <w:szCs w:val="24"/>
        </w:rPr>
        <w:t>: 208-216 [PMID: 28209496 DOI: 10.1016/j.ygyno.2017.02.019]</w:t>
      </w:r>
    </w:p>
    <w:p w14:paraId="1DCC3A9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 </w:t>
      </w:r>
      <w:r w:rsidRPr="0087291A">
        <w:rPr>
          <w:rFonts w:ascii="Book Antiqua" w:hAnsi="Book Antiqua"/>
          <w:b/>
          <w:sz w:val="24"/>
          <w:szCs w:val="24"/>
        </w:rPr>
        <w:t>Zivanovic O</w:t>
      </w:r>
      <w:r w:rsidRPr="0087291A">
        <w:rPr>
          <w:rFonts w:ascii="Book Antiqua" w:hAnsi="Book Antiqua"/>
          <w:sz w:val="24"/>
          <w:szCs w:val="24"/>
        </w:rPr>
        <w:t xml:space="preserve">, Jacks LM, Iasonos A, Leitao MM Jr, Soslow RA, Veras E, Chi DS, Abu-Rustum NR, Barakat RR, Brennan MF, Hensley ML. A nomogram to predict postresection 5-year overall survival for patients with uterine leiomyosarcoma. </w:t>
      </w:r>
      <w:r w:rsidRPr="0087291A">
        <w:rPr>
          <w:rFonts w:ascii="Book Antiqua" w:hAnsi="Book Antiqua"/>
          <w:i/>
          <w:sz w:val="24"/>
          <w:szCs w:val="24"/>
        </w:rPr>
        <w:t>Cancer</w:t>
      </w:r>
      <w:r w:rsidRPr="0087291A">
        <w:rPr>
          <w:rFonts w:ascii="Book Antiqua" w:hAnsi="Book Antiqua"/>
          <w:sz w:val="24"/>
          <w:szCs w:val="24"/>
        </w:rPr>
        <w:t xml:space="preserve"> 2012; </w:t>
      </w:r>
      <w:r w:rsidRPr="0087291A">
        <w:rPr>
          <w:rFonts w:ascii="Book Antiqua" w:hAnsi="Book Antiqua"/>
          <w:b/>
          <w:sz w:val="24"/>
          <w:szCs w:val="24"/>
        </w:rPr>
        <w:t>118</w:t>
      </w:r>
      <w:r w:rsidRPr="0087291A">
        <w:rPr>
          <w:rFonts w:ascii="Book Antiqua" w:hAnsi="Book Antiqua"/>
          <w:sz w:val="24"/>
          <w:szCs w:val="24"/>
        </w:rPr>
        <w:t>: 660-669 [PMID: 21751199 DOI: 10.1002/cncr.26333]</w:t>
      </w:r>
    </w:p>
    <w:p w14:paraId="3EEFCDD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4 </w:t>
      </w:r>
      <w:r w:rsidRPr="0087291A">
        <w:rPr>
          <w:rFonts w:ascii="Book Antiqua" w:hAnsi="Book Antiqua"/>
          <w:b/>
          <w:sz w:val="24"/>
          <w:szCs w:val="24"/>
        </w:rPr>
        <w:t>Lamm W</w:t>
      </w:r>
      <w:r w:rsidRPr="0087291A">
        <w:rPr>
          <w:rFonts w:ascii="Book Antiqua" w:hAnsi="Book Antiqua"/>
          <w:sz w:val="24"/>
          <w:szCs w:val="24"/>
        </w:rPr>
        <w:t xml:space="preserve">, Natter C, Schur S, Köstler WJ, Reinthaller A, Krainer M, Grimm C, Horvath R, Amann G, Funovics P, Brodowicz T, Polterauer S. Distinctive outcome in patients with non-uterine and uterine leiomyosarcoma. </w:t>
      </w:r>
      <w:r w:rsidRPr="0087291A">
        <w:rPr>
          <w:rFonts w:ascii="Book Antiqua" w:hAnsi="Book Antiqua"/>
          <w:i/>
          <w:sz w:val="24"/>
          <w:szCs w:val="24"/>
        </w:rPr>
        <w:t>BMC Cancer</w:t>
      </w:r>
      <w:r w:rsidRPr="0087291A">
        <w:rPr>
          <w:rFonts w:ascii="Book Antiqua" w:hAnsi="Book Antiqua"/>
          <w:sz w:val="24"/>
          <w:szCs w:val="24"/>
        </w:rPr>
        <w:t xml:space="preserve"> 2014; </w:t>
      </w:r>
      <w:r w:rsidRPr="0087291A">
        <w:rPr>
          <w:rFonts w:ascii="Book Antiqua" w:hAnsi="Book Antiqua"/>
          <w:b/>
          <w:sz w:val="24"/>
          <w:szCs w:val="24"/>
        </w:rPr>
        <w:t>14</w:t>
      </w:r>
      <w:r w:rsidRPr="0087291A">
        <w:rPr>
          <w:rFonts w:ascii="Book Antiqua" w:hAnsi="Book Antiqua"/>
          <w:sz w:val="24"/>
          <w:szCs w:val="24"/>
        </w:rPr>
        <w:t>: 981 [PMID: 25523155 DOI: 10.1186/1471-2407-14-981]</w:t>
      </w:r>
    </w:p>
    <w:p w14:paraId="10B903BB"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5 </w:t>
      </w:r>
      <w:r w:rsidRPr="0087291A">
        <w:rPr>
          <w:rFonts w:ascii="Book Antiqua" w:hAnsi="Book Antiqua"/>
          <w:b/>
          <w:sz w:val="24"/>
          <w:szCs w:val="24"/>
        </w:rPr>
        <w:t>Miettinen M</w:t>
      </w:r>
      <w:r w:rsidRPr="0087291A">
        <w:rPr>
          <w:rFonts w:ascii="Book Antiqua" w:hAnsi="Book Antiqua"/>
          <w:sz w:val="24"/>
          <w:szCs w:val="24"/>
        </w:rPr>
        <w:t xml:space="preserve">. Smooth muscle tumors of soft tissue and non-uterine viscera: biology and prognosis. </w:t>
      </w:r>
      <w:r w:rsidRPr="0087291A">
        <w:rPr>
          <w:rFonts w:ascii="Book Antiqua" w:hAnsi="Book Antiqua"/>
          <w:i/>
          <w:sz w:val="24"/>
          <w:szCs w:val="24"/>
        </w:rPr>
        <w:t>Mod Pathol</w:t>
      </w:r>
      <w:r w:rsidRPr="0087291A">
        <w:rPr>
          <w:rFonts w:ascii="Book Antiqua" w:hAnsi="Book Antiqua"/>
          <w:sz w:val="24"/>
          <w:szCs w:val="24"/>
        </w:rPr>
        <w:t xml:space="preserve"> 2014; </w:t>
      </w:r>
      <w:r w:rsidRPr="0087291A">
        <w:rPr>
          <w:rFonts w:ascii="Book Antiqua" w:hAnsi="Book Antiqua"/>
          <w:b/>
          <w:sz w:val="24"/>
          <w:szCs w:val="24"/>
        </w:rPr>
        <w:t>27 Suppl 1</w:t>
      </w:r>
      <w:r w:rsidRPr="0087291A">
        <w:rPr>
          <w:rFonts w:ascii="Book Antiqua" w:hAnsi="Book Antiqua"/>
          <w:sz w:val="24"/>
          <w:szCs w:val="24"/>
        </w:rPr>
        <w:t>: S17-S29 [PMID: 24384850 DOI: 10.1038/modpathol.2013.178]</w:t>
      </w:r>
    </w:p>
    <w:p w14:paraId="24D0E71D"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6 </w:t>
      </w:r>
      <w:r w:rsidRPr="0087291A">
        <w:rPr>
          <w:rFonts w:ascii="Book Antiqua" w:hAnsi="Book Antiqua"/>
          <w:b/>
          <w:sz w:val="24"/>
          <w:szCs w:val="24"/>
        </w:rPr>
        <w:t>Shoushtari AN</w:t>
      </w:r>
      <w:r w:rsidRPr="0087291A">
        <w:rPr>
          <w:rFonts w:ascii="Book Antiqua" w:hAnsi="Book Antiqua"/>
          <w:sz w:val="24"/>
          <w:szCs w:val="24"/>
        </w:rPr>
        <w:t xml:space="preserve">, Landa J, Kuk D, Sanchez A, Lala B, Schmidt N, Okoli C, Chi P, Dickson MA, Gounder MM, Keohan ML, Crago AM, Tap WD, D'Angelo SP. Overall Survival and Response to Systemic Therapy in Metastatic Extrauterine Leiomyosarcoma. </w:t>
      </w:r>
      <w:r w:rsidRPr="0087291A">
        <w:rPr>
          <w:rFonts w:ascii="Book Antiqua" w:hAnsi="Book Antiqua"/>
          <w:i/>
          <w:sz w:val="24"/>
          <w:szCs w:val="24"/>
        </w:rPr>
        <w:t>Sarcoma</w:t>
      </w:r>
      <w:r w:rsidRPr="0087291A">
        <w:rPr>
          <w:rFonts w:ascii="Book Antiqua" w:hAnsi="Book Antiqua"/>
          <w:sz w:val="24"/>
          <w:szCs w:val="24"/>
        </w:rPr>
        <w:t xml:space="preserve"> 2016; </w:t>
      </w:r>
      <w:r w:rsidRPr="0087291A">
        <w:rPr>
          <w:rFonts w:ascii="Book Antiqua" w:hAnsi="Book Antiqua"/>
          <w:b/>
          <w:sz w:val="24"/>
          <w:szCs w:val="24"/>
        </w:rPr>
        <w:t>2016</w:t>
      </w:r>
      <w:r w:rsidRPr="0087291A">
        <w:rPr>
          <w:rFonts w:ascii="Book Antiqua" w:hAnsi="Book Antiqua"/>
          <w:sz w:val="24"/>
          <w:szCs w:val="24"/>
        </w:rPr>
        <w:t>: 3547497 [PMID: 27313489 DOI: 10.1155/2016/3547497]</w:t>
      </w:r>
    </w:p>
    <w:p w14:paraId="7D3F16A1"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7 </w:t>
      </w:r>
      <w:r w:rsidRPr="0087291A">
        <w:rPr>
          <w:rFonts w:ascii="Book Antiqua" w:hAnsi="Book Antiqua"/>
          <w:b/>
          <w:sz w:val="24"/>
          <w:szCs w:val="24"/>
        </w:rPr>
        <w:t>Skorstad M</w:t>
      </w:r>
      <w:r w:rsidRPr="0087291A">
        <w:rPr>
          <w:rFonts w:ascii="Book Antiqua" w:hAnsi="Book Antiqua"/>
          <w:sz w:val="24"/>
          <w:szCs w:val="24"/>
        </w:rPr>
        <w:t xml:space="preserve">, Kent A, Lieng M. Preoperative evaluation in women with uterine leiomyosarcoma. A nationwide cohort study. </w:t>
      </w:r>
      <w:r w:rsidRPr="0087291A">
        <w:rPr>
          <w:rFonts w:ascii="Book Antiqua" w:hAnsi="Book Antiqua"/>
          <w:i/>
          <w:sz w:val="24"/>
          <w:szCs w:val="24"/>
        </w:rPr>
        <w:t>Acta Obstet Gynecol Scand</w:t>
      </w:r>
      <w:r w:rsidRPr="0087291A">
        <w:rPr>
          <w:rFonts w:ascii="Book Antiqua" w:hAnsi="Book Antiqua"/>
          <w:sz w:val="24"/>
          <w:szCs w:val="24"/>
        </w:rPr>
        <w:t xml:space="preserve"> 2016; </w:t>
      </w:r>
      <w:r w:rsidRPr="0087291A">
        <w:rPr>
          <w:rFonts w:ascii="Book Antiqua" w:hAnsi="Book Antiqua"/>
          <w:b/>
          <w:sz w:val="24"/>
          <w:szCs w:val="24"/>
        </w:rPr>
        <w:t>95</w:t>
      </w:r>
      <w:r w:rsidRPr="0087291A">
        <w:rPr>
          <w:rFonts w:ascii="Book Antiqua" w:hAnsi="Book Antiqua"/>
          <w:sz w:val="24"/>
          <w:szCs w:val="24"/>
        </w:rPr>
        <w:t>: 1228-1234 [PMID: 27564388 DOI: 10.1111/aogs.13008]</w:t>
      </w:r>
    </w:p>
    <w:p w14:paraId="7854092F"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8 </w:t>
      </w:r>
      <w:r w:rsidRPr="0087291A">
        <w:rPr>
          <w:rFonts w:ascii="Book Antiqua" w:hAnsi="Book Antiqua"/>
          <w:b/>
          <w:sz w:val="24"/>
          <w:szCs w:val="24"/>
        </w:rPr>
        <w:t>Karakaya BK</w:t>
      </w:r>
      <w:r w:rsidRPr="0087291A">
        <w:rPr>
          <w:rFonts w:ascii="Book Antiqua" w:hAnsi="Book Antiqua"/>
          <w:sz w:val="24"/>
          <w:szCs w:val="24"/>
        </w:rPr>
        <w:t xml:space="preserve">, Başer E, Bildacı B, Cömert EÇ, Bayraktar N, Dursun P, Kuşçu E, Ayhan A. Alternative tumor markers in the diagnosis of ovarian cancer. </w:t>
      </w:r>
      <w:r w:rsidRPr="0087291A">
        <w:rPr>
          <w:rFonts w:ascii="Book Antiqua" w:hAnsi="Book Antiqua"/>
          <w:i/>
          <w:sz w:val="24"/>
          <w:szCs w:val="24"/>
        </w:rPr>
        <w:t>Ginekol Pol</w:t>
      </w:r>
      <w:r w:rsidRPr="0087291A">
        <w:rPr>
          <w:rFonts w:ascii="Book Antiqua" w:hAnsi="Book Antiqua"/>
          <w:sz w:val="24"/>
          <w:szCs w:val="24"/>
        </w:rPr>
        <w:t xml:space="preserve"> 2016; </w:t>
      </w:r>
      <w:r w:rsidRPr="0087291A">
        <w:rPr>
          <w:rFonts w:ascii="Book Antiqua" w:hAnsi="Book Antiqua"/>
          <w:b/>
          <w:sz w:val="24"/>
          <w:szCs w:val="24"/>
        </w:rPr>
        <w:t>87</w:t>
      </w:r>
      <w:r w:rsidRPr="0087291A">
        <w:rPr>
          <w:rFonts w:ascii="Book Antiqua" w:hAnsi="Book Antiqua"/>
          <w:sz w:val="24"/>
          <w:szCs w:val="24"/>
        </w:rPr>
        <w:t>: 565-769 [PMID: 27629130 DOI: 10.5603/GP.2016.0045]</w:t>
      </w:r>
    </w:p>
    <w:p w14:paraId="4AF14317"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9 </w:t>
      </w:r>
      <w:r w:rsidRPr="0087291A">
        <w:rPr>
          <w:rFonts w:ascii="Book Antiqua" w:hAnsi="Book Antiqua"/>
          <w:b/>
          <w:sz w:val="24"/>
          <w:szCs w:val="24"/>
        </w:rPr>
        <w:t>Sölétormos G</w:t>
      </w:r>
      <w:r w:rsidRPr="0087291A">
        <w:rPr>
          <w:rFonts w:ascii="Book Antiqua" w:hAnsi="Book Antiqua"/>
          <w:sz w:val="24"/>
          <w:szCs w:val="24"/>
        </w:rPr>
        <w:t xml:space="preserve">, Duffy MJ, Othman Abu Hassan S, Verheijen RH, Tholander B, Bast RC Jr, Gaarenstroom KN, Sturgeon CM, Bonfrer JM, Petersen PH, Troonen H, CarloTorre G, Kanty Kulpa J, Tuxen MK, Molina R. Clinical Use of Cancer Biomarkers in Epithelial Ovarian Cancer: Updated Guidelines From the European Group on Tumor Markers. </w:t>
      </w:r>
      <w:r w:rsidRPr="0087291A">
        <w:rPr>
          <w:rFonts w:ascii="Book Antiqua" w:hAnsi="Book Antiqua"/>
          <w:i/>
          <w:sz w:val="24"/>
          <w:szCs w:val="24"/>
        </w:rPr>
        <w:t>Int J Gynecol Cancer</w:t>
      </w:r>
      <w:r w:rsidRPr="0087291A">
        <w:rPr>
          <w:rFonts w:ascii="Book Antiqua" w:hAnsi="Book Antiqua"/>
          <w:sz w:val="24"/>
          <w:szCs w:val="24"/>
        </w:rPr>
        <w:t xml:space="preserve"> 2016; </w:t>
      </w:r>
      <w:r w:rsidRPr="0087291A">
        <w:rPr>
          <w:rFonts w:ascii="Book Antiqua" w:hAnsi="Book Antiqua"/>
          <w:b/>
          <w:sz w:val="24"/>
          <w:szCs w:val="24"/>
        </w:rPr>
        <w:t>26</w:t>
      </w:r>
      <w:r w:rsidRPr="0087291A">
        <w:rPr>
          <w:rFonts w:ascii="Book Antiqua" w:hAnsi="Book Antiqua"/>
          <w:sz w:val="24"/>
          <w:szCs w:val="24"/>
        </w:rPr>
        <w:t>: 43-51 [PMID: 26588231 DOI: 10.1097/IGC.0000000000000586]</w:t>
      </w:r>
    </w:p>
    <w:p w14:paraId="24A79C4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10 </w:t>
      </w:r>
      <w:r w:rsidRPr="0087291A">
        <w:rPr>
          <w:rFonts w:ascii="Book Antiqua" w:hAnsi="Book Antiqua"/>
          <w:b/>
          <w:sz w:val="24"/>
          <w:szCs w:val="24"/>
        </w:rPr>
        <w:t>Patsner B</w:t>
      </w:r>
      <w:r w:rsidRPr="0087291A">
        <w:rPr>
          <w:rFonts w:ascii="Book Antiqua" w:hAnsi="Book Antiqua"/>
          <w:sz w:val="24"/>
          <w:szCs w:val="24"/>
        </w:rPr>
        <w:t xml:space="preserve">, Yim GW. Predictive value of preoperative serum CA-125 levels in patients with uterine cancer: The Asian experience 2000 to 2012. </w:t>
      </w:r>
      <w:r w:rsidRPr="0087291A">
        <w:rPr>
          <w:rFonts w:ascii="Book Antiqua" w:hAnsi="Book Antiqua"/>
          <w:i/>
          <w:sz w:val="24"/>
          <w:szCs w:val="24"/>
        </w:rPr>
        <w:t>Obstet Gynecol Sci</w:t>
      </w:r>
      <w:r w:rsidRPr="0087291A">
        <w:rPr>
          <w:rFonts w:ascii="Book Antiqua" w:hAnsi="Book Antiqua"/>
          <w:sz w:val="24"/>
          <w:szCs w:val="24"/>
        </w:rPr>
        <w:t xml:space="preserve"> 2013; </w:t>
      </w:r>
      <w:r w:rsidRPr="0087291A">
        <w:rPr>
          <w:rFonts w:ascii="Book Antiqua" w:hAnsi="Book Antiqua"/>
          <w:b/>
          <w:sz w:val="24"/>
          <w:szCs w:val="24"/>
        </w:rPr>
        <w:t>56</w:t>
      </w:r>
      <w:r w:rsidRPr="0087291A">
        <w:rPr>
          <w:rFonts w:ascii="Book Antiqua" w:hAnsi="Book Antiqua"/>
          <w:sz w:val="24"/>
          <w:szCs w:val="24"/>
        </w:rPr>
        <w:t>: 281-288 [PMID: 24328017 DOI: 10.5468/ogs.2013.56.5.281]</w:t>
      </w:r>
    </w:p>
    <w:p w14:paraId="4D2412BC"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11 </w:t>
      </w:r>
      <w:r w:rsidRPr="0087291A">
        <w:rPr>
          <w:rFonts w:ascii="Book Antiqua" w:hAnsi="Book Antiqua"/>
          <w:b/>
          <w:sz w:val="24"/>
          <w:szCs w:val="24"/>
        </w:rPr>
        <w:t>Gaetke-Udager K</w:t>
      </w:r>
      <w:r w:rsidRPr="0087291A">
        <w:rPr>
          <w:rFonts w:ascii="Book Antiqua" w:hAnsi="Book Antiqua"/>
          <w:sz w:val="24"/>
          <w:szCs w:val="24"/>
        </w:rPr>
        <w:t xml:space="preserve">, McLean K, Sciallis AP, Alves T, Maturen KE, Mervak BM, Moore AG, Wasnik AP, Erba J, Davenport MS. Diagnostic Accuracy of Ultrasound, Contrast-enhanced CT, and Conventional MRI for Differentiating Leiomyoma From Leiomyosarcoma. </w:t>
      </w:r>
      <w:r w:rsidRPr="0087291A">
        <w:rPr>
          <w:rFonts w:ascii="Book Antiqua" w:hAnsi="Book Antiqua"/>
          <w:i/>
          <w:sz w:val="24"/>
          <w:szCs w:val="24"/>
        </w:rPr>
        <w:t>Acad Radiol</w:t>
      </w:r>
      <w:r w:rsidRPr="0087291A">
        <w:rPr>
          <w:rFonts w:ascii="Book Antiqua" w:hAnsi="Book Antiqua"/>
          <w:sz w:val="24"/>
          <w:szCs w:val="24"/>
        </w:rPr>
        <w:t xml:space="preserve"> 2016; </w:t>
      </w:r>
      <w:r w:rsidRPr="0087291A">
        <w:rPr>
          <w:rFonts w:ascii="Book Antiqua" w:hAnsi="Book Antiqua"/>
          <w:b/>
          <w:sz w:val="24"/>
          <w:szCs w:val="24"/>
        </w:rPr>
        <w:t>23</w:t>
      </w:r>
      <w:r w:rsidRPr="0087291A">
        <w:rPr>
          <w:rFonts w:ascii="Book Antiqua" w:hAnsi="Book Antiqua"/>
          <w:sz w:val="24"/>
          <w:szCs w:val="24"/>
        </w:rPr>
        <w:t>: 1290-1297 [PMID: 27396800 DOI: 10.1016/j.acra.2016.06.004]</w:t>
      </w:r>
    </w:p>
    <w:p w14:paraId="7BEF8B30"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12 </w:t>
      </w:r>
      <w:r w:rsidRPr="0087291A">
        <w:rPr>
          <w:rFonts w:ascii="Book Antiqua" w:hAnsi="Book Antiqua"/>
          <w:b/>
          <w:sz w:val="24"/>
          <w:szCs w:val="24"/>
        </w:rPr>
        <w:t>Park JY</w:t>
      </w:r>
      <w:r w:rsidRPr="0087291A">
        <w:rPr>
          <w:rFonts w:ascii="Book Antiqua" w:hAnsi="Book Antiqua"/>
          <w:sz w:val="24"/>
          <w:szCs w:val="24"/>
        </w:rPr>
        <w:t xml:space="preserve">, Kim DY, Suh DS, Kim JH, Kim YM, Kim YT, Nam JH. Prognostic factors and treatment outcomes of patients with uterine sarcoma: analysis of 127 patients at a single institution, 1989-2007. </w:t>
      </w:r>
      <w:r w:rsidRPr="0087291A">
        <w:rPr>
          <w:rFonts w:ascii="Book Antiqua" w:hAnsi="Book Antiqua"/>
          <w:i/>
          <w:sz w:val="24"/>
          <w:szCs w:val="24"/>
        </w:rPr>
        <w:t>J Cancer Res Clin Oncol</w:t>
      </w:r>
      <w:r w:rsidRPr="0087291A">
        <w:rPr>
          <w:rFonts w:ascii="Book Antiqua" w:hAnsi="Book Antiqua"/>
          <w:sz w:val="24"/>
          <w:szCs w:val="24"/>
        </w:rPr>
        <w:t xml:space="preserve"> 2008; </w:t>
      </w:r>
      <w:r w:rsidRPr="0087291A">
        <w:rPr>
          <w:rFonts w:ascii="Book Antiqua" w:hAnsi="Book Antiqua"/>
          <w:b/>
          <w:sz w:val="24"/>
          <w:szCs w:val="24"/>
        </w:rPr>
        <w:t>134</w:t>
      </w:r>
      <w:r w:rsidRPr="0087291A">
        <w:rPr>
          <w:rFonts w:ascii="Book Antiqua" w:hAnsi="Book Antiqua"/>
          <w:sz w:val="24"/>
          <w:szCs w:val="24"/>
        </w:rPr>
        <w:t>: 1277-1287 [PMID: 18506484 DOI: 10.1007/s00432-008-0422-2]</w:t>
      </w:r>
    </w:p>
    <w:p w14:paraId="2FBBA8EC"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13 </w:t>
      </w:r>
      <w:r w:rsidRPr="0087291A">
        <w:rPr>
          <w:rFonts w:ascii="Book Antiqua" w:hAnsi="Book Antiqua"/>
          <w:b/>
          <w:sz w:val="24"/>
          <w:szCs w:val="24"/>
        </w:rPr>
        <w:t>Exacoustos C</w:t>
      </w:r>
      <w:r w:rsidRPr="0087291A">
        <w:rPr>
          <w:rFonts w:ascii="Book Antiqua" w:hAnsi="Book Antiqua"/>
          <w:sz w:val="24"/>
          <w:szCs w:val="24"/>
        </w:rPr>
        <w:t xml:space="preserve">, Romanini ME, Amadio A, Amoroso C, Szabolcs B, Zupi E, Arduini D. Can gray-scale and color Doppler sonography differentiate between uterine leiomyosarcoma and leiomyoma? </w:t>
      </w:r>
      <w:r w:rsidRPr="0087291A">
        <w:rPr>
          <w:rFonts w:ascii="Book Antiqua" w:hAnsi="Book Antiqua"/>
          <w:i/>
          <w:sz w:val="24"/>
          <w:szCs w:val="24"/>
        </w:rPr>
        <w:t>J Clin Ultrasound</w:t>
      </w:r>
      <w:r w:rsidRPr="0087291A">
        <w:rPr>
          <w:rFonts w:ascii="Book Antiqua" w:hAnsi="Book Antiqua"/>
          <w:sz w:val="24"/>
          <w:szCs w:val="24"/>
        </w:rPr>
        <w:t xml:space="preserve"> 2007; </w:t>
      </w:r>
      <w:r w:rsidRPr="0087291A">
        <w:rPr>
          <w:rFonts w:ascii="Book Antiqua" w:hAnsi="Book Antiqua"/>
          <w:b/>
          <w:sz w:val="24"/>
          <w:szCs w:val="24"/>
        </w:rPr>
        <w:t>35</w:t>
      </w:r>
      <w:r w:rsidRPr="0087291A">
        <w:rPr>
          <w:rFonts w:ascii="Book Antiqua" w:hAnsi="Book Antiqua"/>
          <w:sz w:val="24"/>
          <w:szCs w:val="24"/>
        </w:rPr>
        <w:t>: 449-457 [PMID: 17636502 DOI: 10.1002/jcu.20386]</w:t>
      </w:r>
    </w:p>
    <w:p w14:paraId="4D4C4292"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14 </w:t>
      </w:r>
      <w:r w:rsidRPr="0087291A">
        <w:rPr>
          <w:rFonts w:ascii="Book Antiqua" w:hAnsi="Book Antiqua"/>
          <w:b/>
          <w:sz w:val="24"/>
          <w:szCs w:val="24"/>
        </w:rPr>
        <w:t>Sagae S</w:t>
      </w:r>
      <w:r w:rsidRPr="0087291A">
        <w:rPr>
          <w:rFonts w:ascii="Book Antiqua" w:hAnsi="Book Antiqua"/>
          <w:sz w:val="24"/>
          <w:szCs w:val="24"/>
        </w:rPr>
        <w:t xml:space="preserve">, Yamashita K, Ishioka S, Nishioka Y, Terasawa K, Mori M, Yamashiro K, Kanemoto T, Kudo R. Preoperative diagnosis and treatment results in 106 patients with uterine sarcoma in Hokkaido, Japan. </w:t>
      </w:r>
      <w:r w:rsidRPr="0087291A">
        <w:rPr>
          <w:rFonts w:ascii="Book Antiqua" w:hAnsi="Book Antiqua"/>
          <w:i/>
          <w:sz w:val="24"/>
          <w:szCs w:val="24"/>
        </w:rPr>
        <w:t>Oncology</w:t>
      </w:r>
      <w:r w:rsidRPr="0087291A">
        <w:rPr>
          <w:rFonts w:ascii="Book Antiqua" w:hAnsi="Book Antiqua"/>
          <w:sz w:val="24"/>
          <w:szCs w:val="24"/>
        </w:rPr>
        <w:t xml:space="preserve"> 2004; </w:t>
      </w:r>
      <w:r w:rsidRPr="0087291A">
        <w:rPr>
          <w:rFonts w:ascii="Book Antiqua" w:hAnsi="Book Antiqua"/>
          <w:b/>
          <w:sz w:val="24"/>
          <w:szCs w:val="24"/>
        </w:rPr>
        <w:t>67</w:t>
      </w:r>
      <w:r w:rsidRPr="0087291A">
        <w:rPr>
          <w:rFonts w:ascii="Book Antiqua" w:hAnsi="Book Antiqua"/>
          <w:sz w:val="24"/>
          <w:szCs w:val="24"/>
        </w:rPr>
        <w:t>: 33-39 [PMID: 15459493 DOI: 10.1159/000080283]</w:t>
      </w:r>
    </w:p>
    <w:p w14:paraId="01A2B6E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15 </w:t>
      </w:r>
      <w:r w:rsidRPr="0087291A">
        <w:rPr>
          <w:rFonts w:ascii="Book Antiqua" w:hAnsi="Book Antiqua"/>
          <w:b/>
          <w:sz w:val="24"/>
          <w:szCs w:val="24"/>
        </w:rPr>
        <w:t>Tasci T</w:t>
      </w:r>
      <w:r w:rsidRPr="0087291A">
        <w:rPr>
          <w:rFonts w:ascii="Book Antiqua" w:hAnsi="Book Antiqua"/>
          <w:sz w:val="24"/>
          <w:szCs w:val="24"/>
        </w:rPr>
        <w:t xml:space="preserve">, Karalok A, Taskin S, Ureyen I, Kımyon G, Tulek F, Ozfuttu A, Turan T, Tulunay G, Kose MF, Ortac F. Does Lymphadenectomy Improve Survival in Uterine Leiomyosarcoma? </w:t>
      </w:r>
      <w:r w:rsidRPr="0087291A">
        <w:rPr>
          <w:rFonts w:ascii="Book Antiqua" w:hAnsi="Book Antiqua"/>
          <w:i/>
          <w:sz w:val="24"/>
          <w:szCs w:val="24"/>
        </w:rPr>
        <w:t>Int J Gynecol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1031-1036 [PMID: 25853382 DOI: 10.1097/IGC.0000000000000452]</w:t>
      </w:r>
    </w:p>
    <w:p w14:paraId="5A4F89EB"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16 </w:t>
      </w:r>
      <w:r w:rsidRPr="0087291A">
        <w:rPr>
          <w:rFonts w:ascii="Book Antiqua" w:hAnsi="Book Antiqua"/>
          <w:b/>
          <w:sz w:val="24"/>
          <w:szCs w:val="24"/>
        </w:rPr>
        <w:t>Zhou J</w:t>
      </w:r>
      <w:r w:rsidRPr="0087291A">
        <w:rPr>
          <w:rFonts w:ascii="Book Antiqua" w:hAnsi="Book Antiqua"/>
          <w:sz w:val="24"/>
          <w:szCs w:val="24"/>
        </w:rPr>
        <w:t xml:space="preserve">, Shan G, Chen Y. The effect of lymphadenectomy on survival and recurrence in patients with ovarian cancer: a systematic review and meta-analysis. </w:t>
      </w:r>
      <w:r w:rsidRPr="0087291A">
        <w:rPr>
          <w:rFonts w:ascii="Book Antiqua" w:hAnsi="Book Antiqua"/>
          <w:i/>
          <w:sz w:val="24"/>
          <w:szCs w:val="24"/>
        </w:rPr>
        <w:t>Jpn J Clin Oncol</w:t>
      </w:r>
      <w:r w:rsidRPr="0087291A">
        <w:rPr>
          <w:rFonts w:ascii="Book Antiqua" w:hAnsi="Book Antiqua"/>
          <w:sz w:val="24"/>
          <w:szCs w:val="24"/>
        </w:rPr>
        <w:t xml:space="preserve"> 2016; </w:t>
      </w:r>
      <w:r w:rsidRPr="0087291A">
        <w:rPr>
          <w:rFonts w:ascii="Book Antiqua" w:hAnsi="Book Antiqua"/>
          <w:b/>
          <w:sz w:val="24"/>
          <w:szCs w:val="24"/>
        </w:rPr>
        <w:t>46</w:t>
      </w:r>
      <w:r w:rsidRPr="0087291A">
        <w:rPr>
          <w:rFonts w:ascii="Book Antiqua" w:hAnsi="Book Antiqua"/>
          <w:sz w:val="24"/>
          <w:szCs w:val="24"/>
        </w:rPr>
        <w:t>: 718-726 [PMID: 27272175 DOI: 10.1093/jjco/hyw068]</w:t>
      </w:r>
    </w:p>
    <w:p w14:paraId="386AD995"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17 </w:t>
      </w:r>
      <w:r w:rsidRPr="0087291A">
        <w:rPr>
          <w:rFonts w:ascii="Book Antiqua" w:hAnsi="Book Antiqua"/>
          <w:b/>
          <w:sz w:val="24"/>
          <w:szCs w:val="24"/>
        </w:rPr>
        <w:t>Garcia C</w:t>
      </w:r>
      <w:r w:rsidRPr="0087291A">
        <w:rPr>
          <w:rFonts w:ascii="Book Antiqua" w:hAnsi="Book Antiqua"/>
          <w:sz w:val="24"/>
          <w:szCs w:val="24"/>
        </w:rPr>
        <w:t xml:space="preserve">, Kubat JS, Fulton RS, Anthony AT, Combs M, Powell CB, Littell RD. Clinical outcomes and prognostic markers in uterine leiomyosarcoma: a population-based cohort. </w:t>
      </w:r>
      <w:r w:rsidRPr="0087291A">
        <w:rPr>
          <w:rFonts w:ascii="Book Antiqua" w:hAnsi="Book Antiqua"/>
          <w:i/>
          <w:sz w:val="24"/>
          <w:szCs w:val="24"/>
        </w:rPr>
        <w:t>Int J Gynecol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622-628 [PMID: 25675041 DOI: 10.1097/IGC.0000000000000370]</w:t>
      </w:r>
    </w:p>
    <w:p w14:paraId="762A0CE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18 </w:t>
      </w:r>
      <w:r w:rsidRPr="0087291A">
        <w:rPr>
          <w:rFonts w:ascii="Book Antiqua" w:hAnsi="Book Antiqua"/>
          <w:b/>
          <w:sz w:val="24"/>
          <w:szCs w:val="24"/>
        </w:rPr>
        <w:t>Rauh-Hain JA</w:t>
      </w:r>
      <w:r w:rsidRPr="0087291A">
        <w:rPr>
          <w:rFonts w:ascii="Book Antiqua" w:hAnsi="Book Antiqua"/>
          <w:sz w:val="24"/>
          <w:szCs w:val="24"/>
        </w:rPr>
        <w:t xml:space="preserve">, Hinchcliff EM, Oduyebo T, Worley MJ Jr, Andrade CA, Schorge JO, George S, Muto MG, del Carmen MG. Clinical outcomes of women with recurrent or persistent uterine leiomyosarcoma. </w:t>
      </w:r>
      <w:r w:rsidRPr="0087291A">
        <w:rPr>
          <w:rFonts w:ascii="Book Antiqua" w:hAnsi="Book Antiqua"/>
          <w:i/>
          <w:sz w:val="24"/>
          <w:szCs w:val="24"/>
        </w:rPr>
        <w:t>Int J Gynecol Cancer</w:t>
      </w:r>
      <w:r w:rsidRPr="0087291A">
        <w:rPr>
          <w:rFonts w:ascii="Book Antiqua" w:hAnsi="Book Antiqua"/>
          <w:sz w:val="24"/>
          <w:szCs w:val="24"/>
        </w:rPr>
        <w:t xml:space="preserve"> 2014; </w:t>
      </w:r>
      <w:r w:rsidRPr="0087291A">
        <w:rPr>
          <w:rFonts w:ascii="Book Antiqua" w:hAnsi="Book Antiqua"/>
          <w:b/>
          <w:sz w:val="24"/>
          <w:szCs w:val="24"/>
        </w:rPr>
        <w:t>24</w:t>
      </w:r>
      <w:r w:rsidRPr="0087291A">
        <w:rPr>
          <w:rFonts w:ascii="Book Antiqua" w:hAnsi="Book Antiqua"/>
          <w:sz w:val="24"/>
          <w:szCs w:val="24"/>
        </w:rPr>
        <w:t>: 1434-1440 [PMID: 25248114 DOI: 10.1097/IGC.0000000000000221]</w:t>
      </w:r>
    </w:p>
    <w:p w14:paraId="463F0491"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19 </w:t>
      </w:r>
      <w:r w:rsidRPr="0087291A">
        <w:rPr>
          <w:rFonts w:ascii="Book Antiqua" w:hAnsi="Book Antiqua"/>
          <w:b/>
          <w:sz w:val="24"/>
          <w:szCs w:val="24"/>
        </w:rPr>
        <w:t>Lusby K</w:t>
      </w:r>
      <w:r w:rsidRPr="0087291A">
        <w:rPr>
          <w:rFonts w:ascii="Book Antiqua" w:hAnsi="Book Antiqua"/>
          <w:sz w:val="24"/>
          <w:szCs w:val="24"/>
        </w:rPr>
        <w:t xml:space="preserve">, Savannah KB, Demicco EG, Zhang Y, Ghadimi MP, Young ED, Colombo C, Lam R, Dogan TE, Hornick JL, Lazar AJ, Hunt KK, Anderson ML, Creighton CJ, Lev D, Pollock RE. Uterine leiomyosarcoma management, outcome, and associated molecular biomarkers: a single institution's experience. </w:t>
      </w:r>
      <w:r w:rsidRPr="0087291A">
        <w:rPr>
          <w:rFonts w:ascii="Book Antiqua" w:hAnsi="Book Antiqua"/>
          <w:i/>
          <w:sz w:val="24"/>
          <w:szCs w:val="24"/>
        </w:rPr>
        <w:t>Ann Surg Oncol</w:t>
      </w:r>
      <w:r w:rsidRPr="0087291A">
        <w:rPr>
          <w:rFonts w:ascii="Book Antiqua" w:hAnsi="Book Antiqua"/>
          <w:sz w:val="24"/>
          <w:szCs w:val="24"/>
        </w:rPr>
        <w:t xml:space="preserve"> 2013; </w:t>
      </w:r>
      <w:r w:rsidRPr="0087291A">
        <w:rPr>
          <w:rFonts w:ascii="Book Antiqua" w:hAnsi="Book Antiqua"/>
          <w:b/>
          <w:sz w:val="24"/>
          <w:szCs w:val="24"/>
        </w:rPr>
        <w:t>20</w:t>
      </w:r>
      <w:r w:rsidRPr="0087291A">
        <w:rPr>
          <w:rFonts w:ascii="Book Antiqua" w:hAnsi="Book Antiqua"/>
          <w:sz w:val="24"/>
          <w:szCs w:val="24"/>
        </w:rPr>
        <w:t>: 2364-2372 [PMID: 23334251 DOI: 10.1245/s10434-012-2834-0]</w:t>
      </w:r>
    </w:p>
    <w:p w14:paraId="7A9EFD1F"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20 </w:t>
      </w:r>
      <w:r w:rsidRPr="0087291A">
        <w:rPr>
          <w:rFonts w:ascii="Book Antiqua" w:hAnsi="Book Antiqua"/>
          <w:b/>
          <w:sz w:val="24"/>
          <w:szCs w:val="24"/>
        </w:rPr>
        <w:t>Foley OW</w:t>
      </w:r>
      <w:r w:rsidRPr="0087291A">
        <w:rPr>
          <w:rFonts w:ascii="Book Antiqua" w:hAnsi="Book Antiqua"/>
          <w:sz w:val="24"/>
          <w:szCs w:val="24"/>
        </w:rPr>
        <w:t xml:space="preserve">, Rauh-Hain JA, Clemmer J, Clark RM, Hall T, Diver EJ, Schorge JO, del Carmen MG. Trends in the treatment of uterine leiomyosarcoma in the Medicare population. </w:t>
      </w:r>
      <w:r w:rsidRPr="0087291A">
        <w:rPr>
          <w:rFonts w:ascii="Book Antiqua" w:hAnsi="Book Antiqua"/>
          <w:i/>
          <w:sz w:val="24"/>
          <w:szCs w:val="24"/>
        </w:rPr>
        <w:t>Int J Gynecol Cancer</w:t>
      </w:r>
      <w:r w:rsidRPr="0087291A">
        <w:rPr>
          <w:rFonts w:ascii="Book Antiqua" w:hAnsi="Book Antiqua"/>
          <w:sz w:val="24"/>
          <w:szCs w:val="24"/>
        </w:rPr>
        <w:t xml:space="preserve"> 2015; </w:t>
      </w:r>
      <w:r w:rsidRPr="0087291A">
        <w:rPr>
          <w:rFonts w:ascii="Book Antiqua" w:hAnsi="Book Antiqua"/>
          <w:b/>
          <w:sz w:val="24"/>
          <w:szCs w:val="24"/>
        </w:rPr>
        <w:t>25</w:t>
      </w:r>
      <w:r w:rsidRPr="0087291A">
        <w:rPr>
          <w:rFonts w:ascii="Book Antiqua" w:hAnsi="Book Antiqua"/>
          <w:sz w:val="24"/>
          <w:szCs w:val="24"/>
        </w:rPr>
        <w:t>: 453-458 [PMID: 25628107 DOI: 10.1097/IGC.0000000000000372]</w:t>
      </w:r>
    </w:p>
    <w:p w14:paraId="4061954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21 </w:t>
      </w:r>
      <w:r w:rsidRPr="0087291A">
        <w:rPr>
          <w:rFonts w:ascii="Book Antiqua" w:hAnsi="Book Antiqua"/>
          <w:b/>
          <w:sz w:val="24"/>
          <w:szCs w:val="24"/>
        </w:rPr>
        <w:t>Abeler VM</w:t>
      </w:r>
      <w:r w:rsidRPr="0087291A">
        <w:rPr>
          <w:rFonts w:ascii="Book Antiqua" w:hAnsi="Book Antiqua"/>
          <w:sz w:val="24"/>
          <w:szCs w:val="24"/>
        </w:rPr>
        <w:t xml:space="preserve">, Røyne O, Thoresen S, Danielsen HE, Nesland JM, Kristensen GB. Uterine sarcomas in Norway. A histopathological and prognostic survey of a total population from 1970 to 2000 including 419 patients. </w:t>
      </w:r>
      <w:r w:rsidRPr="0087291A">
        <w:rPr>
          <w:rFonts w:ascii="Book Antiqua" w:hAnsi="Book Antiqua"/>
          <w:i/>
          <w:sz w:val="24"/>
          <w:szCs w:val="24"/>
        </w:rPr>
        <w:t>Histopathology</w:t>
      </w:r>
      <w:r w:rsidRPr="0087291A">
        <w:rPr>
          <w:rFonts w:ascii="Book Antiqua" w:hAnsi="Book Antiqua"/>
          <w:sz w:val="24"/>
          <w:szCs w:val="24"/>
        </w:rPr>
        <w:t xml:space="preserve"> 2009; </w:t>
      </w:r>
      <w:r w:rsidRPr="0087291A">
        <w:rPr>
          <w:rFonts w:ascii="Book Antiqua" w:hAnsi="Book Antiqua"/>
          <w:b/>
          <w:sz w:val="24"/>
          <w:szCs w:val="24"/>
        </w:rPr>
        <w:t>54</w:t>
      </w:r>
      <w:r w:rsidRPr="0087291A">
        <w:rPr>
          <w:rFonts w:ascii="Book Antiqua" w:hAnsi="Book Antiqua"/>
          <w:sz w:val="24"/>
          <w:szCs w:val="24"/>
        </w:rPr>
        <w:t>: 355-364 [PMID: 19236512 DOI: 10.1111/j.1365-2559.2009.03231.x]</w:t>
      </w:r>
    </w:p>
    <w:p w14:paraId="7AA8D14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22 </w:t>
      </w:r>
      <w:r w:rsidRPr="0087291A">
        <w:rPr>
          <w:rFonts w:ascii="Book Antiqua" w:hAnsi="Book Antiqua"/>
          <w:b/>
          <w:sz w:val="24"/>
          <w:szCs w:val="24"/>
        </w:rPr>
        <w:t>Oosten AW</w:t>
      </w:r>
      <w:r w:rsidRPr="0087291A">
        <w:rPr>
          <w:rFonts w:ascii="Book Antiqua" w:hAnsi="Book Antiqua"/>
          <w:sz w:val="24"/>
          <w:szCs w:val="24"/>
        </w:rPr>
        <w:t xml:space="preserve">, Seynaeve C, Schmitz PI, den Bakker MA, Verweij J, Sleijfer S. Outcomes of first-line chemotherapy in patients with advanced or metastatic leiomyosarcoma of uterine and non-uterine origin. </w:t>
      </w:r>
      <w:r w:rsidRPr="0087291A">
        <w:rPr>
          <w:rFonts w:ascii="Book Antiqua" w:hAnsi="Book Antiqua"/>
          <w:i/>
          <w:sz w:val="24"/>
          <w:szCs w:val="24"/>
        </w:rPr>
        <w:t>Sarcoma</w:t>
      </w:r>
      <w:r w:rsidRPr="0087291A">
        <w:rPr>
          <w:rFonts w:ascii="Book Antiqua" w:hAnsi="Book Antiqua"/>
          <w:sz w:val="24"/>
          <w:szCs w:val="24"/>
        </w:rPr>
        <w:t xml:space="preserve"> 2009; </w:t>
      </w:r>
      <w:r w:rsidRPr="0087291A">
        <w:rPr>
          <w:rFonts w:ascii="Book Antiqua" w:hAnsi="Book Antiqua"/>
          <w:b/>
          <w:sz w:val="24"/>
          <w:szCs w:val="24"/>
        </w:rPr>
        <w:t>2009</w:t>
      </w:r>
      <w:r w:rsidRPr="0087291A">
        <w:rPr>
          <w:rFonts w:ascii="Book Antiqua" w:hAnsi="Book Antiqua"/>
          <w:sz w:val="24"/>
          <w:szCs w:val="24"/>
        </w:rPr>
        <w:t>: 348910 [PMID: 20066161 DOI: 10.1155/2009/348910]</w:t>
      </w:r>
    </w:p>
    <w:p w14:paraId="3971A71A"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23 </w:t>
      </w:r>
      <w:r w:rsidRPr="0087291A">
        <w:rPr>
          <w:rFonts w:ascii="Book Antiqua" w:hAnsi="Book Antiqua"/>
          <w:b/>
          <w:sz w:val="24"/>
          <w:szCs w:val="24"/>
        </w:rPr>
        <w:t>Prat J</w:t>
      </w:r>
      <w:r w:rsidRPr="0087291A">
        <w:rPr>
          <w:rFonts w:ascii="Book Antiqua" w:hAnsi="Book Antiqua"/>
          <w:sz w:val="24"/>
          <w:szCs w:val="24"/>
        </w:rPr>
        <w:t xml:space="preserve">. FIGO staging for uterine sarcomas. </w:t>
      </w:r>
      <w:r w:rsidRPr="0087291A">
        <w:rPr>
          <w:rFonts w:ascii="Book Antiqua" w:hAnsi="Book Antiqua"/>
          <w:i/>
          <w:sz w:val="24"/>
          <w:szCs w:val="24"/>
        </w:rPr>
        <w:t>Int J Gynaecol Obstet</w:t>
      </w:r>
      <w:r w:rsidRPr="0087291A">
        <w:rPr>
          <w:rFonts w:ascii="Book Antiqua" w:hAnsi="Book Antiqua"/>
          <w:sz w:val="24"/>
          <w:szCs w:val="24"/>
        </w:rPr>
        <w:t xml:space="preserve"> 2009; </w:t>
      </w:r>
      <w:r w:rsidRPr="0087291A">
        <w:rPr>
          <w:rFonts w:ascii="Book Antiqua" w:hAnsi="Book Antiqua"/>
          <w:b/>
          <w:sz w:val="24"/>
          <w:szCs w:val="24"/>
        </w:rPr>
        <w:t>104</w:t>
      </w:r>
      <w:r w:rsidRPr="0087291A">
        <w:rPr>
          <w:rFonts w:ascii="Book Antiqua" w:hAnsi="Book Antiqua"/>
          <w:sz w:val="24"/>
          <w:szCs w:val="24"/>
        </w:rPr>
        <w:t>: 177-178 [PMID: 19135669 DOI: 10.1016/j.ijgo.2008.12.008]</w:t>
      </w:r>
    </w:p>
    <w:p w14:paraId="5824524E"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24 </w:t>
      </w:r>
      <w:r w:rsidRPr="0087291A">
        <w:rPr>
          <w:rFonts w:ascii="Book Antiqua" w:hAnsi="Book Antiqua"/>
          <w:b/>
          <w:sz w:val="24"/>
          <w:szCs w:val="24"/>
        </w:rPr>
        <w:t>Dolscheid-Pommerich RC</w:t>
      </w:r>
      <w:r w:rsidRPr="0087291A">
        <w:rPr>
          <w:rFonts w:ascii="Book Antiqua" w:hAnsi="Book Antiqua"/>
          <w:sz w:val="24"/>
          <w:szCs w:val="24"/>
        </w:rPr>
        <w:t xml:space="preserve">, Keyver-Paik M, Hecking T, Kuhn W, Hartmann G, Stoffel-Wagner B, Holdenrieder S. Clinical performance of LOCI™-based tumor marker assays for tumor markers CA 15-3, CA 125, CEA, CA 19-9 and AFP in gynecological cancers. </w:t>
      </w:r>
      <w:r w:rsidRPr="0087291A">
        <w:rPr>
          <w:rFonts w:ascii="Book Antiqua" w:hAnsi="Book Antiqua"/>
          <w:i/>
          <w:sz w:val="24"/>
          <w:szCs w:val="24"/>
        </w:rPr>
        <w:t>Tumour Biol</w:t>
      </w:r>
      <w:r w:rsidRPr="0087291A">
        <w:rPr>
          <w:rFonts w:ascii="Book Antiqua" w:hAnsi="Book Antiqua"/>
          <w:sz w:val="24"/>
          <w:szCs w:val="24"/>
        </w:rPr>
        <w:t xml:space="preserve"> 2017; </w:t>
      </w:r>
      <w:r w:rsidRPr="0087291A">
        <w:rPr>
          <w:rFonts w:ascii="Book Antiqua" w:hAnsi="Book Antiqua"/>
          <w:b/>
          <w:sz w:val="24"/>
          <w:szCs w:val="24"/>
        </w:rPr>
        <w:t>39</w:t>
      </w:r>
      <w:r w:rsidRPr="0087291A">
        <w:rPr>
          <w:rFonts w:ascii="Book Antiqua" w:hAnsi="Book Antiqua"/>
          <w:sz w:val="24"/>
          <w:szCs w:val="24"/>
        </w:rPr>
        <w:t>: 1010428317730246 [PMID: 29034816 DOI: 10.1177/1010428317730246]</w:t>
      </w:r>
    </w:p>
    <w:p w14:paraId="04766D94"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25 </w:t>
      </w:r>
      <w:r w:rsidRPr="0087291A">
        <w:rPr>
          <w:rFonts w:ascii="Book Antiqua" w:hAnsi="Book Antiqua"/>
          <w:b/>
          <w:sz w:val="24"/>
          <w:szCs w:val="24"/>
        </w:rPr>
        <w:t>Bian J</w:t>
      </w:r>
      <w:r w:rsidRPr="0087291A">
        <w:rPr>
          <w:rFonts w:ascii="Book Antiqua" w:hAnsi="Book Antiqua"/>
          <w:sz w:val="24"/>
          <w:szCs w:val="24"/>
        </w:rPr>
        <w:t xml:space="preserve">, Sun X, Li B, Ming L. Clinical Significance of Serum HE4, CA125, CA724, and CA19-9 in Patients </w:t>
      </w:r>
      <w:r w:rsidR="007B14CB" w:rsidRPr="0087291A">
        <w:rPr>
          <w:rFonts w:ascii="Book Antiqua" w:hAnsi="Book Antiqua"/>
          <w:sz w:val="24"/>
          <w:szCs w:val="24"/>
        </w:rPr>
        <w:t xml:space="preserve">with </w:t>
      </w:r>
      <w:r w:rsidRPr="0087291A">
        <w:rPr>
          <w:rFonts w:ascii="Book Antiqua" w:hAnsi="Book Antiqua"/>
          <w:sz w:val="24"/>
          <w:szCs w:val="24"/>
        </w:rPr>
        <w:t xml:space="preserve">Endometrial Cancer. </w:t>
      </w:r>
      <w:r w:rsidRPr="0087291A">
        <w:rPr>
          <w:rFonts w:ascii="Book Antiqua" w:hAnsi="Book Antiqua"/>
          <w:i/>
          <w:sz w:val="24"/>
          <w:szCs w:val="24"/>
        </w:rPr>
        <w:t>Technol Cancer Res Treat</w:t>
      </w:r>
      <w:r w:rsidRPr="0087291A">
        <w:rPr>
          <w:rFonts w:ascii="Book Antiqua" w:hAnsi="Book Antiqua"/>
          <w:sz w:val="24"/>
          <w:szCs w:val="24"/>
        </w:rPr>
        <w:t xml:space="preserve"> 2017; </w:t>
      </w:r>
      <w:r w:rsidRPr="0087291A">
        <w:rPr>
          <w:rFonts w:ascii="Book Antiqua" w:hAnsi="Book Antiqua"/>
          <w:b/>
          <w:sz w:val="24"/>
          <w:szCs w:val="24"/>
        </w:rPr>
        <w:t>16</w:t>
      </w:r>
      <w:r w:rsidRPr="0087291A">
        <w:rPr>
          <w:rFonts w:ascii="Book Antiqua" w:hAnsi="Book Antiqua"/>
          <w:sz w:val="24"/>
          <w:szCs w:val="24"/>
        </w:rPr>
        <w:t>: 435-439 [PMID: 27562869 DOI: 10.1177/1533034616666644]</w:t>
      </w:r>
    </w:p>
    <w:p w14:paraId="4E56882D"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26 </w:t>
      </w:r>
      <w:r w:rsidRPr="0087291A">
        <w:rPr>
          <w:rFonts w:ascii="Book Antiqua" w:hAnsi="Book Antiqua"/>
          <w:b/>
          <w:sz w:val="24"/>
          <w:szCs w:val="24"/>
        </w:rPr>
        <w:t>Terek MC</w:t>
      </w:r>
      <w:r w:rsidRPr="0087291A">
        <w:rPr>
          <w:rFonts w:ascii="Book Antiqua" w:hAnsi="Book Antiqua"/>
          <w:sz w:val="24"/>
          <w:szCs w:val="24"/>
        </w:rPr>
        <w:t xml:space="preserve">, Akman L, Hursitoglu BS, Sanli UA, Ozsaran Z, Tekindal MA, Dikmen Y, Zekioglu O, Ozsaran AA. The retrospective analysis of patients with uterine sarcomas: A single-center experience. </w:t>
      </w:r>
      <w:r w:rsidRPr="0087291A">
        <w:rPr>
          <w:rFonts w:ascii="Book Antiqua" w:hAnsi="Book Antiqua"/>
          <w:i/>
          <w:sz w:val="24"/>
          <w:szCs w:val="24"/>
        </w:rPr>
        <w:t>J Cancer Res Ther</w:t>
      </w:r>
      <w:r w:rsidRPr="0087291A">
        <w:rPr>
          <w:rFonts w:ascii="Book Antiqua" w:hAnsi="Book Antiqua"/>
          <w:sz w:val="24"/>
          <w:szCs w:val="24"/>
        </w:rPr>
        <w:t xml:space="preserve"> 2016; </w:t>
      </w:r>
      <w:r w:rsidRPr="0087291A">
        <w:rPr>
          <w:rFonts w:ascii="Book Antiqua" w:hAnsi="Book Antiqua"/>
          <w:b/>
          <w:sz w:val="24"/>
          <w:szCs w:val="24"/>
        </w:rPr>
        <w:t>12</w:t>
      </w:r>
      <w:r w:rsidRPr="0087291A">
        <w:rPr>
          <w:rFonts w:ascii="Book Antiqua" w:hAnsi="Book Antiqua"/>
          <w:sz w:val="24"/>
          <w:szCs w:val="24"/>
        </w:rPr>
        <w:t>: 309-313 [PMID: 27072256 DOI: 10.4103/0973-1482.148698]</w:t>
      </w:r>
    </w:p>
    <w:p w14:paraId="68B3162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27 </w:t>
      </w:r>
      <w:r w:rsidRPr="0087291A">
        <w:rPr>
          <w:rFonts w:ascii="Book Antiqua" w:hAnsi="Book Antiqua"/>
          <w:b/>
          <w:sz w:val="24"/>
          <w:szCs w:val="24"/>
        </w:rPr>
        <w:t>Matsuo K</w:t>
      </w:r>
      <w:r w:rsidRPr="0087291A">
        <w:rPr>
          <w:rFonts w:ascii="Book Antiqua" w:hAnsi="Book Antiqua"/>
          <w:sz w:val="24"/>
          <w:szCs w:val="24"/>
        </w:rPr>
        <w:t xml:space="preserve">, Grubbs BH, Mikami M. Quality and quantity metrics of pelvic lymph node metastasis and risk of para-aortic lymph node metastasis in stage IB-IIB cervical cancer. </w:t>
      </w:r>
      <w:r w:rsidRPr="0087291A">
        <w:rPr>
          <w:rFonts w:ascii="Book Antiqua" w:hAnsi="Book Antiqua"/>
          <w:i/>
          <w:sz w:val="24"/>
          <w:szCs w:val="24"/>
        </w:rPr>
        <w:t>J Gynecol Oncol</w:t>
      </w:r>
      <w:r w:rsidRPr="0087291A">
        <w:rPr>
          <w:rFonts w:ascii="Book Antiqua" w:hAnsi="Book Antiqua"/>
          <w:sz w:val="24"/>
          <w:szCs w:val="24"/>
        </w:rPr>
        <w:t xml:space="preserve"> 2018; </w:t>
      </w:r>
      <w:r w:rsidRPr="0087291A">
        <w:rPr>
          <w:rFonts w:ascii="Book Antiqua" w:hAnsi="Book Antiqua"/>
          <w:b/>
          <w:sz w:val="24"/>
          <w:szCs w:val="24"/>
        </w:rPr>
        <w:t>29</w:t>
      </w:r>
      <w:r w:rsidRPr="0087291A">
        <w:rPr>
          <w:rFonts w:ascii="Book Antiqua" w:hAnsi="Book Antiqua"/>
          <w:sz w:val="24"/>
          <w:szCs w:val="24"/>
        </w:rPr>
        <w:t>: e10 [PMID: 29185268 DOI: 10.3802/jgo.2018.29.e10]</w:t>
      </w:r>
    </w:p>
    <w:p w14:paraId="39653D38"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28 </w:t>
      </w:r>
      <w:r w:rsidRPr="0087291A">
        <w:rPr>
          <w:rFonts w:ascii="Book Antiqua" w:hAnsi="Book Antiqua"/>
          <w:b/>
          <w:sz w:val="24"/>
          <w:szCs w:val="24"/>
        </w:rPr>
        <w:t>Thomakos N</w:t>
      </w:r>
      <w:r w:rsidRPr="0087291A">
        <w:rPr>
          <w:rFonts w:ascii="Book Antiqua" w:hAnsi="Book Antiqua"/>
          <w:sz w:val="24"/>
          <w:szCs w:val="24"/>
        </w:rPr>
        <w:t xml:space="preserve">, Rodolakis A, Zagouri F, Zacharakis D, Sotiropoulou M, Akrivos N, Haidopoulos D, Papadimitriou CA, Dimopoulos MA, Antsaklis A. Serum CA 125, CA 15-3, CEA, and CA 19-9: a prognostic factor for uterine carcinosarcomas? </w:t>
      </w:r>
      <w:r w:rsidRPr="0087291A">
        <w:rPr>
          <w:rFonts w:ascii="Book Antiqua" w:hAnsi="Book Antiqua"/>
          <w:i/>
          <w:sz w:val="24"/>
          <w:szCs w:val="24"/>
        </w:rPr>
        <w:t>Arch Gynecol Obstet</w:t>
      </w:r>
      <w:r w:rsidRPr="0087291A">
        <w:rPr>
          <w:rFonts w:ascii="Book Antiqua" w:hAnsi="Book Antiqua"/>
          <w:sz w:val="24"/>
          <w:szCs w:val="24"/>
        </w:rPr>
        <w:t xml:space="preserve"> 2013; </w:t>
      </w:r>
      <w:r w:rsidRPr="0087291A">
        <w:rPr>
          <w:rFonts w:ascii="Book Antiqua" w:hAnsi="Book Antiqua"/>
          <w:b/>
          <w:sz w:val="24"/>
          <w:szCs w:val="24"/>
        </w:rPr>
        <w:t>287</w:t>
      </w:r>
      <w:r w:rsidRPr="0087291A">
        <w:rPr>
          <w:rFonts w:ascii="Book Antiqua" w:hAnsi="Book Antiqua"/>
          <w:sz w:val="24"/>
          <w:szCs w:val="24"/>
        </w:rPr>
        <w:t>: 97-102 [PMID: 22941327 DOI: 10.1007/s00404-012-2529-6]</w:t>
      </w:r>
    </w:p>
    <w:p w14:paraId="7BEA5486"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29 </w:t>
      </w:r>
      <w:r w:rsidRPr="0087291A">
        <w:rPr>
          <w:rFonts w:ascii="Book Antiqua" w:hAnsi="Book Antiqua"/>
          <w:b/>
          <w:sz w:val="24"/>
          <w:szCs w:val="24"/>
        </w:rPr>
        <w:t>Farid M</w:t>
      </w:r>
      <w:r w:rsidRPr="0087291A">
        <w:rPr>
          <w:rFonts w:ascii="Book Antiqua" w:hAnsi="Book Antiqua"/>
          <w:sz w:val="24"/>
          <w:szCs w:val="24"/>
        </w:rPr>
        <w:t xml:space="preserve">, Ong WS, Tan MH, Foo LS, Lim YK, Chia WK, Soh LT, Poon D, Lee MJ, Ho ZC, Jeevan R, Chin F, Teo M, Quek R. The influence of primary site on outcomes in leiomyosarcoma: a review of clinicopathologic differences between uterine and extrauterine disease. </w:t>
      </w:r>
      <w:r w:rsidRPr="0087291A">
        <w:rPr>
          <w:rFonts w:ascii="Book Antiqua" w:hAnsi="Book Antiqua"/>
          <w:i/>
          <w:sz w:val="24"/>
          <w:szCs w:val="24"/>
        </w:rPr>
        <w:t>Am J Clin Oncol</w:t>
      </w:r>
      <w:r w:rsidRPr="0087291A">
        <w:rPr>
          <w:rFonts w:ascii="Book Antiqua" w:hAnsi="Book Antiqua"/>
          <w:sz w:val="24"/>
          <w:szCs w:val="24"/>
        </w:rPr>
        <w:t xml:space="preserve"> 2013; </w:t>
      </w:r>
      <w:r w:rsidRPr="0087291A">
        <w:rPr>
          <w:rFonts w:ascii="Book Antiqua" w:hAnsi="Book Antiqua"/>
          <w:b/>
          <w:sz w:val="24"/>
          <w:szCs w:val="24"/>
        </w:rPr>
        <w:t>36</w:t>
      </w:r>
      <w:r w:rsidRPr="0087291A">
        <w:rPr>
          <w:rFonts w:ascii="Book Antiqua" w:hAnsi="Book Antiqua"/>
          <w:sz w:val="24"/>
          <w:szCs w:val="24"/>
        </w:rPr>
        <w:t>: 368-374 [PMID: 22772425 DOI: 10.1097/COC.0b013e318248dbf4]</w:t>
      </w:r>
    </w:p>
    <w:p w14:paraId="67B987F2"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30 </w:t>
      </w:r>
      <w:r w:rsidRPr="0087291A">
        <w:rPr>
          <w:rFonts w:ascii="Book Antiqua" w:hAnsi="Book Antiqua"/>
          <w:b/>
          <w:sz w:val="24"/>
          <w:szCs w:val="24"/>
        </w:rPr>
        <w:t>Littell RD</w:t>
      </w:r>
      <w:r w:rsidRPr="0087291A">
        <w:rPr>
          <w:rFonts w:ascii="Book Antiqua" w:hAnsi="Book Antiqua"/>
          <w:sz w:val="24"/>
          <w:szCs w:val="24"/>
        </w:rPr>
        <w:t xml:space="preserve">, Tucker LY, Raine-Bennett T, Palen TE, Zaritsky E, Neugebauer R, Embry-Schubert J, Lentz SE. Adjuvant gemcitabine-docetaxel chemotherapy for stage I uterine leiomyosarcoma: Trends and survival outcomes. </w:t>
      </w:r>
      <w:r w:rsidRPr="0087291A">
        <w:rPr>
          <w:rFonts w:ascii="Book Antiqua" w:hAnsi="Book Antiqua"/>
          <w:i/>
          <w:sz w:val="24"/>
          <w:szCs w:val="24"/>
        </w:rPr>
        <w:t>Gynecol Oncol</w:t>
      </w:r>
      <w:r w:rsidRPr="0087291A">
        <w:rPr>
          <w:rFonts w:ascii="Book Antiqua" w:hAnsi="Book Antiqua"/>
          <w:sz w:val="24"/>
          <w:szCs w:val="24"/>
        </w:rPr>
        <w:t xml:space="preserve"> 2017; </w:t>
      </w:r>
      <w:r w:rsidRPr="0087291A">
        <w:rPr>
          <w:rFonts w:ascii="Book Antiqua" w:hAnsi="Book Antiqua"/>
          <w:b/>
          <w:sz w:val="24"/>
          <w:szCs w:val="24"/>
        </w:rPr>
        <w:t>147</w:t>
      </w:r>
      <w:r w:rsidRPr="0087291A">
        <w:rPr>
          <w:rFonts w:ascii="Book Antiqua" w:hAnsi="Book Antiqua"/>
          <w:sz w:val="24"/>
          <w:szCs w:val="24"/>
        </w:rPr>
        <w:t>: 11-17 [PMID: 28747255 DOI: 10.1016/j.ygyno.2017.07.122]</w:t>
      </w:r>
    </w:p>
    <w:p w14:paraId="53A14513"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31 </w:t>
      </w:r>
      <w:r w:rsidRPr="0087291A">
        <w:rPr>
          <w:rFonts w:ascii="Book Antiqua" w:hAnsi="Book Antiqua"/>
          <w:b/>
          <w:sz w:val="24"/>
          <w:szCs w:val="24"/>
        </w:rPr>
        <w:t>Bogani G</w:t>
      </w:r>
      <w:r w:rsidRPr="0087291A">
        <w:rPr>
          <w:rFonts w:ascii="Book Antiqua" w:hAnsi="Book Antiqua"/>
          <w:sz w:val="24"/>
          <w:szCs w:val="24"/>
        </w:rPr>
        <w:t xml:space="preserve">, Fucà G, Maltese G, Ditto A, Martinelli F, Signorelli M, Chiappa V, Scaffa C, Sabatucci I, Lecce F, Raspagliesi F, Lorusso D. Efficacy of adjuvant chemotherapy in early stage uterine leiomyosarcoma: A systematic review and meta-analysis. </w:t>
      </w:r>
      <w:r w:rsidRPr="0087291A">
        <w:rPr>
          <w:rFonts w:ascii="Book Antiqua" w:hAnsi="Book Antiqua"/>
          <w:i/>
          <w:sz w:val="24"/>
          <w:szCs w:val="24"/>
        </w:rPr>
        <w:t>Gynecol Oncol</w:t>
      </w:r>
      <w:r w:rsidRPr="0087291A">
        <w:rPr>
          <w:rFonts w:ascii="Book Antiqua" w:hAnsi="Book Antiqua"/>
          <w:sz w:val="24"/>
          <w:szCs w:val="24"/>
        </w:rPr>
        <w:t xml:space="preserve"> 2016; </w:t>
      </w:r>
      <w:r w:rsidRPr="0087291A">
        <w:rPr>
          <w:rFonts w:ascii="Book Antiqua" w:hAnsi="Book Antiqua"/>
          <w:b/>
          <w:sz w:val="24"/>
          <w:szCs w:val="24"/>
        </w:rPr>
        <w:t>143</w:t>
      </w:r>
      <w:r w:rsidRPr="0087291A">
        <w:rPr>
          <w:rFonts w:ascii="Book Antiqua" w:hAnsi="Book Antiqua"/>
          <w:sz w:val="24"/>
          <w:szCs w:val="24"/>
        </w:rPr>
        <w:t>: 443-447 [PMID: 27481579 DOI: 10.1016/j.ygyno.2016.07.110]</w:t>
      </w:r>
    </w:p>
    <w:p w14:paraId="6CE3D4E6" w14:textId="77777777" w:rsidR="00692E97" w:rsidRPr="0087291A" w:rsidRDefault="00692E97" w:rsidP="0087291A">
      <w:pPr>
        <w:snapToGrid w:val="0"/>
        <w:spacing w:line="360" w:lineRule="auto"/>
        <w:rPr>
          <w:rFonts w:ascii="Book Antiqua" w:hAnsi="Book Antiqua"/>
          <w:sz w:val="24"/>
          <w:szCs w:val="24"/>
        </w:rPr>
      </w:pPr>
      <w:r w:rsidRPr="0087291A">
        <w:rPr>
          <w:rFonts w:ascii="Book Antiqua" w:hAnsi="Book Antiqua"/>
          <w:sz w:val="24"/>
          <w:szCs w:val="24"/>
        </w:rPr>
        <w:t xml:space="preserve">32 </w:t>
      </w:r>
      <w:r w:rsidRPr="0087291A">
        <w:rPr>
          <w:rFonts w:ascii="Book Antiqua" w:hAnsi="Book Antiqua"/>
          <w:b/>
          <w:sz w:val="24"/>
          <w:szCs w:val="24"/>
        </w:rPr>
        <w:t>Fascilla FD</w:t>
      </w:r>
      <w:r w:rsidRPr="0087291A">
        <w:rPr>
          <w:rFonts w:ascii="Book Antiqua" w:hAnsi="Book Antiqua"/>
          <w:sz w:val="24"/>
          <w:szCs w:val="24"/>
        </w:rPr>
        <w:t xml:space="preserve">, Cramarossa P, Cannone R, Olivieri C, Vimercati A, Exacoustos C. Ultrasound diagnosis of uterine myomas. </w:t>
      </w:r>
      <w:r w:rsidRPr="0087291A">
        <w:rPr>
          <w:rFonts w:ascii="Book Antiqua" w:hAnsi="Book Antiqua"/>
          <w:i/>
          <w:sz w:val="24"/>
          <w:szCs w:val="24"/>
        </w:rPr>
        <w:t>Minerva Ginecol</w:t>
      </w:r>
      <w:r w:rsidRPr="0087291A">
        <w:rPr>
          <w:rFonts w:ascii="Book Antiqua" w:hAnsi="Book Antiqua"/>
          <w:sz w:val="24"/>
          <w:szCs w:val="24"/>
        </w:rPr>
        <w:t xml:space="preserve"> 2016; </w:t>
      </w:r>
      <w:r w:rsidRPr="0087291A">
        <w:rPr>
          <w:rFonts w:ascii="Book Antiqua" w:hAnsi="Book Antiqua"/>
          <w:b/>
          <w:sz w:val="24"/>
          <w:szCs w:val="24"/>
        </w:rPr>
        <w:t>68</w:t>
      </w:r>
      <w:r w:rsidRPr="0087291A">
        <w:rPr>
          <w:rFonts w:ascii="Book Antiqua" w:hAnsi="Book Antiqua"/>
          <w:sz w:val="24"/>
          <w:szCs w:val="24"/>
        </w:rPr>
        <w:t>: 297-312 [PMID: 27014801]</w:t>
      </w:r>
    </w:p>
    <w:p w14:paraId="7B6B6414" w14:textId="77777777" w:rsidR="007B14CB" w:rsidRPr="0087291A" w:rsidRDefault="007B14CB"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61EB3C17" w14:textId="77777777" w:rsidR="005D3791" w:rsidRPr="0087291A" w:rsidRDefault="005C778A"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t>Footnotes</w:t>
      </w:r>
    </w:p>
    <w:p w14:paraId="186D1CB1" w14:textId="77777777"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 xml:space="preserve">Institutional review board statement: </w:t>
      </w:r>
      <w:r w:rsidRPr="0087291A">
        <w:rPr>
          <w:rFonts w:ascii="Book Antiqua" w:hAnsi="Book Antiqua"/>
          <w:color w:val="000000"/>
          <w:sz w:val="24"/>
          <w:szCs w:val="24"/>
        </w:rPr>
        <w:t>This study was reviewed and approved by the Ethics Committee of Tongji Hospital, Tongji Medical College, Huazhong University of Science and Technology</w:t>
      </w:r>
      <w:r w:rsidR="007B14CB" w:rsidRPr="0087291A">
        <w:rPr>
          <w:rFonts w:ascii="Book Antiqua" w:hAnsi="Book Antiqua"/>
          <w:color w:val="000000"/>
          <w:sz w:val="24"/>
          <w:szCs w:val="24"/>
        </w:rPr>
        <w:t>.</w:t>
      </w:r>
    </w:p>
    <w:p w14:paraId="2CF28014"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6E284792" w14:textId="3CE348E2"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Informed consent statement:</w:t>
      </w:r>
      <w:r w:rsidRPr="0087291A">
        <w:rPr>
          <w:rFonts w:ascii="Book Antiqua" w:hAnsi="Book Antiqua"/>
          <w:color w:val="000000"/>
          <w:sz w:val="24"/>
          <w:szCs w:val="24"/>
        </w:rPr>
        <w:t xml:space="preserve"> </w:t>
      </w:r>
      <w:r w:rsidR="00526F76" w:rsidRPr="0087291A">
        <w:rPr>
          <w:rFonts w:ascii="Book Antiqua" w:hAnsi="Book Antiqua"/>
          <w:color w:val="000000"/>
          <w:sz w:val="24"/>
          <w:szCs w:val="24"/>
        </w:rPr>
        <w:t xml:space="preserve">The </w:t>
      </w:r>
      <w:r w:rsidRPr="0087291A">
        <w:rPr>
          <w:rFonts w:ascii="Book Antiqua" w:hAnsi="Book Antiqua"/>
          <w:color w:val="000000"/>
          <w:sz w:val="24"/>
          <w:szCs w:val="24"/>
        </w:rPr>
        <w:t>analysis used anonymous clinical data obtained from each patient</w:t>
      </w:r>
      <w:r w:rsidR="00DA22E6">
        <w:rPr>
          <w:rFonts w:ascii="Book Antiqua" w:hAnsi="Book Antiqua"/>
          <w:color w:val="000000"/>
          <w:sz w:val="24"/>
          <w:szCs w:val="24"/>
        </w:rPr>
        <w:t xml:space="preserve"> who</w:t>
      </w:r>
      <w:r w:rsidRPr="0087291A">
        <w:rPr>
          <w:rFonts w:ascii="Book Antiqua" w:hAnsi="Book Antiqua"/>
          <w:color w:val="000000"/>
          <w:sz w:val="24"/>
          <w:szCs w:val="24"/>
        </w:rPr>
        <w:t xml:space="preserve"> agreed to the treatment by written consent.</w:t>
      </w:r>
    </w:p>
    <w:p w14:paraId="1A4E90BF"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5313A7A8" w14:textId="77777777" w:rsidR="005C778A" w:rsidRPr="0087291A" w:rsidRDefault="005C778A" w:rsidP="0087291A">
      <w:pPr>
        <w:adjustRightInd w:val="0"/>
        <w:snapToGrid w:val="0"/>
        <w:spacing w:line="360" w:lineRule="auto"/>
        <w:rPr>
          <w:rFonts w:ascii="Book Antiqua" w:hAnsi="Book Antiqua"/>
          <w:color w:val="000000"/>
          <w:sz w:val="24"/>
          <w:szCs w:val="24"/>
        </w:rPr>
      </w:pPr>
      <w:r w:rsidRPr="0087291A">
        <w:rPr>
          <w:rFonts w:ascii="Book Antiqua" w:hAnsi="Book Antiqua"/>
          <w:b/>
          <w:color w:val="000000"/>
          <w:sz w:val="24"/>
          <w:szCs w:val="24"/>
        </w:rPr>
        <w:t xml:space="preserve">Conflict-of-interest statement: </w:t>
      </w:r>
      <w:r w:rsidRPr="0087291A">
        <w:rPr>
          <w:rFonts w:ascii="Book Antiqua" w:hAnsi="Book Antiqua"/>
          <w:color w:val="000000"/>
          <w:sz w:val="24"/>
          <w:szCs w:val="24"/>
        </w:rPr>
        <w:t>The authors declare no conflict of interest related to this article.</w:t>
      </w:r>
    </w:p>
    <w:p w14:paraId="3413C1AE" w14:textId="77777777" w:rsidR="005C778A" w:rsidRPr="0087291A" w:rsidRDefault="005C778A" w:rsidP="0087291A">
      <w:pPr>
        <w:adjustRightInd w:val="0"/>
        <w:snapToGrid w:val="0"/>
        <w:spacing w:line="360" w:lineRule="auto"/>
        <w:rPr>
          <w:rFonts w:ascii="Book Antiqua" w:hAnsi="Book Antiqua"/>
          <w:color w:val="000000"/>
          <w:sz w:val="24"/>
          <w:szCs w:val="24"/>
        </w:rPr>
      </w:pPr>
    </w:p>
    <w:p w14:paraId="74FA0E65" w14:textId="77777777" w:rsidR="005C778A" w:rsidRPr="0087291A" w:rsidRDefault="005C778A" w:rsidP="0087291A">
      <w:pPr>
        <w:adjustRightInd w:val="0"/>
        <w:snapToGrid w:val="0"/>
        <w:spacing w:line="360" w:lineRule="auto"/>
        <w:rPr>
          <w:rFonts w:ascii="Book Antiqua" w:hAnsi="Book Antiqua"/>
          <w:b/>
          <w:sz w:val="24"/>
          <w:szCs w:val="24"/>
        </w:rPr>
      </w:pPr>
      <w:r w:rsidRPr="0087291A">
        <w:rPr>
          <w:rFonts w:ascii="Book Antiqua" w:hAnsi="Book Antiqua"/>
          <w:b/>
          <w:sz w:val="24"/>
          <w:szCs w:val="24"/>
        </w:rPr>
        <w:t>Data sharing statement</w:t>
      </w:r>
      <w:r w:rsidRPr="0087291A">
        <w:rPr>
          <w:rFonts w:ascii="Book Antiqua" w:hAnsi="Book Antiqua" w:cs="TimesNewRomanPS-BoldItalicMT"/>
          <w:b/>
          <w:iCs/>
          <w:color w:val="000000"/>
          <w:sz w:val="24"/>
          <w:szCs w:val="24"/>
        </w:rPr>
        <w:t>:</w:t>
      </w:r>
      <w:r w:rsidRPr="0087291A">
        <w:rPr>
          <w:rFonts w:ascii="Book Antiqua" w:hAnsi="Book Antiqua"/>
          <w:b/>
          <w:sz w:val="24"/>
          <w:szCs w:val="24"/>
        </w:rPr>
        <w:t xml:space="preserve"> </w:t>
      </w:r>
      <w:r w:rsidRPr="0087291A">
        <w:rPr>
          <w:rFonts w:ascii="Book Antiqua" w:hAnsi="Book Antiqua"/>
          <w:sz w:val="24"/>
          <w:szCs w:val="24"/>
        </w:rPr>
        <w:t>No additional data are available.</w:t>
      </w:r>
    </w:p>
    <w:p w14:paraId="38071EE5" w14:textId="77777777" w:rsidR="005C778A" w:rsidRPr="0087291A" w:rsidRDefault="005C778A" w:rsidP="0087291A">
      <w:pPr>
        <w:adjustRightInd w:val="0"/>
        <w:snapToGrid w:val="0"/>
        <w:spacing w:line="360" w:lineRule="auto"/>
        <w:rPr>
          <w:rFonts w:ascii="Book Antiqua" w:hAnsi="Book Antiqua"/>
          <w:sz w:val="24"/>
          <w:szCs w:val="24"/>
        </w:rPr>
      </w:pPr>
    </w:p>
    <w:p w14:paraId="043907BE" w14:textId="77777777" w:rsidR="00526F76" w:rsidRPr="0087291A" w:rsidRDefault="00526F76" w:rsidP="0087291A">
      <w:pPr>
        <w:widowControl/>
        <w:adjustRightInd w:val="0"/>
        <w:snapToGrid w:val="0"/>
        <w:spacing w:line="360" w:lineRule="auto"/>
        <w:rPr>
          <w:rFonts w:ascii="Book Antiqua" w:hAnsi="Book Antiqua" w:cs="宋体"/>
          <w:kern w:val="0"/>
          <w:sz w:val="24"/>
          <w:szCs w:val="24"/>
        </w:rPr>
      </w:pPr>
      <w:r w:rsidRPr="0087291A">
        <w:rPr>
          <w:rFonts w:ascii="Book Antiqua" w:hAnsi="Book Antiqua"/>
          <w:b/>
          <w:color w:val="000000"/>
          <w:sz w:val="24"/>
          <w:szCs w:val="24"/>
        </w:rPr>
        <w:t>Open-Access:</w:t>
      </w:r>
      <w:r w:rsidRPr="0087291A">
        <w:rPr>
          <w:rFonts w:ascii="Book Antiqua" w:hAnsi="Book Antiqua"/>
          <w:color w:val="000000"/>
          <w:sz w:val="24"/>
          <w:szCs w:val="24"/>
        </w:rPr>
        <w:t xml:space="preserve"> This article is an open-access </w:t>
      </w:r>
      <w:r w:rsidRPr="0087291A">
        <w:rPr>
          <w:rFonts w:ascii="Book Antiqua" w:hAnsi="Book Antiqua"/>
          <w:sz w:val="24"/>
          <w:szCs w:val="24"/>
        </w:rPr>
        <w:t xml:space="preserve">article that was selected </w:t>
      </w:r>
      <w:r w:rsidRPr="0087291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EAC19E" w14:textId="77777777" w:rsidR="00526F76" w:rsidRPr="0087291A" w:rsidRDefault="00526F76" w:rsidP="0087291A">
      <w:pPr>
        <w:widowControl/>
        <w:adjustRightInd w:val="0"/>
        <w:snapToGrid w:val="0"/>
        <w:spacing w:line="360" w:lineRule="auto"/>
        <w:rPr>
          <w:rFonts w:ascii="Book Antiqua" w:hAnsi="Book Antiqua"/>
          <w:sz w:val="24"/>
          <w:szCs w:val="24"/>
        </w:rPr>
      </w:pPr>
    </w:p>
    <w:p w14:paraId="3B1289B7" w14:textId="77777777" w:rsidR="00526F76" w:rsidRPr="0087291A" w:rsidRDefault="00526F76" w:rsidP="0087291A">
      <w:pPr>
        <w:adjustRightInd w:val="0"/>
        <w:snapToGrid w:val="0"/>
        <w:spacing w:line="360" w:lineRule="auto"/>
        <w:rPr>
          <w:rFonts w:ascii="Book Antiqua" w:hAnsi="Book Antiqua"/>
          <w:bCs/>
          <w:color w:val="000000"/>
          <w:sz w:val="24"/>
          <w:szCs w:val="24"/>
        </w:rPr>
      </w:pPr>
      <w:r w:rsidRPr="0087291A">
        <w:rPr>
          <w:rFonts w:ascii="Book Antiqua" w:hAnsi="Book Antiqua"/>
          <w:b/>
          <w:color w:val="000000"/>
          <w:sz w:val="24"/>
          <w:szCs w:val="24"/>
          <w:lang w:eastAsia="pl-PL"/>
        </w:rPr>
        <w:t>Manuscript source:</w:t>
      </w:r>
      <w:r w:rsidRPr="0087291A">
        <w:rPr>
          <w:rFonts w:ascii="Book Antiqua" w:hAnsi="Book Antiqua"/>
          <w:b/>
          <w:color w:val="000000"/>
          <w:sz w:val="24"/>
          <w:szCs w:val="24"/>
        </w:rPr>
        <w:t xml:space="preserve"> </w:t>
      </w:r>
      <w:r w:rsidRPr="0087291A">
        <w:rPr>
          <w:rFonts w:ascii="Book Antiqua" w:hAnsi="Book Antiqua"/>
          <w:color w:val="000000"/>
          <w:sz w:val="24"/>
          <w:szCs w:val="24"/>
          <w:lang w:eastAsia="pl-PL"/>
        </w:rPr>
        <w:t>Unsolicited manuscript</w:t>
      </w:r>
    </w:p>
    <w:p w14:paraId="5139F79D" w14:textId="77777777" w:rsidR="005C778A" w:rsidRPr="0087291A" w:rsidRDefault="005C778A" w:rsidP="0087291A">
      <w:pPr>
        <w:adjustRightInd w:val="0"/>
        <w:snapToGrid w:val="0"/>
        <w:spacing w:line="360" w:lineRule="auto"/>
        <w:rPr>
          <w:rFonts w:ascii="Book Antiqua" w:hAnsi="Book Antiqua"/>
          <w:b/>
          <w:color w:val="000000"/>
          <w:sz w:val="24"/>
          <w:szCs w:val="24"/>
        </w:rPr>
      </w:pPr>
      <w:r w:rsidRPr="0087291A">
        <w:rPr>
          <w:rFonts w:ascii="Book Antiqua" w:hAnsi="Book Antiqua"/>
          <w:b/>
          <w:color w:val="000000"/>
          <w:sz w:val="24"/>
          <w:szCs w:val="24"/>
        </w:rPr>
        <w:t xml:space="preserve"> </w:t>
      </w:r>
    </w:p>
    <w:p w14:paraId="37DD1C79" w14:textId="77777777" w:rsidR="00526F76" w:rsidRPr="0087291A" w:rsidRDefault="00526F76" w:rsidP="0087291A">
      <w:pPr>
        <w:widowControl/>
        <w:adjustRightInd w:val="0"/>
        <w:snapToGrid w:val="0"/>
        <w:spacing w:line="360" w:lineRule="auto"/>
        <w:rPr>
          <w:rFonts w:ascii="Book Antiqua" w:hAnsi="Book Antiqua"/>
          <w:b/>
          <w:sz w:val="24"/>
          <w:szCs w:val="24"/>
        </w:rPr>
      </w:pPr>
      <w:r w:rsidRPr="0087291A">
        <w:rPr>
          <w:rFonts w:ascii="Book Antiqua" w:hAnsi="Book Antiqua"/>
          <w:b/>
          <w:sz w:val="24"/>
          <w:szCs w:val="24"/>
        </w:rPr>
        <w:t xml:space="preserve">Peer-review started: </w:t>
      </w:r>
      <w:r w:rsidRPr="0087291A">
        <w:rPr>
          <w:rFonts w:ascii="Book Antiqua" w:hAnsi="Book Antiqua"/>
          <w:sz w:val="24"/>
          <w:szCs w:val="24"/>
        </w:rPr>
        <w:t>December 30, 2019</w:t>
      </w:r>
    </w:p>
    <w:p w14:paraId="389A3103" w14:textId="77777777" w:rsidR="00526F76" w:rsidRPr="0087291A" w:rsidRDefault="00526F76" w:rsidP="0087291A">
      <w:pPr>
        <w:widowControl/>
        <w:adjustRightInd w:val="0"/>
        <w:snapToGrid w:val="0"/>
        <w:spacing w:line="360" w:lineRule="auto"/>
        <w:rPr>
          <w:rFonts w:ascii="Book Antiqua" w:hAnsi="Book Antiqua"/>
          <w:b/>
          <w:sz w:val="24"/>
          <w:szCs w:val="24"/>
        </w:rPr>
      </w:pPr>
      <w:r w:rsidRPr="0087291A">
        <w:rPr>
          <w:rFonts w:ascii="Book Antiqua" w:hAnsi="Book Antiqua"/>
          <w:b/>
          <w:sz w:val="24"/>
          <w:szCs w:val="24"/>
        </w:rPr>
        <w:t xml:space="preserve">First decision: </w:t>
      </w:r>
      <w:r w:rsidRPr="0087291A">
        <w:rPr>
          <w:rFonts w:ascii="Book Antiqua" w:hAnsi="Book Antiqua"/>
          <w:sz w:val="24"/>
          <w:szCs w:val="24"/>
        </w:rPr>
        <w:t>April 1, 2020</w:t>
      </w:r>
    </w:p>
    <w:p w14:paraId="0E571EE1" w14:textId="5AC9B738" w:rsidR="00526F76" w:rsidRPr="009D6F08" w:rsidRDefault="00526F76" w:rsidP="009D6F08">
      <w:pPr>
        <w:snapToGrid w:val="0"/>
        <w:spacing w:line="360" w:lineRule="auto"/>
        <w:rPr>
          <w:rFonts w:ascii="Book Antiqua" w:hAnsi="Book Antiqua"/>
          <w:bCs/>
          <w:color w:val="000000" w:themeColor="text1"/>
          <w:sz w:val="24"/>
          <w:szCs w:val="24"/>
        </w:rPr>
      </w:pPr>
      <w:r w:rsidRPr="0087291A">
        <w:rPr>
          <w:rFonts w:ascii="Book Antiqua" w:hAnsi="Book Antiqua"/>
          <w:b/>
          <w:sz w:val="24"/>
          <w:szCs w:val="24"/>
        </w:rPr>
        <w:t>Article in press:</w:t>
      </w:r>
      <w:r w:rsidR="009D6F08">
        <w:rPr>
          <w:rFonts w:ascii="Book Antiqua" w:hAnsi="Book Antiqua" w:hint="eastAsia"/>
          <w:b/>
          <w:sz w:val="24"/>
          <w:szCs w:val="24"/>
        </w:rPr>
        <w:t xml:space="preserve"> </w:t>
      </w:r>
      <w:r w:rsidR="009D6F08">
        <w:rPr>
          <w:rFonts w:ascii="Book Antiqua" w:hAnsi="Book Antiqua"/>
          <w:bCs/>
          <w:color w:val="000000" w:themeColor="text1"/>
          <w:sz w:val="24"/>
          <w:szCs w:val="24"/>
        </w:rPr>
        <w:t>April 22, 2020</w:t>
      </w:r>
    </w:p>
    <w:p w14:paraId="3F484899" w14:textId="77777777" w:rsidR="00526F76" w:rsidRPr="0087291A" w:rsidRDefault="00526F76" w:rsidP="0087291A">
      <w:pPr>
        <w:widowControl/>
        <w:adjustRightInd w:val="0"/>
        <w:snapToGrid w:val="0"/>
        <w:spacing w:line="360" w:lineRule="auto"/>
        <w:rPr>
          <w:rFonts w:ascii="Book Antiqua" w:hAnsi="Book Antiqua"/>
          <w:sz w:val="24"/>
          <w:szCs w:val="24"/>
        </w:rPr>
      </w:pPr>
    </w:p>
    <w:p w14:paraId="5315EB86" w14:textId="77777777" w:rsidR="00526F76" w:rsidRPr="0087291A" w:rsidRDefault="00526F76" w:rsidP="0087291A">
      <w:pPr>
        <w:adjustRightInd w:val="0"/>
        <w:snapToGrid w:val="0"/>
        <w:spacing w:line="360" w:lineRule="auto"/>
        <w:rPr>
          <w:rFonts w:ascii="Book Antiqua" w:eastAsia="微软雅黑" w:hAnsi="Book Antiqua" w:cs="宋体"/>
          <w:sz w:val="24"/>
          <w:szCs w:val="24"/>
        </w:rPr>
      </w:pPr>
      <w:r w:rsidRPr="0087291A">
        <w:rPr>
          <w:rFonts w:ascii="Book Antiqua" w:hAnsi="Book Antiqua" w:cs="宋体"/>
          <w:b/>
          <w:sz w:val="24"/>
          <w:szCs w:val="24"/>
        </w:rPr>
        <w:t xml:space="preserve">Specialty type: </w:t>
      </w:r>
      <w:r w:rsidRPr="0087291A">
        <w:rPr>
          <w:rFonts w:ascii="Book Antiqua" w:eastAsia="微软雅黑" w:hAnsi="Book Antiqua" w:cs="宋体"/>
          <w:sz w:val="24"/>
          <w:szCs w:val="24"/>
        </w:rPr>
        <w:t>Medicine, research and experimental</w:t>
      </w:r>
    </w:p>
    <w:p w14:paraId="0AF95AA2"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b/>
          <w:sz w:val="24"/>
          <w:szCs w:val="24"/>
        </w:rPr>
        <w:t xml:space="preserve">Country/Territory of origin: </w:t>
      </w:r>
      <w:r w:rsidRPr="0087291A">
        <w:rPr>
          <w:rFonts w:ascii="Book Antiqua" w:hAnsi="Book Antiqua" w:cs="宋体"/>
          <w:sz w:val="24"/>
          <w:szCs w:val="24"/>
        </w:rPr>
        <w:t>China</w:t>
      </w:r>
    </w:p>
    <w:p w14:paraId="1B16C25C" w14:textId="77777777" w:rsidR="00526F76" w:rsidRPr="0087291A" w:rsidRDefault="00526F76" w:rsidP="0087291A">
      <w:pPr>
        <w:adjustRightInd w:val="0"/>
        <w:snapToGrid w:val="0"/>
        <w:spacing w:line="360" w:lineRule="auto"/>
        <w:rPr>
          <w:rFonts w:ascii="Book Antiqua" w:hAnsi="Book Antiqua" w:cs="宋体"/>
          <w:b/>
          <w:sz w:val="24"/>
          <w:szCs w:val="24"/>
        </w:rPr>
      </w:pPr>
      <w:r w:rsidRPr="0087291A">
        <w:rPr>
          <w:rFonts w:ascii="Book Antiqua" w:hAnsi="Book Antiqua" w:cs="宋体"/>
          <w:b/>
          <w:sz w:val="24"/>
          <w:szCs w:val="24"/>
        </w:rPr>
        <w:t>Peer-review report’s scientific quality classification</w:t>
      </w:r>
    </w:p>
    <w:p w14:paraId="532AFE2A"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A (Excellent): 0</w:t>
      </w:r>
    </w:p>
    <w:p w14:paraId="33657AAF"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B (Very good): 0</w:t>
      </w:r>
    </w:p>
    <w:p w14:paraId="572054DA"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C (Good): C</w:t>
      </w:r>
    </w:p>
    <w:p w14:paraId="0E6421C4" w14:textId="77777777" w:rsidR="00526F76" w:rsidRPr="0087291A" w:rsidRDefault="00526F76" w:rsidP="0087291A">
      <w:pPr>
        <w:adjustRightInd w:val="0"/>
        <w:snapToGrid w:val="0"/>
        <w:spacing w:line="360" w:lineRule="auto"/>
        <w:rPr>
          <w:rFonts w:ascii="Book Antiqua" w:hAnsi="Book Antiqua" w:cs="宋体"/>
          <w:sz w:val="24"/>
          <w:szCs w:val="24"/>
        </w:rPr>
      </w:pPr>
      <w:r w:rsidRPr="0087291A">
        <w:rPr>
          <w:rFonts w:ascii="Book Antiqua" w:hAnsi="Book Antiqua" w:cs="宋体"/>
          <w:sz w:val="24"/>
          <w:szCs w:val="24"/>
        </w:rPr>
        <w:t>Grade D (Fair): 0</w:t>
      </w:r>
    </w:p>
    <w:p w14:paraId="32700544" w14:textId="77777777" w:rsidR="00526F76" w:rsidRPr="0087291A" w:rsidRDefault="00526F76" w:rsidP="0087291A">
      <w:pPr>
        <w:adjustRightInd w:val="0"/>
        <w:snapToGrid w:val="0"/>
        <w:spacing w:line="360" w:lineRule="auto"/>
        <w:rPr>
          <w:rFonts w:ascii="Book Antiqua" w:eastAsia="等线" w:hAnsi="Book Antiqua"/>
          <w:sz w:val="24"/>
          <w:szCs w:val="24"/>
          <w:lang w:val="hu-HU"/>
        </w:rPr>
      </w:pPr>
      <w:r w:rsidRPr="0087291A">
        <w:rPr>
          <w:rFonts w:ascii="Book Antiqua" w:hAnsi="Book Antiqua" w:cs="宋体"/>
          <w:sz w:val="24"/>
          <w:szCs w:val="24"/>
        </w:rPr>
        <w:t>Grade E (Poor): 0</w:t>
      </w:r>
    </w:p>
    <w:p w14:paraId="0E86C9DD" w14:textId="77777777" w:rsidR="00526F76" w:rsidRPr="0087291A" w:rsidRDefault="00526F76" w:rsidP="0087291A">
      <w:pPr>
        <w:adjustRightInd w:val="0"/>
        <w:snapToGrid w:val="0"/>
        <w:spacing w:line="360" w:lineRule="auto"/>
        <w:rPr>
          <w:rFonts w:ascii="Book Antiqua" w:hAnsi="Book Antiqua"/>
          <w:b/>
          <w:bCs/>
          <w:sz w:val="24"/>
          <w:szCs w:val="24"/>
          <w:lang w:val="hu-HU"/>
        </w:rPr>
      </w:pPr>
    </w:p>
    <w:p w14:paraId="63FAD3B0" w14:textId="2FF6E8B6" w:rsidR="00526F76" w:rsidRPr="0087291A" w:rsidRDefault="00526F76" w:rsidP="0087291A">
      <w:pPr>
        <w:adjustRightInd w:val="0"/>
        <w:snapToGrid w:val="0"/>
        <w:spacing w:line="360" w:lineRule="auto"/>
        <w:rPr>
          <w:rFonts w:ascii="Book Antiqua" w:hAnsi="Book Antiqua"/>
          <w:b/>
          <w:bCs/>
          <w:sz w:val="24"/>
          <w:szCs w:val="24"/>
        </w:rPr>
      </w:pPr>
      <w:r w:rsidRPr="0087291A">
        <w:rPr>
          <w:rFonts w:ascii="Book Antiqua" w:hAnsi="Book Antiqua"/>
          <w:b/>
          <w:sz w:val="24"/>
          <w:szCs w:val="24"/>
        </w:rPr>
        <w:t xml:space="preserve">P-Reviewer: </w:t>
      </w:r>
      <w:r w:rsidRPr="0087291A">
        <w:rPr>
          <w:rFonts w:ascii="Book Antiqua" w:hAnsi="Book Antiqua"/>
          <w:sz w:val="24"/>
          <w:szCs w:val="24"/>
        </w:rPr>
        <w:t>Ueda H</w:t>
      </w:r>
      <w:r w:rsidRPr="0087291A">
        <w:rPr>
          <w:rFonts w:ascii="Book Antiqua" w:hAnsi="Book Antiqua"/>
          <w:b/>
          <w:sz w:val="24"/>
          <w:szCs w:val="24"/>
        </w:rPr>
        <w:t xml:space="preserve"> S-Editor:</w:t>
      </w:r>
      <w:r w:rsidRPr="0087291A">
        <w:rPr>
          <w:rFonts w:ascii="Book Antiqua" w:hAnsi="Book Antiqua"/>
          <w:sz w:val="24"/>
          <w:szCs w:val="24"/>
        </w:rPr>
        <w:t xml:space="preserve"> Zhang L </w:t>
      </w:r>
      <w:r w:rsidRPr="0087291A">
        <w:rPr>
          <w:rFonts w:ascii="Book Antiqua" w:hAnsi="Book Antiqua"/>
          <w:b/>
          <w:sz w:val="24"/>
          <w:szCs w:val="24"/>
        </w:rPr>
        <w:t>L-Editor:</w:t>
      </w:r>
      <w:r w:rsidRPr="0087291A">
        <w:rPr>
          <w:rFonts w:ascii="Book Antiqua" w:hAnsi="Book Antiqua"/>
          <w:sz w:val="24"/>
          <w:szCs w:val="24"/>
        </w:rPr>
        <w:t xml:space="preserve"> </w:t>
      </w:r>
      <w:r w:rsidR="00DA22E6">
        <w:rPr>
          <w:rFonts w:ascii="Book Antiqua" w:hAnsi="Book Antiqua"/>
          <w:sz w:val="24"/>
          <w:szCs w:val="24"/>
        </w:rPr>
        <w:t xml:space="preserve">Wang TQ </w:t>
      </w:r>
      <w:r w:rsidRPr="0087291A">
        <w:rPr>
          <w:rFonts w:ascii="Book Antiqua" w:hAnsi="Book Antiqua"/>
          <w:b/>
          <w:sz w:val="24"/>
          <w:szCs w:val="24"/>
        </w:rPr>
        <w:t>E-Editor:</w:t>
      </w:r>
      <w:r w:rsidR="009D6F08">
        <w:rPr>
          <w:rFonts w:ascii="Book Antiqua" w:hAnsi="Book Antiqua" w:hint="eastAsia"/>
          <w:b/>
          <w:sz w:val="24"/>
          <w:szCs w:val="24"/>
        </w:rPr>
        <w:t xml:space="preserve"> </w:t>
      </w:r>
      <w:r w:rsidR="009D6F08" w:rsidRPr="009D6F08">
        <w:rPr>
          <w:rFonts w:ascii="Book Antiqua" w:hAnsi="Book Antiqua" w:hint="eastAsia"/>
          <w:sz w:val="24"/>
          <w:szCs w:val="24"/>
        </w:rPr>
        <w:t>Liu MY</w:t>
      </w:r>
    </w:p>
    <w:p w14:paraId="2897EDD1" w14:textId="77777777" w:rsidR="00526F76" w:rsidRPr="0087291A" w:rsidRDefault="00526F76" w:rsidP="0087291A">
      <w:pPr>
        <w:widowControl/>
        <w:adjustRightInd w:val="0"/>
        <w:snapToGrid w:val="0"/>
        <w:spacing w:line="360" w:lineRule="auto"/>
        <w:rPr>
          <w:rFonts w:ascii="Book Antiqua" w:hAnsi="Book Antiqua"/>
          <w:noProof/>
          <w:sz w:val="24"/>
          <w:szCs w:val="24"/>
        </w:rPr>
      </w:pPr>
      <w:r w:rsidRPr="0087291A">
        <w:rPr>
          <w:rFonts w:ascii="Book Antiqua" w:hAnsi="Book Antiqua"/>
          <w:noProof/>
          <w:sz w:val="24"/>
          <w:szCs w:val="24"/>
        </w:rPr>
        <w:br w:type="page"/>
      </w:r>
    </w:p>
    <w:p w14:paraId="678B2D76" w14:textId="77777777" w:rsidR="00526F76" w:rsidRPr="0087291A" w:rsidRDefault="00700809"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t>Figure Legends</w:t>
      </w:r>
    </w:p>
    <w:p w14:paraId="615BED18" w14:textId="77777777" w:rsidR="00526F76" w:rsidRPr="0087291A" w:rsidRDefault="00002E44" w:rsidP="0087291A">
      <w:pPr>
        <w:snapToGrid w:val="0"/>
        <w:spacing w:line="360" w:lineRule="auto"/>
        <w:rPr>
          <w:rFonts w:ascii="Book Antiqua" w:hAnsi="Book Antiqua" w:cs="Times New Roman"/>
          <w:sz w:val="24"/>
          <w:szCs w:val="24"/>
          <w:lang w:val="en-GB"/>
        </w:rPr>
      </w:pPr>
      <w:r>
        <w:rPr>
          <w:noProof/>
        </w:rPr>
        <w:drawing>
          <wp:inline distT="0" distB="0" distL="0" distR="0" wp14:anchorId="245256BA" wp14:editId="05D5D971">
            <wp:extent cx="5274310" cy="35191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19170"/>
                    </a:xfrm>
                    <a:prstGeom prst="rect">
                      <a:avLst/>
                    </a:prstGeom>
                  </pic:spPr>
                </pic:pic>
              </a:graphicData>
            </a:graphic>
          </wp:inline>
        </w:drawing>
      </w:r>
    </w:p>
    <w:p w14:paraId="1EA39AC5" w14:textId="3BFD7D16" w:rsidR="005A5B77"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b/>
          <w:sz w:val="24"/>
          <w:szCs w:val="24"/>
          <w:lang w:val="en-GB"/>
        </w:rPr>
        <w:t xml:space="preserve">Figure 1 Survival curves of patients with uterine leiomyosarcoma and non-uterine leiomyosarcoma. </w:t>
      </w:r>
      <w:r w:rsidRPr="0087291A">
        <w:rPr>
          <w:rFonts w:ascii="Book Antiqua" w:hAnsi="Book Antiqua" w:cs="Times New Roman"/>
          <w:sz w:val="24"/>
          <w:szCs w:val="24"/>
          <w:lang w:val="en-GB"/>
        </w:rPr>
        <w:t>A: Progression-free survival in uterine leiomyosarcoma and non-uterine leiomyosarcoma; B: Overall survival in uterine leiomyosarcoma and non-uterine leiomyosarcoma; C: Progression-free survival in stage I + II and stage III + IV uterine leiomyosarcoma and in non-uterine leiomyosarcoma; D: Overall survival in stage I</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II and stage III</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005A5B77"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IV uterine leiomyosarcoma and</w:t>
      </w:r>
      <w:r w:rsidR="00DA22E6">
        <w:rPr>
          <w:rFonts w:ascii="Book Antiqua" w:hAnsi="Book Antiqua" w:cs="Times New Roman"/>
          <w:sz w:val="24"/>
          <w:szCs w:val="24"/>
          <w:lang w:val="en-GB"/>
        </w:rPr>
        <w:t xml:space="preserve"> </w:t>
      </w:r>
      <w:r w:rsidRPr="0087291A">
        <w:rPr>
          <w:rFonts w:ascii="Book Antiqua" w:hAnsi="Book Antiqua" w:cs="Times New Roman"/>
          <w:sz w:val="24"/>
          <w:szCs w:val="24"/>
          <w:lang w:val="en-GB"/>
        </w:rPr>
        <w:t>in non-uterine leiomyosarcoma. ULMS</w:t>
      </w:r>
      <w:r w:rsidR="005A5B77" w:rsidRPr="0087291A">
        <w:rPr>
          <w:rFonts w:ascii="Book Antiqua" w:hAnsi="Book Antiqua" w:cs="Times New Roman"/>
          <w:sz w:val="24"/>
          <w:szCs w:val="24"/>
          <w:lang w:val="en-GB"/>
        </w:rPr>
        <w:t xml:space="preserve">: Uterine </w:t>
      </w:r>
      <w:r w:rsidRPr="0087291A">
        <w:rPr>
          <w:rFonts w:ascii="Book Antiqua" w:hAnsi="Book Antiqua" w:cs="Times New Roman"/>
          <w:sz w:val="24"/>
          <w:szCs w:val="24"/>
          <w:lang w:val="en-GB"/>
        </w:rPr>
        <w:t>leiomyosarcoma</w:t>
      </w:r>
      <w:r w:rsidR="005A5B77" w:rsidRPr="0087291A">
        <w:rPr>
          <w:rFonts w:ascii="Book Antiqua" w:hAnsi="Book Antiqua" w:cs="Times New Roman"/>
          <w:sz w:val="24"/>
          <w:szCs w:val="24"/>
          <w:lang w:val="en-GB"/>
        </w:rPr>
        <w:t>; NULMS: Non</w:t>
      </w:r>
      <w:r w:rsidRPr="0087291A">
        <w:rPr>
          <w:rFonts w:ascii="Book Antiqua" w:hAnsi="Book Antiqua" w:cs="Times New Roman"/>
          <w:sz w:val="24"/>
          <w:szCs w:val="24"/>
          <w:lang w:val="en-GB"/>
        </w:rPr>
        <w:t>-uterine leiomyosarcoma</w:t>
      </w:r>
      <w:r w:rsidR="005A5B77" w:rsidRPr="0087291A">
        <w:rPr>
          <w:rFonts w:ascii="Book Antiqua" w:hAnsi="Book Antiqua" w:cs="Times New Roman"/>
          <w:sz w:val="24"/>
          <w:szCs w:val="24"/>
          <w:lang w:val="en-GB"/>
        </w:rPr>
        <w:t>.</w:t>
      </w:r>
    </w:p>
    <w:p w14:paraId="0575445F" w14:textId="77777777" w:rsidR="00526F76" w:rsidRPr="0087291A" w:rsidRDefault="005A5B77" w:rsidP="0087291A">
      <w:pPr>
        <w:widowControl/>
        <w:snapToGrid w:val="0"/>
        <w:spacing w:line="360" w:lineRule="auto"/>
        <w:rPr>
          <w:rFonts w:ascii="Book Antiqua" w:hAnsi="Book Antiqua" w:cs="Times New Roman"/>
          <w:sz w:val="24"/>
          <w:szCs w:val="24"/>
          <w:lang w:val="en-GB"/>
        </w:rPr>
      </w:pPr>
      <w:r w:rsidRPr="0087291A">
        <w:rPr>
          <w:rFonts w:ascii="Book Antiqua" w:hAnsi="Book Antiqua" w:cs="Times New Roman"/>
          <w:sz w:val="24"/>
          <w:szCs w:val="24"/>
          <w:lang w:val="en-GB"/>
        </w:rPr>
        <w:br w:type="page"/>
      </w:r>
    </w:p>
    <w:p w14:paraId="7ECCAAF4" w14:textId="77777777" w:rsidR="00526F76"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noProof/>
          <w:sz w:val="24"/>
          <w:szCs w:val="24"/>
        </w:rPr>
        <w:drawing>
          <wp:inline distT="0" distB="0" distL="0" distR="0" wp14:anchorId="78037C8B" wp14:editId="38CDDF0D">
            <wp:extent cx="5162673" cy="1442955"/>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3510-Figure2-ppt.jpg"/>
                    <pic:cNvPicPr/>
                  </pic:nvPicPr>
                  <pic:blipFill rotWithShape="1">
                    <a:blip r:embed="rId9" cstate="print">
                      <a:extLst>
                        <a:ext uri="{28A0092B-C50C-407E-A947-70E740481C1C}">
                          <a14:useLocalDpi xmlns:a14="http://schemas.microsoft.com/office/drawing/2010/main" val="0"/>
                        </a:ext>
                      </a:extLst>
                    </a:blip>
                    <a:srcRect l="7719" t="9800" r="9804" b="49216"/>
                    <a:stretch/>
                  </pic:blipFill>
                  <pic:spPr bwMode="auto">
                    <a:xfrm>
                      <a:off x="0" y="0"/>
                      <a:ext cx="5179781" cy="1447737"/>
                    </a:xfrm>
                    <a:prstGeom prst="rect">
                      <a:avLst/>
                    </a:prstGeom>
                    <a:ln>
                      <a:noFill/>
                    </a:ln>
                    <a:extLst>
                      <a:ext uri="{53640926-AAD7-44D8-BBD7-CCE9431645EC}">
                        <a14:shadowObscured xmlns:a14="http://schemas.microsoft.com/office/drawing/2010/main"/>
                      </a:ext>
                    </a:extLst>
                  </pic:spPr>
                </pic:pic>
              </a:graphicData>
            </a:graphic>
          </wp:inline>
        </w:drawing>
      </w:r>
    </w:p>
    <w:p w14:paraId="0CC7468F" w14:textId="57E99246" w:rsidR="00526F76" w:rsidRPr="0087291A" w:rsidRDefault="00526F76" w:rsidP="0087291A">
      <w:pPr>
        <w:snapToGrid w:val="0"/>
        <w:spacing w:line="360" w:lineRule="auto"/>
        <w:rPr>
          <w:rFonts w:ascii="Book Antiqua" w:hAnsi="Book Antiqua" w:cs="Times New Roman"/>
          <w:sz w:val="24"/>
          <w:szCs w:val="24"/>
          <w:lang w:val="en-GB"/>
        </w:rPr>
      </w:pPr>
      <w:r w:rsidRPr="0087291A">
        <w:rPr>
          <w:rFonts w:ascii="Book Antiqua" w:hAnsi="Book Antiqua" w:cs="Times New Roman"/>
          <w:b/>
          <w:sz w:val="24"/>
          <w:szCs w:val="24"/>
          <w:lang w:val="en-GB"/>
        </w:rPr>
        <w:t>Figure 2 Ultrasound images of uterine leiomyosarcoma and non-uterine leiomyosarcoma.</w:t>
      </w:r>
      <w:r w:rsidRPr="0087291A">
        <w:rPr>
          <w:rFonts w:ascii="Book Antiqua" w:hAnsi="Book Antiqua" w:cs="Times New Roman"/>
          <w:sz w:val="24"/>
          <w:szCs w:val="24"/>
          <w:lang w:val="en-GB"/>
        </w:rPr>
        <w:t xml:space="preserve"> A: Ultrasound image of </w:t>
      </w:r>
      <w:r w:rsidR="00DA22E6">
        <w:rPr>
          <w:rFonts w:ascii="Book Antiqua" w:hAnsi="Book Antiqua" w:cs="Times New Roman"/>
          <w:sz w:val="24"/>
          <w:szCs w:val="24"/>
          <w:lang w:val="en-GB"/>
        </w:rPr>
        <w:t xml:space="preserve">a </w:t>
      </w:r>
      <w:r w:rsidRPr="0087291A">
        <w:rPr>
          <w:rFonts w:ascii="Book Antiqua" w:hAnsi="Book Antiqua" w:cs="Times New Roman"/>
          <w:sz w:val="24"/>
          <w:szCs w:val="24"/>
          <w:lang w:val="en-GB"/>
        </w:rPr>
        <w:t>preoperative patient with uterine leiomyosarcoma. Myometrium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intramural lesions of </w:t>
      </w:r>
      <w:r w:rsidR="00DA22E6">
        <w:rPr>
          <w:rFonts w:ascii="Book Antiqua" w:hAnsi="Book Antiqua" w:cs="Times New Roman"/>
          <w:sz w:val="24"/>
          <w:szCs w:val="24"/>
          <w:lang w:val="en-GB"/>
        </w:rPr>
        <w:t xml:space="preserve">the </w:t>
      </w:r>
      <w:r w:rsidRPr="0087291A">
        <w:rPr>
          <w:rFonts w:ascii="Book Antiqua" w:hAnsi="Book Antiqua" w:cs="Times New Roman"/>
          <w:sz w:val="24"/>
          <w:szCs w:val="24"/>
          <w:lang w:val="en-GB"/>
        </w:rPr>
        <w:t xml:space="preserve">uterus </w:t>
      </w:r>
      <w:r w:rsidR="00DA22E6">
        <w:rPr>
          <w:rFonts w:ascii="Book Antiqua" w:hAnsi="Book Antiqua" w:cs="Times New Roman"/>
          <w:sz w:val="24"/>
          <w:szCs w:val="24"/>
          <w:lang w:val="en-GB"/>
        </w:rPr>
        <w:t xml:space="preserve">are shown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 xml:space="preserve">); B: Ultrasound image of </w:t>
      </w:r>
      <w:r w:rsidR="00DA22E6">
        <w:rPr>
          <w:rFonts w:ascii="Book Antiqua" w:hAnsi="Book Antiqua" w:cs="Times New Roman"/>
          <w:sz w:val="24"/>
          <w:szCs w:val="24"/>
          <w:lang w:val="en-GB"/>
        </w:rPr>
        <w:t xml:space="preserve">a </w:t>
      </w:r>
      <w:r w:rsidRPr="0087291A">
        <w:rPr>
          <w:rFonts w:ascii="Book Antiqua" w:hAnsi="Book Antiqua" w:cs="Times New Roman"/>
          <w:sz w:val="24"/>
          <w:szCs w:val="24"/>
          <w:lang w:val="en-GB"/>
        </w:rPr>
        <w:t>preoperative patient with non-uterine leiomyosarcoma. Normal uterus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extrauterine lesions </w:t>
      </w:r>
      <w:r w:rsidR="00DA22E6">
        <w:rPr>
          <w:rFonts w:ascii="Book Antiqua" w:hAnsi="Book Antiqua" w:cs="Times New Roman"/>
          <w:sz w:val="24"/>
          <w:szCs w:val="24"/>
          <w:lang w:val="en-GB"/>
        </w:rPr>
        <w:t>are shown</w:t>
      </w:r>
      <w:r w:rsidR="00DA22E6"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 C: Ultrasound image of recurrent lesions in leiomyosarcoma.</w:t>
      </w:r>
      <w:r w:rsidRPr="0087291A">
        <w:rPr>
          <w:rFonts w:ascii="Book Antiqua" w:hAnsi="Book Antiqua" w:cs="Times New Roman"/>
          <w:sz w:val="24"/>
          <w:szCs w:val="24"/>
        </w:rPr>
        <w:t xml:space="preserve"> </w:t>
      </w:r>
      <w:r w:rsidRPr="0087291A">
        <w:rPr>
          <w:rFonts w:ascii="Book Antiqua" w:hAnsi="Book Antiqua" w:cs="Times New Roman"/>
          <w:sz w:val="24"/>
          <w:szCs w:val="24"/>
          <w:lang w:val="en-GB"/>
        </w:rPr>
        <w:t>Normal vaginal stump (</w:t>
      </w:r>
      <w:r w:rsidRPr="0087291A">
        <w:rPr>
          <w:rFonts w:ascii="Book Antiqua" w:hAnsi="Book Antiqua" w:cs="Times New Roman"/>
          <w:iCs/>
          <w:sz w:val="24"/>
          <w:szCs w:val="24"/>
          <w:lang w:val="en-GB"/>
        </w:rPr>
        <w:t>asterisk</w:t>
      </w:r>
      <w:r w:rsidRPr="0087291A">
        <w:rPr>
          <w:rFonts w:ascii="Book Antiqua" w:hAnsi="Book Antiqua" w:cs="Times New Roman"/>
          <w:sz w:val="24"/>
          <w:szCs w:val="24"/>
          <w:lang w:val="en-GB"/>
        </w:rPr>
        <w:t xml:space="preserve">) and recurrent pelvic lesions </w:t>
      </w:r>
      <w:r w:rsidR="00DA22E6">
        <w:rPr>
          <w:rFonts w:ascii="Book Antiqua" w:hAnsi="Book Antiqua" w:cs="Times New Roman"/>
          <w:sz w:val="24"/>
          <w:szCs w:val="24"/>
          <w:lang w:val="en-GB"/>
        </w:rPr>
        <w:t>are shown</w:t>
      </w:r>
      <w:r w:rsidR="00DA22E6" w:rsidRPr="0087291A">
        <w:rPr>
          <w:rFonts w:ascii="Book Antiqua" w:hAnsi="Book Antiqua" w:cs="Times New Roman"/>
          <w:sz w:val="24"/>
          <w:szCs w:val="24"/>
          <w:lang w:val="en-GB"/>
        </w:rPr>
        <w:t xml:space="preserve"> </w:t>
      </w:r>
      <w:r w:rsidRPr="0087291A">
        <w:rPr>
          <w:rFonts w:ascii="Book Antiqua" w:hAnsi="Book Antiqua" w:cs="Times New Roman"/>
          <w:sz w:val="24"/>
          <w:szCs w:val="24"/>
          <w:lang w:val="en-GB"/>
        </w:rPr>
        <w:t>(</w:t>
      </w:r>
      <w:r w:rsidRPr="0087291A">
        <w:rPr>
          <w:rFonts w:ascii="Book Antiqua" w:hAnsi="Book Antiqua" w:cs="Times New Roman"/>
          <w:iCs/>
          <w:sz w:val="24"/>
          <w:szCs w:val="24"/>
          <w:lang w:val="en-GB"/>
        </w:rPr>
        <w:t>arrows</w:t>
      </w:r>
      <w:r w:rsidRPr="0087291A">
        <w:rPr>
          <w:rFonts w:ascii="Book Antiqua" w:hAnsi="Book Antiqua" w:cs="Times New Roman"/>
          <w:sz w:val="24"/>
          <w:szCs w:val="24"/>
          <w:lang w:val="en-GB"/>
        </w:rPr>
        <w:t>).</w:t>
      </w:r>
    </w:p>
    <w:p w14:paraId="53EA8F6D" w14:textId="77777777" w:rsidR="00526F76" w:rsidRPr="0087291A" w:rsidRDefault="00526F76" w:rsidP="0087291A">
      <w:pPr>
        <w:adjustRightInd w:val="0"/>
        <w:snapToGrid w:val="0"/>
        <w:spacing w:line="360" w:lineRule="auto"/>
        <w:rPr>
          <w:rFonts w:ascii="Book Antiqua" w:hAnsi="Book Antiqua" w:cs="Arial"/>
          <w:b/>
          <w:sz w:val="24"/>
          <w:szCs w:val="24"/>
          <w:lang w:val="hu-HU"/>
        </w:rPr>
      </w:pPr>
    </w:p>
    <w:p w14:paraId="688D1A44" w14:textId="77777777" w:rsidR="00526F76" w:rsidRPr="0087291A" w:rsidRDefault="00526F76" w:rsidP="0087291A">
      <w:pPr>
        <w:widowControl/>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br w:type="page"/>
      </w:r>
    </w:p>
    <w:p w14:paraId="0835A276" w14:textId="77777777"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t>Table</w:t>
      </w:r>
      <w:r w:rsidR="00526F76" w:rsidRPr="0087291A">
        <w:rPr>
          <w:rFonts w:ascii="Book Antiqua" w:hAnsi="Book Antiqua" w:cs="Arial"/>
          <w:b/>
          <w:sz w:val="24"/>
          <w:szCs w:val="24"/>
          <w:lang w:val="hu-HU"/>
        </w:rPr>
        <w:t xml:space="preserve"> </w:t>
      </w:r>
      <w:r w:rsidRPr="0087291A">
        <w:rPr>
          <w:rFonts w:ascii="Book Antiqua" w:hAnsi="Book Antiqua" w:cs="Arial"/>
          <w:b/>
          <w:sz w:val="24"/>
          <w:szCs w:val="24"/>
          <w:lang w:val="hu-HU"/>
        </w:rPr>
        <w:t>1 Basic demograp</w:t>
      </w:r>
      <w:r w:rsidR="00526F76" w:rsidRPr="0087291A">
        <w:rPr>
          <w:rFonts w:ascii="Book Antiqua" w:hAnsi="Book Antiqua" w:cs="Arial"/>
          <w:b/>
          <w:sz w:val="24"/>
          <w:szCs w:val="24"/>
          <w:lang w:val="hu-HU"/>
        </w:rPr>
        <w:t>hic characteristics of patients</w:t>
      </w:r>
    </w:p>
    <w:tbl>
      <w:tblPr>
        <w:tblW w:w="10632" w:type="dxa"/>
        <w:tblInd w:w="-709" w:type="dxa"/>
        <w:tblBorders>
          <w:top w:val="single" w:sz="4" w:space="0" w:color="auto"/>
          <w:bottom w:val="single" w:sz="4" w:space="0" w:color="auto"/>
        </w:tblBorders>
        <w:tblLook w:val="04A0" w:firstRow="1" w:lastRow="0" w:firstColumn="1" w:lastColumn="0" w:noHBand="0" w:noVBand="1"/>
      </w:tblPr>
      <w:tblGrid>
        <w:gridCol w:w="4962"/>
        <w:gridCol w:w="2835"/>
        <w:gridCol w:w="2835"/>
      </w:tblGrid>
      <w:tr w:rsidR="001F565A" w:rsidRPr="0087291A" w14:paraId="51E499E4" w14:textId="77777777" w:rsidTr="00194848">
        <w:trPr>
          <w:trHeight w:val="284"/>
        </w:trPr>
        <w:tc>
          <w:tcPr>
            <w:tcW w:w="4962" w:type="dxa"/>
            <w:tcBorders>
              <w:top w:val="single" w:sz="4" w:space="0" w:color="auto"/>
              <w:bottom w:val="single" w:sz="4" w:space="0" w:color="auto"/>
            </w:tcBorders>
            <w:shd w:val="clear" w:color="auto" w:fill="auto"/>
            <w:noWrap/>
            <w:hideMark/>
          </w:tcPr>
          <w:p w14:paraId="0CA630BC" w14:textId="369D6E75"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Characteristic</w:t>
            </w:r>
          </w:p>
        </w:tc>
        <w:tc>
          <w:tcPr>
            <w:tcW w:w="2835" w:type="dxa"/>
            <w:tcBorders>
              <w:top w:val="single" w:sz="4" w:space="0" w:color="auto"/>
              <w:bottom w:val="single" w:sz="4" w:space="0" w:color="auto"/>
            </w:tcBorders>
            <w:shd w:val="clear" w:color="auto" w:fill="auto"/>
            <w:noWrap/>
            <w:hideMark/>
          </w:tcPr>
          <w:p w14:paraId="5EA841AF" w14:textId="77777777" w:rsidR="001F565A" w:rsidRPr="0087291A" w:rsidRDefault="005A5B77"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Uterine </w:t>
            </w:r>
            <w:r w:rsidR="001F565A" w:rsidRPr="0087291A">
              <w:rPr>
                <w:rFonts w:ascii="Book Antiqua" w:hAnsi="Book Antiqua" w:cs="Times New Roman"/>
                <w:b/>
                <w:sz w:val="24"/>
                <w:szCs w:val="24"/>
                <w:lang w:val="en-GB"/>
              </w:rPr>
              <w:t>leiomyosarcoma</w:t>
            </w:r>
            <w:r w:rsidR="001F565A" w:rsidRPr="0087291A">
              <w:rPr>
                <w:rFonts w:ascii="Book Antiqua" w:hAnsi="Book Antiqua" w:cs="Times New Roman"/>
                <w:b/>
                <w:sz w:val="24"/>
                <w:szCs w:val="24"/>
              </w:rPr>
              <w:t xml:space="preserve"> (</w:t>
            </w:r>
            <w:r w:rsidR="001F565A"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35)</w:t>
            </w:r>
          </w:p>
        </w:tc>
        <w:tc>
          <w:tcPr>
            <w:tcW w:w="2835" w:type="dxa"/>
            <w:tcBorders>
              <w:top w:val="single" w:sz="4" w:space="0" w:color="auto"/>
              <w:bottom w:val="single" w:sz="4" w:space="0" w:color="auto"/>
            </w:tcBorders>
            <w:shd w:val="clear" w:color="auto" w:fill="auto"/>
            <w:noWrap/>
            <w:hideMark/>
          </w:tcPr>
          <w:p w14:paraId="77ECC8E9" w14:textId="77777777" w:rsidR="001F565A" w:rsidRPr="0087291A" w:rsidRDefault="005A5B77"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Non-uterine leiomyosarcoma </w:t>
            </w:r>
            <w:r w:rsidR="001F565A" w:rsidRPr="0087291A">
              <w:rPr>
                <w:rFonts w:ascii="Book Antiqua" w:hAnsi="Book Antiqua" w:cs="Times New Roman"/>
                <w:b/>
                <w:sz w:val="24"/>
                <w:szCs w:val="24"/>
              </w:rPr>
              <w:t>(</w:t>
            </w:r>
            <w:r w:rsidR="001F565A"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1F565A" w:rsidRPr="0087291A">
              <w:rPr>
                <w:rFonts w:ascii="Book Antiqua" w:hAnsi="Book Antiqua" w:cs="Times New Roman"/>
                <w:b/>
                <w:sz w:val="24"/>
                <w:szCs w:val="24"/>
              </w:rPr>
              <w:t>16)</w:t>
            </w:r>
          </w:p>
        </w:tc>
      </w:tr>
      <w:tr w:rsidR="001F565A" w:rsidRPr="0087291A" w14:paraId="0500E5C0" w14:textId="77777777" w:rsidTr="00194848">
        <w:trPr>
          <w:trHeight w:val="284"/>
        </w:trPr>
        <w:tc>
          <w:tcPr>
            <w:tcW w:w="4962" w:type="dxa"/>
            <w:tcBorders>
              <w:top w:val="single" w:sz="4" w:space="0" w:color="auto"/>
            </w:tcBorders>
            <w:shd w:val="clear" w:color="auto" w:fill="auto"/>
            <w:noWrap/>
            <w:hideMark/>
          </w:tcPr>
          <w:p w14:paraId="49F0946C" w14:textId="2419A9CF" w:rsidR="001F565A" w:rsidRPr="0087291A" w:rsidRDefault="005A5B77">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Age </w:t>
            </w:r>
            <w:r w:rsidR="001F565A" w:rsidRPr="0087291A">
              <w:rPr>
                <w:rFonts w:ascii="Book Antiqua" w:hAnsi="Book Antiqua" w:cs="Times New Roman"/>
                <w:sz w:val="24"/>
                <w:szCs w:val="24"/>
              </w:rPr>
              <w:t>[</w:t>
            </w:r>
            <w:r w:rsidR="00D36857">
              <w:rPr>
                <w:rFonts w:ascii="Book Antiqua" w:hAnsi="Book Antiqua" w:cs="Times New Roman"/>
                <w:sz w:val="24"/>
                <w:szCs w:val="24"/>
              </w:rPr>
              <w:t>m</w:t>
            </w:r>
            <w:r w:rsidR="00D36857" w:rsidRPr="0087291A">
              <w:rPr>
                <w:rFonts w:ascii="Book Antiqua" w:hAnsi="Book Antiqua" w:cs="Times New Roman"/>
                <w:sz w:val="24"/>
                <w:szCs w:val="24"/>
              </w:rPr>
              <w:t xml:space="preserve">ean </w:t>
            </w:r>
            <w:r w:rsidR="001F565A" w:rsidRPr="0087291A">
              <w:rPr>
                <w:rFonts w:ascii="Book Antiqua" w:hAnsi="Book Antiqua" w:cs="Times New Roman"/>
                <w:sz w:val="24"/>
                <w:szCs w:val="24"/>
              </w:rPr>
              <w:t>(range)]</w:t>
            </w:r>
            <w:r w:rsidRPr="0087291A">
              <w:rPr>
                <w:rFonts w:ascii="Book Antiqua" w:hAnsi="Book Antiqua" w:cs="Times New Roman"/>
                <w:sz w:val="24"/>
                <w:szCs w:val="24"/>
              </w:rPr>
              <w:t>, yr</w:t>
            </w:r>
          </w:p>
        </w:tc>
        <w:tc>
          <w:tcPr>
            <w:tcW w:w="2835" w:type="dxa"/>
            <w:tcBorders>
              <w:top w:val="single" w:sz="4" w:space="0" w:color="auto"/>
            </w:tcBorders>
            <w:shd w:val="clear" w:color="auto" w:fill="auto"/>
            <w:noWrap/>
            <w:hideMark/>
          </w:tcPr>
          <w:p w14:paraId="2D7ACFD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49.6</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(32-71)</w:t>
            </w:r>
          </w:p>
        </w:tc>
        <w:tc>
          <w:tcPr>
            <w:tcW w:w="2835" w:type="dxa"/>
            <w:tcBorders>
              <w:top w:val="single" w:sz="4" w:space="0" w:color="auto"/>
            </w:tcBorders>
            <w:shd w:val="clear" w:color="auto" w:fill="auto"/>
            <w:noWrap/>
            <w:hideMark/>
          </w:tcPr>
          <w:p w14:paraId="5B847EC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46.0</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(29-66)</w:t>
            </w:r>
          </w:p>
        </w:tc>
      </w:tr>
      <w:tr w:rsidR="001F565A" w:rsidRPr="0087291A" w14:paraId="133780DE" w14:textId="77777777" w:rsidTr="00194848">
        <w:trPr>
          <w:trHeight w:val="284"/>
        </w:trPr>
        <w:tc>
          <w:tcPr>
            <w:tcW w:w="10632" w:type="dxa"/>
            <w:gridSpan w:val="3"/>
            <w:shd w:val="clear" w:color="auto" w:fill="auto"/>
            <w:noWrap/>
            <w:hideMark/>
          </w:tcPr>
          <w:p w14:paraId="0E7AAC7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Menopause,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r>
      <w:tr w:rsidR="001F565A" w:rsidRPr="0087291A" w14:paraId="4355FBE5" w14:textId="77777777" w:rsidTr="00194848">
        <w:trPr>
          <w:trHeight w:val="284"/>
        </w:trPr>
        <w:tc>
          <w:tcPr>
            <w:tcW w:w="4962" w:type="dxa"/>
            <w:shd w:val="clear" w:color="auto" w:fill="auto"/>
            <w:noWrap/>
            <w:hideMark/>
          </w:tcPr>
          <w:p w14:paraId="53576F22" w14:textId="77777777" w:rsidR="001F565A" w:rsidRPr="0087291A" w:rsidRDefault="005A5B77"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No</w:t>
            </w:r>
          </w:p>
        </w:tc>
        <w:tc>
          <w:tcPr>
            <w:tcW w:w="2835" w:type="dxa"/>
            <w:shd w:val="clear" w:color="auto" w:fill="auto"/>
            <w:noWrap/>
            <w:hideMark/>
          </w:tcPr>
          <w:p w14:paraId="5C4F44D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w:t>
            </w:r>
            <w:r w:rsidR="005A5B77" w:rsidRPr="0087291A">
              <w:rPr>
                <w:rFonts w:ascii="Book Antiqua" w:hAnsi="Book Antiqua" w:cs="Times New Roman"/>
                <w:sz w:val="24"/>
                <w:szCs w:val="24"/>
              </w:rPr>
              <w:t xml:space="preserve"> (60</w:t>
            </w:r>
            <w:r w:rsidRPr="0087291A">
              <w:rPr>
                <w:rFonts w:ascii="Book Antiqua" w:hAnsi="Book Antiqua" w:cs="Times New Roman"/>
                <w:sz w:val="24"/>
                <w:szCs w:val="24"/>
              </w:rPr>
              <w:t>)</w:t>
            </w:r>
          </w:p>
        </w:tc>
        <w:tc>
          <w:tcPr>
            <w:tcW w:w="2835" w:type="dxa"/>
            <w:shd w:val="clear" w:color="auto" w:fill="auto"/>
            <w:noWrap/>
            <w:hideMark/>
          </w:tcPr>
          <w:p w14:paraId="680FDB1E"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 (56.3</w:t>
            </w:r>
            <w:r w:rsidR="001F565A" w:rsidRPr="0087291A">
              <w:rPr>
                <w:rFonts w:ascii="Book Antiqua" w:hAnsi="Book Antiqua" w:cs="Times New Roman"/>
                <w:sz w:val="24"/>
                <w:szCs w:val="24"/>
              </w:rPr>
              <w:t>)</w:t>
            </w:r>
          </w:p>
        </w:tc>
      </w:tr>
      <w:tr w:rsidR="001F565A" w:rsidRPr="0087291A" w14:paraId="2ED5D943" w14:textId="77777777" w:rsidTr="00194848">
        <w:trPr>
          <w:trHeight w:val="284"/>
        </w:trPr>
        <w:tc>
          <w:tcPr>
            <w:tcW w:w="4962" w:type="dxa"/>
            <w:shd w:val="clear" w:color="auto" w:fill="auto"/>
            <w:noWrap/>
            <w:hideMark/>
          </w:tcPr>
          <w:p w14:paraId="54AD4C8B" w14:textId="77777777" w:rsidR="001F565A" w:rsidRPr="0087291A" w:rsidRDefault="005A5B77"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Yes</w:t>
            </w:r>
          </w:p>
        </w:tc>
        <w:tc>
          <w:tcPr>
            <w:tcW w:w="2835" w:type="dxa"/>
            <w:shd w:val="clear" w:color="auto" w:fill="auto"/>
            <w:noWrap/>
            <w:hideMark/>
          </w:tcPr>
          <w:p w14:paraId="175E4DD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5A5B77" w:rsidRPr="0087291A">
              <w:rPr>
                <w:rFonts w:ascii="Book Antiqua" w:hAnsi="Book Antiqua" w:cs="Times New Roman"/>
                <w:sz w:val="24"/>
                <w:szCs w:val="24"/>
              </w:rPr>
              <w:t xml:space="preserve"> (40</w:t>
            </w:r>
            <w:r w:rsidRPr="0087291A">
              <w:rPr>
                <w:rFonts w:ascii="Book Antiqua" w:hAnsi="Book Antiqua" w:cs="Times New Roman"/>
                <w:sz w:val="24"/>
                <w:szCs w:val="24"/>
              </w:rPr>
              <w:t>)</w:t>
            </w:r>
          </w:p>
        </w:tc>
        <w:tc>
          <w:tcPr>
            <w:tcW w:w="2835" w:type="dxa"/>
            <w:shd w:val="clear" w:color="auto" w:fill="auto"/>
            <w:noWrap/>
            <w:hideMark/>
          </w:tcPr>
          <w:p w14:paraId="17DDB0D7"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 (43.7</w:t>
            </w:r>
            <w:r w:rsidR="001F565A" w:rsidRPr="0087291A">
              <w:rPr>
                <w:rFonts w:ascii="Book Antiqua" w:hAnsi="Book Antiqua" w:cs="Times New Roman"/>
                <w:sz w:val="24"/>
                <w:szCs w:val="24"/>
              </w:rPr>
              <w:t>)</w:t>
            </w:r>
          </w:p>
        </w:tc>
      </w:tr>
      <w:tr w:rsidR="001F565A" w:rsidRPr="0087291A" w14:paraId="4FEB71E7" w14:textId="77777777" w:rsidTr="00194848">
        <w:trPr>
          <w:trHeight w:val="284"/>
        </w:trPr>
        <w:tc>
          <w:tcPr>
            <w:tcW w:w="4962" w:type="dxa"/>
            <w:shd w:val="clear" w:color="auto" w:fill="auto"/>
            <w:noWrap/>
            <w:hideMark/>
          </w:tcPr>
          <w:p w14:paraId="5CFC98C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Medical disease,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c>
          <w:tcPr>
            <w:tcW w:w="2835" w:type="dxa"/>
            <w:shd w:val="clear" w:color="auto" w:fill="auto"/>
            <w:noWrap/>
            <w:hideMark/>
          </w:tcPr>
          <w:p w14:paraId="617F2340"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6578373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25CC166" w14:textId="77777777" w:rsidTr="00194848">
        <w:trPr>
          <w:trHeight w:val="284"/>
        </w:trPr>
        <w:tc>
          <w:tcPr>
            <w:tcW w:w="4962" w:type="dxa"/>
            <w:shd w:val="clear" w:color="auto" w:fill="auto"/>
            <w:noWrap/>
            <w:hideMark/>
          </w:tcPr>
          <w:p w14:paraId="167D8FD9"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Hypertension</w:t>
            </w:r>
          </w:p>
        </w:tc>
        <w:tc>
          <w:tcPr>
            <w:tcW w:w="2835" w:type="dxa"/>
            <w:shd w:val="clear" w:color="auto" w:fill="auto"/>
            <w:noWrap/>
            <w:hideMark/>
          </w:tcPr>
          <w:p w14:paraId="6A044502"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 (17.1</w:t>
            </w:r>
            <w:r w:rsidR="001F565A" w:rsidRPr="0087291A">
              <w:rPr>
                <w:rFonts w:ascii="Book Antiqua" w:hAnsi="Book Antiqua" w:cs="Times New Roman"/>
                <w:sz w:val="24"/>
                <w:szCs w:val="24"/>
              </w:rPr>
              <w:t>)</w:t>
            </w:r>
          </w:p>
        </w:tc>
        <w:tc>
          <w:tcPr>
            <w:tcW w:w="2835" w:type="dxa"/>
            <w:shd w:val="clear" w:color="auto" w:fill="auto"/>
            <w:noWrap/>
            <w:hideMark/>
          </w:tcPr>
          <w:p w14:paraId="40D83B0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(12.5</w:t>
            </w:r>
            <w:r w:rsidRPr="0087291A">
              <w:rPr>
                <w:rFonts w:ascii="Book Antiqua" w:hAnsi="Book Antiqua" w:cs="Times New Roman"/>
                <w:sz w:val="24"/>
                <w:szCs w:val="24"/>
              </w:rPr>
              <w:t>)</w:t>
            </w:r>
          </w:p>
        </w:tc>
      </w:tr>
      <w:tr w:rsidR="001F565A" w:rsidRPr="0087291A" w14:paraId="4649A7AE" w14:textId="77777777" w:rsidTr="00194848">
        <w:trPr>
          <w:trHeight w:val="284"/>
        </w:trPr>
        <w:tc>
          <w:tcPr>
            <w:tcW w:w="4962" w:type="dxa"/>
            <w:shd w:val="clear" w:color="auto" w:fill="auto"/>
            <w:noWrap/>
            <w:hideMark/>
          </w:tcPr>
          <w:p w14:paraId="7B7441B0"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Diabetes mellitus</w:t>
            </w:r>
          </w:p>
        </w:tc>
        <w:tc>
          <w:tcPr>
            <w:tcW w:w="2835" w:type="dxa"/>
            <w:shd w:val="clear" w:color="auto" w:fill="auto"/>
            <w:noWrap/>
            <w:hideMark/>
          </w:tcPr>
          <w:p w14:paraId="360902C3"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(2.9</w:t>
            </w:r>
            <w:r w:rsidR="001F565A" w:rsidRPr="0087291A">
              <w:rPr>
                <w:rFonts w:ascii="Book Antiqua" w:hAnsi="Book Antiqua" w:cs="Times New Roman"/>
                <w:sz w:val="24"/>
                <w:szCs w:val="24"/>
              </w:rPr>
              <w:t>)</w:t>
            </w:r>
          </w:p>
        </w:tc>
        <w:tc>
          <w:tcPr>
            <w:tcW w:w="2835" w:type="dxa"/>
            <w:shd w:val="clear" w:color="auto" w:fill="auto"/>
            <w:noWrap/>
            <w:hideMark/>
          </w:tcPr>
          <w:p w14:paraId="12BBB63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(1</w:t>
            </w:r>
            <w:r w:rsidR="005A5B77" w:rsidRPr="0087291A">
              <w:rPr>
                <w:rFonts w:ascii="Book Antiqua" w:hAnsi="Book Antiqua" w:cs="Times New Roman"/>
                <w:sz w:val="24"/>
                <w:szCs w:val="24"/>
              </w:rPr>
              <w:t>2.5</w:t>
            </w:r>
            <w:r w:rsidRPr="0087291A">
              <w:rPr>
                <w:rFonts w:ascii="Book Antiqua" w:hAnsi="Book Antiqua" w:cs="Times New Roman"/>
                <w:sz w:val="24"/>
                <w:szCs w:val="24"/>
              </w:rPr>
              <w:t>)</w:t>
            </w:r>
          </w:p>
        </w:tc>
      </w:tr>
      <w:tr w:rsidR="001F565A" w:rsidRPr="0087291A" w14:paraId="13F5D229" w14:textId="77777777" w:rsidTr="00194848">
        <w:trPr>
          <w:trHeight w:val="284"/>
        </w:trPr>
        <w:tc>
          <w:tcPr>
            <w:tcW w:w="4962" w:type="dxa"/>
            <w:shd w:val="clear" w:color="auto" w:fill="auto"/>
            <w:noWrap/>
            <w:hideMark/>
          </w:tcPr>
          <w:p w14:paraId="12B2A04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History of operation,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c>
          <w:tcPr>
            <w:tcW w:w="2835" w:type="dxa"/>
            <w:shd w:val="clear" w:color="auto" w:fill="auto"/>
            <w:noWrap/>
            <w:hideMark/>
          </w:tcPr>
          <w:p w14:paraId="69BC2E2B"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7344080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257976B" w14:textId="77777777" w:rsidTr="00194848">
        <w:trPr>
          <w:trHeight w:val="284"/>
        </w:trPr>
        <w:tc>
          <w:tcPr>
            <w:tcW w:w="4962" w:type="dxa"/>
            <w:shd w:val="clear" w:color="auto" w:fill="auto"/>
            <w:noWrap/>
            <w:hideMark/>
          </w:tcPr>
          <w:p w14:paraId="588C370D" w14:textId="07942DA3" w:rsidR="001F565A" w:rsidRPr="0087291A" w:rsidRDefault="00DA22E6" w:rsidP="0087291A">
            <w:pPr>
              <w:snapToGrid w:val="0"/>
              <w:spacing w:line="360" w:lineRule="auto"/>
              <w:ind w:firstLineChars="50" w:firstLine="120"/>
              <w:rPr>
                <w:rFonts w:ascii="Book Antiqua" w:hAnsi="Book Antiqua" w:cs="Times New Roman"/>
                <w:sz w:val="24"/>
                <w:szCs w:val="24"/>
              </w:rPr>
            </w:pPr>
            <w:r>
              <w:rPr>
                <w:rFonts w:ascii="Book Antiqua" w:hAnsi="Book Antiqua" w:cs="Times New Roman"/>
                <w:sz w:val="24"/>
                <w:szCs w:val="24"/>
              </w:rPr>
              <w:t>H</w:t>
            </w:r>
            <w:r w:rsidR="001F565A" w:rsidRPr="0087291A">
              <w:rPr>
                <w:rFonts w:ascii="Book Antiqua" w:hAnsi="Book Antiqua" w:cs="Times New Roman"/>
                <w:sz w:val="24"/>
                <w:szCs w:val="24"/>
              </w:rPr>
              <w:t>ysteromyoma surgery</w:t>
            </w:r>
          </w:p>
        </w:tc>
        <w:tc>
          <w:tcPr>
            <w:tcW w:w="2835" w:type="dxa"/>
            <w:shd w:val="clear" w:color="auto" w:fill="auto"/>
            <w:noWrap/>
            <w:hideMark/>
          </w:tcPr>
          <w:p w14:paraId="1628C47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20</w:t>
            </w:r>
            <w:r w:rsidR="005A5B77" w:rsidRPr="0087291A">
              <w:rPr>
                <w:rFonts w:ascii="Book Antiqua" w:hAnsi="Book Antiqua" w:cs="Times New Roman"/>
                <w:sz w:val="24"/>
                <w:szCs w:val="24"/>
              </w:rPr>
              <w:t xml:space="preserve"> (57.1</w:t>
            </w:r>
            <w:r w:rsidRPr="0087291A">
              <w:rPr>
                <w:rFonts w:ascii="Book Antiqua" w:hAnsi="Book Antiqua" w:cs="Times New Roman"/>
                <w:sz w:val="24"/>
                <w:szCs w:val="24"/>
              </w:rPr>
              <w:t>)</w:t>
            </w:r>
          </w:p>
        </w:tc>
        <w:tc>
          <w:tcPr>
            <w:tcW w:w="2835" w:type="dxa"/>
            <w:shd w:val="clear" w:color="auto" w:fill="auto"/>
            <w:noWrap/>
            <w:hideMark/>
          </w:tcPr>
          <w:p w14:paraId="3506D64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(37.5</w:t>
            </w:r>
            <w:r w:rsidRPr="0087291A">
              <w:rPr>
                <w:rFonts w:ascii="Book Antiqua" w:hAnsi="Book Antiqua" w:cs="Times New Roman"/>
                <w:sz w:val="24"/>
                <w:szCs w:val="24"/>
              </w:rPr>
              <w:t>)</w:t>
            </w:r>
          </w:p>
        </w:tc>
      </w:tr>
      <w:tr w:rsidR="001F565A" w:rsidRPr="0087291A" w14:paraId="2F70BEFA" w14:textId="77777777" w:rsidTr="00194848">
        <w:trPr>
          <w:trHeight w:val="284"/>
        </w:trPr>
        <w:tc>
          <w:tcPr>
            <w:tcW w:w="4962" w:type="dxa"/>
            <w:shd w:val="clear" w:color="auto" w:fill="auto"/>
            <w:noWrap/>
            <w:hideMark/>
          </w:tcPr>
          <w:p w14:paraId="5558C919"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Cesarean section</w:t>
            </w:r>
          </w:p>
        </w:tc>
        <w:tc>
          <w:tcPr>
            <w:tcW w:w="2835" w:type="dxa"/>
            <w:shd w:val="clear" w:color="auto" w:fill="auto"/>
            <w:noWrap/>
            <w:hideMark/>
          </w:tcPr>
          <w:p w14:paraId="4A27AD2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5A5B77" w:rsidRPr="0087291A">
              <w:rPr>
                <w:rFonts w:ascii="Book Antiqua" w:hAnsi="Book Antiqua" w:cs="Times New Roman"/>
                <w:sz w:val="24"/>
                <w:szCs w:val="24"/>
              </w:rPr>
              <w:t xml:space="preserve"> (14.3</w:t>
            </w:r>
            <w:r w:rsidRPr="0087291A">
              <w:rPr>
                <w:rFonts w:ascii="Book Antiqua" w:hAnsi="Book Antiqua" w:cs="Times New Roman"/>
                <w:sz w:val="24"/>
                <w:szCs w:val="24"/>
              </w:rPr>
              <w:t>)</w:t>
            </w:r>
          </w:p>
        </w:tc>
        <w:tc>
          <w:tcPr>
            <w:tcW w:w="2835" w:type="dxa"/>
            <w:shd w:val="clear" w:color="auto" w:fill="auto"/>
            <w:noWrap/>
            <w:hideMark/>
          </w:tcPr>
          <w:p w14:paraId="6F29BE2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w:t>
            </w:r>
            <w:r w:rsidR="005A5B77" w:rsidRPr="0087291A">
              <w:rPr>
                <w:rFonts w:ascii="Book Antiqua" w:hAnsi="Book Antiqua" w:cs="Times New Roman"/>
                <w:sz w:val="24"/>
                <w:szCs w:val="24"/>
              </w:rPr>
              <w:t xml:space="preserve"> (18.8</w:t>
            </w:r>
            <w:r w:rsidRPr="0087291A">
              <w:rPr>
                <w:rFonts w:ascii="Book Antiqua" w:hAnsi="Book Antiqua" w:cs="Times New Roman"/>
                <w:sz w:val="24"/>
                <w:szCs w:val="24"/>
              </w:rPr>
              <w:t>)</w:t>
            </w:r>
          </w:p>
        </w:tc>
      </w:tr>
      <w:tr w:rsidR="001F565A" w:rsidRPr="0087291A" w14:paraId="4F1193A6" w14:textId="77777777" w:rsidTr="00194848">
        <w:trPr>
          <w:trHeight w:val="284"/>
        </w:trPr>
        <w:tc>
          <w:tcPr>
            <w:tcW w:w="4962" w:type="dxa"/>
            <w:shd w:val="clear" w:color="auto" w:fill="auto"/>
            <w:noWrap/>
            <w:hideMark/>
          </w:tcPr>
          <w:p w14:paraId="135B4A60" w14:textId="0356B32C" w:rsidR="001F565A" w:rsidRPr="0087291A" w:rsidRDefault="001F565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Other</w:t>
            </w:r>
            <w:r w:rsidR="00DA22E6">
              <w:rPr>
                <w:rFonts w:ascii="Book Antiqua" w:hAnsi="Book Antiqua" w:cs="Times New Roman"/>
                <w:sz w:val="24"/>
                <w:szCs w:val="24"/>
              </w:rPr>
              <w:t xml:space="preserve"> </w:t>
            </w:r>
            <w:r w:rsidRPr="0087291A">
              <w:rPr>
                <w:rFonts w:ascii="Book Antiqua" w:hAnsi="Book Antiqua" w:cs="Times New Roman"/>
                <w:sz w:val="24"/>
                <w:szCs w:val="24"/>
              </w:rPr>
              <w:t xml:space="preserve">abdominal </w:t>
            </w:r>
            <w:r w:rsidR="00DA22E6" w:rsidRPr="0087291A">
              <w:rPr>
                <w:rFonts w:ascii="Book Antiqua" w:hAnsi="Book Antiqua" w:cs="Times New Roman"/>
                <w:sz w:val="24"/>
                <w:szCs w:val="24"/>
              </w:rPr>
              <w:t>surger</w:t>
            </w:r>
            <w:r w:rsidR="00DA22E6">
              <w:rPr>
                <w:rFonts w:ascii="Book Antiqua" w:hAnsi="Book Antiqua" w:cs="Times New Roman"/>
                <w:sz w:val="24"/>
                <w:szCs w:val="24"/>
              </w:rPr>
              <w:t>ies</w:t>
            </w:r>
            <w:r w:rsidR="00DA22E6" w:rsidRPr="0087291A">
              <w:rPr>
                <w:rFonts w:ascii="Book Antiqua" w:hAnsi="Book Antiqua" w:cs="Times New Roman"/>
                <w:sz w:val="24"/>
                <w:szCs w:val="24"/>
                <w:vertAlign w:val="superscript"/>
              </w:rPr>
              <w:t>1</w:t>
            </w:r>
          </w:p>
        </w:tc>
        <w:tc>
          <w:tcPr>
            <w:tcW w:w="2835" w:type="dxa"/>
            <w:shd w:val="clear" w:color="auto" w:fill="auto"/>
            <w:noWrap/>
            <w:hideMark/>
          </w:tcPr>
          <w:p w14:paraId="3040F8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w:t>
            </w:r>
            <w:r w:rsidR="005A5B77" w:rsidRPr="0087291A">
              <w:rPr>
                <w:rFonts w:ascii="Book Antiqua" w:hAnsi="Book Antiqua" w:cs="Times New Roman"/>
                <w:sz w:val="24"/>
                <w:szCs w:val="24"/>
              </w:rPr>
              <w:t xml:space="preserve"> (22.9</w:t>
            </w:r>
            <w:r w:rsidRPr="0087291A">
              <w:rPr>
                <w:rFonts w:ascii="Book Antiqua" w:hAnsi="Book Antiqua" w:cs="Times New Roman"/>
                <w:sz w:val="24"/>
                <w:szCs w:val="24"/>
              </w:rPr>
              <w:t>)</w:t>
            </w:r>
          </w:p>
        </w:tc>
        <w:tc>
          <w:tcPr>
            <w:tcW w:w="2835" w:type="dxa"/>
            <w:shd w:val="clear" w:color="auto" w:fill="auto"/>
            <w:noWrap/>
            <w:hideMark/>
          </w:tcPr>
          <w:p w14:paraId="4781867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(37.5</w:t>
            </w:r>
            <w:r w:rsidRPr="0087291A">
              <w:rPr>
                <w:rFonts w:ascii="Book Antiqua" w:hAnsi="Book Antiqua" w:cs="Times New Roman"/>
                <w:sz w:val="24"/>
                <w:szCs w:val="24"/>
              </w:rPr>
              <w:t>)</w:t>
            </w:r>
          </w:p>
        </w:tc>
      </w:tr>
      <w:tr w:rsidR="001F565A" w:rsidRPr="0087291A" w14:paraId="4AEA6ECE" w14:textId="77777777" w:rsidTr="00194848">
        <w:trPr>
          <w:trHeight w:val="284"/>
        </w:trPr>
        <w:tc>
          <w:tcPr>
            <w:tcW w:w="10632" w:type="dxa"/>
            <w:gridSpan w:val="3"/>
            <w:shd w:val="clear" w:color="auto" w:fill="auto"/>
            <w:noWrap/>
            <w:hideMark/>
          </w:tcPr>
          <w:p w14:paraId="705A152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 xml:space="preserve">Clinical symptoms, </w:t>
            </w:r>
            <w:r w:rsidRPr="0087291A">
              <w:rPr>
                <w:rFonts w:ascii="Book Antiqua" w:hAnsi="Book Antiqua" w:cs="Times New Roman"/>
                <w:i/>
                <w:sz w:val="24"/>
                <w:szCs w:val="24"/>
              </w:rPr>
              <w:t>n</w:t>
            </w:r>
            <w:r w:rsidRPr="0087291A">
              <w:rPr>
                <w:rFonts w:ascii="Book Antiqua" w:hAnsi="Book Antiqua" w:cs="Times New Roman"/>
                <w:sz w:val="24"/>
                <w:szCs w:val="24"/>
              </w:rPr>
              <w:t xml:space="preserve"> (%)</w:t>
            </w:r>
          </w:p>
        </w:tc>
      </w:tr>
      <w:tr w:rsidR="001F565A" w:rsidRPr="0087291A" w14:paraId="43F89FB5" w14:textId="77777777" w:rsidTr="00194848">
        <w:trPr>
          <w:trHeight w:val="284"/>
        </w:trPr>
        <w:tc>
          <w:tcPr>
            <w:tcW w:w="4962" w:type="dxa"/>
            <w:shd w:val="clear" w:color="auto" w:fill="auto"/>
            <w:noWrap/>
            <w:hideMark/>
          </w:tcPr>
          <w:p w14:paraId="1EA9B592"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Menorrhagia and menstrual disorder</w:t>
            </w:r>
          </w:p>
        </w:tc>
        <w:tc>
          <w:tcPr>
            <w:tcW w:w="2835" w:type="dxa"/>
            <w:shd w:val="clear" w:color="auto" w:fill="auto"/>
            <w:noWrap/>
            <w:hideMark/>
          </w:tcPr>
          <w:p w14:paraId="6FA7689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w:t>
            </w:r>
            <w:r w:rsidR="005A5B77" w:rsidRPr="0087291A">
              <w:rPr>
                <w:rFonts w:ascii="Book Antiqua" w:hAnsi="Book Antiqua" w:cs="Times New Roman"/>
                <w:sz w:val="24"/>
                <w:szCs w:val="24"/>
              </w:rPr>
              <w:t xml:space="preserve"> (25.7</w:t>
            </w:r>
            <w:r w:rsidRPr="0087291A">
              <w:rPr>
                <w:rFonts w:ascii="Book Antiqua" w:hAnsi="Book Antiqua" w:cs="Times New Roman"/>
                <w:sz w:val="24"/>
                <w:szCs w:val="24"/>
              </w:rPr>
              <w:t>)</w:t>
            </w:r>
          </w:p>
        </w:tc>
        <w:tc>
          <w:tcPr>
            <w:tcW w:w="2835" w:type="dxa"/>
            <w:shd w:val="clear" w:color="auto" w:fill="auto"/>
            <w:noWrap/>
            <w:hideMark/>
          </w:tcPr>
          <w:p w14:paraId="046579A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5A5B77" w:rsidRPr="0087291A">
              <w:rPr>
                <w:rFonts w:ascii="Book Antiqua" w:hAnsi="Book Antiqua" w:cs="Times New Roman"/>
                <w:sz w:val="24"/>
                <w:szCs w:val="24"/>
              </w:rPr>
              <w:t xml:space="preserve"> (0</w:t>
            </w:r>
            <w:r w:rsidRPr="0087291A">
              <w:rPr>
                <w:rFonts w:ascii="Book Antiqua" w:hAnsi="Book Antiqua" w:cs="Times New Roman"/>
                <w:sz w:val="24"/>
                <w:szCs w:val="24"/>
              </w:rPr>
              <w:t>)</w:t>
            </w:r>
          </w:p>
        </w:tc>
      </w:tr>
      <w:tr w:rsidR="001F565A" w:rsidRPr="0087291A" w14:paraId="4685E10B" w14:textId="77777777" w:rsidTr="00194848">
        <w:trPr>
          <w:trHeight w:val="284"/>
        </w:trPr>
        <w:tc>
          <w:tcPr>
            <w:tcW w:w="4962" w:type="dxa"/>
            <w:shd w:val="clear" w:color="auto" w:fill="auto"/>
            <w:noWrap/>
            <w:hideMark/>
          </w:tcPr>
          <w:p w14:paraId="3413CAC1"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Abdominal pain and abdominal distention</w:t>
            </w:r>
          </w:p>
        </w:tc>
        <w:tc>
          <w:tcPr>
            <w:tcW w:w="2835" w:type="dxa"/>
            <w:shd w:val="clear" w:color="auto" w:fill="auto"/>
            <w:noWrap/>
            <w:hideMark/>
          </w:tcPr>
          <w:p w14:paraId="76562C7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5A5B77" w:rsidRPr="0087291A">
              <w:rPr>
                <w:rFonts w:ascii="Book Antiqua" w:hAnsi="Book Antiqua" w:cs="Times New Roman"/>
                <w:sz w:val="24"/>
                <w:szCs w:val="24"/>
              </w:rPr>
              <w:t xml:space="preserve"> (17.1</w:t>
            </w:r>
            <w:r w:rsidRPr="0087291A">
              <w:rPr>
                <w:rFonts w:ascii="Book Antiqua" w:hAnsi="Book Antiqua" w:cs="Times New Roman"/>
                <w:sz w:val="24"/>
                <w:szCs w:val="24"/>
              </w:rPr>
              <w:t>)</w:t>
            </w:r>
          </w:p>
        </w:tc>
        <w:tc>
          <w:tcPr>
            <w:tcW w:w="2835" w:type="dxa"/>
            <w:shd w:val="clear" w:color="auto" w:fill="auto"/>
            <w:noWrap/>
            <w:hideMark/>
          </w:tcPr>
          <w:p w14:paraId="62F4058D"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 (50</w:t>
            </w:r>
            <w:r w:rsidR="001F565A" w:rsidRPr="0087291A">
              <w:rPr>
                <w:rFonts w:ascii="Book Antiqua" w:hAnsi="Book Antiqua" w:cs="Times New Roman"/>
                <w:sz w:val="24"/>
                <w:szCs w:val="24"/>
              </w:rPr>
              <w:t>)</w:t>
            </w:r>
          </w:p>
        </w:tc>
      </w:tr>
      <w:tr w:rsidR="001F565A" w:rsidRPr="0087291A" w14:paraId="5295E714" w14:textId="77777777" w:rsidTr="00194848">
        <w:trPr>
          <w:trHeight w:val="284"/>
        </w:trPr>
        <w:tc>
          <w:tcPr>
            <w:tcW w:w="4962" w:type="dxa"/>
            <w:shd w:val="clear" w:color="auto" w:fill="auto"/>
            <w:noWrap/>
            <w:hideMark/>
          </w:tcPr>
          <w:p w14:paraId="19172F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Palpable mass</w:t>
            </w:r>
          </w:p>
        </w:tc>
        <w:tc>
          <w:tcPr>
            <w:tcW w:w="2835" w:type="dxa"/>
            <w:shd w:val="clear" w:color="auto" w:fill="auto"/>
            <w:noWrap/>
            <w:hideMark/>
          </w:tcPr>
          <w:p w14:paraId="297D66D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(5.7</w:t>
            </w:r>
            <w:r w:rsidRPr="0087291A">
              <w:rPr>
                <w:rFonts w:ascii="Book Antiqua" w:hAnsi="Book Antiqua" w:cs="Times New Roman"/>
                <w:sz w:val="24"/>
                <w:szCs w:val="24"/>
              </w:rPr>
              <w:t>)</w:t>
            </w:r>
          </w:p>
        </w:tc>
        <w:tc>
          <w:tcPr>
            <w:tcW w:w="2835" w:type="dxa"/>
            <w:shd w:val="clear" w:color="auto" w:fill="auto"/>
            <w:noWrap/>
            <w:hideMark/>
          </w:tcPr>
          <w:p w14:paraId="4ADE70B0"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1F565A" w:rsidRPr="0087291A" w14:paraId="3388F1E1" w14:textId="77777777" w:rsidTr="00194848">
        <w:trPr>
          <w:trHeight w:val="284"/>
        </w:trPr>
        <w:tc>
          <w:tcPr>
            <w:tcW w:w="4962" w:type="dxa"/>
            <w:shd w:val="clear" w:color="auto" w:fill="auto"/>
            <w:noWrap/>
            <w:hideMark/>
          </w:tcPr>
          <w:p w14:paraId="5BCECD9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Limb pain</w:t>
            </w:r>
          </w:p>
        </w:tc>
        <w:tc>
          <w:tcPr>
            <w:tcW w:w="2835" w:type="dxa"/>
            <w:shd w:val="clear" w:color="auto" w:fill="auto"/>
            <w:noWrap/>
            <w:hideMark/>
          </w:tcPr>
          <w:p w14:paraId="27B3210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5A5B77" w:rsidRPr="0087291A">
              <w:rPr>
                <w:rFonts w:ascii="Book Antiqua" w:hAnsi="Book Antiqua" w:cs="Times New Roman"/>
                <w:sz w:val="24"/>
                <w:szCs w:val="24"/>
              </w:rPr>
              <w:t xml:space="preserve"> (0</w:t>
            </w:r>
            <w:r w:rsidRPr="0087291A">
              <w:rPr>
                <w:rFonts w:ascii="Book Antiqua" w:hAnsi="Book Antiqua" w:cs="Times New Roman"/>
                <w:sz w:val="24"/>
                <w:szCs w:val="24"/>
              </w:rPr>
              <w:t>)</w:t>
            </w:r>
          </w:p>
        </w:tc>
        <w:tc>
          <w:tcPr>
            <w:tcW w:w="2835" w:type="dxa"/>
            <w:shd w:val="clear" w:color="auto" w:fill="auto"/>
            <w:noWrap/>
            <w:hideMark/>
          </w:tcPr>
          <w:p w14:paraId="1E07FD31"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1F565A" w:rsidRPr="0087291A" w14:paraId="4DB161DB" w14:textId="77777777" w:rsidTr="00194848">
        <w:trPr>
          <w:trHeight w:val="284"/>
        </w:trPr>
        <w:tc>
          <w:tcPr>
            <w:tcW w:w="4962" w:type="dxa"/>
            <w:shd w:val="clear" w:color="auto" w:fill="auto"/>
            <w:noWrap/>
            <w:hideMark/>
          </w:tcPr>
          <w:p w14:paraId="27B41D9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Postmenopausal bleeding</w:t>
            </w:r>
          </w:p>
        </w:tc>
        <w:tc>
          <w:tcPr>
            <w:tcW w:w="2835" w:type="dxa"/>
            <w:shd w:val="clear" w:color="auto" w:fill="auto"/>
            <w:noWrap/>
            <w:hideMark/>
          </w:tcPr>
          <w:p w14:paraId="43E0871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(5.7</w:t>
            </w:r>
            <w:r w:rsidRPr="0087291A">
              <w:rPr>
                <w:rFonts w:ascii="Book Antiqua" w:hAnsi="Book Antiqua" w:cs="Times New Roman"/>
                <w:sz w:val="24"/>
                <w:szCs w:val="24"/>
              </w:rPr>
              <w:t>)</w:t>
            </w:r>
          </w:p>
        </w:tc>
        <w:tc>
          <w:tcPr>
            <w:tcW w:w="2835" w:type="dxa"/>
            <w:shd w:val="clear" w:color="auto" w:fill="auto"/>
            <w:noWrap/>
            <w:hideMark/>
          </w:tcPr>
          <w:p w14:paraId="17AC7280"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 (6.25</w:t>
            </w:r>
            <w:r w:rsidR="001F565A" w:rsidRPr="0087291A">
              <w:rPr>
                <w:rFonts w:ascii="Book Antiqua" w:hAnsi="Book Antiqua" w:cs="Times New Roman"/>
                <w:sz w:val="24"/>
                <w:szCs w:val="24"/>
              </w:rPr>
              <w:t>)</w:t>
            </w:r>
          </w:p>
        </w:tc>
      </w:tr>
      <w:tr w:rsidR="005A5B77" w:rsidRPr="0087291A" w14:paraId="5F5A938B" w14:textId="77777777" w:rsidTr="00194848">
        <w:trPr>
          <w:trHeight w:val="784"/>
        </w:trPr>
        <w:tc>
          <w:tcPr>
            <w:tcW w:w="4962" w:type="dxa"/>
            <w:shd w:val="clear" w:color="auto" w:fill="auto"/>
            <w:hideMark/>
          </w:tcPr>
          <w:p w14:paraId="2903E1BB"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 obvious discomfort</w:t>
            </w:r>
            <w:r w:rsidR="009B7BE4" w:rsidRPr="0087291A">
              <w:rPr>
                <w:rFonts w:ascii="Book Antiqua" w:hAnsi="Book Antiqua" w:cs="Times New Roman"/>
                <w:sz w:val="24"/>
                <w:szCs w:val="24"/>
              </w:rPr>
              <w:t xml:space="preserve"> and</w:t>
            </w:r>
            <w:r w:rsidRPr="0087291A">
              <w:rPr>
                <w:rFonts w:ascii="Book Antiqua" w:hAnsi="Book Antiqua" w:cs="Times New Roman"/>
                <w:sz w:val="24"/>
                <w:szCs w:val="24"/>
              </w:rPr>
              <w:t xml:space="preserve"> examination revealed abnormalities</w:t>
            </w:r>
          </w:p>
        </w:tc>
        <w:tc>
          <w:tcPr>
            <w:tcW w:w="2835" w:type="dxa"/>
            <w:shd w:val="clear" w:color="auto" w:fill="auto"/>
            <w:noWrap/>
            <w:hideMark/>
          </w:tcPr>
          <w:p w14:paraId="14F78E3D"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 (45.7)</w:t>
            </w:r>
          </w:p>
        </w:tc>
        <w:tc>
          <w:tcPr>
            <w:tcW w:w="2835" w:type="dxa"/>
            <w:shd w:val="clear" w:color="auto" w:fill="auto"/>
            <w:noWrap/>
            <w:hideMark/>
          </w:tcPr>
          <w:p w14:paraId="781882B0" w14:textId="77777777" w:rsidR="005A5B77"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 (25)</w:t>
            </w:r>
          </w:p>
        </w:tc>
      </w:tr>
      <w:tr w:rsidR="001F565A" w:rsidRPr="0087291A" w14:paraId="5FD2E9D1" w14:textId="77777777" w:rsidTr="00194848">
        <w:trPr>
          <w:trHeight w:val="284"/>
        </w:trPr>
        <w:tc>
          <w:tcPr>
            <w:tcW w:w="4962" w:type="dxa"/>
            <w:shd w:val="clear" w:color="auto" w:fill="auto"/>
            <w:noWrap/>
            <w:hideMark/>
          </w:tcPr>
          <w:p w14:paraId="30DB3435"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Ascites</w:t>
            </w:r>
            <w:r w:rsidR="009B7BE4" w:rsidRPr="0087291A">
              <w:rPr>
                <w:rFonts w:ascii="Book Antiqua" w:hAnsi="Book Antiqua" w:cs="Times New Roman"/>
                <w:sz w:val="24"/>
                <w:szCs w:val="24"/>
              </w:rPr>
              <w:t xml:space="preserve">, </w:t>
            </w:r>
            <w:r w:rsidR="009B7BE4" w:rsidRPr="0087291A">
              <w:rPr>
                <w:rFonts w:ascii="Book Antiqua" w:hAnsi="Book Antiqua" w:cs="Times New Roman"/>
                <w:i/>
                <w:sz w:val="24"/>
                <w:szCs w:val="24"/>
              </w:rPr>
              <w:t>n</w:t>
            </w:r>
            <w:r w:rsidR="009B7BE4" w:rsidRPr="0087291A">
              <w:rPr>
                <w:rFonts w:ascii="Book Antiqua" w:hAnsi="Book Antiqua" w:cs="Times New Roman"/>
                <w:sz w:val="24"/>
                <w:szCs w:val="24"/>
              </w:rPr>
              <w:t xml:space="preserve"> (%)</w:t>
            </w:r>
          </w:p>
        </w:tc>
        <w:tc>
          <w:tcPr>
            <w:tcW w:w="2835" w:type="dxa"/>
            <w:shd w:val="clear" w:color="auto" w:fill="auto"/>
            <w:noWrap/>
            <w:hideMark/>
          </w:tcPr>
          <w:p w14:paraId="646EA0A1"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0315365B"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429C036" w14:textId="77777777" w:rsidTr="00194848">
        <w:trPr>
          <w:trHeight w:val="284"/>
        </w:trPr>
        <w:tc>
          <w:tcPr>
            <w:tcW w:w="4962" w:type="dxa"/>
            <w:shd w:val="clear" w:color="auto" w:fill="auto"/>
            <w:noWrap/>
            <w:hideMark/>
          </w:tcPr>
          <w:p w14:paraId="3960EFF0"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Increased</w:t>
            </w:r>
          </w:p>
        </w:tc>
        <w:tc>
          <w:tcPr>
            <w:tcW w:w="2835" w:type="dxa"/>
            <w:shd w:val="clear" w:color="auto" w:fill="auto"/>
            <w:noWrap/>
            <w:hideMark/>
          </w:tcPr>
          <w:p w14:paraId="56E1A21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 (14.3</w:t>
            </w:r>
            <w:r w:rsidR="001F565A" w:rsidRPr="0087291A">
              <w:rPr>
                <w:rFonts w:ascii="Book Antiqua" w:hAnsi="Book Antiqua" w:cs="Times New Roman"/>
                <w:sz w:val="24"/>
                <w:szCs w:val="24"/>
              </w:rPr>
              <w:t>)</w:t>
            </w:r>
          </w:p>
        </w:tc>
        <w:tc>
          <w:tcPr>
            <w:tcW w:w="2835" w:type="dxa"/>
            <w:shd w:val="clear" w:color="auto" w:fill="auto"/>
            <w:noWrap/>
            <w:hideMark/>
          </w:tcPr>
          <w:p w14:paraId="2913B59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5A5B77" w:rsidRPr="0087291A">
              <w:rPr>
                <w:rFonts w:ascii="Book Antiqua" w:hAnsi="Book Antiqua" w:cs="Times New Roman"/>
                <w:sz w:val="24"/>
                <w:szCs w:val="24"/>
              </w:rPr>
              <w:t xml:space="preserve"> (12.5</w:t>
            </w:r>
            <w:r w:rsidRPr="0087291A">
              <w:rPr>
                <w:rFonts w:ascii="Book Antiqua" w:hAnsi="Book Antiqua" w:cs="Times New Roman"/>
                <w:sz w:val="24"/>
                <w:szCs w:val="24"/>
              </w:rPr>
              <w:t>)</w:t>
            </w:r>
          </w:p>
        </w:tc>
      </w:tr>
      <w:tr w:rsidR="001F565A" w:rsidRPr="0087291A" w14:paraId="25361829" w14:textId="77777777" w:rsidTr="00194848">
        <w:trPr>
          <w:trHeight w:val="284"/>
        </w:trPr>
        <w:tc>
          <w:tcPr>
            <w:tcW w:w="4962" w:type="dxa"/>
            <w:shd w:val="clear" w:color="auto" w:fill="auto"/>
            <w:noWrap/>
            <w:hideMark/>
          </w:tcPr>
          <w:p w14:paraId="00BFC278"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Normal</w:t>
            </w:r>
          </w:p>
        </w:tc>
        <w:tc>
          <w:tcPr>
            <w:tcW w:w="2835" w:type="dxa"/>
            <w:shd w:val="clear" w:color="auto" w:fill="auto"/>
            <w:noWrap/>
            <w:hideMark/>
          </w:tcPr>
          <w:p w14:paraId="579429F8"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30 (85.7</w:t>
            </w:r>
            <w:r w:rsidR="001F565A" w:rsidRPr="0087291A">
              <w:rPr>
                <w:rFonts w:ascii="Book Antiqua" w:hAnsi="Book Antiqua" w:cs="Times New Roman"/>
                <w:sz w:val="24"/>
                <w:szCs w:val="24"/>
              </w:rPr>
              <w:t>)</w:t>
            </w:r>
          </w:p>
        </w:tc>
        <w:tc>
          <w:tcPr>
            <w:tcW w:w="2835" w:type="dxa"/>
            <w:shd w:val="clear" w:color="auto" w:fill="auto"/>
            <w:noWrap/>
            <w:hideMark/>
          </w:tcPr>
          <w:p w14:paraId="6A1AE7A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5A5B77" w:rsidRPr="0087291A">
              <w:rPr>
                <w:rFonts w:ascii="Book Antiqua" w:hAnsi="Book Antiqua" w:cs="Times New Roman"/>
                <w:sz w:val="24"/>
                <w:szCs w:val="24"/>
              </w:rPr>
              <w:t xml:space="preserve"> (87.5</w:t>
            </w:r>
            <w:r w:rsidRPr="0087291A">
              <w:rPr>
                <w:rFonts w:ascii="Book Antiqua" w:hAnsi="Book Antiqua" w:cs="Times New Roman"/>
                <w:sz w:val="24"/>
                <w:szCs w:val="24"/>
              </w:rPr>
              <w:t>)</w:t>
            </w:r>
          </w:p>
        </w:tc>
      </w:tr>
      <w:tr w:rsidR="001F565A" w:rsidRPr="0087291A" w14:paraId="041D6451" w14:textId="77777777" w:rsidTr="00194848">
        <w:trPr>
          <w:trHeight w:val="284"/>
        </w:trPr>
        <w:tc>
          <w:tcPr>
            <w:tcW w:w="4962" w:type="dxa"/>
            <w:shd w:val="clear" w:color="auto" w:fill="auto"/>
            <w:noWrap/>
            <w:hideMark/>
          </w:tcPr>
          <w:p w14:paraId="2749A79A" w14:textId="30245589" w:rsidR="001F565A" w:rsidRPr="0087291A" w:rsidRDefault="001F565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Number of pregnancies</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D36857">
              <w:rPr>
                <w:rFonts w:ascii="Book Antiqua" w:hAnsi="Book Antiqua" w:cs="Times New Roman"/>
                <w:sz w:val="24"/>
                <w:szCs w:val="24"/>
              </w:rPr>
              <w:t>m</w:t>
            </w:r>
            <w:r w:rsidR="00D36857" w:rsidRPr="0087291A">
              <w:rPr>
                <w:rFonts w:ascii="Book Antiqua" w:hAnsi="Book Antiqua" w:cs="Times New Roman"/>
                <w:sz w:val="24"/>
                <w:szCs w:val="24"/>
              </w:rPr>
              <w:t xml:space="preserve">ean </w:t>
            </w:r>
            <w:r w:rsidRPr="0087291A">
              <w:rPr>
                <w:rFonts w:ascii="Book Antiqua" w:hAnsi="Book Antiqua" w:cs="Times New Roman"/>
                <w:sz w:val="24"/>
                <w:szCs w:val="24"/>
              </w:rPr>
              <w:t>(range)]</w:t>
            </w:r>
            <w:r w:rsidR="009B7BE4" w:rsidRPr="0087291A">
              <w:rPr>
                <w:rFonts w:ascii="Book Antiqua" w:hAnsi="Book Antiqua" w:cs="Times New Roman"/>
                <w:sz w:val="24"/>
                <w:szCs w:val="24"/>
              </w:rPr>
              <w:t xml:space="preserve">, </w:t>
            </w:r>
            <w:r w:rsidR="009B7BE4" w:rsidRPr="0087291A">
              <w:rPr>
                <w:rFonts w:ascii="Book Antiqua" w:hAnsi="Book Antiqua" w:cs="Times New Roman"/>
                <w:i/>
                <w:sz w:val="24"/>
                <w:szCs w:val="24"/>
              </w:rPr>
              <w:t xml:space="preserve">n </w:t>
            </w:r>
            <w:r w:rsidR="009B7BE4" w:rsidRPr="0087291A">
              <w:rPr>
                <w:rFonts w:ascii="Book Antiqua" w:hAnsi="Book Antiqua" w:cs="Times New Roman"/>
                <w:sz w:val="24"/>
                <w:szCs w:val="24"/>
              </w:rPr>
              <w:t>(%)</w:t>
            </w:r>
          </w:p>
        </w:tc>
        <w:tc>
          <w:tcPr>
            <w:tcW w:w="2835" w:type="dxa"/>
            <w:shd w:val="clear" w:color="auto" w:fill="auto"/>
            <w:noWrap/>
            <w:hideMark/>
          </w:tcPr>
          <w:p w14:paraId="4FAF761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2.86</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(0-6)</w:t>
            </w:r>
          </w:p>
        </w:tc>
        <w:tc>
          <w:tcPr>
            <w:tcW w:w="2835" w:type="dxa"/>
            <w:shd w:val="clear" w:color="auto" w:fill="auto"/>
            <w:noWrap/>
            <w:hideMark/>
          </w:tcPr>
          <w:p w14:paraId="1952449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3.31</w:t>
            </w:r>
            <w:r w:rsidR="005A5B77" w:rsidRPr="0087291A">
              <w:rPr>
                <w:rFonts w:ascii="Book Antiqua" w:hAnsi="Book Antiqua" w:cs="Times New Roman"/>
                <w:sz w:val="24"/>
                <w:szCs w:val="24"/>
              </w:rPr>
              <w:t xml:space="preserve"> </w:t>
            </w:r>
            <w:r w:rsidRPr="0087291A">
              <w:rPr>
                <w:rFonts w:ascii="Book Antiqua" w:hAnsi="Book Antiqua" w:cs="Times New Roman"/>
                <w:sz w:val="24"/>
                <w:szCs w:val="24"/>
              </w:rPr>
              <w:t>(2-6)</w:t>
            </w:r>
          </w:p>
        </w:tc>
      </w:tr>
      <w:tr w:rsidR="001F565A" w:rsidRPr="0087291A" w14:paraId="1201BC5D" w14:textId="77777777" w:rsidTr="00194848">
        <w:trPr>
          <w:trHeight w:val="284"/>
        </w:trPr>
        <w:tc>
          <w:tcPr>
            <w:tcW w:w="4962" w:type="dxa"/>
            <w:shd w:val="clear" w:color="auto" w:fill="auto"/>
            <w:noWrap/>
            <w:hideMark/>
          </w:tcPr>
          <w:p w14:paraId="769E31A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FIGO stage,</w:t>
            </w:r>
            <w:r w:rsidR="005A5B77" w:rsidRPr="0087291A">
              <w:rPr>
                <w:rFonts w:ascii="Book Antiqua" w:hAnsi="Book Antiqua" w:cs="Times New Roman"/>
                <w:sz w:val="24"/>
                <w:szCs w:val="24"/>
              </w:rPr>
              <w:t xml:space="preserve"> </w:t>
            </w:r>
            <w:r w:rsidRPr="0087291A">
              <w:rPr>
                <w:rFonts w:ascii="Book Antiqua" w:hAnsi="Book Antiqua" w:cs="Times New Roman"/>
                <w:i/>
                <w:sz w:val="24"/>
                <w:szCs w:val="24"/>
              </w:rPr>
              <w:t>n</w:t>
            </w:r>
            <w:r w:rsidR="005A5B77" w:rsidRPr="0087291A">
              <w:rPr>
                <w:rFonts w:ascii="Book Antiqua" w:hAnsi="Book Antiqua" w:cs="Times New Roman"/>
                <w:i/>
                <w:sz w:val="24"/>
                <w:szCs w:val="24"/>
              </w:rPr>
              <w:t xml:space="preserve"> </w:t>
            </w:r>
            <w:r w:rsidRPr="0087291A">
              <w:rPr>
                <w:rFonts w:ascii="Book Antiqua" w:hAnsi="Book Antiqua" w:cs="Times New Roman"/>
                <w:sz w:val="24"/>
                <w:szCs w:val="24"/>
              </w:rPr>
              <w:t>(%)</w:t>
            </w:r>
          </w:p>
        </w:tc>
        <w:tc>
          <w:tcPr>
            <w:tcW w:w="2835" w:type="dxa"/>
            <w:shd w:val="clear" w:color="auto" w:fill="auto"/>
            <w:noWrap/>
            <w:hideMark/>
          </w:tcPr>
          <w:p w14:paraId="2DE365F4" w14:textId="77777777" w:rsidR="001F565A" w:rsidRPr="0087291A" w:rsidRDefault="001F565A" w:rsidP="0087291A">
            <w:pPr>
              <w:snapToGrid w:val="0"/>
              <w:spacing w:line="360" w:lineRule="auto"/>
              <w:rPr>
                <w:rFonts w:ascii="Book Antiqua" w:hAnsi="Book Antiqua" w:cs="Times New Roman"/>
                <w:sz w:val="24"/>
                <w:szCs w:val="24"/>
              </w:rPr>
            </w:pPr>
          </w:p>
        </w:tc>
        <w:tc>
          <w:tcPr>
            <w:tcW w:w="2835" w:type="dxa"/>
            <w:shd w:val="clear" w:color="auto" w:fill="auto"/>
            <w:noWrap/>
            <w:hideMark/>
          </w:tcPr>
          <w:p w14:paraId="07CB016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A29C66F" w14:textId="77777777" w:rsidTr="00194848">
        <w:trPr>
          <w:trHeight w:val="284"/>
        </w:trPr>
        <w:tc>
          <w:tcPr>
            <w:tcW w:w="4962" w:type="dxa"/>
            <w:shd w:val="clear" w:color="auto" w:fill="auto"/>
            <w:noWrap/>
            <w:hideMark/>
          </w:tcPr>
          <w:p w14:paraId="67A3FD7F"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w:t>
            </w:r>
          </w:p>
        </w:tc>
        <w:tc>
          <w:tcPr>
            <w:tcW w:w="2835" w:type="dxa"/>
            <w:shd w:val="clear" w:color="auto" w:fill="auto"/>
            <w:noWrap/>
            <w:hideMark/>
          </w:tcPr>
          <w:p w14:paraId="1940D67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w:t>
            </w:r>
            <w:r w:rsidR="005A5B77" w:rsidRPr="0087291A">
              <w:rPr>
                <w:rFonts w:ascii="Book Antiqua" w:hAnsi="Book Antiqua" w:cs="Times New Roman"/>
                <w:sz w:val="24"/>
                <w:szCs w:val="24"/>
              </w:rPr>
              <w:t xml:space="preserve"> (45.7</w:t>
            </w:r>
            <w:r w:rsidRPr="0087291A">
              <w:rPr>
                <w:rFonts w:ascii="Book Antiqua" w:hAnsi="Book Antiqua" w:cs="Times New Roman"/>
                <w:sz w:val="24"/>
                <w:szCs w:val="24"/>
              </w:rPr>
              <w:t>)</w:t>
            </w:r>
          </w:p>
        </w:tc>
        <w:tc>
          <w:tcPr>
            <w:tcW w:w="2835" w:type="dxa"/>
            <w:shd w:val="clear" w:color="auto" w:fill="auto"/>
            <w:noWrap/>
            <w:hideMark/>
          </w:tcPr>
          <w:p w14:paraId="676F76B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035AD24C" w14:textId="77777777" w:rsidTr="00194848">
        <w:trPr>
          <w:trHeight w:val="284"/>
        </w:trPr>
        <w:tc>
          <w:tcPr>
            <w:tcW w:w="4962" w:type="dxa"/>
            <w:shd w:val="clear" w:color="auto" w:fill="auto"/>
            <w:noWrap/>
            <w:hideMark/>
          </w:tcPr>
          <w:p w14:paraId="6FAE7181"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II</w:t>
            </w:r>
          </w:p>
        </w:tc>
        <w:tc>
          <w:tcPr>
            <w:tcW w:w="2835" w:type="dxa"/>
            <w:shd w:val="clear" w:color="auto" w:fill="auto"/>
            <w:noWrap/>
            <w:hideMark/>
          </w:tcPr>
          <w:p w14:paraId="1245524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w:t>
            </w:r>
            <w:r w:rsidR="005A5B77" w:rsidRPr="0087291A">
              <w:rPr>
                <w:rFonts w:ascii="Book Antiqua" w:hAnsi="Book Antiqua" w:cs="Times New Roman"/>
                <w:sz w:val="24"/>
                <w:szCs w:val="24"/>
              </w:rPr>
              <w:t xml:space="preserve"> (11.4</w:t>
            </w:r>
            <w:r w:rsidRPr="0087291A">
              <w:rPr>
                <w:rFonts w:ascii="Book Antiqua" w:hAnsi="Book Antiqua" w:cs="Times New Roman"/>
                <w:sz w:val="24"/>
                <w:szCs w:val="24"/>
              </w:rPr>
              <w:t>)</w:t>
            </w:r>
          </w:p>
        </w:tc>
        <w:tc>
          <w:tcPr>
            <w:tcW w:w="2835" w:type="dxa"/>
            <w:shd w:val="clear" w:color="auto" w:fill="auto"/>
            <w:noWrap/>
            <w:hideMark/>
          </w:tcPr>
          <w:p w14:paraId="08717324"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61020B50" w14:textId="77777777" w:rsidTr="00194848">
        <w:trPr>
          <w:trHeight w:val="284"/>
        </w:trPr>
        <w:tc>
          <w:tcPr>
            <w:tcW w:w="4962" w:type="dxa"/>
            <w:shd w:val="clear" w:color="auto" w:fill="auto"/>
            <w:noWrap/>
            <w:hideMark/>
          </w:tcPr>
          <w:p w14:paraId="4E425326" w14:textId="77777777" w:rsidR="001F565A" w:rsidRPr="0087291A" w:rsidRDefault="001F565A" w:rsidP="0087291A">
            <w:pPr>
              <w:snapToGrid w:val="0"/>
              <w:spacing w:line="360" w:lineRule="auto"/>
              <w:ind w:firstLineChars="50" w:firstLine="120"/>
              <w:rPr>
                <w:rFonts w:ascii="Book Antiqua" w:hAnsi="Book Antiqua" w:cs="Times New Roman"/>
                <w:sz w:val="24"/>
                <w:szCs w:val="24"/>
              </w:rPr>
            </w:pPr>
            <w:r w:rsidRPr="0087291A">
              <w:rPr>
                <w:rFonts w:ascii="Book Antiqua" w:hAnsi="Book Antiqua" w:cs="Times New Roman"/>
                <w:sz w:val="24"/>
                <w:szCs w:val="24"/>
              </w:rPr>
              <w:t>III</w:t>
            </w:r>
          </w:p>
        </w:tc>
        <w:tc>
          <w:tcPr>
            <w:tcW w:w="2835" w:type="dxa"/>
            <w:shd w:val="clear" w:color="auto" w:fill="auto"/>
            <w:noWrap/>
            <w:hideMark/>
          </w:tcPr>
          <w:p w14:paraId="617CB2B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9</w:t>
            </w:r>
            <w:r w:rsidR="005A5B77" w:rsidRPr="0087291A">
              <w:rPr>
                <w:rFonts w:ascii="Book Antiqua" w:hAnsi="Book Antiqua" w:cs="Times New Roman"/>
                <w:sz w:val="24"/>
                <w:szCs w:val="24"/>
              </w:rPr>
              <w:t xml:space="preserve"> (25.7</w:t>
            </w:r>
            <w:r w:rsidRPr="0087291A">
              <w:rPr>
                <w:rFonts w:ascii="Book Antiqua" w:hAnsi="Book Antiqua" w:cs="Times New Roman"/>
                <w:sz w:val="24"/>
                <w:szCs w:val="24"/>
              </w:rPr>
              <w:t>)</w:t>
            </w:r>
          </w:p>
        </w:tc>
        <w:tc>
          <w:tcPr>
            <w:tcW w:w="2835" w:type="dxa"/>
            <w:shd w:val="clear" w:color="auto" w:fill="auto"/>
            <w:noWrap/>
            <w:hideMark/>
          </w:tcPr>
          <w:p w14:paraId="07E1157D" w14:textId="77777777" w:rsidR="001F565A" w:rsidRPr="0087291A" w:rsidRDefault="005A5B77"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bl>
    <w:p w14:paraId="2678F107" w14:textId="693596F9"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vertAlign w:val="superscript"/>
        </w:rPr>
        <w:t>1</w:t>
      </w:r>
      <w:r w:rsidR="001F565A" w:rsidRPr="0087291A">
        <w:rPr>
          <w:rFonts w:ascii="Book Antiqua" w:hAnsi="Book Antiqua" w:cs="Times New Roman"/>
          <w:sz w:val="24"/>
          <w:szCs w:val="24"/>
        </w:rPr>
        <w:t>Including appendicectomy</w:t>
      </w:r>
      <w:r w:rsidRPr="0087291A">
        <w:rPr>
          <w:rFonts w:ascii="Book Antiqua" w:hAnsi="Book Antiqua" w:cs="Times New Roman"/>
          <w:sz w:val="24"/>
          <w:szCs w:val="24"/>
        </w:rPr>
        <w:t xml:space="preserve">, tubal </w:t>
      </w:r>
      <w:r w:rsidR="001F565A" w:rsidRPr="0087291A">
        <w:rPr>
          <w:rFonts w:ascii="Book Antiqua" w:hAnsi="Book Antiqua" w:cs="Times New Roman"/>
          <w:sz w:val="24"/>
          <w:szCs w:val="24"/>
        </w:rPr>
        <w:t>sterilization</w:t>
      </w:r>
      <w:r w:rsidR="00DA22E6">
        <w:rPr>
          <w:rFonts w:ascii="Book Antiqua" w:hAnsi="Book Antiqua" w:cs="Times New Roman"/>
          <w:sz w:val="24"/>
          <w:szCs w:val="24"/>
        </w:rPr>
        <w:t>,</w:t>
      </w:r>
      <w:r w:rsidR="001F565A" w:rsidRPr="0087291A">
        <w:rPr>
          <w:rFonts w:ascii="Book Antiqua" w:hAnsi="Book Antiqua" w:cs="Times New Roman"/>
          <w:sz w:val="24"/>
          <w:szCs w:val="24"/>
        </w:rPr>
        <w:t xml:space="preserve"> and </w:t>
      </w:r>
      <w:r w:rsidRPr="0087291A">
        <w:rPr>
          <w:rFonts w:ascii="Book Antiqua" w:hAnsi="Book Antiqua" w:cs="Times New Roman"/>
          <w:sz w:val="24"/>
          <w:szCs w:val="24"/>
        </w:rPr>
        <w:t>cholecystectomy. FIGO: International Federation of Gynaecology and Obstetrics.</w:t>
      </w:r>
    </w:p>
    <w:p w14:paraId="08C361C7" w14:textId="77777777" w:rsidR="00526F76" w:rsidRPr="0087291A" w:rsidRDefault="00526F76" w:rsidP="0087291A">
      <w:pPr>
        <w:widowControl/>
        <w:snapToGrid w:val="0"/>
        <w:spacing w:line="360" w:lineRule="auto"/>
        <w:rPr>
          <w:rFonts w:ascii="Book Antiqua" w:hAnsi="Book Antiqua" w:cs="Times New Roman"/>
          <w:sz w:val="24"/>
          <w:szCs w:val="24"/>
        </w:rPr>
      </w:pPr>
      <w:r w:rsidRPr="0087291A">
        <w:rPr>
          <w:rFonts w:ascii="Book Antiqua" w:hAnsi="Book Antiqua" w:cs="Times New Roman"/>
          <w:sz w:val="24"/>
          <w:szCs w:val="24"/>
        </w:rPr>
        <w:br w:type="page"/>
      </w:r>
    </w:p>
    <w:p w14:paraId="4A8AC6AA" w14:textId="77777777"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t>Table</w:t>
      </w:r>
      <w:r w:rsidR="00526F76" w:rsidRPr="0087291A">
        <w:rPr>
          <w:rFonts w:ascii="Book Antiqua" w:hAnsi="Book Antiqua" w:cs="Arial"/>
          <w:b/>
          <w:sz w:val="24"/>
          <w:szCs w:val="24"/>
          <w:lang w:val="hu-HU"/>
        </w:rPr>
        <w:t xml:space="preserve"> </w:t>
      </w:r>
      <w:r w:rsidRPr="0087291A">
        <w:rPr>
          <w:rFonts w:ascii="Book Antiqua" w:hAnsi="Book Antiqua" w:cs="Arial"/>
          <w:b/>
          <w:sz w:val="24"/>
          <w:szCs w:val="24"/>
          <w:lang w:val="hu-HU"/>
        </w:rPr>
        <w:t>2 Serum tumor markers and medical imaging examinations of</w:t>
      </w:r>
      <w:r w:rsidR="00526F76" w:rsidRPr="0087291A">
        <w:rPr>
          <w:rFonts w:ascii="Book Antiqua" w:hAnsi="Book Antiqua" w:cs="Arial"/>
          <w:b/>
          <w:sz w:val="24"/>
          <w:szCs w:val="24"/>
          <w:lang w:val="hu-HU"/>
        </w:rPr>
        <w:t xml:space="preserve"> pelvic leiomyosarcoma patients</w:t>
      </w:r>
    </w:p>
    <w:tbl>
      <w:tblPr>
        <w:tblW w:w="8980" w:type="dxa"/>
        <w:tblBorders>
          <w:top w:val="single" w:sz="4" w:space="0" w:color="auto"/>
          <w:bottom w:val="single" w:sz="4" w:space="0" w:color="auto"/>
        </w:tblBorders>
        <w:tblLook w:val="04A0" w:firstRow="1" w:lastRow="0" w:firstColumn="1" w:lastColumn="0" w:noHBand="0" w:noVBand="1"/>
      </w:tblPr>
      <w:tblGrid>
        <w:gridCol w:w="3119"/>
        <w:gridCol w:w="2821"/>
        <w:gridCol w:w="3040"/>
      </w:tblGrid>
      <w:tr w:rsidR="001F565A" w:rsidRPr="0087291A" w14:paraId="5BC653B7" w14:textId="77777777" w:rsidTr="00792C69">
        <w:trPr>
          <w:trHeight w:val="420"/>
        </w:trPr>
        <w:tc>
          <w:tcPr>
            <w:tcW w:w="3119" w:type="dxa"/>
            <w:tcBorders>
              <w:top w:val="single" w:sz="4" w:space="0" w:color="auto"/>
              <w:bottom w:val="single" w:sz="4" w:space="0" w:color="auto"/>
            </w:tcBorders>
            <w:shd w:val="clear" w:color="auto" w:fill="auto"/>
            <w:noWrap/>
            <w:hideMark/>
          </w:tcPr>
          <w:p w14:paraId="48F44A83" w14:textId="7CF2253C"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Characteristic</w:t>
            </w:r>
          </w:p>
        </w:tc>
        <w:tc>
          <w:tcPr>
            <w:tcW w:w="2821" w:type="dxa"/>
            <w:tcBorders>
              <w:top w:val="single" w:sz="4" w:space="0" w:color="auto"/>
              <w:bottom w:val="single" w:sz="4" w:space="0" w:color="auto"/>
            </w:tcBorders>
            <w:shd w:val="clear" w:color="auto" w:fill="auto"/>
            <w:noWrap/>
            <w:hideMark/>
          </w:tcPr>
          <w:p w14:paraId="5EDB6CDD" w14:textId="77777777" w:rsidR="001F565A" w:rsidRPr="0087291A" w:rsidRDefault="009B7BE4"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 xml:space="preserve">Uterine leiomyosarcoma </w:t>
            </w:r>
            <w:r w:rsidR="00700809" w:rsidRPr="0087291A">
              <w:rPr>
                <w:rFonts w:ascii="Book Antiqua" w:hAnsi="Book Antiqua" w:cs="Times New Roman"/>
                <w:b/>
                <w:sz w:val="24"/>
                <w:szCs w:val="24"/>
              </w:rPr>
              <w:t>(</w:t>
            </w:r>
            <w:r w:rsidR="00700809"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35)</w:t>
            </w:r>
          </w:p>
        </w:tc>
        <w:tc>
          <w:tcPr>
            <w:tcW w:w="3040" w:type="dxa"/>
            <w:tcBorders>
              <w:top w:val="single" w:sz="4" w:space="0" w:color="auto"/>
              <w:bottom w:val="single" w:sz="4" w:space="0" w:color="auto"/>
            </w:tcBorders>
            <w:shd w:val="clear" w:color="auto" w:fill="auto"/>
            <w:noWrap/>
            <w:hideMark/>
          </w:tcPr>
          <w:p w14:paraId="22EC3BFE" w14:textId="77777777" w:rsidR="001F565A" w:rsidRPr="0087291A" w:rsidRDefault="009B7BE4" w:rsidP="0087291A">
            <w:pPr>
              <w:snapToGrid w:val="0"/>
              <w:spacing w:line="360" w:lineRule="auto"/>
              <w:rPr>
                <w:rFonts w:ascii="Book Antiqua" w:hAnsi="Book Antiqua" w:cs="Times New Roman"/>
                <w:b/>
                <w:sz w:val="24"/>
                <w:szCs w:val="24"/>
                <w:lang w:val="en-GB"/>
              </w:rPr>
            </w:pPr>
            <w:r w:rsidRPr="0087291A">
              <w:rPr>
                <w:rFonts w:ascii="Book Antiqua" w:hAnsi="Book Antiqua" w:cs="Times New Roman"/>
                <w:b/>
                <w:sz w:val="24"/>
                <w:szCs w:val="24"/>
                <w:lang w:val="en-GB"/>
              </w:rPr>
              <w:t xml:space="preserve">Non-uterine leiomyosarcoma </w:t>
            </w:r>
            <w:r w:rsidR="00700809" w:rsidRPr="0087291A">
              <w:rPr>
                <w:rFonts w:ascii="Book Antiqua" w:hAnsi="Book Antiqua" w:cs="Times New Roman"/>
                <w:b/>
                <w:sz w:val="24"/>
                <w:szCs w:val="24"/>
              </w:rPr>
              <w:t>(</w:t>
            </w:r>
            <w:r w:rsidR="00700809" w:rsidRPr="0087291A">
              <w:rPr>
                <w:rFonts w:ascii="Book Antiqua" w:hAnsi="Book Antiqua" w:cs="Times New Roman"/>
                <w:b/>
                <w:i/>
                <w:sz w:val="24"/>
                <w:szCs w:val="24"/>
              </w:rPr>
              <w:t>n</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w:t>
            </w:r>
            <w:r w:rsidRPr="0087291A">
              <w:rPr>
                <w:rFonts w:ascii="Book Antiqua" w:hAnsi="Book Antiqua" w:cs="Times New Roman"/>
                <w:b/>
                <w:sz w:val="24"/>
                <w:szCs w:val="24"/>
              </w:rPr>
              <w:t xml:space="preserve"> </w:t>
            </w:r>
            <w:r w:rsidR="00700809" w:rsidRPr="0087291A">
              <w:rPr>
                <w:rFonts w:ascii="Book Antiqua" w:hAnsi="Book Antiqua" w:cs="Times New Roman"/>
                <w:b/>
                <w:sz w:val="24"/>
                <w:szCs w:val="24"/>
              </w:rPr>
              <w:t>16)</w:t>
            </w:r>
          </w:p>
        </w:tc>
      </w:tr>
      <w:tr w:rsidR="001F565A" w:rsidRPr="0087291A" w14:paraId="5E302584" w14:textId="77777777" w:rsidTr="00792C69">
        <w:trPr>
          <w:trHeight w:val="280"/>
        </w:trPr>
        <w:tc>
          <w:tcPr>
            <w:tcW w:w="8980" w:type="dxa"/>
            <w:gridSpan w:val="3"/>
            <w:tcBorders>
              <w:top w:val="single" w:sz="4" w:space="0" w:color="auto"/>
            </w:tcBorders>
            <w:shd w:val="clear" w:color="auto" w:fill="auto"/>
            <w:noWrap/>
            <w:hideMark/>
          </w:tcPr>
          <w:p w14:paraId="6286888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Serum tumor markers</w:t>
            </w:r>
            <w:r w:rsidR="009B7BE4" w:rsidRPr="0087291A">
              <w:rPr>
                <w:rFonts w:ascii="Book Antiqua" w:hAnsi="Book Antiqua" w:cs="Times New Roman"/>
                <w:sz w:val="24"/>
                <w:szCs w:val="24"/>
              </w:rPr>
              <w:t xml:space="preserve">, </w:t>
            </w:r>
            <w:r w:rsidRPr="0087291A">
              <w:rPr>
                <w:rFonts w:ascii="Book Antiqua" w:hAnsi="Book Antiqua" w:cs="Times New Roman"/>
                <w:i/>
                <w:sz w:val="24"/>
                <w:szCs w:val="24"/>
              </w:rPr>
              <w:t>n</w:t>
            </w:r>
            <w:r w:rsidR="009B7BE4" w:rsidRPr="0087291A">
              <w:rPr>
                <w:rFonts w:ascii="Book Antiqua" w:hAnsi="Book Antiqua" w:cs="Times New Roman"/>
                <w:i/>
                <w:sz w:val="24"/>
                <w:szCs w:val="24"/>
              </w:rPr>
              <w:t xml:space="preserve"> </w:t>
            </w:r>
            <w:r w:rsidR="009B7BE4" w:rsidRPr="0087291A">
              <w:rPr>
                <w:rFonts w:ascii="Book Antiqua" w:hAnsi="Book Antiqua" w:cs="Times New Roman"/>
                <w:sz w:val="24"/>
                <w:szCs w:val="24"/>
              </w:rPr>
              <w:t>(</w:t>
            </w:r>
            <w:r w:rsidRPr="0087291A">
              <w:rPr>
                <w:rFonts w:ascii="Book Antiqua" w:hAnsi="Book Antiqua" w:cs="Times New Roman"/>
                <w:sz w:val="24"/>
                <w:szCs w:val="24"/>
              </w:rPr>
              <w:t>%</w:t>
            </w:r>
            <w:r w:rsidR="009B7BE4" w:rsidRPr="0087291A">
              <w:rPr>
                <w:rFonts w:ascii="Book Antiqua" w:hAnsi="Book Antiqua" w:cs="Times New Roman"/>
                <w:sz w:val="24"/>
                <w:szCs w:val="24"/>
              </w:rPr>
              <w:t>)</w:t>
            </w:r>
          </w:p>
        </w:tc>
      </w:tr>
      <w:tr w:rsidR="001F565A" w:rsidRPr="0087291A" w14:paraId="14D720D5" w14:textId="77777777" w:rsidTr="00792C69">
        <w:trPr>
          <w:trHeight w:val="280"/>
        </w:trPr>
        <w:tc>
          <w:tcPr>
            <w:tcW w:w="3119" w:type="dxa"/>
            <w:shd w:val="clear" w:color="auto" w:fill="auto"/>
            <w:noWrap/>
            <w:hideMark/>
          </w:tcPr>
          <w:p w14:paraId="781C12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CA125</w:t>
            </w:r>
          </w:p>
        </w:tc>
        <w:tc>
          <w:tcPr>
            <w:tcW w:w="2821" w:type="dxa"/>
            <w:shd w:val="clear" w:color="auto" w:fill="auto"/>
            <w:noWrap/>
            <w:hideMark/>
          </w:tcPr>
          <w:p w14:paraId="680127C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(60)</w:t>
            </w:r>
          </w:p>
        </w:tc>
        <w:tc>
          <w:tcPr>
            <w:tcW w:w="3040" w:type="dxa"/>
            <w:shd w:val="clear" w:color="auto" w:fill="auto"/>
            <w:noWrap/>
            <w:hideMark/>
          </w:tcPr>
          <w:p w14:paraId="0F60EFA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r>
      <w:tr w:rsidR="001F565A" w:rsidRPr="0087291A" w14:paraId="2DC19932" w14:textId="77777777" w:rsidTr="00792C69">
        <w:trPr>
          <w:trHeight w:val="280"/>
        </w:trPr>
        <w:tc>
          <w:tcPr>
            <w:tcW w:w="3119" w:type="dxa"/>
            <w:shd w:val="clear" w:color="auto" w:fill="auto"/>
            <w:noWrap/>
            <w:hideMark/>
          </w:tcPr>
          <w:p w14:paraId="1C1337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2839F66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(28.6)</w:t>
            </w:r>
          </w:p>
        </w:tc>
        <w:tc>
          <w:tcPr>
            <w:tcW w:w="3040" w:type="dxa"/>
            <w:shd w:val="clear" w:color="auto" w:fill="auto"/>
            <w:noWrap/>
            <w:hideMark/>
          </w:tcPr>
          <w:p w14:paraId="52AF64F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(45.5)</w:t>
            </w:r>
          </w:p>
        </w:tc>
      </w:tr>
      <w:tr w:rsidR="001F565A" w:rsidRPr="0087291A" w14:paraId="302B044A" w14:textId="77777777" w:rsidTr="00792C69">
        <w:trPr>
          <w:trHeight w:val="280"/>
        </w:trPr>
        <w:tc>
          <w:tcPr>
            <w:tcW w:w="3119" w:type="dxa"/>
            <w:shd w:val="clear" w:color="auto" w:fill="auto"/>
            <w:noWrap/>
            <w:hideMark/>
          </w:tcPr>
          <w:p w14:paraId="771EECD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7871514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(71.4)</w:t>
            </w:r>
          </w:p>
        </w:tc>
        <w:tc>
          <w:tcPr>
            <w:tcW w:w="3040" w:type="dxa"/>
            <w:shd w:val="clear" w:color="auto" w:fill="auto"/>
            <w:noWrap/>
            <w:hideMark/>
          </w:tcPr>
          <w:p w14:paraId="2E488BE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(54.5)</w:t>
            </w:r>
          </w:p>
        </w:tc>
      </w:tr>
      <w:tr w:rsidR="001F565A" w:rsidRPr="0087291A" w14:paraId="44A14AE2" w14:textId="77777777" w:rsidTr="00792C69">
        <w:trPr>
          <w:trHeight w:val="280"/>
        </w:trPr>
        <w:tc>
          <w:tcPr>
            <w:tcW w:w="3119" w:type="dxa"/>
            <w:shd w:val="clear" w:color="auto" w:fill="auto"/>
            <w:noWrap/>
            <w:hideMark/>
          </w:tcPr>
          <w:p w14:paraId="7D5064A5"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CEA</w:t>
            </w:r>
          </w:p>
        </w:tc>
        <w:tc>
          <w:tcPr>
            <w:tcW w:w="2821" w:type="dxa"/>
            <w:shd w:val="clear" w:color="auto" w:fill="auto"/>
            <w:noWrap/>
            <w:hideMark/>
          </w:tcPr>
          <w:p w14:paraId="1031FF0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(42.9)</w:t>
            </w:r>
          </w:p>
        </w:tc>
        <w:tc>
          <w:tcPr>
            <w:tcW w:w="3040" w:type="dxa"/>
            <w:shd w:val="clear" w:color="auto" w:fill="auto"/>
            <w:noWrap/>
            <w:hideMark/>
          </w:tcPr>
          <w:p w14:paraId="6910CD4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6B79DD4E" w14:textId="77777777" w:rsidTr="00792C69">
        <w:trPr>
          <w:trHeight w:val="280"/>
        </w:trPr>
        <w:tc>
          <w:tcPr>
            <w:tcW w:w="3119" w:type="dxa"/>
            <w:shd w:val="clear" w:color="auto" w:fill="auto"/>
            <w:noWrap/>
            <w:hideMark/>
          </w:tcPr>
          <w:p w14:paraId="7AC28B4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14651D9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(6.7)</w:t>
            </w:r>
          </w:p>
        </w:tc>
        <w:tc>
          <w:tcPr>
            <w:tcW w:w="3040" w:type="dxa"/>
            <w:shd w:val="clear" w:color="auto" w:fill="auto"/>
            <w:noWrap/>
            <w:hideMark/>
          </w:tcPr>
          <w:p w14:paraId="062C45A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11FAB7F4" w14:textId="77777777" w:rsidTr="00792C69">
        <w:trPr>
          <w:trHeight w:val="280"/>
        </w:trPr>
        <w:tc>
          <w:tcPr>
            <w:tcW w:w="3119" w:type="dxa"/>
            <w:shd w:val="clear" w:color="auto" w:fill="auto"/>
            <w:noWrap/>
            <w:hideMark/>
          </w:tcPr>
          <w:p w14:paraId="3D2BE2E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57ACDBE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(93.3)</w:t>
            </w:r>
          </w:p>
        </w:tc>
        <w:tc>
          <w:tcPr>
            <w:tcW w:w="3040" w:type="dxa"/>
            <w:shd w:val="clear" w:color="auto" w:fill="auto"/>
            <w:noWrap/>
            <w:hideMark/>
          </w:tcPr>
          <w:p w14:paraId="1D7E511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3E23FD1B" w14:textId="77777777" w:rsidTr="00792C69">
        <w:trPr>
          <w:trHeight w:val="280"/>
        </w:trPr>
        <w:tc>
          <w:tcPr>
            <w:tcW w:w="3119" w:type="dxa"/>
            <w:shd w:val="clear" w:color="auto" w:fill="auto"/>
            <w:noWrap/>
            <w:hideMark/>
          </w:tcPr>
          <w:p w14:paraId="5A6FCD2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AFP</w:t>
            </w:r>
          </w:p>
        </w:tc>
        <w:tc>
          <w:tcPr>
            <w:tcW w:w="2821" w:type="dxa"/>
            <w:shd w:val="clear" w:color="auto" w:fill="auto"/>
            <w:noWrap/>
            <w:hideMark/>
          </w:tcPr>
          <w:p w14:paraId="0E1D3B6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(40)</w:t>
            </w:r>
          </w:p>
        </w:tc>
        <w:tc>
          <w:tcPr>
            <w:tcW w:w="3040" w:type="dxa"/>
            <w:shd w:val="clear" w:color="auto" w:fill="auto"/>
            <w:noWrap/>
            <w:hideMark/>
          </w:tcPr>
          <w:p w14:paraId="127C1AF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72886D7C" w14:textId="77777777" w:rsidTr="00792C69">
        <w:trPr>
          <w:trHeight w:val="280"/>
        </w:trPr>
        <w:tc>
          <w:tcPr>
            <w:tcW w:w="3119" w:type="dxa"/>
            <w:shd w:val="clear" w:color="auto" w:fill="auto"/>
            <w:noWrap/>
            <w:hideMark/>
          </w:tcPr>
          <w:p w14:paraId="05B1BA3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0E40CB4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66C36F0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6A23A6AA" w14:textId="77777777" w:rsidTr="00792C69">
        <w:trPr>
          <w:trHeight w:val="280"/>
        </w:trPr>
        <w:tc>
          <w:tcPr>
            <w:tcW w:w="3119" w:type="dxa"/>
            <w:shd w:val="clear" w:color="auto" w:fill="auto"/>
            <w:noWrap/>
            <w:hideMark/>
          </w:tcPr>
          <w:p w14:paraId="76DD227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1C80D36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1539EC1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714D6EF1" w14:textId="77777777" w:rsidTr="00792C69">
        <w:trPr>
          <w:trHeight w:val="280"/>
        </w:trPr>
        <w:tc>
          <w:tcPr>
            <w:tcW w:w="3119" w:type="dxa"/>
            <w:shd w:val="clear" w:color="auto" w:fill="auto"/>
            <w:noWrap/>
            <w:hideMark/>
          </w:tcPr>
          <w:p w14:paraId="74BDC64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CA199</w:t>
            </w:r>
          </w:p>
        </w:tc>
        <w:tc>
          <w:tcPr>
            <w:tcW w:w="2821" w:type="dxa"/>
            <w:shd w:val="clear" w:color="auto" w:fill="auto"/>
            <w:noWrap/>
            <w:hideMark/>
          </w:tcPr>
          <w:p w14:paraId="2F6DBCE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(34.3)</w:t>
            </w:r>
          </w:p>
        </w:tc>
        <w:tc>
          <w:tcPr>
            <w:tcW w:w="3040" w:type="dxa"/>
            <w:shd w:val="clear" w:color="auto" w:fill="auto"/>
            <w:noWrap/>
            <w:hideMark/>
          </w:tcPr>
          <w:p w14:paraId="1FF4116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(63.6)</w:t>
            </w:r>
          </w:p>
        </w:tc>
      </w:tr>
      <w:tr w:rsidR="001F565A" w:rsidRPr="0087291A" w14:paraId="5A240C2B" w14:textId="77777777" w:rsidTr="00792C69">
        <w:trPr>
          <w:trHeight w:val="280"/>
        </w:trPr>
        <w:tc>
          <w:tcPr>
            <w:tcW w:w="3119" w:type="dxa"/>
            <w:shd w:val="clear" w:color="auto" w:fill="auto"/>
            <w:noWrap/>
            <w:hideMark/>
          </w:tcPr>
          <w:p w14:paraId="42A6066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7650FBE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1BDBCBB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2556DF15" w14:textId="77777777" w:rsidTr="00792C69">
        <w:trPr>
          <w:trHeight w:val="280"/>
        </w:trPr>
        <w:tc>
          <w:tcPr>
            <w:tcW w:w="3119" w:type="dxa"/>
            <w:shd w:val="clear" w:color="auto" w:fill="auto"/>
            <w:noWrap/>
            <w:hideMark/>
          </w:tcPr>
          <w:p w14:paraId="33F3A6C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25524CB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61556D8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7</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r>
      <w:tr w:rsidR="001F565A" w:rsidRPr="0087291A" w14:paraId="4B0D3FC7" w14:textId="77777777" w:rsidTr="00792C69">
        <w:trPr>
          <w:trHeight w:val="280"/>
        </w:trPr>
        <w:tc>
          <w:tcPr>
            <w:tcW w:w="3119" w:type="dxa"/>
            <w:shd w:val="clear" w:color="auto" w:fill="auto"/>
            <w:noWrap/>
            <w:hideMark/>
          </w:tcPr>
          <w:p w14:paraId="10B8EDB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CA153</w:t>
            </w:r>
          </w:p>
        </w:tc>
        <w:tc>
          <w:tcPr>
            <w:tcW w:w="2821" w:type="dxa"/>
            <w:shd w:val="clear" w:color="auto" w:fill="auto"/>
            <w:noWrap/>
            <w:hideMark/>
          </w:tcPr>
          <w:p w14:paraId="21844B1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(14.3)</w:t>
            </w:r>
          </w:p>
        </w:tc>
        <w:tc>
          <w:tcPr>
            <w:tcW w:w="3040" w:type="dxa"/>
            <w:shd w:val="clear" w:color="auto" w:fill="auto"/>
            <w:noWrap/>
            <w:hideMark/>
          </w:tcPr>
          <w:p w14:paraId="6B41816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10369DC2" w14:textId="77777777" w:rsidTr="00792C69">
        <w:trPr>
          <w:trHeight w:val="280"/>
        </w:trPr>
        <w:tc>
          <w:tcPr>
            <w:tcW w:w="3119" w:type="dxa"/>
            <w:shd w:val="clear" w:color="auto" w:fill="auto"/>
            <w:noWrap/>
            <w:hideMark/>
          </w:tcPr>
          <w:p w14:paraId="5654918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055FD8E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c>
          <w:tcPr>
            <w:tcW w:w="3040" w:type="dxa"/>
            <w:shd w:val="clear" w:color="auto" w:fill="auto"/>
            <w:noWrap/>
            <w:hideMark/>
          </w:tcPr>
          <w:p w14:paraId="49104512"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6C0106BB" w14:textId="77777777" w:rsidTr="00792C69">
        <w:trPr>
          <w:trHeight w:val="280"/>
        </w:trPr>
        <w:tc>
          <w:tcPr>
            <w:tcW w:w="3119" w:type="dxa"/>
            <w:shd w:val="clear" w:color="auto" w:fill="auto"/>
            <w:noWrap/>
            <w:hideMark/>
          </w:tcPr>
          <w:p w14:paraId="1A4EC34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5AA5CC7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(100)</w:t>
            </w:r>
          </w:p>
        </w:tc>
        <w:tc>
          <w:tcPr>
            <w:tcW w:w="3040" w:type="dxa"/>
            <w:shd w:val="clear" w:color="auto" w:fill="auto"/>
            <w:noWrap/>
            <w:hideMark/>
          </w:tcPr>
          <w:p w14:paraId="25A2A783"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13005D2F" w14:textId="77777777" w:rsidTr="00792C69">
        <w:trPr>
          <w:trHeight w:val="280"/>
        </w:trPr>
        <w:tc>
          <w:tcPr>
            <w:tcW w:w="3119" w:type="dxa"/>
            <w:shd w:val="clear" w:color="auto" w:fill="auto"/>
            <w:noWrap/>
            <w:hideMark/>
          </w:tcPr>
          <w:p w14:paraId="7E6C325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CA724</w:t>
            </w:r>
          </w:p>
        </w:tc>
        <w:tc>
          <w:tcPr>
            <w:tcW w:w="2821" w:type="dxa"/>
            <w:shd w:val="clear" w:color="auto" w:fill="auto"/>
            <w:noWrap/>
            <w:hideMark/>
          </w:tcPr>
          <w:p w14:paraId="17D3F79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5</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(14.3)</w:t>
            </w:r>
          </w:p>
        </w:tc>
        <w:tc>
          <w:tcPr>
            <w:tcW w:w="3040" w:type="dxa"/>
            <w:shd w:val="clear" w:color="auto" w:fill="auto"/>
            <w:noWrap/>
            <w:hideMark/>
          </w:tcPr>
          <w:p w14:paraId="39CD45E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r w:rsidR="001F565A" w:rsidRPr="0087291A" w14:paraId="036A0E43" w14:textId="77777777" w:rsidTr="00792C69">
        <w:trPr>
          <w:trHeight w:val="280"/>
        </w:trPr>
        <w:tc>
          <w:tcPr>
            <w:tcW w:w="3119" w:type="dxa"/>
            <w:shd w:val="clear" w:color="auto" w:fill="auto"/>
            <w:noWrap/>
            <w:hideMark/>
          </w:tcPr>
          <w:p w14:paraId="10037D8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Elevated</w:t>
            </w:r>
          </w:p>
        </w:tc>
        <w:tc>
          <w:tcPr>
            <w:tcW w:w="2821" w:type="dxa"/>
            <w:shd w:val="clear" w:color="auto" w:fill="auto"/>
            <w:noWrap/>
            <w:hideMark/>
          </w:tcPr>
          <w:p w14:paraId="70F2CF3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(40)</w:t>
            </w:r>
          </w:p>
        </w:tc>
        <w:tc>
          <w:tcPr>
            <w:tcW w:w="3040" w:type="dxa"/>
            <w:shd w:val="clear" w:color="auto" w:fill="auto"/>
            <w:noWrap/>
            <w:hideMark/>
          </w:tcPr>
          <w:p w14:paraId="2E04A63C"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58FB22A5" w14:textId="77777777" w:rsidTr="00792C69">
        <w:trPr>
          <w:trHeight w:val="280"/>
        </w:trPr>
        <w:tc>
          <w:tcPr>
            <w:tcW w:w="3119" w:type="dxa"/>
            <w:shd w:val="clear" w:color="auto" w:fill="auto"/>
            <w:noWrap/>
            <w:hideMark/>
          </w:tcPr>
          <w:p w14:paraId="16B1D83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Not elevated</w:t>
            </w:r>
          </w:p>
        </w:tc>
        <w:tc>
          <w:tcPr>
            <w:tcW w:w="2821" w:type="dxa"/>
            <w:shd w:val="clear" w:color="auto" w:fill="auto"/>
            <w:noWrap/>
            <w:hideMark/>
          </w:tcPr>
          <w:p w14:paraId="3FC162F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(60)</w:t>
            </w:r>
          </w:p>
        </w:tc>
        <w:tc>
          <w:tcPr>
            <w:tcW w:w="3040" w:type="dxa"/>
            <w:shd w:val="clear" w:color="auto" w:fill="auto"/>
            <w:noWrap/>
            <w:hideMark/>
          </w:tcPr>
          <w:p w14:paraId="78FE9084"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w:t>
            </w:r>
          </w:p>
        </w:tc>
      </w:tr>
      <w:tr w:rsidR="001F565A" w:rsidRPr="0087291A" w14:paraId="302CD4D8" w14:textId="77777777" w:rsidTr="00792C69">
        <w:trPr>
          <w:trHeight w:val="280"/>
        </w:trPr>
        <w:tc>
          <w:tcPr>
            <w:tcW w:w="8980" w:type="dxa"/>
            <w:gridSpan w:val="3"/>
            <w:shd w:val="clear" w:color="auto" w:fill="auto"/>
            <w:noWrap/>
            <w:hideMark/>
          </w:tcPr>
          <w:p w14:paraId="356CF62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Medical imaging examination</w:t>
            </w:r>
            <w:r w:rsidR="009B7BE4" w:rsidRPr="0087291A">
              <w:rPr>
                <w:rFonts w:ascii="Book Antiqua" w:hAnsi="Book Antiqua" w:cs="Times New Roman"/>
                <w:sz w:val="24"/>
                <w:szCs w:val="24"/>
              </w:rPr>
              <w:t>,</w:t>
            </w:r>
            <w:r w:rsidR="009B7BE4" w:rsidRPr="0087291A">
              <w:rPr>
                <w:rFonts w:ascii="Book Antiqua" w:hAnsi="Book Antiqua" w:cs="Times New Roman"/>
                <w:i/>
                <w:sz w:val="24"/>
                <w:szCs w:val="24"/>
              </w:rPr>
              <w:t xml:space="preserve"> n </w:t>
            </w:r>
            <w:r w:rsidR="009B7BE4" w:rsidRPr="0087291A">
              <w:rPr>
                <w:rFonts w:ascii="Book Antiqua" w:hAnsi="Book Antiqua" w:cs="Times New Roman"/>
                <w:sz w:val="24"/>
                <w:szCs w:val="24"/>
              </w:rPr>
              <w:t>(%)</w:t>
            </w:r>
          </w:p>
        </w:tc>
      </w:tr>
      <w:tr w:rsidR="001F565A" w:rsidRPr="0087291A" w14:paraId="64803CAE" w14:textId="77777777" w:rsidTr="00792C69">
        <w:trPr>
          <w:trHeight w:val="280"/>
        </w:trPr>
        <w:tc>
          <w:tcPr>
            <w:tcW w:w="3119" w:type="dxa"/>
            <w:shd w:val="clear" w:color="auto" w:fill="auto"/>
            <w:noWrap/>
            <w:hideMark/>
          </w:tcPr>
          <w:p w14:paraId="42EE3AA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Ultrasonography</w:t>
            </w:r>
          </w:p>
        </w:tc>
        <w:tc>
          <w:tcPr>
            <w:tcW w:w="2821" w:type="dxa"/>
            <w:shd w:val="clear" w:color="auto" w:fill="auto"/>
            <w:noWrap/>
            <w:hideMark/>
          </w:tcPr>
          <w:p w14:paraId="484D37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(45.7)</w:t>
            </w:r>
          </w:p>
        </w:tc>
        <w:tc>
          <w:tcPr>
            <w:tcW w:w="3040" w:type="dxa"/>
            <w:shd w:val="clear" w:color="auto" w:fill="auto"/>
            <w:noWrap/>
            <w:hideMark/>
          </w:tcPr>
          <w:p w14:paraId="554C204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r>
      <w:tr w:rsidR="001F565A" w:rsidRPr="0087291A" w14:paraId="373EA494" w14:textId="77777777" w:rsidTr="00792C69">
        <w:trPr>
          <w:trHeight w:val="280"/>
        </w:trPr>
        <w:tc>
          <w:tcPr>
            <w:tcW w:w="3119" w:type="dxa"/>
            <w:shd w:val="clear" w:color="auto" w:fill="auto"/>
            <w:noWrap/>
            <w:hideMark/>
          </w:tcPr>
          <w:p w14:paraId="26A4D21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Hysteromyoma</w:t>
            </w:r>
          </w:p>
        </w:tc>
        <w:tc>
          <w:tcPr>
            <w:tcW w:w="2821" w:type="dxa"/>
            <w:shd w:val="clear" w:color="auto" w:fill="auto"/>
            <w:noWrap/>
            <w:hideMark/>
          </w:tcPr>
          <w:p w14:paraId="1C1C0E3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(68.8)</w:t>
            </w:r>
          </w:p>
        </w:tc>
        <w:tc>
          <w:tcPr>
            <w:tcW w:w="3040" w:type="dxa"/>
            <w:shd w:val="clear" w:color="auto" w:fill="auto"/>
            <w:noWrap/>
            <w:hideMark/>
          </w:tcPr>
          <w:p w14:paraId="7B59988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(9.1)</w:t>
            </w:r>
          </w:p>
        </w:tc>
      </w:tr>
      <w:tr w:rsidR="001F565A" w:rsidRPr="0087291A" w14:paraId="6B205AEF" w14:textId="77777777" w:rsidTr="00792C69">
        <w:trPr>
          <w:trHeight w:val="280"/>
        </w:trPr>
        <w:tc>
          <w:tcPr>
            <w:tcW w:w="3119" w:type="dxa"/>
            <w:shd w:val="clear" w:color="auto" w:fill="auto"/>
            <w:noWrap/>
            <w:hideMark/>
          </w:tcPr>
          <w:p w14:paraId="793C9AB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Pelvic and abdominal mass</w:t>
            </w:r>
          </w:p>
        </w:tc>
        <w:tc>
          <w:tcPr>
            <w:tcW w:w="2821" w:type="dxa"/>
            <w:shd w:val="clear" w:color="auto" w:fill="auto"/>
            <w:noWrap/>
            <w:hideMark/>
          </w:tcPr>
          <w:p w14:paraId="2507DC8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4</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(25)</w:t>
            </w:r>
          </w:p>
        </w:tc>
        <w:tc>
          <w:tcPr>
            <w:tcW w:w="3040" w:type="dxa"/>
            <w:shd w:val="clear" w:color="auto" w:fill="auto"/>
            <w:noWrap/>
            <w:hideMark/>
          </w:tcPr>
          <w:p w14:paraId="39A432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8</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(72.7)</w:t>
            </w:r>
          </w:p>
        </w:tc>
      </w:tr>
      <w:tr w:rsidR="001F565A" w:rsidRPr="0087291A" w14:paraId="1AC49AC0" w14:textId="77777777" w:rsidTr="00792C69">
        <w:trPr>
          <w:trHeight w:val="280"/>
        </w:trPr>
        <w:tc>
          <w:tcPr>
            <w:tcW w:w="3119" w:type="dxa"/>
            <w:shd w:val="clear" w:color="auto" w:fill="auto"/>
            <w:noWrap/>
            <w:hideMark/>
          </w:tcPr>
          <w:p w14:paraId="534D709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Malignant occupancy of cervix</w:t>
            </w:r>
          </w:p>
        </w:tc>
        <w:tc>
          <w:tcPr>
            <w:tcW w:w="2821" w:type="dxa"/>
            <w:shd w:val="clear" w:color="auto" w:fill="auto"/>
            <w:noWrap/>
            <w:hideMark/>
          </w:tcPr>
          <w:p w14:paraId="5CE5551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(6.2)</w:t>
            </w:r>
          </w:p>
        </w:tc>
        <w:tc>
          <w:tcPr>
            <w:tcW w:w="3040" w:type="dxa"/>
            <w:shd w:val="clear" w:color="auto" w:fill="auto"/>
            <w:noWrap/>
            <w:hideMark/>
          </w:tcPr>
          <w:p w14:paraId="64FEB72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(18.2)</w:t>
            </w:r>
          </w:p>
        </w:tc>
      </w:tr>
      <w:tr w:rsidR="001F565A" w:rsidRPr="0087291A" w14:paraId="173FAB0E" w14:textId="77777777" w:rsidTr="00792C69">
        <w:trPr>
          <w:trHeight w:val="280"/>
        </w:trPr>
        <w:tc>
          <w:tcPr>
            <w:tcW w:w="3119" w:type="dxa"/>
            <w:shd w:val="clear" w:color="auto" w:fill="auto"/>
            <w:noWrap/>
            <w:hideMark/>
          </w:tcPr>
          <w:p w14:paraId="037173D9" w14:textId="77777777" w:rsidR="001F565A" w:rsidRPr="0087291A" w:rsidRDefault="009B7BE4"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CT</w:t>
            </w:r>
          </w:p>
        </w:tc>
        <w:tc>
          <w:tcPr>
            <w:tcW w:w="2821" w:type="dxa"/>
            <w:shd w:val="clear" w:color="auto" w:fill="auto"/>
            <w:noWrap/>
            <w:hideMark/>
          </w:tcPr>
          <w:p w14:paraId="3275F2D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(5.7)</w:t>
            </w:r>
          </w:p>
        </w:tc>
        <w:tc>
          <w:tcPr>
            <w:tcW w:w="3040" w:type="dxa"/>
            <w:shd w:val="clear" w:color="auto" w:fill="auto"/>
            <w:noWrap/>
            <w:hideMark/>
          </w:tcPr>
          <w:p w14:paraId="71F320D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(6.3)</w:t>
            </w:r>
          </w:p>
        </w:tc>
      </w:tr>
      <w:tr w:rsidR="001F565A" w:rsidRPr="0087291A" w14:paraId="44ABE923" w14:textId="77777777" w:rsidTr="00792C69">
        <w:trPr>
          <w:trHeight w:val="280"/>
        </w:trPr>
        <w:tc>
          <w:tcPr>
            <w:tcW w:w="3119" w:type="dxa"/>
            <w:shd w:val="clear" w:color="auto" w:fill="auto"/>
            <w:noWrap/>
            <w:hideMark/>
          </w:tcPr>
          <w:p w14:paraId="0091EE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MRI</w:t>
            </w:r>
          </w:p>
        </w:tc>
        <w:tc>
          <w:tcPr>
            <w:tcW w:w="2821" w:type="dxa"/>
            <w:shd w:val="clear" w:color="auto" w:fill="auto"/>
            <w:noWrap/>
            <w:hideMark/>
          </w:tcPr>
          <w:p w14:paraId="7979BFC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(2.9)</w:t>
            </w:r>
          </w:p>
        </w:tc>
        <w:tc>
          <w:tcPr>
            <w:tcW w:w="3040" w:type="dxa"/>
            <w:shd w:val="clear" w:color="auto" w:fill="auto"/>
            <w:noWrap/>
            <w:hideMark/>
          </w:tcPr>
          <w:p w14:paraId="4EC05C9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w:t>
            </w:r>
            <w:r w:rsidR="009B7BE4" w:rsidRPr="0087291A">
              <w:rPr>
                <w:rFonts w:ascii="Book Antiqua" w:hAnsi="Book Antiqua" w:cs="Times New Roman"/>
                <w:sz w:val="24"/>
                <w:szCs w:val="24"/>
              </w:rPr>
              <w:t xml:space="preserve"> </w:t>
            </w:r>
            <w:r w:rsidRPr="0087291A">
              <w:rPr>
                <w:rFonts w:ascii="Book Antiqua" w:hAnsi="Book Antiqua" w:cs="Times New Roman"/>
                <w:sz w:val="24"/>
                <w:szCs w:val="24"/>
              </w:rPr>
              <w:t>(0)</w:t>
            </w:r>
          </w:p>
        </w:tc>
      </w:tr>
    </w:tbl>
    <w:p w14:paraId="121BC1FA" w14:textId="77777777" w:rsidR="009B7BE4" w:rsidRPr="0087291A" w:rsidRDefault="009B7BE4" w:rsidP="0087291A">
      <w:pPr>
        <w:adjustRightInd w:val="0"/>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t>CA: Carbohydrate antigen; CEA: Carcinoembryonic antigen; CT: Computed tomography; MRI: Magnetic resonance imaging.</w:t>
      </w:r>
    </w:p>
    <w:p w14:paraId="4DED5AA1" w14:textId="77777777" w:rsidR="009B7BE4" w:rsidRPr="0087291A" w:rsidRDefault="009B7BE4" w:rsidP="0087291A">
      <w:pPr>
        <w:widowControl/>
        <w:snapToGrid w:val="0"/>
        <w:spacing w:line="360" w:lineRule="auto"/>
        <w:rPr>
          <w:rFonts w:ascii="Book Antiqua" w:hAnsi="Book Antiqua" w:cs="Arial"/>
          <w:sz w:val="24"/>
          <w:szCs w:val="24"/>
          <w:lang w:val="en-GB"/>
        </w:rPr>
      </w:pPr>
      <w:r w:rsidRPr="0087291A">
        <w:rPr>
          <w:rFonts w:ascii="Book Antiqua" w:hAnsi="Book Antiqua" w:cs="Arial"/>
          <w:sz w:val="24"/>
          <w:szCs w:val="24"/>
          <w:lang w:val="en-GB"/>
        </w:rPr>
        <w:br w:type="page"/>
      </w:r>
    </w:p>
    <w:p w14:paraId="25BA9EEB" w14:textId="708B5F09" w:rsidR="001F565A" w:rsidRPr="0087291A" w:rsidRDefault="001F565A" w:rsidP="0087291A">
      <w:pPr>
        <w:adjustRightInd w:val="0"/>
        <w:snapToGrid w:val="0"/>
        <w:spacing w:line="360" w:lineRule="auto"/>
        <w:rPr>
          <w:rFonts w:ascii="Book Antiqua" w:hAnsi="Book Antiqua" w:cs="Arial"/>
          <w:b/>
          <w:sz w:val="24"/>
          <w:szCs w:val="24"/>
          <w:lang w:val="hu-HU"/>
        </w:rPr>
      </w:pPr>
      <w:r w:rsidRPr="0087291A">
        <w:rPr>
          <w:rFonts w:ascii="Book Antiqua" w:hAnsi="Book Antiqua" w:cs="Arial"/>
          <w:b/>
          <w:sz w:val="24"/>
          <w:szCs w:val="24"/>
          <w:lang w:val="hu-HU"/>
        </w:rPr>
        <w:t>Table3 Cox proportional hazards</w:t>
      </w:r>
      <w:r w:rsidR="00DA22E6">
        <w:rPr>
          <w:rFonts w:ascii="Book Antiqua" w:hAnsi="Book Antiqua" w:cs="Arial"/>
          <w:b/>
          <w:sz w:val="24"/>
          <w:szCs w:val="24"/>
          <w:lang w:val="hu-HU"/>
        </w:rPr>
        <w:t xml:space="preserve"> regression analysis </w:t>
      </w:r>
      <w:r w:rsidRPr="0087291A">
        <w:rPr>
          <w:rFonts w:ascii="Book Antiqua" w:hAnsi="Book Antiqua" w:cs="Arial"/>
          <w:b/>
          <w:sz w:val="24"/>
          <w:szCs w:val="24"/>
          <w:lang w:val="hu-HU"/>
        </w:rPr>
        <w:t>of factors associated with progression-free survival</w:t>
      </w:r>
    </w:p>
    <w:tbl>
      <w:tblPr>
        <w:tblW w:w="10532" w:type="dxa"/>
        <w:jc w:val="center"/>
        <w:tblBorders>
          <w:top w:val="single" w:sz="4" w:space="0" w:color="auto"/>
          <w:bottom w:val="single" w:sz="4" w:space="0" w:color="auto"/>
        </w:tblBorders>
        <w:tblLayout w:type="fixed"/>
        <w:tblLook w:val="04A0" w:firstRow="1" w:lastRow="0" w:firstColumn="1" w:lastColumn="0" w:noHBand="0" w:noVBand="1"/>
      </w:tblPr>
      <w:tblGrid>
        <w:gridCol w:w="3207"/>
        <w:gridCol w:w="1221"/>
        <w:gridCol w:w="1373"/>
        <w:gridCol w:w="1221"/>
        <w:gridCol w:w="1069"/>
        <w:gridCol w:w="1373"/>
        <w:gridCol w:w="1068"/>
      </w:tblGrid>
      <w:tr w:rsidR="001F565A" w:rsidRPr="0087291A" w14:paraId="7B1A3439" w14:textId="77777777" w:rsidTr="00F43184">
        <w:trPr>
          <w:trHeight w:val="644"/>
          <w:jc w:val="center"/>
        </w:trPr>
        <w:tc>
          <w:tcPr>
            <w:tcW w:w="3207" w:type="dxa"/>
            <w:vMerge w:val="restart"/>
            <w:tcBorders>
              <w:top w:val="single" w:sz="4" w:space="0" w:color="auto"/>
              <w:bottom w:val="nil"/>
            </w:tcBorders>
            <w:shd w:val="clear" w:color="auto" w:fill="auto"/>
            <w:noWrap/>
            <w:hideMark/>
          </w:tcPr>
          <w:p w14:paraId="036F5B57" w14:textId="2DC9E038" w:rsidR="001F565A" w:rsidRPr="0087291A" w:rsidRDefault="00792C69"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Factor</w:t>
            </w:r>
          </w:p>
        </w:tc>
        <w:tc>
          <w:tcPr>
            <w:tcW w:w="3815" w:type="dxa"/>
            <w:gridSpan w:val="3"/>
            <w:tcBorders>
              <w:top w:val="single" w:sz="4" w:space="0" w:color="auto"/>
              <w:bottom w:val="single" w:sz="4" w:space="0" w:color="auto"/>
            </w:tcBorders>
          </w:tcPr>
          <w:p w14:paraId="620FD466" w14:textId="77777777" w:rsidR="001F565A" w:rsidRPr="0087291A" w:rsidRDefault="00792C69"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Univariate analysis</w:t>
            </w:r>
          </w:p>
        </w:tc>
        <w:tc>
          <w:tcPr>
            <w:tcW w:w="3510" w:type="dxa"/>
            <w:gridSpan w:val="3"/>
            <w:tcBorders>
              <w:top w:val="single" w:sz="4" w:space="0" w:color="auto"/>
              <w:bottom w:val="single" w:sz="4" w:space="0" w:color="auto"/>
            </w:tcBorders>
          </w:tcPr>
          <w:p w14:paraId="145424F3"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Multivariate analysis</w:t>
            </w:r>
          </w:p>
        </w:tc>
      </w:tr>
      <w:tr w:rsidR="001F565A" w:rsidRPr="0087291A" w14:paraId="4AE7F506" w14:textId="77777777" w:rsidTr="00F43184">
        <w:trPr>
          <w:trHeight w:val="593"/>
          <w:jc w:val="center"/>
        </w:trPr>
        <w:tc>
          <w:tcPr>
            <w:tcW w:w="3207" w:type="dxa"/>
            <w:vMerge/>
            <w:tcBorders>
              <w:top w:val="nil"/>
              <w:bottom w:val="single" w:sz="4" w:space="0" w:color="auto"/>
            </w:tcBorders>
            <w:hideMark/>
          </w:tcPr>
          <w:p w14:paraId="37526685"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p>
        </w:tc>
        <w:tc>
          <w:tcPr>
            <w:tcW w:w="1221" w:type="dxa"/>
            <w:tcBorders>
              <w:top w:val="single" w:sz="4" w:space="0" w:color="auto"/>
              <w:bottom w:val="single" w:sz="4" w:space="0" w:color="auto"/>
            </w:tcBorders>
            <w:shd w:val="clear" w:color="auto" w:fill="auto"/>
            <w:vAlign w:val="center"/>
          </w:tcPr>
          <w:p w14:paraId="6F33C0E0"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hAnsi="Book Antiqua" w:cs="Times New Roman"/>
                <w:b/>
                <w:sz w:val="24"/>
                <w:szCs w:val="24"/>
                <w:lang w:val="en-GB"/>
              </w:rPr>
              <w:t>Hazard ratio</w:t>
            </w:r>
          </w:p>
        </w:tc>
        <w:tc>
          <w:tcPr>
            <w:tcW w:w="1373" w:type="dxa"/>
            <w:tcBorders>
              <w:top w:val="single" w:sz="4" w:space="0" w:color="auto"/>
              <w:bottom w:val="single" w:sz="4" w:space="0" w:color="auto"/>
            </w:tcBorders>
            <w:shd w:val="clear" w:color="auto" w:fill="auto"/>
            <w:vAlign w:val="center"/>
          </w:tcPr>
          <w:p w14:paraId="2F7B32EF"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95%C</w:t>
            </w:r>
            <w:r w:rsidR="00792C69" w:rsidRPr="0087291A">
              <w:rPr>
                <w:rFonts w:ascii="Book Antiqua" w:eastAsia="Arial Unicode MS" w:hAnsi="Book Antiqua" w:cs="Times New Roman"/>
                <w:b/>
                <w:color w:val="000000"/>
                <w:kern w:val="0"/>
                <w:sz w:val="24"/>
                <w:szCs w:val="24"/>
              </w:rPr>
              <w:t>I</w:t>
            </w:r>
          </w:p>
        </w:tc>
        <w:tc>
          <w:tcPr>
            <w:tcW w:w="1221" w:type="dxa"/>
            <w:tcBorders>
              <w:top w:val="single" w:sz="4" w:space="0" w:color="auto"/>
              <w:bottom w:val="single" w:sz="4" w:space="0" w:color="auto"/>
            </w:tcBorders>
            <w:shd w:val="clear" w:color="auto" w:fill="auto"/>
            <w:vAlign w:val="center"/>
          </w:tcPr>
          <w:p w14:paraId="245DC17C" w14:textId="77777777" w:rsidR="001F565A" w:rsidRPr="0087291A" w:rsidRDefault="00792C69"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i/>
                <w:caps/>
                <w:color w:val="000000"/>
                <w:kern w:val="0"/>
                <w:sz w:val="24"/>
                <w:szCs w:val="24"/>
              </w:rPr>
              <w:t>p</w:t>
            </w:r>
            <w:r w:rsidRPr="0087291A">
              <w:rPr>
                <w:rFonts w:ascii="Book Antiqua" w:eastAsia="Arial Unicode MS" w:hAnsi="Book Antiqua" w:cs="Times New Roman"/>
                <w:b/>
                <w:color w:val="000000"/>
                <w:kern w:val="0"/>
                <w:sz w:val="24"/>
                <w:szCs w:val="24"/>
              </w:rPr>
              <w:t xml:space="preserve"> </w:t>
            </w:r>
            <w:r w:rsidR="001F565A" w:rsidRPr="0087291A">
              <w:rPr>
                <w:rFonts w:ascii="Book Antiqua" w:eastAsia="Arial Unicode MS" w:hAnsi="Book Antiqua" w:cs="Times New Roman"/>
                <w:b/>
                <w:color w:val="000000"/>
                <w:kern w:val="0"/>
                <w:sz w:val="24"/>
                <w:szCs w:val="24"/>
              </w:rPr>
              <w:t>value</w:t>
            </w:r>
          </w:p>
        </w:tc>
        <w:tc>
          <w:tcPr>
            <w:tcW w:w="1069" w:type="dxa"/>
            <w:tcBorders>
              <w:top w:val="single" w:sz="4" w:space="0" w:color="auto"/>
              <w:bottom w:val="single" w:sz="4" w:space="0" w:color="auto"/>
            </w:tcBorders>
            <w:vAlign w:val="center"/>
          </w:tcPr>
          <w:p w14:paraId="3BD4708A" w14:textId="77777777" w:rsidR="001F565A" w:rsidRPr="0087291A" w:rsidRDefault="001F565A" w:rsidP="0087291A">
            <w:pPr>
              <w:snapToGrid w:val="0"/>
              <w:spacing w:line="360" w:lineRule="auto"/>
              <w:rPr>
                <w:rFonts w:ascii="Book Antiqua" w:eastAsia="Arial Unicode MS" w:hAnsi="Book Antiqua" w:cs="Times New Roman"/>
                <w:b/>
                <w:color w:val="000000"/>
                <w:kern w:val="0"/>
                <w:sz w:val="24"/>
                <w:szCs w:val="24"/>
              </w:rPr>
            </w:pPr>
            <w:r w:rsidRPr="0087291A">
              <w:rPr>
                <w:rFonts w:ascii="Book Antiqua" w:hAnsi="Book Antiqua" w:cs="Times New Roman"/>
                <w:b/>
                <w:sz w:val="24"/>
                <w:szCs w:val="24"/>
                <w:lang w:val="en-GB"/>
              </w:rPr>
              <w:t>Hazard ratio</w:t>
            </w:r>
          </w:p>
        </w:tc>
        <w:tc>
          <w:tcPr>
            <w:tcW w:w="1373" w:type="dxa"/>
            <w:tcBorders>
              <w:top w:val="single" w:sz="4" w:space="0" w:color="auto"/>
              <w:bottom w:val="single" w:sz="4" w:space="0" w:color="auto"/>
            </w:tcBorders>
            <w:vAlign w:val="center"/>
          </w:tcPr>
          <w:p w14:paraId="5FEE2457"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color w:val="000000"/>
                <w:kern w:val="0"/>
                <w:sz w:val="24"/>
                <w:szCs w:val="24"/>
              </w:rPr>
              <w:t>95%C</w:t>
            </w:r>
            <w:r w:rsidR="00792C69" w:rsidRPr="0087291A">
              <w:rPr>
                <w:rFonts w:ascii="Book Antiqua" w:eastAsia="Arial Unicode MS" w:hAnsi="Book Antiqua" w:cs="Times New Roman"/>
                <w:b/>
                <w:color w:val="000000"/>
                <w:kern w:val="0"/>
                <w:sz w:val="24"/>
                <w:szCs w:val="24"/>
              </w:rPr>
              <w:t>I</w:t>
            </w:r>
          </w:p>
        </w:tc>
        <w:tc>
          <w:tcPr>
            <w:tcW w:w="1068" w:type="dxa"/>
            <w:tcBorders>
              <w:top w:val="single" w:sz="4" w:space="0" w:color="auto"/>
              <w:bottom w:val="single" w:sz="4" w:space="0" w:color="auto"/>
            </w:tcBorders>
            <w:vAlign w:val="center"/>
          </w:tcPr>
          <w:p w14:paraId="4DF4FF03" w14:textId="77777777" w:rsidR="001F565A" w:rsidRPr="0087291A" w:rsidRDefault="001F565A" w:rsidP="0087291A">
            <w:pPr>
              <w:widowControl/>
              <w:snapToGrid w:val="0"/>
              <w:spacing w:line="360" w:lineRule="auto"/>
              <w:rPr>
                <w:rFonts w:ascii="Book Antiqua" w:eastAsia="Arial Unicode MS" w:hAnsi="Book Antiqua" w:cs="Times New Roman"/>
                <w:b/>
                <w:color w:val="000000"/>
                <w:kern w:val="0"/>
                <w:sz w:val="24"/>
                <w:szCs w:val="24"/>
              </w:rPr>
            </w:pPr>
            <w:r w:rsidRPr="0087291A">
              <w:rPr>
                <w:rFonts w:ascii="Book Antiqua" w:eastAsia="Arial Unicode MS" w:hAnsi="Book Antiqua" w:cs="Times New Roman"/>
                <w:b/>
                <w:i/>
                <w:caps/>
                <w:color w:val="000000"/>
                <w:kern w:val="0"/>
                <w:sz w:val="24"/>
                <w:szCs w:val="24"/>
              </w:rPr>
              <w:t>p</w:t>
            </w:r>
            <w:r w:rsidR="00792C69" w:rsidRPr="0087291A">
              <w:rPr>
                <w:rFonts w:ascii="Book Antiqua" w:eastAsia="Arial Unicode MS" w:hAnsi="Book Antiqua" w:cs="Times New Roman"/>
                <w:b/>
                <w:color w:val="000000"/>
                <w:kern w:val="0"/>
                <w:sz w:val="24"/>
                <w:szCs w:val="24"/>
              </w:rPr>
              <w:t xml:space="preserve"> </w:t>
            </w:r>
            <w:r w:rsidRPr="0087291A">
              <w:rPr>
                <w:rFonts w:ascii="Book Antiqua" w:eastAsia="Arial Unicode MS" w:hAnsi="Book Antiqua" w:cs="Times New Roman"/>
                <w:b/>
                <w:color w:val="000000"/>
                <w:kern w:val="0"/>
                <w:sz w:val="24"/>
                <w:szCs w:val="24"/>
              </w:rPr>
              <w:t>value</w:t>
            </w:r>
          </w:p>
        </w:tc>
      </w:tr>
      <w:tr w:rsidR="001F565A" w:rsidRPr="0087291A" w14:paraId="70C4835B" w14:textId="77777777" w:rsidTr="00F43184">
        <w:trPr>
          <w:trHeight w:val="289"/>
          <w:jc w:val="center"/>
        </w:trPr>
        <w:tc>
          <w:tcPr>
            <w:tcW w:w="3207" w:type="dxa"/>
            <w:tcBorders>
              <w:top w:val="single" w:sz="4" w:space="0" w:color="auto"/>
            </w:tcBorders>
            <w:shd w:val="clear" w:color="auto" w:fill="auto"/>
            <w:noWrap/>
            <w:hideMark/>
          </w:tcPr>
          <w:p w14:paraId="3FAFC65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Fage</w:t>
            </w:r>
          </w:p>
        </w:tc>
        <w:tc>
          <w:tcPr>
            <w:tcW w:w="1221" w:type="dxa"/>
            <w:tcBorders>
              <w:top w:val="single" w:sz="4" w:space="0" w:color="auto"/>
            </w:tcBorders>
          </w:tcPr>
          <w:p w14:paraId="5558C54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0.98</w:t>
            </w:r>
          </w:p>
        </w:tc>
        <w:tc>
          <w:tcPr>
            <w:tcW w:w="1373" w:type="dxa"/>
            <w:tcBorders>
              <w:top w:val="single" w:sz="4" w:space="0" w:color="auto"/>
            </w:tcBorders>
          </w:tcPr>
          <w:p w14:paraId="499629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0.94-1.01</w:t>
            </w:r>
          </w:p>
        </w:tc>
        <w:tc>
          <w:tcPr>
            <w:tcW w:w="1221" w:type="dxa"/>
            <w:tcBorders>
              <w:top w:val="single" w:sz="4" w:space="0" w:color="auto"/>
            </w:tcBorders>
          </w:tcPr>
          <w:p w14:paraId="20B1271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0.25</w:t>
            </w:r>
          </w:p>
        </w:tc>
        <w:tc>
          <w:tcPr>
            <w:tcW w:w="1069" w:type="dxa"/>
            <w:tcBorders>
              <w:top w:val="single" w:sz="4" w:space="0" w:color="auto"/>
            </w:tcBorders>
          </w:tcPr>
          <w:p w14:paraId="4735A1FA"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Borders>
              <w:top w:val="single" w:sz="4" w:space="0" w:color="auto"/>
            </w:tcBorders>
          </w:tcPr>
          <w:p w14:paraId="6F93E0FD"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Borders>
              <w:top w:val="single" w:sz="4" w:space="0" w:color="auto"/>
            </w:tcBorders>
          </w:tcPr>
          <w:p w14:paraId="172B3CB4"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FBB440C" w14:textId="77777777" w:rsidTr="00F43184">
        <w:trPr>
          <w:trHeight w:val="289"/>
          <w:jc w:val="center"/>
        </w:trPr>
        <w:tc>
          <w:tcPr>
            <w:tcW w:w="3207" w:type="dxa"/>
            <w:shd w:val="clear" w:color="auto" w:fill="auto"/>
            <w:noWrap/>
            <w:hideMark/>
          </w:tcPr>
          <w:p w14:paraId="3DF01C37" w14:textId="34AB993D"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Prim</w:t>
            </w:r>
            <w:r w:rsidR="00792C69" w:rsidRPr="0087291A">
              <w:rPr>
                <w:rFonts w:ascii="Book Antiqua" w:hAnsi="Book Antiqua" w:cs="Times New Roman"/>
                <w:sz w:val="24"/>
                <w:szCs w:val="24"/>
              </w:rPr>
              <w:t xml:space="preserve">ary site </w:t>
            </w:r>
            <w:r w:rsidRPr="0087291A">
              <w:rPr>
                <w:rFonts w:ascii="Book Antiqua" w:hAnsi="Book Antiqua" w:cs="Times New Roman"/>
                <w:sz w:val="24"/>
                <w:szCs w:val="24"/>
              </w:rPr>
              <w:t>(</w:t>
            </w:r>
            <w:r w:rsidR="00792C69" w:rsidRPr="0087291A">
              <w:rPr>
                <w:rFonts w:ascii="Book Antiqua" w:hAnsi="Book Antiqua" w:cs="Times New Roman"/>
                <w:sz w:val="24"/>
                <w:szCs w:val="24"/>
                <w:lang w:val="en-GB"/>
              </w:rPr>
              <w:t>uterine</w:t>
            </w:r>
            <w:r w:rsidRPr="0087291A">
              <w:rPr>
                <w:rFonts w:ascii="Book Antiqua" w:hAnsi="Book Antiqua" w:cs="Times New Roman"/>
                <w:sz w:val="24"/>
                <w:szCs w:val="24"/>
              </w:rPr>
              <w:t>/</w:t>
            </w:r>
            <w:r w:rsidR="00792C69" w:rsidRPr="0087291A">
              <w:rPr>
                <w:rFonts w:ascii="Book Antiqua" w:hAnsi="Book Antiqua" w:cs="Times New Roman"/>
                <w:sz w:val="24"/>
                <w:szCs w:val="24"/>
              </w:rPr>
              <w:t>non</w:t>
            </w:r>
            <w:r w:rsidRPr="0087291A">
              <w:rPr>
                <w:rFonts w:ascii="Book Antiqua" w:hAnsi="Book Antiqua" w:cs="Times New Roman"/>
                <w:sz w:val="24"/>
                <w:szCs w:val="24"/>
              </w:rPr>
              <w:t>-uterine)</w:t>
            </w:r>
          </w:p>
        </w:tc>
        <w:tc>
          <w:tcPr>
            <w:tcW w:w="1221" w:type="dxa"/>
          </w:tcPr>
          <w:p w14:paraId="3F77420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0.77</w:t>
            </w:r>
          </w:p>
        </w:tc>
        <w:tc>
          <w:tcPr>
            <w:tcW w:w="1373" w:type="dxa"/>
          </w:tcPr>
          <w:p w14:paraId="5D2CA410"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0.34-</w:t>
            </w:r>
            <w:r w:rsidR="001F565A" w:rsidRPr="0087291A">
              <w:rPr>
                <w:rFonts w:ascii="Book Antiqua" w:hAnsi="Book Antiqua" w:cs="Times New Roman"/>
                <w:sz w:val="24"/>
                <w:szCs w:val="24"/>
              </w:rPr>
              <w:t>1.76</w:t>
            </w:r>
          </w:p>
        </w:tc>
        <w:tc>
          <w:tcPr>
            <w:tcW w:w="1221" w:type="dxa"/>
          </w:tcPr>
          <w:p w14:paraId="149EE96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0.54</w:t>
            </w:r>
          </w:p>
        </w:tc>
        <w:tc>
          <w:tcPr>
            <w:tcW w:w="1069" w:type="dxa"/>
          </w:tcPr>
          <w:p w14:paraId="2F6C19D6"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6127FA49"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5B9B0AA"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2D37C26F" w14:textId="77777777" w:rsidTr="00F43184">
        <w:trPr>
          <w:trHeight w:val="289"/>
          <w:jc w:val="center"/>
        </w:trPr>
        <w:tc>
          <w:tcPr>
            <w:tcW w:w="3207" w:type="dxa"/>
            <w:shd w:val="clear" w:color="auto" w:fill="auto"/>
            <w:noWrap/>
            <w:hideMark/>
          </w:tcPr>
          <w:p w14:paraId="5E2E557A"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FIGO stage</w:t>
            </w:r>
          </w:p>
        </w:tc>
        <w:tc>
          <w:tcPr>
            <w:tcW w:w="1221" w:type="dxa"/>
          </w:tcPr>
          <w:p w14:paraId="32921059"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889F6CF" w14:textId="77777777" w:rsidR="001F565A" w:rsidRPr="0087291A" w:rsidRDefault="001F565A" w:rsidP="0087291A">
            <w:pPr>
              <w:snapToGrid w:val="0"/>
              <w:spacing w:line="360" w:lineRule="auto"/>
              <w:rPr>
                <w:rFonts w:ascii="Book Antiqua" w:hAnsi="Book Antiqua" w:cs="Times New Roman"/>
                <w:sz w:val="24"/>
                <w:szCs w:val="24"/>
              </w:rPr>
            </w:pPr>
          </w:p>
        </w:tc>
        <w:tc>
          <w:tcPr>
            <w:tcW w:w="1221" w:type="dxa"/>
          </w:tcPr>
          <w:p w14:paraId="4FCE19D2" w14:textId="77777777" w:rsidR="001F565A" w:rsidRPr="0087291A" w:rsidRDefault="001F565A" w:rsidP="0087291A">
            <w:pPr>
              <w:snapToGrid w:val="0"/>
              <w:spacing w:line="360" w:lineRule="auto"/>
              <w:rPr>
                <w:rFonts w:ascii="Book Antiqua" w:hAnsi="Book Antiqua" w:cs="Times New Roman"/>
                <w:sz w:val="24"/>
                <w:szCs w:val="24"/>
              </w:rPr>
            </w:pPr>
          </w:p>
        </w:tc>
        <w:tc>
          <w:tcPr>
            <w:tcW w:w="1069" w:type="dxa"/>
          </w:tcPr>
          <w:p w14:paraId="30C1771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902731E"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3E06FD7F"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EF006B2" w14:textId="77777777" w:rsidTr="00F43184">
        <w:trPr>
          <w:trHeight w:val="289"/>
          <w:jc w:val="center"/>
        </w:trPr>
        <w:tc>
          <w:tcPr>
            <w:tcW w:w="3207" w:type="dxa"/>
            <w:shd w:val="clear" w:color="auto" w:fill="auto"/>
            <w:noWrap/>
            <w:hideMark/>
          </w:tcPr>
          <w:p w14:paraId="4F2AF93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III-IV/I-II</w:t>
            </w:r>
          </w:p>
        </w:tc>
        <w:tc>
          <w:tcPr>
            <w:tcW w:w="1221" w:type="dxa"/>
          </w:tcPr>
          <w:p w14:paraId="3EA855A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2.64</w:t>
            </w:r>
          </w:p>
        </w:tc>
        <w:tc>
          <w:tcPr>
            <w:tcW w:w="1373" w:type="dxa"/>
          </w:tcPr>
          <w:p w14:paraId="5AE9CB5E"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1.08-</w:t>
            </w:r>
            <w:r w:rsidR="001F565A" w:rsidRPr="0087291A">
              <w:rPr>
                <w:rFonts w:ascii="Book Antiqua" w:hAnsi="Book Antiqua" w:cs="Times New Roman"/>
                <w:sz w:val="24"/>
                <w:szCs w:val="24"/>
              </w:rPr>
              <w:t>6.44</w:t>
            </w:r>
          </w:p>
        </w:tc>
        <w:tc>
          <w:tcPr>
            <w:tcW w:w="1221" w:type="dxa"/>
          </w:tcPr>
          <w:p w14:paraId="562BB2BC" w14:textId="77777777" w:rsidR="001F565A" w:rsidRPr="0087291A" w:rsidRDefault="001F565A" w:rsidP="0087291A">
            <w:pPr>
              <w:snapToGrid w:val="0"/>
              <w:spacing w:line="360" w:lineRule="auto"/>
              <w:rPr>
                <w:rFonts w:ascii="Book Antiqua" w:hAnsi="Book Antiqua" w:cs="Times New Roman"/>
                <w:b/>
                <w:sz w:val="24"/>
                <w:szCs w:val="24"/>
              </w:rPr>
            </w:pPr>
            <w:r w:rsidRPr="0087291A">
              <w:rPr>
                <w:rFonts w:ascii="Book Antiqua" w:hAnsi="Book Antiqua" w:cs="Times New Roman"/>
                <w:b/>
                <w:sz w:val="24"/>
                <w:szCs w:val="24"/>
              </w:rPr>
              <w:t>0.03</w:t>
            </w:r>
          </w:p>
        </w:tc>
        <w:tc>
          <w:tcPr>
            <w:tcW w:w="1069" w:type="dxa"/>
          </w:tcPr>
          <w:p w14:paraId="6574AB1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2.49</w:t>
            </w:r>
          </w:p>
        </w:tc>
        <w:tc>
          <w:tcPr>
            <w:tcW w:w="1373" w:type="dxa"/>
          </w:tcPr>
          <w:p w14:paraId="47D5690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1.01-6.16</w:t>
            </w:r>
          </w:p>
        </w:tc>
        <w:tc>
          <w:tcPr>
            <w:tcW w:w="1068" w:type="dxa"/>
          </w:tcPr>
          <w:p w14:paraId="612BF8A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0.048</w:t>
            </w:r>
          </w:p>
        </w:tc>
      </w:tr>
      <w:tr w:rsidR="001F565A" w:rsidRPr="0087291A" w14:paraId="23C1A928" w14:textId="77777777" w:rsidTr="00F43184">
        <w:trPr>
          <w:trHeight w:val="289"/>
          <w:jc w:val="center"/>
        </w:trPr>
        <w:tc>
          <w:tcPr>
            <w:tcW w:w="3207" w:type="dxa"/>
            <w:shd w:val="clear" w:color="auto" w:fill="auto"/>
            <w:noWrap/>
            <w:hideMark/>
          </w:tcPr>
          <w:p w14:paraId="093DD28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lang w:val="en-GB"/>
              </w:rPr>
              <w:t xml:space="preserve">Non-uterine </w:t>
            </w:r>
            <w:r w:rsidRPr="0087291A">
              <w:rPr>
                <w:rFonts w:ascii="Book Antiqua" w:hAnsi="Book Antiqua" w:cs="Times New Roman"/>
                <w:sz w:val="24"/>
                <w:szCs w:val="24"/>
              </w:rPr>
              <w:t>/I-II</w:t>
            </w:r>
          </w:p>
        </w:tc>
        <w:tc>
          <w:tcPr>
            <w:tcW w:w="1221" w:type="dxa"/>
          </w:tcPr>
          <w:p w14:paraId="23C336A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1.20</w:t>
            </w:r>
          </w:p>
        </w:tc>
        <w:tc>
          <w:tcPr>
            <w:tcW w:w="1373" w:type="dxa"/>
          </w:tcPr>
          <w:p w14:paraId="13156151"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0.45</w:t>
            </w:r>
            <w:r w:rsidR="001F565A" w:rsidRPr="0087291A">
              <w:rPr>
                <w:rFonts w:ascii="Book Antiqua" w:hAnsi="Book Antiqua" w:cs="Times New Roman"/>
                <w:sz w:val="24"/>
                <w:szCs w:val="24"/>
              </w:rPr>
              <w:t>-3.23</w:t>
            </w:r>
          </w:p>
        </w:tc>
        <w:tc>
          <w:tcPr>
            <w:tcW w:w="1221" w:type="dxa"/>
          </w:tcPr>
          <w:p w14:paraId="36432B6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0.71</w:t>
            </w:r>
          </w:p>
        </w:tc>
        <w:tc>
          <w:tcPr>
            <w:tcW w:w="1069" w:type="dxa"/>
          </w:tcPr>
          <w:p w14:paraId="49E5EDFB"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14E799EB"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140876C9"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415CF41C" w14:textId="77777777" w:rsidTr="00F43184">
        <w:trPr>
          <w:trHeight w:val="289"/>
          <w:jc w:val="center"/>
        </w:trPr>
        <w:tc>
          <w:tcPr>
            <w:tcW w:w="3207" w:type="dxa"/>
            <w:shd w:val="clear" w:color="auto" w:fill="auto"/>
            <w:noWrap/>
            <w:hideMark/>
          </w:tcPr>
          <w:p w14:paraId="5783167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lang w:val="en-GB"/>
              </w:rPr>
              <w:t xml:space="preserve">Non-uterine </w:t>
            </w:r>
            <w:r w:rsidRPr="0087291A">
              <w:rPr>
                <w:rFonts w:ascii="Book Antiqua" w:hAnsi="Book Antiqua" w:cs="Times New Roman"/>
                <w:sz w:val="24"/>
                <w:szCs w:val="24"/>
              </w:rPr>
              <w:t>/III-IV</w:t>
            </w:r>
          </w:p>
        </w:tc>
        <w:tc>
          <w:tcPr>
            <w:tcW w:w="1221" w:type="dxa"/>
          </w:tcPr>
          <w:p w14:paraId="5B025A4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0.51</w:t>
            </w:r>
          </w:p>
        </w:tc>
        <w:tc>
          <w:tcPr>
            <w:tcW w:w="1373" w:type="dxa"/>
          </w:tcPr>
          <w:p w14:paraId="044F323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0.20-1.26</w:t>
            </w:r>
          </w:p>
        </w:tc>
        <w:tc>
          <w:tcPr>
            <w:tcW w:w="1221" w:type="dxa"/>
          </w:tcPr>
          <w:p w14:paraId="6D460D3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0.14</w:t>
            </w:r>
          </w:p>
        </w:tc>
        <w:tc>
          <w:tcPr>
            <w:tcW w:w="1069" w:type="dxa"/>
          </w:tcPr>
          <w:p w14:paraId="337601C0"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512DE583"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68CAA65C"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9F2A68B" w14:textId="77777777" w:rsidTr="00F43184">
        <w:trPr>
          <w:trHeight w:val="289"/>
          <w:jc w:val="center"/>
        </w:trPr>
        <w:tc>
          <w:tcPr>
            <w:tcW w:w="3207" w:type="dxa"/>
            <w:shd w:val="clear" w:color="auto" w:fill="auto"/>
            <w:noWrap/>
            <w:hideMark/>
          </w:tcPr>
          <w:p w14:paraId="260DA41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Diameter of tumor</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 xml:space="preserve">&gt; </w:t>
            </w:r>
            <w:r w:rsidRPr="0087291A">
              <w:rPr>
                <w:rFonts w:ascii="Book Antiqua" w:hAnsi="Book Antiqua" w:cs="Times New Roman"/>
                <w:sz w:val="24"/>
                <w:szCs w:val="24"/>
              </w:rPr>
              <w:t>8</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cm/≤</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8</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cm)</w:t>
            </w:r>
          </w:p>
        </w:tc>
        <w:tc>
          <w:tcPr>
            <w:tcW w:w="1221" w:type="dxa"/>
          </w:tcPr>
          <w:p w14:paraId="745D295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2.65</w:t>
            </w:r>
          </w:p>
        </w:tc>
        <w:tc>
          <w:tcPr>
            <w:tcW w:w="1373" w:type="dxa"/>
          </w:tcPr>
          <w:p w14:paraId="3507319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0.81-8.68</w:t>
            </w:r>
          </w:p>
        </w:tc>
        <w:tc>
          <w:tcPr>
            <w:tcW w:w="1221" w:type="dxa"/>
          </w:tcPr>
          <w:p w14:paraId="7007339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0.11</w:t>
            </w:r>
          </w:p>
        </w:tc>
        <w:tc>
          <w:tcPr>
            <w:tcW w:w="1069" w:type="dxa"/>
          </w:tcPr>
          <w:p w14:paraId="5F52323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6F5D6196"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6C75B020"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6E5D8627" w14:textId="77777777" w:rsidTr="00F43184">
        <w:trPr>
          <w:trHeight w:val="289"/>
          <w:jc w:val="center"/>
        </w:trPr>
        <w:tc>
          <w:tcPr>
            <w:tcW w:w="3207" w:type="dxa"/>
            <w:shd w:val="clear" w:color="auto" w:fill="auto"/>
            <w:noWrap/>
            <w:hideMark/>
          </w:tcPr>
          <w:p w14:paraId="6CEC2A7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Myoma surgical history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3B26F15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1.60</w:t>
            </w:r>
          </w:p>
        </w:tc>
        <w:tc>
          <w:tcPr>
            <w:tcW w:w="1373" w:type="dxa"/>
          </w:tcPr>
          <w:p w14:paraId="6004D6F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0.73-3.53</w:t>
            </w:r>
          </w:p>
        </w:tc>
        <w:tc>
          <w:tcPr>
            <w:tcW w:w="1221" w:type="dxa"/>
          </w:tcPr>
          <w:p w14:paraId="34B89FF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0.24</w:t>
            </w:r>
          </w:p>
        </w:tc>
        <w:tc>
          <w:tcPr>
            <w:tcW w:w="1069" w:type="dxa"/>
          </w:tcPr>
          <w:p w14:paraId="29DCE04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1995DE90"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25880611"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1D1EEA80" w14:textId="77777777" w:rsidTr="00F43184">
        <w:trPr>
          <w:trHeight w:val="289"/>
          <w:jc w:val="center"/>
        </w:trPr>
        <w:tc>
          <w:tcPr>
            <w:tcW w:w="3207" w:type="dxa"/>
            <w:shd w:val="clear" w:color="auto" w:fill="auto"/>
            <w:noWrap/>
            <w:hideMark/>
          </w:tcPr>
          <w:p w14:paraId="14F0670E" w14:textId="36228B48" w:rsidR="001F565A" w:rsidRPr="0087291A" w:rsidRDefault="001F565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Surgery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laparotomy</w:t>
            </w:r>
            <w:r w:rsidRPr="0087291A">
              <w:rPr>
                <w:rFonts w:ascii="Book Antiqua" w:hAnsi="Book Antiqua" w:cs="Times New Roman"/>
                <w:sz w:val="24"/>
                <w:szCs w:val="24"/>
              </w:rPr>
              <w:t>/</w:t>
            </w:r>
            <w:r w:rsidR="00DA22E6" w:rsidRPr="0087291A">
              <w:rPr>
                <w:rFonts w:ascii="Book Antiqua" w:hAnsi="Book Antiqua" w:cs="Times New Roman"/>
                <w:sz w:val="24"/>
                <w:szCs w:val="24"/>
              </w:rPr>
              <w:t>laparoscop</w:t>
            </w:r>
            <w:r w:rsidR="00DA22E6">
              <w:rPr>
                <w:rFonts w:ascii="Book Antiqua" w:hAnsi="Book Antiqua" w:cs="Times New Roman"/>
                <w:sz w:val="24"/>
                <w:szCs w:val="24"/>
              </w:rPr>
              <w:t>y</w:t>
            </w:r>
            <w:r w:rsidRPr="0087291A">
              <w:rPr>
                <w:rFonts w:ascii="Book Antiqua" w:hAnsi="Book Antiqua" w:cs="Times New Roman"/>
                <w:sz w:val="24"/>
                <w:szCs w:val="24"/>
              </w:rPr>
              <w:t>)</w:t>
            </w:r>
          </w:p>
        </w:tc>
        <w:tc>
          <w:tcPr>
            <w:tcW w:w="1221" w:type="dxa"/>
          </w:tcPr>
          <w:p w14:paraId="65AE325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1.11</w:t>
            </w:r>
          </w:p>
        </w:tc>
        <w:tc>
          <w:tcPr>
            <w:tcW w:w="1373" w:type="dxa"/>
          </w:tcPr>
          <w:p w14:paraId="66CD2A09"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0.90-1.33</w:t>
            </w:r>
          </w:p>
        </w:tc>
        <w:tc>
          <w:tcPr>
            <w:tcW w:w="1221" w:type="dxa"/>
          </w:tcPr>
          <w:p w14:paraId="67D2889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0.87</w:t>
            </w:r>
          </w:p>
        </w:tc>
        <w:tc>
          <w:tcPr>
            <w:tcW w:w="1069" w:type="dxa"/>
          </w:tcPr>
          <w:p w14:paraId="12CEE339"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5EFB76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785CD9D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0B8D2A98" w14:textId="77777777" w:rsidTr="00F43184">
        <w:trPr>
          <w:trHeight w:val="289"/>
          <w:jc w:val="center"/>
        </w:trPr>
        <w:tc>
          <w:tcPr>
            <w:tcW w:w="3207" w:type="dxa"/>
            <w:shd w:val="clear" w:color="auto" w:fill="auto"/>
            <w:noWrap/>
            <w:hideMark/>
          </w:tcPr>
          <w:p w14:paraId="4616E3A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Ascites</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increased</w:t>
            </w:r>
            <w:r w:rsidRPr="0087291A">
              <w:rPr>
                <w:rFonts w:ascii="Book Antiqua" w:hAnsi="Book Antiqua" w:cs="Times New Roman"/>
                <w:sz w:val="24"/>
                <w:szCs w:val="24"/>
              </w:rPr>
              <w:t>/</w:t>
            </w:r>
            <w:r w:rsidR="00792C69" w:rsidRPr="0087291A">
              <w:rPr>
                <w:rFonts w:ascii="Book Antiqua" w:hAnsi="Book Antiqua" w:cs="Times New Roman"/>
                <w:sz w:val="24"/>
                <w:szCs w:val="24"/>
              </w:rPr>
              <w:t>normal</w:t>
            </w:r>
            <w:r w:rsidRPr="0087291A">
              <w:rPr>
                <w:rFonts w:ascii="Book Antiqua" w:hAnsi="Book Antiqua" w:cs="Times New Roman"/>
                <w:sz w:val="24"/>
                <w:szCs w:val="24"/>
              </w:rPr>
              <w:t>)</w:t>
            </w:r>
          </w:p>
        </w:tc>
        <w:tc>
          <w:tcPr>
            <w:tcW w:w="1221" w:type="dxa"/>
          </w:tcPr>
          <w:p w14:paraId="7729400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2.17</w:t>
            </w:r>
          </w:p>
        </w:tc>
        <w:tc>
          <w:tcPr>
            <w:tcW w:w="1373" w:type="dxa"/>
          </w:tcPr>
          <w:p w14:paraId="0489769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0.92-5.13</w:t>
            </w:r>
          </w:p>
        </w:tc>
        <w:tc>
          <w:tcPr>
            <w:tcW w:w="1221" w:type="dxa"/>
          </w:tcPr>
          <w:p w14:paraId="2897BEC0"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0.08</w:t>
            </w:r>
          </w:p>
        </w:tc>
        <w:tc>
          <w:tcPr>
            <w:tcW w:w="1069" w:type="dxa"/>
          </w:tcPr>
          <w:p w14:paraId="607D8631"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4A91F9B7"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D25BB3E"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8EDAF3D" w14:textId="77777777" w:rsidTr="00F43184">
        <w:trPr>
          <w:trHeight w:val="289"/>
          <w:jc w:val="center"/>
        </w:trPr>
        <w:tc>
          <w:tcPr>
            <w:tcW w:w="3207" w:type="dxa"/>
            <w:shd w:val="clear" w:color="auto" w:fill="auto"/>
            <w:noWrap/>
            <w:hideMark/>
          </w:tcPr>
          <w:p w14:paraId="41A7C05E"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Menopause</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5B8BA3FF"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0.81</w:t>
            </w:r>
          </w:p>
        </w:tc>
        <w:tc>
          <w:tcPr>
            <w:tcW w:w="1373" w:type="dxa"/>
          </w:tcPr>
          <w:p w14:paraId="171F634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0.38-1.73</w:t>
            </w:r>
          </w:p>
        </w:tc>
        <w:tc>
          <w:tcPr>
            <w:tcW w:w="1221" w:type="dxa"/>
          </w:tcPr>
          <w:p w14:paraId="2A30550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0.59</w:t>
            </w:r>
          </w:p>
        </w:tc>
        <w:tc>
          <w:tcPr>
            <w:tcW w:w="1069" w:type="dxa"/>
          </w:tcPr>
          <w:p w14:paraId="1B3A331A"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22C72C36"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4DF7DD32"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75E5FA52" w14:textId="77777777" w:rsidTr="00F43184">
        <w:trPr>
          <w:trHeight w:val="289"/>
          <w:jc w:val="center"/>
        </w:trPr>
        <w:tc>
          <w:tcPr>
            <w:tcW w:w="3207" w:type="dxa"/>
            <w:shd w:val="clear" w:color="auto" w:fill="auto"/>
            <w:noWrap/>
            <w:hideMark/>
          </w:tcPr>
          <w:p w14:paraId="11689C77"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Chemotherapy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F43184" w:rsidRPr="0087291A">
              <w:rPr>
                <w:rFonts w:ascii="Book Antiqua" w:hAnsi="Book Antiqua" w:cs="Times New Roman"/>
                <w:sz w:val="24"/>
                <w:szCs w:val="24"/>
              </w:rPr>
              <w:t>y</w:t>
            </w:r>
            <w:r w:rsidR="00792C69" w:rsidRPr="0087291A">
              <w:rPr>
                <w:rFonts w:ascii="Book Antiqua" w:hAnsi="Book Antiqua" w:cs="Times New Roman"/>
                <w:sz w:val="24"/>
                <w:szCs w:val="24"/>
              </w:rPr>
              <w:t>es</w:t>
            </w:r>
            <w:r w:rsidRPr="0087291A">
              <w:rPr>
                <w:rFonts w:ascii="Book Antiqua" w:hAnsi="Book Antiqua" w:cs="Times New Roman"/>
                <w:sz w:val="24"/>
                <w:szCs w:val="24"/>
              </w:rPr>
              <w:t>/</w:t>
            </w:r>
            <w:r w:rsidR="00F43184" w:rsidRPr="0087291A">
              <w:rPr>
                <w:rFonts w:ascii="Book Antiqua" w:hAnsi="Book Antiqua" w:cs="Times New Roman"/>
                <w:sz w:val="24"/>
                <w:szCs w:val="24"/>
              </w:rPr>
              <w:t>n</w:t>
            </w:r>
            <w:r w:rsidR="00792C69" w:rsidRPr="0087291A">
              <w:rPr>
                <w:rFonts w:ascii="Book Antiqua" w:hAnsi="Book Antiqua" w:cs="Times New Roman"/>
                <w:sz w:val="24"/>
                <w:szCs w:val="24"/>
              </w:rPr>
              <w:t>o</w:t>
            </w:r>
            <w:r w:rsidRPr="0087291A">
              <w:rPr>
                <w:rFonts w:ascii="Book Antiqua" w:hAnsi="Book Antiqua" w:cs="Times New Roman"/>
                <w:sz w:val="24"/>
                <w:szCs w:val="24"/>
              </w:rPr>
              <w:t>)</w:t>
            </w:r>
          </w:p>
        </w:tc>
        <w:tc>
          <w:tcPr>
            <w:tcW w:w="1221" w:type="dxa"/>
          </w:tcPr>
          <w:p w14:paraId="75474AE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2.95</w:t>
            </w:r>
          </w:p>
        </w:tc>
        <w:tc>
          <w:tcPr>
            <w:tcW w:w="1373" w:type="dxa"/>
          </w:tcPr>
          <w:p w14:paraId="4B10AF25" w14:textId="77777777" w:rsidR="001F565A" w:rsidRPr="0087291A" w:rsidRDefault="00792C69"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1.13-7.70</w:t>
            </w:r>
          </w:p>
        </w:tc>
        <w:tc>
          <w:tcPr>
            <w:tcW w:w="1221" w:type="dxa"/>
          </w:tcPr>
          <w:p w14:paraId="5A1BFFC6"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0.03</w:t>
            </w:r>
          </w:p>
        </w:tc>
        <w:tc>
          <w:tcPr>
            <w:tcW w:w="1069" w:type="dxa"/>
          </w:tcPr>
          <w:p w14:paraId="7F3026E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1.47</w:t>
            </w:r>
          </w:p>
        </w:tc>
        <w:tc>
          <w:tcPr>
            <w:tcW w:w="1373" w:type="dxa"/>
          </w:tcPr>
          <w:p w14:paraId="7551027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0.52-4.22</w:t>
            </w:r>
          </w:p>
        </w:tc>
        <w:tc>
          <w:tcPr>
            <w:tcW w:w="1068" w:type="dxa"/>
          </w:tcPr>
          <w:p w14:paraId="3FD8A95C"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0.47</w:t>
            </w:r>
          </w:p>
        </w:tc>
      </w:tr>
      <w:tr w:rsidR="001F565A" w:rsidRPr="0087291A" w14:paraId="737D6808" w14:textId="77777777" w:rsidTr="00F43184">
        <w:trPr>
          <w:trHeight w:val="289"/>
          <w:jc w:val="center"/>
        </w:trPr>
        <w:tc>
          <w:tcPr>
            <w:tcW w:w="3207" w:type="dxa"/>
            <w:shd w:val="clear" w:color="auto" w:fill="auto"/>
            <w:noWrap/>
            <w:hideMark/>
          </w:tcPr>
          <w:p w14:paraId="12C11C1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CA125</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elevated</w:t>
            </w:r>
            <w:r w:rsidRPr="0087291A">
              <w:rPr>
                <w:rFonts w:ascii="Book Antiqua" w:hAnsi="Book Antiqua" w:cs="Times New Roman"/>
                <w:sz w:val="24"/>
                <w:szCs w:val="24"/>
              </w:rPr>
              <w:t>/</w:t>
            </w:r>
            <w:r w:rsidR="00792C69" w:rsidRPr="0087291A">
              <w:rPr>
                <w:rFonts w:ascii="Book Antiqua" w:hAnsi="Book Antiqua" w:cs="Times New Roman"/>
                <w:sz w:val="24"/>
                <w:szCs w:val="24"/>
              </w:rPr>
              <w:t>normal</w:t>
            </w:r>
            <w:r w:rsidRPr="0087291A">
              <w:rPr>
                <w:rFonts w:ascii="Book Antiqua" w:hAnsi="Book Antiqua" w:cs="Times New Roman"/>
                <w:sz w:val="24"/>
                <w:szCs w:val="24"/>
              </w:rPr>
              <w:t>)</w:t>
            </w:r>
          </w:p>
        </w:tc>
        <w:tc>
          <w:tcPr>
            <w:tcW w:w="1221" w:type="dxa"/>
          </w:tcPr>
          <w:p w14:paraId="155E90D2"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0.99</w:t>
            </w:r>
          </w:p>
        </w:tc>
        <w:tc>
          <w:tcPr>
            <w:tcW w:w="1373" w:type="dxa"/>
          </w:tcPr>
          <w:p w14:paraId="67E6773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0.39-2.58</w:t>
            </w:r>
          </w:p>
        </w:tc>
        <w:tc>
          <w:tcPr>
            <w:tcW w:w="1221" w:type="dxa"/>
          </w:tcPr>
          <w:p w14:paraId="0F7787C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0.99</w:t>
            </w:r>
          </w:p>
        </w:tc>
        <w:tc>
          <w:tcPr>
            <w:tcW w:w="1069" w:type="dxa"/>
          </w:tcPr>
          <w:p w14:paraId="77A0326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57BBAA0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5577E447"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3BA2FC84" w14:textId="77777777" w:rsidTr="00F43184">
        <w:trPr>
          <w:trHeight w:val="289"/>
          <w:jc w:val="center"/>
        </w:trPr>
        <w:tc>
          <w:tcPr>
            <w:tcW w:w="3207" w:type="dxa"/>
            <w:shd w:val="clear" w:color="auto" w:fill="auto"/>
            <w:noWrap/>
            <w:hideMark/>
          </w:tcPr>
          <w:p w14:paraId="2D0CFEDB"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Lymphadenectomy</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6699EC7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1.36</w:t>
            </w:r>
          </w:p>
        </w:tc>
        <w:tc>
          <w:tcPr>
            <w:tcW w:w="1373" w:type="dxa"/>
          </w:tcPr>
          <w:p w14:paraId="3A10F043"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0.63 -2.93</w:t>
            </w:r>
          </w:p>
        </w:tc>
        <w:tc>
          <w:tcPr>
            <w:tcW w:w="1221" w:type="dxa"/>
          </w:tcPr>
          <w:p w14:paraId="36DE172D"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0.43</w:t>
            </w:r>
          </w:p>
        </w:tc>
        <w:tc>
          <w:tcPr>
            <w:tcW w:w="1069" w:type="dxa"/>
          </w:tcPr>
          <w:p w14:paraId="012BF537"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E6AE69F"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361E189D" w14:textId="77777777" w:rsidR="001F565A" w:rsidRPr="0087291A" w:rsidRDefault="001F565A" w:rsidP="0087291A">
            <w:pPr>
              <w:snapToGrid w:val="0"/>
              <w:spacing w:line="360" w:lineRule="auto"/>
              <w:rPr>
                <w:rFonts w:ascii="Book Antiqua" w:hAnsi="Book Antiqua" w:cs="Times New Roman"/>
                <w:sz w:val="24"/>
                <w:szCs w:val="24"/>
              </w:rPr>
            </w:pPr>
          </w:p>
        </w:tc>
      </w:tr>
      <w:tr w:rsidR="001F565A" w:rsidRPr="0087291A" w14:paraId="2E66FDE2" w14:textId="77777777" w:rsidTr="00F43184">
        <w:trPr>
          <w:trHeight w:val="289"/>
          <w:jc w:val="center"/>
        </w:trPr>
        <w:tc>
          <w:tcPr>
            <w:tcW w:w="3207" w:type="dxa"/>
            <w:shd w:val="clear" w:color="auto" w:fill="auto"/>
            <w:noWrap/>
            <w:hideMark/>
          </w:tcPr>
          <w:p w14:paraId="76BE1C08"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Neoplasm metastasis</w:t>
            </w:r>
            <w:r w:rsidR="00792C69" w:rsidRPr="0087291A">
              <w:rPr>
                <w:rFonts w:ascii="Book Antiqua" w:hAnsi="Book Antiqua" w:cs="Times New Roman"/>
                <w:sz w:val="24"/>
                <w:szCs w:val="24"/>
              </w:rPr>
              <w:t xml:space="preserve"> </w:t>
            </w:r>
            <w:r w:rsidRPr="0087291A">
              <w:rPr>
                <w:rFonts w:ascii="Book Antiqua" w:hAnsi="Book Antiqua" w:cs="Times New Roman"/>
                <w:sz w:val="24"/>
                <w:szCs w:val="24"/>
              </w:rPr>
              <w:t>(</w:t>
            </w:r>
            <w:r w:rsidR="00792C69" w:rsidRPr="0087291A">
              <w:rPr>
                <w:rFonts w:ascii="Book Antiqua" w:hAnsi="Book Antiqua" w:cs="Times New Roman"/>
                <w:sz w:val="24"/>
                <w:szCs w:val="24"/>
              </w:rPr>
              <w:t>yes</w:t>
            </w:r>
            <w:r w:rsidRPr="0087291A">
              <w:rPr>
                <w:rFonts w:ascii="Book Antiqua" w:hAnsi="Book Antiqua" w:cs="Times New Roman"/>
                <w:sz w:val="24"/>
                <w:szCs w:val="24"/>
              </w:rPr>
              <w:t>/</w:t>
            </w:r>
            <w:r w:rsidR="00792C69" w:rsidRPr="0087291A">
              <w:rPr>
                <w:rFonts w:ascii="Book Antiqua" w:hAnsi="Book Antiqua" w:cs="Times New Roman"/>
                <w:sz w:val="24"/>
                <w:szCs w:val="24"/>
              </w:rPr>
              <w:t>no</w:t>
            </w:r>
            <w:r w:rsidRPr="0087291A">
              <w:rPr>
                <w:rFonts w:ascii="Book Antiqua" w:hAnsi="Book Antiqua" w:cs="Times New Roman"/>
                <w:sz w:val="24"/>
                <w:szCs w:val="24"/>
              </w:rPr>
              <w:t>)</w:t>
            </w:r>
          </w:p>
        </w:tc>
        <w:tc>
          <w:tcPr>
            <w:tcW w:w="1221" w:type="dxa"/>
          </w:tcPr>
          <w:p w14:paraId="7646551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3.31</w:t>
            </w:r>
          </w:p>
        </w:tc>
        <w:tc>
          <w:tcPr>
            <w:tcW w:w="1373" w:type="dxa"/>
          </w:tcPr>
          <w:p w14:paraId="033A5841"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1.4 -7.82</w:t>
            </w:r>
          </w:p>
        </w:tc>
        <w:tc>
          <w:tcPr>
            <w:tcW w:w="1221" w:type="dxa"/>
          </w:tcPr>
          <w:p w14:paraId="70585874" w14:textId="77777777" w:rsidR="001F565A" w:rsidRPr="0087291A" w:rsidRDefault="001F565A" w:rsidP="0087291A">
            <w:pPr>
              <w:snapToGrid w:val="0"/>
              <w:spacing w:line="360" w:lineRule="auto"/>
              <w:rPr>
                <w:rFonts w:ascii="Book Antiqua" w:hAnsi="Book Antiqua" w:cs="Times New Roman"/>
                <w:sz w:val="24"/>
                <w:szCs w:val="24"/>
              </w:rPr>
            </w:pPr>
            <w:r w:rsidRPr="0087291A">
              <w:rPr>
                <w:rFonts w:ascii="Book Antiqua" w:hAnsi="Book Antiqua" w:cs="Times New Roman"/>
                <w:sz w:val="24"/>
                <w:szCs w:val="24"/>
              </w:rPr>
              <w:t>0.006</w:t>
            </w:r>
          </w:p>
        </w:tc>
        <w:tc>
          <w:tcPr>
            <w:tcW w:w="1069" w:type="dxa"/>
          </w:tcPr>
          <w:p w14:paraId="084645BE" w14:textId="77777777" w:rsidR="001F565A" w:rsidRPr="0087291A" w:rsidRDefault="001F565A" w:rsidP="0087291A">
            <w:pPr>
              <w:snapToGrid w:val="0"/>
              <w:spacing w:line="360" w:lineRule="auto"/>
              <w:rPr>
                <w:rFonts w:ascii="Book Antiqua" w:hAnsi="Book Antiqua" w:cs="Times New Roman"/>
                <w:sz w:val="24"/>
                <w:szCs w:val="24"/>
              </w:rPr>
            </w:pPr>
          </w:p>
        </w:tc>
        <w:tc>
          <w:tcPr>
            <w:tcW w:w="1373" w:type="dxa"/>
          </w:tcPr>
          <w:p w14:paraId="0AEE4E49" w14:textId="77777777" w:rsidR="001F565A" w:rsidRPr="0087291A" w:rsidRDefault="001F565A" w:rsidP="0087291A">
            <w:pPr>
              <w:snapToGrid w:val="0"/>
              <w:spacing w:line="360" w:lineRule="auto"/>
              <w:rPr>
                <w:rFonts w:ascii="Book Antiqua" w:hAnsi="Book Antiqua" w:cs="Times New Roman"/>
                <w:sz w:val="24"/>
                <w:szCs w:val="24"/>
              </w:rPr>
            </w:pPr>
          </w:p>
        </w:tc>
        <w:tc>
          <w:tcPr>
            <w:tcW w:w="1068" w:type="dxa"/>
          </w:tcPr>
          <w:p w14:paraId="733E0C33" w14:textId="77777777" w:rsidR="001F565A" w:rsidRPr="0087291A" w:rsidRDefault="001F565A" w:rsidP="0087291A">
            <w:pPr>
              <w:snapToGrid w:val="0"/>
              <w:spacing w:line="360" w:lineRule="auto"/>
              <w:rPr>
                <w:rFonts w:ascii="Book Antiqua" w:hAnsi="Book Antiqua" w:cs="Times New Roman"/>
                <w:sz w:val="24"/>
                <w:szCs w:val="24"/>
              </w:rPr>
            </w:pPr>
          </w:p>
        </w:tc>
      </w:tr>
    </w:tbl>
    <w:p w14:paraId="40269C98" w14:textId="77777777" w:rsidR="00B7152D" w:rsidRPr="0087291A" w:rsidRDefault="00792C69" w:rsidP="0087291A">
      <w:pPr>
        <w:snapToGrid w:val="0"/>
        <w:spacing w:line="360" w:lineRule="auto"/>
        <w:rPr>
          <w:rFonts w:ascii="Book Antiqua" w:hAnsi="Book Antiqua"/>
          <w:sz w:val="24"/>
          <w:szCs w:val="24"/>
        </w:rPr>
      </w:pPr>
      <w:r w:rsidRPr="0087291A">
        <w:rPr>
          <w:rFonts w:ascii="Book Antiqua" w:eastAsia="Arial Unicode MS" w:hAnsi="Book Antiqua" w:cs="Times New Roman"/>
          <w:color w:val="000000"/>
          <w:kern w:val="0"/>
          <w:sz w:val="24"/>
          <w:szCs w:val="24"/>
        </w:rPr>
        <w:t>CI: Confidence interval.</w:t>
      </w:r>
    </w:p>
    <w:sectPr w:rsidR="00B7152D" w:rsidRPr="0087291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6E11" w14:textId="77777777" w:rsidR="00B107B2" w:rsidRDefault="00B107B2">
      <w:r>
        <w:separator/>
      </w:r>
    </w:p>
  </w:endnote>
  <w:endnote w:type="continuationSeparator" w:id="0">
    <w:p w14:paraId="1BBE24B9" w14:textId="77777777" w:rsidR="00B107B2" w:rsidRDefault="00B1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oneSans-ItalicTr">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58109"/>
      <w:docPartObj>
        <w:docPartGallery w:val="Page Numbers (Bottom of Page)"/>
        <w:docPartUnique/>
      </w:docPartObj>
    </w:sdtPr>
    <w:sdtEndPr/>
    <w:sdtContent>
      <w:p w14:paraId="37C5F79F" w14:textId="77777777" w:rsidR="007B14CB" w:rsidRDefault="007B14CB">
        <w:pPr>
          <w:pStyle w:val="a4"/>
        </w:pPr>
        <w:r>
          <w:ptab w:relativeTo="margin" w:alignment="right" w:leader="none"/>
        </w:r>
        <w:r>
          <w:fldChar w:fldCharType="begin"/>
        </w:r>
        <w:r>
          <w:instrText>PAGE   \* MERGEFORMAT</w:instrText>
        </w:r>
        <w:r>
          <w:fldChar w:fldCharType="separate"/>
        </w:r>
        <w:r w:rsidR="00B107B2" w:rsidRPr="00B107B2">
          <w:rPr>
            <w:noProof/>
            <w:lang w:val="zh-CN"/>
          </w:rPr>
          <w:t>1</w:t>
        </w:r>
        <w:r>
          <w:fldChar w:fldCharType="end"/>
        </w:r>
      </w:p>
    </w:sdtContent>
  </w:sdt>
  <w:p w14:paraId="40B95AF7" w14:textId="77777777" w:rsidR="007B14CB" w:rsidRDefault="007B14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8EAE" w14:textId="77777777" w:rsidR="00B107B2" w:rsidRDefault="00B107B2">
      <w:r>
        <w:separator/>
      </w:r>
    </w:p>
  </w:footnote>
  <w:footnote w:type="continuationSeparator" w:id="0">
    <w:p w14:paraId="5558B5A1" w14:textId="77777777" w:rsidR="00B107B2" w:rsidRDefault="00B1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714B"/>
    <w:multiLevelType w:val="hybridMultilevel"/>
    <w:tmpl w:val="406CE2BA"/>
    <w:lvl w:ilvl="0" w:tplc="3BDA7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565A"/>
    <w:rsid w:val="00002E44"/>
    <w:rsid w:val="00020BEA"/>
    <w:rsid w:val="000502B6"/>
    <w:rsid w:val="000527CC"/>
    <w:rsid w:val="000F101A"/>
    <w:rsid w:val="00130631"/>
    <w:rsid w:val="00161D93"/>
    <w:rsid w:val="00194848"/>
    <w:rsid w:val="001D49B7"/>
    <w:rsid w:val="001D6619"/>
    <w:rsid w:val="001E0BCF"/>
    <w:rsid w:val="001F565A"/>
    <w:rsid w:val="00203FCB"/>
    <w:rsid w:val="002649AC"/>
    <w:rsid w:val="00265B83"/>
    <w:rsid w:val="00271462"/>
    <w:rsid w:val="0028232A"/>
    <w:rsid w:val="0028601E"/>
    <w:rsid w:val="002C6649"/>
    <w:rsid w:val="00325010"/>
    <w:rsid w:val="0034544C"/>
    <w:rsid w:val="0035317B"/>
    <w:rsid w:val="00364281"/>
    <w:rsid w:val="00384FAC"/>
    <w:rsid w:val="003B163B"/>
    <w:rsid w:val="0040073D"/>
    <w:rsid w:val="00404225"/>
    <w:rsid w:val="00412109"/>
    <w:rsid w:val="00433609"/>
    <w:rsid w:val="004526B0"/>
    <w:rsid w:val="004C40EA"/>
    <w:rsid w:val="0051530C"/>
    <w:rsid w:val="00516C84"/>
    <w:rsid w:val="00526F76"/>
    <w:rsid w:val="0056007D"/>
    <w:rsid w:val="00587E46"/>
    <w:rsid w:val="00594265"/>
    <w:rsid w:val="005A5B77"/>
    <w:rsid w:val="005C778A"/>
    <w:rsid w:val="005D3791"/>
    <w:rsid w:val="005F4AEE"/>
    <w:rsid w:val="005F4BA6"/>
    <w:rsid w:val="00623A06"/>
    <w:rsid w:val="0064159F"/>
    <w:rsid w:val="00641742"/>
    <w:rsid w:val="006417D2"/>
    <w:rsid w:val="00643977"/>
    <w:rsid w:val="0066013E"/>
    <w:rsid w:val="00661EAA"/>
    <w:rsid w:val="00662A06"/>
    <w:rsid w:val="00692E97"/>
    <w:rsid w:val="006F4139"/>
    <w:rsid w:val="00700809"/>
    <w:rsid w:val="007207DC"/>
    <w:rsid w:val="007355EC"/>
    <w:rsid w:val="0075275E"/>
    <w:rsid w:val="00792C69"/>
    <w:rsid w:val="007A17A7"/>
    <w:rsid w:val="007B14CB"/>
    <w:rsid w:val="008012FF"/>
    <w:rsid w:val="0081044F"/>
    <w:rsid w:val="0087291A"/>
    <w:rsid w:val="008F1FD2"/>
    <w:rsid w:val="00931F9F"/>
    <w:rsid w:val="00943812"/>
    <w:rsid w:val="009714D4"/>
    <w:rsid w:val="00985FA7"/>
    <w:rsid w:val="009A2677"/>
    <w:rsid w:val="009B6899"/>
    <w:rsid w:val="009B7BE4"/>
    <w:rsid w:val="009D5117"/>
    <w:rsid w:val="009D6F08"/>
    <w:rsid w:val="009F557C"/>
    <w:rsid w:val="00A072D3"/>
    <w:rsid w:val="00A23CCE"/>
    <w:rsid w:val="00A25C94"/>
    <w:rsid w:val="00A44BB7"/>
    <w:rsid w:val="00AA4BD4"/>
    <w:rsid w:val="00AB2B2B"/>
    <w:rsid w:val="00AF4A93"/>
    <w:rsid w:val="00B03650"/>
    <w:rsid w:val="00B05BF4"/>
    <w:rsid w:val="00B107B2"/>
    <w:rsid w:val="00B266DD"/>
    <w:rsid w:val="00B57A1C"/>
    <w:rsid w:val="00B67903"/>
    <w:rsid w:val="00B7152D"/>
    <w:rsid w:val="00B909FF"/>
    <w:rsid w:val="00B959D2"/>
    <w:rsid w:val="00B979DF"/>
    <w:rsid w:val="00BC25C1"/>
    <w:rsid w:val="00BD47F5"/>
    <w:rsid w:val="00BE219D"/>
    <w:rsid w:val="00C208C7"/>
    <w:rsid w:val="00C273D4"/>
    <w:rsid w:val="00C41B73"/>
    <w:rsid w:val="00C4417D"/>
    <w:rsid w:val="00C61993"/>
    <w:rsid w:val="00C65B02"/>
    <w:rsid w:val="00C73A8E"/>
    <w:rsid w:val="00D00C4D"/>
    <w:rsid w:val="00D02B12"/>
    <w:rsid w:val="00D3266F"/>
    <w:rsid w:val="00D36857"/>
    <w:rsid w:val="00D66B1B"/>
    <w:rsid w:val="00D67D2C"/>
    <w:rsid w:val="00D71C46"/>
    <w:rsid w:val="00D80C49"/>
    <w:rsid w:val="00DA1650"/>
    <w:rsid w:val="00DA22E6"/>
    <w:rsid w:val="00DB4E01"/>
    <w:rsid w:val="00E12F45"/>
    <w:rsid w:val="00E377F9"/>
    <w:rsid w:val="00E37A89"/>
    <w:rsid w:val="00E47966"/>
    <w:rsid w:val="00E50590"/>
    <w:rsid w:val="00E71F28"/>
    <w:rsid w:val="00E7232D"/>
    <w:rsid w:val="00E841D7"/>
    <w:rsid w:val="00EA65B9"/>
    <w:rsid w:val="00F43184"/>
    <w:rsid w:val="00F469F1"/>
    <w:rsid w:val="00F530D9"/>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65A"/>
    <w:rPr>
      <w:sz w:val="18"/>
      <w:szCs w:val="18"/>
    </w:rPr>
  </w:style>
  <w:style w:type="paragraph" w:styleId="a4">
    <w:name w:val="footer"/>
    <w:basedOn w:val="a"/>
    <w:link w:val="Char0"/>
    <w:uiPriority w:val="99"/>
    <w:unhideWhenUsed/>
    <w:rsid w:val="001F565A"/>
    <w:pPr>
      <w:tabs>
        <w:tab w:val="center" w:pos="4153"/>
        <w:tab w:val="right" w:pos="8306"/>
      </w:tabs>
      <w:snapToGrid w:val="0"/>
      <w:jc w:val="left"/>
    </w:pPr>
    <w:rPr>
      <w:sz w:val="18"/>
      <w:szCs w:val="18"/>
    </w:rPr>
  </w:style>
  <w:style w:type="character" w:customStyle="1" w:styleId="Char0">
    <w:name w:val="页脚 Char"/>
    <w:basedOn w:val="a0"/>
    <w:link w:val="a4"/>
    <w:uiPriority w:val="99"/>
    <w:rsid w:val="001F565A"/>
    <w:rPr>
      <w:sz w:val="18"/>
      <w:szCs w:val="18"/>
    </w:rPr>
  </w:style>
  <w:style w:type="paragraph" w:styleId="a5">
    <w:name w:val="annotation text"/>
    <w:basedOn w:val="a"/>
    <w:link w:val="Char1"/>
    <w:uiPriority w:val="99"/>
    <w:semiHidden/>
    <w:unhideWhenUsed/>
    <w:rsid w:val="001F565A"/>
    <w:pPr>
      <w:jc w:val="left"/>
    </w:pPr>
  </w:style>
  <w:style w:type="character" w:customStyle="1" w:styleId="Char1">
    <w:name w:val="批注文字 Char"/>
    <w:basedOn w:val="a0"/>
    <w:link w:val="a5"/>
    <w:uiPriority w:val="99"/>
    <w:semiHidden/>
    <w:rsid w:val="001F565A"/>
  </w:style>
  <w:style w:type="character" w:styleId="a6">
    <w:name w:val="annotation reference"/>
    <w:basedOn w:val="a0"/>
    <w:uiPriority w:val="99"/>
    <w:semiHidden/>
    <w:unhideWhenUsed/>
    <w:rsid w:val="001F565A"/>
    <w:rPr>
      <w:sz w:val="16"/>
      <w:szCs w:val="16"/>
    </w:rPr>
  </w:style>
  <w:style w:type="paragraph" w:styleId="a7">
    <w:name w:val="Balloon Text"/>
    <w:basedOn w:val="a"/>
    <w:link w:val="Char2"/>
    <w:uiPriority w:val="99"/>
    <w:semiHidden/>
    <w:unhideWhenUsed/>
    <w:rsid w:val="001F565A"/>
    <w:rPr>
      <w:sz w:val="18"/>
      <w:szCs w:val="18"/>
    </w:rPr>
  </w:style>
  <w:style w:type="character" w:customStyle="1" w:styleId="Char2">
    <w:name w:val="批注框文本 Char"/>
    <w:basedOn w:val="a0"/>
    <w:link w:val="a7"/>
    <w:uiPriority w:val="99"/>
    <w:semiHidden/>
    <w:rsid w:val="001F565A"/>
    <w:rPr>
      <w:sz w:val="18"/>
      <w:szCs w:val="18"/>
    </w:rPr>
  </w:style>
  <w:style w:type="paragraph" w:customStyle="1" w:styleId="EndNoteBibliography">
    <w:name w:val="EndNote Bibliography"/>
    <w:basedOn w:val="a"/>
    <w:link w:val="EndNoteBibliographyChar"/>
    <w:rsid w:val="001F565A"/>
    <w:rPr>
      <w:rFonts w:ascii="Calibri" w:hAnsi="Calibri" w:cs="Calibri"/>
      <w:noProof/>
      <w:sz w:val="20"/>
    </w:rPr>
  </w:style>
  <w:style w:type="character" w:customStyle="1" w:styleId="EndNoteBibliographyChar">
    <w:name w:val="EndNote Bibliography Char"/>
    <w:basedOn w:val="a0"/>
    <w:link w:val="EndNoteBibliography"/>
    <w:rsid w:val="001F565A"/>
    <w:rPr>
      <w:rFonts w:ascii="Calibri" w:hAnsi="Calibri" w:cs="Calibri"/>
      <w:noProof/>
      <w:sz w:val="20"/>
    </w:rPr>
  </w:style>
  <w:style w:type="table" w:styleId="a8">
    <w:name w:val="Table Grid"/>
    <w:basedOn w:val="a1"/>
    <w:uiPriority w:val="39"/>
    <w:rsid w:val="001F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Char3"/>
    <w:uiPriority w:val="99"/>
    <w:semiHidden/>
    <w:unhideWhenUsed/>
    <w:rsid w:val="001F565A"/>
    <w:rPr>
      <w:b/>
      <w:bCs/>
    </w:rPr>
  </w:style>
  <w:style w:type="character" w:customStyle="1" w:styleId="Char3">
    <w:name w:val="批注主题 Char"/>
    <w:basedOn w:val="Char1"/>
    <w:link w:val="a9"/>
    <w:uiPriority w:val="99"/>
    <w:semiHidden/>
    <w:rsid w:val="001F565A"/>
    <w:rPr>
      <w:b/>
      <w:bCs/>
    </w:rPr>
  </w:style>
  <w:style w:type="character" w:customStyle="1" w:styleId="fontstyle01">
    <w:name w:val="fontstyle01"/>
    <w:basedOn w:val="a0"/>
    <w:rsid w:val="001F565A"/>
    <w:rPr>
      <w:rFonts w:ascii="StoneSans-ItalicTr" w:hAnsi="StoneSans-ItalicTr" w:hint="default"/>
      <w:b w:val="0"/>
      <w:bCs w:val="0"/>
      <w:i/>
      <w:iCs/>
      <w:color w:val="231F20"/>
      <w:sz w:val="16"/>
      <w:szCs w:val="16"/>
    </w:rPr>
  </w:style>
  <w:style w:type="paragraph" w:customStyle="1" w:styleId="EndNoteBibliographyTitle">
    <w:name w:val="EndNote Bibliography Title"/>
    <w:basedOn w:val="a"/>
    <w:link w:val="EndNoteBibliographyTitleChar"/>
    <w:rsid w:val="001F565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F565A"/>
    <w:rPr>
      <w:rFonts w:ascii="Calibri" w:hAnsi="Calibri" w:cs="Calibri"/>
      <w:noProof/>
      <w:sz w:val="20"/>
    </w:rPr>
  </w:style>
  <w:style w:type="character" w:styleId="aa">
    <w:name w:val="Hyperlink"/>
    <w:basedOn w:val="a0"/>
    <w:uiPriority w:val="99"/>
    <w:unhideWhenUsed/>
    <w:rsid w:val="001F565A"/>
    <w:rPr>
      <w:color w:val="0563C1" w:themeColor="hyperlink"/>
      <w:u w:val="single"/>
    </w:rPr>
  </w:style>
  <w:style w:type="paragraph" w:styleId="ab">
    <w:name w:val="List Paragraph"/>
    <w:basedOn w:val="a"/>
    <w:uiPriority w:val="34"/>
    <w:qFormat/>
    <w:rsid w:val="001F565A"/>
    <w:pPr>
      <w:ind w:firstLineChars="200" w:firstLine="420"/>
    </w:pPr>
  </w:style>
  <w:style w:type="character" w:styleId="ac">
    <w:name w:val="FollowedHyperlink"/>
    <w:basedOn w:val="a0"/>
    <w:uiPriority w:val="99"/>
    <w:semiHidden/>
    <w:unhideWhenUsed/>
    <w:rsid w:val="001F56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65A"/>
    <w:rPr>
      <w:sz w:val="18"/>
      <w:szCs w:val="18"/>
    </w:rPr>
  </w:style>
  <w:style w:type="paragraph" w:styleId="a4">
    <w:name w:val="footer"/>
    <w:basedOn w:val="a"/>
    <w:link w:val="Char0"/>
    <w:uiPriority w:val="99"/>
    <w:unhideWhenUsed/>
    <w:rsid w:val="001F565A"/>
    <w:pPr>
      <w:tabs>
        <w:tab w:val="center" w:pos="4153"/>
        <w:tab w:val="right" w:pos="8306"/>
      </w:tabs>
      <w:snapToGrid w:val="0"/>
      <w:jc w:val="left"/>
    </w:pPr>
    <w:rPr>
      <w:sz w:val="18"/>
      <w:szCs w:val="18"/>
    </w:rPr>
  </w:style>
  <w:style w:type="character" w:customStyle="1" w:styleId="Char0">
    <w:name w:val="页脚 Char"/>
    <w:basedOn w:val="a0"/>
    <w:link w:val="a4"/>
    <w:uiPriority w:val="99"/>
    <w:rsid w:val="001F565A"/>
    <w:rPr>
      <w:sz w:val="18"/>
      <w:szCs w:val="18"/>
    </w:rPr>
  </w:style>
  <w:style w:type="paragraph" w:styleId="a5">
    <w:name w:val="annotation text"/>
    <w:basedOn w:val="a"/>
    <w:link w:val="Char1"/>
    <w:uiPriority w:val="99"/>
    <w:semiHidden/>
    <w:unhideWhenUsed/>
    <w:rsid w:val="001F565A"/>
    <w:pPr>
      <w:jc w:val="left"/>
    </w:pPr>
  </w:style>
  <w:style w:type="character" w:customStyle="1" w:styleId="Char1">
    <w:name w:val="批注文字 Char"/>
    <w:basedOn w:val="a0"/>
    <w:link w:val="a5"/>
    <w:uiPriority w:val="99"/>
    <w:semiHidden/>
    <w:rsid w:val="001F565A"/>
  </w:style>
  <w:style w:type="character" w:styleId="a6">
    <w:name w:val="annotation reference"/>
    <w:basedOn w:val="a0"/>
    <w:uiPriority w:val="99"/>
    <w:semiHidden/>
    <w:unhideWhenUsed/>
    <w:rsid w:val="001F565A"/>
    <w:rPr>
      <w:sz w:val="16"/>
      <w:szCs w:val="16"/>
    </w:rPr>
  </w:style>
  <w:style w:type="paragraph" w:styleId="a7">
    <w:name w:val="Balloon Text"/>
    <w:basedOn w:val="a"/>
    <w:link w:val="Char2"/>
    <w:uiPriority w:val="99"/>
    <w:semiHidden/>
    <w:unhideWhenUsed/>
    <w:rsid w:val="001F565A"/>
    <w:rPr>
      <w:sz w:val="18"/>
      <w:szCs w:val="18"/>
    </w:rPr>
  </w:style>
  <w:style w:type="character" w:customStyle="1" w:styleId="Char2">
    <w:name w:val="批注框文本 Char"/>
    <w:basedOn w:val="a0"/>
    <w:link w:val="a7"/>
    <w:uiPriority w:val="99"/>
    <w:semiHidden/>
    <w:rsid w:val="001F565A"/>
    <w:rPr>
      <w:sz w:val="18"/>
      <w:szCs w:val="18"/>
    </w:rPr>
  </w:style>
  <w:style w:type="paragraph" w:customStyle="1" w:styleId="EndNoteBibliography">
    <w:name w:val="EndNote Bibliography"/>
    <w:basedOn w:val="a"/>
    <w:link w:val="EndNoteBibliographyChar"/>
    <w:rsid w:val="001F565A"/>
    <w:rPr>
      <w:rFonts w:ascii="Calibri" w:hAnsi="Calibri" w:cs="Calibri"/>
      <w:noProof/>
      <w:sz w:val="20"/>
    </w:rPr>
  </w:style>
  <w:style w:type="character" w:customStyle="1" w:styleId="EndNoteBibliographyChar">
    <w:name w:val="EndNote Bibliography Char"/>
    <w:basedOn w:val="a0"/>
    <w:link w:val="EndNoteBibliography"/>
    <w:rsid w:val="001F565A"/>
    <w:rPr>
      <w:rFonts w:ascii="Calibri" w:hAnsi="Calibri" w:cs="Calibri"/>
      <w:noProof/>
      <w:sz w:val="20"/>
    </w:rPr>
  </w:style>
  <w:style w:type="table" w:styleId="a8">
    <w:name w:val="Table Grid"/>
    <w:basedOn w:val="a1"/>
    <w:uiPriority w:val="39"/>
    <w:rsid w:val="001F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Char3"/>
    <w:uiPriority w:val="99"/>
    <w:semiHidden/>
    <w:unhideWhenUsed/>
    <w:rsid w:val="001F565A"/>
    <w:rPr>
      <w:b/>
      <w:bCs/>
    </w:rPr>
  </w:style>
  <w:style w:type="character" w:customStyle="1" w:styleId="Char3">
    <w:name w:val="批注主题 Char"/>
    <w:basedOn w:val="Char1"/>
    <w:link w:val="a9"/>
    <w:uiPriority w:val="99"/>
    <w:semiHidden/>
    <w:rsid w:val="001F565A"/>
    <w:rPr>
      <w:b/>
      <w:bCs/>
    </w:rPr>
  </w:style>
  <w:style w:type="character" w:customStyle="1" w:styleId="fontstyle01">
    <w:name w:val="fontstyle01"/>
    <w:basedOn w:val="a0"/>
    <w:rsid w:val="001F565A"/>
    <w:rPr>
      <w:rFonts w:ascii="StoneSans-ItalicTr" w:hAnsi="StoneSans-ItalicTr" w:hint="default"/>
      <w:b w:val="0"/>
      <w:bCs w:val="0"/>
      <w:i/>
      <w:iCs/>
      <w:color w:val="231F20"/>
      <w:sz w:val="16"/>
      <w:szCs w:val="16"/>
    </w:rPr>
  </w:style>
  <w:style w:type="paragraph" w:customStyle="1" w:styleId="EndNoteBibliographyTitle">
    <w:name w:val="EndNote Bibliography Title"/>
    <w:basedOn w:val="a"/>
    <w:link w:val="EndNoteBibliographyTitleChar"/>
    <w:rsid w:val="001F565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F565A"/>
    <w:rPr>
      <w:rFonts w:ascii="Calibri" w:hAnsi="Calibri" w:cs="Calibri"/>
      <w:noProof/>
      <w:sz w:val="20"/>
    </w:rPr>
  </w:style>
  <w:style w:type="character" w:styleId="aa">
    <w:name w:val="Hyperlink"/>
    <w:basedOn w:val="a0"/>
    <w:uiPriority w:val="99"/>
    <w:unhideWhenUsed/>
    <w:rsid w:val="001F565A"/>
    <w:rPr>
      <w:color w:val="0563C1" w:themeColor="hyperlink"/>
      <w:u w:val="single"/>
    </w:rPr>
  </w:style>
  <w:style w:type="paragraph" w:styleId="ab">
    <w:name w:val="List Paragraph"/>
    <w:basedOn w:val="a"/>
    <w:uiPriority w:val="34"/>
    <w:qFormat/>
    <w:rsid w:val="001F565A"/>
    <w:pPr>
      <w:ind w:firstLineChars="200" w:firstLine="420"/>
    </w:pPr>
  </w:style>
  <w:style w:type="character" w:styleId="ac">
    <w:name w:val="FollowedHyperlink"/>
    <w:basedOn w:val="a0"/>
    <w:uiPriority w:val="99"/>
    <w:semiHidden/>
    <w:unhideWhenUsed/>
    <w:rsid w:val="001F5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5083">
      <w:bodyDiv w:val="1"/>
      <w:marLeft w:val="0"/>
      <w:marRight w:val="0"/>
      <w:marTop w:val="0"/>
      <w:marBottom w:val="0"/>
      <w:divBdr>
        <w:top w:val="none" w:sz="0" w:space="0" w:color="auto"/>
        <w:left w:val="none" w:sz="0" w:space="0" w:color="auto"/>
        <w:bottom w:val="none" w:sz="0" w:space="0" w:color="auto"/>
        <w:right w:val="none" w:sz="0" w:space="0" w:color="auto"/>
      </w:divBdr>
    </w:div>
    <w:div w:id="1827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5403</Words>
  <Characters>30801</Characters>
  <Application>Microsoft Office Word</Application>
  <DocSecurity>0</DocSecurity>
  <Lines>256</Lines>
  <Paragraphs>72</Paragraphs>
  <ScaleCrop>false</ScaleCrop>
  <Company>HP</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liujihong2008@qq.con</cp:lastModifiedBy>
  <cp:revision>9</cp:revision>
  <dcterms:created xsi:type="dcterms:W3CDTF">2020-04-29T01:06:00Z</dcterms:created>
  <dcterms:modified xsi:type="dcterms:W3CDTF">2020-05-22T02:17:00Z</dcterms:modified>
</cp:coreProperties>
</file>