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3B6" w:rsidRDefault="00DA4A10">
      <w:pPr>
        <w:adjustRightInd w:val="0"/>
        <w:snapToGrid w:val="0"/>
        <w:spacing w:line="360" w:lineRule="auto"/>
        <w:rPr>
          <w:rFonts w:ascii="Book Antiqua" w:eastAsia="Times New Roman" w:hAnsi="Book Antiqua" w:cs="宋体"/>
          <w:b/>
          <w:i/>
          <w:sz w:val="24"/>
          <w:szCs w:val="24"/>
        </w:rPr>
      </w:pPr>
      <w:bookmarkStart w:id="0" w:name="OLE_LINK3"/>
      <w:bookmarkStart w:id="1" w:name="OLE_LINK1"/>
      <w:r>
        <w:rPr>
          <w:rFonts w:ascii="Book Antiqua" w:eastAsia="Times New Roman" w:hAnsi="Book Antiqua" w:cs="宋体"/>
          <w:b/>
          <w:sz w:val="24"/>
          <w:szCs w:val="24"/>
        </w:rPr>
        <w:t xml:space="preserve">Name of Journal: </w:t>
      </w:r>
      <w:bookmarkStart w:id="2" w:name="OLE_LINK1068"/>
      <w:bookmarkStart w:id="3" w:name="OLE_LINK696"/>
      <w:bookmarkStart w:id="4" w:name="OLE_LINK645"/>
      <w:bookmarkStart w:id="5" w:name="OLE_LINK718"/>
      <w:bookmarkStart w:id="6" w:name="OLE_LINK719"/>
      <w:bookmarkStart w:id="7" w:name="OLE_LINK335"/>
      <w:bookmarkStart w:id="8" w:name="OLE_LINK661"/>
      <w:r>
        <w:rPr>
          <w:rFonts w:ascii="Book Antiqua" w:eastAsia="Times New Roman" w:hAnsi="Book Antiqua" w:cs="宋体"/>
          <w:i/>
          <w:sz w:val="24"/>
          <w:szCs w:val="24"/>
        </w:rPr>
        <w:t xml:space="preserve">World Journal of </w:t>
      </w:r>
      <w:bookmarkEnd w:id="2"/>
      <w:bookmarkEnd w:id="3"/>
      <w:bookmarkEnd w:id="4"/>
      <w:bookmarkEnd w:id="5"/>
      <w:bookmarkEnd w:id="6"/>
      <w:bookmarkEnd w:id="7"/>
      <w:bookmarkEnd w:id="8"/>
      <w:r>
        <w:rPr>
          <w:rFonts w:ascii="Book Antiqua" w:eastAsia="Times New Roman" w:hAnsi="Book Antiqua" w:cs="宋体"/>
          <w:i/>
          <w:sz w:val="24"/>
          <w:szCs w:val="24"/>
        </w:rPr>
        <w:t>Clinical Cases</w:t>
      </w:r>
    </w:p>
    <w:p w:rsidR="00F723B6" w:rsidRDefault="00DA4A10">
      <w:pPr>
        <w:adjustRightInd w:val="0"/>
        <w:snapToGrid w:val="0"/>
        <w:spacing w:line="360" w:lineRule="auto"/>
        <w:rPr>
          <w:rFonts w:ascii="Book Antiqua" w:hAnsi="Book Antiqua" w:cs="Arial"/>
          <w:b/>
          <w:sz w:val="24"/>
          <w:szCs w:val="24"/>
          <w:lang w:val="en-GB"/>
        </w:rPr>
      </w:pPr>
      <w:r>
        <w:rPr>
          <w:rFonts w:ascii="Book Antiqua" w:eastAsia="Times New Roman" w:hAnsi="Book Antiqua"/>
          <w:b/>
          <w:bCs/>
          <w:sz w:val="24"/>
          <w:szCs w:val="24"/>
        </w:rPr>
        <w:t>Manuscript NO</w:t>
      </w:r>
      <w:r>
        <w:rPr>
          <w:rFonts w:ascii="Book Antiqua" w:hAnsi="Book Antiqua" w:cs="Arial"/>
          <w:b/>
          <w:sz w:val="24"/>
          <w:szCs w:val="24"/>
          <w:lang w:val="en"/>
        </w:rPr>
        <w:t xml:space="preserve">: </w:t>
      </w:r>
      <w:r>
        <w:rPr>
          <w:rFonts w:ascii="Book Antiqua" w:hAnsi="Book Antiqua" w:cs="Arial"/>
          <w:sz w:val="24"/>
          <w:szCs w:val="24"/>
          <w:lang w:val="en"/>
        </w:rPr>
        <w:t>53531</w:t>
      </w:r>
    </w:p>
    <w:p w:rsidR="00F723B6" w:rsidRDefault="00DA4A10">
      <w:pPr>
        <w:adjustRightInd w:val="0"/>
        <w:snapToGrid w:val="0"/>
        <w:spacing w:line="360" w:lineRule="auto"/>
        <w:rPr>
          <w:rFonts w:ascii="Book Antiqua" w:hAnsi="Book Antiqua"/>
          <w:b/>
          <w:sz w:val="24"/>
          <w:szCs w:val="24"/>
        </w:rPr>
      </w:pPr>
      <w:r>
        <w:rPr>
          <w:rFonts w:ascii="Book Antiqua" w:hAnsi="Book Antiqua"/>
          <w:b/>
          <w:sz w:val="24"/>
          <w:szCs w:val="24"/>
        </w:rPr>
        <w:t xml:space="preserve">Manuscript Type: </w:t>
      </w:r>
      <w:r>
        <w:rPr>
          <w:rFonts w:ascii="Book Antiqua" w:hAnsi="Book Antiqua"/>
          <w:sz w:val="24"/>
          <w:szCs w:val="24"/>
        </w:rPr>
        <w:t>CASE REPORT</w:t>
      </w:r>
    </w:p>
    <w:p w:rsidR="00F723B6" w:rsidRDefault="00F723B6">
      <w:pPr>
        <w:kinsoku w:val="0"/>
        <w:adjustRightInd w:val="0"/>
        <w:snapToGrid w:val="0"/>
        <w:spacing w:line="360" w:lineRule="auto"/>
        <w:outlineLvl w:val="0"/>
        <w:rPr>
          <w:rFonts w:ascii="Book Antiqua" w:hAnsi="Book Antiqua"/>
          <w:b/>
          <w:bCs/>
          <w:sz w:val="24"/>
          <w:szCs w:val="24"/>
        </w:rPr>
      </w:pPr>
    </w:p>
    <w:p w:rsidR="00F723B6" w:rsidRDefault="00DA4A10">
      <w:pPr>
        <w:kinsoku w:val="0"/>
        <w:adjustRightInd w:val="0"/>
        <w:snapToGrid w:val="0"/>
        <w:spacing w:line="360" w:lineRule="auto"/>
        <w:rPr>
          <w:rFonts w:ascii="Book Antiqua" w:hAnsi="Book Antiqua"/>
          <w:b/>
          <w:sz w:val="24"/>
          <w:szCs w:val="24"/>
        </w:rPr>
      </w:pPr>
      <w:bookmarkStart w:id="9" w:name="OLE_LINK110"/>
      <w:bookmarkStart w:id="10" w:name="OLE_LINK22"/>
      <w:bookmarkStart w:id="11" w:name="OLE_LINK55"/>
      <w:bookmarkStart w:id="12" w:name="OLE_LINK50"/>
      <w:bookmarkStart w:id="13" w:name="OLE_LINK113"/>
      <w:bookmarkStart w:id="14" w:name="OLE_LINK7"/>
      <w:bookmarkStart w:id="15" w:name="OLE_LINK6"/>
      <w:r>
        <w:rPr>
          <w:rFonts w:ascii="Book Antiqua" w:hAnsi="Book Antiqua"/>
          <w:b/>
          <w:sz w:val="24"/>
          <w:szCs w:val="24"/>
        </w:rPr>
        <w:t xml:space="preserve">Extensive multifocal and pleomorphic pulmonary lesions in </w:t>
      </w:r>
      <w:proofErr w:type="spellStart"/>
      <w:r>
        <w:rPr>
          <w:rFonts w:ascii="Book Antiqua" w:hAnsi="Book Antiqua"/>
          <w:b/>
          <w:sz w:val="24"/>
          <w:szCs w:val="24"/>
        </w:rPr>
        <w:t>Waldenström</w:t>
      </w:r>
      <w:proofErr w:type="spellEnd"/>
      <w:r>
        <w:rPr>
          <w:rFonts w:ascii="Book Antiqua" w:hAnsi="Book Antiqua"/>
          <w:b/>
          <w:sz w:val="24"/>
          <w:szCs w:val="24"/>
        </w:rPr>
        <w:t xml:space="preserve"> </w:t>
      </w:r>
      <w:proofErr w:type="spellStart"/>
      <w:r>
        <w:rPr>
          <w:rFonts w:ascii="Book Antiqua" w:hAnsi="Book Antiqua"/>
          <w:b/>
          <w:sz w:val="24"/>
          <w:szCs w:val="24"/>
        </w:rPr>
        <w:t>macroglobulinemia</w:t>
      </w:r>
      <w:proofErr w:type="spellEnd"/>
      <w:r>
        <w:rPr>
          <w:rFonts w:ascii="Book Antiqua" w:hAnsi="Book Antiqua"/>
          <w:b/>
          <w:sz w:val="24"/>
          <w:szCs w:val="24"/>
        </w:rPr>
        <w:t>: A case report</w:t>
      </w:r>
      <w:bookmarkEnd w:id="0"/>
      <w:bookmarkEnd w:id="1"/>
    </w:p>
    <w:p w:rsidR="00F723B6" w:rsidRDefault="00F723B6">
      <w:pPr>
        <w:kinsoku w:val="0"/>
        <w:adjustRightInd w:val="0"/>
        <w:snapToGrid w:val="0"/>
        <w:spacing w:line="360" w:lineRule="auto"/>
        <w:rPr>
          <w:rFonts w:ascii="Book Antiqua" w:hAnsi="Book Antiqua"/>
          <w:b/>
          <w:sz w:val="24"/>
          <w:szCs w:val="24"/>
        </w:rPr>
      </w:pPr>
    </w:p>
    <w:p w:rsidR="00F723B6" w:rsidRDefault="00DA4A10">
      <w:pPr>
        <w:adjustRightInd w:val="0"/>
        <w:snapToGrid w:val="0"/>
        <w:spacing w:line="360" w:lineRule="auto"/>
        <w:rPr>
          <w:rFonts w:ascii="Book Antiqua" w:hAnsi="Book Antiqua"/>
          <w:sz w:val="24"/>
          <w:szCs w:val="24"/>
        </w:rPr>
      </w:pPr>
      <w:bookmarkStart w:id="16" w:name="OLE_LINK27"/>
      <w:bookmarkStart w:id="17" w:name="OLE_LINK23"/>
      <w:bookmarkEnd w:id="9"/>
      <w:bookmarkEnd w:id="10"/>
      <w:bookmarkEnd w:id="11"/>
      <w:bookmarkEnd w:id="12"/>
      <w:bookmarkEnd w:id="13"/>
      <w:bookmarkEnd w:id="14"/>
      <w:bookmarkEnd w:id="15"/>
      <w:r>
        <w:rPr>
          <w:rFonts w:ascii="Book Antiqua" w:hAnsi="Book Antiqua"/>
          <w:sz w:val="24"/>
          <w:szCs w:val="24"/>
        </w:rPr>
        <w:t>Zhao</w:t>
      </w:r>
      <w:r>
        <w:rPr>
          <w:rFonts w:ascii="Book Antiqua" w:hAnsi="Book Antiqua"/>
          <w:sz w:val="24"/>
          <w:szCs w:val="24"/>
          <w:vertAlign w:val="superscript"/>
        </w:rPr>
        <w:t xml:space="preserve"> </w:t>
      </w:r>
      <w:r>
        <w:rPr>
          <w:rFonts w:ascii="Book Antiqua" w:hAnsi="Book Antiqua"/>
          <w:sz w:val="24"/>
          <w:szCs w:val="24"/>
        </w:rPr>
        <w:t xml:space="preserve">DF </w:t>
      </w:r>
      <w:r>
        <w:rPr>
          <w:rFonts w:ascii="Book Antiqua" w:hAnsi="Book Antiqua"/>
          <w:i/>
          <w:iCs/>
          <w:sz w:val="24"/>
          <w:szCs w:val="24"/>
        </w:rPr>
        <w:t>et al</w:t>
      </w:r>
      <w:r>
        <w:rPr>
          <w:rFonts w:ascii="Book Antiqua" w:hAnsi="Book Antiqua"/>
          <w:sz w:val="24"/>
          <w:szCs w:val="24"/>
        </w:rPr>
        <w:t>. Severe lung lesions in WM with amyloidosis</w:t>
      </w:r>
      <w:bookmarkEnd w:id="16"/>
      <w:bookmarkEnd w:id="17"/>
    </w:p>
    <w:p w:rsidR="00F723B6" w:rsidRDefault="00F723B6">
      <w:pPr>
        <w:adjustRightInd w:val="0"/>
        <w:snapToGrid w:val="0"/>
        <w:spacing w:line="360" w:lineRule="auto"/>
        <w:rPr>
          <w:rFonts w:ascii="Book Antiqua" w:hAnsi="Book Antiqua"/>
          <w:sz w:val="24"/>
          <w:szCs w:val="24"/>
        </w:rPr>
      </w:pPr>
    </w:p>
    <w:p w:rsidR="00F723B6" w:rsidRDefault="00DA4A10">
      <w:pPr>
        <w:adjustRightInd w:val="0"/>
        <w:snapToGrid w:val="0"/>
        <w:spacing w:line="360" w:lineRule="auto"/>
        <w:rPr>
          <w:rFonts w:ascii="Book Antiqua" w:hAnsi="Book Antiqua"/>
          <w:sz w:val="24"/>
          <w:szCs w:val="24"/>
        </w:rPr>
      </w:pPr>
      <w:r>
        <w:rPr>
          <w:rFonts w:ascii="Book Antiqua" w:hAnsi="Book Antiqua"/>
          <w:sz w:val="24"/>
          <w:szCs w:val="24"/>
        </w:rPr>
        <w:t xml:space="preserve">De-Feng Zhao, </w:t>
      </w:r>
      <w:proofErr w:type="spellStart"/>
      <w:r>
        <w:rPr>
          <w:rFonts w:ascii="Book Antiqua" w:hAnsi="Book Antiqua"/>
          <w:sz w:val="24"/>
          <w:szCs w:val="24"/>
        </w:rPr>
        <w:t>Hao</w:t>
      </w:r>
      <w:proofErr w:type="spellEnd"/>
      <w:r>
        <w:rPr>
          <w:rFonts w:ascii="Book Antiqua" w:hAnsi="Book Antiqua"/>
          <w:sz w:val="24"/>
          <w:szCs w:val="24"/>
        </w:rPr>
        <w:t xml:space="preserve">-Yong Ning, Jian Cen, Yi Liu, Li-Ren Qian, </w:t>
      </w:r>
      <w:proofErr w:type="spellStart"/>
      <w:r>
        <w:rPr>
          <w:rFonts w:ascii="Book Antiqua" w:hAnsi="Book Antiqua"/>
          <w:sz w:val="24"/>
          <w:szCs w:val="24"/>
        </w:rPr>
        <w:t>Zhi</w:t>
      </w:r>
      <w:proofErr w:type="spellEnd"/>
      <w:r>
        <w:rPr>
          <w:rFonts w:ascii="Book Antiqua" w:hAnsi="Book Antiqua"/>
          <w:sz w:val="24"/>
          <w:szCs w:val="24"/>
        </w:rPr>
        <w:t>-Hai Han, Jian-Liang Shen</w:t>
      </w:r>
    </w:p>
    <w:p w:rsidR="00F723B6" w:rsidRDefault="00F723B6">
      <w:pPr>
        <w:adjustRightInd w:val="0"/>
        <w:snapToGrid w:val="0"/>
        <w:spacing w:line="360" w:lineRule="auto"/>
        <w:rPr>
          <w:rFonts w:ascii="Book Antiqua" w:hAnsi="Book Antiqua"/>
          <w:sz w:val="24"/>
          <w:szCs w:val="24"/>
        </w:rPr>
      </w:pPr>
    </w:p>
    <w:p w:rsidR="00F723B6" w:rsidRPr="00094662" w:rsidRDefault="00DA4A10" w:rsidP="00094662">
      <w:pPr>
        <w:widowControl/>
        <w:rPr>
          <w:rFonts w:ascii="Book Antiqua" w:hAnsi="Book Antiqua"/>
          <w:sz w:val="24"/>
          <w:szCs w:val="24"/>
        </w:rPr>
      </w:pPr>
      <w:r>
        <w:rPr>
          <w:rFonts w:ascii="Book Antiqua" w:hAnsi="Book Antiqua"/>
          <w:b/>
          <w:bCs/>
          <w:sz w:val="24"/>
          <w:szCs w:val="24"/>
        </w:rPr>
        <w:t xml:space="preserve">De-Feng Zhao, </w:t>
      </w:r>
      <w:r w:rsidRPr="00094662">
        <w:rPr>
          <w:rFonts w:ascii="Book Antiqua" w:hAnsi="Book Antiqua"/>
          <w:sz w:val="24"/>
          <w:szCs w:val="24"/>
          <w:lang w:bidi="ar"/>
        </w:rPr>
        <w:t>Department of Hematology, Beijing Boren Hospital, Beijing 100070, China</w:t>
      </w:r>
    </w:p>
    <w:p w:rsidR="00F723B6" w:rsidRDefault="00F723B6">
      <w:pPr>
        <w:adjustRightInd w:val="0"/>
        <w:snapToGrid w:val="0"/>
        <w:spacing w:line="360" w:lineRule="auto"/>
        <w:rPr>
          <w:rFonts w:ascii="Book Antiqua" w:hAnsi="Book Antiqua"/>
          <w:b/>
          <w:bCs/>
          <w:sz w:val="24"/>
          <w:szCs w:val="24"/>
        </w:rPr>
      </w:pPr>
    </w:p>
    <w:p w:rsidR="00F723B6" w:rsidRDefault="00DA4A10">
      <w:pPr>
        <w:adjustRightInd w:val="0"/>
        <w:snapToGrid w:val="0"/>
        <w:spacing w:line="360" w:lineRule="auto"/>
        <w:rPr>
          <w:rFonts w:ascii="Book Antiqua" w:hAnsi="Book Antiqua"/>
          <w:sz w:val="24"/>
          <w:szCs w:val="24"/>
        </w:rPr>
      </w:pPr>
      <w:r>
        <w:rPr>
          <w:rFonts w:ascii="Book Antiqua" w:hAnsi="Book Antiqua"/>
          <w:b/>
          <w:bCs/>
          <w:sz w:val="24"/>
          <w:szCs w:val="24"/>
        </w:rPr>
        <w:t xml:space="preserve">Jian Cen, Yi Liu, Li-Ren Qian, Jian-Liang Shen, </w:t>
      </w:r>
      <w:r>
        <w:rPr>
          <w:rFonts w:ascii="Book Antiqua" w:hAnsi="Book Antiqua"/>
          <w:sz w:val="24"/>
          <w:szCs w:val="24"/>
        </w:rPr>
        <w:t>Department of Hematology, Navy General Hospital of PLA, Beijing 100048, China</w:t>
      </w:r>
    </w:p>
    <w:p w:rsidR="00F723B6" w:rsidRDefault="00F723B6">
      <w:pPr>
        <w:adjustRightInd w:val="0"/>
        <w:snapToGrid w:val="0"/>
        <w:spacing w:line="360" w:lineRule="auto"/>
        <w:rPr>
          <w:rFonts w:ascii="Book Antiqua" w:hAnsi="Book Antiqua"/>
          <w:sz w:val="24"/>
          <w:szCs w:val="24"/>
        </w:rPr>
      </w:pPr>
    </w:p>
    <w:p w:rsidR="00F723B6" w:rsidRDefault="00DA4A10">
      <w:pPr>
        <w:adjustRightInd w:val="0"/>
        <w:snapToGrid w:val="0"/>
        <w:spacing w:line="360" w:lineRule="auto"/>
        <w:rPr>
          <w:rFonts w:ascii="Book Antiqua" w:hAnsi="Book Antiqua"/>
          <w:sz w:val="24"/>
          <w:szCs w:val="24"/>
        </w:rPr>
      </w:pPr>
      <w:proofErr w:type="spellStart"/>
      <w:r>
        <w:rPr>
          <w:rFonts w:ascii="Book Antiqua" w:hAnsi="Book Antiqua"/>
          <w:b/>
          <w:bCs/>
          <w:sz w:val="24"/>
          <w:szCs w:val="24"/>
        </w:rPr>
        <w:t>Hao</w:t>
      </w:r>
      <w:proofErr w:type="spellEnd"/>
      <w:r>
        <w:rPr>
          <w:rFonts w:ascii="Book Antiqua" w:hAnsi="Book Antiqua"/>
          <w:b/>
          <w:bCs/>
          <w:sz w:val="24"/>
          <w:szCs w:val="24"/>
        </w:rPr>
        <w:t xml:space="preserve">-Yong Ning, </w:t>
      </w:r>
      <w:r>
        <w:rPr>
          <w:rFonts w:ascii="Book Antiqua" w:hAnsi="Book Antiqua"/>
          <w:sz w:val="24"/>
          <w:szCs w:val="24"/>
        </w:rPr>
        <w:t>Department of Pathology, Navy General Hospital of PLA, Beijing 100048, China</w:t>
      </w:r>
    </w:p>
    <w:p w:rsidR="00F723B6" w:rsidRDefault="00F723B6">
      <w:pPr>
        <w:adjustRightInd w:val="0"/>
        <w:snapToGrid w:val="0"/>
        <w:spacing w:line="360" w:lineRule="auto"/>
        <w:rPr>
          <w:rFonts w:ascii="Book Antiqua" w:hAnsi="Book Antiqua"/>
          <w:sz w:val="24"/>
          <w:szCs w:val="24"/>
        </w:rPr>
      </w:pPr>
    </w:p>
    <w:p w:rsidR="00F723B6" w:rsidRDefault="00DA4A10">
      <w:pPr>
        <w:adjustRightInd w:val="0"/>
        <w:snapToGrid w:val="0"/>
        <w:spacing w:line="360" w:lineRule="auto"/>
        <w:rPr>
          <w:rFonts w:ascii="Book Antiqua" w:hAnsi="Book Antiqua"/>
          <w:sz w:val="24"/>
          <w:szCs w:val="24"/>
        </w:rPr>
      </w:pPr>
      <w:proofErr w:type="spellStart"/>
      <w:r>
        <w:rPr>
          <w:rFonts w:ascii="Book Antiqua" w:hAnsi="Book Antiqua"/>
          <w:b/>
          <w:bCs/>
          <w:sz w:val="24"/>
          <w:szCs w:val="24"/>
        </w:rPr>
        <w:t>Zhi</w:t>
      </w:r>
      <w:proofErr w:type="spellEnd"/>
      <w:r>
        <w:rPr>
          <w:rFonts w:ascii="Book Antiqua" w:hAnsi="Book Antiqua"/>
          <w:b/>
          <w:bCs/>
          <w:sz w:val="24"/>
          <w:szCs w:val="24"/>
        </w:rPr>
        <w:t xml:space="preserve">-Hai Han, </w:t>
      </w:r>
      <w:r>
        <w:rPr>
          <w:rFonts w:ascii="Book Antiqua" w:hAnsi="Book Antiqua"/>
          <w:sz w:val="24"/>
          <w:szCs w:val="24"/>
        </w:rPr>
        <w:t>Department of Respiratory Care, Navy General Hospital of PLA, Beijing 100048, China</w:t>
      </w:r>
    </w:p>
    <w:p w:rsidR="00F723B6" w:rsidRDefault="00F723B6">
      <w:pPr>
        <w:adjustRightInd w:val="0"/>
        <w:snapToGrid w:val="0"/>
        <w:spacing w:line="360" w:lineRule="auto"/>
        <w:rPr>
          <w:rFonts w:ascii="Book Antiqua" w:hAnsi="Book Antiqua"/>
          <w:sz w:val="24"/>
          <w:szCs w:val="24"/>
        </w:rPr>
      </w:pPr>
    </w:p>
    <w:p w:rsidR="00F723B6" w:rsidRDefault="00DA4A10">
      <w:pPr>
        <w:adjustRightInd w:val="0"/>
        <w:snapToGrid w:val="0"/>
        <w:spacing w:line="360" w:lineRule="auto"/>
        <w:outlineLvl w:val="0"/>
        <w:rPr>
          <w:rFonts w:ascii="Book Antiqua" w:hAnsi="Book Antiqua"/>
          <w:kern w:val="0"/>
          <w:sz w:val="24"/>
          <w:szCs w:val="24"/>
        </w:rPr>
      </w:pPr>
      <w:r>
        <w:rPr>
          <w:rFonts w:ascii="Book Antiqua" w:hAnsi="Book Antiqua"/>
          <w:b/>
          <w:sz w:val="24"/>
          <w:szCs w:val="24"/>
        </w:rPr>
        <w:t xml:space="preserve">Author contributions: </w:t>
      </w:r>
      <w:r>
        <w:rPr>
          <w:rFonts w:ascii="Book Antiqua" w:hAnsi="Book Antiqua"/>
          <w:sz w:val="24"/>
          <w:szCs w:val="24"/>
        </w:rPr>
        <w:t>Zhao DF,</w:t>
      </w:r>
      <w:r>
        <w:rPr>
          <w:rFonts w:ascii="Book Antiqua" w:hAnsi="Book Antiqua"/>
          <w:kern w:val="0"/>
          <w:sz w:val="24"/>
          <w:szCs w:val="24"/>
        </w:rPr>
        <w:t xml:space="preserve"> </w:t>
      </w:r>
      <w:r>
        <w:rPr>
          <w:rFonts w:ascii="Book Antiqua" w:hAnsi="Book Antiqua"/>
          <w:sz w:val="24"/>
          <w:szCs w:val="24"/>
        </w:rPr>
        <w:t xml:space="preserve">Ning HY, Cen J, Liu Y, Qian LR, </w:t>
      </w:r>
      <w:r>
        <w:rPr>
          <w:rFonts w:ascii="Book Antiqua" w:hAnsi="Book Antiqua"/>
          <w:kern w:val="0"/>
          <w:sz w:val="24"/>
          <w:szCs w:val="24"/>
        </w:rPr>
        <w:t xml:space="preserve">and </w:t>
      </w:r>
      <w:r>
        <w:rPr>
          <w:rFonts w:ascii="Book Antiqua" w:hAnsi="Book Antiqua"/>
          <w:sz w:val="24"/>
          <w:szCs w:val="24"/>
        </w:rPr>
        <w:t>Han ZH</w:t>
      </w:r>
      <w:r>
        <w:rPr>
          <w:rFonts w:ascii="Book Antiqua" w:hAnsi="Book Antiqua"/>
          <w:kern w:val="0"/>
          <w:sz w:val="24"/>
          <w:szCs w:val="24"/>
        </w:rPr>
        <w:t xml:space="preserve"> participated in collecting the data; </w:t>
      </w:r>
      <w:r>
        <w:rPr>
          <w:rFonts w:ascii="Book Antiqua" w:hAnsi="Book Antiqua"/>
          <w:sz w:val="24"/>
          <w:szCs w:val="24"/>
        </w:rPr>
        <w:t>Zhao DF</w:t>
      </w:r>
      <w:r>
        <w:rPr>
          <w:rFonts w:ascii="Book Antiqua" w:hAnsi="Book Antiqua"/>
          <w:kern w:val="0"/>
          <w:sz w:val="24"/>
          <w:szCs w:val="24"/>
        </w:rPr>
        <w:t xml:space="preserve"> and</w:t>
      </w:r>
      <w:r>
        <w:rPr>
          <w:rFonts w:ascii="Book Antiqua" w:hAnsi="Book Antiqua"/>
          <w:sz w:val="24"/>
          <w:szCs w:val="24"/>
        </w:rPr>
        <w:t xml:space="preserve"> Shen</w:t>
      </w:r>
      <w:r>
        <w:rPr>
          <w:rFonts w:ascii="Book Antiqua" w:hAnsi="Book Antiqua"/>
          <w:kern w:val="0"/>
          <w:sz w:val="24"/>
          <w:szCs w:val="24"/>
        </w:rPr>
        <w:t xml:space="preserve"> JL helped draft the manuscript; all authors read and approved the final manuscript.</w:t>
      </w:r>
    </w:p>
    <w:p w:rsidR="00F723B6" w:rsidRDefault="00F723B6">
      <w:pPr>
        <w:adjustRightInd w:val="0"/>
        <w:snapToGrid w:val="0"/>
        <w:spacing w:line="360" w:lineRule="auto"/>
        <w:rPr>
          <w:rFonts w:ascii="Book Antiqua" w:hAnsi="Book Antiqua" w:cstheme="minorHAnsi"/>
          <w:sz w:val="24"/>
          <w:szCs w:val="24"/>
        </w:rPr>
      </w:pPr>
      <w:bookmarkStart w:id="18" w:name="OLE_LINK33"/>
      <w:bookmarkStart w:id="19" w:name="OLE_LINK31"/>
      <w:bookmarkStart w:id="20" w:name="OLE_LINK59"/>
      <w:bookmarkStart w:id="21" w:name="OLE_LINK58"/>
    </w:p>
    <w:p w:rsidR="00F723B6" w:rsidRDefault="00DA4A10">
      <w:pPr>
        <w:adjustRightInd w:val="0"/>
        <w:snapToGrid w:val="0"/>
        <w:spacing w:line="360" w:lineRule="auto"/>
        <w:outlineLvl w:val="0"/>
        <w:rPr>
          <w:rFonts w:ascii="Book Antiqua" w:hAnsi="Book Antiqua"/>
          <w:sz w:val="24"/>
          <w:szCs w:val="24"/>
        </w:rPr>
      </w:pPr>
      <w:r>
        <w:rPr>
          <w:rFonts w:ascii="Book Antiqua" w:hAnsi="Book Antiqua" w:cstheme="minorHAnsi"/>
          <w:b/>
          <w:sz w:val="24"/>
          <w:szCs w:val="24"/>
          <w:lang w:val="hu-HU"/>
        </w:rPr>
        <w:t xml:space="preserve">Corresponding author: </w:t>
      </w:r>
      <w:r>
        <w:rPr>
          <w:rFonts w:ascii="Book Antiqua" w:hAnsi="Book Antiqua"/>
          <w:b/>
          <w:bCs/>
          <w:sz w:val="24"/>
          <w:szCs w:val="24"/>
        </w:rPr>
        <w:t>Jian-Liang Shen</w:t>
      </w:r>
      <w:bookmarkEnd w:id="18"/>
      <w:bookmarkEnd w:id="19"/>
      <w:r>
        <w:rPr>
          <w:rFonts w:ascii="Book Antiqua" w:hAnsi="Book Antiqua"/>
          <w:b/>
          <w:bCs/>
          <w:sz w:val="24"/>
          <w:szCs w:val="24"/>
        </w:rPr>
        <w:t>, MD, Doctor,</w:t>
      </w:r>
      <w:r>
        <w:rPr>
          <w:rFonts w:ascii="Book Antiqua" w:hAnsi="Book Antiqua"/>
          <w:sz w:val="24"/>
          <w:szCs w:val="24"/>
        </w:rPr>
        <w:t xml:space="preserve"> Department of Hematology, </w:t>
      </w:r>
      <w:bookmarkStart w:id="22" w:name="OLE_LINK93"/>
      <w:bookmarkStart w:id="23" w:name="OLE_LINK44"/>
      <w:r>
        <w:rPr>
          <w:rFonts w:ascii="Book Antiqua" w:hAnsi="Book Antiqua"/>
          <w:sz w:val="24"/>
          <w:szCs w:val="24"/>
        </w:rPr>
        <w:t>Navy General Hospital of PLA</w:t>
      </w:r>
      <w:bookmarkEnd w:id="22"/>
      <w:bookmarkEnd w:id="23"/>
      <w:r>
        <w:rPr>
          <w:rFonts w:ascii="Book Antiqua" w:hAnsi="Book Antiqua"/>
          <w:sz w:val="24"/>
          <w:szCs w:val="24"/>
        </w:rPr>
        <w:t xml:space="preserve">, </w:t>
      </w:r>
      <w:bookmarkStart w:id="24" w:name="OLE_LINK140"/>
      <w:bookmarkStart w:id="25" w:name="OLE_LINK82"/>
      <w:bookmarkStart w:id="26" w:name="OLE_LINK92"/>
      <w:bookmarkStart w:id="27" w:name="OLE_LINK108"/>
      <w:bookmarkStart w:id="28" w:name="OLE_LINK100"/>
      <w:bookmarkStart w:id="29" w:name="OLE_LINK73"/>
      <w:r>
        <w:rPr>
          <w:rFonts w:ascii="Book Antiqua" w:hAnsi="Book Antiqua"/>
          <w:sz w:val="24"/>
          <w:szCs w:val="24"/>
        </w:rPr>
        <w:t xml:space="preserve">No. 6, </w:t>
      </w:r>
      <w:proofErr w:type="spellStart"/>
      <w:r>
        <w:rPr>
          <w:rFonts w:ascii="Book Antiqua" w:hAnsi="Book Antiqua"/>
          <w:sz w:val="24"/>
          <w:szCs w:val="24"/>
        </w:rPr>
        <w:t>Fucheng</w:t>
      </w:r>
      <w:proofErr w:type="spellEnd"/>
      <w:r>
        <w:rPr>
          <w:rFonts w:ascii="Book Antiqua" w:hAnsi="Book Antiqua"/>
          <w:sz w:val="24"/>
          <w:szCs w:val="24"/>
        </w:rPr>
        <w:t xml:space="preserve"> Road, </w:t>
      </w:r>
      <w:proofErr w:type="spellStart"/>
      <w:r>
        <w:rPr>
          <w:rFonts w:ascii="Book Antiqua" w:hAnsi="Book Antiqua"/>
          <w:sz w:val="24"/>
          <w:szCs w:val="24"/>
        </w:rPr>
        <w:t>Haidian</w:t>
      </w:r>
      <w:proofErr w:type="spellEnd"/>
      <w:r>
        <w:rPr>
          <w:rFonts w:ascii="Book Antiqua" w:hAnsi="Book Antiqua"/>
          <w:sz w:val="24"/>
          <w:szCs w:val="24"/>
        </w:rPr>
        <w:t xml:space="preserve"> </w:t>
      </w:r>
      <w:r>
        <w:rPr>
          <w:rFonts w:ascii="Book Antiqua" w:hAnsi="Book Antiqua"/>
          <w:sz w:val="24"/>
          <w:szCs w:val="24"/>
        </w:rPr>
        <w:lastRenderedPageBreak/>
        <w:t>District, Beijing 100048, China.</w:t>
      </w:r>
      <w:bookmarkStart w:id="30" w:name="OLE_LINK34"/>
      <w:bookmarkStart w:id="31" w:name="OLE_LINK103"/>
      <w:bookmarkStart w:id="32" w:name="OLE_LINK102"/>
      <w:bookmarkStart w:id="33" w:name="OLE_LINK60"/>
      <w:bookmarkStart w:id="34" w:name="OLE_LINK61"/>
      <w:bookmarkEnd w:id="24"/>
      <w:bookmarkEnd w:id="25"/>
      <w:bookmarkEnd w:id="26"/>
      <w:bookmarkEnd w:id="27"/>
      <w:bookmarkEnd w:id="28"/>
      <w:bookmarkEnd w:id="29"/>
      <w:r>
        <w:rPr>
          <w:rFonts w:ascii="Book Antiqua" w:hAnsi="Book Antiqua"/>
          <w:sz w:val="24"/>
          <w:szCs w:val="24"/>
        </w:rPr>
        <w:t xml:space="preserve"> nghxyk@163.com</w:t>
      </w:r>
      <w:bookmarkEnd w:id="30"/>
    </w:p>
    <w:p w:rsidR="00F723B6" w:rsidRDefault="00F723B6">
      <w:pPr>
        <w:adjustRightInd w:val="0"/>
        <w:snapToGrid w:val="0"/>
        <w:spacing w:line="360" w:lineRule="auto"/>
        <w:outlineLvl w:val="0"/>
        <w:rPr>
          <w:rFonts w:ascii="Book Antiqua" w:hAnsi="Book Antiqua"/>
          <w:sz w:val="24"/>
          <w:szCs w:val="24"/>
        </w:rPr>
      </w:pPr>
    </w:p>
    <w:p w:rsidR="00F723B6" w:rsidRDefault="00DA4A10">
      <w:pPr>
        <w:adjustRightInd w:val="0"/>
        <w:snapToGrid w:val="0"/>
        <w:spacing w:line="360" w:lineRule="auto"/>
        <w:rPr>
          <w:rFonts w:ascii="Book Antiqua" w:hAnsi="Book Antiqua"/>
          <w:b/>
          <w:sz w:val="24"/>
          <w:szCs w:val="24"/>
          <w:lang w:val="en-GB"/>
        </w:rPr>
      </w:pPr>
      <w:r>
        <w:rPr>
          <w:rFonts w:ascii="Book Antiqua" w:hAnsi="Book Antiqua"/>
          <w:b/>
          <w:sz w:val="24"/>
          <w:szCs w:val="24"/>
          <w:lang w:val="en-GB"/>
        </w:rPr>
        <w:t xml:space="preserve">Received: </w:t>
      </w:r>
      <w:r>
        <w:rPr>
          <w:rFonts w:ascii="Book Antiqua" w:hAnsi="Book Antiqua"/>
          <w:sz w:val="24"/>
          <w:szCs w:val="24"/>
          <w:lang w:val="en-GB"/>
        </w:rPr>
        <w:t>December 24, 2019</w:t>
      </w:r>
    </w:p>
    <w:p w:rsidR="00F723B6" w:rsidRDefault="00DA4A10">
      <w:pPr>
        <w:adjustRightInd w:val="0"/>
        <w:snapToGrid w:val="0"/>
        <w:spacing w:line="360" w:lineRule="auto"/>
        <w:rPr>
          <w:rFonts w:ascii="Book Antiqua" w:hAnsi="Book Antiqua"/>
          <w:b/>
          <w:sz w:val="24"/>
          <w:szCs w:val="24"/>
          <w:lang w:val="en-GB"/>
        </w:rPr>
      </w:pPr>
      <w:r>
        <w:rPr>
          <w:rFonts w:ascii="Book Antiqua" w:hAnsi="Book Antiqua"/>
          <w:b/>
          <w:sz w:val="24"/>
          <w:szCs w:val="24"/>
          <w:lang w:val="en-GB"/>
        </w:rPr>
        <w:t xml:space="preserve">Revised: </w:t>
      </w:r>
      <w:r>
        <w:rPr>
          <w:rFonts w:ascii="Book Antiqua" w:hAnsi="Book Antiqua"/>
          <w:sz w:val="24"/>
          <w:szCs w:val="24"/>
          <w:lang w:val="en-GB"/>
        </w:rPr>
        <w:t>March 13, 2020</w:t>
      </w:r>
    </w:p>
    <w:p w:rsidR="00F723B6" w:rsidRDefault="00DA4A10">
      <w:pPr>
        <w:snapToGrid w:val="0"/>
        <w:spacing w:line="360" w:lineRule="auto"/>
        <w:rPr>
          <w:rFonts w:ascii="Book Antiqua" w:hAnsi="Book Antiqua"/>
          <w:bCs/>
          <w:color w:val="000000" w:themeColor="text1"/>
          <w:sz w:val="24"/>
          <w:szCs w:val="24"/>
        </w:rPr>
      </w:pPr>
      <w:r>
        <w:rPr>
          <w:rFonts w:ascii="Book Antiqua" w:hAnsi="Book Antiqua"/>
          <w:b/>
          <w:sz w:val="24"/>
          <w:szCs w:val="24"/>
          <w:lang w:val="en-GB"/>
        </w:rPr>
        <w:t>Accepted:</w:t>
      </w:r>
      <w:bookmarkStart w:id="35" w:name="OLE_LINK101"/>
      <w:r>
        <w:rPr>
          <w:rFonts w:ascii="Book Antiqua" w:hAnsi="Book Antiqua"/>
          <w:bCs/>
          <w:color w:val="000000" w:themeColor="text1"/>
          <w:sz w:val="24"/>
          <w:szCs w:val="24"/>
        </w:rPr>
        <w:t xml:space="preserve"> May 13, 2020</w:t>
      </w:r>
      <w:bookmarkEnd w:id="35"/>
      <w:r>
        <w:rPr>
          <w:rFonts w:ascii="Book Antiqua" w:hAnsi="Book Antiqua"/>
          <w:sz w:val="24"/>
          <w:szCs w:val="24"/>
        </w:rPr>
        <w:t xml:space="preserve"> </w:t>
      </w:r>
    </w:p>
    <w:p w:rsidR="00F723B6" w:rsidRDefault="00DA4A10">
      <w:pPr>
        <w:adjustRightInd w:val="0"/>
        <w:snapToGrid w:val="0"/>
        <w:spacing w:line="360" w:lineRule="auto"/>
        <w:rPr>
          <w:rFonts w:ascii="Book Antiqua" w:hAnsi="Book Antiqua"/>
          <w:b/>
          <w:sz w:val="24"/>
          <w:szCs w:val="24"/>
          <w:lang w:val="en-GB"/>
        </w:rPr>
      </w:pPr>
      <w:r>
        <w:rPr>
          <w:rFonts w:ascii="Book Antiqua" w:hAnsi="Book Antiqua"/>
          <w:b/>
          <w:sz w:val="24"/>
          <w:szCs w:val="24"/>
          <w:lang w:val="en-GB"/>
        </w:rPr>
        <w:t xml:space="preserve">Published online: </w:t>
      </w:r>
      <w:r w:rsidR="00F54261" w:rsidRPr="00F54261">
        <w:rPr>
          <w:rFonts w:ascii="Book Antiqua" w:hAnsi="Book Antiqua"/>
          <w:sz w:val="24"/>
          <w:szCs w:val="24"/>
          <w:lang w:val="en-GB"/>
        </w:rPr>
        <w:t>June 6, 2020</w:t>
      </w:r>
    </w:p>
    <w:p w:rsidR="00F723B6" w:rsidRDefault="00F723B6">
      <w:pPr>
        <w:adjustRightInd w:val="0"/>
        <w:snapToGrid w:val="0"/>
        <w:spacing w:line="360" w:lineRule="auto"/>
        <w:outlineLvl w:val="0"/>
        <w:rPr>
          <w:rFonts w:ascii="Book Antiqua" w:hAnsi="Book Antiqua"/>
          <w:sz w:val="24"/>
          <w:szCs w:val="24"/>
        </w:rPr>
      </w:pPr>
    </w:p>
    <w:p w:rsidR="00F723B6" w:rsidRDefault="00DA4A10">
      <w:pPr>
        <w:autoSpaceDE w:val="0"/>
        <w:autoSpaceDN w:val="0"/>
        <w:adjustRightInd w:val="0"/>
        <w:snapToGrid w:val="0"/>
        <w:spacing w:line="360" w:lineRule="auto"/>
        <w:outlineLvl w:val="0"/>
        <w:rPr>
          <w:rFonts w:ascii="Book Antiqua" w:hAnsi="Book Antiqua"/>
          <w:b/>
          <w:bCs/>
          <w:sz w:val="24"/>
          <w:szCs w:val="24"/>
        </w:rPr>
      </w:pPr>
      <w:bookmarkStart w:id="36" w:name="OLE_LINK2"/>
      <w:bookmarkEnd w:id="20"/>
      <w:bookmarkEnd w:id="21"/>
      <w:bookmarkEnd w:id="31"/>
      <w:bookmarkEnd w:id="32"/>
      <w:bookmarkEnd w:id="33"/>
      <w:bookmarkEnd w:id="34"/>
      <w:r>
        <w:rPr>
          <w:rFonts w:ascii="Book Antiqua" w:hAnsi="Book Antiqua"/>
          <w:b/>
          <w:sz w:val="24"/>
          <w:szCs w:val="24"/>
        </w:rPr>
        <w:br w:type="page"/>
      </w:r>
      <w:r>
        <w:rPr>
          <w:rFonts w:ascii="Book Antiqua" w:hAnsi="Book Antiqua"/>
          <w:b/>
          <w:bCs/>
          <w:sz w:val="24"/>
          <w:szCs w:val="24"/>
        </w:rPr>
        <w:lastRenderedPageBreak/>
        <w:t>Abstract</w:t>
      </w:r>
    </w:p>
    <w:p w:rsidR="00F723B6" w:rsidRDefault="00DA4A10">
      <w:pPr>
        <w:autoSpaceDE w:val="0"/>
        <w:autoSpaceDN w:val="0"/>
        <w:adjustRightInd w:val="0"/>
        <w:snapToGrid w:val="0"/>
        <w:spacing w:line="360" w:lineRule="auto"/>
        <w:outlineLvl w:val="0"/>
        <w:rPr>
          <w:rFonts w:ascii="Book Antiqua" w:hAnsi="Book Antiqua"/>
          <w:bCs/>
          <w:kern w:val="0"/>
          <w:sz w:val="24"/>
          <w:szCs w:val="24"/>
        </w:rPr>
      </w:pPr>
      <w:bookmarkStart w:id="37" w:name="OLE_LINK30"/>
      <w:r>
        <w:rPr>
          <w:rFonts w:ascii="Book Antiqua" w:hAnsi="Book Antiqua"/>
          <w:bCs/>
          <w:kern w:val="0"/>
          <w:sz w:val="24"/>
          <w:szCs w:val="24"/>
        </w:rPr>
        <w:t>BACKGROUND</w:t>
      </w:r>
    </w:p>
    <w:p w:rsidR="00F723B6" w:rsidRDefault="00DA4A10">
      <w:pPr>
        <w:autoSpaceDE w:val="0"/>
        <w:autoSpaceDN w:val="0"/>
        <w:adjustRightInd w:val="0"/>
        <w:snapToGrid w:val="0"/>
        <w:spacing w:line="360" w:lineRule="auto"/>
        <w:rPr>
          <w:rFonts w:ascii="Book Antiqua" w:hAnsi="Book Antiqua"/>
          <w:sz w:val="24"/>
          <w:szCs w:val="24"/>
        </w:rPr>
      </w:pPr>
      <w:proofErr w:type="spellStart"/>
      <w:r>
        <w:rPr>
          <w:rFonts w:ascii="Book Antiqua" w:hAnsi="Book Antiqua"/>
          <w:kern w:val="0"/>
          <w:sz w:val="24"/>
          <w:szCs w:val="24"/>
        </w:rPr>
        <w:t>Waldenström</w:t>
      </w:r>
      <w:proofErr w:type="spellEnd"/>
      <w:r>
        <w:rPr>
          <w:rFonts w:ascii="Book Antiqua" w:hAnsi="Book Antiqua"/>
          <w:kern w:val="0"/>
          <w:sz w:val="24"/>
          <w:szCs w:val="24"/>
        </w:rPr>
        <w:t xml:space="preserve"> </w:t>
      </w:r>
      <w:proofErr w:type="spellStart"/>
      <w:r>
        <w:rPr>
          <w:rFonts w:ascii="Book Antiqua" w:hAnsi="Book Antiqua"/>
          <w:kern w:val="0"/>
          <w:sz w:val="24"/>
          <w:szCs w:val="24"/>
        </w:rPr>
        <w:t>macroglobulinemia</w:t>
      </w:r>
      <w:proofErr w:type="spellEnd"/>
      <w:r>
        <w:rPr>
          <w:rFonts w:ascii="Book Antiqua" w:hAnsi="Book Antiqua"/>
          <w:kern w:val="0"/>
          <w:sz w:val="24"/>
          <w:szCs w:val="24"/>
        </w:rPr>
        <w:t xml:space="preserve"> (WM) is a type of small lymphocytic lymphoma that mainly affects the bone marrow, spleen, and lymph nodes. </w:t>
      </w:r>
      <w:r>
        <w:rPr>
          <w:rFonts w:ascii="Book Antiqua" w:hAnsi="Book Antiqua"/>
          <w:sz w:val="24"/>
          <w:szCs w:val="24"/>
        </w:rPr>
        <w:t>A subset of patients with WM demonstrates extramedullary involvement (4.4%), and the most frequent extramedullary disease site involved is the lungs (30%).</w:t>
      </w:r>
    </w:p>
    <w:p w:rsidR="00F723B6" w:rsidRDefault="00F723B6">
      <w:pPr>
        <w:autoSpaceDE w:val="0"/>
        <w:autoSpaceDN w:val="0"/>
        <w:adjustRightInd w:val="0"/>
        <w:snapToGrid w:val="0"/>
        <w:spacing w:line="360" w:lineRule="auto"/>
        <w:rPr>
          <w:rFonts w:ascii="Book Antiqua" w:hAnsi="Book Antiqua"/>
          <w:kern w:val="0"/>
          <w:sz w:val="24"/>
          <w:szCs w:val="24"/>
        </w:rPr>
      </w:pPr>
    </w:p>
    <w:p w:rsidR="00F723B6" w:rsidRDefault="00DA4A10">
      <w:pPr>
        <w:autoSpaceDE w:val="0"/>
        <w:autoSpaceDN w:val="0"/>
        <w:adjustRightInd w:val="0"/>
        <w:snapToGrid w:val="0"/>
        <w:spacing w:line="360" w:lineRule="auto"/>
        <w:outlineLvl w:val="0"/>
        <w:rPr>
          <w:rStyle w:val="a9"/>
          <w:rFonts w:ascii="Book Antiqua" w:hAnsi="Book Antiqua"/>
          <w:b w:val="0"/>
          <w:bCs w:val="0"/>
          <w:sz w:val="24"/>
          <w:szCs w:val="24"/>
        </w:rPr>
      </w:pPr>
      <w:r>
        <w:rPr>
          <w:rStyle w:val="a9"/>
          <w:rFonts w:ascii="Book Antiqua" w:hAnsi="Book Antiqua"/>
          <w:b w:val="0"/>
          <w:bCs w:val="0"/>
          <w:sz w:val="24"/>
          <w:szCs w:val="24"/>
        </w:rPr>
        <w:t>CASE SUMMARY</w:t>
      </w:r>
    </w:p>
    <w:p w:rsidR="00F723B6" w:rsidRDefault="00DA4A10">
      <w:pPr>
        <w:autoSpaceDE w:val="0"/>
        <w:autoSpaceDN w:val="0"/>
        <w:adjustRightInd w:val="0"/>
        <w:snapToGrid w:val="0"/>
        <w:spacing w:line="360" w:lineRule="auto"/>
        <w:rPr>
          <w:rFonts w:ascii="Book Antiqua" w:hAnsi="Book Antiqua"/>
          <w:kern w:val="0"/>
          <w:sz w:val="24"/>
          <w:szCs w:val="24"/>
        </w:rPr>
      </w:pPr>
      <w:r>
        <w:rPr>
          <w:rFonts w:ascii="Book Antiqua" w:hAnsi="Book Antiqua"/>
          <w:kern w:val="0"/>
          <w:sz w:val="24"/>
          <w:szCs w:val="24"/>
        </w:rPr>
        <w:t xml:space="preserve">A 60-year-old male patient who experienced intermittent breath-holding for 6 </w:t>
      </w:r>
      <w:proofErr w:type="spellStart"/>
      <w:proofErr w:type="gramStart"/>
      <w:r>
        <w:rPr>
          <w:rFonts w:ascii="Book Antiqua" w:hAnsi="Book Antiqua"/>
          <w:kern w:val="0"/>
          <w:sz w:val="24"/>
          <w:szCs w:val="24"/>
        </w:rPr>
        <w:t>mo</w:t>
      </w:r>
      <w:proofErr w:type="spellEnd"/>
      <w:proofErr w:type="gramEnd"/>
      <w:r>
        <w:rPr>
          <w:rFonts w:ascii="Book Antiqua" w:hAnsi="Book Antiqua"/>
          <w:kern w:val="0"/>
          <w:sz w:val="24"/>
          <w:szCs w:val="24"/>
        </w:rPr>
        <w:t xml:space="preserve"> was admitted on August 14, 2017. Chest computed tomography indicated multiple pulmonary cavities in the upper lobes of both lungs, with </w:t>
      </w:r>
      <w:r>
        <w:rPr>
          <w:rFonts w:ascii="Book Antiqua" w:hAnsi="Book Antiqua"/>
          <w:bCs/>
          <w:sz w:val="24"/>
          <w:szCs w:val="24"/>
        </w:rPr>
        <w:t xml:space="preserve">pulmonary consolidation, </w:t>
      </w:r>
      <w:r>
        <w:rPr>
          <w:rFonts w:ascii="Book Antiqua" w:hAnsi="Book Antiqua"/>
          <w:kern w:val="0"/>
          <w:sz w:val="24"/>
          <w:szCs w:val="24"/>
        </w:rPr>
        <w:t xml:space="preserve">ground-glass opacities, patchy infiltrates, fibrous bands, large bullae, and enlarged lymph nodes in the mediastinum. The patient was a heavy smoker (20 cigarettes/d for 40 years). Diagnostic </w:t>
      </w:r>
      <w:proofErr w:type="spellStart"/>
      <w:r>
        <w:rPr>
          <w:rFonts w:ascii="Book Antiqua" w:hAnsi="Book Antiqua"/>
          <w:kern w:val="0"/>
          <w:sz w:val="24"/>
          <w:szCs w:val="24"/>
        </w:rPr>
        <w:t>fiberoptic</w:t>
      </w:r>
      <w:proofErr w:type="spellEnd"/>
      <w:r>
        <w:rPr>
          <w:rFonts w:ascii="Book Antiqua" w:hAnsi="Book Antiqua"/>
          <w:kern w:val="0"/>
          <w:sz w:val="24"/>
          <w:szCs w:val="24"/>
        </w:rPr>
        <w:t xml:space="preserve"> bronchoscopy revealed normal findings. Serological examination revealed a remarkable increase in serum immunoglobulin M levels (30.24 g/L; normal: 0.4-2.30 g/L). A computed tomography-guided percutaneous pulmonary biopsy was performed in the left lower lobe of the lung with pulmonary consolidation and indicated that the alveolar structure disappeared and that a large amount of amyloid-like deposition was present along with the infiltration of very few lymphocytes and plasma cells. The patient was treated with the combined treatment of dexamethasone + rituximab + </w:t>
      </w:r>
      <w:proofErr w:type="spellStart"/>
      <w:r>
        <w:rPr>
          <w:rFonts w:ascii="Book Antiqua" w:hAnsi="Book Antiqua"/>
          <w:kern w:val="0"/>
          <w:sz w:val="24"/>
          <w:szCs w:val="24"/>
        </w:rPr>
        <w:t>lenalidomide</w:t>
      </w:r>
      <w:proofErr w:type="spellEnd"/>
      <w:r>
        <w:rPr>
          <w:rFonts w:ascii="Book Antiqua" w:hAnsi="Book Antiqua"/>
          <w:kern w:val="0"/>
          <w:sz w:val="24"/>
          <w:szCs w:val="24"/>
        </w:rPr>
        <w:t xml:space="preserve"> over four courses. Serum immunoglobulin M did not normalize, and he received </w:t>
      </w:r>
      <w:proofErr w:type="spellStart"/>
      <w:r>
        <w:rPr>
          <w:rFonts w:ascii="Book Antiqua" w:hAnsi="Book Antiqua"/>
          <w:kern w:val="0"/>
          <w:sz w:val="24"/>
          <w:szCs w:val="24"/>
        </w:rPr>
        <w:t>ibrutinib</w:t>
      </w:r>
      <w:proofErr w:type="spellEnd"/>
      <w:r>
        <w:rPr>
          <w:rFonts w:ascii="Book Antiqua" w:hAnsi="Book Antiqua"/>
          <w:kern w:val="0"/>
          <w:sz w:val="24"/>
          <w:szCs w:val="24"/>
        </w:rPr>
        <w:t xml:space="preserve"> + dexamethasone.</w:t>
      </w:r>
    </w:p>
    <w:p w:rsidR="00F723B6" w:rsidRDefault="00F723B6">
      <w:pPr>
        <w:autoSpaceDE w:val="0"/>
        <w:autoSpaceDN w:val="0"/>
        <w:adjustRightInd w:val="0"/>
        <w:snapToGrid w:val="0"/>
        <w:spacing w:line="360" w:lineRule="auto"/>
        <w:rPr>
          <w:rFonts w:ascii="Book Antiqua" w:hAnsi="Book Antiqua"/>
          <w:kern w:val="0"/>
          <w:sz w:val="24"/>
          <w:szCs w:val="24"/>
        </w:rPr>
      </w:pPr>
    </w:p>
    <w:p w:rsidR="00F723B6" w:rsidRDefault="00DA4A10">
      <w:pPr>
        <w:autoSpaceDE w:val="0"/>
        <w:autoSpaceDN w:val="0"/>
        <w:adjustRightInd w:val="0"/>
        <w:snapToGrid w:val="0"/>
        <w:spacing w:line="360" w:lineRule="auto"/>
        <w:outlineLvl w:val="0"/>
        <w:rPr>
          <w:rStyle w:val="a9"/>
          <w:rFonts w:ascii="Book Antiqua" w:hAnsi="Book Antiqua"/>
          <w:b w:val="0"/>
          <w:bCs w:val="0"/>
          <w:sz w:val="24"/>
          <w:szCs w:val="24"/>
        </w:rPr>
      </w:pPr>
      <w:r>
        <w:rPr>
          <w:rStyle w:val="a9"/>
          <w:rFonts w:ascii="Book Antiqua" w:hAnsi="Book Antiqua"/>
          <w:b w:val="0"/>
          <w:bCs w:val="0"/>
          <w:sz w:val="24"/>
          <w:szCs w:val="24"/>
        </w:rPr>
        <w:t>CONCLUSION</w:t>
      </w:r>
    </w:p>
    <w:p w:rsidR="00F723B6" w:rsidRDefault="00DA4A10">
      <w:pPr>
        <w:autoSpaceDE w:val="0"/>
        <w:autoSpaceDN w:val="0"/>
        <w:adjustRightInd w:val="0"/>
        <w:snapToGrid w:val="0"/>
        <w:spacing w:line="360" w:lineRule="auto"/>
        <w:rPr>
          <w:rFonts w:ascii="Book Antiqua" w:hAnsi="Book Antiqua"/>
          <w:kern w:val="0"/>
          <w:sz w:val="24"/>
          <w:szCs w:val="24"/>
        </w:rPr>
      </w:pPr>
      <w:r>
        <w:rPr>
          <w:rFonts w:ascii="Book Antiqua" w:hAnsi="Book Antiqua"/>
          <w:sz w:val="24"/>
          <w:szCs w:val="24"/>
        </w:rPr>
        <w:t xml:space="preserve">This patient with WM and lung amyloidosis had a wide range of pulmonary lesions and a variety of morphological features, which was a rare case. </w:t>
      </w:r>
      <w:r>
        <w:rPr>
          <w:rFonts w:ascii="Book Antiqua" w:hAnsi="Book Antiqua"/>
          <w:kern w:val="0"/>
          <w:sz w:val="24"/>
          <w:szCs w:val="24"/>
        </w:rPr>
        <w:t>Yet, some changes might be ascribed to heavy smoking.</w:t>
      </w:r>
    </w:p>
    <w:bookmarkEnd w:id="36"/>
    <w:bookmarkEnd w:id="37"/>
    <w:p w:rsidR="00F723B6" w:rsidRDefault="00F723B6">
      <w:pPr>
        <w:autoSpaceDE w:val="0"/>
        <w:autoSpaceDN w:val="0"/>
        <w:adjustRightInd w:val="0"/>
        <w:snapToGrid w:val="0"/>
        <w:spacing w:line="360" w:lineRule="auto"/>
        <w:rPr>
          <w:rFonts w:ascii="Book Antiqua" w:hAnsi="Book Antiqua"/>
          <w:b/>
          <w:kern w:val="0"/>
          <w:sz w:val="24"/>
          <w:szCs w:val="24"/>
        </w:rPr>
      </w:pPr>
    </w:p>
    <w:p w:rsidR="00F723B6" w:rsidRDefault="00DA4A10">
      <w:pPr>
        <w:autoSpaceDE w:val="0"/>
        <w:autoSpaceDN w:val="0"/>
        <w:adjustRightInd w:val="0"/>
        <w:snapToGrid w:val="0"/>
        <w:spacing w:line="360" w:lineRule="auto"/>
        <w:rPr>
          <w:rFonts w:ascii="Book Antiqua" w:hAnsi="Book Antiqua"/>
          <w:kern w:val="0"/>
          <w:sz w:val="24"/>
          <w:szCs w:val="24"/>
        </w:rPr>
      </w:pPr>
      <w:r>
        <w:rPr>
          <w:rFonts w:ascii="Book Antiqua" w:hAnsi="Book Antiqua"/>
          <w:b/>
          <w:kern w:val="0"/>
          <w:sz w:val="24"/>
          <w:szCs w:val="24"/>
        </w:rPr>
        <w:t xml:space="preserve">Key words: </w:t>
      </w:r>
      <w:bookmarkStart w:id="38" w:name="OLE_LINK47"/>
      <w:bookmarkStart w:id="39" w:name="OLE_LINK48"/>
      <w:proofErr w:type="spellStart"/>
      <w:r>
        <w:rPr>
          <w:rFonts w:ascii="Book Antiqua" w:hAnsi="Book Antiqua"/>
          <w:kern w:val="0"/>
          <w:sz w:val="24"/>
          <w:szCs w:val="24"/>
        </w:rPr>
        <w:t>Waldenström</w:t>
      </w:r>
      <w:proofErr w:type="spellEnd"/>
      <w:r>
        <w:rPr>
          <w:rFonts w:ascii="Book Antiqua" w:hAnsi="Book Antiqua"/>
          <w:kern w:val="0"/>
          <w:sz w:val="24"/>
          <w:szCs w:val="24"/>
        </w:rPr>
        <w:t xml:space="preserve"> </w:t>
      </w:r>
      <w:proofErr w:type="spellStart"/>
      <w:r>
        <w:rPr>
          <w:rFonts w:ascii="Book Antiqua" w:hAnsi="Book Antiqua"/>
          <w:kern w:val="0"/>
          <w:sz w:val="24"/>
          <w:szCs w:val="24"/>
        </w:rPr>
        <w:t>macroglobulinemia</w:t>
      </w:r>
      <w:bookmarkEnd w:id="38"/>
      <w:bookmarkEnd w:id="39"/>
      <w:proofErr w:type="spellEnd"/>
      <w:r>
        <w:rPr>
          <w:rFonts w:ascii="Book Antiqua" w:hAnsi="Book Antiqua"/>
          <w:kern w:val="0"/>
          <w:sz w:val="24"/>
          <w:szCs w:val="24"/>
        </w:rPr>
        <w:t xml:space="preserve">; </w:t>
      </w:r>
      <w:bookmarkStart w:id="40" w:name="OLE_LINK49"/>
      <w:r>
        <w:rPr>
          <w:rFonts w:ascii="Book Antiqua" w:hAnsi="Book Antiqua"/>
          <w:kern w:val="0"/>
          <w:sz w:val="24"/>
          <w:szCs w:val="24"/>
        </w:rPr>
        <w:t>Lung; Amyloidosis</w:t>
      </w:r>
      <w:bookmarkEnd w:id="40"/>
      <w:r>
        <w:rPr>
          <w:rFonts w:ascii="Book Antiqua" w:hAnsi="Book Antiqua"/>
          <w:kern w:val="0"/>
          <w:sz w:val="24"/>
          <w:szCs w:val="24"/>
        </w:rPr>
        <w:t xml:space="preserve">; Computed tomography; </w:t>
      </w:r>
      <w:bookmarkStart w:id="41" w:name="OLE_LINK52"/>
      <w:bookmarkStart w:id="42" w:name="OLE_LINK51"/>
      <w:r>
        <w:rPr>
          <w:rFonts w:ascii="Book Antiqua" w:hAnsi="Book Antiqua"/>
          <w:kern w:val="0"/>
          <w:sz w:val="24"/>
          <w:szCs w:val="24"/>
        </w:rPr>
        <w:t>Case report</w:t>
      </w:r>
    </w:p>
    <w:p w:rsidR="00F723B6" w:rsidRDefault="00F723B6">
      <w:pPr>
        <w:autoSpaceDE w:val="0"/>
        <w:autoSpaceDN w:val="0"/>
        <w:adjustRightInd w:val="0"/>
        <w:snapToGrid w:val="0"/>
        <w:spacing w:line="360" w:lineRule="auto"/>
        <w:rPr>
          <w:rFonts w:ascii="Book Antiqua" w:hAnsi="Book Antiqua"/>
          <w:kern w:val="0"/>
          <w:sz w:val="24"/>
          <w:szCs w:val="24"/>
        </w:rPr>
      </w:pPr>
    </w:p>
    <w:p w:rsidR="00F723B6" w:rsidRDefault="00DA4A10">
      <w:pPr>
        <w:adjustRightInd w:val="0"/>
        <w:snapToGrid w:val="0"/>
        <w:spacing w:line="360" w:lineRule="auto"/>
        <w:rPr>
          <w:rFonts w:ascii="Book Antiqua" w:hAnsi="Book Antiqua"/>
          <w:sz w:val="24"/>
          <w:szCs w:val="24"/>
        </w:rPr>
      </w:pPr>
      <w:r>
        <w:rPr>
          <w:rFonts w:ascii="Book Antiqua" w:hAnsi="Book Antiqua"/>
          <w:sz w:val="24"/>
          <w:szCs w:val="24"/>
        </w:rPr>
        <w:t xml:space="preserve">Zhao DF, Ning HY, Cen J, Liu Y, Qian LR, Han ZH, Shen JL. Extensive multifocal and pleomorphic pulmonary lesions in </w:t>
      </w:r>
      <w:proofErr w:type="spellStart"/>
      <w:r>
        <w:rPr>
          <w:rFonts w:ascii="Book Antiqua" w:hAnsi="Book Antiqua"/>
          <w:sz w:val="24"/>
          <w:szCs w:val="24"/>
        </w:rPr>
        <w:t>Waldenström</w:t>
      </w:r>
      <w:proofErr w:type="spellEnd"/>
      <w:r>
        <w:rPr>
          <w:rFonts w:ascii="Book Antiqua" w:hAnsi="Book Antiqua"/>
          <w:sz w:val="24"/>
          <w:szCs w:val="24"/>
        </w:rPr>
        <w:t xml:space="preserve"> </w:t>
      </w:r>
      <w:proofErr w:type="spellStart"/>
      <w:r>
        <w:rPr>
          <w:rFonts w:ascii="Book Antiqua" w:hAnsi="Book Antiqua"/>
          <w:sz w:val="24"/>
          <w:szCs w:val="24"/>
        </w:rPr>
        <w:t>macroglobulinemia</w:t>
      </w:r>
      <w:proofErr w:type="spellEnd"/>
      <w:r>
        <w:rPr>
          <w:rFonts w:ascii="Book Antiqua" w:hAnsi="Book Antiqua"/>
          <w:sz w:val="24"/>
          <w:szCs w:val="24"/>
        </w:rPr>
        <w:t xml:space="preserve">: A case report. </w:t>
      </w:r>
      <w:r>
        <w:rPr>
          <w:rFonts w:ascii="Book Antiqua" w:hAnsi="Book Antiqua"/>
          <w:i/>
          <w:iCs/>
          <w:sz w:val="24"/>
          <w:szCs w:val="24"/>
        </w:rPr>
        <w:t xml:space="preserve">World J </w:t>
      </w:r>
      <w:proofErr w:type="spellStart"/>
      <w:r>
        <w:rPr>
          <w:rFonts w:ascii="Book Antiqua" w:hAnsi="Book Antiqua"/>
          <w:i/>
          <w:iCs/>
          <w:sz w:val="24"/>
          <w:szCs w:val="24"/>
        </w:rPr>
        <w:t>Clin</w:t>
      </w:r>
      <w:proofErr w:type="spellEnd"/>
      <w:r>
        <w:rPr>
          <w:rFonts w:ascii="Book Antiqua" w:hAnsi="Book Antiqua"/>
          <w:i/>
          <w:iCs/>
          <w:sz w:val="24"/>
          <w:szCs w:val="24"/>
        </w:rPr>
        <w:t xml:space="preserve"> Cases</w:t>
      </w:r>
      <w:r>
        <w:rPr>
          <w:rFonts w:ascii="Book Antiqua" w:hAnsi="Book Antiqua"/>
          <w:sz w:val="24"/>
          <w:szCs w:val="24"/>
        </w:rPr>
        <w:t xml:space="preserve"> 2020; </w:t>
      </w:r>
      <w:r w:rsidR="00F54261">
        <w:rPr>
          <w:rFonts w:ascii="Book Antiqua" w:hAnsi="Book Antiqua"/>
          <w:sz w:val="24"/>
          <w:szCs w:val="24"/>
        </w:rPr>
        <w:t>8(11):</w:t>
      </w:r>
      <w:r w:rsidR="00F54261">
        <w:rPr>
          <w:rFonts w:ascii="Book Antiqua" w:hAnsi="Book Antiqua" w:hint="eastAsia"/>
          <w:sz w:val="24"/>
          <w:szCs w:val="24"/>
        </w:rPr>
        <w:t xml:space="preserve"> </w:t>
      </w:r>
      <w:bookmarkStart w:id="43" w:name="_GoBack"/>
      <w:r w:rsidR="002E30B4">
        <w:rPr>
          <w:rFonts w:ascii="Book Antiqua" w:hAnsi="Book Antiqua" w:hint="eastAsia"/>
          <w:sz w:val="24"/>
          <w:szCs w:val="24"/>
        </w:rPr>
        <w:t>2305-2311</w:t>
      </w:r>
      <w:r w:rsidR="00F54261" w:rsidRPr="00F54261">
        <w:rPr>
          <w:rFonts w:ascii="Book Antiqua" w:hAnsi="Book Antiqua"/>
          <w:sz w:val="24"/>
          <w:szCs w:val="24"/>
        </w:rPr>
        <w:t xml:space="preserve"> URL: https://www.wjgnet.com/2307-8960/full/v8/i11/</w:t>
      </w:r>
      <w:r w:rsidR="002E30B4">
        <w:rPr>
          <w:rFonts w:ascii="Book Antiqua" w:hAnsi="Book Antiqua" w:hint="eastAsia"/>
          <w:sz w:val="24"/>
          <w:szCs w:val="24"/>
        </w:rPr>
        <w:t>2305</w:t>
      </w:r>
      <w:r w:rsidR="00F54261" w:rsidRPr="00F54261">
        <w:rPr>
          <w:rFonts w:ascii="Book Antiqua" w:hAnsi="Book Antiqua"/>
          <w:sz w:val="24"/>
          <w:szCs w:val="24"/>
        </w:rPr>
        <w:t>.htm DOI: https://dx.doi.org/10.12998/wjcc.v8.i11.</w:t>
      </w:r>
      <w:r w:rsidR="002E30B4">
        <w:rPr>
          <w:rFonts w:ascii="Book Antiqua" w:hAnsi="Book Antiqua" w:hint="eastAsia"/>
          <w:sz w:val="24"/>
          <w:szCs w:val="24"/>
        </w:rPr>
        <w:t>2305</w:t>
      </w:r>
    </w:p>
    <w:bookmarkEnd w:id="41"/>
    <w:bookmarkEnd w:id="42"/>
    <w:bookmarkEnd w:id="43"/>
    <w:p w:rsidR="00F723B6" w:rsidRDefault="00F723B6">
      <w:pPr>
        <w:autoSpaceDE w:val="0"/>
        <w:autoSpaceDN w:val="0"/>
        <w:adjustRightInd w:val="0"/>
        <w:snapToGrid w:val="0"/>
        <w:spacing w:line="360" w:lineRule="auto"/>
        <w:rPr>
          <w:rFonts w:ascii="Book Antiqua" w:hAnsi="Book Antiqua"/>
          <w:kern w:val="0"/>
          <w:sz w:val="24"/>
          <w:szCs w:val="24"/>
        </w:rPr>
      </w:pPr>
    </w:p>
    <w:p w:rsidR="00F723B6" w:rsidRDefault="00DA4A10">
      <w:pPr>
        <w:autoSpaceDE w:val="0"/>
        <w:autoSpaceDN w:val="0"/>
        <w:adjustRightInd w:val="0"/>
        <w:snapToGrid w:val="0"/>
        <w:spacing w:line="360" w:lineRule="auto"/>
        <w:rPr>
          <w:rFonts w:ascii="Book Antiqua" w:hAnsi="Book Antiqua"/>
          <w:sz w:val="24"/>
          <w:szCs w:val="24"/>
        </w:rPr>
      </w:pPr>
      <w:r>
        <w:rPr>
          <w:rFonts w:ascii="Book Antiqua" w:hAnsi="Book Antiqua"/>
          <w:b/>
          <w:kern w:val="0"/>
          <w:sz w:val="24"/>
          <w:szCs w:val="24"/>
        </w:rPr>
        <w:t xml:space="preserve">Core tip: </w:t>
      </w:r>
      <w:bookmarkStart w:id="44" w:name="OLE_LINK54"/>
      <w:bookmarkStart w:id="45" w:name="OLE_LINK53"/>
      <w:proofErr w:type="spellStart"/>
      <w:r>
        <w:rPr>
          <w:rFonts w:ascii="Book Antiqua" w:hAnsi="Book Antiqua"/>
          <w:kern w:val="0"/>
          <w:sz w:val="24"/>
          <w:szCs w:val="24"/>
          <w:lang w:bidi="ar"/>
        </w:rPr>
        <w:t>Waldenström</w:t>
      </w:r>
      <w:proofErr w:type="spellEnd"/>
      <w:r>
        <w:rPr>
          <w:rFonts w:ascii="Book Antiqua" w:hAnsi="Book Antiqua"/>
          <w:kern w:val="0"/>
          <w:sz w:val="24"/>
          <w:szCs w:val="24"/>
          <w:lang w:bidi="ar"/>
        </w:rPr>
        <w:t xml:space="preserve"> </w:t>
      </w:r>
      <w:proofErr w:type="spellStart"/>
      <w:r>
        <w:rPr>
          <w:rFonts w:ascii="Book Antiqua" w:hAnsi="Book Antiqua"/>
          <w:kern w:val="0"/>
          <w:sz w:val="24"/>
          <w:szCs w:val="24"/>
          <w:lang w:bidi="ar"/>
        </w:rPr>
        <w:t>macroglobulinemia</w:t>
      </w:r>
      <w:proofErr w:type="spellEnd"/>
      <w:r>
        <w:rPr>
          <w:rFonts w:ascii="Book Antiqua" w:hAnsi="Book Antiqua"/>
          <w:kern w:val="0"/>
          <w:sz w:val="24"/>
          <w:szCs w:val="24"/>
          <w:lang w:bidi="ar"/>
        </w:rPr>
        <w:t xml:space="preserve"> is a type of small lymphocytic lymphoma that mainly affects the bone marrow, spleen, and lymph nodes. Amyloidosis of the lower respiratory tract associated with </w:t>
      </w:r>
      <w:proofErr w:type="spellStart"/>
      <w:r>
        <w:rPr>
          <w:rFonts w:ascii="Book Antiqua" w:hAnsi="Book Antiqua"/>
          <w:kern w:val="0"/>
          <w:sz w:val="24"/>
          <w:szCs w:val="24"/>
          <w:lang w:bidi="ar"/>
        </w:rPr>
        <w:t>Waldenström</w:t>
      </w:r>
      <w:proofErr w:type="spellEnd"/>
      <w:r>
        <w:rPr>
          <w:rFonts w:ascii="Book Antiqua" w:hAnsi="Book Antiqua"/>
          <w:kern w:val="0"/>
          <w:sz w:val="24"/>
          <w:szCs w:val="24"/>
          <w:lang w:bidi="ar"/>
        </w:rPr>
        <w:t xml:space="preserve"> </w:t>
      </w:r>
      <w:proofErr w:type="spellStart"/>
      <w:r>
        <w:rPr>
          <w:rFonts w:ascii="Book Antiqua" w:hAnsi="Book Antiqua"/>
          <w:kern w:val="0"/>
          <w:sz w:val="24"/>
          <w:szCs w:val="24"/>
          <w:lang w:bidi="ar"/>
        </w:rPr>
        <w:t>macroglobulinemia</w:t>
      </w:r>
      <w:proofErr w:type="spellEnd"/>
      <w:r>
        <w:rPr>
          <w:rFonts w:ascii="Book Antiqua" w:hAnsi="Book Antiqua"/>
          <w:kern w:val="0"/>
          <w:sz w:val="24"/>
          <w:szCs w:val="24"/>
          <w:lang w:bidi="ar"/>
        </w:rPr>
        <w:t xml:space="preserve"> occurs very rarely. Here we report a patient who exhibited prominent pulmonary involvement. Chest computed tomography showed extensive multifocal and pleomorphic lesions in the patient's lungs. A computed tomography-guided percutaneous pulmonary biopsy confirmed the amyloid deposition.</w:t>
      </w:r>
      <w:bookmarkEnd w:id="44"/>
      <w:bookmarkEnd w:id="45"/>
    </w:p>
    <w:p w:rsidR="00F723B6" w:rsidRDefault="00DA4A10">
      <w:pPr>
        <w:autoSpaceDE w:val="0"/>
        <w:autoSpaceDN w:val="0"/>
        <w:adjustRightInd w:val="0"/>
        <w:snapToGrid w:val="0"/>
        <w:spacing w:line="360" w:lineRule="auto"/>
        <w:outlineLvl w:val="0"/>
        <w:rPr>
          <w:rFonts w:ascii="Book Antiqua" w:hAnsi="Book Antiqua"/>
          <w:sz w:val="24"/>
          <w:szCs w:val="24"/>
          <w:u w:val="single"/>
        </w:rPr>
      </w:pPr>
      <w:r>
        <w:rPr>
          <w:rFonts w:ascii="Book Antiqua" w:hAnsi="Book Antiqua"/>
          <w:b/>
          <w:bCs/>
          <w:sz w:val="24"/>
          <w:szCs w:val="24"/>
        </w:rPr>
        <w:br w:type="page"/>
      </w:r>
      <w:r>
        <w:rPr>
          <w:rFonts w:ascii="Book Antiqua" w:hAnsi="Book Antiqua"/>
          <w:b/>
          <w:bCs/>
          <w:sz w:val="24"/>
          <w:szCs w:val="24"/>
          <w:u w:val="single"/>
        </w:rPr>
        <w:lastRenderedPageBreak/>
        <w:t>INTRODUCTION</w:t>
      </w:r>
    </w:p>
    <w:p w:rsidR="00F723B6" w:rsidRDefault="00DA4A10">
      <w:pPr>
        <w:autoSpaceDE w:val="0"/>
        <w:autoSpaceDN w:val="0"/>
        <w:adjustRightInd w:val="0"/>
        <w:snapToGrid w:val="0"/>
        <w:spacing w:line="360" w:lineRule="auto"/>
        <w:rPr>
          <w:rFonts w:ascii="Book Antiqua" w:hAnsi="Book Antiqua"/>
          <w:sz w:val="24"/>
          <w:szCs w:val="24"/>
        </w:rPr>
      </w:pPr>
      <w:r>
        <w:rPr>
          <w:rFonts w:ascii="Book Antiqua" w:hAnsi="Book Antiqua"/>
          <w:sz w:val="24"/>
          <w:szCs w:val="24"/>
        </w:rPr>
        <w:t xml:space="preserve">Amyloidosis refers to a series of diseases characterized by </w:t>
      </w:r>
      <w:bookmarkStart w:id="46" w:name="OLE_LINK5"/>
      <w:bookmarkStart w:id="47" w:name="OLE_LINK4"/>
      <w:r>
        <w:rPr>
          <w:rFonts w:ascii="Book Antiqua" w:hAnsi="Book Antiqua"/>
          <w:sz w:val="24"/>
          <w:szCs w:val="24"/>
        </w:rPr>
        <w:t>the extracellular pathological deposition of amyloid-like fibrillary proteins in different organs</w:t>
      </w:r>
      <w:bookmarkEnd w:id="46"/>
      <w:bookmarkEnd w:id="47"/>
      <w:r>
        <w:rPr>
          <w:rFonts w:ascii="Book Antiqua" w:hAnsi="Book Antiqua"/>
          <w:sz w:val="24"/>
          <w:szCs w:val="24"/>
        </w:rPr>
        <w:t xml:space="preserve"> and can be classified into secondary and primary amyloidosis</w:t>
      </w:r>
      <w:r>
        <w:rPr>
          <w:rFonts w:ascii="Book Antiqua" w:hAnsi="Book Antiqua"/>
          <w:sz w:val="24"/>
          <w:szCs w:val="24"/>
          <w:vertAlign w:val="superscript"/>
        </w:rPr>
        <w:t>[1]</w:t>
      </w:r>
      <w:r>
        <w:rPr>
          <w:rFonts w:ascii="Book Antiqua" w:hAnsi="Book Antiqua"/>
          <w:sz w:val="24"/>
          <w:szCs w:val="24"/>
        </w:rPr>
        <w:t xml:space="preserve">. Secondary disorders are more common and occur following other diseases such as lymphoproliferative or plasma cell </w:t>
      </w:r>
      <w:proofErr w:type="gramStart"/>
      <w:r>
        <w:rPr>
          <w:rFonts w:ascii="Book Antiqua" w:hAnsi="Book Antiqua"/>
          <w:sz w:val="24"/>
          <w:szCs w:val="24"/>
        </w:rPr>
        <w:t>disorders</w:t>
      </w:r>
      <w:r>
        <w:rPr>
          <w:rFonts w:ascii="Book Antiqua" w:hAnsi="Book Antiqua"/>
          <w:sz w:val="24"/>
          <w:szCs w:val="24"/>
          <w:vertAlign w:val="superscript"/>
        </w:rPr>
        <w:t>[</w:t>
      </w:r>
      <w:proofErr w:type="gramEnd"/>
      <w:r>
        <w:rPr>
          <w:rFonts w:ascii="Book Antiqua" w:hAnsi="Book Antiqua"/>
          <w:sz w:val="24"/>
          <w:szCs w:val="24"/>
          <w:vertAlign w:val="superscript"/>
        </w:rPr>
        <w:t>1]</w:t>
      </w:r>
      <w:r>
        <w:rPr>
          <w:rFonts w:ascii="Book Antiqua" w:hAnsi="Book Antiqua"/>
          <w:sz w:val="24"/>
          <w:szCs w:val="24"/>
        </w:rPr>
        <w:t xml:space="preserve">. The kidney and heart are the most commonly affected organs, and amyloidosis of the lower respiratory tract occurs very </w:t>
      </w:r>
      <w:proofErr w:type="gramStart"/>
      <w:r>
        <w:rPr>
          <w:rFonts w:ascii="Book Antiqua" w:hAnsi="Book Antiqua"/>
          <w:sz w:val="24"/>
          <w:szCs w:val="24"/>
        </w:rPr>
        <w:t>rarely</w:t>
      </w:r>
      <w:r>
        <w:rPr>
          <w:rFonts w:ascii="Book Antiqua" w:hAnsi="Book Antiqua"/>
          <w:sz w:val="24"/>
          <w:szCs w:val="24"/>
          <w:vertAlign w:val="superscript"/>
        </w:rPr>
        <w:t>[</w:t>
      </w:r>
      <w:proofErr w:type="gramEnd"/>
      <w:r>
        <w:rPr>
          <w:rFonts w:ascii="Book Antiqua" w:hAnsi="Book Antiqua"/>
          <w:sz w:val="24"/>
          <w:szCs w:val="24"/>
          <w:vertAlign w:val="superscript"/>
        </w:rPr>
        <w:t>1,2]</w:t>
      </w:r>
      <w:r>
        <w:rPr>
          <w:rFonts w:ascii="Book Antiqua" w:hAnsi="Book Antiqua"/>
          <w:sz w:val="24"/>
          <w:szCs w:val="24"/>
        </w:rPr>
        <w:t xml:space="preserve">. Nodular lesions or diffuse infiltrations of amyloid in alveolar septa are the most common imaging features of amyloidosis affecting the </w:t>
      </w:r>
      <w:proofErr w:type="gramStart"/>
      <w:r>
        <w:rPr>
          <w:rFonts w:ascii="Book Antiqua" w:hAnsi="Book Antiqua"/>
          <w:sz w:val="24"/>
          <w:szCs w:val="24"/>
        </w:rPr>
        <w:t>lungs</w:t>
      </w:r>
      <w:r>
        <w:rPr>
          <w:rFonts w:ascii="Book Antiqua" w:hAnsi="Book Antiqua"/>
          <w:sz w:val="24"/>
          <w:szCs w:val="24"/>
          <w:vertAlign w:val="superscript"/>
        </w:rPr>
        <w:t>[</w:t>
      </w:r>
      <w:proofErr w:type="gramEnd"/>
      <w:r>
        <w:rPr>
          <w:rFonts w:ascii="Book Antiqua" w:hAnsi="Book Antiqua"/>
          <w:sz w:val="24"/>
          <w:szCs w:val="24"/>
          <w:vertAlign w:val="superscript"/>
        </w:rPr>
        <w:t>2]</w:t>
      </w:r>
      <w:r>
        <w:rPr>
          <w:rFonts w:ascii="Book Antiqua" w:hAnsi="Book Antiqua"/>
          <w:sz w:val="24"/>
          <w:szCs w:val="24"/>
        </w:rPr>
        <w:t xml:space="preserve">. Needle core biopsy is used to confirm the diagnosis, but if the evaluation of the biopsy is improper, these changes can be easily misdiagnosed as tuberculosis, tumors, or other inflammatory </w:t>
      </w:r>
      <w:proofErr w:type="gramStart"/>
      <w:r>
        <w:rPr>
          <w:rFonts w:ascii="Book Antiqua" w:hAnsi="Book Antiqua"/>
          <w:sz w:val="24"/>
          <w:szCs w:val="24"/>
        </w:rPr>
        <w:t>infiltrations</w:t>
      </w:r>
      <w:r>
        <w:rPr>
          <w:rFonts w:ascii="Book Antiqua" w:hAnsi="Book Antiqua"/>
          <w:sz w:val="24"/>
          <w:szCs w:val="24"/>
          <w:vertAlign w:val="superscript"/>
        </w:rPr>
        <w:t>[</w:t>
      </w:r>
      <w:proofErr w:type="gramEnd"/>
      <w:r>
        <w:rPr>
          <w:rFonts w:ascii="Book Antiqua" w:hAnsi="Book Antiqua"/>
          <w:sz w:val="24"/>
          <w:szCs w:val="24"/>
          <w:vertAlign w:val="superscript"/>
        </w:rPr>
        <w:t>2]</w:t>
      </w:r>
      <w:r>
        <w:rPr>
          <w:rFonts w:ascii="Book Antiqua" w:hAnsi="Book Antiqua"/>
          <w:sz w:val="24"/>
          <w:szCs w:val="24"/>
        </w:rPr>
        <w:t xml:space="preserve">. </w:t>
      </w:r>
    </w:p>
    <w:p w:rsidR="00F723B6" w:rsidRDefault="00DA4A10">
      <w:pPr>
        <w:autoSpaceDE w:val="0"/>
        <w:autoSpaceDN w:val="0"/>
        <w:adjustRightInd w:val="0"/>
        <w:snapToGrid w:val="0"/>
        <w:spacing w:line="360" w:lineRule="auto"/>
        <w:ind w:firstLineChars="100" w:firstLine="240"/>
        <w:rPr>
          <w:rFonts w:ascii="Book Antiqua" w:hAnsi="Book Antiqua"/>
          <w:sz w:val="24"/>
          <w:szCs w:val="24"/>
        </w:rPr>
      </w:pPr>
      <w:proofErr w:type="spellStart"/>
      <w:r>
        <w:rPr>
          <w:rFonts w:ascii="Book Antiqua" w:hAnsi="Book Antiqua"/>
          <w:kern w:val="0"/>
          <w:sz w:val="24"/>
          <w:szCs w:val="24"/>
        </w:rPr>
        <w:t>Waldenstrom</w:t>
      </w:r>
      <w:proofErr w:type="spellEnd"/>
      <w:r>
        <w:rPr>
          <w:rFonts w:ascii="Book Antiqua" w:hAnsi="Book Antiqua"/>
          <w:kern w:val="0"/>
          <w:sz w:val="24"/>
          <w:szCs w:val="24"/>
        </w:rPr>
        <w:t xml:space="preserve"> </w:t>
      </w:r>
      <w:proofErr w:type="spellStart"/>
      <w:r>
        <w:rPr>
          <w:rFonts w:ascii="Book Antiqua" w:hAnsi="Book Antiqua"/>
          <w:kern w:val="0"/>
          <w:sz w:val="24"/>
          <w:szCs w:val="24"/>
        </w:rPr>
        <w:t>macroglobulinemia</w:t>
      </w:r>
      <w:proofErr w:type="spellEnd"/>
      <w:r>
        <w:rPr>
          <w:rFonts w:ascii="Book Antiqua" w:hAnsi="Book Antiqua"/>
          <w:kern w:val="0"/>
          <w:sz w:val="24"/>
          <w:szCs w:val="24"/>
        </w:rPr>
        <w:t xml:space="preserve"> (WM) is a rare (0.34-0.55 per 100000) B-cell lymphoproliferative neoplasm characterized by the infiltration of bone marrow by </w:t>
      </w:r>
      <w:proofErr w:type="spellStart"/>
      <w:r>
        <w:rPr>
          <w:rFonts w:ascii="Book Antiqua" w:hAnsi="Book Antiqua"/>
          <w:kern w:val="0"/>
          <w:sz w:val="24"/>
          <w:szCs w:val="24"/>
        </w:rPr>
        <w:t>lymphoplasmacytic</w:t>
      </w:r>
      <w:proofErr w:type="spellEnd"/>
      <w:r>
        <w:rPr>
          <w:rFonts w:ascii="Book Antiqua" w:hAnsi="Book Antiqua"/>
          <w:kern w:val="0"/>
          <w:sz w:val="24"/>
          <w:szCs w:val="24"/>
        </w:rPr>
        <w:t xml:space="preserve"> cells that secrete a monoclonal immunoglobulin M (IgM) </w:t>
      </w:r>
      <w:proofErr w:type="gramStart"/>
      <w:r>
        <w:rPr>
          <w:rFonts w:ascii="Book Antiqua" w:hAnsi="Book Antiqua"/>
          <w:kern w:val="0"/>
          <w:sz w:val="24"/>
          <w:szCs w:val="24"/>
        </w:rPr>
        <w:t>protein</w:t>
      </w:r>
      <w:r>
        <w:rPr>
          <w:rFonts w:ascii="Book Antiqua" w:hAnsi="Book Antiqua"/>
          <w:kern w:val="0"/>
          <w:sz w:val="24"/>
          <w:szCs w:val="24"/>
          <w:vertAlign w:val="superscript"/>
        </w:rPr>
        <w:t>[</w:t>
      </w:r>
      <w:proofErr w:type="gramEnd"/>
      <w:r>
        <w:rPr>
          <w:rFonts w:ascii="Book Antiqua" w:hAnsi="Book Antiqua"/>
          <w:kern w:val="0"/>
          <w:sz w:val="24"/>
          <w:szCs w:val="24"/>
          <w:vertAlign w:val="superscript"/>
        </w:rPr>
        <w:t>3,4]</w:t>
      </w:r>
      <w:r>
        <w:rPr>
          <w:rFonts w:ascii="Book Antiqua" w:hAnsi="Book Antiqua"/>
          <w:kern w:val="0"/>
          <w:sz w:val="24"/>
          <w:szCs w:val="24"/>
        </w:rPr>
        <w:t xml:space="preserve">. The proliferation of IgM-producing </w:t>
      </w:r>
      <w:proofErr w:type="spellStart"/>
      <w:r>
        <w:rPr>
          <w:rFonts w:ascii="Book Antiqua" w:hAnsi="Book Antiqua"/>
          <w:kern w:val="0"/>
          <w:sz w:val="24"/>
          <w:szCs w:val="24"/>
        </w:rPr>
        <w:t>plasmacytoid</w:t>
      </w:r>
      <w:proofErr w:type="spellEnd"/>
      <w:r>
        <w:rPr>
          <w:rFonts w:ascii="Book Antiqua" w:hAnsi="Book Antiqua"/>
          <w:kern w:val="0"/>
          <w:sz w:val="24"/>
          <w:szCs w:val="24"/>
        </w:rPr>
        <w:t xml:space="preserve"> lymphocytes leads to excessive monoclonal IgM levels, which may lead to a variety of different clinical </w:t>
      </w:r>
      <w:proofErr w:type="gramStart"/>
      <w:r>
        <w:rPr>
          <w:rFonts w:ascii="Book Antiqua" w:hAnsi="Book Antiqua"/>
          <w:kern w:val="0"/>
          <w:sz w:val="24"/>
          <w:szCs w:val="24"/>
        </w:rPr>
        <w:t>manifestations</w:t>
      </w:r>
      <w:r>
        <w:rPr>
          <w:rFonts w:ascii="Book Antiqua" w:hAnsi="Book Antiqua"/>
          <w:kern w:val="0"/>
          <w:sz w:val="24"/>
          <w:szCs w:val="24"/>
          <w:vertAlign w:val="superscript"/>
        </w:rPr>
        <w:t>[</w:t>
      </w:r>
      <w:proofErr w:type="gramEnd"/>
      <w:r>
        <w:rPr>
          <w:rFonts w:ascii="Book Antiqua" w:hAnsi="Book Antiqua"/>
          <w:kern w:val="0"/>
          <w:sz w:val="24"/>
          <w:szCs w:val="24"/>
          <w:vertAlign w:val="superscript"/>
        </w:rPr>
        <w:t>3,4]</w:t>
      </w:r>
      <w:r>
        <w:rPr>
          <w:rFonts w:ascii="Book Antiqua" w:hAnsi="Book Antiqua"/>
          <w:kern w:val="0"/>
          <w:sz w:val="24"/>
          <w:szCs w:val="24"/>
        </w:rPr>
        <w:t xml:space="preserve">. The complications of WM include amyloid light chain </w:t>
      </w:r>
      <w:proofErr w:type="gramStart"/>
      <w:r>
        <w:rPr>
          <w:rFonts w:ascii="Book Antiqua" w:hAnsi="Book Antiqua"/>
          <w:kern w:val="0"/>
          <w:sz w:val="24"/>
          <w:szCs w:val="24"/>
        </w:rPr>
        <w:t>amyloidosis</w:t>
      </w:r>
      <w:r>
        <w:rPr>
          <w:rFonts w:ascii="Book Antiqua" w:hAnsi="Book Antiqua"/>
          <w:kern w:val="0"/>
          <w:sz w:val="24"/>
          <w:szCs w:val="24"/>
          <w:vertAlign w:val="superscript"/>
        </w:rPr>
        <w:t>[</w:t>
      </w:r>
      <w:proofErr w:type="gramEnd"/>
      <w:r>
        <w:rPr>
          <w:rFonts w:ascii="Book Antiqua" w:hAnsi="Book Antiqua"/>
          <w:kern w:val="0"/>
          <w:sz w:val="24"/>
          <w:szCs w:val="24"/>
          <w:vertAlign w:val="superscript"/>
        </w:rPr>
        <w:t>4]</w:t>
      </w:r>
      <w:r>
        <w:rPr>
          <w:rFonts w:ascii="Book Antiqua" w:hAnsi="Book Antiqua"/>
          <w:kern w:val="0"/>
          <w:sz w:val="24"/>
          <w:szCs w:val="24"/>
        </w:rPr>
        <w:t>.</w:t>
      </w:r>
    </w:p>
    <w:p w:rsidR="00F723B6" w:rsidRDefault="00F723B6">
      <w:pPr>
        <w:autoSpaceDE w:val="0"/>
        <w:autoSpaceDN w:val="0"/>
        <w:adjustRightInd w:val="0"/>
        <w:snapToGrid w:val="0"/>
        <w:spacing w:line="360" w:lineRule="auto"/>
        <w:outlineLvl w:val="0"/>
        <w:rPr>
          <w:rFonts w:ascii="Book Antiqua" w:hAnsi="Book Antiqua"/>
          <w:b/>
          <w:bCs/>
          <w:sz w:val="24"/>
          <w:szCs w:val="24"/>
        </w:rPr>
      </w:pPr>
    </w:p>
    <w:p w:rsidR="00F723B6" w:rsidRDefault="00DA4A10">
      <w:pPr>
        <w:autoSpaceDE w:val="0"/>
        <w:autoSpaceDN w:val="0"/>
        <w:adjustRightInd w:val="0"/>
        <w:snapToGrid w:val="0"/>
        <w:spacing w:line="360" w:lineRule="auto"/>
        <w:outlineLvl w:val="0"/>
        <w:rPr>
          <w:rFonts w:ascii="Book Antiqua" w:hAnsi="Book Antiqua"/>
          <w:sz w:val="24"/>
          <w:szCs w:val="24"/>
          <w:u w:val="single"/>
        </w:rPr>
      </w:pPr>
      <w:r>
        <w:rPr>
          <w:rFonts w:ascii="Book Antiqua" w:hAnsi="Book Antiqua"/>
          <w:b/>
          <w:bCs/>
          <w:sz w:val="24"/>
          <w:szCs w:val="24"/>
          <w:u w:val="single"/>
        </w:rPr>
        <w:t>CASE PRESENTATION</w:t>
      </w:r>
    </w:p>
    <w:p w:rsidR="00F723B6" w:rsidRDefault="00DA4A10">
      <w:pPr>
        <w:adjustRightInd w:val="0"/>
        <w:snapToGrid w:val="0"/>
        <w:spacing w:line="360" w:lineRule="auto"/>
        <w:rPr>
          <w:rFonts w:ascii="Book Antiqua" w:hAnsi="Book Antiqua"/>
          <w:b/>
          <w:bCs/>
          <w:i/>
          <w:iCs/>
          <w:sz w:val="24"/>
          <w:szCs w:val="24"/>
        </w:rPr>
      </w:pPr>
      <w:r>
        <w:rPr>
          <w:rFonts w:ascii="Book Antiqua" w:hAnsi="Book Antiqua"/>
          <w:b/>
          <w:bCs/>
          <w:i/>
          <w:iCs/>
          <w:sz w:val="24"/>
          <w:szCs w:val="24"/>
        </w:rPr>
        <w:t>Chief complaints</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t xml:space="preserve">A 60-year-old male patient who experienced intermittent breath-holding for 6 </w:t>
      </w:r>
      <w:proofErr w:type="spellStart"/>
      <w:proofErr w:type="gramStart"/>
      <w:r>
        <w:rPr>
          <w:rFonts w:ascii="Book Antiqua" w:hAnsi="Book Antiqua"/>
          <w:kern w:val="0"/>
          <w:sz w:val="24"/>
          <w:szCs w:val="24"/>
        </w:rPr>
        <w:t>mo</w:t>
      </w:r>
      <w:proofErr w:type="spellEnd"/>
      <w:proofErr w:type="gramEnd"/>
      <w:r>
        <w:rPr>
          <w:rFonts w:ascii="Book Antiqua" w:hAnsi="Book Antiqua"/>
          <w:kern w:val="0"/>
          <w:sz w:val="24"/>
          <w:szCs w:val="24"/>
        </w:rPr>
        <w:t xml:space="preserve"> (symptom aggravation for 3 </w:t>
      </w:r>
      <w:proofErr w:type="spellStart"/>
      <w:r>
        <w:rPr>
          <w:rFonts w:ascii="Book Antiqua" w:hAnsi="Book Antiqua"/>
          <w:kern w:val="0"/>
          <w:sz w:val="24"/>
          <w:szCs w:val="24"/>
        </w:rPr>
        <w:t>mo</w:t>
      </w:r>
      <w:proofErr w:type="spellEnd"/>
      <w:r>
        <w:rPr>
          <w:rFonts w:ascii="Book Antiqua" w:hAnsi="Book Antiqua"/>
          <w:kern w:val="0"/>
          <w:sz w:val="24"/>
          <w:szCs w:val="24"/>
        </w:rPr>
        <w:t>) was admitted to our hospital on August 14, 2017. From May 2017 onwards, the patient complained of the sensation of the pressure in the chest with aggregated suffocation, and he had an apparent decrease in exercise capacity.</w:t>
      </w:r>
    </w:p>
    <w:p w:rsidR="00F723B6" w:rsidRDefault="00F723B6">
      <w:pPr>
        <w:adjustRightInd w:val="0"/>
        <w:snapToGrid w:val="0"/>
        <w:spacing w:line="360" w:lineRule="auto"/>
        <w:rPr>
          <w:rFonts w:ascii="Book Antiqua" w:hAnsi="Book Antiqua"/>
          <w:kern w:val="0"/>
          <w:sz w:val="24"/>
          <w:szCs w:val="24"/>
        </w:rPr>
      </w:pPr>
    </w:p>
    <w:p w:rsidR="00F723B6" w:rsidRDefault="00DA4A10">
      <w:pPr>
        <w:adjustRightInd w:val="0"/>
        <w:snapToGrid w:val="0"/>
        <w:spacing w:line="360" w:lineRule="auto"/>
        <w:rPr>
          <w:rFonts w:ascii="Book Antiqua" w:hAnsi="Book Antiqua"/>
          <w:b/>
          <w:bCs/>
          <w:i/>
          <w:iCs/>
          <w:sz w:val="24"/>
          <w:szCs w:val="24"/>
        </w:rPr>
      </w:pPr>
      <w:r>
        <w:rPr>
          <w:rFonts w:ascii="Book Antiqua" w:hAnsi="Book Antiqua"/>
          <w:b/>
          <w:bCs/>
          <w:i/>
          <w:iCs/>
          <w:sz w:val="24"/>
          <w:szCs w:val="24"/>
        </w:rPr>
        <w:t>History of present illness</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lastRenderedPageBreak/>
        <w:t xml:space="preserve">Chest computed tomography (CT) examination indicated multiple pulmonary cavities in the upper lobes of both lungs, with </w:t>
      </w:r>
      <w:r>
        <w:rPr>
          <w:rFonts w:ascii="Book Antiqua" w:hAnsi="Book Antiqua"/>
          <w:bCs/>
          <w:sz w:val="24"/>
          <w:szCs w:val="24"/>
        </w:rPr>
        <w:t xml:space="preserve">pulmonary consolidation, </w:t>
      </w:r>
      <w:r>
        <w:rPr>
          <w:rFonts w:ascii="Book Antiqua" w:hAnsi="Book Antiqua"/>
          <w:kern w:val="0"/>
          <w:sz w:val="24"/>
          <w:szCs w:val="24"/>
        </w:rPr>
        <w:t>ground-glass opacities, patchy infiltrates, fibrous bands, large bullae, and enlarged lymph nodes in the mediastinum (</w:t>
      </w:r>
      <w:r>
        <w:rPr>
          <w:rFonts w:ascii="Book Antiqua" w:hAnsi="Book Antiqua"/>
          <w:bCs/>
          <w:kern w:val="0"/>
          <w:sz w:val="24"/>
          <w:szCs w:val="24"/>
        </w:rPr>
        <w:t>Figure 1</w:t>
      </w:r>
      <w:r>
        <w:rPr>
          <w:rFonts w:ascii="Book Antiqua" w:hAnsi="Book Antiqua"/>
          <w:kern w:val="0"/>
          <w:sz w:val="24"/>
          <w:szCs w:val="24"/>
        </w:rPr>
        <w:t>).</w:t>
      </w:r>
    </w:p>
    <w:p w:rsidR="00F723B6" w:rsidRDefault="00DA4A10">
      <w:pPr>
        <w:adjustRightInd w:val="0"/>
        <w:snapToGrid w:val="0"/>
        <w:spacing w:line="360" w:lineRule="auto"/>
        <w:ind w:firstLineChars="100" w:firstLine="240"/>
        <w:rPr>
          <w:rFonts w:ascii="Book Antiqua" w:hAnsi="Book Antiqua"/>
          <w:kern w:val="0"/>
          <w:sz w:val="24"/>
          <w:szCs w:val="24"/>
        </w:rPr>
      </w:pPr>
      <w:r>
        <w:rPr>
          <w:rFonts w:ascii="Book Antiqua" w:hAnsi="Book Antiqua"/>
          <w:kern w:val="0"/>
          <w:sz w:val="24"/>
          <w:szCs w:val="24"/>
        </w:rPr>
        <w:t>After receiving an anti-infective treatment, the breathing difficulty did not improve. In addition, similar lesions were observed after performing a second CT examination, and the anti-infection treatment was stopped.</w:t>
      </w:r>
    </w:p>
    <w:p w:rsidR="00F723B6" w:rsidRDefault="00F723B6">
      <w:pPr>
        <w:adjustRightInd w:val="0"/>
        <w:snapToGrid w:val="0"/>
        <w:spacing w:line="360" w:lineRule="auto"/>
        <w:ind w:firstLineChars="100" w:firstLine="240"/>
        <w:rPr>
          <w:rFonts w:ascii="Book Antiqua" w:hAnsi="Book Antiqua"/>
          <w:kern w:val="0"/>
          <w:sz w:val="24"/>
          <w:szCs w:val="24"/>
        </w:rPr>
      </w:pPr>
    </w:p>
    <w:p w:rsidR="00F723B6" w:rsidRDefault="00DA4A10">
      <w:pPr>
        <w:adjustRightInd w:val="0"/>
        <w:snapToGrid w:val="0"/>
        <w:spacing w:line="360" w:lineRule="auto"/>
        <w:rPr>
          <w:rFonts w:ascii="Book Antiqua" w:hAnsi="Book Antiqua"/>
          <w:b/>
          <w:bCs/>
          <w:i/>
          <w:iCs/>
          <w:sz w:val="24"/>
          <w:szCs w:val="24"/>
        </w:rPr>
      </w:pPr>
      <w:r>
        <w:rPr>
          <w:rFonts w:ascii="Book Antiqua" w:hAnsi="Book Antiqua"/>
          <w:b/>
          <w:bCs/>
          <w:i/>
          <w:iCs/>
          <w:sz w:val="24"/>
          <w:szCs w:val="24"/>
        </w:rPr>
        <w:t>History of past illness</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t>The patient was a heavy smoker (20 cigarettes/d for 40 years) with no history of lung disease or tumors.</w:t>
      </w:r>
    </w:p>
    <w:p w:rsidR="00F723B6" w:rsidRDefault="00F723B6">
      <w:pPr>
        <w:adjustRightInd w:val="0"/>
        <w:snapToGrid w:val="0"/>
        <w:spacing w:line="360" w:lineRule="auto"/>
        <w:rPr>
          <w:rFonts w:ascii="Book Antiqua" w:hAnsi="Book Antiqua"/>
          <w:b/>
          <w:bCs/>
          <w:sz w:val="24"/>
          <w:szCs w:val="24"/>
        </w:rPr>
      </w:pPr>
    </w:p>
    <w:p w:rsidR="00F723B6" w:rsidRDefault="00DA4A10">
      <w:pPr>
        <w:adjustRightInd w:val="0"/>
        <w:snapToGrid w:val="0"/>
        <w:spacing w:line="360" w:lineRule="auto"/>
        <w:rPr>
          <w:rFonts w:ascii="Book Antiqua" w:hAnsi="Book Antiqua"/>
          <w:b/>
          <w:bCs/>
          <w:i/>
          <w:iCs/>
          <w:sz w:val="24"/>
          <w:szCs w:val="24"/>
        </w:rPr>
      </w:pPr>
      <w:r>
        <w:rPr>
          <w:rFonts w:ascii="Book Antiqua" w:hAnsi="Book Antiqua"/>
          <w:b/>
          <w:bCs/>
          <w:i/>
          <w:iCs/>
          <w:sz w:val="24"/>
          <w:szCs w:val="24"/>
        </w:rPr>
        <w:t>Personal and family history</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t>No similar phenotypic features were observed in other members of his family.</w:t>
      </w:r>
    </w:p>
    <w:p w:rsidR="00F723B6" w:rsidRDefault="00F723B6">
      <w:pPr>
        <w:adjustRightInd w:val="0"/>
        <w:snapToGrid w:val="0"/>
        <w:spacing w:line="360" w:lineRule="auto"/>
        <w:rPr>
          <w:rFonts w:ascii="Book Antiqua" w:hAnsi="Book Antiqua"/>
          <w:kern w:val="0"/>
          <w:sz w:val="24"/>
          <w:szCs w:val="24"/>
        </w:rPr>
      </w:pPr>
    </w:p>
    <w:p w:rsidR="00F723B6" w:rsidRDefault="00DA4A10">
      <w:pPr>
        <w:adjustRightInd w:val="0"/>
        <w:snapToGrid w:val="0"/>
        <w:spacing w:line="360" w:lineRule="auto"/>
        <w:rPr>
          <w:rFonts w:ascii="Book Antiqua" w:hAnsi="Book Antiqua"/>
          <w:b/>
          <w:bCs/>
          <w:i/>
          <w:iCs/>
          <w:sz w:val="24"/>
          <w:szCs w:val="24"/>
        </w:rPr>
      </w:pPr>
      <w:r>
        <w:rPr>
          <w:rFonts w:ascii="Book Antiqua" w:hAnsi="Book Antiqua"/>
          <w:b/>
          <w:bCs/>
          <w:i/>
          <w:iCs/>
          <w:sz w:val="24"/>
          <w:szCs w:val="24"/>
        </w:rPr>
        <w:t>Physical examination upon admission</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t xml:space="preserve">During hospitalization, diagnostic </w:t>
      </w:r>
      <w:proofErr w:type="spellStart"/>
      <w:r>
        <w:rPr>
          <w:rFonts w:ascii="Book Antiqua" w:hAnsi="Book Antiqua"/>
          <w:kern w:val="0"/>
          <w:sz w:val="24"/>
          <w:szCs w:val="24"/>
        </w:rPr>
        <w:t>fiberoptic</w:t>
      </w:r>
      <w:proofErr w:type="spellEnd"/>
      <w:r>
        <w:rPr>
          <w:rFonts w:ascii="Book Antiqua" w:hAnsi="Book Antiqua"/>
          <w:kern w:val="0"/>
          <w:sz w:val="24"/>
          <w:szCs w:val="24"/>
        </w:rPr>
        <w:t xml:space="preserve"> bronchoscopy revealed normal findings. In addition, a multi-target nucleic acid amplification assay using </w:t>
      </w:r>
      <w:proofErr w:type="spellStart"/>
      <w:r>
        <w:rPr>
          <w:rFonts w:ascii="Book Antiqua" w:hAnsi="Book Antiqua"/>
          <w:kern w:val="0"/>
          <w:sz w:val="24"/>
          <w:szCs w:val="24"/>
        </w:rPr>
        <w:t>bronchoalveolar</w:t>
      </w:r>
      <w:proofErr w:type="spellEnd"/>
      <w:r>
        <w:rPr>
          <w:rFonts w:ascii="Book Antiqua" w:hAnsi="Book Antiqua"/>
          <w:kern w:val="0"/>
          <w:sz w:val="24"/>
          <w:szCs w:val="24"/>
        </w:rPr>
        <w:t xml:space="preserve"> lavage fluid showed negative results. Arterial blood gas analysis indicated that the value for oxygen partial pressure was 69.2 mmHg, while relative oxygen saturation was 94.5%. Multiple pulmonary function tests showed mild mixed (obstructive and restrictive) </w:t>
      </w:r>
      <w:proofErr w:type="spellStart"/>
      <w:r>
        <w:rPr>
          <w:rFonts w:ascii="Book Antiqua" w:hAnsi="Book Antiqua"/>
          <w:kern w:val="0"/>
          <w:sz w:val="24"/>
          <w:szCs w:val="24"/>
        </w:rPr>
        <w:t>ventilatory</w:t>
      </w:r>
      <w:proofErr w:type="spellEnd"/>
      <w:r>
        <w:rPr>
          <w:rFonts w:ascii="Book Antiqua" w:hAnsi="Book Antiqua"/>
          <w:kern w:val="0"/>
          <w:sz w:val="24"/>
          <w:szCs w:val="24"/>
        </w:rPr>
        <w:t xml:space="preserve"> dysfunction, small-airway dysfunction, a slight reduction in lung volume, normal airway resistance, a moderate reduction in pulmonary diffusing capacity, and a slight reduction in diffusing capacity for carbon monoxide</w:t>
      </w:r>
      <w:r>
        <w:rPr>
          <w:rStyle w:val="ad"/>
          <w:rFonts w:ascii="Book Antiqua" w:hAnsi="Book Antiqua"/>
          <w:sz w:val="24"/>
          <w:szCs w:val="24"/>
        </w:rPr>
        <w:t xml:space="preserve"> per liter of alveolar volume (DLCO/VA) (corrected for patient’s hemoglobin)</w:t>
      </w:r>
      <w:r>
        <w:rPr>
          <w:rFonts w:ascii="Book Antiqua" w:hAnsi="Book Antiqua"/>
          <w:kern w:val="0"/>
          <w:sz w:val="24"/>
          <w:szCs w:val="24"/>
        </w:rPr>
        <w:t>. Moreover, no abnormalities were found on electrocardiogram and echocardiography.</w:t>
      </w:r>
    </w:p>
    <w:p w:rsidR="00F723B6" w:rsidRDefault="00F723B6">
      <w:pPr>
        <w:adjustRightInd w:val="0"/>
        <w:snapToGrid w:val="0"/>
        <w:spacing w:line="360" w:lineRule="auto"/>
        <w:rPr>
          <w:rFonts w:ascii="Book Antiqua" w:hAnsi="Book Antiqua"/>
          <w:i/>
          <w:iCs/>
          <w:kern w:val="0"/>
          <w:sz w:val="24"/>
          <w:szCs w:val="24"/>
        </w:rPr>
      </w:pPr>
    </w:p>
    <w:p w:rsidR="00F723B6" w:rsidRDefault="00DA4A10">
      <w:pPr>
        <w:adjustRightInd w:val="0"/>
        <w:snapToGrid w:val="0"/>
        <w:spacing w:line="360" w:lineRule="auto"/>
        <w:rPr>
          <w:rFonts w:ascii="Book Antiqua" w:hAnsi="Book Antiqua"/>
          <w:b/>
          <w:bCs/>
          <w:i/>
          <w:iCs/>
          <w:sz w:val="24"/>
          <w:szCs w:val="24"/>
        </w:rPr>
      </w:pPr>
      <w:r>
        <w:rPr>
          <w:rFonts w:ascii="Book Antiqua" w:hAnsi="Book Antiqua"/>
          <w:b/>
          <w:bCs/>
          <w:i/>
          <w:iCs/>
          <w:sz w:val="24"/>
          <w:szCs w:val="24"/>
        </w:rPr>
        <w:t>Laboratory examinations</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lastRenderedPageBreak/>
        <w:t xml:space="preserve">Serological examination revealed a remarkable increase in serum IgM levels (30.24 g/L, compared to the average concentration of 0.4-2.30 g/L). In addition, serum </w:t>
      </w:r>
      <w:proofErr w:type="spellStart"/>
      <w:r>
        <w:rPr>
          <w:rFonts w:ascii="Book Antiqua" w:hAnsi="Book Antiqua"/>
          <w:kern w:val="0"/>
          <w:sz w:val="24"/>
          <w:szCs w:val="24"/>
        </w:rPr>
        <w:t>immunofixation</w:t>
      </w:r>
      <w:proofErr w:type="spellEnd"/>
      <w:r>
        <w:rPr>
          <w:rFonts w:ascii="Book Antiqua" w:hAnsi="Book Antiqua"/>
          <w:kern w:val="0"/>
          <w:sz w:val="24"/>
          <w:szCs w:val="24"/>
        </w:rPr>
        <w:t xml:space="preserve"> electrophoresis uncovered the presence of light chain λ and heavy chain μ. Bone marrow examination showed hyperplastic hematopoiesis as well as “a string of copper coins”-like arrangement of red cells. Furthermore, </w:t>
      </w:r>
      <w:proofErr w:type="spellStart"/>
      <w:r>
        <w:rPr>
          <w:rFonts w:ascii="Book Antiqua" w:hAnsi="Book Antiqua"/>
          <w:kern w:val="0"/>
          <w:sz w:val="24"/>
          <w:szCs w:val="24"/>
        </w:rPr>
        <w:t>immunophenotypic</w:t>
      </w:r>
      <w:proofErr w:type="spellEnd"/>
      <w:r>
        <w:rPr>
          <w:rFonts w:ascii="Book Antiqua" w:hAnsi="Book Antiqua"/>
          <w:kern w:val="0"/>
          <w:sz w:val="24"/>
          <w:szCs w:val="24"/>
        </w:rPr>
        <w:t xml:space="preserve"> analysis of bone marrow cells indicated that CD45+CD19+ cells (which accounted for 2.2% of all the nucleated cells) were all expressing HLA-DR, CD20, CD22, LAMBDA, and </w:t>
      </w:r>
      <w:proofErr w:type="spellStart"/>
      <w:r>
        <w:rPr>
          <w:rFonts w:ascii="Book Antiqua" w:hAnsi="Book Antiqua"/>
          <w:kern w:val="0"/>
          <w:sz w:val="24"/>
          <w:szCs w:val="24"/>
        </w:rPr>
        <w:t>cLAMBDA</w:t>
      </w:r>
      <w:proofErr w:type="spellEnd"/>
      <w:r>
        <w:rPr>
          <w:rFonts w:ascii="Book Antiqua" w:hAnsi="Book Antiqua"/>
          <w:kern w:val="0"/>
          <w:sz w:val="24"/>
          <w:szCs w:val="24"/>
        </w:rPr>
        <w:t xml:space="preserve">, suggesting the presence of abnormal monoclonal B lymphocytes. Comparatively, CD45dimCD38st cells (accounting for approximately 0.4% of all the nucleated cells) all expressed CD19, CD138, and </w:t>
      </w:r>
      <w:proofErr w:type="spellStart"/>
      <w:r>
        <w:rPr>
          <w:rFonts w:ascii="Book Antiqua" w:hAnsi="Book Antiqua"/>
          <w:kern w:val="0"/>
          <w:sz w:val="24"/>
          <w:szCs w:val="24"/>
        </w:rPr>
        <w:t>cLAMBDA</w:t>
      </w:r>
      <w:proofErr w:type="spellEnd"/>
      <w:r>
        <w:rPr>
          <w:rFonts w:ascii="Book Antiqua" w:hAnsi="Book Antiqua"/>
          <w:kern w:val="0"/>
          <w:sz w:val="24"/>
          <w:szCs w:val="24"/>
        </w:rPr>
        <w:t>, further suggesting the presence of abnormal monoclonal plasma cells. In addition, the L265P mutation in the MYD88 gene was detected using the polymerase chain reaction technique, even though the G-banding technique suggested a normal karyotype. Bone marrow biopsy showed hyperplastic hematopoiesis with a normal erythroid/myeloid morphology, slight accumulation of megakaryocytes, and scattered infiltration of plasma cells and lymphocytes.</w:t>
      </w:r>
    </w:p>
    <w:p w:rsidR="00F723B6" w:rsidRDefault="00DA4A10">
      <w:pPr>
        <w:adjustRightInd w:val="0"/>
        <w:snapToGrid w:val="0"/>
        <w:spacing w:line="360" w:lineRule="auto"/>
        <w:ind w:firstLineChars="100" w:firstLine="240"/>
        <w:rPr>
          <w:rFonts w:ascii="Book Antiqua" w:hAnsi="Book Antiqua"/>
          <w:kern w:val="0"/>
          <w:sz w:val="24"/>
          <w:szCs w:val="24"/>
        </w:rPr>
      </w:pPr>
      <w:r>
        <w:rPr>
          <w:rFonts w:ascii="Book Antiqua" w:hAnsi="Book Antiqua"/>
          <w:kern w:val="0"/>
          <w:sz w:val="24"/>
          <w:szCs w:val="24"/>
        </w:rPr>
        <w:t>On September 4, 2017, the examination by Congo red staining showed Congo red-positive amyloid deposits in the biopsy specimens (</w:t>
      </w:r>
      <w:r>
        <w:rPr>
          <w:rFonts w:ascii="Book Antiqua" w:hAnsi="Book Antiqua"/>
          <w:bCs/>
          <w:kern w:val="0"/>
          <w:sz w:val="24"/>
          <w:szCs w:val="24"/>
        </w:rPr>
        <w:t>Figure 2</w:t>
      </w:r>
      <w:r>
        <w:rPr>
          <w:rFonts w:ascii="Book Antiqua" w:hAnsi="Book Antiqua"/>
          <w:kern w:val="0"/>
          <w:sz w:val="24"/>
          <w:szCs w:val="24"/>
        </w:rPr>
        <w:t xml:space="preserve">). Immunohistochemistry indicated that they were </w:t>
      </w:r>
      <w:r w:rsidR="00683003">
        <w:rPr>
          <w:rFonts w:ascii="Book Antiqua" w:hAnsi="Book Antiqua"/>
          <w:kern w:val="0"/>
          <w:sz w:val="24"/>
          <w:szCs w:val="24"/>
        </w:rPr>
        <w:t>lambda</w:t>
      </w:r>
      <w:r>
        <w:rPr>
          <w:rFonts w:ascii="Book Antiqua" w:hAnsi="Book Antiqua"/>
          <w:kern w:val="0"/>
          <w:sz w:val="24"/>
          <w:szCs w:val="24"/>
        </w:rPr>
        <w:t>-positive (+++) and appeared as a typical “apple-green birefringence” under a polarizing microscope (</w:t>
      </w:r>
      <w:r>
        <w:rPr>
          <w:rFonts w:ascii="Book Antiqua" w:hAnsi="Book Antiqua"/>
          <w:bCs/>
          <w:kern w:val="0"/>
          <w:sz w:val="24"/>
          <w:szCs w:val="24"/>
        </w:rPr>
        <w:t>Figure 3</w:t>
      </w:r>
      <w:r>
        <w:rPr>
          <w:rFonts w:ascii="Book Antiqua" w:hAnsi="Book Antiqua"/>
          <w:kern w:val="0"/>
          <w:sz w:val="24"/>
          <w:szCs w:val="24"/>
        </w:rPr>
        <w:t>).</w:t>
      </w:r>
    </w:p>
    <w:p w:rsidR="00F723B6" w:rsidRDefault="00F723B6">
      <w:pPr>
        <w:adjustRightInd w:val="0"/>
        <w:snapToGrid w:val="0"/>
        <w:spacing w:line="360" w:lineRule="auto"/>
        <w:rPr>
          <w:rFonts w:ascii="Book Antiqua" w:hAnsi="Book Antiqua"/>
          <w:kern w:val="0"/>
          <w:sz w:val="24"/>
          <w:szCs w:val="24"/>
        </w:rPr>
      </w:pPr>
    </w:p>
    <w:p w:rsidR="00F723B6" w:rsidRDefault="00DA4A10">
      <w:pPr>
        <w:adjustRightInd w:val="0"/>
        <w:snapToGrid w:val="0"/>
        <w:spacing w:line="360" w:lineRule="auto"/>
        <w:rPr>
          <w:rFonts w:ascii="Book Antiqua" w:hAnsi="Book Antiqua"/>
          <w:b/>
          <w:bCs/>
          <w:i/>
          <w:iCs/>
          <w:sz w:val="24"/>
          <w:szCs w:val="24"/>
        </w:rPr>
      </w:pPr>
      <w:r>
        <w:rPr>
          <w:rFonts w:ascii="Book Antiqua" w:hAnsi="Book Antiqua"/>
          <w:b/>
          <w:bCs/>
          <w:i/>
          <w:iCs/>
          <w:sz w:val="24"/>
          <w:szCs w:val="24"/>
        </w:rPr>
        <w:t>Imaging examinations</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t>On September 4, 2017, a CT-guided percutaneous pulmonary biopsy was performed in the left lower lobe of the lung with pulmonary consolidation and indicated that the alveolar structure disappeared and that a large amount of amyloid-like deposition was present along with the infiltration of very few lymphocytes and plasma cells (</w:t>
      </w:r>
      <w:r>
        <w:rPr>
          <w:rFonts w:ascii="Book Antiqua" w:hAnsi="Book Antiqua"/>
          <w:bCs/>
          <w:kern w:val="0"/>
          <w:sz w:val="24"/>
          <w:szCs w:val="24"/>
        </w:rPr>
        <w:t>Figure 4</w:t>
      </w:r>
      <w:r>
        <w:rPr>
          <w:rFonts w:ascii="Book Antiqua" w:hAnsi="Book Antiqua"/>
          <w:kern w:val="0"/>
          <w:sz w:val="24"/>
          <w:szCs w:val="24"/>
        </w:rPr>
        <w:t>).</w:t>
      </w:r>
    </w:p>
    <w:p w:rsidR="00F723B6" w:rsidRDefault="00F723B6">
      <w:pPr>
        <w:adjustRightInd w:val="0"/>
        <w:snapToGrid w:val="0"/>
        <w:spacing w:line="360" w:lineRule="auto"/>
        <w:rPr>
          <w:rFonts w:ascii="Book Antiqua" w:hAnsi="Book Antiqua"/>
          <w:b/>
          <w:sz w:val="24"/>
          <w:szCs w:val="24"/>
          <w:u w:val="single"/>
          <w:lang w:val="en-GB"/>
        </w:rPr>
      </w:pPr>
    </w:p>
    <w:p w:rsidR="00F723B6" w:rsidRDefault="00DA4A10">
      <w:pPr>
        <w:adjustRightInd w:val="0"/>
        <w:snapToGrid w:val="0"/>
        <w:spacing w:line="360" w:lineRule="auto"/>
        <w:rPr>
          <w:rFonts w:ascii="Book Antiqua" w:hAnsi="Book Antiqua"/>
          <w:b/>
          <w:sz w:val="24"/>
          <w:szCs w:val="24"/>
          <w:u w:val="single"/>
          <w:lang w:val="en-GB"/>
        </w:rPr>
      </w:pPr>
      <w:r>
        <w:rPr>
          <w:rFonts w:ascii="Book Antiqua" w:hAnsi="Book Antiqua"/>
          <w:b/>
          <w:sz w:val="24"/>
          <w:szCs w:val="24"/>
          <w:u w:val="single"/>
          <w:lang w:val="en-GB"/>
        </w:rPr>
        <w:t>FINAL DIAGNOSIS</w:t>
      </w:r>
    </w:p>
    <w:p w:rsidR="00F723B6" w:rsidRDefault="00DA4A10">
      <w:pPr>
        <w:adjustRightInd w:val="0"/>
        <w:snapToGrid w:val="0"/>
        <w:spacing w:line="360" w:lineRule="auto"/>
        <w:rPr>
          <w:rFonts w:ascii="Book Antiqua" w:hAnsi="Book Antiqua"/>
          <w:b/>
          <w:sz w:val="24"/>
          <w:szCs w:val="24"/>
          <w:u w:val="single"/>
          <w:lang w:val="en-GB"/>
        </w:rPr>
      </w:pPr>
      <w:r>
        <w:rPr>
          <w:rFonts w:ascii="Book Antiqua" w:hAnsi="Book Antiqua"/>
          <w:kern w:val="0"/>
          <w:sz w:val="24"/>
          <w:szCs w:val="24"/>
        </w:rPr>
        <w:t>Based on these findings, the patient was diagnosed with WM accompanied by pulmonary amyloid-like depositions.</w:t>
      </w:r>
    </w:p>
    <w:p w:rsidR="00F723B6" w:rsidRDefault="00F723B6">
      <w:pPr>
        <w:adjustRightInd w:val="0"/>
        <w:snapToGrid w:val="0"/>
        <w:spacing w:line="360" w:lineRule="auto"/>
        <w:rPr>
          <w:rFonts w:ascii="Book Antiqua" w:hAnsi="Book Antiqua"/>
          <w:b/>
          <w:sz w:val="24"/>
          <w:szCs w:val="24"/>
          <w:u w:val="single"/>
          <w:lang w:val="en-GB"/>
        </w:rPr>
      </w:pPr>
    </w:p>
    <w:p w:rsidR="00F723B6" w:rsidRDefault="00DA4A10">
      <w:pPr>
        <w:adjustRightInd w:val="0"/>
        <w:snapToGrid w:val="0"/>
        <w:spacing w:line="360" w:lineRule="auto"/>
        <w:rPr>
          <w:rFonts w:ascii="Book Antiqua" w:hAnsi="Book Antiqua"/>
          <w:b/>
          <w:sz w:val="24"/>
          <w:szCs w:val="24"/>
          <w:u w:val="single"/>
          <w:lang w:val="en-GB"/>
        </w:rPr>
      </w:pPr>
      <w:r>
        <w:rPr>
          <w:rFonts w:ascii="Book Antiqua" w:hAnsi="Book Antiqua"/>
          <w:b/>
          <w:sz w:val="24"/>
          <w:szCs w:val="24"/>
          <w:u w:val="single"/>
          <w:lang w:val="en-GB"/>
        </w:rPr>
        <w:t>TREATMENT</w:t>
      </w:r>
    </w:p>
    <w:p w:rsidR="00F723B6" w:rsidRDefault="00DA4A10">
      <w:pPr>
        <w:autoSpaceDE w:val="0"/>
        <w:autoSpaceDN w:val="0"/>
        <w:adjustRightInd w:val="0"/>
        <w:snapToGrid w:val="0"/>
        <w:spacing w:line="360" w:lineRule="auto"/>
        <w:rPr>
          <w:rFonts w:ascii="Book Antiqua" w:hAnsi="Book Antiqua"/>
          <w:b/>
          <w:bCs/>
          <w:sz w:val="24"/>
          <w:szCs w:val="24"/>
        </w:rPr>
      </w:pPr>
      <w:r>
        <w:rPr>
          <w:rFonts w:ascii="Book Antiqua" w:hAnsi="Book Antiqua"/>
          <w:kern w:val="0"/>
          <w:sz w:val="24"/>
          <w:szCs w:val="24"/>
        </w:rPr>
        <w:t xml:space="preserve">From October 15, 2017, the patient was treated with the combined treatment of dexamethasone + rituximab + </w:t>
      </w:r>
      <w:proofErr w:type="spellStart"/>
      <w:r>
        <w:rPr>
          <w:rFonts w:ascii="Book Antiqua" w:hAnsi="Book Antiqua"/>
          <w:kern w:val="0"/>
          <w:sz w:val="24"/>
          <w:szCs w:val="24"/>
        </w:rPr>
        <w:t>lenalidomide</w:t>
      </w:r>
      <w:proofErr w:type="spellEnd"/>
      <w:r>
        <w:rPr>
          <w:rFonts w:ascii="Book Antiqua" w:hAnsi="Book Antiqua"/>
          <w:kern w:val="0"/>
          <w:sz w:val="24"/>
          <w:szCs w:val="24"/>
        </w:rPr>
        <w:t xml:space="preserve"> over four courses (</w:t>
      </w:r>
      <w:proofErr w:type="spellStart"/>
      <w:r>
        <w:rPr>
          <w:rFonts w:ascii="Book Antiqua" w:hAnsi="Book Antiqua"/>
          <w:kern w:val="0"/>
          <w:sz w:val="24"/>
          <w:szCs w:val="24"/>
        </w:rPr>
        <w:t>Mabthera</w:t>
      </w:r>
      <w:proofErr w:type="spellEnd"/>
      <w:r>
        <w:rPr>
          <w:rFonts w:ascii="Book Antiqua" w:hAnsi="Book Antiqua"/>
          <w:kern w:val="0"/>
          <w:sz w:val="24"/>
          <w:szCs w:val="24"/>
        </w:rPr>
        <w:t>, 375 mg/m</w:t>
      </w:r>
      <w:r>
        <w:rPr>
          <w:rFonts w:ascii="Book Antiqua" w:hAnsi="Book Antiqua"/>
          <w:kern w:val="0"/>
          <w:sz w:val="24"/>
          <w:szCs w:val="24"/>
          <w:vertAlign w:val="superscript"/>
        </w:rPr>
        <w:t>2</w:t>
      </w:r>
      <w:r>
        <w:rPr>
          <w:rFonts w:ascii="Book Antiqua" w:hAnsi="Book Antiqua"/>
          <w:kern w:val="0"/>
          <w:sz w:val="24"/>
          <w:szCs w:val="24"/>
        </w:rPr>
        <w:t xml:space="preserve"> on day 0; </w:t>
      </w:r>
      <w:proofErr w:type="spellStart"/>
      <w:r>
        <w:rPr>
          <w:rFonts w:ascii="Book Antiqua" w:hAnsi="Book Antiqua"/>
          <w:kern w:val="0"/>
          <w:sz w:val="24"/>
          <w:szCs w:val="24"/>
        </w:rPr>
        <w:t>lenalidomide</w:t>
      </w:r>
      <w:proofErr w:type="spellEnd"/>
      <w:r>
        <w:rPr>
          <w:rFonts w:ascii="Book Antiqua" w:hAnsi="Book Antiqua"/>
          <w:kern w:val="0"/>
          <w:sz w:val="24"/>
          <w:szCs w:val="24"/>
        </w:rPr>
        <w:t>, 25 mg, PO, QD, from day 1 to 21; dexamethasone, 20 mg QD, once a week; 28 d as a course).</w:t>
      </w:r>
    </w:p>
    <w:p w:rsidR="00F723B6" w:rsidRDefault="00F723B6">
      <w:pPr>
        <w:pStyle w:val="Normal1"/>
        <w:adjustRightInd w:val="0"/>
        <w:snapToGrid w:val="0"/>
        <w:spacing w:after="0" w:line="360" w:lineRule="auto"/>
        <w:jc w:val="both"/>
        <w:rPr>
          <w:rFonts w:ascii="Book Antiqua" w:eastAsiaTheme="minorEastAsia" w:hAnsi="Book Antiqua"/>
          <w:b/>
          <w:sz w:val="24"/>
          <w:szCs w:val="24"/>
          <w:u w:val="single"/>
          <w:lang w:eastAsia="zh-CN"/>
        </w:rPr>
      </w:pPr>
    </w:p>
    <w:p w:rsidR="00F723B6" w:rsidRDefault="00DA4A10">
      <w:pPr>
        <w:pStyle w:val="Normal1"/>
        <w:adjustRightInd w:val="0"/>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rsidR="00F723B6" w:rsidRDefault="00DA4A10">
      <w:pPr>
        <w:adjustRightInd w:val="0"/>
        <w:snapToGrid w:val="0"/>
        <w:spacing w:line="360" w:lineRule="auto"/>
        <w:rPr>
          <w:rFonts w:ascii="Book Antiqua" w:hAnsi="Book Antiqua"/>
          <w:kern w:val="0"/>
          <w:sz w:val="24"/>
          <w:szCs w:val="24"/>
        </w:rPr>
      </w:pPr>
      <w:r>
        <w:rPr>
          <w:rFonts w:ascii="Book Antiqua" w:hAnsi="Book Antiqua"/>
          <w:kern w:val="0"/>
          <w:sz w:val="24"/>
          <w:szCs w:val="24"/>
        </w:rPr>
        <w:t xml:space="preserve">On March 8, 2018, the patient underwent further tests. The serum IgM level was slightly reduced (26.93 g/L). Besides slightly alleviated dyspnea, no obvious alterations were observed by chest CT. Considering that the patient’s IgM concentration almost remained unchanged, he was placed on an alternative combined treatment using </w:t>
      </w:r>
      <w:proofErr w:type="spellStart"/>
      <w:r>
        <w:rPr>
          <w:rFonts w:ascii="Book Antiqua" w:hAnsi="Book Antiqua"/>
          <w:kern w:val="0"/>
          <w:sz w:val="24"/>
          <w:szCs w:val="24"/>
        </w:rPr>
        <w:t>ibrutinib</w:t>
      </w:r>
      <w:proofErr w:type="spellEnd"/>
      <w:r>
        <w:rPr>
          <w:rFonts w:ascii="Book Antiqua" w:hAnsi="Book Antiqua"/>
          <w:kern w:val="0"/>
          <w:sz w:val="24"/>
          <w:szCs w:val="24"/>
        </w:rPr>
        <w:t xml:space="preserve"> + dexamethasone.</w:t>
      </w:r>
    </w:p>
    <w:p w:rsidR="00F723B6" w:rsidRDefault="00F723B6">
      <w:pPr>
        <w:adjustRightInd w:val="0"/>
        <w:snapToGrid w:val="0"/>
        <w:spacing w:line="360" w:lineRule="auto"/>
        <w:outlineLvl w:val="0"/>
        <w:rPr>
          <w:rFonts w:ascii="Book Antiqua" w:hAnsi="Book Antiqua"/>
          <w:b/>
          <w:bCs/>
          <w:sz w:val="24"/>
          <w:szCs w:val="24"/>
        </w:rPr>
      </w:pPr>
    </w:p>
    <w:p w:rsidR="00F723B6" w:rsidRDefault="00DA4A10">
      <w:pPr>
        <w:adjustRightInd w:val="0"/>
        <w:snapToGrid w:val="0"/>
        <w:spacing w:line="360" w:lineRule="auto"/>
        <w:outlineLvl w:val="0"/>
        <w:rPr>
          <w:rFonts w:ascii="Book Antiqua" w:hAnsi="Book Antiqua"/>
          <w:b/>
          <w:bCs/>
          <w:sz w:val="24"/>
          <w:szCs w:val="24"/>
          <w:u w:val="single"/>
        </w:rPr>
      </w:pPr>
      <w:r>
        <w:rPr>
          <w:rFonts w:ascii="Book Antiqua" w:hAnsi="Book Antiqua"/>
          <w:b/>
          <w:bCs/>
          <w:sz w:val="24"/>
          <w:szCs w:val="24"/>
          <w:u w:val="single"/>
        </w:rPr>
        <w:t>DISCUSSION</w:t>
      </w:r>
    </w:p>
    <w:p w:rsidR="00F723B6" w:rsidRDefault="00DA4A10">
      <w:pPr>
        <w:autoSpaceDE w:val="0"/>
        <w:autoSpaceDN w:val="0"/>
        <w:adjustRightInd w:val="0"/>
        <w:snapToGrid w:val="0"/>
        <w:spacing w:line="360" w:lineRule="auto"/>
        <w:rPr>
          <w:rFonts w:ascii="Book Antiqua" w:hAnsi="Book Antiqua"/>
          <w:kern w:val="0"/>
          <w:sz w:val="24"/>
          <w:szCs w:val="24"/>
        </w:rPr>
      </w:pPr>
      <w:r>
        <w:rPr>
          <w:rFonts w:ascii="Book Antiqua" w:hAnsi="Book Antiqua"/>
          <w:kern w:val="0"/>
          <w:sz w:val="24"/>
          <w:szCs w:val="24"/>
        </w:rPr>
        <w:t xml:space="preserve">WM is a type of small lymphocytic lymphoma that mainly affects the bone marrow, spleen, and lymph nodes. Patients with WM may develop amyloidosis. The </w:t>
      </w:r>
      <w:r>
        <w:rPr>
          <w:rFonts w:ascii="Book Antiqua" w:hAnsi="Book Antiqua"/>
          <w:sz w:val="24"/>
          <w:szCs w:val="24"/>
        </w:rPr>
        <w:t xml:space="preserve">patient reported here had WM and lung amyloidosis, manifesting as a wide range of pulmonary lesions and a variety of morphological features, which was a rare case. </w:t>
      </w:r>
    </w:p>
    <w:p w:rsidR="00F723B6" w:rsidRDefault="00DA4A10">
      <w:pPr>
        <w:adjustRightInd w:val="0"/>
        <w:snapToGrid w:val="0"/>
        <w:spacing w:line="360" w:lineRule="auto"/>
        <w:ind w:firstLineChars="100" w:firstLine="240"/>
        <w:rPr>
          <w:rFonts w:ascii="Book Antiqua" w:hAnsi="Book Antiqua"/>
          <w:sz w:val="24"/>
          <w:szCs w:val="24"/>
        </w:rPr>
      </w:pPr>
      <w:r>
        <w:rPr>
          <w:rFonts w:ascii="Book Antiqua" w:hAnsi="Book Antiqua"/>
          <w:sz w:val="24"/>
          <w:szCs w:val="24"/>
        </w:rPr>
        <w:t xml:space="preserve">WM is a rare and usually insidious small lymphocytic </w:t>
      </w:r>
      <w:proofErr w:type="gramStart"/>
      <w:r>
        <w:rPr>
          <w:rFonts w:ascii="Book Antiqua" w:hAnsi="Book Antiqua"/>
          <w:sz w:val="24"/>
          <w:szCs w:val="24"/>
        </w:rPr>
        <w:t>lymphoma</w:t>
      </w:r>
      <w:r>
        <w:rPr>
          <w:rFonts w:ascii="Book Antiqua" w:hAnsi="Book Antiqua"/>
          <w:sz w:val="24"/>
          <w:szCs w:val="24"/>
          <w:vertAlign w:val="superscript"/>
        </w:rPr>
        <w:t>[</w:t>
      </w:r>
      <w:proofErr w:type="gramEnd"/>
      <w:r>
        <w:rPr>
          <w:rFonts w:ascii="Book Antiqua" w:hAnsi="Book Antiqua"/>
          <w:sz w:val="24"/>
          <w:szCs w:val="24"/>
          <w:vertAlign w:val="superscript"/>
        </w:rPr>
        <w:t>4]</w:t>
      </w:r>
      <w:r>
        <w:rPr>
          <w:rFonts w:ascii="Book Antiqua" w:hAnsi="Book Antiqua"/>
          <w:sz w:val="24"/>
          <w:szCs w:val="24"/>
        </w:rPr>
        <w:t>, and is rarely detected as extramedullary involvement or leukemia evolution</w:t>
      </w:r>
      <w:r>
        <w:rPr>
          <w:rFonts w:ascii="Book Antiqua" w:hAnsi="Book Antiqua"/>
          <w:sz w:val="24"/>
          <w:szCs w:val="24"/>
          <w:vertAlign w:val="superscript"/>
        </w:rPr>
        <w:t>[5]</w:t>
      </w:r>
      <w:r>
        <w:rPr>
          <w:rFonts w:ascii="Book Antiqua" w:hAnsi="Book Antiqua"/>
          <w:sz w:val="24"/>
          <w:szCs w:val="24"/>
        </w:rPr>
        <w:t xml:space="preserve">. Amyloidosis is a rare complication of </w:t>
      </w:r>
      <w:proofErr w:type="gramStart"/>
      <w:r>
        <w:rPr>
          <w:rFonts w:ascii="Book Antiqua" w:hAnsi="Book Antiqua"/>
          <w:sz w:val="24"/>
          <w:szCs w:val="24"/>
        </w:rPr>
        <w:t>WM</w:t>
      </w:r>
      <w:r>
        <w:rPr>
          <w:rFonts w:ascii="Book Antiqua" w:hAnsi="Book Antiqua"/>
          <w:sz w:val="24"/>
          <w:szCs w:val="24"/>
          <w:vertAlign w:val="superscript"/>
        </w:rPr>
        <w:t>[</w:t>
      </w:r>
      <w:proofErr w:type="gramEnd"/>
      <w:r>
        <w:rPr>
          <w:rFonts w:ascii="Book Antiqua" w:hAnsi="Book Antiqua"/>
          <w:sz w:val="24"/>
          <w:szCs w:val="24"/>
          <w:vertAlign w:val="superscript"/>
        </w:rPr>
        <w:t>4]</w:t>
      </w:r>
      <w:r>
        <w:rPr>
          <w:rFonts w:ascii="Book Antiqua" w:hAnsi="Book Antiqua"/>
          <w:sz w:val="24"/>
          <w:szCs w:val="24"/>
        </w:rPr>
        <w:t xml:space="preserve">. Amyloidosis involving the pulmonary parenchyma is usually characterized by a number of solitary pulmonary lesions and by diffuse alveolar septal </w:t>
      </w:r>
      <w:proofErr w:type="gramStart"/>
      <w:r>
        <w:rPr>
          <w:rFonts w:ascii="Book Antiqua" w:hAnsi="Book Antiqua"/>
          <w:sz w:val="24"/>
          <w:szCs w:val="24"/>
        </w:rPr>
        <w:t>infiltration</w:t>
      </w:r>
      <w:r>
        <w:rPr>
          <w:rFonts w:ascii="Book Antiqua" w:hAnsi="Book Antiqua"/>
          <w:sz w:val="24"/>
          <w:szCs w:val="24"/>
          <w:vertAlign w:val="superscript"/>
        </w:rPr>
        <w:t>[</w:t>
      </w:r>
      <w:proofErr w:type="gramEnd"/>
      <w:r>
        <w:rPr>
          <w:rFonts w:ascii="Book Antiqua" w:hAnsi="Book Antiqua"/>
          <w:sz w:val="24"/>
          <w:szCs w:val="24"/>
          <w:vertAlign w:val="superscript"/>
        </w:rPr>
        <w:t>6]</w:t>
      </w:r>
      <w:r>
        <w:rPr>
          <w:rFonts w:ascii="Book Antiqua" w:hAnsi="Book Antiqua"/>
          <w:sz w:val="24"/>
          <w:szCs w:val="24"/>
        </w:rPr>
        <w:t>.</w:t>
      </w:r>
    </w:p>
    <w:p w:rsidR="00F723B6" w:rsidRDefault="00DA4A10">
      <w:pPr>
        <w:adjustRightInd w:val="0"/>
        <w:snapToGrid w:val="0"/>
        <w:spacing w:line="360" w:lineRule="auto"/>
        <w:ind w:firstLineChars="100" w:firstLine="240"/>
        <w:rPr>
          <w:rFonts w:ascii="Book Antiqua" w:hAnsi="Book Antiqua"/>
          <w:sz w:val="24"/>
          <w:szCs w:val="24"/>
        </w:rPr>
      </w:pPr>
      <w:r>
        <w:rPr>
          <w:rFonts w:ascii="Book Antiqua" w:hAnsi="Book Antiqua"/>
          <w:sz w:val="24"/>
          <w:szCs w:val="24"/>
        </w:rPr>
        <w:lastRenderedPageBreak/>
        <w:t>A variety of hematological malignancies such as myeloma, lymphoma, and chronic lymphocytic leukemia can be combined with pulmonary amyloidosis or light chain deposition disease. A subset of patients with WM demonstrates extramedullary involvement (4.4%), and the most frequent extramedullary disease site involved is the lungs (30%</w:t>
      </w:r>
      <w:proofErr w:type="gramStart"/>
      <w:r>
        <w:rPr>
          <w:rFonts w:ascii="Book Antiqua" w:hAnsi="Book Antiqua"/>
          <w:sz w:val="24"/>
          <w:szCs w:val="24"/>
        </w:rPr>
        <w:t>)</w:t>
      </w:r>
      <w:r>
        <w:rPr>
          <w:rFonts w:ascii="Book Antiqua" w:hAnsi="Book Antiqua"/>
          <w:sz w:val="24"/>
          <w:szCs w:val="24"/>
          <w:vertAlign w:val="superscript"/>
        </w:rPr>
        <w:t>[</w:t>
      </w:r>
      <w:proofErr w:type="gramEnd"/>
      <w:r>
        <w:rPr>
          <w:rFonts w:ascii="Book Antiqua" w:hAnsi="Book Antiqua"/>
          <w:sz w:val="24"/>
          <w:szCs w:val="24"/>
          <w:vertAlign w:val="superscript"/>
        </w:rPr>
        <w:t>5,7]</w:t>
      </w:r>
      <w:r>
        <w:rPr>
          <w:rFonts w:ascii="Book Antiqua" w:hAnsi="Book Antiqua"/>
          <w:sz w:val="24"/>
          <w:szCs w:val="24"/>
        </w:rPr>
        <w:t xml:space="preserve">, resulting in a relatively low prevalence of pulmonary involvement in patients with WM. Besides pulmonary amyloidosis or light chain deposition disease, infiltration or compact mass composed of </w:t>
      </w:r>
      <w:bookmarkStart w:id="48" w:name="_Hlk529303416"/>
      <w:r>
        <w:rPr>
          <w:rFonts w:ascii="Book Antiqua" w:hAnsi="Book Antiqua"/>
          <w:sz w:val="24"/>
          <w:szCs w:val="24"/>
        </w:rPr>
        <w:t xml:space="preserve">lymphoma cells </w:t>
      </w:r>
      <w:bookmarkEnd w:id="48"/>
      <w:r>
        <w:rPr>
          <w:rFonts w:ascii="Book Antiqua" w:hAnsi="Book Antiqua"/>
          <w:sz w:val="24"/>
          <w:szCs w:val="24"/>
        </w:rPr>
        <w:t xml:space="preserve">can also be detected. Imaging examinations normally reveal some changes, including diffuse pulmonary nodules, pulmonary mass, infiltration, or pleural </w:t>
      </w:r>
      <w:proofErr w:type="gramStart"/>
      <w:r>
        <w:rPr>
          <w:rFonts w:ascii="Book Antiqua" w:hAnsi="Book Antiqua"/>
          <w:sz w:val="24"/>
          <w:szCs w:val="24"/>
        </w:rPr>
        <w:t>effusions</w:t>
      </w:r>
      <w:r>
        <w:rPr>
          <w:rFonts w:ascii="Book Antiqua" w:hAnsi="Book Antiqua"/>
          <w:sz w:val="24"/>
          <w:szCs w:val="24"/>
          <w:vertAlign w:val="superscript"/>
        </w:rPr>
        <w:t>[</w:t>
      </w:r>
      <w:proofErr w:type="gramEnd"/>
      <w:r>
        <w:rPr>
          <w:rFonts w:ascii="Book Antiqua" w:hAnsi="Book Antiqua"/>
          <w:sz w:val="24"/>
          <w:szCs w:val="24"/>
          <w:vertAlign w:val="superscript"/>
        </w:rPr>
        <w:t>8]</w:t>
      </w:r>
      <w:r>
        <w:rPr>
          <w:rFonts w:ascii="Book Antiqua" w:hAnsi="Book Antiqua"/>
          <w:sz w:val="24"/>
          <w:szCs w:val="24"/>
        </w:rPr>
        <w:t>. The patient reported here had a wide range of pulmonary lesions and a variety of morphological features, which was indeed a rare case. Yet, there is still a possibility that some of the lesions on CT could be ascribed to the patient’s heavy smoking history. Because of invasiveness and the risk of complications, only one lung lesion was biopsied, and the pathological examination clearly revealed amyloid deposition.</w:t>
      </w:r>
    </w:p>
    <w:p w:rsidR="00F723B6" w:rsidRDefault="00DA4A10">
      <w:pPr>
        <w:adjustRightInd w:val="0"/>
        <w:snapToGrid w:val="0"/>
        <w:spacing w:line="360" w:lineRule="auto"/>
        <w:ind w:firstLineChars="100" w:firstLine="240"/>
        <w:rPr>
          <w:rFonts w:ascii="Book Antiqua" w:hAnsi="Book Antiqua"/>
          <w:sz w:val="24"/>
          <w:szCs w:val="24"/>
        </w:rPr>
      </w:pPr>
      <w:r>
        <w:rPr>
          <w:rFonts w:ascii="Book Antiqua" w:hAnsi="Book Antiqua"/>
          <w:sz w:val="24"/>
          <w:szCs w:val="24"/>
        </w:rPr>
        <w:t xml:space="preserve">Currently, there is no standard treatment for symptomatic or progressive WM, although traditional drugs such as </w:t>
      </w:r>
      <w:proofErr w:type="spellStart"/>
      <w:r>
        <w:rPr>
          <w:rFonts w:ascii="Book Antiqua" w:hAnsi="Book Antiqua"/>
          <w:sz w:val="24"/>
          <w:szCs w:val="24"/>
        </w:rPr>
        <w:t>chlorambucil</w:t>
      </w:r>
      <w:proofErr w:type="spellEnd"/>
      <w:r>
        <w:rPr>
          <w:rFonts w:ascii="Book Antiqua" w:hAnsi="Book Antiqua"/>
          <w:sz w:val="24"/>
          <w:szCs w:val="24"/>
        </w:rPr>
        <w:t xml:space="preserve"> and cyclophosphamide as well as nucleoside analogs such as </w:t>
      </w:r>
      <w:proofErr w:type="spellStart"/>
      <w:r>
        <w:rPr>
          <w:rFonts w:ascii="Book Antiqua" w:hAnsi="Book Antiqua"/>
          <w:sz w:val="24"/>
          <w:szCs w:val="24"/>
        </w:rPr>
        <w:t>cladribine</w:t>
      </w:r>
      <w:proofErr w:type="spellEnd"/>
      <w:r>
        <w:rPr>
          <w:rFonts w:ascii="Book Antiqua" w:hAnsi="Book Antiqua"/>
          <w:sz w:val="24"/>
          <w:szCs w:val="24"/>
        </w:rPr>
        <w:t xml:space="preserve"> and </w:t>
      </w:r>
      <w:proofErr w:type="spellStart"/>
      <w:r>
        <w:rPr>
          <w:rFonts w:ascii="Book Antiqua" w:hAnsi="Book Antiqua"/>
          <w:sz w:val="24"/>
          <w:szCs w:val="24"/>
        </w:rPr>
        <w:t>fludarabine</w:t>
      </w:r>
      <w:proofErr w:type="spellEnd"/>
      <w:r>
        <w:rPr>
          <w:rFonts w:ascii="Book Antiqua" w:hAnsi="Book Antiqua"/>
          <w:sz w:val="24"/>
          <w:szCs w:val="24"/>
        </w:rPr>
        <w:t xml:space="preserve"> are usually prescribed for patients with WM. New effective drugs include </w:t>
      </w:r>
      <w:proofErr w:type="spellStart"/>
      <w:r>
        <w:rPr>
          <w:rFonts w:ascii="Book Antiqua" w:hAnsi="Book Antiqua"/>
          <w:sz w:val="24"/>
          <w:szCs w:val="24"/>
        </w:rPr>
        <w:t>lenalidomide</w:t>
      </w:r>
      <w:proofErr w:type="spellEnd"/>
      <w:r>
        <w:rPr>
          <w:rFonts w:ascii="Book Antiqua" w:hAnsi="Book Antiqua"/>
          <w:sz w:val="24"/>
          <w:szCs w:val="24"/>
        </w:rPr>
        <w:t xml:space="preserve">, thalidomide, </w:t>
      </w:r>
      <w:proofErr w:type="spellStart"/>
      <w:r>
        <w:rPr>
          <w:rFonts w:ascii="Book Antiqua" w:hAnsi="Book Antiqua"/>
          <w:sz w:val="24"/>
          <w:szCs w:val="24"/>
        </w:rPr>
        <w:t>bortezomib</w:t>
      </w:r>
      <w:proofErr w:type="spellEnd"/>
      <w:r>
        <w:rPr>
          <w:rFonts w:ascii="Book Antiqua" w:hAnsi="Book Antiqua"/>
          <w:sz w:val="24"/>
          <w:szCs w:val="24"/>
        </w:rPr>
        <w:t xml:space="preserve">, and </w:t>
      </w:r>
      <w:proofErr w:type="gramStart"/>
      <w:r>
        <w:rPr>
          <w:rFonts w:ascii="Book Antiqua" w:hAnsi="Book Antiqua"/>
          <w:sz w:val="24"/>
          <w:szCs w:val="24"/>
        </w:rPr>
        <w:t>rituximab</w:t>
      </w:r>
      <w:r>
        <w:rPr>
          <w:rFonts w:ascii="Book Antiqua" w:hAnsi="Book Antiqua"/>
          <w:sz w:val="24"/>
          <w:szCs w:val="24"/>
          <w:vertAlign w:val="superscript"/>
        </w:rPr>
        <w:t>[</w:t>
      </w:r>
      <w:proofErr w:type="gramEnd"/>
      <w:r>
        <w:rPr>
          <w:rFonts w:ascii="Book Antiqua" w:hAnsi="Book Antiqua"/>
          <w:sz w:val="24"/>
          <w:szCs w:val="24"/>
          <w:vertAlign w:val="superscript"/>
        </w:rPr>
        <w:t>4,9,10]</w:t>
      </w:r>
      <w:r>
        <w:rPr>
          <w:rFonts w:ascii="Book Antiqua" w:hAnsi="Book Antiqua"/>
          <w:sz w:val="24"/>
          <w:szCs w:val="24"/>
        </w:rPr>
        <w:t>, while some other medications are currently undergoing clinical trials</w:t>
      </w:r>
      <w:r>
        <w:rPr>
          <w:rFonts w:ascii="Book Antiqua" w:hAnsi="Book Antiqua"/>
          <w:sz w:val="24"/>
          <w:szCs w:val="24"/>
          <w:vertAlign w:val="superscript"/>
        </w:rPr>
        <w:t>[9]</w:t>
      </w:r>
      <w:r>
        <w:rPr>
          <w:rFonts w:ascii="Book Antiqua" w:hAnsi="Book Antiqua"/>
          <w:sz w:val="24"/>
          <w:szCs w:val="24"/>
        </w:rPr>
        <w:t xml:space="preserve">. After four courses of combined treatment with </w:t>
      </w:r>
      <w:proofErr w:type="spellStart"/>
      <w:r>
        <w:rPr>
          <w:rFonts w:ascii="Book Antiqua" w:hAnsi="Book Antiqua"/>
          <w:sz w:val="24"/>
          <w:szCs w:val="24"/>
        </w:rPr>
        <w:t>lenalidomide</w:t>
      </w:r>
      <w:proofErr w:type="spellEnd"/>
      <w:r>
        <w:rPr>
          <w:rFonts w:ascii="Book Antiqua" w:hAnsi="Book Antiqua"/>
          <w:sz w:val="24"/>
          <w:szCs w:val="24"/>
        </w:rPr>
        <w:t xml:space="preserve"> + rituximab + dexamethasone, the IgM levels were not significantly reduced. Therefore, new options for the patient’s treatment are indeed required in the future.</w:t>
      </w:r>
    </w:p>
    <w:p w:rsidR="00F723B6" w:rsidRDefault="00DA4A10">
      <w:pPr>
        <w:adjustRightInd w:val="0"/>
        <w:snapToGrid w:val="0"/>
        <w:spacing w:line="360" w:lineRule="auto"/>
        <w:ind w:firstLineChars="100" w:firstLine="240"/>
        <w:rPr>
          <w:rFonts w:ascii="Book Antiqua" w:hAnsi="Book Antiqua"/>
          <w:sz w:val="24"/>
          <w:szCs w:val="24"/>
        </w:rPr>
      </w:pPr>
      <w:r>
        <w:rPr>
          <w:rFonts w:ascii="Book Antiqua" w:hAnsi="Book Antiqua"/>
          <w:sz w:val="24"/>
          <w:szCs w:val="24"/>
        </w:rPr>
        <w:t xml:space="preserve">Of course, this is </w:t>
      </w:r>
      <w:r w:rsidR="00683003">
        <w:rPr>
          <w:rFonts w:ascii="Book Antiqua" w:hAnsi="Book Antiqua"/>
          <w:sz w:val="24"/>
          <w:szCs w:val="24"/>
        </w:rPr>
        <w:t xml:space="preserve">the </w:t>
      </w:r>
      <w:r>
        <w:rPr>
          <w:rFonts w:ascii="Book Antiqua" w:hAnsi="Book Antiqua"/>
          <w:sz w:val="24"/>
          <w:szCs w:val="24"/>
        </w:rPr>
        <w:t>report of a single case and does not constitute reliable evidence for clinical practice. Nevertheless, it could add to the description of the symptoms and signs of WM combined with lung amyloidosis.</w:t>
      </w:r>
    </w:p>
    <w:p w:rsidR="00F723B6" w:rsidRDefault="00F723B6">
      <w:pPr>
        <w:adjustRightInd w:val="0"/>
        <w:snapToGrid w:val="0"/>
        <w:spacing w:line="360" w:lineRule="auto"/>
        <w:rPr>
          <w:rFonts w:ascii="Book Antiqua" w:hAnsi="Book Antiqua"/>
          <w:i/>
          <w:sz w:val="24"/>
          <w:szCs w:val="24"/>
        </w:rPr>
      </w:pPr>
    </w:p>
    <w:p w:rsidR="00F723B6" w:rsidRDefault="00DA4A10">
      <w:pPr>
        <w:pStyle w:val="11"/>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Pr>
          <w:rFonts w:ascii="Book Antiqua" w:eastAsia="Calibri" w:hAnsi="Book Antiqua" w:cstheme="minorHAnsi"/>
          <w:b/>
          <w:sz w:val="24"/>
          <w:szCs w:val="24"/>
          <w:u w:val="single"/>
          <w:lang w:val="en-US"/>
        </w:rPr>
        <w:t>CONCLUSION</w:t>
      </w:r>
    </w:p>
    <w:p w:rsidR="00F723B6" w:rsidRDefault="00DA4A10">
      <w:pPr>
        <w:adjustRightInd w:val="0"/>
        <w:snapToGrid w:val="0"/>
        <w:spacing w:line="360" w:lineRule="auto"/>
        <w:rPr>
          <w:rFonts w:ascii="Book Antiqua" w:hAnsi="Book Antiqua"/>
          <w:i/>
          <w:sz w:val="24"/>
          <w:szCs w:val="24"/>
        </w:rPr>
      </w:pPr>
      <w:r>
        <w:rPr>
          <w:rFonts w:ascii="Book Antiqua" w:hAnsi="Book Antiqua"/>
          <w:bCs/>
          <w:sz w:val="24"/>
          <w:szCs w:val="24"/>
        </w:rPr>
        <w:lastRenderedPageBreak/>
        <w:t xml:space="preserve">The rarity of the case reported here is the presentation of </w:t>
      </w:r>
      <w:r>
        <w:rPr>
          <w:rFonts w:ascii="Book Antiqua" w:hAnsi="Book Antiqua"/>
          <w:sz w:val="24"/>
          <w:szCs w:val="24"/>
        </w:rPr>
        <w:t>WM and lung amyloidosis on CT, which revealed a wide range of pulmonary lesions and a variety of morphological features. The physicians that may encounter the same kind, of course, will benefit from the option of differential diagnosis when they detect peculiar CT findings.</w:t>
      </w:r>
    </w:p>
    <w:p w:rsidR="00F723B6" w:rsidRDefault="00F723B6">
      <w:pPr>
        <w:adjustRightInd w:val="0"/>
        <w:snapToGrid w:val="0"/>
        <w:spacing w:line="360" w:lineRule="auto"/>
        <w:outlineLvl w:val="0"/>
        <w:rPr>
          <w:rFonts w:ascii="Book Antiqua" w:hAnsi="Book Antiqua"/>
          <w:b/>
          <w:bCs/>
          <w:sz w:val="24"/>
          <w:szCs w:val="24"/>
        </w:rPr>
      </w:pPr>
    </w:p>
    <w:p w:rsidR="00F723B6" w:rsidRDefault="00DA4A10">
      <w:pPr>
        <w:adjustRightInd w:val="0"/>
        <w:snapToGrid w:val="0"/>
        <w:spacing w:line="360" w:lineRule="auto"/>
        <w:rPr>
          <w:rFonts w:ascii="Book Antiqua" w:hAnsi="Book Antiqua"/>
          <w:sz w:val="24"/>
          <w:szCs w:val="24"/>
        </w:rPr>
      </w:pPr>
      <w:r>
        <w:rPr>
          <w:rFonts w:ascii="Book Antiqua" w:hAnsi="Book Antiqua"/>
          <w:b/>
          <w:bCs/>
          <w:sz w:val="24"/>
          <w:szCs w:val="24"/>
        </w:rPr>
        <w:t>REFERENCES</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1 </w:t>
      </w:r>
      <w:proofErr w:type="spellStart"/>
      <w:r>
        <w:rPr>
          <w:rFonts w:ascii="Book Antiqua" w:hAnsi="Book Antiqua"/>
          <w:b/>
          <w:bCs/>
          <w:sz w:val="24"/>
          <w:szCs w:val="24"/>
        </w:rPr>
        <w:t>Gillmore</w:t>
      </w:r>
      <w:proofErr w:type="spellEnd"/>
      <w:r>
        <w:rPr>
          <w:rFonts w:ascii="Book Antiqua" w:hAnsi="Book Antiqua"/>
          <w:b/>
          <w:bCs/>
          <w:sz w:val="24"/>
          <w:szCs w:val="24"/>
        </w:rPr>
        <w:t xml:space="preserve"> JD</w:t>
      </w:r>
      <w:r>
        <w:rPr>
          <w:rFonts w:ascii="Book Antiqua" w:hAnsi="Book Antiqua"/>
          <w:sz w:val="24"/>
          <w:szCs w:val="24"/>
        </w:rPr>
        <w:t xml:space="preserve">, </w:t>
      </w:r>
      <w:proofErr w:type="spellStart"/>
      <w:r>
        <w:rPr>
          <w:rFonts w:ascii="Book Antiqua" w:hAnsi="Book Antiqua"/>
          <w:sz w:val="24"/>
          <w:szCs w:val="24"/>
        </w:rPr>
        <w:t>Wechalekar</w:t>
      </w:r>
      <w:proofErr w:type="spellEnd"/>
      <w:r>
        <w:rPr>
          <w:rFonts w:ascii="Book Antiqua" w:hAnsi="Book Antiqua"/>
          <w:sz w:val="24"/>
          <w:szCs w:val="24"/>
        </w:rPr>
        <w:t xml:space="preserve"> A, Bird J, </w:t>
      </w:r>
      <w:proofErr w:type="spellStart"/>
      <w:r>
        <w:rPr>
          <w:rFonts w:ascii="Book Antiqua" w:hAnsi="Book Antiqua"/>
          <w:sz w:val="24"/>
          <w:szCs w:val="24"/>
        </w:rPr>
        <w:t>Cavenagh</w:t>
      </w:r>
      <w:proofErr w:type="spellEnd"/>
      <w:r>
        <w:rPr>
          <w:rFonts w:ascii="Book Antiqua" w:hAnsi="Book Antiqua"/>
          <w:sz w:val="24"/>
          <w:szCs w:val="24"/>
        </w:rPr>
        <w:t xml:space="preserve"> J, Hawkins S, </w:t>
      </w:r>
      <w:proofErr w:type="spellStart"/>
      <w:r>
        <w:rPr>
          <w:rFonts w:ascii="Book Antiqua" w:hAnsi="Book Antiqua"/>
          <w:sz w:val="24"/>
          <w:szCs w:val="24"/>
        </w:rPr>
        <w:t>Kazmi</w:t>
      </w:r>
      <w:proofErr w:type="spellEnd"/>
      <w:r>
        <w:rPr>
          <w:rFonts w:ascii="Book Antiqua" w:hAnsi="Book Antiqua"/>
          <w:sz w:val="24"/>
          <w:szCs w:val="24"/>
        </w:rPr>
        <w:t xml:space="preserve"> M, </w:t>
      </w:r>
      <w:proofErr w:type="spellStart"/>
      <w:r>
        <w:rPr>
          <w:rFonts w:ascii="Book Antiqua" w:hAnsi="Book Antiqua"/>
          <w:sz w:val="24"/>
          <w:szCs w:val="24"/>
        </w:rPr>
        <w:t>Lachmann</w:t>
      </w:r>
      <w:proofErr w:type="spellEnd"/>
      <w:r>
        <w:rPr>
          <w:rFonts w:ascii="Book Antiqua" w:hAnsi="Book Antiqua"/>
          <w:sz w:val="24"/>
          <w:szCs w:val="24"/>
        </w:rPr>
        <w:t xml:space="preserve"> HJ, Hawkins PN, Pratt G; BCSH Committee. Guidelines on the diagnosis and investigation of AL amyloidosis. </w:t>
      </w:r>
      <w:r>
        <w:rPr>
          <w:rFonts w:ascii="Book Antiqua" w:hAnsi="Book Antiqua"/>
          <w:i/>
          <w:iCs/>
          <w:sz w:val="24"/>
          <w:szCs w:val="24"/>
        </w:rPr>
        <w:t xml:space="preserve">Br J </w:t>
      </w:r>
      <w:proofErr w:type="spellStart"/>
      <w:r>
        <w:rPr>
          <w:rFonts w:ascii="Book Antiqua" w:hAnsi="Book Antiqua"/>
          <w:i/>
          <w:iCs/>
          <w:sz w:val="24"/>
          <w:szCs w:val="24"/>
        </w:rPr>
        <w:t>Haematol</w:t>
      </w:r>
      <w:proofErr w:type="spellEnd"/>
      <w:r>
        <w:rPr>
          <w:rFonts w:ascii="Book Antiqua" w:hAnsi="Book Antiqua"/>
          <w:sz w:val="24"/>
          <w:szCs w:val="24"/>
        </w:rPr>
        <w:t xml:space="preserve"> 2015; </w:t>
      </w:r>
      <w:r>
        <w:rPr>
          <w:rFonts w:ascii="Book Antiqua" w:hAnsi="Book Antiqua"/>
          <w:b/>
          <w:bCs/>
          <w:sz w:val="24"/>
          <w:szCs w:val="24"/>
        </w:rPr>
        <w:t>168</w:t>
      </w:r>
      <w:r>
        <w:rPr>
          <w:rFonts w:ascii="Book Antiqua" w:hAnsi="Book Antiqua"/>
          <w:sz w:val="24"/>
          <w:szCs w:val="24"/>
        </w:rPr>
        <w:t>: 207-218 [PMID: 25312307 DOI: 10.1111/bjh.13156]</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2 </w:t>
      </w:r>
      <w:proofErr w:type="spellStart"/>
      <w:r>
        <w:rPr>
          <w:rFonts w:ascii="Book Antiqua" w:hAnsi="Book Antiqua"/>
          <w:b/>
          <w:bCs/>
          <w:sz w:val="24"/>
          <w:szCs w:val="24"/>
        </w:rPr>
        <w:t>Khoor</w:t>
      </w:r>
      <w:proofErr w:type="spellEnd"/>
      <w:r>
        <w:rPr>
          <w:rFonts w:ascii="Book Antiqua" w:hAnsi="Book Antiqua"/>
          <w:b/>
          <w:bCs/>
          <w:sz w:val="24"/>
          <w:szCs w:val="24"/>
        </w:rPr>
        <w:t xml:space="preserve"> A</w:t>
      </w:r>
      <w:r>
        <w:rPr>
          <w:rFonts w:ascii="Book Antiqua" w:hAnsi="Book Antiqua"/>
          <w:sz w:val="24"/>
          <w:szCs w:val="24"/>
        </w:rPr>
        <w:t xml:space="preserve">, Colby TV. Amyloidosis of the Lung. </w:t>
      </w:r>
      <w:r>
        <w:rPr>
          <w:rFonts w:ascii="Book Antiqua" w:hAnsi="Book Antiqua"/>
          <w:i/>
          <w:iCs/>
          <w:sz w:val="24"/>
          <w:szCs w:val="24"/>
        </w:rPr>
        <w:t xml:space="preserve">Arch </w:t>
      </w:r>
      <w:proofErr w:type="spellStart"/>
      <w:r>
        <w:rPr>
          <w:rFonts w:ascii="Book Antiqua" w:hAnsi="Book Antiqua"/>
          <w:i/>
          <w:iCs/>
          <w:sz w:val="24"/>
          <w:szCs w:val="24"/>
        </w:rPr>
        <w:t>Pathol</w:t>
      </w:r>
      <w:proofErr w:type="spellEnd"/>
      <w:r>
        <w:rPr>
          <w:rFonts w:ascii="Book Antiqua" w:hAnsi="Book Antiqua"/>
          <w:i/>
          <w:iCs/>
          <w:sz w:val="24"/>
          <w:szCs w:val="24"/>
        </w:rPr>
        <w:t xml:space="preserve"> Lab Med</w:t>
      </w:r>
      <w:r>
        <w:rPr>
          <w:rFonts w:ascii="Book Antiqua" w:hAnsi="Book Antiqua"/>
          <w:sz w:val="24"/>
          <w:szCs w:val="24"/>
        </w:rPr>
        <w:t xml:space="preserve"> 2017; </w:t>
      </w:r>
      <w:r>
        <w:rPr>
          <w:rFonts w:ascii="Book Antiqua" w:hAnsi="Book Antiqua"/>
          <w:b/>
          <w:bCs/>
          <w:sz w:val="24"/>
          <w:szCs w:val="24"/>
        </w:rPr>
        <w:t>141</w:t>
      </w:r>
      <w:r>
        <w:rPr>
          <w:rFonts w:ascii="Book Antiqua" w:hAnsi="Book Antiqua"/>
          <w:sz w:val="24"/>
          <w:szCs w:val="24"/>
        </w:rPr>
        <w:t>: 247-254 [PMID: 28134587 DOI: 10.5858/arpa.2016-0102-RA]</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3 </w:t>
      </w:r>
      <w:r>
        <w:rPr>
          <w:rFonts w:ascii="Book Antiqua" w:hAnsi="Book Antiqua"/>
          <w:b/>
          <w:bCs/>
          <w:sz w:val="24"/>
          <w:szCs w:val="24"/>
        </w:rPr>
        <w:t>Owen RG</w:t>
      </w:r>
      <w:r>
        <w:rPr>
          <w:rFonts w:ascii="Book Antiqua" w:hAnsi="Book Antiqua"/>
          <w:sz w:val="24"/>
          <w:szCs w:val="24"/>
        </w:rPr>
        <w:t xml:space="preserve">, Pratt G, Auer RL, </w:t>
      </w:r>
      <w:proofErr w:type="spellStart"/>
      <w:r>
        <w:rPr>
          <w:rFonts w:ascii="Book Antiqua" w:hAnsi="Book Antiqua"/>
          <w:sz w:val="24"/>
          <w:szCs w:val="24"/>
        </w:rPr>
        <w:t>Flatley</w:t>
      </w:r>
      <w:proofErr w:type="spellEnd"/>
      <w:r>
        <w:rPr>
          <w:rFonts w:ascii="Book Antiqua" w:hAnsi="Book Antiqua"/>
          <w:sz w:val="24"/>
          <w:szCs w:val="24"/>
        </w:rPr>
        <w:t xml:space="preserve"> R, </w:t>
      </w:r>
      <w:proofErr w:type="spellStart"/>
      <w:r>
        <w:rPr>
          <w:rFonts w:ascii="Book Antiqua" w:hAnsi="Book Antiqua"/>
          <w:sz w:val="24"/>
          <w:szCs w:val="24"/>
        </w:rPr>
        <w:t>Kyriakou</w:t>
      </w:r>
      <w:proofErr w:type="spellEnd"/>
      <w:r>
        <w:rPr>
          <w:rFonts w:ascii="Book Antiqua" w:hAnsi="Book Antiqua"/>
          <w:sz w:val="24"/>
          <w:szCs w:val="24"/>
        </w:rPr>
        <w:t xml:space="preserve"> C, Lunn MP, Matthey F, McCarthy H, </w:t>
      </w:r>
      <w:proofErr w:type="spellStart"/>
      <w:r>
        <w:rPr>
          <w:rFonts w:ascii="Book Antiqua" w:hAnsi="Book Antiqua"/>
          <w:sz w:val="24"/>
          <w:szCs w:val="24"/>
        </w:rPr>
        <w:t>McNicholl</w:t>
      </w:r>
      <w:proofErr w:type="spellEnd"/>
      <w:r>
        <w:rPr>
          <w:rFonts w:ascii="Book Antiqua" w:hAnsi="Book Antiqua"/>
          <w:sz w:val="24"/>
          <w:szCs w:val="24"/>
        </w:rPr>
        <w:t xml:space="preserve"> FP, </w:t>
      </w:r>
      <w:proofErr w:type="spellStart"/>
      <w:r>
        <w:rPr>
          <w:rFonts w:ascii="Book Antiqua" w:hAnsi="Book Antiqua"/>
          <w:sz w:val="24"/>
          <w:szCs w:val="24"/>
        </w:rPr>
        <w:t>Rassam</w:t>
      </w:r>
      <w:proofErr w:type="spellEnd"/>
      <w:r>
        <w:rPr>
          <w:rFonts w:ascii="Book Antiqua" w:hAnsi="Book Antiqua"/>
          <w:sz w:val="24"/>
          <w:szCs w:val="24"/>
        </w:rPr>
        <w:t xml:space="preserve"> SM, Wagner SD, </w:t>
      </w:r>
      <w:proofErr w:type="spellStart"/>
      <w:r>
        <w:rPr>
          <w:rFonts w:ascii="Book Antiqua" w:hAnsi="Book Antiqua"/>
          <w:sz w:val="24"/>
          <w:szCs w:val="24"/>
        </w:rPr>
        <w:t>Streetly</w:t>
      </w:r>
      <w:proofErr w:type="spellEnd"/>
      <w:r>
        <w:rPr>
          <w:rFonts w:ascii="Book Antiqua" w:hAnsi="Book Antiqua"/>
          <w:sz w:val="24"/>
          <w:szCs w:val="24"/>
        </w:rPr>
        <w:t xml:space="preserve"> M, </w:t>
      </w:r>
      <w:proofErr w:type="spellStart"/>
      <w:r>
        <w:rPr>
          <w:rFonts w:ascii="Book Antiqua" w:hAnsi="Book Antiqua"/>
          <w:sz w:val="24"/>
          <w:szCs w:val="24"/>
        </w:rPr>
        <w:t>D'Sa</w:t>
      </w:r>
      <w:proofErr w:type="spellEnd"/>
      <w:r>
        <w:rPr>
          <w:rFonts w:ascii="Book Antiqua" w:hAnsi="Book Antiqua"/>
          <w:sz w:val="24"/>
          <w:szCs w:val="24"/>
        </w:rPr>
        <w:t xml:space="preserve"> S; British Committee for Standards in </w:t>
      </w:r>
      <w:proofErr w:type="spellStart"/>
      <w:r>
        <w:rPr>
          <w:rFonts w:ascii="Book Antiqua" w:hAnsi="Book Antiqua"/>
          <w:sz w:val="24"/>
          <w:szCs w:val="24"/>
        </w:rPr>
        <w:t>Haematology</w:t>
      </w:r>
      <w:proofErr w:type="spellEnd"/>
      <w:r>
        <w:rPr>
          <w:rFonts w:ascii="Book Antiqua" w:hAnsi="Book Antiqua"/>
          <w:sz w:val="24"/>
          <w:szCs w:val="24"/>
        </w:rPr>
        <w:t xml:space="preserve">. Guidelines on the diagnosis and management of </w:t>
      </w:r>
      <w:proofErr w:type="spellStart"/>
      <w:r>
        <w:rPr>
          <w:rFonts w:ascii="Book Antiqua" w:hAnsi="Book Antiqua"/>
          <w:sz w:val="24"/>
          <w:szCs w:val="24"/>
        </w:rPr>
        <w:t>Waldenström</w:t>
      </w:r>
      <w:proofErr w:type="spellEnd"/>
      <w:r>
        <w:rPr>
          <w:rFonts w:ascii="Book Antiqua" w:hAnsi="Book Antiqua"/>
          <w:sz w:val="24"/>
          <w:szCs w:val="24"/>
        </w:rPr>
        <w:t xml:space="preserve"> </w:t>
      </w:r>
      <w:proofErr w:type="spellStart"/>
      <w:r>
        <w:rPr>
          <w:rFonts w:ascii="Book Antiqua" w:hAnsi="Book Antiqua"/>
          <w:sz w:val="24"/>
          <w:szCs w:val="24"/>
        </w:rPr>
        <w:t>macroglobulinaemia</w:t>
      </w:r>
      <w:proofErr w:type="spellEnd"/>
      <w:r>
        <w:rPr>
          <w:rFonts w:ascii="Book Antiqua" w:hAnsi="Book Antiqua"/>
          <w:sz w:val="24"/>
          <w:szCs w:val="24"/>
        </w:rPr>
        <w:t xml:space="preserve">. </w:t>
      </w:r>
      <w:r>
        <w:rPr>
          <w:rFonts w:ascii="Book Antiqua" w:hAnsi="Book Antiqua"/>
          <w:i/>
          <w:iCs/>
          <w:sz w:val="24"/>
          <w:szCs w:val="24"/>
        </w:rPr>
        <w:t xml:space="preserve">Br J </w:t>
      </w:r>
      <w:proofErr w:type="spellStart"/>
      <w:r>
        <w:rPr>
          <w:rFonts w:ascii="Book Antiqua" w:hAnsi="Book Antiqua"/>
          <w:i/>
          <w:iCs/>
          <w:sz w:val="24"/>
          <w:szCs w:val="24"/>
        </w:rPr>
        <w:t>Haematol</w:t>
      </w:r>
      <w:proofErr w:type="spellEnd"/>
      <w:r>
        <w:rPr>
          <w:rFonts w:ascii="Book Antiqua" w:hAnsi="Book Antiqua"/>
          <w:sz w:val="24"/>
          <w:szCs w:val="24"/>
        </w:rPr>
        <w:t xml:space="preserve"> 2014; </w:t>
      </w:r>
      <w:r>
        <w:rPr>
          <w:rFonts w:ascii="Book Antiqua" w:hAnsi="Book Antiqua"/>
          <w:b/>
          <w:bCs/>
          <w:sz w:val="24"/>
          <w:szCs w:val="24"/>
        </w:rPr>
        <w:t>165</w:t>
      </w:r>
      <w:r>
        <w:rPr>
          <w:rFonts w:ascii="Book Antiqua" w:hAnsi="Book Antiqua"/>
          <w:sz w:val="24"/>
          <w:szCs w:val="24"/>
        </w:rPr>
        <w:t>: 316-333 [PMID: 24528152 DOI: 10.1111/bjh.12760]</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highlight w:val="yellow"/>
        </w:rPr>
        <w:t xml:space="preserve">4 </w:t>
      </w:r>
      <w:r>
        <w:rPr>
          <w:rFonts w:ascii="Book Antiqua" w:hAnsi="Book Antiqua"/>
          <w:b/>
          <w:sz w:val="24"/>
          <w:szCs w:val="24"/>
          <w:highlight w:val="yellow"/>
        </w:rPr>
        <w:t>NCCN Clinical Practice Guidelines in Oncology (NCCN Guidelines)</w:t>
      </w:r>
      <w:r>
        <w:rPr>
          <w:rFonts w:ascii="Book Antiqua" w:hAnsi="Book Antiqua"/>
          <w:sz w:val="24"/>
          <w:szCs w:val="24"/>
          <w:highlight w:val="yellow"/>
        </w:rPr>
        <w:t>.</w:t>
      </w:r>
      <w:r>
        <w:rPr>
          <w:rFonts w:ascii="Book Antiqua" w:hAnsi="Book Antiqua"/>
          <w:b/>
          <w:bCs/>
          <w:sz w:val="24"/>
          <w:szCs w:val="24"/>
          <w:highlight w:val="yellow"/>
        </w:rPr>
        <w:t xml:space="preserve"> </w:t>
      </w:r>
      <w:proofErr w:type="spellStart"/>
      <w:r>
        <w:rPr>
          <w:rFonts w:ascii="Book Antiqua" w:hAnsi="Book Antiqua"/>
          <w:sz w:val="24"/>
          <w:szCs w:val="24"/>
          <w:highlight w:val="yellow"/>
        </w:rPr>
        <w:t>Waldenström</w:t>
      </w:r>
      <w:proofErr w:type="spellEnd"/>
      <w:r>
        <w:rPr>
          <w:rFonts w:ascii="Book Antiqua" w:hAnsi="Book Antiqua"/>
          <w:sz w:val="24"/>
          <w:szCs w:val="24"/>
          <w:highlight w:val="yellow"/>
        </w:rPr>
        <w:t xml:space="preserve"> </w:t>
      </w:r>
      <w:proofErr w:type="spellStart"/>
      <w:r>
        <w:rPr>
          <w:rFonts w:ascii="Book Antiqua" w:hAnsi="Book Antiqua"/>
          <w:sz w:val="24"/>
          <w:szCs w:val="24"/>
          <w:highlight w:val="yellow"/>
        </w:rPr>
        <w:t>Macroglobulinemia</w:t>
      </w:r>
      <w:proofErr w:type="spellEnd"/>
      <w:r>
        <w:rPr>
          <w:rFonts w:ascii="Book Antiqua" w:hAnsi="Book Antiqua"/>
          <w:sz w:val="24"/>
          <w:szCs w:val="24"/>
          <w:highlight w:val="yellow"/>
        </w:rPr>
        <w:t>/</w:t>
      </w:r>
      <w:proofErr w:type="spellStart"/>
      <w:r>
        <w:rPr>
          <w:rFonts w:ascii="Book Antiqua" w:hAnsi="Book Antiqua"/>
          <w:sz w:val="24"/>
          <w:szCs w:val="24"/>
          <w:highlight w:val="yellow"/>
        </w:rPr>
        <w:t>Lymphoplasmacytic</w:t>
      </w:r>
      <w:proofErr w:type="spellEnd"/>
      <w:r>
        <w:rPr>
          <w:rFonts w:ascii="Book Antiqua" w:hAnsi="Book Antiqua"/>
          <w:sz w:val="24"/>
          <w:szCs w:val="24"/>
          <w:highlight w:val="yellow"/>
        </w:rPr>
        <w:t xml:space="preserve"> Lymphoma.</w:t>
      </w:r>
      <w:r>
        <w:rPr>
          <w:rFonts w:ascii="Book Antiqua" w:hAnsi="Book Antiqua"/>
          <w:b/>
          <w:bCs/>
          <w:sz w:val="24"/>
          <w:szCs w:val="24"/>
          <w:highlight w:val="yellow"/>
        </w:rPr>
        <w:t xml:space="preserve"> </w:t>
      </w:r>
      <w:r>
        <w:rPr>
          <w:rFonts w:ascii="Book Antiqua" w:hAnsi="Book Antiqua"/>
          <w:sz w:val="24"/>
          <w:szCs w:val="24"/>
          <w:highlight w:val="yellow"/>
        </w:rPr>
        <w:t xml:space="preserve">Version 1.2020. Fort Washington: National Comprehensive Cancer Network, 2019. </w:t>
      </w:r>
      <w:r>
        <w:rPr>
          <w:rFonts w:ascii="Book Antiqua" w:eastAsia="宋体" w:hAnsi="Book Antiqua" w:cs="Times New Roman"/>
          <w:bCs/>
          <w:color w:val="000000"/>
          <w:sz w:val="24"/>
          <w:szCs w:val="24"/>
          <w:highlight w:val="yellow"/>
        </w:rPr>
        <w:t xml:space="preserve">Available from: </w:t>
      </w:r>
      <w:r w:rsidRPr="00F54261">
        <w:rPr>
          <w:rFonts w:ascii="Book Antiqua" w:eastAsia="宋体" w:hAnsi="Book Antiqua" w:cs="Times New Roman"/>
          <w:bCs/>
          <w:sz w:val="24"/>
          <w:szCs w:val="24"/>
          <w:highlight w:val="yellow"/>
        </w:rPr>
        <w:t>http://williams.medicine.wisc.edu/waldenstroms.pdf</w:t>
      </w:r>
      <w:r>
        <w:rPr>
          <w:rFonts w:ascii="Book Antiqua" w:eastAsia="宋体" w:hAnsi="Book Antiqua" w:cs="Times New Roman"/>
          <w:bCs/>
          <w:color w:val="000000"/>
          <w:sz w:val="24"/>
          <w:szCs w:val="24"/>
        </w:rPr>
        <w:t xml:space="preserve"> </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5 </w:t>
      </w:r>
      <w:proofErr w:type="spellStart"/>
      <w:r>
        <w:rPr>
          <w:rFonts w:ascii="Book Antiqua" w:hAnsi="Book Antiqua"/>
          <w:b/>
          <w:bCs/>
          <w:sz w:val="24"/>
          <w:szCs w:val="24"/>
        </w:rPr>
        <w:t>Banwait</w:t>
      </w:r>
      <w:proofErr w:type="spellEnd"/>
      <w:r>
        <w:rPr>
          <w:rFonts w:ascii="Book Antiqua" w:hAnsi="Book Antiqua"/>
          <w:b/>
          <w:bCs/>
          <w:sz w:val="24"/>
          <w:szCs w:val="24"/>
        </w:rPr>
        <w:t xml:space="preserve"> R</w:t>
      </w:r>
      <w:r>
        <w:rPr>
          <w:rFonts w:ascii="Book Antiqua" w:hAnsi="Book Antiqua"/>
          <w:sz w:val="24"/>
          <w:szCs w:val="24"/>
        </w:rPr>
        <w:t xml:space="preserve">, </w:t>
      </w:r>
      <w:proofErr w:type="spellStart"/>
      <w:r>
        <w:rPr>
          <w:rFonts w:ascii="Book Antiqua" w:hAnsi="Book Antiqua"/>
          <w:sz w:val="24"/>
          <w:szCs w:val="24"/>
        </w:rPr>
        <w:t>Aljawai</w:t>
      </w:r>
      <w:proofErr w:type="spellEnd"/>
      <w:r>
        <w:rPr>
          <w:rFonts w:ascii="Book Antiqua" w:hAnsi="Book Antiqua"/>
          <w:sz w:val="24"/>
          <w:szCs w:val="24"/>
        </w:rPr>
        <w:t xml:space="preserve"> Y, </w:t>
      </w:r>
      <w:proofErr w:type="spellStart"/>
      <w:r>
        <w:rPr>
          <w:rFonts w:ascii="Book Antiqua" w:hAnsi="Book Antiqua"/>
          <w:sz w:val="24"/>
          <w:szCs w:val="24"/>
        </w:rPr>
        <w:t>Cappuccio</w:t>
      </w:r>
      <w:proofErr w:type="spellEnd"/>
      <w:r>
        <w:rPr>
          <w:rFonts w:ascii="Book Antiqua" w:hAnsi="Book Antiqua"/>
          <w:sz w:val="24"/>
          <w:szCs w:val="24"/>
        </w:rPr>
        <w:t xml:space="preserve"> J, </w:t>
      </w:r>
      <w:proofErr w:type="spellStart"/>
      <w:r>
        <w:rPr>
          <w:rFonts w:ascii="Book Antiqua" w:hAnsi="Book Antiqua"/>
          <w:sz w:val="24"/>
          <w:szCs w:val="24"/>
        </w:rPr>
        <w:t>McDiarmid</w:t>
      </w:r>
      <w:proofErr w:type="spellEnd"/>
      <w:r>
        <w:rPr>
          <w:rFonts w:ascii="Book Antiqua" w:hAnsi="Book Antiqua"/>
          <w:sz w:val="24"/>
          <w:szCs w:val="24"/>
        </w:rPr>
        <w:t xml:space="preserve"> S, Morgan EA, </w:t>
      </w:r>
      <w:proofErr w:type="spellStart"/>
      <w:r>
        <w:rPr>
          <w:rFonts w:ascii="Book Antiqua" w:hAnsi="Book Antiqua"/>
          <w:sz w:val="24"/>
          <w:szCs w:val="24"/>
        </w:rPr>
        <w:t>Leblebjian</w:t>
      </w:r>
      <w:proofErr w:type="spellEnd"/>
      <w:r>
        <w:rPr>
          <w:rFonts w:ascii="Book Antiqua" w:hAnsi="Book Antiqua"/>
          <w:sz w:val="24"/>
          <w:szCs w:val="24"/>
        </w:rPr>
        <w:t xml:space="preserve"> H, </w:t>
      </w:r>
      <w:proofErr w:type="spellStart"/>
      <w:r>
        <w:rPr>
          <w:rFonts w:ascii="Book Antiqua" w:hAnsi="Book Antiqua"/>
          <w:sz w:val="24"/>
          <w:szCs w:val="24"/>
        </w:rPr>
        <w:t>Roccaro</w:t>
      </w:r>
      <w:proofErr w:type="spellEnd"/>
      <w:r>
        <w:rPr>
          <w:rFonts w:ascii="Book Antiqua" w:hAnsi="Book Antiqua"/>
          <w:sz w:val="24"/>
          <w:szCs w:val="24"/>
        </w:rPr>
        <w:t xml:space="preserve"> AM, </w:t>
      </w:r>
      <w:proofErr w:type="spellStart"/>
      <w:r>
        <w:rPr>
          <w:rFonts w:ascii="Book Antiqua" w:hAnsi="Book Antiqua"/>
          <w:sz w:val="24"/>
          <w:szCs w:val="24"/>
        </w:rPr>
        <w:t>Laubach</w:t>
      </w:r>
      <w:proofErr w:type="spellEnd"/>
      <w:r>
        <w:rPr>
          <w:rFonts w:ascii="Book Antiqua" w:hAnsi="Book Antiqua"/>
          <w:sz w:val="24"/>
          <w:szCs w:val="24"/>
        </w:rPr>
        <w:t xml:space="preserve"> J, Castillo JJ, </w:t>
      </w:r>
      <w:proofErr w:type="spellStart"/>
      <w:r>
        <w:rPr>
          <w:rFonts w:ascii="Book Antiqua" w:hAnsi="Book Antiqua"/>
          <w:sz w:val="24"/>
          <w:szCs w:val="24"/>
        </w:rPr>
        <w:t>Paba</w:t>
      </w:r>
      <w:proofErr w:type="spellEnd"/>
      <w:r>
        <w:rPr>
          <w:rFonts w:ascii="Book Antiqua" w:hAnsi="Book Antiqua"/>
          <w:sz w:val="24"/>
          <w:szCs w:val="24"/>
        </w:rPr>
        <w:t xml:space="preserve">-Prada C, Treon S, Redd R, Weller E, </w:t>
      </w:r>
      <w:proofErr w:type="spellStart"/>
      <w:r>
        <w:rPr>
          <w:rFonts w:ascii="Book Antiqua" w:hAnsi="Book Antiqua"/>
          <w:sz w:val="24"/>
          <w:szCs w:val="24"/>
        </w:rPr>
        <w:t>Ghobrial</w:t>
      </w:r>
      <w:proofErr w:type="spellEnd"/>
      <w:r>
        <w:rPr>
          <w:rFonts w:ascii="Book Antiqua" w:hAnsi="Book Antiqua"/>
          <w:sz w:val="24"/>
          <w:szCs w:val="24"/>
        </w:rPr>
        <w:t xml:space="preserve"> IM. Extramedullary </w:t>
      </w:r>
      <w:proofErr w:type="spellStart"/>
      <w:r>
        <w:rPr>
          <w:rFonts w:ascii="Book Antiqua" w:hAnsi="Book Antiqua"/>
          <w:sz w:val="24"/>
          <w:szCs w:val="24"/>
        </w:rPr>
        <w:t>Waldenström</w:t>
      </w:r>
      <w:proofErr w:type="spellEnd"/>
      <w:r>
        <w:rPr>
          <w:rFonts w:ascii="Book Antiqua" w:hAnsi="Book Antiqua"/>
          <w:sz w:val="24"/>
          <w:szCs w:val="24"/>
        </w:rPr>
        <w:t xml:space="preserve"> </w:t>
      </w:r>
      <w:proofErr w:type="spellStart"/>
      <w:r>
        <w:rPr>
          <w:rFonts w:ascii="Book Antiqua" w:hAnsi="Book Antiqua"/>
          <w:sz w:val="24"/>
          <w:szCs w:val="24"/>
        </w:rPr>
        <w:t>macroglobulinemia</w:t>
      </w:r>
      <w:proofErr w:type="spellEnd"/>
      <w:r>
        <w:rPr>
          <w:rFonts w:ascii="Book Antiqua" w:hAnsi="Book Antiqua"/>
          <w:sz w:val="24"/>
          <w:szCs w:val="24"/>
        </w:rPr>
        <w:t xml:space="preserve">. </w:t>
      </w:r>
      <w:r>
        <w:rPr>
          <w:rFonts w:ascii="Book Antiqua" w:hAnsi="Book Antiqua"/>
          <w:i/>
          <w:iCs/>
          <w:sz w:val="24"/>
          <w:szCs w:val="24"/>
        </w:rPr>
        <w:t xml:space="preserve">Am J </w:t>
      </w:r>
      <w:proofErr w:type="spellStart"/>
      <w:r>
        <w:rPr>
          <w:rFonts w:ascii="Book Antiqua" w:hAnsi="Book Antiqua"/>
          <w:i/>
          <w:iCs/>
          <w:sz w:val="24"/>
          <w:szCs w:val="24"/>
        </w:rPr>
        <w:t>Hematol</w:t>
      </w:r>
      <w:proofErr w:type="spellEnd"/>
      <w:r>
        <w:rPr>
          <w:rFonts w:ascii="Book Antiqua" w:hAnsi="Book Antiqua"/>
          <w:sz w:val="24"/>
          <w:szCs w:val="24"/>
        </w:rPr>
        <w:t xml:space="preserve"> 2015; </w:t>
      </w:r>
      <w:r>
        <w:rPr>
          <w:rFonts w:ascii="Book Antiqua" w:hAnsi="Book Antiqua"/>
          <w:b/>
          <w:bCs/>
          <w:sz w:val="24"/>
          <w:szCs w:val="24"/>
        </w:rPr>
        <w:t>90</w:t>
      </w:r>
      <w:r>
        <w:rPr>
          <w:rFonts w:ascii="Book Antiqua" w:hAnsi="Book Antiqua"/>
          <w:sz w:val="24"/>
          <w:szCs w:val="24"/>
        </w:rPr>
        <w:t>: 100-104 [PMID: 25349134 DOI: 10.1002/ajh.23880]</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6 </w:t>
      </w:r>
      <w:r>
        <w:rPr>
          <w:rFonts w:ascii="Book Antiqua" w:hAnsi="Book Antiqua"/>
          <w:b/>
          <w:bCs/>
          <w:sz w:val="24"/>
          <w:szCs w:val="24"/>
        </w:rPr>
        <w:t>Okamura K</w:t>
      </w:r>
      <w:r>
        <w:rPr>
          <w:rFonts w:ascii="Book Antiqua" w:hAnsi="Book Antiqua"/>
          <w:sz w:val="24"/>
          <w:szCs w:val="24"/>
        </w:rPr>
        <w:t xml:space="preserve">, </w:t>
      </w:r>
      <w:proofErr w:type="spellStart"/>
      <w:r>
        <w:rPr>
          <w:rFonts w:ascii="Book Antiqua" w:hAnsi="Book Antiqua"/>
          <w:sz w:val="24"/>
          <w:szCs w:val="24"/>
        </w:rPr>
        <w:t>Takiguchi</w:t>
      </w:r>
      <w:proofErr w:type="spellEnd"/>
      <w:r>
        <w:rPr>
          <w:rFonts w:ascii="Book Antiqua" w:hAnsi="Book Antiqua"/>
          <w:sz w:val="24"/>
          <w:szCs w:val="24"/>
        </w:rPr>
        <w:t xml:space="preserve"> J, Sakamoto H, Inoue N. Interstitial pulmonary amyloidosis with </w:t>
      </w:r>
      <w:proofErr w:type="spellStart"/>
      <w:r>
        <w:rPr>
          <w:rFonts w:ascii="Book Antiqua" w:hAnsi="Book Antiqua"/>
          <w:sz w:val="24"/>
          <w:szCs w:val="24"/>
        </w:rPr>
        <w:t>Waldenström's</w:t>
      </w:r>
      <w:proofErr w:type="spellEnd"/>
      <w:r>
        <w:rPr>
          <w:rFonts w:ascii="Book Antiqua" w:hAnsi="Book Antiqua"/>
          <w:sz w:val="24"/>
          <w:szCs w:val="24"/>
        </w:rPr>
        <w:t xml:space="preserve"> </w:t>
      </w:r>
      <w:proofErr w:type="spellStart"/>
      <w:r>
        <w:rPr>
          <w:rFonts w:ascii="Book Antiqua" w:hAnsi="Book Antiqua"/>
          <w:sz w:val="24"/>
          <w:szCs w:val="24"/>
        </w:rPr>
        <w:t>macroglobulinemia</w:t>
      </w:r>
      <w:proofErr w:type="spellEnd"/>
      <w:r>
        <w:rPr>
          <w:rFonts w:ascii="Book Antiqua" w:hAnsi="Book Antiqua"/>
          <w:sz w:val="24"/>
          <w:szCs w:val="24"/>
        </w:rPr>
        <w:t xml:space="preserve">. </w:t>
      </w:r>
      <w:r>
        <w:rPr>
          <w:rFonts w:ascii="Book Antiqua" w:hAnsi="Book Antiqua"/>
          <w:i/>
          <w:iCs/>
          <w:sz w:val="24"/>
          <w:szCs w:val="24"/>
        </w:rPr>
        <w:t>Intern Med</w:t>
      </w:r>
      <w:r>
        <w:rPr>
          <w:rFonts w:ascii="Book Antiqua" w:hAnsi="Book Antiqua"/>
          <w:sz w:val="24"/>
          <w:szCs w:val="24"/>
        </w:rPr>
        <w:t xml:space="preserve"> 2015; </w:t>
      </w:r>
      <w:r>
        <w:rPr>
          <w:rFonts w:ascii="Book Antiqua" w:hAnsi="Book Antiqua"/>
          <w:b/>
          <w:bCs/>
          <w:sz w:val="24"/>
          <w:szCs w:val="24"/>
        </w:rPr>
        <w:t>54</w:t>
      </w:r>
      <w:r>
        <w:rPr>
          <w:rFonts w:ascii="Book Antiqua" w:hAnsi="Book Antiqua"/>
          <w:sz w:val="24"/>
          <w:szCs w:val="24"/>
        </w:rPr>
        <w:t>: 353-354 [PMID: 25748748 DOI: 10.2169/internalmedicine.54.2905]</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lastRenderedPageBreak/>
        <w:t xml:space="preserve">7 </w:t>
      </w:r>
      <w:proofErr w:type="spellStart"/>
      <w:r>
        <w:rPr>
          <w:rFonts w:ascii="Book Antiqua" w:hAnsi="Book Antiqua"/>
          <w:b/>
          <w:bCs/>
          <w:sz w:val="24"/>
          <w:szCs w:val="24"/>
        </w:rPr>
        <w:t>Kyrtsonis</w:t>
      </w:r>
      <w:proofErr w:type="spellEnd"/>
      <w:r>
        <w:rPr>
          <w:rFonts w:ascii="Book Antiqua" w:hAnsi="Book Antiqua"/>
          <w:b/>
          <w:bCs/>
          <w:sz w:val="24"/>
          <w:szCs w:val="24"/>
        </w:rPr>
        <w:t xml:space="preserve"> MC</w:t>
      </w:r>
      <w:r>
        <w:rPr>
          <w:rFonts w:ascii="Book Antiqua" w:hAnsi="Book Antiqua"/>
          <w:sz w:val="24"/>
          <w:szCs w:val="24"/>
        </w:rPr>
        <w:t xml:space="preserve">, </w:t>
      </w:r>
      <w:proofErr w:type="spellStart"/>
      <w:r>
        <w:rPr>
          <w:rFonts w:ascii="Book Antiqua" w:hAnsi="Book Antiqua"/>
          <w:sz w:val="24"/>
          <w:szCs w:val="24"/>
        </w:rPr>
        <w:t>Angelopoulou</w:t>
      </w:r>
      <w:proofErr w:type="spellEnd"/>
      <w:r>
        <w:rPr>
          <w:rFonts w:ascii="Book Antiqua" w:hAnsi="Book Antiqua"/>
          <w:sz w:val="24"/>
          <w:szCs w:val="24"/>
        </w:rPr>
        <w:t xml:space="preserve"> MK, </w:t>
      </w:r>
      <w:proofErr w:type="spellStart"/>
      <w:r>
        <w:rPr>
          <w:rFonts w:ascii="Book Antiqua" w:hAnsi="Book Antiqua"/>
          <w:sz w:val="24"/>
          <w:szCs w:val="24"/>
        </w:rPr>
        <w:t>Kontopidou</w:t>
      </w:r>
      <w:proofErr w:type="spellEnd"/>
      <w:r>
        <w:rPr>
          <w:rFonts w:ascii="Book Antiqua" w:hAnsi="Book Antiqua"/>
          <w:sz w:val="24"/>
          <w:szCs w:val="24"/>
        </w:rPr>
        <w:t xml:space="preserve"> FN, </w:t>
      </w:r>
      <w:proofErr w:type="spellStart"/>
      <w:r>
        <w:rPr>
          <w:rFonts w:ascii="Book Antiqua" w:hAnsi="Book Antiqua"/>
          <w:sz w:val="24"/>
          <w:szCs w:val="24"/>
        </w:rPr>
        <w:t>Siakantaris</w:t>
      </w:r>
      <w:proofErr w:type="spellEnd"/>
      <w:r>
        <w:rPr>
          <w:rFonts w:ascii="Book Antiqua" w:hAnsi="Book Antiqua"/>
          <w:sz w:val="24"/>
          <w:szCs w:val="24"/>
        </w:rPr>
        <w:t xml:space="preserve"> MP, Dimopoulou MN, Mitropoulos F, </w:t>
      </w:r>
      <w:proofErr w:type="spellStart"/>
      <w:r>
        <w:rPr>
          <w:rFonts w:ascii="Book Antiqua" w:hAnsi="Book Antiqua"/>
          <w:sz w:val="24"/>
          <w:szCs w:val="24"/>
        </w:rPr>
        <w:t>Kalovidouris</w:t>
      </w:r>
      <w:proofErr w:type="spellEnd"/>
      <w:r>
        <w:rPr>
          <w:rFonts w:ascii="Book Antiqua" w:hAnsi="Book Antiqua"/>
          <w:sz w:val="24"/>
          <w:szCs w:val="24"/>
        </w:rPr>
        <w:t xml:space="preserve"> A, </w:t>
      </w:r>
      <w:proofErr w:type="spellStart"/>
      <w:r>
        <w:rPr>
          <w:rFonts w:ascii="Book Antiqua" w:hAnsi="Book Antiqua"/>
          <w:sz w:val="24"/>
          <w:szCs w:val="24"/>
        </w:rPr>
        <w:t>Vaiopoulos</w:t>
      </w:r>
      <w:proofErr w:type="spellEnd"/>
      <w:r>
        <w:rPr>
          <w:rFonts w:ascii="Book Antiqua" w:hAnsi="Book Antiqua"/>
          <w:sz w:val="24"/>
          <w:szCs w:val="24"/>
        </w:rPr>
        <w:t xml:space="preserve"> GA, </w:t>
      </w:r>
      <w:proofErr w:type="spellStart"/>
      <w:r>
        <w:rPr>
          <w:rFonts w:ascii="Book Antiqua" w:hAnsi="Book Antiqua"/>
          <w:sz w:val="24"/>
          <w:szCs w:val="24"/>
        </w:rPr>
        <w:t>Pangalis</w:t>
      </w:r>
      <w:proofErr w:type="spellEnd"/>
      <w:r>
        <w:rPr>
          <w:rFonts w:ascii="Book Antiqua" w:hAnsi="Book Antiqua"/>
          <w:sz w:val="24"/>
          <w:szCs w:val="24"/>
        </w:rPr>
        <w:t xml:space="preserve"> GA. Primary lung involvement in </w:t>
      </w:r>
      <w:proofErr w:type="spellStart"/>
      <w:r>
        <w:rPr>
          <w:rFonts w:ascii="Book Antiqua" w:hAnsi="Book Antiqua"/>
          <w:sz w:val="24"/>
          <w:szCs w:val="24"/>
        </w:rPr>
        <w:t>Waldenström's</w:t>
      </w:r>
      <w:proofErr w:type="spellEnd"/>
      <w:r>
        <w:rPr>
          <w:rFonts w:ascii="Book Antiqua" w:hAnsi="Book Antiqua"/>
          <w:sz w:val="24"/>
          <w:szCs w:val="24"/>
        </w:rPr>
        <w:t xml:space="preserve"> </w:t>
      </w:r>
      <w:proofErr w:type="spellStart"/>
      <w:r>
        <w:rPr>
          <w:rFonts w:ascii="Book Antiqua" w:hAnsi="Book Antiqua"/>
          <w:sz w:val="24"/>
          <w:szCs w:val="24"/>
        </w:rPr>
        <w:t>macroglobulinaemia</w:t>
      </w:r>
      <w:proofErr w:type="spellEnd"/>
      <w:r>
        <w:rPr>
          <w:rFonts w:ascii="Book Antiqua" w:hAnsi="Book Antiqua"/>
          <w:sz w:val="24"/>
          <w:szCs w:val="24"/>
        </w:rPr>
        <w:t xml:space="preserve">: report of two cases and review of the literature. </w:t>
      </w:r>
      <w:proofErr w:type="spellStart"/>
      <w:r>
        <w:rPr>
          <w:rFonts w:ascii="Book Antiqua" w:hAnsi="Book Antiqua"/>
          <w:i/>
          <w:iCs/>
          <w:sz w:val="24"/>
          <w:szCs w:val="24"/>
        </w:rPr>
        <w:t>Acta</w:t>
      </w:r>
      <w:proofErr w:type="spellEnd"/>
      <w:r>
        <w:rPr>
          <w:rFonts w:ascii="Book Antiqua" w:hAnsi="Book Antiqua"/>
          <w:i/>
          <w:iCs/>
          <w:sz w:val="24"/>
          <w:szCs w:val="24"/>
        </w:rPr>
        <w:t xml:space="preserve"> </w:t>
      </w:r>
      <w:proofErr w:type="spellStart"/>
      <w:r>
        <w:rPr>
          <w:rFonts w:ascii="Book Antiqua" w:hAnsi="Book Antiqua"/>
          <w:i/>
          <w:iCs/>
          <w:sz w:val="24"/>
          <w:szCs w:val="24"/>
        </w:rPr>
        <w:t>Haematol</w:t>
      </w:r>
      <w:proofErr w:type="spellEnd"/>
      <w:r>
        <w:rPr>
          <w:rFonts w:ascii="Book Antiqua" w:hAnsi="Book Antiqua"/>
          <w:sz w:val="24"/>
          <w:szCs w:val="24"/>
        </w:rPr>
        <w:t xml:space="preserve"> 2001; </w:t>
      </w:r>
      <w:r>
        <w:rPr>
          <w:rFonts w:ascii="Book Antiqua" w:hAnsi="Book Antiqua"/>
          <w:b/>
          <w:bCs/>
          <w:sz w:val="24"/>
          <w:szCs w:val="24"/>
        </w:rPr>
        <w:t>105</w:t>
      </w:r>
      <w:r>
        <w:rPr>
          <w:rFonts w:ascii="Book Antiqua" w:hAnsi="Book Antiqua"/>
          <w:sz w:val="24"/>
          <w:szCs w:val="24"/>
        </w:rPr>
        <w:t>: 92-96 [PMID: 11408711 DOI: 10.1159/000046541]</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8 </w:t>
      </w:r>
      <w:r>
        <w:rPr>
          <w:rFonts w:ascii="Book Antiqua" w:hAnsi="Book Antiqua"/>
          <w:b/>
          <w:bCs/>
          <w:sz w:val="24"/>
          <w:szCs w:val="24"/>
        </w:rPr>
        <w:t>Chung YY</w:t>
      </w:r>
      <w:r>
        <w:rPr>
          <w:rFonts w:ascii="Book Antiqua" w:hAnsi="Book Antiqua"/>
          <w:sz w:val="24"/>
          <w:szCs w:val="24"/>
        </w:rPr>
        <w:t xml:space="preserve">, Wang CC, Lai KJ, Chang CC. </w:t>
      </w:r>
      <w:proofErr w:type="spellStart"/>
      <w:r>
        <w:rPr>
          <w:rFonts w:ascii="Book Antiqua" w:hAnsi="Book Antiqua"/>
          <w:sz w:val="24"/>
          <w:szCs w:val="24"/>
        </w:rPr>
        <w:t>Waldenström's</w:t>
      </w:r>
      <w:proofErr w:type="spellEnd"/>
      <w:r>
        <w:rPr>
          <w:rFonts w:ascii="Book Antiqua" w:hAnsi="Book Antiqua"/>
          <w:sz w:val="24"/>
          <w:szCs w:val="24"/>
        </w:rPr>
        <w:t xml:space="preserve"> </w:t>
      </w:r>
      <w:proofErr w:type="spellStart"/>
      <w:r>
        <w:rPr>
          <w:rFonts w:ascii="Book Antiqua" w:hAnsi="Book Antiqua"/>
          <w:sz w:val="24"/>
          <w:szCs w:val="24"/>
        </w:rPr>
        <w:t>macroglobulinemia</w:t>
      </w:r>
      <w:proofErr w:type="spellEnd"/>
      <w:r>
        <w:rPr>
          <w:rFonts w:ascii="Book Antiqua" w:hAnsi="Book Antiqua"/>
          <w:sz w:val="24"/>
          <w:szCs w:val="24"/>
        </w:rPr>
        <w:t xml:space="preserve">-associated renal amyloidosis presenting as a solitary lung mass. </w:t>
      </w:r>
      <w:r>
        <w:rPr>
          <w:rFonts w:ascii="Book Antiqua" w:hAnsi="Book Antiqua"/>
          <w:i/>
          <w:iCs/>
          <w:sz w:val="24"/>
          <w:szCs w:val="24"/>
        </w:rPr>
        <w:t>Ren Fail</w:t>
      </w:r>
      <w:r>
        <w:rPr>
          <w:rFonts w:ascii="Book Antiqua" w:hAnsi="Book Antiqua"/>
          <w:sz w:val="24"/>
          <w:szCs w:val="24"/>
        </w:rPr>
        <w:t xml:space="preserve"> 2012; </w:t>
      </w:r>
      <w:r>
        <w:rPr>
          <w:rFonts w:ascii="Book Antiqua" w:hAnsi="Book Antiqua"/>
          <w:b/>
          <w:bCs/>
          <w:sz w:val="24"/>
          <w:szCs w:val="24"/>
        </w:rPr>
        <w:t>34</w:t>
      </w:r>
      <w:r>
        <w:rPr>
          <w:rFonts w:ascii="Book Antiqua" w:hAnsi="Book Antiqua"/>
          <w:sz w:val="24"/>
          <w:szCs w:val="24"/>
        </w:rPr>
        <w:t>: 1173-1176 [PMID: 22950818 DOI: 10.3109/0886022X.2012.717488]</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9 </w:t>
      </w:r>
      <w:r>
        <w:rPr>
          <w:rFonts w:ascii="Book Antiqua" w:hAnsi="Book Antiqua"/>
          <w:b/>
          <w:bCs/>
          <w:sz w:val="24"/>
          <w:szCs w:val="24"/>
        </w:rPr>
        <w:t>Stedman J</w:t>
      </w:r>
      <w:r>
        <w:rPr>
          <w:rFonts w:ascii="Book Antiqua" w:hAnsi="Book Antiqua"/>
          <w:sz w:val="24"/>
          <w:szCs w:val="24"/>
        </w:rPr>
        <w:t xml:space="preserve">, </w:t>
      </w:r>
      <w:proofErr w:type="spellStart"/>
      <w:r>
        <w:rPr>
          <w:rFonts w:ascii="Book Antiqua" w:hAnsi="Book Antiqua"/>
          <w:sz w:val="24"/>
          <w:szCs w:val="24"/>
        </w:rPr>
        <w:t>Roccaro</w:t>
      </w:r>
      <w:proofErr w:type="spellEnd"/>
      <w:r>
        <w:rPr>
          <w:rFonts w:ascii="Book Antiqua" w:hAnsi="Book Antiqua"/>
          <w:sz w:val="24"/>
          <w:szCs w:val="24"/>
        </w:rPr>
        <w:t xml:space="preserve"> A, </w:t>
      </w:r>
      <w:proofErr w:type="spellStart"/>
      <w:r>
        <w:rPr>
          <w:rFonts w:ascii="Book Antiqua" w:hAnsi="Book Antiqua"/>
          <w:sz w:val="24"/>
          <w:szCs w:val="24"/>
        </w:rPr>
        <w:t>Leleu</w:t>
      </w:r>
      <w:proofErr w:type="spellEnd"/>
      <w:r>
        <w:rPr>
          <w:rFonts w:ascii="Book Antiqua" w:hAnsi="Book Antiqua"/>
          <w:sz w:val="24"/>
          <w:szCs w:val="24"/>
        </w:rPr>
        <w:t xml:space="preserve"> X, </w:t>
      </w:r>
      <w:proofErr w:type="spellStart"/>
      <w:r>
        <w:rPr>
          <w:rFonts w:ascii="Book Antiqua" w:hAnsi="Book Antiqua"/>
          <w:sz w:val="24"/>
          <w:szCs w:val="24"/>
        </w:rPr>
        <w:t>Ghobrial</w:t>
      </w:r>
      <w:proofErr w:type="spellEnd"/>
      <w:r>
        <w:rPr>
          <w:rFonts w:ascii="Book Antiqua" w:hAnsi="Book Antiqua"/>
          <w:sz w:val="24"/>
          <w:szCs w:val="24"/>
        </w:rPr>
        <w:t xml:space="preserve"> IM. New Therapeutic Approaches for </w:t>
      </w:r>
      <w:proofErr w:type="spellStart"/>
      <w:r>
        <w:rPr>
          <w:rFonts w:ascii="Book Antiqua" w:hAnsi="Book Antiqua"/>
          <w:sz w:val="24"/>
          <w:szCs w:val="24"/>
        </w:rPr>
        <w:t>Waldenstrom</w:t>
      </w:r>
      <w:proofErr w:type="spellEnd"/>
      <w:r>
        <w:rPr>
          <w:rFonts w:ascii="Book Antiqua" w:hAnsi="Book Antiqua"/>
          <w:sz w:val="24"/>
          <w:szCs w:val="24"/>
        </w:rPr>
        <w:t xml:space="preserve"> </w:t>
      </w:r>
      <w:proofErr w:type="spellStart"/>
      <w:r>
        <w:rPr>
          <w:rFonts w:ascii="Book Antiqua" w:hAnsi="Book Antiqua"/>
          <w:sz w:val="24"/>
          <w:szCs w:val="24"/>
        </w:rPr>
        <w:t>Macroglobulinemia</w:t>
      </w:r>
      <w:proofErr w:type="spellEnd"/>
      <w:r>
        <w:rPr>
          <w:rFonts w:ascii="Book Antiqua" w:hAnsi="Book Antiqua"/>
          <w:sz w:val="24"/>
          <w:szCs w:val="24"/>
        </w:rPr>
        <w:t xml:space="preserve">. </w:t>
      </w:r>
      <w:r>
        <w:rPr>
          <w:rFonts w:ascii="Book Antiqua" w:hAnsi="Book Antiqua"/>
          <w:i/>
          <w:iCs/>
          <w:sz w:val="24"/>
          <w:szCs w:val="24"/>
        </w:rPr>
        <w:t>Drugs Future</w:t>
      </w:r>
      <w:r>
        <w:rPr>
          <w:rFonts w:ascii="Book Antiqua" w:hAnsi="Book Antiqua"/>
          <w:sz w:val="24"/>
          <w:szCs w:val="24"/>
        </w:rPr>
        <w:t xml:space="preserve"> 2010; </w:t>
      </w:r>
      <w:r>
        <w:rPr>
          <w:rFonts w:ascii="Book Antiqua" w:hAnsi="Book Antiqua"/>
          <w:b/>
          <w:bCs/>
          <w:sz w:val="24"/>
          <w:szCs w:val="24"/>
        </w:rPr>
        <w:t>35</w:t>
      </w:r>
      <w:r>
        <w:rPr>
          <w:rFonts w:ascii="Book Antiqua" w:hAnsi="Book Antiqua"/>
          <w:sz w:val="24"/>
          <w:szCs w:val="24"/>
        </w:rPr>
        <w:t>: 53-58 [PMID: 21869855 DOI: 10.1358/dof.2010.035.01.1410182]</w:t>
      </w:r>
    </w:p>
    <w:p w:rsidR="00F723B6" w:rsidRDefault="00DA4A10">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10 </w:t>
      </w:r>
      <w:proofErr w:type="spellStart"/>
      <w:r>
        <w:rPr>
          <w:rFonts w:ascii="Book Antiqua" w:hAnsi="Book Antiqua"/>
          <w:b/>
          <w:bCs/>
          <w:sz w:val="24"/>
          <w:szCs w:val="24"/>
        </w:rPr>
        <w:t>Kastritis</w:t>
      </w:r>
      <w:proofErr w:type="spellEnd"/>
      <w:r>
        <w:rPr>
          <w:rFonts w:ascii="Book Antiqua" w:hAnsi="Book Antiqua"/>
          <w:b/>
          <w:bCs/>
          <w:sz w:val="24"/>
          <w:szCs w:val="24"/>
        </w:rPr>
        <w:t xml:space="preserve"> E</w:t>
      </w:r>
      <w:r>
        <w:rPr>
          <w:rFonts w:ascii="Book Antiqua" w:hAnsi="Book Antiqua"/>
          <w:sz w:val="24"/>
          <w:szCs w:val="24"/>
        </w:rPr>
        <w:t xml:space="preserve">, </w:t>
      </w:r>
      <w:proofErr w:type="spellStart"/>
      <w:r>
        <w:rPr>
          <w:rFonts w:ascii="Book Antiqua" w:hAnsi="Book Antiqua"/>
          <w:sz w:val="24"/>
          <w:szCs w:val="24"/>
        </w:rPr>
        <w:t>Gavriatopoulou</w:t>
      </w:r>
      <w:proofErr w:type="spellEnd"/>
      <w:r>
        <w:rPr>
          <w:rFonts w:ascii="Book Antiqua" w:hAnsi="Book Antiqua"/>
          <w:sz w:val="24"/>
          <w:szCs w:val="24"/>
        </w:rPr>
        <w:t xml:space="preserve"> M, </w:t>
      </w:r>
      <w:proofErr w:type="spellStart"/>
      <w:r>
        <w:rPr>
          <w:rFonts w:ascii="Book Antiqua" w:hAnsi="Book Antiqua"/>
          <w:sz w:val="24"/>
          <w:szCs w:val="24"/>
        </w:rPr>
        <w:t>Kyrtsonis</w:t>
      </w:r>
      <w:proofErr w:type="spellEnd"/>
      <w:r>
        <w:rPr>
          <w:rFonts w:ascii="Book Antiqua" w:hAnsi="Book Antiqua"/>
          <w:sz w:val="24"/>
          <w:szCs w:val="24"/>
        </w:rPr>
        <w:t xml:space="preserve"> MC, </w:t>
      </w:r>
      <w:proofErr w:type="spellStart"/>
      <w:r>
        <w:rPr>
          <w:rFonts w:ascii="Book Antiqua" w:hAnsi="Book Antiqua"/>
          <w:sz w:val="24"/>
          <w:szCs w:val="24"/>
        </w:rPr>
        <w:t>Roussou</w:t>
      </w:r>
      <w:proofErr w:type="spellEnd"/>
      <w:r>
        <w:rPr>
          <w:rFonts w:ascii="Book Antiqua" w:hAnsi="Book Antiqua"/>
          <w:sz w:val="24"/>
          <w:szCs w:val="24"/>
        </w:rPr>
        <w:t xml:space="preserve"> M, </w:t>
      </w:r>
      <w:proofErr w:type="spellStart"/>
      <w:r>
        <w:rPr>
          <w:rFonts w:ascii="Book Antiqua" w:hAnsi="Book Antiqua"/>
          <w:sz w:val="24"/>
          <w:szCs w:val="24"/>
        </w:rPr>
        <w:t>Hadjiharissi</w:t>
      </w:r>
      <w:proofErr w:type="spellEnd"/>
      <w:r>
        <w:rPr>
          <w:rFonts w:ascii="Book Antiqua" w:hAnsi="Book Antiqua"/>
          <w:sz w:val="24"/>
          <w:szCs w:val="24"/>
        </w:rPr>
        <w:t xml:space="preserve"> E, </w:t>
      </w:r>
      <w:proofErr w:type="spellStart"/>
      <w:r>
        <w:rPr>
          <w:rFonts w:ascii="Book Antiqua" w:hAnsi="Book Antiqua"/>
          <w:sz w:val="24"/>
          <w:szCs w:val="24"/>
        </w:rPr>
        <w:t>Symeonidis</w:t>
      </w:r>
      <w:proofErr w:type="spellEnd"/>
      <w:r>
        <w:rPr>
          <w:rFonts w:ascii="Book Antiqua" w:hAnsi="Book Antiqua"/>
          <w:sz w:val="24"/>
          <w:szCs w:val="24"/>
        </w:rPr>
        <w:t xml:space="preserve"> A, </w:t>
      </w:r>
      <w:proofErr w:type="spellStart"/>
      <w:r>
        <w:rPr>
          <w:rFonts w:ascii="Book Antiqua" w:hAnsi="Book Antiqua"/>
          <w:sz w:val="24"/>
          <w:szCs w:val="24"/>
        </w:rPr>
        <w:t>Repoussis</w:t>
      </w:r>
      <w:proofErr w:type="spellEnd"/>
      <w:r>
        <w:rPr>
          <w:rFonts w:ascii="Book Antiqua" w:hAnsi="Book Antiqua"/>
          <w:sz w:val="24"/>
          <w:szCs w:val="24"/>
        </w:rPr>
        <w:t xml:space="preserve"> P, Michalis E, </w:t>
      </w:r>
      <w:proofErr w:type="spellStart"/>
      <w:r>
        <w:rPr>
          <w:rFonts w:ascii="Book Antiqua" w:hAnsi="Book Antiqua"/>
          <w:sz w:val="24"/>
          <w:szCs w:val="24"/>
        </w:rPr>
        <w:t>Delimpasi</w:t>
      </w:r>
      <w:proofErr w:type="spellEnd"/>
      <w:r>
        <w:rPr>
          <w:rFonts w:ascii="Book Antiqua" w:hAnsi="Book Antiqua"/>
          <w:sz w:val="24"/>
          <w:szCs w:val="24"/>
        </w:rPr>
        <w:t xml:space="preserve"> S, </w:t>
      </w:r>
      <w:proofErr w:type="spellStart"/>
      <w:r>
        <w:rPr>
          <w:rFonts w:ascii="Book Antiqua" w:hAnsi="Book Antiqua"/>
          <w:sz w:val="24"/>
          <w:szCs w:val="24"/>
        </w:rPr>
        <w:t>Tsatalas</w:t>
      </w:r>
      <w:proofErr w:type="spellEnd"/>
      <w:r>
        <w:rPr>
          <w:rFonts w:ascii="Book Antiqua" w:hAnsi="Book Antiqua"/>
          <w:sz w:val="24"/>
          <w:szCs w:val="24"/>
        </w:rPr>
        <w:t xml:space="preserve"> K, </w:t>
      </w:r>
      <w:proofErr w:type="spellStart"/>
      <w:r>
        <w:rPr>
          <w:rFonts w:ascii="Book Antiqua" w:hAnsi="Book Antiqua"/>
          <w:sz w:val="24"/>
          <w:szCs w:val="24"/>
        </w:rPr>
        <w:t>Tsirigotis</w:t>
      </w:r>
      <w:proofErr w:type="spellEnd"/>
      <w:r>
        <w:rPr>
          <w:rFonts w:ascii="Book Antiqua" w:hAnsi="Book Antiqua"/>
          <w:sz w:val="24"/>
          <w:szCs w:val="24"/>
        </w:rPr>
        <w:t xml:space="preserve"> P, </w:t>
      </w:r>
      <w:proofErr w:type="spellStart"/>
      <w:r>
        <w:rPr>
          <w:rFonts w:ascii="Book Antiqua" w:hAnsi="Book Antiqua"/>
          <w:sz w:val="24"/>
          <w:szCs w:val="24"/>
        </w:rPr>
        <w:t>Vassou</w:t>
      </w:r>
      <w:proofErr w:type="spellEnd"/>
      <w:r>
        <w:rPr>
          <w:rFonts w:ascii="Book Antiqua" w:hAnsi="Book Antiqua"/>
          <w:sz w:val="24"/>
          <w:szCs w:val="24"/>
        </w:rPr>
        <w:t xml:space="preserve"> A, </w:t>
      </w:r>
      <w:proofErr w:type="spellStart"/>
      <w:r>
        <w:rPr>
          <w:rFonts w:ascii="Book Antiqua" w:hAnsi="Book Antiqua"/>
          <w:sz w:val="24"/>
          <w:szCs w:val="24"/>
        </w:rPr>
        <w:t>Vervessou</w:t>
      </w:r>
      <w:proofErr w:type="spellEnd"/>
      <w:r>
        <w:rPr>
          <w:rFonts w:ascii="Book Antiqua" w:hAnsi="Book Antiqua"/>
          <w:sz w:val="24"/>
          <w:szCs w:val="24"/>
        </w:rPr>
        <w:t xml:space="preserve"> E, </w:t>
      </w:r>
      <w:proofErr w:type="spellStart"/>
      <w:r>
        <w:rPr>
          <w:rFonts w:ascii="Book Antiqua" w:hAnsi="Book Antiqua"/>
          <w:sz w:val="24"/>
          <w:szCs w:val="24"/>
        </w:rPr>
        <w:t>Katodritou</w:t>
      </w:r>
      <w:proofErr w:type="spellEnd"/>
      <w:r>
        <w:rPr>
          <w:rFonts w:ascii="Book Antiqua" w:hAnsi="Book Antiqua"/>
          <w:sz w:val="24"/>
          <w:szCs w:val="24"/>
        </w:rPr>
        <w:t xml:space="preserve"> E, </w:t>
      </w:r>
      <w:proofErr w:type="spellStart"/>
      <w:r>
        <w:rPr>
          <w:rFonts w:ascii="Book Antiqua" w:hAnsi="Book Antiqua"/>
          <w:sz w:val="24"/>
          <w:szCs w:val="24"/>
        </w:rPr>
        <w:t>Gika</w:t>
      </w:r>
      <w:proofErr w:type="spellEnd"/>
      <w:r>
        <w:rPr>
          <w:rFonts w:ascii="Book Antiqua" w:hAnsi="Book Antiqua"/>
          <w:sz w:val="24"/>
          <w:szCs w:val="24"/>
        </w:rPr>
        <w:t xml:space="preserve"> D, </w:t>
      </w:r>
      <w:proofErr w:type="spellStart"/>
      <w:r>
        <w:rPr>
          <w:rFonts w:ascii="Book Antiqua" w:hAnsi="Book Antiqua"/>
          <w:sz w:val="24"/>
          <w:szCs w:val="24"/>
        </w:rPr>
        <w:t>Terpos</w:t>
      </w:r>
      <w:proofErr w:type="spellEnd"/>
      <w:r>
        <w:rPr>
          <w:rFonts w:ascii="Book Antiqua" w:hAnsi="Book Antiqua"/>
          <w:sz w:val="24"/>
          <w:szCs w:val="24"/>
        </w:rPr>
        <w:t xml:space="preserve"> E, </w:t>
      </w:r>
      <w:proofErr w:type="spellStart"/>
      <w:r>
        <w:rPr>
          <w:rFonts w:ascii="Book Antiqua" w:hAnsi="Book Antiqua"/>
          <w:sz w:val="24"/>
          <w:szCs w:val="24"/>
        </w:rPr>
        <w:t>Dimopoulos</w:t>
      </w:r>
      <w:proofErr w:type="spellEnd"/>
      <w:r>
        <w:rPr>
          <w:rFonts w:ascii="Book Antiqua" w:hAnsi="Book Antiqua"/>
          <w:sz w:val="24"/>
          <w:szCs w:val="24"/>
        </w:rPr>
        <w:t xml:space="preserve"> MA. Dexamethasone, rituximab, and cyclophosphamide as primary treatment of </w:t>
      </w:r>
      <w:proofErr w:type="spellStart"/>
      <w:r>
        <w:rPr>
          <w:rFonts w:ascii="Book Antiqua" w:hAnsi="Book Antiqua"/>
          <w:sz w:val="24"/>
          <w:szCs w:val="24"/>
        </w:rPr>
        <w:t>Waldenström</w:t>
      </w:r>
      <w:proofErr w:type="spellEnd"/>
      <w:r>
        <w:rPr>
          <w:rFonts w:ascii="Book Antiqua" w:hAnsi="Book Antiqua"/>
          <w:sz w:val="24"/>
          <w:szCs w:val="24"/>
        </w:rPr>
        <w:t xml:space="preserve"> </w:t>
      </w:r>
      <w:proofErr w:type="spellStart"/>
      <w:r>
        <w:rPr>
          <w:rFonts w:ascii="Book Antiqua" w:hAnsi="Book Antiqua"/>
          <w:sz w:val="24"/>
          <w:szCs w:val="24"/>
        </w:rPr>
        <w:t>macroglobulinemia</w:t>
      </w:r>
      <w:proofErr w:type="spellEnd"/>
      <w:r>
        <w:rPr>
          <w:rFonts w:ascii="Book Antiqua" w:hAnsi="Book Antiqua"/>
          <w:sz w:val="24"/>
          <w:szCs w:val="24"/>
        </w:rPr>
        <w:t xml:space="preserve">: final analysis of a phase 2 study. </w:t>
      </w:r>
      <w:r>
        <w:rPr>
          <w:rFonts w:ascii="Book Antiqua" w:hAnsi="Book Antiqua"/>
          <w:i/>
          <w:iCs/>
          <w:sz w:val="24"/>
          <w:szCs w:val="24"/>
        </w:rPr>
        <w:t>Blood</w:t>
      </w:r>
      <w:r>
        <w:rPr>
          <w:rFonts w:ascii="Book Antiqua" w:hAnsi="Book Antiqua"/>
          <w:sz w:val="24"/>
          <w:szCs w:val="24"/>
        </w:rPr>
        <w:t xml:space="preserve"> 2015; </w:t>
      </w:r>
      <w:r>
        <w:rPr>
          <w:rFonts w:ascii="Book Antiqua" w:hAnsi="Book Antiqua"/>
          <w:b/>
          <w:bCs/>
          <w:sz w:val="24"/>
          <w:szCs w:val="24"/>
        </w:rPr>
        <w:t>126</w:t>
      </w:r>
      <w:r>
        <w:rPr>
          <w:rFonts w:ascii="Book Antiqua" w:hAnsi="Book Antiqua"/>
          <w:sz w:val="24"/>
          <w:szCs w:val="24"/>
        </w:rPr>
        <w:t>: 1392-1394 [PMID: 26359434 DOI: 10.1182/blood-2015-05-647420]</w:t>
      </w:r>
    </w:p>
    <w:p w:rsidR="00F723B6" w:rsidRDefault="00DA4A10">
      <w:pPr>
        <w:pStyle w:val="EndNoteBibliography"/>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br w:type="page"/>
      </w:r>
    </w:p>
    <w:p w:rsidR="00F723B6" w:rsidRDefault="00DA4A10">
      <w:pPr>
        <w:kinsoku w:val="0"/>
        <w:adjustRightInd w:val="0"/>
        <w:snapToGrid w:val="0"/>
        <w:spacing w:line="360" w:lineRule="auto"/>
        <w:outlineLvl w:val="0"/>
        <w:rPr>
          <w:rFonts w:ascii="Book Antiqua" w:hAnsi="Book Antiqua"/>
          <w:b/>
          <w:bCs/>
          <w:sz w:val="24"/>
          <w:szCs w:val="24"/>
        </w:rPr>
      </w:pPr>
      <w:r>
        <w:rPr>
          <w:rFonts w:ascii="Book Antiqua" w:hAnsi="Book Antiqua"/>
          <w:b/>
          <w:sz w:val="24"/>
          <w:szCs w:val="24"/>
        </w:rPr>
        <w:lastRenderedPageBreak/>
        <w:t>Footnotes</w:t>
      </w:r>
    </w:p>
    <w:p w:rsidR="00F723B6" w:rsidRDefault="00DA4A10">
      <w:pPr>
        <w:kinsoku w:val="0"/>
        <w:adjustRightInd w:val="0"/>
        <w:snapToGrid w:val="0"/>
        <w:spacing w:line="360" w:lineRule="auto"/>
        <w:rPr>
          <w:rFonts w:ascii="Book Antiqua" w:hAnsi="Book Antiqua"/>
          <w:bCs/>
          <w:sz w:val="24"/>
          <w:szCs w:val="24"/>
        </w:rPr>
      </w:pPr>
      <w:r>
        <w:rPr>
          <w:rFonts w:ascii="Book Antiqua" w:hAnsi="Book Antiqua" w:cs="Tahoma"/>
          <w:b/>
          <w:sz w:val="24"/>
          <w:szCs w:val="24"/>
          <w:lang w:val="en-GB"/>
        </w:rPr>
        <w:t xml:space="preserve">Informed consent statement: </w:t>
      </w:r>
      <w:r>
        <w:rPr>
          <w:rFonts w:ascii="Book Antiqua" w:hAnsi="Book Antiqua"/>
          <w:bCs/>
          <w:sz w:val="24"/>
          <w:szCs w:val="24"/>
        </w:rPr>
        <w:t>Informed written consent was obtained from the patient for publication of this report and any accompanying images.</w:t>
      </w:r>
    </w:p>
    <w:p w:rsidR="00F723B6" w:rsidRDefault="00F723B6">
      <w:pPr>
        <w:kinsoku w:val="0"/>
        <w:adjustRightInd w:val="0"/>
        <w:snapToGrid w:val="0"/>
        <w:spacing w:line="360" w:lineRule="auto"/>
        <w:rPr>
          <w:rFonts w:ascii="Book Antiqua" w:hAnsi="Book Antiqua"/>
          <w:bCs/>
          <w:sz w:val="24"/>
          <w:szCs w:val="24"/>
        </w:rPr>
      </w:pPr>
    </w:p>
    <w:p w:rsidR="00F723B6" w:rsidRDefault="00DA4A10">
      <w:pPr>
        <w:kinsoku w:val="0"/>
        <w:adjustRightInd w:val="0"/>
        <w:snapToGrid w:val="0"/>
        <w:spacing w:line="360" w:lineRule="auto"/>
        <w:rPr>
          <w:rFonts w:ascii="Book Antiqua" w:hAnsi="Book Antiqua"/>
          <w:bCs/>
          <w:sz w:val="24"/>
          <w:szCs w:val="24"/>
        </w:rPr>
      </w:pPr>
      <w:bookmarkStart w:id="49" w:name="OLE_LINK96"/>
      <w:bookmarkStart w:id="50" w:name="OLE_LINK98"/>
      <w:bookmarkStart w:id="51" w:name="OLE_LINK97"/>
      <w:r>
        <w:rPr>
          <w:rFonts w:ascii="Book Antiqua" w:hAnsi="Book Antiqua" w:cs="Tahoma"/>
          <w:b/>
          <w:sz w:val="24"/>
          <w:szCs w:val="24"/>
          <w:lang w:val="en-GB"/>
        </w:rPr>
        <w:t xml:space="preserve">Conflict-of-interest statement: </w:t>
      </w:r>
      <w:r>
        <w:rPr>
          <w:rFonts w:ascii="Book Antiqua" w:hAnsi="Book Antiqua"/>
          <w:bCs/>
          <w:sz w:val="24"/>
          <w:szCs w:val="24"/>
        </w:rPr>
        <w:t>The authors declare that they have no conflict of interest.</w:t>
      </w:r>
    </w:p>
    <w:p w:rsidR="00F723B6" w:rsidRDefault="00F723B6">
      <w:pPr>
        <w:kinsoku w:val="0"/>
        <w:adjustRightInd w:val="0"/>
        <w:snapToGrid w:val="0"/>
        <w:spacing w:line="360" w:lineRule="auto"/>
        <w:rPr>
          <w:rFonts w:ascii="Book Antiqua" w:hAnsi="Book Antiqua"/>
          <w:bCs/>
          <w:sz w:val="24"/>
          <w:szCs w:val="24"/>
        </w:rPr>
      </w:pPr>
    </w:p>
    <w:bookmarkEnd w:id="49"/>
    <w:bookmarkEnd w:id="50"/>
    <w:bookmarkEnd w:id="51"/>
    <w:p w:rsidR="00F723B6" w:rsidRDefault="00DA4A10">
      <w:pPr>
        <w:kinsoku w:val="0"/>
        <w:adjustRightInd w:val="0"/>
        <w:snapToGrid w:val="0"/>
        <w:spacing w:line="360" w:lineRule="auto"/>
        <w:rPr>
          <w:rFonts w:ascii="Book Antiqua" w:hAnsi="Book Antiqua"/>
          <w:bCs/>
          <w:sz w:val="24"/>
          <w:szCs w:val="24"/>
        </w:rPr>
      </w:pPr>
      <w:r>
        <w:rPr>
          <w:rFonts w:ascii="Book Antiqua" w:hAnsi="Book Antiqua" w:cs="Tahoma"/>
          <w:b/>
          <w:sz w:val="24"/>
          <w:szCs w:val="24"/>
          <w:lang w:val="en-GB"/>
        </w:rPr>
        <w:t>CARE Checklist (2016) statement:</w:t>
      </w:r>
      <w:r>
        <w:rPr>
          <w:rFonts w:ascii="Book Antiqua" w:hAnsi="Book Antiqua" w:cs="Tahoma"/>
          <w:sz w:val="24"/>
          <w:szCs w:val="24"/>
          <w:lang w:val="en-GB"/>
        </w:rPr>
        <w:t xml:space="preserve"> </w:t>
      </w:r>
      <w:r>
        <w:rPr>
          <w:rFonts w:ascii="Book Antiqua" w:hAnsi="Book Antiqua"/>
          <w:bCs/>
          <w:sz w:val="24"/>
          <w:szCs w:val="24"/>
        </w:rPr>
        <w:t>The authors have read the CARE Checklist (2016), and the manuscript was prepared and revised according to the CARE Checklist (2016).</w:t>
      </w:r>
    </w:p>
    <w:p w:rsidR="00F723B6" w:rsidRDefault="00F723B6">
      <w:pPr>
        <w:kinsoku w:val="0"/>
        <w:adjustRightInd w:val="0"/>
        <w:snapToGrid w:val="0"/>
        <w:spacing w:line="360" w:lineRule="auto"/>
        <w:rPr>
          <w:rFonts w:ascii="Book Antiqua" w:hAnsi="Book Antiqua"/>
          <w:bCs/>
          <w:sz w:val="24"/>
          <w:szCs w:val="24"/>
        </w:rPr>
      </w:pPr>
    </w:p>
    <w:p w:rsidR="00F723B6" w:rsidRDefault="00DA4A10">
      <w:pPr>
        <w:adjustRightInd w:val="0"/>
        <w:snapToGrid w:val="0"/>
        <w:spacing w:line="360" w:lineRule="auto"/>
        <w:rPr>
          <w:rFonts w:ascii="Book Antiqua" w:hAnsi="Book Antiqua"/>
          <w:sz w:val="24"/>
          <w:szCs w:val="24"/>
          <w:lang w:val="en-GB"/>
        </w:rPr>
      </w:pPr>
      <w:r>
        <w:rPr>
          <w:rFonts w:ascii="Book Antiqua" w:hAnsi="Book Antiqua"/>
          <w:b/>
          <w:sz w:val="24"/>
          <w:szCs w:val="24"/>
        </w:rPr>
        <w:t>Open-Access:</w:t>
      </w:r>
      <w:r>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w:t>
      </w:r>
      <w:proofErr w:type="spellStart"/>
      <w:r>
        <w:rPr>
          <w:rFonts w:ascii="Book Antiqua" w:hAnsi="Book Antiqua"/>
          <w:sz w:val="24"/>
          <w:szCs w:val="24"/>
        </w:rPr>
        <w:t>NonCommercial</w:t>
      </w:r>
      <w:proofErr w:type="spellEnd"/>
      <w:r>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723B6" w:rsidRDefault="00F723B6">
      <w:pPr>
        <w:adjustRightInd w:val="0"/>
        <w:snapToGrid w:val="0"/>
        <w:spacing w:line="360" w:lineRule="auto"/>
        <w:rPr>
          <w:rFonts w:ascii="Book Antiqua" w:hAnsi="Book Antiqua" w:cstheme="minorHAnsi"/>
          <w:b/>
          <w:bCs/>
          <w:sz w:val="24"/>
          <w:szCs w:val="24"/>
          <w:lang w:val="en-GB"/>
        </w:rPr>
      </w:pPr>
    </w:p>
    <w:p w:rsidR="00F723B6" w:rsidRDefault="00DA4A10">
      <w:pPr>
        <w:adjustRightInd w:val="0"/>
        <w:snapToGrid w:val="0"/>
        <w:spacing w:line="360" w:lineRule="auto"/>
        <w:rPr>
          <w:rFonts w:ascii="Book Antiqua" w:hAnsi="Book Antiqua" w:cs="宋体"/>
          <w:sz w:val="24"/>
          <w:szCs w:val="24"/>
          <w:lang w:val="en-GB"/>
        </w:rPr>
      </w:pPr>
      <w:r>
        <w:rPr>
          <w:rFonts w:ascii="Book Antiqua" w:hAnsi="Book Antiqua" w:cs="宋体"/>
          <w:b/>
          <w:sz w:val="24"/>
          <w:szCs w:val="24"/>
          <w:lang w:val="en-GB"/>
        </w:rPr>
        <w:t>Manuscript source:</w:t>
      </w:r>
      <w:r>
        <w:rPr>
          <w:rFonts w:ascii="Book Antiqua" w:hAnsi="Book Antiqua" w:cs="宋体"/>
          <w:sz w:val="24"/>
          <w:szCs w:val="24"/>
          <w:lang w:val="en-GB"/>
        </w:rPr>
        <w:t xml:space="preserve"> Unsolicited manuscript</w:t>
      </w:r>
    </w:p>
    <w:p w:rsidR="00F723B6" w:rsidRDefault="00F723B6">
      <w:pPr>
        <w:adjustRightInd w:val="0"/>
        <w:snapToGrid w:val="0"/>
        <w:spacing w:line="360" w:lineRule="auto"/>
        <w:rPr>
          <w:rFonts w:ascii="Book Antiqua" w:hAnsi="Book Antiqua" w:cs="宋体"/>
          <w:sz w:val="24"/>
          <w:szCs w:val="24"/>
          <w:lang w:val="en-GB"/>
        </w:rPr>
      </w:pPr>
    </w:p>
    <w:p w:rsidR="00F723B6" w:rsidRDefault="00DA4A10">
      <w:pPr>
        <w:adjustRightInd w:val="0"/>
        <w:snapToGrid w:val="0"/>
        <w:spacing w:line="360" w:lineRule="auto"/>
        <w:rPr>
          <w:rFonts w:ascii="Book Antiqua" w:hAnsi="Book Antiqua"/>
          <w:b/>
          <w:sz w:val="24"/>
          <w:szCs w:val="24"/>
          <w:lang w:val="en-GB"/>
        </w:rPr>
      </w:pPr>
      <w:r>
        <w:rPr>
          <w:rFonts w:ascii="Book Antiqua" w:hAnsi="Book Antiqua"/>
          <w:b/>
          <w:sz w:val="24"/>
          <w:szCs w:val="24"/>
          <w:lang w:val="en-GB"/>
        </w:rPr>
        <w:t>Peer-review started:</w:t>
      </w:r>
      <w:r>
        <w:rPr>
          <w:rFonts w:ascii="Book Antiqua" w:hAnsi="Book Antiqua"/>
          <w:sz w:val="24"/>
          <w:szCs w:val="24"/>
          <w:lang w:val="en-GB"/>
        </w:rPr>
        <w:t xml:space="preserve"> December 24, 2019</w:t>
      </w:r>
    </w:p>
    <w:p w:rsidR="00F723B6" w:rsidRDefault="00DA4A10">
      <w:pPr>
        <w:adjustRightInd w:val="0"/>
        <w:snapToGrid w:val="0"/>
        <w:spacing w:line="360" w:lineRule="auto"/>
        <w:rPr>
          <w:rFonts w:ascii="Book Antiqua" w:hAnsi="Book Antiqua"/>
          <w:b/>
          <w:sz w:val="24"/>
          <w:szCs w:val="24"/>
          <w:lang w:val="en-GB"/>
        </w:rPr>
      </w:pPr>
      <w:r>
        <w:rPr>
          <w:rFonts w:ascii="Book Antiqua" w:hAnsi="Book Antiqua"/>
          <w:b/>
          <w:sz w:val="24"/>
          <w:szCs w:val="24"/>
          <w:lang w:val="en-GB"/>
        </w:rPr>
        <w:t>First decision:</w:t>
      </w:r>
      <w:r>
        <w:rPr>
          <w:rFonts w:ascii="Book Antiqua" w:hAnsi="Book Antiqua"/>
          <w:sz w:val="24"/>
          <w:szCs w:val="24"/>
          <w:lang w:val="en-GB"/>
        </w:rPr>
        <w:t xml:space="preserve"> January 13, 2020</w:t>
      </w:r>
    </w:p>
    <w:p w:rsidR="00F723B6" w:rsidRDefault="00DA4A10">
      <w:pPr>
        <w:adjustRightInd w:val="0"/>
        <w:snapToGrid w:val="0"/>
        <w:spacing w:line="360" w:lineRule="auto"/>
        <w:rPr>
          <w:rFonts w:ascii="Book Antiqua" w:hAnsi="Book Antiqua"/>
          <w:sz w:val="24"/>
          <w:szCs w:val="24"/>
          <w:lang w:val="en-GB"/>
        </w:rPr>
      </w:pPr>
      <w:r>
        <w:rPr>
          <w:rFonts w:ascii="Book Antiqua" w:hAnsi="Book Antiqua"/>
          <w:b/>
          <w:sz w:val="24"/>
          <w:szCs w:val="24"/>
          <w:lang w:val="en-GB"/>
        </w:rPr>
        <w:t>Article in press:</w:t>
      </w:r>
      <w:r>
        <w:rPr>
          <w:rFonts w:ascii="Book Antiqua" w:hAnsi="Book Antiqua"/>
          <w:sz w:val="24"/>
          <w:szCs w:val="24"/>
          <w:lang w:val="en-GB"/>
        </w:rPr>
        <w:t xml:space="preserve"> </w:t>
      </w:r>
      <w:r w:rsidR="00F54261" w:rsidRPr="00F54261">
        <w:rPr>
          <w:rFonts w:ascii="Book Antiqua" w:hAnsi="Book Antiqua"/>
          <w:sz w:val="24"/>
          <w:szCs w:val="24"/>
          <w:lang w:val="en-GB"/>
        </w:rPr>
        <w:t xml:space="preserve">May </w:t>
      </w:r>
      <w:r w:rsidR="00F54261">
        <w:rPr>
          <w:rFonts w:ascii="Book Antiqua" w:hAnsi="Book Antiqua"/>
          <w:sz w:val="24"/>
          <w:szCs w:val="24"/>
          <w:lang w:val="en-GB"/>
        </w:rPr>
        <w:t>13</w:t>
      </w:r>
      <w:r w:rsidR="00F54261" w:rsidRPr="00F54261">
        <w:rPr>
          <w:rFonts w:ascii="Book Antiqua" w:hAnsi="Book Antiqua"/>
          <w:sz w:val="24"/>
          <w:szCs w:val="24"/>
          <w:lang w:val="en-GB"/>
        </w:rPr>
        <w:t>, 2020</w:t>
      </w:r>
    </w:p>
    <w:p w:rsidR="00F723B6" w:rsidRDefault="00F723B6">
      <w:pPr>
        <w:adjustRightInd w:val="0"/>
        <w:snapToGrid w:val="0"/>
        <w:spacing w:line="360" w:lineRule="auto"/>
        <w:rPr>
          <w:rFonts w:ascii="Book Antiqua" w:hAnsi="Book Antiqua"/>
          <w:sz w:val="24"/>
          <w:szCs w:val="24"/>
          <w:lang w:val="en-GB"/>
        </w:rPr>
      </w:pPr>
    </w:p>
    <w:p w:rsidR="00F723B6" w:rsidRDefault="00DA4A10">
      <w:pPr>
        <w:adjustRightInd w:val="0"/>
        <w:snapToGrid w:val="0"/>
        <w:spacing w:line="360" w:lineRule="auto"/>
        <w:rPr>
          <w:rFonts w:ascii="Book Antiqua" w:hAnsi="Book Antiqua" w:cs="Helvetica"/>
          <w:b/>
          <w:sz w:val="24"/>
          <w:szCs w:val="24"/>
        </w:rPr>
      </w:pPr>
      <w:r>
        <w:rPr>
          <w:rFonts w:ascii="Book Antiqua" w:hAnsi="Book Antiqua" w:cs="Helvetica"/>
          <w:b/>
          <w:sz w:val="24"/>
          <w:szCs w:val="24"/>
        </w:rPr>
        <w:t xml:space="preserve">Specialty type: </w:t>
      </w:r>
      <w:r>
        <w:rPr>
          <w:rFonts w:ascii="Book Antiqua" w:eastAsia="微软雅黑" w:hAnsi="Book Antiqua" w:cs="宋体"/>
          <w:kern w:val="0"/>
          <w:sz w:val="24"/>
          <w:szCs w:val="24"/>
        </w:rPr>
        <w:t>Medicine, research and experimental</w:t>
      </w:r>
    </w:p>
    <w:p w:rsidR="00F723B6" w:rsidRDefault="00DA4A10">
      <w:pPr>
        <w:adjustRightInd w:val="0"/>
        <w:snapToGrid w:val="0"/>
        <w:spacing w:line="360" w:lineRule="auto"/>
        <w:rPr>
          <w:rFonts w:ascii="Book Antiqua" w:hAnsi="Book Antiqua" w:cs="Helvetica"/>
          <w:b/>
          <w:sz w:val="24"/>
          <w:szCs w:val="24"/>
        </w:rPr>
      </w:pPr>
      <w:r>
        <w:rPr>
          <w:rFonts w:ascii="Book Antiqua" w:hAnsi="Book Antiqua" w:cs="宋体"/>
          <w:b/>
          <w:sz w:val="24"/>
          <w:szCs w:val="24"/>
        </w:rPr>
        <w:t xml:space="preserve">Country/Territory </w:t>
      </w:r>
      <w:r>
        <w:rPr>
          <w:rFonts w:ascii="Book Antiqua" w:hAnsi="Book Antiqua" w:cs="Helvetica"/>
          <w:b/>
          <w:sz w:val="24"/>
          <w:szCs w:val="24"/>
        </w:rPr>
        <w:t xml:space="preserve">of origin: </w:t>
      </w:r>
      <w:r>
        <w:rPr>
          <w:rFonts w:ascii="Book Antiqua" w:hAnsi="Book Antiqua"/>
          <w:sz w:val="24"/>
          <w:szCs w:val="24"/>
        </w:rPr>
        <w:t>China</w:t>
      </w:r>
    </w:p>
    <w:p w:rsidR="00F723B6" w:rsidRDefault="00DA4A10">
      <w:pPr>
        <w:adjustRightInd w:val="0"/>
        <w:snapToGrid w:val="0"/>
        <w:spacing w:line="360" w:lineRule="auto"/>
        <w:rPr>
          <w:rFonts w:ascii="Book Antiqua" w:hAnsi="Book Antiqua" w:cs="宋体"/>
          <w:b/>
          <w:sz w:val="24"/>
          <w:szCs w:val="24"/>
        </w:rPr>
      </w:pPr>
      <w:r>
        <w:rPr>
          <w:rFonts w:ascii="Book Antiqua" w:hAnsi="Book Antiqua" w:cs="宋体"/>
          <w:b/>
          <w:sz w:val="24"/>
          <w:szCs w:val="24"/>
        </w:rPr>
        <w:t>Peer-review report’s scientific quality classification</w:t>
      </w:r>
    </w:p>
    <w:p w:rsidR="00F723B6" w:rsidRDefault="00DA4A10">
      <w:pPr>
        <w:adjustRightInd w:val="0"/>
        <w:snapToGrid w:val="0"/>
        <w:spacing w:line="360" w:lineRule="auto"/>
        <w:rPr>
          <w:rFonts w:ascii="Book Antiqua" w:hAnsi="Book Antiqua" w:cs="Helvetica"/>
          <w:sz w:val="24"/>
          <w:szCs w:val="24"/>
        </w:rPr>
      </w:pPr>
      <w:r>
        <w:rPr>
          <w:rFonts w:ascii="Book Antiqua" w:hAnsi="Book Antiqua" w:cs="Helvetica"/>
          <w:sz w:val="24"/>
          <w:szCs w:val="24"/>
        </w:rPr>
        <w:t xml:space="preserve">Grade </w:t>
      </w:r>
      <w:proofErr w:type="gramStart"/>
      <w:r>
        <w:rPr>
          <w:rFonts w:ascii="Book Antiqua" w:hAnsi="Book Antiqua" w:cs="Helvetica"/>
          <w:sz w:val="24"/>
          <w:szCs w:val="24"/>
        </w:rPr>
        <w:t>A</w:t>
      </w:r>
      <w:proofErr w:type="gramEnd"/>
      <w:r>
        <w:rPr>
          <w:rFonts w:ascii="Book Antiqua" w:hAnsi="Book Antiqua" w:cs="Helvetica"/>
          <w:sz w:val="24"/>
          <w:szCs w:val="24"/>
        </w:rPr>
        <w:t xml:space="preserve"> (Excellent): 0</w:t>
      </w:r>
    </w:p>
    <w:p w:rsidR="00F723B6" w:rsidRDefault="00DA4A10">
      <w:pPr>
        <w:adjustRightInd w:val="0"/>
        <w:snapToGrid w:val="0"/>
        <w:spacing w:line="360" w:lineRule="auto"/>
        <w:rPr>
          <w:rFonts w:ascii="Book Antiqua" w:hAnsi="Book Antiqua" w:cs="Helvetica"/>
          <w:sz w:val="24"/>
          <w:szCs w:val="24"/>
        </w:rPr>
      </w:pPr>
      <w:r>
        <w:rPr>
          <w:rFonts w:ascii="Book Antiqua" w:hAnsi="Book Antiqua" w:cs="Helvetica"/>
          <w:sz w:val="24"/>
          <w:szCs w:val="24"/>
        </w:rPr>
        <w:lastRenderedPageBreak/>
        <w:t>Grade B (Very good): 0</w:t>
      </w:r>
    </w:p>
    <w:p w:rsidR="00F723B6" w:rsidRDefault="00DA4A10">
      <w:pPr>
        <w:adjustRightInd w:val="0"/>
        <w:snapToGrid w:val="0"/>
        <w:spacing w:line="360" w:lineRule="auto"/>
        <w:rPr>
          <w:rFonts w:ascii="Book Antiqua" w:hAnsi="Book Antiqua" w:cs="Helvetica"/>
          <w:sz w:val="24"/>
          <w:szCs w:val="24"/>
        </w:rPr>
      </w:pPr>
      <w:r>
        <w:rPr>
          <w:rFonts w:ascii="Book Antiqua" w:hAnsi="Book Antiqua" w:cs="Helvetica"/>
          <w:sz w:val="24"/>
          <w:szCs w:val="24"/>
        </w:rPr>
        <w:t>Grade C (Good): C, C</w:t>
      </w:r>
    </w:p>
    <w:p w:rsidR="00F723B6" w:rsidRDefault="00DA4A10">
      <w:pPr>
        <w:adjustRightInd w:val="0"/>
        <w:snapToGrid w:val="0"/>
        <w:spacing w:line="360" w:lineRule="auto"/>
        <w:rPr>
          <w:rFonts w:ascii="Book Antiqua" w:hAnsi="Book Antiqua" w:cs="Helvetica"/>
          <w:sz w:val="24"/>
          <w:szCs w:val="24"/>
        </w:rPr>
      </w:pPr>
      <w:r>
        <w:rPr>
          <w:rFonts w:ascii="Book Antiqua" w:hAnsi="Book Antiqua" w:cs="Helvetica"/>
          <w:sz w:val="24"/>
          <w:szCs w:val="24"/>
        </w:rPr>
        <w:t xml:space="preserve">Grade D (Fair): 0 </w:t>
      </w:r>
    </w:p>
    <w:p w:rsidR="00F723B6" w:rsidRDefault="00DA4A10">
      <w:pPr>
        <w:adjustRightInd w:val="0"/>
        <w:snapToGrid w:val="0"/>
        <w:spacing w:line="360" w:lineRule="auto"/>
        <w:rPr>
          <w:rFonts w:ascii="Book Antiqua" w:hAnsi="Book Antiqua" w:cs="Calibri"/>
          <w:sz w:val="24"/>
          <w:szCs w:val="24"/>
        </w:rPr>
      </w:pPr>
      <w:r>
        <w:rPr>
          <w:rFonts w:ascii="Book Antiqua" w:hAnsi="Book Antiqua" w:cs="Helvetica"/>
          <w:sz w:val="24"/>
          <w:szCs w:val="24"/>
        </w:rPr>
        <w:t>Grade E (Poor): 0</w:t>
      </w:r>
    </w:p>
    <w:p w:rsidR="00F723B6" w:rsidRDefault="00F723B6">
      <w:pPr>
        <w:pStyle w:val="11"/>
        <w:adjustRightInd w:val="0"/>
        <w:snapToGrid w:val="0"/>
        <w:spacing w:after="0" w:line="360" w:lineRule="auto"/>
        <w:ind w:left="0"/>
        <w:contextualSpacing w:val="0"/>
        <w:jc w:val="both"/>
        <w:rPr>
          <w:rFonts w:ascii="Book Antiqua" w:hAnsi="Book Antiqua" w:cs="Calibri"/>
          <w:sz w:val="24"/>
          <w:szCs w:val="24"/>
          <w:lang w:val="en-GB" w:eastAsia="zh-CN"/>
        </w:rPr>
      </w:pPr>
    </w:p>
    <w:p w:rsidR="00F723B6" w:rsidRDefault="00DA4A10">
      <w:pPr>
        <w:pStyle w:val="a4"/>
        <w:adjustRightInd w:val="0"/>
        <w:snapToGrid w:val="0"/>
        <w:spacing w:line="360" w:lineRule="auto"/>
        <w:rPr>
          <w:rFonts w:ascii="Book Antiqua" w:hAnsi="Book Antiqua"/>
          <w:b/>
          <w:sz w:val="24"/>
          <w:szCs w:val="24"/>
        </w:rPr>
      </w:pPr>
      <w:r>
        <w:rPr>
          <w:rFonts w:ascii="Book Antiqua" w:hAnsi="Book Antiqua"/>
          <w:b/>
          <w:sz w:val="24"/>
          <w:szCs w:val="24"/>
        </w:rPr>
        <w:t xml:space="preserve">P-Reviewer: </w:t>
      </w:r>
      <w:proofErr w:type="spellStart"/>
      <w:r>
        <w:rPr>
          <w:rFonts w:ascii="Book Antiqua" w:hAnsi="Book Antiqua"/>
          <w:sz w:val="24"/>
          <w:szCs w:val="24"/>
        </w:rPr>
        <w:t>Fabbian</w:t>
      </w:r>
      <w:proofErr w:type="spellEnd"/>
      <w:r>
        <w:rPr>
          <w:rFonts w:ascii="Book Antiqua" w:hAnsi="Book Antiqua"/>
          <w:sz w:val="24"/>
          <w:szCs w:val="24"/>
        </w:rPr>
        <w:t xml:space="preserve"> F, Sugimura H </w:t>
      </w:r>
      <w:r>
        <w:rPr>
          <w:rFonts w:ascii="Book Antiqua" w:hAnsi="Book Antiqua"/>
          <w:b/>
          <w:sz w:val="24"/>
          <w:szCs w:val="24"/>
        </w:rPr>
        <w:t xml:space="preserve">S-Editor: </w:t>
      </w:r>
      <w:r>
        <w:rPr>
          <w:rFonts w:ascii="Book Antiqua" w:hAnsi="Book Antiqua"/>
          <w:sz w:val="24"/>
          <w:szCs w:val="24"/>
        </w:rPr>
        <w:t>Tang JZ</w:t>
      </w:r>
      <w:r>
        <w:rPr>
          <w:rFonts w:ascii="Book Antiqua" w:hAnsi="Book Antiqua"/>
          <w:b/>
          <w:sz w:val="24"/>
          <w:szCs w:val="24"/>
        </w:rPr>
        <w:t xml:space="preserve"> L-Editor: </w:t>
      </w:r>
      <w:r w:rsidRPr="00683003">
        <w:rPr>
          <w:rFonts w:ascii="Book Antiqua" w:hAnsi="Book Antiqua"/>
          <w:sz w:val="24"/>
          <w:szCs w:val="24"/>
        </w:rPr>
        <w:t>Wang TQ</w:t>
      </w:r>
      <w:r>
        <w:rPr>
          <w:rFonts w:ascii="Book Antiqua" w:hAnsi="Book Antiqua"/>
          <w:b/>
          <w:sz w:val="24"/>
          <w:szCs w:val="24"/>
        </w:rPr>
        <w:t xml:space="preserve"> E-Editor:</w:t>
      </w:r>
      <w:r w:rsidR="00F54261">
        <w:rPr>
          <w:rFonts w:ascii="Book Antiqua" w:hAnsi="Book Antiqua" w:hint="eastAsia"/>
          <w:b/>
          <w:sz w:val="24"/>
          <w:szCs w:val="24"/>
        </w:rPr>
        <w:t xml:space="preserve"> </w:t>
      </w:r>
      <w:r w:rsidR="00F54261" w:rsidRPr="00F54261">
        <w:rPr>
          <w:rFonts w:ascii="Book Antiqua" w:hAnsi="Book Antiqua"/>
          <w:sz w:val="24"/>
          <w:szCs w:val="24"/>
        </w:rPr>
        <w:t>Xing YX</w:t>
      </w:r>
    </w:p>
    <w:p w:rsidR="00F54261" w:rsidRDefault="00F54261">
      <w:pPr>
        <w:adjustRightInd w:val="0"/>
        <w:snapToGrid w:val="0"/>
        <w:spacing w:line="360" w:lineRule="auto"/>
        <w:rPr>
          <w:rFonts w:ascii="Book Antiqua" w:hAnsi="Book Antiqua"/>
          <w:b/>
          <w:sz w:val="24"/>
          <w:szCs w:val="24"/>
        </w:rPr>
      </w:pPr>
    </w:p>
    <w:p w:rsidR="00F723B6" w:rsidRDefault="00DA4A10">
      <w:pPr>
        <w:adjustRightInd w:val="0"/>
        <w:snapToGrid w:val="0"/>
        <w:spacing w:line="360" w:lineRule="auto"/>
        <w:rPr>
          <w:rFonts w:ascii="Book Antiqua" w:hAnsi="Book Antiqua"/>
          <w:b/>
          <w:sz w:val="24"/>
          <w:szCs w:val="24"/>
        </w:rPr>
      </w:pPr>
      <w:r>
        <w:rPr>
          <w:rFonts w:ascii="Book Antiqua" w:hAnsi="Book Antiqua"/>
          <w:b/>
          <w:sz w:val="24"/>
          <w:szCs w:val="24"/>
        </w:rPr>
        <w:t>Figure Legends</w:t>
      </w:r>
    </w:p>
    <w:p w:rsidR="00F723B6" w:rsidRDefault="00DA4A10">
      <w:pPr>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14:anchorId="56D63D90" wp14:editId="7404A636">
            <wp:extent cx="4518660" cy="37947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519052" cy="3795089"/>
                    </a:xfrm>
                    <a:prstGeom prst="rect">
                      <a:avLst/>
                    </a:prstGeom>
                  </pic:spPr>
                </pic:pic>
              </a:graphicData>
            </a:graphic>
          </wp:inline>
        </w:drawing>
      </w:r>
    </w:p>
    <w:p w:rsidR="00F723B6" w:rsidRDefault="00DA4A10">
      <w:pPr>
        <w:adjustRightInd w:val="0"/>
        <w:snapToGrid w:val="0"/>
        <w:spacing w:line="360" w:lineRule="auto"/>
        <w:rPr>
          <w:rFonts w:ascii="Book Antiqua" w:hAnsi="Book Antiqua"/>
          <w:sz w:val="24"/>
          <w:szCs w:val="24"/>
        </w:rPr>
      </w:pPr>
      <w:r>
        <w:rPr>
          <w:rFonts w:ascii="Book Antiqua" w:hAnsi="Book Antiqua"/>
          <w:b/>
          <w:bCs/>
          <w:sz w:val="24"/>
          <w:szCs w:val="24"/>
        </w:rPr>
        <w:t xml:space="preserve">Figure 1 Chest computed tomography examination showing extensive multifocal and pleomorphic lesions in the lungs, including multiple pulmonary cavities, consolidation, ground-glass opacities, patchy infiltrates, fibrous bands, and large bullae. </w:t>
      </w:r>
      <w:r>
        <w:rPr>
          <w:rFonts w:ascii="Book Antiqua" w:hAnsi="Book Antiqua"/>
          <w:sz w:val="24"/>
          <w:szCs w:val="24"/>
        </w:rPr>
        <w:t>A and B: Upper lung; C: Middle lung; D: Lower lung.</w:t>
      </w:r>
    </w:p>
    <w:p w:rsidR="00F723B6" w:rsidRDefault="00DA4A10">
      <w:pPr>
        <w:adjustRightInd w:val="0"/>
        <w:snapToGrid w:val="0"/>
        <w:spacing w:line="360" w:lineRule="auto"/>
        <w:rPr>
          <w:rFonts w:ascii="Book Antiqua" w:hAnsi="Book Antiqua"/>
          <w:sz w:val="24"/>
          <w:szCs w:val="24"/>
        </w:rPr>
      </w:pPr>
      <w:r>
        <w:rPr>
          <w:rFonts w:ascii="Book Antiqua" w:hAnsi="Book Antiqua"/>
          <w:sz w:val="24"/>
          <w:szCs w:val="24"/>
        </w:rPr>
        <w:br w:type="page"/>
      </w:r>
    </w:p>
    <w:p w:rsidR="00F723B6" w:rsidRDefault="00DA4A10">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71694AD8" wp14:editId="6F692997">
            <wp:extent cx="2878455" cy="2162810"/>
            <wp:effectExtent l="0" t="0" r="0" b="8890"/>
            <wp:docPr id="6" name="图片 6" descr="D:\12345\新建文件夹\沈建良\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12345\新建文件夹\沈建良\Fig 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78455" cy="2162810"/>
                    </a:xfrm>
                    <a:prstGeom prst="rect">
                      <a:avLst/>
                    </a:prstGeom>
                    <a:noFill/>
                    <a:ln>
                      <a:noFill/>
                    </a:ln>
                  </pic:spPr>
                </pic:pic>
              </a:graphicData>
            </a:graphic>
          </wp:inline>
        </w:drawing>
      </w:r>
    </w:p>
    <w:p w:rsidR="00F723B6" w:rsidRDefault="00DA4A10">
      <w:pPr>
        <w:adjustRightInd w:val="0"/>
        <w:snapToGrid w:val="0"/>
        <w:spacing w:line="360" w:lineRule="auto"/>
        <w:rPr>
          <w:rFonts w:ascii="Book Antiqua" w:hAnsi="Book Antiqua"/>
          <w:b/>
          <w:bCs/>
          <w:sz w:val="24"/>
          <w:szCs w:val="24"/>
        </w:rPr>
      </w:pPr>
      <w:r>
        <w:rPr>
          <w:rFonts w:ascii="Book Antiqua" w:hAnsi="Book Antiqua"/>
          <w:b/>
          <w:bCs/>
          <w:sz w:val="24"/>
          <w:szCs w:val="24"/>
        </w:rPr>
        <w:t>Figure 2 Needle punch biopsy specimen stained with Congo red showing amyloid deposition (magnification, × 200).</w:t>
      </w:r>
    </w:p>
    <w:p w:rsidR="00F723B6" w:rsidRDefault="00DA4A10">
      <w:pPr>
        <w:adjustRightInd w:val="0"/>
        <w:snapToGrid w:val="0"/>
        <w:spacing w:line="360" w:lineRule="auto"/>
        <w:rPr>
          <w:rFonts w:ascii="Book Antiqua" w:hAnsi="Book Antiqua"/>
          <w:sz w:val="24"/>
          <w:szCs w:val="24"/>
        </w:rPr>
      </w:pPr>
      <w:r>
        <w:rPr>
          <w:rFonts w:ascii="Book Antiqua" w:hAnsi="Book Antiqua"/>
          <w:sz w:val="24"/>
          <w:szCs w:val="24"/>
        </w:rPr>
        <w:br w:type="page"/>
      </w:r>
    </w:p>
    <w:p w:rsidR="00F723B6" w:rsidRDefault="00DA4A10">
      <w:pPr>
        <w:adjustRightInd w:val="0"/>
        <w:snapToGrid w:val="0"/>
        <w:spacing w:line="360" w:lineRule="auto"/>
        <w:rPr>
          <w:rFonts w:ascii="Book Antiqua" w:hAnsi="Book Antiqua"/>
          <w:b/>
          <w:bCs/>
          <w:sz w:val="24"/>
          <w:szCs w:val="24"/>
        </w:rPr>
      </w:pPr>
      <w:r>
        <w:rPr>
          <w:rFonts w:ascii="Book Antiqua" w:hAnsi="Book Antiqua"/>
          <w:b/>
          <w:bCs/>
          <w:noProof/>
          <w:sz w:val="24"/>
          <w:szCs w:val="24"/>
        </w:rPr>
        <w:lastRenderedPageBreak/>
        <w:drawing>
          <wp:inline distT="0" distB="0" distL="0" distR="0" wp14:anchorId="306D8011" wp14:editId="73D6C98A">
            <wp:extent cx="2878455" cy="2472690"/>
            <wp:effectExtent l="0" t="0" r="0" b="3810"/>
            <wp:docPr id="7" name="图片 7" descr="D:\12345\新建文件夹\沈建良\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12345\新建文件夹\沈建良\Fig 4.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78455" cy="2472690"/>
                    </a:xfrm>
                    <a:prstGeom prst="rect">
                      <a:avLst/>
                    </a:prstGeom>
                    <a:noFill/>
                    <a:ln>
                      <a:noFill/>
                    </a:ln>
                  </pic:spPr>
                </pic:pic>
              </a:graphicData>
            </a:graphic>
          </wp:inline>
        </w:drawing>
      </w:r>
    </w:p>
    <w:p w:rsidR="00F723B6" w:rsidRDefault="00DA4A10">
      <w:pPr>
        <w:adjustRightInd w:val="0"/>
        <w:snapToGrid w:val="0"/>
        <w:spacing w:line="360" w:lineRule="auto"/>
        <w:rPr>
          <w:rStyle w:val="ad"/>
          <w:rFonts w:ascii="Book Antiqua" w:eastAsiaTheme="minorEastAsia" w:hAnsi="Book Antiqua" w:cstheme="minorBidi"/>
          <w:sz w:val="24"/>
          <w:szCs w:val="24"/>
        </w:rPr>
      </w:pPr>
      <w:r>
        <w:rPr>
          <w:rFonts w:ascii="Book Antiqua" w:hAnsi="Book Antiqua"/>
          <w:b/>
          <w:bCs/>
          <w:sz w:val="24"/>
          <w:szCs w:val="24"/>
        </w:rPr>
        <w:t>Figure 3 Evaluation of needle punch biopsy specimens under a polarizing microscope after Congo red staining showing a typical “apple-green birefringence” of Congo red-stained amyloid (magnification, × 100; U-POT, lens type; Olympus, Tokyo, Japan).</w:t>
      </w:r>
    </w:p>
    <w:p w:rsidR="00F723B6" w:rsidRDefault="00DA4A10">
      <w:pPr>
        <w:widowControl/>
        <w:adjustRightInd w:val="0"/>
        <w:snapToGrid w:val="0"/>
        <w:spacing w:line="360" w:lineRule="auto"/>
        <w:rPr>
          <w:rStyle w:val="ad"/>
          <w:rFonts w:ascii="Book Antiqua" w:eastAsiaTheme="minorEastAsia" w:hAnsi="Book Antiqua" w:cstheme="minorBidi"/>
          <w:sz w:val="24"/>
          <w:szCs w:val="24"/>
        </w:rPr>
      </w:pPr>
      <w:r>
        <w:rPr>
          <w:rStyle w:val="ad"/>
          <w:rFonts w:ascii="Book Antiqua" w:eastAsiaTheme="minorEastAsia" w:hAnsi="Book Antiqua" w:cstheme="minorBidi"/>
          <w:sz w:val="24"/>
          <w:szCs w:val="24"/>
        </w:rPr>
        <w:br w:type="page"/>
      </w:r>
    </w:p>
    <w:p w:rsidR="00F723B6" w:rsidRDefault="00DA4A10">
      <w:pPr>
        <w:adjustRightInd w:val="0"/>
        <w:snapToGrid w:val="0"/>
        <w:spacing w:line="360" w:lineRule="auto"/>
        <w:rPr>
          <w:rFonts w:ascii="Book Antiqua" w:hAnsi="Book Antiqua"/>
          <w:b/>
          <w:bCs/>
          <w:sz w:val="24"/>
          <w:szCs w:val="24"/>
        </w:rPr>
      </w:pPr>
      <w:r>
        <w:rPr>
          <w:rFonts w:ascii="Book Antiqua" w:hAnsi="Book Antiqua"/>
          <w:b/>
          <w:bCs/>
          <w:noProof/>
          <w:sz w:val="24"/>
          <w:szCs w:val="24"/>
        </w:rPr>
        <w:lastRenderedPageBreak/>
        <w:drawing>
          <wp:inline distT="0" distB="0" distL="0" distR="0" wp14:anchorId="11FEAA46" wp14:editId="71D6EB8F">
            <wp:extent cx="2878455" cy="2162810"/>
            <wp:effectExtent l="0" t="0" r="0" b="8890"/>
            <wp:docPr id="5" name="图片 5" descr="D:\12345\新建文件夹\沈建良\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12345\新建文件夹\沈建良\Fig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78455" cy="2162810"/>
                    </a:xfrm>
                    <a:prstGeom prst="rect">
                      <a:avLst/>
                    </a:prstGeom>
                    <a:noFill/>
                    <a:ln>
                      <a:noFill/>
                    </a:ln>
                  </pic:spPr>
                </pic:pic>
              </a:graphicData>
            </a:graphic>
          </wp:inline>
        </w:drawing>
      </w:r>
    </w:p>
    <w:p w:rsidR="00F723B6" w:rsidRDefault="00DA4A10">
      <w:pPr>
        <w:adjustRightInd w:val="0"/>
        <w:snapToGrid w:val="0"/>
        <w:spacing w:line="360" w:lineRule="auto"/>
        <w:rPr>
          <w:rFonts w:ascii="Book Antiqua" w:hAnsi="Book Antiqua"/>
          <w:sz w:val="24"/>
          <w:szCs w:val="24"/>
        </w:rPr>
      </w:pPr>
      <w:r>
        <w:rPr>
          <w:rFonts w:ascii="Book Antiqua" w:hAnsi="Book Antiqua"/>
          <w:b/>
          <w:bCs/>
          <w:sz w:val="24"/>
          <w:szCs w:val="24"/>
        </w:rPr>
        <w:t>Figure 4 Evaluation of needle punch biopsy specimens by hematoxylin-eosin staining.</w:t>
      </w:r>
      <w:r>
        <w:rPr>
          <w:rFonts w:ascii="Book Antiqua" w:hAnsi="Book Antiqua"/>
          <w:sz w:val="24"/>
          <w:szCs w:val="24"/>
        </w:rPr>
        <w:t xml:space="preserve"> The specimens were fixed in 10% formaldehyde solution for 6 h, followed by dehydration, clearing, waxing, and sectioning for 4-</w:t>
      </w:r>
      <w:r>
        <w:rPr>
          <w:rFonts w:ascii="Book Antiqua" w:hAnsi="Book Antiqua"/>
          <w:kern w:val="0"/>
          <w:sz w:val="24"/>
          <w:szCs w:val="24"/>
        </w:rPr>
        <w:t>μm</w:t>
      </w:r>
      <w:r>
        <w:rPr>
          <w:rFonts w:ascii="Book Antiqua" w:hAnsi="Book Antiqua"/>
          <w:sz w:val="24"/>
          <w:szCs w:val="24"/>
        </w:rPr>
        <w:t xml:space="preserve"> sections. The sections were stained with hematoxylin-eosin and then observed under a light microscope (BX40, Olympus). A large amount of amyloid-like deposition was detected under alveolar epithelial cells (magnification, × 200).</w:t>
      </w:r>
    </w:p>
    <w:p w:rsidR="00F723B6" w:rsidRDefault="00F723B6">
      <w:pPr>
        <w:adjustRightInd w:val="0"/>
        <w:snapToGrid w:val="0"/>
        <w:spacing w:line="360" w:lineRule="auto"/>
        <w:rPr>
          <w:rStyle w:val="ad"/>
          <w:rFonts w:ascii="Book Antiqua" w:eastAsiaTheme="minorEastAsia" w:hAnsi="Book Antiqua" w:cstheme="minorBidi"/>
          <w:sz w:val="24"/>
          <w:szCs w:val="24"/>
        </w:rPr>
      </w:pPr>
    </w:p>
    <w:sectPr w:rsidR="00F723B6">
      <w:footerReference w:type="default" r:id="rId12"/>
      <w:pgSz w:w="12240" w:h="15840"/>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DBC" w:rsidRDefault="00AB4DBC">
      <w:r>
        <w:separator/>
      </w:r>
    </w:p>
  </w:endnote>
  <w:endnote w:type="continuationSeparator" w:id="0">
    <w:p w:rsidR="00AB4DBC" w:rsidRDefault="00AB4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3B6" w:rsidRDefault="00F723B6">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DBC" w:rsidRDefault="00AB4DBC">
      <w:r>
        <w:separator/>
      </w:r>
    </w:p>
  </w:footnote>
  <w:footnote w:type="continuationSeparator" w:id="0">
    <w:p w:rsidR="00AB4DBC" w:rsidRDefault="00AB4DBC">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r5fwz5b5vdace9tzlp2s5iw992rrwwwptx&quot;&gt;SJL&lt;record-ids&gt;&lt;item&gt;1&lt;/item&gt;&lt;item&gt;2&lt;/item&gt;&lt;item&gt;3&lt;/item&gt;&lt;item&gt;4&lt;/item&gt;&lt;item&gt;5&lt;/item&gt;&lt;item&gt;6&lt;/item&gt;&lt;item&gt;7&lt;/item&gt;&lt;item&gt;8&lt;/item&gt;&lt;item&gt;9&lt;/item&gt;&lt;item&gt;10&lt;/item&gt;&lt;/record-ids&gt;&lt;/item&gt;&lt;/Libraries&gt;"/>
  </w:docVars>
  <w:rsids>
    <w:rsidRoot w:val="003F192A"/>
    <w:rsid w:val="0004353C"/>
    <w:rsid w:val="00050911"/>
    <w:rsid w:val="00062C36"/>
    <w:rsid w:val="000849CD"/>
    <w:rsid w:val="00094662"/>
    <w:rsid w:val="00105D77"/>
    <w:rsid w:val="00110357"/>
    <w:rsid w:val="001217C8"/>
    <w:rsid w:val="0012194A"/>
    <w:rsid w:val="00167A34"/>
    <w:rsid w:val="001853C6"/>
    <w:rsid w:val="001A4958"/>
    <w:rsid w:val="001C2AC3"/>
    <w:rsid w:val="002233DE"/>
    <w:rsid w:val="002565FB"/>
    <w:rsid w:val="00275798"/>
    <w:rsid w:val="00296516"/>
    <w:rsid w:val="002E30B4"/>
    <w:rsid w:val="002F1892"/>
    <w:rsid w:val="00307925"/>
    <w:rsid w:val="00340CC5"/>
    <w:rsid w:val="00346786"/>
    <w:rsid w:val="00347956"/>
    <w:rsid w:val="003624B6"/>
    <w:rsid w:val="00390219"/>
    <w:rsid w:val="003C6340"/>
    <w:rsid w:val="003E4418"/>
    <w:rsid w:val="003F192A"/>
    <w:rsid w:val="00407C57"/>
    <w:rsid w:val="00415FA5"/>
    <w:rsid w:val="00421A07"/>
    <w:rsid w:val="0042535C"/>
    <w:rsid w:val="004445DD"/>
    <w:rsid w:val="00467219"/>
    <w:rsid w:val="00486F27"/>
    <w:rsid w:val="004A5CAC"/>
    <w:rsid w:val="00570DE2"/>
    <w:rsid w:val="00581389"/>
    <w:rsid w:val="005A773E"/>
    <w:rsid w:val="00607DDD"/>
    <w:rsid w:val="00634631"/>
    <w:rsid w:val="00635F02"/>
    <w:rsid w:val="00683003"/>
    <w:rsid w:val="007123E8"/>
    <w:rsid w:val="007343CA"/>
    <w:rsid w:val="00736339"/>
    <w:rsid w:val="007506C1"/>
    <w:rsid w:val="00752BE1"/>
    <w:rsid w:val="00760F5E"/>
    <w:rsid w:val="007644A5"/>
    <w:rsid w:val="00775D15"/>
    <w:rsid w:val="00784DFA"/>
    <w:rsid w:val="007B2FE1"/>
    <w:rsid w:val="007E3ACE"/>
    <w:rsid w:val="00852EA4"/>
    <w:rsid w:val="008534E7"/>
    <w:rsid w:val="00856939"/>
    <w:rsid w:val="00860DF0"/>
    <w:rsid w:val="0087398C"/>
    <w:rsid w:val="008771E1"/>
    <w:rsid w:val="0089661D"/>
    <w:rsid w:val="00897DB0"/>
    <w:rsid w:val="008C0A0B"/>
    <w:rsid w:val="008D035E"/>
    <w:rsid w:val="008E52AB"/>
    <w:rsid w:val="00925A4F"/>
    <w:rsid w:val="009559C4"/>
    <w:rsid w:val="00965A0F"/>
    <w:rsid w:val="009711E1"/>
    <w:rsid w:val="009737C9"/>
    <w:rsid w:val="0098067E"/>
    <w:rsid w:val="009B1B72"/>
    <w:rsid w:val="009C6BA9"/>
    <w:rsid w:val="00A024CC"/>
    <w:rsid w:val="00A2337F"/>
    <w:rsid w:val="00A50CDF"/>
    <w:rsid w:val="00AA31BA"/>
    <w:rsid w:val="00AB4DBC"/>
    <w:rsid w:val="00AF010D"/>
    <w:rsid w:val="00B10C39"/>
    <w:rsid w:val="00B3604A"/>
    <w:rsid w:val="00B418DA"/>
    <w:rsid w:val="00B74B82"/>
    <w:rsid w:val="00BA50D0"/>
    <w:rsid w:val="00BE6CB5"/>
    <w:rsid w:val="00C25048"/>
    <w:rsid w:val="00C53520"/>
    <w:rsid w:val="00CA2F34"/>
    <w:rsid w:val="00D05CA3"/>
    <w:rsid w:val="00D63319"/>
    <w:rsid w:val="00DA4A10"/>
    <w:rsid w:val="00DF6E68"/>
    <w:rsid w:val="00E845BD"/>
    <w:rsid w:val="00EE57F8"/>
    <w:rsid w:val="00F335B4"/>
    <w:rsid w:val="00F54261"/>
    <w:rsid w:val="00F60A4A"/>
    <w:rsid w:val="00F67C30"/>
    <w:rsid w:val="00F723B6"/>
    <w:rsid w:val="00FB5F7F"/>
    <w:rsid w:val="00FF0D6A"/>
    <w:rsid w:val="43912A57"/>
    <w:rsid w:val="5CF63649"/>
    <w:rsid w:val="60CF0A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line number"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annotation subject" w:semiHidden="0" w:qFormat="1"/>
    <w:lsdException w:name="Balloon Text" w:semiHidden="0"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rPr>
      <w:rFonts w:asciiTheme="minorHAnsi" w:eastAsiaTheme="minorEastAsia" w:hAnsiTheme="minorHAnsi" w:cstheme="minorBidi"/>
    </w:rPr>
  </w:style>
  <w:style w:type="paragraph" w:styleId="a4">
    <w:name w:val="Plain Text"/>
    <w:basedOn w:val="a"/>
    <w:link w:val="Char0"/>
    <w:qFormat/>
    <w:rPr>
      <w:rFonts w:ascii="宋体" w:hAnsi="Courier New" w:cs="Courier New"/>
      <w:szCs w:val="21"/>
    </w:rPr>
  </w:style>
  <w:style w:type="paragraph" w:styleId="a5">
    <w:name w:val="Balloon Text"/>
    <w:basedOn w:val="a"/>
    <w:link w:val="Char1"/>
    <w:uiPriority w:val="99"/>
    <w:unhideWhenUsed/>
    <w:qFormat/>
    <w:rPr>
      <w:rFonts w:asciiTheme="minorHAnsi" w:eastAsiaTheme="minorEastAsia" w:hAnsiTheme="minorHAnsi" w:cstheme="minorBidi"/>
      <w:sz w:val="18"/>
      <w:szCs w:val="18"/>
    </w:rPr>
  </w:style>
  <w:style w:type="paragraph" w:styleId="a6">
    <w:name w:val="footer"/>
    <w:basedOn w:val="a"/>
    <w:link w:val="Char2"/>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8">
    <w:name w:val="annotation subject"/>
    <w:basedOn w:val="a3"/>
    <w:next w:val="a3"/>
    <w:link w:val="Char4"/>
    <w:uiPriority w:val="99"/>
    <w:unhideWhenUsed/>
    <w:qFormat/>
    <w:rPr>
      <w:b/>
      <w:bCs/>
    </w:rPr>
  </w:style>
  <w:style w:type="character" w:styleId="a9">
    <w:name w:val="Strong"/>
    <w:uiPriority w:val="22"/>
    <w:qFormat/>
    <w:rPr>
      <w:b/>
      <w:bCs/>
    </w:rPr>
  </w:style>
  <w:style w:type="character" w:styleId="aa">
    <w:name w:val="Emphasis"/>
    <w:uiPriority w:val="20"/>
    <w:qFormat/>
    <w:rPr>
      <w:i/>
      <w:iCs/>
    </w:rPr>
  </w:style>
  <w:style w:type="character" w:styleId="ab">
    <w:name w:val="line number"/>
    <w:uiPriority w:val="99"/>
    <w:unhideWhenUsed/>
    <w:qFormat/>
  </w:style>
  <w:style w:type="character" w:styleId="ac">
    <w:name w:val="Hyperlink"/>
    <w:uiPriority w:val="99"/>
    <w:unhideWhenUsed/>
    <w:qFormat/>
    <w:rPr>
      <w:color w:val="0563C1"/>
      <w:u w:val="single"/>
    </w:rPr>
  </w:style>
  <w:style w:type="character" w:styleId="ad">
    <w:name w:val="annotation reference"/>
    <w:uiPriority w:val="99"/>
    <w:unhideWhenUsed/>
    <w:qFormat/>
    <w:rPr>
      <w:sz w:val="21"/>
      <w:szCs w:val="21"/>
    </w:rPr>
  </w:style>
  <w:style w:type="character" w:customStyle="1" w:styleId="Char1">
    <w:name w:val="批注框文本 Char"/>
    <w:link w:val="a5"/>
    <w:uiPriority w:val="99"/>
    <w:qFormat/>
    <w:rPr>
      <w:sz w:val="18"/>
      <w:szCs w:val="18"/>
    </w:rPr>
  </w:style>
  <w:style w:type="character" w:customStyle="1" w:styleId="Char10">
    <w:name w:val="页脚 Char1"/>
    <w:uiPriority w:val="99"/>
    <w:semiHidden/>
    <w:qFormat/>
    <w:rPr>
      <w:kern w:val="2"/>
      <w:sz w:val="18"/>
      <w:szCs w:val="18"/>
    </w:rPr>
  </w:style>
  <w:style w:type="character" w:customStyle="1" w:styleId="Char">
    <w:name w:val="批注文字 Char"/>
    <w:link w:val="a3"/>
    <w:uiPriority w:val="99"/>
    <w:qFormat/>
  </w:style>
  <w:style w:type="character" w:customStyle="1" w:styleId="Char4">
    <w:name w:val="批注主题 Char"/>
    <w:link w:val="a8"/>
    <w:uiPriority w:val="99"/>
    <w:qFormat/>
    <w:rPr>
      <w:b/>
      <w:bCs/>
    </w:rPr>
  </w:style>
  <w:style w:type="character" w:customStyle="1" w:styleId="EndNoteBibliographyChar">
    <w:name w:val="EndNote Bibliography Char"/>
    <w:link w:val="EndNoteBibliography"/>
    <w:qFormat/>
    <w:rPr>
      <w:rFonts w:ascii="Calibri" w:hAnsi="Calibri"/>
      <w:sz w:val="20"/>
      <w:lang w:val="en-US" w:eastAsia="zh-CN"/>
    </w:rPr>
  </w:style>
  <w:style w:type="paragraph" w:customStyle="1" w:styleId="EndNoteBibliography">
    <w:name w:val="EndNote Bibliography"/>
    <w:basedOn w:val="a"/>
    <w:link w:val="EndNoteBibliographyChar"/>
    <w:qFormat/>
    <w:rPr>
      <w:rFonts w:eastAsiaTheme="minorEastAsia" w:cstheme="minorBidi"/>
      <w:sz w:val="20"/>
    </w:rPr>
  </w:style>
  <w:style w:type="character" w:customStyle="1" w:styleId="EndNoteBibliographyTitleChar">
    <w:name w:val="EndNote Bibliography Title Char"/>
    <w:link w:val="EndNoteBibliographyTitle"/>
    <w:qFormat/>
    <w:rPr>
      <w:rFonts w:ascii="Calibri" w:hAnsi="Calibri"/>
      <w:sz w:val="20"/>
      <w:lang w:val="en-US" w:eastAsia="zh-CN"/>
    </w:rPr>
  </w:style>
  <w:style w:type="paragraph" w:customStyle="1" w:styleId="EndNoteBibliographyTitle">
    <w:name w:val="EndNote Bibliography Title"/>
    <w:basedOn w:val="a"/>
    <w:link w:val="EndNoteBibliographyTitleChar"/>
    <w:qFormat/>
    <w:pPr>
      <w:jc w:val="center"/>
    </w:pPr>
    <w:rPr>
      <w:rFonts w:eastAsiaTheme="minorEastAsia" w:cstheme="minorBidi"/>
      <w:sz w:val="20"/>
    </w:rPr>
  </w:style>
  <w:style w:type="character" w:customStyle="1" w:styleId="Char3">
    <w:name w:val="页眉 Char"/>
    <w:link w:val="a7"/>
    <w:uiPriority w:val="99"/>
    <w:qFormat/>
    <w:rPr>
      <w:sz w:val="18"/>
      <w:szCs w:val="18"/>
    </w:rPr>
  </w:style>
  <w:style w:type="character" w:customStyle="1" w:styleId="Char11">
    <w:name w:val="批注文字 Char1"/>
    <w:uiPriority w:val="99"/>
    <w:semiHidden/>
    <w:qFormat/>
    <w:rPr>
      <w:kern w:val="2"/>
      <w:sz w:val="21"/>
      <w:szCs w:val="22"/>
    </w:rPr>
  </w:style>
  <w:style w:type="character" w:customStyle="1" w:styleId="Char2">
    <w:name w:val="页脚 Char"/>
    <w:link w:val="a6"/>
    <w:uiPriority w:val="99"/>
    <w:qFormat/>
    <w:rPr>
      <w:sz w:val="18"/>
      <w:szCs w:val="18"/>
    </w:rPr>
  </w:style>
  <w:style w:type="character" w:customStyle="1" w:styleId="Char12">
    <w:name w:val="批注框文本 Char1"/>
    <w:uiPriority w:val="99"/>
    <w:semiHidden/>
    <w:qFormat/>
    <w:rPr>
      <w:kern w:val="2"/>
      <w:sz w:val="18"/>
      <w:szCs w:val="18"/>
    </w:rPr>
  </w:style>
  <w:style w:type="character" w:customStyle="1" w:styleId="Char13">
    <w:name w:val="批注主题 Char1"/>
    <w:uiPriority w:val="99"/>
    <w:semiHidden/>
    <w:qFormat/>
    <w:rPr>
      <w:b/>
      <w:bCs/>
      <w:kern w:val="2"/>
      <w:sz w:val="21"/>
      <w:szCs w:val="22"/>
    </w:rPr>
  </w:style>
  <w:style w:type="character" w:customStyle="1" w:styleId="Char14">
    <w:name w:val="页眉 Char1"/>
    <w:uiPriority w:val="99"/>
    <w:semiHidden/>
    <w:qFormat/>
    <w:rPr>
      <w:kern w:val="2"/>
      <w:sz w:val="18"/>
      <w:szCs w:val="18"/>
    </w:rPr>
  </w:style>
  <w:style w:type="character" w:customStyle="1" w:styleId="orcid-id-https">
    <w:name w:val="orcid-id-https"/>
    <w:qFormat/>
  </w:style>
  <w:style w:type="character" w:customStyle="1" w:styleId="Char20">
    <w:name w:val="批注文字 Char2"/>
    <w:basedOn w:val="a0"/>
    <w:uiPriority w:val="99"/>
    <w:semiHidden/>
    <w:qFormat/>
    <w:rPr>
      <w:rFonts w:ascii="Calibri" w:eastAsia="宋体" w:hAnsi="Calibri" w:cs="Times New Roman"/>
    </w:rPr>
  </w:style>
  <w:style w:type="character" w:customStyle="1" w:styleId="Char21">
    <w:name w:val="页眉 Char2"/>
    <w:basedOn w:val="a0"/>
    <w:uiPriority w:val="99"/>
    <w:semiHidden/>
    <w:qFormat/>
    <w:rPr>
      <w:rFonts w:ascii="Calibri" w:eastAsia="宋体" w:hAnsi="Calibri" w:cs="Times New Roman"/>
      <w:sz w:val="18"/>
      <w:szCs w:val="18"/>
    </w:rPr>
  </w:style>
  <w:style w:type="character" w:customStyle="1" w:styleId="Char22">
    <w:name w:val="页脚 Char2"/>
    <w:basedOn w:val="a0"/>
    <w:uiPriority w:val="99"/>
    <w:semiHidden/>
    <w:qFormat/>
    <w:rPr>
      <w:rFonts w:ascii="Calibri" w:eastAsia="宋体" w:hAnsi="Calibri" w:cs="Times New Roman"/>
      <w:sz w:val="18"/>
      <w:szCs w:val="18"/>
    </w:rPr>
  </w:style>
  <w:style w:type="character" w:customStyle="1" w:styleId="Char23">
    <w:name w:val="批注框文本 Char2"/>
    <w:basedOn w:val="a0"/>
    <w:uiPriority w:val="99"/>
    <w:semiHidden/>
    <w:qFormat/>
    <w:rPr>
      <w:rFonts w:ascii="Calibri" w:eastAsia="宋体" w:hAnsi="Calibri" w:cs="Times New Roman"/>
      <w:sz w:val="18"/>
      <w:szCs w:val="18"/>
    </w:rPr>
  </w:style>
  <w:style w:type="character" w:customStyle="1" w:styleId="Char24">
    <w:name w:val="批注主题 Char2"/>
    <w:basedOn w:val="Char20"/>
    <w:uiPriority w:val="99"/>
    <w:semiHidden/>
    <w:qFormat/>
    <w:rPr>
      <w:rFonts w:ascii="Calibri" w:eastAsia="宋体" w:hAnsi="Calibri" w:cs="Times New Roman"/>
      <w:b/>
      <w:bCs/>
    </w:rPr>
  </w:style>
  <w:style w:type="paragraph" w:customStyle="1" w:styleId="1">
    <w:name w:val="修订1"/>
    <w:uiPriority w:val="99"/>
    <w:unhideWhenUsed/>
    <w:qFormat/>
    <w:rPr>
      <w:rFonts w:ascii="Calibri" w:hAnsi="Calibri"/>
      <w:kern w:val="2"/>
      <w:sz w:val="21"/>
      <w:szCs w:val="22"/>
    </w:rPr>
  </w:style>
  <w:style w:type="character" w:customStyle="1" w:styleId="10">
    <w:name w:val="未处理的提及1"/>
    <w:basedOn w:val="a0"/>
    <w:uiPriority w:val="99"/>
    <w:unhideWhenUsed/>
    <w:qFormat/>
    <w:rPr>
      <w:color w:val="605E5C"/>
      <w:shd w:val="clear" w:color="auto" w:fill="E1DFDD"/>
    </w:rPr>
  </w:style>
  <w:style w:type="paragraph" w:customStyle="1" w:styleId="Normal1">
    <w:name w:val="Normal1"/>
    <w:qFormat/>
    <w:pPr>
      <w:spacing w:after="200" w:line="276" w:lineRule="auto"/>
    </w:pPr>
    <w:rPr>
      <w:rFonts w:ascii="Calibri" w:eastAsia="Calibri" w:hAnsi="Calibri" w:cs="Calibri"/>
      <w:sz w:val="22"/>
      <w:szCs w:val="22"/>
      <w:lang w:eastAsia="en-US"/>
    </w:rPr>
  </w:style>
  <w:style w:type="paragraph" w:customStyle="1" w:styleId="11">
    <w:name w:val="列出段落1"/>
    <w:basedOn w:val="a"/>
    <w:uiPriority w:val="34"/>
    <w:qFormat/>
    <w:pPr>
      <w:widowControl/>
      <w:spacing w:after="160" w:line="259" w:lineRule="auto"/>
      <w:ind w:left="720"/>
      <w:contextualSpacing/>
      <w:jc w:val="left"/>
    </w:pPr>
    <w:rPr>
      <w:rFonts w:asciiTheme="minorHAnsi" w:eastAsiaTheme="minorEastAsia" w:hAnsiTheme="minorHAnsi" w:cstheme="minorBidi"/>
      <w:kern w:val="0"/>
      <w:sz w:val="22"/>
      <w:lang w:val="el-GR" w:eastAsia="en-US"/>
    </w:rPr>
  </w:style>
  <w:style w:type="character" w:customStyle="1" w:styleId="Char0">
    <w:name w:val="纯文本 Char"/>
    <w:basedOn w:val="a0"/>
    <w:link w:val="a4"/>
    <w:qFormat/>
    <w:rPr>
      <w:rFonts w:ascii="宋体" w:eastAsia="宋体" w:hAnsi="Courier New" w:cs="Courier New"/>
      <w:szCs w:val="21"/>
    </w:rPr>
  </w:style>
  <w:style w:type="paragraph" w:customStyle="1" w:styleId="p1">
    <w:name w:val="p1"/>
    <w:basedOn w:val="a"/>
    <w:qFormat/>
    <w:pPr>
      <w:widowControl/>
      <w:jc w:val="left"/>
    </w:pPr>
    <w:rPr>
      <w:rFonts w:ascii="Helvetica" w:eastAsiaTheme="minorEastAsia" w:hAnsi="Helvetica"/>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line number"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annotation subject" w:semiHidden="0" w:qFormat="1"/>
    <w:lsdException w:name="Balloon Text" w:semiHidden="0"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rPr>
      <w:rFonts w:asciiTheme="minorHAnsi" w:eastAsiaTheme="minorEastAsia" w:hAnsiTheme="minorHAnsi" w:cstheme="minorBidi"/>
    </w:rPr>
  </w:style>
  <w:style w:type="paragraph" w:styleId="a4">
    <w:name w:val="Plain Text"/>
    <w:basedOn w:val="a"/>
    <w:link w:val="Char0"/>
    <w:qFormat/>
    <w:rPr>
      <w:rFonts w:ascii="宋体" w:hAnsi="Courier New" w:cs="Courier New"/>
      <w:szCs w:val="21"/>
    </w:rPr>
  </w:style>
  <w:style w:type="paragraph" w:styleId="a5">
    <w:name w:val="Balloon Text"/>
    <w:basedOn w:val="a"/>
    <w:link w:val="Char1"/>
    <w:uiPriority w:val="99"/>
    <w:unhideWhenUsed/>
    <w:qFormat/>
    <w:rPr>
      <w:rFonts w:asciiTheme="minorHAnsi" w:eastAsiaTheme="minorEastAsia" w:hAnsiTheme="minorHAnsi" w:cstheme="minorBidi"/>
      <w:sz w:val="18"/>
      <w:szCs w:val="18"/>
    </w:rPr>
  </w:style>
  <w:style w:type="paragraph" w:styleId="a6">
    <w:name w:val="footer"/>
    <w:basedOn w:val="a"/>
    <w:link w:val="Char2"/>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8">
    <w:name w:val="annotation subject"/>
    <w:basedOn w:val="a3"/>
    <w:next w:val="a3"/>
    <w:link w:val="Char4"/>
    <w:uiPriority w:val="99"/>
    <w:unhideWhenUsed/>
    <w:qFormat/>
    <w:rPr>
      <w:b/>
      <w:bCs/>
    </w:rPr>
  </w:style>
  <w:style w:type="character" w:styleId="a9">
    <w:name w:val="Strong"/>
    <w:uiPriority w:val="22"/>
    <w:qFormat/>
    <w:rPr>
      <w:b/>
      <w:bCs/>
    </w:rPr>
  </w:style>
  <w:style w:type="character" w:styleId="aa">
    <w:name w:val="Emphasis"/>
    <w:uiPriority w:val="20"/>
    <w:qFormat/>
    <w:rPr>
      <w:i/>
      <w:iCs/>
    </w:rPr>
  </w:style>
  <w:style w:type="character" w:styleId="ab">
    <w:name w:val="line number"/>
    <w:uiPriority w:val="99"/>
    <w:unhideWhenUsed/>
    <w:qFormat/>
  </w:style>
  <w:style w:type="character" w:styleId="ac">
    <w:name w:val="Hyperlink"/>
    <w:uiPriority w:val="99"/>
    <w:unhideWhenUsed/>
    <w:qFormat/>
    <w:rPr>
      <w:color w:val="0563C1"/>
      <w:u w:val="single"/>
    </w:rPr>
  </w:style>
  <w:style w:type="character" w:styleId="ad">
    <w:name w:val="annotation reference"/>
    <w:uiPriority w:val="99"/>
    <w:unhideWhenUsed/>
    <w:qFormat/>
    <w:rPr>
      <w:sz w:val="21"/>
      <w:szCs w:val="21"/>
    </w:rPr>
  </w:style>
  <w:style w:type="character" w:customStyle="1" w:styleId="Char1">
    <w:name w:val="批注框文本 Char"/>
    <w:link w:val="a5"/>
    <w:uiPriority w:val="99"/>
    <w:qFormat/>
    <w:rPr>
      <w:sz w:val="18"/>
      <w:szCs w:val="18"/>
    </w:rPr>
  </w:style>
  <w:style w:type="character" w:customStyle="1" w:styleId="Char10">
    <w:name w:val="页脚 Char1"/>
    <w:uiPriority w:val="99"/>
    <w:semiHidden/>
    <w:qFormat/>
    <w:rPr>
      <w:kern w:val="2"/>
      <w:sz w:val="18"/>
      <w:szCs w:val="18"/>
    </w:rPr>
  </w:style>
  <w:style w:type="character" w:customStyle="1" w:styleId="Char">
    <w:name w:val="批注文字 Char"/>
    <w:link w:val="a3"/>
    <w:uiPriority w:val="99"/>
    <w:qFormat/>
  </w:style>
  <w:style w:type="character" w:customStyle="1" w:styleId="Char4">
    <w:name w:val="批注主题 Char"/>
    <w:link w:val="a8"/>
    <w:uiPriority w:val="99"/>
    <w:qFormat/>
    <w:rPr>
      <w:b/>
      <w:bCs/>
    </w:rPr>
  </w:style>
  <w:style w:type="character" w:customStyle="1" w:styleId="EndNoteBibliographyChar">
    <w:name w:val="EndNote Bibliography Char"/>
    <w:link w:val="EndNoteBibliography"/>
    <w:qFormat/>
    <w:rPr>
      <w:rFonts w:ascii="Calibri" w:hAnsi="Calibri"/>
      <w:sz w:val="20"/>
      <w:lang w:val="en-US" w:eastAsia="zh-CN"/>
    </w:rPr>
  </w:style>
  <w:style w:type="paragraph" w:customStyle="1" w:styleId="EndNoteBibliography">
    <w:name w:val="EndNote Bibliography"/>
    <w:basedOn w:val="a"/>
    <w:link w:val="EndNoteBibliographyChar"/>
    <w:qFormat/>
    <w:rPr>
      <w:rFonts w:eastAsiaTheme="minorEastAsia" w:cstheme="minorBidi"/>
      <w:sz w:val="20"/>
    </w:rPr>
  </w:style>
  <w:style w:type="character" w:customStyle="1" w:styleId="EndNoteBibliographyTitleChar">
    <w:name w:val="EndNote Bibliography Title Char"/>
    <w:link w:val="EndNoteBibliographyTitle"/>
    <w:qFormat/>
    <w:rPr>
      <w:rFonts w:ascii="Calibri" w:hAnsi="Calibri"/>
      <w:sz w:val="20"/>
      <w:lang w:val="en-US" w:eastAsia="zh-CN"/>
    </w:rPr>
  </w:style>
  <w:style w:type="paragraph" w:customStyle="1" w:styleId="EndNoteBibliographyTitle">
    <w:name w:val="EndNote Bibliography Title"/>
    <w:basedOn w:val="a"/>
    <w:link w:val="EndNoteBibliographyTitleChar"/>
    <w:qFormat/>
    <w:pPr>
      <w:jc w:val="center"/>
    </w:pPr>
    <w:rPr>
      <w:rFonts w:eastAsiaTheme="minorEastAsia" w:cstheme="minorBidi"/>
      <w:sz w:val="20"/>
    </w:rPr>
  </w:style>
  <w:style w:type="character" w:customStyle="1" w:styleId="Char3">
    <w:name w:val="页眉 Char"/>
    <w:link w:val="a7"/>
    <w:uiPriority w:val="99"/>
    <w:qFormat/>
    <w:rPr>
      <w:sz w:val="18"/>
      <w:szCs w:val="18"/>
    </w:rPr>
  </w:style>
  <w:style w:type="character" w:customStyle="1" w:styleId="Char11">
    <w:name w:val="批注文字 Char1"/>
    <w:uiPriority w:val="99"/>
    <w:semiHidden/>
    <w:qFormat/>
    <w:rPr>
      <w:kern w:val="2"/>
      <w:sz w:val="21"/>
      <w:szCs w:val="22"/>
    </w:rPr>
  </w:style>
  <w:style w:type="character" w:customStyle="1" w:styleId="Char2">
    <w:name w:val="页脚 Char"/>
    <w:link w:val="a6"/>
    <w:uiPriority w:val="99"/>
    <w:qFormat/>
    <w:rPr>
      <w:sz w:val="18"/>
      <w:szCs w:val="18"/>
    </w:rPr>
  </w:style>
  <w:style w:type="character" w:customStyle="1" w:styleId="Char12">
    <w:name w:val="批注框文本 Char1"/>
    <w:uiPriority w:val="99"/>
    <w:semiHidden/>
    <w:qFormat/>
    <w:rPr>
      <w:kern w:val="2"/>
      <w:sz w:val="18"/>
      <w:szCs w:val="18"/>
    </w:rPr>
  </w:style>
  <w:style w:type="character" w:customStyle="1" w:styleId="Char13">
    <w:name w:val="批注主题 Char1"/>
    <w:uiPriority w:val="99"/>
    <w:semiHidden/>
    <w:qFormat/>
    <w:rPr>
      <w:b/>
      <w:bCs/>
      <w:kern w:val="2"/>
      <w:sz w:val="21"/>
      <w:szCs w:val="22"/>
    </w:rPr>
  </w:style>
  <w:style w:type="character" w:customStyle="1" w:styleId="Char14">
    <w:name w:val="页眉 Char1"/>
    <w:uiPriority w:val="99"/>
    <w:semiHidden/>
    <w:qFormat/>
    <w:rPr>
      <w:kern w:val="2"/>
      <w:sz w:val="18"/>
      <w:szCs w:val="18"/>
    </w:rPr>
  </w:style>
  <w:style w:type="character" w:customStyle="1" w:styleId="orcid-id-https">
    <w:name w:val="orcid-id-https"/>
    <w:qFormat/>
  </w:style>
  <w:style w:type="character" w:customStyle="1" w:styleId="Char20">
    <w:name w:val="批注文字 Char2"/>
    <w:basedOn w:val="a0"/>
    <w:uiPriority w:val="99"/>
    <w:semiHidden/>
    <w:qFormat/>
    <w:rPr>
      <w:rFonts w:ascii="Calibri" w:eastAsia="宋体" w:hAnsi="Calibri" w:cs="Times New Roman"/>
    </w:rPr>
  </w:style>
  <w:style w:type="character" w:customStyle="1" w:styleId="Char21">
    <w:name w:val="页眉 Char2"/>
    <w:basedOn w:val="a0"/>
    <w:uiPriority w:val="99"/>
    <w:semiHidden/>
    <w:qFormat/>
    <w:rPr>
      <w:rFonts w:ascii="Calibri" w:eastAsia="宋体" w:hAnsi="Calibri" w:cs="Times New Roman"/>
      <w:sz w:val="18"/>
      <w:szCs w:val="18"/>
    </w:rPr>
  </w:style>
  <w:style w:type="character" w:customStyle="1" w:styleId="Char22">
    <w:name w:val="页脚 Char2"/>
    <w:basedOn w:val="a0"/>
    <w:uiPriority w:val="99"/>
    <w:semiHidden/>
    <w:qFormat/>
    <w:rPr>
      <w:rFonts w:ascii="Calibri" w:eastAsia="宋体" w:hAnsi="Calibri" w:cs="Times New Roman"/>
      <w:sz w:val="18"/>
      <w:szCs w:val="18"/>
    </w:rPr>
  </w:style>
  <w:style w:type="character" w:customStyle="1" w:styleId="Char23">
    <w:name w:val="批注框文本 Char2"/>
    <w:basedOn w:val="a0"/>
    <w:uiPriority w:val="99"/>
    <w:semiHidden/>
    <w:qFormat/>
    <w:rPr>
      <w:rFonts w:ascii="Calibri" w:eastAsia="宋体" w:hAnsi="Calibri" w:cs="Times New Roman"/>
      <w:sz w:val="18"/>
      <w:szCs w:val="18"/>
    </w:rPr>
  </w:style>
  <w:style w:type="character" w:customStyle="1" w:styleId="Char24">
    <w:name w:val="批注主题 Char2"/>
    <w:basedOn w:val="Char20"/>
    <w:uiPriority w:val="99"/>
    <w:semiHidden/>
    <w:qFormat/>
    <w:rPr>
      <w:rFonts w:ascii="Calibri" w:eastAsia="宋体" w:hAnsi="Calibri" w:cs="Times New Roman"/>
      <w:b/>
      <w:bCs/>
    </w:rPr>
  </w:style>
  <w:style w:type="paragraph" w:customStyle="1" w:styleId="1">
    <w:name w:val="修订1"/>
    <w:uiPriority w:val="99"/>
    <w:unhideWhenUsed/>
    <w:qFormat/>
    <w:rPr>
      <w:rFonts w:ascii="Calibri" w:hAnsi="Calibri"/>
      <w:kern w:val="2"/>
      <w:sz w:val="21"/>
      <w:szCs w:val="22"/>
    </w:rPr>
  </w:style>
  <w:style w:type="character" w:customStyle="1" w:styleId="10">
    <w:name w:val="未处理的提及1"/>
    <w:basedOn w:val="a0"/>
    <w:uiPriority w:val="99"/>
    <w:unhideWhenUsed/>
    <w:qFormat/>
    <w:rPr>
      <w:color w:val="605E5C"/>
      <w:shd w:val="clear" w:color="auto" w:fill="E1DFDD"/>
    </w:rPr>
  </w:style>
  <w:style w:type="paragraph" w:customStyle="1" w:styleId="Normal1">
    <w:name w:val="Normal1"/>
    <w:qFormat/>
    <w:pPr>
      <w:spacing w:after="200" w:line="276" w:lineRule="auto"/>
    </w:pPr>
    <w:rPr>
      <w:rFonts w:ascii="Calibri" w:eastAsia="Calibri" w:hAnsi="Calibri" w:cs="Calibri"/>
      <w:sz w:val="22"/>
      <w:szCs w:val="22"/>
      <w:lang w:eastAsia="en-US"/>
    </w:rPr>
  </w:style>
  <w:style w:type="paragraph" w:customStyle="1" w:styleId="11">
    <w:name w:val="列出段落1"/>
    <w:basedOn w:val="a"/>
    <w:uiPriority w:val="34"/>
    <w:qFormat/>
    <w:pPr>
      <w:widowControl/>
      <w:spacing w:after="160" w:line="259" w:lineRule="auto"/>
      <w:ind w:left="720"/>
      <w:contextualSpacing/>
      <w:jc w:val="left"/>
    </w:pPr>
    <w:rPr>
      <w:rFonts w:asciiTheme="minorHAnsi" w:eastAsiaTheme="minorEastAsia" w:hAnsiTheme="minorHAnsi" w:cstheme="minorBidi"/>
      <w:kern w:val="0"/>
      <w:sz w:val="22"/>
      <w:lang w:val="el-GR" w:eastAsia="en-US"/>
    </w:rPr>
  </w:style>
  <w:style w:type="character" w:customStyle="1" w:styleId="Char0">
    <w:name w:val="纯文本 Char"/>
    <w:basedOn w:val="a0"/>
    <w:link w:val="a4"/>
    <w:qFormat/>
    <w:rPr>
      <w:rFonts w:ascii="宋体" w:eastAsia="宋体" w:hAnsi="Courier New" w:cs="Courier New"/>
      <w:szCs w:val="21"/>
    </w:rPr>
  </w:style>
  <w:style w:type="paragraph" w:customStyle="1" w:styleId="p1">
    <w:name w:val="p1"/>
    <w:basedOn w:val="a"/>
    <w:qFormat/>
    <w:pPr>
      <w:widowControl/>
      <w:jc w:val="left"/>
    </w:pPr>
    <w:rPr>
      <w:rFonts w:ascii="Helvetica" w:eastAsiaTheme="minorEastAsia" w:hAnsi="Helvetica"/>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2704</Words>
  <Characters>15413</Characters>
  <Application>Microsoft Office Word</Application>
  <DocSecurity>0</DocSecurity>
  <Lines>128</Lines>
  <Paragraphs>36</Paragraphs>
  <ScaleCrop>false</ScaleCrop>
  <Company>微软中国</Company>
  <LinksUpToDate>false</LinksUpToDate>
  <CharactersWithSpaces>18081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邢燕霞</cp:lastModifiedBy>
  <cp:revision>7</cp:revision>
  <dcterms:created xsi:type="dcterms:W3CDTF">2020-05-16T09:07:00Z</dcterms:created>
  <dcterms:modified xsi:type="dcterms:W3CDTF">2020-06-04T02:58:00Z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