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F1ECE" w14:textId="0F4916CE" w:rsidR="003D0CC7" w:rsidRPr="000A6219" w:rsidRDefault="003D0CC7" w:rsidP="000A6219">
      <w:pPr>
        <w:snapToGrid w:val="0"/>
        <w:spacing w:after="0" w:line="360" w:lineRule="auto"/>
        <w:jc w:val="both"/>
        <w:rPr>
          <w:rFonts w:ascii="Book Antiqua" w:hAnsi="Book Antiqua"/>
          <w:b/>
          <w:i/>
          <w:color w:val="000000"/>
          <w:sz w:val="24"/>
          <w:szCs w:val="24"/>
        </w:rPr>
      </w:pPr>
      <w:r w:rsidRPr="000A6219">
        <w:rPr>
          <w:rFonts w:ascii="Book Antiqua" w:hAnsi="Book Antiqua"/>
          <w:b/>
          <w:color w:val="000000"/>
          <w:sz w:val="24"/>
          <w:szCs w:val="24"/>
        </w:rPr>
        <w:t xml:space="preserve">Name of Journal: </w:t>
      </w:r>
      <w:r w:rsidRPr="000A6219">
        <w:rPr>
          <w:rFonts w:ascii="Book Antiqua" w:hAnsi="Book Antiqua"/>
          <w:i/>
          <w:color w:val="000000"/>
          <w:sz w:val="24"/>
          <w:szCs w:val="24"/>
        </w:rPr>
        <w:t>World Journal of Biological Chemistry</w:t>
      </w:r>
    </w:p>
    <w:p w14:paraId="710DA258" w14:textId="05EBF0BD" w:rsidR="003D0CC7" w:rsidRPr="000A6219" w:rsidRDefault="003D0CC7" w:rsidP="000A6219">
      <w:pPr>
        <w:snapToGrid w:val="0"/>
        <w:spacing w:after="0" w:line="360" w:lineRule="auto"/>
        <w:jc w:val="both"/>
        <w:rPr>
          <w:rFonts w:ascii="Book Antiqua" w:hAnsi="Book Antiqua"/>
          <w:b/>
          <w:color w:val="000000"/>
          <w:sz w:val="24"/>
          <w:szCs w:val="24"/>
        </w:rPr>
      </w:pPr>
      <w:r w:rsidRPr="000A6219">
        <w:rPr>
          <w:rFonts w:ascii="Book Antiqua" w:hAnsi="Book Antiqua"/>
          <w:b/>
          <w:color w:val="000000"/>
          <w:sz w:val="24"/>
          <w:szCs w:val="24"/>
        </w:rPr>
        <w:t xml:space="preserve">Manuscript NO: </w:t>
      </w:r>
      <w:r w:rsidRPr="000A6219">
        <w:rPr>
          <w:rFonts w:ascii="Book Antiqua" w:hAnsi="Book Antiqua"/>
          <w:color w:val="000000"/>
          <w:sz w:val="24"/>
          <w:szCs w:val="24"/>
        </w:rPr>
        <w:t>53536</w:t>
      </w:r>
    </w:p>
    <w:p w14:paraId="3319FE2F" w14:textId="77777777" w:rsidR="003D0CC7" w:rsidRPr="000A6219" w:rsidRDefault="003D0CC7" w:rsidP="000A6219">
      <w:pPr>
        <w:snapToGrid w:val="0"/>
        <w:spacing w:after="0" w:line="360" w:lineRule="auto"/>
        <w:jc w:val="both"/>
        <w:rPr>
          <w:rFonts w:ascii="Book Antiqua" w:hAnsi="Book Antiqua"/>
          <w:b/>
          <w:color w:val="000000"/>
          <w:sz w:val="24"/>
          <w:szCs w:val="24"/>
        </w:rPr>
      </w:pPr>
      <w:bookmarkStart w:id="0" w:name="OLE_LINK3"/>
      <w:bookmarkStart w:id="1" w:name="OLE_LINK4"/>
      <w:r w:rsidRPr="000A6219">
        <w:rPr>
          <w:rFonts w:ascii="Book Antiqua" w:hAnsi="Book Antiqua"/>
          <w:b/>
          <w:color w:val="000000"/>
          <w:sz w:val="24"/>
          <w:szCs w:val="24"/>
          <w:shd w:val="clear" w:color="auto" w:fill="FFFFFF"/>
        </w:rPr>
        <w:t>Manuscript Type</w:t>
      </w:r>
      <w:bookmarkEnd w:id="0"/>
      <w:bookmarkEnd w:id="1"/>
      <w:r w:rsidRPr="000A6219">
        <w:rPr>
          <w:rFonts w:ascii="Book Antiqua" w:hAnsi="Book Antiqua"/>
          <w:b/>
          <w:color w:val="000000"/>
          <w:sz w:val="24"/>
          <w:szCs w:val="24"/>
        </w:rPr>
        <w:t xml:space="preserve">: </w:t>
      </w:r>
      <w:r w:rsidRPr="000A6219">
        <w:rPr>
          <w:rFonts w:ascii="Book Antiqua" w:hAnsi="Book Antiqua"/>
          <w:color w:val="000000"/>
          <w:sz w:val="24"/>
          <w:szCs w:val="24"/>
        </w:rPr>
        <w:t>REVIEW</w:t>
      </w:r>
    </w:p>
    <w:p w14:paraId="3AD54776" w14:textId="77777777" w:rsidR="00CE7FDE" w:rsidRPr="000A6219" w:rsidRDefault="00CE7FDE" w:rsidP="000A6219">
      <w:pPr>
        <w:snapToGrid w:val="0"/>
        <w:spacing w:after="0" w:line="360" w:lineRule="auto"/>
        <w:jc w:val="both"/>
        <w:rPr>
          <w:rFonts w:ascii="Book Antiqua" w:eastAsia="Calibri" w:hAnsi="Book Antiqua" w:cs="Times New Roman"/>
          <w:b/>
          <w:sz w:val="24"/>
          <w:szCs w:val="24"/>
        </w:rPr>
      </w:pPr>
    </w:p>
    <w:p w14:paraId="4E726834" w14:textId="0BCB0867" w:rsidR="00A53A27" w:rsidRPr="000A6219" w:rsidRDefault="00123A7B" w:rsidP="000A6219">
      <w:pPr>
        <w:snapToGrid w:val="0"/>
        <w:spacing w:after="0" w:line="360" w:lineRule="auto"/>
        <w:jc w:val="both"/>
        <w:rPr>
          <w:rFonts w:ascii="Book Antiqua" w:eastAsia="Calibri" w:hAnsi="Book Antiqua" w:cs="Times New Roman"/>
          <w:b/>
          <w:sz w:val="24"/>
          <w:szCs w:val="24"/>
          <w:lang w:val="en-US"/>
        </w:rPr>
      </w:pPr>
      <w:bookmarkStart w:id="2" w:name="OLE_LINK20"/>
      <w:bookmarkStart w:id="3" w:name="OLE_LINK21"/>
      <w:bookmarkStart w:id="4" w:name="OLE_LINK22"/>
      <w:r w:rsidRPr="000A6219">
        <w:rPr>
          <w:rFonts w:ascii="Book Antiqua" w:eastAsia="Calibri" w:hAnsi="Book Antiqua" w:cs="Times New Roman"/>
          <w:b/>
          <w:sz w:val="24"/>
          <w:szCs w:val="24"/>
          <w:lang w:val="en-US"/>
        </w:rPr>
        <w:t xml:space="preserve">Why the discovery of adherent-invasive </w:t>
      </w:r>
      <w:r w:rsidRPr="000A6219">
        <w:rPr>
          <w:rFonts w:ascii="Book Antiqua" w:eastAsia="Calibri" w:hAnsi="Book Antiqua" w:cs="Times New Roman"/>
          <w:b/>
          <w:i/>
          <w:sz w:val="24"/>
          <w:szCs w:val="24"/>
          <w:lang w:val="en-US"/>
        </w:rPr>
        <w:t xml:space="preserve">Escherichia coli </w:t>
      </w:r>
      <w:r w:rsidRPr="000A6219">
        <w:rPr>
          <w:rFonts w:ascii="Book Antiqua" w:eastAsia="Calibri" w:hAnsi="Book Antiqua" w:cs="Times New Roman"/>
          <w:b/>
          <w:sz w:val="24"/>
          <w:szCs w:val="24"/>
          <w:lang w:val="en-US"/>
        </w:rPr>
        <w:t xml:space="preserve">molecular markers is so challenging? </w:t>
      </w:r>
    </w:p>
    <w:bookmarkEnd w:id="2"/>
    <w:bookmarkEnd w:id="3"/>
    <w:bookmarkEnd w:id="4"/>
    <w:p w14:paraId="23235428" w14:textId="77777777" w:rsidR="00CE7FDE" w:rsidRPr="000A6219" w:rsidRDefault="00CE7FDE" w:rsidP="000A6219">
      <w:pPr>
        <w:snapToGrid w:val="0"/>
        <w:spacing w:after="0" w:line="360" w:lineRule="auto"/>
        <w:jc w:val="both"/>
        <w:rPr>
          <w:rFonts w:ascii="Book Antiqua" w:eastAsia="Calibri" w:hAnsi="Book Antiqua" w:cs="Times New Roman"/>
          <w:b/>
          <w:sz w:val="24"/>
          <w:szCs w:val="24"/>
          <w:lang w:val="en-US"/>
        </w:rPr>
      </w:pPr>
    </w:p>
    <w:p w14:paraId="11294003" w14:textId="5B888656" w:rsidR="00C16456" w:rsidRPr="000A6219" w:rsidRDefault="003D0CC7" w:rsidP="000A6219">
      <w:pPr>
        <w:snapToGrid w:val="0"/>
        <w:spacing w:after="0" w:line="360" w:lineRule="auto"/>
        <w:jc w:val="both"/>
        <w:rPr>
          <w:rFonts w:ascii="Book Antiqua" w:eastAsia="Calibri" w:hAnsi="Book Antiqua" w:cs="Times New Roman"/>
          <w:sz w:val="24"/>
          <w:szCs w:val="24"/>
          <w:lang w:val="en-US"/>
        </w:rPr>
      </w:pPr>
      <w:proofErr w:type="spellStart"/>
      <w:r w:rsidRPr="000A6219">
        <w:rPr>
          <w:rFonts w:ascii="Book Antiqua" w:eastAsia="Calibri" w:hAnsi="Book Antiqua" w:cs="Times New Roman"/>
          <w:sz w:val="24"/>
          <w:szCs w:val="24"/>
          <w:lang w:val="en-US"/>
        </w:rPr>
        <w:t>Camprubí</w:t>
      </w:r>
      <w:proofErr w:type="spellEnd"/>
      <w:r w:rsidRPr="000A6219">
        <w:rPr>
          <w:rFonts w:ascii="Book Antiqua" w:eastAsia="Calibri" w:hAnsi="Book Antiqua" w:cs="Times New Roman"/>
          <w:sz w:val="24"/>
          <w:szCs w:val="24"/>
          <w:lang w:val="en-US"/>
        </w:rPr>
        <w:t xml:space="preserve">-Font C </w:t>
      </w:r>
      <w:r w:rsidRPr="000A6219">
        <w:rPr>
          <w:rFonts w:ascii="Book Antiqua" w:eastAsia="Calibri" w:hAnsi="Book Antiqua" w:cs="Times New Roman"/>
          <w:i/>
          <w:sz w:val="24"/>
          <w:szCs w:val="24"/>
          <w:lang w:val="en-US"/>
        </w:rPr>
        <w:t>et al</w:t>
      </w:r>
      <w:r w:rsidRPr="000A6219">
        <w:rPr>
          <w:rFonts w:ascii="Book Antiqua" w:eastAsia="Calibri" w:hAnsi="Book Antiqua" w:cs="Times New Roman"/>
          <w:sz w:val="24"/>
          <w:szCs w:val="24"/>
          <w:lang w:val="en-US"/>
        </w:rPr>
        <w:t xml:space="preserve">. </w:t>
      </w:r>
      <w:bookmarkStart w:id="5" w:name="OLE_LINK15"/>
      <w:bookmarkStart w:id="6" w:name="OLE_LINK16"/>
      <w:r w:rsidRPr="000A6219">
        <w:rPr>
          <w:rFonts w:ascii="Book Antiqua" w:eastAsia="Calibri" w:hAnsi="Book Antiqua" w:cs="Times New Roman"/>
          <w:sz w:val="24"/>
          <w:szCs w:val="24"/>
          <w:lang w:val="en-US"/>
        </w:rPr>
        <w:t xml:space="preserve">Molecular signatures for </w:t>
      </w:r>
      <w:r w:rsidR="000F373A" w:rsidRPr="000A6219">
        <w:rPr>
          <w:rFonts w:ascii="Book Antiqua" w:hAnsi="Book Antiqua"/>
          <w:sz w:val="24"/>
          <w:szCs w:val="24"/>
          <w:lang w:val="en-US"/>
        </w:rPr>
        <w:t>AIEC</w:t>
      </w:r>
      <w:r w:rsidRPr="000A6219">
        <w:rPr>
          <w:rFonts w:ascii="Book Antiqua" w:eastAsia="Calibri" w:hAnsi="Book Antiqua" w:cs="Times New Roman"/>
          <w:sz w:val="24"/>
          <w:szCs w:val="24"/>
          <w:lang w:val="en-US"/>
        </w:rPr>
        <w:t xml:space="preserve"> </w:t>
      </w:r>
      <w:r w:rsidR="00C16456" w:rsidRPr="000A6219">
        <w:rPr>
          <w:rFonts w:ascii="Book Antiqua" w:eastAsia="Calibri" w:hAnsi="Book Antiqua" w:cs="Times New Roman"/>
          <w:sz w:val="24"/>
          <w:szCs w:val="24"/>
          <w:lang w:val="en-US"/>
        </w:rPr>
        <w:t>identification</w:t>
      </w:r>
      <w:bookmarkEnd w:id="5"/>
      <w:bookmarkEnd w:id="6"/>
    </w:p>
    <w:p w14:paraId="1D6057A7" w14:textId="77777777" w:rsidR="00CE7FDE" w:rsidRPr="000A6219" w:rsidRDefault="00CE7FDE" w:rsidP="000A6219">
      <w:pPr>
        <w:snapToGrid w:val="0"/>
        <w:spacing w:after="0" w:line="360" w:lineRule="auto"/>
        <w:jc w:val="both"/>
        <w:rPr>
          <w:rFonts w:ascii="Book Antiqua" w:eastAsia="Calibri" w:hAnsi="Book Antiqua" w:cs="Times New Roman"/>
          <w:b/>
          <w:sz w:val="24"/>
          <w:szCs w:val="24"/>
          <w:lang w:val="en-US"/>
        </w:rPr>
      </w:pPr>
    </w:p>
    <w:p w14:paraId="571D8B93" w14:textId="06665589" w:rsidR="003D0CC7" w:rsidRPr="000A6219" w:rsidRDefault="003D0CC7"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Carla </w:t>
      </w:r>
      <w:proofErr w:type="spellStart"/>
      <w:r w:rsidRPr="000A6219">
        <w:rPr>
          <w:rFonts w:ascii="Book Antiqua" w:eastAsia="Calibri" w:hAnsi="Book Antiqua" w:cs="Times New Roman"/>
          <w:sz w:val="24"/>
          <w:szCs w:val="24"/>
          <w:lang w:val="en-US"/>
        </w:rPr>
        <w:t>Camprubí</w:t>
      </w:r>
      <w:proofErr w:type="spellEnd"/>
      <w:r w:rsidRPr="000A6219">
        <w:rPr>
          <w:rFonts w:ascii="Book Antiqua" w:eastAsia="Calibri" w:hAnsi="Book Antiqua" w:cs="Times New Roman"/>
          <w:sz w:val="24"/>
          <w:szCs w:val="24"/>
          <w:lang w:val="en-US"/>
        </w:rPr>
        <w:t>-Font, Margarita Martinez-Medina</w:t>
      </w:r>
    </w:p>
    <w:p w14:paraId="11A51D6B" w14:textId="77777777" w:rsidR="003D0CC7" w:rsidRPr="000A6219" w:rsidRDefault="003D0CC7" w:rsidP="000A6219">
      <w:pPr>
        <w:snapToGrid w:val="0"/>
        <w:spacing w:after="0" w:line="360" w:lineRule="auto"/>
        <w:jc w:val="both"/>
        <w:rPr>
          <w:rFonts w:ascii="Book Antiqua" w:eastAsia="Calibri" w:hAnsi="Book Antiqua" w:cs="Times New Roman"/>
          <w:b/>
          <w:sz w:val="24"/>
          <w:szCs w:val="24"/>
          <w:lang w:val="en-US"/>
        </w:rPr>
      </w:pPr>
    </w:p>
    <w:p w14:paraId="291D6DCA" w14:textId="712B365D" w:rsidR="00A53A27" w:rsidRPr="000A6219" w:rsidRDefault="00A53A27"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b/>
          <w:sz w:val="24"/>
          <w:szCs w:val="24"/>
          <w:lang w:val="en-US"/>
        </w:rPr>
        <w:t xml:space="preserve">Carla </w:t>
      </w:r>
      <w:proofErr w:type="spellStart"/>
      <w:r w:rsidR="003D0CC7" w:rsidRPr="000A6219">
        <w:rPr>
          <w:rFonts w:ascii="Book Antiqua" w:eastAsia="Calibri" w:hAnsi="Book Antiqua" w:cs="Times New Roman"/>
          <w:b/>
          <w:sz w:val="24"/>
          <w:szCs w:val="24"/>
          <w:lang w:val="en-US"/>
        </w:rPr>
        <w:t>Camprubí</w:t>
      </w:r>
      <w:proofErr w:type="spellEnd"/>
      <w:r w:rsidR="003D0CC7" w:rsidRPr="000A6219">
        <w:rPr>
          <w:rFonts w:ascii="Book Antiqua" w:eastAsia="Calibri" w:hAnsi="Book Antiqua" w:cs="Times New Roman"/>
          <w:b/>
          <w:sz w:val="24"/>
          <w:szCs w:val="24"/>
          <w:lang w:val="en-US"/>
        </w:rPr>
        <w:t xml:space="preserve">-Font, </w:t>
      </w:r>
      <w:r w:rsidRPr="000A6219">
        <w:rPr>
          <w:rFonts w:ascii="Book Antiqua" w:eastAsia="Calibri" w:hAnsi="Book Antiqua" w:cs="Times New Roman"/>
          <w:b/>
          <w:sz w:val="24"/>
          <w:szCs w:val="24"/>
          <w:lang w:val="en-US"/>
        </w:rPr>
        <w:t>Margarita Martinez-Medina</w:t>
      </w:r>
      <w:r w:rsidRPr="000A6219">
        <w:rPr>
          <w:rFonts w:ascii="Book Antiqua" w:eastAsia="Calibri" w:hAnsi="Book Antiqua" w:cs="Times New Roman"/>
          <w:sz w:val="24"/>
          <w:szCs w:val="24"/>
          <w:lang w:val="en-US"/>
        </w:rPr>
        <w:t xml:space="preserve">, </w:t>
      </w:r>
      <w:bookmarkStart w:id="7" w:name="OLE_LINK2"/>
      <w:bookmarkStart w:id="8" w:name="OLE_LINK5"/>
      <w:r w:rsidRPr="000A6219">
        <w:rPr>
          <w:rFonts w:ascii="Book Antiqua" w:eastAsia="Calibri" w:hAnsi="Book Antiqua" w:cs="Times New Roman"/>
          <w:sz w:val="24"/>
          <w:szCs w:val="24"/>
          <w:lang w:val="en-US"/>
        </w:rPr>
        <w:t>Laboratory of Molecular Microbiology, Department of Biology</w:t>
      </w:r>
      <w:bookmarkEnd w:id="7"/>
      <w:bookmarkEnd w:id="8"/>
      <w:r w:rsidRPr="000A6219">
        <w:rPr>
          <w:rFonts w:ascii="Book Antiqua" w:eastAsia="Calibri" w:hAnsi="Book Antiqua" w:cs="Times New Roman"/>
          <w:sz w:val="24"/>
          <w:szCs w:val="24"/>
          <w:lang w:val="en-US"/>
        </w:rPr>
        <w:t>, Universit</w:t>
      </w:r>
      <w:r w:rsidR="00415690" w:rsidRPr="000A6219">
        <w:rPr>
          <w:rFonts w:ascii="Book Antiqua" w:eastAsia="Calibri" w:hAnsi="Book Antiqua" w:cs="Times New Roman"/>
          <w:sz w:val="24"/>
          <w:szCs w:val="24"/>
          <w:lang w:val="en-US"/>
        </w:rPr>
        <w:t>y</w:t>
      </w:r>
      <w:r w:rsidRPr="000A6219">
        <w:rPr>
          <w:rFonts w:ascii="Book Antiqua" w:eastAsia="Calibri" w:hAnsi="Book Antiqua" w:cs="Times New Roman"/>
          <w:sz w:val="24"/>
          <w:szCs w:val="24"/>
          <w:lang w:val="en-US"/>
        </w:rPr>
        <w:t xml:space="preserve"> </w:t>
      </w:r>
      <w:r w:rsidR="00415690" w:rsidRPr="000A6219">
        <w:rPr>
          <w:rFonts w:ascii="Book Antiqua" w:eastAsia="Calibri" w:hAnsi="Book Antiqua" w:cs="Times New Roman"/>
          <w:sz w:val="24"/>
          <w:szCs w:val="24"/>
          <w:lang w:val="en-US"/>
        </w:rPr>
        <w:t>of</w:t>
      </w:r>
      <w:r w:rsidR="003D0CC7" w:rsidRPr="000A6219">
        <w:rPr>
          <w:rFonts w:ascii="Book Antiqua" w:eastAsia="Calibri" w:hAnsi="Book Antiqua" w:cs="Times New Roman"/>
          <w:sz w:val="24"/>
          <w:szCs w:val="24"/>
          <w:lang w:val="en-US"/>
        </w:rPr>
        <w:t xml:space="preserve"> Girona, Girona 17003, Spain</w:t>
      </w:r>
    </w:p>
    <w:p w14:paraId="2D3C275A" w14:textId="77777777" w:rsidR="00CE7FDE" w:rsidRPr="000A6219" w:rsidRDefault="00CE7FDE" w:rsidP="000A6219">
      <w:pPr>
        <w:snapToGrid w:val="0"/>
        <w:spacing w:after="0" w:line="360" w:lineRule="auto"/>
        <w:jc w:val="both"/>
        <w:rPr>
          <w:rFonts w:ascii="Book Antiqua" w:eastAsia="Calibri" w:hAnsi="Book Antiqua" w:cs="Times New Roman"/>
          <w:b/>
          <w:sz w:val="24"/>
          <w:szCs w:val="24"/>
          <w:lang w:val="en-US"/>
        </w:rPr>
      </w:pPr>
    </w:p>
    <w:p w14:paraId="30108C61" w14:textId="77777777" w:rsidR="00A53A27" w:rsidRPr="000A6219" w:rsidRDefault="0010433F" w:rsidP="000A6219">
      <w:pPr>
        <w:snapToGrid w:val="0"/>
        <w:spacing w:after="0"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t>Author contributions:</w:t>
      </w:r>
      <w:r w:rsidR="009B4172" w:rsidRPr="000A6219">
        <w:rPr>
          <w:rFonts w:ascii="Book Antiqua" w:eastAsia="Calibri" w:hAnsi="Book Antiqua" w:cs="Times New Roman"/>
          <w:b/>
          <w:sz w:val="24"/>
          <w:szCs w:val="24"/>
          <w:lang w:val="en-US"/>
        </w:rPr>
        <w:t xml:space="preserve"> </w:t>
      </w:r>
      <w:r w:rsidR="008C703D" w:rsidRPr="000A6219">
        <w:rPr>
          <w:rFonts w:ascii="Book Antiqua" w:eastAsia="Calibri" w:hAnsi="Book Antiqua" w:cs="Times New Roman"/>
          <w:sz w:val="24"/>
          <w:szCs w:val="24"/>
          <w:lang w:val="en-US"/>
        </w:rPr>
        <w:t>All authors equally contributed to this paper with conception and design of the study, literature review and analysis, drafting and critical revision and editing, and final approval of the final version.</w:t>
      </w:r>
    </w:p>
    <w:p w14:paraId="77BE84AE" w14:textId="77777777" w:rsidR="00CE7FDE" w:rsidRPr="000A6219" w:rsidRDefault="00CE7FDE" w:rsidP="000A6219">
      <w:pPr>
        <w:snapToGrid w:val="0"/>
        <w:spacing w:after="0" w:line="360" w:lineRule="auto"/>
        <w:jc w:val="both"/>
        <w:rPr>
          <w:rFonts w:ascii="Book Antiqua" w:eastAsia="Calibri" w:hAnsi="Book Antiqua" w:cs="Times New Roman"/>
          <w:b/>
          <w:sz w:val="24"/>
          <w:szCs w:val="24"/>
          <w:lang w:val="en-US"/>
        </w:rPr>
      </w:pPr>
    </w:p>
    <w:p w14:paraId="05E62BF9" w14:textId="103B87BC" w:rsidR="0010433F" w:rsidRPr="000A6219" w:rsidRDefault="003D0CC7" w:rsidP="000A6219">
      <w:pPr>
        <w:snapToGrid w:val="0"/>
        <w:spacing w:after="0"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t xml:space="preserve">Supported by </w:t>
      </w:r>
      <w:r w:rsidR="00A74752" w:rsidRPr="000A6219">
        <w:rPr>
          <w:rFonts w:ascii="Book Antiqua" w:eastAsia="Calibri" w:hAnsi="Book Antiqua" w:cs="Times New Roman"/>
          <w:sz w:val="24"/>
          <w:szCs w:val="24"/>
          <w:lang w:val="en-US"/>
        </w:rPr>
        <w:t>the Spanish Ministry of Economy and Competitiveness</w:t>
      </w:r>
      <w:r w:rsidRPr="000A6219">
        <w:rPr>
          <w:rFonts w:ascii="Book Antiqua" w:eastAsia="Calibri" w:hAnsi="Book Antiqua" w:cs="Times New Roman"/>
          <w:sz w:val="24"/>
          <w:szCs w:val="24"/>
          <w:lang w:val="en-US"/>
        </w:rPr>
        <w:t xml:space="preserve">, No. </w:t>
      </w:r>
      <w:r w:rsidR="005F77C6" w:rsidRPr="000A6219">
        <w:rPr>
          <w:rFonts w:ascii="Book Antiqua" w:eastAsia="Calibri" w:hAnsi="Book Antiqua" w:cs="Times New Roman"/>
          <w:sz w:val="24"/>
          <w:szCs w:val="24"/>
          <w:lang w:val="en-US"/>
        </w:rPr>
        <w:t>SAF2017-82261-P.</w:t>
      </w:r>
    </w:p>
    <w:p w14:paraId="69CEC5D9" w14:textId="77777777" w:rsidR="00CE7FDE" w:rsidRPr="000A6219" w:rsidRDefault="00CE7FDE" w:rsidP="000A6219">
      <w:pPr>
        <w:snapToGrid w:val="0"/>
        <w:spacing w:after="0" w:line="360" w:lineRule="auto"/>
        <w:jc w:val="both"/>
        <w:rPr>
          <w:rFonts w:ascii="Book Antiqua" w:eastAsia="Calibri" w:hAnsi="Book Antiqua" w:cs="Times New Roman"/>
          <w:b/>
          <w:sz w:val="24"/>
          <w:szCs w:val="24"/>
          <w:lang w:val="en-US"/>
        </w:rPr>
      </w:pPr>
    </w:p>
    <w:p w14:paraId="0FF65D76" w14:textId="5E2BA69F" w:rsidR="00A53A27" w:rsidRPr="000A6219" w:rsidRDefault="0010433F"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b/>
          <w:sz w:val="24"/>
          <w:szCs w:val="24"/>
          <w:lang w:val="en-US"/>
        </w:rPr>
        <w:t xml:space="preserve">Corresponding author: </w:t>
      </w:r>
      <w:bookmarkStart w:id="9" w:name="OLE_LINK23"/>
      <w:bookmarkStart w:id="10" w:name="OLE_LINK24"/>
      <w:r w:rsidRPr="000A6219">
        <w:rPr>
          <w:rFonts w:ascii="Book Antiqua" w:eastAsia="Calibri" w:hAnsi="Book Antiqua" w:cs="Times New Roman"/>
          <w:b/>
          <w:sz w:val="24"/>
          <w:szCs w:val="24"/>
          <w:lang w:val="en-US"/>
        </w:rPr>
        <w:t xml:space="preserve">Margarita Martinez-Medina, PhD, </w:t>
      </w:r>
      <w:r w:rsidR="003D0CC7" w:rsidRPr="000A6219">
        <w:rPr>
          <w:rFonts w:ascii="Book Antiqua" w:eastAsia="Calibri" w:hAnsi="Book Antiqua" w:cs="Times New Roman"/>
          <w:b/>
          <w:sz w:val="24"/>
          <w:szCs w:val="24"/>
          <w:lang w:val="en-US"/>
        </w:rPr>
        <w:t xml:space="preserve">Associate Professor, </w:t>
      </w:r>
      <w:bookmarkStart w:id="11" w:name="OLE_LINK7"/>
      <w:bookmarkStart w:id="12" w:name="OLE_LINK8"/>
      <w:r w:rsidRPr="000A6219">
        <w:rPr>
          <w:rFonts w:ascii="Book Antiqua" w:eastAsia="Calibri" w:hAnsi="Book Antiqua" w:cs="Times New Roman"/>
          <w:sz w:val="24"/>
          <w:szCs w:val="24"/>
          <w:lang w:val="en-US"/>
        </w:rPr>
        <w:t>Laboratory of Molecular Microbiology, Department of Biology</w:t>
      </w:r>
      <w:bookmarkEnd w:id="11"/>
      <w:bookmarkEnd w:id="12"/>
      <w:r w:rsidRPr="000A6219">
        <w:rPr>
          <w:rFonts w:ascii="Book Antiqua" w:eastAsia="Calibri" w:hAnsi="Book Antiqua" w:cs="Times New Roman"/>
          <w:sz w:val="24"/>
          <w:szCs w:val="24"/>
          <w:lang w:val="en-US"/>
        </w:rPr>
        <w:t xml:space="preserve">, </w:t>
      </w:r>
      <w:proofErr w:type="spellStart"/>
      <w:r w:rsidRPr="000A6219">
        <w:rPr>
          <w:rFonts w:ascii="Book Antiqua" w:eastAsia="Calibri" w:hAnsi="Book Antiqua" w:cs="Times New Roman"/>
          <w:sz w:val="24"/>
          <w:szCs w:val="24"/>
          <w:lang w:val="en-US"/>
        </w:rPr>
        <w:t>Universitat</w:t>
      </w:r>
      <w:proofErr w:type="spellEnd"/>
      <w:r w:rsidRPr="000A6219">
        <w:rPr>
          <w:rFonts w:ascii="Book Antiqua" w:eastAsia="Calibri" w:hAnsi="Book Antiqua" w:cs="Times New Roman"/>
          <w:sz w:val="24"/>
          <w:szCs w:val="24"/>
          <w:lang w:val="en-US"/>
        </w:rPr>
        <w:t xml:space="preserve"> de Girona,</w:t>
      </w:r>
      <w:r w:rsidR="00934ACF" w:rsidRPr="000A6219">
        <w:rPr>
          <w:rFonts w:ascii="Book Antiqua" w:hAnsi="Book Antiqua"/>
          <w:sz w:val="24"/>
          <w:szCs w:val="24"/>
          <w:lang w:val="en-US"/>
        </w:rPr>
        <w:t xml:space="preserve"> </w:t>
      </w:r>
      <w:r w:rsidR="00934ACF" w:rsidRPr="000A6219">
        <w:rPr>
          <w:rFonts w:ascii="Book Antiqua" w:eastAsia="Calibri" w:hAnsi="Book Antiqua" w:cs="Times New Roman"/>
          <w:sz w:val="24"/>
          <w:szCs w:val="24"/>
          <w:lang w:val="en-US"/>
        </w:rPr>
        <w:t xml:space="preserve">C/Maria </w:t>
      </w:r>
      <w:proofErr w:type="spellStart"/>
      <w:r w:rsidR="00934ACF" w:rsidRPr="000A6219">
        <w:rPr>
          <w:rFonts w:ascii="Book Antiqua" w:eastAsia="Calibri" w:hAnsi="Book Antiqua" w:cs="Times New Roman"/>
          <w:sz w:val="24"/>
          <w:szCs w:val="24"/>
          <w:lang w:val="en-US"/>
        </w:rPr>
        <w:t>Aurèlia</w:t>
      </w:r>
      <w:proofErr w:type="spellEnd"/>
      <w:r w:rsidR="00934ACF" w:rsidRPr="000A6219">
        <w:rPr>
          <w:rFonts w:ascii="Book Antiqua" w:eastAsia="Calibri" w:hAnsi="Book Antiqua" w:cs="Times New Roman"/>
          <w:sz w:val="24"/>
          <w:szCs w:val="24"/>
          <w:lang w:val="en-US"/>
        </w:rPr>
        <w:t xml:space="preserve"> </w:t>
      </w:r>
      <w:proofErr w:type="spellStart"/>
      <w:r w:rsidR="00934ACF" w:rsidRPr="000A6219">
        <w:rPr>
          <w:rFonts w:ascii="Book Antiqua" w:eastAsia="Calibri" w:hAnsi="Book Antiqua" w:cs="Times New Roman"/>
          <w:sz w:val="24"/>
          <w:szCs w:val="24"/>
          <w:lang w:val="en-US"/>
        </w:rPr>
        <w:t>Capmany</w:t>
      </w:r>
      <w:proofErr w:type="spellEnd"/>
      <w:r w:rsidR="00934ACF" w:rsidRPr="000A6219">
        <w:rPr>
          <w:rFonts w:ascii="Book Antiqua" w:eastAsia="Calibri" w:hAnsi="Book Antiqua" w:cs="Times New Roman"/>
          <w:sz w:val="24"/>
          <w:szCs w:val="24"/>
          <w:lang w:val="en-US"/>
        </w:rPr>
        <w:t>, 40,</w:t>
      </w:r>
      <w:r w:rsidRPr="000A6219">
        <w:rPr>
          <w:rFonts w:ascii="Book Antiqua" w:eastAsia="Calibri" w:hAnsi="Book Antiqua" w:cs="Times New Roman"/>
          <w:sz w:val="24"/>
          <w:szCs w:val="24"/>
          <w:lang w:val="en-US"/>
        </w:rPr>
        <w:t xml:space="preserve"> Girona 17003, Spain. </w:t>
      </w:r>
      <w:r w:rsidRPr="00BD29A8">
        <w:rPr>
          <w:rFonts w:ascii="Book Antiqua" w:eastAsia="Calibri" w:hAnsi="Book Antiqua" w:cs="Times New Roman"/>
          <w:sz w:val="24"/>
          <w:szCs w:val="24"/>
          <w:lang w:val="en-US"/>
        </w:rPr>
        <w:t>marga.martinez@udg.edu</w:t>
      </w:r>
      <w:bookmarkEnd w:id="9"/>
      <w:bookmarkEnd w:id="10"/>
    </w:p>
    <w:p w14:paraId="46F852EF" w14:textId="77777777" w:rsidR="0010433F" w:rsidRPr="000A6219" w:rsidRDefault="0010433F" w:rsidP="000A6219">
      <w:pPr>
        <w:snapToGrid w:val="0"/>
        <w:spacing w:after="0" w:line="360" w:lineRule="auto"/>
        <w:jc w:val="both"/>
        <w:rPr>
          <w:rFonts w:ascii="Book Antiqua" w:eastAsia="Calibri" w:hAnsi="Book Antiqua" w:cs="Times New Roman"/>
          <w:b/>
          <w:sz w:val="24"/>
          <w:szCs w:val="24"/>
          <w:lang w:val="en-US"/>
        </w:rPr>
      </w:pPr>
    </w:p>
    <w:p w14:paraId="0EF7A958" w14:textId="6C6A4A46" w:rsidR="003D0CC7" w:rsidRPr="000A6219" w:rsidRDefault="003D0CC7" w:rsidP="000A6219">
      <w:pPr>
        <w:snapToGrid w:val="0"/>
        <w:spacing w:after="0" w:line="360" w:lineRule="auto"/>
        <w:jc w:val="both"/>
        <w:rPr>
          <w:rFonts w:ascii="Book Antiqua" w:hAnsi="Book Antiqua"/>
          <w:b/>
          <w:sz w:val="24"/>
          <w:szCs w:val="24"/>
        </w:rPr>
      </w:pPr>
      <w:r w:rsidRPr="000A6219">
        <w:rPr>
          <w:rFonts w:ascii="Book Antiqua" w:hAnsi="Book Antiqua"/>
          <w:b/>
          <w:sz w:val="24"/>
          <w:szCs w:val="24"/>
        </w:rPr>
        <w:t>Received:</w:t>
      </w:r>
      <w:r w:rsidRPr="000A6219">
        <w:rPr>
          <w:rFonts w:ascii="Book Antiqua" w:eastAsia="宋体" w:hAnsi="Book Antiqua"/>
          <w:b/>
          <w:sz w:val="24"/>
          <w:szCs w:val="24"/>
          <w:lang w:eastAsia="zh-CN"/>
        </w:rPr>
        <w:t xml:space="preserve"> </w:t>
      </w:r>
      <w:r w:rsidR="00934ACF" w:rsidRPr="000A6219">
        <w:rPr>
          <w:rFonts w:ascii="Book Antiqua" w:eastAsia="宋体" w:hAnsi="Book Antiqua"/>
          <w:sz w:val="24"/>
          <w:szCs w:val="24"/>
          <w:lang w:eastAsia="zh-CN"/>
        </w:rPr>
        <w:t>December 23, 2019</w:t>
      </w:r>
    </w:p>
    <w:p w14:paraId="4E283B7B" w14:textId="3F22AB26" w:rsidR="003D0CC7" w:rsidRPr="000A6219" w:rsidRDefault="003D0CC7" w:rsidP="000A6219">
      <w:pPr>
        <w:snapToGrid w:val="0"/>
        <w:spacing w:after="0" w:line="360" w:lineRule="auto"/>
        <w:jc w:val="both"/>
        <w:rPr>
          <w:rFonts w:ascii="Book Antiqua" w:eastAsia="宋体" w:hAnsi="Book Antiqua"/>
          <w:b/>
          <w:sz w:val="24"/>
          <w:szCs w:val="24"/>
          <w:lang w:eastAsia="zh-CN"/>
        </w:rPr>
      </w:pPr>
      <w:r w:rsidRPr="000A6219">
        <w:rPr>
          <w:rFonts w:ascii="Book Antiqua" w:hAnsi="Book Antiqua"/>
          <w:b/>
          <w:sz w:val="24"/>
          <w:szCs w:val="24"/>
        </w:rPr>
        <w:t xml:space="preserve">Revised: </w:t>
      </w:r>
      <w:r w:rsidR="00934ACF" w:rsidRPr="000A6219">
        <w:rPr>
          <w:rFonts w:ascii="Book Antiqua" w:eastAsia="宋体" w:hAnsi="Book Antiqua"/>
          <w:sz w:val="24"/>
          <w:szCs w:val="24"/>
          <w:lang w:eastAsia="zh-CN"/>
        </w:rPr>
        <w:t>March 18, 2020</w:t>
      </w:r>
    </w:p>
    <w:p w14:paraId="787EC575" w14:textId="28AC6976" w:rsidR="003D0CC7" w:rsidRPr="000A6219" w:rsidRDefault="003D0CC7" w:rsidP="000A6219">
      <w:pPr>
        <w:snapToGrid w:val="0"/>
        <w:spacing w:after="0" w:line="360" w:lineRule="auto"/>
        <w:jc w:val="both"/>
        <w:rPr>
          <w:rFonts w:ascii="Book Antiqua" w:hAnsi="Book Antiqua"/>
          <w:color w:val="000000"/>
          <w:sz w:val="24"/>
          <w:szCs w:val="24"/>
        </w:rPr>
      </w:pPr>
      <w:r w:rsidRPr="000A6219">
        <w:rPr>
          <w:rFonts w:ascii="Book Antiqua" w:hAnsi="Book Antiqua"/>
          <w:b/>
          <w:sz w:val="24"/>
          <w:szCs w:val="24"/>
        </w:rPr>
        <w:t>Accepted:</w:t>
      </w:r>
      <w:bookmarkStart w:id="13" w:name="OLE_LINK98"/>
      <w:bookmarkStart w:id="14" w:name="OLE_LINK99"/>
      <w:bookmarkStart w:id="15" w:name="OLE_LINK104"/>
      <w:bookmarkStart w:id="16" w:name="OLE_LINK110"/>
      <w:bookmarkStart w:id="17" w:name="OLE_LINK111"/>
      <w:bookmarkStart w:id="18" w:name="OLE_LINK115"/>
      <w:bookmarkStart w:id="19" w:name="OLE_LINK116"/>
      <w:r w:rsidR="00B26649" w:rsidRPr="00B26649">
        <w:t xml:space="preserve"> </w:t>
      </w:r>
      <w:r w:rsidR="00B26649" w:rsidRPr="00B26649">
        <w:rPr>
          <w:rFonts w:ascii="Book Antiqua" w:hAnsi="Book Antiqua"/>
          <w:bCs/>
          <w:sz w:val="24"/>
          <w:szCs w:val="24"/>
        </w:rPr>
        <w:t>April 1, 2020</w:t>
      </w:r>
      <w:r w:rsidRPr="00B26649">
        <w:rPr>
          <w:rFonts w:ascii="Book Antiqua" w:hAnsi="Book Antiqua"/>
          <w:bCs/>
          <w:color w:val="000000"/>
          <w:sz w:val="24"/>
          <w:szCs w:val="24"/>
        </w:rPr>
        <w:t xml:space="preserve"> </w:t>
      </w:r>
      <w:bookmarkEnd w:id="13"/>
      <w:bookmarkEnd w:id="14"/>
      <w:bookmarkEnd w:id="15"/>
      <w:bookmarkEnd w:id="16"/>
      <w:bookmarkEnd w:id="17"/>
      <w:bookmarkEnd w:id="18"/>
      <w:bookmarkEnd w:id="19"/>
    </w:p>
    <w:p w14:paraId="326A094C" w14:textId="77777777" w:rsidR="003D0CC7" w:rsidRPr="000A6219" w:rsidRDefault="003D0CC7" w:rsidP="000A6219">
      <w:pPr>
        <w:snapToGrid w:val="0"/>
        <w:spacing w:after="0" w:line="360" w:lineRule="auto"/>
        <w:jc w:val="both"/>
        <w:rPr>
          <w:rFonts w:ascii="Book Antiqua" w:hAnsi="Book Antiqua"/>
          <w:b/>
          <w:sz w:val="24"/>
          <w:szCs w:val="24"/>
        </w:rPr>
      </w:pPr>
      <w:r w:rsidRPr="000A6219">
        <w:rPr>
          <w:rFonts w:ascii="Book Antiqua" w:hAnsi="Book Antiqua"/>
          <w:b/>
          <w:sz w:val="24"/>
          <w:szCs w:val="24"/>
        </w:rPr>
        <w:t xml:space="preserve">Published online: </w:t>
      </w:r>
    </w:p>
    <w:p w14:paraId="39DDD9C2" w14:textId="77777777" w:rsidR="003D0CC7" w:rsidRPr="000A6219" w:rsidRDefault="003D0CC7" w:rsidP="000A6219">
      <w:pPr>
        <w:snapToGrid w:val="0"/>
        <w:spacing w:after="0" w:line="360" w:lineRule="auto"/>
        <w:jc w:val="both"/>
        <w:rPr>
          <w:rFonts w:ascii="Book Antiqua" w:eastAsia="Calibri" w:hAnsi="Book Antiqua" w:cs="Times New Roman"/>
          <w:b/>
          <w:sz w:val="24"/>
          <w:szCs w:val="24"/>
          <w:lang w:val="en-US"/>
        </w:rPr>
      </w:pPr>
    </w:p>
    <w:p w14:paraId="6E4809CF" w14:textId="3DF44138" w:rsidR="005C35E4" w:rsidRPr="000A6219" w:rsidRDefault="00934ACF"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b/>
          <w:sz w:val="24"/>
          <w:szCs w:val="24"/>
          <w:lang w:val="en-US"/>
        </w:rPr>
        <w:lastRenderedPageBreak/>
        <w:t>Abstract</w:t>
      </w:r>
    </w:p>
    <w:p w14:paraId="5CAD46A7" w14:textId="72BA6D4F" w:rsidR="00B007F5" w:rsidRPr="000A6219" w:rsidRDefault="00010A49" w:rsidP="000A6219">
      <w:pPr>
        <w:snapToGrid w:val="0"/>
        <w:spacing w:after="0" w:line="360" w:lineRule="auto"/>
        <w:jc w:val="both"/>
        <w:rPr>
          <w:rFonts w:ascii="Book Antiqua" w:hAnsi="Book Antiqua"/>
          <w:sz w:val="24"/>
          <w:szCs w:val="24"/>
          <w:lang w:val="en-US"/>
        </w:rPr>
      </w:pPr>
      <w:bookmarkStart w:id="20" w:name="OLE_LINK9"/>
      <w:bookmarkStart w:id="21" w:name="OLE_LINK10"/>
      <w:r w:rsidRPr="000A6219">
        <w:rPr>
          <w:rFonts w:ascii="Book Antiqua" w:hAnsi="Book Antiqua"/>
          <w:sz w:val="24"/>
          <w:szCs w:val="24"/>
          <w:lang w:val="en-US"/>
        </w:rPr>
        <w:t>A</w:t>
      </w:r>
      <w:r w:rsidR="00143E6E" w:rsidRPr="000A6219">
        <w:rPr>
          <w:rFonts w:ascii="Book Antiqua" w:hAnsi="Book Antiqua"/>
          <w:sz w:val="24"/>
          <w:szCs w:val="24"/>
          <w:lang w:val="en-US"/>
        </w:rPr>
        <w:t xml:space="preserve">dherent-invasive </w:t>
      </w:r>
      <w:r w:rsidR="00143E6E" w:rsidRPr="000A6219">
        <w:rPr>
          <w:rFonts w:ascii="Book Antiqua" w:hAnsi="Book Antiqua"/>
          <w:i/>
          <w:sz w:val="24"/>
          <w:szCs w:val="24"/>
          <w:lang w:val="en-US"/>
        </w:rPr>
        <w:t xml:space="preserve">Escherichia coli </w:t>
      </w:r>
      <w:r w:rsidRPr="000A6219">
        <w:rPr>
          <w:rFonts w:ascii="Book Antiqua" w:hAnsi="Book Antiqua"/>
          <w:sz w:val="24"/>
          <w:szCs w:val="24"/>
          <w:lang w:val="en-US"/>
        </w:rPr>
        <w:t xml:space="preserve">(AIEC) </w:t>
      </w:r>
      <w:bookmarkEnd w:id="20"/>
      <w:bookmarkEnd w:id="21"/>
      <w:r w:rsidR="00E4299B" w:rsidRPr="000A6219">
        <w:rPr>
          <w:rFonts w:ascii="Book Antiqua" w:hAnsi="Book Antiqua"/>
          <w:sz w:val="24"/>
          <w:szCs w:val="24"/>
          <w:lang w:val="en-US"/>
        </w:rPr>
        <w:t xml:space="preserve">strains </w:t>
      </w:r>
      <w:r w:rsidRPr="000A6219">
        <w:rPr>
          <w:rFonts w:ascii="Book Antiqua" w:hAnsi="Book Antiqua"/>
          <w:sz w:val="24"/>
          <w:szCs w:val="24"/>
          <w:lang w:val="en-US"/>
        </w:rPr>
        <w:t>have</w:t>
      </w:r>
      <w:r w:rsidR="00143E6E" w:rsidRPr="000A6219">
        <w:rPr>
          <w:rFonts w:ascii="Book Antiqua" w:hAnsi="Book Antiqua"/>
          <w:sz w:val="24"/>
          <w:szCs w:val="24"/>
          <w:lang w:val="en-US"/>
        </w:rPr>
        <w:t xml:space="preserve"> been extensively </w:t>
      </w:r>
      <w:r w:rsidRPr="000A6219">
        <w:rPr>
          <w:rFonts w:ascii="Book Antiqua" w:hAnsi="Book Antiqua"/>
          <w:sz w:val="24"/>
          <w:szCs w:val="24"/>
          <w:lang w:val="en-US"/>
        </w:rPr>
        <w:t>related</w:t>
      </w:r>
      <w:r w:rsidR="00143E6E" w:rsidRPr="000A6219">
        <w:rPr>
          <w:rFonts w:ascii="Book Antiqua" w:hAnsi="Book Antiqua"/>
          <w:sz w:val="24"/>
          <w:szCs w:val="24"/>
          <w:lang w:val="en-US"/>
        </w:rPr>
        <w:t xml:space="preserve"> to Crohn’s disease (CD) etiopathogenesis</w:t>
      </w:r>
      <w:r w:rsidRPr="000A6219">
        <w:rPr>
          <w:rFonts w:ascii="Book Antiqua" w:hAnsi="Book Antiqua"/>
          <w:sz w:val="24"/>
          <w:szCs w:val="24"/>
          <w:lang w:val="en-US"/>
        </w:rPr>
        <w:t>.</w:t>
      </w:r>
      <w:r w:rsidR="00143E6E" w:rsidRPr="000A6219">
        <w:rPr>
          <w:rFonts w:ascii="Book Antiqua" w:hAnsi="Book Antiqua"/>
          <w:sz w:val="24"/>
          <w:szCs w:val="24"/>
          <w:lang w:val="en-US"/>
        </w:rPr>
        <w:t xml:space="preserve"> </w:t>
      </w:r>
      <w:r w:rsidRPr="000A6219">
        <w:rPr>
          <w:rFonts w:ascii="Book Antiqua" w:hAnsi="Book Antiqua"/>
          <w:sz w:val="24"/>
          <w:szCs w:val="24"/>
          <w:lang w:val="en-US"/>
        </w:rPr>
        <w:t>H</w:t>
      </w:r>
      <w:r w:rsidR="00143E6E" w:rsidRPr="000A6219">
        <w:rPr>
          <w:rFonts w:ascii="Book Antiqua" w:hAnsi="Book Antiqua"/>
          <w:sz w:val="24"/>
          <w:szCs w:val="24"/>
          <w:lang w:val="en-US"/>
        </w:rPr>
        <w:t xml:space="preserve">igher AIEC prevalence in CD patients </w:t>
      </w:r>
      <w:r w:rsidRPr="000A6219">
        <w:rPr>
          <w:rFonts w:ascii="Book Antiqua" w:hAnsi="Book Antiqua"/>
          <w:sz w:val="24"/>
          <w:szCs w:val="24"/>
          <w:lang w:val="en-US"/>
        </w:rPr>
        <w:t xml:space="preserve">versus </w:t>
      </w:r>
      <w:r w:rsidR="00143E6E" w:rsidRPr="000A6219">
        <w:rPr>
          <w:rFonts w:ascii="Book Antiqua" w:hAnsi="Book Antiqua"/>
          <w:sz w:val="24"/>
          <w:szCs w:val="24"/>
          <w:lang w:val="en-US"/>
        </w:rPr>
        <w:t>controls has been reported</w:t>
      </w:r>
      <w:r w:rsidRPr="000A6219">
        <w:rPr>
          <w:rFonts w:ascii="Book Antiqua" w:hAnsi="Book Antiqua"/>
          <w:sz w:val="24"/>
          <w:szCs w:val="24"/>
          <w:lang w:val="en-US"/>
        </w:rPr>
        <w:t>,</w:t>
      </w:r>
      <w:r w:rsidR="00143E6E" w:rsidRPr="000A6219">
        <w:rPr>
          <w:rFonts w:ascii="Book Antiqua" w:hAnsi="Book Antiqua"/>
          <w:sz w:val="24"/>
          <w:szCs w:val="24"/>
          <w:lang w:val="en-US"/>
        </w:rPr>
        <w:t xml:space="preserve"> and </w:t>
      </w:r>
      <w:r w:rsidRPr="000A6219">
        <w:rPr>
          <w:rFonts w:ascii="Book Antiqua" w:hAnsi="Book Antiqua"/>
          <w:sz w:val="24"/>
          <w:szCs w:val="24"/>
          <w:lang w:val="en-US"/>
        </w:rPr>
        <w:t xml:space="preserve">its </w:t>
      </w:r>
      <w:r w:rsidR="00143E6E" w:rsidRPr="000A6219">
        <w:rPr>
          <w:rFonts w:ascii="Book Antiqua" w:hAnsi="Book Antiqua"/>
          <w:sz w:val="24"/>
          <w:szCs w:val="24"/>
          <w:lang w:val="en-US"/>
        </w:rPr>
        <w:t xml:space="preserve">mechanisms of pathogenicity have been linked </w:t>
      </w:r>
      <w:r w:rsidRPr="000A6219">
        <w:rPr>
          <w:rFonts w:ascii="Book Antiqua" w:hAnsi="Book Antiqua"/>
          <w:sz w:val="24"/>
          <w:szCs w:val="24"/>
          <w:lang w:val="en-US"/>
        </w:rPr>
        <w:t xml:space="preserve">to </w:t>
      </w:r>
      <w:r w:rsidR="00143E6E" w:rsidRPr="000A6219">
        <w:rPr>
          <w:rFonts w:ascii="Book Antiqua" w:hAnsi="Book Antiqua"/>
          <w:sz w:val="24"/>
          <w:szCs w:val="24"/>
          <w:lang w:val="en-US"/>
        </w:rPr>
        <w:t>CD physiopathology</w:t>
      </w:r>
      <w:r w:rsidR="00ED2B2C" w:rsidRPr="000A6219">
        <w:rPr>
          <w:rFonts w:ascii="Book Antiqua" w:hAnsi="Book Antiqua"/>
          <w:sz w:val="24"/>
          <w:szCs w:val="24"/>
          <w:lang w:val="en-US"/>
        </w:rPr>
        <w:t xml:space="preserve">. </w:t>
      </w:r>
      <w:r w:rsidR="0033181E" w:rsidRPr="000A6219">
        <w:rPr>
          <w:rFonts w:ascii="Book Antiqua" w:hAnsi="Book Antiqua"/>
          <w:sz w:val="24"/>
          <w:szCs w:val="24"/>
          <w:lang w:val="en-US"/>
        </w:rPr>
        <w:t>In CD, the therapeutic armamentarium remains limited and non-curative</w:t>
      </w:r>
      <w:r w:rsidRPr="000A6219">
        <w:rPr>
          <w:rFonts w:ascii="Book Antiqua" w:hAnsi="Book Antiqua"/>
          <w:sz w:val="24"/>
          <w:szCs w:val="24"/>
          <w:lang w:val="en-US"/>
        </w:rPr>
        <w:t>;</w:t>
      </w:r>
      <w:r w:rsidR="0033181E" w:rsidRPr="000A6219">
        <w:rPr>
          <w:rFonts w:ascii="Book Antiqua" w:hAnsi="Book Antiqua"/>
          <w:sz w:val="24"/>
          <w:szCs w:val="24"/>
          <w:lang w:val="en-US"/>
        </w:rPr>
        <w:t xml:space="preserve"> hence</w:t>
      </w:r>
      <w:r w:rsidRPr="000A6219">
        <w:rPr>
          <w:rFonts w:ascii="Book Antiqua" w:hAnsi="Book Antiqua"/>
          <w:sz w:val="24"/>
          <w:szCs w:val="24"/>
          <w:lang w:val="en-US"/>
        </w:rPr>
        <w:t>,</w:t>
      </w:r>
      <w:r w:rsidR="0033181E" w:rsidRPr="000A6219">
        <w:rPr>
          <w:rFonts w:ascii="Book Antiqua" w:hAnsi="Book Antiqua"/>
          <w:sz w:val="24"/>
          <w:szCs w:val="24"/>
          <w:lang w:val="en-US"/>
        </w:rPr>
        <w:t xml:space="preserve"> the necessity to better understand AIEC as a putative instigator or propagator of the disease is certain. Nonetheless, AIEC identification is currently challenging</w:t>
      </w:r>
      <w:r w:rsidRPr="000A6219">
        <w:rPr>
          <w:rFonts w:ascii="Book Antiqua" w:hAnsi="Book Antiqua"/>
          <w:sz w:val="24"/>
          <w:szCs w:val="24"/>
          <w:lang w:val="en-US"/>
        </w:rPr>
        <w:t xml:space="preserve"> because</w:t>
      </w:r>
      <w:r w:rsidR="0033181E" w:rsidRPr="000A6219">
        <w:rPr>
          <w:rFonts w:ascii="Book Antiqua" w:hAnsi="Book Antiqua"/>
          <w:sz w:val="24"/>
          <w:szCs w:val="24"/>
          <w:lang w:val="en-US"/>
        </w:rPr>
        <w:t xml:space="preserve"> it relies on phenotypic assays based on infected cell cultures which are highly time-consumi</w:t>
      </w:r>
      <w:r w:rsidRPr="000A6219">
        <w:rPr>
          <w:rFonts w:ascii="Book Antiqua" w:hAnsi="Book Antiqua"/>
          <w:sz w:val="24"/>
          <w:szCs w:val="24"/>
          <w:lang w:val="en-US"/>
        </w:rPr>
        <w:t>ng, laborious and non-standardiz</w:t>
      </w:r>
      <w:r w:rsidR="0033181E" w:rsidRPr="000A6219">
        <w:rPr>
          <w:rFonts w:ascii="Book Antiqua" w:hAnsi="Book Antiqua"/>
          <w:sz w:val="24"/>
          <w:szCs w:val="24"/>
          <w:lang w:val="en-US"/>
        </w:rPr>
        <w:t xml:space="preserve">able. To address this issue, AIEC molecular mechanisms and </w:t>
      </w:r>
      <w:r w:rsidR="00ED2B2C" w:rsidRPr="000A6219">
        <w:rPr>
          <w:rFonts w:ascii="Book Antiqua" w:hAnsi="Book Antiqua"/>
          <w:sz w:val="24"/>
          <w:szCs w:val="24"/>
          <w:lang w:val="en-US"/>
        </w:rPr>
        <w:t xml:space="preserve">virulence genes </w:t>
      </w:r>
      <w:r w:rsidR="0033181E" w:rsidRPr="000A6219">
        <w:rPr>
          <w:rFonts w:ascii="Book Antiqua" w:hAnsi="Book Antiqua"/>
          <w:sz w:val="24"/>
          <w:szCs w:val="24"/>
          <w:lang w:val="en-US"/>
        </w:rPr>
        <w:t>have been studied</w:t>
      </w:r>
      <w:r w:rsidRPr="000A6219">
        <w:rPr>
          <w:rFonts w:ascii="Book Antiqua" w:hAnsi="Book Antiqua"/>
          <w:sz w:val="24"/>
          <w:szCs w:val="24"/>
          <w:lang w:val="en-US"/>
        </w:rPr>
        <w:t xml:space="preserve">; however, </w:t>
      </w:r>
      <w:r w:rsidR="0033181E" w:rsidRPr="000A6219">
        <w:rPr>
          <w:rFonts w:ascii="Book Antiqua" w:hAnsi="Book Antiqua"/>
          <w:sz w:val="24"/>
          <w:szCs w:val="24"/>
          <w:lang w:val="en-US"/>
        </w:rPr>
        <w:t xml:space="preserve">a specific and widely distributed genetic </w:t>
      </w:r>
      <w:r w:rsidRPr="000A6219">
        <w:rPr>
          <w:rFonts w:ascii="Book Antiqua" w:hAnsi="Book Antiqua"/>
          <w:sz w:val="24"/>
          <w:szCs w:val="24"/>
          <w:lang w:val="en-US"/>
        </w:rPr>
        <w:t xml:space="preserve">AIEC </w:t>
      </w:r>
      <w:r w:rsidR="0033181E" w:rsidRPr="000A6219">
        <w:rPr>
          <w:rFonts w:ascii="Book Antiqua" w:hAnsi="Book Antiqua"/>
          <w:sz w:val="24"/>
          <w:szCs w:val="24"/>
          <w:lang w:val="en-US"/>
        </w:rPr>
        <w:t xml:space="preserve">marker is still missing. The finding of molecular tools to easily identify AIEC </w:t>
      </w:r>
      <w:r w:rsidR="0080250C" w:rsidRPr="000A6219">
        <w:rPr>
          <w:rFonts w:ascii="Book Antiqua" w:hAnsi="Book Antiqua"/>
          <w:sz w:val="24"/>
          <w:szCs w:val="24"/>
          <w:lang w:val="en-US"/>
        </w:rPr>
        <w:t xml:space="preserve">could be useful in the identification of AIEC carriers </w:t>
      </w:r>
      <w:r w:rsidRPr="000A6219">
        <w:rPr>
          <w:rFonts w:ascii="Book Antiqua" w:hAnsi="Book Antiqua"/>
          <w:sz w:val="24"/>
          <w:szCs w:val="24"/>
          <w:lang w:val="en-US"/>
        </w:rPr>
        <w:t>who</w:t>
      </w:r>
      <w:r w:rsidR="0080250C" w:rsidRPr="000A6219">
        <w:rPr>
          <w:rFonts w:ascii="Book Antiqua" w:hAnsi="Book Antiqua"/>
          <w:sz w:val="24"/>
          <w:szCs w:val="24"/>
          <w:lang w:val="en-US"/>
        </w:rPr>
        <w:t xml:space="preserve"> could profit </w:t>
      </w:r>
      <w:r w:rsidRPr="000A6219">
        <w:rPr>
          <w:rFonts w:ascii="Book Antiqua" w:hAnsi="Book Antiqua"/>
          <w:sz w:val="24"/>
          <w:szCs w:val="24"/>
          <w:lang w:val="en-US"/>
        </w:rPr>
        <w:t>from</w:t>
      </w:r>
      <w:r w:rsidR="0080250C" w:rsidRPr="000A6219">
        <w:rPr>
          <w:rFonts w:ascii="Book Antiqua" w:hAnsi="Book Antiqua"/>
          <w:sz w:val="24"/>
          <w:szCs w:val="24"/>
          <w:lang w:val="en-US"/>
        </w:rPr>
        <w:t xml:space="preserve"> personali</w:t>
      </w:r>
      <w:r w:rsidRPr="000A6219">
        <w:rPr>
          <w:rFonts w:ascii="Book Antiqua" w:hAnsi="Book Antiqua"/>
          <w:sz w:val="24"/>
          <w:szCs w:val="24"/>
          <w:lang w:val="en-US"/>
        </w:rPr>
        <w:t>z</w:t>
      </w:r>
      <w:r w:rsidR="0080250C" w:rsidRPr="000A6219">
        <w:rPr>
          <w:rFonts w:ascii="Book Antiqua" w:hAnsi="Book Antiqua"/>
          <w:sz w:val="24"/>
          <w:szCs w:val="24"/>
          <w:lang w:val="en-US"/>
        </w:rPr>
        <w:t>ed treatment. Also</w:t>
      </w:r>
      <w:r w:rsidRPr="000A6219">
        <w:rPr>
          <w:rFonts w:ascii="Book Antiqua" w:hAnsi="Book Antiqua"/>
          <w:sz w:val="24"/>
          <w:szCs w:val="24"/>
          <w:lang w:val="en-US"/>
        </w:rPr>
        <w:t>,</w:t>
      </w:r>
      <w:r w:rsidR="0080250C" w:rsidRPr="000A6219">
        <w:rPr>
          <w:rFonts w:ascii="Book Antiqua" w:hAnsi="Book Antiqua"/>
          <w:sz w:val="24"/>
          <w:szCs w:val="24"/>
          <w:lang w:val="en-US"/>
        </w:rPr>
        <w:t xml:space="preserve"> it </w:t>
      </w:r>
      <w:r w:rsidR="0033181E" w:rsidRPr="000A6219">
        <w:rPr>
          <w:rFonts w:ascii="Book Antiqua" w:hAnsi="Book Antiqua"/>
          <w:sz w:val="24"/>
          <w:szCs w:val="24"/>
          <w:lang w:val="en-US"/>
        </w:rPr>
        <w:t xml:space="preserve">would </w:t>
      </w:r>
      <w:r w:rsidR="00EB1D50" w:rsidRPr="000A6219">
        <w:rPr>
          <w:rFonts w:ascii="Book Antiqua" w:hAnsi="Book Antiqua"/>
          <w:sz w:val="24"/>
          <w:szCs w:val="24"/>
          <w:lang w:val="en-US"/>
        </w:rPr>
        <w:t xml:space="preserve">significantly promote AIEC </w:t>
      </w:r>
      <w:r w:rsidRPr="000A6219">
        <w:rPr>
          <w:rFonts w:ascii="Book Antiqua" w:hAnsi="Book Antiqua"/>
          <w:sz w:val="24"/>
          <w:szCs w:val="24"/>
          <w:lang w:val="en-US"/>
        </w:rPr>
        <w:t>epidemiological</w:t>
      </w:r>
      <w:r w:rsidR="0033181E" w:rsidRPr="000A6219">
        <w:rPr>
          <w:rFonts w:ascii="Book Antiqua" w:hAnsi="Book Antiqua"/>
          <w:sz w:val="24"/>
          <w:szCs w:val="24"/>
          <w:lang w:val="en-US"/>
        </w:rPr>
        <w:t xml:space="preserve"> </w:t>
      </w:r>
      <w:r w:rsidR="00EB1D50" w:rsidRPr="000A6219">
        <w:rPr>
          <w:rFonts w:ascii="Book Antiqua" w:hAnsi="Book Antiqua"/>
          <w:sz w:val="24"/>
          <w:szCs w:val="24"/>
          <w:lang w:val="en-US"/>
        </w:rPr>
        <w:t>studies</w:t>
      </w:r>
      <w:r w:rsidR="008D2842" w:rsidRPr="000A6219">
        <w:rPr>
          <w:rFonts w:ascii="Book Antiqua" w:hAnsi="Book Antiqua"/>
          <w:sz w:val="24"/>
          <w:szCs w:val="24"/>
          <w:lang w:val="en-US"/>
        </w:rPr>
        <w:t xml:space="preserve">. </w:t>
      </w:r>
      <w:r w:rsidR="00B007F5" w:rsidRPr="000A6219">
        <w:rPr>
          <w:rFonts w:ascii="Book Antiqua" w:hAnsi="Book Antiqua"/>
          <w:sz w:val="24"/>
          <w:szCs w:val="24"/>
          <w:lang w:val="en-US"/>
        </w:rPr>
        <w:t xml:space="preserve">Here, </w:t>
      </w:r>
      <w:r w:rsidR="006B4EEF" w:rsidRPr="000A6219">
        <w:rPr>
          <w:rFonts w:ascii="Book Antiqua" w:hAnsi="Book Antiqua"/>
          <w:sz w:val="24"/>
          <w:szCs w:val="24"/>
          <w:lang w:val="en-US"/>
        </w:rPr>
        <w:t>we review</w:t>
      </w:r>
      <w:r w:rsidR="006C536E" w:rsidRPr="000A6219">
        <w:rPr>
          <w:rFonts w:ascii="Book Antiqua" w:hAnsi="Book Antiqua"/>
          <w:sz w:val="24"/>
          <w:szCs w:val="24"/>
          <w:lang w:val="en-US"/>
        </w:rPr>
        <w:t>ed</w:t>
      </w:r>
      <w:r w:rsidR="006B4EEF" w:rsidRPr="000A6219">
        <w:rPr>
          <w:rFonts w:ascii="Book Antiqua" w:hAnsi="Book Antiqua"/>
          <w:sz w:val="24"/>
          <w:szCs w:val="24"/>
          <w:lang w:val="en-US"/>
        </w:rPr>
        <w:t xml:space="preserve"> the existing data regarding AIEC genetics and present</w:t>
      </w:r>
      <w:r w:rsidR="006C536E" w:rsidRPr="000A6219">
        <w:rPr>
          <w:rFonts w:ascii="Book Antiqua" w:hAnsi="Book Antiqua"/>
          <w:sz w:val="24"/>
          <w:szCs w:val="24"/>
          <w:lang w:val="en-US"/>
        </w:rPr>
        <w:t>ed</w:t>
      </w:r>
      <w:r w:rsidR="006B4EEF" w:rsidRPr="000A6219">
        <w:rPr>
          <w:rFonts w:ascii="Book Antiqua" w:hAnsi="Book Antiqua"/>
          <w:sz w:val="24"/>
          <w:szCs w:val="24"/>
          <w:lang w:val="en-US"/>
        </w:rPr>
        <w:t xml:space="preserve"> those molecular markers that could assist </w:t>
      </w:r>
      <w:r w:rsidRPr="000A6219">
        <w:rPr>
          <w:rFonts w:ascii="Book Antiqua" w:hAnsi="Book Antiqua"/>
          <w:sz w:val="24"/>
          <w:szCs w:val="24"/>
          <w:lang w:val="en-US"/>
        </w:rPr>
        <w:t xml:space="preserve">with </w:t>
      </w:r>
      <w:r w:rsidR="006B4EEF" w:rsidRPr="000A6219">
        <w:rPr>
          <w:rFonts w:ascii="Book Antiqua" w:hAnsi="Book Antiqua"/>
          <w:sz w:val="24"/>
          <w:szCs w:val="24"/>
          <w:lang w:val="en-US"/>
        </w:rPr>
        <w:t>AIEC identification. Finally, we highlight</w:t>
      </w:r>
      <w:r w:rsidR="006C536E" w:rsidRPr="000A6219">
        <w:rPr>
          <w:rFonts w:ascii="Book Antiqua" w:hAnsi="Book Antiqua"/>
          <w:sz w:val="24"/>
          <w:szCs w:val="24"/>
          <w:lang w:val="en-US"/>
        </w:rPr>
        <w:t>ed</w:t>
      </w:r>
      <w:r w:rsidR="006B4EEF" w:rsidRPr="000A6219">
        <w:rPr>
          <w:rFonts w:ascii="Book Antiqua" w:hAnsi="Book Antiqua"/>
          <w:sz w:val="24"/>
          <w:szCs w:val="24"/>
          <w:lang w:val="en-US"/>
        </w:rPr>
        <w:t xml:space="preserve"> the </w:t>
      </w:r>
      <w:r w:rsidRPr="000A6219">
        <w:rPr>
          <w:rFonts w:ascii="Book Antiqua" w:hAnsi="Book Antiqua"/>
          <w:sz w:val="24"/>
          <w:szCs w:val="24"/>
          <w:lang w:val="en-US"/>
        </w:rPr>
        <w:t>problems</w:t>
      </w:r>
      <w:r w:rsidR="006B4EEF" w:rsidRPr="000A6219">
        <w:rPr>
          <w:rFonts w:ascii="Book Antiqua" w:hAnsi="Book Antiqua"/>
          <w:sz w:val="24"/>
          <w:szCs w:val="24"/>
          <w:lang w:val="en-US"/>
        </w:rPr>
        <w:t xml:space="preserve"> behind the discovery of exclusive AIEC biomarkers and </w:t>
      </w:r>
      <w:r w:rsidR="00BD5846" w:rsidRPr="000A6219">
        <w:rPr>
          <w:rFonts w:ascii="Book Antiqua" w:hAnsi="Book Antiqua"/>
          <w:sz w:val="24"/>
          <w:szCs w:val="24"/>
          <w:lang w:val="en-US"/>
        </w:rPr>
        <w:t xml:space="preserve">proposed </w:t>
      </w:r>
      <w:r w:rsidR="006B4EEF" w:rsidRPr="000A6219">
        <w:rPr>
          <w:rFonts w:ascii="Book Antiqua" w:hAnsi="Book Antiqua"/>
          <w:sz w:val="24"/>
          <w:szCs w:val="24"/>
          <w:lang w:val="en-US"/>
        </w:rPr>
        <w:t xml:space="preserve">strategies to facilitate the search </w:t>
      </w:r>
      <w:r w:rsidR="00054840" w:rsidRPr="000A6219">
        <w:rPr>
          <w:rFonts w:ascii="Book Antiqua" w:hAnsi="Book Antiqua"/>
          <w:sz w:val="24"/>
          <w:szCs w:val="24"/>
          <w:lang w:val="en-US"/>
        </w:rPr>
        <w:t>of AIEC signature sequences.</w:t>
      </w:r>
    </w:p>
    <w:p w14:paraId="3C88F3CB" w14:textId="77777777" w:rsidR="00CE7FDE" w:rsidRPr="000A6219" w:rsidRDefault="00CE7FDE" w:rsidP="000A6219">
      <w:pPr>
        <w:snapToGrid w:val="0"/>
        <w:spacing w:after="0" w:line="360" w:lineRule="auto"/>
        <w:jc w:val="both"/>
        <w:rPr>
          <w:rFonts w:ascii="Book Antiqua" w:eastAsia="Calibri" w:hAnsi="Book Antiqua" w:cs="Times New Roman"/>
          <w:b/>
          <w:sz w:val="24"/>
          <w:szCs w:val="24"/>
          <w:lang w:val="en-US"/>
        </w:rPr>
      </w:pPr>
    </w:p>
    <w:p w14:paraId="05ED3416" w14:textId="60D6EF8D" w:rsidR="0010433F" w:rsidRPr="000A6219" w:rsidRDefault="000F373A" w:rsidP="000A6219">
      <w:pPr>
        <w:snapToGrid w:val="0"/>
        <w:spacing w:after="0"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t xml:space="preserve">Key words: </w:t>
      </w:r>
      <w:r w:rsidR="009B4172" w:rsidRPr="000A6219">
        <w:rPr>
          <w:rFonts w:ascii="Book Antiqua" w:eastAsia="Calibri" w:hAnsi="Book Antiqua" w:cs="Times New Roman"/>
          <w:sz w:val="24"/>
          <w:szCs w:val="24"/>
          <w:lang w:val="en-US"/>
        </w:rPr>
        <w:t xml:space="preserve">Crohn’s disease; Adherent-invasive </w:t>
      </w:r>
      <w:r w:rsidR="00BF7F8C" w:rsidRPr="000A6219">
        <w:rPr>
          <w:rFonts w:ascii="Book Antiqua" w:eastAsia="Calibri" w:hAnsi="Book Antiqua" w:cs="Times New Roman"/>
          <w:i/>
          <w:sz w:val="24"/>
          <w:szCs w:val="24"/>
          <w:lang w:val="en-US"/>
        </w:rPr>
        <w:t>Escherichia</w:t>
      </w:r>
      <w:r w:rsidR="009B4172" w:rsidRPr="000A6219">
        <w:rPr>
          <w:rFonts w:ascii="Book Antiqua" w:eastAsia="Calibri" w:hAnsi="Book Antiqua" w:cs="Times New Roman"/>
          <w:i/>
          <w:sz w:val="24"/>
          <w:szCs w:val="24"/>
          <w:lang w:val="en-US"/>
        </w:rPr>
        <w:t xml:space="preserve"> coli</w:t>
      </w:r>
      <w:r w:rsidR="009B4172" w:rsidRPr="000A6219">
        <w:rPr>
          <w:rFonts w:ascii="Book Antiqua" w:eastAsia="Calibri" w:hAnsi="Book Antiqua" w:cs="Times New Roman"/>
          <w:sz w:val="24"/>
          <w:szCs w:val="24"/>
          <w:lang w:val="en-US"/>
        </w:rPr>
        <w:t xml:space="preserve">; Molecular markers; </w:t>
      </w:r>
      <w:r w:rsidRPr="000A6219">
        <w:rPr>
          <w:rFonts w:ascii="Book Antiqua" w:eastAsia="Calibri" w:hAnsi="Book Antiqua" w:cs="Times New Roman"/>
          <w:sz w:val="24"/>
          <w:szCs w:val="24"/>
          <w:lang w:val="en-US"/>
        </w:rPr>
        <w:t>Genetics</w:t>
      </w:r>
      <w:r w:rsidR="009B4172" w:rsidRPr="000A6219">
        <w:rPr>
          <w:rFonts w:ascii="Book Antiqua" w:eastAsia="Calibri" w:hAnsi="Book Antiqua" w:cs="Times New Roman"/>
          <w:sz w:val="24"/>
          <w:szCs w:val="24"/>
          <w:lang w:val="en-US"/>
        </w:rPr>
        <w:t xml:space="preserve">; </w:t>
      </w:r>
      <w:r w:rsidR="00C43421" w:rsidRPr="000A6219">
        <w:rPr>
          <w:rFonts w:ascii="Book Antiqua" w:eastAsia="Calibri" w:hAnsi="Book Antiqua" w:cs="Times New Roman"/>
          <w:sz w:val="24"/>
          <w:szCs w:val="24"/>
          <w:lang w:val="en-US"/>
        </w:rPr>
        <w:t xml:space="preserve">Inflammatory bowel disease; </w:t>
      </w:r>
      <w:r w:rsidRPr="000A6219">
        <w:rPr>
          <w:rFonts w:ascii="Book Antiqua" w:eastAsia="Calibri" w:hAnsi="Book Antiqua" w:cs="Times New Roman"/>
          <w:sz w:val="24"/>
          <w:szCs w:val="24"/>
          <w:lang w:val="en-US"/>
        </w:rPr>
        <w:t>Signature sequences</w:t>
      </w:r>
    </w:p>
    <w:p w14:paraId="6CFD840A" w14:textId="77777777" w:rsidR="00CE7FDE" w:rsidRPr="000A6219" w:rsidRDefault="00CE7FDE" w:rsidP="000A6219">
      <w:pPr>
        <w:snapToGrid w:val="0"/>
        <w:spacing w:after="0" w:line="360" w:lineRule="auto"/>
        <w:jc w:val="both"/>
        <w:rPr>
          <w:rFonts w:ascii="Book Antiqua" w:eastAsia="Calibri" w:hAnsi="Book Antiqua" w:cs="Times New Roman"/>
          <w:b/>
          <w:sz w:val="24"/>
          <w:szCs w:val="24"/>
          <w:lang w:val="en-US"/>
        </w:rPr>
      </w:pPr>
    </w:p>
    <w:p w14:paraId="20822BCB" w14:textId="545B71DA" w:rsidR="000F373A" w:rsidRPr="000A6219" w:rsidRDefault="000F373A" w:rsidP="000A6219">
      <w:pPr>
        <w:snapToGrid w:val="0"/>
        <w:spacing w:after="0" w:line="360" w:lineRule="auto"/>
        <w:jc w:val="both"/>
        <w:rPr>
          <w:rFonts w:ascii="Book Antiqua" w:eastAsia="Calibri" w:hAnsi="Book Antiqua" w:cs="Times New Roman"/>
          <w:i/>
          <w:sz w:val="24"/>
          <w:szCs w:val="24"/>
          <w:lang w:val="en-US"/>
        </w:rPr>
      </w:pPr>
      <w:proofErr w:type="spellStart"/>
      <w:r w:rsidRPr="000A6219">
        <w:rPr>
          <w:rFonts w:ascii="Book Antiqua" w:eastAsia="Calibri" w:hAnsi="Book Antiqua" w:cs="Times New Roman"/>
          <w:sz w:val="24"/>
          <w:szCs w:val="24"/>
          <w:lang w:val="en-US"/>
        </w:rPr>
        <w:t>Camprubí</w:t>
      </w:r>
      <w:proofErr w:type="spellEnd"/>
      <w:r w:rsidRPr="000A6219">
        <w:rPr>
          <w:rFonts w:ascii="Book Antiqua" w:eastAsia="Calibri" w:hAnsi="Book Antiqua" w:cs="Times New Roman"/>
          <w:sz w:val="24"/>
          <w:szCs w:val="24"/>
          <w:lang w:val="en-US"/>
        </w:rPr>
        <w:t xml:space="preserve">-Font C, Martinez-Medina M. Why the discovery of adherent-invasive </w:t>
      </w:r>
      <w:r w:rsidRPr="000A6219">
        <w:rPr>
          <w:rFonts w:ascii="Book Antiqua" w:eastAsia="Calibri" w:hAnsi="Book Antiqua" w:cs="Times New Roman"/>
          <w:i/>
          <w:sz w:val="24"/>
          <w:szCs w:val="24"/>
          <w:lang w:val="en-US"/>
        </w:rPr>
        <w:t xml:space="preserve">Escherichia coli </w:t>
      </w:r>
      <w:r w:rsidRPr="000A6219">
        <w:rPr>
          <w:rFonts w:ascii="Book Antiqua" w:eastAsia="Calibri" w:hAnsi="Book Antiqua" w:cs="Times New Roman"/>
          <w:sz w:val="24"/>
          <w:szCs w:val="24"/>
          <w:lang w:val="en-US"/>
        </w:rPr>
        <w:t>molecular markers is so challenging?</w:t>
      </w:r>
      <w:r w:rsidRPr="000A6219">
        <w:rPr>
          <w:rFonts w:ascii="Book Antiqua" w:eastAsia="Calibri" w:hAnsi="Book Antiqua" w:cs="Times New Roman"/>
          <w:i/>
          <w:sz w:val="24"/>
          <w:szCs w:val="24"/>
          <w:lang w:val="en-US"/>
        </w:rPr>
        <w:t xml:space="preserve"> World J Biol Chem </w:t>
      </w:r>
      <w:r w:rsidRPr="000A6219">
        <w:rPr>
          <w:rFonts w:ascii="Book Antiqua" w:eastAsia="宋体" w:hAnsi="Book Antiqua"/>
          <w:iCs/>
          <w:sz w:val="24"/>
          <w:szCs w:val="24"/>
          <w:lang w:eastAsia="zh-CN"/>
        </w:rPr>
        <w:t>2020;</w:t>
      </w:r>
      <w:r w:rsidRPr="000A6219">
        <w:rPr>
          <w:rFonts w:ascii="Book Antiqua" w:hAnsi="Book Antiqua"/>
          <w:bCs/>
          <w:sz w:val="24"/>
          <w:szCs w:val="24"/>
          <w:lang w:eastAsia="zh-CN"/>
        </w:rPr>
        <w:t xml:space="preserve"> In press</w:t>
      </w:r>
    </w:p>
    <w:p w14:paraId="56A0646D" w14:textId="77777777" w:rsidR="000F373A" w:rsidRPr="000A6219" w:rsidRDefault="000F373A" w:rsidP="000A6219">
      <w:pPr>
        <w:snapToGrid w:val="0"/>
        <w:spacing w:after="0" w:line="360" w:lineRule="auto"/>
        <w:jc w:val="both"/>
        <w:rPr>
          <w:rFonts w:ascii="Book Antiqua" w:eastAsia="Calibri" w:hAnsi="Book Antiqua" w:cs="Times New Roman"/>
          <w:b/>
          <w:sz w:val="24"/>
          <w:szCs w:val="24"/>
          <w:lang w:val="en-US"/>
        </w:rPr>
      </w:pPr>
    </w:p>
    <w:p w14:paraId="08174090" w14:textId="0C6AF40D" w:rsidR="000F373A" w:rsidRPr="000A6219" w:rsidRDefault="000E153F" w:rsidP="000A6219">
      <w:pPr>
        <w:snapToGrid w:val="0"/>
        <w:spacing w:after="0" w:line="360" w:lineRule="auto"/>
        <w:jc w:val="both"/>
        <w:rPr>
          <w:rFonts w:ascii="Book Antiqua" w:eastAsia="Calibri" w:hAnsi="Book Antiqua" w:cs="Times New Roman"/>
          <w:sz w:val="24"/>
          <w:szCs w:val="24"/>
          <w:lang w:val="en-US"/>
        </w:rPr>
      </w:pPr>
      <w:r>
        <w:rPr>
          <w:rFonts w:ascii="Book Antiqua" w:eastAsia="Calibri" w:hAnsi="Book Antiqua" w:cs="Times New Roman"/>
          <w:b/>
          <w:sz w:val="24"/>
          <w:szCs w:val="24"/>
          <w:lang w:val="en-US"/>
        </w:rPr>
        <w:t>Core tip</w:t>
      </w:r>
      <w:r w:rsidR="000F373A" w:rsidRPr="000A6219">
        <w:rPr>
          <w:rFonts w:ascii="Book Antiqua" w:eastAsia="Calibri" w:hAnsi="Book Antiqua" w:cs="Times New Roman"/>
          <w:b/>
          <w:sz w:val="24"/>
          <w:szCs w:val="24"/>
          <w:lang w:val="en-US"/>
        </w:rPr>
        <w:t xml:space="preserve">: </w:t>
      </w:r>
      <w:r w:rsidR="00054840" w:rsidRPr="000A6219">
        <w:rPr>
          <w:rFonts w:ascii="Book Antiqua" w:eastAsia="Calibri" w:hAnsi="Book Antiqua" w:cs="Times New Roman"/>
          <w:sz w:val="24"/>
          <w:szCs w:val="24"/>
          <w:lang w:val="en-US"/>
        </w:rPr>
        <w:t xml:space="preserve">In this review, we thoroughly </w:t>
      </w:r>
      <w:r w:rsidR="00B106E4" w:rsidRPr="000A6219">
        <w:rPr>
          <w:rFonts w:ascii="Book Antiqua" w:eastAsia="Calibri" w:hAnsi="Book Antiqua" w:cs="Times New Roman"/>
          <w:sz w:val="24"/>
          <w:szCs w:val="24"/>
          <w:lang w:val="en-US"/>
        </w:rPr>
        <w:t>review</w:t>
      </w:r>
      <w:r w:rsidR="00054840" w:rsidRPr="000A6219">
        <w:rPr>
          <w:rFonts w:ascii="Book Antiqua" w:eastAsia="Calibri" w:hAnsi="Book Antiqua" w:cs="Times New Roman"/>
          <w:sz w:val="24"/>
          <w:szCs w:val="24"/>
          <w:lang w:val="en-US"/>
        </w:rPr>
        <w:t xml:space="preserve"> </w:t>
      </w:r>
      <w:r w:rsidR="00312B0C" w:rsidRPr="000A6219">
        <w:rPr>
          <w:rFonts w:ascii="Book Antiqua" w:eastAsia="Calibri" w:hAnsi="Book Antiqua" w:cs="Times New Roman"/>
          <w:sz w:val="24"/>
          <w:szCs w:val="24"/>
          <w:lang w:val="en-US"/>
        </w:rPr>
        <w:t xml:space="preserve">the approaches </w:t>
      </w:r>
      <w:r w:rsidR="00B106E4" w:rsidRPr="000A6219">
        <w:rPr>
          <w:rFonts w:ascii="Book Antiqua" w:eastAsia="Calibri" w:hAnsi="Book Antiqua" w:cs="Times New Roman"/>
          <w:sz w:val="24"/>
          <w:szCs w:val="24"/>
          <w:lang w:val="en-US"/>
        </w:rPr>
        <w:t>for deciphering</w:t>
      </w:r>
      <w:r w:rsidR="00312B0C" w:rsidRPr="000A6219">
        <w:rPr>
          <w:rFonts w:ascii="Book Antiqua" w:eastAsia="Calibri" w:hAnsi="Book Antiqua" w:cs="Times New Roman"/>
          <w:sz w:val="24"/>
          <w:szCs w:val="24"/>
          <w:lang w:val="en-US"/>
        </w:rPr>
        <w:t xml:space="preserve"> adherent-invasive </w:t>
      </w:r>
      <w:r w:rsidR="00312B0C" w:rsidRPr="000A6219">
        <w:rPr>
          <w:rFonts w:ascii="Book Antiqua" w:eastAsia="Calibri" w:hAnsi="Book Antiqua" w:cs="Times New Roman"/>
          <w:i/>
          <w:sz w:val="24"/>
          <w:szCs w:val="24"/>
          <w:lang w:val="en-US"/>
        </w:rPr>
        <w:t xml:space="preserve">Escherichia coli </w:t>
      </w:r>
      <w:r w:rsidR="00312B0C" w:rsidRPr="000A6219">
        <w:rPr>
          <w:rFonts w:ascii="Book Antiqua" w:eastAsia="Calibri" w:hAnsi="Book Antiqua" w:cs="Times New Roman"/>
          <w:sz w:val="24"/>
          <w:szCs w:val="24"/>
          <w:lang w:val="en-US"/>
        </w:rPr>
        <w:t>(AIEC) genetics</w:t>
      </w:r>
      <w:r w:rsidR="00EE2E57" w:rsidRPr="000A6219">
        <w:rPr>
          <w:rFonts w:ascii="Book Antiqua" w:eastAsia="Calibri" w:hAnsi="Book Antiqua" w:cs="Times New Roman"/>
          <w:sz w:val="24"/>
          <w:szCs w:val="24"/>
          <w:lang w:val="en-US"/>
        </w:rPr>
        <w:t>. T</w:t>
      </w:r>
      <w:r w:rsidR="00885E21" w:rsidRPr="000A6219">
        <w:rPr>
          <w:rFonts w:ascii="Book Antiqua" w:eastAsia="Calibri" w:hAnsi="Book Antiqua" w:cs="Times New Roman"/>
          <w:sz w:val="24"/>
          <w:szCs w:val="24"/>
          <w:lang w:val="en-US"/>
        </w:rPr>
        <w:t>he characteristics of putative AIEC molecular markers that could assist in AIEC identification</w:t>
      </w:r>
      <w:r w:rsidR="00EE2E57" w:rsidRPr="000A6219">
        <w:rPr>
          <w:rFonts w:ascii="Book Antiqua" w:eastAsia="Calibri" w:hAnsi="Book Antiqua" w:cs="Times New Roman"/>
          <w:sz w:val="24"/>
          <w:szCs w:val="24"/>
          <w:lang w:val="en-US"/>
        </w:rPr>
        <w:t xml:space="preserve"> are desc</w:t>
      </w:r>
      <w:r w:rsidR="00605ADD" w:rsidRPr="000A6219">
        <w:rPr>
          <w:rFonts w:ascii="Book Antiqua" w:eastAsia="Calibri" w:hAnsi="Book Antiqua" w:cs="Times New Roman"/>
          <w:sz w:val="24"/>
          <w:szCs w:val="24"/>
          <w:lang w:val="en-US"/>
        </w:rPr>
        <w:t>r</w:t>
      </w:r>
      <w:r w:rsidR="00EE2E57" w:rsidRPr="000A6219">
        <w:rPr>
          <w:rFonts w:ascii="Book Antiqua" w:eastAsia="Calibri" w:hAnsi="Book Antiqua" w:cs="Times New Roman"/>
          <w:sz w:val="24"/>
          <w:szCs w:val="24"/>
          <w:lang w:val="en-US"/>
        </w:rPr>
        <w:t>ibed</w:t>
      </w:r>
      <w:r w:rsidR="00885E21" w:rsidRPr="000A6219">
        <w:rPr>
          <w:rFonts w:ascii="Book Antiqua" w:eastAsia="Calibri" w:hAnsi="Book Antiqua" w:cs="Times New Roman"/>
          <w:sz w:val="24"/>
          <w:szCs w:val="24"/>
          <w:lang w:val="en-US"/>
        </w:rPr>
        <w:t xml:space="preserve">. </w:t>
      </w:r>
      <w:r w:rsidR="00B106E4" w:rsidRPr="000A6219">
        <w:rPr>
          <w:rFonts w:ascii="Book Antiqua" w:eastAsia="Calibri" w:hAnsi="Book Antiqua" w:cs="Times New Roman"/>
          <w:sz w:val="24"/>
          <w:szCs w:val="24"/>
          <w:lang w:val="en-US"/>
        </w:rPr>
        <w:t>We then</w:t>
      </w:r>
      <w:r w:rsidR="00885E21" w:rsidRPr="000A6219">
        <w:rPr>
          <w:rFonts w:ascii="Book Antiqua" w:eastAsia="Calibri" w:hAnsi="Book Antiqua" w:cs="Times New Roman"/>
          <w:sz w:val="24"/>
          <w:szCs w:val="24"/>
          <w:lang w:val="en-US"/>
        </w:rPr>
        <w:t xml:space="preserve"> discuss several aspects that could explain the difficulty behind the </w:t>
      </w:r>
      <w:r w:rsidR="00885E21" w:rsidRPr="000A6219">
        <w:rPr>
          <w:rFonts w:ascii="Book Antiqua" w:eastAsia="Calibri" w:hAnsi="Book Antiqua" w:cs="Times New Roman"/>
          <w:sz w:val="24"/>
          <w:szCs w:val="24"/>
          <w:lang w:val="en-US"/>
        </w:rPr>
        <w:lastRenderedPageBreak/>
        <w:t xml:space="preserve">discovery of </w:t>
      </w:r>
      <w:r w:rsidR="00424BD2" w:rsidRPr="000A6219">
        <w:rPr>
          <w:rFonts w:ascii="Book Antiqua" w:eastAsia="Calibri" w:hAnsi="Book Antiqua" w:cs="Times New Roman"/>
          <w:sz w:val="24"/>
          <w:szCs w:val="24"/>
          <w:lang w:val="en-US"/>
        </w:rPr>
        <w:t>suitable</w:t>
      </w:r>
      <w:r w:rsidR="00885E21" w:rsidRPr="000A6219">
        <w:rPr>
          <w:rFonts w:ascii="Book Antiqua" w:eastAsia="Calibri" w:hAnsi="Book Antiqua" w:cs="Times New Roman"/>
          <w:sz w:val="24"/>
          <w:szCs w:val="24"/>
          <w:lang w:val="en-US"/>
        </w:rPr>
        <w:t xml:space="preserve"> biomarkers and highlight the importance of standardi</w:t>
      </w:r>
      <w:r w:rsidR="00424BD2" w:rsidRPr="000A6219">
        <w:rPr>
          <w:rFonts w:ascii="Book Antiqua" w:eastAsia="Calibri" w:hAnsi="Book Antiqua" w:cs="Times New Roman"/>
          <w:sz w:val="24"/>
          <w:szCs w:val="24"/>
          <w:lang w:val="en-US"/>
        </w:rPr>
        <w:t>z</w:t>
      </w:r>
      <w:r w:rsidR="00885E21" w:rsidRPr="000A6219">
        <w:rPr>
          <w:rFonts w:ascii="Book Antiqua" w:eastAsia="Calibri" w:hAnsi="Book Antiqua" w:cs="Times New Roman"/>
          <w:sz w:val="24"/>
          <w:szCs w:val="24"/>
          <w:lang w:val="en-US"/>
        </w:rPr>
        <w:t>ing AIEC protocols in orde</w:t>
      </w:r>
      <w:r w:rsidR="00424BD2" w:rsidRPr="000A6219">
        <w:rPr>
          <w:rFonts w:ascii="Book Antiqua" w:eastAsia="Calibri" w:hAnsi="Book Antiqua" w:cs="Times New Roman"/>
          <w:sz w:val="24"/>
          <w:szCs w:val="24"/>
          <w:lang w:val="en-US"/>
        </w:rPr>
        <w:t>r to increase the probability of</w:t>
      </w:r>
      <w:r w:rsidR="00885E21" w:rsidRPr="000A6219">
        <w:rPr>
          <w:rFonts w:ascii="Book Antiqua" w:eastAsia="Calibri" w:hAnsi="Book Antiqua" w:cs="Times New Roman"/>
          <w:sz w:val="24"/>
          <w:szCs w:val="24"/>
          <w:lang w:val="en-US"/>
        </w:rPr>
        <w:t xml:space="preserve"> find</w:t>
      </w:r>
      <w:r w:rsidR="00424BD2" w:rsidRPr="000A6219">
        <w:rPr>
          <w:rFonts w:ascii="Book Antiqua" w:eastAsia="Calibri" w:hAnsi="Book Antiqua" w:cs="Times New Roman"/>
          <w:sz w:val="24"/>
          <w:szCs w:val="24"/>
          <w:lang w:val="en-US"/>
        </w:rPr>
        <w:t>ing these biomarkers</w:t>
      </w:r>
      <w:r w:rsidR="00885E21" w:rsidRPr="000A6219">
        <w:rPr>
          <w:rFonts w:ascii="Book Antiqua" w:eastAsia="Calibri" w:hAnsi="Book Antiqua" w:cs="Times New Roman"/>
          <w:sz w:val="24"/>
          <w:szCs w:val="24"/>
          <w:lang w:val="en-US"/>
        </w:rPr>
        <w:t xml:space="preserve">. Finally, we point out new approaches </w:t>
      </w:r>
      <w:r w:rsidR="00424BD2" w:rsidRPr="000A6219">
        <w:rPr>
          <w:rFonts w:ascii="Book Antiqua" w:eastAsia="Calibri" w:hAnsi="Book Antiqua" w:cs="Times New Roman"/>
          <w:sz w:val="24"/>
          <w:szCs w:val="24"/>
          <w:lang w:val="en-US"/>
        </w:rPr>
        <w:t>for looking</w:t>
      </w:r>
      <w:r w:rsidR="00885E21" w:rsidRPr="000A6219">
        <w:rPr>
          <w:rFonts w:ascii="Book Antiqua" w:eastAsia="Calibri" w:hAnsi="Book Antiqua" w:cs="Times New Roman"/>
          <w:sz w:val="24"/>
          <w:szCs w:val="24"/>
          <w:lang w:val="en-US"/>
        </w:rPr>
        <w:t xml:space="preserve"> for signature sequences </w:t>
      </w:r>
      <w:r w:rsidR="00424BD2" w:rsidRPr="000A6219">
        <w:rPr>
          <w:rFonts w:ascii="Book Antiqua" w:eastAsia="Calibri" w:hAnsi="Book Antiqua" w:cs="Times New Roman"/>
          <w:sz w:val="24"/>
          <w:szCs w:val="24"/>
          <w:lang w:val="en-US"/>
        </w:rPr>
        <w:t>that</w:t>
      </w:r>
      <w:r w:rsidR="00885E21" w:rsidRPr="000A6219">
        <w:rPr>
          <w:rFonts w:ascii="Book Antiqua" w:eastAsia="Calibri" w:hAnsi="Book Antiqua" w:cs="Times New Roman"/>
          <w:sz w:val="24"/>
          <w:szCs w:val="24"/>
          <w:lang w:val="en-US"/>
        </w:rPr>
        <w:t xml:space="preserve"> need to take into account </w:t>
      </w:r>
      <w:r w:rsidR="00424BD2" w:rsidRPr="000A6219">
        <w:rPr>
          <w:rFonts w:ascii="Book Antiqua" w:eastAsia="Calibri" w:hAnsi="Book Antiqua" w:cs="Times New Roman"/>
          <w:sz w:val="24"/>
          <w:szCs w:val="24"/>
          <w:lang w:val="en-US"/>
        </w:rPr>
        <w:t xml:space="preserve">the </w:t>
      </w:r>
      <w:r w:rsidR="00885E21" w:rsidRPr="000A6219">
        <w:rPr>
          <w:rFonts w:ascii="Book Antiqua" w:eastAsia="Calibri" w:hAnsi="Book Antiqua" w:cs="Times New Roman"/>
          <w:sz w:val="24"/>
          <w:szCs w:val="24"/>
          <w:lang w:val="en-US"/>
        </w:rPr>
        <w:t xml:space="preserve">AIEC </w:t>
      </w:r>
      <w:r w:rsidR="003B4B62" w:rsidRPr="000A6219">
        <w:rPr>
          <w:rFonts w:ascii="Book Antiqua" w:eastAsia="Calibri" w:hAnsi="Book Antiqua" w:cs="Times New Roman"/>
          <w:sz w:val="24"/>
          <w:szCs w:val="24"/>
          <w:lang w:val="en-US"/>
        </w:rPr>
        <w:t xml:space="preserve">phylogenetic origin </w:t>
      </w:r>
      <w:r w:rsidR="00885E21" w:rsidRPr="000A6219">
        <w:rPr>
          <w:rFonts w:ascii="Book Antiqua" w:eastAsia="Calibri" w:hAnsi="Book Antiqua" w:cs="Times New Roman"/>
          <w:sz w:val="24"/>
          <w:szCs w:val="24"/>
          <w:lang w:val="en-US"/>
        </w:rPr>
        <w:t xml:space="preserve">and </w:t>
      </w:r>
      <w:r w:rsidR="00424BD2" w:rsidRPr="000A6219">
        <w:rPr>
          <w:rFonts w:ascii="Book Antiqua" w:eastAsia="Calibri" w:hAnsi="Book Antiqua" w:cs="Times New Roman"/>
          <w:sz w:val="24"/>
          <w:szCs w:val="24"/>
          <w:lang w:val="en-US"/>
        </w:rPr>
        <w:t xml:space="preserve">strain </w:t>
      </w:r>
      <w:r w:rsidR="00885E21" w:rsidRPr="000A6219">
        <w:rPr>
          <w:rFonts w:ascii="Book Antiqua" w:eastAsia="Calibri" w:hAnsi="Book Antiqua" w:cs="Times New Roman"/>
          <w:sz w:val="24"/>
          <w:szCs w:val="24"/>
          <w:lang w:val="en-US"/>
        </w:rPr>
        <w:t xml:space="preserve">virulence </w:t>
      </w:r>
      <w:r w:rsidR="00424BD2" w:rsidRPr="000A6219">
        <w:rPr>
          <w:rFonts w:ascii="Book Antiqua" w:eastAsia="Calibri" w:hAnsi="Book Antiqua" w:cs="Times New Roman"/>
          <w:sz w:val="24"/>
          <w:szCs w:val="24"/>
          <w:lang w:val="en-US"/>
        </w:rPr>
        <w:t>under</w:t>
      </w:r>
      <w:r w:rsidR="00546C9A" w:rsidRPr="000A6219">
        <w:rPr>
          <w:rFonts w:ascii="Book Antiqua" w:eastAsia="Calibri" w:hAnsi="Book Antiqua" w:cs="Times New Roman"/>
          <w:sz w:val="24"/>
          <w:szCs w:val="24"/>
          <w:lang w:val="en-US"/>
        </w:rPr>
        <w:t xml:space="preserve"> particular </w:t>
      </w:r>
      <w:r w:rsidR="00885E21" w:rsidRPr="000A6219">
        <w:rPr>
          <w:rFonts w:ascii="Book Antiqua" w:eastAsia="Calibri" w:hAnsi="Book Antiqua" w:cs="Times New Roman"/>
          <w:sz w:val="24"/>
          <w:szCs w:val="24"/>
          <w:lang w:val="en-US"/>
        </w:rPr>
        <w:t>experiment</w:t>
      </w:r>
      <w:r w:rsidR="007812B5" w:rsidRPr="000A6219">
        <w:rPr>
          <w:rFonts w:ascii="Book Antiqua" w:eastAsia="Calibri" w:hAnsi="Book Antiqua" w:cs="Times New Roman"/>
          <w:sz w:val="24"/>
          <w:szCs w:val="24"/>
          <w:lang w:val="en-US"/>
        </w:rPr>
        <w:t>al</w:t>
      </w:r>
      <w:r w:rsidR="00885E21" w:rsidRPr="000A6219">
        <w:rPr>
          <w:rFonts w:ascii="Book Antiqua" w:eastAsia="Calibri" w:hAnsi="Book Antiqua" w:cs="Times New Roman"/>
          <w:sz w:val="24"/>
          <w:szCs w:val="24"/>
          <w:lang w:val="en-US"/>
        </w:rPr>
        <w:t xml:space="preserve"> conditions</w:t>
      </w:r>
      <w:r w:rsidR="007812B5" w:rsidRPr="000A6219">
        <w:rPr>
          <w:rFonts w:ascii="Book Antiqua" w:eastAsia="Calibri" w:hAnsi="Book Antiqua" w:cs="Times New Roman"/>
          <w:sz w:val="24"/>
          <w:szCs w:val="24"/>
          <w:lang w:val="en-US"/>
        </w:rPr>
        <w:t>.</w:t>
      </w:r>
    </w:p>
    <w:p w14:paraId="1D7BD620" w14:textId="77777777" w:rsidR="000F373A" w:rsidRPr="000A6219" w:rsidRDefault="000F373A"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br w:type="page"/>
      </w:r>
    </w:p>
    <w:p w14:paraId="1CC37ECF" w14:textId="77777777" w:rsidR="000F373A" w:rsidRPr="000A6219" w:rsidRDefault="000F373A" w:rsidP="000A6219">
      <w:pPr>
        <w:snapToGrid w:val="0"/>
        <w:spacing w:after="0" w:line="360" w:lineRule="auto"/>
        <w:jc w:val="both"/>
        <w:rPr>
          <w:rFonts w:ascii="Book Antiqua" w:hAnsi="Book Antiqua"/>
          <w:b/>
          <w:sz w:val="24"/>
          <w:szCs w:val="24"/>
          <w:u w:val="single"/>
          <w:lang w:val="en-GB"/>
        </w:rPr>
      </w:pPr>
      <w:r w:rsidRPr="000A6219">
        <w:rPr>
          <w:rFonts w:ascii="Book Antiqua" w:hAnsi="Book Antiqua"/>
          <w:b/>
          <w:sz w:val="24"/>
          <w:szCs w:val="24"/>
          <w:u w:val="single"/>
          <w:lang w:val="en-GB"/>
        </w:rPr>
        <w:lastRenderedPageBreak/>
        <w:t>INTRODUCTION</w:t>
      </w:r>
    </w:p>
    <w:p w14:paraId="19858DFC" w14:textId="5B65C242" w:rsidR="00ED1E11" w:rsidRPr="000A6219" w:rsidRDefault="00721A65"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Non-pathogenic</w:t>
      </w:r>
      <w:r w:rsidR="00667F1A" w:rsidRPr="000A6219">
        <w:rPr>
          <w:rFonts w:ascii="Book Antiqua" w:eastAsia="Calibri" w:hAnsi="Book Antiqua" w:cs="Times New Roman"/>
          <w:i/>
          <w:sz w:val="24"/>
          <w:szCs w:val="24"/>
          <w:lang w:val="en-US"/>
        </w:rPr>
        <w:t xml:space="preserve"> Escherichia</w:t>
      </w:r>
      <w:r w:rsidRPr="000A6219">
        <w:rPr>
          <w:rFonts w:ascii="Book Antiqua" w:eastAsia="Calibri" w:hAnsi="Book Antiqua" w:cs="Times New Roman"/>
          <w:i/>
          <w:sz w:val="24"/>
          <w:szCs w:val="24"/>
          <w:lang w:val="en-US"/>
        </w:rPr>
        <w:t xml:space="preserve"> coli </w:t>
      </w:r>
      <w:r w:rsidR="000F373A" w:rsidRPr="000A6219">
        <w:rPr>
          <w:rFonts w:ascii="Book Antiqua" w:eastAsia="Calibri" w:hAnsi="Book Antiqua" w:cs="Times New Roman"/>
          <w:i/>
          <w:sz w:val="24"/>
          <w:szCs w:val="24"/>
          <w:lang w:val="en-US"/>
        </w:rPr>
        <w:t xml:space="preserve">(E. coli) </w:t>
      </w:r>
      <w:r w:rsidR="00E4299B" w:rsidRPr="000A6219">
        <w:rPr>
          <w:rFonts w:ascii="Book Antiqua" w:eastAsia="Calibri" w:hAnsi="Book Antiqua" w:cs="Times New Roman"/>
          <w:sz w:val="24"/>
          <w:szCs w:val="24"/>
          <w:lang w:val="en-US"/>
        </w:rPr>
        <w:t xml:space="preserve">strains </w:t>
      </w:r>
      <w:r w:rsidR="00667F1A" w:rsidRPr="000A6219">
        <w:rPr>
          <w:rFonts w:ascii="Book Antiqua" w:eastAsia="Calibri" w:hAnsi="Book Antiqua" w:cs="Times New Roman"/>
          <w:sz w:val="24"/>
          <w:szCs w:val="24"/>
          <w:lang w:val="en-US"/>
        </w:rPr>
        <w:t>are common coloniz</w:t>
      </w:r>
      <w:r w:rsidRPr="000A6219">
        <w:rPr>
          <w:rFonts w:ascii="Book Antiqua" w:eastAsia="Calibri" w:hAnsi="Book Antiqua" w:cs="Times New Roman"/>
          <w:sz w:val="24"/>
          <w:szCs w:val="24"/>
          <w:lang w:val="en-US"/>
        </w:rPr>
        <w:t xml:space="preserve">ers of the mucus layer of the intestinal tract and have a mutualistic relationship with their hosts. However, some </w:t>
      </w:r>
      <w:r w:rsidRPr="000A6219">
        <w:rPr>
          <w:rFonts w:ascii="Book Antiqua" w:eastAsia="Calibri" w:hAnsi="Book Antiqua" w:cs="Times New Roman"/>
          <w:i/>
          <w:sz w:val="24"/>
          <w:szCs w:val="24"/>
          <w:lang w:val="en-US"/>
        </w:rPr>
        <w:t>E</w:t>
      </w:r>
      <w:r w:rsidR="00667F1A" w:rsidRPr="000A6219">
        <w:rPr>
          <w:rFonts w:ascii="Book Antiqua" w:eastAsia="Calibri" w:hAnsi="Book Antiqua" w:cs="Times New Roman"/>
          <w:i/>
          <w:sz w:val="24"/>
          <w:szCs w:val="24"/>
          <w:lang w:val="en-US"/>
        </w:rPr>
        <w:t>.</w:t>
      </w:r>
      <w:r w:rsidRPr="000A6219">
        <w:rPr>
          <w:rFonts w:ascii="Book Antiqua" w:eastAsia="Calibri" w:hAnsi="Book Antiqua" w:cs="Times New Roman"/>
          <w:i/>
          <w:sz w:val="24"/>
          <w:szCs w:val="24"/>
          <w:lang w:val="en-US"/>
        </w:rPr>
        <w:t xml:space="preserve"> coli </w:t>
      </w:r>
      <w:r w:rsidRPr="000A6219">
        <w:rPr>
          <w:rFonts w:ascii="Book Antiqua" w:eastAsia="Calibri" w:hAnsi="Book Antiqua" w:cs="Times New Roman"/>
          <w:sz w:val="24"/>
          <w:szCs w:val="24"/>
          <w:lang w:val="en-US"/>
        </w:rPr>
        <w:t>strains hav</w:t>
      </w:r>
      <w:r w:rsidR="00667F1A" w:rsidRPr="000A6219">
        <w:rPr>
          <w:rFonts w:ascii="Book Antiqua" w:eastAsia="Calibri" w:hAnsi="Book Antiqua" w:cs="Times New Roman"/>
          <w:sz w:val="24"/>
          <w:szCs w:val="24"/>
          <w:lang w:val="en-US"/>
        </w:rPr>
        <w:t>e evolved virulent behavio</w:t>
      </w:r>
      <w:r w:rsidRPr="000A6219">
        <w:rPr>
          <w:rFonts w:ascii="Book Antiqua" w:eastAsia="Calibri" w:hAnsi="Book Antiqua" w:cs="Times New Roman"/>
          <w:sz w:val="24"/>
          <w:szCs w:val="24"/>
          <w:lang w:val="en-US"/>
        </w:rPr>
        <w:t>r. Among t</w:t>
      </w:r>
      <w:r w:rsidR="003F53DA" w:rsidRPr="000A6219">
        <w:rPr>
          <w:rFonts w:ascii="Book Antiqua" w:eastAsia="Calibri" w:hAnsi="Book Antiqua" w:cs="Times New Roman"/>
          <w:sz w:val="24"/>
          <w:szCs w:val="24"/>
          <w:lang w:val="en-US"/>
        </w:rPr>
        <w:t xml:space="preserve">hose, strains belonging to the adherent-invasive </w:t>
      </w:r>
      <w:r w:rsidRPr="000A6219">
        <w:rPr>
          <w:rFonts w:ascii="Book Antiqua" w:eastAsia="Calibri" w:hAnsi="Book Antiqua" w:cs="Times New Roman"/>
          <w:i/>
          <w:sz w:val="24"/>
          <w:szCs w:val="24"/>
          <w:lang w:val="en-US"/>
        </w:rPr>
        <w:t>E</w:t>
      </w:r>
      <w:r w:rsidR="003F53DA" w:rsidRPr="000A6219">
        <w:rPr>
          <w:rFonts w:ascii="Book Antiqua" w:eastAsia="Calibri" w:hAnsi="Book Antiqua" w:cs="Times New Roman"/>
          <w:i/>
          <w:sz w:val="24"/>
          <w:szCs w:val="24"/>
          <w:lang w:val="en-US"/>
        </w:rPr>
        <w:t>. coli</w:t>
      </w:r>
      <w:r w:rsidR="003F53DA" w:rsidRPr="000A6219">
        <w:rPr>
          <w:rFonts w:ascii="Book Antiqua" w:eastAsia="Calibri" w:hAnsi="Book Antiqua" w:cs="Times New Roman"/>
          <w:sz w:val="24"/>
          <w:szCs w:val="24"/>
          <w:lang w:val="en-US"/>
        </w:rPr>
        <w:t xml:space="preserve"> (AIEC)</w:t>
      </w:r>
      <w:r w:rsidRPr="000A6219">
        <w:rPr>
          <w:rFonts w:ascii="Book Antiqua" w:eastAsia="Calibri" w:hAnsi="Book Antiqua" w:cs="Times New Roman"/>
          <w:sz w:val="24"/>
          <w:szCs w:val="24"/>
          <w:lang w:val="en-US"/>
        </w:rPr>
        <w:t xml:space="preserve"> pathovar are suggested to be of particular concern. AIEC isolates lack typical </w:t>
      </w:r>
      <w:r w:rsidRPr="000A6219">
        <w:rPr>
          <w:rFonts w:ascii="Book Antiqua" w:eastAsia="Calibri" w:hAnsi="Book Antiqua" w:cs="Times New Roman"/>
          <w:i/>
          <w:sz w:val="24"/>
          <w:szCs w:val="24"/>
          <w:lang w:val="en-US"/>
        </w:rPr>
        <w:t xml:space="preserve">E. coli </w:t>
      </w:r>
      <w:r w:rsidRPr="000A6219">
        <w:rPr>
          <w:rFonts w:ascii="Book Antiqua" w:eastAsia="Calibri" w:hAnsi="Book Antiqua" w:cs="Times New Roman"/>
          <w:sz w:val="24"/>
          <w:szCs w:val="24"/>
          <w:lang w:val="en-US"/>
        </w:rPr>
        <w:t>virulence factors bu</w:t>
      </w:r>
      <w:r w:rsidR="00667F1A" w:rsidRPr="000A6219">
        <w:rPr>
          <w:rFonts w:ascii="Book Antiqua" w:eastAsia="Calibri" w:hAnsi="Book Antiqua" w:cs="Times New Roman"/>
          <w:sz w:val="24"/>
          <w:szCs w:val="24"/>
          <w:lang w:val="en-US"/>
        </w:rPr>
        <w:t>t are phenotypically characteriz</w:t>
      </w:r>
      <w:r w:rsidRPr="000A6219">
        <w:rPr>
          <w:rFonts w:ascii="Book Antiqua" w:eastAsia="Calibri" w:hAnsi="Book Antiqua" w:cs="Times New Roman"/>
          <w:sz w:val="24"/>
          <w:szCs w:val="24"/>
          <w:lang w:val="en-US"/>
        </w:rPr>
        <w:t xml:space="preserve">ed by their </w:t>
      </w:r>
      <w:r w:rsidR="00667F1A" w:rsidRPr="000A6219">
        <w:rPr>
          <w:rFonts w:ascii="Book Antiqua" w:eastAsia="Calibri" w:hAnsi="Book Antiqua" w:cs="Times New Roman"/>
          <w:sz w:val="24"/>
          <w:szCs w:val="24"/>
          <w:lang w:val="en-US"/>
        </w:rPr>
        <w:t>cap</w:t>
      </w:r>
      <w:r w:rsidRPr="000A6219">
        <w:rPr>
          <w:rFonts w:ascii="Book Antiqua" w:eastAsia="Calibri" w:hAnsi="Book Antiqua" w:cs="Times New Roman"/>
          <w:sz w:val="24"/>
          <w:szCs w:val="24"/>
          <w:lang w:val="en-US"/>
        </w:rPr>
        <w:t>ability to adhere to and invade</w:t>
      </w:r>
      <w:r w:rsidR="00C15127" w:rsidRPr="000A6219">
        <w:rPr>
          <w:rFonts w:ascii="Book Antiqua" w:eastAsia="Calibri" w:hAnsi="Book Antiqua" w:cs="Times New Roman"/>
          <w:sz w:val="24"/>
          <w:szCs w:val="24"/>
          <w:lang w:val="en-US"/>
        </w:rPr>
        <w:t xml:space="preserve"> intestinal epithelial cells (IECs)</w:t>
      </w:r>
      <w:r w:rsidRPr="000A6219">
        <w:rPr>
          <w:rFonts w:ascii="Book Antiqua" w:eastAsia="Calibri" w:hAnsi="Book Antiqua" w:cs="Times New Roman"/>
          <w:sz w:val="24"/>
          <w:szCs w:val="24"/>
          <w:lang w:val="en-US"/>
        </w:rPr>
        <w:t xml:space="preserve">, </w:t>
      </w:r>
      <w:r w:rsidR="00667F1A" w:rsidRPr="000A6219">
        <w:rPr>
          <w:rFonts w:ascii="Book Antiqua" w:eastAsia="Calibri" w:hAnsi="Book Antiqua" w:cs="Times New Roman"/>
          <w:sz w:val="24"/>
          <w:szCs w:val="24"/>
          <w:lang w:val="en-US"/>
        </w:rPr>
        <w:t>in addition to surviving</w:t>
      </w:r>
      <w:r w:rsidRPr="000A6219">
        <w:rPr>
          <w:rFonts w:ascii="Book Antiqua" w:eastAsia="Calibri" w:hAnsi="Book Antiqua" w:cs="Times New Roman"/>
          <w:sz w:val="24"/>
          <w:szCs w:val="24"/>
          <w:lang w:val="en-US"/>
        </w:rPr>
        <w:t xml:space="preserve"> and replicat</w:t>
      </w:r>
      <w:r w:rsidR="00667F1A" w:rsidRPr="000A6219">
        <w:rPr>
          <w:rFonts w:ascii="Book Antiqua" w:eastAsia="Calibri" w:hAnsi="Book Antiqua" w:cs="Times New Roman"/>
          <w:sz w:val="24"/>
          <w:szCs w:val="24"/>
          <w:lang w:val="en-US"/>
        </w:rPr>
        <w:t>ing</w:t>
      </w:r>
      <w:r w:rsidRPr="000A6219">
        <w:rPr>
          <w:rFonts w:ascii="Book Antiqua" w:eastAsia="Calibri" w:hAnsi="Book Antiqua" w:cs="Times New Roman"/>
          <w:sz w:val="24"/>
          <w:szCs w:val="24"/>
          <w:lang w:val="en-US"/>
        </w:rPr>
        <w:t xml:space="preserve"> inside macrophages without inducing host-cell death</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Frédéric","non-dropping-particle":"","parse-names":false,"suffix":""}],"container-title":"Gastroenterology","id":"ITEM-1","issue":"2","issued":{"date-parts":[["2004"]]},"page":"412-421","title":"High prevalence of adherent-invasive Escherichia coli associated with ileal mucosa in Crohn's disease","type":"article-journal","volume":"127"},"uris":["http://www.mendeley.com/documents/?uuid=c37eb702-0cb7-4694-ad28-7a4aed1f66ff"]}],"mendeley":{"formattedCitation":"&lt;sup&gt;[1]&lt;/sup&gt;","plainTextFormattedCitation":"[1]","previouslyFormattedCitation":"&lt;sup&gt;[1]&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w:t>
      </w:r>
      <w:r w:rsidRPr="000A6219">
        <w:rPr>
          <w:rFonts w:ascii="Book Antiqua" w:eastAsia="Calibri" w:hAnsi="Book Antiqua" w:cs="Times New Roman"/>
          <w:sz w:val="24"/>
          <w:szCs w:val="24"/>
          <w:lang w:val="en-US"/>
        </w:rPr>
        <w:fldChar w:fldCharType="end"/>
      </w:r>
      <w:r w:rsidR="00D75C7D" w:rsidRPr="000A6219">
        <w:rPr>
          <w:rFonts w:ascii="Book Antiqua" w:eastAsia="Calibri" w:hAnsi="Book Antiqua" w:cs="Times New Roman"/>
          <w:sz w:val="24"/>
          <w:szCs w:val="24"/>
          <w:lang w:val="en-US"/>
        </w:rPr>
        <w:t>. Using</w:t>
      </w:r>
      <w:r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i/>
          <w:sz w:val="24"/>
          <w:szCs w:val="24"/>
          <w:lang w:val="en-US"/>
        </w:rPr>
        <w:t>in vitro</w:t>
      </w:r>
      <w:r w:rsidRPr="000A6219">
        <w:rPr>
          <w:rFonts w:ascii="Book Antiqua" w:eastAsia="Calibri" w:hAnsi="Book Antiqua" w:cs="Times New Roman"/>
          <w:sz w:val="24"/>
          <w:szCs w:val="24"/>
          <w:lang w:val="en-US"/>
        </w:rPr>
        <w:t xml:space="preserve"> and </w:t>
      </w:r>
      <w:r w:rsidRPr="000A6219">
        <w:rPr>
          <w:rFonts w:ascii="Book Antiqua" w:eastAsia="Calibri" w:hAnsi="Book Antiqua" w:cs="Times New Roman"/>
          <w:i/>
          <w:sz w:val="24"/>
          <w:szCs w:val="24"/>
          <w:lang w:val="en-US"/>
        </w:rPr>
        <w:t>in vivo</w:t>
      </w:r>
      <w:r w:rsidRPr="000A6219">
        <w:rPr>
          <w:rFonts w:ascii="Book Antiqua" w:eastAsia="Calibri" w:hAnsi="Book Antiqua" w:cs="Times New Roman"/>
          <w:sz w:val="24"/>
          <w:szCs w:val="24"/>
          <w:lang w:val="en-US"/>
        </w:rPr>
        <w:t xml:space="preserve"> studies, AIEC interaction</w:t>
      </w:r>
      <w:r w:rsidR="00D75C7D" w:rsidRPr="000A6219">
        <w:rPr>
          <w:rFonts w:ascii="Book Antiqua" w:eastAsia="Calibri" w:hAnsi="Book Antiqua" w:cs="Times New Roman"/>
          <w:sz w:val="24"/>
          <w:szCs w:val="24"/>
          <w:lang w:val="en-US"/>
        </w:rPr>
        <w:t>s</w:t>
      </w:r>
      <w:r w:rsidRPr="000A6219">
        <w:rPr>
          <w:rFonts w:ascii="Book Antiqua" w:eastAsia="Calibri" w:hAnsi="Book Antiqua" w:cs="Times New Roman"/>
          <w:sz w:val="24"/>
          <w:szCs w:val="24"/>
          <w:lang w:val="en-US"/>
        </w:rPr>
        <w:t xml:space="preserve"> with</w:t>
      </w:r>
      <w:r w:rsidR="00C15127" w:rsidRPr="000A6219">
        <w:rPr>
          <w:rFonts w:ascii="Book Antiqua" w:eastAsia="Calibri" w:hAnsi="Book Antiqua" w:cs="Times New Roman"/>
          <w:sz w:val="24"/>
          <w:szCs w:val="24"/>
          <w:lang w:val="en-US"/>
        </w:rPr>
        <w:t xml:space="preserve"> </w:t>
      </w:r>
      <w:r w:rsidR="00D75C7D" w:rsidRPr="000A6219">
        <w:rPr>
          <w:rFonts w:ascii="Book Antiqua" w:eastAsia="Calibri" w:hAnsi="Book Antiqua" w:cs="Times New Roman"/>
          <w:sz w:val="24"/>
          <w:szCs w:val="24"/>
          <w:lang w:val="en-US"/>
        </w:rPr>
        <w:t>IECs have</w:t>
      </w:r>
      <w:r w:rsidRPr="000A6219">
        <w:rPr>
          <w:rFonts w:ascii="Book Antiqua" w:eastAsia="Calibri" w:hAnsi="Book Antiqua" w:cs="Times New Roman"/>
          <w:sz w:val="24"/>
          <w:szCs w:val="24"/>
          <w:lang w:val="en-US"/>
        </w:rPr>
        <w:t xml:space="preserve"> been described to </w:t>
      </w:r>
      <w:r w:rsidR="00D75C7D" w:rsidRPr="000A6219">
        <w:rPr>
          <w:rFonts w:ascii="Book Antiqua" w:eastAsia="Calibri" w:hAnsi="Book Antiqua" w:cs="Times New Roman"/>
          <w:sz w:val="24"/>
          <w:szCs w:val="24"/>
          <w:lang w:val="en-US"/>
        </w:rPr>
        <w:t>occur</w:t>
      </w:r>
      <w:r w:rsidRPr="000A6219">
        <w:rPr>
          <w:rFonts w:ascii="Book Antiqua" w:eastAsia="Calibri" w:hAnsi="Book Antiqua" w:cs="Times New Roman"/>
          <w:sz w:val="24"/>
          <w:szCs w:val="24"/>
          <w:lang w:val="en-US"/>
        </w:rPr>
        <w:t xml:space="preserve"> through its binding to host receptors</w:t>
      </w:r>
      <w:r w:rsidR="00D75C7D"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which in turn</w:t>
      </w:r>
      <w:r w:rsidR="00D75C7D"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promotes intestinal epithelial permeability</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{"citationItems":[{"id":"ITEM-1","itemData":{"DOI":"10.1172/JCI30504","ISSN":"0021-9738","PMID":"17525800","abstract":"The ileal mucosa of Crohn disease (CD) patients is abnormally colonized by adherent-invasive E. coli (AIEC) that are able to adhere to and invade intestinal epithelial cells. Here, we show that CD-associated AIEC strains adhere to the brush border of primary ileal enterocytes isolated from CD patients but not controls without inflammatory bowel disease. AIEC adhesion is dependent on type 1 pili expression on the bacterial surface and on carcinoembryonic antigen-related cell adhesion molecule 6 (CEACAM6) expression on the apical surface of ileal epithelial cells. We report also that CEACAM6 acts as a receptor for AIEC adhesion and is abnormally expressed by ileal epithelial cells in CD patients. In addition, our in vitro studies show that there is increased CEACAM6 expression in cultured intestinal epithelial cells after IFN-gamma or TNF-alpha stimulation and after infection with AIEC bacteria, indicating that AIEC can promote its own colonization in CD patients.","author":[{"dropping-particle":"","family":"Barnich","given":"Nicolas","non-dropping-particle":"","parse-names":false,"suffix":""},{"dropping-particle":"","family":"Carvalho","given":"Frédéric A","non-dropping-particle":"","parse-names":false,"suffix":""},{"dropping-particle":"","family":"Glasser","given":"Anne-Lise","non-dropping-particle":"","parse-names":false,"suffix":""},{"dropping-particle":"","family":"Darcha","given":"Claude","non-dropping-particle":"","parse-names":false,"suffix":""},{"dropping-particle":"","family":"Jantscheff","given":"Peter","non-dropping-particle":"","parse-names":false,"suffix":""},{"dropping-particle":"","family":"Allez","given":"Matthieu","non-dropping-particle":"","parse-names":false,"suffix":""},{"dropping-particle":"","family":"Peeters","given":"Harald","non-dropping-particle":"","parse-names":false,"suffix":""},{"dropping-particle":"","family":"Bommelaer","given":"Gilles","non-dropping-particle":"","parse-names":false,"suffix":""},{"dropping-particle":"","family":"Desreumaux","given":"Pierre","non-dropping-particle":"","parse-names":false,"suffix":""},{"dropping-particle":"","family":"Colombel","given":"Jean-Frédéric","non-dropping-particle":"","parse-names":false,"suffix":""},{"dropping-particle":"","family":"Darfeuille-Michaud","given":"Arlette","non-dropping-particle":"","parse-names":false,"suffix":""},{"dropping-particle":"","family":"Loftus","given":"E.V.","non-dropping-particle":"","parse-names":false,"suffix":""},{"dropping-particle":"","family":"Elson","given":"C.O.","non-dropping-particle":"","parse-names":false,"suffix":""},{"dropping-particle":"","family":"Podolsky","given":"D.K.","non-dropping-particle":"","parse-names":false,"suffix":""},{"dropping-particle":"","family":"Shanahan","given":"F.","non-dropping-particle":"","parse-names":false,"suffix":""},{"dropping-particle":"","family":"Hugot","given":"J.P.","non-dropping-particle":"","parse-names":false,"suffix":""},{"dropping-particle":"","family":"Ogura","given":"Y.","non-dropping-particle":"","parse-names":false,"suffix":""},{"dropping-particle":"","family":"Lederman","given":"E.","non-dropping-particle":"","parse-names":false,"suffix":""},{"dropping-particle":"","family":"Neut","given":"C.","non-dropping-particle":"","parse-names":false,"suffix":""},{"dropping-particle":"","family":"Darfeuille-Michaud","given":"A.","non-dropping-particle":"","parse-names":false,"suffix":""},{"dropping-particle":"","family":"Swidsinski","given":"A.","non-dropping-particle":"","parse-names":false,"suffix":""},{"dropping-particle":"","family":"Masseret","given":"E.","non-dropping-particle":"","parse-names":false,"suffix":""},{"dropping-particle":"","family":"Boudeau","given":"J.","non-dropping-particle":"","parse-names":false,"suffix":""},{"dropping-particle":"","family":"Glasser","given":"A.L.","non-dropping-particle":"","parse-names":false,"suffix":""},{"dropping-particle":"","family":"Masseret","given":"E.","non-dropping-particle":"","parse-names":false,"suffix":""},{"dropping-particle":"","family":"Joly","given":"B.","non-dropping-particle":"","parse-names":false,"suffix":""},{"dropping-particle":"","family":"Darfeuille-Michaud","given":"A.","non-dropping-particle":"","parse-names":false,"suffix":""},{"dropping-particle":"","family":"Glasser","given":"A.L.","non-dropping-particle":"","parse-names":false,"suffix":""},{"dropping-particle":"","family":"Boudeau","given":"J.","non-dropping-particle":"","parse-names":false,"suffix":""},{"dropping-particle":"","family":"Barnich","given":"N.","non-dropping-particle":"","parse-names":false,"suffix":""},{"dropping-particle":"","family":"Darfeuille-Michaud","given":"A.","non-dropping-particle":"","parse-names":false,"suffix":""},{"dropping-particle":"","family":"Darfeuille-Michaud","given":"A.","non-dropping-particle":"","parse-names":false,"suffix":""},{"dropping-particle":"","family":"Pouttu","given":"R.","non-dropping-particle":"","parse-names":false,"suffix":""},{"dropping-particle":"","family":"Kukkonen","given":"M.","non-dropping-particle":"","parse-names":false,"suffix":""},{"dropping-particle":"","family":"Pak","given":"J.","non-dropping-particle":"","parse-names":false,"suffix":""},{"dropping-particle":"","family":"Pu","given":"Y.","non-dropping-particle":"","parse-names":false,"suffix":""},{"dropping-particle":"","family":"Zhang","given":"Z.T.","non-dropping-particle":"","parse-names":false,"suffix":""},{"dropping-particle":"","family":"Hasty","given":"D.L.","non-dropping-particle":"","parse-names":false,"suffix":""},{"dropping-particle":"","family":"Wu","given":"X.R.","non-dropping-particle":"","parse-names":false,"suffix":""},{"dropping-particle":"","family":"Sauter","given":"S.L.","non-dropping-particle":"","parse-names":false,"suffix":""},{"dropping-particle":"","family":"Rutherfurd","given":"S.M.","non-dropping-particle":"","parse-names":false,"suffix":""},{"dropping-particle":"","family":"Wagener","given":"C.","non-dropping-particle":"","parse-names":false,"suffix":""},{"dropping-particle":"","family":"Shively","given":"J.E.","non-dropping-particle":"","parse-names":false,"suffix":""},{"dropping-particle":"","family":"Hefta","given":"S.A.","non-dropping-particle":"","parse-names":false,"suffix":""},{"dropping-particle":"","family":"Leusch","given":"H.G.","non-dropping-particle":"","parse-names":false,"suffix":""},{"dropping-particle":"","family":"Burtin","given":"P.","non-dropping-particle":"","parse-names":false,"suffix":""},{"dropping-particle":"","family":"Quan","given":"P.C.","non-dropping-particle":"","parse-names":false,"suffix":""},{"dropping-particle":"","family":"Sabine","given":"M.C.","non-dropping-particle":"","parse-names":false,"suffix":""},{"dropping-particle":"","family":"Darfeuille-Michaud","given":"A.","non-dropping-particle":"","parse-names":false,"suffix":""},{"dropping-particle":"","family":"Oro","given":"H.S.","non-dropping-particle":"","parse-names":false,"suffix":""},{"dropping-particle":"","family":"Kolsto","given":"A.B.","non-dropping-particle":"","parse-names":false,"suffix":""},{"dropping-particle":"","family":"Wenneras","given":"C.","non-dropping-particle":"","parse-names":false,"suffix":""},{"dropping-particle":"","family":"Svennerholm","given":"A.M.","non-dropping-particle":"","parse-names":false,"suffix":""},{"dropping-particle":"","family":"Knutton","given":"S.","non-dropping-particle":"","parse-names":false,"suffix":""},{"dropping-particle":"","family":"Lloyd","given":"D.R.","non-dropping-particle":"","parse-names":false,"suffix":""},{"dropping-particle":"","family":"Candy","given":"D.C.","non-dropping-particle":"","parse-names":false,"suffix":""},{"dropping-particle":"","family":"McNeish","given":"A.S.","non-dropping-particle":"","parse-names":false,"suffix":""},{"dropping-particle":"","family":"Kenny","given":"B.","non-dropping-particle":"","parse-names":false,"suffix":""},{"dropping-particle":"","family":"DeVinney","given":"R.","non-dropping-particle":"","parse-names":false,"suffix":""},{"dropping-particle":"","family":"Servin","given":"A.L.","non-dropping-particle":"","parse-names":false,"suffix":""},{"dropping-particle":"","family":"Sokurenko","given":"E.V.","non-dropping-particle":"","parse-names":false,"suffix":""},{"dropping-particle":"","family":"Courtney","given":"H.S.","non-dropping-particle":"","parse-names":false,"suffix":""},{"dropping-particle":"","family":"Maslow","given":"J.","non-dropping-particle":"","parse-names":false,"suffix":""},{"dropping-particle":"","family":"Siitonen","given":"A.","non-dropping-particle":"","parse-names":false,"suffix":""},{"dropping-particle":"","family":"Hasty","given":"D.L.","non-dropping-particle":"","parse-names":false,"suffix":""},{"dropping-particle":"","family":"Rhodes","given":"J.M.","non-dropping-particle":"","parse-names":false,"suffix":""},{"dropping-particle":"","family":"Campbell","given":"B.J.","non-dropping-particle":"","parse-names":false,"suffix":""},{"dropping-particle":"","family":"Rhodes","given":"J.M.","non-dropping-particle":"","parse-names":false,"suffix":""},{"dropping-particle":"","family":"Tysk","given":"C.","non-dropping-particle":"","parse-names":false,"suffix":""},{"dropping-particle":"","family":"Grunert","given":"F.","non-dropping-particle":"","parse-names":false,"suffix":""},{"dropping-particle":"","family":"Daniel","given":"S.","non-dropping-particle":"","parse-names":false,"suffix":""},{"dropping-particle":"","family":"Nagel","given":"G.","non-dropping-particle":"","parse-names":false,"suffix":""},{"dropping-particle":"von","family":"Kleist","given":"S.","non-dropping-particle":"","parse-names":false,"suffix":""},{"dropping-particle":"","family":"Jantscheff","given":"P.","non-dropping-particle":"","parse-names":false,"suffix":""},{"dropping-particle":"","family":"Neumaier","given":"M.","non-dropping-particle":"","parse-names":false,"suffix":""},{"dropping-particle":"","family":"Paululat","given":"S.","non-dropping-particle":"","parse-names":false,"suffix":""},{"dropping-particle":"","family":"Chan","given":"A.","non-dropping-particle":"","parse-names":false,"suffix":""},{"dropping-particle":"","family":"Matthaes","given":"P.","non-dropping-particle":"","parse-names":false,"suffix":""},{"dropping-particle":"","family":"Wagener","given":"C.","non-dropping-particle":"","parse-names":false,"suffix":""},{"dropping-particle":"","family":"Jantscheff","given":"P.","non-dropping-particle":"","parse-names":false,"suffix":""},{"dropping-particle":"","family":"Scholzel","given":"S.","non-dropping-particle":"","parse-names":false,"suffix":""},{"dropping-particle":"","family":"Caccamo","given":"D.","non-dropping-particle":"","parse-names":false,"suffix":""},{"dropping-particle":"","family":"Telenta","given":"M.","non-dropping-particle":"","parse-names":false,"suffix":""},{"dropping-particle":"","family":"Celener","given":"D.","non-dropping-particle":"","parse-names":false,"suffix":""},{"dropping-particle":"","family":"Fahlgren","given":"A.","non-dropping-particle":"","parse-names":false,"suffix":""},{"dropping-particle":"","family":"Muenzner","given":"P.","non-dropping-particle":"","parse-names":false,"suffix":""},{"dropping-particle":"","family":"Naumann","given":"M.","non-dropping-particle":"","parse-names":false,"suffix":""},{"dropping-particle":"","family":"Meyer","given":"T.F.","non-dropping-particle":"","parse-names":false,"suffix":""},{"dropping-particle":"","family":"Gray-Owen","given":"S.D.","non-dropping-particle":"","parse-names":false,"suffix":""},{"dropping-particle":"","family":"Betis","given":"F.","non-dropping-particle":"","parse-names":false,"suffix":""},{"dropping-particle":"","family":"Avadhanula","given":"V.","non-dropping-particle":"","parse-names":false,"suffix":""},{"dropping-particle":"","family":"Rodriguez","given":"C.A.","non-dropping-particle":"","parse-names":false,"suffix":""},{"dropping-particle":"","family":"Ulett","given":"G.C.","non-dropping-particle":"","parse-names":false,"suffix":""},{"dropping-particle":"","family":"Bakaletz","given":"L.O.","non-dropping-particle":"","parse-names":false,"suffix":""},{"dropping-particle":"","family":"Adderson","given":"E.E.","non-dropping-particle":"","parse-names":false,"suffix":""},{"dropping-particle":"","family":"Reimund","given":"J.M.","non-dropping-particle":"","parse-names":false,"suffix":""},{"dropping-particle":"","family":"Chamaillard","given":"M.","non-dropping-particle":"","parse-names":false,"suffix":""},{"dropping-particle":"","family":"Iacob","given":"R.","non-dropping-particle":"","parse-names":false,"suffix":""},{"dropping-particle":"","family":"Desreumaux","given":"P.","non-dropping-particle":"","parse-names":false,"suffix":""},{"dropping-particle":"","family":"Colombel","given":"J.F.","non-dropping-particle":"","parse-names":false,"suffix":""},{"dropping-particle":"","family":"Gower-Rousseau","given":"C.","non-dropping-particle":"","parse-names":false,"suffix":""},{"dropping-particle":"","family":"Datsenko","given":"K.A.","non-dropping-particle":"","parse-names":false,"suffix":""},{"dropping-particle":"","family":"Wanner","given":"B.L.","non-dropping-particle":"","parse-names":false,"suffix":""},{"dropping-particle":"","family":"Chaveroche","given":"M.K.","non-dropping-particle":"","parse-names":false,"suffix":""},{"dropping-particle":"","family":"Ghigo","given":"J.M.","non-dropping-particle":"","parse-names":false,"suffix":""},{"dropping-particle":"","family":"d’Enfert","given":"C.","non-dropping-particle":"","parse-names":false,"suffix":""},{"dropping-particle":"","family":"Klemm","given":"P.","non-dropping-particle":"","parse-names":false,"suffix":""},{"dropping-particle":"","family":"Jorgensen","given":"B.J.","non-dropping-particle":"","parse-names":false,"suffix":""},{"dropping-particle":"van","family":"Die","given":"I.","non-dropping-particle":"","parse-names":false,"suffix":""},{"dropping-particle":"de","family":"Ree","given":"H.","non-dropping-particle":"","parse-names":false,"suffix":""},{"dropping-particle":"","family":"Bergmans","given":"H.","non-dropping-particle":"","parse-names":false,"suffix":""},{"dropping-particle":"","family":"Hisamatsu","given":"T.","non-dropping-particle":"","parse-names":false,"suffix":""},{"dropping-particle":"","family":"Bringer","given":"M.A.","non-dropping-particle":"","parse-names":false,"suffix":""},{"dropping-particle":"","family":"Glasser","given":"A.L.","non-dropping-particle":"","parse-names":false,"suffix":""},{"dropping-particle":"","family":"Tung","given":"C.H.","non-dropping-particle":"","parse-names":false,"suffix":""},{"dropping-particle":"","family":"Meresse","given":"S.","non-dropping-particle":"","parse-names":false,"suffix":""},{"dropping-particle":"","family":"Darfeuille-Michaud","given":"A.","non-dropping-particle":"","parse-names":false,"suffix":""}],"container-title":"The Journal of clinical investigation","id":"ITEM-1","issue":"6","issued":{"date-parts":[["2007","6"]]},"page":"1566-74","publisher":"American Society for Clinical Investigation","title":"CEACAM6 acts as a receptor for adherent-invasive E. coli, supporting ileal mucosa colonization in Crohn disease.","type":"article-journal","volume":"117"},"uris":["http://www.mendeley.com/documents/?uuid=9b1a2d50-5479-3ee9-ac44-9363ef2e3ffc"]},{"id":"ITEM-2","itemData":{"DOI":"10.1136/gut.2010.207456","ISSN":"1468-3288","PMID":"20587550","abstract":"BACKGROUND AND AIMS: Crohn's disease (CD) ileal lesions are colonised by pathogenic adherent-invasive Escherichia coli (AIEC) producing outer membrane vesicles (OMVs) that contribute to the bacterial invasion process. In addition, increased expression of endoplasmic reticulum (ER)-localised stress response proteins, due to ER stress, is observed in patients with CD. The expression of the ER-localised stress response protein Gp96 in patients with CD and its biological role with regards to the ability of AIEC to invade intestinal epithelial cells were analysed.\n\nMETHODS AND RESULTS: Immunohistochemistry on tissue arrays showed that, together with CEACAM6 (carcinoembryonic antigen-related cell adhesion molecule 6) or the ER stress protein Grp78, Gp96 is also strongly expressed at the apical plasma membrane of the ileal epithelial cells of 50% of patients with CD. Invasion experiments in the presence of antibodies raised against Gp96, or after transfection of Intestine-407 cells with gp96 small interfering RNA (siRNA), indicated that Gp96 is essential to promote AIEC LF82 invasion, allowing, via the recognition of the outer membrane protein OmpA, OMVs to fuse with intestinal epithelial cells.\n\nCONCLUSIONS: Gp96 is overexpressed on the apical surface of ileal epithelial cells in patients with CD and acts as a host cell receptor for OMVs, promoting AIEC invasion. From the results shown here, it is speculated that AIEC could take advantage of the abnormal expression of Gp96 in patients with CD to invade the ileal mucosa.","author":[{"dropping-particle":"","family":"Rolhion","given":"Nathalie","non-dropping-particle":"","parse-names":false,"suffix":""},{"dropping-particle":"","family":"Barnich","given":"Nicolas","non-dropping-particle":"","parse-names":false,"suffix":""},{"dropping-particle":"","family":"Bringer","given":"Marie-Agnès","non-dropping-particle":"","parse-names":false,"suffix":""},{"dropping-particle":"","family":"Glasser","given":"Anne-Lise","non-dropping-particle":"","parse-names":false,"suffix":""},{"dropping-particle":"","family":"Ranc","given":"Julien","non-dropping-particle":"","parse-names":false,"suffix":""},{"dropping-particle":"","family":"Hébuterne","given":"Xavier","non-dropping-particle":"","parse-names":false,"suffix":""},{"dropping-particle":"","family":"Hofman","given":"Paul","non-dropping-particle":"","parse-names":false,"suffix":""},{"dropping-particle":"","family":"Darfeuille-Michaud","given":"Arlette","non-dropping-particle":"","parse-names":false,"suffix":""}],"container-title":"Gut","id":"ITEM-2","issue":"10","issued":{"date-parts":[["2010","10"]]},"page":"1355-62","title":"Abnormally expressed ER stress response chaperone Gp96 in CD favours adherent-invasive Escherichia coli invasion.","type":"article-journal","volume":"59"},"uris":["http://www.mendeley.com/documents/?uuid=6d41aaf5-98da-43b5-8b4b-64f62f98bb65"]},{"id":"ITEM-3","itemData":{"DOI":"10.1084/jem.20090741","ISBN":"1540-9538 (Electronic)\\n0022-1007 (Linking)","ISSN":"0022-1007","PMID":"19737864","abstract":"Abnormal expression of CEACAM6 is observed at the apical surface of the ileal epithelium in Crohn's disease (CD) patients, and CD ileal lesions are colonized by pathogenic adherent-invasive Escherichia coli (AIEC). We investigated the ability of AIEC reference strain LF82 to colonize the intestinal mucosa and to induce inflammation in CEABAC10 transgenic mice expressing human CEACAMs. AIEC LF82 virulent bacteria, but not nonpathogenic E. coli K-12, were able to persist in the gut of CEABAC10 transgenic mice and to induce severe colitis with reduced survival rate, marked weight loss, increased rectal bleeding, presence of erosive lesions, mucosal inflammation, and increased proinflammatory cytokine expression. The colitis depended on type 1 pili expression by AIEC bacteria and on intestinal CEACAM expression because no sign of colitis was observed in transgenic mice infected with type 1 pili-negative LF82-Delta fimH isogenic mutant or in wild-type mice infected with AIEC LF82 bacteria. These findings strongly support the hypothesis that in CD patients having an abnormal intestinal expression of CEACAM6, AIEC bacteria via type 1 pili expression can colonize the intestinal mucosa and induce gut inflammation. Thus, targeting AIEC adhesion to gut mucosa represents a new strategy for clinicians to prevent and/or to treat ileal CD.","author":[{"dropping-particle":"","family":"Carvalho","given":"Frédéric a","non-dropping-particle":"","parse-names":false,"suffix":""},{"dropping-particle":"","family":"Barnich","given":"Nicolas","non-dropping-particle":"","parse-names":false,"suffix":""},{"dropping-particle":"","family":"Sivignon","given":"Adeline","non-dropping-particle":"","parse-names":false,"suffix":""},{"dropping-particle":"","family":"Darcha","given":"Claude","non-dropping-particle":"","parse-names":false,"suffix":""},{"dropping-particle":"","family":"Chan","given":"Carlos H F","non-dropping-particle":"","parse-names":false,"suffix":""},{"dropping-particle":"","family":"Stanners","given":"Clifford P","non-dropping-particle":"","parse-names":false,"suffix":""},{"dropping-particle":"","family":"Darfeuille-Michaud","given":"Arlette","non-dropping-particle":"","parse-names":false,"suffix":""}],"container-title":"The Journal of experimental medicine","id":"ITEM-3","issue":"10","issued":{"date-parts":[["2009"]]},"page":"2179-2189","title":"Crohn's disease adherent-invasive Escherichia coli colonize and induce strong gut inflammation in transgenic mice expressing human CEACAM.","type":"article-journal","volume":"206"},"uris":["http://www.mendeley.com/documents/?uuid=a9dba19f-efe0-47f1-ac9c-6e4c49c72df9"]},{"id":"ITEM-4","itemData":{"DOI":"10.1172/JCI44632","ISSN":"1558-8238","PMID":"21339647","abstract":"Crohn disease (CD) is a multifactorial disease in which an abnormal immune response in the gastrointestinal (GI) tract leads to chronic inflammation. The small intestine, particularly the ileum, of patients with CD is colonized by adherent-invasive E. coli (AIEC)--a pathogenic group of E. coli able to adhere to and invade intestinal epithelial cells. As the earliest inflammatory lesions are microscopic erosions of the epithelium lining the Peyer's patches (PPs), we investigated the ability of AIEC bacteria to interact with PPs and the virulence factors involved. We found that AIEC bacteria could interact with mouse and human PPs via long polar fimbriae (LPF). An LPF-negative AIEC mutant was highly impaired in its ability to interact with mouse and human PPs and to translocate across monolayers of M cells, specialized epithelial cells at the surface of PPs. The prevalence of AIEC strains harboring the lpf operon was markedly higher in CD patients compared with controls. In addition, increased numbers of AIEC, but not LPF-deficient AIEC, bacteria were found interacting with PPs from Nod2(-/-) mice compared with WT mice. In conclusion, we have identified LPF as a key factor for AIEC to target PPs. This could be the missing link between AIEC colonization and the presence of early lesions in the PPs of CD patients.","author":[{"dropping-particle":"","family":"Chassaing","given":"Benoit","non-dropping-particle":"","parse-names":false,"suffix":""},{"dropping-particle":"","family":"Rolhion","given":"Nathalie","non-dropping-particle":"","parse-names":false,"suffix":""},{"dropping-particle":"","family":"Vallée","given":"Amélie","non-dropping-particle":"de","parse-names":false,"suffix":""},{"dropping-particle":"","family":"Salim","given":"Sa'ad Y","non-dropping-particle":"","parse-names":false,"suffix":""},{"dropping-particle":"","family":"Prorok-Hamon","given":"Maelle","non-dropping-particle":"","parse-names":false,"suffix":""},{"dropping-particle":"","family":"Neut","given":"Christel","non-dropping-particle":"","parse-names":false,"suffix":""},{"dropping-particle":"","family":"Campbell","given":"Barry J","non-dropping-particle":"","parse-names":false,"suffix":""},{"dropping-particle":"","family":"Söderholm","given":"Johan D","non-dropping-particle":"","parse-names":false,"suffix":""},{"dropping-particle":"","family":"Hugot","given":"Jean-Pierre","non-dropping-particle":"","parse-names":false,"suffix":""},{"dropping-particle":"","family":"Colombel","given":"Jean-Frédéric","non-dropping-particle":"","parse-names":false,"suffix":""},{"dropping-particle":"","family":"Darfeuille-Michaud","given":"Arlette","non-dropping-particle":"","parse-names":false,"suffix":""}],"container-title":"The Journal of clinical investigation","id":"ITEM-4","issue":"3","issued":{"date-parts":[["2011","3"]]},"page":"966-75","title":"Crohn disease-associated adherent-invasive E. coli bacteria target mouse and human Peyer's patches via long polar fimbriae.","type":"article-journal","volume":"121"},"uris":["http://www.mendeley.com/documents/?uuid=5170d7ea-b07b-4275-8db6-d58536a853d1"]}],"mendeley":{"formattedCitation":"&lt;sup&gt;[2–5]&lt;/sup&gt;","plainTextFormattedCitation":"[2–5]","previouslyFormattedCitation":"&lt;sup&gt;[2–5]&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[2–5]</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Additionally, </w:t>
      </w:r>
      <w:r w:rsidR="0061753A" w:rsidRPr="000A6219">
        <w:rPr>
          <w:rFonts w:ascii="Book Antiqua" w:eastAsia="Calibri" w:hAnsi="Book Antiqua" w:cs="Times New Roman"/>
          <w:sz w:val="24"/>
          <w:szCs w:val="24"/>
          <w:lang w:val="en-US"/>
        </w:rPr>
        <w:t xml:space="preserve">in animal studies, </w:t>
      </w:r>
      <w:r w:rsidRPr="000A6219">
        <w:rPr>
          <w:rFonts w:ascii="Book Antiqua" w:eastAsia="Calibri" w:hAnsi="Book Antiqua" w:cs="Times New Roman"/>
          <w:sz w:val="24"/>
          <w:szCs w:val="24"/>
          <w:lang w:val="en-US"/>
        </w:rPr>
        <w:t>induction of high levels o</w:t>
      </w:r>
      <w:r w:rsidR="00D75C7D" w:rsidRPr="000A6219">
        <w:rPr>
          <w:rFonts w:ascii="Book Antiqua" w:eastAsia="Calibri" w:hAnsi="Book Antiqua" w:cs="Times New Roman"/>
          <w:sz w:val="24"/>
          <w:szCs w:val="24"/>
          <w:lang w:val="en-US"/>
        </w:rPr>
        <w:t>f cytokine</w:t>
      </w:r>
      <w:r w:rsidRPr="000A6219">
        <w:rPr>
          <w:rFonts w:ascii="Book Antiqua" w:eastAsia="Calibri" w:hAnsi="Book Antiqua" w:cs="Times New Roman"/>
          <w:sz w:val="24"/>
          <w:szCs w:val="24"/>
          <w:lang w:val="en-US"/>
        </w:rPr>
        <w:t xml:space="preserve"> secretion and exacerbation of intestinal inflammation in susceptible hosts due to AIEC presence has been reported</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{"citationItems":[{"id":"ITEM-1","itemData":{"DOI":"10.1136/gutjnl-2013-304909","ISBN":"1468-3288 (Electronic)\\n0017-5749 (Linking)","ISSN":"14683288","PMID":"23896971","abstract":"BACKGROUND: Inflammatory bowel disease (IBD) is driven by a seemingly aberrant immune response to the gut microbiota with disease development dictated by genetics and environmental factors. A model exemplifying this notion is our recent demonstration that colonisation of adherent-invasive Escherichia coli (AIEC) during microbiota acquisition drove chronic colitis in mice lacking the flagellin receptor TLR5 (T5KO). T5KO colitis persisted beyond AIEC clearance and requires TLR4 and the NLRC4 inflammasome. We hypothesised that AIEC instigates chronic inflammation by increasing microbial lipopolysaccharide (LPS) and flagellin levels.\\n\\nGOAL: Examine if transient AIEC colonisation lastingly alters levels of LPS and flagellin and changes microbiota composition.\\n\\nMETHODS: Germ-free mice (wild type (WT) and T5KO) were inoculated with AIEC strain LF82 and placed in standard housing allowing a complex microbiota that eliminated AIEC in both mice strains. Faeces were assayed for the inflammatory marker, lipocalin-2, bacterial loads, and microbiota composition by pyrosequencing. Faecal LPS and flagellin bioactivity were measured via a cell-based reporter assay.\\n\\nRESULTS: Transient AIEC colonisation, in WT mice, did not alter inflammatory markers, bacterial loads, microbiota composition, nor its pro-inflammatory potential. By contrast, transient AIEC colonisation of T5KO mice drove chronic inflammation which correlated with microbiota components having higher levels of bioactive LPS and flagellin. Such AIEC-induced elevation of LPS and flagellin persisted well beyond AIEC clearance, required AIEC be flagellated, and was associated with alteration in microbiota species composition including a loss of species diversity.\\n\\nCONCLUSIONS: AIEC, and perhaps other pathobionts, may instigate chronic inflammation in susceptible hosts by altering the gut microbiota composition so as to give it an inherently greater ability to activate innate immunity/pro-inflammatory gene expression.","author":[{"dropping-particle":"","family":"Chassaing","given":"Benoit","non-dropping-particle":"","parse-names":false,"suffix":""},{"dropping-particle":"","family":"Koren","given":"Omry","non-dropping-particle":"","parse-names":false,"suffix":""},{"dropping-particle":"","family":"Carvalho","given":"Frederic A.","non-dropping-particle":"","parse-names":false,"suffix":""},{"dropping-particle":"","family":"Ley","given":"Ruth E.","non-dropping-particle":"","parse-names":false,"suffix":""},{"dropping-particle":"","family":"Gewirtz","given":"Andrew T.","non-dropping-particle":"","parse-names":false,"suffix":""}],"container-title":"Gut","id":"ITEM-1","issue":"7","issued":{"date-parts":[["2014"]]},"page":"1069-1080","title":"AIEC pathobiont instigates chronic colitis in susceptible hosts by altering microbiota composition","type":"article-journal","volume":"63"},"uris":["http://www.mendeley.com/documents/?uuid=2fd50d2b-eeac-4a85-8eef-54239aeeeb34"]},{"id":"ITEM-2","itemData":{"DOI":"10.1002/ibd.22908","ISBN":"1536-4844 (Electronic)\\r1078-0998 (Linking)","ISSN":"10780998","PMID":"22344932","abstract":"BACKGROUND: Inflammatory bowel diseases (IBD) patients are abnormally colonized by adherent-invasive Escherichia coli (AIEC). NOD2 gene mutations impair intracellular bacterial clearance. We evaluated the impact of antibiotic treatment on AIEC colonization in wildtype (WT) and NOD2 knockout mice (NOD2KO) and the consequences on intestinal inflammation.\\n\\nMETHODS: After 3 days of antibiotic treatment, mice were infected for 2 days with 10</w:instrText>
      </w:r>
      <w:r w:rsidR="00894FE5" w:rsidRPr="000A6219">
        <w:rPr>
          <w:rFonts w:ascii="MS Gothic" w:eastAsia="Calibri" w:hAnsi="MS Gothic" w:cs="MS Gothic"/>
          <w:sz w:val="24"/>
          <w:szCs w:val="24"/>
          <w:lang w:val="en-US"/>
        </w:rPr>
        <w:instrText>⁹</w:instrText>
      </w:r>
      <w:r w:rsidR="00894FE5" w:rsidRPr="000A6219">
        <w:rPr>
          <w:rFonts w:ascii="Book Antiqua" w:eastAsia="Calibri" w:hAnsi="Book Antiqua" w:cs="Times New Roman"/>
          <w:sz w:val="24"/>
          <w:szCs w:val="24"/>
          <w:lang w:val="en-US"/>
        </w:rPr>
        <w:instrText xml:space="preserve"> CFU AIEC and sacrificed 1, 5, and 60 days later. In parallel, mice were challenged with AIEC subsequent to a dextran sodium sulfate (DSS) treatment and sacrificed 9 days later. Ileum, colon, and mesenteric tissues were sampled for AIEC quantification and evaluation of inflammation.\\n\\nRESULTS: Without antibiotic treatment, AIEC was not able to colonize WT and NOD2KO mice. Compared with nontreated animals, antibiotic treatment led to a significant increase in ileal and colonic colonization of AIEC in WT and/or NOD2KO mice. Persistent AIEC colonization was observed until day 5 only in NOD2KO mice, disappearing at day 60. Mesenteric translocation of AIEC was observed only in NOD2KO mice. No inflammation was observed in WT and NOD2KO mice treated with antibiotics and infected with AIEC. During DSS-induced colitis, colonization and persistence of AIEC was observed in the colon. Moreover, a dramatic increase in clinical, histological, and molecular parameters of colitis was observed in mice infected with AIEC but not with a commensal E. coli strain.\\n\\nCONCLUSIONS: Antibiotic treatment was necessary for AIEC colonization of the gut and mesenteric tissues and persistence of AIEC was dependent on NOD2. AIEC exacerbated a preexisting DSS-induced colitis in WT mice.","author":[{"dropping-particle":"","family":"Drouet","given":"Maryline","non-dropping-particle":"","parse-names":false,"suffix":""},{"dropping-particle":"","family":"Vignal","given":"Cécile","non-dropping-particle":"","parse-names":false,"suffix":""},{"dropping-particle":"","family":"Singer","given":"Elisabeth","non-dropping-particle":"","parse-names":false,"suffix":""},{"dropping-particle":"","family":"Djouina","given":"Madjid","non-dropping-particle":"","parse-names":false,"suffix":""},{"dropping-particle":"","family":"Dubreuil","given":"Luc","non-dropping-particle":"","parse-names":false,"suffix":""},{"dropping-particle":"","family":"Cortot","given":"Antoine","non-dropping-particle":"","parse-names":false,"suffix":""},{"dropping-particle":"","family":"Desreumaux","given":"Pierre","non-dropping-particle":"","parse-names":false,"suffix":""},{"dropping-particle":"","family":"Neut","given":"Christel","non-dropping-particle":"","parse-names":false,"suffix":""}],"container-title":"Inflammatory Bowel Diseases","id":"ITEM-2","issue":"10","issued":{"date-parts":[["2012"]]},"page":"1923-1931","title":"AIEC colonization and pathogenicity: Influence of previous antibiotic treatment and preexisting inflammation","type":"article-journal","volume":"18"},"uris":["http://www.mendeley.com/documents/?uuid=b3ac4256-fea6-409e-a500-9ca5d27caeb1"]},{"id":"ITEM-3","itemData":{"DOI":"10.1038/s41598-018-30055-y","ISSN":"2045-2322","abstract":"A high prevalence of adherent-invasive E. coli (AIEC) in the intestinal mucosa of Crohn’s disease patients has been shown. AIEC colonize the intestine and induce inflammation in genetically predisposed mouse models including CEABAC10 transgenic (Tg) mice expressing human CEACAM6-receptor for AIEC and eif2ak4−/− mice exhibiting autophagy defect in response to AIEC infection. Here, we aimed at investigating whether gut microbiota modification contributes to AIEC-induced intestinal inflammation in these mouse models. For this, eif2ak4+/+ and eif2ak4−/− mice or CEABAC10 Tg mice invalidated for Eif2ak4 gene (Tg/eif2ak4−/−) or not (Tg/eif2ak4+/+) were infected with the AIEC reference strain LF82 or the non-pathogenic E. coli K12 MG1655 strain. In all mouse groups, LF82 colonized the gut better and longer than MG1655. No difference in fecal microbiota composition was observed in eif2ak4+/+ and eif2ak4−/− mice before infection and at day 1 and 4 post-infection. LF82-infected eif2ak4−/− mice exhibited altered fecal microbiota composition at day 14 and 21 post-infection and increased fecal lipocalin-2 level at day 21 post-infection compared to other groups, indicating that intestinal inflammation developed after microbiota modification. Similar results were obtained for LF82-infected Tg/eif2ak4−/− mice. These results suggest that in genetically predisposed hosts, AIEC colonization might induce chronic intestinal inflammation by altering the gut microbiota composition.","author":[{"dropping-particle":"","family":"Bretin","given":"Alexis","non-dropping-particle":"","parse-names":false,"suffix":""},{"dropping-particle":"","family":"Lucas","given":"Cécily","non-dropping-particle":"","parse-names":false,"suffix":""},{"dropping-particle":"","family":"Larabi","given":"Anaïs","non-dropping-particle":"","parse-names":false,"suffix":""},{"dropping-particle":"","family":"Dalmasso","given":"Guillaume","non-dropping-particle":"","parse-names":false,"suffix":""},{"dropping-particle":"","family":"Billard","given":"Elisabeth","non-dropping-particle":"","parse-names":false,"suffix":""},{"dropping-particle":"","family":"Barnich","given":"Nicolas","non-dropping-particle":"","parse-names":false,"suffix":""},{"dropping-particle":"","family":"Bonnet","given":"Richard","non-dropping-particle":"","parse-names":false,"suffix":""},{"dropping-particle":"","family":"Nguyen","given":"Hang Thi Thu","non-dropping-particle":"","parse-names":false,"suffix":""}],"container-title":"Scientific Reports","id":"ITEM-3","issue":"1","issued":{"date-parts":[["2018","12","17"]]},"page":"12301","publisher":"Nature Publishing Group","title":"AIEC infection triggers modification of gut microbiota composition in genetically predisposed mice, contributing to intestinal inflammation","type":"article-journal","volume":"8"},"uris":["http://www.mendeley.com/documents/?uuid=6b8dd230-cf19-3001-8b11-7fcce3529e92"]}],"mendeley":{"formattedCitation":"&lt;sup&gt;[6–8]&lt;/sup&gt;","plainTextFormattedCitation":"[6–8]","previouslyFormattedCitation":"&lt;sup&gt;[6–8]&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[6–8]</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Since a high prevalence of AIEC has been depicted in the mucosa of C</w:t>
      </w:r>
      <w:r w:rsidR="001C72CB" w:rsidRPr="000A6219">
        <w:rPr>
          <w:rFonts w:ascii="Book Antiqua" w:eastAsia="Calibri" w:hAnsi="Book Antiqua" w:cs="Times New Roman"/>
          <w:sz w:val="24"/>
          <w:szCs w:val="24"/>
          <w:lang w:val="en-US"/>
        </w:rPr>
        <w:t>rohn’s disease (C</w:t>
      </w:r>
      <w:r w:rsidRPr="000A6219">
        <w:rPr>
          <w:rFonts w:ascii="Book Antiqua" w:eastAsia="Calibri" w:hAnsi="Book Antiqua" w:cs="Times New Roman"/>
          <w:sz w:val="24"/>
          <w:szCs w:val="24"/>
          <w:lang w:val="en-US"/>
        </w:rPr>
        <w:t>D</w:t>
      </w:r>
      <w:r w:rsidR="001C72CB"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patients</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Journal","id":"ITEM-1","issue":"5","issued":{"date-parts":[["2007","9","12"]]},"note":"Ref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-2","itemData":{"DOI":"10.1038/labinvest.3700661","ISSN":"0023-6837","author":[{"dropping-particle":"","family":"Sasaki","given":"Maiko","non-dropping-particle":"","parse-names":false,"suffix":""},{"dropping-particle":"V","family":"Sitaraman","given":"Shanti","non-dropping-particle":"","parse-names":false,"suffix":""},{"dropping-particle":"","family":"Babbin","given":"Brian A","non-dropping-particle":"","parse-names":false,"suffix":""},{"dropping-particle":"","family":"Gerner-Smidt","given":"Peter","non-dropping-particle":"","parse-names":false,"suffix":""},{"dropping-particle":"","family":"Ribot","given":"Efrain M","non-dropping-particle":"","parse-names":false,"suffix":""},{"dropping-particle":"","family":"Garrett","given":"Nancy","non-dropping-particle":"","parse-names":false,"suffix":""},{"dropping-particle":"","family":"Alpern","given":"Joel A","non-dropping-particle":"","parse-names":false,"suffix":""},{"dropping-particle":"","family":"Akyildiz","given":"Adil","non-dropping-particle":"","parse-names":false,"suffix":""},{"dropping-particle":"","family":"Theiss","given":"Arianne L","non-dropping-particle":"","parse-names":false,"suffix":""},{"dropping-particle":"","family":"Nusrat","given":"Asma","non-dropping-particle":"","parse-names":false,"suffix":""},{"dropping-particle":"","family":"Klapproth","given":"Jan-Michael A","non-dropping-particle":"","parse-names":false,"suffix":""}],"container-title":"Laboratory Investigation","id":"ITEM-2","issue":"10","issued":{"date-parts":[["2007","10","30"]]},"page":"1042-1054","publisher":"Nature Publishing Group","title":"Invasive Escherichia coli are a feature of Crohn's disease","type":"article-journal","volume":"87"},"uris":["http://www.mendeley.com/documents/?uuid=c4d0689f-f757-308f-9fa1-05a5a032e7aa"]},{"id":"ITEM-3","itemData":{"DOI":"10.1002/ibd.20860","ISBN":"1536-4844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Diseases","id":"ITEM-3","issue":"6","issued":{"date-parts":[["2009"]]},"page":"872-882","title":"Molecular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disease","type":"article-journal","volume":"15"},"uris":["http://www.mendeley.com/documents/?uuid=8ec3da2d-ecbe-4f70-992f-5ef4b3d86aba"]},{"id":"ITEM-4","itemData":{"DOI":"10.1002/ibd.22971","ISSN":"1078-0998","PMID":"22508665","abstract":"BACKGROUND Escherichia coli is increasingly implicated in the pathogenesis of ileal Crohn's disease (ICD), offering a potential therapeutic target for disease management. Empirical antimicrobial targeting of ileal E. coli has advantages of economy and speed of implementation, but relies on uniform susceptibility of E. coli to routinely selected antimicrobials to avoid apparent treatment failure. Therefore, we examined the susceptibility of ileal E. coli to such antimicrobials. METHODS E. coli from 32 patients with ICD and 28 with normal ileum (NI) were characterized by phylogroup, pathotype, antimicrobial susceptibility, and presence of antimicrobial resistance genes. RESULTS In all, 17/32 ICD and 12/28 NI patients harbored ≥ 1 E. coli strain; 10/24 E. coli strains from ICD and 2/14 from NI were nonsuscepti-ble to ≥ 1 antimicrobial in ≥ 3 categories (multidrug-resistant). Resistance to amoxicillin/clavulanic-acid, cefoxitin, chloramphenicol, ciprofloxa-cin, gentamicin, and rifaximin was restricted to ICD, with 10/24 strains from 8/17 patients resistant to ciprofloxacin or rifaximin (P &lt; 0.01). Adherent-invasive E. coli (AIEC) were isolated from 8/32 ICD and 5/28 NI, and accounted for 54% and 43% of E. coli strains in these groups. In all, 8/13 AIEC strains from ICD (6/8 patients) versus 2/6 NI (2/5 patients) showed resistance to the macrophage-penetrating antimicrobials ciprofloxacin, clarithromycin, rifampicin, tetracycline, and trimethoprim/sulfamethoxazole. Resistance was associated with tetA, tetB, tetC, bla-(TEM), bla(oxa)-1, sulI, sulII, dhfrI, dhfrVII, ant(3″)-Ia, and catI genes and prior use of rifaximin (P &lt; 0.01). CONCLUSIONS ICD-associated E. coli frequently manifest resistance to commonly used antimicrobials. Clinical trials of antimicrobials against E. coli in ICD that are informed by susceptibility testing, rather than empirical selection, are more likely to demonstrate valid outcomes of such therapy.","author":[{"dropping-particle":"","family":"Dogan","given":"Belgin","non-dropping-particle":"","parse-names":false,"suffix":""},{"dropping-particle":"","family":"Scherl","given":"Ellen","non-dropping-particle":"","parse-names":false,"suffix":""},{"dropping-particle":"","family":"Bosworth","given":"Brian","non-dropping-particle":"","parse-names":false,"suffix":""},{"dropping-particle":"","family":"Yantiss","given":"Rhonda","non-dropping-particle":"","parse-names":false,"suffix":""},{"dropping-particle":"","family":"Altier","given":"Craig","non-dropping-particle":"","parse-names":false,"suffix":""},{"dropping-particle":"","family":"McDonough","given":"Patrick L.","non-dropping-particle":"","parse-names":false,"suffix":""},{"dropping-particle":"","family":"Jiang","given":"Zhi-Dong","non-dropping-particle":"","parse-names":false,"suffix":""},{"dropping-particle":"","family":"DuPont","given":"Herbert L.","non-dropping-particle":"","parse-names":false,"suffix":""},{"dropping-particle":"","family":"Garneau","given":"Philippe","non-dropping-particle":"","parse-names":false,"suffix":""},{"dropping-particle":"","family":"Harel","given":"Josee","non-dropping-particle":"","parse-names":false,"suffix":""},{"dropping-particle":"","family":"Rishniw","given":"Mark","non-dropping-particle":"","parse-names":false,"suffix":""},{"dropping-particle":"","family":"Simpson","given":"Kenneth W.","non-dropping-particle":"","parse-names":false,"suffix":""}],"container-title":"Inflammatory Bowel Diseases","id":"ITEM-4","issue":"1","issued":{"date-parts":[["2013","1"]]},"note":"Table 2: indicates that more AIEC were found of E.coli strains isolated from Ileal-CD than Normal Ileum.","page":"141-150","title":"Multidrug resistance is common in Escherichia coli associated with ileal Crohn</w:instrText>
      </w:r>
      <w:r w:rsidR="00E04FBE" w:rsidRPr="000A6219">
        <w:rPr>
          <w:rFonts w:ascii="Times New Roman" w:eastAsia="Calibri" w:hAnsi="Times New Roman" w:cs="Times New Roman"/>
          <w:sz w:val="24"/>
          <w:szCs w:val="24"/>
          <w:lang w:val="en-US"/>
        </w:rPr>
        <w:instrText>ʼ</w:instrText>
      </w:r>
      <w:r w:rsidR="00E04FBE" w:rsidRPr="000A6219">
        <w:rPr>
          <w:rFonts w:ascii="Book Antiqua" w:eastAsia="Calibri" w:hAnsi="Book Antiqua" w:cs="Times New Roman"/>
          <w:sz w:val="24"/>
          <w:szCs w:val="24"/>
          <w:lang w:val="en-US"/>
        </w:rPr>
        <w:instrText>s disease","type":"article-journal","volume":"19"},"uris":["http://www.mendeley.com/documents/?uuid=fd81c64a-3389-35ad-adcf-8a5398979fa6"]},{"id":"ITEM-5","itemData":{"DOI":"10.3389/fmicb.2017.00639","PMID":"28596755","abstract":"Adherent-invasive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microbiology","id":"ITEM-5","issued":{"date-parts":[["2017"]]},"page":"639","publisher":"Frontiers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Chile.","type":"article-journal","volume":"8"},"uris":["http://www.mendeley.com/documents/?uuid=a7eef5a5-adc5-3ec2-b2e2-774a85d27667"]},{"id":"ITEM-6","itemData":{"DOI":"10.1007/s00284-011-9947-8","ISSN":"03438651","PMID":"21626145","abstract":"The etiopathogenesis of Crohn's disease (CD) is still controversial: several genetic, immunologic, and environmental factors, including some bacteria, have been implicated. This study has been devised to assess the involvement of Escherichia coli in CD. Seven E. coli strains were isolated from 14 biopsies obtained from ileocolic ulcers of patients affected by inflammatory bowel disease (IBD), including six with ulcerative colitis and eight with CD. Five strains, exclusively isolated from CD patients, were found inside mucosal cells. Different PCR techniques (for chuA, yjaA, TspE4.C2, escV, and bfpB genes) were performed and PFGE was carried out to characterize these bacteria in comparison with other E. coli strains isolated from non-IBD specimens. The correlation of these characters with bacterial invasiveness on intestinal (Caco-2) and phagocytic (U937) cells was assessed. Overall our pilot data suggest that five among eight strains isolated from CD patients belonged to the adherent-invasive E. coli (AIEC) group, and were invasive on Caco-2 cells and resistant to phagocytosis. These findings suggest that these bacteria could be considered target organisms whose elimination could reduce the intestinal inflammatory process and CD progression.","author":[{"dropping-particle":"","family":"Raso","given":"Tiziana","non-dropping-particle":"","parse-names":false,"suffix":""},{"dropping-particle":"","family":"Crivellaro","given":"Sabrina","non-dropping-particle":"","parse-names":false,"suffix":""},{"dropping-particle":"","family":"Chirillo","given":"Maria Gabriella","non-dropping-particle":"","parse-names":false,"suffix":""},{"dropping-particle":"","family":"Pais","given":"Paolo","non-dropping-particle":"","parse-names":false,"suffix":""},{"dropping-particle":"","family":"Gaia","given":"Ezio","non-dropping-particle":"","parse-names":false,"suffix":""},{"dropping-particle":"","family":"Savoia","given":"Dianella","non-dropping-particle":"","parse-names":false,"suffix":""}],"container-title":"Current Microbiology","id":"ITEM-6","issue":"2","issued":{"date-parts":[["2011"]]},"page":"131-137","title":"Analysis of escherichia coli isolated from patients affected by Crohn's Disease","type":"article-journal","volume":"63"},"uris":["http://www.mendeley.com/documents/?uuid=1fa184a2-8db5-4f2b-8017-32caca068199"]},{"id":"ITEM-7","itemData":{"DOI":"10.1053/j.gastro.2004.04.061","ISBN":"0016-5085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Frédéric","non-dropping-particle":"","parse-names":false,"suffix":""}],"container-title":"Gastroenterology","id":"ITEM-7","issue":"2","issued":{"date-parts":[["2004"]]},"page":"412-421","title":"High prevalence of adherent-invasive Escherichia coli associated with ileal mucosa in Crohn's disease","type":"article-journal","volume":"127"},"uris":["http://www.mendeley.com/documents/?uuid=c37eb702-0cb7-4694-ad28-7a4aed1f66ff"]},{"id":"ITEM-8","itemData":{"DOI":"10.1002/ibd.21899","ISSN":"1078-0998","author":[{"dropping-particle":"","family":"Negroni","given":"Anna","non-dropping-particle":"","parse-names":false,"suffix":""},{"dropping-particle":"","family":"Costanzo","given":"Manuela","non-dropping-particle":"","parse-names":false,"suffix":""},{"dropping-particle":"","family":"Vitali","given":"Roberta","non-dropping-particle":"","parse-names":false,"suffix":""},{"dropping-particle":"","family":"Superti","given":"Fabiana","non-dropping-particle":"","parse-names":false,"suffix":""},{"dropping-particle":"","family":"Bertuccini","given":"Lucia","non-dropping-particle":"","parse-names":false,"suffix":""},{"dropping-particle":"","family":"Tinari","given":"Antonella","non-dropping-particle":"","parse-names":false,"suffix":""},{"dropping-particle":"","family":"Minelli","given":"Fabio","non-dropping-particle":"","parse-names":false,"suffix":""},{"dropping-particle":"","family":"Nardo","given":"Giovanni","non-dropping-particle":"Di","parse-names":false,"suffix":""},{"dropping-particle":"","family":"Nuti","given":"Federica","non-dropping-particle":"","parse-names":false,"suffix":""},{"dropping-particle":"","family":"Pierdomenico","given":"Maria","non-dropping-particle":"","parse-names":false,"suffix":""},{"dropping-particle":"","family":"Cucchiara","given":"Salvatore","non-dropping-particle":"","parse-names":false,"suffix":""},{"dropping-particle":"","family":"Stronati","given":"Laura","non-dropping-particle":"","parse-names":false,"suffix":""}],"container-title":"Inflammatory Bowel Diseases","id":"ITEM-8","issue":"5","issued":{"date-parts":[["2012","5","1"]]},"page":"913-924","publisher":"Wiley Subscription Services, Inc., A Wiley Company","title":"Characterization of adherent-invasive Escherichia coli isolated from pediatric patients with inflammatory bowel disease","type":"article-journal","volume":"18"},"uris":["http://www.mendeley.com/documents/?uuid=8961aad3-0571-31d6-a92d-896969048fdd"]},{"id":"ITEM-9","itemData":{"DOI":"10.1186/1756-0500-7-748","ISSN":"1756-0500","PMID":"25338542","abstract":"BACKGROUND: Adherent-invasive Escherichia coli (AIEC) have been implicated in the ethiopathogenesis of Crohn's disease (CD). In this study, we analyzed a collection of intestinal mucosa-associated E. coli isolates, presenting AIEC phenotypes, isolated from biopsies of CD pediatric patients and non-inflammatory bowel diseases (IBD) controls, in order to investigate their genetic and phenotypic pathogenic features.\\n\\nRESULTS: A total of 616 E. coli isolates from biopsies of four pediatric CD patients and of four non-IBD controls were collected and individually analyzed. For AIEC identification, adherent isolates were assayed for invasiveness, and the capacity of the adhesive-invasive isolates to survive and replicate intracellularly was determined over macrophages J774. In this way we identified 36 AIEC-like isolates. Interestingly, their relative abundance was significantly higher in CD patients (10%; 31/308) than in non-IBD controls (1%; 5/308) (χ2 = 38.96 p &lt; 0.001). Furthermore pulsed field gel electrophoresis (PFGE) and randomly amplified polymorphic DNA (RAPD) techniques were applied to analyze the clonality of the 36 AIEC-like isolates. The results obtained allowed us to identify 27 distinct genotypes (22 from CD patients and 5 from non-IBD controls). As for the AIEC prototype strain LF82, all 27 AIEC genotypes presented an aggregative pattern of adherence (AA) that was inhibited by D-mannose, indicating that adhesiveness of AIEC is likely mediated by type 1 pili. PCR analisys was used to investigate presence of virulence genes. The results indicated that among the 27 AIEC isolates, the incidence of genes encoding virulence factors K1 (χ2 = 6.167 P = 0.013), kpsMT II (χ2 = 6.167 P = 0.013), fyuA (χ2 = 6.167 P = 0.013), and ibeA (χ2 = 8.867 P = 0.003) was significantly higher among AIEC strains isolated from CD patients than non-IBD controls.\\n\\nCONCLUSIONS: The identification of AIEC strains in both CD and non-IBD controls, confirmed the \"pathobiont\" nature of AIEC strains. The finding that AIEC-like isolates were more abundant in CD patients, indicates that a close association of these strains with CD may also exists in pediatric patients.","author":[{"dropping-particle":"","family":"Conte","given":"Maria Pia","non-dropping-particle":"","parse-names":false,"suffix":""},{"dropping-particle":"","family":"Longhi","given":"Catia","non-dropping-particle":"","parse-names":false,"suffix":""},{"dropping-particle":"","family":"Marazzato","given":"Massimiliano","non-dropping-particle":"","parse-names":false,"suffix":""},{"dropping-particle":"","family":"Conte","given":"Antonietta Lucia","non-dropping-particle":"","parse-names":false,"suffix":""},{"dropping-particle":"","family":"Aleandri","given":"Marta","non-dropping-particle":"","parse-names":false,"suffix":""},{"dropping-particle":"","family":"Lepanto","given":"Maria Stefania","non-dropping-particle":"","parse-names":false,"suffix":""},{"dropping-particle":"","family":"Zagaglia","given":"Carlo","non-dropping-particle":"","parse-names":false,"suffix":""},{"dropping-particle":"","family":"Nicoletti","given":"Mauro","non-dropping-particle":"","parse-names":false,"suffix":""},{"dropping-particle":"","family":"Aloi","given":"Marina","non-dropping-particle":"","parse-names":false,"suffix":""},{"dropping-particle":"","family":"Totino","given":"Valentina","non-dropping-particle":"","parse-names":false,"suffix":""},{"dropping-particle":"","family":"Palamara","given":"Anna Teresa","non-dropping-particle":"","parse-names":false,"suffix":""},{"dropping-particle":"","family":"Schippa","given":"Serena","non-dropping-particle":"","parse-names":false,"suffix":""}],"container-title":"BMC research notes","id":"ITEM-9","issue":"1","issued":{"date-parts":[["2014"]]},"page":"748","title":"Adherent-invasive Escherichia coli (AIEC) in pediatric Crohn's disease patients: phenotypic and genetic pathogenic features.","type":"article-journal","volume":"7"},"uris":["http://www.mendeley.com/documents/?uuid=7bbeb97f-85b8-4d75-8c59-8aaeab2c26f5"]}],"mendeley":{"formattedCitation":"&lt;sup&gt;[1,9–16]&lt;/sup&gt;","plainTextFormattedCitation":"[1,9–16]","previouslyFormattedCitation":"&lt;sup&gt;[1,9–16]&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[1,9–16]</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and molecular mechanisms of AIEC virulence have been </w:t>
      </w:r>
      <w:r w:rsidR="00D75C7D" w:rsidRPr="000A6219">
        <w:rPr>
          <w:rFonts w:ascii="Book Antiqua" w:eastAsia="Calibri" w:hAnsi="Book Antiqua" w:cs="Times New Roman"/>
          <w:sz w:val="24"/>
          <w:szCs w:val="24"/>
          <w:lang w:val="en-US"/>
        </w:rPr>
        <w:t>associated</w:t>
      </w:r>
      <w:r w:rsidRPr="000A6219">
        <w:rPr>
          <w:rFonts w:ascii="Book Antiqua" w:eastAsia="Calibri" w:hAnsi="Book Antiqua" w:cs="Times New Roman"/>
          <w:sz w:val="24"/>
          <w:szCs w:val="24"/>
          <w:lang w:val="en-US"/>
        </w:rPr>
        <w:t xml:space="preserve"> with disease pathogenesis</w:t>
      </w:r>
      <w:r w:rsidR="006C536E" w:rsidRPr="000A6219">
        <w:rPr>
          <w:rFonts w:ascii="Book Antiqua" w:eastAsia="Calibri" w:hAnsi="Book Antiqua" w:cs="Times New Roman"/>
          <w:sz w:val="24"/>
          <w:szCs w:val="24"/>
          <w:lang w:val="en-US"/>
        </w:rPr>
        <w:fldChar w:fldCharType="begin" w:fldLock="1"/>
      </w:r>
      <w:r w:rsidR="004C4A78" w:rsidRPr="000A6219">
        <w:rPr>
          <w:rFonts w:ascii="Book Antiqua" w:eastAsia="Calibri" w:hAnsi="Book Antiqua" w:cs="Times New Roman"/>
          <w:sz w:val="24"/>
          <w:szCs w:val="24"/>
          <w:lang w:val="en-US"/>
        </w:rPr>
        <w:instrText>ADDIN CSL_CITATION {"citationItems":[{"id":"ITEM-1","itemData":{"DOI":"10.1172/JCI44632","ISSN":"1558-8238","PMID":"21339647","abstract":"Crohn disease (CD) is a multifactorial disease in which an abnormal immune response in the gastrointestinal (GI) tract leads to chronic inflammation. The small intestine, particularly the ileum, of patients with CD is colonized by adherent-invasive E. coli (AIEC)--a pathogenic group of E. coli able to adhere to and invade intestinal epithelial cells. As the earliest inflammatory lesions are microscopic erosions of the epithelium lining the Peyer's patches (PPs), we investigated the ability of AIEC bacteria to interact with PPs and the virulence factors involved. We found that AIEC bacteria could interact with mouse and human PPs via long polar fimbriae (LPF). An LPF-negative AIEC mutant was highly impaired in its ability to interact with mouse and human PPs and to translocate across monolayers of M cells, specialized epithelial cells at the surface of PPs. The prevalence of AIEC strains harboring the lpf operon was markedly higher in CD patients compared with controls. In addition, increased numbers of AIEC, but not LPF-deficient AIEC, bacteria were found interacting with PPs from Nod2(-/-) mice compared with WT mice. In conclusion, we have identified LPF as a key factor for AIEC to target PPs. This could be the missing link between AIEC colonization and the presence of early lesions in the PPs of CD patients.","author":[{"dropping-particle":"","family":"Chassaing","given":"Benoit","non-dropping-particle":"","parse-names":false,"suffix":""},{"dropping-particle":"","family":"Rolhion","given":"Nathalie","non-dropping-particle":"","parse-names":false,"suffix":""},{"dropping-particle":"","family":"Vallée","given":"Amélie","non-dropping-particle":"de","parse-names":false,"suffix":""},{"dropping-particle":"","family":"Salim","given":"Sa'ad Y","non-dropping-particle":"","parse-names":false,"suffix":""},{"dropping-particle":"","family":"Prorok-Hamon","given":"Maelle","non-dropping-particle":"","parse-names":false,"suffix":""},{"dropping-particle":"","family":"Neut","given":"Christel","non-dropping-particle":"","parse-names":false,"suffix":""},{"dropping-particle":"","family":"Campbell","given":"Barry J","non-dropping-particle":"","parse-names":false,"suffix":""},{"dropping-particle":"","family":"Söderholm","given":"Johan D","non-dropping-particle":"","parse-names":false,"suffix":""},{"dropping-particle":"","family":"Hugot","given":"Jean-Pierre","non-dropping-particle":"","parse-names":false,"suffix":""},{"dropping-particle":"","family":"Colombel","given":"Jean-Frédéric","non-dropping-particle":"","parse-names":false,"suffix":""},{"dropping-particle":"","family":"Darfeuille-Michaud","given":"Arlette","non-dropping-particle":"","parse-names":false,"suffix":""}],"container-title":"The Journal of clinical investigation","id":"ITEM-1","issue":"3","issued":{"date-parts":[["2011","3"]]},"page":"966-75","title":"Crohn disease-associated adherent-invasive E. coli bacteria target mouse and human Peyer's patches via long polar fimbriae.","type":"article-journal","volume":"121"},"uris":["http://www.mendeley.com/documents/?uuid=5170d7ea-b07b-4275-8db6-d58536a853d1"]},{"id":"ITEM-2","itemData":{"DOI":"10.1196/annals.1326.028","ISSN":"0077-8923","author":[{"dropping-particle":"","family":"Gullberg","given":"E.","non-dropping-particle":"","parse-names":false,"suffix":""},{"dropping-particle":"","family":"Soderholm","given":"J. D","non-dropping-particle":"","parse-names":false,"suffix":""}],"container-title":"Annals of the New York Academy of Sciences","id":"ITEM-2","issue":"1","issued":{"date-parts":[["2006","8","1"]]},"page":"218-232","publisher":"Wiley/Blackwell (10.1111)","title":"Peyer's patches and M cells as ootential sites of the inflammatory onset in Crohn's disease","type":"article-journal","volume":"1072"},"uris":["http://www.mendeley.com/documents/?uuid=b11ea237-177b-3b48-a37a-4caed456a80b"]},{"id":"ITEM-3","itemData":{"DOI":"10.1172/JCI30504","ISSN":"0021-9738","PMID":"17525800","abstract":"The ileal mucosa of Crohn disease (CD) patients is abnormally colonized by adherent-invasive E. coli (AIEC) that are able to adhere to and invade intestinal epithelial cells. Here, we show that CD-associated AIEC strains adhere to the brush border of primary ileal enterocytes isolated from CD patients but not controls without inflammatory bowel disease. AIEC adhesion is dependent on type 1 pili expression on the bacterial surface and on carcinoembryonic antigen-related cell adhesion molecule 6 (CEACAM6) expression on the apical surface of ileal epithelial cells. We report also that CEACAM6 acts as a receptor for AIEC adhesion and is abnormally expressed by ileal epithelial cells in CD patients. In addition, our in vitro studies show that there is increased CEACAM6 expression in cultured intestinal epithelial cells after IFN-gamma or TNF-alpha stimulation and after infection with AIEC bacteria, indicating that AIEC can promote its own colonization in CD patients.","author":[{"dropping-particle":"","family":"Barnich","given":"Nicolas","non-dropping-particle":"","parse-names":false,"suffix":""},{"dropping-particle":"","family":"Carvalho","given":"Frédéric A","non-dropping-particle":"","parse-names":false,"suffix":""},{"dropping-particle":"","family":"Glasser","given":"Anne-Lise","non-dropping-particle":"","parse-names":false,"suffix":""},{"dropping-particle":"","family":"Darcha","given":"Claude","non-dropping-particle":"","parse-names":false,"suffix":""},{"dropping-particle":"","family":"Jantscheff","given":"Peter","non-dropping-particle":"","parse-names":false,"suffix":""},{"dropping-particle":"","family":"Allez","given":"Matthieu","non-dropping-particle":"","parse-names":false,"suffix":""},{"dropping-particle":"","family":"Peeters","given":"Harald","non-dropping-particle":"","parse-names":false,"suffix":""},{"dropping-particle":"","family":"Bommelaer","given":"Gilles","non-dropping-particle":"","parse-names":false,"suffix":""},{"dropping-particle":"","family":"Desreumaux","given":"Pierre","non-dropping-particle":"","parse-names":false,"suffix":""},{"dropping-particle":"","family":"Colombel","given":"Jean-Frédéric","non-dropping-particle":"","parse-names":false,"suffix":""},{"dropping-particle":"","family":"Darfeuille-Michaud","given":"Arlette","non-dropping-particle":"","parse-names":false,"suffix":""},{"dropping-particle":"","family":"Loftus","given":"E.V.","non-dropping-particle":"","parse-names":false,"suffix":""},{"dropping-particle":"","family":"Elson","given":"C.O.","non-dropping-particle":"","parse-names":false,"suffix":""},{"dropping-particle":"","family":"Podolsky","given":"D.K.","non-dropping-particle":"","parse-names":false,"suffix":""},{"dropping-particle":"","family":"Shanahan","given":"F.","non-dropping-particle":"","parse-names":false,"suffix":""},{"dropping-particle":"","family":"Hugot","given":"J.P.","non-dropping-particle":"","parse-names":false,"suffix":""},{"dropping-particle":"","family":"Ogura","given":"Y.","non-dropping-particle":"","parse-names":false,"suffix":""},{"dropping-particle":"","family":"Lederman","given":"E.","non-dropping-particle":"","parse-names":false,"suffix":""},{"dropping-particle":"","family":"Neut","given":"C.","non-dropping-particle":"","parse-names":false,"suffix":""},{"dropping-particle":"","family":"Darfeuille-Michaud","given":"A.","non-dropping-particle":"","parse-names":false,"suffix":""},{"dropping-particle":"","family":"Swidsinski","given":"A.","non-dropping-particle":"","parse-names":false,"suffix":""},{"dropping-particle":"","family":"Masseret","given":"E.","non-dropping-particle":"","parse-names":false,"suffix":""},{"dropping-particle":"","family":"Boudeau","given":"J.","non-dropping-particle":"","parse-names":false,"suffix":""},{"dropping-particle":"","family":"Glasser","given":"A.L.","non-dropping-particle":"","parse-names":false,"suffix":""},{"dropping-particle":"","family":"Masseret","given":"E.","non-dropping-particle":"","parse-names":false,"suffix":""},{"dropping-particle":"","family":"Joly","given":"B.","non-dropping-particle":"","parse-names":false,"suffix":""},{"dropping-particle":"","family":"Darfeuille-Michaud","given":"A.","non-dropping-particle":"","parse-names":false,"suffix":""},{"dropping-particle":"","family":"Glasser","given":"A.L.","non-dropping-particle":"","parse-names":false,"suffix":""},{"dropping-particle":"","family":"Boudeau","given":"J.","non-dropping-particle":"","parse-names":false,"suffix":""},{"dropping-particle":"","family":"Barnich","given":"N.","non-dropping-particle":"","parse-names":false,"suffix":""},{"dropping-particle":"","family":"Darfeuille-Michaud","given":"A.","non-dropping-particle":"","parse-names":false,"suffix":""},{"dropping-particle":"","family":"Darfeuille-Michaud","given":"A.","non-dropping-particle":"","parse-names":false,"suffix":""},{"dropping-particle":"","family":"Pouttu","given":"R.","non-dropping-particle":"","parse-names":false,"suffix":""},{"dropping-particle":"","family":"Kukkonen","given":"M.","non-dropping-particle":"","parse-names":false,"suffix":""},{"dropping-particle":"","family":"Pak","given":"J.","non-dropping-particle":"","parse-names":false,"suffix":""},{"dropping-particle":"","family":"Pu","given":"Y.","non-dropping-particle":"","parse-names":false,"suffix":""},{"dropping-particle":"","family":"Zhang","given":"Z.T.","non-dropping-particle":"","parse-names":false,"suffix":""},{"dropping-particle":"","family":"Hasty","given":"D.L.","non-dropping-particle":"","parse-names":false,"suffix":""},{"dropping-particle":"","family":"Wu","given":"X.R.","non-dropping-particle":"","parse-names":false,"suffix":""},{"dropping-particle":"","family":"Sauter","given":"S.L.","non-dropping-particle":"","parse-names":false,"suffix":""},{"dropping-particle":"","family":"Rutherfurd","given":"S.M.","non-dropping-particle":"","parse-names":false,"suffix":""},{"dropping-particle":"","family":"Wagener","given":"C.","non-dropping-particle":"","parse-names":false,"suffix":""},{"dropping-particle":"","family":"Shively","given":"J.E.","non-dropping-particle":"","parse-names":false,"suffix":""},{"dropping-particle":"","family":"Hefta","given":"S.A.","non-dropping-particle":"","parse-names":false,"suffix":""},{"dropping-particle":"","family":"Leusch","given":"H.G.","non-dropping-particle":"","parse-names":false,"suffix":""},{"dropping-particle":"","family":"Burtin","given":"P.","non-dropping-particle":"","parse-names":false,"suffix":""},{"dropping-particle":"","family":"Quan","given":"P.C.","non-dropping-particle":"","parse-names":false,"suffix":""},{"dropping-particle":"","family":"Sabine","given":"M.C.","non-dropping-particle":"","parse-names":false,"suffix":""},{"dropping-particle":"","family":"Darfeuille-Michaud","given":"A.","non-dropping-particle":"","parse-names":false,"suffix":""},{"dropping-particle":"","family":"Oro","given":"H.S.","non-dropping-particle":"","parse-names":false,"suffix":""},{"dropping-particle":"","family":"Kolsto","given":"A.B.","non-dropping-particle":"","parse-names":false,"suffix":""},{"dropping-particle":"","family":"Wenneras","given":"C.","non-dropping-particle":"","parse-names":false,"suffix":""},{"dropping-particle":"","family":"Svennerholm","given":"A.M.","non-dropping-particle":"","parse-names":false,"suffix":""},{"dropping-particle":"","family":"Knutton","given":"S.","non-dropping-particle":"","parse-names":false,"suffix":""},{"dropping-particle":"","family":"Lloyd","given":"D.R.","non-dropping-particle":"","parse-names":false,"suffix":""},{"dropping-particle":"","family":"Candy","given":"D.C.","non-dropping-particle":"","parse-names":false,"suffix":""},{"dropping-particle":"","family":"McNeish","given":"A.S.","non-dropping-particle":"","parse-names":false,"suffix":""},{"dropping-particle":"","family":"Kenny","given":"B.","non-dropping-particle":"","parse-names":false,"suffix":""},{"dropping-particle":"","family":"DeVinney","given":"R.","non-dropping-particle":"","parse-names":false,"suffix":""},{"dropping-particle":"","family":"Servin","given":"A.L.","non-dropping-particle":"","parse-names":false,"suffix":""},{"dropping-particle":"","family":"Sokurenko","given":"E.V.","non-dropping-particle":"","parse-names":false,"suffix":""},{"dropping-particle":"","family":"Courtney","given":"H.S.","non-dropping-particle":"","parse-names":false,"suffix":""},{"dropping-particle":"","family":"Maslow","given":"J.","non-dropping-particle":"","parse-names":false,"suffix":""},{"dropping-particle":"","family":"Siitonen","given":"A.","non-dropping-particle":"","parse-names":false,"suffix":""},{"dropping-particle":"","family":"Hasty","given":"D.L.","non-dropping-particle":"","parse-names":false,"suffix":""},{"dropping-particle":"","family":"Rhodes","given":"J.M.","non-dropping-particle":"","parse-names":false,"suffix":""},{"dropping-particle":"","family":"Campbell","given":"B.J.","non-dropping-particle":"","parse-names":false,"suffix":""},{"dropping-particle":"","family":"Rhodes","given":"J.M.","non-dropping-particle":"","parse-names":false,"suffix":""},{"dropping-particle":"","family":"Tysk","given":"C.","non-dropping-particle":"","parse-names":false,"suffix":""},{"dropping-particle":"","family":"Grunert","given":"F.","non-dropping-particle":"","parse-names":false,"suffix":""},{"dropping-particle":"","family":"Daniel","given":"S.","non-dropping-particle":"","parse-names":false,"suffix":""},{"dropping-particle":"","family":"Nagel","given":"G.","non-dropping-particle":"","parse-names":false,"suffix":""},{"dropping-particle":"von","family":"Kleist","given":"S.","non-dropping-particle":"","parse-names":false,"suffix":""},{"dropping-particle":"","family":"Jantscheff","given":"P.","non-dropping-particle":"","parse-names":false,"suffix":""},{"dropping-particle":"","family":"Neumaier","given":"M.","non-dropping-particle":"","parse-names":false,"suffix":""},{"dropping-particle":"","family":"Paululat","given":"S.","non-dropping-particle":"","parse-names":false,"suffix":""},{"dropping-particle":"","family":"Chan","given":"A.","non-dropping-particle":"","parse-names":false,"suffix":""},{"dropping-particle":"","family":"Matthaes","given":"P.","non-dropping-particle":"","parse-names":false,"suffix":""},{"dropping-particle":"","family":"Wagener","given":"C.","non-dropping-particle":"","parse-names":false,"suffix":""},{"dropping-particle":"","family":"Jantscheff","given":"P.","non-dropping-particle":"","parse-names":false,"suffix":""},{"dropping-particle":"","family":"Scholzel","given":"S.","non-dropping-particle":"","parse-names":false,"suffix":""},{"dropping-particle":"","family":"Caccamo","given":"D.","non-dropping-particle":"","parse-names":false,"suffix":""},{"dropping-particle":"","family":"Telenta","given":"M.","non-dropping-particle":"","parse-names":false,"suffix":""},{"dropping-particle":"","family":"Celener","given":"D.","non-dropping-particle":"","parse-names":false,"suffix":""},{"dropping-particle":"","family":"Fahlgren","given":"A.","non-dropping-particle":"","parse-names":false,"suffix":""},{"dropping-particle":"","family":"Muenzner","given":"P.","non-dropping-particle":"","parse-names":false,"suffix":""},{"dropping-particle":"","family":"Naumann","given":"M.","non-dropping-particle":"","parse-names":false,"suffix":""},{"dropping-particle":"","family":"Meyer","given":"T.F.","non-dropping-particle":"","parse-names":false,"suffix":""},{"dropping-particle":"","family":"Gray-Owen","given":"S.D.","non-dropping-particle":"","parse-names":false,"suffix":""},{"dropping-particle":"","family":"Betis","given":"F.","non-dropping-particle":"","parse-names":false,"suffix":""},{"dropping-particle":"","family":"Avadhanula","given":"V.","non-dropping-particle":"","parse-names":false,"suffix":""},{"dropping-particle":"","family":"Rodriguez","given":"C.A.","non-dropping-particle":"","parse-names":false,"suffix":""},{"dropping-particle":"","family":"Ulett","given":"G.C.","non-dropping-particle":"","parse-names":false,"suffix":""},{"dropping-particle":"","family":"Bakaletz","given":"L.O.","non-dropping-particle":"","parse-names":false,"suffix":""},{"dropping-particle":"","family":"Adderson","given":"E.E.","non-dropping-particle":"","parse-names":false,"suffix":""},{"dropping-particle":"","family":"Reimund","given":"J.M.","non-dropping-particle":"","parse-names":false,"suffix":""},{"dropping-particle":"","family":"Chamaillard","given":"M.","non-dropping-particle":"","parse-names":false,"suffix":""},{"dropping-particle":"","family":"Iacob","given":"R.","non-dropping-particle":"","parse-names":false,"suffix":""},{"dropping-particle":"","family":"Desreumaux","given":"P.","non-dropping-particle":"","parse-names":false,"suffix":""},{"dropping-particle":"","family":"Colombel","given":"J.F.","non-dropping-particle":"","parse-names":false,"suffix":""},{"dropping-particle":"","family":"Gower-Rousseau","given":"C.","non-dropping-particle":"","parse-names":false,"suffix":""},{"dropping-particle":"","family":"Datsenko","given":"K.A.","non-dropping-particle":"","parse-names":false,"suffix":""},{"dropping-particle":"","family":"Wanner","given":"B.L.","non-dropping-particle":"","parse-names":false,"suffix":""},{"dropping-particle":"","family":"Chaveroche","given":"M.K.","non-dropping-particle":"","parse-names":false,"suffix":""},{"dropping-particle":"","family":"Ghigo","given":"J.M.","non-dropping-particle":"","parse-names":false,"suffix":""},{"dropping-particle":"","family":"d’Enfert","given":"C.","non-dropping-particle":"","parse-names":false,"suffix":""},{"dropping-particle":"","family":"Klemm","given":"P.","non-dropping-particle":"","parse-names":false,"suffix":""},{"dropping-particle":"","family":"Jorgensen","given":"B.J.","non-dropping-particle":"","parse-names":false,"suffix":""},{"dropping-particle":"van","family":"Die","given":"I.","non-dropping-particle":"","parse-names":false,"suffix":""},{"dropping-particle":"de","family":"Ree","given":"H.","non-dropping-particle":"","parse-names":false,"suffix":""},{"dropping-particle":"","family":"Bergmans","given":"H.","non-dropping-particle":"","parse-names":false,"suffix":""},{"dropping-particle":"","family":"Hisamatsu","given":"T.","non-dropping-particle":"","parse-names":false,"suffix":""},{"dropping-particle":"","family":"Bringer","given":"M.A.","non-dropping-particle":"","parse-names":false,"suffix":""},{"dropping-particle":"","family":"Glasser","given":"A.L.","non-dropping-particle":"","parse-names":false,"suffix":""},{"dropping-particle":"","family":"Tung","given":"C.H.","non-dropping-particle":"","parse-names":false,"suffix":""},{"dropping-particle":"","family":"Meresse","given":"S.","non-dropping-particle":"","parse-names":false,"suffix":""},{"dropping-particle":"","family":"Darfeuille-Michaud","given":"A.","non-dropping-particle":"","parse-names":false,"suffix":""}],"container-title":"The Journal of clinical investigation","id":"ITEM-3","issue":"6","issued":{"date-parts":[["2007","6"]]},"page":"1566-74","publisher":"American Society for Clinical Investigation","title":"CEACAM6 acts as a receptor for adherent-invasive E. coli, supporting ileal mucosa colonization in Crohn disease.","type":"article-journal","volume":"117"},"uris":["http://www.mendeley.com/documents/?uuid=9b1a2d50-5479-3ee9-ac44-9363ef2e3ffc"]},{"id":"ITEM-4","itemData":{"DOI":"10.1084/jem.20090741","ISBN":"1540-9538 (Electronic)\\n0022-1007 (Linking)","ISSN":"0022-1007","PMID":"19737864","abstract":"Abnormal expression of CEACAM6 is observed at the apical surface of the ileal epithelium in Crohn's disease (CD) patients, and CD ileal lesions are colonized by pathogenic adherent-invasive Escherichia coli (AIEC). We investigated the ability of AIEC reference strain LF82 to colonize the intestinal mucosa and to induce inflammation in CEABAC10 transgenic mice expressing human CEACAMs. AIEC LF82 virulent bacteria, but not nonpathogenic E. coli K-12, were able to persist in the gut of CEABAC10 transgenic mice and to induce severe colitis with reduced survival rate, marked weight loss, increased rectal bleeding, presence of erosive lesions, mucosal inflammation, and increased proinflammatory cytokine expression. The colitis depended on type 1 pili expression by AIEC bacteria and on intestinal CEACAM expression because no sign of colitis was observed in transgenic mice infected with type 1 pili-negative LF82-Delta fimH isogenic mutant or in wild-type mice infected with AIEC LF82 bacteria. These findings strongly support the hypothesis that in CD patients having an abnormal intestinal expression of CEACAM6, AIEC bacteria via type 1 pili expression can colonize the intestinal mucosa and induce gut inflammation. Thus, targeting AIEC adhesion to gut mucosa represents a new strategy for clinicians to prevent and/or to treat ileal CD.","author":[{"dropping-particle":"","family":"Carvalho","given":"Frédéric a","non-dropping-particle":"","parse-names":false,"suffix":""},{"dropping-particle":"","family":"Barnich","given":"Nicolas","non-dropping-particle":"","parse-names":false,"suffix":""},{"dropping-particle":"","family":"Sivignon","given":"Adeline","non-dropping-particle":"","parse-names":false,"suffix":""},{"dropping-particle":"","family":"Darcha","given":"Claude","non-dropping-particle":"","parse-names":false,"suffix":""},{"dropping-particle":"","family":"Chan","given":"Carlos H F","non-dropping-particle":"","parse-names":false,"suffix":""},{"dropping-particle":"","family":"Stanners","given":"Clifford P","non-dropping-particle":"","parse-names":false,"suffix":""},{"dropping-particle":"","family":"Darfeuille-Michaud","given":"Arlette","non-dropping-particle":"","parse-names":false,"suffix":""}],"container-title":"The Journal of experimental medicine","id":"ITEM-4","issue":"10","issued":{"date-parts":[["2009"]]},"page":"2179-2189","title":"Crohn's disease adherent-invasive Escherichia coli colonize and induce strong gut inflammation in transgenic mice expressing human CEACAM.","type":"article-journal","volume":"206"},"uris":["http://www.mendeley.com/documents/?uuid=a9dba19f-efe0-47f1-ac9c-6e4c49c72df9"]},{"id":"ITEM-5","itemData":{"DOI":"10.1053/j.gastro.2013.05.017","ISSN":"1528-0012","PMID":"23684751","abstract":"BACKGROUND &amp; AIMS: Inducible chitinase 3-like-1 is expressed by intestinal epithelial cells (IECs) and adheres to bacteria under conditions of inflammation. We performed a structure-function analysis of the chitin-binding domains encoded by the chiA gene, which mediates the pathogenic effects of adherent invasive Escherichia coli (AIEC).\n\nMETHODS: We created AIEC (strain LF82) with deletion of chiA (LF82-ΔchiA) or that expressed chiA with specific mutations. We investigated the effects of infecting different IEC lines with these bacteria compared with nonpathogenic E coli; chitinase activities were measured using the colloidal chitin-azure method. Colitis was induced in C57/Bl6 mice by administration of dextran sodium sulfate, and mice were given 10(8) bacteria for 15 consecutive days by gavage. Stool/tissue samples were collected and analyzed.\n\nRESULTS: LF82-ΔchiA had significantly less adhesion to IEC lines than LF82. Complementation of LF82-ΔchiA with the LF82 chiA gene, but not chiA from nonpathogenic (K12) E coli, increased adhesion. We identified 5 specific polymorphisms in the chitin-binding domain of LF82 chiA (at amino acids 362, 370, 378, 388, and 548) that differ from chiA of K12 and were required for LF82 to interact directly with IECs. This interaction was mediated by an N-glycosylated asparagine in chitinase 3-like-1 (amino acid 68) on IECs. Mice infected with LF82, or LF82-ΔchiA complemented with LF82 chiA, developed more severe colitis after administration of dextran sodium sulfate than mice infected with LF82-ΔchiA or LF82 that expressed mutant forms of chiA.\n\nCONCLUSIONS: AIEC adheres to an N-glycosylated chitinase 3-like-1 on IECs via the chitin-binding domain of chiA. This mechanism promotes the pathogenic effects of AIEC in mice with colitis.","author":[{"dropping-particle":"","family":"Low","given":"Daren","non-dropping-particle":"","parse-names":false,"suffix":""},{"dropping-particle":"","family":"Tran","given":"Hoa T","non-dropping-particle":"","parse-names":false,"suffix":""},{"dropping-particle":"","family":"Lee","given":"In-Ah","non-dropping-particle":"","parse-names":false,"suffix":""},{"dropping-particle":"","family":"Dreux","given":"Nicolas","non-dropping-particle":"","parse-names":false,"suffix":""},{"dropping-particle":"","family":"Kamba","given":"Alan","non-dropping-particle":"","parse-names":false,"suffix":""},{"dropping-particle":"","family":"Reinecker","given":"Hans-Christian","non-dropping-particle":"","parse-names":false,"suffix":""},{"dropping-particle":"","family":"Darfeuille-Michaud","given":"Arlette","non-dropping-particle":"","parse-names":false,"suffix":""},{"dropping-particle":"","family":"Barnich","given":"Nicolas","non-dropping-particle":"","parse-names":false,"suffix":""},{"dropping-particle":"","family":"Mizoguchi","given":"Emiko","non-dropping-particle":"","parse-names":false,"suffix":""}],"container-title":"Gastroenterology","id":"ITEM-5","issue":"3","issued":{"date-parts":[["2013","9"]]},"page":"602-12.e9","title":"Chitin-binding domains of Escherichia coli ChiA mediate interactions with intestinal epithelial cells in mice with colitis.","type":"article-journal","volume":"145"},"uris":["http://www.mendeley.com/documents/?uuid=485e80a9-7d98-46c1-a31a-a6dac6c43ecf"]},{"id":"ITEM-6","itemData":{"DOI":"10.1111/j.1462-5822.2012.01768.x","ISSN":"14625814","author":[{"dropping-particle":"","family":"Lapaquette","given":"Pierre","non-dropping-particle":"","parse-names":false,"suffix":""},{"dropping-particle":"","family":"Bringer","given":"Marie-Agnès","non-dropping-particle":"","parse-names":false,"suffix":""},{"dropping-particle":"","family":"Darfeuille-Michaud","given":"Arlette","non-dropping-particle":"","parse-names":false,"suffix":""}],"container-title":"Cellular Microbiology","id":"ITEM-6","issue":"6","issued":{"date-parts":[["2012","6","1"]]},"page":"791-807","publisher":"Blackwell Publishing Ltd","title":"Defects in autophagy favour adherent-invasive Escherichia coli persistence within macrophages leading to increased pro-inflammatory response","type":"article-journal","volume":"14"},"uris":["http://www.mendeley.com/documents/?uuid=4275aa67-e51a-393d-b088-c81704dedd89"]},{"id":"ITEM-7","itemData":{"DOI":"10.1007/s00011-016-0964-8","ISBN":"0001101609","ISSN":"1420908X","PMID":"27335178","abstract":"OBJECTIVE The importance of autophagy in mechanisms underlying inflammation has been highlighted. Downstream effects of the bacterial sensor NOD2 include autophagy induction. Recently, a relationship between defects in autophagy and adherent/invasive Escherichia coli (AIEC) persistence has emerged. The present study aims at investigating the interplay between autophagy, NOD2 and AIEC bacteria and assessing the expression level of autophagic proteins in intestinal biopsies of pediatric patients with inflammatory bowel disease (IBD). METHODS A human epithelial colorectal adenocarcinoma (Caco2) cell line stably over-expressing NOD2 was produced (Caco2NOD2). ATG16L1, LC3 and NOD2 levels were analysed in the Caco2 cell line and Caco2NOD2 after exposure to AIEC strains, by western blot and immunofluorescence. AIEC survival inside cells and TNFα, IL-8 and IL-1βmRNA expression were analysed by gentamicin protection assay and real time PCR. ATG16L1 and LC3 expression was analyzed in the inflamed ileum and colon of 28 patients with Crohn's disease (CD), 14 with ulcerative colitis (UC) and 23 controls by western blot. RESULTS AIEC infection increased ATG16L1 and LC3 in Caco2 cells. Exposure to AIEC strains increased LC3 and ATG16L1 in Caco2 overexpressing NOD2, more than in Caco2 wild type, while a decrease of AIEC survival rate and cytokine expression was observed in the same cell line. LC3 expression was increased in the inflamed colon of CD and UC children. CONCLUSIONS The NOD2-mediated autophagy induction is crucial to hold the intramucosal bacterial burden, especially towards AIEC, and to limit the resulting inflammatory response. Autophagy is active in inflamed colonic tissues of IBD pediatric patients.","author":[{"dropping-particle":"","family":"Negroni","given":"Anna","non-dropping-particle":"","parse-names":false,"suffix":""},{"dropping-particle":"","family":"Colantoni","given":"Eleonora","non-dropping-particle":"","parse-names":false,"suffix":""},{"dropping-particle":"","family":"Vitali","given":"Roberta","non-dropping-particle":"","parse-names":false,"suffix":""},{"dropping-particle":"","family":"Palone","given":"Francesca","non-dropping-particle":"","parse-names":false,"suffix":""},{"dropping-particle":"","family":"Pierdomenico","given":"Maria","non-dropping-particle":"","parse-names":false,"suffix":""},{"dropping-particle":"","family":"Costanzo","given":"Manuela","non-dropping-particle":"","parse-names":false,"suffix":""},{"dropping-particle":"","family":"Cesi","given":"Vincenzo","non-dropping-particle":"","parse-names":false,"suffix":""},{"dropping-particle":"","family":"Cucchiara","given":"Salvatore","non-dropping-particle":"","parse-names":false,"suffix":""},{"dropping-particle":"","family":"Stronati","given":"Laura","non-dropping-particle":"","parse-names":false,"suffix":""}],"container-title":"Inflammation Research","id":"ITEM-7","issue":"10","issued":{"date-parts":[["2016"]]},"page":"803-813","publisher":"Springer International Publishing","title":"NOD2 induces autophagy to control AIEC bacteria infectiveness in intestinal epithelial cells","type":"article-journal","volume":"65"},"uris":["http://www.mendeley.com/documents/?uuid=6bcfdf50-478b-4070-be92-48c925d01861"]},{"id":"ITEM-8","itemData":{"DOI":"10.1128/IAI.73.2.712-721.2005","ISSN":"0019-9567","PMID":"15664909","abstract":"Adherent and invasive Escherichia coli (AIEC) bacteria isolated from Crohn's disease patients are able to greatly replicate within macrophages without escaping from the phagosome and without inducing macrophage death. In the present study, evidence is provided that in AIEC strain LF82 the htrA gene encoding the stress protein HtrA is essential for intracellular replication within J774-A1 macrophages. Deletion of the htrA gene in strain LF82 induced increased sensitivity of the isogenic mutant to oxidative stress caused by hydrogen peroxide and a reduced rate of growth in an acid and nutrient-poor medium partly reproducing the microenvironment of the phagosome. In vitro experiments using an LF82 htrA gene promoter fusion with the lacZ gene revealed a 38-fold activation of the promoter in AIEC LF82 intramacrophagic bacteria. The CpxRA two-component signaling pathway was not involved in this activation. In addition, the activation of the LF82 htrA gene promoter was not observed in the nonpathogenic E. coli K-12 intramacrophagic bacteria, indicating that the AIEC LF82 genetic background is crucial for induction of htrA gene transcription during phagocytosis.","author":[{"dropping-particle":"","family":"Bringer","given":"Marie-Agnès","non-dropping-particle":"","parse-names":false,"suffix":""},{"dropping-particle":"","family":"Barnich","given":"Nicolas","non-dropping-particle":"","parse-names":false,"suffix":""},{"dropping-particle":"","family":"Glasser","given":"Anne-Lise","non-dropping-particle":"","parse-names":false,"suffix":""},{"dropping-particle":"","family":"Bardot","given":"Olivier","non-dropping-particle":"","parse-names":false,"suffix":""},{"dropping-particle":"","family":"Darfeuille-Michaud","given":"Arlette","non-dropping-particle":"","parse-names":false,"suffix":""}],"container-title":"Infection and immunity","id":"ITEM-8","issue":"2","issued":{"date-parts":[["2005","2"]]},"page":"712-21","publisher":"American Society for Microbiology (ASM)","title":"HtrA stress protein is involved in intramacrophagic replication of adherent and invasive Escherichia coli strain LF82 isolated from a patient with Crohn's disease.","type":"article-journal","volume":"73"},"uris":["http://www.mendeley.com/documents/?uuid=b7a37f2b-8b71-3cc1-ae3d-a00e9f4df1c5"]},{"id":"ITEM-9","itemData":{"DOI":"10.1111/j.1462-5822.2006.00868.x","ISBN":"1462-5814 (Print)\\r1462-5814 (Linking)","ISSN":"14625814","PMID":"17223928","abstract":"Adherent-invasive Escherichia coli (AIEC) have been shown to be highly associated with ileal Crohn's disease (CD). AIEC survive within infected macrophages, residing within the phagolysosomal compartment where they take advantage of the low pH to replicate extensively. We investigated whether, like the tuberculous bacillus which also persists within macrophages, AIEC LF82 induces the formation of granulomas, which are a common histopathological feature of CD. For this purpose, we have taken advantage of an in vitro model of human granulomas that we recently developed, based on blood-derived mononuclear cells. We demonstrated that AIEC LF82 induces aggregation of infected macrophages, fusion of some of them to form multinucleated giant cells and subsequent recruitment of lymphocytes. Light microscopy and scanning electron microscopy analysis of the cell aggregates confirmed their granuloma features. This was further confirmed by histological analysis of granuloma sections. Noteworthy, this phenomenon can be reproduced by soluble protein extracts of AIEC LF82 coated onto beads. Although the cell aggregates not completely mimic natural CD-associated granulomas, they are very similar to early stages of epithelioid granulomas.","author":[{"dropping-particle":"","family":"Meconi","given":"Sonia","non-dropping-particle":"","parse-names":false,"suffix":""},{"dropping-particle":"","family":"Vercellone","given":"Alain","non-dropping-particle":"","parse-names":false,"suffix":""},{"dropping-particle":"","family":"Levillain","given":"Florence","non-dropping-particle":"","parse-names":false,"suffix":""},{"dropping-particle":"","family":"Payré","given":"Bruno","non-dropping-particle":"","parse-names":false,"suffix":""},{"dropping-particle":"","family":"Saati","given":"Talal","non-dropping-particle":"Al","parse-names":false,"suffix":""},{"dropping-particle":"","family":"Capilla","given":"Florence","non-dropping-particle":"","parse-names":false,"suffix":""},{"dropping-particle":"","family":"Desreumaux","given":"Pierre","non-dropping-particle":"","parse-names":false,"suffix":""},{"dropping-particle":"","family":"Darfeuille-michaud","given":"Arlette","non-dropping-particle":"","parse-names":false,"suffix":""},{"dropping-particle":"","family":"Altare","given":"Frédéric","non-dropping-particle":"","parse-names":false,"suffix":""}],"container-title":"Cellular Microbiology","id":"ITEM-9","issue":"5","issued":{"date-parts":[["2007"]]},"page":"1252-1261","title":"Adherent-invasive Escherichia coli isolated from Crohn's disease patients induce granulomas in vitro","type":"article-journal","volume":"9"},"uris":["http://www.mendeley.com/documents/?uuid=3f43919f-315d-4a60-9457-91ebe86e5abc"]},{"id":"ITEM-10","itemData":{"DOI":"10.1053/j.gastro.2013.10.021","ISBN":"1528-0012; 0016-5085","ISSN":"00165085","PMID":"24148619","abstract":"Background &amp; Aims Levels of microRNAs are altered in intestinal tissues of patients with Crohn's disease (CD). The adherent-invasive Escherichia coli (AIEC), which colonize the ileal mucosa of patients with CD, adhere to and invade intestinal epithelial cells. We investigated the mechanism by which AIEC infection alters the expression of microRNAs and the host immune response. Methods Levels of microRNAs in human intestinal epithelial T84 cells and in mouse enterocytes were measured using quantitative reverse-transcription polymerase chain reaction. Luciferase assays were used to measure binding of microRNAs to the 3′-untranslated region of messenger RNA targets. Binding of nuclear factor-κB to promoters of genes encoding microRNAs was assessed by chromatin immunoprecipitation assays. Autophagy was measured by immunoblot analyses and immunofluorescent labeling of LC3. Anti-microRNAs were transferred to mice using ileal loops. Biopsy specimens from the terminal ileum of patients with ulcerative colitis (n = 20), CD (n = 20), or individuals without inflammatory bowel disease undergoing surveillance colonoscopies (controls, n = 13) were collected during endoscopic examination. Results AIEC infection up-regulated levels of microRNA (MIR) 30C and MIR130A in T84 cells and in mouse enterocytes by activating nuclear factor-κB. Up-regulation of these microRNAs reduced the levels of ATG5 and ATG16L1 and inhibited autophagy, leading to increased numbers of intracellular AIEC and an increased inflammatory response. In ileal biopsy samples of patients with CD, there was an inverse correlation between levels of MIR30C and MIR130A and those of ATG5 and ATG16L1, supporting in vitro findings. Inhibition of MIR30C and MIR130A in cultured intestinal epithelial cells and in mouse enterocytes blocked AIEC-induced inhibition of ATG5 and ATG16L1 expression and restored functional autophagy. This resulted in more effective clearance of intracellular AIEC and reduced AIEC-induced inflammation. Conclusions Infection with AIEC up-regulates microRNAs to reduce expression of proteins required for autophagy and autophagy response in intestinal epithelial cells. Ileal samples from patients with CD have increased levels of these same microRNAs and reduced levels of ATG5 and ATG16L1. © 2014 by the AGA Institute.","author":[{"dropping-particle":"","family":"Nguyen","given":"Hang Thi Thu","non-dropping-particle":"","parse-names":false,"suffix":""},{"dropping-particle":"","family":"Dalmasso","given":"Guillaume","non-dropping-particle":"","parse-names":false,"suffix":""},{"dropping-particle":"","family":"Müller","given":"Stefan","non-dropping-particle":"","parse-names":false,"suffix":""},{"dropping-particle":"","family":"Carrière","given":"Jessica","non-dropping-particle":"","parse-names":false,"suffix":""},{"dropping-particle":"","family":"Seibold","given":"Frank","non-dropping-particle":"","parse-names":false,"suffix":""},{"dropping-particle":"","family":"Darfeuille-Michaud","given":"Arlette","non-dropping-particle":"","parse-names":false,"suffix":""}],"container-title":"Gastroenterology","id":"ITEM-10","issue":"2","issued":{"date-parts":[["2014"]]},"page":"508-519","publisher":"Elsevier Ltd","title":"Crohn's disease-associated adherent invasive escherichia coli modulate levels of microRNAs in intestinal epithelial cells to reduce autophagy","type":"article-journal","volume":"146"},"uris":["http://www.mendeley.com/documents/?uuid=b29888f6-6c84-421e-9c76-90a9eee992d3"]},{"id":"ITEM-11","itemData":{"DOI":"10.1186/1471-2180-9-180","ISSN":"1471-2180","PMID":"19709415","abstract":"BACKGROUND: Although bacteria are implicated in the pathogenesis of chronic inflammatory bowel diseases (IBD), mechanisms of intestinal injury and immune activation remain unclear. Identification of adherent-invasive Escherichia coli (AIEC) strains in IBD patients offers an opportunity to characterize the pathogenesis of microbial-induced intestinal inflammation in IBD. Previous studies have focused on the invasive phenotype of AIEC and the ability to replicate and survive in phagocytes. However, the precise mechanisms by which these newly identified microbes penetrate the epithelial lining remain to be clarified. Therefore, the aim of this study was to delineate the effects of AIEC, strain LF82 (serotype O83:H1) on model polarized epithelial monolayers as a contributor to intestinal injury in IBD.\n\nRESULTS: Infection of T84 and Madin-Darby Canine Kidney-I polarized epithelial cell monolayers with AIEC, strain LF82 led to a reduction in transepithelial electrical resistance and increased macromolecular (10 kilodalton dextran) flux. Basolateral AIEC infection resulted in more severe disruption of the epithelial barrier. Increased permeability was accompanied by a redistribution of the tight junction adaptor protein, zonula occludens-1, demonstrated by confocal microscopy and formation of gaps between cells, as shown by transmission electron microscopy. After 4 h of infection of intestine 407 cells, bacteria replicated in the cell cytoplasm and were enclosed in membrane-bound vesicles positive for the late endosomal marker, LAMP1.\n\nCONCLUSION: These findings indicate that AIEC, strain LF82 disrupts the integrity of the polarized epithelial cell barrier. This disruption enables bacteria to penetrate into the epithelium and replicate in the host cell cytoplasm. These findings provide important links between microbes related to IBD, the intestinal epithelial cell barrier and disease pathogenesis.","author":[{"dropping-particle":"","family":"Wine","given":"Eytan","non-dropping-particle":"","parse-names":false,"suffix":""},{"dropping-particle":"","family":"Ossa","given":"Juan C","non-dropping-particle":"","parse-names":false,"suffix":""},{"dropping-particle":"","family":"Gray-Owen","given":"Scott D","non-dropping-particle":"","parse-names":false,"suffix":""},{"dropping-particle":"","family":"Sherman","given":"Philip M","non-dropping-particle":"","parse-names":false,"suffix":""}],"container-title":"BMC microbiology","id":"ITEM-11","issued":{"date-parts":[["2009","1"]]},"page":"180","title":"Adherent-invasive Escherichia coli, strain LF82 disrupts apical junctional complexes in polarized epithelia.","type":"article-journal","volume":"9"},"uris":["http://www.mendeley.com/documents/?uuid=f654997f-9be2-4d0c-9f08-4b4e9fe8314b"]},{"id":"ITEM-12","itemData":{"DOI":"10.1371/journal.pone.0041594","ISBN":"1932-6203 (Electronic)\\r1932-6203 (Linking)","ISSN":"19326203","PMID":"22848538","abstract":"BACKGROUND AND AIMS: Understanding the interplay between genetic susceptibility, the microbiome, the environment and the immune system in Crohn's Disease (CD) is essential for developing optimal therapeutic strategies. We sought to examine the dynamics of the relationship between inflammation, the ileal microbiome, and host genetics in murine models of ileitis.\\n\\nMETHODS: We induced ileal inflammation of graded severity in C57BL6 mice by gavage with Toxoplasma gondii, Giardia muris, low dose indomethacin (LDI; 0.1 mg/mouse), or high dose indomethacin (HDI; 1 mg/mouse). The composition and spatial distribution of the mucosal microbiome was evaluated by 16S rDNA pyrosequencing and fluorescence in situ hybridization. Mucosal E. coli were enumerated by quantitative PCR, and characterized by phylogroup, genotype and pathotype.\\n\\nRESULTS: Moderate to severe ileitis induced by T. gondii (day 8) and HDI caused a consistent shift from &gt;95% gram + Firmicutes to &gt;95% gram - Proteobacteria. This was accompanied by reduced microbial diversity and mucosal invasion by adherent and invasive E. coli, mirroring the dysbiosis of ileal CD. In contrast, dysbiosis and bacterial invasion did not develop in mice with mild ileitis induced by Giardia muris. Superimposition of genetic susceptibility and T. Gondii infection revealed greatest dysbiosis and bacterial invasion in the CD-susceptible genotype, NOD2(-/-), and reduced dysbiosis in ileitis-resistant CCR2(-/-) mice. Abrogating inflammation with the CD therapeutic anti-TNF-α-mAb tempered dysbiosis and bacterial invasion.\\n\\nCONCLUSIONS: Acute ileitis induces dysbiosis and proliferation of mucosally invasive E. coli, irrespective of trigger and genotype. The identification of CCR2 as a target for therapeutic intervention, and discovery that host genotype and therapeutic blockade of inflammation impact the threshold and extent of ileal dysbiosis are of high relevance to developing effective therapies for CD.","author":[{"dropping-particle":"","family":"Craven","given":"Melanie","non-dropping-particle":"","parse-names":false,"suffix":""},{"dropping-particle":"","family":"Egan","given":"Charlotte E.","non-dropping-particle":"","parse-names":false,"suffix":""},{"dropping-particle":"","family":"Dowd","given":"Scot E.","non-dropping-particle":"","parse-names":false,"suffix":""},{"dropping-particle":"","family":"McDonough","given":"Sean P.","non-dropping-particle":"","parse-names":false,"suffix":""},{"dropping-particle":"","family":"Dogan","given":"Belgin","non-dropping-particle":"","parse-names":false,"suffix":""},{"dropping-particle":"","family":"Denkers","given":"Eric Y.","non-dropping-particle":"","parse-names":false,"suffix":""},{"dropping-particle":"","family":"Bowman","given":"Dwight","non-dropping-particle":"","parse-names":false,"suffix":""},{"dropping-particle":"","family":"Scherl","given":"Ellen J.","non-dropping-particle":"","parse-names":false,"suffix":""},{"dropping-particle":"","family":"Simpson","given":"Kenneth W.","non-dropping-particle":"","parse-names":false,"suffix":""}],"container-title":"PLoS ONE","id":"ITEM-12","issue":"7","issued":{"date-parts":[["2012"]]},"page":"1-10","title":"Inflammation drives dysbiosis and bacterial invasion in murine models of ileal Crohn's Disease","type":"article-journal","volume":"7"},"uris":["http://www.mendeley.com/documents/?uuid=846dd35b-6bc2-4365-ac00-20fddac2dbbf"]},{"id":"ITEM-13","itemData":{"DOI":"10.1038/s41598-018-30055-y","ISSN":"2045-2322","abstract":"A high prevalence of adherent-invasive E. coli (AIEC) in the intestinal mucosa of Crohn’s disease patients has been shown. AIEC colonize the intestine and induce inflammation in genetically predisposed mouse models including CEABAC10 transgenic (Tg) mice expressing human CEACAM6-receptor for AIEC and eif2ak4−/− mice exhibiting autophagy defect in response to AIEC infection. Here, we aimed at investigating whether gut microbiota modification contributes to AIEC-induced intestinal inflammation in these mouse models. For this, eif2ak4+/+ and eif2ak4−/− mice or CEABAC10 Tg mice invalidated for Eif2ak4 gene (Tg/eif2ak4−/−) or not (Tg/eif2ak4+/+) were infected with the AIEC reference strain LF82 or the non-pathogenic E. coli K12 MG1655 strain. In all mouse groups, LF82 colonized the gut better and longer than MG1655. No difference in fecal microbiota composition was observed in eif2ak4+/+ and eif2ak4−/− mice before infection and at day 1 and 4 post-infection. LF82-infected eif2ak4−/− mice exhibited altered fecal microbiota composition at day 14 and 21 post-infection and increased fecal lipocalin-2 level at day 21 post-infection compared to other groups, indicating that intestinal inflammation developed after microbiota modification. Similar results were obtained for LF82-infected Tg/eif2ak4−/− mice. These results suggest that in genetically predisposed hosts, AIEC colonization might induce chronic intestinal inflammation by altering the gut microbiota composition.","author":[{"dropping-particle":"","family":"Bretin","given":"Alexis","non-dropping-particle":"","parse-names":false,"suffix":""},{"dropping-particle":"","family":"Lucas","given":"Cécily","non-dropping-particle":"","parse-names":false,"suffix":""},{"dropping-particle":"","family":"Larabi","given":"Anaïs","non-dropping-particle":"","parse-names":false,"suffix":""},{"dropping-particle":"","family":"Dalmasso","given":"Guillaume","non-dropping-particle":"","parse-names":false,"suffix":""},{"dropping-particle":"","family":"Billard","given":"Elisabeth","non-dropping-particle":"","parse-names":false,"suffix":""},{"dropping-particle":"","family":"Barnich","given":"Nicolas","non-dropping-particle":"","parse-names":false,"suffix":""},{"dropping-particle":"","family":"Bonnet","given":"Richard","non-dropping-particle":"","parse-names":false,"suffix":""},{"dropping-particle":"","family":"Nguyen","given":"Hang Thi Thu","non-dropping-particle":"","parse-names":false,"suffix":""}],"container-title":"Scientific Reports","id":"ITEM-13","issue":"1","issued":{"date-parts":[["2018","12","17"]]},"page":"12301","publisher":"Nature Publishing Group","title":"AIEC infection triggers modification of gut microbiota composition in genetically predisposed mice, contributing to intestinal inflammation","type":"article-journal","volume":"8"},"uris":["http://www.mendeley.com/documents/?uuid=6b8dd230-cf19-3001-8b11-7fcce3529e92"]},{"id":"ITEM-14","itemData":{"DOI":"10.1136/gutjnl-2013-304909","ISBN":"1468-3288 (Electronic)\\n0017-5749 (Linking)","ISSN":"14683288","PMID":"23896971","abstract":"BACKGROUND: Inflammatory bowel disease (IBD) is driven by a seemingly aberrant immune response to the gut microbiota with disease development dictated by genetics and environmental factors. A model exemplifying this notion is our recent demonstration that colonisation of adherent-invasive Escherichia coli (AIEC) during microbiota acquisition drove chronic colitis in mice lacking the flagellin receptor TLR5 (T5KO). T5KO colitis persisted beyond AIEC clearance and requires TLR4 and the NLRC4 inflammasome. We hypothesised that AIEC instigates chronic inflammation by increasing microbial lipopolysaccharide (LPS) and flagellin levels.\\n\\nGOAL: Examine if transient AIEC colonisation lastingly alters levels of LPS and flagellin and changes microbiota composition.\\n\\nMETHODS: Germ-free mice (wild type (WT) and T5KO) were inoculated with AIEC strain LF82 and placed in standard housing allowing a complex microbiota that eliminated AIEC in both mice strains. Faeces were assayed for the inflammatory marker, lipocalin-2, bacterial loads, and microbiota composition by pyrosequencing. Faecal LPS and flagellin bioactivity were measured via a cell-based reporter assay.\\n\\nRESULTS: Transient AIEC colonisation, in WT mice, did not alter inflammatory markers, bacterial loads, microbiota composition, nor its pro-inflammatory potential. By contrast, transient AIEC colonisation of T5KO mice drove chronic inflammation which correlated with microbiota components having higher levels of bioactive LPS and flagellin. Such AIEC-induced elevation of LPS and flagellin persisted well beyond AIEC clearance, required AIEC be flagellated, and was associated with alteration in microbiota species composition including a loss of species diversity.\\n\\nCONCLUSIONS: AIEC, and perhaps other pathobionts, may instigate chronic inflammation in susceptible hosts by altering the gut microbiota composition so as to give it an inherently greater ability to activate innate immunity/pro-inflammatory gene expression.","author":[{"dropping-particle":"","family":"Chassaing","given":"Benoit","non-dropping-particle":"","parse-names":false,"suffix":""},{"dropping-particle":"","family":"Koren","given":"Omry","non-dropping-particle":"","parse-names":false,"suffix":""},{"dropping-particle":"","family":"Carvalho","given":"Frederic A.","non-dropping-particle":"","parse-names":false,"suffix":""},{"dropping-particle":"","family":"Ley","given":"Ruth E.","non-dropping-particle":"","parse-names":false,"suffix":""},{"dropping-particle":"","family":"Gewirtz","given":"Andrew T.","non-dropping-particle":"","parse-names":false,"suffix":""}],"container-title":"Gut","id":"ITEM-14","issue":"7","issued":{"date-parts":[["2014"]]},"page":"1069-1080","title":"AIEC pathobiont instigates chronic colitis in susceptible hosts by altering microbiota composition","type":"article-journal","volume":"63"},"uris":["http://www.mendeley.com/documents/?uuid=2fd50d2b-eeac-4a85-8eef-54239aeeeb34"]}],"mendeley":{"formattedCitation":"&lt;sup&gt;[2,4,22–25,5,6,8,17–21]&lt;/sup&gt;","plainTextFormattedCitation":"[2,4,22–25,5,6,8,17–21]","previouslyFormattedCitation":"&lt;sup&gt;[2,4–6,8,17–25]&lt;/sup&gt;"},"properties":{"noteIndex":0},"schema":"https://github.com/citation-style-language/schema/raw/master/csl-citation.json"}</w:instrText>
      </w:r>
      <w:r w:rsidR="006C536E" w:rsidRPr="000A6219">
        <w:rPr>
          <w:rFonts w:ascii="Book Antiqua" w:eastAsia="Calibri" w:hAnsi="Book Antiqua" w:cs="Times New Roman"/>
          <w:sz w:val="24"/>
          <w:szCs w:val="24"/>
          <w:lang w:val="en-US"/>
        </w:rPr>
        <w:fldChar w:fldCharType="separate"/>
      </w:r>
      <w:r w:rsidR="004C4A78" w:rsidRPr="000A6219">
        <w:rPr>
          <w:rFonts w:ascii="Book Antiqua" w:eastAsia="Calibri" w:hAnsi="Book Antiqua" w:cs="Times New Roman"/>
          <w:noProof/>
          <w:sz w:val="24"/>
          <w:szCs w:val="24"/>
          <w:vertAlign w:val="superscript"/>
          <w:lang w:val="en-US"/>
        </w:rPr>
        <w:t>[2,4</w:t>
      </w:r>
      <w:r w:rsidR="00793FA6" w:rsidRPr="000A6219">
        <w:rPr>
          <w:rFonts w:ascii="Book Antiqua" w:eastAsia="Calibri" w:hAnsi="Book Antiqua" w:cs="Times New Roman"/>
          <w:noProof/>
          <w:sz w:val="24"/>
          <w:szCs w:val="24"/>
          <w:vertAlign w:val="superscript"/>
          <w:lang w:val="en-US"/>
        </w:rPr>
        <w:t>-6</w:t>
      </w:r>
      <w:r w:rsidR="004C4A78" w:rsidRPr="000A6219">
        <w:rPr>
          <w:rFonts w:ascii="Book Antiqua" w:eastAsia="Calibri" w:hAnsi="Book Antiqua" w:cs="Times New Roman"/>
          <w:noProof/>
          <w:sz w:val="24"/>
          <w:szCs w:val="24"/>
          <w:vertAlign w:val="superscript"/>
          <w:lang w:val="en-US"/>
        </w:rPr>
        <w:t>,</w:t>
      </w:r>
      <w:r w:rsidR="00793FA6" w:rsidRPr="000A6219">
        <w:rPr>
          <w:rFonts w:ascii="Book Antiqua" w:eastAsia="Calibri" w:hAnsi="Book Antiqua" w:cs="Times New Roman"/>
          <w:noProof/>
          <w:sz w:val="24"/>
          <w:szCs w:val="24"/>
          <w:vertAlign w:val="superscript"/>
          <w:lang w:val="en-US"/>
        </w:rPr>
        <w:t>8,17</w:t>
      </w:r>
      <w:r w:rsidR="004C4A78" w:rsidRPr="000A6219">
        <w:rPr>
          <w:rFonts w:ascii="Book Antiqua" w:eastAsia="Calibri" w:hAnsi="Book Antiqua" w:cs="Times New Roman"/>
          <w:noProof/>
          <w:sz w:val="24"/>
          <w:szCs w:val="24"/>
          <w:vertAlign w:val="superscript"/>
          <w:lang w:val="en-US"/>
        </w:rPr>
        <w:t>–2</w:t>
      </w:r>
      <w:r w:rsidR="00793FA6" w:rsidRPr="000A6219">
        <w:rPr>
          <w:rFonts w:ascii="Book Antiqua" w:eastAsia="Calibri" w:hAnsi="Book Antiqua" w:cs="Times New Roman"/>
          <w:noProof/>
          <w:sz w:val="24"/>
          <w:szCs w:val="24"/>
          <w:vertAlign w:val="superscript"/>
          <w:lang w:val="en-US"/>
        </w:rPr>
        <w:t>5</w:t>
      </w:r>
      <w:r w:rsidR="004C4A78" w:rsidRPr="000A6219">
        <w:rPr>
          <w:rFonts w:ascii="Book Antiqua" w:eastAsia="Calibri" w:hAnsi="Book Antiqua" w:cs="Times New Roman"/>
          <w:noProof/>
          <w:sz w:val="24"/>
          <w:szCs w:val="24"/>
          <w:vertAlign w:val="superscript"/>
          <w:lang w:val="en-US"/>
        </w:rPr>
        <w:t>]</w:t>
      </w:r>
      <w:r w:rsidR="006C536E"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AIEC has been pointed </w:t>
      </w:r>
      <w:r w:rsidR="00281FF0" w:rsidRPr="000A6219">
        <w:rPr>
          <w:rFonts w:ascii="Book Antiqua" w:eastAsia="Calibri" w:hAnsi="Book Antiqua" w:cs="Times New Roman"/>
          <w:sz w:val="24"/>
          <w:szCs w:val="24"/>
          <w:lang w:val="en-US"/>
        </w:rPr>
        <w:t xml:space="preserve">out </w:t>
      </w:r>
      <w:r w:rsidRPr="000A6219">
        <w:rPr>
          <w:rFonts w:ascii="Book Antiqua" w:eastAsia="Calibri" w:hAnsi="Book Antiqua" w:cs="Times New Roman"/>
          <w:sz w:val="24"/>
          <w:szCs w:val="24"/>
          <w:lang w:val="en-US"/>
        </w:rPr>
        <w:t xml:space="preserve">to take part in the complex </w:t>
      </w:r>
      <w:r w:rsidR="00793FA6" w:rsidRPr="000A6219">
        <w:rPr>
          <w:rFonts w:ascii="Book Antiqua" w:eastAsia="Calibri" w:hAnsi="Book Antiqua" w:cs="Times New Roman"/>
          <w:sz w:val="24"/>
          <w:szCs w:val="24"/>
          <w:lang w:val="en-US"/>
        </w:rPr>
        <w:t xml:space="preserve">multifactorial </w:t>
      </w:r>
      <w:proofErr w:type="spellStart"/>
      <w:r w:rsidR="00793FA6" w:rsidRPr="000A6219">
        <w:rPr>
          <w:rFonts w:ascii="Book Antiqua" w:eastAsia="Calibri" w:hAnsi="Book Antiqua" w:cs="Times New Roman"/>
          <w:sz w:val="24"/>
          <w:szCs w:val="24"/>
          <w:lang w:val="en-US"/>
        </w:rPr>
        <w:t>aetiology</w:t>
      </w:r>
      <w:proofErr w:type="spellEnd"/>
      <w:r w:rsidR="00793FA6" w:rsidRPr="000A6219">
        <w:rPr>
          <w:rFonts w:ascii="Book Antiqua" w:eastAsia="Calibri" w:hAnsi="Book Antiqua" w:cs="Times New Roman"/>
          <w:sz w:val="24"/>
          <w:szCs w:val="24"/>
          <w:lang w:val="en-US"/>
        </w:rPr>
        <w:t xml:space="preserve"> of CD.</w:t>
      </w:r>
    </w:p>
    <w:p w14:paraId="541FE2B6" w14:textId="02BEB36E" w:rsidR="00B82BB2" w:rsidRPr="000A6219" w:rsidRDefault="00ED1E11"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It is of paramount importance to further decipher the role of AIEC in CD (such as disease specificity or association with active disease), AIEC host range and transmission paths in order to define measures of contamination risk and prevention and/or to provide personalized treatments for AIEC carriers. </w:t>
      </w:r>
      <w:r w:rsidR="00730780" w:rsidRPr="000A6219">
        <w:rPr>
          <w:rFonts w:ascii="Book Antiqua" w:eastAsia="Calibri" w:hAnsi="Book Antiqua" w:cs="Times New Roman"/>
          <w:sz w:val="24"/>
          <w:szCs w:val="24"/>
          <w:lang w:val="en-US"/>
        </w:rPr>
        <w:t xml:space="preserve">One reason </w:t>
      </w:r>
      <w:r w:rsidR="00721A65" w:rsidRPr="000A6219">
        <w:rPr>
          <w:rFonts w:ascii="Book Antiqua" w:eastAsia="Calibri" w:hAnsi="Book Antiqua" w:cs="Times New Roman"/>
          <w:sz w:val="24"/>
          <w:szCs w:val="24"/>
          <w:lang w:val="en-US"/>
        </w:rPr>
        <w:t>f</w:t>
      </w:r>
      <w:r w:rsidR="00730780" w:rsidRPr="000A6219">
        <w:rPr>
          <w:rFonts w:ascii="Book Antiqua" w:eastAsia="Calibri" w:hAnsi="Book Antiqua" w:cs="Times New Roman"/>
          <w:sz w:val="24"/>
          <w:szCs w:val="24"/>
          <w:lang w:val="en-US"/>
        </w:rPr>
        <w:t>or</w:t>
      </w:r>
      <w:r w:rsidR="00721A65" w:rsidRPr="000A6219">
        <w:rPr>
          <w:rFonts w:ascii="Book Antiqua" w:eastAsia="Calibri" w:hAnsi="Book Antiqua" w:cs="Times New Roman"/>
          <w:sz w:val="24"/>
          <w:szCs w:val="24"/>
          <w:lang w:val="en-US"/>
        </w:rPr>
        <w:t xml:space="preserve"> the lack of information in these aspects is due to the </w:t>
      </w:r>
      <w:r w:rsidR="00730780" w:rsidRPr="000A6219">
        <w:rPr>
          <w:rFonts w:ascii="Book Antiqua" w:eastAsia="Calibri" w:hAnsi="Book Antiqua" w:cs="Times New Roman"/>
          <w:sz w:val="24"/>
          <w:szCs w:val="24"/>
          <w:lang w:val="en-US"/>
        </w:rPr>
        <w:t>absence of</w:t>
      </w:r>
      <w:r w:rsidR="00721A65" w:rsidRPr="000A6219">
        <w:rPr>
          <w:rFonts w:ascii="Book Antiqua" w:eastAsia="Calibri" w:hAnsi="Book Antiqua" w:cs="Times New Roman"/>
          <w:sz w:val="24"/>
          <w:szCs w:val="24"/>
          <w:lang w:val="en-US"/>
        </w:rPr>
        <w:t xml:space="preserve"> an AIEC molecular biomarker. Its identification rel</w:t>
      </w:r>
      <w:r w:rsidR="00730780" w:rsidRPr="000A6219">
        <w:rPr>
          <w:rFonts w:ascii="Book Antiqua" w:eastAsia="Calibri" w:hAnsi="Book Antiqua" w:cs="Times New Roman"/>
          <w:sz w:val="24"/>
          <w:szCs w:val="24"/>
          <w:lang w:val="en-US"/>
        </w:rPr>
        <w:t>ies</w:t>
      </w:r>
      <w:r w:rsidR="00721A65" w:rsidRPr="000A6219">
        <w:rPr>
          <w:rFonts w:ascii="Book Antiqua" w:eastAsia="Calibri" w:hAnsi="Book Antiqua" w:cs="Times New Roman"/>
          <w:sz w:val="24"/>
          <w:szCs w:val="24"/>
          <w:lang w:val="en-US"/>
        </w:rPr>
        <w:t xml:space="preserve"> on phenotypic traits undergoing cell-culture infection assays, which are extremely time</w:t>
      </w:r>
      <w:r w:rsidR="00E138C1"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consuming and hard to </w:t>
      </w:r>
      <w:r w:rsidR="00E138C1" w:rsidRPr="000A6219">
        <w:rPr>
          <w:rFonts w:ascii="Book Antiqua" w:eastAsia="Calibri" w:hAnsi="Book Antiqua" w:cs="Times New Roman"/>
          <w:sz w:val="24"/>
          <w:szCs w:val="24"/>
          <w:lang w:val="en-US"/>
        </w:rPr>
        <w:t>standardize</w:t>
      </w:r>
      <w:r w:rsidR="00721A65" w:rsidRPr="000A6219">
        <w:rPr>
          <w:rFonts w:ascii="Book Antiqua" w:eastAsia="Calibri" w:hAnsi="Book Antiqua" w:cs="Times New Roman"/>
          <w:sz w:val="24"/>
          <w:szCs w:val="24"/>
          <w:lang w:val="en-US"/>
        </w:rPr>
        <w:t xml:space="preserve">. </w:t>
      </w:r>
      <w:r w:rsidR="00B82BB2" w:rsidRPr="000A6219">
        <w:rPr>
          <w:rFonts w:ascii="Book Antiqua" w:eastAsia="Calibri" w:hAnsi="Book Antiqua" w:cs="Times New Roman"/>
          <w:sz w:val="24"/>
          <w:szCs w:val="24"/>
          <w:lang w:val="en-US"/>
        </w:rPr>
        <w:t xml:space="preserve">In this review, we aimed to provide a description of AIEC genetics based on the knowledge obtained by different approaches. Moreover, putative genetic/phenotypic markers for rapid AIEC identification have been </w:t>
      </w:r>
      <w:r w:rsidR="00540F34" w:rsidRPr="000A6219">
        <w:rPr>
          <w:rFonts w:ascii="Book Antiqua" w:eastAsia="Calibri" w:hAnsi="Book Antiqua" w:cs="Times New Roman"/>
          <w:sz w:val="24"/>
          <w:szCs w:val="24"/>
          <w:lang w:val="en-US"/>
        </w:rPr>
        <w:t>gathered</w:t>
      </w:r>
      <w:r w:rsidR="00E138C1" w:rsidRPr="000A6219">
        <w:rPr>
          <w:rFonts w:ascii="Book Antiqua" w:eastAsia="Calibri" w:hAnsi="Book Antiqua" w:cs="Times New Roman"/>
          <w:sz w:val="24"/>
          <w:szCs w:val="24"/>
          <w:lang w:val="en-US"/>
        </w:rPr>
        <w:t>. W</w:t>
      </w:r>
      <w:r w:rsidR="00B82BB2" w:rsidRPr="000A6219">
        <w:rPr>
          <w:rFonts w:ascii="Book Antiqua" w:eastAsia="Calibri" w:hAnsi="Book Antiqua" w:cs="Times New Roman"/>
          <w:sz w:val="24"/>
          <w:szCs w:val="24"/>
          <w:lang w:val="en-US"/>
        </w:rPr>
        <w:t xml:space="preserve">e also </w:t>
      </w:r>
      <w:r w:rsidR="00E138C1" w:rsidRPr="000A6219">
        <w:rPr>
          <w:rFonts w:ascii="Book Antiqua" w:eastAsia="Calibri" w:hAnsi="Book Antiqua" w:cs="Times New Roman"/>
          <w:sz w:val="24"/>
          <w:szCs w:val="24"/>
          <w:lang w:val="en-US"/>
        </w:rPr>
        <w:t>researched</w:t>
      </w:r>
      <w:r w:rsidR="00B82BB2" w:rsidRPr="000A6219">
        <w:rPr>
          <w:rFonts w:ascii="Book Antiqua" w:eastAsia="Calibri" w:hAnsi="Book Antiqua" w:cs="Times New Roman"/>
          <w:sz w:val="24"/>
          <w:szCs w:val="24"/>
          <w:lang w:val="en-US"/>
        </w:rPr>
        <w:t xml:space="preserve"> </w:t>
      </w:r>
      <w:r w:rsidR="005807D4" w:rsidRPr="000A6219">
        <w:rPr>
          <w:rFonts w:ascii="Book Antiqua" w:eastAsia="Calibri" w:hAnsi="Book Antiqua" w:cs="Times New Roman"/>
          <w:sz w:val="24"/>
          <w:szCs w:val="24"/>
          <w:lang w:val="en-US"/>
        </w:rPr>
        <w:t>putative reasons why finding AIEC molecular genetic signatures is challenging</w:t>
      </w:r>
      <w:r w:rsidR="00B82BB2" w:rsidRPr="000A6219">
        <w:rPr>
          <w:rFonts w:ascii="Book Antiqua" w:eastAsia="Calibri" w:hAnsi="Book Antiqua" w:cs="Times New Roman"/>
          <w:color w:val="C0504D" w:themeColor="accent2"/>
          <w:sz w:val="24"/>
          <w:szCs w:val="24"/>
          <w:lang w:val="en-US"/>
        </w:rPr>
        <w:t xml:space="preserve"> </w:t>
      </w:r>
      <w:r w:rsidR="00B82BB2" w:rsidRPr="000A6219">
        <w:rPr>
          <w:rFonts w:ascii="Book Antiqua" w:eastAsia="Calibri" w:hAnsi="Book Antiqua" w:cs="Times New Roman"/>
          <w:sz w:val="24"/>
          <w:szCs w:val="24"/>
          <w:lang w:val="en-US"/>
        </w:rPr>
        <w:t xml:space="preserve">and </w:t>
      </w:r>
      <w:r w:rsidR="005807D4" w:rsidRPr="000A6219">
        <w:rPr>
          <w:rFonts w:ascii="Book Antiqua" w:eastAsia="Calibri" w:hAnsi="Book Antiqua" w:cs="Times New Roman"/>
          <w:sz w:val="24"/>
          <w:szCs w:val="24"/>
          <w:lang w:val="en-US"/>
        </w:rPr>
        <w:t>discussed</w:t>
      </w:r>
      <w:r w:rsidR="00B82BB2" w:rsidRPr="000A6219">
        <w:rPr>
          <w:rFonts w:ascii="Book Antiqua" w:eastAsia="Calibri" w:hAnsi="Book Antiqua" w:cs="Times New Roman"/>
          <w:sz w:val="24"/>
          <w:szCs w:val="24"/>
          <w:lang w:val="en-US"/>
        </w:rPr>
        <w:t xml:space="preserve"> new strategies that could shed light on this field.</w:t>
      </w:r>
    </w:p>
    <w:p w14:paraId="6649559A" w14:textId="430D1ED2" w:rsidR="0010433F" w:rsidRPr="000A6219" w:rsidRDefault="0010433F" w:rsidP="000A6219">
      <w:pPr>
        <w:snapToGrid w:val="0"/>
        <w:spacing w:after="0" w:line="360" w:lineRule="auto"/>
        <w:jc w:val="both"/>
        <w:rPr>
          <w:rFonts w:ascii="Book Antiqua" w:eastAsia="Calibri" w:hAnsi="Book Antiqua" w:cs="Times New Roman"/>
          <w:b/>
          <w:caps/>
          <w:sz w:val="24"/>
          <w:szCs w:val="24"/>
          <w:u w:val="single"/>
          <w:lang w:val="en-US"/>
        </w:rPr>
      </w:pPr>
      <w:r w:rsidRPr="000A6219">
        <w:rPr>
          <w:rFonts w:ascii="Book Antiqua" w:eastAsia="Calibri" w:hAnsi="Book Antiqua" w:cs="Times New Roman"/>
          <w:b/>
          <w:caps/>
          <w:sz w:val="24"/>
          <w:szCs w:val="24"/>
          <w:u w:val="single"/>
          <w:lang w:val="en-US"/>
        </w:rPr>
        <w:lastRenderedPageBreak/>
        <w:t xml:space="preserve">Approaches followed to decipher </w:t>
      </w:r>
      <w:r w:rsidR="000E153F" w:rsidRPr="000E153F">
        <w:rPr>
          <w:rFonts w:ascii="Book Antiqua" w:hAnsi="Book Antiqua" w:cs="Times New Roman"/>
          <w:b/>
          <w:i/>
          <w:caps/>
          <w:sz w:val="24"/>
          <w:szCs w:val="24"/>
          <w:u w:val="single"/>
          <w:lang w:val="en-US" w:eastAsia="zh-CN"/>
        </w:rPr>
        <w:t>aimc</w:t>
      </w:r>
      <w:r w:rsidRPr="000A6219">
        <w:rPr>
          <w:rFonts w:ascii="Book Antiqua" w:eastAsia="Calibri" w:hAnsi="Book Antiqua" w:cs="Times New Roman"/>
          <w:b/>
          <w:caps/>
          <w:sz w:val="24"/>
          <w:szCs w:val="24"/>
          <w:u w:val="single"/>
          <w:lang w:val="en-US"/>
        </w:rPr>
        <w:t xml:space="preserve"> genetics</w:t>
      </w:r>
    </w:p>
    <w:p w14:paraId="2665EDF5" w14:textId="1392D751" w:rsidR="00721A65" w:rsidRPr="000A6219" w:rsidRDefault="00E138C1"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fr-FR"/>
        </w:rPr>
        <w:t>O</w:t>
      </w:r>
      <w:r w:rsidR="00793FA6" w:rsidRPr="000A6219">
        <w:rPr>
          <w:rFonts w:ascii="Book Antiqua" w:eastAsia="Calibri" w:hAnsi="Book Antiqua" w:cs="Times New Roman"/>
          <w:sz w:val="24"/>
          <w:szCs w:val="24"/>
          <w:lang w:val="fr-FR"/>
        </w:rPr>
        <w:t xml:space="preserve">nce Darfeuille-Michaud </w:t>
      </w:r>
      <w:r w:rsidR="00793FA6" w:rsidRPr="000A6219">
        <w:rPr>
          <w:rFonts w:ascii="Book Antiqua" w:eastAsia="Calibri" w:hAnsi="Book Antiqua" w:cs="Times New Roman"/>
          <w:i/>
          <w:sz w:val="24"/>
          <w:szCs w:val="24"/>
          <w:lang w:val="fr-FR"/>
        </w:rPr>
        <w:t>et al</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fr-FR"/>
        </w:rPr>
        <w:instrText>ADDIN CSL_CITATION {"citationItems":[{"id":"ITEM-1","itemData":{"DOI":"10.1053/j.gastro.2004.04.061","ISBN":"0016-5085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w:instrText>
      </w:r>
      <w:r w:rsidR="00894FE5" w:rsidRPr="000A6219">
        <w:rPr>
          <w:rFonts w:ascii="Book Antiqua" w:eastAsia="Calibri" w:hAnsi="Book Antiqua" w:cs="Times New Roman"/>
          <w:sz w:val="24"/>
          <w:szCs w:val="24"/>
          <w:lang w:val="en-GB"/>
        </w:rPr>
        <w:instrText>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Frédéric","non-dropping-particle":"","parse-names":false,"suffix":""}],"container-title":"Gastroenterology","id":"ITEM-1","issue":"2","issued":{"date-parts":[["2004"]]},"page":"412-421","title":"High prevalence of adherent-invasive Escherichia coli associated with ileal mucosa in Crohn's disease","type":"article-journal","volume":"127"},"uris":["http://www.mendeley.com/documents/?uuid=c37eb702-0cb7-4694-ad28-7a4aed1f66ff"]}],"mendeley":{"formattedCitation":"&lt;sup&gt;[1]&lt;/sup&gt;","plainTextFormattedCitation":"[1]","previouslyFormattedCitation":"&lt;sup&gt;[1]&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defined the AIEC pathotype</w:t>
      </w:r>
      <w:r w:rsidRPr="000A6219">
        <w:rPr>
          <w:rFonts w:ascii="Book Antiqua" w:eastAsia="Calibri" w:hAnsi="Book Antiqua" w:cs="Times New Roman"/>
          <w:sz w:val="24"/>
          <w:szCs w:val="24"/>
          <w:lang w:val="en-US"/>
        </w:rPr>
        <w:t xml:space="preserve"> in 2004</w:t>
      </w:r>
      <w:r w:rsidR="00721A65" w:rsidRPr="000A6219">
        <w:rPr>
          <w:rFonts w:ascii="Book Antiqua" w:eastAsia="Calibri" w:hAnsi="Book Antiqua" w:cs="Times New Roman"/>
          <w:sz w:val="24"/>
          <w:szCs w:val="24"/>
          <w:lang w:val="en-US"/>
        </w:rPr>
        <w:t xml:space="preserve">, a search for unique genes that could explain its phenotype </w:t>
      </w:r>
      <w:r w:rsidRPr="000A6219">
        <w:rPr>
          <w:rFonts w:ascii="Book Antiqua" w:eastAsia="Calibri" w:hAnsi="Book Antiqua" w:cs="Times New Roman"/>
          <w:sz w:val="24"/>
          <w:szCs w:val="24"/>
          <w:lang w:val="en-US"/>
        </w:rPr>
        <w:t>began</w:t>
      </w:r>
      <w:r w:rsidR="00721A65" w:rsidRPr="000A6219">
        <w:rPr>
          <w:rFonts w:ascii="Book Antiqua" w:eastAsia="Calibri" w:hAnsi="Book Antiqua" w:cs="Times New Roman"/>
          <w:sz w:val="24"/>
          <w:szCs w:val="24"/>
          <w:lang w:val="en-US"/>
        </w:rPr>
        <w:t xml:space="preserve">. Several approaches have been followed </w:t>
      </w:r>
      <w:r w:rsidRPr="000A6219">
        <w:rPr>
          <w:rFonts w:ascii="Book Antiqua" w:eastAsia="Calibri" w:hAnsi="Book Antiqua" w:cs="Times New Roman"/>
          <w:sz w:val="24"/>
          <w:szCs w:val="24"/>
          <w:lang w:val="en-US"/>
        </w:rPr>
        <w:t>for</w:t>
      </w:r>
      <w:r w:rsidR="00721A65" w:rsidRPr="000A6219">
        <w:rPr>
          <w:rFonts w:ascii="Book Antiqua" w:eastAsia="Calibri" w:hAnsi="Book Antiqua" w:cs="Times New Roman"/>
          <w:sz w:val="24"/>
          <w:szCs w:val="24"/>
          <w:lang w:val="en-US"/>
        </w:rPr>
        <w:t xml:space="preserve"> decipher</w:t>
      </w:r>
      <w:r w:rsidRPr="000A6219">
        <w:rPr>
          <w:rFonts w:ascii="Book Antiqua" w:eastAsia="Calibri" w:hAnsi="Book Antiqua" w:cs="Times New Roman"/>
          <w:sz w:val="24"/>
          <w:szCs w:val="24"/>
          <w:lang w:val="en-US"/>
        </w:rPr>
        <w:t>ing</w:t>
      </w:r>
      <w:r w:rsidR="00721A65" w:rsidRPr="000A6219">
        <w:rPr>
          <w:rFonts w:ascii="Book Antiqua" w:eastAsia="Calibri" w:hAnsi="Book Antiqua" w:cs="Times New Roman"/>
          <w:sz w:val="24"/>
          <w:szCs w:val="24"/>
          <w:lang w:val="en-US"/>
        </w:rPr>
        <w:t xml:space="preserve"> AIEC genetics (gene prevalence, point mutations and gene expression) in which both known and</w:t>
      </w:r>
      <w:r w:rsidR="00793FA6" w:rsidRPr="000A6219">
        <w:rPr>
          <w:rFonts w:ascii="Book Antiqua" w:eastAsia="Calibri" w:hAnsi="Book Antiqua" w:cs="Times New Roman"/>
          <w:sz w:val="24"/>
          <w:szCs w:val="24"/>
          <w:lang w:val="en-US"/>
        </w:rPr>
        <w:t xml:space="preserve"> novel genes have been studied.</w:t>
      </w:r>
    </w:p>
    <w:p w14:paraId="2F6690E5" w14:textId="15128A54" w:rsidR="00721A65" w:rsidRPr="000A6219" w:rsidRDefault="00D915B1" w:rsidP="000A6219">
      <w:pPr>
        <w:pStyle w:val="a7"/>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F</w:t>
      </w:r>
      <w:r w:rsidR="00721A65" w:rsidRPr="000A6219">
        <w:rPr>
          <w:rFonts w:ascii="Book Antiqua" w:eastAsia="Calibri" w:hAnsi="Book Antiqua" w:cs="Times New Roman"/>
          <w:sz w:val="24"/>
          <w:szCs w:val="24"/>
          <w:lang w:val="en-US"/>
        </w:rPr>
        <w:t xml:space="preserve">irst studies based on </w:t>
      </w:r>
      <w:r w:rsidR="00E138C1" w:rsidRPr="000A6219">
        <w:rPr>
          <w:rFonts w:ascii="Book Antiqua" w:eastAsia="Calibri" w:hAnsi="Book Antiqua" w:cs="Times New Roman"/>
          <w:sz w:val="24"/>
          <w:szCs w:val="24"/>
          <w:lang w:val="en-US"/>
        </w:rPr>
        <w:t>polymerase chain reaction (</w:t>
      </w:r>
      <w:r w:rsidR="00721A65" w:rsidRPr="000A6219">
        <w:rPr>
          <w:rFonts w:ascii="Book Antiqua" w:eastAsia="Calibri" w:hAnsi="Book Antiqua" w:cs="Times New Roman"/>
          <w:sz w:val="24"/>
          <w:szCs w:val="24"/>
          <w:lang w:val="en-US"/>
        </w:rPr>
        <w:t>PCR</w:t>
      </w:r>
      <w:r w:rsidR="00E138C1"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-based gene prevalence</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Diseases","id":"ITEM-1","issue":"6","issued":{"date-parts":[["2009"]]},"page":"872-882","title":"Molecular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disease","type":"article-journal","volume":"15"},"uris":["http://www.mendeley.com/documents/?uuid=8ec3da2d-ecbe-4f70-992f-5ef4b3d86aba"]},{"id":"ITEM-2","itemData":{"DOI":"10.1128/JCM.01484-09","ISSN":"1098-660X","PMID":"19828750","abstract":"Adherent-invasive Escherichia coli (AIEC) pathovar strains, which are associated with Crohn's disease, share many genetic and phenotypic features with extraintestinal pathogenic E. coli (ExPEC) strains, but little is known about the level of genetic similarity between the two pathovars. We aimed to determine the frequency of strains with the \"AIEC phenotype\" among a collection of ExPEC strains and to further search for a common phylogenetic origin for the intestinal and extraintestinal AIEC strains. The adhesion, invasion, and intramacrophage replication capabilities (AIEC phenotype) of 63 ExPEC strains were determined. Correlations between virulence genotype and AIEC phenotype and between intestinal/extraintestinal origin, serotype, and phylogroup were evaluated for the 63 ExPEC and 23 intestinal AIEC strains. Phylogenetic relationships between extraintestinal and intestinal AIEC strains were determined using multilocus sequence typing (MLST) and pulsed-field gel electrophoresis. Only four (6.35%) ExPEC strains, belonging to the O6:H1, O83:H1, and O25:H4 serotypes, were classified as having an AIEC phenotype. These strains were found to be genetically related to some intestinal AIEC strains of the same serotypes as revealed by MLST. No particular virulence gene sets correlated with the intestinal/extraintestinal origin of the strains or with the AIEC phenotype, whereas the gene sets did correlate with the serogroup. We identified two intestinal AIEC strains and one extraintestinal AIEC strain belonging to the O25:H4 serotype that also belonged to the emerging and virulent clonal group ST131. In conclusion, the ExPEC and AIEC pathovars share similar virulence gene sets, and certain strains are phylogenetically related. However, the majority of ExPEC strains did not behave like AIEC strains, thus confirming that the AIEC pathovar possesses virulence-specific features that, to date, are detectable only phenotypically.","author":[{"dropping-particle":"","family":"Martinez-Medina","given":"Margarita","non-dropping-particle":"","parse-names":false,"suffix":""},{"dropping-particle":"","family":"Mora","given":"Azucena","non-dropping-particle":"","parse-names":false,"suffix":""},{"dropping-particle":"","family":"Blanco","given":"Miguel","non-dropping-particle":"","parse-names":false,"suffix":""},{"dropping-particle":"","family":"López","given":"Cecilia","non-dropping-particle":"","parse-names":false,"suffix":""},{"dropping-particle":"","family":"Alonso","given":"María Pilar","non-dropping-particle":"","parse-names":false,"suffix":""},{"dropping-particle":"","family":"Bonacorsi","given":"Stéphane","non-dropping-particle":"","parse-names":false,"suffix":""},{"dropping-particle":"","family":"Nicolas-Chanoine","given":"Marie-Hélène","non-dropping-particle":"","parse-names":false,"suffix":""},{"dropping-particle":"","family":"Darfeuille-Michaud","given":"Arlette","non-dropping-particle":"","parse-names":false,"suffix":""},{"dropping-particle":"","family":"Garcia-Gil","given":"Jesus","non-dropping-particle":"","parse-names":false,"suffix":""},{"dropping-particle":"","family":"Blanco","given":"Jorge","non-dropping-particle":"","parse-names":false,"suffix":""}],"container-title":"Journal of clinical microbiology","id":"ITEM-2","issue":"12","issued":{"date-parts":[["2009","12"]]},"page":"3968-79","title":"Similarity and divergence among adherent-invasive Escherichia coli and extraintestinal pathogenic E. coli strains.","type":"article-journal","volume":"47"},"uris":["http://www.mendeley.com/documents/?uuid=8b2d0a0d-417a-4887-a3ec-bd53e0cbf097"]}],"mendeley":{"formattedCitation":"&lt;sup&gt;[11,26]&lt;/sup&gt;","plainTextFormattedCitation":"[11,26]","previouslyFormattedCitation":"&lt;sup&gt;[11,26]&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[11,26]</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w:t>
      </w:r>
      <w:r w:rsidR="00E138C1" w:rsidRPr="000A6219">
        <w:rPr>
          <w:rFonts w:ascii="Book Antiqua" w:eastAsia="Calibri" w:hAnsi="Book Antiqua" w:cs="Times New Roman"/>
          <w:sz w:val="24"/>
          <w:szCs w:val="24"/>
          <w:lang w:val="en-US"/>
        </w:rPr>
        <w:t>indicated</w:t>
      </w:r>
      <w:r w:rsidR="00721A65" w:rsidRPr="000A6219">
        <w:rPr>
          <w:rFonts w:ascii="Book Antiqua" w:eastAsia="Calibri" w:hAnsi="Book Antiqua" w:cs="Times New Roman"/>
          <w:sz w:val="24"/>
          <w:szCs w:val="24"/>
          <w:lang w:val="en-US"/>
        </w:rPr>
        <w:t xml:space="preserve"> </w:t>
      </w:r>
      <w:r w:rsidR="00E138C1" w:rsidRPr="000A6219">
        <w:rPr>
          <w:rFonts w:ascii="Book Antiqua" w:eastAsia="Calibri" w:hAnsi="Book Antiqua" w:cs="Times New Roman"/>
          <w:sz w:val="24"/>
          <w:szCs w:val="24"/>
          <w:lang w:val="en-US"/>
        </w:rPr>
        <w:t>that AIEC strains did not harbo</w:t>
      </w:r>
      <w:r w:rsidR="00721A65" w:rsidRPr="000A6219">
        <w:rPr>
          <w:rFonts w:ascii="Book Antiqua" w:eastAsia="Calibri" w:hAnsi="Book Antiqua" w:cs="Times New Roman"/>
          <w:sz w:val="24"/>
          <w:szCs w:val="24"/>
          <w:lang w:val="en-US"/>
        </w:rPr>
        <w:t xml:space="preserve">r any particular genetic trait that could distinguish them from commensals and they did not commonly present virulence genes previously described in other </w:t>
      </w:r>
      <w:r w:rsidR="00721A65" w:rsidRPr="000A6219">
        <w:rPr>
          <w:rFonts w:ascii="Book Antiqua" w:eastAsia="Calibri" w:hAnsi="Book Antiqua" w:cs="Times New Roman"/>
          <w:i/>
          <w:sz w:val="24"/>
          <w:szCs w:val="24"/>
          <w:lang w:val="en-US"/>
        </w:rPr>
        <w:t xml:space="preserve">E. coli </w:t>
      </w:r>
      <w:r w:rsidR="00721A65" w:rsidRPr="000A6219">
        <w:rPr>
          <w:rFonts w:ascii="Book Antiqua" w:eastAsia="Calibri" w:hAnsi="Book Antiqua" w:cs="Times New Roman"/>
          <w:sz w:val="24"/>
          <w:szCs w:val="24"/>
          <w:lang w:val="en-US"/>
        </w:rPr>
        <w:t>pathotypes. In line with this observation, the first genome sequencing studies</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{"citationItems":[{"id":"ITEM-1","itemData":{"DOI":"10.1371/journal.pone.0012714","ISBN":"1932-6203 (Electronic)\\n1932-6203 (Linking)","ISSN":"19326203","PMID":"20862302","abstract":"Ileal lesions of Crohn's disease (CD) patients are abnormally colonized by pathogenic adherent-invasive Escherichia coli (AIEC) able to invade and to replicate within intestinal epithelial cells and macrophages.","author":[{"dropping-particle":"","family":"Miquel","given":"Sylvie","non-dropping-particle":"","parse-names":false,"suffix":""},{"dropping-particle":"","family":"Peyretaillade","given":"Eric","non-dropping-particle":"","parse-names":false,"suffix":""},{"dropping-particle":"","family":"Claret","given":"Laurent","non-dropping-particle":"","parse-names":false,"suffix":""},{"dropping-particle":"","family":"Vallée","given":"Amélie","non-dropping-particle":"de","parse-names":false,"suffix":""},{"dropping-particle":"","family":"Dossat","given":"Carole","non-dropping-particle":"","parse-names":false,"suffix":""},{"dropping-particle":"","family":"Vacherie","given":"Benoit","non-dropping-particle":"","parse-names":false,"suffix":""},{"dropping-particle":"","family":"Zineb","given":"El Hajji","non-dropping-particle":"","parse-names":false,"suffix":""},{"dropping-particle":"","family":"Segurens","given":"Beatrice","non-dropping-particle":"","parse-names":false,"suffix":""},{"dropping-particle":"","family":"Barbe","given":"Valerie","non-dropping-particle":"","parse-names":false,"suffix":""},{"dropping-particle":"","family":"Sauvanet","given":"Pierre","non-dropping-particle":"","parse-names":false,"suffix":""},{"dropping-particle":"","family":"Neut","given":"Christel","non-dropping-particle":"","parse-names":false,"suffix":""},{"dropping-particle":"","family":"Colombel","given":"Jean Frédéric","non-dropping-particle":"","parse-names":false,"suffix":""},{"dropping-particle":"","family":"Medigue","given":"Claudine","non-dropping-particle":"","parse-names":false,"suffix":""},{"dropping-particle":"","family":"Mojica","given":"Francisco J M","non-dropping-particle":"","parse-names":false,"suffix":""},{"dropping-particle":"","family":"Peyret","given":"Pierre","non-dropping-particle":"","parse-names":false,"suffix":""},{"dropping-particle":"","family":"Bonnet","given":"Richard","non-dropping-particle":"","parse-names":false,"suffix":""},{"dropping-particle":"","family":"Darfeuille-Michaud","given":"Arlette","non-dropping-particle":"","parse-names":false,"suffix":""}],"container-title":"PLoS ONE","id":"ITEM-1","issue":"9","issued":{"date-parts":[["2010"]]},"page":"1-16","title":"Complete genome sequence of crohn's disease-associated adherent-invasive E. coli strain LF82","type":"article-journal","volume":"5"},"uris":["http://www.mendeley.com/documents/?uuid=5c59293e-452f-4ef4-88f7-069527ae6877"]},{"id":"ITEM-2","itemData":{"DOI":"10.1186/1471-2164-11-667","ISBN":"1471-2164","ISSN":"1471-2164","PMID":"21108814","abstract":"Adherent and invasive Escherichia coli (AIEC) are commonly found in ileal lesions of Crohn's Disease (CD) patients, where they adhere to intestinal epithelial cells and invade into and survive in epithelial cells and macrophages, thereby gaining access to a typically restricted host niche. Colonization leads to strong inflammatory responses in the gut suggesting that AIEC could play a role in CD immunopathology. Despite extensive investigation, the genetic determinants accounting for the AIEC phenotype remain poorly defined. To address this, we present the complete genome sequence of an AIEC, revealing the genetic blueprint for this disease-associated E. coli pathotype.","author":[{"dropping-particle":"","family":"Nash","given":"John He","non-dropping-particle":"","parse-names":false,"suffix":""},{"dropping-particle":"","family":"Villegas","given":"Andre","non-dropping-particle":"","parse-names":false,"suffix":""},{"dropping-particle":"","family":"Kropinski","given":"Andrew M","non-dropping-particle":"","parse-names":false,"suffix":""},{"dropping-particle":"","family":"Aguilar-Valenzuela","given":"Renan","non-dropping-particle":"","parse-names":false,"suffix":""},{"dropping-particle":"","family":"Konczy","given":"Paulina","non-dropping-particle":"","parse-names":false,"suffix":""},{"dropping-particle":"","family":"Mascarenhas","given":"Mariola","non-dropping-particle":"","parse-names":false,"suffix":""},{"dropping-particle":"","family":"Ziebell","given":"Kim","non-dropping-particle":"","parse-names":false,"suffix":""},{"dropping-particle":"","family":"Torres","given":"Alfredo G","non-dropping-particle":"","parse-names":false,"suffix":""},{"dropping-particle":"","family":"Karmali","given":"Mohamed a","non-dropping-particle":"","parse-names":false,"suffix":""},{"dropping-particle":"","family":"Coombes","given":"Brian K","non-dropping-particle":"","parse-names":false,"suffix":""}],"container-title":"BMC genomics","id":"ITEM-2","issue":"1","issued":{"date-parts":[["2010"]]},"page":"667","publisher":"BioMed Central Ltd","title":"Genome sequence of adherent-invasive Escherichia coli and comparative genomic analysis with other E. coli pathotypes.","type":"article-journal","volume":"11"},"uris":["http://www.mendeley.com/documents/?uuid=ec9a337b-296b-40cb-8f8f-5f1145304980"]},{"id":"ITEM-3","itemData":{"DOI":"10.1128/JB.01290-10","ISBN":"1098-5530 (Electronic)\\n0021-9193 (Linking)","ISSN":"00219193","PMID":"21075930","abstract":"Escherichia coli UM146 was isolated from the ileum of a Crohn's disease patient. It adheres to and invades enterocytes and can replicate inside macrophages. Its complete genome sequence reveals that it is most closely related to the human urinary tract pathogen E. coli CFT073, but it has a host of genes that are novel and to which no function has been ascribed.","author":[{"dropping-particle":"","family":"Krause","given":"Denis O.","non-dropping-particle":"","parse-names":false,"suffix":""},{"dropping-particle":"","family":"Little","given":"Ainsley C.","non-dropping-particle":"","parse-names":false,"suffix":""},{"dropping-particle":"","family":"Dowd","given":"Scot E.","non-dropping-particle":"","parse-names":false,"suffix":""},{"dropping-particle":"","family":"Bernstein","given":"Charles N.","non-dropping-particle":"","parse-names":false,"suffix":""}],"container-title":"Journal of Bacteriology","id":"ITEM-3","issue":"2","issued":{"date-parts":[["2011"]]},"page":"583","title":"Complete genome sequence of adherent invasive escherichia coli UM146 isolated from ileal crohn's disease biopsy tissue","type":"article-journal","volume":"193"},"uris":["http://www.mendeley.com/documents/?uuid=1fe5229f-9cf3-4430-88c4-458687e48cdf"]},{"id":"ITEM-4","itemData":{"DOI":"10.1128/JB.05374-11","ISBN":"1098-5530 (Electronic)\\r0021-9193 (Linking)","ISSN":"00219193","PMID":"21705601","abstract":"Adherent-invasive Escherichia colistrains are increasingly being associated with intestinal pathologies. Here we present the genome sequence of E. coliHM605, a strain isolated from colonic biopsy specimens of a patient with Crohn's disease.","author":[{"dropping-particle":"","family":"Clarke","given":"David J.","non-dropping-particle":"","parse-names":false,"suffix":""},{"dropping-particle":"","family":"Chaudhuri","given":"Roy R.","non-dropping-particle":"","parse-names":false,"suffix":""},{"dropping-particle":"","family":"Martin","given":"Helen M.","non-dropping-particle":"","parse-names":false,"suffix":""},{"dropping-particle":"","family":"Campbell","given":"Barry J.","non-dropping-particle":"","parse-names":false,"suffix":""},{"dropping-particle":"","family":"Rhodes","given":"Jonathan M.","non-dropping-particle":"","parse-names":false,"suffix":""},{"dropping-particle":"","family":"Constantinidou","given":"Chrystala","non-dropping-particle":"","parse-names":false,"suffix":""},{"dropping-particle":"","family":"Pallen","given":"Mark J.","non-dropping-particle":"","parse-names":false,"suffix":""},{"dropping-particle":"","family":"Loman","given":"Nicholas J.","non-dropping-particle":"","parse-names":false,"suffix":""},{"dropping-particle":"","family":"Cunningham","given":"Adam F.","non-dropping-particle":"","parse-names":false,"suffix":""},{"dropping-particle":"","family":"Browning","given":"Douglas F.","non-dropping-particle":"","parse-names":false,"suffix":""},{"dropping-particle":"","family":"Henderson","given":"Ian R.","non-dropping-particle":"","parse-names":false,"suffix":""}],"container-title":"Journal of Bacteriology","id":"ITEM-4","issue":"17","issued":{"date-parts":[["2011"]]},"page":"4540-4540","title":"Complete genome sequence of the crohn's disease-associated adherent-invasive Escherichia coli strain HM605","type":"article-journal","volume":"193"},"uris":["http://www.mendeley.com/documents/?uuid=e63e9ccc-c0ad-4ae1-b633-2ff7486663bc"]}],"mendeley":{"formattedCitation":"&lt;sup&gt;[27–30]&lt;/sup&gt;","plainTextFormattedCitation":"[27–30]","previouslyFormattedCitation":"&lt;sup&gt;[27–30]&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93FA6" w:rsidRPr="000A6219">
        <w:rPr>
          <w:rFonts w:ascii="Book Antiqua" w:eastAsia="Calibri" w:hAnsi="Book Antiqua" w:cs="Times New Roman"/>
          <w:noProof/>
          <w:sz w:val="24"/>
          <w:szCs w:val="24"/>
          <w:vertAlign w:val="superscript"/>
          <w:lang w:val="en-US"/>
        </w:rPr>
        <w:t>[27-</w:t>
      </w:r>
      <w:r w:rsidR="00765E1A" w:rsidRPr="000A6219">
        <w:rPr>
          <w:rFonts w:ascii="Book Antiqua" w:eastAsia="Calibri" w:hAnsi="Book Antiqua" w:cs="Times New Roman"/>
          <w:noProof/>
          <w:sz w:val="24"/>
          <w:szCs w:val="24"/>
          <w:vertAlign w:val="superscript"/>
          <w:lang w:val="en-US"/>
        </w:rPr>
        <w:t>30]</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together with the most recent genomic studies</w:t>
      </w:r>
      <w:r w:rsidR="00721A65"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id":"ITEM-2","itemData":{"DOI":"10.1097/MIB.0000000000000574","ISBN":"0000000000000","ISSN":"15364844","PMID":"26444104","abstract":"BACKGROUND Mucosal-associated Escherichia coli are commonly found in inflamed tissues during inflammatory bowel disease (IBD). These bacteria often possess an adherent and invasive phenotype but lack virulence-associated features of well-described intestinal E. coli pathogens, and are of diverse serology and phylotypes, making it difficult to correlate strain characteristics with exacerbations of disease. METHODS The genome sequences of 14 phenotypically assigned adherent-invasive Escherichia coli (AIEC) isolates obtained from intestinal biopsies of patients with IBD were compared with the genome sequences of 37 other pathogenic and commensal E. coli available from public databases. RESULTS Core genome-based phylogenetic analyses and genome-wide comparison of genetic content established the existence of a closely related cluster of AIEC strains with 3 distinct genetic insertions differentiating them from commensal E. coli. These strains are of the B2 phylotype have a variant type VI secretion system (T6SS-1), and are highly related to extraintestinal pathogenic E. coli, suggesting that these 2 clinically distinct pathovars have common virulence strategies. Four other mucosally adherent E. coli strains from patients with IBD were of diverse phylogenetic origins and lacked the 3 genetic features, suggesting that they are not related to the B2 AIEC cluster. Although AIEC are often considered as having a unique association with Crohn's disease, isolates from Crohn's disease and ulcerative colitis were genetically indistinguishable. CONCLUSIONS B2 AIEC thus represent a closely related cluster of IBD-associated E. coli strains that are distinct from normal commensal isolates, and which should be considered separately from the phenotypically similar but genetically distinct non-B2 AIEC strains when considering their association with intestinal pathogenesis.","author":[{"dropping-particle":"","family":"Desilets","given":"Michael","non-dropping-particle":"","parse-names":false,"suffix":""},{"dropping-particle":"","family":"Deng","given":"Xiangding","non-dropping-particle":"","parse-names":false,"suffix":""},{"dropping-particle":"","family":"Rao","given":"Chitong","non-dropping-particle":"","parse-names":false,"suffix":""},{"dropping-particle":"","family":"Ensminger","given":"Alexander W.","non-dropping-particle":"","parse-names":false,"suffix":""},{"dropping-particle":"","family":"Krause","given":"Denis O.","non-dropping-particle":"","parse-names":false,"suffix":""},{"dropping-particle":"","family":"Sherman","given":"Philip M.","non-dropping-particle":"","parse-names":false,"suffix":""},{"dropping-particle":"","family":"Gray-Owen","given":"Scott D.","non-dropping-particle":"","parse-names":false,"suffix":""}],"container-title":"Inflammatory Bowel Diseases","id":"ITEM-2","issue":"1","issued":{"date-parts":[["2016"]]},"page":"1-12","title":"Genome-based definition of an inflammatory bowel disease-associated adherent-invasive Escherichia coli pathovar","type":"article-journal","volume":"22"},"uris":["http://www.mendeley.com/documents/?uuid=b415452d-a7f0-42e4-a968-ab2a8693e4d3"]},{"id":"ITEM-3","itemData":{"DOI":"10.1093/femsle/fnv193","ISSN":"1574-6968","PMID":"26459886","abstract":"The B2 phylogenetic group of Escherichia coli contains important pathogens such as extra-intestinal pathogenic, adherent-invasive, and uropathogenic strains. In this study, we used comparative genomics and statistical methods to identify genetic variations which define a subset of pathogenic strains belonging to the B2 phylogenetic group. An initial proof of concept analysis indicated that five of the 62 E. coli strains available in the KEGG database showed close association with B2 adherent-invasive E. coli, forming a subgroup within the B2 phylogenetic group. The tool, kSNP which uses a k-mer approach, and the statistical phenotype prediction tool PPFS2 were then employed to identify 29 high-resolution SNPs, which reaffirmed this grouping. PPFS2 analysis also provided indications that the clustering of this subgroup was highly consistent, and thus, could have a strong phenotypic basis rather than being only evolutionary. Protein homology analyses identified three proteins to be conserved across this subgrouping, two CRISPR-Cas proteins and a hypothetical protein. Functional analyses of these genetic and protein variations may provide insights into the phenotype of these strains.","author":[{"dropping-particle":"","family":"Deshpande","given":"Nandan P","non-dropping-particle":"","parse-names":false,"suffix":""},{"dropping-particle":"","family":"Wilkins","given":"Marc R","non-dropping-particle":"","parse-names":false,"suffix":""},{"dropping-particle":"","family":"Mitchell","given":"Hazel M","non-dropping-particle":"","parse-names":false,"suffix":""},{"dropping-particle":"","family":"Kaakoush","given":"Nadeem O","non-dropping-particle":"","parse-names":false,"suffix":""}],"container-title":"FEMS microbiology letters","id":"ITEM-3","issue":"August","issued":{"date-parts":[["2015"]]},"page":"1-7","title":"Novel genetic markers define a subgroup of pathogenic Escherichia coli strains belonging to the B2 phylogenetic group.","type":"article-journal"},"uris":["http://www.mendeley.com/documents/?uuid=a0f81734-88f7-4d12-b832-b176246b3a92"]},{"id":"ITEM-4","itemData":{"DOI":"10.1136/gutjnl-2015-311059","ISSN":"0017-5749","author":[{"dropping-particle":"","family":"O'Brien","given":"Claire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-4","issue":"8","issued":{"date-parts":[["2016"]]},"page":"1382-1389","title":"Comparative genomics of Crohn's disease-associated adherent-invasive Escherichia coli","type":"article-journal","volume":"66"},"uris":["http://www.mendeley.com/documents/?uuid=5433c40e-8818-41e5-9f75-43963d20c944"]},{"id":"ITEM-5","itemData":{"DOI":"10.1371/journal.pone.0130902","ISSN":"1932-6203","PMID":"26125937","abstract":"Adherent-invasive Escherichia coli (AIEC) strains are detected more frequently within mucosal lesions of patients with Crohn's disease (CD). The AIEC phenotype consists of adherence and invasion of intestinal epithelial cells and survival within macrophages of these bacteria in vitro. Our aim was to identify candidate transcripts that distinguish AIEC from non-invasive E. coli (NIEC) strains and might be useful for rapid and accurate identification of AIEC by culture-independent technology. We performed comparative RNA-Sequence (RNASeq) analysis using AIEC strain LF82 and NIEC strain HS during exponential and stationary growth. Differential expression analysis of coding sequences (CDS) homologous to both strains demonstrated 224 and 241 genes with increased and decreased expression, respectively, in LF82 relative to HS. Transition metal transport and siderophore metabolism related pathway genes were up-regulated, while glycogen metabolic and oxidation-reduction related pathway genes were down-regulated, in LF82. Chemotaxis related transcripts were up-regulated in LF82 during the exponential phase, but flagellum-dependent motility pathway genes were down-regulated in LF82 during the stationary phase. CDS that mapped only to the LF82 genome accounted for 747 genes. We applied an in silico subtractive genomics approach to identify CDS specific to AIEC by incorporating the genomes of 10 other previously phenotyped NIEC. From this analysis, 166 CDS mapped to the LF82 genome and lacked homology to any of the 11 human NIEC strains. We compared these CDS across 13 AIEC, but none were homologous in each. Four LF82 gene loci belonging to clustered regularly interspaced short palindromic repeats region (CRISPR)--CRISPR-associated (Cas) genes were identified in 4 to 6 AIEC and absent from all non-pathogenic bacteria. As previously reported, AIEC strains were enriched for pdu operon genes. One CDS, encoding an excisionase, was shared by 9 AIEC strains. Reverse transcription quantitative polymerase chain reaction assays for 6 genes were conducted on fecal and ileal RNA samples from 22 inflammatory bowel disease (IBD), and 32 patients without IBD (non-IBD). The expression of Cas loci was detected in a higher proportion of CD than non-IBD fecal and ileal RNA samples (p &lt;0.05). These results support a comparative genomic/transcriptomic approach towards identifying candidate AIEC signature transcripts.","author":[{"dropping-particle":"","family":"Zhang","given":"Yuanhao","non-dropping-particle":"","parse-names":false,"suffix":""},{"dropping-particle":"","family":"Rowehl","given":"Leahana","non-dropping-particle":"","parse-names":false,"suffix":""},{"dropping-particle":"","family":"Krumsiek","given":"Julia M","non-dropping-particle":"","parse-names":false,"suffix":""},{"dropping-particle":"","family":"Orner","given":"Erika P","non-dropping-particle":"","parse-names":false,"suffix":""},{"dropping-particle":"","family":"Shaikh","given":"Nurmohammad","non-dropping-particle":"","parse-names":false,"suffix":""},{"dropping-particle":"","family":"Tarr","given":"Phillip I","non-dropping-particle":"","parse-names":false,"suffix":""},{"dropping-particle":"","family":"Sodergren","given":"Erica","non-dropping-particle":"","parse-names":false,"suffix":""},{"dropping-particle":"","family":"Weinstock","given":"George M","non-dropping-particle":"","parse-names":false,"suffix":""},{"dropping-particle":"","family":"Boedeker","given":"Edgar C","non-dropping-particle":"","parse-names":false,"suffix":""},{"dropping-particle":"","family":"Xiong","given":"Xuejian","non-dropping-particle":"","parse-names":false,"suffix":""},{"dropping-particle":"","family":"Parkinson","given":"John","non-dropping-particle":"","parse-names":false,"suffix":""},{"dropping-particle":"","family":"Frank","given":"Daniel N","non-dropping-particle":"","parse-names":false,"suffix":""},{"dropping-particle":"","family":"Li","given":"Ellen","non-dropping-particle":"","parse-names":false,"suffix":""},{"dropping-particle":"","family":"Gathungu","given":"Grace","non-dropping-particle":"","parse-names":false,"suffix":""}],"container-title":"PloS one","id":"ITEM-5","issue":"6","issued":{"date-parts":[["2015"]]},"page":"e0130902","publisher":"Public Library of Science","title":"Identification of Candidate Adherent-Invasive E. coli Signature Transcripts by Genomic/Transcriptomic Analysis.","type":"article-journal","volume":"10"},"uris":["http://www.mendeley.com/documents/?uuid=c64dddf1-d66e-31ad-8569-739a844139b3"]},{"id":"ITEM-6","itemData":{"DOI":"10.1038/s41598-018-20843-x","ISSN":"2045-2322","abstract":"Adherent-invasive Escherichia coli (AIEC) have been involved in Crohn’s disease (CD). Currently, AIEC are identified by time-consuming techniques based on in vitro infection of cell lines to determine their ability to adhere to and invade intestinal epithelial cells as well as to survive and replicate within macrophages. Our aim was to find signature sequences that can be used to identify the AIEC pathotype. Comparative genomics was performed between three E. coli strain pairs, each pair comprised one AIEC and one non-AIEC with identical pulsotype, sequence type and virulence gene carriage. Genetic differences were further analysed in 22 AIEC and 28 non-AIEC isolated from CD patients and controls. The strain pairs showed similar genome structures, and no gene was specific to AIEC. Three single nucleotide polymorphisms displayed different nucleotide distributions between AIEC and non-AIEC, and four correlated with increased adhesion and/or invasion indices. Here, we present a classification algorithm based on the identification of three allelic variants that can predict the AIEC phenotype with 84% accuracy. Our study corroborates the absence of an AIEC-specific genetic marker distributed across all AIEC strains. Nonetheless, point mutations putatively involved in the AIEC phenotype can be used for the molecular identification of the AIEC pathotype.","author":[{"dropping-particle":"","family":"Camprubí-Font","given":"Carla","non-dropping-particle":"","parse-names":false,"suffix":""},{"dropping-particle":"","family":"Lopez-Siles","given":"Mireia","non-dropping-particle":"","parse-names":false,"suffix":""},{"dropping-particle":"","family":"Ferrer-Guixeras","given":"Meritxell","non-dropping-particle":"","parse-names":false,"suffix":""},{"dropping-particle":"","family":"Niubó-Carulla","given":"Laura","non-dropping-particle":"","parse-names":false,"suffix":""},{"dropping-particle":"","family":"Abellà-Ametller","given":"Carles","non-dropping-particle":"","parse-names":false,"suffix":""},{"dropping-particle":"","family":"Garcia-Gil","given":"Librado Jesús","non-dropping-particle":"","parse-names":false,"suffix":""},{"dropping-particle":"","family":"Martinez-Medina","given":"Margarita","non-dropping-particle":"","parse-names":false,"suffix":""}],"container-title":"Scientific Reports","id":"ITEM-6","issue":"2695","issued":{"date-parts":[["2018","12","9"]]},"page":"1-11","publisher":"Nature Publishing Group","title":"Comparative genomics reveals new single-nucleotide polymorphisms that can assist in identification of adherent-invasive Escherichia coli","type":"article-journal","volume":"8"},"uris":["http://www.mendeley.com/documents/?uuid=0123a8cc-e2a6-3256-aead-c6c75508c7e9"]}],"mendeley":{"formattedCitation":"&lt;sup&gt;[31–36]&lt;/sup&gt;","plainTextFormattedCitation":"[31–36]","previouslyFormattedCitation":"&lt;sup&gt;[31–36]&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[31–36]</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w:t>
      </w:r>
      <w:r w:rsidR="00E138C1" w:rsidRPr="000A6219">
        <w:rPr>
          <w:rFonts w:ascii="Book Antiqua" w:eastAsia="Calibri" w:hAnsi="Book Antiqua" w:cs="Times New Roman"/>
          <w:sz w:val="24"/>
          <w:szCs w:val="24"/>
          <w:lang w:val="en-US"/>
        </w:rPr>
        <w:t>demonstrated</w:t>
      </w:r>
      <w:r w:rsidR="00721A65" w:rsidRPr="000A6219">
        <w:rPr>
          <w:rFonts w:ascii="Book Antiqua" w:eastAsia="Calibri" w:hAnsi="Book Antiqua" w:cs="Times New Roman"/>
          <w:sz w:val="24"/>
          <w:szCs w:val="24"/>
          <w:lang w:val="en-US"/>
        </w:rPr>
        <w:t xml:space="preserve"> again that there was no gene strictly associated with the AIEC phenotype of the strains. </w:t>
      </w:r>
      <w:r w:rsidR="00F931FD" w:rsidRPr="000A6219">
        <w:rPr>
          <w:rFonts w:ascii="Book Antiqua" w:eastAsia="Calibri" w:hAnsi="Book Antiqua" w:cs="Times New Roman"/>
          <w:sz w:val="24"/>
          <w:szCs w:val="24"/>
          <w:lang w:val="en-US"/>
        </w:rPr>
        <w:t>Even though</w:t>
      </w:r>
      <w:r w:rsidR="00721A65" w:rsidRPr="000A6219">
        <w:rPr>
          <w:rFonts w:ascii="Book Antiqua" w:eastAsia="Calibri" w:hAnsi="Book Antiqua" w:cs="Times New Roman"/>
          <w:sz w:val="24"/>
          <w:szCs w:val="24"/>
          <w:lang w:val="en-US"/>
        </w:rPr>
        <w:t xml:space="preserve"> PCR-</w:t>
      </w:r>
      <w:r w:rsidR="00E138C1" w:rsidRPr="000A6219">
        <w:rPr>
          <w:rFonts w:ascii="Book Antiqua" w:eastAsia="Calibri" w:hAnsi="Book Antiqua" w:cs="Times New Roman"/>
          <w:sz w:val="24"/>
          <w:szCs w:val="24"/>
          <w:lang w:val="en-US"/>
        </w:rPr>
        <w:t>based and genomic studies focusing</w:t>
      </w:r>
      <w:r w:rsidR="00721A65" w:rsidRPr="000A6219">
        <w:rPr>
          <w:rFonts w:ascii="Book Antiqua" w:eastAsia="Calibri" w:hAnsi="Book Antiqua" w:cs="Times New Roman"/>
          <w:sz w:val="24"/>
          <w:szCs w:val="24"/>
          <w:lang w:val="en-US"/>
        </w:rPr>
        <w:t xml:space="preserve"> on gene content reported some genes to be more prevalent in AIEC </w:t>
      </w:r>
      <w:r w:rsidR="00E138C1" w:rsidRPr="000A6219">
        <w:rPr>
          <w:rFonts w:ascii="Book Antiqua" w:eastAsia="Calibri" w:hAnsi="Book Antiqua" w:cs="Times New Roman"/>
          <w:sz w:val="24"/>
          <w:szCs w:val="24"/>
          <w:lang w:val="en-US"/>
        </w:rPr>
        <w:t xml:space="preserve">versus </w:t>
      </w:r>
      <w:r w:rsidR="00721A65" w:rsidRPr="000A6219">
        <w:rPr>
          <w:rFonts w:ascii="Book Antiqua" w:eastAsia="Calibri" w:hAnsi="Book Antiqua" w:cs="Times New Roman"/>
          <w:sz w:val="24"/>
          <w:szCs w:val="24"/>
          <w:lang w:val="en-US"/>
        </w:rPr>
        <w:t>non-AIEC strains (</w:t>
      </w:r>
      <w:r w:rsidR="00FE1722" w:rsidRPr="000A6219">
        <w:rPr>
          <w:rFonts w:ascii="Book Antiqua" w:eastAsia="Calibri" w:hAnsi="Book Antiqua" w:cs="Times New Roman"/>
          <w:sz w:val="24"/>
          <w:szCs w:val="24"/>
          <w:lang w:val="en-US"/>
        </w:rPr>
        <w:t>Invasion-related genes:</w:t>
      </w:r>
      <w:r w:rsidR="00FE1722" w:rsidRPr="000A6219">
        <w:rPr>
          <w:rFonts w:ascii="Book Antiqua" w:hAnsi="Book Antiqua"/>
          <w:sz w:val="24"/>
          <w:szCs w:val="24"/>
        </w:rPr>
        <w:t xml:space="preserve"> </w:t>
      </w:r>
      <w:proofErr w:type="spellStart"/>
      <w:r w:rsidR="00FE1722" w:rsidRPr="000A6219">
        <w:rPr>
          <w:rFonts w:ascii="Book Antiqua" w:eastAsia="Calibri" w:hAnsi="Book Antiqua" w:cs="Times New Roman"/>
          <w:i/>
          <w:sz w:val="24"/>
          <w:szCs w:val="24"/>
          <w:lang w:val="en-US"/>
        </w:rPr>
        <w:t>malX</w:t>
      </w:r>
      <w:proofErr w:type="spellEnd"/>
      <w:r w:rsidR="00FE1722" w:rsidRPr="000A6219">
        <w:rPr>
          <w:rFonts w:ascii="Book Antiqua" w:eastAsia="Calibri" w:hAnsi="Book Antiqua" w:cs="Times New Roman"/>
          <w:i/>
          <w:sz w:val="24"/>
          <w:szCs w:val="24"/>
          <w:lang w:val="en-US"/>
        </w:rPr>
        <w:fldChar w:fldCharType="begin" w:fldLock="1"/>
      </w:r>
      <w:r w:rsidR="00FE1722" w:rsidRPr="000A6219">
        <w:rPr>
          <w:rFonts w:ascii="Book Antiqua" w:eastAsia="Calibri" w:hAnsi="Book Antiqua" w:cs="Times New Roman"/>
          <w:i/>
          <w:sz w:val="24"/>
          <w:szCs w:val="24"/>
          <w:lang w:val="en-U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mendeley":{"formattedCitation":"&lt;sup&gt;[37]&lt;/sup&gt;","plainTextFormattedCitation":"[37]","previouslyFormattedCitation":"&lt;sup&gt;[37]&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FE1722" w:rsidRPr="000A6219">
        <w:rPr>
          <w:rFonts w:ascii="Book Antiqua" w:eastAsia="Calibri" w:hAnsi="Book Antiqua" w:cs="Times New Roman"/>
          <w:noProof/>
          <w:sz w:val="24"/>
          <w:szCs w:val="24"/>
          <w:vertAlign w:val="superscript"/>
          <w:lang w:val="en-US"/>
        </w:rPr>
        <w:t>[37]</w:t>
      </w:r>
      <w:r w:rsidR="00FE1722" w:rsidRPr="000A6219">
        <w:rPr>
          <w:rFonts w:ascii="Book Antiqua" w:eastAsia="Calibri" w:hAnsi="Book Antiqua" w:cs="Times New Roman"/>
          <w:i/>
          <w:sz w:val="24"/>
          <w:szCs w:val="24"/>
          <w:lang w:val="en-US"/>
        </w:rPr>
        <w:fldChar w:fldCharType="end"/>
      </w:r>
      <w:r w:rsidR="00FE1722" w:rsidRPr="000A6219">
        <w:rPr>
          <w:rFonts w:ascii="Book Antiqua" w:hAnsi="Book Antiqua"/>
          <w:sz w:val="24"/>
          <w:szCs w:val="24"/>
        </w:rPr>
        <w:t xml:space="preserve">, </w:t>
      </w:r>
      <w:r w:rsidR="00FE1722" w:rsidRPr="000A6219">
        <w:rPr>
          <w:rFonts w:ascii="Book Antiqua" w:eastAsia="Calibri" w:hAnsi="Book Antiqua" w:cs="Times New Roman"/>
          <w:i/>
          <w:sz w:val="24"/>
          <w:szCs w:val="24"/>
          <w:lang w:val="en-US"/>
        </w:rPr>
        <w:t>pic</w:t>
      </w:r>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xml:space="preserve">; </w:t>
      </w:r>
      <w:r w:rsidR="00FE1722" w:rsidRPr="000A6219">
        <w:rPr>
          <w:rFonts w:ascii="Book Antiqua" w:eastAsia="Calibri" w:hAnsi="Book Antiqua" w:cs="Times New Roman"/>
          <w:sz w:val="24"/>
          <w:szCs w:val="24"/>
          <w:lang w:val="en-US"/>
        </w:rPr>
        <w:t>Capsule formation-related genes:</w:t>
      </w:r>
      <w:r w:rsidR="00FE1722" w:rsidRPr="000A6219">
        <w:rPr>
          <w:rFonts w:ascii="Book Antiqua" w:hAnsi="Book Antiqua"/>
          <w:sz w:val="24"/>
          <w:szCs w:val="24"/>
        </w:rPr>
        <w:t xml:space="preserve"> </w:t>
      </w:r>
      <w:proofErr w:type="spellStart"/>
      <w:r w:rsidR="00FE1722" w:rsidRPr="000A6219">
        <w:rPr>
          <w:rFonts w:ascii="Book Antiqua" w:eastAsia="Calibri" w:hAnsi="Book Antiqua" w:cs="Times New Roman"/>
          <w:i/>
          <w:sz w:val="24"/>
          <w:szCs w:val="24"/>
          <w:lang w:val="en-US"/>
        </w:rPr>
        <w:t>kpsMTII</w:t>
      </w:r>
      <w:proofErr w:type="spellEnd"/>
      <w:r w:rsidR="00FE1722" w:rsidRPr="000A6219">
        <w:rPr>
          <w:rFonts w:ascii="Book Antiqua" w:eastAsia="Calibri" w:hAnsi="Book Antiqua" w:cs="Times New Roman"/>
          <w:i/>
          <w:sz w:val="24"/>
          <w:szCs w:val="24"/>
          <w:lang w:val="en-US"/>
        </w:rPr>
        <w:fldChar w:fldCharType="begin" w:fldLock="1"/>
      </w:r>
      <w:r w:rsidR="00FE1722" w:rsidRPr="000A6219">
        <w:rPr>
          <w:rFonts w:ascii="Book Antiqua" w:eastAsia="Calibri" w:hAnsi="Book Antiqua" w:cs="Times New Roman"/>
          <w:i/>
          <w:sz w:val="24"/>
          <w:szCs w:val="24"/>
          <w:lang w:val="en-U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mendeley":{"formattedCitation":"&lt;sup&gt;[37]&lt;/sup&gt;","plainTextFormattedCitation":"[37]","previouslyFormattedCitation":"&lt;sup&gt;[37]&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FE1722" w:rsidRPr="000A6219">
        <w:rPr>
          <w:rFonts w:ascii="Book Antiqua" w:eastAsia="Calibri" w:hAnsi="Book Antiqua" w:cs="Times New Roman"/>
          <w:noProof/>
          <w:sz w:val="24"/>
          <w:szCs w:val="24"/>
          <w:vertAlign w:val="superscript"/>
          <w:lang w:val="en-US"/>
        </w:rPr>
        <w:t>[37]</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xml:space="preserve">; </w:t>
      </w:r>
      <w:r w:rsidR="00FE1722" w:rsidRPr="000A6219">
        <w:rPr>
          <w:rFonts w:ascii="Book Antiqua" w:eastAsia="Calibri" w:hAnsi="Book Antiqua" w:cs="Times New Roman"/>
          <w:sz w:val="24"/>
          <w:szCs w:val="24"/>
          <w:lang w:val="en-US"/>
        </w:rPr>
        <w:t>Adhesion-related genes:</w:t>
      </w:r>
      <w:r w:rsidR="00FE1722" w:rsidRPr="000A6219">
        <w:rPr>
          <w:rFonts w:ascii="Book Antiqua" w:hAnsi="Book Antiqua"/>
          <w:sz w:val="24"/>
          <w:szCs w:val="24"/>
        </w:rPr>
        <w:t xml:space="preserve"> </w:t>
      </w:r>
      <w:proofErr w:type="spellStart"/>
      <w:r w:rsidR="00FE1722" w:rsidRPr="000A6219">
        <w:rPr>
          <w:rFonts w:ascii="Book Antiqua" w:eastAsia="Calibri" w:hAnsi="Book Antiqua" w:cs="Times New Roman"/>
          <w:i/>
          <w:sz w:val="24"/>
          <w:szCs w:val="24"/>
          <w:lang w:val="en-US"/>
        </w:rPr>
        <w:t>lpfA</w:t>
      </w:r>
      <w:proofErr w:type="spellEnd"/>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FE1722" w:rsidRPr="000A6219">
        <w:rPr>
          <w:rFonts w:ascii="Book Antiqua" w:eastAsia="Calibri" w:hAnsi="Book Antiqua" w:cs="Times New Roman"/>
          <w:noProof/>
          <w:sz w:val="24"/>
          <w:szCs w:val="24"/>
          <w:vertAlign w:val="superscript"/>
          <w:lang w:val="en-US"/>
        </w:rPr>
        <w:t>[31]</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xml:space="preserve">, </w:t>
      </w:r>
      <w:proofErr w:type="spellStart"/>
      <w:r w:rsidR="00FE1722" w:rsidRPr="000A6219">
        <w:rPr>
          <w:rFonts w:ascii="Book Antiqua" w:eastAsia="Calibri" w:hAnsi="Book Antiqua" w:cs="Times New Roman"/>
          <w:i/>
          <w:sz w:val="24"/>
          <w:szCs w:val="24"/>
          <w:lang w:val="en-US"/>
        </w:rPr>
        <w:t>papGII</w:t>
      </w:r>
      <w:proofErr w:type="spellEnd"/>
      <w:r w:rsidR="00FE1722" w:rsidRPr="000A6219">
        <w:rPr>
          <w:rFonts w:ascii="Book Antiqua" w:eastAsia="Calibri" w:hAnsi="Book Antiqua" w:cs="Times New Roman"/>
          <w:i/>
          <w:sz w:val="24"/>
          <w:szCs w:val="24"/>
          <w:lang w:val="en-US"/>
        </w:rPr>
        <w:t>/III</w:t>
      </w:r>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xml:space="preserve">; </w:t>
      </w:r>
      <w:r w:rsidR="00FE1722" w:rsidRPr="000A6219">
        <w:rPr>
          <w:rFonts w:ascii="Book Antiqua" w:eastAsia="Calibri" w:hAnsi="Book Antiqua" w:cs="Times New Roman"/>
          <w:sz w:val="24"/>
          <w:szCs w:val="24"/>
          <w:lang w:val="en-US"/>
        </w:rPr>
        <w:t xml:space="preserve">Resistance-related genes: </w:t>
      </w:r>
      <w:proofErr w:type="spellStart"/>
      <w:r w:rsidR="00FE1722" w:rsidRPr="000A6219">
        <w:rPr>
          <w:rFonts w:ascii="Book Antiqua" w:eastAsia="Calibri" w:hAnsi="Book Antiqua" w:cs="Times New Roman"/>
          <w:i/>
          <w:sz w:val="24"/>
          <w:szCs w:val="24"/>
          <w:lang w:val="en-US"/>
        </w:rPr>
        <w:t>gipA</w:t>
      </w:r>
      <w:proofErr w:type="spellEnd"/>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{"citationItems":[{"id":"ITEM-1","itemData":{"DOI":"10.1097/MIB.0000000000000609","ISBN":"0000000000000","ISSN":"1078-0998","PMID":"26512715","abstract":"BACKGROUND: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AIEC.\\n\\nMETHODS: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ELISA.\\n\\nRESULTS: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mice.\\n\\nCONCLUSIONS: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Diseases","id":"ITEM-1","issue":"1","issued":{"date-parts":[["2016"]]},"page":"68-81","title":"GipA factor supports colonization of peyer</w:instrText>
      </w:r>
      <w:r w:rsidR="00E04FBE" w:rsidRPr="000A6219">
        <w:rPr>
          <w:rFonts w:ascii="Times New Roman" w:eastAsia="Calibri" w:hAnsi="Times New Roman" w:cs="Times New Roman"/>
          <w:i/>
          <w:sz w:val="24"/>
          <w:szCs w:val="24"/>
          <w:lang w:val="en-US"/>
        </w:rPr>
        <w:instrText>ʼ</w:instrText>
      </w:r>
      <w:r w:rsidR="00E04FBE" w:rsidRPr="000A6219">
        <w:rPr>
          <w:rFonts w:ascii="Book Antiqua" w:eastAsia="Calibri" w:hAnsi="Book Antiqua" w:cs="Times New Roman"/>
          <w:i/>
          <w:sz w:val="24"/>
          <w:szCs w:val="24"/>
          <w:lang w:val="en-US"/>
        </w:rPr>
        <w:instrText>s patches by Crohn</w:instrText>
      </w:r>
      <w:r w:rsidR="00E04FBE" w:rsidRPr="000A6219">
        <w:rPr>
          <w:rFonts w:ascii="Times New Roman" w:eastAsia="Calibri" w:hAnsi="Times New Roman" w:cs="Times New Roman"/>
          <w:i/>
          <w:sz w:val="24"/>
          <w:szCs w:val="24"/>
          <w:lang w:val="en-US"/>
        </w:rPr>
        <w:instrText>ʼ</w:instrText>
      </w:r>
      <w:r w:rsidR="00E04FBE" w:rsidRPr="000A6219">
        <w:rPr>
          <w:rFonts w:ascii="Book Antiqua" w:eastAsia="Calibri" w:hAnsi="Book Antiqua" w:cs="Times New Roman"/>
          <w:i/>
          <w:sz w:val="24"/>
          <w:szCs w:val="24"/>
          <w:lang w:val="en-US"/>
        </w:rPr>
        <w:instrText>s disease-associated Escherichia coli","type":"article-journal","volume":"22"},"uris":["http://www.mendeley.com/documents/?uuid=2418af44-9b70-4aec-b95f-228644a8d509"]}],"mendeley":{"formattedCitation":"&lt;sup&gt;[39]&lt;/sup&gt;","plainTextFormattedCitation":"[39]","previouslyFormattedCitation":"&lt;sup&gt;[39]&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[39]</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xml:space="preserve">, </w:t>
      </w:r>
      <w:proofErr w:type="spellStart"/>
      <w:r w:rsidR="00FE1722" w:rsidRPr="000A6219">
        <w:rPr>
          <w:rFonts w:ascii="Book Antiqua" w:eastAsia="Calibri" w:hAnsi="Book Antiqua" w:cs="Times New Roman"/>
          <w:i/>
          <w:sz w:val="24"/>
          <w:szCs w:val="24"/>
          <w:lang w:val="en-US"/>
        </w:rPr>
        <w:t>ibeA</w:t>
      </w:r>
      <w:proofErr w:type="spellEnd"/>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{"citationItems":[{"id":"ITEM-1","itemData":{"DOI":"10.1093/femsle/fny249","ISSN":"1574-6968","PMID":"30299475","abstract":"Irritable Bowel Syndrome (IBS) affects 10-20% of people. Increased numbers of Escherichia coli (E. coli) correlate with symptoms, and patients respond to antimicrobials targeting E. coli. We examined whether specific E. coli strains, phylogroups and pathotypes are associated with IBS. We evaluated 218 E. coli isolates from 33 IBS patients and 23 healthy controls. RAPD analysis revealed 89 E. coli strains (29 controls, 60 IBS), spanning the A, B1, B2, D phylogroups. Strains were similarly enriched in virulence genes associated with extraintestinal pathogenic E.coli (ExPEC) and/or adherent-invasive E.coli (AIEC). Three strains harbored a diarrheagenic virulence gene (2 IBS, 1 control). E. coli capable of invading epithelial cells or replicating in macrophages were detected in 53% of IBS and 50% controls, and 67% IBS and 45% controls respectively (P&gt;0.05). AIEC were identified in 33% of IBS patients vs. 20% of controls (P=0.35). Virulence genes ibeA, ColV and pduC were associated with intramacrophage persistence; ibeA and ColV were associated with epithelial invasion and AIEC pathotype (P&lt;0.05). IBS patients and controls are commonly colonized by E. coli that resemble ExPEC and display pathogen-like behavior in vitro, similar to CD-associated AIEC. The relationship of these resident pathosymbiont E. coli to IBS warrants further investigation.","author":[{"dropping-particle":"","family":"Dogan","given":"Belgin","non-dropping-particle":"","parse-names":false,"suffix":""},{"dropping-particle":"","family":"Belcher-Timme","given":"Hannah Facey","non-dropping-particle":"","parse-names":false,"suffix":""},{"dropping-particle":"","family":"Dogan","given":"Esra I","non-dropping-particle":"","parse-names":false,"suffix":""},{"dropping-particle":"","family":"Jiang","given":"Zhi-Dong","non-dropping-particle":"","parse-names":false,"suffix":""},{"dropping-particle":"","family":"DuPont","given":"Herbert L","non-dropping-particle":"","parse-names":false,"suffix":""},{"dropping-particle":"","family":"Synder","given":"Ned","non-dropping-particle":"","parse-names":false,"suffix":""},{"dropping-particle":"","family":"Yang","given":"Stephen","non-dropping-particle":"","parse-names":false,"suffix":""},{"dropping-particle":"","family":"Chandler","given":"Brendan","non-dropping-particle":"","parse-names":false,"suffix":""},{"dropping-particle":"","family":"Scherl","given":"Ellen J","non-dropping-particle":"","parse-names":false,"suffix":""},{"dropping-particle":"","family":"Simpson","given":"Kenneth W","non-dropping-particle":"","parse-names":false,"suffix":""}],"container-title":"FEMS Microbiology Letters","id":"ITEM-1","issued":{"date-parts":[["2018","10","8"]]},"title":"Evaluation of Escherichia coli pathotypes associated with Irritable Bowel Syndrome","type":"article-journal"},"uris":["http://www.mendeley.com/documents/?uuid=055b9144-4bcb-33d7-994b-828806b957b0"]}],"mendeley":{"formattedCitation":"&lt;sup&gt;[40]&lt;/sup&gt;","plainTextFormattedCitation":"[40]","previouslyFormattedCitation":"&lt;sup&gt;[40]&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[40]</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xml:space="preserve">, </w:t>
      </w:r>
      <w:proofErr w:type="spellStart"/>
      <w:r w:rsidR="00FE1722" w:rsidRPr="000A6219">
        <w:rPr>
          <w:rFonts w:ascii="Book Antiqua" w:eastAsia="Calibri" w:hAnsi="Book Antiqua" w:cs="Times New Roman"/>
          <w:i/>
          <w:sz w:val="24"/>
          <w:szCs w:val="24"/>
          <w:lang w:val="en-US"/>
        </w:rPr>
        <w:t>iss</w:t>
      </w:r>
      <w:proofErr w:type="spellEnd"/>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xml:space="preserve">; </w:t>
      </w:r>
      <w:r w:rsidR="00FE1722" w:rsidRPr="000A6219">
        <w:rPr>
          <w:rFonts w:ascii="Book Antiqua" w:eastAsia="Calibri" w:hAnsi="Book Antiqua" w:cs="Times New Roman"/>
          <w:sz w:val="24"/>
          <w:szCs w:val="24"/>
          <w:lang w:val="en-US"/>
        </w:rPr>
        <w:t>Iron scavenging-related genes:</w:t>
      </w:r>
      <w:r w:rsidR="00FE1722" w:rsidRPr="000A6219">
        <w:rPr>
          <w:rFonts w:ascii="Book Antiqua" w:hAnsi="Book Antiqua"/>
          <w:sz w:val="24"/>
          <w:szCs w:val="24"/>
        </w:rPr>
        <w:t xml:space="preserve"> </w:t>
      </w:r>
      <w:proofErr w:type="spellStart"/>
      <w:r w:rsidR="00FE1722" w:rsidRPr="000A6219">
        <w:rPr>
          <w:rFonts w:ascii="Book Antiqua" w:eastAsia="Calibri" w:hAnsi="Book Antiqua" w:cs="Times New Roman"/>
          <w:i/>
          <w:sz w:val="24"/>
          <w:szCs w:val="24"/>
          <w:lang w:val="en-US"/>
        </w:rPr>
        <w:t>chuA</w:t>
      </w:r>
      <w:proofErr w:type="spellEnd"/>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microbiology","id":"ITEM-1","issued":{"date-parts":[["2017"]]},"page":"639","publisher":"Frontiers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mendeley":{"formattedCitation":"&lt;sup&gt;[13]&lt;/sup&gt;","plainTextFormattedCitation":"[13]","previouslyFormattedCitation":"&lt;sup&gt;[13]&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FE1722" w:rsidRPr="000A6219">
        <w:rPr>
          <w:rFonts w:ascii="Book Antiqua" w:eastAsia="Calibri" w:hAnsi="Book Antiqua" w:cs="Times New Roman"/>
          <w:noProof/>
          <w:sz w:val="24"/>
          <w:szCs w:val="24"/>
          <w:vertAlign w:val="superscript"/>
          <w:lang w:val="en-US"/>
        </w:rPr>
        <w:t>[13]</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w:t>
      </w:r>
      <w:r w:rsidR="00FE1722" w:rsidRPr="000A6219">
        <w:rPr>
          <w:rFonts w:ascii="Book Antiqua" w:eastAsia="Calibri" w:hAnsi="Book Antiqua" w:cs="Times New Roman"/>
          <w:sz w:val="24"/>
          <w:szCs w:val="24"/>
          <w:lang w:val="en-US"/>
        </w:rPr>
        <w:t xml:space="preserve"> </w:t>
      </w:r>
      <w:proofErr w:type="spellStart"/>
      <w:r w:rsidR="00FE1722" w:rsidRPr="000A6219">
        <w:rPr>
          <w:rFonts w:ascii="Book Antiqua" w:eastAsia="Calibri" w:hAnsi="Book Antiqua" w:cs="Times New Roman"/>
          <w:i/>
          <w:sz w:val="24"/>
          <w:szCs w:val="24"/>
          <w:lang w:val="en-US"/>
        </w:rPr>
        <w:t>pduC</w:t>
      </w:r>
      <w:proofErr w:type="spellEnd"/>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FE1722" w:rsidRPr="000A6219">
        <w:rPr>
          <w:rFonts w:ascii="Book Antiqua" w:eastAsia="Calibri" w:hAnsi="Book Antiqua" w:cs="Times New Roman"/>
          <w:noProof/>
          <w:sz w:val="24"/>
          <w:szCs w:val="24"/>
          <w:vertAlign w:val="superscript"/>
          <w:lang w:val="en-US"/>
        </w:rPr>
        <w:t>[31]</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xml:space="preserve">; </w:t>
      </w:r>
      <w:r w:rsidR="00FE1722" w:rsidRPr="000A6219">
        <w:rPr>
          <w:rFonts w:ascii="Book Antiqua" w:eastAsia="Calibri" w:hAnsi="Book Antiqua" w:cs="Times New Roman"/>
          <w:sz w:val="24"/>
          <w:szCs w:val="24"/>
          <w:lang w:val="en-US"/>
        </w:rPr>
        <w:t>Toxin-related genes:</w:t>
      </w:r>
      <w:r w:rsidR="00FE1722" w:rsidRPr="000A6219">
        <w:rPr>
          <w:rFonts w:ascii="Book Antiqua" w:hAnsi="Book Antiqua"/>
          <w:sz w:val="24"/>
          <w:szCs w:val="24"/>
        </w:rPr>
        <w:t xml:space="preserve"> </w:t>
      </w:r>
      <w:proofErr w:type="spellStart"/>
      <w:r w:rsidR="00FE1722" w:rsidRPr="000A6219">
        <w:rPr>
          <w:rFonts w:ascii="Book Antiqua" w:eastAsia="Calibri" w:hAnsi="Book Antiqua" w:cs="Times New Roman"/>
          <w:i/>
          <w:sz w:val="24"/>
          <w:szCs w:val="24"/>
          <w:lang w:val="en-US"/>
        </w:rPr>
        <w:t>colV</w:t>
      </w:r>
      <w:proofErr w:type="spellEnd"/>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{"citationItems":[{"id":"ITEM-1","itemData":{"DOI":"10.1093/femsle/fny249","ISSN":"1574-6968","PMID":"30299475","abstract":"Irritable Bowel Syndrome (IBS) affects 10-20% of people. Increased numbers of Escherichia coli (E. coli) correlate with symptoms, and patients respond to antimicrobials targeting E. coli. We examined whether specific E. coli strains, phylogroups and pathotypes are associated with IBS. We evaluated 218 E. coli isolates from 33 IBS patients and 23 healthy controls. RAPD analysis revealed 89 E. coli strains (29 controls, 60 IBS), spanning the A, B1, B2, D phylogroups. Strains were similarly enriched in virulence genes associated with extraintestinal pathogenic E.coli (ExPEC) and/or adherent-invasive E.coli (AIEC). Three strains harbored a diarrheagenic virulence gene (2 IBS, 1 control). E. coli capable of invading epithelial cells or replicating in macrophages were detected in 53% of IBS and 50% controls, and 67% IBS and 45% controls respectively (P&gt;0.05). AIEC were identified in 33% of IBS patients vs. 20% of controls (P=0.35). Virulence genes ibeA, ColV and pduC were associated with intramacrophage persistence; ibeA and ColV were associated with epithelial invasion and AIEC pathotype (P&lt;0.05). IBS patients and controls are commonly colonized by E. coli that resemble ExPEC and display pathogen-like behavior in vitro, similar to CD-associated AIEC. The relationship of these resident pathosymbiont E. coli to IBS warrants further investigation.","author":[{"dropping-particle":"","family":"Dogan","given":"Belgin","non-dropping-particle":"","parse-names":false,"suffix":""},{"dropping-particle":"","family":"Belcher-Timme","given":"Hannah Facey","non-dropping-particle":"","parse-names":false,"suffix":""},{"dropping-particle":"","family":"Dogan","given":"Esra I","non-dropping-particle":"","parse-names":false,"suffix":""},{"dropping-particle":"","family":"Jiang","given":"Zhi-Dong","non-dropping-particle":"","parse-names":false,"suffix":""},{"dropping-particle":"","family":"DuPont","given":"Herbert L","non-dropping-particle":"","parse-names":false,"suffix":""},{"dropping-particle":"","family":"Synder","given":"Ned","non-dropping-particle":"","parse-names":false,"suffix":""},{"dropping-particle":"","family":"Yang","given":"Stephen","non-dropping-particle":"","parse-names":false,"suffix":""},{"dropping-particle":"","family":"Chandler","given":"Brendan","non-dropping-particle":"","parse-names":false,"suffix":""},{"dropping-particle":"","family":"Scherl","given":"Ellen J","non-dropping-particle":"","parse-names":false,"suffix":""},{"dropping-particle":"","family":"Simpson","given":"Kenneth W","non-dropping-particle":"","parse-names":false,"suffix":""}],"container-title":"FEMS Microbiology Letters","id":"ITEM-1","issued":{"date-parts":[["2018","10","8"]]},"title":"Evaluation of Escherichia coli pathotypes associated with Irritable Bowel Syndrome","type":"article-journal"},"uris":["http://www.mendeley.com/documents/?uuid=055b9144-4bcb-33d7-994b-828806b957b0"]}],"mendeley":{"formattedCitation":"&lt;sup&gt;[40]&lt;/sup&gt;","plainTextFormattedCitation":"[40]","previouslyFormattedCitation":"&lt;sup&gt;[40]&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[40]</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vat</w:t>
      </w:r>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w:t>
      </w:r>
      <w:r w:rsidR="00721A65" w:rsidRPr="000A6219">
        <w:rPr>
          <w:rFonts w:ascii="Book Antiqua" w:eastAsia="Calibri" w:hAnsi="Book Antiqua" w:cs="Times New Roman"/>
          <w:sz w:val="24"/>
          <w:szCs w:val="24"/>
          <w:lang w:val="en-US"/>
        </w:rPr>
        <w:t xml:space="preserve">). However, </w:t>
      </w:r>
      <w:r w:rsidR="00E138C1" w:rsidRPr="000A6219">
        <w:rPr>
          <w:rFonts w:ascii="Book Antiqua" w:eastAsia="Calibri" w:hAnsi="Book Antiqua" w:cs="Times New Roman"/>
          <w:sz w:val="24"/>
          <w:szCs w:val="24"/>
          <w:lang w:val="en-US"/>
        </w:rPr>
        <w:t xml:space="preserve">a </w:t>
      </w:r>
      <w:r w:rsidR="00721A65" w:rsidRPr="000A6219">
        <w:rPr>
          <w:rFonts w:ascii="Book Antiqua" w:eastAsia="Calibri" w:hAnsi="Book Antiqua" w:cs="Times New Roman"/>
          <w:sz w:val="24"/>
          <w:szCs w:val="24"/>
          <w:lang w:val="en-US"/>
        </w:rPr>
        <w:t>low difference in AIEC/non-AIEC gene prevalence was reported for these genes (1</w:t>
      </w:r>
      <w:r w:rsidR="00A66A7D" w:rsidRPr="000A6219">
        <w:rPr>
          <w:rFonts w:ascii="Book Antiqua" w:eastAsia="Calibri" w:hAnsi="Book Antiqua" w:cs="Times New Roman"/>
          <w:sz w:val="24"/>
          <w:szCs w:val="24"/>
          <w:lang w:val="en-US"/>
        </w:rPr>
        <w:t>8</w:t>
      </w:r>
      <w:r w:rsidR="00E138C1"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-34%</w:t>
      </w:r>
      <w:r w:rsidR="008B37BE" w:rsidRPr="000A6219">
        <w:rPr>
          <w:rFonts w:ascii="Book Antiqua" w:eastAsia="Calibri" w:hAnsi="Book Antiqua" w:cs="Times New Roman"/>
          <w:sz w:val="24"/>
          <w:szCs w:val="24"/>
          <w:lang w:val="en-US"/>
        </w:rPr>
        <w:t xml:space="preserve">; Table </w:t>
      </w:r>
      <w:r w:rsidR="00BA5A02" w:rsidRPr="000A6219">
        <w:rPr>
          <w:rFonts w:ascii="Book Antiqua" w:eastAsia="Calibri" w:hAnsi="Book Antiqua" w:cs="Times New Roman"/>
          <w:sz w:val="24"/>
          <w:szCs w:val="24"/>
          <w:lang w:val="en-US"/>
        </w:rPr>
        <w:t>1</w:t>
      </w:r>
      <w:r w:rsidR="00721A65" w:rsidRPr="000A6219">
        <w:rPr>
          <w:rFonts w:ascii="Book Antiqua" w:eastAsia="Calibri" w:hAnsi="Book Antiqua" w:cs="Times New Roman"/>
          <w:sz w:val="24"/>
          <w:szCs w:val="24"/>
          <w:lang w:val="en-US"/>
        </w:rPr>
        <w:t>)</w:t>
      </w:r>
      <w:r w:rsidR="007343D4" w:rsidRPr="007343D4">
        <w:rPr>
          <w:rFonts w:ascii="Book Antiqua" w:eastAsia="Calibri" w:hAnsi="Book Antiqua" w:cs="Times New Roman"/>
          <w:sz w:val="24"/>
          <w:szCs w:val="24"/>
          <w:vertAlign w:val="superscript"/>
          <w:lang w:val="en-US"/>
        </w:rPr>
        <w:t>[</w:t>
      </w:r>
      <w:r w:rsidR="007343D4">
        <w:rPr>
          <w:rFonts w:ascii="Book Antiqua" w:eastAsia="Calibri" w:hAnsi="Book Antiqua" w:cs="Times New Roman"/>
          <w:sz w:val="24"/>
          <w:szCs w:val="24"/>
          <w:vertAlign w:val="superscript"/>
          <w:lang w:val="en-US"/>
        </w:rPr>
        <w:t>41,</w:t>
      </w:r>
      <w:r w:rsidR="007343D4" w:rsidRPr="007343D4">
        <w:rPr>
          <w:rFonts w:ascii="Book Antiqua" w:eastAsia="Calibri" w:hAnsi="Book Antiqua" w:cs="Times New Roman"/>
          <w:sz w:val="24"/>
          <w:szCs w:val="24"/>
          <w:vertAlign w:val="superscript"/>
          <w:lang w:val="en-US"/>
        </w:rPr>
        <w:t>42]</w:t>
      </w:r>
      <w:r w:rsidR="00E138C1"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and </w:t>
      </w:r>
      <w:r w:rsidR="0047787B" w:rsidRPr="000A6219">
        <w:rPr>
          <w:rFonts w:ascii="Book Antiqua" w:eastAsia="Calibri" w:hAnsi="Book Antiqua" w:cs="Times New Roman"/>
          <w:sz w:val="24"/>
          <w:szCs w:val="24"/>
          <w:lang w:val="en-US"/>
        </w:rPr>
        <w:t xml:space="preserve">only the </w:t>
      </w:r>
      <w:r w:rsidR="0047787B" w:rsidRPr="000A6219">
        <w:rPr>
          <w:rFonts w:ascii="Book Antiqua" w:eastAsia="Calibri" w:hAnsi="Book Antiqua" w:cs="Times New Roman"/>
          <w:i/>
          <w:sz w:val="24"/>
          <w:szCs w:val="24"/>
          <w:lang w:val="en-US"/>
        </w:rPr>
        <w:t xml:space="preserve">vat </w:t>
      </w:r>
      <w:r w:rsidR="0047787B" w:rsidRPr="000A6219">
        <w:rPr>
          <w:rFonts w:ascii="Book Antiqua" w:eastAsia="Calibri" w:hAnsi="Book Antiqua" w:cs="Times New Roman"/>
          <w:sz w:val="24"/>
          <w:szCs w:val="24"/>
          <w:lang w:val="en-US"/>
        </w:rPr>
        <w:t xml:space="preserve">gene </w:t>
      </w:r>
      <w:r w:rsidR="00E138C1" w:rsidRPr="000A6219">
        <w:rPr>
          <w:rFonts w:ascii="Book Antiqua" w:eastAsia="Calibri" w:hAnsi="Book Antiqua" w:cs="Times New Roman"/>
          <w:sz w:val="24"/>
          <w:szCs w:val="24"/>
          <w:lang w:val="en-US"/>
        </w:rPr>
        <w:t>was</w:t>
      </w:r>
      <w:r w:rsidR="0047787B" w:rsidRPr="000A6219">
        <w:rPr>
          <w:rFonts w:ascii="Book Antiqua" w:eastAsia="Calibri" w:hAnsi="Book Antiqua" w:cs="Times New Roman"/>
          <w:sz w:val="24"/>
          <w:szCs w:val="24"/>
          <w:lang w:val="en-US"/>
        </w:rPr>
        <w:t xml:space="preserve"> found </w:t>
      </w:r>
      <w:r w:rsidR="00E138C1" w:rsidRPr="000A6219">
        <w:rPr>
          <w:rFonts w:ascii="Book Antiqua" w:eastAsia="Calibri" w:hAnsi="Book Antiqua" w:cs="Times New Roman"/>
          <w:sz w:val="24"/>
          <w:szCs w:val="24"/>
          <w:lang w:val="en-US"/>
        </w:rPr>
        <w:t xml:space="preserve">to be </w:t>
      </w:r>
      <w:r w:rsidR="0047787B" w:rsidRPr="000A6219">
        <w:rPr>
          <w:rFonts w:ascii="Book Antiqua" w:eastAsia="Calibri" w:hAnsi="Book Antiqua" w:cs="Times New Roman"/>
          <w:sz w:val="24"/>
          <w:szCs w:val="24"/>
          <w:lang w:val="en-US"/>
        </w:rPr>
        <w:t>differently distributed between AIEC and non-AIEC strains in other strain collections</w:t>
      </w:r>
      <w:r w:rsidR="0047787B"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{"citationItems":[{"id":"ITEM-1","itemData":{"DOI":"10.1097/MIB.0000000000000574","ISBN":"0000000000000","ISSN":"15364844","PMID":"26444104","abstract":"BACKGROUND Mucosal-associated Escherichia coli are commonly found in inflamed tissues during inflammatory bowel disease (IBD). These bacteria often possess an adherent and invasive phenotype but lack virulence-associated features of well-described intestinal E. coli pathogens, and are of diverse serology and phylotypes, making it difficult to correlate strain characteristics with exacerbations of disease. METHODS The genome sequences of 14 phenotypically assigned adherent-invasive Escherichia coli (AIEC) isolates obtained from intestinal biopsies of patients with IBD were compared with the genome sequences of 37 other pathogenic and commensal E. coli available from public databases. RESULTS Core genome-based phylogenetic analyses and genome-wide comparison of genetic content established the existence of a closely related cluster of AIEC strains with 3 distinct genetic insertions differentiating them from commensal E. coli. These strains are of the B2 phylotype have a variant type VI secretion system (T6SS-1), and are highly related to extraintestinal pathogenic E. coli, suggesting that these 2 clinically distinct pathovars have common virulence strategies. Four other mucosally adherent E. coli strains from patients with IBD were of diverse phylogenetic origins and lacked the 3 genetic features, suggesting that they are not related to the B2 AIEC cluster. Although AIEC are often considered as having a unique association with Crohn's disease, isolates from Crohn's disease and ulcerative colitis were genetically indistinguishable. CONCLUSIONS B2 AIEC thus represent a closely related cluster of IBD-associated E. coli strains that are distinct from normal commensal isolates, and which should be considered separately from the phenotypically similar but genetically distinct non-B2 AIEC strains when considering their association with intestinal pathogenesis.","author":[{"dropping-particle":"","family":"Desilets","given":"Michael","non-dropping-particle":"","parse-names":false,"suffix":""},{"dropping-particle":"","family":"Deng","given":"Xiangding","non-dropping-particle":"","parse-names":false,"suffix":""},{"dropping-particle":"","family":"Rao","given":"Chitong","non-dropping-particle":"","parse-names":false,"suffix":""},{"dropping-particle":"","family":"Ensminger","given":"Alexander W.","non-dropping-particle":"","parse-names":false,"suffix":""},{"dropping-particle":"","family":"Krause","given":"Denis O.","non-dropping-particle":"","parse-names":false,"suffix":""},{"dropping-particle":"","family":"Sherman","given":"Philip M.","non-dropping-particle":"","parse-names":false,"suffix":""},{"dropping-particle":"","family":"Gray-Owen","given":"Scott D.","non-dropping-particle":"","parse-names":false,"suffix":""}],"container-title":"Inflammatory Bowel Diseases","id":"ITEM-1","issue":"1","issued":{"date-parts":[["2016"]]},"page":"1-12","title":"Genome-based definition of an inflammatory bowel disease-associated adherent-invasive Escherichia coli pathovar","type":"article-journal","volume":"22"},"uris":["http://www.mendeley.com/documents/?uuid=b415452d-a7f0-42e4-a968-ab2a8693e4d3"]},{"id":"ITEM-2","itemData":{"DOI":"10.1111/cmi.12539","ISSN":"14625814","author":[{"dropping-particle":"","family":"Gibold","given":"Lucie","non-dropping-particle":"","parse-names":false,"suffix":""},{"dropping-particle":"","family":"Garenaux","given":"Estelle","non-dropping-particle":"","parse-names":false,"suffix":""},{"dropping-particle":"","family":"Dalmasso","given":"Guillaume","non-dropping-particle":"","parse-names":false,"suffix":""},{"dropping-particle":"","family":"Gallucci","given":"Camille","non-dropping-particle":"","parse-names":false,"suffix":""},{"dropping-particle":"","family":"Cia","given":"David","non-dropping-particle":"","parse-names":false,"suffix":""},{"dropping-particle":"","family":"Mottet-Auselo","given":"Benoit","non-dropping-particle":"","parse-names":false,"suffix":""},{"dropping-particle":"","family":"Faïs","given":"Tiphanie","non-dropping-particle":"","parse-names":false,"suffix":""},{"dropping-particle":"","family":"Darfeuille-Michaud","given":"Arlette","non-dropping-particle":"","parse-names":false,"suffix":""},{"dropping-particle":"","family":"Nguyen","given":"Hang Thi Thu","non-dropping-particle":"","parse-names":false,"suffix":""},{"dropping-particle":"","family":"Barnich","given":"Nicolas","non-dropping-particle":"","parse-names":false,"suffix":""},{"dropping-particle":"","family":"Bonnet","given":"Richard","non-dropping-particle":"","parse-names":false,"suffix":""},{"dropping-particle":"","family":"Delmas","given":"Julien","non-dropping-particle":"","parse-names":false,"suffix":""}],"container-title":"Cellular Microbiology","id":"ITEM-2","issued":{"date-parts":[["2015"]]},"page":"n/a-n/a","title":"The Vat-AIEC protease promotes crossing of the intestinal mucus layer by Crohn's disease-associated &lt;i&gt;Escherichia coli&lt;/i&gt;","type":"article-journal"},"uris":["http://www.mendeley.com/documents/?uuid=07ee6357-c68d-47d7-a5b0-2488abde1cf3"]}],"mendeley":{"formattedCitation":"&lt;sup&gt;[32,41]&lt;/sup&gt;","plainTextFormattedCitation":"[32,41]","previouslyFormattedCitation":"&lt;sup&gt;[32,41]&lt;/sup&gt;"},"properties":{"noteIndex":0},"schema":"https://github.com/citation-style-language/schema/raw/master/csl-citation.json"}</w:instrText>
      </w:r>
      <w:r w:rsidR="0047787B"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[32,4</w:t>
      </w:r>
      <w:r w:rsidR="00554ED9">
        <w:rPr>
          <w:rFonts w:ascii="Book Antiqua" w:eastAsia="Calibri" w:hAnsi="Book Antiqua" w:cs="Times New Roman"/>
          <w:noProof/>
          <w:sz w:val="24"/>
          <w:szCs w:val="24"/>
          <w:vertAlign w:val="superscript"/>
          <w:lang w:val="en-US"/>
        </w:rPr>
        <w:t>3</w:t>
      </w:r>
      <w:r w:rsidR="00765E1A" w:rsidRPr="000A6219">
        <w:rPr>
          <w:rFonts w:ascii="Book Antiqua" w:eastAsia="Calibri" w:hAnsi="Book Antiqua" w:cs="Times New Roman"/>
          <w:noProof/>
          <w:sz w:val="24"/>
          <w:szCs w:val="24"/>
          <w:vertAlign w:val="superscript"/>
          <w:lang w:val="en-US"/>
        </w:rPr>
        <w:t>]</w:t>
      </w:r>
      <w:r w:rsidR="0047787B" w:rsidRPr="000A6219">
        <w:rPr>
          <w:rFonts w:ascii="Book Antiqua" w:eastAsia="Calibri" w:hAnsi="Book Antiqua" w:cs="Times New Roman"/>
          <w:sz w:val="24"/>
          <w:szCs w:val="24"/>
          <w:lang w:val="en-US"/>
        </w:rPr>
        <w:fldChar w:fldCharType="end"/>
      </w:r>
      <w:r w:rsidR="0047787B" w:rsidRPr="000A6219">
        <w:rPr>
          <w:rFonts w:ascii="Book Antiqua" w:eastAsia="Calibri" w:hAnsi="Book Antiqua" w:cs="Times New Roman"/>
          <w:sz w:val="24"/>
          <w:szCs w:val="24"/>
          <w:lang w:val="en-US"/>
        </w:rPr>
        <w:t>. N</w:t>
      </w:r>
      <w:r w:rsidR="00721A65" w:rsidRPr="000A6219">
        <w:rPr>
          <w:rFonts w:ascii="Book Antiqua" w:eastAsia="Calibri" w:hAnsi="Book Antiqua" w:cs="Times New Roman"/>
          <w:sz w:val="24"/>
          <w:szCs w:val="24"/>
          <w:lang w:val="en-US"/>
        </w:rPr>
        <w:t xml:space="preserve">o confirmation of the findings in other </w:t>
      </w:r>
      <w:r w:rsidR="0047787B" w:rsidRPr="000A6219">
        <w:rPr>
          <w:rFonts w:ascii="Book Antiqua" w:eastAsia="Calibri" w:hAnsi="Book Antiqua" w:cs="Times New Roman"/>
          <w:sz w:val="24"/>
          <w:szCs w:val="24"/>
          <w:lang w:val="en-US"/>
        </w:rPr>
        <w:t>studies</w:t>
      </w:r>
      <w:r w:rsidR="00721A65" w:rsidRPr="000A6219">
        <w:rPr>
          <w:rFonts w:ascii="Book Antiqua" w:eastAsia="Calibri" w:hAnsi="Book Antiqua" w:cs="Times New Roman"/>
          <w:sz w:val="24"/>
          <w:szCs w:val="24"/>
          <w:lang w:val="en-US"/>
        </w:rPr>
        <w:t xml:space="preserve"> ha</w:t>
      </w:r>
      <w:r w:rsidR="00E138C1" w:rsidRPr="000A6219">
        <w:rPr>
          <w:rFonts w:ascii="Book Antiqua" w:eastAsia="Calibri" w:hAnsi="Book Antiqua" w:cs="Times New Roman"/>
          <w:sz w:val="24"/>
          <w:szCs w:val="24"/>
          <w:lang w:val="en-US"/>
        </w:rPr>
        <w:t>s</w:t>
      </w:r>
      <w:r w:rsidR="00721A65" w:rsidRPr="000A6219">
        <w:rPr>
          <w:rFonts w:ascii="Book Antiqua" w:eastAsia="Calibri" w:hAnsi="Book Antiqua" w:cs="Times New Roman"/>
          <w:sz w:val="24"/>
          <w:szCs w:val="24"/>
          <w:lang w:val="en-US"/>
        </w:rPr>
        <w:t xml:space="preserve"> been obtained</w:t>
      </w:r>
      <w:r w:rsidR="00B36050" w:rsidRPr="000A6219">
        <w:rPr>
          <w:rFonts w:ascii="Book Antiqua" w:eastAsia="Calibri" w:hAnsi="Book Antiqua" w:cs="Times New Roman"/>
          <w:sz w:val="24"/>
          <w:szCs w:val="24"/>
          <w:lang w:val="en-US"/>
        </w:rPr>
        <w:t xml:space="preserve"> for 10/12 of these genes</w:t>
      </w:r>
      <w:r w:rsidR="00E61D89" w:rsidRPr="000A6219">
        <w:rPr>
          <w:rFonts w:ascii="Book Antiqua" w:eastAsia="Calibri" w:hAnsi="Book Antiqua" w:cs="Times New Roman"/>
          <w:sz w:val="24"/>
          <w:szCs w:val="24"/>
          <w:lang w:val="en-US"/>
        </w:rPr>
        <w:t xml:space="preserve"> (</w:t>
      </w:r>
      <w:proofErr w:type="spellStart"/>
      <w:r w:rsidR="00E61D89" w:rsidRPr="000A6219">
        <w:rPr>
          <w:rFonts w:ascii="Book Antiqua" w:eastAsia="Calibri" w:hAnsi="Book Antiqua" w:cs="Times New Roman"/>
          <w:i/>
          <w:sz w:val="24"/>
          <w:szCs w:val="24"/>
          <w:lang w:val="en-US"/>
        </w:rPr>
        <w:t>malX</w:t>
      </w:r>
      <w:proofErr w:type="spellEnd"/>
      <w:r w:rsidR="00E61D89" w:rsidRPr="000A6219">
        <w:rPr>
          <w:rFonts w:ascii="Book Antiqua" w:eastAsia="Calibri" w:hAnsi="Book Antiqua" w:cs="Times New Roman"/>
          <w:i/>
          <w:sz w:val="24"/>
          <w:szCs w:val="24"/>
          <w:lang w:val="en-US"/>
        </w:rPr>
        <w:fldChar w:fldCharType="begin" w:fldLock="1"/>
      </w:r>
      <w:r w:rsidR="00894FE5" w:rsidRPr="000A6219">
        <w:rPr>
          <w:rFonts w:ascii="Book Antiqua" w:eastAsia="Calibri" w:hAnsi="Book Antiqua" w:cs="Times New Roman"/>
          <w:i/>
          <w:sz w:val="24"/>
          <w:szCs w:val="24"/>
          <w:lang w:val="en-US"/>
        </w:rPr>
        <w:instrText>ADDIN CSL_CITATION {"citationItems":[{"id":"ITEM-1","itemData":{"DOI":"10.1128/JCM.01484-09","ISSN":"1098-660X","PMID":"19828750","abstract":"Adherent-invasive Escherichia coli (AIEC) pathovar strains, which are associated with Crohn's disease, share many genetic and phenotypic features with extraintestinal pathogenic E. coli (ExPEC) strains, but little is known about the level of genetic similarity between the two pathovars. We aimed to determine the frequency of strains with the \"AIEC phenotype\" among a collection of ExPEC strains and to further search for a common phylogenetic origin for the intestinal and extraintestinal AIEC strains. The adhesion, invasion, and intramacrophage replication capabilities (AIEC phenotype) of 63 ExPEC strains were determined. Correlations between virulence genotype and AIEC phenotype and between intestinal/extraintestinal origin, serotype, and phylogroup were evaluated for the 63 ExPEC and 23 intestinal AIEC strains. Phylogenetic relationships between extraintestinal and intestinal AIEC strains were determined using multilocus sequence typing (MLST) and pulsed-field gel electrophoresis. Only four (6.35%) ExPEC strains, belonging to the O6:H1, O83:H1, and O25:H4 serotypes, were classified as having an AIEC phenotype. These strains were found to be genetically related to some intestinal AIEC strains of the same serotypes as revealed by MLST. No particular virulence gene sets correlated with the intestinal/extraintestinal origin of the strains or with the AIEC phenotype, whereas the gene sets did correlate with the serogroup. We identified two intestinal AIEC strains and one extraintestinal AIEC strain belonging to the O25:H4 serotype that also belonged to the emerging and virulent clonal group ST131. In conclusion, the ExPEC and AIEC pathovars share similar virulence gene sets, and certain strains are phylogenetically related. However, the majority of ExPEC strains did not behave like AIEC strains, thus confirming that the AIEC pathovar possesses virulence-specific features that, to date, are detectable only phenotypically.","author":[{"dropping-particle":"","family":"Martinez-Medina","given":"Margarita","non-dropping-particle":"","parse-names":false,"suffix":""},{"dropping-particle":"","family":"Mora","given":"Azucena","non-dropping-particle":"","parse-names":false,"suffix":""},{"dropping-particle":"","family":"Blanco","given":"Miguel","non-dropping-particle":"","parse-names":false,"suffix":""},{"dropping-particle":"","family":"López","given":"Cecilia","non-dropping-particle":"","parse-names":false,"suffix":""},{"dropping-particle":"","family":"Alonso","given":"María Pilar","non-dropping-particle":"","parse-names":false,"suffix":""},{"dropping-particle":"","family":"Bonacorsi","given":"Stéphane","non-dropping-particle":"","parse-names":false,"suffix":""},{"dropping-particle":"","family":"Nicolas-Chanoine","given":"Marie-Hélène","non-dropping-particle":"","parse-names":false,"suffix":""},{"dropping-particle":"","family":"Darfeuille-Michaud","given":"Arlette","non-dropping-particle":"","parse-names":false,"suffix":""},{"dropping-particle":"","family":"Garcia-Gil","given":"Jesus","non-dropping-particle":"","parse-names":false,"suffix":""},{"dropping-particle":"","family":"Blanco","given":"Jorge","non-dropping-particle":"","parse-names":false,"suffix":""}],"container-title":"Journal of clinical microbiology","id":"ITEM-1","issue":"12","issued":{"date-parts":[["2009","12"]]},"page":"3968-79","title":"Similarity and divergence among adherent-invasive Escherichia coli and extraintestinal pathogenic E. coli strains.","type":"article-journal","volume":"47"},"uris":["http://www.mendeley.com/documents/?uuid=8b2d0a0d-417a-4887-a3ec-bd53e0cbf097"]},{"id":"ITEM-2","itemData":{"DOI":"10.1093/femsle/fny249","ISSN":"1574-6968","author":[{"dropping-particle":"","family":"Dogan","given":"Belgin","non-dropping-particle":"","parse-names":false,"suffix":""},{"dropping-particle":"","family":"Belcher-Timme","given":"Hannah Facey","non-dropping-particle":"","parse-names":false,"suffix":""},{"dropping-particle":"","family":"Dogan","given":"Esra I","non-dropping-particle":"","parse-names":false,"suffix":""},{"dropping-particle":"","family":"Jiang","given":"Zhi-Dong","non-dropping-particle":"","parse-names":false,"suffix":""},{"dropping-particle":"","family":"DuPont","given":"Herbert L","non-dropping-particle":"","parse-names":false,"suffix":""},{"dropping-particle":"","family":"Synder","given":"Ned","non-dropping-particle":"","parse-names":false,"suffix":""},{"dropping-particle":"","family":"Yang","given":"Stephen","non-dropping-particle":"","parse-names":false,"suffix":""},{"dropping-particle":"","family":"Chandler","given":"Brendan","non-dropping-particle":"","parse-names":false,"suffix":""},{"dropping-particle":"","family":"Scherl","given":"Ellen J","non-dropping-particle":"","parse-names":false,"suffix":""},{"dropping-particle":"","family":"Simpson","given":"Kenneth W","non-dropping-particle":"","parse-names":false,"suffix":""}],"container-title":"FEMS Microbiology Letters","id":"ITEM-2","issued":{"date-parts":[["2018","10","8"]]},"title":"Evaluation of Escherichia coli pathotypes associated with Irritable Bowel Syndrome","type":"article-journal"},"uris":["http://www.mendeley.com/documents/?uuid=99b84148-f7d4-3f75-9747-425d44a38d66"]}],"mendeley":{"formattedCitation":"&lt;sup&gt;[26,42]&lt;/sup&gt;","plainTextFormattedCitation":"[26,42]","previouslyFormattedCitation":"&lt;sup&gt;[26,42]&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s-ES"/>
        </w:rPr>
        <w:t>[26,4</w:t>
      </w:r>
      <w:r w:rsidR="00554ED9">
        <w:rPr>
          <w:rFonts w:ascii="Book Antiqua" w:eastAsia="Calibri" w:hAnsi="Book Antiqua" w:cs="Times New Roman"/>
          <w:noProof/>
          <w:sz w:val="24"/>
          <w:szCs w:val="24"/>
          <w:vertAlign w:val="superscript"/>
          <w:lang w:val="es-ES"/>
        </w:rPr>
        <w:t>4</w:t>
      </w:r>
      <w:r w:rsidR="00765E1A" w:rsidRPr="000A6219">
        <w:rPr>
          <w:rFonts w:ascii="Book Antiqua" w:eastAsia="Calibri" w:hAnsi="Book Antiqua" w:cs="Times New Roman"/>
          <w:noProof/>
          <w:sz w:val="24"/>
          <w:szCs w:val="24"/>
          <w:vertAlign w:val="superscript"/>
          <w:lang w:val="es-ES"/>
        </w:rPr>
        <w:t>]</w:t>
      </w:r>
      <w:r w:rsidR="00E61D89" w:rsidRPr="000A6219">
        <w:rPr>
          <w:rFonts w:ascii="Book Antiqua" w:eastAsia="Calibri" w:hAnsi="Book Antiqua" w:cs="Times New Roman"/>
          <w:i/>
          <w:sz w:val="24"/>
          <w:szCs w:val="24"/>
          <w:lang w:val="en-US"/>
        </w:rPr>
        <w:fldChar w:fldCharType="end"/>
      </w:r>
      <w:r w:rsidR="00E61D89" w:rsidRPr="000A6219">
        <w:rPr>
          <w:rFonts w:ascii="Book Antiqua" w:eastAsia="Calibri" w:hAnsi="Book Antiqua" w:cs="Times New Roman"/>
          <w:i/>
          <w:sz w:val="24"/>
          <w:szCs w:val="24"/>
          <w:lang w:val="es-ES"/>
        </w:rPr>
        <w:t>, kpsMTII</w:t>
      </w:r>
      <w:r w:rsidR="00E61D89" w:rsidRPr="000A6219">
        <w:rPr>
          <w:rFonts w:ascii="Book Antiqua" w:eastAsia="Calibri" w:hAnsi="Book Antiqua" w:cs="Times New Roman"/>
          <w:i/>
          <w:sz w:val="24"/>
          <w:szCs w:val="24"/>
          <w:lang w:val="en-US"/>
        </w:rPr>
        <w:fldChar w:fldCharType="begin" w:fldLock="1"/>
      </w:r>
      <w:r w:rsidR="00894FE5" w:rsidRPr="000A6219">
        <w:rPr>
          <w:rFonts w:ascii="Book Antiqua" w:eastAsia="Calibri" w:hAnsi="Book Antiqua" w:cs="Times New Roman"/>
          <w:i/>
          <w:sz w:val="24"/>
          <w:szCs w:val="24"/>
          <w:lang w:val="es-ES"/>
        </w:rPr>
        <w:instrText>ADDIN CSL_CITATION {"citationItems":[{"id":"ITEM-1","itemData":{"DOI":"10.1128/JCM.01484-09","ISSN":"1098-660X","PMID":"19828750","abstract":"Adherent-invasive Escherichia coli (AIEC) pathovar strains, which are associated with Crohn's disease, share many genetic and phenotypic features with extraintestinal pathogenic E. coli (ExPEC) strains, but little is known about the level of genetic similarity between the two pathovars. We aimed to determine the frequency of strains with the \"AIEC phenotype\" among a collection of ExPEC strains and to further search for a common phylogenetic origin for the intestinal and extraintestinal AIEC strains. The adhesion, invasion, and intramacrophage replication capabilities (AIEC phenotype) of 63 ExPEC strains were determined. Correlations between virulence genotype and AIEC phenotype and between intestinal/extraintestinal origin, serotype, and phylogroup were evaluated for the 63 ExPEC and 23 intestinal AIEC strains. Phylogenetic relationships between extraintestinal and intestinal AIEC strains were determined using multilocus sequence typing (MLST) and pulsed-field gel electrophoresis. Only four (6.35%) ExPEC strains, belonging to the O6:H1, O83:H1, and O25:H4 serotypes, were classified as having an AIEC phenotype. These strains were found to be genetically related to some intestinal AIEC strains of the same serotypes as revealed by MLST. No particular virulence gene sets correlated with the intestinal/extraintestinal origin of the strains or with the AIEC phenotype, whereas the gene sets did correlate with the serogroup. We identified two intestinal AIEC strains and one extraintestinal AIEC strain belonging to the O25:H4 serotype that also belonged to the emerging and virulent clonal group ST131. In conclusion, the ExPEC and AIEC pathovars share similar virulence gene sets, and certain strains are phylogenetically related. However, the majority of ExPEC strains did not behave like AIEC strains, thus confirming that the AIEC pathovar possesses virulence-specific features that, to date, are detectable only phenotypically.","author":[{"dropping-particle":"","family":"Martinez-Medina","given":"Margarita","non-dropping-particle":"","parse-names":false,"suffix":""},{"dropping-particle":"","family":"Mora","given":"Azucena","non-dropping-particle":"","parse-names":false,"suffix":""},{"dropping-particle":"","family":"Blanco","given":"Miguel","non-dropping-particle":"","parse-names":false,"suffix":""},{"dropping-particle":"","family":"López","given":"Cecilia","non-dropping-particle":"","parse-names":false,"suffix":""},{"dropping-particle":"","family":"Alonso","given":"María Pilar","non-dropping-particle":"","parse-names":false,"suffix":""},{"dropping-particle":"","family":"Bonacorsi","given":"Stéphane","non-dropping-particle":"","parse-names":false,"suffix":""},{"dropping-particle":"","family":"Nicolas-Chanoine","given":"Marie-Hélène","non-dropping-particle":"","parse-names":false,"suffix":""},{"dropping-particle":"","family":"Darfeuille-Michaud","given":"Arlette","non-dropping-particle":"","parse-names":false,"suffix":""},{"dropping-particle":"","family":"Garcia-Gil","given":"Jesus","non-dropping-particle":"","parse-names":false,"suffix":""},{"dropping-particle":"","family":"Blanco","given":"Jorge","non-dropping-particle":"","parse-names":false,"suffix":""}],"container-title":"Journal of clinical microbiology","id":"ITEM-1","issue":"12","issued":{"date-parts":[["2009","12"]]},"page":"3968-79","title":"Similarity and divergence among adherent-invasive Escherichia coli and extraintestinal pathogenic E. coli strains.","type":"article-journal","volume":"47"},"uris":["http://www.mendeley.com/documents/?uuid=8b2d0a0d-417a-4887-a3ec-bd53e0cbf097"]},{"id":"ITEM-2","itemData":{"DOI":"10.1186/1756-0500-7-748","ISSN":"1756-0500","PMID":"25338542","abstract":"BACKGROUND: Adherent-invasive Escherichia coli (AIEC) have been implicated in the ethiopathogenesis of Crohn's disease (CD). In this study, we analyzed a collection of intestinal mucosa-associated E. coli isolates, presenting AIEC phenotypes, isolated from biopsies of CD pediatric patients and non-inflammatory bowel diseases (IBD) controls, in order to investigate their genetic and phenotypic pathogenic features.\\n\\nRESULTS: A total of 616 E. coli isolates from biopsies of four pediatric CD patients and of four non-IBD controls were collected and individually analyzed. For AIEC identification, adherent isolates were assayed for invasiveness, and the capacity of the adhesive-invasive isolates to survive and replicate intracellularly was determined over macrophages J774. In this way we identified 36 AIEC-like isolates. Interestingly, their relative abundance was significantly higher in CD patients (10%; 31/308) than in non-IBD controls (1%; 5/308) (χ2 = 38.96 p &lt; 0.001). Furthermore pulsed field gel electrophoresis (PFGE) and randomly amplified polymorphic DNA (RAPD) techniques were applied to analyze the clonality of the 36 AIEC-like isolates. The results obtained allowed us to identify 27 distinct genotypes (22 from CD patients and 5 from non-IBD controls). As for the AIEC prototype strain LF82, all 27 AIEC genotypes presented an aggregative pattern of adherence (AA) that was inhibited by D-mannose, indicating that adhesiveness of AIEC is likely mediated by type 1 pili. PCR analisys was used to investigate presence of virulence genes. The results indicated that among the 27 AIEC isolates, the incidence of genes encoding virulence factors K1 (χ2 = 6.167 P = 0.013), kpsMT II (χ2 = 6.167 P = 0.013), fyuA (χ2 = 6.167 P = 0.013), and ibeA (χ2 = 8.867 P = 0.003) was significantly higher among AIEC strains isolated from CD patients than non-IBD controls.\\n\\nCONCLUSIONS: The identification of AIEC strains in both CD and non-IBD controls, confirmed the \"pathobiont\" nature of AIEC strains. The finding that AIEC-like isolates were more abundant in CD patients, indicates that a close association of these strains with CD may also exists in pediatric patients.","author":[{"dropping-particle":"","family":"Conte","given":"Maria Pia","non-dropping-particle":"","parse-names":false,"suffix":""},{"dropping-particle":"","family":"Longhi","given":"Catia","non-dropping-particle":"","parse-names":false,"suffix":""},{"dropping-particle":"","family":"Marazzato","given":"Massimiliano","non-dropping-particle":"","parse-names":false,"suffix":""},{"dropping-particle":"","family":"Conte","given":"Antonietta Lucia","non-dropping-particle":"","parse-names":false,"suffix":""},{"dropping-particle":"","family":"Aleandri","given":"Marta","non-dropping-particle":"","parse-names":false,"suffix":""},{"dropping-particle":"","family":"Lepanto","given":"Maria Stefania","non-dropping-particle":"","parse-names":false,"suffix":""},{"dropping-particle":"","family":"Zagaglia","given":"Carlo","non-dropping-particle":"","parse-names":false,"suffix":""},{"dropping-particle":"","family":"Nicoletti","given":"Mauro","non-dropping-particle":"","parse-names":false,"suffix":""},{"dropping-particle":"","family":"Aloi","given":"Marina","non-dropping-particle":"","parse-names":false,"suffix":""},{"dropping-particle":"","family":"Totino","given":"Valentina","non-dropping-particle":"","parse-names":false,"suffix":""},{"dropping-particle":"","family":"Palamara","given":"Anna Teresa","non-dropping-particle":"","parse-names":false,"suffix":""},{"dropping-particle":"","family":"Schippa","given":"Serena","non-dropping-particle":"","parse-names":false,"suffix":""}],"container-title":"BMC research notes","id":"ITEM-2","issue":"1","issued":{"date-parts":[["2014"]]},"page":"748","title":"Adherent-invasive Escherichia coli (AIEC) in pediatric Crohn's disease patients: phenotypic and genetic pathogenic features.","type":"article-journal","volume":"7"},"uris":["http://www.mendeley.com/documents/?uuid=7bbeb97f-85b8-4d75-8c59-8aaeab2c26f5"]}],"mendeley":{"formattedCitation":"&lt;sup&gt;[16,26]&lt;/sup&gt;","plainTextFormattedCitation":"[16,26]","previouslyFormattedCitation":"&lt;sup&gt;[16,26]&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s-ES"/>
        </w:rPr>
        <w:t>[16,26]</w:t>
      </w:r>
      <w:r w:rsidR="00E61D89" w:rsidRPr="000A6219">
        <w:rPr>
          <w:rFonts w:ascii="Book Antiqua" w:eastAsia="Calibri" w:hAnsi="Book Antiqua" w:cs="Times New Roman"/>
          <w:i/>
          <w:sz w:val="24"/>
          <w:szCs w:val="24"/>
          <w:lang w:val="en-US"/>
        </w:rPr>
        <w:fldChar w:fldCharType="end"/>
      </w:r>
      <w:r w:rsidR="00E61D89" w:rsidRPr="000A6219">
        <w:rPr>
          <w:rFonts w:ascii="Book Antiqua" w:eastAsia="Calibri" w:hAnsi="Book Antiqua" w:cs="Times New Roman"/>
          <w:i/>
          <w:sz w:val="24"/>
          <w:szCs w:val="24"/>
          <w:lang w:val="es-ES"/>
        </w:rPr>
        <w:t xml:space="preserve">, lpfA </w:t>
      </w:r>
      <w:r w:rsidR="00E61D89" w:rsidRPr="000A6219">
        <w:rPr>
          <w:rFonts w:ascii="Book Antiqua" w:eastAsia="Calibri" w:hAnsi="Book Antiqua" w:cs="Times New Roman"/>
          <w:sz w:val="24"/>
          <w:szCs w:val="24"/>
          <w:lang w:val="es-ES"/>
        </w:rPr>
        <w:t xml:space="preserve">and </w:t>
      </w:r>
      <w:r w:rsidR="00E61D89" w:rsidRPr="000A6219">
        <w:rPr>
          <w:rFonts w:ascii="Book Antiqua" w:eastAsia="Calibri" w:hAnsi="Book Antiqua" w:cs="Times New Roman"/>
          <w:i/>
          <w:sz w:val="24"/>
          <w:szCs w:val="24"/>
          <w:lang w:val="es-ES"/>
        </w:rPr>
        <w:t>gipA</w:t>
      </w:r>
      <w:r w:rsidR="00E61D89"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s-ES"/>
        </w:rPr>
        <w:instrText>ADDIN CSL_CITATION {"citationItems":[{"id":"ITEM-1","itemData":{"DOI":"10.3389/fmicb.2017.00639","PMID":"28596755","abstract":"Adherent-invasive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microbiology","id":"ITEM-1","issued":{"date-parts":[["2017"]]},"page":"639","publisher":"Frontiers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mendeley":{"formattedCitation":"&lt;sup&gt;[13]&lt;/sup&gt;","plainTextFormattedCitation":"[13]","previouslyFormattedCitation":"&lt;sup&gt;[13]&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[13]</w:t>
      </w:r>
      <w:r w:rsidR="00E61D89" w:rsidRPr="000A6219">
        <w:rPr>
          <w:rFonts w:ascii="Book Antiqua" w:eastAsia="Calibri" w:hAnsi="Book Antiqua" w:cs="Times New Roman"/>
          <w:i/>
          <w:sz w:val="24"/>
          <w:szCs w:val="24"/>
          <w:lang w:val="en-US"/>
        </w:rPr>
        <w:fldChar w:fldCharType="end"/>
      </w:r>
      <w:r w:rsidR="00E61D89" w:rsidRPr="000A6219">
        <w:rPr>
          <w:rFonts w:ascii="Book Antiqua" w:eastAsia="Calibri" w:hAnsi="Book Antiqua" w:cs="Times New Roman"/>
          <w:i/>
          <w:sz w:val="24"/>
          <w:szCs w:val="24"/>
          <w:lang w:val="en-US"/>
        </w:rPr>
        <w:t xml:space="preserve">, </w:t>
      </w:r>
      <w:proofErr w:type="spellStart"/>
      <w:r w:rsidR="00E61D89" w:rsidRPr="000A6219">
        <w:rPr>
          <w:rFonts w:ascii="Book Antiqua" w:eastAsia="Calibri" w:hAnsi="Book Antiqua" w:cs="Times New Roman"/>
          <w:i/>
          <w:sz w:val="24"/>
          <w:szCs w:val="24"/>
          <w:lang w:val="en-US"/>
        </w:rPr>
        <w:t>chuA</w:t>
      </w:r>
      <w:proofErr w:type="spellEnd"/>
      <w:r w:rsidR="00E61D89"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M-cell","type":"article-journal","volume":"20"},"uris":["http://www.mendeley.com/documents/?uuid=b025bc87-f0b0-4286-b32d-e57faa03ef86"]},{"id":"ITEM-2","itemData":{"DOI":"10.3389/fmicb.2019.00108","ISSN":"1664302X","abstract":"To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Microbiology","id":"ITEM-2","issued":{"date-parts":[["2019"]]},"publisher":"Frontiers Media S.A.","title":"Genetic and phenotypic features to screen for putative adherent-invasive Escherichia coli","type":"article-journal","volume":"10"},"uris":["http://www.mendeley.com/documents/?uuid=18bd902d-1a2d-3796-8f37-a3160ada2580"]}],"mendeley":{"formattedCitation":"&lt;sup&gt;[31,38]&lt;/sup&gt;","plainTextFormattedCitation":"[31,38]","previouslyFormattedCitation":"&lt;sup&gt;[31,38]&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s-ES"/>
        </w:rPr>
        <w:t>[31,38]</w:t>
      </w:r>
      <w:r w:rsidR="00E61D89" w:rsidRPr="000A6219">
        <w:rPr>
          <w:rFonts w:ascii="Book Antiqua" w:eastAsia="Calibri" w:hAnsi="Book Antiqua" w:cs="Times New Roman"/>
          <w:i/>
          <w:sz w:val="24"/>
          <w:szCs w:val="24"/>
          <w:lang w:val="en-US"/>
        </w:rPr>
        <w:fldChar w:fldCharType="end"/>
      </w:r>
      <w:r w:rsidR="00E61D89" w:rsidRPr="000A6219">
        <w:rPr>
          <w:rFonts w:ascii="Book Antiqua" w:eastAsia="Calibri" w:hAnsi="Book Antiqua" w:cs="Times New Roman"/>
          <w:i/>
          <w:sz w:val="24"/>
          <w:szCs w:val="24"/>
          <w:lang w:val="es-ES"/>
        </w:rPr>
        <w:t>,</w:t>
      </w:r>
      <w:r w:rsidR="00E61D89" w:rsidRPr="000A6219">
        <w:rPr>
          <w:rFonts w:ascii="Book Antiqua" w:eastAsia="Calibri" w:hAnsi="Book Antiqua" w:cs="Times New Roman"/>
          <w:sz w:val="24"/>
          <w:szCs w:val="24"/>
          <w:lang w:val="es-ES"/>
        </w:rPr>
        <w:t xml:space="preserve"> </w:t>
      </w:r>
      <w:r w:rsidR="00E61D89" w:rsidRPr="000A6219">
        <w:rPr>
          <w:rFonts w:ascii="Book Antiqua" w:eastAsia="Calibri" w:hAnsi="Book Antiqua" w:cs="Times New Roman"/>
          <w:i/>
          <w:sz w:val="24"/>
          <w:szCs w:val="24"/>
          <w:lang w:val="es-ES"/>
        </w:rPr>
        <w:t>pduC</w:t>
      </w:r>
      <w:r w:rsidR="00E61D89" w:rsidRPr="000A6219">
        <w:rPr>
          <w:rFonts w:ascii="Book Antiqua" w:eastAsia="Calibri" w:hAnsi="Book Antiqua" w:cs="Times New Roman"/>
          <w:i/>
          <w:sz w:val="24"/>
          <w:szCs w:val="24"/>
          <w:lang w:val="en-US"/>
        </w:rPr>
        <w:fldChar w:fldCharType="begin" w:fldLock="1"/>
      </w:r>
      <w:r w:rsidR="00894FE5" w:rsidRPr="000A6219">
        <w:rPr>
          <w:rFonts w:ascii="Book Antiqua" w:eastAsia="Calibri" w:hAnsi="Book Antiqua" w:cs="Times New Roman"/>
          <w:i/>
          <w:sz w:val="24"/>
          <w:szCs w:val="24"/>
          <w:lang w:val="es-ES"/>
        </w:rPr>
        <w:instrText>ADDIN CSL_CITATION {"citationItems":[{"id":"ITEM-1","itemData":{"DOI":"10.1093/femsle/fny249","ISSN":"1574-6968","author":[{"dropping-particle":"","family":"Dogan","given":"Belgin","non-dropping-particle":"","parse-names":false,"suffix":""},{"dropping-particle":"","family":"Belcher-Timme","given":"Hannah Facey","non-dropping-particle":"","parse-names":false,"suffix":""},{"dropping-particle":"","family":"Dogan","given":"Esra I","non-dropping-particle":"","parse-names":false,"suffix":""},{"dropping-particle":"","family":"Jiang","given":"Zhi-Dong","non-dropping-particle":"","parse-names":false,"suffix":""},{"dropping-particle":"","family":"DuPont","given":"Herbert L","non-dropping-particle":"","parse-names":false,"suffix":""},{"dropping-particle":"","family":"Synder","given":"Ned","non-dropping-particle":"","parse-names":false,"suffix":""},{"dropping-particle":"","family":"Yang","given":"Stephen","non-dropping-particle":"","parse-names":false,"suffix":""},{"dropping-particle":"","family":"Chandler","given":"Brendan","non-dropping-particle":"","parse-names":false,"suffix":""},{"dropping-particle":"","family":"Scherl","given":"Ellen J","non-dropping-particle":"","parse-names":false,"suffix":""},{"dropping-particle":"","family":"Simpson","given":"Kenneth W","non-dropping-particle":"","parse-names":false,"suffix":""}],"container-title":"FEMS Microbiology Letters","id":"ITEM-1","issued":{"date-parts":[["2018","10","8"]]},"title":"Evaluation of Escherichia coli pathotypes associated with Irritable Bowel Syndrome","type":"article-journal"},"uris":["http://www.mendeley.com/documents/?uuid=99b84148-f7d4-3f75-9747-425d44a38d66"]}],"mendeley":{"formattedCitation":"&lt;sup&gt;[42]&lt;/sup&gt;","plainTextFormattedCitation":"[42]","previouslyFormattedCitation":"&lt;sup&gt;[42]&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s-ES"/>
        </w:rPr>
        <w:t>[4</w:t>
      </w:r>
      <w:r w:rsidR="00554ED9">
        <w:rPr>
          <w:rFonts w:ascii="Book Antiqua" w:eastAsia="Calibri" w:hAnsi="Book Antiqua" w:cs="Times New Roman"/>
          <w:noProof/>
          <w:sz w:val="24"/>
          <w:szCs w:val="24"/>
          <w:vertAlign w:val="superscript"/>
          <w:lang w:val="es-ES"/>
        </w:rPr>
        <w:t>4</w:t>
      </w:r>
      <w:r w:rsidR="00765E1A" w:rsidRPr="000A6219">
        <w:rPr>
          <w:rFonts w:ascii="Book Antiqua" w:eastAsia="Calibri" w:hAnsi="Book Antiqua" w:cs="Times New Roman"/>
          <w:noProof/>
          <w:sz w:val="24"/>
          <w:szCs w:val="24"/>
          <w:vertAlign w:val="superscript"/>
          <w:lang w:val="es-ES"/>
        </w:rPr>
        <w:t>]</w:t>
      </w:r>
      <w:r w:rsidR="00E61D89" w:rsidRPr="000A6219">
        <w:rPr>
          <w:rFonts w:ascii="Book Antiqua" w:eastAsia="Calibri" w:hAnsi="Book Antiqua" w:cs="Times New Roman"/>
          <w:i/>
          <w:sz w:val="24"/>
          <w:szCs w:val="24"/>
          <w:lang w:val="en-US"/>
        </w:rPr>
        <w:fldChar w:fldCharType="end"/>
      </w:r>
      <w:r w:rsidR="00E61D89" w:rsidRPr="000A6219">
        <w:rPr>
          <w:rFonts w:ascii="Book Antiqua" w:eastAsia="Calibri" w:hAnsi="Book Antiqua" w:cs="Times New Roman"/>
          <w:i/>
          <w:sz w:val="24"/>
          <w:szCs w:val="24"/>
          <w:lang w:val="es-ES"/>
        </w:rPr>
        <w:t>, ibeA</w:t>
      </w:r>
      <w:r w:rsidR="00E61D89"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s-E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swine.","type":"article-journal","volume":"77"},"uris":["http://www.mendeley.com/documents/?uuid=f9a57717-e64c-3e78-8b48-52693ff22128"]},{"id":"ITEM-2","itemData":{"DOI":"10.3389/fmicb.2019.00108","ISSN":"1664302X","abstract":"To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Microbiology","id":"ITEM-2","issued":{"date-parts":[["2019"]]},"publisher":"Frontiers Media S.A.","title":"Genetic and phenotypic features to screen for putative adherent-invasive Escherichia coli","type":"article-journal","volume":"10"},"uris":["http://www.mendeley.com/documents/?uuid=18bd902d-1a2d-3796-8f37-a3160ada2580"]}],"mendeley":{"formattedCitation":"&lt;sup&gt;[37,38]&lt;/sup&gt;","plainTextFormattedCitation":"[37,38]","previouslyFormattedCitation":"&lt;sup&gt;[37,38]&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s-ES"/>
        </w:rPr>
        <w:t>[37,38]</w:t>
      </w:r>
      <w:r w:rsidR="00E61D89" w:rsidRPr="000A6219">
        <w:rPr>
          <w:rFonts w:ascii="Book Antiqua" w:eastAsia="Calibri" w:hAnsi="Book Antiqua" w:cs="Times New Roman"/>
          <w:i/>
          <w:sz w:val="24"/>
          <w:szCs w:val="24"/>
          <w:lang w:val="en-US"/>
        </w:rPr>
        <w:fldChar w:fldCharType="end"/>
      </w:r>
      <w:r w:rsidR="00E61D89" w:rsidRPr="000A6219">
        <w:rPr>
          <w:rFonts w:ascii="Book Antiqua" w:eastAsia="Calibri" w:hAnsi="Book Antiqua" w:cs="Times New Roman"/>
          <w:i/>
          <w:sz w:val="24"/>
          <w:szCs w:val="24"/>
          <w:lang w:val="es-ES"/>
        </w:rPr>
        <w:t>, colV</w:t>
      </w:r>
      <w:r w:rsidR="00E61D89"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s-E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s-ES"/>
        </w:rPr>
        <w:t>[31]</w:t>
      </w:r>
      <w:r w:rsidR="00E61D89" w:rsidRPr="000A6219">
        <w:rPr>
          <w:rFonts w:ascii="Book Antiqua" w:eastAsia="Calibri" w:hAnsi="Book Antiqua" w:cs="Times New Roman"/>
          <w:i/>
          <w:sz w:val="24"/>
          <w:szCs w:val="24"/>
          <w:lang w:val="en-US"/>
        </w:rPr>
        <w:fldChar w:fldCharType="end"/>
      </w:r>
      <w:r w:rsidR="00E61D89" w:rsidRPr="000A6219">
        <w:rPr>
          <w:rFonts w:ascii="Book Antiqua" w:eastAsia="Calibri" w:hAnsi="Book Antiqua" w:cs="Times New Roman"/>
          <w:i/>
          <w:sz w:val="24"/>
          <w:szCs w:val="24"/>
          <w:lang w:val="es-ES"/>
        </w:rPr>
        <w:t>, pic</w:t>
      </w:r>
      <w:r w:rsidR="00E61D89" w:rsidRPr="000A6219">
        <w:rPr>
          <w:rFonts w:ascii="Book Antiqua" w:eastAsia="Calibri" w:hAnsi="Book Antiqua" w:cs="Times New Roman"/>
          <w:i/>
          <w:sz w:val="24"/>
          <w:szCs w:val="24"/>
          <w:lang w:val="en-US"/>
        </w:rPr>
        <w:fldChar w:fldCharType="begin" w:fldLock="1"/>
      </w:r>
      <w:r w:rsidR="00894FE5" w:rsidRPr="000A6219">
        <w:rPr>
          <w:rFonts w:ascii="Book Antiqua" w:eastAsia="Calibri" w:hAnsi="Book Antiqua" w:cs="Times New Roman"/>
          <w:i/>
          <w:sz w:val="24"/>
          <w:szCs w:val="24"/>
          <w:lang w:val="es-E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mendeley":{"formattedCitation":"&lt;sup&gt;[37]&lt;/sup&gt;","plainTextFormattedCitation":"[37]","previouslyFormattedCitation":"&lt;sup&gt;[37]&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s-ES"/>
        </w:rPr>
        <w:t>[37]</w:t>
      </w:r>
      <w:r w:rsidR="00E61D89" w:rsidRPr="000A6219">
        <w:rPr>
          <w:rFonts w:ascii="Book Antiqua" w:eastAsia="Calibri" w:hAnsi="Book Antiqua" w:cs="Times New Roman"/>
          <w:i/>
          <w:sz w:val="24"/>
          <w:szCs w:val="24"/>
          <w:lang w:val="en-US"/>
        </w:rPr>
        <w:fldChar w:fldCharType="end"/>
      </w:r>
      <w:r w:rsidR="00E61D89" w:rsidRPr="000A6219">
        <w:rPr>
          <w:rFonts w:ascii="Book Antiqua" w:eastAsia="Calibri" w:hAnsi="Book Antiqua" w:cs="Times New Roman"/>
          <w:i/>
          <w:sz w:val="24"/>
          <w:szCs w:val="24"/>
          <w:lang w:val="es-ES"/>
        </w:rPr>
        <w:t>, papGII/III</w:t>
      </w:r>
      <w:r w:rsidR="00E61D89" w:rsidRPr="000A6219">
        <w:rPr>
          <w:rFonts w:ascii="Book Antiqua" w:eastAsia="Calibri" w:hAnsi="Book Antiqua" w:cs="Times New Roman"/>
          <w:i/>
          <w:sz w:val="24"/>
          <w:szCs w:val="24"/>
          <w:lang w:val="en-US"/>
        </w:rPr>
        <w:fldChar w:fldCharType="begin" w:fldLock="1"/>
      </w:r>
      <w:r w:rsidR="00894FE5" w:rsidRPr="000A6219">
        <w:rPr>
          <w:rFonts w:ascii="Book Antiqua" w:eastAsia="Calibri" w:hAnsi="Book Antiqua" w:cs="Times New Roman"/>
          <w:i/>
          <w:sz w:val="24"/>
          <w:szCs w:val="24"/>
          <w:lang w:val="es-E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swine.","type":"article-journal","volume":"77"},"uris":["http://www.mendeley.com/documents/?uuid=f9a57717-e64c-3e78-8b48-52693ff22128"]},{"id":"ITEM-2","itemData":{"DOI":"10.1186/1756-0500-7-748","ISSN":"1756-0500","PMID":"25338542","abstract":"BACKGROUND: Adherent-invasive Escherichia coli (AIEC) have been implicated in the ethiopathogenesis of Crohn's disease (CD). In this study, we analyzed a collection of intestinal mucosa-associated E. coli isolates, presenting AIEC phenotypes, isolated from biopsies of CD pediatric patients and non-inflammatory bowel diseases (IBD) controls, in order to investigate their genetic and phenotypic pathogenic features.\\n\\nRESULTS: A total of 616 E. coli isolates from biopsies of four pediatric CD patients and of four non-IBD controls were collected and individually analyzed. For AIEC identification, adherent isolates were assayed for invasiveness, and the capacity of the adhesive-invasive isolates to survive and replicate intracellularly was determined over macrophages J774. In this way we identified 36 AIEC-like isolates. Interestingly, their relative abundance was significantly higher in CD patients (10%; 31/308) than in non-IBD controls (1%; 5/308) (χ2 = 38.96 p &lt; 0.001). Furthermore pulsed field gel electrophoresis (PFGE) and randomly amplified polymorphic DNA (RAPD) techniques were applied to analyze the clonality of the 36 AIEC-like isolates. The results obtained allowed us to identify 27 distinct genotypes (22 from CD patients and 5 from non-IBD controls). As for the AIEC prototype strain LF82, all 27 AIEC genotypes presented an aggregative pattern of adherence (AA) that was inhibited by D-mannose, indicating that adhesiveness of AIEC is likely mediated by type 1 pili. PCR analisys was used to investigate presence of virulence genes. The results indicated that among the 27 AIEC isolates, the incidence of genes encoding virulence factors K1 (χ2 = 6.167 P = 0.013), kpsMT II (χ2 = 6.167 P = 0.013), fyuA (χ2 = 6.167 P = 0.013), and ibeA (χ2 = 8.867 P = 0.003) was significantly higher among AIEC strains isolated from CD patients than non-IBD controls.\\n\\nCONCLUSIONS: The identification of AIEC strains in both CD and non-IBD controls, confirmed the \"pathobiont\" nature of AIEC strains. The finding that AIEC-like isolates were more abundant in CD patients, indicates that a close association of these strains with CD may also exists in pediatric patients.","author":[{"dropping-particle":"","family":"Conte","given":"Maria Pia","non-dropping-particle":"","parse-names":false,"suffix":""},{"dropping-particle":"","family":"Longhi","given":"Catia","non-dropping-particle":"","parse-names":false,"suffix":""},{"dropping-particle":"","family":"Marazzato","given":"Massimiliano","non-dropping-particle":"","parse-names":false,"suffix":""},{"dropping-particle":"","family":"Conte","given":"Antonietta Lucia","non-dropping-particle":"","parse-names":false,"suffix":""},{"dropping-particle":"","family":"Aleandri","given":"Marta","non-dropping-particle":"","parse-names":false,"suffix":</w:instrText>
      </w:r>
      <w:r w:rsidR="00894FE5" w:rsidRPr="000A6219">
        <w:rPr>
          <w:rFonts w:ascii="Book Antiqua" w:eastAsia="Calibri" w:hAnsi="Book Antiqua" w:cs="Times New Roman"/>
          <w:i/>
          <w:sz w:val="24"/>
          <w:szCs w:val="24"/>
          <w:lang w:val="en-US"/>
        </w:rPr>
        <w:instrText>""},{"dropping-particle":"","family":"Lepanto","given":"Maria Stefania","non-dropping-particle":"","parse-names":false,"suffix":""},{"dropping-particle":"","family":"Zagaglia","given":"Carlo","non-dropping-particle":"","parse-names":false,"suffix":""},{"dropping-particle":"","family":"Nicoletti","given":"Mauro","non-dropping-particle":"","parse-names":false,"suffix":""},{"dropping-particle":"","family":"Aloi","given":"Marina","non-dropping-particle":"","parse-names":false,"suffix":""},{"dropping-particle":"","family":"Totino","given":"Valentina","non-dropping-particle":"","parse-names":false,"suffix":""},{"dropping-particle":"","family":"Palamara","given":"Anna Teresa","non-dropping-particle":"","parse-names":false,"suffix":""},{"dropping-particle":"","family":"Schippa","given":"Serena","non-dropping-particle":"","parse-names":false,"suffix":""}],"container-title":"BMC research notes","id":"ITEM-2","issue":"1","issued":{"date-parts":[["2014"]]},"page":"748","title":"Adherent-invasive Escherichia coli (AIEC) in pediatric Crohn's disease patients: phenotypic and genetic pathogenic features.","type":"article-journal","volume":"7"},"uris":["http://www.mendeley.com/documents/?uuid=7bbeb97f-85b8-4d75-8c59-8aaeab2c26f5"]}],"mendeley":{"formattedCitation":"&lt;sup&gt;[16,37]&lt;/sup&gt;","plainTextFormattedCitation":"[16,37]","previouslyFormattedCitation":"&lt;sup&gt;[16,37]&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[16,37]</w:t>
      </w:r>
      <w:r w:rsidR="00E61D89" w:rsidRPr="000A6219">
        <w:rPr>
          <w:rFonts w:ascii="Book Antiqua" w:eastAsia="Calibri" w:hAnsi="Book Antiqua" w:cs="Times New Roman"/>
          <w:i/>
          <w:sz w:val="24"/>
          <w:szCs w:val="24"/>
          <w:lang w:val="en-US"/>
        </w:rPr>
        <w:fldChar w:fldCharType="end"/>
      </w:r>
      <w:r w:rsidR="0047787B" w:rsidRPr="000A6219">
        <w:rPr>
          <w:rFonts w:ascii="Book Antiqua" w:eastAsia="Calibri" w:hAnsi="Book Antiqua" w:cs="Times New Roman"/>
          <w:i/>
          <w:sz w:val="24"/>
          <w:szCs w:val="24"/>
          <w:lang w:val="en-US"/>
        </w:rPr>
        <w:t xml:space="preserve"> </w:t>
      </w:r>
      <w:r w:rsidR="0047787B" w:rsidRPr="000A6219">
        <w:rPr>
          <w:rFonts w:ascii="Book Antiqua" w:eastAsia="Calibri" w:hAnsi="Book Antiqua" w:cs="Times New Roman"/>
          <w:sz w:val="24"/>
          <w:szCs w:val="24"/>
          <w:lang w:val="en-US"/>
        </w:rPr>
        <w:t xml:space="preserve">and </w:t>
      </w:r>
      <w:proofErr w:type="spellStart"/>
      <w:r w:rsidR="0047787B" w:rsidRPr="000A6219">
        <w:rPr>
          <w:rFonts w:ascii="Book Antiqua" w:eastAsia="Calibri" w:hAnsi="Book Antiqua" w:cs="Times New Roman"/>
          <w:i/>
          <w:sz w:val="24"/>
          <w:szCs w:val="24"/>
          <w:lang w:val="en-US"/>
        </w:rPr>
        <w:t>iss</w:t>
      </w:r>
      <w:proofErr w:type="spellEnd"/>
      <w:r w:rsidR="0047787B"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0047787B"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[31]</w:t>
      </w:r>
      <w:r w:rsidR="0047787B" w:rsidRPr="000A6219">
        <w:rPr>
          <w:rFonts w:ascii="Book Antiqua" w:eastAsia="Calibri" w:hAnsi="Book Antiqua" w:cs="Times New Roman"/>
          <w:i/>
          <w:sz w:val="24"/>
          <w:szCs w:val="24"/>
          <w:lang w:val="en-US"/>
        </w:rPr>
        <w:fldChar w:fldCharType="end"/>
      </w:r>
      <w:r w:rsidR="002341F9"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w:t>
      </w:r>
      <w:r w:rsidR="00B36050"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t>As a previous study pointed out</w:t>
      </w:r>
      <w:r w:rsidR="00721A65"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-1","issue":"8","issued":{"date-parts":[["2016"]]},"page":"1382-1389","title":"Comparative genomics of Crohn's disease-associated adherent-invasive Escherichia coli","type":"article-journal","volume":"66"},"uris":["http://www.mendeley.com/documents/?uuid=5433c40e-8818-41e5-9f75-43963d20c944"]}],"mendeley":{"formattedCitation":"&lt;sup&gt;[34]&lt;/sup&gt;","plainTextFormattedCitation":"[34]","previouslyFormattedCitation":"&lt;sup&gt;[34]&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[34]</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it is likely that the associations described are phylogenetic in nature and do not reflect the pathogenic potential of the strains.</w:t>
      </w:r>
    </w:p>
    <w:p w14:paraId="0CD16036" w14:textId="01D94F82" w:rsidR="00721A65" w:rsidRPr="000A6219" w:rsidRDefault="00721A65"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Controversial results on gene frequency may be explained </w:t>
      </w:r>
      <w:r w:rsidR="00163CC1" w:rsidRPr="000A6219">
        <w:rPr>
          <w:rFonts w:ascii="Book Antiqua" w:eastAsia="Calibri" w:hAnsi="Book Antiqua" w:cs="Times New Roman"/>
          <w:sz w:val="24"/>
          <w:szCs w:val="24"/>
          <w:lang w:val="en-US"/>
        </w:rPr>
        <w:t>by</w:t>
      </w:r>
      <w:r w:rsidRPr="000A6219">
        <w:rPr>
          <w:rFonts w:ascii="Book Antiqua" w:eastAsia="Calibri" w:hAnsi="Book Antiqua" w:cs="Times New Roman"/>
          <w:sz w:val="24"/>
          <w:szCs w:val="24"/>
          <w:lang w:val="en-US"/>
        </w:rPr>
        <w:t xml:space="preserve"> differential strain collection</w:t>
      </w:r>
      <w:r w:rsidR="00163CC1" w:rsidRPr="000A6219">
        <w:rPr>
          <w:rFonts w:ascii="Book Antiqua" w:eastAsia="Calibri" w:hAnsi="Book Antiqua" w:cs="Times New Roman"/>
          <w:sz w:val="24"/>
          <w:szCs w:val="24"/>
          <w:lang w:val="en-US"/>
        </w:rPr>
        <w:t>s</w:t>
      </w:r>
      <w:r w:rsidRPr="000A6219">
        <w:rPr>
          <w:rFonts w:ascii="Book Antiqua" w:eastAsia="Calibri" w:hAnsi="Book Antiqua" w:cs="Times New Roman"/>
          <w:sz w:val="24"/>
          <w:szCs w:val="24"/>
          <w:lang w:val="en-US"/>
        </w:rPr>
        <w:t xml:space="preserve"> (origin of isolation, host and phylogenetic origin) and the amount of strains considered (Table </w:t>
      </w:r>
      <w:r w:rsidR="00BA5A02" w:rsidRPr="000A6219">
        <w:rPr>
          <w:rFonts w:ascii="Book Antiqua" w:eastAsia="Calibri" w:hAnsi="Book Antiqua" w:cs="Times New Roman"/>
          <w:sz w:val="24"/>
          <w:szCs w:val="24"/>
          <w:lang w:val="en-US"/>
        </w:rPr>
        <w:t>1</w:t>
      </w:r>
      <w:r w:rsidR="008B37BE" w:rsidRPr="000A6219">
        <w:rPr>
          <w:rFonts w:ascii="Book Antiqua" w:eastAsia="Calibri" w:hAnsi="Book Antiqua" w:cs="Times New Roman"/>
          <w:sz w:val="24"/>
          <w:szCs w:val="24"/>
          <w:lang w:val="en-US"/>
        </w:rPr>
        <w:t xml:space="preserve"> and</w:t>
      </w:r>
      <w:r w:rsidR="00793FA6" w:rsidRPr="000A6219">
        <w:rPr>
          <w:rFonts w:ascii="Book Antiqua" w:eastAsia="Calibri" w:hAnsi="Book Antiqua" w:cs="Times New Roman"/>
          <w:sz w:val="24"/>
          <w:szCs w:val="24"/>
          <w:lang w:val="en-US"/>
        </w:rPr>
        <w:t xml:space="preserve"> Table</w:t>
      </w:r>
      <w:r w:rsidR="008B37BE" w:rsidRPr="000A6219">
        <w:rPr>
          <w:rFonts w:ascii="Book Antiqua" w:eastAsia="Calibri" w:hAnsi="Book Antiqua" w:cs="Times New Roman"/>
          <w:sz w:val="24"/>
          <w:szCs w:val="24"/>
          <w:lang w:val="en-US"/>
        </w:rPr>
        <w:t xml:space="preserve"> </w:t>
      </w:r>
      <w:r w:rsidR="00BA5A02" w:rsidRPr="000A6219">
        <w:rPr>
          <w:rFonts w:ascii="Book Antiqua" w:eastAsia="Calibri" w:hAnsi="Book Antiqua" w:cs="Times New Roman"/>
          <w:sz w:val="24"/>
          <w:szCs w:val="24"/>
          <w:lang w:val="en-US"/>
        </w:rPr>
        <w:t>2</w:t>
      </w:r>
      <w:r w:rsidRPr="000A6219">
        <w:rPr>
          <w:rFonts w:ascii="Book Antiqua" w:eastAsia="Calibri" w:hAnsi="Book Antiqua" w:cs="Times New Roman"/>
          <w:sz w:val="24"/>
          <w:szCs w:val="24"/>
          <w:lang w:val="en-US"/>
        </w:rPr>
        <w:t xml:space="preserve">). </w:t>
      </w:r>
      <w:r w:rsidR="00C34862" w:rsidRPr="000A6219">
        <w:rPr>
          <w:rFonts w:ascii="Book Antiqua" w:eastAsia="Calibri" w:hAnsi="Book Antiqua" w:cs="Times New Roman"/>
          <w:sz w:val="24"/>
          <w:szCs w:val="24"/>
          <w:lang w:val="en-US"/>
        </w:rPr>
        <w:t>Our strain collection</w:t>
      </w:r>
      <w:r w:rsidR="00C3486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swine.","type":"article-journal","volume":"77"},"uris":["http://www.mendeley.com/documents/?uuid=f9a57717-e64c-3e78-8b48-52693ff22128"]},{"id":"ITEM-2","itemData":{"DOI":"10.3389/fmicb.2019.00108","ISSN":"1664302X","abstract":"To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Microbiology","id":"ITEM-2","issued":{"date-parts":[["2019"]]},"publisher":"Frontiers Media S.A.","title":"Genetic and phenotypic features to screen for putative adherent-invasive Escherichia coli","type":"article-journal","volume":"10"},"uris":["http://www.mendeley.com/documents/?uuid=18bd902d-1a2d-3796-8f37-a3160ada2580"]}],"mendeley":{"formattedCitation":"&lt;sup&gt;[37,38]&lt;/sup&gt;","plainTextFormattedCitation":"[37,38]","previouslyFormattedCitation":"&lt;sup&gt;[37,38]&lt;/sup&gt;"},"properties":{"noteIndex":0},"schema":"https://github.com/citation-style-language/schema/raw/master/csl-citation.json"}</w:instrText>
      </w:r>
      <w:r w:rsidR="00C34862"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[37,38]</w:t>
      </w:r>
      <w:r w:rsidR="00C34862" w:rsidRPr="000A6219">
        <w:rPr>
          <w:rFonts w:ascii="Book Antiqua" w:eastAsia="Calibri" w:hAnsi="Book Antiqua" w:cs="Times New Roman"/>
          <w:i/>
          <w:sz w:val="24"/>
          <w:szCs w:val="24"/>
          <w:lang w:val="en-US"/>
        </w:rPr>
        <w:fldChar w:fldCharType="end"/>
      </w:r>
      <w:r w:rsidR="00C34862" w:rsidRPr="000A6219">
        <w:rPr>
          <w:rFonts w:ascii="Book Antiqua" w:eastAsia="Calibri" w:hAnsi="Book Antiqua" w:cs="Times New Roman"/>
          <w:i/>
          <w:sz w:val="24"/>
          <w:szCs w:val="24"/>
          <w:lang w:val="en-US"/>
        </w:rPr>
        <w:t xml:space="preserve"> </w:t>
      </w:r>
      <w:r w:rsidRPr="000A6219">
        <w:rPr>
          <w:rFonts w:ascii="Book Antiqua" w:eastAsia="Calibri" w:hAnsi="Book Antiqua" w:cs="Times New Roman"/>
          <w:sz w:val="24"/>
          <w:szCs w:val="24"/>
          <w:lang w:val="en-US"/>
        </w:rPr>
        <w:t xml:space="preserve">is mainly </w:t>
      </w:r>
      <w:r w:rsidR="00163CC1" w:rsidRPr="000A6219">
        <w:rPr>
          <w:rFonts w:ascii="Book Antiqua" w:eastAsia="Calibri" w:hAnsi="Book Antiqua" w:cs="Times New Roman"/>
          <w:sz w:val="24"/>
          <w:szCs w:val="24"/>
          <w:lang w:val="en-US"/>
        </w:rPr>
        <w:t>composed of</w:t>
      </w:r>
      <w:r w:rsidRPr="000A6219">
        <w:rPr>
          <w:rFonts w:ascii="Book Antiqua" w:eastAsia="Calibri" w:hAnsi="Book Antiqua" w:cs="Times New Roman"/>
          <w:sz w:val="24"/>
          <w:szCs w:val="24"/>
          <w:lang w:val="en-US"/>
        </w:rPr>
        <w:t xml:space="preserve"> B2 strains</w:t>
      </w:r>
      <w:r w:rsidR="00163CC1" w:rsidRPr="000A6219">
        <w:rPr>
          <w:rFonts w:ascii="Book Antiqua" w:eastAsia="Calibri" w:hAnsi="Book Antiqua" w:cs="Times New Roman"/>
          <w:sz w:val="24"/>
          <w:szCs w:val="24"/>
          <w:lang w:val="en-US"/>
        </w:rPr>
        <w:t>, but</w:t>
      </w:r>
      <w:r w:rsidRPr="000A6219">
        <w:rPr>
          <w:rFonts w:ascii="Book Antiqua" w:eastAsia="Calibri" w:hAnsi="Book Antiqua" w:cs="Times New Roman"/>
          <w:sz w:val="24"/>
          <w:szCs w:val="24"/>
          <w:lang w:val="en-US"/>
        </w:rPr>
        <w:t xml:space="preserve"> for example, the collection of a previous </w:t>
      </w:r>
      <w:r w:rsidRPr="000A6219">
        <w:rPr>
          <w:rFonts w:ascii="Book Antiqua" w:eastAsia="Calibri" w:hAnsi="Book Antiqua" w:cs="Times New Roman"/>
          <w:sz w:val="24"/>
          <w:szCs w:val="24"/>
          <w:lang w:val="en-US"/>
        </w:rPr>
        <w:lastRenderedPageBreak/>
        <w:t>study</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[31]</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is enriched in A and B1. As a consequence, the results of studies comparing unequal strains could be questioned. Suc</w:t>
      </w:r>
      <w:r w:rsidR="00793FA6" w:rsidRPr="000A6219">
        <w:rPr>
          <w:rFonts w:ascii="Book Antiqua" w:eastAsia="Calibri" w:hAnsi="Book Antiqua" w:cs="Times New Roman"/>
          <w:sz w:val="24"/>
          <w:szCs w:val="24"/>
          <w:lang w:val="en-US"/>
        </w:rPr>
        <w:t xml:space="preserve">h is the case of </w:t>
      </w:r>
      <w:proofErr w:type="spellStart"/>
      <w:r w:rsidR="00793FA6" w:rsidRPr="000A6219">
        <w:rPr>
          <w:rFonts w:ascii="Book Antiqua" w:eastAsia="Calibri" w:hAnsi="Book Antiqua" w:cs="Times New Roman"/>
          <w:sz w:val="24"/>
          <w:szCs w:val="24"/>
          <w:lang w:val="en-US"/>
        </w:rPr>
        <w:t>Desilets</w:t>
      </w:r>
      <w:proofErr w:type="spellEnd"/>
      <w:r w:rsidR="00793FA6" w:rsidRPr="000A6219">
        <w:rPr>
          <w:rFonts w:ascii="Book Antiqua" w:eastAsia="Calibri" w:hAnsi="Book Antiqua" w:cs="Times New Roman"/>
          <w:sz w:val="24"/>
          <w:szCs w:val="24"/>
          <w:lang w:val="en-US"/>
        </w:rPr>
        <w:t xml:space="preserve"> </w:t>
      </w:r>
      <w:r w:rsidR="00793FA6" w:rsidRPr="000A6219">
        <w:rPr>
          <w:rFonts w:ascii="Book Antiqua" w:eastAsia="Calibri" w:hAnsi="Book Antiqua" w:cs="Times New Roman"/>
          <w:i/>
          <w:sz w:val="24"/>
          <w:szCs w:val="24"/>
          <w:lang w:val="en-US"/>
        </w:rPr>
        <w:t>et</w:t>
      </w:r>
      <w:r w:rsidR="00793FA6" w:rsidRPr="000A6219">
        <w:rPr>
          <w:rFonts w:ascii="Book Antiqua" w:eastAsia="Calibri" w:hAnsi="Book Antiqua" w:cs="Times New Roman"/>
          <w:sz w:val="24"/>
          <w:szCs w:val="24"/>
          <w:lang w:val="en-US"/>
        </w:rPr>
        <w:t xml:space="preserve"> </w:t>
      </w:r>
      <w:r w:rsidR="00793FA6" w:rsidRPr="000A6219">
        <w:rPr>
          <w:rFonts w:ascii="Book Antiqua" w:eastAsia="Calibri" w:hAnsi="Book Antiqua" w:cs="Times New Roman"/>
          <w:i/>
          <w:sz w:val="24"/>
          <w:szCs w:val="24"/>
          <w:lang w:val="en-US"/>
        </w:rPr>
        <w:t>al</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{"citationItems":[{"id":"ITEM-1","itemData":{"DOI":"10.1097/MIB.0000000000000574","ISBN":"0000000000000","ISSN":"15364844","PMID":"26444104","abstract":"BACKGROUND Mucosal-associated Escherichia coli are commonly found in inflamed tissues during inflammatory bowel disease (IBD). These bacteria often possess an adherent and invasive phenotype but lack virulence-associated features of well-described intestinal E. coli pathogens, and are of diverse serology and phylotypes, making it difficult to correlate strain characteristics with exacerbations of disease. METHODS The genome sequences of 14 phenotypically assigned adherent-invasive Escherichia coli (AIEC) isolates obtained from intestinal biopsies of patients with IBD were compared with the genome sequences of 37 other pathogenic and commensal E. coli available from public databases. RESULTS Core genome-based phylogenetic analyses and genome-wide comparison of genetic content established the existence of a closely related cluster of AIEC strains with 3 distinct genetic insertions differentiating them from commensal E. coli. These strains are of the B2 phylotype have a variant type VI secretion system (T6SS-1), and are highly related to extraintestinal pathogenic E. coli, suggesting that these 2 clinically distinct pathovars have common virulence strategies. Four other mucosally adherent E. coli strains from patients with IBD were of diverse phylogenetic origins and lacked the 3 genetic features, suggesting that they are not related to the B2 AIEC cluster. Although AIEC are often considered as having a unique association with Crohn's disease, isolates from Crohn's disease and ulcerative colitis were genetically indistinguishable. CONCLUSIONS B2 AIEC thus represent a closely related cluster of IBD-associated E. coli strains that are distinct from normal commensal isolates, and which should be considered separately from the phenotypically similar but genetically distinct non-B2 AIEC strains when considering their association with intestinal pathogenesis.","author":[{"dropping-particle":"","family":"Desilets","given":"Michael","non-dropping-particle":"","parse-names":false,"suffix":""},{"dropping-particle":"","family":"Deng","given":"Xiangding","non-dropping-particle":"","parse-names":false,"suffix":""},{"dropping-particle":"","family":"Rao","given":"Chitong","non-dropping-particle":"","parse-names":false,"suffix":""},{"dropping-particle":"","family":"Ensminger","given":"Alexander W.","non-dropping-particle":"","parse-names":false,"suffix":""},{"dropping-particle":"","family":"Krause","given":"Denis O.","non-dropping-particle":"","parse-names":false,"suffix":""},{"dropping-particle":"","family":"Sherman","given":"Philip M.","non-dropping-particle":"","parse-names":false,"suffix":""},{"dropping-particle":"","family":"Gray-Owen","given":"Scott D.","non-dropping-particle":"","parse-names":false,"suffix":""}],"container-title":"Inflammatory Bowel Diseases","id":"ITEM-1","issue":"1","issued":{"date-parts":[["2016"]]},"page":"1-12","title":"Genome-based definition of an inflammatory bowel disease-associated adherent-invasive Escherichia coli pathovar","type":"article-journal","volume":"22"},"uris":["http://www.mendeley.com/documents/?uuid=b415452d-a7f0-42e4-a968-ab2a8693e4d3"]}],"mendeley":{"formattedCitation":"&lt;sup&gt;[32]&lt;/sup&gt;","plainTextFormattedCitation":"[32]","previouslyFormattedCitation":"&lt;sup&gt;[32]&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[32]</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who reported that B2-strains </w:t>
      </w:r>
      <w:r w:rsidR="00163CC1" w:rsidRPr="000A6219">
        <w:rPr>
          <w:rFonts w:ascii="Book Antiqua" w:eastAsia="Calibri" w:hAnsi="Book Antiqua" w:cs="Times New Roman"/>
          <w:sz w:val="24"/>
          <w:szCs w:val="24"/>
          <w:lang w:val="en-US"/>
        </w:rPr>
        <w:t>harbored</w:t>
      </w:r>
      <w:r w:rsidRPr="000A6219">
        <w:rPr>
          <w:rFonts w:ascii="Book Antiqua" w:eastAsia="Calibri" w:hAnsi="Book Antiqua" w:cs="Times New Roman"/>
          <w:sz w:val="24"/>
          <w:szCs w:val="24"/>
          <w:lang w:val="en-US"/>
        </w:rPr>
        <w:t xml:space="preserve"> three genomic regions that were absent in non-AIEC strains</w:t>
      </w:r>
      <w:r w:rsidR="00163CC1"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but in the last group</w:t>
      </w:r>
      <w:r w:rsidR="00163CC1"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all were non-clinical isolates</w:t>
      </w:r>
      <w:r w:rsidR="00163CC1"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and only two B2 strains were considered. Since the AIEC pathotype is genetically highly diverse by phylogroup and invasive determinants, cross-validation of observations in a strain collection is strongly recommended.</w:t>
      </w:r>
    </w:p>
    <w:p w14:paraId="5764A1E0" w14:textId="00E3DCC3" w:rsidR="00F22911" w:rsidRPr="000A6219" w:rsidRDefault="00721A65"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Besides, it has been suggested that variations in the sequence of particular genes (</w:t>
      </w:r>
      <w:proofErr w:type="spellStart"/>
      <w:r w:rsidRPr="000A6219">
        <w:rPr>
          <w:rFonts w:ascii="Book Antiqua" w:eastAsia="Calibri" w:hAnsi="Book Antiqua" w:cs="Times New Roman"/>
          <w:i/>
          <w:sz w:val="24"/>
          <w:szCs w:val="24"/>
          <w:lang w:val="en-US"/>
        </w:rPr>
        <w:t>fimH</w:t>
      </w:r>
      <w:proofErr w:type="spellEnd"/>
      <w:r w:rsidRPr="000A6219">
        <w:rPr>
          <w:rFonts w:ascii="Book Antiqua" w:eastAsia="Calibri" w:hAnsi="Book Antiqua" w:cs="Times New Roman"/>
          <w:i/>
          <w:sz w:val="24"/>
          <w:szCs w:val="24"/>
          <w:lang w:val="en-US"/>
        </w:rPr>
        <w:t xml:space="preserve">, </w:t>
      </w:r>
      <w:proofErr w:type="spellStart"/>
      <w:r w:rsidRPr="000A6219">
        <w:rPr>
          <w:rFonts w:ascii="Book Antiqua" w:eastAsia="Calibri" w:hAnsi="Book Antiqua" w:cs="Times New Roman"/>
          <w:i/>
          <w:sz w:val="24"/>
          <w:szCs w:val="24"/>
          <w:lang w:val="en-US"/>
        </w:rPr>
        <w:t>chiA</w:t>
      </w:r>
      <w:proofErr w:type="spellEnd"/>
      <w:r w:rsidRPr="000A6219">
        <w:rPr>
          <w:rFonts w:ascii="Book Antiqua" w:eastAsia="Calibri" w:hAnsi="Book Antiqua" w:cs="Times New Roman"/>
          <w:sz w:val="24"/>
          <w:szCs w:val="24"/>
          <w:lang w:val="en-US"/>
        </w:rPr>
        <w:t xml:space="preserve"> and </w:t>
      </w:r>
      <w:proofErr w:type="spellStart"/>
      <w:r w:rsidRPr="000A6219">
        <w:rPr>
          <w:rFonts w:ascii="Book Antiqua" w:eastAsia="Calibri" w:hAnsi="Book Antiqua" w:cs="Times New Roman"/>
          <w:i/>
          <w:sz w:val="24"/>
          <w:szCs w:val="24"/>
          <w:lang w:val="en-US"/>
        </w:rPr>
        <w:t>ompA</w:t>
      </w:r>
      <w:proofErr w:type="spellEnd"/>
      <w:r w:rsidRPr="000A6219">
        <w:rPr>
          <w:rFonts w:ascii="Book Antiqua" w:eastAsia="Calibri" w:hAnsi="Book Antiqua" w:cs="Times New Roman"/>
          <w:sz w:val="24"/>
          <w:szCs w:val="24"/>
          <w:lang w:val="en-US"/>
        </w:rPr>
        <w:t>) may uncover AIEC virulence abilities</w:t>
      </w:r>
      <w:r w:rsidRPr="000A6219">
        <w:rPr>
          <w:rFonts w:ascii="Book Antiqua" w:eastAsia="Calibri" w:hAnsi="Book Antiqua" w:cs="Times New Roman"/>
          <w:sz w:val="24"/>
          <w:szCs w:val="24"/>
          <w:lang w:val="en-US"/>
        </w:rPr>
        <w:fldChar w:fldCharType="begin" w:fldLock="1"/>
      </w:r>
      <w:r w:rsidR="004C4A78" w:rsidRPr="000A6219">
        <w:rPr>
          <w:rFonts w:ascii="Book Antiqua" w:eastAsia="Calibri" w:hAnsi="Book Antiqua" w:cs="Times New Roman"/>
          <w:sz w:val="24"/>
          <w:szCs w:val="24"/>
          <w:lang w:val="en-US"/>
        </w:rPr>
        <w:instrText>ADDIN CSL_CITATION {"citationItems":[{"id":"ITEM-1","itemData":{"DOI":"10.1172/JCI30504","ISSN":"0021-9738","PMID":"17525800","abstract":"The ileal mucosa of Crohn disease (CD) patients is abnormally colonized by adherent-invasive E. coli (AIEC) that are able to adhere to and invade intestinal epithelial cells. Here, we show that CD-associated AIEC strains adhere to the brush border of primary ileal enterocytes isolated from CD patients but not controls without inflammatory bowel disease. AIEC adhesion is dependent on type 1 pili expression on the bacterial surface and on carcinoembryonic antigen-related cell adhesion molecule 6 (CEACAM6) expression on the apical surface of ileal epithelial cells. We report also that CEACAM6 acts as a receptor for AIEC adhesion and is abnormally expressed by ileal epithelial cells in CD patients. In addition, our in vitro studies show that there is increased CEACAM6 expression in cultured intestinal epithelial cells after IFN-gamma or TNF-alpha stimulation and after infection with AIEC bacteria, indicating that AIEC can promote its own colonization in CD patients.","author":[{"dropping-particle":"","family":"Barnich","given":"Nicolas","non-dropping-particle":"","parse-names":false,"suffix":""},{"dropping-particle":"","family":"Carvalho","given":"Frédéric A","non-dropping-particle":"","parse-names":false,"suffix":""},{"dropping-particle":"","family":"Glasser","given":"Anne-Lise","non-dropping-particle":"","parse-names":false,"suffix":""},{"dropping-particle":"","family":"Darcha","given":"Claude","non-dropping-particle":"","parse-names":false,"suffix":""},{"dropping-particle":"","family":"Jantscheff","given":"Peter","non-dropping-particle":"","parse-names":false,"suffix":""},{"dropping-particle":"","family":"Allez","given":"Matthieu","non-dropping-particle":"","parse-names":false,"suffix":""},{"dropping-particle":"","family":"Peeters","given":"Harald","non-dropping-particle":"","parse-names":false,"suffix":""},{"dropping-particle":"","family":"Bommelaer","given":"Gilles","non-dropping-particle":"","parse-names":false,"suffix":""},{"dropping-particle":"","family":"Desreumaux","given":"Pierre","non-dropping-particle":"","parse-names":false,"suffix":""},{"dropping-particle":"","family":"Colombel","given":"Jean-Frédéric","non-dropping-particle":"","parse-names":false,"suffix":""},{"dropping-particle":"","family":"Darfeuille-Michaud","given":"Arlette","non-dropping-particle":"","parse-names":false,"suffix":""},{"dropping-particle":"","family":"Loftus","given":"E.V.","non-dropping-particle":"","parse-names":false,"suffix":""},{"dropping-particle":"","family":"Elson","given":"C.O.","non-dropping-particle":"","parse-names":false,"suffix":""},{"dropping-particle":"","family":"Podolsky","given":"D.K.","non-dropping-particle":"","parse-names":false,"suffix":""},{"dropping-particle":"","family":"Shanahan","given":"F.","non-dropping-particle":"","parse-names":false,"suffix":""},{"dropping-particle":"","family":"Hugot","given":"J.P.","non-dropping-particle":"","parse-names":false,"suffix":""},{"dropping-particle":"","family":"Ogura","given":"Y.","non-dropping-particle":"","parse-names":false,"suffix":""},{"dropping-particle":"","family":"Lederman","given":"E.","non-dropping-particle":"","parse-names":false,"suffix":""},{"dropping-particle":"","family":"Neut","given":"C.","non-dropping-particle":"","parse-names":false,"suffix":""},{"dropping-particle":"","family":"Darfeuille-Michaud","given":"A.","non-dropping-particle":"","parse-names":false,"suffix":""},{"dropping-particle":"","family":"Swidsinski","given":"A.","non-dropping-particle":"","parse-names":false,"suffix":""},{"dropping-particle":"","family":"Masseret","given":"E.","non-dropping-particle":"","parse-names":false,"suffix":""},{"dropping-particle":"","family":"Boudeau","given":"J.","non-dropping-particle":"","parse-names":false,"suffix":""},{"dropping-particle":"","family":"Glasser","given":"A.L.","non-dropping-particle":"","parse-names":false,"suffix":""},{"dropping-particle":"","family":"Masseret","given":"E.","non-dropping-particle":"","parse-names":false,"suffix":""},{"dropping-particle":"","family":"Joly","given":"B.","non-dropping-particle":"","parse-names":false,"suffix":""},{"dropping-particle":"","family":"Darfeuille-Michaud","given":"A.","non-dropping-particle":"","parse-names":false,"suffix":""},{"dropping-particle":"","family":"Glasser","given":"A.L.","non-dropping-particle":"","parse-names":false,"suffix":""},{"dropping-particle":"","family":"Boudeau","given":"J.","non-dropping-particle":"","parse-names":false,"suffix":""},{"dropping-particle":"","family":"Barnich","given":"N.","non-dropping-particle":"","parse-names":false,"suffix":""},{"dropping-particle":"","family":"Darfeuille-Michaud","given":"A.","non-dropping-particle":"","parse-names":false,"suffix":""},{"dropping-particle":"","family":"Darfeuille-Michaud","given":"A.","non-dropping-particle":"","parse-names":false,"suffix":""},{"dropping-particle":"","family":"Pouttu","given":"R.","non-dropping-particle":"","parse-names":false,"suffix":""},{"dropping-particle":"","family":"Kukkonen","given":"M.","non-dropping-particle":"","parse-names":false,"suffix":""},{"dropping-particle":"","family":"Pak","given":"J.","non-dropping-particle":"","parse-names":false,"suffix":""},{"dropping-particle":"","family":"Pu","given":"Y.","non-dropping-particle":"","parse-names":false,"suffix":""},{"dropping-particle":"","family":"Zhang","given":"Z.T.","non-dropping-particle":"","parse-names":false,"suffix":""},{"dropping-particle":"","family":"Hasty","given":"D.L.","non-dropping-particle":"","parse-names":false,"suffix":""},{"dropping-particle":"","family":"Wu","given":"X.R.","non-dropping-particle":"","parse-names":false,"suffix":""},{"dropping-particle":"","family":"Sauter","given":"S.L.","non-dropping-particle":"","parse-names":false,"suffix":""},{"dropping-particle":"","family":"Rutherfurd","given":"S.M.","non-dropping-particle":"","parse-names":false,"suffix":""},{"dropping-particle":"","family":"Wagener","given":"C.","non-dropping-particle":"","parse-names":false,"suffix":""},{"dropping-particle":"","family":"Shively","given":"J.E.","non-dropping-particle":"","parse-names":false,"suffix":""},{"dropping-particle":"","family":"Hefta","given":"S.A.","non-dropping-particle":"","parse-names":false,"suffix":""},{"dropping-particle":"","family":"Leusch","given":"H.G.","non-dropping-particle":"","parse-names":false,"suffix":""},{"dropping-particle":"","family":"Burtin","given":"P.","non-dropping-particle":"","parse-names":false,"suffix":""},{"dropping-particle":"","family":"Quan","given":"P.C.","non-dropping-particle":"","parse-names":false,"suffix":""},{"dropping-particle":"","family":"Sabine","given":"M.C.","non-dropping-particle":"","parse-names":false,"suffix":""},{"dropping-particle":"","family":"Darfeuille-Michaud","given":"A.","non-dropping-particle":"","parse-names":false,"suffix":""},{"dropping-particle":"","family":"Oro","given":"H.S.","non-dropping-particle":"","parse-names":false,"suffix":""},{"dropping-particle":"","family":"Kolsto","given":"A.B.","non-dropping-particle":"","parse-names":false,"suffix":""},{"dropping-particle":"","family":"Wenneras","given":"C.","non-dropping-particle":"","parse-names":false,"suffix":""},{"dropping-particle":"","family":"Svennerholm","given":"A.M.","non-dropping-particle":"","parse-names":false,"suffix":""},{"dropping-particle":"","family":"Knutton","given":"S.","non-dropping-particle":"","parse-names":false,"suffix":""},{"dropping-particle":"","family":"Lloyd","given":"D.R.","non-dropping-particle":"","parse-names":false,"suffix":""},{"dropping-particle":"","family":"Candy","given":"D.C.","non-dropping-particle":"","parse-names":false,"suffix":""},{"dropping-particle":"","family":"McNeish","given":"A.S.","non-dropping-particle":"","parse-names":false,"suffix":""},{"dropping-particle":"","family":"Kenny","given":"B.","non-dropping-particle":"","parse-names":false,"suffix":""},{"dropping-particle":"","family":"DeVinney","given":"R.","non-dropping-particle":"","parse-names":false,"suffix":""},{"dropping-particle":"","family":"Servin","given":"A.L.","non-dropping-particle":"","parse-names":false,"suffix":""},{"dropping-particle":"","family":"Sokurenko","given":"E.V.","non-dropping-particle":"","parse-names":false,"suffix":""},{"dropping-particle":"","family":"Courtney","given":"H.S.","non-dropping-particle":"","parse-names":false,"suffix":""},{"dropping-particle":"","family":"Maslow","given":"J.","non-dropping-particle":"","parse-names":false,"suffix":""},{"dropping-particle":"","family":"Siitonen","given":"A.","non-dropping-particle":"","parse-names":false,"suffix":""},{"dropping-particle":"","family":"Hasty","given":"D.L.","non-dropping-particle":"","parse-names":false,"suffix":""},{"dropping-particle":"","family":"Rhodes","given":"J.M.","non-dropping-particle":"","parse-names":false,"suffix":""},{"dropping-particle":"","family":"Campbell","given":"B.J.","non-dropping-particle":"","parse-names":false,"suffix":""},{"dropping-particle":"","family":"Rhodes","given":"J.M.","non-dropping-particle":"","parse-names":false,"suffix":""},{"dropping-particle":"","family":"Tysk","given":"C.","non-dropping-particle":"","parse-names":false,"suffix":""},{"dropping-particle":"","family":"Grunert","given":"F.","non-dropping-particle":"","parse-names":false,"suffix":""},{"dropping-particle":"","family":"Daniel","given":"S.","non-dropping-particle":"","parse-names":false,"suffix":""},{"dropping-particle":"","family":"Nagel","given":"G.","non-dropping-particle":"","parse-names":false,"suffix":""},{"dropping-particle":"von","family":"Kleist","given":"S.","non-dropping-particle":"","parse-names":false,"suffix":""},{"dropping-particle":"","family":"Jantscheff","given":"P.","non-dropping-particle":"","parse-names":false,"suffix":""},{"dropping-particle":"","family":"Neumaier","given":"M.","non-dropping-particle":"","parse-names":false,"suffix":""},{"dropping-particle":"","family":"Paululat","given":"S.","non-dropping-particle":"","parse-names":false,"suffix":""},{"dropping-particle":"","family":"Chan","given":"A.","non-dropping-particle":"","parse-names":false,"suffix":""},{"dropping-particle":"","family":"Matthaes","given":"P.","non-dropping-particle":"","parse-names":false,"suffix":""},{"dropping-particle":"","family":"Wagener","given":"C.","non-dropping-particle":"","parse-names":false,"suffix":""},{"dropping-particle":"","family":"Jantscheff","given":"P.","non-dropping-particle":"","parse-names":false,"suffix":""},{"dropping-particle":"","family":"Scholzel","given":"S.","non-dropping-particle":"","parse-names":false,"suffix":""},{"dropping-particle":"","family":"Caccamo","given":"D.","non-dropping-particle":"","parse-names":false,"suffix":""},{"dropping-particle":"","family":"Telenta","given":"M.","non-dropping-particle":"","parse-names":false,"suffix":""},{"dropping-particle":"","family":"Celener","given":"D.","non-dropping-particle":"","parse-names":false,"suffix":""},{"dropping-particle":"","family":"Fahlgren","given":"A.","non-dropping-particle":"","parse-names":false,"suffix":""},{"dropping-particle":"","family":"Muenzner","given":"P.","non-dropping-particle":"","parse-names":false,"suffix":""},{"dropping-particle":"","family":"Naumann","given":"M.","non-dropping-particle":"","parse-names":false,"suffix":""},{"dropping-particle":"","family":"Meyer","given":"T.F.","non-dropping-particle":"","parse-names":false,"suffix":""},{"dropping-particle":"","family":"Gray-Owen","given":"S.D.","non-dropping-particle":"","parse-names":false,"suffix":""},{"dropping-particle":"","family":"Betis","given":"F.","non-dropping-particle":"","parse-names":false,"suffix":""},{"dropping-particle":"","family":"Avadhanula","given":"V.","non-dropping-particle":"","parse-names":false,"suffix":""},{"dropping-particle":"","family":"Rodriguez","given":"C.A.","non-dropping-particle":"","parse-names":false,"suffix":""},{"dropping-particle":"","family":"Ulett","given":"G.C.","non-dropping-particle":"","parse-names":false,"suffix":""},{"dropping-particle":"","family":"Bakaletz","given":"L.O.","non-dropping-particle":"","parse-names":false,"suffix":""},{"dropping-particle":"","family":"Adderson","given":"E.E.","non-dropping-particle":"","parse-names":false,"suffix":""},{"dropping-particle":"","family":"Reimund","given":"J.M.","non-dropping-particle":"","parse-names":false,"suffix":""},{"dropping-particle":"","family":"Chamaillard","given":"M.","non-dropping-particle":"","parse-names":false,"suffix":""},{"dropping-particle":"","family":"Iacob","given":"R.","non-dropping-particle":"","parse-names":false,"suffix":""},{"dropping-particle":"","family":"Desreumaux","given":"P.","non-dropping-particle":"","parse-names":false,"suffix":""},{"dropping-particle":"","family":"Colombel","given":"J.F.","non-dropping-particle":"","parse-names":false,"suffix":""},{"dropping-particle":"","family":"Gower-Rousseau","given":"C.","non-dropping-particle":"","parse-names":false,"suffix":""},{"dropping-particle":"","family":"Datsenko","given":"K.A.","non-dropping-particle":"","parse-names":false,"suffix":""},{"dropping-particle":"","family":"Wanner","given":"B.L.","non-dropping-particle":"","parse-names":false,"suffix":""},{"dropping-particle":"","family":"Chaveroche","given":"M.K.","non-dropping-particle":"","parse-names":false,"suffix":""},{"dropping-particle":"","family":"Ghigo","given":"J.M.","non-dropping-particle":"","parse-names":false,"suffix":""},{"dropping-particle":"","family":"d’Enfert","given":"C.","non-dropping-particle":"","parse-names":false,"suffix":""},{"dropping-particle":"","family":"Klemm","given":"P.","non-dropping-particle":"","parse-names":false,"suffix":""},{"dropping-particle":"","family":"Jorgensen","given":"B.J.","non-dropping-particle":"","parse-names":false,"suffix":""},{"dropping-particle":"van","family":"Die","given":"I.","non-dropping-particle":"","parse-names":false,"suffix":""},{"dropping-particle":"de","family":"Ree","given":"H.","non-dropping-particle":"","parse-names":false,"suffix":""},{"dropping-particle":"","family":"Bergmans","given":"H.","non-dropping-particle":"","parse-names":false,"suffix":""},{"dropping-particle":"","family":"Hisamatsu","given":"T.","non-dropping-particle":"","parse-names":false,"suffix":""},{"dropping-particle":"","family":"Bringer","given":"M.A.","non-dropping-particle":"","parse-names":false,"suffix":""},{"dropping-particle":"","family":"Glasser","given":"A.L.","non-dropping-particle":"","parse-names":false,"suffix":""},{"dropping-particle":"","family":"Tung","given":"C.H.","non-dropping-particle":"","parse-names":false,"suffix":""},{"dropping-particle":"","family":"Meresse","given":"S.","non-dropping-particle":"","parse-names":false,"suffix":""},{"dropping-particle":"","family":"Darfeuille-Michaud","given":"A.","non-dropping-particle":"","parse-names":false,"suffix":""}],"container-title":"The Journal of clinical investigation","id":"ITEM-1","issue":"6","issued":{"date-parts":[["2007","6"]]},"page":"1566-74","publisher":"American Society for Clinical Investigation","title":"CEACAM6 acts as a receptor for adherent-invasive E. coli, supporting ileal mucosa colonization in Crohn disease.","type":"article-journal","volume":"117"},"uris":["http://www.mendeley.com/documents/?uuid=9b1a2d50-5479-3ee9-ac44-9363ef2e3ffc"]},{"id":"ITEM-2","itemData":{"DOI":"10.1053/j.gastro.2013.05.017","ISSN":"1528-0012","PMID":"23684751","abstract":"BACKGROUND &amp; AIMS: Inducible chitinase 3-like-1 is expressed by intestinal epithelial cells (IECs) and adheres to bacteria under conditions of inflammation. We performed a structure-function analysis of the chitin-binding domains encoded by the chiA gene, which mediates the pathogenic effects of adherent invasive Escherichia coli (AIEC).\n\nMETHODS: We created AIEC (strain LF82) with deletion of chiA (LF82-ΔchiA) or that expressed chiA with specific mutations. We investigated the effects of infecting different IEC lines with these bacteria compared with nonpathogenic E coli; chitinase activities were measured using the colloidal chitin-azure method. Colitis was induced in C57/Bl6 mice by administration of dextran sodium sulfate, and mice were given 10(8) bacteria for 15 consecutive days by gavage. Stool/tissue samples were collected and analyzed.\n\nRESULTS: LF82-ΔchiA had significantly less adhesion to IEC lines than LF82. Complementation of LF82-ΔchiA with the LF82 chiA gene, but not chiA from nonpathogenic (K12) E coli, increased adhesion. We identified 5 specific polymorphisms in the chitin-binding domain of LF82 chiA (at amino acids 362, 370, 378, 388, and 548) that differ from chiA of K12 and were required for LF82 to interact directly with IECs. This interaction was mediated by an N-glycosylated asparagine in chitinase 3-like-1 (amino acid 68) on IECs. Mice infected with LF82, or LF82-ΔchiA complemented with LF82 chiA, developed more severe colitis after administration of dextran sodium sulfate than mice infected with LF82-ΔchiA or LF82 that expressed mutant forms of chiA.\n\nCONCLUSIONS: AIEC adheres to an N-glycosylated chitinase 3-like-1 on IECs via the chitin-binding domain of chiA. This mechanism promotes the pathogenic effects of AIEC in mice with colitis.","author":[{"dropping-particle":"","family":"Low","given":"Daren","non-dropping-particle":"","parse-names":false,"suffix":""},{"dropping-particle":"","family":"Tran","given":"Hoa T","non-dropping-particle":"","parse-names":false,"suffix":""},{"dropping-particle":"","family":"Lee","given":"In-Ah","non-dropping-particle":"","parse-names":false,"suffix":""},{"dropping-particle":"","family":"Dreux","given":"Nicolas","non-dropping-particle":"","parse-names":false,"suffix":""},{"dropping-particle":"","family":"Kamba","given":"Alan","non-dropping-particle":"","parse-names":false,"suffix":""},{"dropping-particle":"","family":"Reinecker","given":"Hans-Christian","non-dropping-particle":"","parse-names":false,"suffix":""},{"dropping-particle":"","family":"Darfeuille-Michaud","given":"Arlette","non-dropping-particle":"","parse-names":false,"suffix":""},{"dropping-particle":"","family":"Barnich","given":"Nicolas","non-dropping-particle":"","parse-names":false,"suffix":""},{"dropping-particle":"","family":"Mizoguchi","given":"Emiko","non-dropping-particle":"","parse-names":false,"suffix":""}],"container-title":"Gastroenterology","id":"ITEM-2","issue":"3","issued":{"date-parts":[["2013","9"]]},"page":"602-12.e9","title":"Chitin-binding domains of Escherichia coli ChiA mediate interactions with intestinal epithelial cells in mice with colitis.","type":"article-journal","volume":"145"},"uris":["http://www.mendeley.com/documents/?uuid=485e80a9-7d98-46c1-a31a-a6dac6c43ecf"]},{"id":"ITEM-3","itemData":{"DOI":"10.1136/gut.2010.207456","ISSN":"1468-3288","PMID":"20587550","abstract":"BACKGROUND AND AIMS: Crohn's disease (CD) ileal lesions are colonised by pathogenic adherent-invasive Escherichia coli (AIEC) producing outer membrane vesicles (OMVs) that contribute to the bacterial invasion process. In addition, increased expression of endoplasmic reticulum (ER)-localised stress response proteins, due to ER stress, is observed in patients with CD. The expression of the ER-localised stress response protein Gp96 in patients with CD and its biological role with regards to the ability of AIEC to invade intestinal epithelial cells were analysed.\n\nMETHODS AND RESULTS: Immunohistochemistry on tissue arrays showed that, together with CEACAM6 (carcinoembryonic antigen-related cell adhesion molecule 6) or the ER stress protein Grp78, Gp96 is also strongly expressed at the apical plasma membrane of the ileal epithelial cells of 50% of patients with CD. Invasion experiments in the presence of antibodies raised against Gp96, or after transfection of Intestine-407 cells with gp96 small interfering RNA (siRNA), indicated that Gp96 is essential to promote AIEC LF82 invasion, allowing, via the recognition of the outer membrane protein OmpA, OMVs to fuse with intestinal epithelial cells.\n\nCONCLUSIONS: Gp96 is overexpressed on the apical surface of ileal epithelial cells in patients with CD and acts as a host cell receptor for OMVs, promoting AIEC invasion. From the results shown here, it is speculated that AIEC could take advantage of the abnormal expression of Gp96 in patients with CD to invade the ileal mucosa.","author":[{"dropping-particle":"","family":"Rolhion","given":"Nathalie","non-dropping-particle":"","parse-names":false,"suffix":""},{"dropping-particle":"","family":"Barnich","given":"Nicolas","non-dropping-particle":"","parse-names":false,"suffix":""},{"dropping-particle":"","family":"Bringer","given":"Marie-Agnès","non-dropping-particle":"","parse-names":false,"suffix":""},{"dropping-particle":"","family":"Glasser","given":"Anne-Lise","non-dropping-particle":"","parse-names":false,"suffix":""},{"dropping-particle":"","family":"Ranc","given":"Julien","non-dropping-particle":"","parse-names":false,"suffix":""},{"dropping-particle":"","family":"Hébuterne","given":"Xavier","non-dropping-particle":"","parse-names":false,"suffix":""},{"dropping-particle":"","family":"Hofman","given":"Paul","non-dropping-particle":"","parse-names":false,"suffix":""},{"dropping-particle":"","family":"Darfeuille-Michaud","given":"Arlette","non-dropping-particle":"","parse-names":false,"suffix":""}],"container-title":"Gut","id":"ITEM-3","issue":"10","issued":{"date-parts":[["2010","10"]]},"page":"1355-62","title":"Abnormally expressed ER stress response chaperone Gp96 in CD favours adherent-invasive Escherichia coli invasion.","type":"article-journal","volume":"59"},"uris":["http://www.mendeley.com/documents/?uuid=6d41aaf5-98da-43b5-8b4b-64f62f98bb65"]}],"mendeley":{"formattedCitation":"&lt;sup&gt;[2,3,18]&lt;/sup&gt;","plainTextFormattedCitation":"[2,3,18]","previouslyFormattedCitation":"&lt;sup&gt;[2,3,22]&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4C4A78" w:rsidRPr="000A6219">
        <w:rPr>
          <w:rFonts w:ascii="Book Antiqua" w:eastAsia="Calibri" w:hAnsi="Book Antiqua" w:cs="Times New Roman"/>
          <w:noProof/>
          <w:sz w:val="24"/>
          <w:szCs w:val="24"/>
          <w:vertAlign w:val="superscript"/>
          <w:lang w:val="en-US"/>
        </w:rPr>
        <w:t>[2,3,18]</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w:t>
      </w:r>
      <w:r w:rsidR="009A32D9" w:rsidRPr="000A6219">
        <w:rPr>
          <w:rFonts w:ascii="Book Antiqua" w:hAnsi="Book Antiqua"/>
          <w:sz w:val="24"/>
          <w:szCs w:val="24"/>
          <w:lang w:val="en-US"/>
        </w:rPr>
        <w:t xml:space="preserve">For </w:t>
      </w:r>
      <w:proofErr w:type="spellStart"/>
      <w:r w:rsidR="009A32D9" w:rsidRPr="000A6219">
        <w:rPr>
          <w:rFonts w:ascii="Book Antiqua" w:hAnsi="Book Antiqua"/>
          <w:sz w:val="24"/>
          <w:szCs w:val="24"/>
          <w:lang w:val="en-US"/>
        </w:rPr>
        <w:t>FimH</w:t>
      </w:r>
      <w:proofErr w:type="spellEnd"/>
      <w:r w:rsidR="009A32D9" w:rsidRPr="000A6219">
        <w:rPr>
          <w:rFonts w:ascii="Book Antiqua" w:hAnsi="Book Antiqua"/>
          <w:sz w:val="24"/>
          <w:szCs w:val="24"/>
          <w:lang w:val="en-US"/>
        </w:rPr>
        <w:t>, previous studies have found some polymorphisms conferring higher adhesion ability but they have not detected a variant more prevalent in AIEC than in non-AIEC isolates</w:t>
      </w:r>
      <w:r w:rsidR="009A32D9" w:rsidRPr="000A6219">
        <w:rPr>
          <w:rFonts w:ascii="Book Antiqua" w:hAnsi="Book Antiqua"/>
          <w:sz w:val="24"/>
          <w:szCs w:val="24"/>
          <w:lang w:val="en-US"/>
        </w:rPr>
        <w:fldChar w:fldCharType="begin" w:fldLock="1"/>
      </w:r>
      <w:r w:rsidR="00E04FBE" w:rsidRPr="000A6219">
        <w:rPr>
          <w:rFonts w:ascii="Book Antiqua" w:hAnsi="Book Antiqua"/>
          <w:sz w:val="24"/>
          <w:szCs w:val="24"/>
          <w:lang w:val="en-US"/>
        </w:rPr>
        <w:instrText>ADDIN CSL_CITATION {"citationItems":[{"id":"ITEM-1","itemData":{"DOI":"10.1128/IAI.06181-11","ISSN":"1098-5522","PMID":"22290143","abstract":"Several studies reported increased numbers of mucosa-associated Escherichia coli strains in patients with inflammatory bowel disease (IBD), encompassing Crohn's disease (CD) and ulcerative colitis (UC). The majority of E. coli strains possess type 1 fimbriae, whose tip fibrillum protein, FimH, naturally undergoes amino acid replacements, an important process in the adaptation of commensal E. coli strains to environmental changes, like those observed in IBD and urinary tract infections. In this study, we analyzed mutational patterns in the fimH gene of 52 mucosa-associated E. coli strains isolated from IBD and non-IBD pediatric patients, in order to investigate microevolution of this genetic trait. FimH-positive strains were also phylogenetically typed and tested for their adhesive ability on Caco-2 cells. Specific FimH alleles for each grouping feature were found. Mutations G66S and V27A were related to CD, while mutations A242V, V163A, and T74I were attributed to UC. Otherwise, the G66S, N70S, and S78N mutations were specifically attributed to B2/D phylogroups. The N70S and A119V mutations were related to adhesive E. coli strains. Phylogroup B2, adhesive, and IBD E. coli strains showed a higher site substitution rate (SSR) in the fimH gene, together with a higher number of mutations. The degree of naïve mucosal inflammation was related to specific FimH alleles. Moreover, we could suggest that the V27A mutation is pathoadaptive for the CD intestinal habitat, while we could also suggest that both the N70S and S78N mutations are related to the more virulent E. coli B2 phylogroup. In conclusion, we found some FimH variants that seem to be more involved than others in the evolution of IBD pathogenesis.","author":[{"dropping-particle":"","family":"Iebba","given":"Valerio","non-dropping-particle":"","parse-names":false,"suffix":""},{"dropping-particle":"","family":"Conte","given":"Maria Pia","non-dropping-particle":"","parse-names":false,"suffix":""},{"dropping-particle":"","family":"Lepanto","given":"Maria Stefania","non-dropping-particle":"","parse-names":false,"suffix":""},{"dropping-particle":"","family":"Nardo","given":"Giovanni","non-dropping-particle":"Di","parse-names":false,"suffix":""},{"dropping-particle":"","family":"Santangelo","given":"Floriana","non-dropping-particle":"","parse-names":false,"suffix":""},{"dropping-particle":"","family":"Aloi","given":"Marina","non-dropping-particle":"","parse-names":false,"suffix":""},{"dropping-particle":"","family":"Totino","given":"Valentina","non-dropping-particle":"","parse-names":false,"suffix":""},{"dropping-particle":"","family":"Checchi","given":"Monica Proietti","non-dropping-particle":"","parse-names":false,"suffix":""},{"dropping-particle":"","family":"Longhi","given":"Catia","non-dropping-particle":"","parse-names":false,"suffix":""},{"dropping-particle":"","family":"Cucchiara","given":"Salvatore","non-dropping-particle":"","parse-names":false,"suffix":""},{"dropping-particle":"","family":"Schippa","given":"Serena","non-dropping-particle":"","parse-names":false,"suffix":""}],"container-title":"Infection and immunity","id":"ITEM-1","issue":"4","issued":{"date-parts":[["2012","4"]]},"page":"1408-17","publisher":"American Society for Microbiology (ASM)","title":"Microevolution in fimH gene of mucosa-associated Escherichia coli strains isolated from pediatric patients with inflammatory bowel disease.","type":"article-journal","volume":"80"},"uris":["http://www.mendeley.com/documents/?uuid=29ce98d6-715c-38ec-beb7-c1ae2eb5c317"]},{"id":"ITEM-2","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-2","issue":"8","issued":{"date-parts":[["2016"]]},"page":"1382-1389","title":"Comparative genomics of Crohn's disease-associated adherent-invasive Escherichia coli","type":"article-journal","volume":"66"},"uris":["http://www.mendeley.com/documents/?uuid=5433c40e-8818-41e5-9f75-43963d20c944"]},{"id":"ITEM-3","itemData":{"DOI":"10.1097/MIB.0000000000000574","ISBN":"0000000000000","ISSN":"15364844","PMID":"26444104","abstract":"BACKGROUND Mucosal-associated Escherichia coli are commonly found in inflamed tissues during inflammatory bowel disease (IBD). These bacteria often possess an adherent and invasive phenotype but lack virulence-associated features of well-described intestinal E. coli pathogens, and are of diverse serology and phylotypes, making it difficult to correlate strain characteristics with exacerbations of disease. METHODS The genome sequences of 14 phenotypically assigned adherent-invasive Escherichia coli (AIEC) isolates obtained from intestinal biopsies of patients with IBD were compared with the genome sequences of 37 other pathogenic and commensal E. coli available from public databases. RESULTS Core genome-based phylogenetic analyses and genome-wide comparison of genetic content established the existence of a closely related cluster of AIEC strains with 3 distinct genetic insertions differentiating them from commensal E. coli. These strains are of the B2 phylotype have a variant type VI secretion system (T6SS-1), and are highly related to extraintestinal pathogenic E. coli, suggesting that these 2 clinically distinct pathovars have common virulence strategies. Four other mucosally adherent E. coli strains from patients with IBD were of diverse phylogenetic origins and lacked the 3 genetic features, suggesting that they are not related to the B2 AIEC cluster. Although AIEC are often considered as having a unique association with Crohn's disease, isolates from Crohn's disease and ulcerative colitis were genetically indistinguishable. CONCLUSIONS B2 AIEC thus represent a closely related cluster of IBD-associated E. coli strains that are distinct from normal commensal isolates, and which should be considered separately from the phenotypically similar but genetically distinct non-B2 AIEC strains when considering their association with intestinal pathogenesis.","author":[{"dropping-particle":"","family":"Desilets","given":"Michael","non-dropping-particle":"","parse-names":false,"suffix":""},{"dropping-particle":"","family":"Deng","given":"Xiangding","non-dropping-particle":"","parse-names":false,"suffix":""},{"dropping-particle":"","family":"Rao","given":"Chitong","non-dropping-particle":"","parse-names":false,"suffix":""},{"dropping-particle":"","family":"Ensminger","given":"Alexander W.","non-dropping-particle":"","parse-names":false,"suffix":""},{"dropping-particle":"","family":"Krause","given":"Denis O.","non-dropping-particle":"","parse-names":false,"suffix":""},{"dropping-particle":"","family":"Sherman","given":"Philip M.","non-dropping-particle":"","parse-names":false,"suffix":""},{"dropping-particle":"","family":"Gray-Owen","given":"Scott D.","non-dropping-particle":"","parse-names":false,"suffix":""}],"container-title":"Inflammatory Bowel Diseases","id":"ITEM-3","issue":"1","issued":{"date-parts":[["2016"]]},"page":"1-12","title":"Genome-based definition of an inflammatory bowel disease-associated adherent-invasive Escherichia coli pathovar","type":"article-journal","volume":"22"},"uris":["http://www.mendeley.com/documents/?uuid=b415452d-a7f0-42e4-a968-ab2a8693e4d3"]},{"id":"ITEM-4","itemData":{"DOI":"10.1371/journal.ppat.1003141","ISBN":"1553-7374 (Electronic)\\n1553-7366 (Linking)","ISSN":"15537366","PMID":"23358328","abstract":"Adherent-invasive Escherichia coli (AIEC) are abnormally predominant on Crohn's disease (CD) ileal mucosa. AIEC reference strain LF82 adheres to ileal enterocytes via the common type 1 pili adhesin FimH and recognizes CEACAM6 receptors abnormally expressed on CD ileal epithelial cells. The fimH genes of 45 AIEC and 47 non-AIEC strains were sequenced. The phylogenetic tree based on fimH DNA sequences indicated that AIEC strains predominantly express FimH with amino acid mutations of a recent evolutionary origin - a typical signature of pathoadaptive changes of bacterial pathogens. Point mutations in FimH, some of a unique AIEC-associated nature, confer AIEC bacteria a significantly higher ability to adhere to CEACAM-expressing T84 intestinal epithelial cells. Moreover, in the LF82 strain, the replacement of fimH(LF82) (expressing FimH with an AIEC-associated mutation) with fimH(K12) (expressing FimH of commensal E. coli K12) decreased the ability of bacteria to persist and to induce severe colitis and gut inflammation in infected CEABAC10 transgenic mice expressing human CEACAM receptors. Our results highlight a mechanism of AIEC virulence evolution that involves selection of amino acid mutations in the common bacterial traits, such as FimH protein, and leads to the development of chronic inflammatory bowel disease (IBD) in a genetically susceptible host. The analysis of fimH SNPs may be a useful method to predict the potential virulence of E. coli isolated from IBD patients for diagnostic or epidemiological studies and to identify new strategies for therapeutic intervention to block the interaction between AIEC and gut mucosa in the early stages of IBD.","author":[{"dropping-particle":"","family":"Dreux","given":"Nicolas","non-dropping-particle":"","parse-names":false,"suffix":""},{"dropping-particle":"","family":"Denizot","given":"Jérémy","non-dropping-particle":"","parse-names":false,"suffix":""},{"dropping-particle":"","family":"Martinez-Medina","given":"Margarita","non-dropping-particle":"","parse-names":false,"suffix":""},{"dropping-particle":"","family":"Mellmann","given":"Alexander","non-dropping-particle":"","parse-names":false,"suffix":""},{"dropping-particle":"","family":"Billig","given":"Maria","non-dropping-particle":"","parse-names":false,"suffix":""},{"dropping-particle":"","family":"Kisiela","given":"Dagmara","non-dropping-particle":"","parse-names":false,"suffix":""},{"dropping-particle":"","family":"Chattopadhyay","given":"Sujay","non-dropping-particle":"","parse-names":false,"suffix":""},{"dropping-particle":"","family":"Sokurenko","given":"Evgeni","non-dropping-particle":"","parse-names":false,"suffix":""},{"dropping-particle":"","family":"Neut","given":"Christel","non-dropping-particle":"","parse-names":false,"suffix":""},{"dropping-particle":"","family":"Gower-Rousseau","given":"Corinne","non-dropping-particle":"","parse-names":false,"suffix":""},{"dropping-particle":"","family":"Colombel","given":"Jean Frédéric","non-dropping-particle":"","parse-names":false,"suffix":""},{"dropping-particle":"","family":"Bonnet","given":"Richard","non-dropping-particle":"","parse-names":false,"suffix":""},{"dropping-particle":"","family":"Darfeuille-Michaud","given":"Arlette","non-dropping-particle":"","parse-names":false,"suffix":""},{"dropping-particle":"","family":"Barnich","given":"Nicolas","non-dropping-particle":"","parse-names":false,"suffix":""}],"container-title":"PLoS Pathogens","id":"ITEM-4","issue":"1","issued":{"date-parts":[["2013"]]},"page":"1-17","title":"Point mutations in FimH adhesin of Crohn's disease-associated adherent-invasive Escherichia coli enhance intestinal inflammatory response","type":"article-journal","volume":"9"},"uris":["http://www.mendeley.com/documents/?uuid=6d0e5098-37e3-4812-ad76-0a47a20bd8c1"]},{"id":"ITEM-5","itemData":{"DOI":"10.3389/fmicb.2017.00639","PMID":"28596755","abstract":"Adherent-invasive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microbiology","id":"ITEM-5","issued":{"date-parts":[["2017"]]},"page":"639","publisher":"Frontiers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Chile.","type":"article-journal","volume":"8"},"uris":["http://www.mendeley.com/documents/?uuid=a7eef5a5-adc5-3ec2-b2e2-774a85d27667"]},{"id":"ITEM-6","itemData":{"DOI":"10.3389/fmicb.2019.00108","ISSN":"1664302X","abstract":"To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Microbiology","id":"ITEM-6","issued":{"date-parts":[["2019"]]},"publisher":"Frontiers Media S.A.","title":"Genetic and phenotypic features to screen for putative adherent-invasive Escherichia coli","type":"article-journal","volume":"10"},"uris":["http://www.mendeley.com/documents/?uuid=18bd902d-1a2d-3796-8f37-a3160ada2580"]}],"mendeley":{"formattedCitation":"&lt;sup&gt;[13,32,34,38,43,44]&lt;/sup&gt;","plainTextFormattedCitation":"[13,32,34,38,43,44]","previouslyFormattedCitation":"&lt;sup&gt;[13,32,34,38,43,44]&lt;/sup&gt;"},"properties":{"noteIndex":0},"schema":"https://github.com/citation-style-language/schema/raw/master/csl-citation.json"}</w:instrText>
      </w:r>
      <w:r w:rsidR="009A32D9" w:rsidRPr="000A6219">
        <w:rPr>
          <w:rFonts w:ascii="Book Antiqua" w:hAnsi="Book Antiqua"/>
          <w:sz w:val="24"/>
          <w:szCs w:val="24"/>
          <w:lang w:val="en-US"/>
        </w:rPr>
        <w:fldChar w:fldCharType="separate"/>
      </w:r>
      <w:r w:rsidR="00E04FBE" w:rsidRPr="000A6219">
        <w:rPr>
          <w:rFonts w:ascii="Book Antiqua" w:hAnsi="Book Antiqua"/>
          <w:noProof/>
          <w:sz w:val="24"/>
          <w:szCs w:val="24"/>
          <w:vertAlign w:val="superscript"/>
          <w:lang w:val="en-US"/>
        </w:rPr>
        <w:t>[13,32,34,38,4</w:t>
      </w:r>
      <w:r w:rsidR="00554ED9">
        <w:rPr>
          <w:rFonts w:ascii="Book Antiqua" w:hAnsi="Book Antiqua"/>
          <w:noProof/>
          <w:sz w:val="24"/>
          <w:szCs w:val="24"/>
          <w:vertAlign w:val="superscript"/>
          <w:lang w:val="en-US"/>
        </w:rPr>
        <w:t>4</w:t>
      </w:r>
      <w:r w:rsidR="00E04FBE" w:rsidRPr="000A6219">
        <w:rPr>
          <w:rFonts w:ascii="Book Antiqua" w:hAnsi="Book Antiqua"/>
          <w:noProof/>
          <w:sz w:val="24"/>
          <w:szCs w:val="24"/>
          <w:vertAlign w:val="superscript"/>
          <w:lang w:val="en-US"/>
        </w:rPr>
        <w:t>,4</w:t>
      </w:r>
      <w:r w:rsidR="00554ED9">
        <w:rPr>
          <w:rFonts w:ascii="Book Antiqua" w:hAnsi="Book Antiqua"/>
          <w:noProof/>
          <w:sz w:val="24"/>
          <w:szCs w:val="24"/>
          <w:vertAlign w:val="superscript"/>
          <w:lang w:val="en-US"/>
        </w:rPr>
        <w:t>5</w:t>
      </w:r>
      <w:r w:rsidR="00E04FBE" w:rsidRPr="000A6219">
        <w:rPr>
          <w:rFonts w:ascii="Book Antiqua" w:hAnsi="Book Antiqua"/>
          <w:noProof/>
          <w:sz w:val="24"/>
          <w:szCs w:val="24"/>
          <w:vertAlign w:val="superscript"/>
          <w:lang w:val="en-US"/>
        </w:rPr>
        <w:t>]</w:t>
      </w:r>
      <w:r w:rsidR="009A32D9" w:rsidRPr="000A6219">
        <w:rPr>
          <w:rFonts w:ascii="Book Antiqua" w:hAnsi="Book Antiqua"/>
          <w:sz w:val="24"/>
          <w:szCs w:val="24"/>
          <w:lang w:val="en-US"/>
        </w:rPr>
        <w:fldChar w:fldCharType="end"/>
      </w:r>
      <w:r w:rsidR="009A32D9" w:rsidRPr="000A6219">
        <w:rPr>
          <w:rFonts w:ascii="Book Antiqua" w:hAnsi="Book Antiqua"/>
          <w:sz w:val="24"/>
          <w:szCs w:val="24"/>
          <w:lang w:val="en-US"/>
        </w:rPr>
        <w:t xml:space="preserve">, yet one has </w:t>
      </w:r>
      <w:proofErr w:type="spellStart"/>
      <w:r w:rsidR="009A32D9" w:rsidRPr="000A6219">
        <w:rPr>
          <w:rFonts w:ascii="Book Antiqua" w:hAnsi="Book Antiqua"/>
          <w:sz w:val="24"/>
          <w:szCs w:val="24"/>
          <w:lang w:val="en-US"/>
        </w:rPr>
        <w:t>hypothesised</w:t>
      </w:r>
      <w:proofErr w:type="spellEnd"/>
      <w:r w:rsidR="009A32D9" w:rsidRPr="000A6219">
        <w:rPr>
          <w:rFonts w:ascii="Book Antiqua" w:hAnsi="Book Antiqua"/>
          <w:sz w:val="24"/>
          <w:szCs w:val="24"/>
          <w:lang w:val="en-US"/>
        </w:rPr>
        <w:t xml:space="preserve"> that gene expression might explain the phenotype</w:t>
      </w:r>
      <w:r w:rsidR="009A32D9" w:rsidRPr="000A6219">
        <w:rPr>
          <w:rFonts w:ascii="Book Antiqua" w:hAnsi="Book Antiqua"/>
          <w:sz w:val="24"/>
          <w:szCs w:val="24"/>
          <w:lang w:val="en-US"/>
        </w:rPr>
        <w:fldChar w:fldCharType="begin" w:fldLock="1"/>
      </w:r>
      <w:r w:rsidR="00E04FBE" w:rsidRPr="000A6219">
        <w:rPr>
          <w:rFonts w:ascii="Book Antiqua" w:hAnsi="Book Antiqua"/>
          <w:sz w:val="24"/>
          <w:szCs w:val="24"/>
          <w:lang w:val="en-US"/>
        </w:rPr>
        <w:instrText>ADDIN CSL_CITATION {"citationItems":[{"id":"ITEM-1","itemData":{"DOI":"10.1371/journal.ppat.1003141","ISBN":"1553-7374 (Electronic)\\n1553-7366 (Linking)","ISSN":"15537366","PMID":"23358328","abstract":"Adherent-invasive Escherichia coli (AIEC) are abnormally predominant on Crohn's disease (CD) ileal mucosa. AIEC reference strain LF82 adheres to ileal enterocytes via the common type 1 pili adhesin FimH and recognizes CEACAM6 receptors abnormally expressed on CD ileal epithelial cells. The fimH genes of 45 AIEC and 47 non-AIEC strains were sequenced. The phylogenetic tree based on fimH DNA sequences indicated that AIEC strains predominantly express FimH with amino acid mutations of a recent evolutionary origin - a typical signature of pathoadaptive changes of bacterial pathogens. Point mutations in FimH, some of a unique AIEC-associated nature, confer AIEC bacteria a significantly higher ability to adhere to CEACAM-expressing T84 intestinal epithelial cells. Moreover, in the LF82 strain, the replacement of fimH(LF82) (expressing FimH with an AIEC-associated mutation) with fimH(K12) (expressing FimH of commensal E. coli K12) decreased the ability of bacteria to persist and to induce severe colitis and gut inflammation in infected CEABAC10 transgenic mice expressing human CEACAM receptors. Our results highlight a mechanism of AIEC virulence evolution that involves selection of amino acid mutations in the common bacterial traits, such as FimH protein, and leads to the development of chronic inflammatory bowel disease (IBD) in a genetically susceptible host. The analysis of fimH SNPs may be a useful method to predict the potential virulence of E. coli isolated from IBD patients for diagnostic or epidemiological studies and to identify new strategies for therapeutic intervention to block the interaction between AIEC and gut mucosa in the early stages of IBD.","author":[{"dropping-particle":"","family":"Dreux","given":"Nicolas","non-dropping-particle":"","parse-names":false,"suffix":""},{"dropping-particle":"","family":"Denizot","given":"Jérémy","non-dropping-particle":"","parse-names":false,"suffix":""},{"dropping-particle":"","family":"Martinez-Medina","given":"Margarita","non-dropping-particle":"","parse-names":false,"suffix":""},{"dropping-particle":"","family":"Mellmann","given":"Alexander","non-dropping-particle":"","parse-names":false,"suffix":""},{"dropping-particle":"","family":"Billig","given":"Maria","non-dropping-particle":"","parse-names":false,"suffix":""},{"dropping-particle":"","family":"Kisiela","given":"Dagmara","non-dropping-particle":"","parse-names":false,"suffix":""},{"dropping-particle":"","family":"Chattopadhyay","given":"Sujay","non-dropping-particle":"","parse-names":false,"suffix":""},{"dropping-particle":"","family":"Sokurenko","given":"Evgeni","non-dropping-particle":"","parse-names":false,"suffix":""},{"dropping-particle":"","family":"Neut","given":"Christel","non-dropping-particle":"","parse-names":false,"suffix":""},{"dropping-particle":"","family":"Gower-Rousseau","given":"Corinne","non-dropping-particle":"","parse-names":false,"suffix":""},{"dropping-particle":"","family":"Colombel","given":"Jean Frédéric","non-dropping-particle":"","parse-names":false,"suffix":""},{"dropping-particle":"","family":"Bonnet","given":"Richard","non-dropping-particle":"","parse-names":false,"suffix":""},{"dropping-particle":"","family":"Darfeuille-Michaud","given":"Arlette","non-dropping-particle":"","parse-names":false,"suffix":""},{"dropping-particle":"","family":"Barnich","given":"Nicolas","non-dropping-particle":"","parse-names":false,"suffix":""}],"container-title":"PLoS Pathogens","id":"ITEM-1","issue":"1","issued":{"date-parts":[["2013"]]},"page":"1-17","title":"Point mutations in FimH adhesin of Crohn's disease-associated adherent-invasive Escherichia coli enhance intestinal inflammatory response","type":"article-journal","volume":"9"},"uris":["http://www.mendeley.com/documents/?uuid=6d0e5098-37e3-4812-ad76-0a47a20bd8c1"]}],"mendeley":{"formattedCitation":"&lt;sup&gt;[44]&lt;/sup&gt;","plainTextFormattedCitation":"[44]","previouslyFormattedCitation":"&lt;sup&gt;[44]&lt;/sup&gt;"},"properties":{"noteIndex":0},"schema":"https://github.com/citation-style-language/schema/raw/master/csl-citation.json"}</w:instrText>
      </w:r>
      <w:r w:rsidR="009A32D9" w:rsidRPr="000A6219">
        <w:rPr>
          <w:rFonts w:ascii="Book Antiqua" w:hAnsi="Book Antiqua"/>
          <w:sz w:val="24"/>
          <w:szCs w:val="24"/>
          <w:lang w:val="en-US"/>
        </w:rPr>
        <w:fldChar w:fldCharType="separate"/>
      </w:r>
      <w:r w:rsidR="00765E1A" w:rsidRPr="000A6219">
        <w:rPr>
          <w:rFonts w:ascii="Book Antiqua" w:hAnsi="Book Antiqua"/>
          <w:noProof/>
          <w:sz w:val="24"/>
          <w:szCs w:val="24"/>
          <w:vertAlign w:val="superscript"/>
          <w:lang w:val="en-US"/>
        </w:rPr>
        <w:t>[4</w:t>
      </w:r>
      <w:r w:rsidR="00554ED9">
        <w:rPr>
          <w:rFonts w:ascii="Book Antiqua" w:hAnsi="Book Antiqua"/>
          <w:noProof/>
          <w:sz w:val="24"/>
          <w:szCs w:val="24"/>
          <w:vertAlign w:val="superscript"/>
          <w:lang w:val="en-US"/>
        </w:rPr>
        <w:t>5</w:t>
      </w:r>
      <w:r w:rsidR="00765E1A" w:rsidRPr="000A6219">
        <w:rPr>
          <w:rFonts w:ascii="Book Antiqua" w:hAnsi="Book Antiqua"/>
          <w:noProof/>
          <w:sz w:val="24"/>
          <w:szCs w:val="24"/>
          <w:vertAlign w:val="superscript"/>
          <w:lang w:val="en-US"/>
        </w:rPr>
        <w:t>]</w:t>
      </w:r>
      <w:r w:rsidR="009A32D9" w:rsidRPr="000A6219">
        <w:rPr>
          <w:rFonts w:ascii="Book Antiqua" w:hAnsi="Book Antiqua"/>
          <w:sz w:val="24"/>
          <w:szCs w:val="24"/>
          <w:lang w:val="en-US"/>
        </w:rPr>
        <w:fldChar w:fldCharType="end"/>
      </w:r>
      <w:r w:rsidR="009A32D9" w:rsidRPr="000A6219">
        <w:rPr>
          <w:rFonts w:ascii="Book Antiqua" w:hAnsi="Book Antiqua"/>
          <w:sz w:val="24"/>
          <w:szCs w:val="24"/>
          <w:lang w:val="en-US"/>
        </w:rPr>
        <w:t>.</w:t>
      </w:r>
      <w:r w:rsidR="00F22911" w:rsidRPr="000A6219">
        <w:rPr>
          <w:rFonts w:ascii="Book Antiqua" w:hAnsi="Book Antiqua"/>
          <w:sz w:val="24"/>
          <w:szCs w:val="24"/>
          <w:lang w:val="en-US"/>
        </w:rPr>
        <w:t xml:space="preserve"> Regarding </w:t>
      </w:r>
      <w:proofErr w:type="spellStart"/>
      <w:r w:rsidR="00F22911" w:rsidRPr="000A6219">
        <w:rPr>
          <w:rFonts w:ascii="Book Antiqua" w:hAnsi="Book Antiqua"/>
          <w:sz w:val="24"/>
          <w:szCs w:val="24"/>
          <w:lang w:val="en-US"/>
        </w:rPr>
        <w:t>OmpA</w:t>
      </w:r>
      <w:proofErr w:type="spellEnd"/>
      <w:r w:rsidR="00F22911" w:rsidRPr="000A6219">
        <w:rPr>
          <w:rFonts w:ascii="Book Antiqua" w:hAnsi="Book Antiqua"/>
          <w:sz w:val="24"/>
          <w:szCs w:val="24"/>
          <w:lang w:val="en-US"/>
        </w:rPr>
        <w:t>, five amino acid variants (V114I, F131V, D132Y, T228N</w:t>
      </w:r>
      <w:r w:rsidR="00163CC1" w:rsidRPr="000A6219">
        <w:rPr>
          <w:rFonts w:ascii="Book Antiqua" w:hAnsi="Book Antiqua"/>
          <w:sz w:val="24"/>
          <w:szCs w:val="24"/>
          <w:lang w:val="en-US"/>
        </w:rPr>
        <w:t>,</w:t>
      </w:r>
      <w:r w:rsidR="00F22911" w:rsidRPr="000A6219">
        <w:rPr>
          <w:rFonts w:ascii="Book Antiqua" w:hAnsi="Book Antiqua"/>
          <w:sz w:val="24"/>
          <w:szCs w:val="24"/>
          <w:lang w:val="en-US"/>
        </w:rPr>
        <w:t xml:space="preserve"> and A276G) were described when AIEC reference strain LF82 and the commensal K-12 protein sequence w</w:t>
      </w:r>
      <w:r w:rsidR="00163CC1" w:rsidRPr="000A6219">
        <w:rPr>
          <w:rFonts w:ascii="Book Antiqua" w:hAnsi="Book Antiqua"/>
          <w:sz w:val="24"/>
          <w:szCs w:val="24"/>
          <w:lang w:val="en-US"/>
        </w:rPr>
        <w:t xml:space="preserve">ere </w:t>
      </w:r>
      <w:r w:rsidR="00F22911" w:rsidRPr="000A6219">
        <w:rPr>
          <w:rFonts w:ascii="Book Antiqua" w:hAnsi="Book Antiqua"/>
          <w:sz w:val="24"/>
          <w:szCs w:val="24"/>
          <w:lang w:val="en-US"/>
        </w:rPr>
        <w:t>compare</w:t>
      </w:r>
      <w:r w:rsidR="00793FA6" w:rsidRPr="000A6219">
        <w:rPr>
          <w:rFonts w:ascii="Book Antiqua" w:hAnsi="Book Antiqua"/>
          <w:sz w:val="24"/>
          <w:szCs w:val="24"/>
          <w:lang w:val="en-US"/>
        </w:rPr>
        <w:t xml:space="preserve">d. In this study, </w:t>
      </w:r>
      <w:proofErr w:type="spellStart"/>
      <w:r w:rsidR="00793FA6" w:rsidRPr="000A6219">
        <w:rPr>
          <w:rFonts w:ascii="Book Antiqua" w:hAnsi="Book Antiqua"/>
          <w:sz w:val="24"/>
          <w:szCs w:val="24"/>
          <w:lang w:val="en-US"/>
        </w:rPr>
        <w:t>Rolhion</w:t>
      </w:r>
      <w:proofErr w:type="spellEnd"/>
      <w:r w:rsidR="00793FA6" w:rsidRPr="000A6219">
        <w:rPr>
          <w:rFonts w:ascii="Book Antiqua" w:hAnsi="Book Antiqua"/>
          <w:sz w:val="24"/>
          <w:szCs w:val="24"/>
          <w:lang w:val="en-US"/>
        </w:rPr>
        <w:t xml:space="preserve"> </w:t>
      </w:r>
      <w:r w:rsidR="00793FA6" w:rsidRPr="000A6219">
        <w:rPr>
          <w:rFonts w:ascii="Book Antiqua" w:hAnsi="Book Antiqua"/>
          <w:i/>
          <w:sz w:val="24"/>
          <w:szCs w:val="24"/>
          <w:lang w:val="en-US"/>
        </w:rPr>
        <w:t>et al</w:t>
      </w:r>
      <w:r w:rsidR="00F22911" w:rsidRPr="000A6219">
        <w:rPr>
          <w:rFonts w:ascii="Book Antiqua" w:hAnsi="Book Antiqua"/>
          <w:sz w:val="24"/>
          <w:szCs w:val="24"/>
          <w:lang w:val="en-US"/>
        </w:rPr>
        <w:fldChar w:fldCharType="begin" w:fldLock="1"/>
      </w:r>
      <w:r w:rsidR="00894FE5" w:rsidRPr="000A6219">
        <w:rPr>
          <w:rFonts w:ascii="Book Antiqua" w:hAnsi="Book Antiqua"/>
          <w:sz w:val="24"/>
          <w:szCs w:val="24"/>
          <w:lang w:val="en-US"/>
        </w:rPr>
        <w:instrText>ADDIN CSL_CITATION {"citationItems":[{"id":"ITEM-1","itemData":{"DOI":"10.1136/gut.2010.207456","ISSN":"1468-3288","PMID":"20587550","abstract":"BACKGROUND AND AIMS: Crohn's disease (CD) ileal lesions are colonised by pathogenic adherent-invasive Escherichia coli (AIEC) producing outer membrane vesicles (OMVs) that contribute to the bacterial invasion process. In addition, increased expression of endoplasmic reticulum (ER)-localised stress response proteins, due to ER stress, is observed in patients with CD. The expression of the ER-localised stress response protein Gp96 in patients with CD and its biological role with regards to the ability of AIEC to invade intestinal epithelial cells were analysed.\n\nMETHODS AND RESULTS: Immunohistochemistry on tissue arrays showed that, together with CEACAM6 (carcinoembryonic antigen-related cell adhesion molecule 6) or the ER stress protein Grp78, Gp96 is also strongly expressed at the apical plasma membrane of the ileal epithelial cells of 50% of patients with CD. Invasion experiments in the presence of antibodies raised against Gp96, or after transfection of Intestine-407 cells with gp96 small interfering RNA (siRNA), indicated that Gp96 is essential to promote AIEC LF82 invasion, allowing, via the recognition of the outer membrane protein OmpA, OMVs to fuse with intestinal epithelial cells.\n\nCONCLUSIONS: Gp96 is overexpressed on the apical surface of ileal epithelial cells in patients with CD and acts as a host cell receptor for OMVs, promoting AIEC invasion. From the results shown here, it is speculated that AIEC could take advantage of the abnormal expression of Gp96 in patients with CD to invade the ileal mucosa.","author":[{"dropping-particle":"","family":"Rolhion","given":"Nathalie","non-dropping-particle":"","parse-names":false,"suffix":""},{"dropping-particle":"","family":"Barnich","given":"Nicolas","non-dropping-particle":"","parse-names":false,"suffix":""},{"dropping-particle":"","family":"Bringer","given":"Marie-Agnès","non-dropping-particle":"","parse-names":false,"suffix":""},{"dropping-particle":"","family":"Glasser","given":"Anne-Lise","non-dropping-particle":"","parse-names":false,"suffix":""},{"dropping-particle":"","family":"Ranc","given":"Julien","non-dropping-particle":"","parse-names":false,"suffix":""},{"dropping-particle":"","family":"Hébuterne","given":"Xavier","non-dropping-particle":"","parse-names":false,"suffix":""},{"dropping-particle":"","family":"Hofman","given":"Paul","non-dropping-particle":"","parse-names":false,"suffix":""},{"dropping-particle":"","family":"Darfeuille-Michaud","given":"Arlette","non-dropping-particle":"","parse-names":false,"suffix":""}],"container-title":"Gut","id":"ITEM-1","issue":"10","issued":{"date-parts":[["2010","10"]]},"page":"1355-62","title":"Abnormally expressed ER stress response chaperone Gp96 in CD favours adherent-invasive Escherichia coli invasion.","type":"article-journal","volume":"59"},"uris":["http://www.mendeley.com/documents/?uuid=6d41aaf5-98da-43b5-8b4b-64f62f98bb65"]}],"mendeley":{"formattedCitation":"&lt;sup&gt;[3]&lt;/sup&gt;","plainTextFormattedCitation":"[3]","previouslyFormattedCitation":"&lt;sup&gt;[3]&lt;/sup&gt;"},"properties":{"noteIndex":0},"schema":"https://github.com/citation-style-language/schema/raw/master/csl-citation.json"}</w:instrText>
      </w:r>
      <w:r w:rsidR="00F22911" w:rsidRPr="000A6219">
        <w:rPr>
          <w:rFonts w:ascii="Book Antiqua" w:hAnsi="Book Antiqua"/>
          <w:sz w:val="24"/>
          <w:szCs w:val="24"/>
          <w:lang w:val="en-US"/>
        </w:rPr>
        <w:fldChar w:fldCharType="separate"/>
      </w:r>
      <w:r w:rsidR="00765E1A" w:rsidRPr="000A6219">
        <w:rPr>
          <w:rFonts w:ascii="Book Antiqua" w:hAnsi="Book Antiqua"/>
          <w:noProof/>
          <w:sz w:val="24"/>
          <w:szCs w:val="24"/>
          <w:vertAlign w:val="superscript"/>
          <w:lang w:val="en-US"/>
        </w:rPr>
        <w:t>[3]</w:t>
      </w:r>
      <w:r w:rsidR="00F22911" w:rsidRPr="000A6219">
        <w:rPr>
          <w:rFonts w:ascii="Book Antiqua" w:hAnsi="Book Antiqua"/>
          <w:sz w:val="24"/>
          <w:szCs w:val="24"/>
          <w:lang w:val="en-US"/>
        </w:rPr>
        <w:fldChar w:fldCharType="end"/>
      </w:r>
      <w:r w:rsidR="00F22911" w:rsidRPr="000A6219">
        <w:rPr>
          <w:rFonts w:ascii="Book Antiqua" w:hAnsi="Book Antiqua"/>
          <w:sz w:val="24"/>
          <w:szCs w:val="24"/>
          <w:lang w:val="en-US"/>
        </w:rPr>
        <w:t xml:space="preserve"> suggested that the amino acid substitutions present in the LF82 protein sequence </w:t>
      </w:r>
      <w:r w:rsidR="00163CC1" w:rsidRPr="000A6219">
        <w:rPr>
          <w:rFonts w:ascii="Book Antiqua" w:hAnsi="Book Antiqua"/>
          <w:sz w:val="24"/>
          <w:szCs w:val="24"/>
          <w:lang w:val="en-US"/>
        </w:rPr>
        <w:t>favors</w:t>
      </w:r>
      <w:r w:rsidR="00F22911" w:rsidRPr="000A6219">
        <w:rPr>
          <w:rFonts w:ascii="Book Antiqua" w:hAnsi="Book Antiqua"/>
          <w:sz w:val="24"/>
          <w:szCs w:val="24"/>
          <w:lang w:val="en-US"/>
        </w:rPr>
        <w:t xml:space="preserve"> invasion. Likewise</w:t>
      </w:r>
      <w:r w:rsidR="00163CC1" w:rsidRPr="000A6219">
        <w:rPr>
          <w:rFonts w:ascii="Book Antiqua" w:hAnsi="Book Antiqua"/>
          <w:sz w:val="24"/>
          <w:szCs w:val="24"/>
          <w:lang w:val="en-US"/>
        </w:rPr>
        <w:t>,</w:t>
      </w:r>
      <w:r w:rsidR="00F22911" w:rsidRPr="000A6219">
        <w:rPr>
          <w:rFonts w:ascii="Book Antiqua" w:hAnsi="Book Antiqua"/>
          <w:sz w:val="24"/>
          <w:szCs w:val="24"/>
          <w:lang w:val="en-US"/>
        </w:rPr>
        <w:t xml:space="preserve"> for </w:t>
      </w:r>
      <w:proofErr w:type="spellStart"/>
      <w:r w:rsidR="00F22911" w:rsidRPr="000A6219">
        <w:rPr>
          <w:rFonts w:ascii="Book Antiqua" w:hAnsi="Book Antiqua"/>
          <w:sz w:val="24"/>
          <w:szCs w:val="24"/>
          <w:lang w:val="en-US"/>
        </w:rPr>
        <w:t>ChiA</w:t>
      </w:r>
      <w:proofErr w:type="spellEnd"/>
      <w:r w:rsidR="00F22911" w:rsidRPr="000A6219">
        <w:rPr>
          <w:rFonts w:ascii="Book Antiqua" w:hAnsi="Book Antiqua"/>
          <w:sz w:val="24"/>
          <w:szCs w:val="24"/>
          <w:lang w:val="en-US"/>
        </w:rPr>
        <w:t>, five amino acid changes (Q362K, E370K, V378A, V388E</w:t>
      </w:r>
      <w:r w:rsidR="00B6467B" w:rsidRPr="000A6219">
        <w:rPr>
          <w:rFonts w:ascii="Book Antiqua" w:hAnsi="Book Antiqua"/>
          <w:sz w:val="24"/>
          <w:szCs w:val="24"/>
          <w:lang w:val="en-US"/>
        </w:rPr>
        <w:t>,</w:t>
      </w:r>
      <w:r w:rsidR="00F22911" w:rsidRPr="000A6219">
        <w:rPr>
          <w:rFonts w:ascii="Book Antiqua" w:hAnsi="Book Antiqua"/>
          <w:sz w:val="24"/>
          <w:szCs w:val="24"/>
          <w:lang w:val="en-US"/>
        </w:rPr>
        <w:t xml:space="preserve"> and E548V) were found located in a chitin binding domain of AIEC strain LF82 in comparison with K-12</w:t>
      </w:r>
      <w:r w:rsidR="00F22911" w:rsidRPr="000A6219">
        <w:rPr>
          <w:rFonts w:ascii="Book Antiqua" w:hAnsi="Book Antiqua"/>
          <w:sz w:val="24"/>
          <w:szCs w:val="24"/>
          <w:lang w:val="en-US"/>
        </w:rPr>
        <w:fldChar w:fldCharType="begin" w:fldLock="1"/>
      </w:r>
      <w:r w:rsidR="004C4A78" w:rsidRPr="000A6219">
        <w:rPr>
          <w:rFonts w:ascii="Book Antiqua" w:hAnsi="Book Antiqua"/>
          <w:sz w:val="24"/>
          <w:szCs w:val="24"/>
          <w:lang w:val="en-US"/>
        </w:rPr>
        <w:instrText>ADDIN CSL_CITATION {"citationItems":[{"id":"ITEM-1","itemData":{"DOI":"10.1053/j.gastro.2013.05.017","ISSN":"1528-0012","PMID":"23684751","abstract":"BACKGROUND &amp; AIMS: Inducible chitinase 3-like-1 is expressed by intestinal epithelial cells (IECs) and adheres to bacteria under conditions of inflammation. We performed a structure-function analysis of the chitin-binding domains encoded by the chiA gene, which mediates the pathogenic effects of adherent invasive Escherichia coli (AIEC).\n\nMETHODS: We created AIEC (strain LF82) with deletion of chiA (LF82-ΔchiA) or that expressed chiA with specific mutations. We investigated the effects of infecting different IEC lines with these bacteria compared with nonpathogenic E coli; chitinase activities were measured using the colloidal chitin-azure method. Colitis was induced in C57/Bl6 mice by administration of dextran sodium sulfate, and mice were given 10(8) bacteria for 15 consecutive days by gavage. Stool/tissue samples were collected and analyzed.\n\nRESULTS: LF82-ΔchiA had significantly less adhesion to IEC lines than LF82. Complementation of LF82-ΔchiA with the LF82 chiA gene, but not chiA from nonpathogenic (K12) E coli, increased adhesion. We identified 5 specific polymorphisms in the chitin-binding domain of LF82 chiA (at amino acids 362, 370, 378, 388, and 548) that differ from chiA of K12 and were required for LF82 to interact directly with IECs. This interaction was mediated by an N-glycosylated asparagine in chitinase 3-like-1 (amino acid 68) on IECs. Mice infected with LF82, or LF82-ΔchiA complemented with LF82 chiA, developed more severe colitis after administration of dextran sodium sulfate than mice infected with LF82-ΔchiA or LF82 that expressed mutant forms of chiA.\n\nCONCLUSIONS: AIEC adheres to an N-glycosylated chitinase 3-like-1 on IECs via the chitin-binding domain of chiA. This mechanism promotes the pathogenic effects of AIEC in mice with colitis.","author":[{"dropping-particle":"","family":"Low","given":"Daren","non-dropping-particle":"","parse-names":false,"suffix":""},{"dropping-particle":"","family":"Tran","given":"Hoa T","non-dropping-particle":"","parse-names":false,"suffix":""},{"dropping-particle":"","family":"Lee","given":"In-Ah","non-dropping-particle":"","parse-names":false,"suffix":""},{"dropping-particle":"","family":"Dreux","given":"Nicolas","non-dropping-particle":"","parse-names":false,"suffix":""},{"dropping-particle":"","family":"Kamba","given":"Alan","non-dropping-particle":"","parse-names":false,"suffix":""},{"dropping-particle":"","family":"Reinecker","given":"Hans-Christian","non-dropping-particle":"","parse-names":false,"suffix":""},{"dropping-particle":"","family":"Darfeuille-Michaud","given":"Arlette","non-dropping-particle":"","parse-names":false,"suffix":""},{"dropping-particle":"","family":"Barnich","given":"Nicolas","non-dropping-particle":"","parse-names":false,"suffix":""},{"dropping-particle":"","family":"Mizoguchi","given":"Emiko","non-dropping-particle":"","parse-names":false,"suffix":""}],"container-title":"Gastroenterology","id":"ITEM-1","issue":"3","issued":{"date-parts":[["2013","9"]]},"page":"602-12.e9","title":"Chitin-binding domains of Escherichia coli ChiA mediate interactions with intestinal epithelial cells in mice with colitis.","type":"article-journal","volume":"145"},"uris":["http://www.mendeley.com/documents/?uuid=485e80a9-7d98-46c1-a31a-a6dac6c43ecf"]}],"mendeley":{"formattedCitation":"&lt;sup&gt;[18]&lt;/sup&gt;","plainTextFormattedCitation":"[18]","previouslyFormattedCitation":"&lt;sup&gt;[22]&lt;/sup&gt;"},"properties":{"noteIndex":0},"schema":"https://github.com/citation-style-language/schema/raw/master/csl-citation.json"}</w:instrText>
      </w:r>
      <w:r w:rsidR="00F22911" w:rsidRPr="000A6219">
        <w:rPr>
          <w:rFonts w:ascii="Book Antiqua" w:hAnsi="Book Antiqua"/>
          <w:sz w:val="24"/>
          <w:szCs w:val="24"/>
          <w:lang w:val="en-US"/>
        </w:rPr>
        <w:fldChar w:fldCharType="separate"/>
      </w:r>
      <w:r w:rsidR="004C4A78" w:rsidRPr="000A6219">
        <w:rPr>
          <w:rFonts w:ascii="Book Antiqua" w:hAnsi="Book Antiqua"/>
          <w:noProof/>
          <w:sz w:val="24"/>
          <w:szCs w:val="24"/>
          <w:vertAlign w:val="superscript"/>
          <w:lang w:val="en-US"/>
        </w:rPr>
        <w:t>[18]</w:t>
      </w:r>
      <w:r w:rsidR="00F22911" w:rsidRPr="000A6219">
        <w:rPr>
          <w:rFonts w:ascii="Book Antiqua" w:hAnsi="Book Antiqua"/>
          <w:sz w:val="24"/>
          <w:szCs w:val="24"/>
          <w:lang w:val="en-US"/>
        </w:rPr>
        <w:fldChar w:fldCharType="end"/>
      </w:r>
      <w:r w:rsidR="00F22911" w:rsidRPr="000A6219">
        <w:rPr>
          <w:rFonts w:ascii="Book Antiqua" w:hAnsi="Book Antiqua"/>
          <w:sz w:val="24"/>
          <w:szCs w:val="24"/>
          <w:lang w:val="en-US"/>
        </w:rPr>
        <w:t xml:space="preserve">. These differences in the amino acid sequence were thought to be responsible for the </w:t>
      </w:r>
      <w:r w:rsidR="00B6467B" w:rsidRPr="000A6219">
        <w:rPr>
          <w:rFonts w:ascii="Book Antiqua" w:hAnsi="Book Antiqua"/>
          <w:sz w:val="24"/>
          <w:szCs w:val="24"/>
          <w:lang w:val="en-US"/>
        </w:rPr>
        <w:t>cap</w:t>
      </w:r>
      <w:r w:rsidR="00F22911" w:rsidRPr="000A6219">
        <w:rPr>
          <w:rFonts w:ascii="Book Antiqua" w:hAnsi="Book Antiqua"/>
          <w:sz w:val="24"/>
          <w:szCs w:val="24"/>
          <w:lang w:val="en-US"/>
        </w:rPr>
        <w:t xml:space="preserve">ability of the strain to adhere and invade IECs, as well as, to be a putative AIEC identification marker. </w:t>
      </w:r>
      <w:r w:rsidR="00F22911" w:rsidRPr="000A6219">
        <w:rPr>
          <w:rFonts w:ascii="Book Antiqua" w:eastAsia="Calibri" w:hAnsi="Book Antiqua" w:cs="Times New Roman"/>
          <w:sz w:val="24"/>
          <w:szCs w:val="24"/>
          <w:lang w:val="en-US"/>
        </w:rPr>
        <w:t xml:space="preserve">Therefore, one of the studies conducted </w:t>
      </w:r>
      <w:r w:rsidR="00B6467B" w:rsidRPr="000A6219">
        <w:rPr>
          <w:rFonts w:ascii="Book Antiqua" w:eastAsia="Calibri" w:hAnsi="Book Antiqua" w:cs="Times New Roman"/>
          <w:sz w:val="24"/>
          <w:szCs w:val="24"/>
          <w:lang w:val="en-US"/>
        </w:rPr>
        <w:t>by</w:t>
      </w:r>
      <w:r w:rsidR="00F22911" w:rsidRPr="000A6219">
        <w:rPr>
          <w:rFonts w:ascii="Book Antiqua" w:eastAsia="Calibri" w:hAnsi="Book Antiqua" w:cs="Times New Roman"/>
          <w:sz w:val="24"/>
          <w:szCs w:val="24"/>
          <w:lang w:val="en-US"/>
        </w:rPr>
        <w:t xml:space="preserve"> our research group consisted o</w:t>
      </w:r>
      <w:r w:rsidR="00B6467B" w:rsidRPr="000A6219">
        <w:rPr>
          <w:rFonts w:ascii="Book Antiqua" w:eastAsia="Calibri" w:hAnsi="Book Antiqua" w:cs="Times New Roman"/>
          <w:sz w:val="24"/>
          <w:szCs w:val="24"/>
          <w:lang w:val="en-US"/>
        </w:rPr>
        <w:t>f</w:t>
      </w:r>
      <w:r w:rsidR="00F22911" w:rsidRPr="000A6219">
        <w:rPr>
          <w:rFonts w:ascii="Book Antiqua" w:eastAsia="Calibri" w:hAnsi="Book Antiqua" w:cs="Times New Roman"/>
          <w:sz w:val="24"/>
          <w:szCs w:val="24"/>
          <w:lang w:val="en-US"/>
        </w:rPr>
        <w:t xml:space="preserve"> the examination of the protein sequences of </w:t>
      </w:r>
      <w:proofErr w:type="spellStart"/>
      <w:r w:rsidR="00F22911" w:rsidRPr="000A6219">
        <w:rPr>
          <w:rFonts w:ascii="Book Antiqua" w:eastAsia="Calibri" w:hAnsi="Book Antiqua" w:cs="Times New Roman"/>
          <w:sz w:val="24"/>
          <w:szCs w:val="24"/>
          <w:lang w:val="en-US"/>
        </w:rPr>
        <w:t>ChiA</w:t>
      </w:r>
      <w:proofErr w:type="spellEnd"/>
      <w:r w:rsidR="00F22911" w:rsidRPr="000A6219">
        <w:rPr>
          <w:rFonts w:ascii="Book Antiqua" w:eastAsia="Calibri" w:hAnsi="Book Antiqua" w:cs="Times New Roman"/>
          <w:sz w:val="24"/>
          <w:szCs w:val="24"/>
          <w:lang w:val="en-US"/>
        </w:rPr>
        <w:t xml:space="preserve">, </w:t>
      </w:r>
      <w:proofErr w:type="spellStart"/>
      <w:r w:rsidR="00F22911" w:rsidRPr="000A6219">
        <w:rPr>
          <w:rFonts w:ascii="Book Antiqua" w:eastAsia="Calibri" w:hAnsi="Book Antiqua" w:cs="Times New Roman"/>
          <w:sz w:val="24"/>
          <w:szCs w:val="24"/>
          <w:lang w:val="en-US"/>
        </w:rPr>
        <w:t>OmpA</w:t>
      </w:r>
      <w:proofErr w:type="spellEnd"/>
      <w:r w:rsidR="00F22911" w:rsidRPr="000A6219">
        <w:rPr>
          <w:rFonts w:ascii="Book Antiqua" w:eastAsia="Calibri" w:hAnsi="Book Antiqua" w:cs="Times New Roman"/>
          <w:sz w:val="24"/>
          <w:szCs w:val="24"/>
          <w:lang w:val="en-US"/>
        </w:rPr>
        <w:t xml:space="preserve">, </w:t>
      </w:r>
      <w:proofErr w:type="spellStart"/>
      <w:r w:rsidR="00F22911" w:rsidRPr="000A6219">
        <w:rPr>
          <w:rFonts w:ascii="Book Antiqua" w:eastAsia="Calibri" w:hAnsi="Book Antiqua" w:cs="Times New Roman"/>
          <w:sz w:val="24"/>
          <w:szCs w:val="24"/>
          <w:lang w:val="en-US"/>
        </w:rPr>
        <w:t>OmpC</w:t>
      </w:r>
      <w:proofErr w:type="spellEnd"/>
      <w:r w:rsidR="00B6467B" w:rsidRPr="000A6219">
        <w:rPr>
          <w:rFonts w:ascii="Book Antiqua" w:eastAsia="Calibri" w:hAnsi="Book Antiqua" w:cs="Times New Roman"/>
          <w:sz w:val="24"/>
          <w:szCs w:val="24"/>
          <w:lang w:val="en-US"/>
        </w:rPr>
        <w:t>,</w:t>
      </w:r>
      <w:r w:rsidR="00F22911" w:rsidRPr="000A6219">
        <w:rPr>
          <w:rFonts w:ascii="Book Antiqua" w:eastAsia="Calibri" w:hAnsi="Book Antiqua" w:cs="Times New Roman"/>
          <w:sz w:val="24"/>
          <w:szCs w:val="24"/>
          <w:lang w:val="en-US"/>
        </w:rPr>
        <w:t xml:space="preserve"> and </w:t>
      </w:r>
      <w:proofErr w:type="spellStart"/>
      <w:r w:rsidR="00F22911" w:rsidRPr="000A6219">
        <w:rPr>
          <w:rFonts w:ascii="Book Antiqua" w:eastAsia="Calibri" w:hAnsi="Book Antiqua" w:cs="Times New Roman"/>
          <w:sz w:val="24"/>
          <w:szCs w:val="24"/>
          <w:lang w:val="en-US"/>
        </w:rPr>
        <w:t>OmpF</w:t>
      </w:r>
      <w:proofErr w:type="spellEnd"/>
      <w:r w:rsidR="00F22911" w:rsidRPr="000A6219">
        <w:rPr>
          <w:rFonts w:ascii="Book Antiqua" w:eastAsia="Calibri" w:hAnsi="Book Antiqua" w:cs="Times New Roman"/>
          <w:sz w:val="24"/>
          <w:szCs w:val="24"/>
          <w:lang w:val="en-US"/>
        </w:rPr>
        <w:t xml:space="preserve"> in a large collection of strains</w:t>
      </w:r>
      <w:r w:rsidR="00F22911"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id":"ITEM-2","itemData":{"DOI":"10.3389/fmicb.2019.01707","author":[{"dropping-particle":"","family":"Camprubí-Font","given":"Carla","non-dropping-particle":"","parse-names":false,"suffix":""},{"dropping-particle":"","family":"Ruiz del Castillo","given":"Belén","non-dropping-particle":"","parse-names":false,"suffix":""},{"dropping-particle":"","family":"Barrabés","given":"Silvia","non-dropping-particle":"","parse-names":false,"suffix":""},{"dropping-particle":"","family":"Martínez-Martínez","given":"Luis","non-dropping-particle":"","parse-names":false,"suffix":""},{"dropping-particle":"","family":"Martinez-Medina","given":"Margarita","non-dropping-particle":"","parse-names":false,"suffix":""}],"container-title":"Frontiers in Microbiology","id":"ITEM-2","issued":{"date-parts":[["2019","8","6"]]},"publisher":"Frontiers Media SA","title":"Amino Acid Substitutions and Differential Gene Expression of Outer Membrane Proteins in Adherent-Invasive Escherichia coli","type":"article-journal","volume":"10"},"uris":["http://www.mendeley.com/documents/?uuid=07724558-db31-38cd-a96a-6f44edd060f8"]}],"mendeley":{"formattedCitation":"&lt;sup&gt;[38,45]&lt;/sup&gt;","plainTextFormattedCitation":"[38,45]","previouslyFormattedCitation":"&lt;sup&gt;[38,45]&lt;/sup&gt;"},"properties":{"noteIndex":0},"schema":"https://github.com/citation-style-language/schema/raw/master/csl-citation.json"}</w:instrText>
      </w:r>
      <w:r w:rsidR="00F22911" w:rsidRPr="000A6219">
        <w:rPr>
          <w:rFonts w:ascii="Book Antiqua" w:eastAsia="Calibri" w:hAnsi="Book Antiqua" w:cs="Times New Roman"/>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[38,4</w:t>
      </w:r>
      <w:r w:rsidR="00554ED9">
        <w:rPr>
          <w:rFonts w:ascii="Book Antiqua" w:eastAsia="Calibri" w:hAnsi="Book Antiqua" w:cs="Times New Roman"/>
          <w:noProof/>
          <w:sz w:val="24"/>
          <w:szCs w:val="24"/>
          <w:vertAlign w:val="superscript"/>
          <w:lang w:val="en-US"/>
        </w:rPr>
        <w:t>6</w:t>
      </w:r>
      <w:r w:rsidR="00E04FBE" w:rsidRPr="000A6219">
        <w:rPr>
          <w:rFonts w:ascii="Book Antiqua" w:eastAsia="Calibri" w:hAnsi="Book Antiqua" w:cs="Times New Roman"/>
          <w:noProof/>
          <w:sz w:val="24"/>
          <w:szCs w:val="24"/>
          <w:vertAlign w:val="superscript"/>
          <w:lang w:val="en-US"/>
        </w:rPr>
        <w:t>]</w:t>
      </w:r>
      <w:r w:rsidR="00F22911" w:rsidRPr="000A6219">
        <w:rPr>
          <w:rFonts w:ascii="Book Antiqua" w:eastAsia="Calibri" w:hAnsi="Book Antiqua" w:cs="Times New Roman"/>
          <w:sz w:val="24"/>
          <w:szCs w:val="24"/>
          <w:lang w:val="en-US"/>
        </w:rPr>
        <w:fldChar w:fldCharType="end"/>
      </w:r>
      <w:r w:rsidR="00F22911" w:rsidRPr="000A6219">
        <w:rPr>
          <w:rFonts w:ascii="Book Antiqua" w:eastAsia="Calibri" w:hAnsi="Book Antiqua" w:cs="Times New Roman"/>
          <w:sz w:val="24"/>
          <w:szCs w:val="24"/>
          <w:lang w:val="en-US"/>
        </w:rPr>
        <w:t xml:space="preserve">. In general, no relevant differences in the </w:t>
      </w:r>
      <w:proofErr w:type="spellStart"/>
      <w:r w:rsidR="00F22911" w:rsidRPr="000A6219">
        <w:rPr>
          <w:rFonts w:ascii="Book Antiqua" w:eastAsia="Calibri" w:hAnsi="Book Antiqua" w:cs="Times New Roman"/>
          <w:sz w:val="24"/>
          <w:szCs w:val="24"/>
          <w:lang w:val="en-US"/>
        </w:rPr>
        <w:t>pathoadaptative</w:t>
      </w:r>
      <w:proofErr w:type="spellEnd"/>
      <w:r w:rsidR="00F22911" w:rsidRPr="000A6219">
        <w:rPr>
          <w:rFonts w:ascii="Book Antiqua" w:eastAsia="Calibri" w:hAnsi="Book Antiqua" w:cs="Times New Roman"/>
          <w:sz w:val="24"/>
          <w:szCs w:val="24"/>
          <w:lang w:val="en-US"/>
        </w:rPr>
        <w:t xml:space="preserve"> mutations accor</w:t>
      </w:r>
      <w:r w:rsidR="00B6467B" w:rsidRPr="000A6219">
        <w:rPr>
          <w:rFonts w:ascii="Book Antiqua" w:eastAsia="Calibri" w:hAnsi="Book Antiqua" w:cs="Times New Roman"/>
          <w:sz w:val="24"/>
          <w:szCs w:val="24"/>
          <w:lang w:val="en-US"/>
        </w:rPr>
        <w:t>ding to pathotype were reported;</w:t>
      </w:r>
      <w:r w:rsidR="00F22911" w:rsidRPr="000A6219">
        <w:rPr>
          <w:rFonts w:ascii="Book Antiqua" w:eastAsia="Calibri" w:hAnsi="Book Antiqua" w:cs="Times New Roman"/>
          <w:sz w:val="24"/>
          <w:szCs w:val="24"/>
          <w:lang w:val="en-US"/>
        </w:rPr>
        <w:t xml:space="preserve"> instead</w:t>
      </w:r>
      <w:r w:rsidR="00B6467B" w:rsidRPr="000A6219">
        <w:rPr>
          <w:rFonts w:ascii="Book Antiqua" w:eastAsia="Calibri" w:hAnsi="Book Antiqua" w:cs="Times New Roman"/>
          <w:sz w:val="24"/>
          <w:szCs w:val="24"/>
          <w:lang w:val="en-US"/>
        </w:rPr>
        <w:t>,</w:t>
      </w:r>
      <w:r w:rsidR="00F22911" w:rsidRPr="000A6219">
        <w:rPr>
          <w:rFonts w:ascii="Book Antiqua" w:eastAsia="Calibri" w:hAnsi="Book Antiqua" w:cs="Times New Roman"/>
          <w:sz w:val="24"/>
          <w:szCs w:val="24"/>
          <w:lang w:val="en-US"/>
        </w:rPr>
        <w:t xml:space="preserve"> most of them </w:t>
      </w:r>
      <w:r w:rsidR="00B6467B" w:rsidRPr="000A6219">
        <w:rPr>
          <w:rFonts w:ascii="Book Antiqua" w:eastAsia="Calibri" w:hAnsi="Book Antiqua" w:cs="Times New Roman"/>
          <w:sz w:val="24"/>
          <w:szCs w:val="24"/>
          <w:lang w:val="en-US"/>
        </w:rPr>
        <w:t xml:space="preserve">were </w:t>
      </w:r>
      <w:r w:rsidR="00F22911" w:rsidRPr="000A6219">
        <w:rPr>
          <w:rFonts w:ascii="Book Antiqua" w:eastAsia="Calibri" w:hAnsi="Book Antiqua" w:cs="Times New Roman"/>
          <w:sz w:val="24"/>
          <w:szCs w:val="24"/>
          <w:lang w:val="en-US"/>
        </w:rPr>
        <w:t xml:space="preserve">related </w:t>
      </w:r>
      <w:r w:rsidR="00B6467B" w:rsidRPr="000A6219">
        <w:rPr>
          <w:rFonts w:ascii="Book Antiqua" w:eastAsia="Calibri" w:hAnsi="Book Antiqua" w:cs="Times New Roman"/>
          <w:sz w:val="24"/>
          <w:szCs w:val="24"/>
          <w:lang w:val="en-US"/>
        </w:rPr>
        <w:t>to</w:t>
      </w:r>
      <w:r w:rsidR="00F22911" w:rsidRPr="000A6219">
        <w:rPr>
          <w:rFonts w:ascii="Book Antiqua" w:eastAsia="Calibri" w:hAnsi="Book Antiqua" w:cs="Times New Roman"/>
          <w:sz w:val="24"/>
          <w:szCs w:val="24"/>
          <w:lang w:val="en-US"/>
        </w:rPr>
        <w:t xml:space="preserve"> phylogroup. Only one amino acid substitution in </w:t>
      </w:r>
      <w:proofErr w:type="spellStart"/>
      <w:r w:rsidR="00F22911" w:rsidRPr="000A6219">
        <w:rPr>
          <w:rFonts w:ascii="Book Antiqua" w:eastAsia="Calibri" w:hAnsi="Book Antiqua" w:cs="Times New Roman"/>
          <w:sz w:val="24"/>
          <w:szCs w:val="24"/>
          <w:lang w:val="en-US"/>
        </w:rPr>
        <w:t>OmpA</w:t>
      </w:r>
      <w:proofErr w:type="spellEnd"/>
      <w:r w:rsidR="00F22911" w:rsidRPr="000A6219">
        <w:rPr>
          <w:rFonts w:ascii="Book Antiqua" w:eastAsia="Calibri" w:hAnsi="Book Antiqua" w:cs="Times New Roman"/>
          <w:sz w:val="24"/>
          <w:szCs w:val="24"/>
          <w:lang w:val="en-US"/>
        </w:rPr>
        <w:t xml:space="preserve"> (A200V) and three in </w:t>
      </w:r>
      <w:proofErr w:type="spellStart"/>
      <w:r w:rsidR="00F22911" w:rsidRPr="000A6219">
        <w:rPr>
          <w:rFonts w:ascii="Book Antiqua" w:eastAsia="Calibri" w:hAnsi="Book Antiqua" w:cs="Times New Roman"/>
          <w:sz w:val="24"/>
          <w:szCs w:val="24"/>
          <w:lang w:val="en-US"/>
        </w:rPr>
        <w:t>OmpC</w:t>
      </w:r>
      <w:proofErr w:type="spellEnd"/>
      <w:r w:rsidR="00F22911" w:rsidRPr="000A6219">
        <w:rPr>
          <w:rFonts w:ascii="Book Antiqua" w:eastAsia="Calibri" w:hAnsi="Book Antiqua" w:cs="Times New Roman"/>
          <w:sz w:val="24"/>
          <w:szCs w:val="24"/>
          <w:lang w:val="en-US"/>
        </w:rPr>
        <w:t xml:space="preserve"> (S89N, V220I</w:t>
      </w:r>
      <w:r w:rsidR="00B6467B" w:rsidRPr="000A6219">
        <w:rPr>
          <w:rFonts w:ascii="Book Antiqua" w:eastAsia="Calibri" w:hAnsi="Book Antiqua" w:cs="Times New Roman"/>
          <w:sz w:val="24"/>
          <w:szCs w:val="24"/>
          <w:lang w:val="en-US"/>
        </w:rPr>
        <w:t>,</w:t>
      </w:r>
      <w:r w:rsidR="00F22911" w:rsidRPr="000A6219">
        <w:rPr>
          <w:rFonts w:ascii="Book Antiqua" w:eastAsia="Calibri" w:hAnsi="Book Antiqua" w:cs="Times New Roman"/>
          <w:sz w:val="24"/>
          <w:szCs w:val="24"/>
          <w:lang w:val="en-US"/>
        </w:rPr>
        <w:t xml:space="preserve"> and W231D) </w:t>
      </w:r>
      <w:r w:rsidR="00B6467B" w:rsidRPr="000A6219">
        <w:rPr>
          <w:rFonts w:ascii="Book Antiqua" w:eastAsia="Calibri" w:hAnsi="Book Antiqua" w:cs="Times New Roman"/>
          <w:sz w:val="24"/>
          <w:szCs w:val="24"/>
          <w:lang w:val="en-US"/>
        </w:rPr>
        <w:t xml:space="preserve">were </w:t>
      </w:r>
      <w:r w:rsidR="00F22911" w:rsidRPr="000A6219">
        <w:rPr>
          <w:rFonts w:ascii="Book Antiqua" w:eastAsia="Calibri" w:hAnsi="Book Antiqua" w:cs="Times New Roman"/>
          <w:sz w:val="24"/>
          <w:szCs w:val="24"/>
          <w:lang w:val="en-US"/>
        </w:rPr>
        <w:t>associated with pathotype</w:t>
      </w:r>
      <w:r w:rsidR="00B6467B" w:rsidRPr="000A6219">
        <w:rPr>
          <w:rFonts w:ascii="Book Antiqua" w:eastAsia="Calibri" w:hAnsi="Book Antiqua" w:cs="Times New Roman"/>
          <w:sz w:val="24"/>
          <w:szCs w:val="24"/>
          <w:lang w:val="en-US"/>
        </w:rPr>
        <w:t>,</w:t>
      </w:r>
      <w:r w:rsidR="00F22911" w:rsidRPr="000A6219">
        <w:rPr>
          <w:rFonts w:ascii="Book Antiqua" w:eastAsia="Calibri" w:hAnsi="Book Antiqua" w:cs="Times New Roman"/>
          <w:sz w:val="24"/>
          <w:szCs w:val="24"/>
          <w:lang w:val="en-US"/>
        </w:rPr>
        <w:t xml:space="preserve"> but these genetic traits presented low specificity and sensibility as markers for AIEC screening. Despite no particular mutations in </w:t>
      </w:r>
      <w:proofErr w:type="spellStart"/>
      <w:r w:rsidR="00F22911" w:rsidRPr="000A6219">
        <w:rPr>
          <w:rFonts w:ascii="Book Antiqua" w:eastAsia="Calibri" w:hAnsi="Book Antiqua" w:cs="Times New Roman"/>
          <w:sz w:val="24"/>
          <w:szCs w:val="24"/>
          <w:lang w:val="en-US"/>
        </w:rPr>
        <w:t>ChiA</w:t>
      </w:r>
      <w:proofErr w:type="spellEnd"/>
      <w:r w:rsidR="00F22911" w:rsidRPr="000A6219">
        <w:rPr>
          <w:rFonts w:ascii="Book Antiqua" w:eastAsia="Calibri" w:hAnsi="Book Antiqua" w:cs="Times New Roman"/>
          <w:sz w:val="24"/>
          <w:szCs w:val="24"/>
          <w:lang w:val="en-US"/>
        </w:rPr>
        <w:t xml:space="preserve"> were associated with AIEC pathotype, we found that the LF82 </w:t>
      </w:r>
      <w:proofErr w:type="spellStart"/>
      <w:r w:rsidR="00F22911" w:rsidRPr="000A6219">
        <w:rPr>
          <w:rFonts w:ascii="Book Antiqua" w:eastAsia="Calibri" w:hAnsi="Book Antiqua" w:cs="Times New Roman"/>
          <w:sz w:val="24"/>
          <w:szCs w:val="24"/>
          <w:lang w:val="en-US"/>
        </w:rPr>
        <w:t>ChiA</w:t>
      </w:r>
      <w:proofErr w:type="spellEnd"/>
      <w:r w:rsidR="00F22911" w:rsidRPr="000A6219">
        <w:rPr>
          <w:rFonts w:ascii="Book Antiqua" w:eastAsia="Calibri" w:hAnsi="Book Antiqua" w:cs="Times New Roman"/>
          <w:sz w:val="24"/>
          <w:szCs w:val="24"/>
          <w:lang w:val="en-US"/>
        </w:rPr>
        <w:t xml:space="preserve"> sequence variant was mainly shared by AIEC strains. </w:t>
      </w:r>
      <w:r w:rsidR="00F22911" w:rsidRPr="000A6219">
        <w:rPr>
          <w:rFonts w:ascii="Book Antiqua" w:eastAsia="Calibri" w:hAnsi="Book Antiqua" w:cs="Times New Roman"/>
          <w:sz w:val="24"/>
          <w:szCs w:val="24"/>
          <w:lang w:val="en-US"/>
        </w:rPr>
        <w:lastRenderedPageBreak/>
        <w:t>Nonetheless</w:t>
      </w:r>
      <w:r w:rsidR="00B6467B" w:rsidRPr="000A6219">
        <w:rPr>
          <w:rFonts w:ascii="Book Antiqua" w:eastAsia="Calibri" w:hAnsi="Book Antiqua" w:cs="Times New Roman"/>
          <w:sz w:val="24"/>
          <w:szCs w:val="24"/>
          <w:lang w:val="en-US"/>
        </w:rPr>
        <w:t>,</w:t>
      </w:r>
      <w:r w:rsidR="00F22911" w:rsidRPr="000A6219">
        <w:rPr>
          <w:rFonts w:ascii="Book Antiqua" w:eastAsia="Calibri" w:hAnsi="Book Antiqua" w:cs="Times New Roman"/>
          <w:sz w:val="24"/>
          <w:szCs w:val="24"/>
          <w:lang w:val="en-US"/>
        </w:rPr>
        <w:t xml:space="preserve"> it only comprised 35.5% of all AIEC strains. </w:t>
      </w:r>
      <w:r w:rsidR="00680DDF" w:rsidRPr="000A6219">
        <w:rPr>
          <w:rFonts w:ascii="Book Antiqua" w:eastAsia="Calibri" w:hAnsi="Book Antiqua" w:cs="Times New Roman"/>
          <w:sz w:val="24"/>
          <w:szCs w:val="24"/>
          <w:lang w:val="en-US"/>
        </w:rPr>
        <w:t>Thus, at this point</w:t>
      </w:r>
      <w:r w:rsidR="00680DDF" w:rsidRPr="000A6219">
        <w:rPr>
          <w:rFonts w:ascii="Book Antiqua" w:hAnsi="Book Antiqua"/>
          <w:sz w:val="24"/>
          <w:szCs w:val="24"/>
          <w:lang w:val="en-US"/>
        </w:rPr>
        <w:t>, given that neither prevalence nor point mutations of the already described VGs could uncover the basis of AIEC phenotype, identif</w:t>
      </w:r>
      <w:r w:rsidR="00B6467B" w:rsidRPr="000A6219">
        <w:rPr>
          <w:rFonts w:ascii="Book Antiqua" w:hAnsi="Book Antiqua"/>
          <w:sz w:val="24"/>
          <w:szCs w:val="24"/>
          <w:lang w:val="en-US"/>
        </w:rPr>
        <w:t>ication of</w:t>
      </w:r>
      <w:r w:rsidR="00680DDF" w:rsidRPr="000A6219">
        <w:rPr>
          <w:rFonts w:ascii="Book Antiqua" w:hAnsi="Book Antiqua"/>
          <w:sz w:val="24"/>
          <w:szCs w:val="24"/>
          <w:lang w:val="en-US"/>
        </w:rPr>
        <w:t xml:space="preserve"> new genetic elements and appl</w:t>
      </w:r>
      <w:r w:rsidR="00B6467B" w:rsidRPr="000A6219">
        <w:rPr>
          <w:rFonts w:ascii="Book Antiqua" w:hAnsi="Book Antiqua"/>
          <w:sz w:val="24"/>
          <w:szCs w:val="24"/>
          <w:lang w:val="en-US"/>
        </w:rPr>
        <w:t>ication of</w:t>
      </w:r>
      <w:r w:rsidR="00680DDF" w:rsidRPr="000A6219">
        <w:rPr>
          <w:rFonts w:ascii="Book Antiqua" w:hAnsi="Book Antiqua"/>
          <w:sz w:val="24"/>
          <w:szCs w:val="24"/>
          <w:lang w:val="en-US"/>
        </w:rPr>
        <w:t xml:space="preserve"> novel techniques </w:t>
      </w:r>
      <w:r w:rsidR="00B6467B" w:rsidRPr="000A6219">
        <w:rPr>
          <w:rFonts w:ascii="Book Antiqua" w:hAnsi="Book Antiqua"/>
          <w:sz w:val="24"/>
          <w:szCs w:val="24"/>
          <w:lang w:val="en-US"/>
        </w:rPr>
        <w:t xml:space="preserve">are </w:t>
      </w:r>
      <w:r w:rsidR="00680DDF" w:rsidRPr="000A6219">
        <w:rPr>
          <w:rFonts w:ascii="Book Antiqua" w:hAnsi="Book Antiqua"/>
          <w:sz w:val="24"/>
          <w:szCs w:val="24"/>
          <w:lang w:val="en-US"/>
        </w:rPr>
        <w:t>required.</w:t>
      </w:r>
    </w:p>
    <w:p w14:paraId="4AA2F94C" w14:textId="40F9E958" w:rsidR="00721A65" w:rsidRPr="000A6219" w:rsidRDefault="00AD52BC"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hAnsi="Book Antiqua"/>
          <w:sz w:val="24"/>
          <w:szCs w:val="24"/>
          <w:lang w:val="en-US"/>
        </w:rPr>
        <w:t>In 2010</w:t>
      </w:r>
      <w:r w:rsidR="00B6467B" w:rsidRPr="000A6219">
        <w:rPr>
          <w:rFonts w:ascii="Book Antiqua" w:hAnsi="Book Antiqua"/>
          <w:sz w:val="24"/>
          <w:szCs w:val="24"/>
          <w:lang w:val="en-US"/>
        </w:rPr>
        <w:t>,</w:t>
      </w:r>
      <w:r w:rsidRPr="000A6219">
        <w:rPr>
          <w:rFonts w:ascii="Book Antiqua" w:hAnsi="Book Antiqua"/>
          <w:sz w:val="24"/>
          <w:szCs w:val="24"/>
          <w:lang w:val="en-US"/>
        </w:rPr>
        <w:t xml:space="preserve"> the first AIEC genomes were sequenced</w:t>
      </w:r>
      <w:r w:rsidR="00B6467B" w:rsidRPr="000A6219">
        <w:rPr>
          <w:rFonts w:ascii="Book Antiqua" w:hAnsi="Book Antiqua"/>
          <w:sz w:val="24"/>
          <w:szCs w:val="24"/>
          <w:lang w:val="en-US"/>
        </w:rPr>
        <w:t>,</w:t>
      </w:r>
      <w:r w:rsidRPr="000A6219">
        <w:rPr>
          <w:rFonts w:ascii="Book Antiqua" w:hAnsi="Book Antiqua"/>
          <w:sz w:val="24"/>
          <w:szCs w:val="24"/>
          <w:lang w:val="en-US"/>
        </w:rPr>
        <w:t xml:space="preserve"> and since then many comparative genomics studies have been conducted in </w:t>
      </w:r>
      <w:r w:rsidR="00B6467B" w:rsidRPr="000A6219">
        <w:rPr>
          <w:rFonts w:ascii="Book Antiqua" w:hAnsi="Book Antiqua"/>
          <w:sz w:val="24"/>
          <w:szCs w:val="24"/>
          <w:lang w:val="en-US"/>
        </w:rPr>
        <w:t>the attempt</w:t>
      </w:r>
      <w:r w:rsidRPr="000A6219">
        <w:rPr>
          <w:rFonts w:ascii="Book Antiqua" w:hAnsi="Book Antiqua"/>
          <w:sz w:val="24"/>
          <w:szCs w:val="24"/>
          <w:lang w:val="en-US"/>
        </w:rPr>
        <w:t xml:space="preserve"> to elucidate the characteristics of the AIEC genome and to identify a genetic biomarker (Table </w:t>
      </w:r>
      <w:r w:rsidR="00BA5A02" w:rsidRPr="000A6219">
        <w:rPr>
          <w:rFonts w:ascii="Book Antiqua" w:hAnsi="Book Antiqua"/>
          <w:sz w:val="24"/>
          <w:szCs w:val="24"/>
          <w:lang w:val="en-US"/>
        </w:rPr>
        <w:t>3</w:t>
      </w:r>
      <w:r w:rsidRPr="000A6219">
        <w:rPr>
          <w:rFonts w:ascii="Book Antiqua" w:hAnsi="Book Antiqua"/>
          <w:sz w:val="24"/>
          <w:szCs w:val="24"/>
          <w:lang w:val="en-US"/>
        </w:rPr>
        <w:t>)</w:t>
      </w:r>
      <w:r w:rsidR="00554ED9" w:rsidRPr="00554ED9">
        <w:rPr>
          <w:rFonts w:ascii="Book Antiqua" w:hAnsi="Book Antiqua"/>
          <w:sz w:val="24"/>
          <w:szCs w:val="24"/>
          <w:vertAlign w:val="superscript"/>
          <w:lang w:val="en-US"/>
        </w:rPr>
        <w:t>[47]</w:t>
      </w:r>
      <w:r w:rsidRPr="000A6219">
        <w:rPr>
          <w:rFonts w:ascii="Book Antiqua" w:hAnsi="Book Antiqua"/>
          <w:sz w:val="24"/>
          <w:szCs w:val="24"/>
          <w:lang w:val="en-US"/>
        </w:rPr>
        <w:t>.</w:t>
      </w:r>
      <w:r w:rsidRPr="000A6219">
        <w:rPr>
          <w:rFonts w:ascii="Book Antiqua" w:eastAsia="Calibri" w:hAnsi="Book Antiqua" w:cs="Times New Roman"/>
          <w:sz w:val="24"/>
          <w:szCs w:val="24"/>
          <w:lang w:val="en-US"/>
        </w:rPr>
        <w:t xml:space="preserve"> </w:t>
      </w:r>
      <w:r w:rsidRPr="000A6219">
        <w:rPr>
          <w:rFonts w:ascii="Book Antiqua" w:hAnsi="Book Antiqua"/>
          <w:sz w:val="24"/>
          <w:szCs w:val="24"/>
          <w:lang w:val="en-US"/>
        </w:rPr>
        <w:t xml:space="preserve">However, no gene or sequence exclusive to the AIEC pathotype has </w:t>
      </w:r>
      <w:r w:rsidR="008834A1" w:rsidRPr="000A6219">
        <w:rPr>
          <w:rFonts w:ascii="Book Antiqua" w:hAnsi="Book Antiqua"/>
          <w:sz w:val="24"/>
          <w:szCs w:val="24"/>
          <w:lang w:val="en-US"/>
        </w:rPr>
        <w:t xml:space="preserve">yet </w:t>
      </w:r>
      <w:r w:rsidRPr="000A6219">
        <w:rPr>
          <w:rFonts w:ascii="Book Antiqua" w:hAnsi="Book Antiqua"/>
          <w:sz w:val="24"/>
          <w:szCs w:val="24"/>
          <w:lang w:val="en-US"/>
        </w:rPr>
        <w:t xml:space="preserve">been identified. As a consequence, </w:t>
      </w:r>
      <w:r w:rsidRPr="000A6219">
        <w:rPr>
          <w:rFonts w:ascii="Book Antiqua" w:eastAsia="Calibri" w:hAnsi="Book Antiqua" w:cs="Times New Roman"/>
          <w:sz w:val="24"/>
          <w:szCs w:val="24"/>
          <w:lang w:val="en-US"/>
        </w:rPr>
        <w:t xml:space="preserve">analysis of </w:t>
      </w:r>
      <w:r w:rsidR="007009E6" w:rsidRPr="000A6219">
        <w:rPr>
          <w:rFonts w:ascii="Book Antiqua" w:eastAsia="Calibri" w:hAnsi="Book Antiqua" w:cs="Times New Roman"/>
          <w:sz w:val="24"/>
          <w:szCs w:val="24"/>
          <w:lang w:val="en-US"/>
        </w:rPr>
        <w:t>single nucleotide polymorphisms (</w:t>
      </w:r>
      <w:r w:rsidRPr="000A6219">
        <w:rPr>
          <w:rFonts w:ascii="Book Antiqua" w:eastAsia="Calibri" w:hAnsi="Book Antiqua" w:cs="Times New Roman"/>
          <w:sz w:val="24"/>
          <w:szCs w:val="24"/>
          <w:lang w:val="en-US"/>
        </w:rPr>
        <w:t>SNPs</w:t>
      </w:r>
      <w:r w:rsidR="007009E6"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in the whole genome </w:t>
      </w:r>
      <w:r w:rsidR="008834A1" w:rsidRPr="000A6219">
        <w:rPr>
          <w:rFonts w:ascii="Book Antiqua" w:eastAsia="Calibri" w:hAnsi="Book Antiqua" w:cs="Times New Roman"/>
          <w:sz w:val="24"/>
          <w:szCs w:val="24"/>
          <w:lang w:val="en-US"/>
        </w:rPr>
        <w:t>has attracted attention</w:t>
      </w:r>
      <w:r w:rsidRPr="000A6219">
        <w:rPr>
          <w:rFonts w:ascii="Book Antiqua" w:eastAsia="Calibri" w:hAnsi="Book Antiqua" w:cs="Times New Roman"/>
          <w:sz w:val="24"/>
          <w:szCs w:val="24"/>
          <w:lang w:val="en-US"/>
        </w:rPr>
        <w:t xml:space="preserve"> since it provided a novel approach to look for AIEC genetic markers. </w:t>
      </w:r>
      <w:r w:rsidR="00721A65" w:rsidRPr="000A6219">
        <w:rPr>
          <w:rFonts w:ascii="Book Antiqua" w:eastAsia="Calibri" w:hAnsi="Book Antiqua" w:cs="Times New Roman"/>
          <w:sz w:val="24"/>
          <w:szCs w:val="24"/>
          <w:lang w:val="en-US"/>
        </w:rPr>
        <w:t xml:space="preserve">The first study using this </w:t>
      </w:r>
      <w:r w:rsidRPr="000A6219">
        <w:rPr>
          <w:rFonts w:ascii="Book Antiqua" w:eastAsia="Calibri" w:hAnsi="Book Antiqua" w:cs="Times New Roman"/>
          <w:sz w:val="24"/>
          <w:szCs w:val="24"/>
          <w:lang w:val="en-US"/>
        </w:rPr>
        <w:t xml:space="preserve">methodology </w:t>
      </w:r>
      <w:r w:rsidR="00721A65" w:rsidRPr="000A6219">
        <w:rPr>
          <w:rFonts w:ascii="Book Antiqua" w:eastAsia="Calibri" w:hAnsi="Book Antiqua" w:cs="Times New Roman"/>
          <w:sz w:val="24"/>
          <w:szCs w:val="24"/>
          <w:lang w:val="en-US"/>
        </w:rPr>
        <w:t>took place in 2015</w:t>
      </w:r>
      <w:r w:rsidR="008834A1" w:rsidRPr="000A6219">
        <w:rPr>
          <w:rFonts w:ascii="Book Antiqua" w:eastAsia="Calibri" w:hAnsi="Book Antiqua" w:cs="Times New Roman"/>
          <w:sz w:val="24"/>
          <w:szCs w:val="24"/>
          <w:lang w:val="en-US"/>
        </w:rPr>
        <w:t xml:space="preserve"> in which</w:t>
      </w:r>
      <w:r w:rsidR="00721A65" w:rsidRPr="000A6219">
        <w:rPr>
          <w:rFonts w:ascii="Book Antiqua" w:eastAsia="Calibri" w:hAnsi="Book Antiqua" w:cs="Times New Roman"/>
          <w:sz w:val="24"/>
          <w:szCs w:val="24"/>
          <w:lang w:val="en-US"/>
        </w:rPr>
        <w:t xml:space="preserve"> only B2 strains were included</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{"citationItems":[{"id":"ITEM-1","itemData":{"DOI":"10.1093/femsle/fnv193","ISSN":"1574-6968","PMID":"26459886","abstract":"The B2 phylogenetic group of Escherichia coli contains important pathogens such as extra-intestinal pathogenic, adherent-invasive, and uropathogenic strains. In this study, we used comparative genomics and statistical methods to identify genetic variations which define a subset of pathogenic strains belonging to the B2 phylogenetic group. An initial proof of concept analysis indicated that five of the 62 E. coli strains available in the KEGG database showed close association with B2 adherent-invasive E. coli, forming a subgroup within the B2 phylogenetic group. The tool, kSNP which uses a k-mer approach, and the statistical phenotype prediction tool PPFS2 were then employed to identify 29 high-resolution SNPs, which reaffirmed this grouping. PPFS2 analysis also provided indications that the clustering of this subgroup was highly consistent, and thus, could have a strong phenotypic basis rather than being only evolutionary. Protein homology analyses identified three proteins to be conserved across this subgrouping, two CRISPR-Cas proteins and a hypothetical protein. Functional analyses of these genetic and protein variations may provide insights into the phenotype of these strains.","author":[{"dropping-particle":"","family":"Deshpande","given":"Nandan P","non-dropping-particle":"","parse-names":false,"suffix":""},{"dropping-particle":"","family":"Wilkins","given":"Marc R","non-dropping-particle":"","parse-names":false,"suffix":""},{"dropping-particle":"","family":"Mitchell","given":"Hazel M","non-dropping-particle":"","parse-names":false,"suffix":""},{"dropping-particle":"","family":"Kaakoush","given":"Nadeem O","non-dropping-particle":"","parse-names":false,"suffix":""}],"container-title":"FEMS microbiology letters","id":"ITEM-1","issue":"August","issued":{"date-parts":[["2015"]]},"page":"1-7","title":"Novel genetic markers define a subgroup of pathogenic Escherichia coli strains belonging to the B2 phylogenetic group.","type":"article-journal"},"uris":["http://www.mendeley.com/documents/?uuid=a0f81734-88f7-4d12-b832-b176246b3a92"]}],"mendeley":{"formattedCitation":"&lt;sup&gt;[33]&lt;/sup&gt;","plainTextFormattedCitation":"[33]","previouslyFormattedCitation":"&lt;sup&gt;[33]&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[33]</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Twenty-nine SNPs that could differentiate </w:t>
      </w:r>
      <w:r w:rsidR="008834A1" w:rsidRPr="000A6219">
        <w:rPr>
          <w:rFonts w:ascii="Book Antiqua" w:eastAsia="Calibri" w:hAnsi="Book Antiqua" w:cs="Times New Roman"/>
          <w:sz w:val="24"/>
          <w:szCs w:val="24"/>
          <w:lang w:val="en-US"/>
        </w:rPr>
        <w:t>four</w:t>
      </w:r>
      <w:r w:rsidR="00721A65" w:rsidRPr="000A6219">
        <w:rPr>
          <w:rFonts w:ascii="Book Antiqua" w:eastAsia="Calibri" w:hAnsi="Book Antiqua" w:cs="Times New Roman"/>
          <w:sz w:val="24"/>
          <w:szCs w:val="24"/>
          <w:lang w:val="en-US"/>
        </w:rPr>
        <w:t xml:space="preserve"> AIEC together with 51 </w:t>
      </w:r>
      <w:proofErr w:type="spellStart"/>
      <w:r w:rsidR="00721A65" w:rsidRPr="000A6219">
        <w:rPr>
          <w:rFonts w:ascii="Book Antiqua" w:eastAsia="Calibri" w:hAnsi="Book Antiqua" w:cs="Times New Roman"/>
          <w:sz w:val="24"/>
          <w:szCs w:val="24"/>
          <w:lang w:val="en-US"/>
        </w:rPr>
        <w:t>ExPEC</w:t>
      </w:r>
      <w:proofErr w:type="spellEnd"/>
      <w:r w:rsidR="00721A65" w:rsidRPr="000A6219">
        <w:rPr>
          <w:rFonts w:ascii="Book Antiqua" w:eastAsia="Calibri" w:hAnsi="Book Antiqua" w:cs="Times New Roman"/>
          <w:sz w:val="24"/>
          <w:szCs w:val="24"/>
          <w:lang w:val="en-US"/>
        </w:rPr>
        <w:t xml:space="preserve"> strains from the commensal and other </w:t>
      </w:r>
      <w:proofErr w:type="spellStart"/>
      <w:r w:rsidR="00721A65" w:rsidRPr="000A6219">
        <w:rPr>
          <w:rFonts w:ascii="Book Antiqua" w:eastAsia="Calibri" w:hAnsi="Book Antiqua" w:cs="Times New Roman"/>
          <w:sz w:val="24"/>
          <w:szCs w:val="24"/>
          <w:lang w:val="en-US"/>
        </w:rPr>
        <w:t>ExPEC</w:t>
      </w:r>
      <w:proofErr w:type="spellEnd"/>
      <w:r w:rsidR="00721A65" w:rsidRPr="000A6219">
        <w:rPr>
          <w:rFonts w:ascii="Book Antiqua" w:eastAsia="Calibri" w:hAnsi="Book Antiqua" w:cs="Times New Roman"/>
          <w:sz w:val="24"/>
          <w:szCs w:val="24"/>
          <w:lang w:val="en-US"/>
        </w:rPr>
        <w:t xml:space="preserve"> strains were identified but no specific characteristic </w:t>
      </w:r>
      <w:r w:rsidR="008834A1" w:rsidRPr="000A6219">
        <w:rPr>
          <w:rFonts w:ascii="Book Antiqua" w:eastAsia="Calibri" w:hAnsi="Book Antiqua" w:cs="Times New Roman"/>
          <w:sz w:val="24"/>
          <w:szCs w:val="24"/>
          <w:lang w:val="en-US"/>
        </w:rPr>
        <w:t>cap</w:t>
      </w:r>
      <w:r w:rsidR="00721A65" w:rsidRPr="000A6219">
        <w:rPr>
          <w:rFonts w:ascii="Book Antiqua" w:eastAsia="Calibri" w:hAnsi="Book Antiqua" w:cs="Times New Roman"/>
          <w:sz w:val="24"/>
          <w:szCs w:val="24"/>
          <w:lang w:val="en-US"/>
        </w:rPr>
        <w:t xml:space="preserve">able </w:t>
      </w:r>
      <w:r w:rsidR="008834A1" w:rsidRPr="000A6219">
        <w:rPr>
          <w:rFonts w:ascii="Book Antiqua" w:eastAsia="Calibri" w:hAnsi="Book Antiqua" w:cs="Times New Roman"/>
          <w:sz w:val="24"/>
          <w:szCs w:val="24"/>
          <w:lang w:val="en-US"/>
        </w:rPr>
        <w:t>of</w:t>
      </w:r>
      <w:r w:rsidR="00721A65" w:rsidRPr="000A6219">
        <w:rPr>
          <w:rFonts w:ascii="Book Antiqua" w:eastAsia="Calibri" w:hAnsi="Book Antiqua" w:cs="Times New Roman"/>
          <w:sz w:val="24"/>
          <w:szCs w:val="24"/>
          <w:lang w:val="en-US"/>
        </w:rPr>
        <w:t xml:space="preserve"> </w:t>
      </w:r>
      <w:r w:rsidR="008834A1" w:rsidRPr="000A6219">
        <w:rPr>
          <w:rFonts w:ascii="Book Antiqua" w:eastAsia="Calibri" w:hAnsi="Book Antiqua" w:cs="Times New Roman"/>
          <w:sz w:val="24"/>
          <w:szCs w:val="24"/>
          <w:lang w:val="en-US"/>
        </w:rPr>
        <w:t>distinguishing</w:t>
      </w:r>
      <w:r w:rsidR="00721A65" w:rsidRPr="000A6219">
        <w:rPr>
          <w:rFonts w:ascii="Book Antiqua" w:eastAsia="Calibri" w:hAnsi="Book Antiqua" w:cs="Times New Roman"/>
          <w:sz w:val="24"/>
          <w:szCs w:val="24"/>
          <w:lang w:val="en-US"/>
        </w:rPr>
        <w:t xml:space="preserve"> the AIEC pathotype was found</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{"citationItems":[{"id":"ITEM-1","itemData":{"DOI":"10.1093/femsle/fnv193","ISSN":"1574-6968","PMID":"26459886","abstract":"The B2 phylogenetic group of Escherichia coli contains important pathogens such as extra-intestinal pathogenic, adherent-invasive, and uropathogenic strains. In this study, we used comparative genomics and statistical methods to identify genetic variations which define a subset of pathogenic strains belonging to the B2 phylogenetic group. An initial proof of concept analysis indicated that five of the 62 E. coli strains available in the KEGG database showed close association with B2 adherent-invasive E. coli, forming a subgroup within the B2 phylogenetic group. The tool, kSNP which uses a k-mer approach, and the statistical phenotype prediction tool PPFS2 were then employed to identify 29 high-resolution SNPs, which reaffirmed this grouping. PPFS2 analysis also provided indications that the clustering of this subgroup was highly consistent, and thus, could have a strong phenotypic basis rather than being only evolutionary. Protein homology analyses identified three proteins to be conserved across this subgrouping, two CRISPR-Cas proteins and a hypothetical protein. Functional analyses of these genetic and protein variations may provide insights into the phenotype of these strains.","author":[{"dropping-particle":"","family":"Deshpande","given":"Nandan P","non-dropping-particle":"","parse-names":false,"suffix":""},{"dropping-particle":"","family":"Wilkins","given":"Marc R","non-dropping-particle":"","parse-names":false,"suffix":""},{"dropping-particle":"","family":"Mitchell","given":"Hazel M","non-dropping-particle":"","parse-names":false,"suffix":""},{"dropping-particle":"","family":"Kaakoush","given":"Nadeem O","non-dropping-particle":"","parse-names":false,"suffix":""}],"container-title":"FEMS microbiology letters","id":"ITEM-1","issue":"August","issued":{"date-parts":[["2015"]]},"page":"1-7","title":"Novel genetic markers define a subgroup of pathogenic Escherichia coli strains belonging to the B2 phylogenetic group.","type":"article-journal"},"uris":["http://www.mendeley.com/documents/?uuid=a0f81734-88f7-4d12-b832-b176246b3a92"]}],"mendeley":{"formattedCitation":"&lt;sup&gt;[33]&lt;/sup&gt;","plainTextFormattedCitation":"[33]","previouslyFormattedCitation":"&lt;sup&gt;[33]&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[33]</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This observation was in concordance with </w:t>
      </w:r>
      <w:r w:rsidR="008834A1" w:rsidRPr="000A6219">
        <w:rPr>
          <w:rFonts w:ascii="Book Antiqua" w:eastAsia="Calibri" w:hAnsi="Book Antiqua" w:cs="Times New Roman"/>
          <w:sz w:val="24"/>
          <w:szCs w:val="24"/>
          <w:lang w:val="en-US"/>
        </w:rPr>
        <w:t xml:space="preserve">results from a study by </w:t>
      </w:r>
      <w:r w:rsidR="00793FA6" w:rsidRPr="000A6219">
        <w:rPr>
          <w:rFonts w:ascii="Book Antiqua" w:eastAsia="Calibri" w:hAnsi="Book Antiqua" w:cs="Times New Roman"/>
          <w:sz w:val="24"/>
          <w:szCs w:val="24"/>
          <w:lang w:val="en-US"/>
        </w:rPr>
        <w:t xml:space="preserve">O’Brien </w:t>
      </w:r>
      <w:r w:rsidR="00793FA6" w:rsidRPr="000A6219">
        <w:rPr>
          <w:rFonts w:ascii="Book Antiqua" w:eastAsia="Calibri" w:hAnsi="Book Antiqua" w:cs="Times New Roman"/>
          <w:i/>
          <w:sz w:val="24"/>
          <w:szCs w:val="24"/>
          <w:lang w:val="en-US"/>
        </w:rPr>
        <w:t>et al</w:t>
      </w:r>
      <w:r w:rsidR="00721A65"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-1","issue":"8","issued":{"date-parts":[["2016"]]},"page":"1382-1389","title":"Comparative genomics of Crohn's disease-associated adherent-invasive Escherichia coli","type":"article-journal","volume":"66"},"uris":["http://www.mendeley.com/documents/?uuid=5433c40e-8818-41e5-9f75-43963d20c944"]}],"mendeley":{"formattedCitation":"&lt;sup&gt;[34]&lt;/sup&gt;","plainTextFormattedCitation":"[34]","previouslyFormattedCitation":"&lt;sup&gt;[34]&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[34]</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who </w:t>
      </w:r>
      <w:r w:rsidR="008834A1" w:rsidRPr="000A6219">
        <w:rPr>
          <w:rFonts w:ascii="Book Antiqua" w:eastAsia="Calibri" w:hAnsi="Book Antiqua" w:cs="Times New Roman"/>
          <w:sz w:val="24"/>
          <w:szCs w:val="24"/>
          <w:lang w:val="en-US"/>
        </w:rPr>
        <w:t>analyzed</w:t>
      </w:r>
      <w:r w:rsidR="00721A65" w:rsidRPr="000A6219">
        <w:rPr>
          <w:rFonts w:ascii="Book Antiqua" w:eastAsia="Calibri" w:hAnsi="Book Antiqua" w:cs="Times New Roman"/>
          <w:sz w:val="24"/>
          <w:szCs w:val="24"/>
          <w:lang w:val="en-US"/>
        </w:rPr>
        <w:t xml:space="preserve"> differences in base composition of genes among AIEC and non-AIEC strains from the same sequence type</w:t>
      </w:r>
      <w:r w:rsidR="008834A1"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w:t>
      </w:r>
      <w:r w:rsidR="008834A1" w:rsidRPr="000A6219">
        <w:rPr>
          <w:rFonts w:ascii="Book Antiqua" w:eastAsia="Calibri" w:hAnsi="Book Antiqua" w:cs="Times New Roman"/>
          <w:sz w:val="24"/>
          <w:szCs w:val="24"/>
          <w:lang w:val="en-US"/>
        </w:rPr>
        <w:t>N</w:t>
      </w:r>
      <w:r w:rsidR="00721A65" w:rsidRPr="000A6219">
        <w:rPr>
          <w:rFonts w:ascii="Book Antiqua" w:eastAsia="Calibri" w:hAnsi="Book Antiqua" w:cs="Times New Roman"/>
          <w:sz w:val="24"/>
          <w:szCs w:val="24"/>
          <w:lang w:val="en-US"/>
        </w:rPr>
        <w:t xml:space="preserve">o clustering of AIEC strains was observed. </w:t>
      </w:r>
      <w:r w:rsidR="008834A1" w:rsidRPr="000A6219">
        <w:rPr>
          <w:rFonts w:ascii="Book Antiqua" w:eastAsia="Calibri" w:hAnsi="Book Antiqua" w:cs="Times New Roman"/>
          <w:sz w:val="24"/>
          <w:szCs w:val="24"/>
          <w:lang w:val="en-US"/>
        </w:rPr>
        <w:t>In contrast</w:t>
      </w:r>
      <w:r w:rsidR="00721A65" w:rsidRPr="000A6219">
        <w:rPr>
          <w:rFonts w:ascii="Book Antiqua" w:eastAsia="Calibri" w:hAnsi="Book Antiqua" w:cs="Times New Roman"/>
          <w:sz w:val="24"/>
          <w:szCs w:val="24"/>
          <w:lang w:val="en-US"/>
        </w:rPr>
        <w:t>, the comparative genomics study of AIEC/non-AIEC strain pairs</w:t>
      </w:r>
      <w:r w:rsidR="007009E6"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{"citationItems":[{"id":"ITEM-1","itemData":{"DOI":"10.1038/s41598-018-20843-x","ISSN":"2045-2322","abstract":"Adherent-invasive Escherichia coli (AIEC) have been involved in Crohn’s disease (CD). Currently, AIEC are identified by time-consuming techniques based on in vitro infection of cell lines to determine their ability to adhere to and invade intestinal epithelial cells as well as to survive and replicate within macrophages. Our aim was to find signature sequences that can be used to identify the AIEC pathotype. Comparative genomics was performed between three E. coli strain pairs, each pair comprised one AIEC and one non-AIEC with identical pulsotype, sequence type and virulence gene carriage. Genetic differences were further analysed in 22 AIEC and 28 non-AIEC isolated from CD patients and controls. The strain pairs showed similar genome structures, and no gene was specific to AIEC. Three single nucleotide polymorphisms displayed different nucleotide distributions between AIEC and non-AIEC, and four correlated with increased adhesion and/or invasion indices. Here, we present a classification algorithm based on the identification of three allelic variants that can predict the AIEC phenotype with 84% accuracy. Our study corroborates the absence of an AIEC-specific genetic marker distributed across all AIEC strains. Nonetheless, point mutations putatively involved in the AIEC phenotype can be used for the molecular identification of the AIEC pathotype.","author":[{"dropping-particle":"","family":"Camprubí-Font","given":"Carla","non-dropping-particle":"","parse-names":false,"suffix":""},{"dropping-particle":"","family":"Lopez-Siles","given":"Mireia","non-dropping-particle":"","parse-names":false,"suffix":""},{"dropping-particle":"","family":"Ferrer-Guixeras","given":"Meritxell","non-dropping-particle":"","parse-names":false,"suffix":""},{"dropping-particle":"","family":"Niubó-Carulla","given":"Laura","non-dropping-particle":"","parse-names":false,"suffix":""},{"dropping-particle":"","family":"Abellà-Ametller","given":"Carles","non-dropping-particle":"","parse-names":false,"suffix":""},{"dropping-particle":"","family":"Garcia-Gil","given":"Librado Jesús","non-dropping-particle":"","parse-names":false,"suffix":""},{"dropping-particle":"","family":"Martinez-Medina","given":"Margarita","non-dropping-particle":"","parse-names":false,"suffix":""}],"container-title":"Scientific Reports","id":"ITEM-1","issue":"2695","issued":{"date-parts":[["2018","12","9"]]},"page":"1-11","publisher":"Nature Publishing Group","title":"Comparative genomics reveals new single-nucleotide polymorphisms that can assist in identification of adherent-invasive Escherichia coli","type":"article-journal","volume":"8"},"uris":["http://www.mendeley.com/documents/?uuid=0123a8cc-e2a6-3256-aead-c6c75508c7e9"]}],"mendeley":{"formattedCitation":"&lt;sup&gt;[36]&lt;/sup&gt;","plainTextFormattedCitation":"[36]","previouslyFormattedCitation":"&lt;sup&gt;[36]&lt;/sup&gt;"},"properties":{"noteIndex":0},"schema":"https://github.com/citation-style-language/schema/raw/master/csl-citation.json"}</w:instrText>
      </w:r>
      <w:r w:rsidR="007009E6"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[36]</w:t>
      </w:r>
      <w:r w:rsidR="007009E6"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revealed three SNPs </w:t>
      </w:r>
      <w:r w:rsidR="00793FA6"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E3-E4_4.3(2), E3-E4_4.4 and E5-E6_3.16</w:t>
      </w:r>
      <w:r w:rsidR="00793FA6"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t>=</w:t>
      </w:r>
      <w:r w:rsidR="00793FA6" w:rsidRPr="000A6219">
        <w:rPr>
          <w:rFonts w:ascii="Book Antiqua" w:eastAsia="Calibri" w:hAnsi="Book Antiqua" w:cs="Times New Roman"/>
          <w:sz w:val="24"/>
          <w:szCs w:val="24"/>
          <w:lang w:val="en-US"/>
        </w:rPr>
        <w:t xml:space="preserve"> 3.22(2)]</w:t>
      </w:r>
      <w:r w:rsidR="00721A65" w:rsidRPr="000A6219">
        <w:rPr>
          <w:rFonts w:ascii="Book Antiqua" w:eastAsia="Calibri" w:hAnsi="Book Antiqua" w:cs="Times New Roman"/>
          <w:sz w:val="24"/>
          <w:szCs w:val="24"/>
          <w:lang w:val="en-US"/>
        </w:rPr>
        <w:t xml:space="preserve"> that resulted in differential nucleotide distribution between AIEC and non-AIEC strains in a larger strain collection (22 AIEC and 28 non-AIEC</w:t>
      </w:r>
      <w:r w:rsidR="008834A1" w:rsidRPr="000A6219">
        <w:rPr>
          <w:rFonts w:ascii="Book Antiqua" w:eastAsia="Calibri" w:hAnsi="Book Antiqua" w:cs="Times New Roman"/>
          <w:sz w:val="24"/>
          <w:szCs w:val="24"/>
          <w:lang w:val="en-US"/>
        </w:rPr>
        <w:t xml:space="preserve"> strains</w:t>
      </w:r>
      <w:r w:rsidR="00721A65" w:rsidRPr="000A6219">
        <w:rPr>
          <w:rFonts w:ascii="Book Antiqua" w:eastAsia="Calibri" w:hAnsi="Book Antiqua" w:cs="Times New Roman"/>
          <w:sz w:val="24"/>
          <w:szCs w:val="24"/>
          <w:lang w:val="en-US"/>
        </w:rPr>
        <w:t xml:space="preserve">). </w:t>
      </w:r>
      <w:r w:rsidR="008834A1" w:rsidRPr="000A6219">
        <w:rPr>
          <w:rFonts w:ascii="Book Antiqua" w:eastAsia="Calibri" w:hAnsi="Book Antiqua" w:cs="Times New Roman"/>
          <w:sz w:val="24"/>
          <w:szCs w:val="24"/>
          <w:lang w:val="en-US"/>
        </w:rPr>
        <w:t>However</w:t>
      </w:r>
      <w:r w:rsidR="00721A65" w:rsidRPr="000A6219">
        <w:rPr>
          <w:rFonts w:ascii="Book Antiqua" w:eastAsia="Calibri" w:hAnsi="Book Antiqua" w:cs="Times New Roman"/>
          <w:sz w:val="24"/>
          <w:szCs w:val="24"/>
          <w:lang w:val="en-US"/>
        </w:rPr>
        <w:t xml:space="preserve">, </w:t>
      </w:r>
      <w:r w:rsidR="008834A1" w:rsidRPr="000A6219">
        <w:rPr>
          <w:rFonts w:ascii="Book Antiqua" w:eastAsia="Calibri" w:hAnsi="Book Antiqua" w:cs="Times New Roman"/>
          <w:sz w:val="24"/>
          <w:szCs w:val="24"/>
          <w:lang w:val="en-US"/>
        </w:rPr>
        <w:t xml:space="preserve">there was </w:t>
      </w:r>
      <w:r w:rsidR="00721A65" w:rsidRPr="000A6219">
        <w:rPr>
          <w:rFonts w:ascii="Book Antiqua" w:eastAsia="Calibri" w:hAnsi="Book Antiqua" w:cs="Times New Roman"/>
          <w:sz w:val="24"/>
          <w:szCs w:val="24"/>
          <w:lang w:val="en-US"/>
        </w:rPr>
        <w:t>no nucleotide only present in AIEC strains and absent in non-AI</w:t>
      </w:r>
      <w:r w:rsidR="007009E6" w:rsidRPr="000A6219">
        <w:rPr>
          <w:rFonts w:ascii="Book Antiqua" w:eastAsia="Calibri" w:hAnsi="Book Antiqua" w:cs="Times New Roman"/>
          <w:sz w:val="24"/>
          <w:szCs w:val="24"/>
          <w:lang w:val="en-US"/>
        </w:rPr>
        <w:t xml:space="preserve">EC. Thus, </w:t>
      </w:r>
      <w:r w:rsidR="00DC638B" w:rsidRPr="000A6219">
        <w:rPr>
          <w:rFonts w:ascii="Book Antiqua" w:eastAsia="Calibri" w:hAnsi="Book Antiqua" w:cs="Times New Roman"/>
          <w:sz w:val="24"/>
          <w:szCs w:val="24"/>
          <w:lang w:val="en-US"/>
        </w:rPr>
        <w:t>this</w:t>
      </w:r>
      <w:r w:rsidR="007009E6" w:rsidRPr="000A6219">
        <w:rPr>
          <w:rFonts w:ascii="Book Antiqua" w:eastAsia="Calibri" w:hAnsi="Book Antiqua" w:cs="Times New Roman"/>
          <w:sz w:val="24"/>
          <w:szCs w:val="24"/>
          <w:lang w:val="en-US"/>
        </w:rPr>
        <w:t xml:space="preserve"> study corroborated the</w:t>
      </w:r>
      <w:r w:rsidR="00721A65" w:rsidRPr="000A6219">
        <w:rPr>
          <w:rFonts w:ascii="Book Antiqua" w:eastAsia="Calibri" w:hAnsi="Book Antiqua" w:cs="Times New Roman"/>
          <w:sz w:val="24"/>
          <w:szCs w:val="24"/>
          <w:lang w:val="en-US"/>
        </w:rPr>
        <w:t xml:space="preserve"> absence of AIEC-specific genetic markers widely distributed across all AIEC strains. In fact, the results obtained by </w:t>
      </w:r>
      <w:r w:rsidR="008834A1" w:rsidRPr="000A6219">
        <w:rPr>
          <w:rFonts w:ascii="Book Antiqua" w:eastAsia="Calibri" w:hAnsi="Book Antiqua" w:cs="Times New Roman"/>
          <w:sz w:val="24"/>
          <w:szCs w:val="24"/>
          <w:lang w:val="en-US"/>
        </w:rPr>
        <w:t>analyzing</w:t>
      </w:r>
      <w:r w:rsidR="00721A65" w:rsidRPr="000A6219">
        <w:rPr>
          <w:rFonts w:ascii="Book Antiqua" w:eastAsia="Calibri" w:hAnsi="Book Antiqua" w:cs="Times New Roman"/>
          <w:sz w:val="24"/>
          <w:szCs w:val="24"/>
          <w:lang w:val="en-US"/>
        </w:rPr>
        <w:t xml:space="preserve"> gene prevalence and point mutations reinforce the idea that no particular VG</w:t>
      </w:r>
      <w:r w:rsidR="008834A1" w:rsidRPr="000A6219">
        <w:rPr>
          <w:rFonts w:ascii="Book Antiqua" w:eastAsia="Calibri" w:hAnsi="Book Antiqua" w:cs="Times New Roman"/>
          <w:sz w:val="24"/>
          <w:szCs w:val="24"/>
          <w:lang w:val="en-US"/>
        </w:rPr>
        <w:t>s</w:t>
      </w:r>
      <w:r w:rsidR="00721A65" w:rsidRPr="000A6219">
        <w:rPr>
          <w:rFonts w:ascii="Book Antiqua" w:eastAsia="Calibri" w:hAnsi="Book Antiqua" w:cs="Times New Roman"/>
          <w:sz w:val="24"/>
          <w:szCs w:val="24"/>
          <w:lang w:val="en-US"/>
        </w:rPr>
        <w:t xml:space="preserve"> or </w:t>
      </w:r>
      <w:proofErr w:type="spellStart"/>
      <w:r w:rsidR="00721A65" w:rsidRPr="000A6219">
        <w:rPr>
          <w:rFonts w:ascii="Book Antiqua" w:eastAsia="Calibri" w:hAnsi="Book Antiqua" w:cs="Times New Roman"/>
          <w:sz w:val="24"/>
          <w:szCs w:val="24"/>
          <w:lang w:val="en-US"/>
        </w:rPr>
        <w:t>pathoadaptative</w:t>
      </w:r>
      <w:proofErr w:type="spellEnd"/>
      <w:r w:rsidR="00721A65" w:rsidRPr="000A6219">
        <w:rPr>
          <w:rFonts w:ascii="Book Antiqua" w:eastAsia="Calibri" w:hAnsi="Book Antiqua" w:cs="Times New Roman"/>
          <w:sz w:val="24"/>
          <w:szCs w:val="24"/>
          <w:lang w:val="en-US"/>
        </w:rPr>
        <w:t xml:space="preserve"> mutation</w:t>
      </w:r>
      <w:r w:rsidR="008834A1" w:rsidRPr="000A6219">
        <w:rPr>
          <w:rFonts w:ascii="Book Antiqua" w:eastAsia="Calibri" w:hAnsi="Book Antiqua" w:cs="Times New Roman"/>
          <w:sz w:val="24"/>
          <w:szCs w:val="24"/>
          <w:lang w:val="en-US"/>
        </w:rPr>
        <w:t>s</w:t>
      </w:r>
      <w:r w:rsidR="00721A65" w:rsidRPr="000A6219">
        <w:rPr>
          <w:rFonts w:ascii="Book Antiqua" w:eastAsia="Calibri" w:hAnsi="Book Antiqua" w:cs="Times New Roman"/>
          <w:sz w:val="24"/>
          <w:szCs w:val="24"/>
          <w:lang w:val="en-US"/>
        </w:rPr>
        <w:t xml:space="preserve"> described so far </w:t>
      </w:r>
      <w:r w:rsidR="008834A1" w:rsidRPr="000A6219">
        <w:rPr>
          <w:rFonts w:ascii="Book Antiqua" w:eastAsia="Calibri" w:hAnsi="Book Antiqua" w:cs="Times New Roman"/>
          <w:sz w:val="24"/>
          <w:szCs w:val="24"/>
          <w:lang w:val="en-US"/>
        </w:rPr>
        <w:t>are</w:t>
      </w:r>
      <w:r w:rsidR="00721A65" w:rsidRPr="000A6219">
        <w:rPr>
          <w:rFonts w:ascii="Book Antiqua" w:eastAsia="Calibri" w:hAnsi="Book Antiqua" w:cs="Times New Roman"/>
          <w:sz w:val="24"/>
          <w:szCs w:val="24"/>
          <w:lang w:val="en-US"/>
        </w:rPr>
        <w:t xml:space="preserve"> specifically </w:t>
      </w:r>
      <w:r w:rsidR="008834A1" w:rsidRPr="000A6219">
        <w:rPr>
          <w:rFonts w:ascii="Book Antiqua" w:eastAsia="Calibri" w:hAnsi="Book Antiqua" w:cs="Times New Roman"/>
          <w:sz w:val="24"/>
          <w:szCs w:val="24"/>
          <w:lang w:val="en-US"/>
        </w:rPr>
        <w:t xml:space="preserve">linked with the AIEC pathotype although, </w:t>
      </w:r>
      <w:r w:rsidR="00721A65" w:rsidRPr="000A6219">
        <w:rPr>
          <w:rFonts w:ascii="Book Antiqua" w:eastAsia="Calibri" w:hAnsi="Book Antiqua" w:cs="Times New Roman"/>
          <w:sz w:val="24"/>
          <w:szCs w:val="24"/>
          <w:lang w:val="en-US"/>
        </w:rPr>
        <w:t xml:space="preserve">diverse genetic traits could </w:t>
      </w:r>
      <w:r w:rsidR="008834A1" w:rsidRPr="000A6219">
        <w:rPr>
          <w:rFonts w:ascii="Book Antiqua" w:eastAsia="Calibri" w:hAnsi="Book Antiqua" w:cs="Times New Roman"/>
          <w:sz w:val="24"/>
          <w:szCs w:val="24"/>
          <w:lang w:val="en-US"/>
        </w:rPr>
        <w:t>lead</w:t>
      </w:r>
      <w:r w:rsidR="00721A65" w:rsidRPr="000A6219">
        <w:rPr>
          <w:rFonts w:ascii="Book Antiqua" w:eastAsia="Calibri" w:hAnsi="Book Antiqua" w:cs="Times New Roman"/>
          <w:sz w:val="24"/>
          <w:szCs w:val="24"/>
          <w:lang w:val="en-US"/>
        </w:rPr>
        <w:t xml:space="preserve"> to the same phenotype. However, studies reinforcing this hypothesis are absent</w:t>
      </w:r>
      <w:r w:rsidR="008834A1"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and a specific signature sequence of these strains remains to be elucidated. </w:t>
      </w:r>
    </w:p>
    <w:p w14:paraId="6942BA2A" w14:textId="7875BD94" w:rsidR="0010433F" w:rsidRPr="000A6219" w:rsidRDefault="00721A65"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lastRenderedPageBreak/>
        <w:t>In spite of the advance</w:t>
      </w:r>
      <w:r w:rsidR="008834A1" w:rsidRPr="000A6219">
        <w:rPr>
          <w:rFonts w:ascii="Book Antiqua" w:eastAsia="Calibri" w:hAnsi="Book Antiqua" w:cs="Times New Roman"/>
          <w:sz w:val="24"/>
          <w:szCs w:val="24"/>
          <w:lang w:val="en-US"/>
        </w:rPr>
        <w:t>s</w:t>
      </w:r>
      <w:r w:rsidRPr="000A6219">
        <w:rPr>
          <w:rFonts w:ascii="Book Antiqua" w:eastAsia="Calibri" w:hAnsi="Book Antiqua" w:cs="Times New Roman"/>
          <w:sz w:val="24"/>
          <w:szCs w:val="24"/>
          <w:lang w:val="en-US"/>
        </w:rPr>
        <w:t xml:space="preserve"> </w:t>
      </w:r>
      <w:r w:rsidR="008834A1" w:rsidRPr="000A6219">
        <w:rPr>
          <w:rFonts w:ascii="Book Antiqua" w:eastAsia="Calibri" w:hAnsi="Book Antiqua" w:cs="Times New Roman"/>
          <w:sz w:val="24"/>
          <w:szCs w:val="24"/>
          <w:lang w:val="en-US"/>
        </w:rPr>
        <w:t>i</w:t>
      </w:r>
      <w:r w:rsidRPr="000A6219">
        <w:rPr>
          <w:rFonts w:ascii="Book Antiqua" w:eastAsia="Calibri" w:hAnsi="Book Antiqua" w:cs="Times New Roman"/>
          <w:sz w:val="24"/>
          <w:szCs w:val="24"/>
          <w:lang w:val="en-US"/>
        </w:rPr>
        <w:t>n the understanding of AIEC genetics, AIEC/non-AIEC differential gene expression has been scarcely studied</w:t>
      </w:r>
      <w:r w:rsidRPr="000A6219">
        <w:rPr>
          <w:rFonts w:ascii="Book Antiqua" w:eastAsia="Calibri" w:hAnsi="Book Antiqua" w:cs="Times New Roman"/>
          <w:sz w:val="24"/>
          <w:szCs w:val="24"/>
          <w:lang w:val="en-US"/>
        </w:rPr>
        <w:fldChar w:fldCharType="begin" w:fldLock="1"/>
      </w:r>
      <w:r w:rsidR="004C4A78" w:rsidRPr="000A6219">
        <w:rPr>
          <w:rFonts w:ascii="Book Antiqua" w:eastAsia="Calibri" w:hAnsi="Book Antiqua" w:cs="Times New Roman"/>
          <w:sz w:val="24"/>
          <w:szCs w:val="24"/>
          <w:lang w:val="en-US"/>
        </w:rPr>
        <w:instrText>ADDIN CSL_CITATION {"citationItems":[{"id":"ITEM-1","itemData":{"DOI":"10.1128/IAI.73.2.712-721.2005","ISSN":"0019-9567","PMID":"15664909","abstract":"Adherent and invasive Escherichia coli (AIEC) bacteria isolated from Crohn's disease patients are able to greatly replicate within macrophages without escaping from the phagosome and without inducing macrophage death. In the present study, evidence is provided that in AIEC strain LF82 the htrA gene encoding the stress protein HtrA is essential for intracellular replication within J774-A1 macrophages. Deletion of the htrA gene in strain LF82 induced increased sensitivity of the isogenic mutant to oxidative stress caused by hydrogen peroxide and a reduced rate of growth in an acid and nutrient-poor medium partly reproducing the microenvironment of the phagosome. In vitro experiments using an LF82 htrA gene promoter fusion with the lacZ gene revealed a 38-fold activation of the promoter in AIEC LF82 intramacrophagic bacteria. The CpxRA two-component signaling pathway was not involved in this activation. In addition, the activation of the LF82 htrA gene promoter was not observed in the nonpathogenic E. coli K-12 intramacrophagic bacteria, indicating that the AIEC LF82 genetic background is crucial for induction of htrA gene transcription during phagocytosis.","author":[{"dropping-particle":"","family":"Bringer","given":"Marie-Agnès","non-dropping-particle":"","parse-names":false,"suffix":""},{"dropping-particle":"","family":"Barnich","given":"Nicolas","non-dropping-particle":"","parse-names":false,"suffix":""},{"dropping-particle":"","family":"Glasser","given":"Anne-Lise","non-dropping-particle":"","parse-names":false,"suffix":""},{"dropping-particle":"","family":"Bardot","given":"Olivier","non-dropping-particle":"","parse-names":false,"suffix":""},{"dropping-particle":"","family":"Darfeuille-Michaud","given":"Arlette","non-dropping-particle":"","parse-names":false,"suffix":""}],"container-title":"Infection and immunity","id":"ITEM-1","issue":"2","issued":{"date-parts":[["2005","2"]]},"page":"712-21","publisher":"American Society for Microbiology (ASM)","title":"HtrA stress protein is involved in intramacrophagic replication of adherent and invasive Escherichia coli strain LF82 isolated from a patient with Crohn's disease.","type":"article-journal","volume":"73"},"uris":["http://www.mendeley.com/documents/?uuid=b7a37f2b-8b71-3cc1-ae3d-a00e9f4df1c5"]},{"id":"ITEM-2","itemData":{"DOI":"10.1371/journal.pone.0130902","ISSN":"1932-6203","PMID":"26125937","abstract":"Adherent-invasive Escherichia coli (AIEC) strains are detected more frequently within mucosal lesions of patients with Crohn's disease (CD). The AIEC phenotype consists of adherence and invasion of intestinal epithelial cells and survival within macrophages of these bacteria in vitro. Our aim was to identify candidate transcripts that distinguish AIEC from non-invasive E. coli (NIEC) strains and might be useful for rapid and accurate identification of AIEC by culture-independent technology. We performed comparative RNA-Sequence (RNASeq) analysis using AIEC strain LF82 and NIEC strain HS during exponential and stationary growth. Differential expression analysis of coding sequences (CDS) homologous to both strains demonstrated 224 and 241 genes with increased and decreased expression, respectively, in LF82 relative to HS. Transition metal transport and siderophore metabolism related pathway genes were up-regulated, while glycogen metabolic and oxidation-reduction related pathway genes were down-regulated, in LF82. Chemotaxis related transcripts were up-regulated in LF82 during the exponential phase, but flagellum-dependent motility pathway genes were down-regulated in LF82 during the stationary phase. CDS that mapped only to the LF82 genome accounted for 747 genes. We applied an in silico subtractive genomics approach to identify CDS specific to AIEC by incorporating the genomes of 10 other previously phenotyped NIEC. From this analysis, 166 CDS mapped to the LF82 genome and lacked homology to any of the 11 human NIEC strains. We compared these CDS across 13 AIEC, but none were homologous in each. Four LF82 gene loci belonging to clustered regularly interspaced short palindromic repeats region (CRISPR)--CRISPR-associated (Cas) genes were identified in 4 to 6 AIEC and absent from all non-pathogenic bacteria. As previously reported, AIEC strains were enriched for pdu operon genes. One CDS, encoding an excisionase, was shared by 9 AIEC strains. Reverse transcription quantitative polymerase chain reaction assays for 6 genes were conducted on fecal and ileal RNA samples from 22 inflammatory bowel disease (IBD), and 32 patients without IBD (non-IBD). The expression of Cas loci was detected in a higher proportion of CD than non-IBD fecal and ileal RNA samples (p &lt;0.05). These results support a comparative genomic/transcriptomic approach towards identifying candidate AIEC signature transcripts.","author":[{"dropping-particle":"","family":"Zhang","given":"Yuanhao","non-dropping-particle":"","parse-names":false,"suffix":""},{"dropping-particle":"","family":"Rowehl","given":"Leahana","non-dropping-particle":"","parse-names":false,"suffix":""},{"dropping-particle":"","family":"Krumsiek","given":"Julia M","non-dropping-particle":"","parse-names":false,"suffix":""},{"dropping-particle":"","family":"Orner","given":"Erika P","non-dropping-particle":"","parse-names":false,"suffix":""},{"dropping-particle":"","family":"Shaikh","given":"Nurmohammad","non-dropping-particle":"","parse-names":false,"suffix":""},{"dropping-particle":"","family":"Tarr","given":"Phillip I","non-dropping-particle":"","parse-names":false,"suffix":""},{"dropping-particle":"","family":"Sodergren","given":"Erica","non-dropping-particle":"","parse-names":false,"suffix":""},{"dropping-particle":"","family":"Weinstock","given":"George M","non-dropping-particle":"","parse-names":false,"suffix":""},{"dropping-particle":"","family":"Boedeker","given":"Edgar C","non-dropping-particle":"","parse-names":false,"suffix":""},{"dropping-particle":"","family":"Xiong","given":"Xuejian","non-dropping-particle":"","parse-names":false,"suffix":""},{"dropping-particle":"","family":"Parkinson","given":"John","non-dropping-particle":"","parse-names":false,"suffix":""},{"dropping-particle":"","family":"Frank","given":"Daniel N","non-dropping-particle":"","parse-names":false,"suffix":""},{"dropping-particle":"","family":"Li","given":"Ellen","non-dropping-particle":"","parse-names":false,"suffix":""},{"dropping-particle":"","family":"Gathungu","given":"Grace","non-dropping-particle":"","parse-names":false,"suffix":""}],"container-title":"PloS one","id":"ITEM-2","issue":"6","issued":{"date-parts":[["2015"]]},"page":"e0130902","publisher":"Public Library of Science","title":"Identification of Candidate Adherent-Invasive E. coli Signature Transcripts by Genomic/Transcriptomic Analysis.","type":"article-journal","volume":"10"},"uris":["http://www.mendeley.com/documents/?uuid=c64dddf1-d66e-31ad-8569-739a844139b3"]},{"id":"ITEM-3","itemData":{"DOI":"10.1038/s41598-019-38628-1","ISSN":"2045-2322","PMID":"30778122","abstract":"The adherent-invasive Escherichia coli (AIEC), which colonize the ileal mucosa of Crohn's disease patients, adhere to intestinal epithelial cells, invade them and exacerbate intestinal inflammation. The high nutrient competition between the commensal microbiota and AIEC pathobiont requires the latter to occupy their own metabolic niches to survive and proliferate within the gut. In this study, a global RNA sequencing of AIEC strain LF82 has been used to observe the impact of bile salts on the expression of metabolic genes. The results showed a global up-regulation of genes involved in degradation and a down-regulation of those implicated in biosynthesis. The main up-regulated degradation pathways were ethanolamine, 1,2-propanediol and citrate utilization, as well as the methyl-citrate pathway. Our study reveals that ethanolamine utilization bestows a competitive advantage of AIEC strains that are metabolically capable of its degradation in the presence of bile salts. We observed that bile salts activated secondary metabolism pathways that communicate to provide an energy benefit to AIEC. Bile salts may be used by AIEC as an environmental signal to promote their colonization.","author":[{"dropping-particle":"","family":"Delmas","given":"Julien","non-dropping-particle":"","parse-names":false,"suffix":""},{"dropping-particle":"","family":"Gibold","given":"Lucie","non-dropping-particle":"","parse-names":false,"suffix":""},{"dropping-particle":"","family":"Faïs","given":"Tiphanie","non-dropping-particle":"","parse-names":false,"suffix":""},{"dropping-particle":"","family":"Batista","given":"Sylvine","non-dropping-particle":"","parse-names":false,"suffix":""},{"dropping-particle":"","family":"Leremboure","given":"Martin","non-dropping-particle":"","parse-names":false,"suffix":""},{"dropping-particle":"","family":"Sinel","given":"Clara","non-dropping-particle":"","parse-names":false,"suffix":""},{"dropping-particle":"","family":"Vazeille","given":"Emilie","non-dropping-particle":"","parse-names":false,"suffix":""},{"dropping-particle":"","family":"Cattoir","given":"Vincent","non-dropping-particle":"","parse-names":false,"suffix":""},{"dropping-particle":"","family":"Buisson","given":"Anthony","non-dropping-particle":"","parse-names":false,"suffix":""},{"dropping-particle":"","family":"Barnich","given":"Nicolas","non-dropping-particle":"","parse-names":false,"suffix":""},{"dropping-particle":"","family":"Dalmasso","given":"Guillaume","non-dropping-particle":"","parse-names":false,"suffix":""},{"dropping-particle":"","family":"Bonnet","given":"Richard","non-dropping-particle":"","parse-names":false,"suffix":""}],"container-title":"Scientific Reports","id":"ITEM-3","issue":"1","issued":{"date-parts":[["2019","12","18"]]},"page":"2175","title":"Metabolic adaptation of adherent-invasive Escherichia coli to exposure to bile salts","type":"article-journal","volume":"9"},"uris":["http://www.mendeley.com/documents/?uuid=2f7805cb-0831-3926-83c3-571b797141d9"]}],"mendeley":{"formattedCitation":"&lt;sup&gt;[21,35,46]&lt;/sup&gt;","plainTextFormattedCitation":"[21,35,46]","previouslyFormattedCitation":"&lt;sup&gt;[25,35,46]&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4C4A78" w:rsidRPr="000A6219">
        <w:rPr>
          <w:rFonts w:ascii="Book Antiqua" w:eastAsia="Calibri" w:hAnsi="Book Antiqua" w:cs="Times New Roman"/>
          <w:noProof/>
          <w:sz w:val="24"/>
          <w:szCs w:val="24"/>
          <w:vertAlign w:val="superscript"/>
          <w:lang w:val="en-US"/>
        </w:rPr>
        <w:t>[21,35,4</w:t>
      </w:r>
      <w:r w:rsidR="00554ED9">
        <w:rPr>
          <w:rFonts w:ascii="Book Antiqua" w:eastAsia="Calibri" w:hAnsi="Book Antiqua" w:cs="Times New Roman"/>
          <w:noProof/>
          <w:sz w:val="24"/>
          <w:szCs w:val="24"/>
          <w:vertAlign w:val="superscript"/>
          <w:lang w:val="en-US"/>
        </w:rPr>
        <w:t>8</w:t>
      </w:r>
      <w:r w:rsidR="004C4A78"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color w:val="000000"/>
          <w:sz w:val="24"/>
          <w:szCs w:val="24"/>
          <w:lang w:val="en-US"/>
        </w:rPr>
        <w:t xml:space="preserve">Indeed, three </w:t>
      </w:r>
      <w:r w:rsidR="008834A1" w:rsidRPr="000A6219">
        <w:rPr>
          <w:rFonts w:ascii="Book Antiqua" w:eastAsia="Calibri" w:hAnsi="Book Antiqua" w:cs="Times New Roman"/>
          <w:color w:val="000000"/>
          <w:sz w:val="24"/>
          <w:szCs w:val="24"/>
          <w:lang w:val="en-US"/>
        </w:rPr>
        <w:t xml:space="preserve">earlier </w:t>
      </w:r>
      <w:r w:rsidRPr="000A6219">
        <w:rPr>
          <w:rFonts w:ascii="Book Antiqua" w:eastAsia="Calibri" w:hAnsi="Book Antiqua" w:cs="Times New Roman"/>
          <w:color w:val="000000"/>
          <w:sz w:val="24"/>
          <w:szCs w:val="24"/>
          <w:lang w:val="en-US"/>
        </w:rPr>
        <w:t xml:space="preserve">studies examined only </w:t>
      </w:r>
      <w:r w:rsidRPr="000A6219">
        <w:rPr>
          <w:rFonts w:ascii="Book Antiqua" w:eastAsia="Calibri" w:hAnsi="Book Antiqua" w:cs="Times New Roman"/>
          <w:i/>
          <w:color w:val="000000"/>
          <w:sz w:val="24"/>
          <w:szCs w:val="24"/>
          <w:lang w:val="en-US"/>
        </w:rPr>
        <w:t>LF82</w:t>
      </w:r>
      <w:r w:rsidRPr="000A6219">
        <w:rPr>
          <w:rFonts w:ascii="Book Antiqua" w:eastAsia="Calibri" w:hAnsi="Book Antiqua" w:cs="Times New Roman"/>
          <w:color w:val="000000"/>
          <w:sz w:val="24"/>
          <w:szCs w:val="24"/>
          <w:lang w:val="en-US"/>
        </w:rPr>
        <w:t xml:space="preserve"> against </w:t>
      </w:r>
      <w:r w:rsidRPr="000A6219">
        <w:rPr>
          <w:rFonts w:ascii="Book Antiqua" w:eastAsia="Calibri" w:hAnsi="Book Antiqua" w:cs="Times New Roman"/>
          <w:i/>
          <w:color w:val="000000"/>
          <w:sz w:val="24"/>
          <w:szCs w:val="24"/>
          <w:lang w:val="en-US"/>
        </w:rPr>
        <w:t xml:space="preserve">HS </w:t>
      </w:r>
      <w:r w:rsidRPr="000A6219">
        <w:rPr>
          <w:rFonts w:ascii="Book Antiqua" w:eastAsia="Calibri" w:hAnsi="Book Antiqua" w:cs="Times New Roman"/>
          <w:color w:val="000000"/>
          <w:sz w:val="24"/>
          <w:szCs w:val="24"/>
          <w:lang w:val="en-US"/>
        </w:rPr>
        <w:t xml:space="preserve">or </w:t>
      </w:r>
      <w:r w:rsidRPr="000A6219">
        <w:rPr>
          <w:rFonts w:ascii="Book Antiqua" w:eastAsia="Calibri" w:hAnsi="Book Antiqua" w:cs="Times New Roman"/>
          <w:i/>
          <w:color w:val="000000"/>
          <w:sz w:val="24"/>
          <w:szCs w:val="24"/>
          <w:lang w:val="en-US"/>
        </w:rPr>
        <w:t>K-12</w:t>
      </w:r>
      <w:r w:rsidRPr="000A6219">
        <w:rPr>
          <w:rFonts w:ascii="Book Antiqua" w:eastAsia="Calibri" w:hAnsi="Book Antiqua" w:cs="Times New Roman"/>
          <w:color w:val="000000"/>
          <w:sz w:val="24"/>
          <w:szCs w:val="24"/>
          <w:lang w:val="en-US"/>
        </w:rPr>
        <w:t xml:space="preserve"> gene expression. Furthermore, they studied only one gene during intramacrophage bacterial replication</w:t>
      </w:r>
      <w:r w:rsidRPr="000A6219">
        <w:rPr>
          <w:rFonts w:ascii="Book Antiqua" w:eastAsia="Calibri" w:hAnsi="Book Antiqua" w:cs="Times New Roman"/>
          <w:color w:val="000000"/>
          <w:sz w:val="24"/>
          <w:szCs w:val="24"/>
          <w:lang w:val="en-US"/>
        </w:rPr>
        <w:fldChar w:fldCharType="begin" w:fldLock="1"/>
      </w:r>
      <w:r w:rsidR="004C4A78" w:rsidRPr="000A6219">
        <w:rPr>
          <w:rFonts w:ascii="Book Antiqua" w:eastAsia="Calibri" w:hAnsi="Book Antiqua" w:cs="Times New Roman"/>
          <w:color w:val="000000"/>
          <w:sz w:val="24"/>
          <w:szCs w:val="24"/>
          <w:lang w:val="en-US"/>
        </w:rPr>
        <w:instrText>ADDIN CSL_CITATION {"citationItems":[{"id":"ITEM-1","itemData":{"DOI":"10.1128/IAI.73.2.712-721.2005","ISSN":"0019-9567","PMID":"15664909","abstract":"Adherent and invasive Escherichia coli (AIEC) bacteria isolated from Crohn's disease patients are able to greatly replicate within macrophages without escaping from the phagosome and without inducing macrophage death. In the present study, evidence is provided that in AIEC strain LF82 the htrA gene encoding the stress protein HtrA is essential for intracellular replication within J774-A1 macrophages. Deletion of the htrA gene in strain LF82 induced increased sensitivity of the isogenic mutant to oxidative stress caused by hydrogen peroxide and a reduced rate of growth in an acid and nutrient-poor medium partly reproducing the microenvironment of the phagosome. In vitro experiments using an LF82 htrA gene promoter fusion with the lacZ gene revealed a 38-fold activation of the promoter in AIEC LF82 intramacrophagic bacteria. The CpxRA two-component signaling pathway was not involved in this activation. In addition, the activation of the LF82 htrA gene promoter was not observed in the nonpathogenic E. coli K-12 intramacrophagic bacteria, indicating that the AIEC LF82 genetic background is crucial for induction of htrA gene transcription during phagocytosis.","author":[{"dropping-particle":"","family":"Bringer","given":"Marie-Agnès","non-dropping-particle":"","parse-names":false,"suffix":""},{"dropping-particle":"","family":"Barnich","given":"Nicolas","non-dropping-particle":"","parse-names":false,"suffix":""},{"dropping-particle":"","family":"Glasser","given":"Anne-Lise","non-dropping-particle":"","parse-names":false,"suffix":""},{"dropping-particle":"","family":"Bardot","given":"Olivier","non-dropping-particle":"","parse-names":false,"suffix":""},{"dropping-particle":"","family":"Darfeuille-Michaud","given":"Arlette","non-dropping-particle":"","parse-names":false,"suffix":""}],"container-title":"Infection and immunity","id":"ITEM-1","issue":"2","issued":{"date-parts":[["2005","2"]]},"page":"712-21","publisher":"American Society for Microbiology (ASM)","title":"HtrA stress protein is involved in intramacrophagic replication of adherent and invasive Escherichia coli strain LF82 isolated from a patient with Crohn's disease.","type":"article-journal","volume":"73"},"uris":["http://www.mendeley.com/documents/?uuid=b7a37f2b-8b71-3cc1-ae3d-a00e9f4df1c5"]}],"mendeley":{"formattedCitation":"&lt;sup&gt;[21]&lt;/sup&gt;","plainTextFormattedCitation":"[21]","previouslyFormattedCitation":"&lt;sup&gt;[25]&lt;/sup&gt;"},"properties":{"noteIndex":0},"schema":"https://github.com/citation-style-language/schema/raw/master/csl-citation.json"}</w:instrText>
      </w:r>
      <w:r w:rsidRPr="000A6219">
        <w:rPr>
          <w:rFonts w:ascii="Book Antiqua" w:eastAsia="Calibri" w:hAnsi="Book Antiqua" w:cs="Times New Roman"/>
          <w:color w:val="000000"/>
          <w:sz w:val="24"/>
          <w:szCs w:val="24"/>
          <w:lang w:val="en-US"/>
        </w:rPr>
        <w:fldChar w:fldCharType="separate"/>
      </w:r>
      <w:r w:rsidR="004C4A78" w:rsidRPr="000A6219">
        <w:rPr>
          <w:rFonts w:ascii="Book Antiqua" w:eastAsia="Calibri" w:hAnsi="Book Antiqua" w:cs="Times New Roman"/>
          <w:noProof/>
          <w:color w:val="000000"/>
          <w:sz w:val="24"/>
          <w:szCs w:val="24"/>
          <w:vertAlign w:val="superscript"/>
          <w:lang w:val="en-US"/>
        </w:rPr>
        <w:t>[21]</w:t>
      </w:r>
      <w:r w:rsidRPr="000A6219">
        <w:rPr>
          <w:rFonts w:ascii="Book Antiqua" w:eastAsia="Calibri" w:hAnsi="Book Antiqua" w:cs="Times New Roman"/>
          <w:color w:val="000000"/>
          <w:sz w:val="24"/>
          <w:szCs w:val="24"/>
          <w:lang w:val="en-US"/>
        </w:rPr>
        <w:fldChar w:fldCharType="end"/>
      </w:r>
      <w:r w:rsidRPr="000A6219">
        <w:rPr>
          <w:rFonts w:ascii="Book Antiqua" w:eastAsia="Calibri" w:hAnsi="Book Antiqua" w:cs="Times New Roman"/>
          <w:color w:val="000000"/>
          <w:sz w:val="24"/>
          <w:szCs w:val="24"/>
          <w:lang w:val="en-US"/>
        </w:rPr>
        <w:t>, seven genes in the presence of bile salts</w:t>
      </w:r>
      <w:r w:rsidRPr="000A6219">
        <w:rPr>
          <w:rFonts w:ascii="Book Antiqua" w:eastAsia="Calibri" w:hAnsi="Book Antiqua" w:cs="Times New Roman"/>
          <w:color w:val="000000"/>
          <w:sz w:val="24"/>
          <w:szCs w:val="24"/>
          <w:lang w:val="en-US"/>
        </w:rPr>
        <w:fldChar w:fldCharType="begin" w:fldLock="1"/>
      </w:r>
      <w:r w:rsidR="00894FE5" w:rsidRPr="000A6219">
        <w:rPr>
          <w:rFonts w:ascii="Book Antiqua" w:eastAsia="Calibri" w:hAnsi="Book Antiqua" w:cs="Times New Roman"/>
          <w:color w:val="000000"/>
          <w:sz w:val="24"/>
          <w:szCs w:val="24"/>
          <w:lang w:val="en-US"/>
        </w:rPr>
        <w:instrText>ADDIN CSL_CITATION {"citationItems":[{"id":"ITEM-1","itemData":{"DOI":"10.1038/s41598-019-38628-1","ISSN":"2045-2322","PMID":"30778122","abstract":"The adherent-invasive Escherichia coli (AIEC), which colonize the ileal mucosa of Crohn's disease patients, adhere to intestinal epithelial cells, invade them and exacerbate intestinal inflammation. The high nutrient competition between the commensal microbiota and AIEC pathobiont requires the latter to occupy their own metabolic niches to survive and proliferate within the gut. In this study, a global RNA sequencing of AIEC strain LF82 has been used to observe the impact of bile salts on the expression of metabolic genes. The results showed a global up-regulation of genes involved in degradation and a down-regulation of those implicated in biosynthesis. The main up-regulated degradation pathways were ethanolamine, 1,2-propanediol and citrate utilization, as well as the methyl-citrate pathway. Our study reveals that ethanolamine utilization bestows a competitive advantage of AIEC strains that are metabolically capable of its degradation in the presence of bile salts. We observed that bile salts activated secondary metabolism pathways that communicate to provide an energy benefit to AIEC. Bile salts may be used by AIEC as an environmental signal to promote their colonization.","author":[{"dropping-particle":"","family":"Delmas","given":"Julien","non-dropping-particle":"","parse-names":false,"suffix":""},{"dropping-particle":"","family":"Gibold","given":"Lucie","non-dropping-particle":"","parse-names":false,"suffix":""},{"dropping-particle":"","family":"Faïs","given":"Tiphanie","non-dropping-particle":"","parse-names":false,"suffix":""},{"dropping-particle":"","family":"Batista","given":"Sylvine","non-dropping-particle":"","parse-names":false,"suffix":""},{"dropping-particle":"","family":"Leremboure","given":"Martin","non-dropping-particle":"","parse-names":false,"suffix":""},{"dropping-particle":"","family":"Sinel","given":"Clara","non-dropping-particle":"","parse-names":false,"suffix":""},{"dropping-particle":"","family":"Vazeille","given":"Emilie","non-dropping-particle":"","parse-names":false,"suffix":""},{"dropping-particle":"","family":"Cattoir","given":"Vincent","non-dropping-particle":"","parse-names":false,"suffix":""},{"dropping-particle":"","family":"Buisson","given":"Anthony","non-dropping-particle":"","parse-names":false,"suffix":""},{"dropping-particle":"","family":"Barnich","given":"Nicolas","non-dropping-particle":"","parse-names":false,"suffix":""},{"dropping-particle":"","family":"Dalmasso","given":"Guillaume","non-dropping-particle":"","parse-names":false,"suffix":""},{"dropping-particle":"","family":"Bonnet","given":"Richard","non-dropping-particle":"","parse-names":false,"suffix":""}],"container-title":"Scientific Reports","id":"ITEM-1","issue":"1","issued":{"date-parts":[["2019","12","18"]]},"page":"2175","title":"Metabolic adaptation of adherent-invasive Escherichia coli to exposure to bile salts","type":"article-journal","volume":"9"},"uris":["http://www.mendeley.com/documents/?uuid=2f7805cb-0831-3926-83c3-571b797141d9"]}],"mendeley":{"formattedCitation":"&lt;sup&gt;[46]&lt;/sup&gt;","plainTextFormattedCitation":"[46]","previouslyFormattedCitation":"&lt;sup&gt;[46]&lt;/sup&gt;"},"properties":{"noteIndex":0},"schema":"https://github.com/citation-style-language/schema/raw/master/csl-citation.json"}</w:instrText>
      </w:r>
      <w:r w:rsidRPr="000A6219">
        <w:rPr>
          <w:rFonts w:ascii="Book Antiqua" w:eastAsia="Calibri" w:hAnsi="Book Antiqua" w:cs="Times New Roman"/>
          <w:color w:val="000000"/>
          <w:sz w:val="24"/>
          <w:szCs w:val="24"/>
          <w:lang w:val="en-US"/>
        </w:rPr>
        <w:fldChar w:fldCharType="separate"/>
      </w:r>
      <w:r w:rsidR="00765E1A" w:rsidRPr="000A6219">
        <w:rPr>
          <w:rFonts w:ascii="Book Antiqua" w:eastAsia="Calibri" w:hAnsi="Book Antiqua" w:cs="Times New Roman"/>
          <w:noProof/>
          <w:color w:val="000000"/>
          <w:sz w:val="24"/>
          <w:szCs w:val="24"/>
          <w:vertAlign w:val="superscript"/>
          <w:lang w:val="en-US"/>
        </w:rPr>
        <w:t>[4</w:t>
      </w:r>
      <w:r w:rsidR="00554ED9">
        <w:rPr>
          <w:rFonts w:ascii="Book Antiqua" w:eastAsia="Calibri" w:hAnsi="Book Antiqua" w:cs="Times New Roman"/>
          <w:noProof/>
          <w:color w:val="000000"/>
          <w:sz w:val="24"/>
          <w:szCs w:val="24"/>
          <w:vertAlign w:val="superscript"/>
          <w:lang w:val="en-US"/>
        </w:rPr>
        <w:t>8</w:t>
      </w:r>
      <w:r w:rsidR="00765E1A" w:rsidRPr="000A6219">
        <w:rPr>
          <w:rFonts w:ascii="Book Antiqua" w:eastAsia="Calibri" w:hAnsi="Book Antiqua" w:cs="Times New Roman"/>
          <w:noProof/>
          <w:color w:val="000000"/>
          <w:sz w:val="24"/>
          <w:szCs w:val="24"/>
          <w:vertAlign w:val="superscript"/>
          <w:lang w:val="en-US"/>
        </w:rPr>
        <w:t>]</w:t>
      </w:r>
      <w:r w:rsidRPr="000A6219">
        <w:rPr>
          <w:rFonts w:ascii="Book Antiqua" w:eastAsia="Calibri" w:hAnsi="Book Antiqua" w:cs="Times New Roman"/>
          <w:color w:val="000000"/>
          <w:sz w:val="24"/>
          <w:szCs w:val="24"/>
          <w:lang w:val="en-US"/>
        </w:rPr>
        <w:fldChar w:fldCharType="end"/>
      </w:r>
      <w:r w:rsidRPr="000A6219">
        <w:rPr>
          <w:rFonts w:ascii="Book Antiqua" w:eastAsia="Calibri" w:hAnsi="Book Antiqua" w:cs="Times New Roman"/>
          <w:color w:val="000000"/>
          <w:sz w:val="24"/>
          <w:szCs w:val="24"/>
          <w:lang w:val="en-US"/>
        </w:rPr>
        <w:t xml:space="preserve"> or comparative transcriptomics while growing in </w:t>
      </w:r>
      <w:r w:rsidR="00C15F0F" w:rsidRPr="000A6219">
        <w:rPr>
          <w:rFonts w:ascii="Book Antiqua" w:eastAsia="Calibri" w:hAnsi="Book Antiqua" w:cs="Times New Roman"/>
          <w:sz w:val="24"/>
          <w:szCs w:val="24"/>
          <w:lang w:val="en-US"/>
        </w:rPr>
        <w:t>Luria broth</w:t>
      </w:r>
      <w:r w:rsidRPr="000A6219">
        <w:rPr>
          <w:rFonts w:ascii="Book Antiqua" w:eastAsia="Calibri" w:hAnsi="Book Antiqua" w:cs="Times New Roman"/>
          <w:color w:val="000000"/>
          <w:sz w:val="24"/>
          <w:szCs w:val="24"/>
          <w:lang w:val="en-US"/>
        </w:rPr>
        <w:t xml:space="preserve"> medium</w:t>
      </w:r>
      <w:r w:rsidRPr="000A6219">
        <w:rPr>
          <w:rFonts w:ascii="Book Antiqua" w:eastAsia="Calibri" w:hAnsi="Book Antiqua" w:cs="Times New Roman"/>
          <w:color w:val="000000"/>
          <w:sz w:val="24"/>
          <w:szCs w:val="24"/>
          <w:lang w:val="en-US"/>
        </w:rPr>
        <w:fldChar w:fldCharType="begin" w:fldLock="1"/>
      </w:r>
      <w:r w:rsidR="00894FE5" w:rsidRPr="000A6219">
        <w:rPr>
          <w:rFonts w:ascii="Book Antiqua" w:eastAsia="Calibri" w:hAnsi="Book Antiqua" w:cs="Times New Roman"/>
          <w:color w:val="000000"/>
          <w:sz w:val="24"/>
          <w:szCs w:val="24"/>
          <w:lang w:val="en-US"/>
        </w:rPr>
        <w:instrText>ADDIN CSL_CITATION {"citationItems":[{"id":"ITEM-1","itemData":{"DOI":"10.1371/journal.pone.0130902","ISSN":"1932-6203","PMID":"26125937","abstract":"Adherent-invasive Escherichia coli (AIEC) strains are detected more frequently within mucosal lesions of patients with Crohn's disease (CD). The AIEC phenotype consists of adherence and invasion of intestinal epithelial cells and survival within macrophages of these bacteria in vitro. Our aim was to identify candidate transcripts that distinguish AIEC from non-invasive E. coli (NIEC) strains and might be useful for rapid and accurate identification of AIEC by culture-independent technology. We performed comparative RNA-Sequence (RNASeq) analysis using AIEC strain LF82 and NIEC strain HS during exponential and stationary growth. Differential expression analysis of coding sequences (CDS) homologous to both strains demonstrated 224 and 241 genes with increased and decreased expression, respectively, in LF82 relative to HS. Transition metal transport and siderophore metabolism related pathway genes were up-regulated, while glycogen metabolic and oxidation-reduction related pathway genes were down-regulated, in LF82. Chemotaxis related transcripts were up-regulated in LF82 during the exponential phase, but flagellum-dependent motility pathway genes were down-regulated in LF82 during the stationary phase. CDS that mapped only to the LF82 genome accounted for 747 genes. We applied an in silico subtractive genomics approach to identify CDS specific to AIEC by incorporating the genomes of 10 other previously phenotyped NIEC. From this analysis, 166 CDS mapped to the LF82 genome and lacked homology to any of the 11 human NIEC strains. We compared these CDS across 13 AIEC, but none were homologous in each. Four LF82 gene loci belonging to clustered regularly interspaced short palindromic repeats region (CRISPR)--CRISPR-associated (Cas) genes were identified in 4 to 6 AIEC and absent from all non-pathogenic bacteria. As previously reported, AIEC strains were enriched for pdu operon genes. One CDS, encoding an excisionase, was shared by 9 AIEC strains. Reverse transcription quantitative polymerase chain reaction assays for 6 genes were conducted on fecal and ileal RNA samples from 22 inflammatory bowel disease (IBD), and 32 patients without IBD (non-IBD). The expression of Cas loci was detected in a higher proportion of CD than non-IBD fecal and ileal RNA samples (p &lt;0.05). These results support a comparative genomic/transcriptomic approach towards identifying candidate AIEC signature transcripts.","author":[{"dropping-particle":"","family":"Zhang","given":"Yuanhao","non-dropping-particle":"","parse-names":false,"suffix":""},{"dropping-particle":"","family":"Rowehl","given":"Leahana","non-dropping-particle":"","parse-names":false,"suffix":""},{"dropping-particle":"","family":"Krumsiek","given":"Julia M","non-dropping-particle":"","parse-names":false,"suffix":""},{"dropping-particle":"","family":"Orner","given":"Erika P","non-dropping-particle":"","parse-names":false,"suffix":""},{"dropping-particle":"","family":"Shaikh","given":"Nurmohammad","non-dropping-particle":"","parse-names":false,"suffix":""},{"dropping-particle":"","family":"Tarr","given":"Phillip I","non-dropping-particle":"","parse-names":false,"suffix":""},{"dropping-particle":"","family":"Sodergren","given":"Erica","non-dropping-particle":"","parse-names":false,"suffix":""},{"dropping-particle":"","family":"Weinstock","given":"George M","non-dropping-particle":"","parse-names":false,"suffix":""},{"dropping-particle":"","family":"Boedeker","given":"Edgar C","non-dropping-particle":"","parse-names":false,"suffix":""},{"dropping-particle":"","family":"Xiong","given":"Xuejian","non-dropping-particle":"","parse-names":false,"suffix":""},{"dropping-particle":"","family":"Parkinson","given":"John","non-dropping-particle":"","parse-names":false,"suffix":""},{"dropping-particle":"","family":"Frank","given":"Daniel N","non-dropping-particle":"","parse-names":false,"suffix":""},{"dropping-particle":"","family":"Li","given":"Ellen","non-dropping-particle":"","parse-names":false,"suffix":""},{"dropping-particle":"","family":"Gathungu","given":"Grace","non-dropping-particle":"","parse-names":false,"suffix":""}],"container-title":"PloS one","id":"ITEM-1","issue":"6","issued":{"date-parts":[["2015"]]},"page":"e0130902","publisher":"Public Library of Science","title":"Identification of Candidate Adherent-Invasive E. coli Signature Transcripts by Genomic/Transcriptomic Analysis.","type":"article-journal","volume":"10"},"uris":["http://www.mendeley.com/documents/?uuid=c64dddf1-d66e-31ad-8569-739a844139b3"]}],"mendeley":{"formattedCitation":"&lt;sup&gt;[35]&lt;/sup&gt;","plainTextFormattedCitation":"[35]","previouslyFormattedCitation":"&lt;sup&gt;[35]&lt;/sup&gt;"},"properties":{"noteIndex":0},"schema":"https://github.com/citation-style-language/schema/raw/master/csl-citation.json"}</w:instrText>
      </w:r>
      <w:r w:rsidRPr="000A6219">
        <w:rPr>
          <w:rFonts w:ascii="Book Antiqua" w:eastAsia="Calibri" w:hAnsi="Book Antiqua" w:cs="Times New Roman"/>
          <w:color w:val="000000"/>
          <w:sz w:val="24"/>
          <w:szCs w:val="24"/>
          <w:lang w:val="en-US"/>
        </w:rPr>
        <w:fldChar w:fldCharType="separate"/>
      </w:r>
      <w:r w:rsidR="00765E1A" w:rsidRPr="000A6219">
        <w:rPr>
          <w:rFonts w:ascii="Book Antiqua" w:eastAsia="Calibri" w:hAnsi="Book Antiqua" w:cs="Times New Roman"/>
          <w:noProof/>
          <w:color w:val="000000"/>
          <w:sz w:val="24"/>
          <w:szCs w:val="24"/>
          <w:vertAlign w:val="superscript"/>
          <w:lang w:val="en-US"/>
        </w:rPr>
        <w:t>[35]</w:t>
      </w:r>
      <w:r w:rsidRPr="000A6219">
        <w:rPr>
          <w:rFonts w:ascii="Book Antiqua" w:eastAsia="Calibri" w:hAnsi="Book Antiqua" w:cs="Times New Roman"/>
          <w:color w:val="000000"/>
          <w:sz w:val="24"/>
          <w:szCs w:val="24"/>
          <w:lang w:val="en-US"/>
        </w:rPr>
        <w:fldChar w:fldCharType="end"/>
      </w:r>
      <w:r w:rsidRPr="000A6219">
        <w:rPr>
          <w:rFonts w:ascii="Book Antiqua" w:eastAsia="Calibri" w:hAnsi="Book Antiqua" w:cs="Times New Roman"/>
          <w:color w:val="000000"/>
          <w:sz w:val="24"/>
          <w:szCs w:val="24"/>
          <w:lang w:val="en-US"/>
        </w:rPr>
        <w:t>. Our research contributed to th</w:t>
      </w:r>
      <w:r w:rsidR="003D38CD" w:rsidRPr="000A6219">
        <w:rPr>
          <w:rFonts w:ascii="Book Antiqua" w:eastAsia="Calibri" w:hAnsi="Book Antiqua" w:cs="Times New Roman"/>
          <w:color w:val="000000"/>
          <w:sz w:val="24"/>
          <w:szCs w:val="24"/>
          <w:lang w:val="en-US"/>
        </w:rPr>
        <w:t>ese findings</w:t>
      </w:r>
      <w:r w:rsidRPr="000A6219">
        <w:rPr>
          <w:rFonts w:ascii="Book Antiqua" w:eastAsia="Calibri" w:hAnsi="Book Antiqua" w:cs="Times New Roman"/>
          <w:color w:val="000000"/>
          <w:sz w:val="24"/>
          <w:szCs w:val="24"/>
          <w:lang w:val="en-US"/>
        </w:rPr>
        <w:t xml:space="preserve"> by studying </w:t>
      </w:r>
      <w:r w:rsidR="00BC6452" w:rsidRPr="000A6219">
        <w:rPr>
          <w:rFonts w:ascii="Book Antiqua" w:eastAsia="Calibri" w:hAnsi="Book Antiqua" w:cs="Times New Roman"/>
          <w:color w:val="000000"/>
          <w:sz w:val="24"/>
          <w:szCs w:val="24"/>
          <w:lang w:val="en-US"/>
        </w:rPr>
        <w:t>outer membrane proteins (</w:t>
      </w:r>
      <w:r w:rsidRPr="000A6219">
        <w:rPr>
          <w:rFonts w:ascii="Book Antiqua" w:eastAsia="Calibri" w:hAnsi="Book Antiqua" w:cs="Times New Roman"/>
          <w:color w:val="000000"/>
          <w:sz w:val="24"/>
          <w:szCs w:val="24"/>
          <w:lang w:val="en-US"/>
        </w:rPr>
        <w:t>OMPs</w:t>
      </w:r>
      <w:r w:rsidR="00BC6452" w:rsidRPr="000A6219">
        <w:rPr>
          <w:rFonts w:ascii="Book Antiqua" w:eastAsia="Calibri" w:hAnsi="Book Antiqua" w:cs="Times New Roman"/>
          <w:color w:val="000000"/>
          <w:sz w:val="24"/>
          <w:szCs w:val="24"/>
          <w:lang w:val="en-US"/>
        </w:rPr>
        <w:t>)</w:t>
      </w:r>
      <w:r w:rsidRPr="000A6219">
        <w:rPr>
          <w:rFonts w:ascii="Book Antiqua" w:eastAsia="Calibri" w:hAnsi="Book Antiqua" w:cs="Times New Roman"/>
          <w:color w:val="000000"/>
          <w:sz w:val="24"/>
          <w:szCs w:val="24"/>
          <w:lang w:val="en-US"/>
        </w:rPr>
        <w:t xml:space="preserve"> gene expression in a collection of AIEC/non-</w:t>
      </w:r>
      <w:r w:rsidRPr="000A6219">
        <w:rPr>
          <w:rFonts w:ascii="Book Antiqua" w:eastAsia="Calibri" w:hAnsi="Book Antiqua" w:cs="Times New Roman"/>
          <w:sz w:val="24"/>
          <w:szCs w:val="24"/>
          <w:lang w:val="en-US"/>
        </w:rPr>
        <w:t>AIEC strains</w:t>
      </w:r>
      <w:r w:rsidR="007009E6"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{"citationItems":[{"id":"ITEM-1","itemData":{"DOI":"10.3389/fmicb.2019.01707","author":[{"dropping-particle":"","family":"Camprubí-Font","given":"Carla","non-dropping-particle":"","parse-names":false,"suffix":""},{"dropping-particle":"","family":"Ruiz del Castillo","given":"Belén","non-dropping-particle":"","parse-names":false,"suffix":""},{"dropping-particle":"","family":"Barrabés","given":"Silvia","non-dropping-particle":"","parse-names":false,"suffix":""},{"dropping-particle":"","family":"Martínez-Martínez","given":"Luis","non-dropping-particle":"","parse-names":false,"suffix":""},{"dropping-particle":"","family":"Martinez-Medina","given":"Margarita","non-dropping-particle":"","parse-names":false,"suffix":""}],"container-title":"Frontiers in Microbiology","id":"ITEM-1","issued":{"date-parts":[["2019","8","6"]]},"publisher":"Frontiers Media SA","title":"Amino Acid Substitutions and Differential Gene Expression of Outer Membrane Proteins in Adherent-Invasive Escherichia coli","type":"article-journal","volume":"10"},"uris":["http://www.mendeley.com/documents/?uuid=07724558-db31-38cd-a96a-6f44edd060f8"]}],"mendeley":{"formattedCitation":"&lt;sup&gt;[45]&lt;/sup&gt;","plainTextFormattedCitation":"[45]","previouslyFormattedCitation":"&lt;sup&gt;[45]&lt;/sup&gt;"},"properties":{"noteIndex":0},"schema":"https://github.com/citation-style-language/schema/raw/master/csl-citation.json"}</w:instrText>
      </w:r>
      <w:r w:rsidR="007009E6"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[4</w:t>
      </w:r>
      <w:r w:rsidR="00554ED9">
        <w:rPr>
          <w:rFonts w:ascii="Book Antiqua" w:eastAsia="Calibri" w:hAnsi="Book Antiqua" w:cs="Times New Roman"/>
          <w:noProof/>
          <w:sz w:val="24"/>
          <w:szCs w:val="24"/>
          <w:vertAlign w:val="superscript"/>
          <w:lang w:val="en-US"/>
        </w:rPr>
        <w:t>6</w:t>
      </w:r>
      <w:r w:rsidR="00765E1A" w:rsidRPr="000A6219">
        <w:rPr>
          <w:rFonts w:ascii="Book Antiqua" w:eastAsia="Calibri" w:hAnsi="Book Antiqua" w:cs="Times New Roman"/>
          <w:noProof/>
          <w:sz w:val="24"/>
          <w:szCs w:val="24"/>
          <w:vertAlign w:val="superscript"/>
          <w:lang w:val="en-US"/>
        </w:rPr>
        <w:t>]</w:t>
      </w:r>
      <w:r w:rsidR="007009E6"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w:t>
      </w:r>
      <w:r w:rsidR="003D38CD" w:rsidRPr="000A6219">
        <w:rPr>
          <w:rFonts w:ascii="Book Antiqua" w:eastAsia="Calibri" w:hAnsi="Book Antiqua" w:cs="Times New Roman"/>
          <w:sz w:val="24"/>
          <w:szCs w:val="24"/>
          <w:lang w:val="en-US"/>
        </w:rPr>
        <w:t>W</w:t>
      </w:r>
      <w:r w:rsidR="007009E6" w:rsidRPr="000A6219">
        <w:rPr>
          <w:rFonts w:ascii="Book Antiqua" w:eastAsia="Calibri" w:hAnsi="Book Antiqua" w:cs="Times New Roman"/>
          <w:sz w:val="24"/>
          <w:szCs w:val="24"/>
          <w:lang w:val="en-US"/>
        </w:rPr>
        <w:t>e</w:t>
      </w:r>
      <w:r w:rsidRPr="000A6219">
        <w:rPr>
          <w:rFonts w:ascii="Book Antiqua" w:eastAsia="Calibri" w:hAnsi="Book Antiqua" w:cs="Times New Roman"/>
          <w:sz w:val="24"/>
          <w:szCs w:val="24"/>
          <w:lang w:val="en-US"/>
        </w:rPr>
        <w:t xml:space="preserve"> </w:t>
      </w:r>
      <w:r w:rsidR="003D38CD" w:rsidRPr="000A6219">
        <w:rPr>
          <w:rFonts w:ascii="Book Antiqua" w:eastAsia="Calibri" w:hAnsi="Book Antiqua" w:cs="Times New Roman"/>
          <w:sz w:val="24"/>
          <w:szCs w:val="24"/>
          <w:lang w:val="en-US"/>
        </w:rPr>
        <w:t>analyzed</w:t>
      </w:r>
      <w:r w:rsidRPr="000A6219">
        <w:rPr>
          <w:rFonts w:ascii="Book Antiqua" w:eastAsia="Calibri" w:hAnsi="Book Antiqua" w:cs="Times New Roman"/>
          <w:sz w:val="24"/>
          <w:szCs w:val="24"/>
          <w:lang w:val="en-US"/>
        </w:rPr>
        <w:t xml:space="preserve"> gene expression during bacter</w:t>
      </w:r>
      <w:r w:rsidR="003D38CD" w:rsidRPr="000A6219">
        <w:rPr>
          <w:rFonts w:ascii="Book Antiqua" w:eastAsia="Calibri" w:hAnsi="Book Antiqua" w:cs="Times New Roman"/>
          <w:sz w:val="24"/>
          <w:szCs w:val="24"/>
          <w:lang w:val="en-US"/>
        </w:rPr>
        <w:t>ial IEC invasion. An increase in</w:t>
      </w:r>
      <w:r w:rsidRPr="000A6219">
        <w:rPr>
          <w:rFonts w:ascii="Book Antiqua" w:eastAsia="Calibri" w:hAnsi="Book Antiqua" w:cs="Times New Roman"/>
          <w:sz w:val="24"/>
          <w:szCs w:val="24"/>
          <w:lang w:val="en-US"/>
        </w:rPr>
        <w:t xml:space="preserve"> OMPs expression was reported in </w:t>
      </w:r>
      <w:r w:rsidR="00BC6452" w:rsidRPr="000A6219">
        <w:rPr>
          <w:rFonts w:ascii="Book Antiqua" w:eastAsia="Calibri" w:hAnsi="Book Antiqua" w:cs="Times New Roman"/>
          <w:sz w:val="24"/>
          <w:szCs w:val="24"/>
          <w:lang w:val="en-US"/>
        </w:rPr>
        <w:t>non-</w:t>
      </w:r>
      <w:r w:rsidRPr="000A6219">
        <w:rPr>
          <w:rFonts w:ascii="Book Antiqua" w:eastAsia="Calibri" w:hAnsi="Book Antiqua" w:cs="Times New Roman"/>
          <w:sz w:val="24"/>
          <w:szCs w:val="24"/>
          <w:lang w:val="en-US"/>
        </w:rPr>
        <w:t xml:space="preserve">AIEC strains </w:t>
      </w:r>
      <w:r w:rsidR="00BC6452" w:rsidRPr="000A6219">
        <w:rPr>
          <w:rFonts w:ascii="Book Antiqua" w:eastAsia="Calibri" w:hAnsi="Book Antiqua" w:cs="Times New Roman"/>
          <w:sz w:val="24"/>
          <w:szCs w:val="24"/>
          <w:lang w:val="en-US"/>
        </w:rPr>
        <w:t xml:space="preserve">during IECs infection in comparison to the expression </w:t>
      </w:r>
      <w:r w:rsidRPr="000A6219">
        <w:rPr>
          <w:rFonts w:ascii="Book Antiqua" w:eastAsia="Calibri" w:hAnsi="Book Antiqua" w:cs="Times New Roman"/>
          <w:sz w:val="24"/>
          <w:szCs w:val="24"/>
          <w:lang w:val="en-US"/>
        </w:rPr>
        <w:t>during growth in the supernatant of cell cultures</w:t>
      </w:r>
      <w:r w:rsidR="00BC645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w:t>
      </w:r>
      <w:r w:rsidR="00BC6452" w:rsidRPr="000A6219">
        <w:rPr>
          <w:rFonts w:ascii="Book Antiqua" w:eastAsia="Calibri" w:hAnsi="Book Antiqua" w:cs="Times New Roman"/>
          <w:sz w:val="24"/>
          <w:szCs w:val="24"/>
          <w:lang w:val="en-US"/>
        </w:rPr>
        <w:t xml:space="preserve">while AIEC strains only presented differences between conditions for </w:t>
      </w:r>
      <w:proofErr w:type="spellStart"/>
      <w:r w:rsidR="00BC6452" w:rsidRPr="000A6219">
        <w:rPr>
          <w:rFonts w:ascii="Book Antiqua" w:eastAsia="Calibri" w:hAnsi="Book Antiqua" w:cs="Times New Roman"/>
          <w:i/>
          <w:sz w:val="24"/>
          <w:szCs w:val="24"/>
          <w:lang w:val="en-US"/>
        </w:rPr>
        <w:t>ompA</w:t>
      </w:r>
      <w:proofErr w:type="spellEnd"/>
      <w:r w:rsidR="00BC6452" w:rsidRPr="000A6219">
        <w:rPr>
          <w:rFonts w:ascii="Book Antiqua" w:eastAsia="Calibri" w:hAnsi="Book Antiqua" w:cs="Times New Roman"/>
          <w:sz w:val="24"/>
          <w:szCs w:val="24"/>
          <w:lang w:val="en-US"/>
        </w:rPr>
        <w:t xml:space="preserve"> gene expression. </w:t>
      </w:r>
      <w:r w:rsidRPr="000A6219">
        <w:rPr>
          <w:rFonts w:ascii="Book Antiqua" w:eastAsia="Calibri" w:hAnsi="Book Antiqua" w:cs="Times New Roman"/>
          <w:sz w:val="24"/>
          <w:szCs w:val="24"/>
          <w:lang w:val="en-US"/>
        </w:rPr>
        <w:t xml:space="preserve">Consequently, it is suggested that </w:t>
      </w:r>
      <w:r w:rsidR="003D38CD" w:rsidRPr="000A6219">
        <w:rPr>
          <w:rFonts w:ascii="Book Antiqua" w:eastAsia="Calibri" w:hAnsi="Book Antiqua" w:cs="Times New Roman"/>
          <w:sz w:val="24"/>
          <w:szCs w:val="24"/>
          <w:lang w:val="en-US"/>
        </w:rPr>
        <w:t>OMPs</w:t>
      </w:r>
      <w:r w:rsidRPr="000A6219">
        <w:rPr>
          <w:rFonts w:ascii="Book Antiqua" w:eastAsia="Calibri" w:hAnsi="Book Antiqua" w:cs="Times New Roman"/>
          <w:sz w:val="24"/>
          <w:szCs w:val="24"/>
          <w:lang w:val="en-US"/>
        </w:rPr>
        <w:t xml:space="preserve"> expression may participate in </w:t>
      </w:r>
      <w:r w:rsidR="00C06C3D" w:rsidRPr="000A6219">
        <w:rPr>
          <w:rFonts w:ascii="Book Antiqua" w:eastAsia="Calibri" w:hAnsi="Book Antiqua" w:cs="Times New Roman"/>
          <w:sz w:val="24"/>
          <w:szCs w:val="24"/>
          <w:lang w:val="en-US"/>
        </w:rPr>
        <w:t xml:space="preserve">bacterial adhesion to IECs and intracellular </w:t>
      </w:r>
      <w:r w:rsidR="0033107E" w:rsidRPr="000A6219">
        <w:rPr>
          <w:rFonts w:ascii="Book Antiqua" w:eastAsia="Calibri" w:hAnsi="Book Antiqua" w:cs="Times New Roman"/>
          <w:sz w:val="24"/>
          <w:szCs w:val="24"/>
          <w:lang w:val="en-US"/>
        </w:rPr>
        <w:t>persistence</w:t>
      </w:r>
      <w:r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color w:val="000000"/>
          <w:sz w:val="24"/>
          <w:szCs w:val="24"/>
          <w:lang w:val="en-US"/>
        </w:rPr>
        <w:t xml:space="preserve">Future work is required to confirm the implication of the differential expression in the AIEC phenotype by performing </w:t>
      </w:r>
      <w:r w:rsidR="003D38CD" w:rsidRPr="000A6219">
        <w:rPr>
          <w:rFonts w:ascii="Book Antiqua" w:eastAsia="Calibri" w:hAnsi="Book Antiqua" w:cs="Times New Roman"/>
          <w:color w:val="000000"/>
          <w:sz w:val="24"/>
          <w:szCs w:val="24"/>
          <w:lang w:val="en-US"/>
        </w:rPr>
        <w:t xml:space="preserve">expression </w:t>
      </w:r>
      <w:r w:rsidRPr="000A6219">
        <w:rPr>
          <w:rFonts w:ascii="Book Antiqua" w:eastAsia="Calibri" w:hAnsi="Book Antiqua" w:cs="Times New Roman"/>
          <w:color w:val="000000"/>
          <w:sz w:val="24"/>
          <w:szCs w:val="24"/>
          <w:lang w:val="en-US"/>
        </w:rPr>
        <w:t xml:space="preserve">mutants and </w:t>
      </w:r>
      <w:r w:rsidR="003D38CD" w:rsidRPr="000A6219">
        <w:rPr>
          <w:rFonts w:ascii="Book Antiqua" w:eastAsia="Calibri" w:hAnsi="Book Antiqua" w:cs="Times New Roman"/>
          <w:color w:val="000000"/>
          <w:sz w:val="24"/>
          <w:szCs w:val="24"/>
          <w:lang w:val="en-US"/>
        </w:rPr>
        <w:t xml:space="preserve">deciphering </w:t>
      </w:r>
      <w:r w:rsidRPr="000A6219">
        <w:rPr>
          <w:rFonts w:ascii="Book Antiqua" w:eastAsia="Calibri" w:hAnsi="Book Antiqua" w:cs="Times New Roman"/>
          <w:color w:val="000000"/>
          <w:sz w:val="24"/>
          <w:szCs w:val="24"/>
          <w:lang w:val="en-US"/>
        </w:rPr>
        <w:t xml:space="preserve">whether the differential expression is a trait common </w:t>
      </w:r>
      <w:r w:rsidR="003D38CD" w:rsidRPr="000A6219">
        <w:rPr>
          <w:rFonts w:ascii="Book Antiqua" w:eastAsia="Calibri" w:hAnsi="Book Antiqua" w:cs="Times New Roman"/>
          <w:color w:val="000000"/>
          <w:sz w:val="24"/>
          <w:szCs w:val="24"/>
          <w:lang w:val="en-US"/>
        </w:rPr>
        <w:t>to</w:t>
      </w:r>
      <w:r w:rsidRPr="000A6219">
        <w:rPr>
          <w:rFonts w:ascii="Book Antiqua" w:eastAsia="Calibri" w:hAnsi="Book Antiqua" w:cs="Times New Roman"/>
          <w:color w:val="000000"/>
          <w:sz w:val="24"/>
          <w:szCs w:val="24"/>
          <w:lang w:val="en-US"/>
        </w:rPr>
        <w:t xml:space="preserve"> all AIEC strains by studying the gene expression</w:t>
      </w:r>
      <w:r w:rsidR="0010433F" w:rsidRPr="000A6219">
        <w:rPr>
          <w:rFonts w:ascii="Book Antiqua" w:eastAsia="Calibri" w:hAnsi="Book Antiqua" w:cs="Times New Roman"/>
          <w:color w:val="000000"/>
          <w:sz w:val="24"/>
          <w:szCs w:val="24"/>
          <w:lang w:val="en-US"/>
        </w:rPr>
        <w:t xml:space="preserve"> in a larger strain collection.</w:t>
      </w:r>
    </w:p>
    <w:p w14:paraId="37AD16DB" w14:textId="77777777" w:rsidR="00793FA6" w:rsidRPr="000A6219" w:rsidRDefault="00793FA6" w:rsidP="000A6219">
      <w:pPr>
        <w:snapToGrid w:val="0"/>
        <w:spacing w:after="0" w:line="360" w:lineRule="auto"/>
        <w:jc w:val="both"/>
        <w:rPr>
          <w:rFonts w:ascii="Book Antiqua" w:eastAsia="Times New Roman" w:hAnsi="Book Antiqua" w:cs="Times New Roman"/>
          <w:b/>
          <w:bCs/>
          <w:iCs/>
          <w:sz w:val="24"/>
          <w:szCs w:val="24"/>
          <w:lang w:val="en-US"/>
        </w:rPr>
      </w:pPr>
    </w:p>
    <w:p w14:paraId="3FECCA21" w14:textId="24F56323" w:rsidR="00721A65" w:rsidRPr="000A6219" w:rsidRDefault="00721A65" w:rsidP="000A6219">
      <w:pPr>
        <w:snapToGrid w:val="0"/>
        <w:spacing w:after="0" w:line="360" w:lineRule="auto"/>
        <w:jc w:val="both"/>
        <w:rPr>
          <w:rFonts w:ascii="Book Antiqua" w:eastAsia="Times New Roman" w:hAnsi="Book Antiqua" w:cs="Times New Roman"/>
          <w:b/>
          <w:iCs/>
          <w:caps/>
          <w:sz w:val="24"/>
          <w:szCs w:val="24"/>
          <w:u w:val="single"/>
          <w:lang w:val="en-US"/>
        </w:rPr>
      </w:pPr>
      <w:r w:rsidRPr="000A6219">
        <w:rPr>
          <w:rFonts w:ascii="Book Antiqua" w:eastAsia="Times New Roman" w:hAnsi="Book Antiqua" w:cs="Times New Roman"/>
          <w:b/>
          <w:bCs/>
          <w:iCs/>
          <w:caps/>
          <w:sz w:val="24"/>
          <w:szCs w:val="24"/>
          <w:u w:val="single"/>
          <w:lang w:val="en-US"/>
        </w:rPr>
        <w:t>Putative biomarker</w:t>
      </w:r>
      <w:r w:rsidR="00793FA6" w:rsidRPr="000A6219">
        <w:rPr>
          <w:rFonts w:ascii="Book Antiqua" w:eastAsia="Times New Roman" w:hAnsi="Book Antiqua" w:cs="Times New Roman"/>
          <w:b/>
          <w:bCs/>
          <w:iCs/>
          <w:caps/>
          <w:sz w:val="24"/>
          <w:szCs w:val="24"/>
          <w:u w:val="single"/>
          <w:lang w:val="en-US"/>
        </w:rPr>
        <w:t>s to assist</w:t>
      </w:r>
      <w:r w:rsidR="00793FA6" w:rsidRPr="000A6219">
        <w:rPr>
          <w:rFonts w:ascii="Book Antiqua" w:eastAsia="Times New Roman" w:hAnsi="Book Antiqua" w:cs="Times New Roman"/>
          <w:b/>
          <w:bCs/>
          <w:iCs/>
          <w:sz w:val="24"/>
          <w:szCs w:val="24"/>
          <w:u w:val="single"/>
          <w:lang w:val="en-US"/>
        </w:rPr>
        <w:t xml:space="preserve"> </w:t>
      </w:r>
      <w:r w:rsidR="005976AA">
        <w:rPr>
          <w:rFonts w:ascii="Book Antiqua" w:hAnsi="Book Antiqua" w:cs="Times New Roman" w:hint="eastAsia"/>
          <w:b/>
          <w:caps/>
          <w:sz w:val="24"/>
          <w:szCs w:val="24"/>
          <w:u w:val="single"/>
          <w:lang w:val="en-US" w:eastAsia="zh-CN"/>
        </w:rPr>
        <w:t xml:space="preserve">AIEC </w:t>
      </w:r>
      <w:r w:rsidR="00793FA6" w:rsidRPr="000A6219">
        <w:rPr>
          <w:rFonts w:ascii="Book Antiqua" w:eastAsia="Times New Roman" w:hAnsi="Book Antiqua" w:cs="Times New Roman"/>
          <w:b/>
          <w:bCs/>
          <w:iCs/>
          <w:caps/>
          <w:sz w:val="24"/>
          <w:szCs w:val="24"/>
          <w:u w:val="single"/>
          <w:lang w:val="en-US"/>
        </w:rPr>
        <w:t>identification</w:t>
      </w:r>
    </w:p>
    <w:p w14:paraId="7A132AE7" w14:textId="7F5309A6" w:rsidR="00721A65" w:rsidRPr="000A6219" w:rsidRDefault="00721A65"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To date, </w:t>
      </w:r>
      <w:r w:rsidR="00EF1B8E" w:rsidRPr="000A6219">
        <w:rPr>
          <w:rFonts w:ascii="Book Antiqua" w:eastAsia="Calibri" w:hAnsi="Book Antiqua" w:cs="Times New Roman"/>
          <w:sz w:val="24"/>
          <w:szCs w:val="24"/>
          <w:lang w:val="en-US"/>
        </w:rPr>
        <w:t>eight</w:t>
      </w:r>
      <w:r w:rsidRPr="000A6219">
        <w:rPr>
          <w:rFonts w:ascii="Book Antiqua" w:eastAsia="Calibri" w:hAnsi="Book Antiqua" w:cs="Times New Roman"/>
          <w:sz w:val="24"/>
          <w:szCs w:val="24"/>
          <w:lang w:val="en-US"/>
        </w:rPr>
        <w:t xml:space="preserve"> genetic elements have been suggested as putative AIEC molecular markers (Table </w:t>
      </w:r>
      <w:r w:rsidR="00BA5A02" w:rsidRPr="000A6219">
        <w:rPr>
          <w:rFonts w:ascii="Book Antiqua" w:eastAsia="Calibri" w:hAnsi="Book Antiqua" w:cs="Times New Roman"/>
          <w:sz w:val="24"/>
          <w:szCs w:val="24"/>
          <w:lang w:val="en-US"/>
        </w:rPr>
        <w:t>4</w:t>
      </w:r>
      <w:r w:rsidRPr="000A6219">
        <w:rPr>
          <w:rFonts w:ascii="Book Antiqua" w:eastAsia="Calibri" w:hAnsi="Book Antiqua" w:cs="Times New Roman"/>
          <w:sz w:val="24"/>
          <w:szCs w:val="24"/>
          <w:lang w:val="en-US"/>
        </w:rPr>
        <w:t xml:space="preserve">), however </w:t>
      </w:r>
      <w:r w:rsidR="00EF1B8E" w:rsidRPr="000A6219">
        <w:rPr>
          <w:rFonts w:ascii="Book Antiqua" w:eastAsia="Calibri" w:hAnsi="Book Antiqua" w:cs="Times New Roman"/>
          <w:sz w:val="24"/>
          <w:szCs w:val="24"/>
          <w:lang w:val="en-US"/>
        </w:rPr>
        <w:t>most of them presented</w:t>
      </w:r>
      <w:r w:rsidRPr="000A6219">
        <w:rPr>
          <w:rFonts w:ascii="Book Antiqua" w:eastAsia="Calibri" w:hAnsi="Book Antiqua" w:cs="Times New Roman"/>
          <w:sz w:val="24"/>
          <w:szCs w:val="24"/>
          <w:lang w:val="en-US"/>
        </w:rPr>
        <w:t xml:space="preserve"> either present low sensitivity or have been studied in a reduced number of strains. The putative biom</w:t>
      </w:r>
      <w:r w:rsidR="00793FA6" w:rsidRPr="000A6219">
        <w:rPr>
          <w:rFonts w:ascii="Book Antiqua" w:eastAsia="Calibri" w:hAnsi="Book Antiqua" w:cs="Times New Roman"/>
          <w:sz w:val="24"/>
          <w:szCs w:val="24"/>
          <w:lang w:val="en-US"/>
        </w:rPr>
        <w:t xml:space="preserve">arkers presented by Dogan </w:t>
      </w:r>
      <w:r w:rsidR="00793FA6" w:rsidRPr="000A6219">
        <w:rPr>
          <w:rFonts w:ascii="Book Antiqua" w:eastAsia="Calibri" w:hAnsi="Book Antiqua" w:cs="Times New Roman"/>
          <w:i/>
          <w:sz w:val="24"/>
          <w:szCs w:val="24"/>
          <w:lang w:val="en-US"/>
        </w:rPr>
        <w:t>et al</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[31]</w:t>
      </w:r>
      <w:r w:rsidRPr="000A6219">
        <w:rPr>
          <w:rFonts w:ascii="Book Antiqua" w:eastAsia="Calibri" w:hAnsi="Book Antiqua" w:cs="Times New Roman"/>
          <w:sz w:val="24"/>
          <w:szCs w:val="24"/>
          <w:lang w:val="en-US"/>
        </w:rPr>
        <w:fldChar w:fldCharType="end"/>
      </w:r>
      <w:r w:rsidR="00793FA6" w:rsidRPr="000A6219">
        <w:rPr>
          <w:rFonts w:ascii="Book Antiqua" w:eastAsia="Calibri" w:hAnsi="Book Antiqua" w:cs="Times New Roman"/>
          <w:sz w:val="24"/>
          <w:szCs w:val="24"/>
          <w:lang w:val="en-US"/>
        </w:rPr>
        <w:t xml:space="preserve"> and </w:t>
      </w:r>
      <w:proofErr w:type="spellStart"/>
      <w:r w:rsidR="00793FA6" w:rsidRPr="000A6219">
        <w:rPr>
          <w:rFonts w:ascii="Book Antiqua" w:eastAsia="Calibri" w:hAnsi="Book Antiqua" w:cs="Times New Roman"/>
          <w:sz w:val="24"/>
          <w:szCs w:val="24"/>
          <w:lang w:val="en-US"/>
        </w:rPr>
        <w:t>Vazeille</w:t>
      </w:r>
      <w:proofErr w:type="spellEnd"/>
      <w:r w:rsidR="00793FA6" w:rsidRPr="000A6219">
        <w:rPr>
          <w:rFonts w:ascii="Book Antiqua" w:eastAsia="Calibri" w:hAnsi="Book Antiqua" w:cs="Times New Roman"/>
          <w:sz w:val="24"/>
          <w:szCs w:val="24"/>
          <w:lang w:val="en-US"/>
        </w:rPr>
        <w:t xml:space="preserve"> </w:t>
      </w:r>
      <w:r w:rsidR="00793FA6" w:rsidRPr="000A6219">
        <w:rPr>
          <w:rFonts w:ascii="Book Antiqua" w:eastAsia="Calibri" w:hAnsi="Book Antiqua" w:cs="Times New Roman"/>
          <w:i/>
          <w:sz w:val="24"/>
          <w:szCs w:val="24"/>
          <w:lang w:val="en-US"/>
        </w:rPr>
        <w:t>et al</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{"citationItems":[{"id":"ITEM-1","itemData":{"DOI":"10.1097/MIB.0000000000000609","ISSN":"1536-4844","PMID":"26512715","abstract":"BACKGROUND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 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 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 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diseases","id":"ITEM-1","issue":"1","issued":{"date-parts":[["2016","1"]]},"page":"68-81","title":"GipA Factor Supports Colonization of Peyer's Patches by Crohn's Disease-associated Escherichia Coli.","type":"article-journal","volume":"22"},"uris":["http://www.mendeley.com/documents/?uuid=51303cd0-bfeb-36be-aba1-cf6d0f4665e0"]}],"mendeley":{"formattedCitation":"&lt;sup&gt;[47]&lt;/sup&gt;","plainTextFormattedCitation":"[47]","previouslyFormattedCitation":"&lt;sup&gt;[47]&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w:t>
      </w:r>
      <w:r w:rsidR="0077005C" w:rsidRPr="000A6219">
        <w:rPr>
          <w:rFonts w:ascii="Book Antiqua" w:eastAsia="Calibri" w:hAnsi="Book Antiqua" w:cs="Times New Roman"/>
          <w:noProof/>
          <w:sz w:val="24"/>
          <w:szCs w:val="24"/>
          <w:vertAlign w:val="superscript"/>
          <w:lang w:val="en-US"/>
        </w:rPr>
        <w:t>39</w:t>
      </w:r>
      <w:r w:rsidR="00765E1A"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were more prevalent in AIEC than in non-AIEC strains, nonetheless they were also present in non-AIEC strains (</w:t>
      </w:r>
      <w:proofErr w:type="spellStart"/>
      <w:r w:rsidRPr="000A6219">
        <w:rPr>
          <w:rFonts w:ascii="Book Antiqua" w:eastAsia="Calibri" w:hAnsi="Book Antiqua" w:cs="Times New Roman"/>
          <w:i/>
          <w:sz w:val="24"/>
          <w:szCs w:val="24"/>
          <w:lang w:val="en-US"/>
        </w:rPr>
        <w:t>pduC</w:t>
      </w:r>
      <w:proofErr w:type="spellEnd"/>
      <w:r w:rsidRPr="000A6219">
        <w:rPr>
          <w:rFonts w:ascii="Book Antiqua" w:eastAsia="Calibri" w:hAnsi="Book Antiqua" w:cs="Times New Roman"/>
          <w:sz w:val="24"/>
          <w:szCs w:val="24"/>
          <w:lang w:val="en-US"/>
        </w:rPr>
        <w:t xml:space="preserve"> and </w:t>
      </w:r>
      <w:proofErr w:type="spellStart"/>
      <w:r w:rsidRPr="000A6219">
        <w:rPr>
          <w:rFonts w:ascii="Book Antiqua" w:eastAsia="Calibri" w:hAnsi="Book Antiqua" w:cs="Times New Roman"/>
          <w:i/>
          <w:sz w:val="24"/>
          <w:szCs w:val="24"/>
          <w:lang w:val="en-US"/>
        </w:rPr>
        <w:t>lpfA</w:t>
      </w:r>
      <w:proofErr w:type="spellEnd"/>
      <w:r w:rsidR="003D38CD" w:rsidRPr="000A6219">
        <w:rPr>
          <w:rFonts w:ascii="Book Antiqua" w:eastAsia="Calibri" w:hAnsi="Book Antiqua" w:cs="Times New Roman"/>
          <w:sz w:val="24"/>
          <w:szCs w:val="24"/>
          <w:lang w:val="en-US"/>
        </w:rPr>
        <w:t>) (although</w:t>
      </w:r>
      <w:r w:rsidRPr="000A6219">
        <w:rPr>
          <w:rFonts w:ascii="Book Antiqua" w:eastAsia="Calibri" w:hAnsi="Book Antiqua" w:cs="Times New Roman"/>
          <w:sz w:val="24"/>
          <w:szCs w:val="24"/>
          <w:lang w:val="en-US"/>
        </w:rPr>
        <w:t xml:space="preserve"> in low percentage</w:t>
      </w:r>
      <w:r w:rsidR="003D38CD" w:rsidRPr="000A6219">
        <w:rPr>
          <w:rFonts w:ascii="Book Antiqua" w:eastAsia="Calibri" w:hAnsi="Book Antiqua" w:cs="Times New Roman"/>
          <w:sz w:val="24"/>
          <w:szCs w:val="24"/>
          <w:lang w:val="en-US"/>
        </w:rPr>
        <w:t>s)</w:t>
      </w:r>
      <w:r w:rsidRPr="000A6219">
        <w:rPr>
          <w:rFonts w:ascii="Book Antiqua" w:eastAsia="Calibri" w:hAnsi="Book Antiqua" w:cs="Times New Roman"/>
          <w:sz w:val="24"/>
          <w:szCs w:val="24"/>
          <w:lang w:val="en-US"/>
        </w:rPr>
        <w:t>, or found only in a reduced number of AIEC strains (</w:t>
      </w:r>
      <w:proofErr w:type="spellStart"/>
      <w:r w:rsidRPr="000A6219">
        <w:rPr>
          <w:rFonts w:ascii="Book Antiqua" w:eastAsia="Calibri" w:hAnsi="Book Antiqua" w:cs="Times New Roman"/>
          <w:i/>
          <w:sz w:val="24"/>
          <w:szCs w:val="24"/>
          <w:lang w:val="en-US"/>
        </w:rPr>
        <w:t>lpfA</w:t>
      </w:r>
      <w:proofErr w:type="spellEnd"/>
      <w:r w:rsidR="00C15F0F" w:rsidRPr="000A6219">
        <w:rPr>
          <w:rFonts w:ascii="Book Antiqua" w:eastAsia="Calibri" w:hAnsi="Book Antiqua" w:cs="Times New Roman"/>
          <w:i/>
          <w:sz w:val="24"/>
          <w:szCs w:val="24"/>
          <w:lang w:val="en-US"/>
        </w:rPr>
        <w:t xml:space="preserve"> </w:t>
      </w:r>
      <w:r w:rsidRPr="000A6219">
        <w:rPr>
          <w:rFonts w:ascii="Book Antiqua" w:eastAsia="Calibri" w:hAnsi="Book Antiqua" w:cs="Times New Roman"/>
          <w:sz w:val="24"/>
          <w:szCs w:val="24"/>
          <w:lang w:val="en-US"/>
        </w:rPr>
        <w:t>+</w:t>
      </w:r>
      <w:r w:rsidR="00C15F0F" w:rsidRPr="000A6219">
        <w:rPr>
          <w:rFonts w:ascii="Book Antiqua" w:eastAsia="Calibri" w:hAnsi="Book Antiqua" w:cs="Times New Roman"/>
          <w:sz w:val="24"/>
          <w:szCs w:val="24"/>
          <w:lang w:val="en-US"/>
        </w:rPr>
        <w:t xml:space="preserve"> </w:t>
      </w:r>
      <w:proofErr w:type="spellStart"/>
      <w:r w:rsidRPr="000A6219">
        <w:rPr>
          <w:rFonts w:ascii="Book Antiqua" w:eastAsia="Calibri" w:hAnsi="Book Antiqua" w:cs="Times New Roman"/>
          <w:i/>
          <w:sz w:val="24"/>
          <w:szCs w:val="24"/>
          <w:lang w:val="en-US"/>
        </w:rPr>
        <w:t>gipA</w:t>
      </w:r>
      <w:proofErr w:type="spellEnd"/>
      <w:r w:rsidRPr="000A6219">
        <w:rPr>
          <w:rFonts w:ascii="Book Antiqua" w:eastAsia="Calibri" w:hAnsi="Book Antiqua" w:cs="Times New Roman"/>
          <w:sz w:val="24"/>
          <w:szCs w:val="24"/>
          <w:lang w:val="en-US"/>
        </w:rPr>
        <w:t xml:space="preserve">). As a consequence, the specificity values </w:t>
      </w:r>
      <w:r w:rsidR="003D38CD" w:rsidRPr="000A6219">
        <w:rPr>
          <w:rFonts w:ascii="Book Antiqua" w:eastAsia="Calibri" w:hAnsi="Book Antiqua" w:cs="Times New Roman"/>
          <w:sz w:val="24"/>
          <w:szCs w:val="24"/>
          <w:lang w:val="en-US"/>
        </w:rPr>
        <w:t>remained</w:t>
      </w:r>
      <w:r w:rsidRPr="000A6219">
        <w:rPr>
          <w:rFonts w:ascii="Book Antiqua" w:eastAsia="Calibri" w:hAnsi="Book Antiqua" w:cs="Times New Roman"/>
          <w:sz w:val="24"/>
          <w:szCs w:val="24"/>
          <w:lang w:val="en-US"/>
        </w:rPr>
        <w:t xml:space="preserve"> high</w:t>
      </w:r>
      <w:r w:rsidR="003D38CD"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but the sensitivity values were low. The opposite occurred for the </w:t>
      </w:r>
      <w:proofErr w:type="spellStart"/>
      <w:r w:rsidRPr="000A6219">
        <w:rPr>
          <w:rFonts w:ascii="Book Antiqua" w:eastAsia="Calibri" w:hAnsi="Book Antiqua" w:cs="Times New Roman"/>
          <w:i/>
          <w:sz w:val="24"/>
          <w:szCs w:val="24"/>
          <w:lang w:val="en-US"/>
        </w:rPr>
        <w:t>chuA</w:t>
      </w:r>
      <w:proofErr w:type="spellEnd"/>
      <w:r w:rsidRPr="000A6219">
        <w:rPr>
          <w:rFonts w:ascii="Book Antiqua" w:eastAsia="Calibri" w:hAnsi="Book Antiqua" w:cs="Times New Roman"/>
          <w:i/>
          <w:sz w:val="24"/>
          <w:szCs w:val="24"/>
          <w:lang w:val="en-US"/>
        </w:rPr>
        <w:t xml:space="preserve"> </w:t>
      </w:r>
      <w:r w:rsidRPr="000A6219">
        <w:rPr>
          <w:rFonts w:ascii="Book Antiqua" w:eastAsia="Calibri" w:hAnsi="Book Antiqua" w:cs="Times New Roman"/>
          <w:sz w:val="24"/>
          <w:szCs w:val="24"/>
          <w:lang w:val="en-US"/>
        </w:rPr>
        <w:t>gene</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microbiology","id":"ITEM-1","issued":{"date-parts":[["2017"]]},"page":"639","publisher":"Frontiers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mendeley":{"formattedCitation":"&lt;sup&gt;[13]&lt;/sup&gt;","plainTextFormattedCitation":"[13]","previouslyFormattedCitation":"&lt;sup&gt;[13]&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[13]</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in this case</w:t>
      </w:r>
      <w:r w:rsidR="003D38CD"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it was present in </w:t>
      </w:r>
      <w:r w:rsidR="003D76DB" w:rsidRPr="000A6219">
        <w:rPr>
          <w:rFonts w:ascii="Book Antiqua" w:eastAsia="Calibri" w:hAnsi="Book Antiqua" w:cs="Times New Roman"/>
          <w:sz w:val="24"/>
          <w:szCs w:val="24"/>
          <w:lang w:val="en-US"/>
        </w:rPr>
        <w:t>nearly all</w:t>
      </w:r>
      <w:r w:rsidRPr="000A6219">
        <w:rPr>
          <w:rFonts w:ascii="Book Antiqua" w:eastAsia="Calibri" w:hAnsi="Book Antiqua" w:cs="Times New Roman"/>
          <w:sz w:val="24"/>
          <w:szCs w:val="24"/>
          <w:lang w:val="en-US"/>
        </w:rPr>
        <w:t xml:space="preserve"> </w:t>
      </w:r>
      <w:r w:rsidR="003D38CD" w:rsidRPr="000A6219">
        <w:rPr>
          <w:rFonts w:ascii="Book Antiqua" w:eastAsia="Calibri" w:hAnsi="Book Antiqua" w:cs="Times New Roman"/>
          <w:sz w:val="24"/>
          <w:szCs w:val="24"/>
          <w:lang w:val="en-US"/>
        </w:rPr>
        <w:t xml:space="preserve">of the </w:t>
      </w:r>
      <w:r w:rsidRPr="000A6219">
        <w:rPr>
          <w:rFonts w:ascii="Book Antiqua" w:eastAsia="Calibri" w:hAnsi="Book Antiqua" w:cs="Times New Roman"/>
          <w:sz w:val="24"/>
          <w:szCs w:val="24"/>
          <w:lang w:val="en-US"/>
        </w:rPr>
        <w:t xml:space="preserve">AIEC </w:t>
      </w:r>
      <w:r w:rsidR="003D38CD" w:rsidRPr="000A6219">
        <w:rPr>
          <w:rFonts w:ascii="Book Antiqua" w:eastAsia="Calibri" w:hAnsi="Book Antiqua" w:cs="Times New Roman"/>
          <w:sz w:val="24"/>
          <w:szCs w:val="24"/>
          <w:lang w:val="en-US"/>
        </w:rPr>
        <w:t xml:space="preserve">strains </w:t>
      </w:r>
      <w:r w:rsidRPr="000A6219">
        <w:rPr>
          <w:rFonts w:ascii="Book Antiqua" w:eastAsia="Calibri" w:hAnsi="Book Antiqua" w:cs="Times New Roman"/>
          <w:sz w:val="24"/>
          <w:szCs w:val="24"/>
          <w:lang w:val="en-US"/>
        </w:rPr>
        <w:t xml:space="preserve">and in </w:t>
      </w:r>
      <w:r w:rsidR="003D76DB" w:rsidRPr="000A6219">
        <w:rPr>
          <w:rFonts w:ascii="Book Antiqua" w:eastAsia="Calibri" w:hAnsi="Book Antiqua" w:cs="Times New Roman"/>
          <w:sz w:val="24"/>
          <w:szCs w:val="24"/>
          <w:lang w:val="en-US"/>
        </w:rPr>
        <w:t>more than 50%</w:t>
      </w:r>
      <w:r w:rsidRPr="000A6219">
        <w:rPr>
          <w:rFonts w:ascii="Book Antiqua" w:eastAsia="Calibri" w:hAnsi="Book Antiqua" w:cs="Times New Roman"/>
          <w:sz w:val="24"/>
          <w:szCs w:val="24"/>
          <w:lang w:val="en-US"/>
        </w:rPr>
        <w:t xml:space="preserve"> of non-AIEC strains </w:t>
      </w:r>
      <w:r w:rsidR="003D38CD" w:rsidRPr="000A6219">
        <w:rPr>
          <w:rFonts w:ascii="Book Antiqua" w:eastAsia="Calibri" w:hAnsi="Book Antiqua" w:cs="Times New Roman"/>
          <w:sz w:val="24"/>
          <w:szCs w:val="24"/>
          <w:lang w:val="en-US"/>
        </w:rPr>
        <w:t>and yielded</w:t>
      </w:r>
      <w:r w:rsidRPr="000A6219">
        <w:rPr>
          <w:rFonts w:ascii="Book Antiqua" w:eastAsia="Calibri" w:hAnsi="Book Antiqua" w:cs="Times New Roman"/>
          <w:sz w:val="24"/>
          <w:szCs w:val="24"/>
          <w:lang w:val="en-US"/>
        </w:rPr>
        <w:t xml:space="preserve"> a high sensitivity and high proba</w:t>
      </w:r>
      <w:r w:rsidR="003D38CD" w:rsidRPr="000A6219">
        <w:rPr>
          <w:rFonts w:ascii="Book Antiqua" w:eastAsia="Calibri" w:hAnsi="Book Antiqua" w:cs="Times New Roman"/>
          <w:sz w:val="24"/>
          <w:szCs w:val="24"/>
          <w:lang w:val="en-US"/>
        </w:rPr>
        <w:t>bility of false-positives (</w:t>
      </w:r>
      <w:r w:rsidRPr="000A6219">
        <w:rPr>
          <w:rFonts w:ascii="Book Antiqua" w:eastAsia="Calibri" w:hAnsi="Book Antiqua" w:cs="Times New Roman"/>
          <w:sz w:val="24"/>
          <w:szCs w:val="24"/>
          <w:lang w:val="en-US"/>
        </w:rPr>
        <w:t>lo</w:t>
      </w:r>
      <w:r w:rsidR="00C15F0F" w:rsidRPr="000A6219">
        <w:rPr>
          <w:rFonts w:ascii="Book Antiqua" w:eastAsia="Calibri" w:hAnsi="Book Antiqua" w:cs="Times New Roman"/>
          <w:sz w:val="24"/>
          <w:szCs w:val="24"/>
          <w:lang w:val="en-US"/>
        </w:rPr>
        <w:t xml:space="preserve">w specificity). </w:t>
      </w:r>
      <w:r w:rsidR="00C15F0F" w:rsidRPr="000A6219">
        <w:rPr>
          <w:rFonts w:ascii="Book Antiqua" w:eastAsia="Calibri" w:hAnsi="Book Antiqua" w:cs="Times New Roman"/>
          <w:sz w:val="24"/>
          <w:szCs w:val="24"/>
          <w:lang w:val="en-US"/>
        </w:rPr>
        <w:lastRenderedPageBreak/>
        <w:t>Deshpande</w:t>
      </w:r>
      <w:r w:rsidR="00C15F0F" w:rsidRPr="000A6219">
        <w:rPr>
          <w:rFonts w:ascii="Book Antiqua" w:eastAsia="Calibri" w:hAnsi="Book Antiqua" w:cs="Times New Roman"/>
          <w:i/>
          <w:sz w:val="24"/>
          <w:szCs w:val="24"/>
          <w:lang w:val="en-US"/>
        </w:rPr>
        <w:t xml:space="preserve"> et al</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{"citationItems":[{"id":"ITEM-1","itemData":{"DOI":"10.1093/femsle/fnv193","ISSN":"1574-6968","PMID":"26459886","abstract":"The B2 phylogenetic group of Escherichia coli contains important pathogens such as extra-intestinal pathogenic, adherent-invasive, and uropathogenic strains. In this study, we used comparative genomics and statistical methods to identify genetic variations which define a subset of pathogenic strains belonging to the B2 phylogenetic group. An initial proof of concept analysis indicated that five of the 62 E. coli strains available in the KEGG database showed close association with B2 adherent-invasive E. coli, forming a subgroup within the B2 phylogenetic group. The tool, kSNP which uses a k-mer approach, and the statistical phenotype prediction tool PPFS2 were then employed to identify 29 high-resolution SNPs, which reaffirmed this grouping. PPFS2 analysis also provided indications that the clustering of this subgroup was highly consistent, and thus, could have a strong phenotypic basis rather than being only evolutionary. Protein homology analyses identified three proteins to be conserved across this subgrouping, two CRISPR-Cas proteins and a hypothetical protein. Functional analyses of these genetic and protein variations may provide insights into the phenotype of these strains.","author":[{"dropping-particle":"","family":"Deshpande","given":"Nandan P","non-dropping-particle":"","parse-names":false,"suffix":""},{"dropping-particle":"","family":"Wilkins","given":"Marc R","non-dropping-particle":"","parse-names":false,"suffix":""},{"dropping-particle":"","family":"Mitchell","given":"Hazel M","non-dropping-particle":"","parse-names":false,"suffix":""},{"dropping-particle":"","family":"Kaakoush","given":"Nadeem O","non-dropping-particle":"","parse-names":false,"suffix":""}],"container-title":"FEMS microbiology letters","id":"ITEM-1","issue":"August","issued":{"date-parts":[["2015"]]},"page":"1-7","title":"Novel genetic markers define a subgroup of pathogenic Escherichia coli strains belonging to the B2 phylogenetic group.","type":"article-journal"},"uris":["http://www.mendeley.com/documents/?uuid=a0f81734-88f7-4d12-b832-b176246b3a92"]}],"mendeley":{"formattedCitation":"&lt;sup&gt;[33]&lt;/sup&gt;","plainTextFormattedCitation":"[33]","previouslyFormattedCitation":"&lt;sup&gt;[33]&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[33]</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discovered 29 SNPs that could differentiate a group of AIEC strains from a group of </w:t>
      </w:r>
      <w:proofErr w:type="spellStart"/>
      <w:r w:rsidRPr="000A6219">
        <w:rPr>
          <w:rFonts w:ascii="Book Antiqua" w:eastAsia="Calibri" w:hAnsi="Book Antiqua" w:cs="Times New Roman"/>
          <w:sz w:val="24"/>
          <w:szCs w:val="24"/>
          <w:lang w:val="en-US"/>
        </w:rPr>
        <w:t>ExPEC</w:t>
      </w:r>
      <w:proofErr w:type="spellEnd"/>
      <w:r w:rsidRPr="000A6219">
        <w:rPr>
          <w:rFonts w:ascii="Book Antiqua" w:eastAsia="Calibri" w:hAnsi="Book Antiqua" w:cs="Times New Roman"/>
          <w:sz w:val="24"/>
          <w:szCs w:val="24"/>
          <w:lang w:val="en-US"/>
        </w:rPr>
        <w:t xml:space="preserve"> and commensal strains (all from the B2 phylogroup)</w:t>
      </w:r>
      <w:r w:rsidR="003D38CD"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but they only studied four AIEC strains. Moreover, the three genomic regi</w:t>
      </w:r>
      <w:r w:rsidR="00C15F0F" w:rsidRPr="000A6219">
        <w:rPr>
          <w:rFonts w:ascii="Book Antiqua" w:eastAsia="Calibri" w:hAnsi="Book Antiqua" w:cs="Times New Roman"/>
          <w:sz w:val="24"/>
          <w:szCs w:val="24"/>
          <w:lang w:val="en-US"/>
        </w:rPr>
        <w:t xml:space="preserve">ons described by </w:t>
      </w:r>
      <w:proofErr w:type="spellStart"/>
      <w:r w:rsidR="00C15F0F" w:rsidRPr="000A6219">
        <w:rPr>
          <w:rFonts w:ascii="Book Antiqua" w:eastAsia="Calibri" w:hAnsi="Book Antiqua" w:cs="Times New Roman"/>
          <w:sz w:val="24"/>
          <w:szCs w:val="24"/>
          <w:lang w:val="en-US"/>
        </w:rPr>
        <w:t>Desilets</w:t>
      </w:r>
      <w:proofErr w:type="spellEnd"/>
      <w:r w:rsidR="00C15F0F" w:rsidRPr="000A6219">
        <w:rPr>
          <w:rFonts w:ascii="Book Antiqua" w:eastAsia="Calibri" w:hAnsi="Book Antiqua" w:cs="Times New Roman"/>
          <w:sz w:val="24"/>
          <w:szCs w:val="24"/>
          <w:lang w:val="en-US"/>
        </w:rPr>
        <w:t xml:space="preserve"> </w:t>
      </w:r>
      <w:r w:rsidR="00C15F0F" w:rsidRPr="000A6219">
        <w:rPr>
          <w:rFonts w:ascii="Book Antiqua" w:eastAsia="Calibri" w:hAnsi="Book Antiqua" w:cs="Times New Roman"/>
          <w:i/>
          <w:sz w:val="24"/>
          <w:szCs w:val="24"/>
          <w:lang w:val="en-US"/>
        </w:rPr>
        <w:t>et al</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{"citationItems":[{"id":"ITEM-1","itemData":{"DOI":"10.1097/MIB.0000000000000574","ISBN":"0000000000000","ISSN":"15364844","PMID":"26444104","abstract":"BACKGROUND Mucosal-associated Escherichia coli are commonly found in inflamed tissues during inflammatory bowel disease (IBD). These bacteria often possess an adherent and invasive phenotype but lack virulence-associated features of well-described intestinal E. coli pathogens, and are of diverse serology and phylotypes, making it difficult to correlate strain characteristics with exacerbations of disease. METHODS The genome sequences of 14 phenotypically assigned adherent-invasive Escherichia coli (AIEC) isolates obtained from intestinal biopsies of patients with IBD were compared with the genome sequences of 37 other pathogenic and commensal E. coli available from public databases. RESULTS Core genome-based phylogenetic analyses and genome-wide comparison of genetic content established the existence of a closely related cluster of AIEC strains with 3 distinct genetic insertions differentiating them from commensal E. coli. These strains are of the B2 phylotype have a variant type VI secretion system (T6SS-1), and are highly related to extraintestinal pathogenic E. coli, suggesting that these 2 clinically distinct pathovars have common virulence strategies. Four other mucosally adherent E. coli strains from patients with IBD were of diverse phylogenetic origins and lacked the 3 genetic features, suggesting that they are not related to the B2 AIEC cluster. Although AIEC are often considered as having a unique association with Crohn's disease, isolates from Crohn's disease and ulcerative colitis were genetically indistinguishable. CONCLUSIONS B2 AIEC thus represent a closely related cluster of IBD-associated E. coli strains that are distinct from normal commensal isolates, and which should be considered separately from the phenotypically similar but genetically distinct non-B2 AIEC strains when considering their association with intestinal pathogenesis.","author":[{"dropping-particle":"","family":"Desilets","given":"Michael","non-dropping-particle":"","parse-names":false,"suffix":""},{"dropping-particle":"","family":"Deng","given":"Xiangding","non-dropping-particle":"","parse-names":false,"suffix":""},{"dropping-particle":"","family":"Rao","given":"Chitong","non-dropping-particle":"","parse-names":false,"suffix":""},{"dropping-particle":"","family":"Ensminger","given":"Alexander W.","non-dropping-particle":"","parse-names":false,"suffix":""},{"dropping-particle":"","family":"Krause","given":"Denis O.","non-dropping-particle":"","parse-names":false,"suffix":""},{"dropping-particle":"","family":"Sherman","given":"Philip M.","non-dropping-particle":"","parse-names":false,"suffix":""},{"dropping-particle":"","family":"Gray-Owen","given":"Scott D.","non-dropping-particle":"","parse-names":false,"suffix":""}],"container-title":"Inflammatory Bowel Diseases","id":"ITEM-1","issue":"1","issued":{"date-parts":[["2016"]]},"page":"1-12","title":"Genome-based definition of an inflammatory bowel disease-associated adherent-invasive Escherichia coli pathovar","type":"article-journal","volume":"22"},"uris":["http://www.mendeley.com/documents/?uuid=b415452d-a7f0-42e4-a968-ab2a8693e4d3"]}],"mendeley":{"formattedCitation":"&lt;sup&gt;[32]&lt;/sup&gt;","plainTextFormattedCitation":"[32]","previouslyFormattedCitation":"&lt;sup&gt;[32]&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[32]</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also raised interest. Nevertheless, it should be noted that only </w:t>
      </w:r>
      <w:r w:rsidR="003D38CD" w:rsidRPr="000A6219">
        <w:rPr>
          <w:rFonts w:ascii="Book Antiqua" w:eastAsia="Calibri" w:hAnsi="Book Antiqua" w:cs="Times New Roman"/>
          <w:sz w:val="24"/>
          <w:szCs w:val="24"/>
          <w:lang w:val="en-US"/>
        </w:rPr>
        <w:t>six</w:t>
      </w:r>
      <w:r w:rsidRPr="000A6219">
        <w:rPr>
          <w:rFonts w:ascii="Book Antiqua" w:eastAsia="Calibri" w:hAnsi="Book Antiqua" w:cs="Times New Roman"/>
          <w:sz w:val="24"/>
          <w:szCs w:val="24"/>
          <w:lang w:val="en-US"/>
        </w:rPr>
        <w:t xml:space="preserve"> non-AIEC strains </w:t>
      </w:r>
      <w:r w:rsidR="003D38CD" w:rsidRPr="000A6219">
        <w:rPr>
          <w:rFonts w:ascii="Book Antiqua" w:eastAsia="Calibri" w:hAnsi="Book Antiqua" w:cs="Times New Roman"/>
          <w:sz w:val="24"/>
          <w:szCs w:val="24"/>
          <w:lang w:val="en-US"/>
        </w:rPr>
        <w:t>were</w:t>
      </w:r>
      <w:r w:rsidRPr="000A6219">
        <w:rPr>
          <w:rFonts w:ascii="Book Antiqua" w:eastAsia="Calibri" w:hAnsi="Book Antiqua" w:cs="Times New Roman"/>
          <w:sz w:val="24"/>
          <w:szCs w:val="24"/>
          <w:lang w:val="en-US"/>
        </w:rPr>
        <w:t xml:space="preserve"> included</w:t>
      </w:r>
      <w:r w:rsidR="003D38CD"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and AIEC strains </w:t>
      </w:r>
      <w:r w:rsidR="003D38CD" w:rsidRPr="000A6219">
        <w:rPr>
          <w:rFonts w:ascii="Book Antiqua" w:eastAsia="Calibri" w:hAnsi="Book Antiqua" w:cs="Times New Roman"/>
          <w:sz w:val="24"/>
          <w:szCs w:val="24"/>
          <w:lang w:val="en-US"/>
        </w:rPr>
        <w:t>were</w:t>
      </w:r>
      <w:r w:rsidRPr="000A6219">
        <w:rPr>
          <w:rFonts w:ascii="Book Antiqua" w:eastAsia="Calibri" w:hAnsi="Book Antiqua" w:cs="Times New Roman"/>
          <w:sz w:val="24"/>
          <w:szCs w:val="24"/>
          <w:lang w:val="en-US"/>
        </w:rPr>
        <w:t xml:space="preserve"> classified based only in </w:t>
      </w:r>
      <w:r w:rsidR="003D38CD" w:rsidRPr="000A6219">
        <w:rPr>
          <w:rFonts w:ascii="Book Antiqua" w:eastAsia="Calibri" w:hAnsi="Book Antiqua" w:cs="Times New Roman"/>
          <w:sz w:val="24"/>
          <w:szCs w:val="24"/>
          <w:lang w:val="en-US"/>
        </w:rPr>
        <w:t>the</w:t>
      </w:r>
      <w:r w:rsidRPr="000A6219">
        <w:rPr>
          <w:rFonts w:ascii="Book Antiqua" w:eastAsia="Calibri" w:hAnsi="Book Antiqua" w:cs="Times New Roman"/>
          <w:sz w:val="24"/>
          <w:szCs w:val="24"/>
          <w:lang w:val="en-US"/>
        </w:rPr>
        <w:t xml:space="preserve"> capacity to replicate within macrophages. Likewise, as only B2 strains were studied</w:t>
      </w:r>
      <w:r w:rsidR="00321B9F"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the general utility of this approach for any putative AIEC strain remains to be determined. </w:t>
      </w:r>
    </w:p>
    <w:p w14:paraId="602AEAAA" w14:textId="4218B9BA" w:rsidR="00721A65" w:rsidRPr="000A6219" w:rsidRDefault="003D38CD"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Along</w:t>
      </w:r>
      <w:r w:rsidR="00721A65" w:rsidRPr="000A6219">
        <w:rPr>
          <w:rFonts w:ascii="Book Antiqua" w:eastAsia="Calibri" w:hAnsi="Book Antiqua" w:cs="Times New Roman"/>
          <w:sz w:val="24"/>
          <w:szCs w:val="24"/>
          <w:lang w:val="en-US"/>
        </w:rPr>
        <w:t xml:space="preserve"> this line, two additional markers that present either higher sensitivity or have been studie</w:t>
      </w:r>
      <w:r w:rsidR="00EF1B8E" w:rsidRPr="000A6219">
        <w:rPr>
          <w:rFonts w:ascii="Book Antiqua" w:eastAsia="Calibri" w:hAnsi="Book Antiqua" w:cs="Times New Roman"/>
          <w:sz w:val="24"/>
          <w:szCs w:val="24"/>
          <w:lang w:val="en-US"/>
        </w:rPr>
        <w:t>d in a larger strain collection</w:t>
      </w:r>
      <w:r w:rsidR="00721A65" w:rsidRPr="000A6219">
        <w:rPr>
          <w:rFonts w:ascii="Book Antiqua" w:eastAsia="Calibri" w:hAnsi="Book Antiqua" w:cs="Times New Roman"/>
          <w:sz w:val="24"/>
          <w:szCs w:val="24"/>
          <w:lang w:val="en-US"/>
        </w:rPr>
        <w:t xml:space="preserve"> than the previous </w:t>
      </w:r>
      <w:r w:rsidR="00EF1B8E" w:rsidRPr="000A6219">
        <w:rPr>
          <w:rFonts w:ascii="Book Antiqua" w:eastAsia="Calibri" w:hAnsi="Book Antiqua" w:cs="Times New Roman"/>
          <w:sz w:val="24"/>
          <w:szCs w:val="24"/>
          <w:lang w:val="en-US"/>
        </w:rPr>
        <w:t xml:space="preserve">ones </w:t>
      </w:r>
      <w:r w:rsidRPr="000A6219">
        <w:rPr>
          <w:rFonts w:ascii="Book Antiqua" w:eastAsia="Calibri" w:hAnsi="Book Antiqua" w:cs="Times New Roman"/>
          <w:sz w:val="24"/>
          <w:szCs w:val="24"/>
          <w:lang w:val="en-US"/>
        </w:rPr>
        <w:t>were</w:t>
      </w:r>
      <w:r w:rsidR="00EF1B8E"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t>presented</w:t>
      </w:r>
      <w:r w:rsidR="00D16876"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coli","type":"article-journal","volume":"10"},"uris":["http://www.mendeley.com/documents/?uuid=18bd902d-1a2d-3796-8f37-a3160ada2580"]},{"id":"ITEM-2","itemData":{"DOI":"10.1038/s41598-018-20843-x","ISSN":"2045-2322","abstract":"Adherent-invasive Escherichia coli (AIEC) have been involved in Crohn’s disease (CD). Currently, AIEC are identified by time-consuming techniques based on in vitro infection of cell lines to determine their ability to adhere to and invade intestinal epithelial cells as well as to survive and replicate within macrophages. Our aim was to find signature sequences that can be used to identify the AIEC pathotype. Comparative genomics was performed between three E. coli strain pairs, each pair comprised one AIEC and one non-AIEC with identical pulsotype, sequence type and virulence gene carriage. Genetic differences were further analysed in 22 AIEC and 28 non-AIEC isolated from CD patients and controls. The strain pairs showed similar genome structures, and no gene was specific to AIEC. Three single nucleotide polymorphisms displayed different nucleotide distributions between AIEC and non-AIEC, and four correlated with increased adhesion and/or invasion indices. Here, we present a classification algorithm based on the identification of three allelic variants that can predict the AIEC phenotype with 84% accuracy. Our study corroborates the absence of an AIEC-specific genetic marker distributed across all AIEC strains. Nonetheless, point mutations putatively involved in the AIEC phenotype can be used for the molecular identification of the AIEC pathotype.","author":[{"dropping-particle":"","family":"Camprubí-Font","given":"Carla","non-dropping-particle":"","parse-names":false,"suffix":""},{"dropping-particle":"","family":"Lopez-Siles","given":"Mireia","non-dropping-particle":"","parse-names":false,"suffix":""},{"dropping-particle":"","family":"Ferrer-Guixeras","given":"Meritxell","non-dropping-particle":"","parse-names":false,"suffix":""},{"dropping-particle":"","family":"Niubó-Carulla","given":"Laura","non-dropping-particle":"","parse-names":false,"suffix":""},{"dropping-particle":"","family":"Abellà-Ametller","given":"Carles","non-dropping-particle":"","parse-names":false,"suffix":""},{"dropping-particle":"","family":"Garcia-Gil","given":"Librado Jesús","non-dropping-particle":"","parse-names":false,"suffix":""},{"dropping-particle":"","family":"Martinez-Medina","given":"Margarita","non-dropping-particle":"","parse-names":false,"suffix":""}],"container-title":"Scientific Reports","id":"ITEM-2","issue":"2695","issued":{"date-parts":[["2018","12","9"]]},"page":"1-11","publisher":"Nature Publishing Group","title":"Comparative genomics reveals new single-nucleotide polymorphisms that can assist in identification of adherent-invasive Escherichia coli","type":"article-journal","volume":"8"},"uris":["http://www.mendeley.com/documents/?uuid=0123a8cc-e2a6-3256-aead-c6c75508c7e9"]}],"mendeley":{"formattedCitation":"&lt;sup&gt;[36,38]&lt;/sup&gt;","plainTextFormattedCitation":"[36,38]","previouslyFormattedCitation":"&lt;sup&gt;[36,38]&lt;/sup&gt;"},"properties":{"noteIndex":0},"schema":"https://github.com/citation-style-language/schema/raw/master/csl-citation.json"}</w:instrText>
      </w:r>
      <w:r w:rsidR="00D16876" w:rsidRPr="000A6219">
        <w:rPr>
          <w:rFonts w:ascii="Book Antiqua" w:eastAsia="Calibri" w:hAnsi="Book Antiqua" w:cs="Times New Roman"/>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[36,38]</w:t>
      </w:r>
      <w:r w:rsidR="00D16876"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On one hand, in </w:t>
      </w:r>
      <w:r w:rsidR="00EF1B8E" w:rsidRPr="000A6219">
        <w:rPr>
          <w:rFonts w:ascii="Book Antiqua" w:eastAsia="Calibri" w:hAnsi="Book Antiqua" w:cs="Times New Roman"/>
          <w:sz w:val="24"/>
          <w:szCs w:val="24"/>
          <w:lang w:val="en-US"/>
        </w:rPr>
        <w:t xml:space="preserve">a recent </w:t>
      </w:r>
      <w:r w:rsidRPr="000A6219">
        <w:rPr>
          <w:rFonts w:ascii="Book Antiqua" w:eastAsia="Calibri" w:hAnsi="Book Antiqua" w:cs="Times New Roman"/>
          <w:sz w:val="24"/>
          <w:szCs w:val="24"/>
          <w:lang w:val="en-US"/>
        </w:rPr>
        <w:t>study</w:t>
      </w:r>
      <w:r w:rsidR="00721A65" w:rsidRPr="000A6219">
        <w:rPr>
          <w:rFonts w:ascii="Book Antiqua" w:eastAsia="Calibri" w:hAnsi="Book Antiqua" w:cs="Times New Roman"/>
          <w:sz w:val="24"/>
          <w:szCs w:val="24"/>
          <w:lang w:val="en-US"/>
        </w:rPr>
        <w:t xml:space="preserve"> we have deeply </w:t>
      </w:r>
      <w:r w:rsidR="00A073BA" w:rsidRPr="000A6219">
        <w:rPr>
          <w:rFonts w:ascii="Book Antiqua" w:eastAsia="Calibri" w:hAnsi="Book Antiqua" w:cs="Times New Roman"/>
          <w:sz w:val="24"/>
          <w:szCs w:val="24"/>
          <w:lang w:val="en-US"/>
        </w:rPr>
        <w:t>characterized</w:t>
      </w:r>
      <w:r w:rsidR="00721A65" w:rsidRPr="000A6219">
        <w:rPr>
          <w:rFonts w:ascii="Book Antiqua" w:eastAsia="Calibri" w:hAnsi="Book Antiqua" w:cs="Times New Roman"/>
          <w:sz w:val="24"/>
          <w:szCs w:val="24"/>
          <w:lang w:val="en-US"/>
        </w:rPr>
        <w:t xml:space="preserve"> genetically and phenotypically a collection of AIEC and non-AIEC strains isolated from the intestinal mucosa of humans</w:t>
      </w:r>
      <w:r w:rsidR="00EF1B8E"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EF1B8E" w:rsidRPr="000A6219">
        <w:rPr>
          <w:rFonts w:ascii="Book Antiqua" w:eastAsia="Calibri" w:hAnsi="Book Antiqua" w:cs="Times New Roman"/>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EF1B8E" w:rsidRPr="000A6219">
        <w:rPr>
          <w:rFonts w:ascii="Book Antiqua" w:eastAsia="Calibri" w:hAnsi="Book Antiqua" w:cs="Times New Roman"/>
          <w:sz w:val="24"/>
          <w:szCs w:val="24"/>
          <w:lang w:val="en-US"/>
        </w:rPr>
        <w:fldChar w:fldCharType="end"/>
      </w:r>
      <w:r w:rsidR="00EF1B8E" w:rsidRPr="000A6219">
        <w:rPr>
          <w:rFonts w:ascii="Book Antiqua" w:eastAsia="Calibri" w:hAnsi="Book Antiqua" w:cs="Times New Roman"/>
          <w:sz w:val="24"/>
          <w:szCs w:val="24"/>
          <w:lang w:val="en-US"/>
        </w:rPr>
        <w:t>. The</w:t>
      </w:r>
      <w:r w:rsidR="00721A65" w:rsidRPr="000A6219">
        <w:rPr>
          <w:rFonts w:ascii="Book Antiqua" w:eastAsia="Calibri" w:hAnsi="Book Antiqua" w:cs="Times New Roman"/>
          <w:sz w:val="24"/>
          <w:szCs w:val="24"/>
          <w:lang w:val="en-US"/>
        </w:rPr>
        <w:t xml:space="preserve">rein, AIEC screening could be assisted by the evaluation of two traits (the presence of </w:t>
      </w:r>
      <w:r w:rsidR="00721A65" w:rsidRPr="000A6219">
        <w:rPr>
          <w:rFonts w:ascii="Book Antiqua" w:eastAsia="Calibri" w:hAnsi="Book Antiqua" w:cs="Times New Roman"/>
          <w:i/>
          <w:sz w:val="24"/>
          <w:szCs w:val="24"/>
          <w:lang w:val="en-US"/>
        </w:rPr>
        <w:t xml:space="preserve">pic </w:t>
      </w:r>
      <w:r w:rsidR="00721A65" w:rsidRPr="000A6219">
        <w:rPr>
          <w:rFonts w:ascii="Book Antiqua" w:eastAsia="Calibri" w:hAnsi="Book Antiqua" w:cs="Times New Roman"/>
          <w:sz w:val="24"/>
          <w:szCs w:val="24"/>
          <w:lang w:val="en-US"/>
        </w:rPr>
        <w:t xml:space="preserve">gene and </w:t>
      </w:r>
      <w:r w:rsidRPr="000A6219">
        <w:rPr>
          <w:rFonts w:ascii="Book Antiqua" w:eastAsia="Calibri" w:hAnsi="Book Antiqua" w:cs="Times New Roman"/>
          <w:sz w:val="24"/>
          <w:szCs w:val="24"/>
          <w:lang w:val="en-US"/>
        </w:rPr>
        <w:t xml:space="preserve">ampicillin </w:t>
      </w:r>
      <w:r w:rsidR="00721A65" w:rsidRPr="000A6219">
        <w:rPr>
          <w:rFonts w:ascii="Book Antiqua" w:eastAsia="Calibri" w:hAnsi="Book Antiqua" w:cs="Times New Roman"/>
          <w:sz w:val="24"/>
          <w:szCs w:val="24"/>
          <w:lang w:val="en-US"/>
        </w:rPr>
        <w:t xml:space="preserve">resistance). Although these traits are not specific and widely distributed across the pathotype, </w:t>
      </w:r>
      <w:r w:rsidR="00721A65" w:rsidRPr="000A6219">
        <w:rPr>
          <w:rFonts w:ascii="Book Antiqua" w:eastAsia="Calibri" w:hAnsi="Book Antiqua" w:cs="Times New Roman"/>
          <w:i/>
          <w:sz w:val="24"/>
          <w:szCs w:val="24"/>
          <w:lang w:val="en-US"/>
        </w:rPr>
        <w:t xml:space="preserve">E. coli </w:t>
      </w:r>
      <w:r w:rsidR="00721A65" w:rsidRPr="000A6219">
        <w:rPr>
          <w:rFonts w:ascii="Book Antiqua" w:eastAsia="Calibri" w:hAnsi="Book Antiqua" w:cs="Times New Roman"/>
          <w:sz w:val="24"/>
          <w:szCs w:val="24"/>
          <w:lang w:val="en-US"/>
        </w:rPr>
        <w:t xml:space="preserve">strains </w:t>
      </w:r>
      <w:r w:rsidRPr="000A6219">
        <w:rPr>
          <w:rFonts w:ascii="Book Antiqua" w:eastAsia="Calibri" w:hAnsi="Book Antiqua" w:cs="Times New Roman"/>
          <w:sz w:val="24"/>
          <w:szCs w:val="24"/>
          <w:lang w:val="en-US"/>
        </w:rPr>
        <w:t>that</w:t>
      </w:r>
      <w:r w:rsidR="00721A65" w:rsidRPr="000A6219">
        <w:rPr>
          <w:rFonts w:ascii="Book Antiqua" w:eastAsia="Calibri" w:hAnsi="Book Antiqua" w:cs="Times New Roman"/>
          <w:sz w:val="24"/>
          <w:szCs w:val="24"/>
          <w:lang w:val="en-US"/>
        </w:rPr>
        <w:t xml:space="preserve"> have resistance to ampicillin and </w:t>
      </w:r>
      <w:r w:rsidRPr="000A6219">
        <w:rPr>
          <w:rFonts w:ascii="Book Antiqua" w:eastAsia="Calibri" w:hAnsi="Book Antiqua" w:cs="Times New Roman"/>
          <w:sz w:val="24"/>
          <w:szCs w:val="24"/>
          <w:lang w:val="en-US"/>
        </w:rPr>
        <w:t>harbo</w:t>
      </w:r>
      <w:r w:rsidR="003D76DB" w:rsidRPr="000A6219">
        <w:rPr>
          <w:rFonts w:ascii="Book Antiqua" w:eastAsia="Calibri" w:hAnsi="Book Antiqua" w:cs="Times New Roman"/>
          <w:sz w:val="24"/>
          <w:szCs w:val="24"/>
          <w:lang w:val="en-US"/>
        </w:rPr>
        <w:t>r</w:t>
      </w:r>
      <w:r w:rsidR="00721A65" w:rsidRPr="000A6219">
        <w:rPr>
          <w:rFonts w:ascii="Book Antiqua" w:eastAsia="Calibri" w:hAnsi="Book Antiqua" w:cs="Times New Roman"/>
          <w:sz w:val="24"/>
          <w:szCs w:val="24"/>
          <w:lang w:val="en-US"/>
        </w:rPr>
        <w:t xml:space="preserve"> the </w:t>
      </w:r>
      <w:r w:rsidR="00721A65" w:rsidRPr="000A6219">
        <w:rPr>
          <w:rFonts w:ascii="Book Antiqua" w:eastAsia="Calibri" w:hAnsi="Book Antiqua" w:cs="Times New Roman"/>
          <w:i/>
          <w:sz w:val="24"/>
          <w:szCs w:val="24"/>
          <w:lang w:val="en-US"/>
        </w:rPr>
        <w:t xml:space="preserve">pic </w:t>
      </w:r>
      <w:r w:rsidR="00721A65" w:rsidRPr="000A6219">
        <w:rPr>
          <w:rFonts w:ascii="Book Antiqua" w:eastAsia="Calibri" w:hAnsi="Book Antiqua" w:cs="Times New Roman"/>
          <w:sz w:val="24"/>
          <w:szCs w:val="24"/>
          <w:lang w:val="en-US"/>
        </w:rPr>
        <w:t>gene present a</w:t>
      </w:r>
      <w:r w:rsidRPr="000A6219">
        <w:rPr>
          <w:rFonts w:ascii="Book Antiqua" w:eastAsia="Calibri" w:hAnsi="Book Antiqua" w:cs="Times New Roman"/>
          <w:sz w:val="24"/>
          <w:szCs w:val="24"/>
          <w:lang w:val="en-US"/>
        </w:rPr>
        <w:t>n 82%</w:t>
      </w:r>
      <w:r w:rsidR="00721A65" w:rsidRPr="000A6219">
        <w:rPr>
          <w:rFonts w:ascii="Book Antiqua" w:eastAsia="Calibri" w:hAnsi="Book Antiqua" w:cs="Times New Roman"/>
          <w:sz w:val="24"/>
          <w:szCs w:val="24"/>
          <w:lang w:val="en-US"/>
        </w:rPr>
        <w:t xml:space="preserve"> probability of </w:t>
      </w:r>
      <w:r w:rsidRPr="000A6219">
        <w:rPr>
          <w:rFonts w:ascii="Book Antiqua" w:eastAsia="Calibri" w:hAnsi="Book Antiqua" w:cs="Times New Roman"/>
          <w:sz w:val="24"/>
          <w:szCs w:val="24"/>
          <w:lang w:val="en-US"/>
        </w:rPr>
        <w:t>being</w:t>
      </w:r>
      <w:r w:rsidR="00721A65" w:rsidRPr="000A6219">
        <w:rPr>
          <w:rFonts w:ascii="Book Antiqua" w:eastAsia="Calibri" w:hAnsi="Book Antiqua" w:cs="Times New Roman"/>
          <w:sz w:val="24"/>
          <w:szCs w:val="24"/>
          <w:lang w:val="en-US"/>
        </w:rPr>
        <w:t xml:space="preserve"> AIEC. Its major problem was </w:t>
      </w:r>
      <w:r w:rsidRPr="000A6219">
        <w:rPr>
          <w:rFonts w:ascii="Book Antiqua" w:eastAsia="Calibri" w:hAnsi="Book Antiqua" w:cs="Times New Roman"/>
          <w:sz w:val="24"/>
          <w:szCs w:val="24"/>
          <w:lang w:val="en-US"/>
        </w:rPr>
        <w:t xml:space="preserve">a high rate of </w:t>
      </w:r>
      <w:r w:rsidR="00721A65" w:rsidRPr="000A6219">
        <w:rPr>
          <w:rFonts w:ascii="Book Antiqua" w:eastAsia="Calibri" w:hAnsi="Book Antiqua" w:cs="Times New Roman"/>
          <w:sz w:val="24"/>
          <w:szCs w:val="24"/>
          <w:lang w:val="en-US"/>
        </w:rPr>
        <w:t>false-positives</w:t>
      </w:r>
      <w:r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thus</w:t>
      </w:r>
      <w:r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it could only be used as an initial screening tool</w:t>
      </w:r>
      <w:r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and AIEC </w:t>
      </w:r>
      <w:r w:rsidRPr="000A6219">
        <w:rPr>
          <w:rFonts w:ascii="Book Antiqua" w:eastAsia="Calibri" w:hAnsi="Book Antiqua" w:cs="Times New Roman"/>
          <w:sz w:val="24"/>
          <w:szCs w:val="24"/>
          <w:lang w:val="en-US"/>
        </w:rPr>
        <w:t xml:space="preserve">strains </w:t>
      </w:r>
      <w:r w:rsidR="00721A65" w:rsidRPr="000A6219">
        <w:rPr>
          <w:rFonts w:ascii="Book Antiqua" w:eastAsia="Calibri" w:hAnsi="Book Antiqua" w:cs="Times New Roman"/>
          <w:sz w:val="24"/>
          <w:szCs w:val="24"/>
          <w:lang w:val="en-US"/>
        </w:rPr>
        <w:t xml:space="preserve">predicted by this method should be further tested phenotypically. </w:t>
      </w:r>
      <w:r w:rsidR="003D76DB" w:rsidRPr="000A6219">
        <w:rPr>
          <w:rFonts w:ascii="Book Antiqua" w:eastAsia="Calibri" w:hAnsi="Book Antiqua" w:cs="Times New Roman"/>
          <w:sz w:val="24"/>
          <w:szCs w:val="24"/>
          <w:lang w:val="en-US"/>
        </w:rPr>
        <w:t>Besides, this marker has been only studied in</w:t>
      </w:r>
      <w:r w:rsidRPr="000A6219">
        <w:rPr>
          <w:rFonts w:ascii="Book Antiqua" w:eastAsia="Calibri" w:hAnsi="Book Antiqua" w:cs="Times New Roman"/>
          <w:sz w:val="24"/>
          <w:szCs w:val="24"/>
          <w:lang w:val="en-US"/>
        </w:rPr>
        <w:t xml:space="preserve"> a particular strain collection;</w:t>
      </w:r>
      <w:r w:rsidR="003D76DB" w:rsidRPr="000A6219">
        <w:rPr>
          <w:rFonts w:ascii="Book Antiqua" w:eastAsia="Calibri" w:hAnsi="Book Antiqua" w:cs="Times New Roman"/>
          <w:sz w:val="24"/>
          <w:szCs w:val="24"/>
          <w:lang w:val="en-US"/>
        </w:rPr>
        <w:t xml:space="preserve"> therefore</w:t>
      </w:r>
      <w:r w:rsidRPr="000A6219">
        <w:rPr>
          <w:rFonts w:ascii="Book Antiqua" w:eastAsia="Calibri" w:hAnsi="Book Antiqua" w:cs="Times New Roman"/>
          <w:sz w:val="24"/>
          <w:szCs w:val="24"/>
          <w:lang w:val="en-US"/>
        </w:rPr>
        <w:t>,</w:t>
      </w:r>
      <w:r w:rsidR="003D76DB" w:rsidRPr="000A6219">
        <w:rPr>
          <w:rFonts w:ascii="Book Antiqua" w:eastAsia="Calibri" w:hAnsi="Book Antiqua" w:cs="Times New Roman"/>
          <w:sz w:val="24"/>
          <w:szCs w:val="24"/>
          <w:lang w:val="en-US"/>
        </w:rPr>
        <w:t xml:space="preserve"> further validation in external collections would be required. </w:t>
      </w:r>
      <w:r w:rsidR="00721A65" w:rsidRPr="000A6219">
        <w:rPr>
          <w:rFonts w:ascii="Book Antiqua" w:eastAsia="Calibri" w:hAnsi="Book Antiqua" w:cs="Times New Roman"/>
          <w:sz w:val="24"/>
          <w:szCs w:val="24"/>
          <w:lang w:val="en-US"/>
        </w:rPr>
        <w:t xml:space="preserve">On the other hand, in contrast to previous studies seeking to find </w:t>
      </w:r>
      <w:r w:rsidR="000F7667" w:rsidRPr="000A6219">
        <w:rPr>
          <w:rFonts w:ascii="Book Antiqua" w:eastAsia="Calibri" w:hAnsi="Book Antiqua" w:cs="Times New Roman"/>
          <w:sz w:val="24"/>
          <w:szCs w:val="24"/>
          <w:lang w:val="en-US"/>
        </w:rPr>
        <w:t xml:space="preserve">AIEC </w:t>
      </w:r>
      <w:r w:rsidR="00721A65" w:rsidRPr="000A6219">
        <w:rPr>
          <w:rFonts w:ascii="Book Antiqua" w:eastAsia="Calibri" w:hAnsi="Book Antiqua" w:cs="Times New Roman"/>
          <w:sz w:val="24"/>
          <w:szCs w:val="24"/>
          <w:lang w:val="en-US"/>
        </w:rPr>
        <w:t xml:space="preserve">genetic markers, </w:t>
      </w:r>
      <w:r w:rsidR="000F7667" w:rsidRPr="000A6219">
        <w:rPr>
          <w:rFonts w:ascii="Book Antiqua" w:eastAsia="Calibri" w:hAnsi="Book Antiqua" w:cs="Times New Roman"/>
          <w:sz w:val="24"/>
          <w:szCs w:val="24"/>
          <w:lang w:val="en-US"/>
        </w:rPr>
        <w:t xml:space="preserve">the genome of </w:t>
      </w:r>
      <w:r w:rsidR="00EF1B8E" w:rsidRPr="000A6219">
        <w:rPr>
          <w:rFonts w:ascii="Book Antiqua" w:eastAsia="Calibri" w:hAnsi="Book Antiqua" w:cs="Times New Roman"/>
          <w:sz w:val="24"/>
          <w:szCs w:val="24"/>
          <w:lang w:val="en-US"/>
        </w:rPr>
        <w:t>three</w:t>
      </w:r>
      <w:r w:rsidR="00721A65" w:rsidRPr="000A6219">
        <w:rPr>
          <w:rFonts w:ascii="Book Antiqua" w:eastAsia="Calibri" w:hAnsi="Book Antiqua" w:cs="Times New Roman"/>
          <w:sz w:val="24"/>
          <w:szCs w:val="24"/>
          <w:lang w:val="en-US"/>
        </w:rPr>
        <w:t xml:space="preserve"> strain pairs that could be considered clones but that differed </w:t>
      </w:r>
      <w:r w:rsidRPr="000A6219">
        <w:rPr>
          <w:rFonts w:ascii="Book Antiqua" w:eastAsia="Calibri" w:hAnsi="Book Antiqua" w:cs="Times New Roman"/>
          <w:sz w:val="24"/>
          <w:szCs w:val="24"/>
          <w:lang w:val="en-US"/>
        </w:rPr>
        <w:t>i</w:t>
      </w:r>
      <w:r w:rsidR="00721A65" w:rsidRPr="000A6219">
        <w:rPr>
          <w:rFonts w:ascii="Book Antiqua" w:eastAsia="Calibri" w:hAnsi="Book Antiqua" w:cs="Times New Roman"/>
          <w:sz w:val="24"/>
          <w:szCs w:val="24"/>
          <w:lang w:val="en-US"/>
        </w:rPr>
        <w:t>n phenotype</w:t>
      </w:r>
      <w:r w:rsidR="00EF1B8E"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sz w:val="24"/>
          <w:szCs w:val="24"/>
          <w:lang w:val="en-US"/>
        </w:rPr>
        <w:t>were</w:t>
      </w:r>
      <w:r w:rsidR="00EF1B8E" w:rsidRPr="000A6219">
        <w:rPr>
          <w:rFonts w:ascii="Book Antiqua" w:eastAsia="Calibri" w:hAnsi="Book Antiqua" w:cs="Times New Roman"/>
          <w:sz w:val="24"/>
          <w:szCs w:val="24"/>
          <w:lang w:val="en-US"/>
        </w:rPr>
        <w:t xml:space="preserve"> compared</w:t>
      </w:r>
      <w:r w:rsidR="00EF1B8E"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{"citationItems":[{"id":"ITEM-1","itemData":{"DOI":"10.1038/s41598-018-20843-x","ISSN":"2045-2322","abstract":"Adherent-invasive Escherichia coli (AIEC) have been involved in Crohn’s disease (CD). Currently, AIEC are identified by time-consuming techniques based on in vitro infection of cell lines to determine their ability to adhere to and invade intestinal epithelial cells as well as to survive and replicate within macrophages. Our aim was to find signature sequences that can be used to identify the AIEC pathotype. Comparative genomics was performed between three E. coli strain pairs, each pair comprised one AIEC and one non-AIEC with identical pulsotype, sequence type and virulence gene carriage. Genetic differences were further analysed in 22 AIEC and 28 non-AIEC isolated from CD patients and controls. The strain pairs showed similar genome structures, and no gene was specific to AIEC. Three single nucleotide polymorphisms displayed different nucleotide distributions between AIEC and non-AIEC, and four correlated with increased adhesion and/or invasion indices. Here, we present a classification algorithm based on the identification of three allelic variants that can predict the AIEC phenotype with 84% accuracy. Our study corroborates the absence of an AIEC-specific genetic marker distributed across all AIEC strains. Nonetheless, point mutations putatively involved in the AIEC phenotype can be used for the molecular identification of the AIEC pathotype.","author":[{"dropping-particle":"","family":"Camprubí-Font","given":"Carla","non-dropping-particle":"","parse-names":false,"suffix":""},{"dropping-particle":"","family":"Lopez-Siles","given":"Mireia","non-dropping-particle":"","parse-names":false,"suffix":""},{"dropping-particle":"","family":"Ferrer-Guixeras","given":"Meritxell","non-dropping-particle":"","parse-names":false,"suffix":""},{"dropping-particle":"","family":"Niubó-Carulla","given":"Laura","non-dropping-particle":"","parse-names":false,"suffix":""},{"dropping-particle":"","family":"Abellà-Ametller","given":"Carles","non-dropping-particle":"","parse-names":false,"suffix":""},{"dropping-particle":"","family":"Garcia-Gil","given":"Librado Jesús","non-dropping-particle":"","parse-names":false,"suffix":""},{"dropping-particle":"","family":"Martinez-Medina","given":"Margarita","non-dropping-particle":"","parse-names":false,"suffix":""}],"container-title":"Scientific Reports","id":"ITEM-1","issue":"2695","issued":{"date-parts":[["2018","12","9"]]},"page":"1-11","publisher":"Nature Publishing Group","title":"Comparative genomics reveals new single-nucleotide polymorphisms that can assist in identification of adherent-invasive Escherichia coli","type":"article-journal","volume":"8"},"uris":["http://www.mendeley.com/documents/?uuid=0123a8cc-e2a6-3256-aead-c6c75508c7e9"]}],"mendeley":{"formattedCitation":"&lt;sup&gt;[36]&lt;/sup&gt;","plainTextFormattedCitation":"[36]","previouslyFormattedCitation":"&lt;sup&gt;[36]&lt;/sup&gt;"},"properties":{"noteIndex":0},"schema":"https://github.com/citation-style-language/schema/raw/master/csl-citation.json"}</w:instrText>
      </w:r>
      <w:r w:rsidR="00EF1B8E"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[36]</w:t>
      </w:r>
      <w:r w:rsidR="00EF1B8E"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sz w:val="24"/>
          <w:szCs w:val="24"/>
          <w:lang w:val="en-US"/>
        </w:rPr>
        <w:t xml:space="preserve">Using </w:t>
      </w:r>
      <w:r w:rsidR="00721A65" w:rsidRPr="000A6219">
        <w:rPr>
          <w:rFonts w:ascii="Book Antiqua" w:eastAsia="Calibri" w:hAnsi="Book Antiqua" w:cs="Times New Roman"/>
          <w:sz w:val="24"/>
          <w:szCs w:val="24"/>
          <w:lang w:val="en-US"/>
        </w:rPr>
        <w:t>this methodological approach, the combination of three point mutations (E3-E4_4.4, E5-E6_3.16</w:t>
      </w:r>
      <w:r w:rsidR="00C15F0F"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t>=</w:t>
      </w:r>
      <w:r w:rsidR="00C15F0F"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t>3.22(2)</w:t>
      </w:r>
      <w:r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and E5-E6_3.12) resulted in the prediction of AIEC phenotype with a sensitivity of 82%, a specificity of 86%</w:t>
      </w:r>
      <w:r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and an accuracy of 84%. </w:t>
      </w:r>
      <w:r w:rsidR="00913998" w:rsidRPr="000A6219">
        <w:rPr>
          <w:rFonts w:ascii="Book Antiqua" w:eastAsia="Calibri" w:hAnsi="Book Antiqua" w:cs="Times New Roman"/>
          <w:sz w:val="24"/>
          <w:szCs w:val="24"/>
          <w:lang w:val="en-US"/>
        </w:rPr>
        <w:t>So far, to our knowledge</w:t>
      </w:r>
      <w:r w:rsidRPr="000A6219">
        <w:rPr>
          <w:rFonts w:ascii="Book Antiqua" w:eastAsia="Calibri" w:hAnsi="Book Antiqua" w:cs="Times New Roman"/>
          <w:sz w:val="24"/>
          <w:szCs w:val="24"/>
          <w:lang w:val="en-US"/>
        </w:rPr>
        <w:t>,</w:t>
      </w:r>
      <w:r w:rsidR="00913998" w:rsidRPr="000A6219">
        <w:rPr>
          <w:rFonts w:ascii="Book Antiqua" w:eastAsia="Calibri" w:hAnsi="Book Antiqua" w:cs="Times New Roman"/>
          <w:sz w:val="24"/>
          <w:szCs w:val="24"/>
          <w:lang w:val="en-US"/>
        </w:rPr>
        <w:t xml:space="preserve"> this </w:t>
      </w:r>
      <w:r w:rsidRPr="000A6219">
        <w:rPr>
          <w:rFonts w:ascii="Book Antiqua" w:eastAsia="Calibri" w:hAnsi="Book Antiqua" w:cs="Times New Roman"/>
          <w:sz w:val="24"/>
          <w:szCs w:val="24"/>
          <w:lang w:val="en-US"/>
        </w:rPr>
        <w:t xml:space="preserve">method </w:t>
      </w:r>
      <w:r w:rsidR="00913998" w:rsidRPr="000A6219">
        <w:rPr>
          <w:rFonts w:ascii="Book Antiqua" w:eastAsia="Calibri" w:hAnsi="Book Antiqua" w:cs="Times New Roman"/>
          <w:sz w:val="24"/>
          <w:szCs w:val="24"/>
          <w:lang w:val="en-US"/>
        </w:rPr>
        <w:t xml:space="preserve">is the best </w:t>
      </w:r>
      <w:r w:rsidRPr="000A6219">
        <w:rPr>
          <w:rFonts w:ascii="Book Antiqua" w:eastAsia="Calibri" w:hAnsi="Book Antiqua" w:cs="Times New Roman"/>
          <w:sz w:val="24"/>
          <w:szCs w:val="24"/>
          <w:lang w:val="en-US"/>
        </w:rPr>
        <w:t>one out of the available methods</w:t>
      </w:r>
      <w:r w:rsidR="00913998"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t xml:space="preserve">However, before drawing conclusions on whether a molecular marker is adequate to identify AIEC strains, we recommend </w:t>
      </w:r>
      <w:r w:rsidRPr="000A6219">
        <w:rPr>
          <w:rFonts w:ascii="Book Antiqua" w:eastAsia="Calibri" w:hAnsi="Book Antiqua" w:cs="Times New Roman"/>
          <w:sz w:val="24"/>
          <w:szCs w:val="24"/>
          <w:lang w:val="en-US"/>
        </w:rPr>
        <w:t>performing</w:t>
      </w:r>
      <w:r w:rsidR="00721A65" w:rsidRPr="000A6219">
        <w:rPr>
          <w:rFonts w:ascii="Book Antiqua" w:eastAsia="Calibri" w:hAnsi="Book Antiqua" w:cs="Times New Roman"/>
          <w:sz w:val="24"/>
          <w:szCs w:val="24"/>
          <w:lang w:val="en-US"/>
        </w:rPr>
        <w:t xml:space="preserve"> additional analys</w:t>
      </w:r>
      <w:r w:rsidRPr="000A6219">
        <w:rPr>
          <w:rFonts w:ascii="Book Antiqua" w:eastAsia="Calibri" w:hAnsi="Book Antiqua" w:cs="Times New Roman"/>
          <w:sz w:val="24"/>
          <w:szCs w:val="24"/>
          <w:lang w:val="en-US"/>
        </w:rPr>
        <w:t>e</w:t>
      </w:r>
      <w:r w:rsidR="00721A65" w:rsidRPr="000A6219">
        <w:rPr>
          <w:rFonts w:ascii="Book Antiqua" w:eastAsia="Calibri" w:hAnsi="Book Antiqua" w:cs="Times New Roman"/>
          <w:sz w:val="24"/>
          <w:szCs w:val="24"/>
          <w:lang w:val="en-US"/>
        </w:rPr>
        <w:t xml:space="preserve">s to confirm </w:t>
      </w:r>
      <w:r w:rsidR="00C65E54" w:rsidRPr="000A6219">
        <w:rPr>
          <w:rFonts w:ascii="Book Antiqua" w:eastAsia="Calibri" w:hAnsi="Book Antiqua" w:cs="Times New Roman"/>
          <w:sz w:val="24"/>
          <w:szCs w:val="24"/>
          <w:lang w:val="en-US"/>
        </w:rPr>
        <w:t>the</w:t>
      </w:r>
      <w:r w:rsidR="00721A65" w:rsidRPr="000A6219">
        <w:rPr>
          <w:rFonts w:ascii="Book Antiqua" w:eastAsia="Calibri" w:hAnsi="Book Antiqua" w:cs="Times New Roman"/>
          <w:sz w:val="24"/>
          <w:szCs w:val="24"/>
          <w:lang w:val="en-US"/>
        </w:rPr>
        <w:t xml:space="preserve"> specificity, sensitivity</w:t>
      </w:r>
      <w:r w:rsidR="00C65E54"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and accuracy</w:t>
      </w:r>
      <w:r w:rsidR="00C65E54" w:rsidRPr="000A6219">
        <w:rPr>
          <w:rFonts w:ascii="Book Antiqua" w:eastAsia="Calibri" w:hAnsi="Book Antiqua" w:cs="Times New Roman"/>
          <w:sz w:val="24"/>
          <w:szCs w:val="24"/>
          <w:lang w:val="en-US"/>
        </w:rPr>
        <w:t xml:space="preserve"> of this method</w:t>
      </w:r>
      <w:r w:rsidR="00721A65"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lastRenderedPageBreak/>
        <w:t xml:space="preserve">First, the results should be verified </w:t>
      </w:r>
      <w:r w:rsidR="00C65E54" w:rsidRPr="000A6219">
        <w:rPr>
          <w:rFonts w:ascii="Book Antiqua" w:eastAsia="Calibri" w:hAnsi="Book Antiqua" w:cs="Times New Roman"/>
          <w:sz w:val="24"/>
          <w:szCs w:val="24"/>
          <w:lang w:val="en-US"/>
        </w:rPr>
        <w:t>using</w:t>
      </w:r>
      <w:r w:rsidR="00721A65" w:rsidRPr="000A6219">
        <w:rPr>
          <w:rFonts w:ascii="Book Antiqua" w:eastAsia="Calibri" w:hAnsi="Book Antiqua" w:cs="Times New Roman"/>
          <w:sz w:val="24"/>
          <w:szCs w:val="24"/>
          <w:lang w:val="en-US"/>
        </w:rPr>
        <w:t xml:space="preserve"> a larger set of strains</w:t>
      </w:r>
      <w:r w:rsidR="00C65E54"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including AIEC and non-AIEC strains from other geographical origins. Second, since AIEC </w:t>
      </w:r>
      <w:r w:rsidR="00C65E54" w:rsidRPr="000A6219">
        <w:rPr>
          <w:rFonts w:ascii="Book Antiqua" w:eastAsia="Calibri" w:hAnsi="Book Antiqua" w:cs="Times New Roman"/>
          <w:sz w:val="24"/>
          <w:szCs w:val="24"/>
          <w:lang w:val="en-US"/>
        </w:rPr>
        <w:t xml:space="preserve">strains </w:t>
      </w:r>
      <w:r w:rsidR="00721A65" w:rsidRPr="000A6219">
        <w:rPr>
          <w:rFonts w:ascii="Book Antiqua" w:eastAsia="Calibri" w:hAnsi="Book Antiqua" w:cs="Times New Roman"/>
          <w:sz w:val="24"/>
          <w:szCs w:val="24"/>
          <w:lang w:val="en-US"/>
        </w:rPr>
        <w:t xml:space="preserve">present similar genetic traits as </w:t>
      </w:r>
      <w:proofErr w:type="spellStart"/>
      <w:r w:rsidR="00721A65" w:rsidRPr="000A6219">
        <w:rPr>
          <w:rFonts w:ascii="Book Antiqua" w:eastAsia="Calibri" w:hAnsi="Book Antiqua" w:cs="Times New Roman"/>
          <w:sz w:val="24"/>
          <w:szCs w:val="24"/>
          <w:lang w:val="en-US"/>
        </w:rPr>
        <w:t>ExPEC</w:t>
      </w:r>
      <w:proofErr w:type="spellEnd"/>
      <w:r w:rsidR="00721A65" w:rsidRPr="000A6219">
        <w:rPr>
          <w:rFonts w:ascii="Book Antiqua" w:eastAsia="Calibri" w:hAnsi="Book Antiqua" w:cs="Times New Roman"/>
          <w:sz w:val="24"/>
          <w:szCs w:val="24"/>
          <w:lang w:val="en-US"/>
        </w:rPr>
        <w:t xml:space="preserve"> strains</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Journal","id":"ITEM-1","issue":"5","issued":{"date-parts":[["2007","9","12"]]},"note":"Ref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ileum","type":"article-journal","volume":"1"},"uris":["http://www.mendeley.com/documents/?uuid=2107dc8c-d9c8-3eaa-aff8-de85bd3a90fa"]},{"id":"ITEM-2","itemData":{"DOI":"10.1053/j.gastro.2004.04.061","ISBN":"0016-5085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Frédéric","non-dropping-particle":"","parse-names":false,"suffix":""}],"container-title":"Gastroenterology","id":"ITEM-2","issue":"2","issued":{"date-parts":[["2004"]]},"page":"412-421","title":"High prevalence of adherent-invasive Escherichia coli associated with ileal mucosa in Crohn's disease","type":"article-journal","volume":"127"},"uris":["http://www.mendeley.com/documents/?uuid=c37eb702-0cb7-4694-ad28-7a4aed1f66ff"]},{"id":"ITEM-3","itemData":{"DOI":"10.1002/ibd.20860","ISBN":"1536-4844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Diseases","id":"ITEM-3","issue":"6","issued":{"date-parts":[["2009"]]},"page":"872-882","title":"Molecular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mendeley":{"formattedCitation":"&lt;sup&gt;[1,9,11]&lt;/sup&gt;","plainTextFormattedCitation":"[1,9,11]","previouslyFormattedCitation":"&lt;sup&gt;[1,9,11]&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[1,9,11]</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w:t>
      </w:r>
      <w:r w:rsidR="00C65E54" w:rsidRPr="000A6219">
        <w:rPr>
          <w:rFonts w:ascii="Book Antiqua" w:eastAsia="Calibri" w:hAnsi="Book Antiqua" w:cs="Times New Roman"/>
          <w:sz w:val="24"/>
          <w:szCs w:val="24"/>
          <w:lang w:val="en-US"/>
        </w:rPr>
        <w:t>determining</w:t>
      </w:r>
      <w:r w:rsidR="00721A65" w:rsidRPr="000A6219">
        <w:rPr>
          <w:rFonts w:ascii="Book Antiqua" w:eastAsia="Calibri" w:hAnsi="Book Antiqua" w:cs="Times New Roman"/>
          <w:sz w:val="24"/>
          <w:szCs w:val="24"/>
          <w:lang w:val="en-US"/>
        </w:rPr>
        <w:t xml:space="preserve"> the specificity of the method with other </w:t>
      </w:r>
      <w:r w:rsidR="00721A65" w:rsidRPr="000A6219">
        <w:rPr>
          <w:rFonts w:ascii="Book Antiqua" w:eastAsia="Calibri" w:hAnsi="Book Antiqua" w:cs="Times New Roman"/>
          <w:i/>
          <w:sz w:val="24"/>
          <w:szCs w:val="24"/>
          <w:lang w:val="en-US"/>
        </w:rPr>
        <w:t xml:space="preserve">E. coli </w:t>
      </w:r>
      <w:r w:rsidR="00721A65" w:rsidRPr="000A6219">
        <w:rPr>
          <w:rFonts w:ascii="Book Antiqua" w:eastAsia="Calibri" w:hAnsi="Book Antiqua" w:cs="Times New Roman"/>
          <w:sz w:val="24"/>
          <w:szCs w:val="24"/>
          <w:lang w:val="en-US"/>
        </w:rPr>
        <w:t xml:space="preserve">pathotypes, in particular </w:t>
      </w:r>
      <w:proofErr w:type="spellStart"/>
      <w:r w:rsidR="00721A65" w:rsidRPr="000A6219">
        <w:rPr>
          <w:rFonts w:ascii="Book Antiqua" w:eastAsia="Calibri" w:hAnsi="Book Antiqua" w:cs="Times New Roman"/>
          <w:sz w:val="24"/>
          <w:szCs w:val="24"/>
          <w:lang w:val="en-US"/>
        </w:rPr>
        <w:t>ExPEC</w:t>
      </w:r>
      <w:proofErr w:type="spellEnd"/>
      <w:r w:rsidR="00721A65" w:rsidRPr="000A6219">
        <w:rPr>
          <w:rFonts w:ascii="Book Antiqua" w:eastAsia="Calibri" w:hAnsi="Book Antiqua" w:cs="Times New Roman"/>
          <w:sz w:val="24"/>
          <w:szCs w:val="24"/>
          <w:lang w:val="en-US"/>
        </w:rPr>
        <w:t xml:space="preserve"> strains, would also be required. Finally, if the results of the previous</w:t>
      </w:r>
      <w:r w:rsidR="00C65E54" w:rsidRPr="000A6219">
        <w:rPr>
          <w:rFonts w:ascii="Book Antiqua" w:eastAsia="Calibri" w:hAnsi="Book Antiqua" w:cs="Times New Roman"/>
          <w:sz w:val="24"/>
          <w:szCs w:val="24"/>
          <w:lang w:val="en-US"/>
        </w:rPr>
        <w:t>ly</w:t>
      </w:r>
      <w:r w:rsidR="00721A65" w:rsidRPr="000A6219">
        <w:rPr>
          <w:rFonts w:ascii="Book Antiqua" w:eastAsia="Calibri" w:hAnsi="Book Antiqua" w:cs="Times New Roman"/>
          <w:sz w:val="24"/>
          <w:szCs w:val="24"/>
          <w:lang w:val="en-US"/>
        </w:rPr>
        <w:t xml:space="preserve"> mentioned analysis confirm</w:t>
      </w:r>
      <w:r w:rsidR="00C65E54" w:rsidRPr="000A6219">
        <w:rPr>
          <w:rFonts w:ascii="Book Antiqua" w:eastAsia="Calibri" w:hAnsi="Book Antiqua" w:cs="Times New Roman"/>
          <w:sz w:val="24"/>
          <w:szCs w:val="24"/>
          <w:lang w:val="en-US"/>
        </w:rPr>
        <w:t>ed</w:t>
      </w:r>
      <w:r w:rsidR="00721A65" w:rsidRPr="000A6219">
        <w:rPr>
          <w:rFonts w:ascii="Book Antiqua" w:eastAsia="Calibri" w:hAnsi="Book Antiqua" w:cs="Times New Roman"/>
          <w:sz w:val="24"/>
          <w:szCs w:val="24"/>
          <w:lang w:val="en-US"/>
        </w:rPr>
        <w:t xml:space="preserve"> the usefulness of the purposed method,</w:t>
      </w:r>
      <w:r w:rsidR="00C65E54"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t>test</w:t>
      </w:r>
      <w:r w:rsidR="00C65E54" w:rsidRPr="000A6219">
        <w:rPr>
          <w:rFonts w:ascii="Book Antiqua" w:eastAsia="Calibri" w:hAnsi="Book Antiqua" w:cs="Times New Roman"/>
          <w:sz w:val="24"/>
          <w:szCs w:val="24"/>
          <w:lang w:val="en-US"/>
        </w:rPr>
        <w:t>ing</w:t>
      </w:r>
      <w:r w:rsidR="00721A65" w:rsidRPr="000A6219">
        <w:rPr>
          <w:rFonts w:ascii="Book Antiqua" w:eastAsia="Calibri" w:hAnsi="Book Antiqua" w:cs="Times New Roman"/>
          <w:sz w:val="24"/>
          <w:szCs w:val="24"/>
          <w:lang w:val="en-US"/>
        </w:rPr>
        <w:t xml:space="preserve"> the utility of the tool in clinical specimens (both </w:t>
      </w:r>
      <w:r w:rsidR="00C65E54" w:rsidRPr="000A6219">
        <w:rPr>
          <w:rFonts w:ascii="Book Antiqua" w:eastAsia="Calibri" w:hAnsi="Book Antiqua" w:cs="Times New Roman"/>
          <w:sz w:val="24"/>
          <w:szCs w:val="24"/>
          <w:lang w:val="en-US"/>
        </w:rPr>
        <w:t>f</w:t>
      </w:r>
      <w:r w:rsidR="00570361" w:rsidRPr="000A6219">
        <w:rPr>
          <w:rFonts w:ascii="Book Antiqua" w:eastAsia="Calibri" w:hAnsi="Book Antiqua" w:cs="Times New Roman"/>
          <w:sz w:val="24"/>
          <w:szCs w:val="24"/>
          <w:lang w:val="en-US"/>
        </w:rPr>
        <w:t>ecal</w:t>
      </w:r>
      <w:r w:rsidR="00721A65" w:rsidRPr="000A6219">
        <w:rPr>
          <w:rFonts w:ascii="Book Antiqua" w:eastAsia="Calibri" w:hAnsi="Book Antiqua" w:cs="Times New Roman"/>
          <w:sz w:val="24"/>
          <w:szCs w:val="24"/>
          <w:lang w:val="en-US"/>
        </w:rPr>
        <w:t xml:space="preserve"> </w:t>
      </w:r>
      <w:r w:rsidR="00C65E54" w:rsidRPr="000A6219">
        <w:rPr>
          <w:rFonts w:ascii="Book Antiqua" w:eastAsia="Calibri" w:hAnsi="Book Antiqua" w:cs="Times New Roman"/>
          <w:sz w:val="24"/>
          <w:szCs w:val="24"/>
          <w:lang w:val="en-US"/>
        </w:rPr>
        <w:t>and</w:t>
      </w:r>
      <w:r w:rsidR="00721A65" w:rsidRPr="000A6219">
        <w:rPr>
          <w:rFonts w:ascii="Book Antiqua" w:eastAsia="Calibri" w:hAnsi="Book Antiqua" w:cs="Times New Roman"/>
          <w:sz w:val="24"/>
          <w:szCs w:val="24"/>
          <w:lang w:val="en-US"/>
        </w:rPr>
        <w:t xml:space="preserve"> tissue biopsies) should be considered.</w:t>
      </w:r>
    </w:p>
    <w:p w14:paraId="4999E68B" w14:textId="77777777" w:rsidR="00C15F0F" w:rsidRPr="000A6219" w:rsidRDefault="00C15F0F" w:rsidP="000A6219">
      <w:pPr>
        <w:snapToGrid w:val="0"/>
        <w:spacing w:after="0" w:line="360" w:lineRule="auto"/>
        <w:jc w:val="both"/>
        <w:rPr>
          <w:rFonts w:ascii="Book Antiqua" w:eastAsia="Times New Roman" w:hAnsi="Book Antiqua" w:cs="Times New Roman"/>
          <w:b/>
          <w:iCs/>
          <w:caps/>
          <w:sz w:val="24"/>
          <w:szCs w:val="24"/>
          <w:u w:val="single"/>
          <w:lang w:val="en-US"/>
        </w:rPr>
      </w:pPr>
    </w:p>
    <w:p w14:paraId="697968B4" w14:textId="08FADC9C" w:rsidR="00721A65" w:rsidRPr="000A6219" w:rsidRDefault="00721A65" w:rsidP="000A6219">
      <w:pPr>
        <w:snapToGrid w:val="0"/>
        <w:spacing w:after="0" w:line="360" w:lineRule="auto"/>
        <w:jc w:val="both"/>
        <w:rPr>
          <w:rFonts w:ascii="Book Antiqua" w:eastAsia="Times New Roman" w:hAnsi="Book Antiqua" w:cs="Times New Roman"/>
          <w:b/>
          <w:iCs/>
          <w:caps/>
          <w:sz w:val="24"/>
          <w:szCs w:val="24"/>
          <w:u w:val="single"/>
          <w:lang w:val="en-US"/>
        </w:rPr>
      </w:pPr>
      <w:r w:rsidRPr="000A6219">
        <w:rPr>
          <w:rFonts w:ascii="Book Antiqua" w:eastAsia="Times New Roman" w:hAnsi="Book Antiqua" w:cs="Times New Roman"/>
          <w:b/>
          <w:iCs/>
          <w:caps/>
          <w:sz w:val="24"/>
          <w:szCs w:val="24"/>
          <w:u w:val="single"/>
          <w:lang w:val="en-US"/>
        </w:rPr>
        <w:t xml:space="preserve">Possible reasons why the search for </w:t>
      </w:r>
      <w:r w:rsidR="005976AA">
        <w:rPr>
          <w:rFonts w:ascii="Book Antiqua" w:hAnsi="Book Antiqua" w:cs="Times New Roman" w:hint="eastAsia"/>
          <w:b/>
          <w:caps/>
          <w:sz w:val="24"/>
          <w:szCs w:val="24"/>
          <w:u w:val="single"/>
          <w:lang w:val="en-US" w:eastAsia="zh-CN"/>
        </w:rPr>
        <w:t>AIEC</w:t>
      </w:r>
      <w:r w:rsidRPr="000A6219">
        <w:rPr>
          <w:rFonts w:ascii="Book Antiqua" w:eastAsia="Times New Roman" w:hAnsi="Book Antiqua" w:cs="Times New Roman"/>
          <w:b/>
          <w:iCs/>
          <w:caps/>
          <w:sz w:val="24"/>
          <w:szCs w:val="24"/>
          <w:u w:val="single"/>
          <w:lang w:val="en-US"/>
        </w:rPr>
        <w:t xml:space="preserve"> molecular markers is challenging</w:t>
      </w:r>
    </w:p>
    <w:p w14:paraId="7568E7DE" w14:textId="253AC9B9" w:rsidR="00396974" w:rsidRPr="000A6219" w:rsidRDefault="00721A65" w:rsidP="000A6219">
      <w:pPr>
        <w:snapToGrid w:val="0"/>
        <w:spacing w:after="0" w:line="360" w:lineRule="auto"/>
        <w:jc w:val="both"/>
        <w:rPr>
          <w:rFonts w:ascii="Book Antiqua" w:eastAsia="Calibri" w:hAnsi="Book Antiqua" w:cs="Times New Roman"/>
          <w:color w:val="C0504D" w:themeColor="accent2"/>
          <w:sz w:val="24"/>
          <w:szCs w:val="24"/>
          <w:lang w:val="en-US"/>
        </w:rPr>
      </w:pPr>
      <w:r w:rsidRPr="000A6219">
        <w:rPr>
          <w:rFonts w:ascii="Book Antiqua" w:eastAsia="Calibri" w:hAnsi="Book Antiqua" w:cs="Times New Roman"/>
          <w:color w:val="000000" w:themeColor="text1"/>
          <w:sz w:val="24"/>
          <w:szCs w:val="24"/>
          <w:lang w:val="en-US"/>
        </w:rPr>
        <w:t xml:space="preserve">Failure to detect a molecular property strictly associated with AIEC so far </w:t>
      </w:r>
      <w:r w:rsidR="00DC638B" w:rsidRPr="000A6219">
        <w:rPr>
          <w:rFonts w:ascii="Book Antiqua" w:eastAsia="Calibri" w:hAnsi="Book Antiqua" w:cs="Times New Roman"/>
          <w:color w:val="000000" w:themeColor="text1"/>
          <w:sz w:val="24"/>
          <w:szCs w:val="24"/>
          <w:lang w:val="en-US"/>
        </w:rPr>
        <w:t>could</w:t>
      </w:r>
      <w:r w:rsidRPr="000A6219">
        <w:rPr>
          <w:rFonts w:ascii="Book Antiqua" w:eastAsia="Calibri" w:hAnsi="Book Antiqua" w:cs="Times New Roman"/>
          <w:color w:val="000000" w:themeColor="text1"/>
          <w:sz w:val="24"/>
          <w:szCs w:val="24"/>
          <w:lang w:val="en-US"/>
        </w:rPr>
        <w:t xml:space="preserve"> be explaine</w:t>
      </w:r>
      <w:r w:rsidR="00570361" w:rsidRPr="000A6219">
        <w:rPr>
          <w:rFonts w:ascii="Book Antiqua" w:eastAsia="Calibri" w:hAnsi="Book Antiqua" w:cs="Times New Roman"/>
          <w:color w:val="000000" w:themeColor="text1"/>
          <w:sz w:val="24"/>
          <w:szCs w:val="24"/>
          <w:lang w:val="en-US"/>
        </w:rPr>
        <w:t>d by</w:t>
      </w:r>
      <w:r w:rsidR="007F74F2" w:rsidRPr="000A6219">
        <w:rPr>
          <w:rFonts w:ascii="Book Antiqua" w:eastAsia="Calibri" w:hAnsi="Book Antiqua" w:cs="Times New Roman"/>
          <w:color w:val="000000" w:themeColor="text1"/>
          <w:sz w:val="24"/>
          <w:szCs w:val="24"/>
          <w:lang w:val="en-US"/>
        </w:rPr>
        <w:t xml:space="preserve">: </w:t>
      </w:r>
      <w:r w:rsidR="00396974" w:rsidRPr="000A6219">
        <w:rPr>
          <w:rFonts w:ascii="Book Antiqua" w:eastAsia="Calibri" w:hAnsi="Book Antiqua" w:cs="Times New Roman"/>
          <w:color w:val="000000" w:themeColor="text1"/>
          <w:sz w:val="24"/>
          <w:szCs w:val="24"/>
          <w:lang w:val="en-US"/>
        </w:rPr>
        <w:t>how AIEC might be emerged</w:t>
      </w:r>
      <w:r w:rsidR="00F948DD" w:rsidRPr="000A6219">
        <w:rPr>
          <w:rFonts w:ascii="Book Antiqua" w:eastAsia="Calibri" w:hAnsi="Book Antiqua" w:cs="Times New Roman"/>
          <w:color w:val="000000" w:themeColor="text1"/>
          <w:sz w:val="24"/>
          <w:szCs w:val="24"/>
          <w:lang w:val="en-US"/>
        </w:rPr>
        <w:t xml:space="preserve"> or</w:t>
      </w:r>
      <w:r w:rsidR="00396974" w:rsidRPr="000A6219">
        <w:rPr>
          <w:rFonts w:ascii="Book Antiqua" w:eastAsia="Calibri" w:hAnsi="Book Antiqua" w:cs="Times New Roman"/>
          <w:color w:val="000000" w:themeColor="text1"/>
          <w:sz w:val="24"/>
          <w:szCs w:val="24"/>
          <w:lang w:val="en-US"/>
        </w:rPr>
        <w:t xml:space="preserve"> t</w:t>
      </w:r>
      <w:r w:rsidR="00297413" w:rsidRPr="000A6219">
        <w:rPr>
          <w:rFonts w:ascii="Book Antiqua" w:eastAsia="Calibri" w:hAnsi="Book Antiqua" w:cs="Times New Roman"/>
          <w:color w:val="000000" w:themeColor="text1"/>
          <w:sz w:val="24"/>
          <w:szCs w:val="24"/>
          <w:lang w:val="en-US"/>
        </w:rPr>
        <w:t xml:space="preserve">he fact that the </w:t>
      </w:r>
      <w:r w:rsidR="00396974" w:rsidRPr="000A6219">
        <w:rPr>
          <w:rFonts w:ascii="Book Antiqua" w:eastAsia="Calibri" w:hAnsi="Book Antiqua" w:cs="Times New Roman"/>
          <w:color w:val="000000" w:themeColor="text1"/>
          <w:sz w:val="24"/>
          <w:szCs w:val="24"/>
          <w:lang w:val="en-US"/>
        </w:rPr>
        <w:t>approaches used so far are not enough appropriate</w:t>
      </w:r>
      <w:r w:rsidR="00297413" w:rsidRPr="000A6219">
        <w:rPr>
          <w:rFonts w:ascii="Book Antiqua" w:eastAsia="Calibri" w:hAnsi="Book Antiqua" w:cs="Times New Roman"/>
          <w:color w:val="000000" w:themeColor="text1"/>
          <w:sz w:val="24"/>
          <w:szCs w:val="24"/>
          <w:lang w:val="en-US"/>
        </w:rPr>
        <w:t>. Moreover, the lack of a standardized method for AIEC phenotypic characterization</w:t>
      </w:r>
      <w:r w:rsidR="00F948DD" w:rsidRPr="000A6219">
        <w:rPr>
          <w:rFonts w:ascii="Book Antiqua" w:eastAsia="Calibri" w:hAnsi="Book Antiqua" w:cs="Times New Roman"/>
          <w:color w:val="000000" w:themeColor="text1"/>
          <w:sz w:val="24"/>
          <w:szCs w:val="24"/>
          <w:lang w:val="en-US"/>
        </w:rPr>
        <w:t xml:space="preserve"> can add confusion in the search for distinctive traits and/or in its validation in external strains collections.</w:t>
      </w:r>
      <w:r w:rsidR="00570361" w:rsidRPr="000A6219">
        <w:rPr>
          <w:rFonts w:ascii="Book Antiqua" w:eastAsia="Calibri" w:hAnsi="Book Antiqua" w:cs="Times New Roman"/>
          <w:color w:val="C0504D" w:themeColor="accent2"/>
          <w:sz w:val="24"/>
          <w:szCs w:val="24"/>
          <w:lang w:val="en-US"/>
        </w:rPr>
        <w:t xml:space="preserve"> </w:t>
      </w:r>
    </w:p>
    <w:p w14:paraId="6C95311F" w14:textId="38715B99" w:rsidR="00721A65" w:rsidRPr="000A6219" w:rsidRDefault="00721A65"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AIEC isolates by no means represent uniform populations</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{"citationItems":[{"id":"ITEM-1","itemData":{"DOI":"10.1097/MIB.0000000000000574","ISBN":"0000000000000","ISSN":"15364844","PMID":"26444104","abstract":"BACKGROUND Mucosal-associated Escherichia coli are commonly found in inflamed tissues during inflammatory bowel disease (IBD). These bacteria often possess an adherent and invasive phenotype but lack virulence-associated features of well-described intestinal E. coli pathogens, and are of diverse serology and phylotypes, making it difficult to correlate strain characteristics with exacerbations of disease. METHODS The genome sequences of 14 phenotypically assigned adherent-invasive Escherichia coli (AIEC) isolates obtained from intestinal biopsies of patients with IBD were compared with the genome sequences of 37 other pathogenic and commensal E. coli available from public databases. RESULTS Core genome-based phylogenetic analyses and genome-wide comparison of genetic content established the existence of a closely related cluster of AIEC strains with 3 distinct genetic insertions differentiating them from commensal E. coli. These strains are of the B2 phylotype have a variant type VI secretion system (T6SS-1), and are highly related to extraintestinal pathogenic E. coli, suggesting that these 2 clinically distinct pathovars have common virulence strategies. Four other mucosally adherent E. coli strains from patients with IBD were of diverse phylogenetic origins and lacked the 3 genetic features, suggesting that they are not related to the B2 AIEC cluster. Although AIEC are often considered as having a unique association with Crohn's disease, isolates from Crohn's disease and ulcerative colitis were genetically indistinguishable. CONCLUSIONS B2 AIEC thus represent a closely related cluster of IBD-associated E. coli strains that are distinct from normal commensal isolates, and which should be considered separately from the phenotypically similar but genetically distinct non-B2 AIEC strains when considering their association with intestinal pathogenesis.","author":[{"dropping-particle":"","family":"Desilets","given":"Michael","non-dropping-particle":"","parse-names":false,"suffix":""},{"dropping-particle":"","family":"Deng","given":"Xiangding","non-dropping-particle":"","parse-names":false,"suffix":""},{"dropping-particle":"","family":"Rao","given":"Chitong","non-dropping-particle":"","parse-names":false,"suffix":""},{"dropping-particle":"","family":"Ensminger","given":"Alexander W.","non-dropping-particle":"","parse-names":false,"suffix":""},{"dropping-particle":"","family":"Krause","given":"Denis O.","non-dropping-particle":"","parse-names":false,"suffix":""},{"dropping-particle":"","family":"Sherman","given":"Philip M.","non-dropping-particle":"","parse-names":false,"suffix":""},{"dropping-particle":"","family":"Gray-Owen","given":"Scott D.","non-dropping-particle":"","parse-names":false,"suffix":""}],"container-title":"Inflammatory Bowel Diseases","id":"ITEM-1","issue":"1","issued":{"date-parts":[["2016"]]},"page":"1-12","title":"Genome-based definition of an inflammatory bowel disease-associated adherent-invasive Escherichia coli pathovar","type":"article-journal","volume":"22"},"uris":["http://www.mendeley.com/documents/?uuid=b415452d-a7f0-42e4-a968-ab2a8693e4d3"]},{"id":"ITEM-2","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-2","issue":"8","issued":{"date-parts":[["2016"]]},"page":"1382-1389","title":"Comparative genomics of Crohn's disease-associated adherent-invasive Escherichia coli","type":"article-journal","volume":"66"},"uris":["http://www.mendeley.com/documents/?uuid=5433c40e-8818-41e5-9f75-43963d20c944"]},{"id":"ITEM-3","itemData":{"DOI":"10.1371/journal.pone.0130902","ISSN":"1932-6203","PMID":"26125937","abstract":"Adherent-invasive Escherichia coli (AIEC) strains are detected more frequently within mucosal lesions of patients with Crohn's disease (CD). The AIEC phenotype consists of adherence and invasion of intestinal epithelial cells and survival within macrophages of these bacteria in vitro. Our aim was to identify candidate transcripts that distinguish AIEC from non-invasive E. coli (NIEC) strains and might be useful for rapid and accurate identification of AIEC by culture-independent technology. We performed comparative RNA-Sequence (RNASeq) analysis using AIEC strain LF82 and NIEC strain HS during exponential and stationary growth. Differential expression analysis of coding sequences (CDS) homologous to both strains demonstrated 224 and 241 genes with increased and decreased expression, respectively, in LF82 relative to HS. Transition metal transport and siderophore metabolism related pathway genes were up-regulated, while glycogen metabolic and oxidation-reduction related pathway genes were down-regulated, in LF82. Chemotaxis related transcripts were up-regulated in LF82 during the exponential phase, but flagellum-dependent motility pathway genes were down-regulated in LF82 during the stationary phase. CDS that mapped only to the LF82 genome accounted for 747 genes. We applied an in silico subtractive genomics approach to identify CDS specific to AIEC by incorporating the genomes of 10 other previously phenotyped NIEC. From this analysis, 166 CDS mapped to the LF82 genome and lacked homology to any of the 11 human NIEC strains. We compared these CDS across 13 AIEC, but none were homologous in each. Four LF82 gene loci belonging to clustered regularly interspaced short palindromic repeats region (CRISPR)--CRISPR-associated (Cas) genes were identified in 4 to 6 AIEC and absent from all non-pathogenic bacteria. As previously reported, AIEC strains were enriched for pdu operon genes. One CDS, encoding an excisionase, was shared by 9 AIEC strains. Reverse transcription quantitative polymerase chain reaction assays for 6 genes were conducted on fecal and ileal RNA samples from 22 inflammatory bowel disease (IBD), and 32 patients without IBD (non-IBD). The expression of Cas loci was detected in a higher proportion of CD than non-IBD fecal and ileal RNA samples (p &lt;0.05). These results support a comparative genomic/transcriptomic approach towards identifying candidate AIEC signature transcripts.","author":[{"dropping-particle":"","family":"Zhang","given":"Yuanhao","non-dropping-particle":"","parse-names":false,"suffix":""},{"dropping-particle":"","family":"Rowehl","given":"Leahana","non-dropping-particle":"","parse-names":false,"suffix":""},{"dropping-particle":"","family":"Krumsiek","given":"Julia M","non-dropping-particle":"","parse-names":false,"suffix":""},{"dropping-particle":"","family":"Orner","given":"Erika P","non-dropping-particle":"","parse-names":false,"suffix":""},{"dropping-particle":"","family":"Shaikh","given":"Nurmohammad","non-dropping-particle":"","parse-names":false,"suffix":""},{"dropping-particle":"","family":"Tarr","given":"Phillip I","non-dropping-particle":"","parse-names":false,"suffix":""},{"dropping-particle":"","family":"Sodergren","given":"Erica","non-dropping-particle":"","parse-names":false,"suffix":""},{"dropping-particle":"","family":"Weinstock","given":"George M","non-dropping-particle":"","parse-names":false,"suffix":""},{"dropping-particle":"","family":"Boedeker","given":"Edgar C","non-dropping-particle":"","parse-names":false,"suffix":""},{"dropping-particle":"","family":"Xiong","given":"Xuejian","non-dropping-particle":"","parse-names":false,"suffix":""},{"dropping-particle":"","family":"Parkinson","given":"John","non-dropping-particle":"","parse-names":false,"suffix":""},{"dropping-particle":"","family":"Frank","given":"Daniel N","non-dropping-particle":"","parse-names":false,"suffix":""},{"dropping-particle":"","family":"Li","given":"Ellen","non-dropping-particle":"","parse-names":false,"suffix":""},{"dropping-particle":"","family":"Gathungu","given":"Grace","non-dropping-particle":"","parse-names":false,"suffix":""}],"container-title":"PloS one","id":"ITEM-3","issue":"6","issued":{"date-parts":[["2015"]]},"page":"e0130902","publisher":"Public Library of Science","title":"Identification of Candidate Adherent-Invasive E. coli Signature Transcripts by Genomic/Transcriptomic Analysis.","type":"article-journal","volume":"10"},"uris":["http://www.mendeley.com/documents/?uuid=c64dddf1-d66e-31ad-8569-739a844139b3"]}],"mendeley":{"formattedCitation":"&lt;sup&gt;[32,34,35]&lt;/sup&gt;","plainTextFormattedCitation":"[32,34,35]","previouslyFormattedCitation":"&lt;sup&gt;[32,34,35]&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[32,34,35]</w:t>
      </w:r>
      <w:r w:rsidRPr="000A6219">
        <w:rPr>
          <w:rFonts w:ascii="Book Antiqua" w:eastAsia="Calibri" w:hAnsi="Book Antiqua" w:cs="Times New Roman"/>
          <w:sz w:val="24"/>
          <w:szCs w:val="24"/>
          <w:lang w:val="en-US"/>
        </w:rPr>
        <w:fldChar w:fldCharType="end"/>
      </w:r>
      <w:r w:rsidR="00C15F0F"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sz w:val="24"/>
          <w:szCs w:val="24"/>
          <w:lang w:val="en-US"/>
        </w:rPr>
        <w:t>This pathotype is highly diverse based on genetic and phenotypic characteristics such as virulence gene carriage or serotype. Even though most of them belong to the B2 phylogroup, they can comprise all the principal phylogenetic groups (A, B1, B2</w:t>
      </w:r>
      <w:r w:rsidR="000F7667"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D</w:t>
      </w:r>
      <w:r w:rsidR="00C65E54" w:rsidRPr="000A6219">
        <w:rPr>
          <w:rFonts w:ascii="Book Antiqua" w:eastAsia="Calibri" w:hAnsi="Book Antiqua" w:cs="Times New Roman"/>
          <w:sz w:val="24"/>
          <w:szCs w:val="24"/>
          <w:lang w:val="en-US"/>
        </w:rPr>
        <w:t>,</w:t>
      </w:r>
      <w:r w:rsidR="000F7667" w:rsidRPr="000A6219">
        <w:rPr>
          <w:rFonts w:ascii="Book Antiqua" w:eastAsia="Calibri" w:hAnsi="Book Antiqua" w:cs="Times New Roman"/>
          <w:sz w:val="24"/>
          <w:szCs w:val="24"/>
          <w:lang w:val="en-US"/>
        </w:rPr>
        <w:t xml:space="preserve"> and others</w:t>
      </w:r>
      <w:r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Journal","id":"ITEM-1","issue":"5","issued":{"date-parts":[["2007","9","12"]]},"note":"Ref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ileum","type":"article-journal","volume":"1"},"uris":["http://www.mendeley.com/documents/?uuid=2107dc8c-d9c8-3eaa-aff8-de85bd3a90fa"]},{"id":"ITEM-2","itemData":{"DOI":"10.1002/ibd.20860","ISBN":"1536-4844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Diseases","id":"ITEM-2","issue":"6","issued":{"date-parts":[["2009"]]},"page":"872-882","title":"Molecular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id":"ITEM-3","itemData":{"DOI":"10.1038/labinvest.3700661","ISSN":"0023-6837","author":[{"dropping-particle":"","family":"Sasaki","given":"Maiko","non-dropping-particle":"","parse-names":false,"suffix":""},{"dropping-particle":"V","family":"Sitaraman","given":"Shanti","non-dropping-particle":"","parse-names":false,"suffix":""},{"dropping-particle":"","family":"Babbin","given":"Brian A","non-dropping-particle":"","parse-names":false,"suffix":""},{"dropping-particle":"","family":"Gerner-Smidt","given":"Peter","non-dropping-particle":"","parse-names":false,"suffix":""},{"dropping-particle":"","family":"Ribot","given":"Efrain M","non-dropping-particle":"","parse-names":false,"suffix":""},{"dropping-particle":"","family":"Garrett","given":"Nancy","non-dropping-particle":"","parse-names":false,"suffix":""},{"dropping-particle":"","family":"Alpern","given":"Joel A","non-dropping-particle":"","parse-names":false,"suffix":""},{"dropping-particle":"","family":"Akyildiz","given":"Adil","non-dropping-particle":"","parse-names":false,"suffix":""},{"dropping-particle":"","family":"Theiss","given":"Arianne L","non-dropping-particle":"","parse-names":false,"suffix":""},{"dropping-particle":"","family":"Nusrat","given":"Asma","non-dropping-particle":"","parse-names":false,"suffix":""},{"dropping-particle":"","family":"Klapproth","given":"Jan-Michael A","non-dropping-particle":"","parse-names":false,"suffix":""}],"container-title":"Laboratory Investigation","id":"ITEM-3","issue":"10","issued":{"date-parts":[["2007","10","30"]]},"page":"1042-1054","publisher":"Nature Publishing Group","title":"Invasive Escherichia coli are a feature of Crohn's disease","type":"article-journal","volume":"87"},"uris":["http://www.mendeley.com/documents/?uuid=c4d0689f-f757-308f-9fa1-05a5a032e7aa"]},{"id":"ITEM-4","itemData":{"DOI":"10.1053/j.gastro.2004.03.054","ISSN":"00165085","abstract":"Background &amp; Aims: Altered mucosal glycosylation in inflammatory bowel disease and colon cancer could affect mucosal bacterial adherence. This study aimed to quantify and characterize mucosa-associated and intramucosal bacteria, particularly Escherichia coli, in these conditions. Methods: Mucosa-associated bacteria were isolated, after dithiothreitol mucolysis, from biopsy samples obtained at colonoscopy (Crohn’s disease, n = 14 patients; ulcerative colitis, n = 21; noninflamed controls, n = 24) and at surgical resection (colon cancer, n = 21). Intramucosal bacteria were grown after gentamicin treatment followed by hypotonic lysis. Results: Mucosa-associated and intramucosal bacteria were cultured more commonly in Crohn’s disease (79%, P = 0.03; and 71%, P &lt; 0.01, respectively), but not ulcerative colitis (38% and 48%), than in noninflamed controls (42% and 29%) and were commonly cultured from colon cancers (71% and 57%). Mucosa-associated E. coli, which accounted for 53% of isolates, were more common in Crohn’s disease (6/14; 43%) than in noninflamed controls (4/24, 17%), as also were intramucosal E. coli: Crohn’s disease, 29%; controls, 9%. E. coli expressed hemagglutinins in 39% of Crohn’s cases and 38% of cancers but only 4% of controls, and this correlated (P = 0.01) with adherence to the I407 and HT29 cell lines. Invasion was cell-line dependent. E. coli, including nonadherent isolates, induced interleukin-8 release from the cell lines. E. coli adhesins showed no blood group specificity, excepting 1 cancer isolate (HM44) with specificity for the Thomsen-Friedenreich antigen, but they could be blocked by soluble plantain fiber. Conclusions: These studies support a central role for mucosally adherent bacteria in the pathogenesis of Crohn’s disease and colon cancer. Soluble plant fibers that inhibit their adherence have therapeutic potential.","author":[{"dropping-particle":"","family":"Martin","given":"Helen M.","non-dropping-particle":"","parse-names":false,"suffix":""},{"dropping-particle":"","family":"Campbell","given":"Barry J.","non-dropping-particle":"","parse-names":false,"suffix":""},{"dropping-particle":"","family":"Hart","given":"C.Anthony","non-dropping-particle":"","parse-names":false,"suffix":""},{"dropping-particle":"","family":"Mpofu","given":"Chiedzo","non-dropping-particle":"","parse-names":false,"suffix":""},{"dropping-particle":"","family":"Nayar","given":"Manu","non-dropping-particle":"","parse-names":false,"suffix":""},{"dropping-particle":"","family":"Singh","given":"Ravinder","non-dropping-particle":"","parse-names":false,"suffix":""},{"dropping-particle":"","family":"Englyst","given":"Hans","non-dropping-particle":"","parse-names":false,"suffix":""},{"dropping-particle":"","family":"Williams","given":"Helen F.","non-dropping-particle":"","parse-names":false,"suffix":""},{"dropping-particle":"","family":"Rhodes","given":"Jonathan M.","non-dropping-particle":"","parse-names":false,"suffix":""}],"container-title":"Gastroenterology","id":"ITEM-4","issue":"1","issued":{"date-parts":[["2004"]]},"note":"This study demonstrates that, when the overlying mucus layer is removed, the normal colonic mucosa is relatively free from aerobic bacteria, whereas Crohn’s disease mucosae, the surface of colon cancers, and the distant mucosae from colon cancer resection specimens\ncontain relatively plentiful aerobic flora, particularly E. coli.","page":"80-93","title":"Enhanced Escherichia coli adherence and invasion in Crohn’s disease and colon cancer","type":"article-journal","volume":"127"},"uris":["http://www.mendeley.com/documents/?uuid=a9aca51c-7379-3a2d-8bf1-a1881a331263"]},{"id":"ITEM-5","itemData":{"author":[{"dropping-particle":"","family":"Masseret","given":"E","non-dropping-particle":"","parse-names":false,"suffix":""},{"dropping-particle":"","family":"Boudeau","given":"J","non-dropping-particle":"","parse-names":false,"suffix":""},{"dropping-particle":"","family":"Colombel","given":"J F","non-dropping-particle":"","parse-names":false,"suffix":""},{"dropping-particle":"","family":"Neut","given":"C","non-dropping-particle":"","parse-names":false,"suffix":""},{"dropping-particle":"","family":"Desreumaux","given":"P","non-dropping-particle":"","parse-names":false,"suffix":""},{"dropping-particle":"","family":"Joly","given":"B","non-dropping-particle":"","parse-names":false,"suffix":""},{"dropping-particle":"","family":"Cortot","given":"A","non-dropping-particle":"","parse-names":false,"suffix":""}],"container-title":"Gut","id":"ITEM-5","issued":{"date-parts":[["2001"]]},"page":"320-325","title":"Genetically related Escherichia coli strains associated with Crohn ’ s disease","type":"article-journal","volume":"48"},"uris":["http://www.mendeley.com/documents/?uuid=591f74f5-0b69-4623-b2ef-1d3a7bbefb22"]}],"mendeley":{"formattedCitation":"&lt;sup&gt;[9–11,48,49]&lt;/sup&gt;","plainTextFormattedCitation":"[9–11,48,49]","previouslyFormattedCitation":"&lt;sup&gt;[9–11,48,49]&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[9–11,4</w:t>
      </w:r>
      <w:r w:rsidR="00554ED9">
        <w:rPr>
          <w:rFonts w:ascii="Book Antiqua" w:eastAsia="Calibri" w:hAnsi="Book Antiqua" w:cs="Times New Roman"/>
          <w:noProof/>
          <w:sz w:val="24"/>
          <w:szCs w:val="24"/>
          <w:vertAlign w:val="superscript"/>
          <w:lang w:val="en-US"/>
        </w:rPr>
        <w:t>9</w:t>
      </w:r>
      <w:r w:rsidR="00765E1A"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50</w:t>
      </w:r>
      <w:r w:rsidR="00765E1A"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Moreover, they present genetic similarities with </w:t>
      </w:r>
      <w:proofErr w:type="spellStart"/>
      <w:r w:rsidRPr="000A6219">
        <w:rPr>
          <w:rFonts w:ascii="Book Antiqua" w:eastAsia="Calibri" w:hAnsi="Book Antiqua" w:cs="Times New Roman"/>
          <w:sz w:val="24"/>
          <w:szCs w:val="24"/>
          <w:lang w:val="en-US"/>
        </w:rPr>
        <w:t>ExPEC</w:t>
      </w:r>
      <w:proofErr w:type="spellEnd"/>
      <w:r w:rsidRPr="000A6219">
        <w:rPr>
          <w:rFonts w:ascii="Book Antiqua" w:eastAsia="Calibri" w:hAnsi="Book Antiqua" w:cs="Times New Roman"/>
          <w:sz w:val="24"/>
          <w:szCs w:val="24"/>
          <w:lang w:val="en-US"/>
        </w:rPr>
        <w:t xml:space="preserve"> strains</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Journal","id":"ITEM-1","issue":"5","issued":{"date-parts":[["2007","9","12"]]},"note":"Ref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ileum","type":"article-journal","volume":"1"},"uris":["http://www.mendeley.com/documents/?uuid=2107dc8c-d9c8-3eaa-aff8-de85bd3a90fa"]},{"id":"ITEM-2","itemData":{"DOI":"10.1053/j.gastro.2004.04.061","ISBN":"0016-5085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Frédéric","non-dropping-particle":"","parse-names":false,"suffix":""}],"container-title":"Gastroenterology","id":"ITEM-2","issue":"2","issued":{"date-parts":[["2004"]]},"page":"412-421","title":"High prevalence of adherent-invasive Escherichia coli associated with ileal mucosa in Crohn's disease","type":"article-journal","volume":"127"},"uris":["http://www.mendeley.com/documents/?uuid=c37eb702-0cb7-4694-ad28-7a4aed1f66ff"]},{"id":"ITEM-3","itemData":{"DOI":"10.1002/ibd.20860","ISBN":"1536-4844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Diseases","id":"ITEM-3","issue":"6","issued":{"date-parts":[["2009"]]},"page":"872-882","title":"Molecular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mendeley":{"formattedCitation":"&lt;sup&gt;[1,9,11]&lt;/sup&gt;","plainTextFormattedCitation":"[1,9,11]","previouslyFormattedCitation":"&lt;sup&gt;[1,9,11]&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[1,9,11]</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Therefore, the AIEC phenotype might be driven by the combination of various virulence genes that do not necessarily need to be the same for each AIEC strain. Since different mechanisms are involved in the </w:t>
      </w:r>
      <w:r w:rsidR="00C65E54" w:rsidRPr="000A6219">
        <w:rPr>
          <w:rFonts w:ascii="Book Antiqua" w:eastAsia="Calibri" w:hAnsi="Book Antiqua" w:cs="Times New Roman"/>
          <w:sz w:val="24"/>
          <w:szCs w:val="24"/>
          <w:lang w:val="en-US"/>
        </w:rPr>
        <w:t>colonization</w:t>
      </w:r>
      <w:r w:rsidRPr="000A6219">
        <w:rPr>
          <w:rFonts w:ascii="Book Antiqua" w:eastAsia="Calibri" w:hAnsi="Book Antiqua" w:cs="Times New Roman"/>
          <w:sz w:val="24"/>
          <w:szCs w:val="24"/>
          <w:lang w:val="en-US"/>
        </w:rPr>
        <w:t xml:space="preserve"> of the epithelium by AIEC, the hypothesis </w:t>
      </w:r>
      <w:r w:rsidR="00C65E54" w:rsidRPr="000A6219">
        <w:rPr>
          <w:rFonts w:ascii="Book Antiqua" w:eastAsia="Calibri" w:hAnsi="Book Antiqua" w:cs="Times New Roman"/>
          <w:sz w:val="24"/>
          <w:szCs w:val="24"/>
          <w:lang w:val="en-US"/>
        </w:rPr>
        <w:t xml:space="preserve">considers </w:t>
      </w:r>
      <w:r w:rsidRPr="000A6219">
        <w:rPr>
          <w:rFonts w:ascii="Book Antiqua" w:eastAsia="Calibri" w:hAnsi="Book Antiqua" w:cs="Times New Roman"/>
          <w:sz w:val="24"/>
          <w:szCs w:val="24"/>
          <w:lang w:val="en-US"/>
        </w:rPr>
        <w:t>that there is no key determinant in common for all the AIEC strains</w:t>
      </w:r>
      <w:r w:rsidR="00C65E54" w:rsidRPr="000A6219">
        <w:rPr>
          <w:rFonts w:ascii="Book Antiqua" w:eastAsia="Calibri" w:hAnsi="Book Antiqua" w:cs="Times New Roman"/>
          <w:sz w:val="24"/>
          <w:szCs w:val="24"/>
          <w:lang w:val="en-US"/>
        </w:rPr>
        <w:t>, and</w:t>
      </w:r>
      <w:r w:rsidRPr="000A6219">
        <w:rPr>
          <w:rFonts w:ascii="Book Antiqua" w:eastAsia="Calibri" w:hAnsi="Book Antiqua" w:cs="Times New Roman"/>
          <w:sz w:val="24"/>
          <w:szCs w:val="24"/>
          <w:lang w:val="en-US"/>
        </w:rPr>
        <w:t xml:space="preserve"> different ones can lead to the same phenotype gains plausibility.</w:t>
      </w:r>
      <w:r w:rsidR="00253AD5" w:rsidRPr="000A6219">
        <w:rPr>
          <w:rFonts w:ascii="Book Antiqua" w:eastAsia="Calibri" w:hAnsi="Book Antiqua" w:cs="Times New Roman"/>
          <w:sz w:val="24"/>
          <w:szCs w:val="24"/>
          <w:lang w:val="en-US"/>
        </w:rPr>
        <w:t xml:space="preserve"> </w:t>
      </w:r>
      <w:r w:rsidR="00C65E54" w:rsidRPr="000A6219">
        <w:rPr>
          <w:rFonts w:ascii="Book Antiqua" w:eastAsia="Calibri" w:hAnsi="Book Antiqua" w:cs="Times New Roman"/>
          <w:sz w:val="24"/>
          <w:szCs w:val="24"/>
          <w:lang w:val="en-US"/>
        </w:rPr>
        <w:t xml:space="preserve">One </w:t>
      </w:r>
      <w:r w:rsidRPr="000A6219">
        <w:rPr>
          <w:rFonts w:ascii="Book Antiqua" w:eastAsia="Calibri" w:hAnsi="Book Antiqua" w:cs="Times New Roman"/>
          <w:sz w:val="24"/>
          <w:szCs w:val="24"/>
          <w:lang w:val="en-US"/>
        </w:rPr>
        <w:t>study recently described that the genetics of one particular AIEC strain changes during host-to-host transmissions</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{"citationItems":[{"id":"ITEM-1","itemData":{"DOI":"10.1016/j.chom.2018.12.010","ISSN":"19313128","PMID":"30683582","abstract":"Crohn's disease (CD) is an inflammatory bowel disease influenced by bacteria. Adherent-invasive E. coli (AIEC) is associated with CD, yet the adaptations facilitating AIEC gut colonization are unknown. AIEC isolates exhibit high genetic diversity, suggesting strains evolve independently across different gut environments. We tracked the adaptive evolution of AIEC in a murine model of chronic colonization across multiple hosts and transmission events. We detected evolved lineages that outcompeted the ancestral strain in the host through independent mechanisms. One lineage was hypermotile because of a mobile insertion sequence upstream of the master flagellar regulator, flhDC, which enhanced AIEC invasion and establishment of a mucosal niche. Another lineage outcompeted the ancestral strain through improved use of acetate, a short-chain fatty acid in the gut. The presence of hypermotile and acetate-consuming lineages discriminated E. coli isolated from CD patients from healthy controls, suggesting an evolutionary trajectory that distinguishes AIEC from commensal E. coli.","author":[{"dropping-particle":"","family":"Elhenawy","given":"Wael","non-dropping-particle":"","parse-names":false,"suffix":""},{"dropping-particle":"","family":"Tsai","given":"Caressa N.","non-dropping-particle":"","parse-names":false,"suffix":""},{"dropping-particle":"","family":"Coombes","given":"Brian K.","non-dropping-particle":"","parse-names":false,"suffix":""}],"container-title":"Cell Host &amp; Microbe","id":"ITEM-1","issued":{"date-parts":[["2019","1","6"]]},"title":"Host-specific adaptive diversification of Crohn’s disease-associated adherent-invasive Escherichia coli","type":"article-journal"},"uris":["http://www.mendeley.com/documents/?uuid=e8b028cc-4294-31b9-a0a5-205073b8bff2"]}],"mendeley":{"formattedCitation":"&lt;sup&gt;[50]&lt;/sup&gt;","plainTextFormattedCitation":"[50]","previouslyFormattedCitation":"&lt;sup&gt;[50]&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51</w:t>
      </w:r>
      <w:r w:rsidR="00765E1A"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w:t>
      </w:r>
      <w:r w:rsidR="00253AD5" w:rsidRPr="000A6219">
        <w:rPr>
          <w:rFonts w:ascii="Book Antiqua" w:eastAsia="Calibri" w:hAnsi="Book Antiqua" w:cs="Times New Roman"/>
          <w:sz w:val="24"/>
          <w:szCs w:val="24"/>
          <w:lang w:val="en-US"/>
        </w:rPr>
        <w:t>resulting in</w:t>
      </w:r>
      <w:r w:rsidR="003B36CA" w:rsidRPr="000A6219">
        <w:rPr>
          <w:rFonts w:ascii="Book Antiqua" w:eastAsia="Calibri" w:hAnsi="Book Antiqua" w:cs="Times New Roman"/>
          <w:sz w:val="24"/>
          <w:szCs w:val="24"/>
          <w:lang w:val="en-US"/>
        </w:rPr>
        <w:t xml:space="preserve"> strains </w:t>
      </w:r>
      <w:r w:rsidR="00C65E54" w:rsidRPr="000A6219">
        <w:rPr>
          <w:rFonts w:ascii="Book Antiqua" w:eastAsia="Calibri" w:hAnsi="Book Antiqua" w:cs="Times New Roman"/>
          <w:sz w:val="24"/>
          <w:szCs w:val="24"/>
          <w:lang w:val="en-US"/>
        </w:rPr>
        <w:t xml:space="preserve">with different phenotypes that </w:t>
      </w:r>
      <w:r w:rsidR="003B36CA" w:rsidRPr="000A6219">
        <w:rPr>
          <w:rFonts w:ascii="Book Antiqua" w:eastAsia="Calibri" w:hAnsi="Book Antiqua" w:cs="Times New Roman"/>
          <w:sz w:val="24"/>
          <w:szCs w:val="24"/>
          <w:lang w:val="en-US"/>
        </w:rPr>
        <w:t xml:space="preserve">compete </w:t>
      </w:r>
      <w:r w:rsidR="00C65E54" w:rsidRPr="000A6219">
        <w:rPr>
          <w:rFonts w:ascii="Book Antiqua" w:eastAsia="Calibri" w:hAnsi="Book Antiqua" w:cs="Times New Roman"/>
          <w:sz w:val="24"/>
          <w:szCs w:val="24"/>
          <w:lang w:val="en-US"/>
        </w:rPr>
        <w:t xml:space="preserve">with </w:t>
      </w:r>
      <w:r w:rsidR="003B36CA" w:rsidRPr="000A6219">
        <w:rPr>
          <w:rFonts w:ascii="Book Antiqua" w:eastAsia="Calibri" w:hAnsi="Book Antiqua" w:cs="Times New Roman"/>
          <w:sz w:val="24"/>
          <w:szCs w:val="24"/>
          <w:lang w:val="en-US"/>
        </w:rPr>
        <w:t xml:space="preserve">the parental strain </w:t>
      </w:r>
      <w:r w:rsidR="00F505E6" w:rsidRPr="000A6219">
        <w:rPr>
          <w:rFonts w:ascii="Book Antiqua" w:eastAsia="Calibri" w:hAnsi="Book Antiqua" w:cs="Times New Roman"/>
          <w:sz w:val="24"/>
          <w:szCs w:val="24"/>
          <w:lang w:val="en-US"/>
        </w:rPr>
        <w:t xml:space="preserve">and </w:t>
      </w:r>
      <w:r w:rsidR="003B36CA" w:rsidRPr="000A6219">
        <w:rPr>
          <w:rFonts w:ascii="Book Antiqua" w:eastAsia="Calibri" w:hAnsi="Book Antiqua" w:cs="Times New Roman"/>
          <w:sz w:val="24"/>
          <w:szCs w:val="24"/>
          <w:lang w:val="en-US"/>
        </w:rPr>
        <w:t xml:space="preserve">present </w:t>
      </w:r>
      <w:r w:rsidR="00A11F46" w:rsidRPr="000A6219">
        <w:rPr>
          <w:rFonts w:ascii="Book Antiqua" w:eastAsia="Calibri" w:hAnsi="Book Antiqua" w:cs="Times New Roman"/>
          <w:sz w:val="24"/>
          <w:szCs w:val="24"/>
          <w:lang w:val="en-US"/>
        </w:rPr>
        <w:t>a mobile element that is only maintained in specific conditions</w:t>
      </w:r>
      <w:r w:rsidR="003B36CA" w:rsidRPr="000A6219">
        <w:rPr>
          <w:rFonts w:ascii="Book Antiqua" w:eastAsia="Calibri" w:hAnsi="Book Antiqua" w:cs="Times New Roman"/>
          <w:sz w:val="24"/>
          <w:szCs w:val="24"/>
          <w:lang w:val="en-US"/>
        </w:rPr>
        <w:t>.</w:t>
      </w:r>
      <w:r w:rsidR="00253AD5" w:rsidRPr="000A6219">
        <w:rPr>
          <w:rFonts w:ascii="Book Antiqua" w:eastAsia="Calibri" w:hAnsi="Book Antiqua" w:cs="Times New Roman"/>
          <w:sz w:val="24"/>
          <w:szCs w:val="24"/>
          <w:lang w:val="en-US"/>
        </w:rPr>
        <w:t xml:space="preserve"> Therefo</w:t>
      </w:r>
      <w:r w:rsidR="003B36CA" w:rsidRPr="000A6219">
        <w:rPr>
          <w:rFonts w:ascii="Book Antiqua" w:eastAsia="Calibri" w:hAnsi="Book Antiqua" w:cs="Times New Roman"/>
          <w:sz w:val="24"/>
          <w:szCs w:val="24"/>
          <w:lang w:val="en-US"/>
        </w:rPr>
        <w:t xml:space="preserve">re, </w:t>
      </w:r>
      <w:r w:rsidR="00C65E54" w:rsidRPr="000A6219">
        <w:rPr>
          <w:rFonts w:ascii="Book Antiqua" w:eastAsia="Calibri" w:hAnsi="Book Antiqua" w:cs="Times New Roman"/>
          <w:sz w:val="24"/>
          <w:szCs w:val="24"/>
          <w:lang w:val="en-US"/>
        </w:rPr>
        <w:t xml:space="preserve">these finding </w:t>
      </w:r>
      <w:r w:rsidR="003B36CA" w:rsidRPr="000A6219">
        <w:rPr>
          <w:rFonts w:ascii="Book Antiqua" w:eastAsia="Calibri" w:hAnsi="Book Antiqua" w:cs="Times New Roman"/>
          <w:sz w:val="24"/>
          <w:szCs w:val="24"/>
          <w:lang w:val="en-US"/>
        </w:rPr>
        <w:t>indicat</w:t>
      </w:r>
      <w:r w:rsidR="00C65E54" w:rsidRPr="000A6219">
        <w:rPr>
          <w:rFonts w:ascii="Book Antiqua" w:eastAsia="Calibri" w:hAnsi="Book Antiqua" w:cs="Times New Roman"/>
          <w:sz w:val="24"/>
          <w:szCs w:val="24"/>
          <w:lang w:val="en-US"/>
        </w:rPr>
        <w:t>e</w:t>
      </w:r>
      <w:r w:rsidR="003B36CA" w:rsidRPr="000A6219">
        <w:rPr>
          <w:rFonts w:ascii="Book Antiqua" w:eastAsia="Calibri" w:hAnsi="Book Antiqua" w:cs="Times New Roman"/>
          <w:sz w:val="24"/>
          <w:szCs w:val="24"/>
          <w:lang w:val="en-US"/>
        </w:rPr>
        <w:t xml:space="preserve"> that this strain</w:t>
      </w:r>
      <w:r w:rsidR="00253AD5" w:rsidRPr="000A6219">
        <w:rPr>
          <w:rFonts w:ascii="Book Antiqua" w:eastAsia="Calibri" w:hAnsi="Book Antiqua" w:cs="Times New Roman"/>
          <w:sz w:val="24"/>
          <w:szCs w:val="24"/>
          <w:lang w:val="en-US"/>
        </w:rPr>
        <w:t xml:space="preserve"> can easily </w:t>
      </w:r>
      <w:r w:rsidR="00253AD5" w:rsidRPr="000A6219">
        <w:rPr>
          <w:rFonts w:ascii="Book Antiqua" w:eastAsia="Calibri" w:hAnsi="Book Antiqua" w:cs="Times New Roman"/>
          <w:sz w:val="24"/>
          <w:szCs w:val="24"/>
          <w:lang w:val="en-US"/>
        </w:rPr>
        <w:lastRenderedPageBreak/>
        <w:t>adapt to specific environmental pressures</w:t>
      </w:r>
      <w:r w:rsidR="003B36CA" w:rsidRPr="000A6219">
        <w:rPr>
          <w:rFonts w:ascii="Book Antiqua" w:eastAsia="Calibri" w:hAnsi="Book Antiqua" w:cs="Times New Roman"/>
          <w:sz w:val="24"/>
          <w:szCs w:val="24"/>
          <w:lang w:val="en-US"/>
        </w:rPr>
        <w:t xml:space="preserve"> genetically</w:t>
      </w:r>
      <w:r w:rsidR="00253AD5" w:rsidRPr="000A6219">
        <w:rPr>
          <w:rFonts w:ascii="Book Antiqua" w:eastAsia="Calibri" w:hAnsi="Book Antiqua" w:cs="Times New Roman"/>
          <w:sz w:val="24"/>
          <w:szCs w:val="24"/>
          <w:lang w:val="en-US"/>
        </w:rPr>
        <w:t xml:space="preserve">, </w:t>
      </w:r>
      <w:r w:rsidR="00C65E54" w:rsidRPr="000A6219">
        <w:rPr>
          <w:rFonts w:ascii="Book Antiqua" w:eastAsia="Calibri" w:hAnsi="Book Antiqua" w:cs="Times New Roman"/>
          <w:sz w:val="24"/>
          <w:szCs w:val="24"/>
          <w:lang w:val="en-US"/>
        </w:rPr>
        <w:t>making</w:t>
      </w:r>
      <w:r w:rsidRPr="000A6219">
        <w:rPr>
          <w:rFonts w:ascii="Book Antiqua" w:eastAsia="Calibri" w:hAnsi="Book Antiqua" w:cs="Times New Roman"/>
          <w:sz w:val="24"/>
          <w:szCs w:val="24"/>
          <w:lang w:val="en-US"/>
        </w:rPr>
        <w:t xml:space="preserve"> the search fo</w:t>
      </w:r>
      <w:r w:rsidR="00C15F0F" w:rsidRPr="000A6219">
        <w:rPr>
          <w:rFonts w:ascii="Book Antiqua" w:eastAsia="Calibri" w:hAnsi="Book Antiqua" w:cs="Times New Roman"/>
          <w:sz w:val="24"/>
          <w:szCs w:val="24"/>
          <w:lang w:val="en-US"/>
        </w:rPr>
        <w:t>r biomarkers even more complex.</w:t>
      </w:r>
    </w:p>
    <w:p w14:paraId="7FAA46C6" w14:textId="7A59488A" w:rsidR="00721A65" w:rsidRPr="000A6219" w:rsidRDefault="00F505E6"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Moreover</w:t>
      </w:r>
      <w:r w:rsidR="00721A65" w:rsidRPr="000A6219">
        <w:rPr>
          <w:rFonts w:ascii="Book Antiqua" w:eastAsia="Calibri" w:hAnsi="Book Antiqua" w:cs="Times New Roman"/>
          <w:sz w:val="24"/>
          <w:szCs w:val="24"/>
          <w:lang w:val="en-US"/>
        </w:rPr>
        <w:t xml:space="preserve">, differential gene expression may determine the phenotypic characteristics of AIEC strains. </w:t>
      </w:r>
      <w:r w:rsidR="00DE153E" w:rsidRPr="000A6219">
        <w:rPr>
          <w:rFonts w:ascii="Book Antiqua" w:eastAsia="Calibri" w:hAnsi="Book Antiqua" w:cs="Times New Roman"/>
          <w:sz w:val="24"/>
          <w:szCs w:val="24"/>
          <w:lang w:val="en-US"/>
        </w:rPr>
        <w:t>Indeed</w:t>
      </w:r>
      <w:r w:rsidR="00C65E54" w:rsidRPr="000A6219">
        <w:rPr>
          <w:rFonts w:ascii="Book Antiqua" w:eastAsia="Calibri" w:hAnsi="Book Antiqua" w:cs="Times New Roman"/>
          <w:sz w:val="24"/>
          <w:szCs w:val="24"/>
          <w:lang w:val="en-US"/>
        </w:rPr>
        <w:t>,</w:t>
      </w:r>
      <w:r w:rsidR="00DE153E" w:rsidRPr="000A6219">
        <w:rPr>
          <w:rFonts w:ascii="Book Antiqua" w:eastAsia="Calibri" w:hAnsi="Book Antiqua" w:cs="Times New Roman"/>
          <w:sz w:val="24"/>
          <w:szCs w:val="24"/>
          <w:lang w:val="en-US"/>
        </w:rPr>
        <w:t xml:space="preserve"> this </w:t>
      </w:r>
      <w:r w:rsidR="005E0537" w:rsidRPr="000A6219">
        <w:rPr>
          <w:rFonts w:ascii="Book Antiqua" w:eastAsia="Calibri" w:hAnsi="Book Antiqua" w:cs="Times New Roman"/>
          <w:sz w:val="24"/>
          <w:szCs w:val="24"/>
          <w:lang w:val="en-US"/>
        </w:rPr>
        <w:t xml:space="preserve">finding </w:t>
      </w:r>
      <w:r w:rsidR="00DE153E" w:rsidRPr="000A6219">
        <w:rPr>
          <w:rFonts w:ascii="Book Antiqua" w:eastAsia="Calibri" w:hAnsi="Book Antiqua" w:cs="Times New Roman"/>
          <w:sz w:val="24"/>
          <w:szCs w:val="24"/>
          <w:lang w:val="en-US"/>
        </w:rPr>
        <w:t xml:space="preserve">could explain why previous </w:t>
      </w:r>
      <w:r w:rsidRPr="000A6219">
        <w:rPr>
          <w:rFonts w:ascii="Book Antiqua" w:eastAsia="Calibri" w:hAnsi="Book Antiqua" w:cs="Times New Roman"/>
          <w:sz w:val="24"/>
          <w:szCs w:val="24"/>
          <w:lang w:val="en-US"/>
        </w:rPr>
        <w:t>works</w:t>
      </w:r>
      <w:r w:rsidR="00C65E54" w:rsidRPr="000A6219">
        <w:rPr>
          <w:rFonts w:ascii="Book Antiqua" w:eastAsia="Calibri" w:hAnsi="Book Antiqua" w:cs="Times New Roman"/>
          <w:sz w:val="24"/>
          <w:szCs w:val="24"/>
          <w:lang w:val="en-US"/>
        </w:rPr>
        <w:t xml:space="preserve"> have not fou</w:t>
      </w:r>
      <w:r w:rsidR="00DE153E" w:rsidRPr="000A6219">
        <w:rPr>
          <w:rFonts w:ascii="Book Antiqua" w:eastAsia="Calibri" w:hAnsi="Book Antiqua" w:cs="Times New Roman"/>
          <w:sz w:val="24"/>
          <w:szCs w:val="24"/>
          <w:lang w:val="en-US"/>
        </w:rPr>
        <w:t>n</w:t>
      </w:r>
      <w:r w:rsidRPr="000A6219">
        <w:rPr>
          <w:rFonts w:ascii="Book Antiqua" w:eastAsia="Calibri" w:hAnsi="Book Antiqua" w:cs="Times New Roman"/>
          <w:sz w:val="24"/>
          <w:szCs w:val="24"/>
          <w:lang w:val="en-US"/>
        </w:rPr>
        <w:t>d</w:t>
      </w:r>
      <w:r w:rsidR="00DE153E" w:rsidRPr="000A6219">
        <w:rPr>
          <w:rFonts w:ascii="Book Antiqua" w:eastAsia="Calibri" w:hAnsi="Book Antiqua" w:cs="Times New Roman"/>
          <w:sz w:val="24"/>
          <w:szCs w:val="24"/>
          <w:lang w:val="en-US"/>
        </w:rPr>
        <w:t xml:space="preserve"> a gene or a point mutation </w:t>
      </w:r>
      <w:r w:rsidR="00C65E54" w:rsidRPr="000A6219">
        <w:rPr>
          <w:rFonts w:ascii="Book Antiqua" w:eastAsia="Calibri" w:hAnsi="Book Antiqua" w:cs="Times New Roman"/>
          <w:sz w:val="24"/>
          <w:szCs w:val="24"/>
          <w:lang w:val="en-US"/>
        </w:rPr>
        <w:t xml:space="preserve">that is </w:t>
      </w:r>
      <w:r w:rsidR="00DE153E" w:rsidRPr="000A6219">
        <w:rPr>
          <w:rFonts w:ascii="Book Antiqua" w:eastAsia="Calibri" w:hAnsi="Book Antiqua" w:cs="Times New Roman"/>
          <w:sz w:val="24"/>
          <w:szCs w:val="24"/>
          <w:lang w:val="en-US"/>
        </w:rPr>
        <w:t xml:space="preserve">widely distributed and specific to AIEC. </w:t>
      </w:r>
      <w:r w:rsidR="00721A65" w:rsidRPr="000A6219">
        <w:rPr>
          <w:rFonts w:ascii="Book Antiqua" w:eastAsia="Calibri" w:hAnsi="Book Antiqua" w:cs="Times New Roman"/>
          <w:sz w:val="24"/>
          <w:szCs w:val="24"/>
          <w:lang w:val="en-US"/>
        </w:rPr>
        <w:t>So far, only two studies have described the transcriptome of AIEC</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{"citationItems":[{"id":"ITEM-1","itemData":{"DOI":"10.1371/journal.pone.0130902","ISSN":"1932-6203","PMID":"26125937","abstract":"Adherent-invasive Escherichia coli (AIEC) strains are detected more frequently within mucosal lesions of patients with Crohn's disease (CD). The AIEC phenotype consists of adherence and invasion of intestinal epithelial cells and survival within macrophages of these bacteria in vitro. Our aim was to identify candidate transcripts that distinguish AIEC from non-invasive E. coli (NIEC) strains and might be useful for rapid and accurate identification of AIEC by culture-independent technology. We performed comparative RNA-Sequence (RNASeq) analysis using AIEC strain LF82 and NIEC strain HS during exponential and stationary growth. Differential expression analysis of coding sequences (CDS) homologous to both strains demonstrated 224 and 241 genes with increased and decreased expression, respectively, in LF82 relative to HS. Transition metal transport and siderophore metabolism related pathway genes were up-regulated, while glycogen metabolic and oxidation-reduction related pathway genes were down-regulated, in LF82. Chemotaxis related transcripts were up-regulated in LF82 during the exponential phase, but flagellum-dependent motility pathway genes were down-regulated in LF82 during the stationary phase. CDS that mapped only to the LF82 genome accounted for 747 genes. We applied an in silico subtractive genomics approach to identify CDS specific to AIEC by incorporating the genomes of 10 other previously phenotyped NIEC. From this analysis, 166 CDS mapped to the LF82 genome and lacked homology to any of the 11 human NIEC strains. We compared these CDS across 13 AIEC, but none were homologous in each. Four LF82 gene loci belonging to clustered regularly interspaced short palindromic repeats region (CRISPR)--CRISPR-associated (Cas) genes were identified in 4 to 6 AIEC and absent from all non-pathogenic bacteria. As previously reported, AIEC strains were enriched for pdu operon genes. One CDS, encoding an excisionase, was shared by 9 AIEC strains. Reverse transcription quantitative polymerase chain reaction assays for 6 genes were conducted on fecal and ileal RNA samples from 22 inflammatory bowel disease (IBD), and 32 patients without IBD (non-IBD). The expression of Cas loci was detected in a higher proportion of CD than non-IBD fecal and ileal RNA samples (p &lt;0.05). These results support a comparative genomic/transcriptomic approach towards identifying candidate AIEC signature transcripts.","author":[{"dropping-particle":"","family":"Zhang","given":"Yuanhao","non-dropping-particle":"","parse-names":false,"suffix":""},{"dropping-particle":"","family":"Rowehl","given":"Leahana","non-dropping-particle":"","parse-names":false,"suffix":""},{"dropping-particle":"","family":"Krumsiek","given":"Julia M","non-dropping-particle":"","parse-names":false,"suffix":""},{"dropping-particle":"","family":"Orner","given":"Erika P","non-dropping-particle":"","parse-names":false,"suffix":""},{"dropping-particle":"","family":"Shaikh","given":"Nurmohammad","non-dropping-particle":"","parse-names":false,"suffix":""},{"dropping-particle":"","family":"Tarr","given":"Phillip I","non-dropping-particle":"","parse-names":false,"suffix":""},{"dropping-particle":"","family":"Sodergren","given":"Erica","non-dropping-particle":"","parse-names":false,"suffix":""},{"dropping-particle":"","family":"Weinstock","given":"George M","non-dropping-particle":"","parse-names":false,"suffix":""},{"dropping-particle":"","family":"Boedeker","given":"Edgar C","non-dropping-particle":"","parse-names":false,"suffix":""},{"dropping-particle":"","family":"Xiong","given":"Xuejian","non-dropping-particle":"","parse-names":false,"suffix":""},{"dropping-particle":"","family":"Parkinson","given":"John","non-dropping-particle":"","parse-names":false,"suffix":""},{"dropping-particle":"","family":"Frank","given":"Daniel N","non-dropping-particle":"","parse-names":false,"suffix":""},{"dropping-particle":"","family":"Li","given":"Ellen","non-dropping-particle":"","parse-names":false,"suffix":""},{"dropping-particle":"","family":"Gathungu","given":"Grace","non-dropping-particle":"","parse-names":false,"suffix":""}],"container-title":"PloS one","id":"ITEM-1","issue":"6","issued":{"date-parts":[["2015"]]},"page":"e0130902","publisher":"Public Library of Science","title":"Identification of Candidate Adherent-Invasive E. coli Signature Transcripts by Genomic/Transcriptomic Analysis.","type":"article-journal","volume":"10"},"uris":["http://www.mendeley.com/documents/?uuid=c64dddf1-d66e-31ad-8569-739a844139b3"]},{"id":"ITEM-2","itemData":{"DOI":"10.1038/s41598-019-38628-1","ISSN":"2045-2322","PMID":"30778122","abstract":"The adherent-invasive Escherichia coli (AIEC), which colonize the ileal mucosa of Crohn's disease patients, adhere to intestinal epithelial cells, invade them and exacerbate intestinal inflammation. The high nutrient competition between the commensal microbiota and AIEC pathobiont requires the latter to occupy their own metabolic niches to survive and proliferate within the gut. In this study, a global RNA sequencing of AIEC strain LF82 has been used to observe the impact of bile salts on the expression of metabolic genes. The results showed a global up-regulation of genes involved in degradation and a down-regulation of those implicated in biosynthesis. The main up-regulated degradation pathways were ethanolamine, 1,2-propanediol and citrate utilization, as well as the methyl-citrate pathway. Our study reveals that ethanolamine utilization bestows a competitive advantage of AIEC strains that are metabolically capable of its degradation in the presence of bile salts. We observed that bile salts activated secondary metabolism pathways that communicate to provide an energy benefit to AIEC. Bile salts may be used by AIEC as an environmental signal to promote their colonization.","author":[{"dropping-particle":"","family":"Delmas","given":"Julien","non-dropping-particle":"","parse-names":false,"suffix":""},{"dropping-particle":"","family":"Gibold","given":"Lucie","non-dropping-particle":"","parse-names":false,"suffix":""},{"dropping-particle":"","family":"Faïs","given":"Tiphanie","non-dropping-particle":"","parse-names":false,"suffix":""},{"dropping-particle":"","family":"Batista","given":"Sylvine","non-dropping-particle":"","parse-names":false,"suffix":""},{"dropping-particle":"","family":"Leremboure","given":"Martin","non-dropping-particle":"","parse-names":false,"suffix":""},{"dropping-particle":"","family":"Sinel","given":"Clara","non-dropping-particle":"","parse-names":false,"suffix":""},{"dropping-particle":"","family":"Vazeille","given":"Emilie","non-dropping-particle":"","parse-names":false,"suffix":""},{"dropping-particle":"","family":"Cattoir","given":"Vincent","non-dropping-particle":"","parse-names":false,"suffix":""},{"dropping-particle":"","family":"Buisson","given":"Anthony","non-dropping-particle":"","parse-names":false,"suffix":""},{"dropping-particle":"","family":"Barnich","given":"Nicolas","non-dropping-particle":"","parse-names":false,"suffix":""},{"dropping-particle":"","family":"Dalmasso","given":"Guillaume","non-dropping-particle":"","parse-names":false,"suffix":""},{"dropping-particle":"","family":"Bonnet","given":"Richard","non-dropping-particle":"","parse-names":false,"suffix":""}],"container-title":"Scientific Reports","id":"ITEM-2","issue":"1","issued":{"date-parts":[["2019","12","18"]]},"page":"2175","title":"Metabolic adaptation of adherent-invasive Escherichia coli to exposure to bile salts","type":"article-journal","volume":"9"},"uris":["http://www.mendeley.com/documents/?uuid=2f7805cb-0831-3926-83c3-571b797141d9"]}],"mendeley":{"formattedCitation":"&lt;sup&gt;[35,46]&lt;/sup&gt;","plainTextFormattedCitation":"[35,46]","previouslyFormattedCitation":"&lt;sup&gt;[35,46]&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[35,4</w:t>
      </w:r>
      <w:r w:rsidR="00554ED9">
        <w:rPr>
          <w:rFonts w:ascii="Book Antiqua" w:eastAsia="Calibri" w:hAnsi="Book Antiqua" w:cs="Times New Roman"/>
          <w:noProof/>
          <w:sz w:val="24"/>
          <w:szCs w:val="24"/>
          <w:vertAlign w:val="superscript"/>
          <w:lang w:val="en-US"/>
        </w:rPr>
        <w:t>8</w:t>
      </w:r>
      <w:r w:rsidR="00765E1A" w:rsidRPr="000A6219">
        <w:rPr>
          <w:rFonts w:ascii="Book Antiqua" w:eastAsia="Calibri" w:hAnsi="Book Antiqua" w:cs="Times New Roman"/>
          <w:noProof/>
          <w:sz w:val="24"/>
          <w:szCs w:val="24"/>
          <w:vertAlign w:val="superscript"/>
          <w:lang w:val="en-US"/>
        </w:rPr>
        <w:t>]</w:t>
      </w:r>
      <w:r w:rsidR="00721A65" w:rsidRPr="000A6219">
        <w:rPr>
          <w:rFonts w:ascii="Book Antiqua" w:eastAsia="Calibri" w:hAnsi="Book Antiqua" w:cs="Times New Roman"/>
          <w:sz w:val="24"/>
          <w:szCs w:val="24"/>
          <w:lang w:val="en-US"/>
        </w:rPr>
        <w:fldChar w:fldCharType="end"/>
      </w:r>
      <w:r w:rsidR="00C15F0F" w:rsidRPr="000A6219">
        <w:rPr>
          <w:rFonts w:ascii="Book Antiqua" w:eastAsia="Calibri" w:hAnsi="Book Antiqua" w:cs="Times New Roman"/>
          <w:sz w:val="24"/>
          <w:szCs w:val="24"/>
          <w:lang w:val="en-US"/>
        </w:rPr>
        <w:t xml:space="preserve">. </w:t>
      </w:r>
      <w:r w:rsidR="00C65E54" w:rsidRPr="000A6219">
        <w:rPr>
          <w:rFonts w:ascii="Book Antiqua" w:eastAsia="Calibri" w:hAnsi="Book Antiqua" w:cs="Times New Roman"/>
          <w:sz w:val="24"/>
          <w:szCs w:val="24"/>
          <w:lang w:val="en-US"/>
        </w:rPr>
        <w:t>A</w:t>
      </w:r>
      <w:r w:rsidR="00721A65" w:rsidRPr="000A6219">
        <w:rPr>
          <w:rFonts w:ascii="Book Antiqua" w:eastAsia="Calibri" w:hAnsi="Book Antiqua" w:cs="Times New Roman"/>
          <w:sz w:val="24"/>
          <w:szCs w:val="24"/>
          <w:lang w:val="en-US"/>
        </w:rPr>
        <w:t xml:space="preserve"> total </w:t>
      </w:r>
      <w:r w:rsidR="00C65E54" w:rsidRPr="000A6219">
        <w:rPr>
          <w:rFonts w:ascii="Book Antiqua" w:eastAsia="Calibri" w:hAnsi="Book Antiqua" w:cs="Times New Roman"/>
          <w:sz w:val="24"/>
          <w:szCs w:val="24"/>
          <w:lang w:val="en-US"/>
        </w:rPr>
        <w:t xml:space="preserve">of </w:t>
      </w:r>
      <w:r w:rsidR="00721A65" w:rsidRPr="000A6219">
        <w:rPr>
          <w:rFonts w:ascii="Book Antiqua" w:eastAsia="Calibri" w:hAnsi="Book Antiqua" w:cs="Times New Roman"/>
          <w:sz w:val="24"/>
          <w:szCs w:val="24"/>
          <w:lang w:val="en-US"/>
        </w:rPr>
        <w:t>only three AIEC strains have been stud</w:t>
      </w:r>
      <w:r w:rsidR="00DC638B" w:rsidRPr="000A6219">
        <w:rPr>
          <w:rFonts w:ascii="Book Antiqua" w:eastAsia="Calibri" w:hAnsi="Book Antiqua" w:cs="Times New Roman"/>
          <w:sz w:val="24"/>
          <w:szCs w:val="24"/>
          <w:lang w:val="en-US"/>
        </w:rPr>
        <w:t>ied</w:t>
      </w:r>
      <w:r w:rsidR="00C65E54" w:rsidRPr="000A6219">
        <w:rPr>
          <w:rFonts w:ascii="Book Antiqua" w:eastAsia="Calibri" w:hAnsi="Book Antiqua" w:cs="Times New Roman"/>
          <w:sz w:val="24"/>
          <w:szCs w:val="24"/>
          <w:lang w:val="en-US"/>
        </w:rPr>
        <w:t>,</w:t>
      </w:r>
      <w:r w:rsidR="00DC638B" w:rsidRPr="000A6219">
        <w:rPr>
          <w:rFonts w:ascii="Book Antiqua" w:eastAsia="Calibri" w:hAnsi="Book Antiqua" w:cs="Times New Roman"/>
          <w:sz w:val="24"/>
          <w:szCs w:val="24"/>
          <w:lang w:val="en-US"/>
        </w:rPr>
        <w:t xml:space="preserve"> and the </w:t>
      </w:r>
      <w:r w:rsidR="00C65E54" w:rsidRPr="000A6219">
        <w:rPr>
          <w:rFonts w:ascii="Book Antiqua" w:eastAsia="Calibri" w:hAnsi="Book Antiqua" w:cs="Times New Roman"/>
          <w:sz w:val="24"/>
          <w:szCs w:val="24"/>
          <w:lang w:val="en-US"/>
        </w:rPr>
        <w:t xml:space="preserve">selected </w:t>
      </w:r>
      <w:r w:rsidR="00DC638B" w:rsidRPr="000A6219">
        <w:rPr>
          <w:rFonts w:ascii="Book Antiqua" w:eastAsia="Calibri" w:hAnsi="Book Antiqua" w:cs="Times New Roman"/>
          <w:sz w:val="24"/>
          <w:szCs w:val="24"/>
          <w:lang w:val="en-US"/>
        </w:rPr>
        <w:t>experimental design</w:t>
      </w:r>
      <w:r w:rsidR="005F5312" w:rsidRPr="000A6219">
        <w:rPr>
          <w:rFonts w:ascii="Book Antiqua" w:eastAsia="Calibri" w:hAnsi="Book Antiqua" w:cs="Times New Roman"/>
          <w:sz w:val="24"/>
          <w:szCs w:val="24"/>
          <w:lang w:val="en-US"/>
        </w:rPr>
        <w:t>s did</w:t>
      </w:r>
      <w:r w:rsidR="00721A65" w:rsidRPr="000A6219">
        <w:rPr>
          <w:rFonts w:ascii="Book Antiqua" w:eastAsia="Calibri" w:hAnsi="Book Antiqua" w:cs="Times New Roman"/>
          <w:sz w:val="24"/>
          <w:szCs w:val="24"/>
          <w:lang w:val="en-US"/>
        </w:rPr>
        <w:t xml:space="preserve"> not allow the best picture of the real expression profiles during AIEC gut </w:t>
      </w:r>
      <w:r w:rsidR="00C65E54" w:rsidRPr="000A6219">
        <w:rPr>
          <w:rFonts w:ascii="Book Antiqua" w:eastAsia="Calibri" w:hAnsi="Book Antiqua" w:cs="Times New Roman"/>
          <w:sz w:val="24"/>
          <w:szCs w:val="24"/>
          <w:lang w:val="en-US"/>
        </w:rPr>
        <w:t>colonization to be obtained</w:t>
      </w:r>
      <w:r w:rsidR="00721A65" w:rsidRPr="000A6219">
        <w:rPr>
          <w:rFonts w:ascii="Book Antiqua" w:eastAsia="Calibri" w:hAnsi="Book Antiqua" w:cs="Times New Roman"/>
          <w:sz w:val="24"/>
          <w:szCs w:val="24"/>
          <w:lang w:val="en-US"/>
        </w:rPr>
        <w:t xml:space="preserve">. New experimental approaches directed </w:t>
      </w:r>
      <w:r w:rsidR="00C65E54" w:rsidRPr="000A6219">
        <w:rPr>
          <w:rFonts w:ascii="Book Antiqua" w:eastAsia="Calibri" w:hAnsi="Book Antiqua" w:cs="Times New Roman"/>
          <w:sz w:val="24"/>
          <w:szCs w:val="24"/>
          <w:lang w:val="en-US"/>
        </w:rPr>
        <w:t>at</w:t>
      </w:r>
      <w:r w:rsidR="00721A65" w:rsidRPr="000A6219">
        <w:rPr>
          <w:rFonts w:ascii="Book Antiqua" w:eastAsia="Calibri" w:hAnsi="Book Antiqua" w:cs="Times New Roman"/>
          <w:sz w:val="24"/>
          <w:szCs w:val="24"/>
          <w:lang w:val="en-US"/>
        </w:rPr>
        <w:t xml:space="preserve"> examin</w:t>
      </w:r>
      <w:r w:rsidR="00C65E54" w:rsidRPr="000A6219">
        <w:rPr>
          <w:rFonts w:ascii="Book Antiqua" w:eastAsia="Calibri" w:hAnsi="Book Antiqua" w:cs="Times New Roman"/>
          <w:sz w:val="24"/>
          <w:szCs w:val="24"/>
          <w:lang w:val="en-US"/>
        </w:rPr>
        <w:t>ing</w:t>
      </w:r>
      <w:r w:rsidR="00721A65" w:rsidRPr="000A6219">
        <w:rPr>
          <w:rFonts w:ascii="Book Antiqua" w:eastAsia="Calibri" w:hAnsi="Book Antiqua" w:cs="Times New Roman"/>
          <w:sz w:val="24"/>
          <w:szCs w:val="24"/>
          <w:lang w:val="en-US"/>
        </w:rPr>
        <w:t xml:space="preserve"> these elements </w:t>
      </w:r>
      <w:r w:rsidR="00C65E54" w:rsidRPr="000A6219">
        <w:rPr>
          <w:rFonts w:ascii="Book Antiqua" w:eastAsia="Calibri" w:hAnsi="Book Antiqua" w:cs="Times New Roman"/>
          <w:sz w:val="24"/>
          <w:szCs w:val="24"/>
          <w:lang w:val="en-US"/>
        </w:rPr>
        <w:t>under</w:t>
      </w:r>
      <w:r w:rsidR="00721A65" w:rsidRPr="000A6219">
        <w:rPr>
          <w:rFonts w:ascii="Book Antiqua" w:eastAsia="Calibri" w:hAnsi="Book Antiqua" w:cs="Times New Roman"/>
          <w:sz w:val="24"/>
          <w:szCs w:val="24"/>
          <w:lang w:val="en-US"/>
        </w:rPr>
        <w:t xml:space="preserve"> particular conditions </w:t>
      </w:r>
      <w:r w:rsidR="00C65E54" w:rsidRPr="000A6219">
        <w:rPr>
          <w:rFonts w:ascii="Book Antiqua" w:eastAsia="Calibri" w:hAnsi="Book Antiqua" w:cs="Times New Roman"/>
          <w:sz w:val="24"/>
          <w:szCs w:val="24"/>
          <w:lang w:val="en-US"/>
        </w:rPr>
        <w:t>in which</w:t>
      </w:r>
      <w:r w:rsidR="00721A65" w:rsidRPr="000A6219">
        <w:rPr>
          <w:rFonts w:ascii="Book Antiqua" w:eastAsia="Calibri" w:hAnsi="Book Antiqua" w:cs="Times New Roman"/>
          <w:sz w:val="24"/>
          <w:szCs w:val="24"/>
          <w:lang w:val="en-US"/>
        </w:rPr>
        <w:t xml:space="preserve"> AIEC isolates behave </w:t>
      </w:r>
      <w:r w:rsidR="00C65E54" w:rsidRPr="000A6219">
        <w:rPr>
          <w:rFonts w:ascii="Book Antiqua" w:eastAsia="Calibri" w:hAnsi="Book Antiqua" w:cs="Times New Roman"/>
          <w:sz w:val="24"/>
          <w:szCs w:val="24"/>
          <w:lang w:val="en-US"/>
        </w:rPr>
        <w:t>differently</w:t>
      </w:r>
      <w:r w:rsidR="00721A65" w:rsidRPr="000A6219">
        <w:rPr>
          <w:rFonts w:ascii="Book Antiqua" w:eastAsia="Calibri" w:hAnsi="Book Antiqua" w:cs="Times New Roman"/>
          <w:sz w:val="24"/>
          <w:szCs w:val="24"/>
          <w:lang w:val="en-US"/>
        </w:rPr>
        <w:t xml:space="preserve"> from other strains may help in finding molecular markers for AIEC detection that will probably </w:t>
      </w:r>
      <w:r w:rsidR="00C65E54" w:rsidRPr="000A6219">
        <w:rPr>
          <w:rFonts w:ascii="Book Antiqua" w:eastAsia="Calibri" w:hAnsi="Book Antiqua" w:cs="Times New Roman"/>
          <w:sz w:val="24"/>
          <w:szCs w:val="24"/>
          <w:lang w:val="en-US"/>
        </w:rPr>
        <w:t>be useful for</w:t>
      </w:r>
      <w:r w:rsidR="00721A65" w:rsidRPr="000A6219">
        <w:rPr>
          <w:rFonts w:ascii="Book Antiqua" w:eastAsia="Calibri" w:hAnsi="Book Antiqua" w:cs="Times New Roman"/>
          <w:sz w:val="24"/>
          <w:szCs w:val="24"/>
          <w:lang w:val="en-US"/>
        </w:rPr>
        <w:t xml:space="preserve"> clinical samples. Modulation of gene expression might be determined </w:t>
      </w:r>
      <w:r w:rsidR="00C65E54" w:rsidRPr="000A6219">
        <w:rPr>
          <w:rFonts w:ascii="Book Antiqua" w:eastAsia="Calibri" w:hAnsi="Book Antiqua" w:cs="Times New Roman"/>
          <w:sz w:val="24"/>
          <w:szCs w:val="24"/>
          <w:lang w:val="en-US"/>
        </w:rPr>
        <w:t>in</w:t>
      </w:r>
      <w:r w:rsidR="00721A65" w:rsidRPr="000A6219">
        <w:rPr>
          <w:rFonts w:ascii="Book Antiqua" w:eastAsia="Calibri" w:hAnsi="Book Antiqua" w:cs="Times New Roman"/>
          <w:sz w:val="24"/>
          <w:szCs w:val="24"/>
          <w:lang w:val="en-US"/>
        </w:rPr>
        <w:t xml:space="preserve"> various ways, such as DNA methylation or transposable elements. DNA methylation has been</w:t>
      </w:r>
      <w:r w:rsidR="00C65E54" w:rsidRPr="000A6219">
        <w:rPr>
          <w:rFonts w:ascii="Book Antiqua" w:eastAsia="Calibri" w:hAnsi="Book Antiqua" w:cs="Times New Roman"/>
          <w:sz w:val="24"/>
          <w:szCs w:val="24"/>
          <w:lang w:val="en-US"/>
        </w:rPr>
        <w:t xml:space="preserve"> described to occur in bacteria</w:t>
      </w:r>
      <w:r w:rsidR="00721A65" w:rsidRPr="000A6219">
        <w:rPr>
          <w:rFonts w:ascii="Book Antiqua" w:eastAsia="Calibri" w:hAnsi="Book Antiqua" w:cs="Times New Roman"/>
          <w:sz w:val="24"/>
          <w:szCs w:val="24"/>
          <w:lang w:val="en-US"/>
        </w:rPr>
        <w:t xml:space="preserve"> in a manner that clonal bacterial populations can be split by switching among alternative DNA methylation patterns</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{"citationItems":[{"id":"ITEM-1","itemData":{"DOI":"10.1128/MMBR.00016-06","ISSN":"1092-2172","PMID":"16959970","abstract":"Like many eukaryotes, bacteria make widespread use of postreplicative DNA methylation for the epigenetic control of DNA-protein interactions. Unlike eukaryotes, however, bacteria use DNA adenine methylation (rather than DNA cytosine methylation) as an epigenetic signal. DNA adenine methylation plays roles in the virulence of diverse pathogens of humans and livestock animals, including pathogenic Escherichia coli, Salmonella, Vibrio, Yersinia, Haemophilus, and Brucella. In Alphaproteobacteria, methylation of adenine at GANTC sites by the CcrM methylase regulates the cell cycle and couples gene transcription to DNA replication. In Gammaproteobacteria, adenine methylation at GATC sites by the Dam methylase provides signals for DNA replication, chromosome segregation, mismatch repair, packaging of bacteriophage genomes, transposase activity, and regulation of gene expression. Transcriptional repression by Dam methylation appears to be more common than transcriptional activation. Certain promoters are active only during the hemimethylation interval that follows DNA replication; repression is restored when the newly synthesized DNA strand is methylated. In the E. coli genome, however, methylation of specific GATC sites can be blocked by cognate DNA binding proteins. Blockage of GATC methylation beyond cell division permits transmission of DNA methylation patterns to daughter cells and can give rise to distinct epigenetic states, each propagated by a positive feedback loop. Switching between alternative DNA methylation patterns can split clonal bacterial populations into epigenetic lineages in a manner reminiscent of eukaryotic cell differentiation. Inheritance of self-propagating DNA methylation patterns governs phase variation in the E. coli pap operon, the agn43 gene, and other loci encoding virulence-related cell surface functions.","author":[{"dropping-particle":"","family":"Casadesús","given":"Josep","non-dropping-particle":"","parse-names":false,"suffix":""},{"dropping-particle":"","family":"Low","given":"David","non-dropping-particle":"","parse-names":false,"suffix":""}],"container-title":"Microbiology and molecular biology reviews : MMBR","id":"ITEM-1","issue":"3","issued":{"date-parts":[["2006","9","1"]]},"page":"830-56","publisher":"American Society for Microbiology","title":"Epigenetic gene regulation in the bacterial world.","type":"article-journal","volume":"70"},"uris":["http://www.mendeley.com/documents/?uuid=2c6a573d-f76c-3eae-9825-eb31077b4cfb"]}],"mendeley":{"formattedCitation":"&lt;sup&gt;[51]&lt;/sup&gt;","plainTextFormattedCitation":"[51]","previouslyFormattedCitation":"&lt;sup&gt;[51]&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52</w:t>
      </w:r>
      <w:r w:rsidR="00765E1A" w:rsidRPr="000A6219">
        <w:rPr>
          <w:rFonts w:ascii="Book Antiqua" w:eastAsia="Calibri" w:hAnsi="Book Antiqua" w:cs="Times New Roman"/>
          <w:noProof/>
          <w:sz w:val="24"/>
          <w:szCs w:val="24"/>
          <w:vertAlign w:val="superscript"/>
          <w:lang w:val="en-US"/>
        </w:rPr>
        <w:t>]</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For instance, as studied in an </w:t>
      </w:r>
      <w:proofErr w:type="spellStart"/>
      <w:r w:rsidR="00C65E54" w:rsidRPr="000A6219">
        <w:rPr>
          <w:rFonts w:ascii="Book Antiqua" w:eastAsia="Calibri" w:hAnsi="Book Antiqua" w:cs="Times New Roman"/>
          <w:sz w:val="24"/>
          <w:szCs w:val="24"/>
          <w:lang w:val="en-US"/>
        </w:rPr>
        <w:t>uropathogenic</w:t>
      </w:r>
      <w:proofErr w:type="spellEnd"/>
      <w:r w:rsidR="00C65E54" w:rsidRPr="000A6219">
        <w:rPr>
          <w:rFonts w:ascii="Book Antiqua" w:eastAsia="Calibri" w:hAnsi="Book Antiqua" w:cs="Times New Roman"/>
          <w:sz w:val="24"/>
          <w:szCs w:val="24"/>
          <w:lang w:val="en-US"/>
        </w:rPr>
        <w:t xml:space="preserve"> </w:t>
      </w:r>
      <w:r w:rsidR="00C65E54" w:rsidRPr="000A6219">
        <w:rPr>
          <w:rFonts w:ascii="Book Antiqua" w:eastAsia="Calibri" w:hAnsi="Book Antiqua" w:cs="Times New Roman"/>
          <w:i/>
          <w:sz w:val="24"/>
          <w:szCs w:val="24"/>
          <w:lang w:val="en-US"/>
        </w:rPr>
        <w:t xml:space="preserve">E. coli </w:t>
      </w:r>
      <w:r w:rsidR="00721A65" w:rsidRPr="000A6219">
        <w:rPr>
          <w:rFonts w:ascii="Book Antiqua" w:eastAsia="Calibri" w:hAnsi="Book Antiqua" w:cs="Times New Roman"/>
          <w:sz w:val="24"/>
          <w:szCs w:val="24"/>
          <w:lang w:val="en-US"/>
        </w:rPr>
        <w:t xml:space="preserve">strain, the Pap pilin </w:t>
      </w:r>
      <w:r w:rsidR="00C65E54" w:rsidRPr="000A6219">
        <w:rPr>
          <w:rFonts w:ascii="Book Antiqua" w:eastAsia="Calibri" w:hAnsi="Book Antiqua" w:cs="Times New Roman"/>
          <w:sz w:val="24"/>
          <w:szCs w:val="24"/>
          <w:lang w:val="en-US"/>
        </w:rPr>
        <w:t>causes variations</w:t>
      </w:r>
      <w:r w:rsidR="00BF7F8C" w:rsidRPr="000A6219">
        <w:rPr>
          <w:rFonts w:ascii="Book Antiqua" w:eastAsia="Calibri" w:hAnsi="Book Antiqua" w:cs="Times New Roman"/>
          <w:sz w:val="24"/>
          <w:szCs w:val="24"/>
          <w:lang w:val="en-US"/>
        </w:rPr>
        <w:t xml:space="preserve"> </w:t>
      </w:r>
      <w:r w:rsidR="00C65E54" w:rsidRPr="000A6219">
        <w:rPr>
          <w:rFonts w:ascii="Book Antiqua" w:eastAsia="Calibri" w:hAnsi="Book Antiqua" w:cs="Times New Roman"/>
          <w:sz w:val="24"/>
          <w:szCs w:val="24"/>
          <w:lang w:val="en-US"/>
        </w:rPr>
        <w:t>in</w:t>
      </w:r>
      <w:r w:rsidR="00721A65" w:rsidRPr="000A6219">
        <w:rPr>
          <w:rFonts w:ascii="Book Antiqua" w:eastAsia="Calibri" w:hAnsi="Book Antiqua" w:cs="Times New Roman"/>
          <w:sz w:val="24"/>
          <w:szCs w:val="24"/>
          <w:lang w:val="en-US"/>
        </w:rPr>
        <w:t xml:space="preserve"> the phase by a mechanism which involves methylation</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{"citationItems":[{"id":"ITEM-1","itemData":{"ISSN":"0261-4189","PMID":"2147413","abstract":"Transcription of the pap pilin (papA) gene in Escherichia coli is subject to control by a heritable phase variation mechanism in which alternation between transcriptionally active (phase on) and inactive (phase off) states occurs. Our results suggest that phase switching occurs without DNA rearrangement of pap DNA sequences, distinguishing this system from those described for E. coli type 1 pili and Salmonella flagellar phase variation. Analysis of the regulatory region upstream of papA in DNAs isolated from phase off and phase on cell populations showed that two deoxyadenosine methylase (Dam) sites, GATC1028 and GATC1130, were present. Southern blot analysis of MboI and DpnI restriction digests of DNAs showed that the GATC1028 site was unmethylated only in DNA isolated from phase on populations. Conversely, GATC1130 sites were unmethylated in DNA isolated from phase off populations. The presence of unmethylated GATC sites in E. coli is unusual and to our knowledge has not been previously reported. These results suggest that the methylation states of GATC1028 and GATC1130 may regulate pap transcription. Consistent with this hypothesis, Dam methylase levels affected the regulation of pap transcription; papA transcription was absent in dam- E. coli. Moreover, transition from the phase off to phase on state was not observed in E. coli expressing aberrantly high levels of Dam. A basic model is presented which outlines a possible mechanism by which alternation between phase off and phase on methylation states could occur.","author":[{"dropping-particle":"","family":"Blyn","given":"L B","non-dropping-particle":"","parse-names":false,"suffix":""},{"dropping-particle":"","family":"Braaten","given":"B A","non-dropping-particle":"","parse-names":false,"suffix":""},{"dropping-particle":"","family":"Low","given":"D A","non-dropping-particle":"","parse-names":false,"suffix":""}],"container-title":"The EMBO journal","id":"ITEM-1","issue":"12","issued":{"date-parts":[["1990","12"]]},"page":"4045-54","publisher":"European Molecular Biology Organization","title":"Regulation of pap pilin phase variation by a mechanism involving differential dam methylation states.","type":"article-journal","volume":"9"},"uris":["http://www.mendeley.com/documents/?uuid=15d04a2c-4f75-337f-a4e2-aaf3a3237d78"]}],"mendeley":{"formattedCitation":"&lt;sup&gt;[52]&lt;/sup&gt;","plainTextFormattedCitation":"[52]","previouslyFormattedCitation":"&lt;sup&gt;[52]&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[5</w:t>
      </w:r>
      <w:r w:rsidR="00554ED9">
        <w:rPr>
          <w:rFonts w:ascii="Book Antiqua" w:eastAsia="Calibri" w:hAnsi="Book Antiqua" w:cs="Times New Roman"/>
          <w:noProof/>
          <w:sz w:val="24"/>
          <w:szCs w:val="24"/>
          <w:vertAlign w:val="superscript"/>
          <w:lang w:val="en-US"/>
        </w:rPr>
        <w:t>3</w:t>
      </w:r>
      <w:r w:rsidR="00765E1A" w:rsidRPr="000A6219">
        <w:rPr>
          <w:rFonts w:ascii="Book Antiqua" w:eastAsia="Calibri" w:hAnsi="Book Antiqua" w:cs="Times New Roman"/>
          <w:noProof/>
          <w:sz w:val="24"/>
          <w:szCs w:val="24"/>
          <w:vertAlign w:val="superscript"/>
          <w:lang w:val="en-US"/>
        </w:rPr>
        <w:t>]</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Likewise, in terms of transposable elements, one study previously demonstrated that through constant macrophage exposure</w:t>
      </w:r>
      <w:r w:rsidR="00C65E54"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a commensal </w:t>
      </w:r>
      <w:r w:rsidR="00721A65" w:rsidRPr="000A6219">
        <w:rPr>
          <w:rFonts w:ascii="Book Antiqua" w:eastAsia="Calibri" w:hAnsi="Book Antiqua" w:cs="Times New Roman"/>
          <w:i/>
          <w:sz w:val="24"/>
          <w:szCs w:val="24"/>
          <w:lang w:val="en-US"/>
        </w:rPr>
        <w:t xml:space="preserve">E. coli </w:t>
      </w:r>
      <w:r w:rsidR="00721A65" w:rsidRPr="000A6219">
        <w:rPr>
          <w:rFonts w:ascii="Book Antiqua" w:eastAsia="Calibri" w:hAnsi="Book Antiqua" w:cs="Times New Roman"/>
          <w:sz w:val="24"/>
          <w:szCs w:val="24"/>
          <w:lang w:val="en-US"/>
        </w:rPr>
        <w:t xml:space="preserve">strain can evolve </w:t>
      </w:r>
      <w:r w:rsidR="00C65E54" w:rsidRPr="000A6219">
        <w:rPr>
          <w:rFonts w:ascii="Book Antiqua" w:eastAsia="Calibri" w:hAnsi="Book Antiqua" w:cs="Times New Roman"/>
          <w:sz w:val="24"/>
          <w:szCs w:val="24"/>
          <w:lang w:val="en-US"/>
        </w:rPr>
        <w:t>in</w:t>
      </w:r>
      <w:r w:rsidR="00721A65" w:rsidRPr="000A6219">
        <w:rPr>
          <w:rFonts w:ascii="Book Antiqua" w:eastAsia="Calibri" w:hAnsi="Book Antiqua" w:cs="Times New Roman"/>
          <w:sz w:val="24"/>
          <w:szCs w:val="24"/>
          <w:lang w:val="en-US"/>
        </w:rPr>
        <w:t xml:space="preserve">to </w:t>
      </w:r>
      <w:r w:rsidR="00C65E54" w:rsidRPr="000A6219">
        <w:rPr>
          <w:rFonts w:ascii="Book Antiqua" w:eastAsia="Calibri" w:hAnsi="Book Antiqua" w:cs="Times New Roman"/>
          <w:sz w:val="24"/>
          <w:szCs w:val="24"/>
          <w:lang w:val="en-US"/>
        </w:rPr>
        <w:t xml:space="preserve">a pathogenic strain (such as </w:t>
      </w:r>
      <w:r w:rsidR="00721A65" w:rsidRPr="000A6219">
        <w:rPr>
          <w:rFonts w:ascii="Book Antiqua" w:eastAsia="Calibri" w:hAnsi="Book Antiqua" w:cs="Times New Roman"/>
          <w:sz w:val="24"/>
          <w:szCs w:val="24"/>
          <w:lang w:val="en-US"/>
        </w:rPr>
        <w:t>being able to survive inside macrophages or escape) by the acquisition of transposable element insertion</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{"citationItems":[{"id":"ITEM-1","itemData":{"DOI":"10.1038/s41598-017-04081-1","ISSN":"20452322","PMID":"28674418","abstract":"Escherichia coli is both a harmless commensal in the intestines of many mammals, as well as a dangerous pathogen. The evolutionary paths taken by strains of this species in the commensal-to-pathogen transition are complex and can involve changes both in the core genome, as well in the pan-genome. One way to understand the likely paths that a commensal strain of E. coli takes when evolving pathogenicity is through experimentally evolving the strain under the selective pressures that it will have to withstand as a pathogen. Here, we report that a commensal strain, under continuous pressure from macrophages, recurrently acquired a transposable element insertion, which resulted in two key phenotypic changes: increased intracellular survival, through the delay of phagosome maturation and increased ability to escape macrophages. We further show that the acquisition of the pathoadaptive traits was accompanied by small but significant changes in the transcriptome of macrophages upon infection. These results show that under constant pressures from a key component of the host immune system, namely macrophage phagocytosis, commensal E. coli rapidly acquires pathoadaptive mutations that cause transcriptome changes associated to the host-microbe duet. © 2017 The Author(s).","author":[{"dropping-particle":"","family":"Proença","given":"João T.","non-dropping-particle":"","parse-names":false,"suffix":""},{"dropping-particle":"","family":"Barral","given":"Duarte C.","non-dropping-particle":"","parse-names":false,"suffix":""},{"dropping-particle":"","family":"Gordo","given":"Isabel","non-dropping-particle":"","parse-names":false,"suffix":""}],"container-title":"Scientific Reports","id":"ITEM-1","issue":"1","issued":{"date-parts":[["2017"]]},"page":"1-12","title":"Commensal-to-pathogen transition: One-single transposon insertion results in two pathoadaptive traits in Escherichia coli-macrophage interaction","type":"article-journal","volume":"7"},"uris":["http://www.mendeley.com/documents/?uuid=7e1bc783-b1f4-464f-b05e-35af5a65f0e9"]}],"mendeley":{"formattedCitation":"&lt;sup&gt;[53]&lt;/sup&gt;","plainTextFormattedCitation":"[53]","previouslyFormattedCitation":"&lt;sup&gt;[53]&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[5</w:t>
      </w:r>
      <w:r w:rsidR="00554ED9">
        <w:rPr>
          <w:rFonts w:ascii="Book Antiqua" w:eastAsia="Calibri" w:hAnsi="Book Antiqua" w:cs="Times New Roman"/>
          <w:noProof/>
          <w:sz w:val="24"/>
          <w:szCs w:val="24"/>
          <w:vertAlign w:val="superscript"/>
          <w:lang w:val="en-US"/>
        </w:rPr>
        <w:t>4</w:t>
      </w:r>
      <w:r w:rsidR="00765E1A" w:rsidRPr="000A6219">
        <w:rPr>
          <w:rFonts w:ascii="Book Antiqua" w:eastAsia="Calibri" w:hAnsi="Book Antiqua" w:cs="Times New Roman"/>
          <w:noProof/>
          <w:sz w:val="24"/>
          <w:szCs w:val="24"/>
          <w:vertAlign w:val="superscript"/>
          <w:lang w:val="en-US"/>
        </w:rPr>
        <w:t>]</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On the whole, epigenetics and transposable elements are unexplored in AIEC research and should </w:t>
      </w:r>
      <w:r w:rsidR="00AE4BC2" w:rsidRPr="000A6219">
        <w:rPr>
          <w:rFonts w:ascii="Book Antiqua" w:eastAsia="Calibri" w:hAnsi="Book Antiqua" w:cs="Times New Roman"/>
          <w:sz w:val="24"/>
          <w:szCs w:val="24"/>
          <w:lang w:val="en-US"/>
        </w:rPr>
        <w:t>be considered</w:t>
      </w:r>
      <w:r w:rsidR="00721A65" w:rsidRPr="000A6219">
        <w:rPr>
          <w:rFonts w:ascii="Book Antiqua" w:eastAsia="Calibri" w:hAnsi="Book Antiqua" w:cs="Times New Roman"/>
          <w:sz w:val="24"/>
          <w:szCs w:val="24"/>
          <w:lang w:val="en-US"/>
        </w:rPr>
        <w:t xml:space="preserve"> once looking for AIEC characteristic elements.</w:t>
      </w:r>
    </w:p>
    <w:p w14:paraId="426A14AA" w14:textId="2633B4C2" w:rsidR="00721A65" w:rsidRPr="000A6219" w:rsidRDefault="00F505E6"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Finally, r</w:t>
      </w:r>
      <w:r w:rsidR="00AE4BC2" w:rsidRPr="000A6219">
        <w:rPr>
          <w:rFonts w:ascii="Book Antiqua" w:eastAsia="Calibri" w:hAnsi="Book Antiqua" w:cs="Times New Roman"/>
          <w:sz w:val="24"/>
          <w:szCs w:val="24"/>
          <w:lang w:val="en-US"/>
        </w:rPr>
        <w:t>egardless of the abov</w:t>
      </w:r>
      <w:r w:rsidR="005E0537" w:rsidRPr="000A6219">
        <w:rPr>
          <w:rFonts w:ascii="Book Antiqua" w:eastAsia="Calibri" w:hAnsi="Book Antiqua" w:cs="Times New Roman"/>
          <w:sz w:val="24"/>
          <w:szCs w:val="24"/>
          <w:lang w:val="en-US"/>
        </w:rPr>
        <w:t>e</w:t>
      </w:r>
      <w:r w:rsidR="00AE4BC2"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mentioned </w:t>
      </w:r>
      <w:r w:rsidR="00E739B6" w:rsidRPr="000A6219">
        <w:rPr>
          <w:rFonts w:ascii="Book Antiqua" w:eastAsia="Calibri" w:hAnsi="Book Antiqua" w:cs="Times New Roman"/>
          <w:sz w:val="24"/>
          <w:szCs w:val="24"/>
          <w:lang w:val="en-US"/>
        </w:rPr>
        <w:t>possible reasons</w:t>
      </w:r>
      <w:r w:rsidR="00721A65" w:rsidRPr="000A6219">
        <w:rPr>
          <w:rFonts w:ascii="Book Antiqua" w:eastAsia="Calibri" w:hAnsi="Book Antiqua" w:cs="Times New Roman"/>
          <w:sz w:val="24"/>
          <w:szCs w:val="24"/>
          <w:lang w:val="en-US"/>
        </w:rPr>
        <w:t xml:space="preserve">, once looking for AIEC biomarkers, the first question the scientists face is the </w:t>
      </w:r>
      <w:r w:rsidR="00AE4BC2" w:rsidRPr="000A6219">
        <w:rPr>
          <w:rFonts w:ascii="Book Antiqua" w:eastAsia="Calibri" w:hAnsi="Book Antiqua" w:cs="Times New Roman"/>
          <w:sz w:val="24"/>
          <w:szCs w:val="24"/>
          <w:lang w:val="en-US"/>
        </w:rPr>
        <w:t>standardization</w:t>
      </w:r>
      <w:r w:rsidR="00721A65" w:rsidRPr="000A6219">
        <w:rPr>
          <w:rFonts w:ascii="Book Antiqua" w:eastAsia="Calibri" w:hAnsi="Book Antiqua" w:cs="Times New Roman"/>
          <w:sz w:val="24"/>
          <w:szCs w:val="24"/>
          <w:lang w:val="en-US"/>
        </w:rPr>
        <w:t xml:space="preserve"> of the current AIEC identification method. </w:t>
      </w:r>
      <w:r w:rsidR="00E739B6" w:rsidRPr="000A6219">
        <w:rPr>
          <w:rFonts w:ascii="Book Antiqua" w:eastAsia="Calibri" w:hAnsi="Book Antiqua" w:cs="Times New Roman"/>
          <w:sz w:val="24"/>
          <w:szCs w:val="24"/>
          <w:lang w:val="en-US"/>
        </w:rPr>
        <w:t xml:space="preserve">The lack of uniformity </w:t>
      </w:r>
      <w:r w:rsidR="00AE4BC2" w:rsidRPr="000A6219">
        <w:rPr>
          <w:rFonts w:ascii="Book Antiqua" w:eastAsia="Calibri" w:hAnsi="Book Antiqua" w:cs="Times New Roman"/>
          <w:sz w:val="24"/>
          <w:szCs w:val="24"/>
          <w:lang w:val="en-US"/>
        </w:rPr>
        <w:t>among</w:t>
      </w:r>
      <w:r w:rsidR="00E739B6" w:rsidRPr="000A6219">
        <w:rPr>
          <w:rFonts w:ascii="Book Antiqua" w:eastAsia="Calibri" w:hAnsi="Book Antiqua" w:cs="Times New Roman"/>
          <w:sz w:val="24"/>
          <w:szCs w:val="24"/>
          <w:lang w:val="en-US"/>
        </w:rPr>
        <w:t xml:space="preserve"> laboratories is very problematic since it can result in different classification assays</w:t>
      </w:r>
      <w:r w:rsidR="00AE4BC2" w:rsidRPr="000A6219">
        <w:rPr>
          <w:rFonts w:ascii="Book Antiqua" w:eastAsia="Calibri" w:hAnsi="Book Antiqua" w:cs="Times New Roman"/>
          <w:sz w:val="24"/>
          <w:szCs w:val="24"/>
          <w:lang w:val="en-US"/>
        </w:rPr>
        <w:t>,</w:t>
      </w:r>
      <w:r w:rsidR="00E739B6" w:rsidRPr="000A6219">
        <w:rPr>
          <w:rFonts w:ascii="Book Antiqua" w:eastAsia="Calibri" w:hAnsi="Book Antiqua" w:cs="Times New Roman"/>
          <w:sz w:val="24"/>
          <w:szCs w:val="24"/>
          <w:lang w:val="en-US"/>
        </w:rPr>
        <w:t xml:space="preserve"> which may lead to incorrect associations between genetic and phenotypic features. </w:t>
      </w:r>
      <w:r w:rsidR="00721A65" w:rsidRPr="000A6219">
        <w:rPr>
          <w:rFonts w:ascii="Book Antiqua" w:eastAsia="Calibri" w:hAnsi="Book Antiqua" w:cs="Times New Roman"/>
          <w:sz w:val="24"/>
          <w:szCs w:val="24"/>
          <w:lang w:val="en-US"/>
        </w:rPr>
        <w:t xml:space="preserve">The vast majority of studies have classified an isolate as </w:t>
      </w:r>
      <w:r w:rsidR="00721A65" w:rsidRPr="000A6219">
        <w:rPr>
          <w:rFonts w:ascii="Book Antiqua" w:eastAsia="Calibri" w:hAnsi="Book Antiqua" w:cs="Times New Roman"/>
          <w:sz w:val="24"/>
          <w:szCs w:val="24"/>
          <w:lang w:val="en-US"/>
        </w:rPr>
        <w:lastRenderedPageBreak/>
        <w:t xml:space="preserve">AIEC by </w:t>
      </w:r>
      <w:r w:rsidR="00AE4BC2" w:rsidRPr="000A6219">
        <w:rPr>
          <w:rFonts w:ascii="Book Antiqua" w:eastAsia="Calibri" w:hAnsi="Book Antiqua" w:cs="Times New Roman"/>
          <w:sz w:val="24"/>
          <w:szCs w:val="24"/>
          <w:lang w:val="en-US"/>
        </w:rPr>
        <w:t>analyzing</w:t>
      </w:r>
      <w:r w:rsidR="00721A65" w:rsidRPr="000A6219">
        <w:rPr>
          <w:rFonts w:ascii="Book Antiqua" w:eastAsia="Calibri" w:hAnsi="Book Antiqua" w:cs="Times New Roman"/>
          <w:sz w:val="24"/>
          <w:szCs w:val="24"/>
          <w:lang w:val="en-US"/>
        </w:rPr>
        <w:t xml:space="preserve"> all </w:t>
      </w:r>
      <w:r w:rsidR="00AE4BC2" w:rsidRPr="000A6219">
        <w:rPr>
          <w:rFonts w:ascii="Book Antiqua" w:eastAsia="Calibri" w:hAnsi="Book Antiqua" w:cs="Times New Roman"/>
          <w:sz w:val="24"/>
          <w:szCs w:val="24"/>
          <w:lang w:val="en-US"/>
        </w:rPr>
        <w:t xml:space="preserve">of </w:t>
      </w:r>
      <w:r w:rsidR="00721A65" w:rsidRPr="000A6219">
        <w:rPr>
          <w:rFonts w:ascii="Book Antiqua" w:eastAsia="Calibri" w:hAnsi="Book Antiqua" w:cs="Times New Roman"/>
          <w:sz w:val="24"/>
          <w:szCs w:val="24"/>
          <w:lang w:val="en-US"/>
        </w:rPr>
        <w:t xml:space="preserve">its phenotypic characteristics </w:t>
      </w:r>
      <w:r w:rsidR="00AE4BC2" w:rsidRPr="000A6219">
        <w:rPr>
          <w:rFonts w:ascii="Book Antiqua" w:eastAsia="Calibri" w:hAnsi="Book Antiqua" w:cs="Times New Roman"/>
          <w:i/>
          <w:sz w:val="24"/>
          <w:szCs w:val="24"/>
          <w:lang w:val="en-US"/>
        </w:rPr>
        <w:t>in vitro;</w:t>
      </w:r>
      <w:r w:rsidR="00721A65" w:rsidRPr="000A6219">
        <w:rPr>
          <w:rFonts w:ascii="Book Antiqua" w:eastAsia="Calibri" w:hAnsi="Book Antiqua" w:cs="Times New Roman"/>
          <w:i/>
          <w:sz w:val="24"/>
          <w:szCs w:val="24"/>
          <w:lang w:val="en-US"/>
        </w:rPr>
        <w:t xml:space="preserve"> </w:t>
      </w:r>
      <w:r w:rsidR="00721A65" w:rsidRPr="000A6219">
        <w:rPr>
          <w:rFonts w:ascii="Book Antiqua" w:eastAsia="Calibri" w:hAnsi="Book Antiqua" w:cs="Times New Roman"/>
          <w:sz w:val="24"/>
          <w:szCs w:val="24"/>
          <w:lang w:val="en-US"/>
        </w:rPr>
        <w:t>nonetheless</w:t>
      </w:r>
      <w:r w:rsidR="00AE4BC2" w:rsidRPr="000A6219">
        <w:rPr>
          <w:rFonts w:ascii="Book Antiqua" w:eastAsia="Calibri" w:hAnsi="Book Antiqua" w:cs="Times New Roman"/>
          <w:sz w:val="24"/>
          <w:szCs w:val="24"/>
          <w:lang w:val="en-US"/>
        </w:rPr>
        <w:t>, some discrepancies exist</w:t>
      </w:r>
      <w:r w:rsidR="00721A65" w:rsidRPr="000A6219">
        <w:rPr>
          <w:rFonts w:ascii="Book Antiqua" w:eastAsia="Calibri" w:hAnsi="Book Antiqua" w:cs="Times New Roman"/>
          <w:sz w:val="24"/>
          <w:szCs w:val="24"/>
          <w:lang w:val="en-US"/>
        </w:rPr>
        <w:t xml:space="preserve"> </w:t>
      </w:r>
      <w:r w:rsidR="00AE4BC2" w:rsidRPr="000A6219">
        <w:rPr>
          <w:rFonts w:ascii="Book Antiqua" w:eastAsia="Calibri" w:hAnsi="Book Antiqua" w:cs="Times New Roman"/>
          <w:sz w:val="24"/>
          <w:szCs w:val="24"/>
          <w:lang w:val="en-US"/>
        </w:rPr>
        <w:t>i</w:t>
      </w:r>
      <w:r w:rsidR="00721A65" w:rsidRPr="000A6219">
        <w:rPr>
          <w:rFonts w:ascii="Book Antiqua" w:eastAsia="Calibri" w:hAnsi="Book Antiqua" w:cs="Times New Roman"/>
          <w:sz w:val="24"/>
          <w:szCs w:val="24"/>
          <w:lang w:val="en-US"/>
        </w:rPr>
        <w:t xml:space="preserve">n the protocols (Table </w:t>
      </w:r>
      <w:r w:rsidR="00BA5A02" w:rsidRPr="000A6219">
        <w:rPr>
          <w:rFonts w:ascii="Book Antiqua" w:eastAsia="Calibri" w:hAnsi="Book Antiqua" w:cs="Times New Roman"/>
          <w:sz w:val="24"/>
          <w:szCs w:val="24"/>
          <w:lang w:val="en-US"/>
        </w:rPr>
        <w:t>5</w:t>
      </w:r>
      <w:r w:rsidR="00721A65" w:rsidRPr="000A6219">
        <w:rPr>
          <w:rFonts w:ascii="Book Antiqua" w:eastAsia="Calibri" w:hAnsi="Book Antiqua" w:cs="Times New Roman"/>
          <w:sz w:val="24"/>
          <w:szCs w:val="24"/>
          <w:lang w:val="en-US"/>
        </w:rPr>
        <w:t xml:space="preserve">) and the </w:t>
      </w:r>
      <w:r w:rsidR="00AE4BC2" w:rsidRPr="000A6219">
        <w:rPr>
          <w:rFonts w:ascii="Book Antiqua" w:eastAsia="Calibri" w:hAnsi="Book Antiqua" w:cs="Times New Roman"/>
          <w:sz w:val="24"/>
          <w:szCs w:val="24"/>
          <w:lang w:val="en-US"/>
        </w:rPr>
        <w:t xml:space="preserve">selected </w:t>
      </w:r>
      <w:r w:rsidR="00721A65" w:rsidRPr="000A6219">
        <w:rPr>
          <w:rFonts w:ascii="Book Antiqua" w:eastAsia="Calibri" w:hAnsi="Book Antiqua" w:cs="Times New Roman"/>
          <w:sz w:val="24"/>
          <w:szCs w:val="24"/>
          <w:lang w:val="en-US"/>
        </w:rPr>
        <w:t xml:space="preserve">cell lines (Figure </w:t>
      </w:r>
      <w:r w:rsidR="00DC0C01" w:rsidRPr="000A6219">
        <w:rPr>
          <w:rFonts w:ascii="Book Antiqua" w:eastAsia="Calibri" w:hAnsi="Book Antiqua" w:cs="Times New Roman"/>
          <w:sz w:val="24"/>
          <w:szCs w:val="24"/>
          <w:lang w:val="en-US"/>
        </w:rPr>
        <w:t>1</w:t>
      </w:r>
      <w:r w:rsidR="00721A65" w:rsidRPr="000A6219">
        <w:rPr>
          <w:rFonts w:ascii="Book Antiqua" w:eastAsia="Calibri" w:hAnsi="Book Antiqua" w:cs="Times New Roman"/>
          <w:sz w:val="24"/>
          <w:szCs w:val="24"/>
          <w:lang w:val="en-US"/>
        </w:rPr>
        <w:t>)</w:t>
      </w:r>
      <w:r w:rsidR="00554ED9" w:rsidRPr="00554ED9">
        <w:rPr>
          <w:rFonts w:ascii="Book Antiqua" w:eastAsia="Calibri" w:hAnsi="Book Antiqua" w:cs="Times New Roman"/>
          <w:sz w:val="24"/>
          <w:szCs w:val="24"/>
          <w:vertAlign w:val="superscript"/>
          <w:lang w:val="en-US"/>
        </w:rPr>
        <w:t>[55-6</w:t>
      </w:r>
      <w:r w:rsidR="00CB5F52">
        <w:rPr>
          <w:rFonts w:ascii="Book Antiqua" w:eastAsia="Calibri" w:hAnsi="Book Antiqua" w:cs="Times New Roman"/>
          <w:sz w:val="24"/>
          <w:szCs w:val="24"/>
          <w:vertAlign w:val="superscript"/>
          <w:lang w:val="en-US"/>
        </w:rPr>
        <w:t>2</w:t>
      </w:r>
      <w:r w:rsidR="00554ED9" w:rsidRPr="00554ED9">
        <w:rPr>
          <w:rFonts w:ascii="Book Antiqua" w:eastAsia="Calibri" w:hAnsi="Book Antiqua" w:cs="Times New Roman"/>
          <w:sz w:val="24"/>
          <w:szCs w:val="24"/>
          <w:vertAlign w:val="superscript"/>
          <w:lang w:val="en-US"/>
        </w:rPr>
        <w:t>]</w:t>
      </w:r>
      <w:r w:rsidR="00721A65" w:rsidRPr="000A6219">
        <w:rPr>
          <w:rFonts w:ascii="Book Antiqua" w:eastAsia="Calibri" w:hAnsi="Book Antiqua" w:cs="Times New Roman"/>
          <w:sz w:val="24"/>
          <w:szCs w:val="24"/>
          <w:lang w:val="en-US"/>
        </w:rPr>
        <w:t xml:space="preserve">. Variances in the </w:t>
      </w:r>
      <w:r w:rsidR="005F5312" w:rsidRPr="000A6219">
        <w:rPr>
          <w:rFonts w:ascii="Book Antiqua" w:eastAsia="Calibri" w:hAnsi="Book Antiqua" w:cs="Times New Roman"/>
          <w:sz w:val="24"/>
          <w:szCs w:val="24"/>
          <w:lang w:val="en-US"/>
        </w:rPr>
        <w:t>multiplicity of infection (</w:t>
      </w:r>
      <w:r w:rsidR="00721A65" w:rsidRPr="000A6219">
        <w:rPr>
          <w:rFonts w:ascii="Book Antiqua" w:eastAsia="Calibri" w:hAnsi="Book Antiqua" w:cs="Times New Roman"/>
          <w:sz w:val="24"/>
          <w:szCs w:val="24"/>
          <w:lang w:val="en-US"/>
        </w:rPr>
        <w:t>MOI</w:t>
      </w:r>
      <w:r w:rsidR="005F5312"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and time of infection, </w:t>
      </w:r>
      <w:r w:rsidR="00AE4BC2" w:rsidRPr="000A6219">
        <w:rPr>
          <w:rFonts w:ascii="Book Antiqua" w:eastAsia="Calibri" w:hAnsi="Book Antiqua" w:cs="Times New Roman"/>
          <w:sz w:val="24"/>
          <w:szCs w:val="24"/>
          <w:lang w:val="en-US"/>
        </w:rPr>
        <w:t>in addition to</w:t>
      </w:r>
      <w:r w:rsidR="00721A65" w:rsidRPr="000A6219">
        <w:rPr>
          <w:rFonts w:ascii="Book Antiqua" w:eastAsia="Calibri" w:hAnsi="Book Antiqua" w:cs="Times New Roman"/>
          <w:sz w:val="24"/>
          <w:szCs w:val="24"/>
          <w:lang w:val="en-US"/>
        </w:rPr>
        <w:t xml:space="preserve"> incubation conditions occur</w:t>
      </w:r>
      <w:r w:rsidR="00AE4BC2" w:rsidRPr="000A6219">
        <w:rPr>
          <w:rFonts w:ascii="Book Antiqua" w:eastAsia="Calibri" w:hAnsi="Book Antiqua" w:cs="Times New Roman"/>
          <w:sz w:val="24"/>
          <w:szCs w:val="24"/>
          <w:lang w:val="en-US"/>
        </w:rPr>
        <w:t>red</w:t>
      </w:r>
      <w:r w:rsidR="00721A65" w:rsidRPr="000A6219">
        <w:rPr>
          <w:rFonts w:ascii="Book Antiqua" w:eastAsia="Calibri" w:hAnsi="Book Antiqua" w:cs="Times New Roman"/>
          <w:sz w:val="24"/>
          <w:szCs w:val="24"/>
          <w:lang w:val="en-US"/>
        </w:rPr>
        <w:t xml:space="preserve">. In terms of invasion assays, while most analyses </w:t>
      </w:r>
      <w:r w:rsidR="00AE4BC2" w:rsidRPr="000A6219">
        <w:rPr>
          <w:rFonts w:ascii="Book Antiqua" w:eastAsia="Calibri" w:hAnsi="Book Antiqua" w:cs="Times New Roman"/>
          <w:sz w:val="24"/>
          <w:szCs w:val="24"/>
          <w:lang w:val="en-US"/>
        </w:rPr>
        <w:t xml:space="preserve">were </w:t>
      </w:r>
      <w:r w:rsidR="00721A65" w:rsidRPr="000A6219">
        <w:rPr>
          <w:rFonts w:ascii="Book Antiqua" w:eastAsia="Calibri" w:hAnsi="Book Antiqua" w:cs="Times New Roman"/>
          <w:sz w:val="24"/>
          <w:szCs w:val="24"/>
          <w:lang w:val="en-US"/>
        </w:rPr>
        <w:t xml:space="preserve">performed at </w:t>
      </w:r>
      <w:r w:rsidR="00AE4BC2" w:rsidRPr="000A6219">
        <w:rPr>
          <w:rFonts w:ascii="Book Antiqua" w:eastAsia="Calibri" w:hAnsi="Book Antiqua" w:cs="Times New Roman"/>
          <w:sz w:val="24"/>
          <w:szCs w:val="24"/>
          <w:lang w:val="en-US"/>
        </w:rPr>
        <w:t xml:space="preserve">a </w:t>
      </w:r>
      <w:r w:rsidR="00721A65" w:rsidRPr="000A6219">
        <w:rPr>
          <w:rFonts w:ascii="Book Antiqua" w:eastAsia="Calibri" w:hAnsi="Book Antiqua" w:cs="Times New Roman"/>
          <w:sz w:val="24"/>
          <w:szCs w:val="24"/>
          <w:lang w:val="en-US"/>
        </w:rPr>
        <w:t xml:space="preserve">MOI </w:t>
      </w:r>
      <w:r w:rsidR="00AE4BC2" w:rsidRPr="000A6219">
        <w:rPr>
          <w:rFonts w:ascii="Book Antiqua" w:eastAsia="Calibri" w:hAnsi="Book Antiqua" w:cs="Times New Roman"/>
          <w:sz w:val="24"/>
          <w:szCs w:val="24"/>
          <w:lang w:val="en-US"/>
        </w:rPr>
        <w:t xml:space="preserve">of </w:t>
      </w:r>
      <w:r w:rsidR="00721A65" w:rsidRPr="000A6219">
        <w:rPr>
          <w:rFonts w:ascii="Book Antiqua" w:eastAsia="Calibri" w:hAnsi="Book Antiqua" w:cs="Times New Roman"/>
          <w:sz w:val="24"/>
          <w:szCs w:val="24"/>
          <w:lang w:val="en-US"/>
        </w:rPr>
        <w:t>10 w</w:t>
      </w:r>
      <w:r w:rsidR="00C15F0F" w:rsidRPr="000A6219">
        <w:rPr>
          <w:rFonts w:ascii="Book Antiqua" w:eastAsia="Calibri" w:hAnsi="Book Antiqua" w:cs="Times New Roman"/>
          <w:sz w:val="24"/>
          <w:szCs w:val="24"/>
          <w:lang w:val="en-US"/>
        </w:rPr>
        <w:t>ith an infection time of 3 h and subsequent 1-h</w:t>
      </w:r>
      <w:r w:rsidR="00721A65" w:rsidRPr="000A6219">
        <w:rPr>
          <w:rFonts w:ascii="Book Antiqua" w:eastAsia="Calibri" w:hAnsi="Book Antiqua" w:cs="Times New Roman"/>
          <w:sz w:val="24"/>
          <w:szCs w:val="24"/>
          <w:lang w:val="en-US"/>
        </w:rPr>
        <w:t xml:space="preserve"> incubation with gentamicin (100 µg/mL), others assessed the invasive capacity with a higher MOI (20 or 100), less</w:t>
      </w:r>
      <w:r w:rsidR="00AE4BC2" w:rsidRPr="000A6219">
        <w:rPr>
          <w:rFonts w:ascii="Book Antiqua" w:eastAsia="Calibri" w:hAnsi="Book Antiqua" w:cs="Times New Roman"/>
          <w:sz w:val="24"/>
          <w:szCs w:val="24"/>
          <w:lang w:val="en-US"/>
        </w:rPr>
        <w:t xml:space="preserve"> time of infection (30 min or, 1 </w:t>
      </w:r>
      <w:r w:rsidR="00721A65" w:rsidRPr="000A6219">
        <w:rPr>
          <w:rFonts w:ascii="Book Antiqua" w:eastAsia="Calibri" w:hAnsi="Book Antiqua" w:cs="Times New Roman"/>
          <w:sz w:val="24"/>
          <w:szCs w:val="24"/>
          <w:lang w:val="en-US"/>
        </w:rPr>
        <w:t>or 2 h) and different antibiotic concentration</w:t>
      </w:r>
      <w:r w:rsidR="00AE4BC2" w:rsidRPr="000A6219">
        <w:rPr>
          <w:rFonts w:ascii="Book Antiqua" w:eastAsia="Calibri" w:hAnsi="Book Antiqua" w:cs="Times New Roman"/>
          <w:sz w:val="24"/>
          <w:szCs w:val="24"/>
          <w:lang w:val="en-US"/>
        </w:rPr>
        <w:t>s</w:t>
      </w:r>
      <w:r w:rsidR="00721A65" w:rsidRPr="000A6219">
        <w:rPr>
          <w:rFonts w:ascii="Book Antiqua" w:eastAsia="Calibri" w:hAnsi="Book Antiqua" w:cs="Times New Roman"/>
          <w:sz w:val="24"/>
          <w:szCs w:val="24"/>
          <w:lang w:val="en-US"/>
        </w:rPr>
        <w:t xml:space="preserve"> (50 µg/mL or 3 mg/mL). Additionally, there is even more variability with the protocols used to determine the capacity of the strains to survive and replicate inside macrophages. In th</w:t>
      </w:r>
      <w:r w:rsidR="00AE4BC2" w:rsidRPr="000A6219">
        <w:rPr>
          <w:rFonts w:ascii="Book Antiqua" w:eastAsia="Calibri" w:hAnsi="Book Antiqua" w:cs="Times New Roman"/>
          <w:sz w:val="24"/>
          <w:szCs w:val="24"/>
          <w:lang w:val="en-US"/>
        </w:rPr>
        <w:t>ese</w:t>
      </w:r>
      <w:r w:rsidR="00721A65" w:rsidRPr="000A6219">
        <w:rPr>
          <w:rFonts w:ascii="Book Antiqua" w:eastAsia="Calibri" w:hAnsi="Book Antiqua" w:cs="Times New Roman"/>
          <w:sz w:val="24"/>
          <w:szCs w:val="24"/>
          <w:lang w:val="en-US"/>
        </w:rPr>
        <w:t xml:space="preserve"> case</w:t>
      </w:r>
      <w:r w:rsidR="00AE4BC2" w:rsidRPr="000A6219">
        <w:rPr>
          <w:rFonts w:ascii="Book Antiqua" w:eastAsia="Calibri" w:hAnsi="Book Antiqua" w:cs="Times New Roman"/>
          <w:sz w:val="24"/>
          <w:szCs w:val="24"/>
          <w:lang w:val="en-US"/>
        </w:rPr>
        <w:t>s</w:t>
      </w:r>
      <w:r w:rsidR="00721A65" w:rsidRPr="000A6219">
        <w:rPr>
          <w:rFonts w:ascii="Book Antiqua" w:eastAsia="Calibri" w:hAnsi="Book Antiqua" w:cs="Times New Roman"/>
          <w:sz w:val="24"/>
          <w:szCs w:val="24"/>
          <w:lang w:val="en-US"/>
        </w:rPr>
        <w:t xml:space="preserve">, the highest discrepancy </w:t>
      </w:r>
      <w:r w:rsidR="00AE4BC2" w:rsidRPr="000A6219">
        <w:rPr>
          <w:rFonts w:ascii="Book Antiqua" w:eastAsia="Calibri" w:hAnsi="Book Antiqua" w:cs="Times New Roman"/>
          <w:sz w:val="24"/>
          <w:szCs w:val="24"/>
          <w:lang w:val="en-US"/>
        </w:rPr>
        <w:t>occurred with respect to the infection conditions</w:t>
      </w:r>
      <w:r w:rsidR="00721A65" w:rsidRPr="000A6219">
        <w:rPr>
          <w:rFonts w:ascii="Book Antiqua" w:eastAsia="Calibri" w:hAnsi="Book Antiqua" w:cs="Times New Roman"/>
          <w:sz w:val="24"/>
          <w:szCs w:val="24"/>
          <w:lang w:val="en-US"/>
        </w:rPr>
        <w:t xml:space="preserve"> since some perform</w:t>
      </w:r>
      <w:r w:rsidR="00AE4BC2" w:rsidRPr="000A6219">
        <w:rPr>
          <w:rFonts w:ascii="Book Antiqua" w:eastAsia="Calibri" w:hAnsi="Book Antiqua" w:cs="Times New Roman"/>
          <w:sz w:val="24"/>
          <w:szCs w:val="24"/>
          <w:lang w:val="en-US"/>
        </w:rPr>
        <w:t>ed</w:t>
      </w:r>
      <w:r w:rsidR="00721A65" w:rsidRPr="000A6219">
        <w:rPr>
          <w:rFonts w:ascii="Book Antiqua" w:eastAsia="Calibri" w:hAnsi="Book Antiqua" w:cs="Times New Roman"/>
          <w:sz w:val="24"/>
          <w:szCs w:val="24"/>
          <w:lang w:val="en-US"/>
        </w:rPr>
        <w:t xml:space="preserve"> a centrifugation step to facilitate bacterial intramacrophage uptake, whereas others </w:t>
      </w:r>
      <w:r w:rsidR="00AE4BC2" w:rsidRPr="000A6219">
        <w:rPr>
          <w:rFonts w:ascii="Book Antiqua" w:eastAsia="Calibri" w:hAnsi="Book Antiqua" w:cs="Times New Roman"/>
          <w:sz w:val="24"/>
          <w:szCs w:val="24"/>
          <w:lang w:val="en-US"/>
        </w:rPr>
        <w:t xml:space="preserve">did </w:t>
      </w:r>
      <w:r w:rsidR="00721A65" w:rsidRPr="000A6219">
        <w:rPr>
          <w:rFonts w:ascii="Book Antiqua" w:eastAsia="Calibri" w:hAnsi="Book Antiqua" w:cs="Times New Roman"/>
          <w:sz w:val="24"/>
          <w:szCs w:val="24"/>
          <w:lang w:val="en-US"/>
        </w:rPr>
        <w:t>not. After this time of infection, non-phagocyt</w:t>
      </w:r>
      <w:r w:rsidR="00AE4BC2" w:rsidRPr="000A6219">
        <w:rPr>
          <w:rFonts w:ascii="Book Antiqua" w:eastAsia="Calibri" w:hAnsi="Book Antiqua" w:cs="Times New Roman"/>
          <w:sz w:val="24"/>
          <w:szCs w:val="24"/>
          <w:lang w:val="en-US"/>
        </w:rPr>
        <w:t>osed bacteria</w:t>
      </w:r>
      <w:r w:rsidR="00721A65" w:rsidRPr="000A6219">
        <w:rPr>
          <w:rFonts w:ascii="Book Antiqua" w:eastAsia="Calibri" w:hAnsi="Book Antiqua" w:cs="Times New Roman"/>
          <w:sz w:val="24"/>
          <w:szCs w:val="24"/>
          <w:lang w:val="en-US"/>
        </w:rPr>
        <w:t xml:space="preserve"> </w:t>
      </w:r>
      <w:r w:rsidR="00AE4BC2" w:rsidRPr="000A6219">
        <w:rPr>
          <w:rFonts w:ascii="Book Antiqua" w:eastAsia="Calibri" w:hAnsi="Book Antiqua" w:cs="Times New Roman"/>
          <w:sz w:val="24"/>
          <w:szCs w:val="24"/>
          <w:lang w:val="en-US"/>
        </w:rPr>
        <w:t xml:space="preserve">were </w:t>
      </w:r>
      <w:r w:rsidR="00721A65" w:rsidRPr="000A6219">
        <w:rPr>
          <w:rFonts w:ascii="Book Antiqua" w:eastAsia="Calibri" w:hAnsi="Book Antiqua" w:cs="Times New Roman"/>
          <w:sz w:val="24"/>
          <w:szCs w:val="24"/>
          <w:lang w:val="en-US"/>
        </w:rPr>
        <w:t>treated with antibiotic</w:t>
      </w:r>
      <w:r w:rsidR="00AE4BC2" w:rsidRPr="000A6219">
        <w:rPr>
          <w:rFonts w:ascii="Book Antiqua" w:eastAsia="Calibri" w:hAnsi="Book Antiqua" w:cs="Times New Roman"/>
          <w:sz w:val="24"/>
          <w:szCs w:val="24"/>
          <w:lang w:val="en-US"/>
        </w:rPr>
        <w:t>s</w:t>
      </w:r>
      <w:r w:rsidR="00721A65" w:rsidRPr="000A6219">
        <w:rPr>
          <w:rFonts w:ascii="Book Antiqua" w:eastAsia="Calibri" w:hAnsi="Book Antiqua" w:cs="Times New Roman"/>
          <w:sz w:val="24"/>
          <w:szCs w:val="24"/>
          <w:lang w:val="en-US"/>
        </w:rPr>
        <w:t xml:space="preserve"> at different concentrations and different incubation times. The most common procedure </w:t>
      </w:r>
      <w:r w:rsidR="00AE4BC2" w:rsidRPr="000A6219">
        <w:rPr>
          <w:rFonts w:ascii="Book Antiqua" w:eastAsia="Calibri" w:hAnsi="Book Antiqua" w:cs="Times New Roman"/>
          <w:sz w:val="24"/>
          <w:szCs w:val="24"/>
          <w:lang w:val="en-US"/>
        </w:rPr>
        <w:t xml:space="preserve">included </w:t>
      </w:r>
      <w:r w:rsidR="00C15F0F" w:rsidRPr="000A6219">
        <w:rPr>
          <w:rFonts w:ascii="Book Antiqua" w:eastAsia="Calibri" w:hAnsi="Book Antiqua" w:cs="Times New Roman"/>
          <w:sz w:val="24"/>
          <w:szCs w:val="24"/>
          <w:lang w:val="en-US"/>
        </w:rPr>
        <w:t>a first step of 1 h</w:t>
      </w:r>
      <w:r w:rsidR="00721A65" w:rsidRPr="000A6219">
        <w:rPr>
          <w:rFonts w:ascii="Book Antiqua" w:eastAsia="Calibri" w:hAnsi="Book Antiqua" w:cs="Times New Roman"/>
          <w:sz w:val="24"/>
          <w:szCs w:val="24"/>
          <w:lang w:val="en-US"/>
        </w:rPr>
        <w:t xml:space="preserve"> with higher antibiotic concentration (100 µg/mL) followed by a second step of 24</w:t>
      </w:r>
      <w:r w:rsidR="00AE4BC2"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t xml:space="preserve">h incubation with </w:t>
      </w:r>
      <w:r w:rsidR="00AE4BC2" w:rsidRPr="000A6219">
        <w:rPr>
          <w:rFonts w:ascii="Book Antiqua" w:eastAsia="Calibri" w:hAnsi="Book Antiqua" w:cs="Times New Roman"/>
          <w:sz w:val="24"/>
          <w:szCs w:val="24"/>
          <w:lang w:val="en-US"/>
        </w:rPr>
        <w:t>reduction in</w:t>
      </w:r>
      <w:r w:rsidR="00721A65" w:rsidRPr="000A6219">
        <w:rPr>
          <w:rFonts w:ascii="Book Antiqua" w:eastAsia="Calibri" w:hAnsi="Book Antiqua" w:cs="Times New Roman"/>
          <w:sz w:val="24"/>
          <w:szCs w:val="24"/>
          <w:lang w:val="en-US"/>
        </w:rPr>
        <w:t xml:space="preserve"> antibiotic concentration (15, 20</w:t>
      </w:r>
      <w:r w:rsidR="00AE4BC2" w:rsidRPr="000A6219">
        <w:rPr>
          <w:rFonts w:ascii="Book Antiqua" w:eastAsia="Calibri" w:hAnsi="Book Antiqua" w:cs="Times New Roman"/>
          <w:sz w:val="24"/>
          <w:szCs w:val="24"/>
          <w:lang w:val="en-US"/>
        </w:rPr>
        <w:t>, or 50 µg/mL)</w:t>
      </w:r>
      <w:r w:rsidR="00721A65" w:rsidRPr="000A6219">
        <w:rPr>
          <w:rFonts w:ascii="Book Antiqua" w:eastAsia="Calibri" w:hAnsi="Book Antiqua" w:cs="Times New Roman"/>
          <w:sz w:val="24"/>
          <w:szCs w:val="24"/>
          <w:lang w:val="en-US"/>
        </w:rPr>
        <w:t xml:space="preserve"> </w:t>
      </w:r>
      <w:r w:rsidR="00AE4BC2" w:rsidRPr="000A6219">
        <w:rPr>
          <w:rFonts w:ascii="Book Antiqua" w:eastAsia="Calibri" w:hAnsi="Book Antiqua" w:cs="Times New Roman"/>
          <w:sz w:val="24"/>
          <w:szCs w:val="24"/>
          <w:lang w:val="en-US"/>
        </w:rPr>
        <w:t>even though</w:t>
      </w:r>
      <w:r w:rsidR="00721A65" w:rsidRPr="000A6219">
        <w:rPr>
          <w:rFonts w:ascii="Book Antiqua" w:eastAsia="Calibri" w:hAnsi="Book Antiqua" w:cs="Times New Roman"/>
          <w:sz w:val="24"/>
          <w:szCs w:val="24"/>
          <w:lang w:val="en-US"/>
        </w:rPr>
        <w:t xml:space="preserve"> other studies perform</w:t>
      </w:r>
      <w:r w:rsidR="00AE4BC2" w:rsidRPr="000A6219">
        <w:rPr>
          <w:rFonts w:ascii="Book Antiqua" w:eastAsia="Calibri" w:hAnsi="Book Antiqua" w:cs="Times New Roman"/>
          <w:sz w:val="24"/>
          <w:szCs w:val="24"/>
          <w:lang w:val="en-US"/>
        </w:rPr>
        <w:t>ed</w:t>
      </w:r>
      <w:r w:rsidR="00721A65" w:rsidRPr="000A6219">
        <w:rPr>
          <w:rFonts w:ascii="Book Antiqua" w:eastAsia="Calibri" w:hAnsi="Book Antiqua" w:cs="Times New Roman"/>
          <w:sz w:val="24"/>
          <w:szCs w:val="24"/>
          <w:lang w:val="en-US"/>
        </w:rPr>
        <w:t xml:space="preserve"> only one incubation step </w:t>
      </w:r>
      <w:r w:rsidR="00AE4BC2" w:rsidRPr="000A6219">
        <w:rPr>
          <w:rFonts w:ascii="Book Antiqua" w:eastAsia="Calibri" w:hAnsi="Book Antiqua" w:cs="Times New Roman"/>
          <w:sz w:val="24"/>
          <w:szCs w:val="24"/>
          <w:lang w:val="en-US"/>
        </w:rPr>
        <w:t>that</w:t>
      </w:r>
      <w:r w:rsidR="00721A65" w:rsidRPr="000A6219">
        <w:rPr>
          <w:rFonts w:ascii="Book Antiqua" w:eastAsia="Calibri" w:hAnsi="Book Antiqua" w:cs="Times New Roman"/>
          <w:sz w:val="24"/>
          <w:szCs w:val="24"/>
          <w:lang w:val="en-US"/>
        </w:rPr>
        <w:t xml:space="preserve"> </w:t>
      </w:r>
      <w:r w:rsidR="00AE4BC2" w:rsidRPr="000A6219">
        <w:rPr>
          <w:rFonts w:ascii="Book Antiqua" w:eastAsia="Calibri" w:hAnsi="Book Antiqua" w:cs="Times New Roman"/>
          <w:sz w:val="24"/>
          <w:szCs w:val="24"/>
          <w:lang w:val="en-US"/>
        </w:rPr>
        <w:t xml:space="preserve">consisted </w:t>
      </w:r>
      <w:r w:rsidR="00C15F0F" w:rsidRPr="000A6219">
        <w:rPr>
          <w:rFonts w:ascii="Book Antiqua" w:eastAsia="Calibri" w:hAnsi="Book Antiqua" w:cs="Times New Roman"/>
          <w:sz w:val="24"/>
          <w:szCs w:val="24"/>
          <w:lang w:val="en-US"/>
        </w:rPr>
        <w:t>of 1 or 24 h</w:t>
      </w:r>
      <w:r w:rsidR="00721A65" w:rsidRPr="000A6219">
        <w:rPr>
          <w:rFonts w:ascii="Book Antiqua" w:eastAsia="Calibri" w:hAnsi="Book Antiqua" w:cs="Times New Roman"/>
          <w:sz w:val="24"/>
          <w:szCs w:val="24"/>
          <w:lang w:val="en-US"/>
        </w:rPr>
        <w:t xml:space="preserve"> step</w:t>
      </w:r>
      <w:r w:rsidR="00AE4BC2" w:rsidRPr="000A6219">
        <w:rPr>
          <w:rFonts w:ascii="Book Antiqua" w:eastAsia="Calibri" w:hAnsi="Book Antiqua" w:cs="Times New Roman"/>
          <w:sz w:val="24"/>
          <w:szCs w:val="24"/>
          <w:lang w:val="en-US"/>
        </w:rPr>
        <w:t>s</w:t>
      </w:r>
      <w:r w:rsidR="00721A65" w:rsidRPr="000A6219">
        <w:rPr>
          <w:rFonts w:ascii="Book Antiqua" w:eastAsia="Calibri" w:hAnsi="Book Antiqua" w:cs="Times New Roman"/>
          <w:sz w:val="24"/>
          <w:szCs w:val="24"/>
          <w:lang w:val="en-US"/>
        </w:rPr>
        <w:t xml:space="preserve"> with the same concentration of antibiotic (20, 50,</w:t>
      </w:r>
      <w:r w:rsidR="00AE4BC2" w:rsidRPr="000A6219">
        <w:rPr>
          <w:rFonts w:ascii="Book Antiqua" w:eastAsia="Calibri" w:hAnsi="Book Antiqua" w:cs="Times New Roman"/>
          <w:sz w:val="24"/>
          <w:szCs w:val="24"/>
          <w:lang w:val="en-US"/>
        </w:rPr>
        <w:t xml:space="preserve"> or</w:t>
      </w:r>
      <w:r w:rsidR="00721A65" w:rsidRPr="000A6219">
        <w:rPr>
          <w:rFonts w:ascii="Book Antiqua" w:eastAsia="Calibri" w:hAnsi="Book Antiqua" w:cs="Times New Roman"/>
          <w:sz w:val="24"/>
          <w:szCs w:val="24"/>
          <w:lang w:val="en-US"/>
        </w:rPr>
        <w:t xml:space="preserve"> 100 µg/mL or 3 mg/mL). </w:t>
      </w:r>
    </w:p>
    <w:p w14:paraId="7AA7859C" w14:textId="37A74301" w:rsidR="00570361" w:rsidRPr="000A6219" w:rsidRDefault="00721A65"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Moreover, the cell lines used to date (Figure </w:t>
      </w:r>
      <w:r w:rsidR="00DC0C01" w:rsidRPr="000A6219">
        <w:rPr>
          <w:rFonts w:ascii="Book Antiqua" w:eastAsia="Calibri" w:hAnsi="Book Antiqua" w:cs="Times New Roman"/>
          <w:sz w:val="24"/>
          <w:szCs w:val="24"/>
          <w:lang w:val="en-US"/>
        </w:rPr>
        <w:t>1</w:t>
      </w:r>
      <w:r w:rsidRPr="000A6219">
        <w:rPr>
          <w:rFonts w:ascii="Book Antiqua" w:eastAsia="Calibri" w:hAnsi="Book Antiqua" w:cs="Times New Roman"/>
          <w:sz w:val="24"/>
          <w:szCs w:val="24"/>
          <w:lang w:val="en-US"/>
        </w:rPr>
        <w:t>) might not be the mo</w:t>
      </w:r>
      <w:r w:rsidR="00AE4BC2" w:rsidRPr="000A6219">
        <w:rPr>
          <w:rFonts w:ascii="Book Antiqua" w:eastAsia="Calibri" w:hAnsi="Book Antiqua" w:cs="Times New Roman"/>
          <w:sz w:val="24"/>
          <w:szCs w:val="24"/>
          <w:lang w:val="en-US"/>
        </w:rPr>
        <w:t>st appropriate considering that</w:t>
      </w:r>
      <w:r w:rsidRPr="000A6219">
        <w:rPr>
          <w:rFonts w:ascii="Book Antiqua" w:eastAsia="Calibri" w:hAnsi="Book Antiqua" w:cs="Times New Roman"/>
          <w:sz w:val="24"/>
          <w:szCs w:val="24"/>
          <w:lang w:val="en-US"/>
        </w:rPr>
        <w:t xml:space="preserve"> for instance, I-407 and Hep-2 </w:t>
      </w:r>
      <w:r w:rsidR="00AE4BC2" w:rsidRPr="000A6219">
        <w:rPr>
          <w:rFonts w:ascii="Book Antiqua" w:eastAsia="Calibri" w:hAnsi="Book Antiqua" w:cs="Times New Roman"/>
          <w:sz w:val="24"/>
          <w:szCs w:val="24"/>
          <w:lang w:val="en-US"/>
        </w:rPr>
        <w:t>originate</w:t>
      </w:r>
      <w:r w:rsidRPr="000A6219">
        <w:rPr>
          <w:rFonts w:ascii="Book Antiqua" w:eastAsia="Calibri" w:hAnsi="Book Antiqua" w:cs="Times New Roman"/>
          <w:sz w:val="24"/>
          <w:szCs w:val="24"/>
          <w:lang w:val="en-US"/>
        </w:rPr>
        <w:t xml:space="preserve"> from cervical and epithelial carcinoma</w:t>
      </w:r>
      <w:r w:rsidR="00AE4BC2" w:rsidRPr="000A6219">
        <w:rPr>
          <w:rFonts w:ascii="Book Antiqua" w:eastAsia="Calibri" w:hAnsi="Book Antiqua" w:cs="Times New Roman"/>
          <w:sz w:val="24"/>
          <w:szCs w:val="24"/>
          <w:lang w:val="en-US"/>
        </w:rPr>
        <w:t>s</w:t>
      </w:r>
      <w:r w:rsidRPr="000A6219">
        <w:rPr>
          <w:rFonts w:ascii="Book Antiqua" w:eastAsia="Calibri" w:hAnsi="Book Antiqua" w:cs="Times New Roman"/>
          <w:sz w:val="24"/>
          <w:szCs w:val="24"/>
          <w:lang w:val="en-US"/>
        </w:rPr>
        <w:t xml:space="preserve"> of unknown origin</w:t>
      </w:r>
      <w:r w:rsidR="00AE4BC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respectively</w:t>
      </w:r>
      <w:r w:rsidR="00AE4BC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and both result from HeLa contamination. </w:t>
      </w:r>
      <w:r w:rsidR="00AE4BC2" w:rsidRPr="000A6219">
        <w:rPr>
          <w:rFonts w:ascii="Book Antiqua" w:eastAsia="Calibri" w:hAnsi="Book Antiqua" w:cs="Times New Roman"/>
          <w:sz w:val="24"/>
          <w:szCs w:val="24"/>
          <w:lang w:val="en-US"/>
        </w:rPr>
        <w:t>As an</w:t>
      </w:r>
      <w:r w:rsidRPr="000A6219">
        <w:rPr>
          <w:rFonts w:ascii="Book Antiqua" w:eastAsia="Calibri" w:hAnsi="Book Antiqua" w:cs="Times New Roman"/>
          <w:sz w:val="24"/>
          <w:szCs w:val="24"/>
          <w:lang w:val="en-US"/>
        </w:rPr>
        <w:t xml:space="preserve"> exception, Caco-2 and T84 are derived from colorectal carcinomas</w:t>
      </w:r>
      <w:r w:rsidR="00AE4BC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but it is poorly defined how applicable </w:t>
      </w:r>
      <w:r w:rsidR="00AE4BC2" w:rsidRPr="000A6219">
        <w:rPr>
          <w:rFonts w:ascii="Book Antiqua" w:eastAsia="Calibri" w:hAnsi="Book Antiqua" w:cs="Times New Roman"/>
          <w:sz w:val="24"/>
          <w:szCs w:val="24"/>
          <w:lang w:val="en-US"/>
        </w:rPr>
        <w:t>they are</w:t>
      </w:r>
      <w:r w:rsidRPr="000A6219">
        <w:rPr>
          <w:rFonts w:ascii="Book Antiqua" w:eastAsia="Calibri" w:hAnsi="Book Antiqua" w:cs="Times New Roman"/>
          <w:sz w:val="24"/>
          <w:szCs w:val="24"/>
          <w:lang w:val="en-US"/>
        </w:rPr>
        <w:t xml:space="preserve"> for AIEC identification based on CD pathogenesis. Similarly</w:t>
      </w:r>
      <w:r w:rsidR="00AE4BC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for intramacrophage survival, the cell lines mostly used are J774 which is derived from murine origin</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Frédéric","non-dropping-particle":"","parse-names":false,"suffix":""}],"container-title":"Gastroenterology","id":"ITEM-1","issue":"2","issued":{"date-parts":[["2004"]]},"page":"412-421","title":"High prevalence of adherent-invasive Escherichia coli associated with ileal mucosa in Crohn's disease","type":"article-journal","volume":"127"},"uris":["http://www.mendeley.com/documents/?uuid=c37eb702-0cb7-4694-ad28-7a4aed1f66ff"]},{"id":"ITEM-2","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Journal","id":"ITEM-2","issue":"5","issued":{"date-parts":[["2007","9","12"]]},"note":"Ref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-3","itemData":{"DOI":"10.1038/labinvest.3700661","ISSN":"0023-6837","author":[{"dropping-particle":"","family":"Sasaki","given":"Maiko","non-dropping-particle":"","parse-names":false,"suffix":""},{"dropping-particle":"V","family":"Sitaraman","given":"Shanti","non-dropping-particle":"","parse-names":false,"suffix":""},{"dropping-particle":"","family":"Babbin","given":"Brian A","non-dropping-particle":"","parse-names":false,"suffix":""},{"dropping-particle":"","family":"Gerner-Smidt","given":"Peter","non-dropping-particle":"","parse-names":false,"suffix":""},{"dropping-particle":"","family":"Ribot","given":"Efrain M","non-dropping-particle":"","parse-names":false,"suffix":""},{"dropping-particle":"","family":"Garrett","given":"Nancy","non-dropping-particle":"","parse-names":false,"suffix":""},{"dropping-particle":"","family":"Alpern","given":"Joel A","non-dropping-particle":"","parse-names":false,"suffix":""},{"dropping-particle":"","family":"Akyildiz","given":"Adil","non-dropping-particle":"","parse-names":false,"suffix":""},{"dropping-particle":"","family":"Theiss","given":"Arianne L","non-dropping-particle":"","parse-names":false,"suffix":""},{"dropping-particle":"","family":"Nusrat","given":"Asma","non-dropping-particle":"","parse-names":false,"suffix":""},{"dropping-particle":"","family":"Klapproth","given":"Jan-Michael A","non-dropping-particle":"","parse-names":false,"suffix":""}],"container-title":"Laboratory Investigation","id":"ITEM-3","issue":"10","issued":{"date-parts":[["2007","10","30"]]},"page":"1042-1054","publisher":"Nature Publishing Group","title":"Invasive Escherichia coli are a feature of Crohn's disease","type":"article-journal","volume":"87"},"uris":["http://www.mendeley.com/documents/?uuid=c4d0689f-f757-308f-9fa1-05a5a032e7aa"]},{"id":"ITEM-4","itemData":{"DOI":"10.1002/ibd.20860","ISBN":"1536-4844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Diseases","id":"ITEM-4","issue":"6","issued":{"date-parts":[["2009"]]},"page":"872-882","title":"Molecular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disease","type":"article-journal","volume":"15"},"uris":["http://www.mendeley.com/documents/?uuid=8ec3da2d-ecbe-4f70-992f-5ef4b3d86aba"]},{"id":"ITEM-5","itemData":{"DOI":"10.1002/ibd.22971","ISSN":"1078-0998","PMID":"22508665","abstract":"BACKGROUND Escherichia coli is increasingly implicated in the pathogenesis of ileal Crohn's disease (ICD), offering a potential therapeutic target for disease management. Empirical antimicrobial targeting of ileal E. coli has advantages of economy and speed of implementation, but relies on uniform susceptibility of E. coli to routinely selected antimicrobials to avoid apparent treatment failure. Therefore, we examined the susceptibility of ileal E. coli to such antimicrobials. METHODS E. coli from 32 patients with ICD and 28 with normal ileum (NI) were characterized by phylogroup, pathotype, antimicrobial susceptibility, and presence of antimicrobial resistance genes. RESULTS In all, 17/32 ICD and 12/28 NI patients harbored ≥ 1 E. coli strain; 10/24 E. coli strains from ICD and 2/14 from NI were nonsuscepti-ble to ≥ 1 antimicrobial in ≥ 3 categories (multidrug-resistant). Resistance to amoxicillin/clavulanic-acid, cefoxitin, chloramphenicol, ciprofloxa-cin, gentamicin, and rifaximin was restricted to ICD, with 10/24 strains from 8/17 patients resistant to ciprofloxacin or rifaximin (P &lt; 0.01). Adherent-invasive E. coli (AIEC) were isolated from 8/32 ICD and 5/28 NI, and accounted for 54% and 43% of E. coli strains in these groups. In all, 8/13 AIEC strains from ICD (6/8 patients) versus 2/6 NI (2/5 patients) showed resistance to the macrophage-penetrating antimicrobials ciprofloxacin, clarithromycin, rifampicin, tetracycline, and trimethoprim/sulfamethoxazole. Resistance was associated with tetA, tetB, tetC, bla-(TEM), bla(oxa)-1, sulI, sulII, dhfrI, dhfrVII, ant(3″)-Ia, and catI genes and prior use of rifaximin (P &lt; 0.01). CONCLUSIONS ICD-associated E. coli frequently manifest resistance to commonly used antimicrobials. Clinical trials of antimicrobials against E. coli in ICD that are informed by susceptibility testing, rather than empirical selection, are more likely to demonstrate valid outcomes of such therapy.","author":[{"dropping-particle":"","family":"Dogan","given":"Belgin","non-dropping-particle":"","parse-names":false,"suffix":""},{"dropping-particle":"","family":"Scherl","given":"Ellen","non-dropping-particle":"","parse-names":false,"suffix":""},{"dropping-particle":"","family":"Bosworth","given":"Brian","non-dropping-particle":"","parse-names":false,"suffix":""},{"dropping-particle":"","family":"Yantiss","given":"Rhonda","non-dropping-particle":"","parse-names":false,"suffix":""},{"dropping-particle":"","family":"Altier","given":"Craig","non-dropping-particle":"","parse-names":false,"suffix":""},{"dropping-particle":"","family":"McDonough","given":"Patrick L.","non-dropping-particle":"","parse-names":false,"suffix":""},{"dropping-particle":"","family":"Jiang","given":"Zhi-Dong","non-dropping-particle":"","parse-names":false,"suffix":""},{"dropping-particle":"","family":"DuPont","given":"Herbert L.","non-dropping-particle":"","parse-names":false,"suffix":""},{"dropping-particle":"","family":"Garneau","given":"Philippe","non-dropping-particle":"","parse-names":false,"suffix":""},{"dropping-particle":"","family":"Harel","given":"Josee","non-dropping-particle":"","parse-names":false,"suffix":""},{"dropping-particle":"","family":"Rishniw","given":"Mark","non-dropping-particle":"","parse-names":false,"suffix":""},{"dropping-particle":"","family":"Simpson","given":"Kenneth W.","non-dropping-particle":"","parse-names":false,"suffix":""}],"container-title":"Inflammatory Bowel Diseases","id":"ITEM-5","issue":"1","issued":{"date-parts":[["2013","1"]]},"note":"Table 2: indicates that more AIEC were found of E.coli strains isolated from Ileal-CD than Normal Ileum.","page":"141-150","title":"Multidrug resistance is common in Escherichia coli associated with ileal Crohn</w:instrText>
      </w:r>
      <w:r w:rsidR="00E04FBE" w:rsidRPr="000A6219">
        <w:rPr>
          <w:rFonts w:ascii="Times New Roman" w:eastAsia="Calibri" w:hAnsi="Times New Roman" w:cs="Times New Roman"/>
          <w:sz w:val="24"/>
          <w:szCs w:val="24"/>
          <w:lang w:val="en-US"/>
        </w:rPr>
        <w:instrText>ʼ</w:instrText>
      </w:r>
      <w:r w:rsidR="00E04FBE" w:rsidRPr="000A6219">
        <w:rPr>
          <w:rFonts w:ascii="Book Antiqua" w:eastAsia="Calibri" w:hAnsi="Book Antiqua" w:cs="Times New Roman"/>
          <w:sz w:val="24"/>
          <w:szCs w:val="24"/>
          <w:lang w:val="en-US"/>
        </w:rPr>
        <w:instrText>s disease","type":"article-journal","volume":"19"},"uris":["http://www.mendeley.com/documents/?uuid=fd81c64a-3389-35ad-adcf-8a5398979fa6"]},{"id":"ITEM-6","itemData":{"DOI":"10.1186/1756-0500-7-748","ISSN":"1756-0500","PMID":"25338542","abstract":"BACKGROUND: Adherent-invasive Escherichia coli (AIEC) have been implicated in the ethiopathogenesis of Crohn's disease (CD). In this study, we analyzed a collection of intestinal mucosa-associated E. coli isolates, presenting AIEC phenotypes, isolated from biopsies of CD pediatric patients and non-inflammatory bowel diseases (IBD) controls, in order to investigate their genetic and phenotypic pathogenic features.\\n\\nRESULTS: A total of 616 E. coli isolates from biopsies of four pediatric CD patients and of four non-IBD controls were collected and individually analyzed. For AIEC identification, adherent isolates were assayed for invasiveness, and the capacity of the adhesive-invasive isolates to survive and replicate intracellularly was determined over macrophages J774. In this way we identified 36 AIEC-like isolates. Interestingly, their relative abundance was significantly higher in CD patients (10%; 31/308) than in non-IBD controls (1%; 5/308) (χ2 = 38.96 p &lt; 0.001). Furthermore pulsed field gel electrophoresis (PFGE) and randomly amplified polymorphic DNA (RAPD) techniques were applied to analyze the clonality of the 36 AIEC-like isolates. The results obtained allowed us to identify 27 distinct genotypes (22 from CD patients and 5 from non-IBD controls). As for the AIEC prototype strain LF82, all 27 AIEC genotypes presented an aggregative pattern of adherence (AA) that was inhibited by D-mannose, indicating that adhesiveness of AIEC is likely mediated by type 1 pili. PCR analisys was used to investigate presence of virulence genes. The results indicated that among the 27 AIEC isolates, the incidence of genes encoding virulence factors K1 (χ2 = 6.167 P = 0.013), kpsMT II (χ2 = 6.167 P = 0.013), fyuA (χ2 = 6.167 P = 0.013), and ibeA (χ2 = 8.867 P = 0.003) was significantly higher among AIEC strains isolated from CD patients than non-IBD controls.\\n\\nCONCLUSIONS: The identification of AIEC strains in both CD and non-IBD controls, confirmed the \"pathobiont\" nature of AIEC strains. The finding that AIEC-like isolates were more abundant in CD patients, indicates that a close association of these strains with CD may also exists in pediatric patients.","author":[{"dropping-particle":"","family":"Conte","given":"Maria Pia","non-dropping-particle":"","parse-names":false,"suffix":""},{"dropping-particle":"","family":"Longhi","given":"Catia","non-dropping-particle":"","parse-names":false,"suffix":""},{"dropping-particle":"","family":"Marazzato","given":"Massimiliano","non-dropping-particle":"","parse-names":false,"suffix":""},{"dropping-particle":"","family":"Conte","given":"Antonietta Lucia","non-dropping-particle":"","parse-names":false,"suffix":""},{"dropping-particle":"","family":"Aleandri","given":"Marta","non-dropping-particle":"","parse-names":false,"suffix":""},{"dropping-particle":"","family":"Lepanto","given":"Maria Stefania","non-dropping-particle":"","parse-names":false,"suffix":""},{"dropping-particle":"","family":"Zagaglia","given":"Carlo","non-dropping-particle":"","parse-names":false,"suffix":""},{"dropping-particle":"","family":"Nicoletti","given":"Mauro","non-dropping-particle":"","parse-names":false,"suffix":""},{"dropping-particle":"","family":"Aloi","given":"Marina","non-dropping-particle":"","parse-names":false,"suffix":""},{"dropping-particle":"","family":"Totino","given":"Valentina","non-dropping-particle":"","parse-names":false,"suffix":""},{"dropping-particle":"","family":"Palamara","given":"Anna Teresa","non-dropping-particle":"","parse-names":false,"suffix":""},{"dropping-particle":"","family":"Schippa","given":"Serena","non-dropping-particle":"","parse-names":false,"suffix":""}],"container-title":"BMC research notes","id":"ITEM-6","issue":"1","issued":{"date-parts":[["2014"]]},"page":"748","title":"Adherent-invasive Escherichia coli (AIEC) in pediatric Crohn's disease patients: phenotypic and genetic pathogenic features.","type":"article-journal","volume":"7"},"uris":["http://www.mendeley.com/documents/?uuid=7bbeb97f-85b8-4d75-8c59-8aaeab2c26f5"]},{"id":"ITEM-7","itemData":{"DOI":"10.1002/ibd.21899","ISSN":"1078-0998","author":[{"dropping-particle":"","family":"Negroni","given":"Anna","non-dropping-particle":"","parse-names":false,"suffix":""},{"dropping-particle":"","family":"Costanzo","given":"Manuela","non-dropping-particle":"","parse-names":false,"suffix":""},{"dropping-particle":"","family":"Vitali","given":"Roberta","non-dropping-particle":"","parse-names":false,"suffix":""},{"dropping-particle":"","family":"Superti","given":"Fabiana","non-dropping-particle":"","parse-names":false,"suffix":""},{"dropping-particle":"","family":"Bertuccini","given":"Lucia","non-dropping-particle":"","parse-names":false,"suffix":""},{"dropping-particle":"","family":"Tinari","given":"Antonella","non-dropping-particle":"","parse-names":false,"suffix":""},{"dropping-particle":"","family":"Minelli","given":"Fabio","non-dropping-particle":"","parse-names":false,"suffix":""},{"dropping-particle":"","family":"Nardo","given":"Giovanni","non-dropping-particle":"Di","parse-names":false,"suffix":""},{"dropping-particle":"","family":"Nuti","given":"Federica","non-dropping-particle":"","parse-names":false,"suffix":""},{"dropping-particle":"","family":"Pierdomenico","given":"Maria","non-dropping-particle":"","parse-names":false,"suffix":""},{"dropping-particle":"","family":"Cucchiara","given":"Salvatore","non-dropping-particle":"","parse-names":false,"suffix":""},{"dropping-particle":"","family":"Stronati","given":"Laura","non-dropping-particle":"","parse-names":false,"suffix":""}],"container-title":"Inflammatory Bowel Diseases","id":"ITEM-7","issue":"5","issued":{"date-parts":[["2012","5","1"]]},"page":"913-924","publisher":"Wiley Subscription Services, Inc., A Wiley Company","title":"Characterization of adherent-invasive Escherichia coli isolated from pediatric patients with inflammatory bowel disease","type":"article-journal","volume":"18"},"uris":["http://www.mendeley.com/documents/?uuid=8961aad3-0571-31d6-a92d-896969048fdd"]},{"id":"ITEM-8","itemData":{"DOI":"10.3389/fmicb.2017.00639","PMID":"28596755","abstract":"Adherent-invasive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microbiology","id":"ITEM-8","issued":{"date-parts":[["2017"]]},"page":"639","publisher":"Frontiers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mendeley":{"formattedCitation":"&lt;sup&gt;[1,9–13,15,16]&lt;/sup&gt;","plainTextFormattedCitation":"[1,9–13,15,16]","previouslyFormattedCitation":"&lt;sup&gt;[1,9–13,15,16]&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[1,9–13,15,16]</w:t>
      </w:r>
      <w:r w:rsidRPr="000A6219">
        <w:rPr>
          <w:rFonts w:ascii="Book Antiqua" w:eastAsia="Calibri" w:hAnsi="Book Antiqua" w:cs="Times New Roman"/>
          <w:sz w:val="24"/>
          <w:szCs w:val="24"/>
          <w:lang w:val="en-US"/>
        </w:rPr>
        <w:fldChar w:fldCharType="end"/>
      </w:r>
      <w:r w:rsidR="00306DE7" w:rsidRPr="000A6219">
        <w:rPr>
          <w:rFonts w:ascii="Book Antiqua" w:eastAsia="Calibri" w:hAnsi="Book Antiqua" w:cs="Times New Roman"/>
          <w:sz w:val="24"/>
          <w:szCs w:val="24"/>
          <w:lang w:val="en-US"/>
        </w:rPr>
        <w:t xml:space="preserve">. Some studies </w:t>
      </w:r>
      <w:r w:rsidRPr="000A6219">
        <w:rPr>
          <w:rFonts w:ascii="Book Antiqua" w:eastAsia="Calibri" w:hAnsi="Book Antiqua" w:cs="Times New Roman"/>
          <w:sz w:val="24"/>
          <w:szCs w:val="24"/>
          <w:lang w:val="en-US"/>
        </w:rPr>
        <w:t xml:space="preserve">have started to use </w:t>
      </w:r>
      <w:r w:rsidR="00AE4BC2" w:rsidRPr="000A6219">
        <w:rPr>
          <w:rFonts w:ascii="Book Antiqua" w:eastAsia="Calibri" w:hAnsi="Book Antiqua" w:cs="Times New Roman"/>
          <w:sz w:val="24"/>
          <w:szCs w:val="24"/>
          <w:lang w:val="en-US"/>
        </w:rPr>
        <w:t xml:space="preserve">human macrophage-derived monocytes, </w:t>
      </w:r>
      <w:r w:rsidRPr="000A6219">
        <w:rPr>
          <w:rFonts w:ascii="Book Antiqua" w:eastAsia="Calibri" w:hAnsi="Book Antiqua" w:cs="Times New Roman"/>
          <w:sz w:val="24"/>
          <w:szCs w:val="24"/>
          <w:lang w:val="en-US"/>
        </w:rPr>
        <w:t>THP-1</w:t>
      </w:r>
      <w:r w:rsidR="00AE4BC2" w:rsidRPr="000A6219">
        <w:rPr>
          <w:rFonts w:ascii="Book Antiqua" w:eastAsia="Calibri" w:hAnsi="Book Antiqua" w:cs="Times New Roman"/>
          <w:sz w:val="24"/>
          <w:szCs w:val="24"/>
          <w:lang w:val="en-US"/>
        </w:rPr>
        <w:t xml:space="preserve"> cells,</w:t>
      </w:r>
      <w:r w:rsidRPr="000A6219">
        <w:rPr>
          <w:rFonts w:ascii="Book Antiqua" w:eastAsia="Calibri" w:hAnsi="Book Antiqua" w:cs="Times New Roman"/>
          <w:sz w:val="24"/>
          <w:szCs w:val="24"/>
          <w:lang w:val="en-US"/>
        </w:rPr>
        <w:t xml:space="preserve"> but bacterial intramacrophage survival method</w:t>
      </w:r>
      <w:r w:rsidR="00AE4BC2" w:rsidRPr="000A6219">
        <w:rPr>
          <w:rFonts w:ascii="Book Antiqua" w:eastAsia="Calibri" w:hAnsi="Book Antiqua" w:cs="Times New Roman"/>
          <w:sz w:val="24"/>
          <w:szCs w:val="24"/>
          <w:lang w:val="en-US"/>
        </w:rPr>
        <w:t>s differ</w:t>
      </w:r>
      <w:r w:rsidRPr="000A6219">
        <w:rPr>
          <w:rFonts w:ascii="Book Antiqua" w:eastAsia="Calibri" w:hAnsi="Book Antiqua" w:cs="Times New Roman"/>
          <w:sz w:val="24"/>
          <w:szCs w:val="24"/>
          <w:lang w:val="en-US"/>
        </w:rPr>
        <w:t xml:space="preserve"> among them</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-1","issue":"8","issued":{"date-parts":[["2016"]]},"page":"1382-1389","title":"Comparative genomics of Crohn's disease-associated adherent-invasive Escherichia coli","type":"article-journal","volume":"66"},"uris":["http://www.mendeley.com/documents/?uuid=5433c40e-8818-41e5-9f75-43963d20c944"]},{"id":"ITEM-2","itemData":{"DOI":"10.3389/fmicb.2018.02559","ISSN":"1664-302X","PMID":"30425690","abstract":"Dysbiosis of the gut microbiome, including elevated abundance of putative leading bacterial triggers such as E. coli in inflammatory bowel disease (IBD) patients, is of great interest. To date, most E. coli studies in IBD patients are focused on clinical isolates, overlooking their relative abundances and turnover over time. Metagenomics-based studies, on the other hand, are less focused on strain-level investigations. Here, using recently developed bioinformatic tools, we analyzed the abundance and properties of specific E. coli strains in a Crohns disease (CD) patient longitudinally, while also considering the composition of the entire community over time. In this report, we conducted a pilot study on metagenomic-based, strain-level analysis of a time-series of E. coli strains in a left-sided CD patient, who exhibited sustained levels of E. coli greater than 100X healthy controls. We: (1) mapped out the composition of the gut microbiome over time, particularly the presence of E. coli strains, and found that the abundance and dominance of specific E. coli strains in the community varied over time; (2) performed strain-level de novo assemblies of seven dominant E. coli strains, and illustrated disparity between these strains in both phylogenetic origin and genomic content; (3) observed that strain ST1 (recovered during peak inflammation) is highly similar to known pathogenic AIEC strains NC101 and LF82 in both virulence factors and metabolic functions, while other strains (ST2-ST7) that were collected during more stable states displayed diverse characteristics; (4) isolated, sequenced, experimentally characterized ST1, and confirmed the accuracy of the de novo assembly; and (5) assessed growth capability of ST1 with a newly reconstructed genome-scale metabolic model of the strain, and showed its potential to use substrates found abundantly in the human gut to outcompete other microbes. In conclusion, inflammation status (assessed by the blood C-reactive protein and stool calprotectin) is likely correlated with the abundance of a subgroup of E. coli strains with specific traits. Therefore, strain-level time-series analysis of dominant E. coli strains in a CD patient is highly informative, and motivates a study of a larger cohort of IBD patients.","author":[{"dropping-particle":"","family":"Fang","given":"Xin","non-dropping-particle":"","parse-names":false,"suffix":""},{"dropping-particle":"","family":"Monk","given":"Jonathan M","non-dropping-particle":"","parse-names":false,"suffix":""},{"dropping-particle":"","family":"Nurk","given":"Sergey","non-dropping-particle":"","parse-names":false,"suffix":""},{"dropping-particle":"","family":"Akseshina","given":"Margarita","non-dropping-particle":"","parse-names":false,"suffix":""},{"dropping-particle":"","family":"Zhu","given":"Qiyun","non-dropping-particle":"","parse-names":false,"suffix":""},{"dropping-particle":"","family":"Gemmell","given":"Christopher","non-dropping-particle":"","parse-names":false,"suffix":""},{"dropping-particle":"","family":"Gianetto-Hill","given":"Connor","non-dropping-particle":"","parse-names":false,"suffix":""},{"dropping-particle":"","family":"Leung","given":"Nelly","non-dropping-particle":"","parse-names":false,"suffix":""},{"dropping-particle":"","family":"Szubin","given":"Richard","non-dropping-particle":"","parse-names":false,"suffix":""},{"dropping-particle":"","family":"Sanders","given":"Jon","non-dropping-particle":"","parse-names":false,"suffix":""},{"dropping-particle":"","family":"Beck","given":"Paul L","non-dropping-particle":"","parse-names":false,"suffix":""},{"dropping-particle":"","family":"Li","given":"Weizhong","non-dropping-particle":"","parse-names":false,"suffix":""},{"dropping-particle":"","family":"Sandborn","given":"William J","non-dropping-particle":"","parse-names":false,"suffix":""},{"dropping-particle":"","family":"Gray-Owen","given":"Scott D","non-dropping-particle":"","parse-names":false,"suffix":""},{"dropping-particle":"","family":"Knight","given":"Rob","non-dropping-particle":"","parse-names":false,"suffix":""},{"dropping-particle":"","family":"Allen-Vercoe","given":"Emma","non-dropping-particle":"","parse-names":false,"suffix":""},{"dropping-particle":"","family":"Palsson","given":"Bernhard O","non-dropping-particle":"","parse-names":false,"suffix":""},{"dropping-particle":"","family":"Smarr","given":"Larry","non-dropping-particle":"","parse-names":false,"suffix":""}],"container-title":"Frontiers in microbiology","id":"ITEM-2","issued":{"date-parts":[["2018"]]},"page":"2559","publisher":"Frontiers Media SA","title":"Metagenomics-based, strain-level analysis of Escherichia coli from a time-series of microbiome samples from a Crohn's disease patient.","type":"article-journal","volume":"9"},"uris":["http://www.mendeley.com/documents/?uuid=dbc65b36-27a3-3512-99c7-b009b97bd826"]},{"id":"ITEM-3","itemData":{"DOI":"10.1128/IAI.03003-14","ISSN":"1098-5522","PMID":"25712929","abstract":"Adherent-invasive Escherichia coli (AIEC) pathogroup isolates are a group of isolates from the intestinal mucosa of Crohn's disease patients that can invade intestinal epithelial cells (IECs) or macrophages and survive and/or replicate within. We have identified the ibeA gene in the genome of AIEC strain NRG857c and report the contribution of IbeA to the interaction of AIEC with IECs and macrophages and colonization of the mouse intestine. An ibeA deletion mutant strain (NRG857cΔibeA) was constructed, and the in vitro effect on AIEC adhesion and invasion of nonpolarized and polarized Caco-2 cells, the adhesion and transcytosis of M-like cells, the intracellular survival in THP-1 macrophages, and the contribution to intestinal colonization of the CD-1 murine model of infection were evaluated. A significant reduction in invasion was observed with the ibeA mutant in Caco-2 and M-like cells, whereas adhesion was not affected. Complementation of the mutant reestablished Caco-2 invasive phenotype to wild-type levels. Reduction in invasion did not significantly affect transcytosis through M-like cells at early time points. The absence of ibeA significantly affected AIEC intramacrophage survival up to 24 h postinfection. No significant changes associated with IbeA were found in AIEC colonization across the murine gastrointestinal tract, but a slight reduction of gamma interferon was observed in the ceca of mice infected with the ibeA mutant. In addition, a decrease in the pathology scores was observed in the ilea and ceca of mice infected with the ibeA mutant. Our data support the function of IbeA in the AIEC invasion process, macrophage survival, and inflammatory response in the murine intestine.","author":[{"dropping-particle":"","family":"Cieza","given":"Roberto J","non-dropping-particle":"","parse-names":false,"suffix":""},{"dropping-particle":"","family":"Hu","given":"Jia","non-dropping-particle":"","parse-names":false,"suffix":""},{"dropping-particle":"","family":"Ross","given":"Brittany N","non-dropping-particle":"","parse-names":false,"suffix":""},{"dropping-particle":"","family":"Sbrana","given":"Elena","non-dropping-particle":"","parse-names":false,"suffix":""},{"dropping-particle":"","family":"Torres","given":"Alfredo G","non-dropping-particle":"","parse-names":false,"suffix":""}],"container-title":"Infection and immunity","id":"ITEM-3","issue":"5","issued":{"date-parts":[["2015","5"]]},"page":"1904-18","publisher":"American Society for Microbiology (ASM)","title":"The IbeA invasin of adherent-invasive Escherichia coli mediates interaction with intestinal epithelia and macrophages.","type":"article-journal","volume":"83"},"uris":["http://www.mendeley.com/documents/?uuid=b9f5f3cd-3eca-3570-bbef-3ba7e3fbb082"]}],"mendeley":{"formattedCitation":"&lt;sup&gt;[34,54,55]&lt;/sup&gt;","plainTextFormattedCitation":"[34,54,55]","previouslyFormattedCitation":"&lt;sup&gt;[34,54,55]&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[34,</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2</w:t>
      </w:r>
      <w:r w:rsidR="00765E1A"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3</w:t>
      </w:r>
      <w:r w:rsidR="00765E1A"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00C15F0F" w:rsidRPr="000A6219">
        <w:rPr>
          <w:rFonts w:ascii="Book Antiqua" w:eastAsia="Calibri" w:hAnsi="Book Antiqua" w:cs="Times New Roman"/>
          <w:sz w:val="24"/>
          <w:szCs w:val="24"/>
          <w:lang w:val="en-US"/>
        </w:rPr>
        <w:t>.</w:t>
      </w:r>
    </w:p>
    <w:p w14:paraId="07BDB94C" w14:textId="4E08770A" w:rsidR="00721A65" w:rsidRPr="000A6219" w:rsidRDefault="00721A65"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lastRenderedPageBreak/>
        <w:t xml:space="preserve">In view of the lack of </w:t>
      </w:r>
      <w:r w:rsidR="00AE4BC2" w:rsidRPr="000A6219">
        <w:rPr>
          <w:rFonts w:ascii="Book Antiqua" w:eastAsia="Calibri" w:hAnsi="Book Antiqua" w:cs="Times New Roman"/>
          <w:sz w:val="24"/>
          <w:szCs w:val="24"/>
          <w:lang w:val="en-US"/>
        </w:rPr>
        <w:t xml:space="preserve">standardization, </w:t>
      </w:r>
      <w:r w:rsidRPr="000A6219">
        <w:rPr>
          <w:rFonts w:ascii="Book Antiqua" w:eastAsia="Calibri" w:hAnsi="Book Antiqua" w:cs="Times New Roman"/>
          <w:sz w:val="24"/>
          <w:szCs w:val="24"/>
          <w:lang w:val="en-US"/>
        </w:rPr>
        <w:t xml:space="preserve">adhesion and invasion indices </w:t>
      </w:r>
      <w:r w:rsidR="00AE4BC2" w:rsidRPr="000A6219">
        <w:rPr>
          <w:rFonts w:ascii="Book Antiqua" w:eastAsia="Calibri" w:hAnsi="Book Antiqua" w:cs="Times New Roman"/>
          <w:sz w:val="24"/>
          <w:szCs w:val="24"/>
          <w:lang w:val="en-US"/>
        </w:rPr>
        <w:t>in addition to</w:t>
      </w:r>
      <w:r w:rsidRPr="000A6219">
        <w:rPr>
          <w:rFonts w:ascii="Book Antiqua" w:eastAsia="Calibri" w:hAnsi="Book Antiqua" w:cs="Times New Roman"/>
          <w:sz w:val="24"/>
          <w:szCs w:val="24"/>
          <w:lang w:val="en-US"/>
        </w:rPr>
        <w:t xml:space="preserve"> the replication index of the strains are highly variable </w:t>
      </w:r>
      <w:r w:rsidR="00AE4BC2" w:rsidRPr="000A6219">
        <w:rPr>
          <w:rFonts w:ascii="Book Antiqua" w:eastAsia="Calibri" w:hAnsi="Book Antiqua" w:cs="Times New Roman"/>
          <w:sz w:val="24"/>
          <w:szCs w:val="24"/>
          <w:lang w:val="en-US"/>
        </w:rPr>
        <w:t>among</w:t>
      </w:r>
      <w:r w:rsidRPr="000A6219">
        <w:rPr>
          <w:rFonts w:ascii="Book Antiqua" w:eastAsia="Calibri" w:hAnsi="Book Antiqua" w:cs="Times New Roman"/>
          <w:sz w:val="24"/>
          <w:szCs w:val="24"/>
          <w:lang w:val="en-US"/>
        </w:rPr>
        <w:t xml:space="preserve"> research groups. Taking into account the indices of the LF82 AIEC strain</w:t>
      </w:r>
      <w:r w:rsidR="00AE4BC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which is commonly used as control in these procedures, the adhesion index </w:t>
      </w:r>
      <w:r w:rsidR="00AE4BC2" w:rsidRPr="000A6219">
        <w:rPr>
          <w:rFonts w:ascii="Book Antiqua" w:eastAsia="Calibri" w:hAnsi="Book Antiqua" w:cs="Times New Roman"/>
          <w:sz w:val="24"/>
          <w:szCs w:val="24"/>
          <w:lang w:val="en-US"/>
        </w:rPr>
        <w:t>fluctuates</w:t>
      </w:r>
      <w:r w:rsidRPr="000A6219">
        <w:rPr>
          <w:rFonts w:ascii="Book Antiqua" w:eastAsia="Calibri" w:hAnsi="Book Antiqua" w:cs="Times New Roman"/>
          <w:sz w:val="24"/>
          <w:szCs w:val="24"/>
          <w:lang w:val="en-US"/>
        </w:rPr>
        <w:t xml:space="preserve"> between 4.8 and 62.8 bacteria/cell</w:t>
      </w:r>
      <w:r w:rsidRPr="000A6219">
        <w:rPr>
          <w:rFonts w:ascii="Book Antiqua" w:eastAsia="Calibri" w:hAnsi="Book Antiqua" w:cs="Times New Roman"/>
          <w:sz w:val="24"/>
          <w:szCs w:val="24"/>
          <w:lang w:val="en-US"/>
        </w:rPr>
        <w:fldChar w:fldCharType="begin" w:fldLock="1"/>
      </w:r>
      <w:r w:rsidR="004C4A78" w:rsidRPr="000A6219">
        <w:rPr>
          <w:rFonts w:ascii="Book Antiqua" w:eastAsia="Calibri" w:hAnsi="Book Antiqua" w:cs="Times New Roman"/>
          <w:sz w:val="24"/>
          <w:szCs w:val="24"/>
          <w:lang w:val="en-US"/>
        </w:rPr>
        <w:instrText>ADDIN CSL_CITATION {"citationItems":[{"id":"ITEM-1","itemData":{"DOI":"10.1053/j.gastro.2004.04.061","ISBN":"0016-5085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Frédéric","non-dropping-particle":"","parse-names":false,"suffix":""}],"container-title":"Gastroenterology","id":"ITEM-1","issue":"2","issued":{"date-parts":[["2004"]]},"page":"412-421","title":"High prevalence of adherent-invasive Escherichia coli associated with ileal mucosa in Crohn's disease","type":"article-journal","volume":"127"},"uris":["http://www.mendeley.com/documents/?uuid=c37eb702-0cb7-4694-ad28-7a4aed1f66ff"]},{"id":"ITEM-2","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-2","issue":"8","issued":{"date-parts":[["2016"]]},"page":"1382-1389","title":"Comparative genomics of Crohn's disease-associated adherent-invasive Escherichia coli","type":"article-journal","volume":"66"},"uris":["http://www.mendeley.com/documents/?uuid=5433c40e-8818-41e5-9f75-43963d20c944"]},{"id":"ITEM-3","itemData":{"DOI":"10.1097/MIB.0000000000000609","ISBN":"0000000000000","ISSN":"1078-0998","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AIEC.\\n\\nMETHODS: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ELISA.\\n\\nRESULTS: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mice.\\n\\nCONCLUSIONS: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Diseases","id":"ITEM-3","issue":"1","issued":{"date-parts":[["2016"]]},"page":"68-81","title":"GipA factor supports colonization of peyer</w:instrText>
      </w:r>
      <w:r w:rsidR="004C4A78" w:rsidRPr="000A6219">
        <w:rPr>
          <w:rFonts w:ascii="Times New Roman" w:eastAsia="Calibri" w:hAnsi="Times New Roman" w:cs="Times New Roman"/>
          <w:sz w:val="24"/>
          <w:szCs w:val="24"/>
          <w:lang w:val="en-US"/>
        </w:rPr>
        <w:instrText>ʼ</w:instrText>
      </w:r>
      <w:r w:rsidR="004C4A78" w:rsidRPr="000A6219">
        <w:rPr>
          <w:rFonts w:ascii="Book Antiqua" w:eastAsia="Calibri" w:hAnsi="Book Antiqua" w:cs="Times New Roman"/>
          <w:sz w:val="24"/>
          <w:szCs w:val="24"/>
          <w:lang w:val="en-US"/>
        </w:rPr>
        <w:instrText>s patches by Crohn</w:instrText>
      </w:r>
      <w:r w:rsidR="004C4A78" w:rsidRPr="000A6219">
        <w:rPr>
          <w:rFonts w:ascii="Times New Roman" w:eastAsia="Calibri" w:hAnsi="Times New Roman" w:cs="Times New Roman"/>
          <w:sz w:val="24"/>
          <w:szCs w:val="24"/>
          <w:lang w:val="en-US"/>
        </w:rPr>
        <w:instrText>ʼ</w:instrText>
      </w:r>
      <w:r w:rsidR="004C4A78" w:rsidRPr="000A6219">
        <w:rPr>
          <w:rFonts w:ascii="Book Antiqua" w:eastAsia="Calibri" w:hAnsi="Book Antiqua" w:cs="Times New Roman"/>
          <w:sz w:val="24"/>
          <w:szCs w:val="24"/>
          <w:lang w:val="en-US"/>
        </w:rPr>
        <w:instrText>s disease-associated Escherichia coli","type":"article-journal","volume":"22"},"uris":["http://www.mendeley.com/documents/?uuid=2418af44-9b70-4aec-b95f-228644a8d509"]},{"id":"ITEM-4","itemData":{"DOI":"10.1111/j.1365-2958.2007.05638.x","ISBN":"0950-382X (Print)","ISSN":"0950382X","PMID":"17367388","abstract":"Ileal lesions of 36.4% of patients with Crohn's disease (CD), an inflammatory bowel disease in humans, are colonized by pathogenic adherent-invasive Escherichia coli (AIEC), and high levels of antibodies directed against E. coli OmpC are present in 37-55% of CD patients. We therefore investigated the expression of OmpC and its role in the interaction of CD-associated adherent-invasive E. coli strain LF82 with intestinal epithelial cells. High osmolarity induced a significant increase in the ability of LF82 bacteria to interact with Intestine-407 cells, which correlates with increased OmpC expression. Deletion of ompC gene markedly decreased the adhesion and invasion levels of the corresponding mutant. A LF82-DeltaompR mutant impaired in OmpC and OmpF expression, showed decreased adhesion and invasion, and unlike a K-12-negative OmpR mutant did not express flagella and type 1 pili. Interestingly, the wild-type phenotype was restored when OmpC or OmpF expression was induced in the LF82-DeltaompR mutant. Overexpression of RpoE in the LF82-DeltaompR isogenic mutant restored a full wild-type phenotype without restoring OmpC expression. Increased expression of RpoE was observed in wild-type strain LF82 at high osmolarity. Hence, the role of OmpC in the AIEC LF82 adhesion and invasion is indirect and involves the sigma(E) regulatory pathway.","author":[{"dropping-particle":"","family":"Rolhion","given":"Nathalie","non-dropping-particle":"","parse-names":false,"suffix":""},{"dropping-particle":"","family":"Carvalho","given":"Frédéric Antonio","non-dropping-particle":"","parse-names":false,"suffix":""},{"dropping-particle":"","family":"Darfeuille-Michaud","given":"Arlette","non-dropping-particle":"","parse-names":false,"suffix":""}],"container-title":"Molecular Microbiology","id":"ITEM-4","issue":"6","issued":{"date-parts":[["2007"]]},"page":"1684-1700","title":"OmpC and the σE regulatory pathway are involved in adhesion and invasion of the Crohn's disease-associated Escherichia coli strain LF82","type":"article-journal","volume":"63"},"uris":["http://www.mendeley.com/documents/?uuid=4f445c77-5687-46c0-9b78-b65ef6cd1ddc"]},{"id":"ITEM-5","itemData":{"DOI":"10.1128/JB.01079-12","ISSN":"1098-5530","PMID":"23104802","abstract":"Ileal lesions of patients with Crohn's disease are colonized by adherent-invasive Escherichia coli (AIEC) bacteria that are able to adhere to and invade intestinal epithelial cells (IEC), to replicate within macrophages, and to form biofilm. Clinical observations showed that bacterial biofilms were associated with the mucosa of inflammatory bowel disease patients. In the present study, we analyzed the relationship between AIEC colonization of the gut and the formation of biofilm, focusing on the involvement of the σ(E) pathway in the AIEC-IEC interaction. We observed that σ(E) pathway inhibition in AIEC reference strain LF82 led to an impaired ability to adhere to and invade IEC but also induced a large decrease in the abilities to colonize the intestinal mucosa and form biofilm. This indicates that targeting of the σ(E) pathway could be a very potent therapeutic strategy by which to interfere with the ability of AIEC to form biofilm on the gut mucosa of Crohn's disease patients.","author":[{"dropping-particle":"","family":"Chassaing","given":"Benoit","non-dropping-particle":"","parse-names":false,"suffix":""},{"dropping-particle":"","family":"Darfeuille-Michaud","given":"Arlette","non-dropping-particle":"","parse-names":false,"suffix":""}],"container-title":"Journal of bacteriology","id":"ITEM-5","issue":"1","issued":{"date-parts":[["2013","1"]]},"page":"76-84","publisher":"American Society for Microbiology (ASM)","title":"The σE pathway is involved in biofilm formation by Crohn's disease-associated adherent-invasive Escherichia coli.","type":"article-journal","volume":"195"},"uris":["http://www.mendeley.com/documents/?uuid=d0d81040-4782-3c51-a788-868139961809"]},{"id":"ITEM-6","itemData":{"DOI":"10.1053/j.gastro.2013.05.017","ISSN":"1528-0012","PMID":"23684751","abstract":"BACKGROUND &amp; AIMS: Inducible chitinase 3-like-1 is expressed by intestinal epithelial cells (IECs) and adheres to bacteria under conditions of inflammation. We performed a structure-function analysis of the chitin-binding domains encoded by the chiA gene, which mediates the pathogenic effects of adherent invasive Escherichia coli (AIEC).\n\nMETHODS: We created AIEC (strain LF82) with deletion of chiA (LF82-ΔchiA) or that expressed chiA with specific mutations. We investigated the effects of infecting different IEC lines with these bacteria compared with nonpathogenic E coli; chitinase activities were measured using the colloidal chitin-azure method. Colitis was induced in C57/Bl6 mice by administration of dextran sodium sulfate, and mice were given 10(8) bacteria for 15 consecutive days by gavage. Stool/tissue samples were collected and analyzed.\n\nRESULTS: LF82-ΔchiA had significantly less adhesion to IEC lines than LF82. Complementation of LF82-ΔchiA with the LF82 chiA gene, but not chiA from nonpathogenic (K12) E coli, increased adhesion. We identified 5 specific polymorphisms in the chitin-binding domain of LF82 chiA (at amino acids 362, 370, 378, 388, and 548) that differ from chiA of K12 and were required for LF82 to interact directly with IECs. This interaction was mediated by an N-glycosylated asparagine in chitinase 3-like-1 (amino acid 68) on IECs. Mice infected with LF82, or LF82-ΔchiA complemented with LF82 chiA, developed more severe colitis after administration of dextran sodium sulfate than mice infected with LF82-ΔchiA or LF82 that expressed mutant forms of chiA.\n\nCONCLUSIONS: AIEC adheres to an N-glycosylated chitinase 3-like-1 on IECs via the chitin-binding domain of chiA. This mechanism promotes the pathogenic effects of AIEC in mice with colitis.","author":[{"dropping-particle":"","family":"Low","given":"Daren","non-dropping-particle":"","parse-names":false,"suffix":""},{"dropping-particle":"","family":"Tran","given":"Hoa T","non-dropping-particle":"","parse-names":false,"suffix":""},{"dropping-particle":"","family":"Lee","given":"In-Ah","non-dropping-particle":"","parse-names":false,"suffix":""},{"dropping-particle":"","family":"Dreux","given":"Nicolas","non-dropping-particle":"","parse-names":false,"suffix":""},{"dropping-particle":"","family":"Kamba","given":"Alan","non-dropping-particle":"","parse-names":false,"suffix":""},{"dropping-particle":"","family":"Reinecker","given":"Hans-Christian","non-dropping-particle":"","parse-names":false,"suffix":""},{"dropping-particle":"","family":"Darfeuille-Michaud","given":"Arlette","non-dropping-particle":"","parse-names":false,"suffix":""},{"dropping-particle":"","family":"Barnich","given":"Nicolas","non-dropping-particle":"","parse-names":false,"suffix":""},{"dropping-particle":"","family":"Mizoguchi","given":"Emiko","non-dropping-particle":"","parse-names":false,"suffix":""}],"container-title":"Gastroenterology","id":"ITEM-6","issue":"3","issued":{"date-parts":[["2013","9"]]},"page":"602-12.e9","title":"Chitin-binding domains of Escherichia coli ChiA mediate interactions with intestinal epithelial cells in mice with colitis.","type":"article-journal","volume":"145"},"uris":["http://www.mendeley.com/documents/?uuid=485e80a9-7d98-46c1-a31a-a6dac6c43ecf"]},{"id":"ITEM-7","itemData":{"DOI":"10.1371/journal.ppat.1003141","ISBN":"1553-7374 (Electronic)\\n1553-7366 (Linking)","ISSN":"15537366","PMID":"23358328","abstract":"Adherent-invasive Escherichia coli (AIEC) are abnormally predominant on Crohn's disease (CD) ileal mucosa. AIEC reference strain LF82 adheres to ileal enterocytes via the common type 1 pili adhesin FimH and recognizes CEACAM6 receptors abnormally expressed on CD ileal epithelial cells. The fimH genes of 45 AIEC and 47 non-AIEC strains were sequenced. The phylogenetic tree based on fimH DNA sequences indicated that AIEC strains predominantly express FimH with amino acid mutations of a recent evolutionary origin - a typical signature of pathoadaptive changes of bacterial pathogens. Point mutations in FimH, some of a unique AIEC-associated nature, confer AIEC bacteria a significantly higher ability to adhere to CEACAM-expressing T84 intestinal epithelial cells. Moreover, in the LF82 strain, the replacement of fimH(LF82) (expressing FimH with an AIEC-associated mutation) with fimH(K12) (expressing FimH of commensal E. coli K12) decreased the ability of bacteria to persist and to induce severe colitis and gut inflammation in infected CEABAC10 transgenic mice expressing human CEACAM receptors. Our results highlight a mechanism of AIEC virulence evolution that involves selection of amino acid mutations in the common bacterial traits, such as FimH protein, and leads to the development of chronic inflammatory bowel disease (IBD) in a genetically susceptible host. The analysis of fimH SNPs may be a useful method to predict the potential virulence of E. coli isolated from IBD patients for diagnostic or epidemiological studies and to identify new strategies for therapeutic intervention to block the interaction between AIEC and gut mucosa in the early stages of IBD.","author":[{"dropping-particle":"","family":"Dreux","given":"Nicolas","non-dropping-particle":"","parse-names":false,"suffix":""},{"dropping-particle":"","family":"Denizot","given":"Jérémy","non-dropping-particle":"","parse-names":false,"suffix":""},{"dropping-particle":"","family":"Martinez-Medina","given":"Margarita","non-dropping-particle":"","parse-names":false,"suffix":""},{"dropping-particle":"","family":"Mellmann","given":"Alexander","non-dropping-particle":"","parse-names":false,"suffix":""},{"dropping-particle":"","family":"Billig","given":"Maria","non-dropping-particle":"","parse-names":false,"suffix":""},{"dropping-particle":"","family":"Kisiela","given":"Dagmara","non-dropping-particle":"","parse-names":false,"suffix":""},{"dropping-particle":"","family":"Chattopadhyay","given":"Sujay","non-dropping-particle":"","parse-names":false,"suffix":""},{"dropping-particle":"","family":"Sokurenko","given":"Evgeni","non-dropping-particle":"","parse-names":false,"suffix":""},{"dropping-particle":"","family":"Neut","given":"Christel","non-dropping-particle":"","parse-names":false,"suffix":""},{"dropping-particle":"","family":"Gower-Rousseau","given":"Corinne","non-dropping-particle":"","parse-names":false,"suffix":""},{"dropping-particle":"","family":"Colombel","given":"Jean Frédéric","non-dropping-particle":"","parse-names":false,"suffix":""},{"dropping-particle":"","family":"Bonnet","given":"Richard","non-dropping-particle":"","parse-names":false,"suffix":""},{"dropping-particle":"","family":"Darfeuille-Michaud","given":"Arlette","non-dropping-particle":"","parse-names":false,"suffix":""},{"dropping-particle":"","family":"Barnich","given":"Nicolas","non-dropping-particle":"","parse-names":false,"suffix":""}],"container-title":"PLoS Pathogens","id":"ITEM-7","issue":"1","issued":{"date-parts":[["2013"]]},"page":"1-17","title":"Point mutations in FimH adhesin of Crohn's disease-associated adherent-invasive Escherichia coli enhance intestinal inflammatory response","type":"article-journal","volume":"9"},"uris":["http://www.mendeley.com/documents/?uuid=6d0e5098-37e3-4812-ad76-0a47a20bd8c1"]},{"id":"ITEM-8","itemData":{"DOI":"10.3389/fmicb.2018.02559","ISSN":"1664-302X","PMID":"30425690","abstract":"Dysbiosis of the gut microbiome, including elevated abundance of putative leading bacterial triggers such as E. coli in inflammatory bowel disease (IBD) patients, is of great interest. To date, most E. coli studies in IBD patients are focused on clinical isolates, overlooking their relative abundances and turnover over time. Metagenomics-based studies, on the other hand, are less focused on strain-level investigations. Here, using recently developed bioinformatic tools, we analyzed the abundance and properties of specific E. coli strains in a Crohns disease (CD) patient longitudinally, while also considering the composition of the entire community over time. In this report, we conducted a pilot study on metagenomic-based, strain-level analysis of a time-series of E. coli strains in a left-sided CD patient, who exhibited sustained levels of E. coli greater than 100X healthy controls. We: (1) mapped out the composition of the gut microbiome over time, particularly the presence of E. coli strains, and found that the abundance and dominance of specific E. coli strains in the community varied over time; (2) performed strain-level de novo assemblies of seven dominant E. coli strains, and illustrated disparity between these strains in both phylogenetic origin and genomic content; (3) observed that strain ST1 (recovered during peak inflammation) is highly similar to known pathogenic AIEC strains NC101 and LF82 in both virulence factors and metabolic functions, while other strains (ST2-ST7) that were collected during more stable states displayed diverse characteristics; (4) isolated, sequenced, experimentally characterized ST1, and confirmed the accuracy of the de novo assembly; and (5) assessed growth capability of ST1 with a newly reconstructed genome-scale metabolic model of the strain, and showed its potential to use substrates found abundantly in the human gut to outcompete other microbes. In conclusion, inflammation status (assessed by the blood C-reactive protein and stool calprotectin) is likely correlated with the abundance of a subgroup of E. coli strains with specific traits. Therefore, strain-level time-series analysis of dominant E. coli strains in a CD patient is highly informative, and motivates a study of a larger cohort of IBD patients.","author":[{"dropping-particle":"","family":"Fang","given":"Xin","non-dropping-particle":"","parse-names":false,"suffix":""},{"dropping-particle":"","family":"Monk","given":"Jonathan M","non-dropping-particle":"","parse-names":false,"suffix":""},{"dropping-particle":"","family":"Nurk","given":"Sergey","non-dropping-particle":"","parse-names":false,"suffix":""},{"dropping-particle":"","family":"Akseshina","given":"Margarita","non-dropping-particle":"","parse-names":false,"suffix":""},{"dropping-particle":"","family":"Zhu","given":"Qiyun","non-dropping-particle":"","parse-names":false,"suffix":""},{"dropping-particle":"","family":"Gemmell","given":"Christopher","non-dropping-particle":"","parse-names":false,"suffix":""},{"dropping-particle":"","family":"Gianetto-Hill","given":"Connor","non-dropping-particle":"","parse-names":false,"suffix":""},{"dropping-particle":"","family":"Leung","given":"Nelly","non-dropping-particle":"","parse-names":false,"suffix":""},{"dropping-particle":"","family":"Szubin","given":"Richard","non-dropping-particle":"","parse-names":false,"suffix":""},{"dropping-particle":"","family":"Sanders","given":"Jon","non-dropping-particle":"","parse-names":false,"suffix":""},{"dropping-particle":"","family":"Beck","given":"Paul L","non-dropping-particle":"","parse-names":false,"suffix":""},{"dropping-particle":"","family":"Li","given":"Weizhong","non-dropping-particle":"","parse-names":false,"suffix":""},{"dropping-particle":"","family":"Sandborn","given":"William J","non-dropping-particle":"","parse-names":false,"suffix":""},{"dropping-particle":"","family":"Gray-Owen","given":"Scott D","non-dropping-particle":"","parse-names":false,"suffix":""},{"dropping-particle":"","family":"Knight","given":"Rob","non-dropping-particle":"","parse-names":false,"suffix":""},{"dropping-particle":"","family":"Allen-Vercoe","given":"Emma","non-dropping-particle":"","parse-names":false,"suffix":""},{"dropping-particle":"","family":"Palsson","given":"Bernhard O","non-dropping-particle":"","parse-names":false,"suffix":""},{"dropping-particle":"","family":"Smarr","given":"Larry","non-dropping-particle":"","parse-names":false,"suffix":""}],"container-title":"Frontiers in microbiology","id":"ITEM-8","issued":{"date-parts":[["2018"]]},"page":"2559","publisher":"Frontiers Media SA","title":"Metagenomics-based, strain-level analysis of Escherichia coli from a time-series of microbiome samples from a Crohn's disease patient.","type":"article-journal","volume":"9"},"uris":["http://www.mendeley.com/documents/?uuid=dbc65b36-27a3-3512-99c7-b009b97bd826"]},{"id":"ITEM-9","itemData":{"DOI":"10.1101/772012","abstract":"Background &amp; Aims Adherent-invasive Escherichia coli (AIEC) are enriched in ileal Crohn’s disease patients and implicated in disease etiology. However, AIEC pathogenesis is poorly understood, and it is unclear if the expansion of these organisms contributes to inflammatory bowel disease (IBD). Questions also remain as to what extent the various in vitro phenotypes used to classify AIEC are pathologically relevant.\n\nMethods We utilized a combination of in vitro phenotyping and a murine model of intestinal inflammation to systematically relate AIEC phenotypes to pathogenicity for 30 mucosa-associated human-derived E. coli strains. In vitro assays used included survival/replication in and TNF-α production by J774 macrophages as well as invasion/replication in Caco2 intestinal epithelial cells.\n\nResults AIEC do not form a phenotypic group that is clearly separated from non-AIEC. However, E. coli strains displaying in vitro AIEC phenotypes caused, on average, more severe intestinal inflammation. Survival/replication of strains in J774 and Caco2 cells were positively correlated with disease in vivo , while adherence to Caco2 cells and TNF-α production by J774 cells were not. Importantly, co-colonization with adherent non-AIEC strains ameliorated AIEC-mediated disease.\n\nConclusion Our findings do not support the existence of an AIEC pathovar that can be clearly separated from commensal E. coli . However, intracellular survival/replication phenotypes do contribute to murine intestinal inflammation, suggesting that the AIEC overgrowth observed in human IBD makes a causal contribution to disease. The ability to differentiate pathologically-relevant AIEC phenotypes from those that are not provides an important foundation for developing strategies to predict, diagnose and treat human IBD through characterizing and modulating patient E. coli populations.","author":[{"dropping-particle":"","family":"Kittana","given":"Hatem","non-dropping-particle":"","parse-names":false,"suffix":""},{"dropping-particle":"","family":"Gomes-Neto","given":"João C.","non-dropping-particle":"","parse-names":false,"suffix":""},{"dropping-particle":"","family":"Heck","given":"Kari","non-dropping-particle":"","parse-names":false,"suffix":""},{"dropping-particle":"","family":"Sughroue","given":"Jason","non-dropping-particle":"","parse-names":false,"suffix":""},{"dropping-particle":"","family":"Xian","given":"Yibo","non-dropping-particle":"","parse-names":false,"suffix":""},{"dropping-particle":"","family":"Mantz","given":"Sara","non-dropping-particle":"","parse-names":false,"suffix":""},{"dropping-particle":"","family":"Muñoz","given":"Rafael R. Segura","non-dropping-particle":"","parse-names":false,"suffix":""},{"dropping-particle":"","family":"Cody","given":"Liz A.","non-dropping-particle":"","parse-names":false,"suffix":""},{"dropping-particle":"","family":"Schmaltz","given":"Robert J.","non-dropping-particle":"","parse-names":false,"suffix":""},{"dropping-particle":"","family":"Anderson","given":"Christopher L.","non-dropping-particle":"","parse-names":false,"suffix":""},{"dropping-particle":"","family":"Moxley","given":"Rodney A.","non-dropping-particle":"","parse-names":false,"suffix":""},{"dropping-particle":"","family":"Hostetter","given":"Jesse M.","non-dropping-particle":"","parse-names":false,"suffix":""},{"dropping-particle":"","family":"Fernando","given":"Samodha C.","non-dropping-particle":"","parse-names":false,"suffix":""},{"dropping-particle":"","family":"Clarke","given":"Jennifer","non-dropping-particle":"","parse-names":false,"suffix":""},{"dropping-particle":"","family":"Kachman","given":"Stephen D.","non-dropping-particle":"","parse-names":false,"suffix":""},{"dropping-particle":"","family":"Cressler","given":"Clayton E.","non-dropping-particle":"","parse-names":false,"suffix":""},{"dropping-particle":"","family":"Benson","given":"Andrew K.","non-dropping-particle":"","parse-names":false,"suffix":""},{"dropping-particle":"","family":"Walter","given":"Jens","non-dropping-particle":"","parse-names":false,"suffix":""},{"dropping-particle":"","family":"Ramer-Tait","given":"Amanda E.","non-dropping-particle":"","parse-names":false,"suffix":""}],"container-title":"bioRxiv","id":"ITEM-9","issued":{"date-parts":[["2019","9","18"]]},"page":"772012","publisher":"Cold Spring Harbor Laboratory","title":"Establishing the phenotypic basis of adherent-invasive Escherichia coli (AIEC) pathogenicity in intestinal inflammation","type":"article-journal"},"uris":["http://www.mendeley.com/documents/?uuid=009e9613-25bd-3ff6-b8b2-920d24795012"]}],"mendeley":{"formattedCitation":"&lt;sup&gt;[1,18,34,39,44,54,56–58]&lt;/sup&gt;","plainTextFormattedCitation":"[1,18,34,39,44,54,56–58]","previouslyFormattedCitation":"&lt;sup&gt;[1,22,34,39,44,54,56–58]&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4C4A78" w:rsidRPr="000A6219">
        <w:rPr>
          <w:rFonts w:ascii="Book Antiqua" w:eastAsia="Calibri" w:hAnsi="Book Antiqua" w:cs="Times New Roman"/>
          <w:noProof/>
          <w:sz w:val="24"/>
          <w:szCs w:val="24"/>
          <w:vertAlign w:val="superscript"/>
          <w:lang w:val="en-US"/>
        </w:rPr>
        <w:t>[1,18,34,39,4</w:t>
      </w:r>
      <w:r w:rsidR="00554ED9">
        <w:rPr>
          <w:rFonts w:ascii="Book Antiqua" w:eastAsia="Calibri" w:hAnsi="Book Antiqua" w:cs="Times New Roman"/>
          <w:noProof/>
          <w:sz w:val="24"/>
          <w:szCs w:val="24"/>
          <w:vertAlign w:val="superscript"/>
          <w:lang w:val="en-US"/>
        </w:rPr>
        <w:t>5</w:t>
      </w:r>
      <w:r w:rsidR="004C4A78"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2</w:t>
      </w:r>
      <w:r w:rsidR="004C4A78"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4</w:t>
      </w:r>
      <w:r w:rsidR="004C4A78"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6</w:t>
      </w:r>
      <w:r w:rsidR="004C4A78"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the invasion index varies from 0.12</w:t>
      </w:r>
      <w:r w:rsidR="00AE4BC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to 12.2%</w:t>
      </w:r>
      <w:r w:rsidRPr="000A6219">
        <w:rPr>
          <w:rFonts w:ascii="Book Antiqua" w:eastAsia="Calibri" w:hAnsi="Book Antiqua" w:cs="Times New Roman"/>
          <w:sz w:val="24"/>
          <w:szCs w:val="24"/>
          <w:lang w:val="en-US"/>
        </w:rPr>
        <w:fldChar w:fldCharType="begin" w:fldLock="1"/>
      </w:r>
      <w:r w:rsidR="004C4A78" w:rsidRPr="000A6219">
        <w:rPr>
          <w:rFonts w:ascii="Book Antiqua" w:eastAsia="Calibri" w:hAnsi="Book Antiqua" w:cs="Times New Roman"/>
          <w:sz w:val="24"/>
          <w:szCs w:val="24"/>
          <w:lang w:val="en-US"/>
        </w:rPr>
        <w:instrText>ADDIN CSL_CITATION {"citationItems":[{"id":"ITEM-1","itemData":{"DOI":"10.1053/j.gastro.2004.04.061","ISBN":"0016-5085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Frédéric","non-dropping-particle":"","parse-names":false,"suffix":""}],"container-title":"Gastroenterology","id":"ITEM-1","issue":"2","issued":{"date-parts":[["2004"]]},"page":"412-421","title":"High prevalence of adherent-invasive Escherichia coli associated with ileal mucosa in Crohn's disease","type":"article-journal","volume":"127"},"uris":["http://www.mendeley.com/documents/?uuid=c37eb702-0cb7-4694-ad28-7a4aed1f66ff"]},{"id":"ITEM-2","itemData":{"DOI":"10.1186/1756-0500-7-748","ISSN":"1756-0500","PMID":"25338542","abstract":"BACKGROUND: Adherent-invasive Escherichia coli (AIEC) have been implicated in the ethiopathogenesis of Crohn's disease (CD). In this study, we analyzed a collection of intestinal mucosa-associated E. coli isolates, presenting AIEC phenotypes, isolated from biopsies of CD pediatric patients and non-inflammatory bowel diseases (IBD) controls, in order to investigate their genetic and phenotypic pathogenic features.\\n\\nRESULTS: A total of 616 E. coli isolates from biopsies of four pediatric CD patients and of four non-IBD controls were collected and individually analyzed. For AIEC identification, adherent isolates were assayed for invasiveness, and the capacity of the adhesive-invasive isolates to survive and replicate intracellularly was determined over macrophages J774. In this way we identified 36 AIEC-like isolates. Interestingly, their relative abundance was significantly higher in CD patients (10%; 31/308) than in non-IBD controls (1%; 5/308) (χ2 = 38.96 p &lt; 0.001). Furthermore pulsed field gel electrophoresis (PFGE) and randomly amplified polymorphic DNA (RAPD) techniques were applied to analyze the clonality of the 36 AIEC-like isolates. The results obtained allowed us to identify 27 distinct genotypes (22 from CD patients and 5 from non-IBD controls). As for the AIEC prototype strain LF82, all 27 AIEC genotypes presented an aggregative pattern of adherence (AA) that was inhibited by D-mannose, indicating that adhesiveness of AIEC is likely mediated by type 1 pili. PCR analisys was used to investigate presence of virulence genes. The results indicated that among the 27 AIEC isolates, the incidence of genes encoding virulence factors K1 (χ2 = 6.167 P = 0.013), kpsMT II (χ2 = 6.167 P = 0.013), fyuA (χ2 = 6.167 P = 0.013), and ibeA (χ2 = 8.867 P = 0.003) was significantly higher among AIEC strains isolated from CD patients than non-IBD controls.\\n\\nCONCLUSIONS: The identification of AIEC strains in both CD and non-IBD controls, confirmed the \"pathobiont\" nature of AIEC strains. The finding that AIEC-like isolates were more abundant in CD patients, indicates that a close association of these strains with CD may also exists in pediatric patients.","author":[{"dropping-particle":"","family":"Conte","given":"Maria Pia","non-dropping-particle":"","parse-names":false,"suffix":""},{"dropping-particle":"","family":"Longhi","given":"Catia","non-dropping-particle":"","parse-names":false,"suffix":""},{"dropping-particle":"","family":"Marazzato","given":"Massimiliano","non-dropping-particle":"","parse-names":false,"suffix":""},{"dropping-particle":"","family":"Conte","given":"Antonietta Lucia","non-dropping-particle":"","parse-names":false,"suffix":""},{"dropping-particle":"","family":"Aleandri","given":"Marta","non-dropping-particle":"","parse-names":false,"suffix":""},{"dropping-particle":"","family":"Lepanto","given":"Maria Stefania","non-dropping-particle":"","parse-names":false,"suffix":""},{"dropping-particle":"","family":"Zagaglia","given":"Carlo","non-dropping-particle":"","parse-names":false,"suffix":""},{"dropping-particle":"","family":"Nicoletti","given":"Mauro","non-dropping-particle":"","parse-names":false,"suffix":""},{"dropping-particle":"","family":"Aloi","given":"Marina","non-dropping-particle":"","parse-names":false,"suffix":""},{"dropping-particle":"","family":"Totino","given":"Valentina","non-dropping-particle":"","parse-names":false,"suffix":""},{"dropping-particle":"","family":"Palamara","given":"Anna Teresa","non-dropping-particle":"","parse-names":false,"suffix":""},{"dropping-particle":"","family":"Schippa","given":"Serena","non-dropping-particle":"","parse-names":false,"suffix":""}],"container-title":"BMC research notes","id":"ITEM-2","issue":"1","issued":{"date-parts":[["2014"]]},"page":"748","title":"Adherent-invasive Escherichia coli (AIEC) in pediatric Crohn's disease patients: phenotypic and genetic pathogenic features.","type":"article-journal","volume":"7"},"uris":["http://www.mendeley.com/documents/?uuid=7bbeb97f-85b8-4d75-8c59-8aaeab2c26f5"]},{"id":"ITEM-3","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-3","issue":"8","issued":{"date-parts":[["2016"]]},"page":"1382-1389","title":"Comparative genomics of Crohn's disease-associated adherent-invasive Escherichia coli","type":"article-journal","volume":"66"},"uris":["http://www.mendeley.com/documents/?uuid=5433c40e-8818-41e5-9f75-43963d20c944"]},{"id":"ITEM-4","itemData":{"DOI":"10.1097/MIB.0000000000000609","ISBN":"0000000000000","ISSN":"1078-0998","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AIEC.\\n\\nMETHODS: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ELISA.\\n\\nRESULTS: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mice.\\n\\nCONCLUSIONS: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Diseases","id":"ITEM-4","issue":"1","issued":{"date-parts":[["2016"]]},"page":"68-81","title":"GipA factor supports colonization of peyer</w:instrText>
      </w:r>
      <w:r w:rsidR="004C4A78" w:rsidRPr="000A6219">
        <w:rPr>
          <w:rFonts w:ascii="Times New Roman" w:eastAsia="Calibri" w:hAnsi="Times New Roman" w:cs="Times New Roman"/>
          <w:sz w:val="24"/>
          <w:szCs w:val="24"/>
          <w:lang w:val="en-US"/>
        </w:rPr>
        <w:instrText>ʼ</w:instrText>
      </w:r>
      <w:r w:rsidR="004C4A78" w:rsidRPr="000A6219">
        <w:rPr>
          <w:rFonts w:ascii="Book Antiqua" w:eastAsia="Calibri" w:hAnsi="Book Antiqua" w:cs="Times New Roman"/>
          <w:sz w:val="24"/>
          <w:szCs w:val="24"/>
          <w:lang w:val="en-US"/>
        </w:rPr>
        <w:instrText>s patches by Crohn</w:instrText>
      </w:r>
      <w:r w:rsidR="004C4A78" w:rsidRPr="000A6219">
        <w:rPr>
          <w:rFonts w:ascii="Times New Roman" w:eastAsia="Calibri" w:hAnsi="Times New Roman" w:cs="Times New Roman"/>
          <w:sz w:val="24"/>
          <w:szCs w:val="24"/>
          <w:lang w:val="en-US"/>
        </w:rPr>
        <w:instrText>ʼ</w:instrText>
      </w:r>
      <w:r w:rsidR="004C4A78" w:rsidRPr="000A6219">
        <w:rPr>
          <w:rFonts w:ascii="Book Antiqua" w:eastAsia="Calibri" w:hAnsi="Book Antiqua" w:cs="Times New Roman"/>
          <w:sz w:val="24"/>
          <w:szCs w:val="24"/>
          <w:lang w:val="en-US"/>
        </w:rPr>
        <w:instrText>s disease-associated Escherichia coli","type":"article-journal","volume":"22"},"uris":["http://www.mendeley.com/documents/?uuid=2418af44-9b70-4aec-b95f-228644a8d509"]},{"id":"ITEM-5","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Journal","id":"ITEM-5","issue":"5","issued":{"date-parts":[["2007","9","12"]]},"note":"Ref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ileum","type":"article-journal","volume":"1"},"uris":["http://www.mendeley.com/documents/?uuid=2107dc8c-d9c8-3eaa-aff8-de85bd3a90fa"]},{"id":"ITEM-6","itemData":{"DOI":"10.1128/IAI.72.5.2484-2493.2004","ISBN":"0019-9567 (Print)\\n0019-9567 (Linking)","ISSN":"00199567","PMID":"15102755","abstract":"Escherichia coli strain LF82 recovered from a chronic lesion of a patient with Crohn's disease (CD) is able to adhere to and invade cultured intestinal epithelial cells and to replicate within macrophages. One mutant selected for its impaired ability to invade epithelial cells had an insertion of a Tn phoA transposon within the nlpI gene encoding the lipoprotein NlpI. A NlpI-negative isogenic mutant showed a 35-fold decrease in its ability to adhere to and a 45-fold decrease in its ability to invade Intestine-407 cells, but its ability to survive and to replicate within macrophages was similar to that of wild-type strain LF82. In addition, this mutant did not express flagella and synthesized very small amounts of type 1 pili. Downregulation of type 1 pili in the NlpI-negative mutant resulted from a preferential switch toward the OFF position of the invertible DNA element located upstream of the fim operon. The FimB and FimE recombinases act in concert to control the switch, and a large decrease in fimB and fimE mRNA levels was observed. The absence of flagellar structures correlated with a drastic 19-fold decrease in the fliC mRNA level, regardless of the FlhD2C2 transcriptional regulator and of the {sigma}28 transcription factor. The key role of NlpI in virulence is independent of type 1 pili and motility, since induced type 1 pilus expression and/or forced contact between bacteria and intestinal epithelial cells did not restore the ability of the NlpI mutant to adhere to and to invade intestinal epithelial cells.","author":[{"dropping-particle":"","family":"Barnich","given":"Nicolas","non-dropping-particle":"","parse-names":false,"suffix":""},{"dropping-particle":"","family":"Bringer","given":"Marie Agnès","non-dropping-particle":"","parse-names":false,"suffix":""},{"dropping-particle":"","family":"Claret","given":"Laurent","non-dropping-particle":"","parse-names":false,"suffix":""},{"dropping-particle":"","family":"Daffeuille-Michaud","given":"Arlette","non-dropping-particle":"","parse-names":false,"suffix":""}],"container-title":"Infection and Immunity","id":"ITEM-6","issue":"5","issued":{"date-parts":[["2004"]]},"page":"2484-2493","title":"Involvement of lipoprotein NlpI in the virulence of adherent invasive Escherichia coli strain LF82 isolated from a patient with Crohn's disease","type":"article-journal","volume":"72"},"uris":["http://www.mendeley.com/documents/?uuid=b7dc45dd-05d2-4c57-be8d-b1a6907942cb"]},{"id":"ITEM-7","itemData":{"DOI":"10.1371/journal.pone.0021199","ISSN":"1932-6203","PMID":"21698174","abstract":"Ileal lesions in Crohn's disease (CD) patients are colonized by pathogenic adherent-invasive Escherichia coli (AIEC) able to adhere to and invade intestinal epithelial cells (IEC), and to survive within macrophages. The interaction of AIEC with IEC depends on bacterial factors mainly type 1 pili, flagella, and outer membrane proteins. In humans, proteases can act as host defence mechanisms to counteract bacterial colonization. The protease meprin, composed of multimeric complexes of the two subunits alpha and beta, is abundantly expressed in IECs. Decreased levels of this protease correlate with the severity of the inflammation in patients with inflammatory bowel disease. The aim of the present study was to analyze the ability of meprin to modulate the interaction of AIEC with IECs. In patients with ileal CD we observed decreased levels of meprins, in particular that of meprin β. Dose-dependent inhibition of the abilities of AIEC strain LF82 to adhere to and invade intestinal epithelial T84 cells was observed when bacteria were pre-treated with both exogenous meprin α and meprin β. Dose-dependent proteolytic degradation of type 1 pili was observed in the presence of active meprins, but not with heat-inactivated meprins, and pretreatment of AIEC bacteria with meprins impaired their ability to bind mannosylated host receptors and led to decreased secretion of the pro-inflammatory cytokine IL-8 by infected T84 cells. Thus, decreased levels of protective meprins as observed in CD patients may contribute to increased AIEC colonization.","author":[{"dropping-particle":"","family":"Vazeille","given":"Emilie","non-dropping-particle":"","parse-names":false,"suffix":""},{"dropping-particle":"","family":"Bringer","given":"Marie-Agnès","non-dropping-particle":"","parse-names":false,"suffix":""},{"dropping-particle":"","family":"Gardarin","given":"Aurélie","non-dropping-particle":"","parse-names":false,"suffix":""},{"dropping-particle":"","family":"Chambon","given":"Christophe","non-dropping-particle":"","parse-names":false,"suffix":""},{"dropping-particle":"","family":"Becker-Pauly","given":"Christoph","non-dropping-particle":"","parse-names":false,"suffix":""},{"dropping-particle":"","family":"Pender","given":"Sylvia L F","non-dropping-particle":"","parse-names":false,"suffix":""},{"dropping-particle":"","family":"Jakob","given":"Christine","non-dropping-particle":"","parse-names":false,"suffix":""},{"dropping-particle":"","family":"Müller","given":"Stefan","non-dropping-particle":"","parse-names":false,"suffix":""},{"dropping-particle":"","family":"Lottaz","given":"Daniel","non-dropping-particle":"","parse-names":false,"suffix":""},{"dropping-particle":"","family":"Darfeuille-Michaud","given":"Arlette","non-dropping-particle":"","parse-names":false,"suffix":""}],"container-title":"PloS one","id":"ITEM-7","issue":"6","issued":{"date-parts":[["2011","1"]]},"page":"e21199","publisher":"Public Library of Science","title":"Role of meprins to protect ileal mucosa of Crohn's disease patients from colonization by adherent-invasive E. coli.","type":"article-journal","volume":"6"},"uris":["http://www.mendeley.com/documents/?uuid=d7cfac78-0c7c-4b8c-8314-27377d3912c4"]},{"id":"ITEM-8","itemData":{"DOI":"10.1002/ibd.20176","ISBN":"1536-4844","ISSN":"10780998","PMID":"17476674","abstract":"Increased numbers of mucosa-associated Escherichia coli are observed in both major inflammatory bowel diseases, Crohn's disease (CD) and ulcerative colitis (UC). With the identification of mutations in the NOD2-encoding gene in patients with CD and given the intracellular location of NOD2, the presence of pathogenic invasive bacteria could be the link between innate immune response to invasive bacteria and the development of the inflammation. Adherent-invasive E. coli (AIEC) are isolated from ileal biopsies of 36.4% of patients with ileal involvement of CD. These pathogenic E. coli colonize the intestinal mucosa by adhering to intestinal epithelial cells and are also true invasive pathogens, able to invade intestinal epithelial cells and to replicate intracellularly. AIEC strains also survive and replicate extensively within macrophages without inducing host cell death, and their high replication rates induce the secretion of large amounts of tumor necrosis factor alpha (TNF-alpha). There is also evidence suggesting that AIEC is involved in the formation of granulomas. The presence of AIEC is restricted to CD patients. Mucosa-associated E. coli in patients with UC can adhere to intestinal epithelial cells and induce the secretion of IL-8, but there is no evidence that these E. coli strains are invasive.","author":[{"dropping-particle":"","family":"Rolhion","given":"Nathalie","non-dropping-particle":"","parse-names":false,"suffix":""},{"dropping-particle":"","family":"Darfeuille-Michaud","given":"Arlette","non-dropping-particle":"","parse-names":false,"suffix":""}],"container-title":"Inflammatory Bowel Diseases","id":"ITEM-8","issue":"10","issued":{"date-parts":[["2007"]]},"page":"1277-1283","title":"Adherent-invasive Escherichia coli in inflammatory bowel disease","type":"article-journal","volume":"13"},"uris":["http://www.mendeley.com/documents/?uuid=d250815e-c980-479f-acbb-b6a3d92f2e1c"]},{"id":"ITEM-9","itemData":{"DOI":"10.1128/JB.01079-12","ISSN":"1098-5530","PMID":"23104802","abstract":"Ileal lesions of patients with Crohn's disease are colonized by adherent-invasive Escherichia coli (AIEC) bacteria that are able to adhere to and invade intestinal epithelial cells (IEC), to replicate within macrophages, and to form biofilm. Clinical observations showed that bacterial biofilms were associated with the mucosa of inflammatory bowel disease patients. In the present study, we analyzed the relationship between AIEC colonization of the gut and the formation of biofilm, focusing on the involvement of the σ(E) pathway in the AIEC-IEC interaction. We observed that σ(E) pathway inhibition in AIEC reference strain LF82 led to an impaired ability to adhere to and invade IEC but also induced a large decrease in the abilities to colonize the intestinal mucosa and form biofilm. This indicates that targeting of the σ(E) pathway could be a very potent therapeutic strategy by which to interfere with the ability of AIEC to form biofilm on the gut mucosa of Crohn's disease patients.","author":[{"dropping-particle":"","family":"Chassaing","given":"Benoit","non-dropping-particle":"","parse-names":false,"suffix":""},{"dropping-particle":"","family":"Darfeuille-Michaud","given":"Arlette","non-dropping-particle":"","parse-names":false,"suffix":""}],"container-title":"Journal of bacteriology","id":"ITEM-9","issue":"1","issued":{"date-parts":[["2013","1"]]},"page":"76-84","publisher":"American Society for Microbiology (ASM)","title":"The σE pathway is involved in biofilm formation by Crohn's disease-associated adherent-invasive Escherichia coli.","type":"article-journal","volume":"195"},"uris":["http://www.mendeley.com/documents/?uuid=d0d81040-4782-3c51-a788-868139961809"]},{"id":"ITEM-10","itemData":{"DOI":"10.1016/j.ijmm.2007.05.011","ISBN":"1618-0607 (Electronic)","ISSN":"14384221","PMID":"17900983","abstract":"Inflammatory diseases of the intestinal tract are a major health concern both in the United States and around the world. Evidence now suggests that a new category of Escherichia coli, designated Adherent Invasive E. coli (AIEC) is highly prevalent in Crohn's Disease (CD) patients. AIEC strains have been shown to colonize and adhere to intestinal epithelial cells (IEC). However, the role AIEC strains play in the induction of an inflammatory response is not known. Therefore, we examined several E. coli strains (designated LF82, O83:H1, 6604 and 6655) that were isolated from CD patients for their ability to induce inflammation in two IEC, Caco-2BBe and T-84 cells. Results showed that each strain had varying abilities to adhere to and invade IEC as well as induced cytokine secretion from polarized IEC. However, E. coli O83:H1 displayed the best characteristics of AIEC strains as compared to the prototype AIEC strain LF82, inducing cytokine secretion from IEC and promoting immune cell migration through IEC. Upon further analysis, E. coli O83:H1 did not harbor virulence genes present in known pathogenic intestinal organisms. Further characterization of E. coli O83:H1 virulence determinants showed that a non-flagellated O83:H1 strain significantly decreased the organism's ability to adhere to and invade both IEC and elicit IEC cytokine secretion compared to the wild type and complemented strains. These findings demonstrate that E. coli O83:H1 possesses the characteristics of the AIEC LF82 strain that may contribute to the low-grade, chronic inflammation observed in Crohn's disease. © 2007 Elsevier GmbH. All rights reserved.","author":[{"dropping-particle":"","family":"Eaves-Pyles","given":"Tonyia","non-dropping-particle":"","parse-names":false,"suffix":""},{"dropping-particle":"","family":"Allen","given":"Christopher a.","non-dropping-particle":"","parse-names":false,"suffix":""},{"dropping-particle":"","family":"Taormina","given":"Joanna","non-dropping-particle":"","parse-names":false,"suffix":""},{"dropping-particle":"","family":"Swidsinski","given":"Alexander","non-dropping-particle":"","parse-names":false,"suffix":""},{"dropping-particle":"","family":"Tutt","given":"Christopher B.","non-dropping-particle":"","parse-names":false,"suffix":""},{"dropping-particle":"","family":"Eric Jezek","given":"G.","non-dropping-particle":"","parse-names":false,"suffix":""},{"dropping-particle":"","family":"Islas-Islas","given":"Martha","non-dropping-particle":"","parse-names":false,"suffix":""},{"dropping-particle":"","family":"Torres","given":"Alfredo G.","non-dropping-particle":"","parse-names":false,"suffix":""}],"container-title":"International Journal of Medical Microbiology","id":"ITEM-10","issue":"5-6","issued":{"date-parts":[["2008"]]},"page":"397-409","title":"Escherichia coli isolated from a Crohn's disease patient adheres, invades, and induces inflammatory responses in polarized intestinal epithelial cells","type":"article-journal","volume":"298"},"uris":["http://www.mendeley.com/documents/?uuid=431c6366-dc5e-4092-b1a5-302706872a16"]},{"id":"ITEM-11","itemData":{"DOI":"10.1046/j.1365-2958.2001.02315.x","ISBN":"1365-2958","ISSN":"0950382X","PMID":"11251843","abstract":"We previously characterized the invasive ability of Escherichia coli strain LF82, isolated from an ileal biopsy of a patient with Crohn's disease. In the present study, we performed TnphoA insertion mutagenesis to identify genes involved in LF82 invasion of intestinal epithelial cells. Most of the non-invasive mutants had an insertion mutation within the type 1 pili-encoding operon. Two non-invasive fim mutants, which harboured an insertion within the fimI and fimF genes, still adhered but had lost the ability to induce host cell membrane elongations at the sites of contact with the epithelial cells. Transcomplementation experiments with a fim operon cloned from E. coli K-12 restored both invasive ability and the ability to induce host cell membrane elongations. Expression of the cloned LF82 or K-12 fim operon into the non-invasive laboratory strain JM109 did not confer invasive properties. Thus, these findings showed that: (i) type 1 pili-mediated adherence is involved in LF82-induced perturbation of host cell signalling responsible for membrane elongations; (ii) native shafts are required for type 1 pilus-mediated induction of membrane elongations; (iii) this active phenomenon is a key step in the establishment of the invasive process; and (iv) type 1 pili alone are not sufficient to trigger bacterial internalization.","author":[{"dropping-particle":"","family":"Boudeau","given":"J.","non-dropping-particle":"","parse-names":false,"suffix":""},{"dropping-particle":"","family":"Barnich","given":"N.","non-dropping-particle":"","parse-names":false,"suffix":""},{"dropping-particle":"","family":"Darfeuille-Michaud","given":"a.","non-dropping-particle":"","parse-names":false,"suffix":""}],"container-title":"Molecular Microbiology","id":"ITEM-11","issue":"5","issued":{"date-parts":[["2001"]]},"page":"1272-1284","title":"Type 1 pili-mediated adherence of Escherichia coli strain LF82 isolated from Crohn's disease is involved in bacterial invasion of intestinal epithelial cells","type":"article-journal","volume":"39"},"uris":["http://www.mendeley.com/documents/?uuid=b17a19be-8d04-49f4-8b99-8a9f2b4c84f5"]},{"id":"ITEM-12","itemData":{"ISSN":"0019-9567","PMID":"10456892","abstract":"Crohn's disease (CD) is an inflammatory bowel disease in which Escherichia coli strains have been suspected of being involved. We demonstrated previously that ileal lesions of CD are colonized by E. coli strains able to adhere to intestinal Caco-2 cells but devoid of the virulence genes so far described in the pathogenic E. coli strains involved in gastrointestinal infections. In the present study we compared the invasive ability of one of these strains isolated from an ileal biopsy of a patient with CD, strain LF82, with that of reference enteroinvasive (EIEC), enteropathogenic (EPEC), enterotoxigenic (ETEC), enteraggregative (EAggEC), enterohemorrhagic (EHEC), and diffusely adhering (DAEC) E. coli strains. Gentamicin protection assays showed that E. coli LF82 was able to efficiently invade HEp-2 cells. Its invasive level was not significantly different from that of EIEC and EPEC strains (P &gt; 0.5) but significantly higher than that of ETEC (P &lt; 0.03), EHEC (P &lt; 0. 005), EAggEC (P &lt; 0.004) and DAEC (P &lt; 0.02) strains. Strain LF82 also demonstrated efficient ability to invade intestinal epithelial cultured Caco-2, Intestine-407, and HCT-8 cells. Electron microscopy examination of infected HEp-2 cells revealed the presence of numerous intracellular bacteria located in vacuoles or free in the host cell cytoplasm. In addition, the interaction of strain LF82 with epithelial cells was associated with the elongation of microvillar extensions that extruded from the host cell membranes and engulfed the bacteria. This internalization mechanism strongly resembles Salmonella- or Shigella-induced macropinocytosis. The use of cytochalasin D and colchicine showed that the uptake of strain LF82 by HEp-2 cells was mediated by both an actin microfilament-dependent mechanism and microtubule involvement. In addition, strain LF82 survived for at least 24 h in HEp-2 and Intestine-407 cells and efficiently replicated intracellularly in HEp-2 cells. PCR and hybridization experiments did not reveal the presence of any of the genetic determinants encoding EIEC, EPEC, or ETEC proteins involved in bacterial invasion. Thus, these findings show that LF82, which colonized the ileal mucosa of a patient with CD, is a true invasive E. coli strain and suggest the existence of a new potentially pathogenic group of E. coli, which we propose be designated adherent-invasive E. coli.","author":[{"dropping-particle":"","family":"Boudeau","given":"J","non-dropping-particle":"","parse-names":false,"suffix":""},{"dropping-particle":"","family":"Glasser","given":"A L","non-dropping-particle":"","parse-names":false,"suffix":""},{"dropping-particle":"","family":"Masseret","given":"E","non-dropping-particle":"","parse-names":false,"suffix":""},{"dropping-particle":"","family":"Joly","given":"B","non-dropping-particle":"","parse-names":false,"suffix":""},{"dropping-particle":"","family":"Darfeuille-Michaud","given":"A","non-dropping-particle":"","parse-names":false,"suffix":""}],"container-title":"Infection and immunity","id":"ITEM-12","issue":"9","issued":{"date-parts":[["1999","9"]]},"page":"4499-509","title":"Invasive ability of an Escherichia coli strain isolated from the ileal mucosa of a patient with Crohn's disease.","type":"article-journal","volume":"67"},"uris":["http://www.mendeley.com/documents/?uuid=63c1ac8a-f8e0-4620-b143-f67cd50e791a"]},{"id":"ITEM-13","itemData":{"DOI":"10.1111/j.1462-5822.2009.01381.x","ISBN":"1462-5822 (Electronic) 1462-5814 (Linking)","ISSN":"14625814","PMID":"19747213","abstract":"Ileal lesions in Crohn's disease (CD) patients are colonized by pathogenic adherent-invasive Escherichia coli (AIEC) able to invade and to replicate within intestinal epithelial cells. Recent genome-wide association studies have highlighted the autophagy pathway as being associated with CD risk. In the present study we investigated whether defects in autophagy enhance replication of commensal and pathogenic Escherichia coli and CD-associated AIEC. We show that functional autophagy limits intracellular AIEC replication and that a subpopulation of the intracellular bacteria is located within LC3-positive autophagosomes. In IRGM and ATG16L1 deficient cells intracellular AIEC LF82 bacteria have enhanced replication. Surprisingly autophagy deficiency did not interfere with the ability of intracellular bacteria to survive and/or replicate for any other E. coli strains tested, including non-pathogenic, environmental, commensal, or pathogenic strains involved in gastro enteritis. Together these findings demonstrate a central role for autophagy restraining Adherent-Invasive E. coli strains associated with ileal CD. AIEC infection in patients with polymorphisms in autophagy genes may have a significant impact on the outcome of intestinal inflammation.","author":[{"dropping-particle":"","family":"Lapaquette","given":"Pierre","non-dropping-particle":"","parse-names":false,"suffix":""},{"dropping-particle":"","family":"Glasser","given":"Anne Lise","non-dropping-particle":"","parse-names":false,"suffix":""},{"dropping-particle":"","family":"Huett","given":"Alan","non-dropping-particle":"","parse-names":false,"suffix":""},{"dropping-particle":"","family":"Xavier","given":"Ramnik J.","non-dropping-particle":"","parse-names":false,"suffix":""},{"dropping-particle":"","family":"Darfeuille-Michaud","given":"Arlette","non-dropping-particle":"","parse-names":false,"suffix":""}],"container-title":"Cellular Microbiology","id":"ITEM-13","issue":"1","issued":{"date-parts":[["2010"]]},"page":"99-113","title":"Crohn's disease-associated adherent-invasive E. coli are selectively favoured by impaired autophagy to replicate intracellularly","type":"article-journal","volume":"12"},"uris":["http://www.mendeley.com/documents/?uuid=92470d3c-4e4a-4e27-9f13-e492e933d50a"]},{"id":"ITEM-14","itemData":{"DOI":"10.3389/fmicb.2018.02559","ISSN":"1664-302X","PMID":"30425690","abstract":"Dysbiosis of the gut microbiome, including elevated abundance of putative leading bacterial triggers such as E. coli in inflammatory bowel disease (IBD) patients, is of great interest. To date, most E. coli studies in IBD patients are focused on clinical isolates, overlooking their relative abundances and turnover over time. Metagenomics-based studies, on the other hand, are less focused on strain-level investigations. Here, using recently developed bioinformatic tools, we analyzed the abundance and properties of specific E. coli strains in a Crohns disease (CD) patient longitudinally, while also considering the composition of the entire community over time. In this report, we conducted a pilot study on metagenomic-based, strain-level analysis of a time-series of E. coli strains in a left-sided CD patient, who exhibited sustained levels of E. coli greater than 100X healthy controls. We: (1) mapped out the composition of the gut microbiome over time, particularly the presence of E. coli strains, and found that the abundance and dominance of specific E. coli strains in the community varied over time; (2) performed strain-level de novo assemblies of seven dominant E. coli strains, and illustrated disparity between these strains in both phylogenetic origin and genomic content; (3) observed that strain ST1 (recovered during peak inflammation) is highly similar to known pathogenic AIEC strains NC101 and LF82 in both virulence factors and metabolic functions, while other strains (ST2-ST7) that were collected during more stable states displayed diverse characteristics; (4) isolated, sequenced, experimentally characterized ST1, and confirmed the accuracy of the de novo assembly; and (5) assessed growth capability of ST1 with a newly reconstructed genome-scale metabolic model of the strain, and showed its potential to use substrates found abundantly in the human gut to outcompete other microbes. In conclusion, inflammation status (assessed by the blood C-reactive protein and stool calprotectin) is likely correlated with the abundance of a subgroup of E. coli strains with specific traits. Therefore, strain-level time-series analysis of dominant E. coli strains in a CD patient is highly informative, and motivates a study of a larger cohort of IBD patients.","author":[{"dropping-particle":"","family":"Fang","given":"Xin","non-dropping-particle":"","parse-names":false,"suffix":""},{"dropping-particle":"","family":"Monk","given":"Jonathan M","non-dropping-particle":"","parse-names":false,"suffix":""},{"dropping-particle":"","family":"Nurk","given":"Sergey","non-dropping-particle":"","parse-names":false,"suffix":""},{"dropping-particle":"","family":"Akseshina","given":"Margarita","non-dropping-particle":"","parse-names":false,"suffix":""},{"dropping-particle":"","family":"Zhu","given":"Qiyun","non-dropping-particle":"","parse-names":false,"suffix":""},{"dropping-particle":"","family":"Gemmell","given":"Christopher","non-dropping-particle":"","parse-names":false,"suffix":""},{"dropping-particle":"","family":"Gianetto-Hill","given":"Connor","non-dropping-particle":"","parse-names":false,"suffix":""},{"dropping-particle":"","family":"Leung","given":"Nelly","non-dropping-particle":"","parse-names":false,"suffix":""},{"dropping-particle":"","family":"Szubin","given":"Richard","non-dropping-particle":"","parse-names":false,"suffix":""},{"dropping-particle":"","family":"Sanders","given":"Jon","non-dropping-particle":"","parse-names":false,"suffix":""},{"dropping-particle":"","family":"Beck","given":"Paul L","non-dropping-particle":"","parse-names":false,"suffix":""},{"dropping-particle":"","family":"Li","given":"Weizhong","non-dropping-particle":"","parse-names":false,"suffix":""},{"dropping-particle":"","family":"Sandborn","given":"William J","non-dropping-particle":"","parse-names":false,"suffix":""},{"dropping-particle":"","family":"Gray-Owen","given":"Scott D","non-dropping-particle":"","parse-names":false,"suffix":""},{"dropping-particle":"","family":"Knight","given":"Rob","non-dropping-particle":"","parse-names":false,"suffix":""},{"dropping-particle":"","family":"Allen-Vercoe","given":"Emma","non-dropping-particle":"","parse-names":false,"suffix":""},{"dropping-particle":"","family":"Palsson","given":"Bernhard O","non-dropping-particle":"","parse-names":false,"suffix":""},{"dropping-particle":"","family":"Smarr","given":"Larry","non-dropping-particle":"","parse-names":false,"suffix":""}],"container-title":"Frontiers in microbiology","id":"ITEM-14","issued":{"date-parts":[["2018"]]},"page":"2559","publisher":"Frontiers Media SA","title":"Metagenomics-based, strain-level analysis of Escherichia coli from a time-series of microbiome samples from a Crohn's disease patient.","type":"article-journal","volume":"9"},"uris":["http://www.mendeley.com/documents/?uuid=dbc65b36-27a3-3512-99c7-b009b97bd826"]},{"id":"ITEM-15","itemData":{"DOI":"10.1101/772012","abstract":"Background &amp; Aims Adherent-invasive Escherichia coli (AIEC) are enriched in ileal Crohn’s disease patients and implicated in disease etiology. However, AIEC pathogenesis is poorly understood, and it is unclear if the expansion of these organisms contributes to inflammatory bowel disease (IBD). Questions also remain as to what extent the various in vitro phenotypes used to classify AIEC are pathologically relevant.\n\nMethods We utilized a combination of in vitro phenotyping and a murine model of intestinal inflammation to systematically relate AIEC phenotypes to pathogenicity for 30 mucosa-associated human-derived E. coli strains. In vitro assays used included survival/replication in and TNF-α production by J774 macrophages as well as invasion/replication in Caco2 intestinal epithelial cells.\n\nResults AIEC do not form a phenotypic group that is clearly separated from non-AIEC. However, E. coli strains displaying in vitro AIEC phenotypes caused, on average, more severe intestinal inflammation. Survival/replication of strains in J774 and Caco2 cells were positively correlated with disease in vivo , while adherence to Caco2 cells and TNF-α production by J774 cells were not. Importantly, co-colonization with adherent non-AIEC strains ameliorated AIEC-mediated disease.\n\nConclusion Our findings do not support the existence of an AIEC pathovar that can be clearly separated from commensal E. coli . However, intracellular survival/replication phenotypes do contribute to murine intestinal inflammation, suggesting that the AIEC overgrowth observed in human IBD makes a causal contribution to disease. The ability to differentiate pathologically-relevant AIEC phenotypes from those that are not provides an important foundation for developing strategies to predict, diagnose and treat human IBD through characterizing and modulating patient E. coli populations.","author":[{"dropping-particle":"","family":"Kittana","given":"Hatem","non-dropping-particle":"","parse-names":false,"suffix":""},{"dropping-particle":"","family":"Gomes-Neto","given":"João C.","non-dropping-particle":"","parse-names":false,"suffix":""},{"dropping-particle":"","family":"Heck","given":"Kari","non-dropping-particle":"","parse-names":false,"suffix":""},{"dropping-particle":"","family":"Sughroue","given":"Jason","non-dropping-particle":"","parse-names":false,"suffix":""},{"dropping-particle":"","family":"Xian","given":"Yibo","non-dropping-particle":"","parse-names":false,"suffix":""},{"dropping-particle":"","family":"Mantz","given":"Sara","non-dropping-particle":"","parse-names":false,"suffix":""},{"dropping-particle":"","family":"Muñoz","given":"Rafael R. Segura","non-dropping-particle":"","parse-names":false,"suffix":""},{"dropping-particle":"","family":"Cody","given":"Liz A.","non-dropping-particle":"","parse-names":false,"suffix":""},{"dropping-particle":"","family":"Schmaltz","given":"Robert J.","non-dropping-particle":"","parse-names":false,"suffix":""},{"dropping-particle":"","family":"Anderson","given":"Christopher L.","non-dropping-particle":"","parse-names":false,"suffix":""},{"dropping-particle":"","family":"Moxley","given":"Rodney A.","non-dropping-particle":"","parse-names":false,"suffix":""},{"dropping-particle":"","family":"Hostetter","given":"Jesse M.","non-dropping-particle":"","parse-names":false,"suffix":""},{"dropping-particle":"","family":"Fernando","given":"Samodha C.","non-dropping-particle":"","parse-names":false,"suffix":""},{"dropping-particle":"","family":"Clarke","given":"Jennifer","non-dropping-particle":"","parse-names":false,"suffix":""},{"dropping-particle":"","family":"Kachman","given":"Stephen D.","non-dropping-particle":"","parse-names":false,"suffix":""},{"dropping-particle":"","family":"Cressler","given":"Clayton E.","non-dropping-particle":"","parse-names":false,"suffix":""},{"dropping-particle":"","family":"Benson","given":"Andrew K.","non-dropping-particle":"","parse-names":false,"suffix":""},{"dropping-particle":"","family":"Walter","given":"Jens","non-dropping-particle":"","parse-names":false,"suffix":""},{"dropping-particle":"","family":"Ramer-Tait","given":"Amanda E.","non-dropping-particle":"","parse-names":false,"suffix":""}],"container-title":"bioRxiv","id":"ITEM-15","issued":{"date-parts":[["2019","9","18"]]},"page":"772012","publisher":"Cold Spring Harbor Laboratory","title":"Establishing the phenotypic basis of adherent-invasive Escherichia coli (AIEC) pathogenicity in intestinal inflammation","type":"article-journal"},"uris":["http://www.mendeley.com/documents/?uuid=009e9613-25bd-3ff6-b8b2-920d24795012"]}],"mendeley":{"formattedCitation":"&lt;sup&gt;[1,9,61–65,16,34,39,54,57–60]&lt;/sup&gt;","plainTextFormattedCitation":"[1,9,61–65,16,34,39,54,57–60]","previouslyFormattedCitation":"&lt;sup&gt;[1,9,16,34,39,54,57–65]&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C15F0F" w:rsidRPr="000A6219">
        <w:rPr>
          <w:rFonts w:ascii="Book Antiqua" w:eastAsia="Calibri" w:hAnsi="Book Antiqua" w:cs="Times New Roman"/>
          <w:noProof/>
          <w:sz w:val="24"/>
          <w:szCs w:val="24"/>
          <w:vertAlign w:val="superscript"/>
          <w:lang w:val="en-US"/>
        </w:rPr>
        <w:t>[1,9,16,34,39,</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2</w:t>
      </w:r>
      <w:r w:rsidR="00C15F0F"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5</w:t>
      </w:r>
      <w:r w:rsidR="00C15F0F"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7</w:t>
      </w:r>
      <w:r w:rsidR="0077005C" w:rsidRPr="000A6219">
        <w:rPr>
          <w:rFonts w:ascii="Book Antiqua" w:eastAsia="Calibri" w:hAnsi="Book Antiqua" w:cs="Times New Roman"/>
          <w:noProof/>
          <w:sz w:val="24"/>
          <w:szCs w:val="24"/>
          <w:vertAlign w:val="superscript"/>
          <w:lang w:val="en-US"/>
        </w:rPr>
        <w:t>3</w:t>
      </w:r>
      <w:r w:rsidR="004C4A78"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and the intramacrophage survival and replic</w:t>
      </w:r>
      <w:r w:rsidR="00BE2357" w:rsidRPr="000A6219">
        <w:rPr>
          <w:rFonts w:ascii="Book Antiqua" w:eastAsia="Calibri" w:hAnsi="Book Antiqua" w:cs="Times New Roman"/>
          <w:sz w:val="24"/>
          <w:szCs w:val="24"/>
          <w:lang w:val="en-US"/>
        </w:rPr>
        <w:t>ation index ranges between 223.0</w:t>
      </w:r>
      <w:r w:rsidR="00AE4BC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and 580.0%</w:t>
      </w:r>
      <w:r w:rsidRPr="000A6219">
        <w:rPr>
          <w:rFonts w:ascii="Book Antiqua" w:eastAsia="Calibri" w:hAnsi="Book Antiqua" w:cs="Times New Roman"/>
          <w:sz w:val="24"/>
          <w:szCs w:val="24"/>
          <w:lang w:val="en-US"/>
        </w:rPr>
        <w:fldChar w:fldCharType="begin" w:fldLock="1"/>
      </w:r>
      <w:r w:rsidR="004C4A78" w:rsidRPr="000A6219">
        <w:rPr>
          <w:rFonts w:ascii="Book Antiqua" w:eastAsia="Calibri" w:hAnsi="Book Antiqua" w:cs="Times New Roman"/>
          <w:sz w:val="24"/>
          <w:szCs w:val="24"/>
          <w:lang w:val="en-US"/>
        </w:rPr>
        <w:instrText>ADDIN CSL_CITATION {"citationItems":[{"id":"ITEM-1","itemData":{"DOI":"10.1128/IAI.69.9.5529","ISBN":"0019-9567","ISSN":"0019-9567","author":[{"dropping-particle":"","family":"Glasser","given":"Anne-lise","non-dropping-particle":"","parse-names":false,"suffix":""},{"dropping-particle":"","family":"Boudeau","given":"Jerome","non-dropping-particle":"","parse-names":false,"suffix":""},{"dropping-particle":"","family":"Barnich","given":"Nicolas","non-dropping-particle":"","parse-names":false,"suffix":""},{"dropping-particle":"","family":"Perruchot","given":"Marie-helene","non-dropping-particle":"","parse-names":false,"suffix":""},{"dropping-particle":"","family":"Colombel","given":"Jean-frederic","non-dropping-particle":"","parse-names":false,"suffix":""},{"dropping-particle":"","family":"Darfeuille-michaud","given":"Arlette","non-dropping-particle":"","parse-names":false,"suffix":""}],"container-title":"Infection and immunity Immun","id":"ITEM-1","issue":"9","issued":{"date-parts":[["2001"]]},"page":"5529-37","title":"Adherent invasive Escherichia coli strains from patients with Crohn's disease survive and replicate within macrophages without inducing host cell death","type":"article-journal","volume":"69"},"uris":["http://www.mendeley.com/documents/?uuid=dac7dc69-33df-42a9-a7de-6e12b6464a60"]},{"id":"ITEM-2","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Journal","id":"ITEM-2","issue":"5","issued":{"date-parts":[["2007","9","12"]]},"note":"Ref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ileum","type":"article-journal","volume":"1"},"uris":["http://www.mendeley.com/documents/?uuid=2107dc8c-d9c8-3eaa-aff8-de85bd3a90fa"]},{"id":"ITEM-3","itemData":{"DOI":"10.1053/j.gastro.2004.04.061","ISBN":"0016-5085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Frédéric","non-dropping-particle":"","parse-names":false,"suffix":""}],"container-title":"Gastroenterology","id":"ITEM-3","issue":"2","issued":{"date-parts":[["2004"]]},"page":"412-421","title":"High prevalence of adherent-invasive Escherichia coli associated with ileal mucosa in Crohn's disease","type":"article-journal","volume":"127"},"uris":["http://www.mendeley.com/documents/?uuid=c37eb702-0cb7-4694-ad28-7a4aed1f66ff"]},{"id":"ITEM-4","itemData":{"DOI":"10.3389/fmicb.2018.02559","ISSN":"1664-302X","PMID":"30425690","abstract":"Dysbiosis of the gut microbiome, including elevated abundance of putative leading bacterial triggers such as E. coli in inflammatory bowel disease (IBD) patients, is of great interest. To date, most E. coli studies in IBD patients are focused on clinical isolates, overlooking their relative abundances and turnover over time. Metagenomics-based studies, on the other hand, are less focused on strain-level investigations. Here, using recently developed bioinformatic tools, we analyzed the abundance and properties of specific E. coli strains in a Crohns disease (CD) patient longitudinally, while also considering the composition of the entire community over time. In this report, we conducted a pilot study on metagenomic-based, strain-level analysis of a time-series of E. coli strains in a left-sided CD patient, who exhibited sustained levels of E. coli greater than 100X healthy controls. We: (1) mapped out the composition of the gut microbiome over time, particularly the presence of E. coli strains, and found that the abundance and dominance of specific E. coli strains in the community varied over time; (2) performed strain-level de novo assemblies of seven dominant E. coli strains, and illustrated disparity between these strains in both phylogenetic origin and genomic content; (3) observed that strain ST1 (recovered during peak inflammation) is highly similar to known pathogenic AIEC strains NC101 and LF82 in both virulence factors and metabolic functions, while other strains (ST2-ST7) that were collected during more stable states displayed diverse characteristics; (4) isolated, sequenced, experimentally characterized ST1, and confirmed the accuracy of the de novo assembly; and (5) assessed growth capability of ST1 with a newly reconstructed genome-scale metabolic model of the strain, and showed its potential to use substrates found abundantly in the human gut to outcompete other microbes. In conclusion, inflammation status (assessed by the blood C-reactive protein and stool calprotectin) is likely correlated with the abundance of a subgroup of E. coli strains with specific traits. Therefore, strain-level time-series analysis of dominant E. coli strains in a CD patient is highly informative, and motivates a study of a larger cohort of IBD patients.","author":[{"dropping-particle":"","family":"Fang","given":"Xin","non-dropping-particle":"","parse-names":false,"suffix":""},{"dropping-particle":"","family":"Monk","given":"Jonathan M","non-dropping-particle":"","parse-names":false,"suffix":""},{"dropping-particle":"","family":"Nurk","given":"Sergey","non-dropping-particle":"","parse-names":false,"suffix":""},{"dropping-particle":"","family":"Akseshina","given":"Margarita","non-dropping-particle":"","parse-names":false,"suffix":""},{"dropping-particle":"","family":"Zhu","given":"Qiyun","non-dropping-particle":"","parse-names":false,"suffix":""},{"dropping-particle":"","family":"Gemmell","given":"Christopher","non-dropping-particle":"","parse-names":false,"suffix":""},{"dropping-particle":"","family":"Gianetto-Hill","given":"Connor","non-dropping-particle":"","parse-names":false,"suffix":""},{"dropping-particle":"","family":"Leung","given":"Nelly","non-dropping-particle":"","parse-names":false,"suffix":""},{"dropping-particle":"","family":"Szubin","given":"Richard","non-dropping-particle":"","parse-names":false,"suffix":""},{"dropping-particle":"","family":"Sanders","given":"Jon","non-dropping-particle":"","parse-names":false,"suffix":""},{"dropping-particle":"","family":"Beck","given":"Paul L","non-dropping-particle":"","parse-names":false,"suffix":""},{"dropping-particle":"","family":"Li","given":"Weizhong","non-dropping-particle":"","parse-names":false,"suffix":""},{"dropping-particle":"","family":"Sandborn","given":"William J","non-dropping-particle":"","parse-names":false,"suffix":""},{"dropping-particle":"","family":"Gray-Owen","given":"Scott D","non-dropping-particle":"","parse-names":false,"suffix":""},{"dropping-particle":"","family":"Knight","given":"Rob","non-dropping-particle":"","parse-names":false,"suffix":""},{"dropping-particle":"","family":"Allen-Vercoe","given":"Emma","non-dropping-particle":"","parse-names":false,"suffix":""},{"dropping-particle":"","family":"Palsson","given":"Bernhard O","non-dropping-particle":"","parse-names":false,"suffix":""},{"dropping-particle":"","family":"Smarr","given":"Larry","non-dropping-particle":"","parse-names":false,"suffix":""}],"container-title":"Frontiers in microbiology","id":"ITEM-4","issued":{"date-parts":[["2018"]]},"page":"2559","publisher":"Frontiers Media SA","title":"Metagenomics-based, strain-level analysis of Escherichia coli from a time-series of microbiome samples from a Crohn's disease patient.","type":"article-journal","volume":"9"},"uris":["http://www.mendeley.com/documents/?uuid=dbc65b36-27a3-3512-99c7-b009b97bd826"]},{"id":"ITEM-5","itemData":{"DOI":"10.1186/1756-0500-7-748","ISSN":"1756-0500","PMID":"25338542","abstract":"BACKGROUND: Adherent-invasive Escherichia coli (AIEC) have been implicated in the ethiopathogenesis of Crohn's disease (CD). In this study, we analyzed a collection of intestinal mucosa-associated E. coli isolates, presenting AIEC phenotypes, isolated from biopsies of CD pediatric patients and non-inflammatory bowel diseases (IBD) controls, in order to investigate their genetic and phenotypic pathogenic features.\\n\\nRESULTS: A total of 616 E. coli isolates from biopsies of four pediatric CD patients and of four non-IBD controls were collected and individually analyzed. For AIEC identification, adherent isolates were assayed for invasiveness, and the capacity of the adhesive-invasive isolates to survive and replicate intracellularly was determined over macrophages J774. In this way we identified 36 AIEC-like isolates. Interestingly, their relative abundance was significantly higher in CD patients (10%; 31/308) than in non-IBD controls (1%; 5/308) (χ2 = 38.96 p &lt; 0.001). Furthermore pulsed field gel electrophoresis (PFGE) and randomly amplified polymorphic DNA (RAPD) techniques were applied to analyze the clonality of the 36 AIEC-like isolates. The results obtained allowed us to identify 27 distinct genotypes (22 from CD patients and 5 from non-IBD controls). As for the AIEC prototype strain LF82, all 27 AIEC genotypes presented an aggregative pattern of adherence (AA) that was inhibited by D-mannose, indicating that adhesiveness of AIEC is likely mediated by type 1 pili. PCR analisys was used to investigate presence of virulence genes. The results indicated that among the 27 AIEC isolates, the incidence of genes encoding virulence factors K1 (χ2 = 6.167 P = 0.013), kpsMT II (χ2 = 6.167 P = 0.013), fyuA (χ2 = 6.167 P = 0.013), and ibeA (χ2 = 8.867 P = 0.003) was significantly higher among AIEC strains isolated from CD patients than non-IBD controls.\\n\\nCONCLUSIONS: The identification of AIEC strains in both CD and non-IBD controls, confirmed the \"pathobiont\" nature of AIEC strains. The finding that AIEC-like isolates were more abundant in CD patients, indicates that a close association of these strains with CD may also exists in pediatric patients.","author":[{"dropping-particle":"","family":"Conte","given":"Maria Pia","non-dropping-particle":"","parse-names":false,"suffix":""},{"dropping-particle":"","family":"Longhi","given":"Catia","non-dropping-particle":"","parse-names":false,"suffix":""},{"dropping-particle":"","family":"Marazzato","given":"Massimiliano","non-dropping-particle":"","parse-names":false,"suffix":""},{"dropping-particle":"","family":"Conte","given":"Antonietta Lucia","non-dropping-particle":"","parse-names":false,"suffix":""},{"dropping-particle":"","family":"Aleandri","given":"Marta","non-dropping-particle":"","parse-names":false,"suffix":""},{"dropping-particle":"","family":"Lepanto","given":"Maria Stefania","non-dropping-particle":"","parse-names":false,"suffix":""},{"dropping-particle":"","family":"Zagaglia","given":"Carlo","non-dropping-particle":"","parse-names":false,"suffix":""},{"dropping-particle":"","family":"Nicoletti","given":"Mauro","non-dropping-particle":"","parse-names":false,"suffix":""},{"dropping-particle":"","family":"Aloi","given":"Marina","non-dropping-particle":"","parse-names":false,"suffix":""},{"dropping-particle":"","family":"Totino","given":"Valentina","non-dropping-particle":"","parse-names":false,"suffix":""},{"dropping-particle":"","family":"Palamara","given":"Anna Teresa","non-dropping-particle":"","parse-names":false,"suffix":""},{"dropping-particle":"","family":"Schippa","given":"Serena","non-dropping-particle":"","parse-names":false,"suffix":""}],"container-title":"BMC research notes","id":"ITEM-5","issue":"1","issued":{"date-parts":[["2014"]]},"page":"748","title":"Adherent-invasive Escherichia coli (AIEC) in pediatric Crohn's disease patients: phenotypic and genetic pathogenic features.","type":"article-journal","volume":"7"},"uris":["http://www.mendeley.com/documents/?uuid=7bbeb97f-85b8-4d75-8c59-8aaeab2c26f5"]},{"id":"ITEM-6","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-6","issue":"8","issued":{"date-parts":[["2016"]]},"page":"1382-1389","title":"Comparative genomics of Crohn's disease-associated adherent-invasive Escherichia coli","type":"article-journal","volume":"66"},"uris":["http://www.mendeley.com/documents/?uuid=5433c40e-8818-41e5-9f75-43963d20c944"]},{"id":"ITEM-7","itemData":{"DOI":"10.1128/IAI.73.2.712-721.2005","ISSN":"0019-9567","PMID":"15664909","abstract":"Adherent and invasive Escherichia coli (AIEC) bacteria isolated from Crohn's disease patients are able to greatly replicate within macrophages without escaping from the phagosome and without inducing macrophage death. In the present study, evidence is provided that in AIEC strain LF82 the htrA gene encoding the stress protein HtrA is essential for intracellular replication within J774-A1 macrophages. Deletion of the htrA gene in strain LF82 induced increased sensitivity of the isogenic mutant to oxidative stress caused by hydrogen peroxide and a reduced rate of growth in an acid and nutrient-poor medium partly reproducing the microenvironment of the phagosome. In vitro experiments using an LF82 htrA gene promoter fusion with the lacZ gene revealed a 38-fold activation of the promoter in AIEC LF82 intramacrophagic bacteria. The CpxRA two-component signaling pathway was not involved in this activation. In addition, the activation of the LF82 htrA gene promoter was not observed in the nonpathogenic E. coli K-12 intramacrophagic bacteria, indicating that the AIEC LF82 genetic background is crucial for induction of htrA gene transcription during phagocytosis.","author":[{"dropping-particle":"","family":"Bringer","given":"Marie-Agnès","non-dropping-particle":"","parse-names":false,"suffix":""},{"dropping-particle":"","family":"Barnich","given":"Nicolas","non-dropping-particle":"","parse-names":false,"suffix":""},{"dropping-particle":"","family":"Glasser","given":"Anne-Lise","non-dropping-particle":"","parse-names":false,"suffix":""},{"dropping-particle":"","family":"Bardot","given":"Olivier","non-dropping-particle":"","parse-names":false,"suffix":""},{"dropping-particle":"","family":"Darfeuille-Michaud","given":"Arlette","non-dropping-particle":"","parse-names":false,"suffix":""}],"container-title":"Infection and immunity","id":"ITEM-7","issue":"2","issued":{"date-parts":[["2005","2"]]},"page":"712-21","publisher":"American Society for Microbiology (ASM)","title":"HtrA stress protein is involved in intramacrophagic replication of adherent and invasive Escherichia coli strain LF82 isolated from a patient with Crohn's disease.","type":"article-journal","volume":"73"},"uris":["http://www.mendeley.com/documents/?uuid=b7a37f2b-8b71-3cc1-ae3d-a00e9f4df1c5"]},{"id":"ITEM-8","itemData":{"DOI":"10.1101/772012","abstract":"Background &amp; Aims Adherent-invasive Escherichia coli (AIEC) are enriched in ileal Crohn’s disease patients and implicated in disease etiology. However, AIEC pathogenesis is poorly understood, and it is unclear if the expansion of these organisms contributes to inflammatory bowel disease (IBD). Questions also remain as to what extent the various in vitro phenotypes used to classify AIEC are pathologically relevant.\n\nMethods We utilized a combination of in vitro phenotyping and a murine model of intestinal inflammation to systematically relate AIEC phenotypes to pathogenicity for 30 mucosa-associated human-derived E. coli strains. In vitro assays used included survival/replication in and TNF-α production by J774 macrophages as well as invasion/replication in Caco2 intestinal epithelial cells.\n\nResults AIEC do not form a phenotypic group that is clearly separated from non-AIEC. However, E. coli strains displaying in vitro AIEC phenotypes caused, on average, more severe intestinal inflammation. Survival/replication of strains in J774 and Caco2 cells were positively correlated with disease in vivo , while adherence to Caco2 cells and TNF-α production by J774 cells were not. Importantly, co-colonization with adherent non-AIEC strains ameliorated AIEC-mediated disease.\n\nConclusion Our findings do not support the existence of an AIEC pathovar that can be clearly separated from commensal E. coli . However, intracellular survival/replication phenotypes do contribute to murine intestinal inflammation, suggesting that the AIEC overgrowth observed in human IBD makes a causal contribution to disease. The ability to differentiate pathologically-relevant AIEC phenotypes from those that are not provides an important foundation for developing strategies to predict, diagnose and treat human IBD through characterizing and modulating patient E. coli populations.","author":[{"dropping-particle":"","family":"Kittana","given":"Hatem","non-dropping-particle":"","parse-names":false,"suffix":""},{"dropping-particle":"","family":"Gomes-Neto","given":"João C.","non-dropping-particle":"","parse-names":false,"suffix":""},{"dropping-particle":"","family":"Heck","given":"Kari","non-dropping-particle":"","parse-names":false,"suffix":""},{"dropping-particle":"","family":"Sughroue","given":"Jason","non-dropping-particle":"","parse-names":false,"suffix":""},{"dropping-particle":"","family":"Xian","given":"Yibo","non-dropping-particle":"","parse-names":false,"suffix":""},{"dropping-particle":"","family":"Mantz","given":"Sara","non-dropping-particle":"","parse-names":false,"suffix":""},{"dropping-particle":"","family":"Muñoz","given":"Rafael R. Segura","non-dropping-particle":"","parse-names":false,"suffix":""},{"dropping-particle":"","family":"Cody","given":"Liz A.","non-dropping-particle":"","parse-names":false,"suffix":""},{"dropping-particle":"","family":"Schmaltz","given":"Robert J.","non-dropping-particle":"","parse-names":false,"suffix":""},{"dropping-particle":"","family":"Anderson","given":"Christopher L.","non-dropping-particle":"","parse-names":false,"suffix":""},{"dropping-particle":"","family":"Moxley","given":"Rodney A.","non-dropping-particle":"","parse-names":false,"suffix":""},{"dropping-particle":"","family":"Hostetter","given":"Jesse M.","non-dropping-particle":"","parse-names":false,"suffix":""},{"dropping-particle":"","family":"Fernando","given":"Samodha C.","non-dropping-particle":"","parse-names":false,"suffix":""},{"dropping-particle":"","family":"Clarke","given":"Jennifer","non-dropping-particle":"","parse-names":false,"suffix":""},{"dropping-particle":"","family":"Kachman","given":"Stephen D.","non-dropping-particle":"","parse-names":false,"suffix":""},{"dropping-particle":"","family":"Cressler","given":"Clayton E.","non-dropping-particle":"","parse-names":false,"suffix":""},{"dropping-particle":"","family":"Benson","given":"Andrew K.","non-dropping-particle":"","parse-names":false,"suffix":""},{"dropping-particle":"","family":"Walter","given":"Jens","non-dropping-particle":"","parse-names":false,"suffix":""},{"dropping-particle":"","family":"Ramer-Tait","given":"Amanda E.","non-dropping-particle":"","parse-names":false,"suffix":""}],"container-title":"bioRxiv","id":"ITEM-8","issued":{"date-parts":[["2019","9","18"]]},"page":"772012","publisher":"Cold Spring Harbor Laboratory","title":"Establishing the phenotypic basis of adherent-invasive Escherichia coli (AIEC) pathogenicity in intestinal inflammation","type":"article-journal"},"uris":["http://www.mendeley.com/documents/?uuid=009e9613-25bd-3ff6-b8b2-920d24795012"]}],"mendeley":{"formattedCitation":"&lt;sup&gt;[1,9,16,21,34,54,58,66]&lt;/sup&gt;","plainTextFormattedCitation":"[1,9,16,21,34,54,58,66]","previouslyFormattedCitation":"&lt;sup&gt;[1,9,16,25,34,54,58,66]&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4C4A78" w:rsidRPr="000A6219">
        <w:rPr>
          <w:rFonts w:ascii="Book Antiqua" w:eastAsia="Calibri" w:hAnsi="Book Antiqua" w:cs="Times New Roman"/>
          <w:noProof/>
          <w:sz w:val="24"/>
          <w:szCs w:val="24"/>
          <w:vertAlign w:val="superscript"/>
          <w:lang w:val="en-US"/>
        </w:rPr>
        <w:t>[1,9,16,21,34,</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2</w:t>
      </w:r>
      <w:r w:rsidR="004C4A78"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6</w:t>
      </w:r>
      <w:r w:rsidR="004C4A78" w:rsidRPr="000A6219">
        <w:rPr>
          <w:rFonts w:ascii="Book Antiqua" w:eastAsia="Calibri" w:hAnsi="Book Antiqua" w:cs="Times New Roman"/>
          <w:noProof/>
          <w:sz w:val="24"/>
          <w:szCs w:val="24"/>
          <w:vertAlign w:val="superscript"/>
          <w:lang w:val="en-US"/>
        </w:rPr>
        <w:t>,</w:t>
      </w:r>
      <w:bookmarkStart w:id="22" w:name="_GoBack"/>
      <w:r w:rsidR="00554ED9">
        <w:rPr>
          <w:rFonts w:ascii="Book Antiqua" w:eastAsia="Calibri" w:hAnsi="Book Antiqua" w:cs="Times New Roman"/>
          <w:noProof/>
          <w:sz w:val="24"/>
          <w:szCs w:val="24"/>
          <w:vertAlign w:val="superscript"/>
          <w:lang w:val="en-US"/>
        </w:rPr>
        <w:t>7</w:t>
      </w:r>
      <w:r w:rsidR="0077005C" w:rsidRPr="000A6219">
        <w:rPr>
          <w:rFonts w:ascii="Book Antiqua" w:eastAsia="Calibri" w:hAnsi="Book Antiqua" w:cs="Times New Roman"/>
          <w:noProof/>
          <w:sz w:val="24"/>
          <w:szCs w:val="24"/>
          <w:vertAlign w:val="superscript"/>
          <w:lang w:val="en-US"/>
        </w:rPr>
        <w:t>4</w:t>
      </w:r>
      <w:r w:rsidR="004C4A78" w:rsidRPr="000A6219">
        <w:rPr>
          <w:rFonts w:ascii="Book Antiqua" w:eastAsia="Calibri" w:hAnsi="Book Antiqua" w:cs="Times New Roman"/>
          <w:noProof/>
          <w:sz w:val="24"/>
          <w:szCs w:val="24"/>
          <w:vertAlign w:val="superscript"/>
          <w:lang w:val="en-US"/>
        </w:rPr>
        <w:t>]</w:t>
      </w:r>
      <w:bookmarkEnd w:id="22"/>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This </w:t>
      </w:r>
      <w:r w:rsidR="00AE4BC2" w:rsidRPr="000A6219">
        <w:rPr>
          <w:rFonts w:ascii="Book Antiqua" w:eastAsia="Calibri" w:hAnsi="Book Antiqua" w:cs="Times New Roman"/>
          <w:sz w:val="24"/>
          <w:szCs w:val="24"/>
          <w:lang w:val="en-US"/>
        </w:rPr>
        <w:t xml:space="preserve">finding </w:t>
      </w:r>
      <w:r w:rsidRPr="000A6219">
        <w:rPr>
          <w:rFonts w:ascii="Book Antiqua" w:eastAsia="Calibri" w:hAnsi="Book Antiqua" w:cs="Times New Roman"/>
          <w:sz w:val="24"/>
          <w:szCs w:val="24"/>
          <w:lang w:val="en-US"/>
        </w:rPr>
        <w:t>is of particular concern</w:t>
      </w:r>
      <w:r w:rsidR="00AE4BC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especially for those strains that present low indices</w:t>
      </w:r>
      <w:r w:rsidR="000F7667" w:rsidRPr="000A6219">
        <w:rPr>
          <w:rFonts w:ascii="Book Antiqua" w:eastAsia="Calibri" w:hAnsi="Book Antiqua" w:cs="Times New Roman"/>
          <w:sz w:val="24"/>
          <w:szCs w:val="24"/>
          <w:lang w:val="en-US"/>
        </w:rPr>
        <w:t xml:space="preserve">, </w:t>
      </w:r>
      <w:r w:rsidR="00AE09AB" w:rsidRPr="000A6219">
        <w:rPr>
          <w:rFonts w:ascii="Book Antiqua" w:eastAsia="Calibri" w:hAnsi="Book Antiqua" w:cs="Times New Roman"/>
          <w:sz w:val="24"/>
          <w:szCs w:val="24"/>
          <w:lang w:val="en-US"/>
        </w:rPr>
        <w:t xml:space="preserve">which are </w:t>
      </w:r>
      <w:r w:rsidR="000F7667" w:rsidRPr="000A6219">
        <w:rPr>
          <w:rFonts w:ascii="Book Antiqua" w:eastAsia="Calibri" w:hAnsi="Book Antiqua" w:cs="Times New Roman"/>
          <w:sz w:val="24"/>
          <w:szCs w:val="24"/>
          <w:lang w:val="en-US"/>
        </w:rPr>
        <w:t>close to the threshold value that classifies the strain as adherent/invasive</w:t>
      </w:r>
      <w:r w:rsidRPr="000A6219">
        <w:rPr>
          <w:rFonts w:ascii="Book Antiqua" w:eastAsia="Calibri" w:hAnsi="Book Antiqua" w:cs="Times New Roman"/>
          <w:sz w:val="24"/>
          <w:szCs w:val="24"/>
          <w:lang w:val="en-US"/>
        </w:rPr>
        <w:t>. In this case, one strain in one laboratory may be considered AIEC</w:t>
      </w:r>
      <w:r w:rsidR="00AE09AB"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while in another may be classified as non-AIEC. Therefore, there is </w:t>
      </w:r>
      <w:r w:rsidR="00AE09AB" w:rsidRPr="000A6219">
        <w:rPr>
          <w:rFonts w:ascii="Book Antiqua" w:eastAsia="Calibri" w:hAnsi="Book Antiqua" w:cs="Times New Roman"/>
          <w:sz w:val="24"/>
          <w:szCs w:val="24"/>
          <w:lang w:val="en-US"/>
        </w:rPr>
        <w:t>the</w:t>
      </w:r>
      <w:r w:rsidRPr="000A6219">
        <w:rPr>
          <w:rFonts w:ascii="Book Antiqua" w:eastAsia="Calibri" w:hAnsi="Book Antiqua" w:cs="Times New Roman"/>
          <w:sz w:val="24"/>
          <w:szCs w:val="24"/>
          <w:lang w:val="en-US"/>
        </w:rPr>
        <w:t xml:space="preserve"> need to solve this </w:t>
      </w:r>
      <w:r w:rsidR="00AE09AB" w:rsidRPr="000A6219">
        <w:rPr>
          <w:rFonts w:ascii="Book Antiqua" w:eastAsia="Calibri" w:hAnsi="Book Antiqua" w:cs="Times New Roman"/>
          <w:sz w:val="24"/>
          <w:szCs w:val="24"/>
          <w:lang w:val="en-US"/>
        </w:rPr>
        <w:t>discrepancy</w:t>
      </w:r>
      <w:r w:rsidRPr="000A6219">
        <w:rPr>
          <w:rFonts w:ascii="Book Antiqua" w:eastAsia="Calibri" w:hAnsi="Book Antiqua" w:cs="Times New Roman"/>
          <w:sz w:val="24"/>
          <w:szCs w:val="24"/>
          <w:lang w:val="en-US"/>
        </w:rPr>
        <w:t xml:space="preserve"> i</w:t>
      </w:r>
      <w:r w:rsidR="00AE09AB" w:rsidRPr="000A6219">
        <w:rPr>
          <w:rFonts w:ascii="Book Antiqua" w:eastAsia="Calibri" w:hAnsi="Book Antiqua" w:cs="Times New Roman"/>
          <w:sz w:val="24"/>
          <w:szCs w:val="24"/>
          <w:lang w:val="en-US"/>
        </w:rPr>
        <w:t>n order to regulate AIEC strain</w:t>
      </w:r>
      <w:r w:rsidRPr="000A6219">
        <w:rPr>
          <w:rFonts w:ascii="Book Antiqua" w:eastAsia="Calibri" w:hAnsi="Book Antiqua" w:cs="Times New Roman"/>
          <w:sz w:val="24"/>
          <w:szCs w:val="24"/>
          <w:lang w:val="en-US"/>
        </w:rPr>
        <w:t xml:space="preserve"> classification. Without consistency in the actual screening method</w:t>
      </w:r>
      <w:r w:rsidR="00AE09AB"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it is </w:t>
      </w:r>
      <w:r w:rsidR="00AE09AB" w:rsidRPr="000A6219">
        <w:rPr>
          <w:rFonts w:ascii="Book Antiqua" w:eastAsia="Calibri" w:hAnsi="Book Antiqua" w:cs="Times New Roman"/>
          <w:sz w:val="24"/>
          <w:szCs w:val="24"/>
          <w:lang w:val="en-US"/>
        </w:rPr>
        <w:t>difficult to search</w:t>
      </w:r>
      <w:r w:rsidRPr="000A6219">
        <w:rPr>
          <w:rFonts w:ascii="Book Antiqua" w:eastAsia="Calibri" w:hAnsi="Book Antiqua" w:cs="Times New Roman"/>
          <w:sz w:val="24"/>
          <w:szCs w:val="24"/>
          <w:lang w:val="en-US"/>
        </w:rPr>
        <w:t xml:space="preserve"> for AIEC genetic differences as we might be using inaccurate isolates</w:t>
      </w:r>
      <w:r w:rsidR="00DF0390" w:rsidRPr="000A6219">
        <w:rPr>
          <w:rFonts w:ascii="Book Antiqua" w:eastAsia="Calibri" w:hAnsi="Book Antiqua" w:cs="Times New Roman"/>
          <w:sz w:val="24"/>
          <w:szCs w:val="24"/>
          <w:lang w:val="en-US"/>
        </w:rPr>
        <w:t>. Although hypothesis can be obtained in a particular strain collection, then in the process of validation it is complicated to obtain a good accuracy maybe due to different phenotypic characterization</w:t>
      </w:r>
      <w:r w:rsidRPr="000A6219">
        <w:rPr>
          <w:rFonts w:ascii="Book Antiqua" w:eastAsia="Calibri" w:hAnsi="Book Antiqua" w:cs="Times New Roman"/>
          <w:sz w:val="24"/>
          <w:szCs w:val="24"/>
          <w:lang w:val="en-US"/>
        </w:rPr>
        <w:t>.</w:t>
      </w:r>
    </w:p>
    <w:p w14:paraId="062BE19B" w14:textId="77777777" w:rsidR="00C15F0F" w:rsidRPr="000A6219" w:rsidRDefault="00C15F0F" w:rsidP="000A6219">
      <w:pPr>
        <w:snapToGrid w:val="0"/>
        <w:spacing w:after="0" w:line="360" w:lineRule="auto"/>
        <w:jc w:val="both"/>
        <w:rPr>
          <w:rFonts w:ascii="Book Antiqua" w:eastAsia="Times New Roman" w:hAnsi="Book Antiqua" w:cs="Times New Roman"/>
          <w:b/>
          <w:bCs/>
          <w:iCs/>
          <w:sz w:val="24"/>
          <w:szCs w:val="24"/>
          <w:lang w:val="en-US"/>
        </w:rPr>
      </w:pPr>
    </w:p>
    <w:p w14:paraId="147A4365" w14:textId="1EE51149" w:rsidR="00721A65" w:rsidRPr="000A6219" w:rsidRDefault="00721A65" w:rsidP="000A6219">
      <w:pPr>
        <w:snapToGrid w:val="0"/>
        <w:spacing w:after="0" w:line="360" w:lineRule="auto"/>
        <w:jc w:val="both"/>
        <w:rPr>
          <w:rFonts w:ascii="Book Antiqua" w:eastAsia="Times New Roman" w:hAnsi="Book Antiqua" w:cs="Times New Roman"/>
          <w:b/>
          <w:iCs/>
          <w:caps/>
          <w:sz w:val="24"/>
          <w:szCs w:val="24"/>
          <w:u w:val="single"/>
          <w:lang w:val="en-US"/>
        </w:rPr>
      </w:pPr>
      <w:r w:rsidRPr="000A6219">
        <w:rPr>
          <w:rFonts w:ascii="Book Antiqua" w:eastAsia="Times New Roman" w:hAnsi="Book Antiqua" w:cs="Times New Roman"/>
          <w:b/>
          <w:bCs/>
          <w:iCs/>
          <w:caps/>
          <w:sz w:val="24"/>
          <w:szCs w:val="24"/>
          <w:u w:val="single"/>
          <w:lang w:val="en-US"/>
        </w:rPr>
        <w:t xml:space="preserve">Is the </w:t>
      </w:r>
      <w:r w:rsidR="005976AA">
        <w:rPr>
          <w:rFonts w:ascii="Book Antiqua" w:hAnsi="Book Antiqua" w:cs="Times New Roman" w:hint="eastAsia"/>
          <w:b/>
          <w:caps/>
          <w:sz w:val="24"/>
          <w:szCs w:val="24"/>
          <w:u w:val="single"/>
          <w:lang w:val="en-US" w:eastAsia="zh-CN"/>
        </w:rPr>
        <w:t>AIEC</w:t>
      </w:r>
      <w:r w:rsidR="00E603F9" w:rsidRPr="000A6219">
        <w:rPr>
          <w:rFonts w:ascii="Book Antiqua" w:eastAsia="Times New Roman" w:hAnsi="Book Antiqua" w:cs="Times New Roman"/>
          <w:b/>
          <w:bCs/>
          <w:iCs/>
          <w:caps/>
          <w:sz w:val="24"/>
          <w:szCs w:val="24"/>
          <w:u w:val="single"/>
          <w:lang w:val="en-US"/>
        </w:rPr>
        <w:t xml:space="preserve"> phenotype an acquired trait </w:t>
      </w:r>
      <w:r w:rsidRPr="000A6219">
        <w:rPr>
          <w:rFonts w:ascii="Book Antiqua" w:eastAsia="Times New Roman" w:hAnsi="Book Antiqua" w:cs="Times New Roman"/>
          <w:b/>
          <w:bCs/>
          <w:iCs/>
          <w:caps/>
          <w:sz w:val="24"/>
          <w:szCs w:val="24"/>
          <w:u w:val="single"/>
          <w:lang w:val="en-US"/>
        </w:rPr>
        <w:t xml:space="preserve">of </w:t>
      </w:r>
      <w:r w:rsidR="00C15F0F" w:rsidRPr="000A6219">
        <w:rPr>
          <w:rFonts w:ascii="Book Antiqua" w:eastAsia="Calibri" w:hAnsi="Book Antiqua" w:cs="Times New Roman"/>
          <w:b/>
          <w:i/>
          <w:caps/>
          <w:sz w:val="24"/>
          <w:szCs w:val="24"/>
          <w:u w:val="single"/>
          <w:lang w:val="en-US"/>
        </w:rPr>
        <w:t>Escherichia coli</w:t>
      </w:r>
      <w:r w:rsidR="00C15F0F" w:rsidRPr="000A6219">
        <w:rPr>
          <w:rFonts w:ascii="Book Antiqua" w:eastAsia="Times New Roman" w:hAnsi="Book Antiqua" w:cs="Times New Roman"/>
          <w:b/>
          <w:bCs/>
          <w:iCs/>
          <w:caps/>
          <w:sz w:val="24"/>
          <w:szCs w:val="24"/>
          <w:u w:val="single"/>
          <w:lang w:val="en-US"/>
        </w:rPr>
        <w:t xml:space="preserve"> </w:t>
      </w:r>
      <w:r w:rsidRPr="000A6219">
        <w:rPr>
          <w:rFonts w:ascii="Book Antiqua" w:eastAsia="Times New Roman" w:hAnsi="Book Antiqua" w:cs="Times New Roman"/>
          <w:b/>
          <w:bCs/>
          <w:iCs/>
          <w:caps/>
          <w:sz w:val="24"/>
          <w:szCs w:val="24"/>
          <w:u w:val="single"/>
          <w:lang w:val="en-US"/>
        </w:rPr>
        <w:t xml:space="preserve">strains from the gut? </w:t>
      </w:r>
    </w:p>
    <w:p w14:paraId="317848AB" w14:textId="2AAE1371" w:rsidR="00721A65" w:rsidRPr="000A6219" w:rsidRDefault="00721A65"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By looking at recent</w:t>
      </w:r>
      <w:r w:rsidR="00AE09AB" w:rsidRPr="000A6219">
        <w:rPr>
          <w:rFonts w:ascii="Book Antiqua" w:eastAsia="Calibri" w:hAnsi="Book Antiqua" w:cs="Times New Roman"/>
          <w:sz w:val="24"/>
          <w:szCs w:val="24"/>
          <w:lang w:val="en-US"/>
        </w:rPr>
        <w:t>ly</w:t>
      </w:r>
      <w:r w:rsidRPr="000A6219">
        <w:rPr>
          <w:rFonts w:ascii="Book Antiqua" w:eastAsia="Calibri" w:hAnsi="Book Antiqua" w:cs="Times New Roman"/>
          <w:sz w:val="24"/>
          <w:szCs w:val="24"/>
          <w:lang w:val="en-US"/>
        </w:rPr>
        <w:t xml:space="preserve"> published data, it becomes believable that the AIEC phenotype is not permanent, yet </w:t>
      </w:r>
      <w:r w:rsidR="00E603F9" w:rsidRPr="000A6219">
        <w:rPr>
          <w:rFonts w:ascii="Book Antiqua" w:eastAsia="Calibri" w:hAnsi="Book Antiqua" w:cs="Times New Roman"/>
          <w:sz w:val="24"/>
          <w:szCs w:val="24"/>
          <w:lang w:val="en-US"/>
        </w:rPr>
        <w:t>one might</w:t>
      </w:r>
      <w:r w:rsidRPr="000A6219">
        <w:rPr>
          <w:rFonts w:ascii="Book Antiqua" w:eastAsia="Calibri" w:hAnsi="Book Antiqua" w:cs="Times New Roman"/>
          <w:sz w:val="24"/>
          <w:szCs w:val="24"/>
          <w:lang w:val="en-US"/>
        </w:rPr>
        <w:t xml:space="preserve"> suspect that one </w:t>
      </w:r>
      <w:r w:rsidRPr="000A6219">
        <w:rPr>
          <w:rFonts w:ascii="Book Antiqua" w:eastAsia="Calibri" w:hAnsi="Book Antiqua" w:cs="Times New Roman"/>
          <w:i/>
          <w:sz w:val="24"/>
          <w:szCs w:val="24"/>
          <w:lang w:val="en-US"/>
        </w:rPr>
        <w:t xml:space="preserve">E. coli </w:t>
      </w:r>
      <w:r w:rsidRPr="000A6219">
        <w:rPr>
          <w:rFonts w:ascii="Book Antiqua" w:eastAsia="Calibri" w:hAnsi="Book Antiqua" w:cs="Times New Roman"/>
          <w:sz w:val="24"/>
          <w:szCs w:val="24"/>
          <w:lang w:val="en-US"/>
        </w:rPr>
        <w:t xml:space="preserve">can acquire the AIEC phenotype </w:t>
      </w:r>
      <w:r w:rsidR="00AE09AB" w:rsidRPr="000A6219">
        <w:rPr>
          <w:rFonts w:ascii="Book Antiqua" w:eastAsia="Calibri" w:hAnsi="Book Antiqua" w:cs="Times New Roman"/>
          <w:sz w:val="24"/>
          <w:szCs w:val="24"/>
          <w:lang w:val="en-US"/>
        </w:rPr>
        <w:t>under</w:t>
      </w:r>
      <w:r w:rsidRPr="000A6219">
        <w:rPr>
          <w:rFonts w:ascii="Book Antiqua" w:eastAsia="Calibri" w:hAnsi="Book Antiqua" w:cs="Times New Roman"/>
          <w:sz w:val="24"/>
          <w:szCs w:val="24"/>
          <w:lang w:val="en-US"/>
        </w:rPr>
        <w:t xml:space="preserve"> particular conditions and inversely, one AIEC strain without specific triggers might turn to a non-AIEC strain or </w:t>
      </w:r>
      <w:r w:rsidR="00AE09AB" w:rsidRPr="000A6219">
        <w:rPr>
          <w:rFonts w:ascii="Book Antiqua" w:eastAsia="Calibri" w:hAnsi="Book Antiqua" w:cs="Times New Roman"/>
          <w:sz w:val="24"/>
          <w:szCs w:val="24"/>
          <w:lang w:val="en-US"/>
        </w:rPr>
        <w:t xml:space="preserve">to </w:t>
      </w:r>
      <w:r w:rsidRPr="000A6219">
        <w:rPr>
          <w:rFonts w:ascii="Book Antiqua" w:eastAsia="Calibri" w:hAnsi="Book Antiqua" w:cs="Times New Roman"/>
          <w:sz w:val="24"/>
          <w:szCs w:val="24"/>
          <w:lang w:val="en-US"/>
        </w:rPr>
        <w:t xml:space="preserve">some extent modify its </w:t>
      </w:r>
      <w:r w:rsidR="00AE09AB" w:rsidRPr="000A6219">
        <w:rPr>
          <w:rFonts w:ascii="Book Antiqua" w:eastAsia="Calibri" w:hAnsi="Book Antiqua" w:cs="Times New Roman"/>
          <w:sz w:val="24"/>
          <w:szCs w:val="24"/>
          <w:lang w:val="en-US"/>
        </w:rPr>
        <w:t>virulence level</w:t>
      </w:r>
      <w:r w:rsidRPr="000A6219">
        <w:rPr>
          <w:rFonts w:ascii="Book Antiqua" w:eastAsia="Calibri" w:hAnsi="Book Antiqua" w:cs="Times New Roman"/>
          <w:sz w:val="24"/>
          <w:szCs w:val="24"/>
          <w:lang w:val="en-US"/>
        </w:rPr>
        <w:t>. One</w:t>
      </w:r>
      <w:r w:rsidR="004A6E53" w:rsidRPr="000A6219">
        <w:rPr>
          <w:rFonts w:ascii="Book Antiqua" w:eastAsia="Calibri" w:hAnsi="Book Antiqua" w:cs="Times New Roman"/>
          <w:sz w:val="24"/>
          <w:szCs w:val="24"/>
          <w:lang w:val="en-US"/>
        </w:rPr>
        <w:t xml:space="preserve"> observation in line with this hypothesis </w:t>
      </w:r>
      <w:r w:rsidRPr="000A6219">
        <w:rPr>
          <w:rFonts w:ascii="Book Antiqua" w:eastAsia="Calibri" w:hAnsi="Book Antiqua" w:cs="Times New Roman"/>
          <w:sz w:val="24"/>
          <w:szCs w:val="24"/>
          <w:lang w:val="en-US"/>
        </w:rPr>
        <w:t xml:space="preserve">is the fact that very genetically close </w:t>
      </w:r>
      <w:r w:rsidRPr="000A6219">
        <w:rPr>
          <w:rFonts w:ascii="Book Antiqua" w:eastAsia="Calibri" w:hAnsi="Book Antiqua" w:cs="Times New Roman"/>
          <w:i/>
          <w:sz w:val="24"/>
          <w:szCs w:val="24"/>
          <w:lang w:val="en-US"/>
        </w:rPr>
        <w:t>E. coli</w:t>
      </w:r>
      <w:r w:rsidRPr="000A6219">
        <w:rPr>
          <w:rFonts w:ascii="Book Antiqua" w:eastAsia="Calibri" w:hAnsi="Book Antiqua" w:cs="Times New Roman"/>
          <w:sz w:val="24"/>
          <w:szCs w:val="24"/>
          <w:lang w:val="en-US"/>
        </w:rPr>
        <w:t xml:space="preserve"> strains (identical </w:t>
      </w:r>
      <w:r w:rsidR="00E603F9" w:rsidRPr="000A6219">
        <w:rPr>
          <w:rFonts w:ascii="Book Antiqua" w:eastAsia="Calibri" w:hAnsi="Book Antiqua" w:cs="Times New Roman"/>
          <w:sz w:val="24"/>
          <w:szCs w:val="24"/>
          <w:lang w:val="en-US"/>
        </w:rPr>
        <w:t>p</w:t>
      </w:r>
      <w:r w:rsidR="00D53581" w:rsidRPr="000A6219">
        <w:rPr>
          <w:rFonts w:ascii="Book Antiqua" w:eastAsia="Calibri" w:hAnsi="Book Antiqua" w:cs="Times New Roman"/>
          <w:sz w:val="24"/>
          <w:szCs w:val="24"/>
          <w:lang w:val="en-US"/>
        </w:rPr>
        <w:t xml:space="preserve">ulsed </w:t>
      </w:r>
      <w:r w:rsidR="00E603F9" w:rsidRPr="000A6219">
        <w:rPr>
          <w:rFonts w:ascii="Book Antiqua" w:eastAsia="Calibri" w:hAnsi="Book Antiqua" w:cs="Times New Roman"/>
          <w:sz w:val="24"/>
          <w:szCs w:val="24"/>
          <w:lang w:val="en-US"/>
        </w:rPr>
        <w:t>f</w:t>
      </w:r>
      <w:r w:rsidR="00D53581" w:rsidRPr="000A6219">
        <w:rPr>
          <w:rFonts w:ascii="Book Antiqua" w:eastAsia="Calibri" w:hAnsi="Book Antiqua" w:cs="Times New Roman"/>
          <w:sz w:val="24"/>
          <w:szCs w:val="24"/>
          <w:lang w:val="en-US"/>
        </w:rPr>
        <w:t xml:space="preserve">ield </w:t>
      </w:r>
      <w:r w:rsidR="00E603F9" w:rsidRPr="000A6219">
        <w:rPr>
          <w:rFonts w:ascii="Book Antiqua" w:eastAsia="Calibri" w:hAnsi="Book Antiqua" w:cs="Times New Roman"/>
          <w:sz w:val="24"/>
          <w:szCs w:val="24"/>
          <w:lang w:val="en-US"/>
        </w:rPr>
        <w:t>g</w:t>
      </w:r>
      <w:r w:rsidR="00D53581" w:rsidRPr="000A6219">
        <w:rPr>
          <w:rFonts w:ascii="Book Antiqua" w:eastAsia="Calibri" w:hAnsi="Book Antiqua" w:cs="Times New Roman"/>
          <w:sz w:val="24"/>
          <w:szCs w:val="24"/>
          <w:lang w:val="en-US"/>
        </w:rPr>
        <w:t xml:space="preserve">el </w:t>
      </w:r>
      <w:r w:rsidR="00E603F9" w:rsidRPr="000A6219">
        <w:rPr>
          <w:rFonts w:ascii="Book Antiqua" w:eastAsia="Calibri" w:hAnsi="Book Antiqua" w:cs="Times New Roman"/>
          <w:sz w:val="24"/>
          <w:szCs w:val="24"/>
          <w:lang w:val="en-US"/>
        </w:rPr>
        <w:t>e</w:t>
      </w:r>
      <w:r w:rsidR="00D53581" w:rsidRPr="000A6219">
        <w:rPr>
          <w:rFonts w:ascii="Book Antiqua" w:eastAsia="Calibri" w:hAnsi="Book Antiqua" w:cs="Times New Roman"/>
          <w:sz w:val="24"/>
          <w:szCs w:val="24"/>
          <w:lang w:val="en-US"/>
        </w:rPr>
        <w:t>lectrophoresis</w:t>
      </w:r>
      <w:r w:rsidRPr="000A6219">
        <w:rPr>
          <w:rFonts w:ascii="Book Antiqua" w:eastAsia="Calibri" w:hAnsi="Book Antiqua" w:cs="Times New Roman"/>
          <w:sz w:val="24"/>
          <w:szCs w:val="24"/>
          <w:lang w:val="en-US"/>
        </w:rPr>
        <w:t xml:space="preserve"> profiles) can be classified as either AIEC or non-AIEC</w:t>
      </w:r>
      <w:r w:rsidR="00605ADD"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Diseases","id":"ITEM-1","issue":"6","issued":{"date-parts":[["2009"]]},"page":"872-882","title":"Molecular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disease","type":"article-journal","volume":"15"},"uris":["http://www.mendeley.com/documents/?uuid=8ec3da2d-ecbe-4f70-992f-5ef4b3d86aba"]},{"id":"ITEM-2","itemData":{"DOI":"10.1038/s41598-018-20843-x","ISSN":"2045-2322","abstract":"Adherent-invasive Escherichia coli (AIEC) have been involved in Crohn’s disease (CD). Currently, AIEC are identified by time-consuming techniques based on in vitro infection of cell lines to determine their ability to adhere to and invade intestinal epithelial cells as well as to survive and replicate within macrophages. Our aim was to find signature sequences that can be used to identify the AIEC pathotype. Comparative genomics was performed between three E. coli strain pairs, each pair comprised one AIEC and one non-AIEC with identical pulsotype, sequence type and virulence gene carriage. Genetic differences were further analysed in 22 AIEC and 28 non-AIEC isolated from CD patients and controls. The strain pairs showed similar genome structures, and no gene was specific to AIEC. Three single nucleotide polymorphisms displayed different nucleotide distributions between AIEC and non-AIEC, and four correlated with increased adhesion and/or invasion indices. Here, we present a classification algorithm based on the identification of three allelic variants that can predict the AIEC phenotype with 84% accuracy. Our study corroborates the absence of an AIEC-specific genetic marker distributed across all AIEC strains. Nonetheless, point mutations putatively involved in the AIEC phenotype can be used for the molecular identification of the AIEC pathotype.","author":[{"dropping-particle":"","family":"Camprubí-Font","given":"Carla","non-dropping-particle":"","parse-names":false,"suffix":""},{"dropping-particle":"","family":"Lopez-Siles","given":"Mireia","non-dropping-particle":"","parse-names":false,"suffix":""},{"dropping-particle":"","family":"Ferrer-Guixeras","given":"Meritxell","non-dropping-particle":"","parse-names":false,"suffix":""},{"dropping-particle":"","family":"Niubó-Carulla","given":"Laura","non-dropping-particle":"","parse-names":false,"suffix":""},{"dropping-particle":"","family":"Abellà-Ametller","given":"Carles","non-dropping-particle":"","parse-names":false,"suffix":""},{"dropping-particle":"","family":"Garcia-Gil","given":"Librado Jesús","non-dropping-particle":"","parse-names":false,"suffix":""},{"dropping-particle":"","family":"Martinez-Medina","given":"Margarita","non-dropping-particle":"","parse-names":false,"suffix":""}],"container-title":"Scientific Reports","id":"ITEM-2","issue":"2695","issued":{"date-parts":[["2018","12","9"]]},"page":"1-11","publisher":"Nature Publishing Group","title":"Comparative genomics reveals new single-nucleotide polymorphisms that can assist in identification of adherent-invasive Escherichia coli","type":"article-journal","volume":"8"},"uris":["http://www.mendeley.com/documents/?uuid=0123a8cc-e2a6-3256-aead-c6c75508c7e9"]}],"mendeley":{"formattedCitation":"&lt;sup&gt;[11,36]&lt;/sup&gt;","plainTextFormattedCitation":"[11,36]","previouslyFormattedCitation":"&lt;sup&gt;[11,36]&lt;/sup&gt;"},"properties":{"noteIndex":0},"schema":"https://github.com/citation-style-language/schema/raw/master/csl-citation.json"}</w:instrText>
      </w:r>
      <w:r w:rsidR="00605ADD"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[11,36]</w:t>
      </w:r>
      <w:r w:rsidR="00605ADD"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w:t>
      </w:r>
      <w:r w:rsidR="00AE09AB" w:rsidRPr="000A6219">
        <w:rPr>
          <w:rFonts w:ascii="Book Antiqua" w:eastAsia="Calibri" w:hAnsi="Book Antiqua" w:cs="Times New Roman"/>
          <w:sz w:val="24"/>
          <w:szCs w:val="24"/>
          <w:lang w:val="en-US"/>
        </w:rPr>
        <w:t>I</w:t>
      </w:r>
      <w:r w:rsidRPr="000A6219">
        <w:rPr>
          <w:rFonts w:ascii="Book Antiqua" w:eastAsia="Calibri" w:hAnsi="Book Antiqua" w:cs="Times New Roman"/>
          <w:sz w:val="24"/>
          <w:szCs w:val="24"/>
          <w:lang w:val="en-US"/>
        </w:rPr>
        <w:t xml:space="preserve">ndicating that these strains have evolved to a pathogenic condition </w:t>
      </w:r>
      <w:r w:rsidR="00AE09AB" w:rsidRPr="000A6219">
        <w:rPr>
          <w:rFonts w:ascii="Book Antiqua" w:eastAsia="Calibri" w:hAnsi="Book Antiqua" w:cs="Times New Roman"/>
          <w:i/>
          <w:sz w:val="24"/>
          <w:szCs w:val="24"/>
          <w:lang w:val="en-US"/>
        </w:rPr>
        <w:t>via</w:t>
      </w:r>
      <w:r w:rsidRPr="000A6219">
        <w:rPr>
          <w:rFonts w:ascii="Book Antiqua" w:eastAsia="Calibri" w:hAnsi="Book Antiqua" w:cs="Times New Roman"/>
          <w:sz w:val="24"/>
          <w:szCs w:val="24"/>
          <w:lang w:val="en-US"/>
        </w:rPr>
        <w:t xml:space="preserve"> nearly imperceptible</w:t>
      </w:r>
      <w:r w:rsidRPr="000A6219">
        <w:rPr>
          <w:rFonts w:ascii="Book Antiqua" w:eastAsia="Calibri" w:hAnsi="Book Antiqua" w:cs="Times New Roman"/>
          <w:color w:val="C0504D" w:themeColor="accent2"/>
          <w:sz w:val="24"/>
          <w:szCs w:val="24"/>
          <w:lang w:val="en-US"/>
        </w:rPr>
        <w:t xml:space="preserve"> </w:t>
      </w:r>
      <w:r w:rsidRPr="000A6219">
        <w:rPr>
          <w:rFonts w:ascii="Book Antiqua" w:eastAsia="Calibri" w:hAnsi="Book Antiqua" w:cs="Times New Roman"/>
          <w:sz w:val="24"/>
          <w:szCs w:val="24"/>
          <w:lang w:val="en-US"/>
        </w:rPr>
        <w:t>genetic, transcriptomic</w:t>
      </w:r>
      <w:r w:rsidR="00AE09AB"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or epigenomic changes that may occur in particular cases. Furthermore, </w:t>
      </w:r>
      <w:proofErr w:type="spellStart"/>
      <w:r w:rsidRPr="000A6219">
        <w:rPr>
          <w:rFonts w:ascii="Book Antiqua" w:eastAsia="Calibri" w:hAnsi="Book Antiqua" w:cs="Times New Roman"/>
          <w:sz w:val="24"/>
          <w:szCs w:val="24"/>
          <w:lang w:val="en-US"/>
        </w:rPr>
        <w:t>Elhenawy</w:t>
      </w:r>
      <w:proofErr w:type="spellEnd"/>
      <w:r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i/>
          <w:sz w:val="24"/>
          <w:szCs w:val="24"/>
          <w:lang w:val="en-US"/>
        </w:rPr>
        <w:t>et</w:t>
      </w:r>
      <w:r w:rsidR="00C15F0F" w:rsidRPr="000A6219">
        <w:rPr>
          <w:rFonts w:ascii="Book Antiqua" w:eastAsia="Calibri" w:hAnsi="Book Antiqua" w:cs="Times New Roman"/>
          <w:i/>
          <w:sz w:val="24"/>
          <w:szCs w:val="24"/>
          <w:lang w:val="en-US"/>
        </w:rPr>
        <w:t xml:space="preserve"> al</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{"citationItems":[{"id":"ITEM-1","itemData":{"DOI":"10.1016/j.chom.2018.12.010","ISSN":"19313128","PMID":"30683582","abstract":"Crohn's disease (CD) is an inflammatory bowel disease influenced by bacteria. Adherent-invasive E. coli (AIEC) is associated with CD, yet the adaptations facilitating AIEC gut colonization are unknown. AIEC isolates exhibit high genetic diversity, suggesting strains evolve independently across different gut environments. We tracked the adaptive evolution of AIEC in a murine model of chronic colonization across multiple hosts and transmission events. We detected evolved lineages that outcompeted the ancestral strain in the host through independent mechanisms. One lineage was hypermotile because of a mobile insertion sequence upstream of the master flagellar regulator, flhDC, which enhanced AIEC invasion and establishment of a mucosal niche. Another lineage outcompeted the ancestral strain through improved use of acetate, a short-chain fatty acid in the gut. The presence of hypermotile and acetate-consuming lineages discriminated E. coli isolated from CD patients from healthy controls, suggesting an evolutionary trajectory that distinguishes AIEC from commensal E. coli.","author":[{"dropping-particle":"","family":"Elhenawy","given":"Wael","non-dropping-particle":"","parse-names":false,"suffix":""},{"dropping-particle":"","family":"Tsai","given":"Caressa N.","non-dropping-particle":"","parse-names":false,"suffix":""},{"dropping-particle":"","family":"Coombes","given":"Brian K.","non-dropping-particle":"","parse-names":false,"suffix":""}],"container-title":"Cell Host &amp; Microbe","id":"ITEM-1","issued":{"date-parts":[["2019","1","6"]]},"title":"Host-specific adaptive diversification of Crohn’s disease-associated adherent-invasive Escherichia coli","type":"article-journal"},"uris":["http://www.mendeley.com/documents/?uuid=e8b028cc-4294-31b9-a0a5-205073b8bff2"]}],"mendeley":{"formattedCitation":"&lt;sup&gt;[50]&lt;/sup&gt;","plainTextFormattedCitation":"[50]","previouslyFormattedCitation":"&lt;sup&gt;[50]&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51</w:t>
      </w:r>
      <w:r w:rsidR="00765E1A"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recently </w:t>
      </w:r>
      <w:r w:rsidR="00AE09AB" w:rsidRPr="000A6219">
        <w:rPr>
          <w:rFonts w:ascii="Book Antiqua" w:eastAsia="Calibri" w:hAnsi="Book Antiqua" w:cs="Times New Roman"/>
          <w:sz w:val="24"/>
          <w:szCs w:val="24"/>
          <w:lang w:val="en-US"/>
        </w:rPr>
        <w:t>demonstrated</w:t>
      </w:r>
      <w:r w:rsidRPr="000A6219">
        <w:rPr>
          <w:rFonts w:ascii="Book Antiqua" w:eastAsia="Calibri" w:hAnsi="Book Antiqua" w:cs="Times New Roman"/>
          <w:sz w:val="24"/>
          <w:szCs w:val="24"/>
          <w:lang w:val="en-US"/>
        </w:rPr>
        <w:t xml:space="preserve"> that one AIEC strain (NRG857c) </w:t>
      </w:r>
      <w:r w:rsidR="00AE09AB" w:rsidRPr="000A6219">
        <w:rPr>
          <w:rFonts w:ascii="Book Antiqua" w:eastAsia="Calibri" w:hAnsi="Book Antiqua" w:cs="Times New Roman"/>
          <w:sz w:val="24"/>
          <w:szCs w:val="24"/>
          <w:lang w:val="en-US"/>
        </w:rPr>
        <w:t xml:space="preserve">evolved </w:t>
      </w:r>
      <w:r w:rsidRPr="000A6219">
        <w:rPr>
          <w:rFonts w:ascii="Book Antiqua" w:eastAsia="Calibri" w:hAnsi="Book Antiqua" w:cs="Times New Roman"/>
          <w:sz w:val="24"/>
          <w:szCs w:val="24"/>
          <w:lang w:val="en-US"/>
        </w:rPr>
        <w:t xml:space="preserve">during host-to-host transmission in mice </w:t>
      </w:r>
      <w:r w:rsidRPr="000A6219">
        <w:rPr>
          <w:rFonts w:ascii="Book Antiqua" w:eastAsia="Calibri" w:hAnsi="Book Antiqua" w:cs="Times New Roman"/>
          <w:sz w:val="24"/>
          <w:szCs w:val="24"/>
          <w:lang w:val="en-US"/>
        </w:rPr>
        <w:lastRenderedPageBreak/>
        <w:t xml:space="preserve">models, resulting in a diversified population of isolates with two predominant phenotypes: </w:t>
      </w:r>
      <w:r w:rsidR="009F2131" w:rsidRPr="000A6219">
        <w:rPr>
          <w:rFonts w:ascii="Book Antiqua" w:eastAsia="Calibri" w:hAnsi="Book Antiqua" w:cs="Times New Roman"/>
          <w:sz w:val="24"/>
          <w:szCs w:val="24"/>
          <w:lang w:val="en-US"/>
        </w:rPr>
        <w:t xml:space="preserve">(1) </w:t>
      </w:r>
      <w:proofErr w:type="spellStart"/>
      <w:r w:rsidRPr="000A6219">
        <w:rPr>
          <w:rFonts w:ascii="Book Antiqua" w:eastAsia="Calibri" w:hAnsi="Book Antiqua" w:cs="Times New Roman"/>
          <w:sz w:val="24"/>
          <w:szCs w:val="24"/>
          <w:lang w:val="en-US"/>
        </w:rPr>
        <w:t>hypermotile</w:t>
      </w:r>
      <w:proofErr w:type="spellEnd"/>
      <w:r w:rsidRPr="000A6219">
        <w:rPr>
          <w:rFonts w:ascii="Book Antiqua" w:eastAsia="Calibri" w:hAnsi="Book Antiqua" w:cs="Times New Roman"/>
          <w:sz w:val="24"/>
          <w:szCs w:val="24"/>
          <w:lang w:val="en-US"/>
        </w:rPr>
        <w:t xml:space="preserve"> isolates</w:t>
      </w:r>
      <w:r w:rsidR="00C15F0F"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and </w:t>
      </w:r>
      <w:r w:rsidR="009F2131" w:rsidRPr="000A6219">
        <w:rPr>
          <w:rFonts w:ascii="Book Antiqua" w:eastAsia="Calibri" w:hAnsi="Book Antiqua" w:cs="Times New Roman"/>
          <w:sz w:val="24"/>
          <w:szCs w:val="24"/>
          <w:lang w:val="en-US"/>
        </w:rPr>
        <w:t xml:space="preserve">(2) </w:t>
      </w:r>
      <w:r w:rsidRPr="000A6219">
        <w:rPr>
          <w:rFonts w:ascii="Book Antiqua" w:eastAsia="Calibri" w:hAnsi="Book Antiqua" w:cs="Times New Roman"/>
          <w:sz w:val="24"/>
          <w:szCs w:val="24"/>
          <w:lang w:val="en-US"/>
        </w:rPr>
        <w:t xml:space="preserve">isolates with improved acetate utilization. The first phenotype was due to the presence of an insertion sequence upstream of the flagellar regulator </w:t>
      </w:r>
      <w:proofErr w:type="spellStart"/>
      <w:r w:rsidRPr="000A6219">
        <w:rPr>
          <w:rFonts w:ascii="Book Antiqua" w:eastAsia="Calibri" w:hAnsi="Book Antiqua" w:cs="Times New Roman"/>
          <w:i/>
          <w:sz w:val="24"/>
          <w:szCs w:val="24"/>
          <w:lang w:val="en-US"/>
        </w:rPr>
        <w:t>flhDC</w:t>
      </w:r>
      <w:proofErr w:type="spellEnd"/>
      <w:r w:rsidRPr="000A6219">
        <w:rPr>
          <w:rFonts w:ascii="Book Antiqua" w:eastAsia="Calibri" w:hAnsi="Book Antiqua" w:cs="Times New Roman"/>
          <w:i/>
          <w:sz w:val="24"/>
          <w:szCs w:val="24"/>
          <w:lang w:val="en-US"/>
        </w:rPr>
        <w:t xml:space="preserve">, </w:t>
      </w:r>
      <w:r w:rsidR="009F2131" w:rsidRPr="000A6219">
        <w:rPr>
          <w:rFonts w:ascii="Book Antiqua" w:eastAsia="Calibri" w:hAnsi="Book Antiqua" w:cs="Times New Roman"/>
          <w:sz w:val="24"/>
          <w:szCs w:val="24"/>
          <w:lang w:val="en-US"/>
        </w:rPr>
        <w:t>which</w:t>
      </w:r>
      <w:r w:rsidRPr="000A6219">
        <w:rPr>
          <w:rFonts w:ascii="Book Antiqua" w:eastAsia="Calibri" w:hAnsi="Book Antiqua" w:cs="Times New Roman"/>
          <w:sz w:val="24"/>
          <w:szCs w:val="24"/>
          <w:lang w:val="en-US"/>
        </w:rPr>
        <w:t xml:space="preserve"> resulted in </w:t>
      </w:r>
      <w:proofErr w:type="spellStart"/>
      <w:r w:rsidRPr="000A6219">
        <w:rPr>
          <w:rFonts w:ascii="Book Antiqua" w:eastAsia="Calibri" w:hAnsi="Book Antiqua" w:cs="Times New Roman"/>
          <w:sz w:val="24"/>
          <w:szCs w:val="24"/>
          <w:lang w:val="en-US"/>
        </w:rPr>
        <w:t>hypermotile</w:t>
      </w:r>
      <w:proofErr w:type="spellEnd"/>
      <w:r w:rsidRPr="000A6219">
        <w:rPr>
          <w:rFonts w:ascii="Book Antiqua" w:eastAsia="Calibri" w:hAnsi="Book Antiqua" w:cs="Times New Roman"/>
          <w:sz w:val="24"/>
          <w:szCs w:val="24"/>
          <w:lang w:val="en-US"/>
        </w:rPr>
        <w:t xml:space="preserve"> strains with enhanced IECs invasion. However, the presence of this insertion was reversible in the absence of host selection, suggesting that with the absence of particular conditions, the AIEC virulence may be altered.</w:t>
      </w:r>
      <w:r w:rsidR="00C15F0F" w:rsidRPr="000A6219">
        <w:rPr>
          <w:rFonts w:ascii="Book Antiqua" w:eastAsia="Calibri" w:hAnsi="Book Antiqua" w:cs="Times New Roman"/>
          <w:sz w:val="24"/>
          <w:szCs w:val="24"/>
          <w:lang w:val="en-US"/>
        </w:rPr>
        <w:t xml:space="preserve"> In the same way, </w:t>
      </w:r>
      <w:proofErr w:type="spellStart"/>
      <w:r w:rsidR="00C15F0F" w:rsidRPr="000A6219">
        <w:rPr>
          <w:rFonts w:ascii="Book Antiqua" w:eastAsia="Calibri" w:hAnsi="Book Antiqua" w:cs="Times New Roman"/>
          <w:sz w:val="24"/>
          <w:szCs w:val="24"/>
          <w:lang w:val="en-US"/>
        </w:rPr>
        <w:t>Proença</w:t>
      </w:r>
      <w:proofErr w:type="spellEnd"/>
      <w:r w:rsidR="00C15F0F" w:rsidRPr="000A6219">
        <w:rPr>
          <w:rFonts w:ascii="Book Antiqua" w:eastAsia="Calibri" w:hAnsi="Book Antiqua" w:cs="Times New Roman"/>
          <w:sz w:val="24"/>
          <w:szCs w:val="24"/>
          <w:lang w:val="en-US"/>
        </w:rPr>
        <w:t xml:space="preserve"> </w:t>
      </w:r>
      <w:r w:rsidR="00C15F0F" w:rsidRPr="000A6219">
        <w:rPr>
          <w:rFonts w:ascii="Book Antiqua" w:eastAsia="Calibri" w:hAnsi="Book Antiqua" w:cs="Times New Roman"/>
          <w:i/>
          <w:sz w:val="24"/>
          <w:szCs w:val="24"/>
          <w:lang w:val="en-US"/>
        </w:rPr>
        <w:t>et al</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{"citationItems":[{"id":"ITEM-1","itemData":{"DOI":"10.1038/s41598-017-04081-1","ISSN":"20452322","PMID":"28674418","abstract":"Escherichia coli is both a harmless commensal in the intestines of many mammals, as well as a dangerous pathogen. The evolutionary paths taken by strains of this species in the commensal-to-pathogen transition are complex and can involve changes both in the core genome, as well in the pan-genome. One way to understand the likely paths that a commensal strain of E. coli takes when evolving pathogenicity is through experimentally evolving the strain under the selective pressures that it will have to withstand as a pathogen. Here, we report that a commensal strain, under continuous pressure from macrophages, recurrently acquired a transposable element insertion, which resulted in two key phenotypic changes: increased intracellular survival, through the delay of phagosome maturation and increased ability to escape macrophages. We further show that the acquisition of the pathoadaptive traits was accompanied by small but significant changes in the transcriptome of macrophages upon infection. These results show that under constant pressures from a key component of the host immune system, namely macrophage phagocytosis, commensal E. coli rapidly acquires pathoadaptive mutations that cause transcriptome changes associated to the host-microbe duet. © 2017 The Author(s).","author":[{"dropping-particle":"","family":"Proença","given":"João T.","non-dropping-particle":"","parse-names":false,"suffix":""},{"dropping-particle":"","family":"Barral","given":"Duarte C.","non-dropping-particle":"","parse-names":false,"suffix":""},{"dropping-particle":"","family":"Gordo","given":"Isabel","non-dropping-particle":"","parse-names":false,"suffix":""}],"container-title":"Scientific Reports","id":"ITEM-1","issue":"1","issued":{"date-parts":[["2017"]]},"page":"1-12","title":"Commensal-to-pathogen transition: One-single transposon insertion results in two pathoadaptive traits in Escherichia coli-macrophage interaction","type":"article-journal","volume":"7"},"uris":["http://www.mendeley.com/documents/?uuid=7e1bc783-b1f4-464f-b05e-35af5a65f0e9"]}],"mendeley":{"formattedCitation":"&lt;sup&gt;[53]&lt;/sup&gt;","plainTextFormattedCitation":"[53]","previouslyFormattedCitation":"&lt;sup&gt;[53]&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54</w:t>
      </w:r>
      <w:r w:rsidR="00765E1A"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observed that under continuous macrophage pressure</w:t>
      </w:r>
      <w:r w:rsidR="009F2131"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one co</w:t>
      </w:r>
      <w:r w:rsidR="00595655" w:rsidRPr="000A6219">
        <w:rPr>
          <w:rFonts w:ascii="Book Antiqua" w:eastAsia="Calibri" w:hAnsi="Book Antiqua" w:cs="Times New Roman"/>
          <w:sz w:val="24"/>
          <w:szCs w:val="24"/>
          <w:lang w:val="en-US"/>
        </w:rPr>
        <w:t>m</w:t>
      </w:r>
      <w:r w:rsidRPr="000A6219">
        <w:rPr>
          <w:rFonts w:ascii="Book Antiqua" w:eastAsia="Calibri" w:hAnsi="Book Antiqua" w:cs="Times New Roman"/>
          <w:sz w:val="24"/>
          <w:szCs w:val="24"/>
          <w:lang w:val="en-US"/>
        </w:rPr>
        <w:t>mensal strain evolved to increase</w:t>
      </w:r>
      <w:r w:rsidR="005E0537" w:rsidRPr="000A6219">
        <w:rPr>
          <w:rFonts w:ascii="Book Antiqua" w:eastAsia="Calibri" w:hAnsi="Book Antiqua" w:cs="Times New Roman"/>
          <w:sz w:val="24"/>
          <w:szCs w:val="24"/>
          <w:lang w:val="en-US"/>
        </w:rPr>
        <w:t>d</w:t>
      </w:r>
      <w:r w:rsidRPr="000A6219">
        <w:rPr>
          <w:rFonts w:ascii="Book Antiqua" w:eastAsia="Calibri" w:hAnsi="Book Antiqua" w:cs="Times New Roman"/>
          <w:sz w:val="24"/>
          <w:szCs w:val="24"/>
          <w:lang w:val="en-US"/>
        </w:rPr>
        <w:t xml:space="preserve"> intracellular survival due to the </w:t>
      </w:r>
      <w:r w:rsidR="00EE2E57" w:rsidRPr="000A6219">
        <w:rPr>
          <w:rFonts w:ascii="Book Antiqua" w:eastAsia="Calibri" w:hAnsi="Book Antiqua" w:cs="Times New Roman"/>
          <w:sz w:val="24"/>
          <w:szCs w:val="24"/>
          <w:lang w:val="en-US"/>
        </w:rPr>
        <w:t>incorporation</w:t>
      </w:r>
      <w:r w:rsidRPr="000A6219">
        <w:rPr>
          <w:rFonts w:ascii="Book Antiqua" w:eastAsia="Calibri" w:hAnsi="Book Antiqua" w:cs="Times New Roman"/>
          <w:sz w:val="24"/>
          <w:szCs w:val="24"/>
          <w:lang w:val="en-US"/>
        </w:rPr>
        <w:t xml:space="preserve"> of a transposable element insertion. Thus, their observations reinforce the hypothesis of intra-host </w:t>
      </w:r>
      <w:r w:rsidRPr="000A6219">
        <w:rPr>
          <w:rFonts w:ascii="Book Antiqua" w:eastAsia="Calibri" w:hAnsi="Book Antiqua" w:cs="Times New Roman"/>
          <w:i/>
          <w:sz w:val="24"/>
          <w:szCs w:val="24"/>
          <w:lang w:val="en-US"/>
        </w:rPr>
        <w:t>E. coli</w:t>
      </w:r>
      <w:r w:rsidRPr="000A6219">
        <w:rPr>
          <w:rFonts w:ascii="Book Antiqua" w:eastAsia="Calibri" w:hAnsi="Book Antiqua" w:cs="Times New Roman"/>
          <w:sz w:val="24"/>
          <w:szCs w:val="24"/>
          <w:lang w:val="en-US"/>
        </w:rPr>
        <w:t xml:space="preserve"> evolution to an adherent invasive phenotype and the importance of conducting experiments simulating disease conditions as much as possible, since the AIEC marker may only be detected under selective pressure conditions. </w:t>
      </w:r>
    </w:p>
    <w:p w14:paraId="6E888CD4" w14:textId="5CB5AEEC" w:rsidR="00721A65" w:rsidRPr="000A6219" w:rsidRDefault="00721A65"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Taking all </w:t>
      </w:r>
      <w:r w:rsidR="009F2131" w:rsidRPr="000A6219">
        <w:rPr>
          <w:rFonts w:ascii="Book Antiqua" w:eastAsia="Calibri" w:hAnsi="Book Antiqua" w:cs="Times New Roman"/>
          <w:sz w:val="24"/>
          <w:szCs w:val="24"/>
          <w:lang w:val="en-US"/>
        </w:rPr>
        <w:t xml:space="preserve">of </w:t>
      </w:r>
      <w:r w:rsidRPr="000A6219">
        <w:rPr>
          <w:rFonts w:ascii="Book Antiqua" w:eastAsia="Calibri" w:hAnsi="Book Antiqua" w:cs="Times New Roman"/>
          <w:sz w:val="24"/>
          <w:szCs w:val="24"/>
          <w:lang w:val="en-US"/>
        </w:rPr>
        <w:t xml:space="preserve">these outcomes into account, one may consider that AIEC strains </w:t>
      </w:r>
      <w:r w:rsidR="009F2131" w:rsidRPr="000A6219">
        <w:rPr>
          <w:rFonts w:ascii="Book Antiqua" w:eastAsia="Calibri" w:hAnsi="Book Antiqua" w:cs="Times New Roman"/>
          <w:sz w:val="24"/>
          <w:szCs w:val="24"/>
          <w:lang w:val="en-US"/>
        </w:rPr>
        <w:t>originated</w:t>
      </w:r>
      <w:r w:rsidRPr="000A6219">
        <w:rPr>
          <w:rFonts w:ascii="Book Antiqua" w:eastAsia="Calibri" w:hAnsi="Book Antiqua" w:cs="Times New Roman"/>
          <w:sz w:val="24"/>
          <w:szCs w:val="24"/>
          <w:lang w:val="en-US"/>
        </w:rPr>
        <w:t xml:space="preserve"> from non-AIEC strains from the gut. For that reason, in the fores</w:t>
      </w:r>
      <w:r w:rsidR="009F2131" w:rsidRPr="000A6219">
        <w:rPr>
          <w:rFonts w:ascii="Book Antiqua" w:eastAsia="Calibri" w:hAnsi="Book Antiqua" w:cs="Times New Roman"/>
          <w:sz w:val="24"/>
          <w:szCs w:val="24"/>
          <w:lang w:val="en-US"/>
        </w:rPr>
        <w:t>eeable future, other approaches</w:t>
      </w:r>
      <w:r w:rsidRPr="000A6219">
        <w:rPr>
          <w:rFonts w:ascii="Book Antiqua" w:eastAsia="Calibri" w:hAnsi="Book Antiqua" w:cs="Times New Roman"/>
          <w:sz w:val="24"/>
          <w:szCs w:val="24"/>
          <w:lang w:val="en-US"/>
        </w:rPr>
        <w:t xml:space="preserve"> </w:t>
      </w:r>
      <w:r w:rsidR="009F2131" w:rsidRPr="000A6219">
        <w:rPr>
          <w:rFonts w:ascii="Book Antiqua" w:eastAsia="Calibri" w:hAnsi="Book Antiqua" w:cs="Times New Roman"/>
          <w:sz w:val="24"/>
          <w:szCs w:val="24"/>
          <w:lang w:val="en-US"/>
        </w:rPr>
        <w:t>beyond genes or SNPs prevalence</w:t>
      </w:r>
      <w:r w:rsidRPr="000A6219">
        <w:rPr>
          <w:rFonts w:ascii="Book Antiqua" w:eastAsia="Calibri" w:hAnsi="Book Antiqua" w:cs="Times New Roman"/>
          <w:sz w:val="24"/>
          <w:szCs w:val="24"/>
          <w:lang w:val="en-US"/>
        </w:rPr>
        <w:t xml:space="preserve"> should be </w:t>
      </w:r>
      <w:r w:rsidR="009F2131" w:rsidRPr="000A6219">
        <w:rPr>
          <w:rFonts w:ascii="Book Antiqua" w:eastAsia="Calibri" w:hAnsi="Book Antiqua" w:cs="Times New Roman"/>
          <w:sz w:val="24"/>
          <w:szCs w:val="24"/>
          <w:lang w:val="en-US"/>
        </w:rPr>
        <w:t>analyzed</w:t>
      </w:r>
      <w:r w:rsidRPr="000A6219">
        <w:rPr>
          <w:rFonts w:ascii="Book Antiqua" w:eastAsia="Calibri" w:hAnsi="Book Antiqua" w:cs="Times New Roman"/>
          <w:sz w:val="24"/>
          <w:szCs w:val="24"/>
          <w:lang w:val="en-US"/>
        </w:rPr>
        <w:t xml:space="preserve"> when looking for AIEC molecular markers. These </w:t>
      </w:r>
      <w:r w:rsidR="009F2131" w:rsidRPr="000A6219">
        <w:rPr>
          <w:rFonts w:ascii="Book Antiqua" w:eastAsia="Calibri" w:hAnsi="Book Antiqua" w:cs="Times New Roman"/>
          <w:sz w:val="24"/>
          <w:szCs w:val="24"/>
          <w:lang w:val="en-US"/>
        </w:rPr>
        <w:t xml:space="preserve">approaches </w:t>
      </w:r>
      <w:r w:rsidRPr="000A6219">
        <w:rPr>
          <w:rFonts w:ascii="Book Antiqua" w:eastAsia="Calibri" w:hAnsi="Book Antiqua" w:cs="Times New Roman"/>
          <w:sz w:val="24"/>
          <w:szCs w:val="24"/>
          <w:lang w:val="en-US"/>
        </w:rPr>
        <w:t>include transcriptomics, epigenetics</w:t>
      </w:r>
      <w:r w:rsidR="009F2131"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and the study of AIEC </w:t>
      </w:r>
      <w:r w:rsidR="009F2131" w:rsidRPr="000A6219">
        <w:rPr>
          <w:rFonts w:ascii="Book Antiqua" w:eastAsia="Calibri" w:hAnsi="Book Antiqua" w:cs="Times New Roman"/>
          <w:sz w:val="24"/>
          <w:szCs w:val="24"/>
          <w:lang w:val="en-US"/>
        </w:rPr>
        <w:t>under</w:t>
      </w:r>
      <w:r w:rsidRPr="000A6219">
        <w:rPr>
          <w:rFonts w:ascii="Book Antiqua" w:eastAsia="Calibri" w:hAnsi="Book Antiqua" w:cs="Times New Roman"/>
          <w:sz w:val="24"/>
          <w:szCs w:val="24"/>
          <w:lang w:val="en-US"/>
        </w:rPr>
        <w:t xml:space="preserve"> conditions in which they behave </w:t>
      </w:r>
      <w:r w:rsidR="009F2131" w:rsidRPr="000A6219">
        <w:rPr>
          <w:rFonts w:ascii="Book Antiqua" w:eastAsia="Calibri" w:hAnsi="Book Antiqua" w:cs="Times New Roman"/>
          <w:sz w:val="24"/>
          <w:szCs w:val="24"/>
          <w:lang w:val="en-US"/>
        </w:rPr>
        <w:t>differently</w:t>
      </w:r>
      <w:r w:rsidRPr="000A6219">
        <w:rPr>
          <w:rFonts w:ascii="Book Antiqua" w:eastAsia="Calibri" w:hAnsi="Book Antiqua" w:cs="Times New Roman"/>
          <w:sz w:val="24"/>
          <w:szCs w:val="24"/>
          <w:lang w:val="en-US"/>
        </w:rPr>
        <w:t xml:space="preserve"> from other pathotypes, perhaps during interaction</w:t>
      </w:r>
      <w:r w:rsidR="009F2131" w:rsidRPr="000A6219">
        <w:rPr>
          <w:rFonts w:ascii="Book Antiqua" w:eastAsia="Calibri" w:hAnsi="Book Antiqua" w:cs="Times New Roman"/>
          <w:sz w:val="24"/>
          <w:szCs w:val="24"/>
          <w:lang w:val="en-US"/>
        </w:rPr>
        <w:t>s</w:t>
      </w:r>
      <w:r w:rsidRPr="000A6219">
        <w:rPr>
          <w:rFonts w:ascii="Book Antiqua" w:eastAsia="Calibri" w:hAnsi="Book Antiqua" w:cs="Times New Roman"/>
          <w:sz w:val="24"/>
          <w:szCs w:val="24"/>
          <w:lang w:val="en-US"/>
        </w:rPr>
        <w:t xml:space="preserve"> with host cells. Nowadays, two studies on transcriptomics</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{"citationItems":[{"id":"ITEM-1","itemData":{"DOI":"10.1371/journal.pone.0130902","ISSN":"1932-6203","PMID":"26125937","abstract":"Adherent-invasive Escherichia coli (AIEC) strains are detected more frequently within mucosal lesions of patients with Crohn's disease (CD). The AIEC phenotype consists of adherence and invasion of intestinal epithelial cells and survival within macrophages of these bacteria in vitro. Our aim was to identify candidate transcripts that distinguish AIEC from non-invasive E. coli (NIEC) strains and might be useful for rapid and accurate identification of AIEC by culture-independent technology. We performed comparative RNA-Sequence (RNASeq) analysis using AIEC strain LF82 and NIEC strain HS during exponential and stationary growth. Differential expression analysis of coding sequences (CDS) homologous to both strains demonstrated 224 and 241 genes with increased and decreased expression, respectively, in LF82 relative to HS. Transition metal transport and siderophore metabolism related pathway genes were up-regulated, while glycogen metabolic and oxidation-reduction related pathway genes were down-regulated, in LF82. Chemotaxis related transcripts were up-regulated in LF82 during the exponential phase, but flagellum-dependent motility pathway genes were down-regulated in LF82 during the stationary phase. CDS that mapped only to the LF82 genome accounted for 747 genes. We applied an in silico subtractive genomics approach to identify CDS specific to AIEC by incorporating the genomes of 10 other previously phenotyped NIEC. From this analysis, 166 CDS mapped to the LF82 genome and lacked homology to any of the 11 human NIEC strains. We compared these CDS across 13 AIEC, but none were homologous in each. Four LF82 gene loci belonging to clustered regularly interspaced short palindromic repeats region (CRISPR)--CRISPR-associated (Cas) genes were identified in 4 to 6 AIEC and absent from all non-pathogenic bacteria. As previously reported, AIEC strains were enriched for pdu operon genes. One CDS, encoding an excisionase, was shared by 9 AIEC strains. Reverse transcription quantitative polymerase chain reaction assays for 6 genes were conducted on fecal and ileal RNA samples from 22 inflammatory bowel disease (IBD), and 32 patients without IBD (non-IBD). The expression of Cas loci was detected in a higher proportion of CD than non-IBD fecal and ileal RNA samples (p &lt;0.05). These results support a comparative genomic/transcriptomic approach towards identifying candidate AIEC signature transcripts.","author":[{"dropping-particle":"","family":"Zhang","given":"Yuanhao","non-dropping-particle":"","parse-names":false,"suffix":""},{"dropping-particle":"","family":"Rowehl","given":"Leahana","non-dropping-particle":"","parse-names":false,"suffix":""},{"dropping-particle":"","family":"Krumsiek","given":"Julia M","non-dropping-particle":"","parse-names":false,"suffix":""},{"dropping-particle":"","family":"Orner","given":"Erika P","non-dropping-particle":"","parse-names":false,"suffix":""},{"dropping-particle":"","family":"Shaikh","given":"Nurmohammad","non-dropping-particle":"","parse-names":false,"suffix":""},{"dropping-particle":"","family":"Tarr","given":"Phillip I","non-dropping-particle":"","parse-names":false,"suffix":""},{"dropping-particle":"","family":"Sodergren","given":"Erica","non-dropping-particle":"","parse-names":false,"suffix":""},{"dropping-particle":"","family":"Weinstock","given":"George M","non-dropping-particle":"","parse-names":false,"suffix":""},{"dropping-particle":"","family":"Boedeker","given":"Edgar C","non-dropping-particle":"","parse-names":false,"suffix":""},{"dropping-particle":"","family":"Xiong","given":"Xuejian","non-dropping-particle":"","parse-names":false,"suffix":""},{"dropping-particle":"","family":"Parkinson","given":"John","non-dropping-particle":"","parse-names":false,"suffix":""},{"dropping-particle":"","family":"Frank","given":"Daniel N","non-dropping-particle":"","parse-names":false,"suffix":""},{"dropping-particle":"","family":"Li","given":"Ellen","non-dropping-particle":"","parse-names":false,"suffix":""},{"dropping-particle":"","family":"Gathungu","given":"Grace","non-dropping-particle":"","parse-names":false,"suffix":""}],"container-title":"PloS one","id":"ITEM-1","issue":"6","issued":{"date-parts":[["2015"]]},"page":"e0130902","publisher":"Public Library of Science","title":"Identification of Candidate Adherent-Invasive E. coli Signature Transcripts by Genomic/Transcriptomic Analysis.","type":"article-journal","volume":"10"},"uris":["http://www.mendeley.com/documents/?uuid=c64dddf1-d66e-31ad-8569-739a844139b3"]},{"id":"ITEM-2","itemData":{"DOI":"10.1038/s41598-019-38628-1","ISSN":"2045-2322","PMID":"30778122","abstract":"The adherent-invasive Escherichia coli (AIEC), which colonize the ileal mucosa of Crohn's disease patients, adhere to intestinal epithelial cells, invade them and exacerbate intestinal inflammation. The high nutrient competition between the commensal microbiota and AIEC pathobiont requires the latter to occupy their own metabolic niches to survive and proliferate within the gut. In this study, a global RNA sequencing of AIEC strain LF82 has been used to observe the impact of bile salts on the expression of metabolic genes. The results showed a global up-regulation of genes involved in degradation and a down-regulation of those implicated in biosynthesis. The main up-regulated degradation pathways were ethanolamine, 1,2-propanediol and citrate utilization, as well as the methyl-citrate pathway. Our study reveals that ethanolamine utilization bestows a competitive advantage of AIEC strains that are metabolically capable of its degradation in the presence of bile salts. We observed that bile salts activated secondary metabolism pathways that communicate to provide an energy benefit to AIEC. Bile salts may be used by AIEC as an environmental signal to promote their colonization.","author":[{"dropping-particle":"","family":"Delmas","given":"Julien","non-dropping-particle":"","parse-names":false,"suffix":""},{"dropping-particle":"","family":"Gibold","given":"Lucie","non-dropping-particle":"","parse-names":false,"suffix":""},{"dropping-particle":"","family":"Faïs","given":"Tiphanie","non-dropping-particle":"","parse-names":false,"suffix":""},{"dropping-particle":"","family":"Batista","given":"Sylvine","non-dropping-particle":"","parse-names":false,"suffix":""},{"dropping-particle":"","family":"Leremboure","given":"Martin","non-dropping-particle":"","parse-names":false,"suffix":""},{"dropping-particle":"","family":"Sinel","given":"Clara","non-dropping-particle":"","parse-names":false,"suffix":""},{"dropping-particle":"","family":"Vazeille","given":"Emilie","non-dropping-particle":"","parse-names":false,"suffix":""},{"dropping-particle":"","family":"Cattoir","given":"Vincent","non-dropping-particle":"","parse-names":false,"suffix":""},{"dropping-particle":"","family":"Buisson","given":"Anthony","non-dropping-particle":"","parse-names":false,"suffix":""},{"dropping-particle":"","family":"Barnich","given":"Nicolas","non-dropping-particle":"","parse-names":false,"suffix":""},{"dropping-particle":"","family":"Dalmasso","given":"Guillaume","non-dropping-particle":"","parse-names":false,"suffix":""},{"dropping-particle":"","family":"Bonnet","given":"Richard","non-dropping-particle":"","parse-names":false,"suffix":""}],"container-title":"Scientific Reports","id":"ITEM-2","issue":"1","issued":{"date-parts":[["2019","12","18"]]},"page":"2175","title":"Metabolic adaptation of adherent-invasive Escherichia coli to exposure to bile salts","type":"article-journal","volume":"9"},"uris":["http://www.mendeley.com/documents/?uuid=2f7805cb-0831-3926-83c3-571b797141d9"]}],"mendeley":{"formattedCitation":"&lt;sup&gt;[35,46]&lt;/sup&gt;","plainTextFormattedCitation":"[35,46]","previouslyFormattedCitation":"&lt;sup&gt;[35,46]&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[35,4</w:t>
      </w:r>
      <w:r w:rsidR="00554ED9">
        <w:rPr>
          <w:rFonts w:ascii="Book Antiqua" w:eastAsia="Calibri" w:hAnsi="Book Antiqua" w:cs="Times New Roman"/>
          <w:noProof/>
          <w:sz w:val="24"/>
          <w:szCs w:val="24"/>
          <w:vertAlign w:val="superscript"/>
          <w:lang w:val="en-US"/>
        </w:rPr>
        <w:t>8</w:t>
      </w:r>
      <w:r w:rsidR="00765E1A"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have been conducted. One </w:t>
      </w:r>
      <w:r w:rsidR="009F2131" w:rsidRPr="000A6219">
        <w:rPr>
          <w:rFonts w:ascii="Book Antiqua" w:eastAsia="Calibri" w:hAnsi="Book Antiqua" w:cs="Times New Roman"/>
          <w:sz w:val="24"/>
          <w:szCs w:val="24"/>
          <w:lang w:val="en-US"/>
        </w:rPr>
        <w:t xml:space="preserve">study </w:t>
      </w:r>
      <w:r w:rsidRPr="000A6219">
        <w:rPr>
          <w:rFonts w:ascii="Book Antiqua" w:eastAsia="Calibri" w:hAnsi="Book Antiqua" w:cs="Times New Roman"/>
          <w:sz w:val="24"/>
          <w:szCs w:val="24"/>
          <w:lang w:val="en-US"/>
        </w:rPr>
        <w:t xml:space="preserve">described </w:t>
      </w:r>
      <w:r w:rsidR="009F2131" w:rsidRPr="000A6219">
        <w:rPr>
          <w:rFonts w:ascii="Book Antiqua" w:eastAsia="Calibri" w:hAnsi="Book Antiqua" w:cs="Times New Roman"/>
          <w:sz w:val="24"/>
          <w:szCs w:val="24"/>
          <w:lang w:val="en-US"/>
        </w:rPr>
        <w:t xml:space="preserve">findings in which the </w:t>
      </w:r>
      <w:r w:rsidRPr="000A6219">
        <w:rPr>
          <w:rFonts w:ascii="Book Antiqua" w:eastAsia="Calibri" w:hAnsi="Book Antiqua" w:cs="Times New Roman"/>
          <w:sz w:val="24"/>
          <w:szCs w:val="24"/>
          <w:lang w:val="en-US"/>
        </w:rPr>
        <w:t xml:space="preserve">AIEC LF82 strain growing in contact with bile salts </w:t>
      </w:r>
      <w:r w:rsidR="009F2131" w:rsidRPr="000A6219">
        <w:rPr>
          <w:rFonts w:ascii="Book Antiqua" w:eastAsia="Calibri" w:hAnsi="Book Antiqua" w:cs="Times New Roman"/>
          <w:sz w:val="24"/>
          <w:szCs w:val="24"/>
          <w:lang w:val="en-US"/>
        </w:rPr>
        <w:t xml:space="preserve">caused an </w:t>
      </w:r>
      <w:r w:rsidRPr="000A6219">
        <w:rPr>
          <w:rFonts w:ascii="Book Antiqua" w:eastAsia="Calibri" w:hAnsi="Book Antiqua" w:cs="Times New Roman"/>
          <w:sz w:val="24"/>
          <w:szCs w:val="24"/>
          <w:lang w:val="en-US"/>
        </w:rPr>
        <w:t>increase</w:t>
      </w:r>
      <w:r w:rsidR="009F2131" w:rsidRPr="000A6219">
        <w:rPr>
          <w:rFonts w:ascii="Book Antiqua" w:eastAsia="Calibri" w:hAnsi="Book Antiqua" w:cs="Times New Roman"/>
          <w:sz w:val="24"/>
          <w:szCs w:val="24"/>
          <w:lang w:val="en-US"/>
        </w:rPr>
        <w:t xml:space="preserve"> in</w:t>
      </w:r>
      <w:r w:rsidRPr="000A6219">
        <w:rPr>
          <w:rFonts w:ascii="Book Antiqua" w:eastAsia="Calibri" w:hAnsi="Book Antiqua" w:cs="Times New Roman"/>
          <w:sz w:val="24"/>
          <w:szCs w:val="24"/>
          <w:lang w:val="en-US"/>
        </w:rPr>
        <w:t xml:space="preserve"> the expression of genes involved in ethanolamine </w:t>
      </w:r>
      <w:r w:rsidR="00595655" w:rsidRPr="000A6219">
        <w:rPr>
          <w:rFonts w:ascii="Book Antiqua" w:eastAsia="Calibri" w:hAnsi="Book Antiqua" w:cs="Times New Roman"/>
          <w:sz w:val="24"/>
          <w:szCs w:val="24"/>
          <w:lang w:val="en-US"/>
        </w:rPr>
        <w:t>utilization</w:t>
      </w:r>
      <w:r w:rsidRPr="000A6219">
        <w:rPr>
          <w:rFonts w:ascii="Book Antiqua" w:eastAsia="Calibri" w:hAnsi="Book Antiqua" w:cs="Times New Roman"/>
          <w:sz w:val="24"/>
          <w:szCs w:val="24"/>
          <w:lang w:val="en-US"/>
        </w:rPr>
        <w:t xml:space="preserve"> in comparison to K-12 and </w:t>
      </w:r>
      <w:r w:rsidR="009F2131" w:rsidRPr="000A6219">
        <w:rPr>
          <w:rFonts w:ascii="Book Antiqua" w:eastAsia="Calibri" w:hAnsi="Book Antiqua" w:cs="Times New Roman"/>
          <w:sz w:val="24"/>
          <w:szCs w:val="24"/>
          <w:lang w:val="en-US"/>
        </w:rPr>
        <w:t xml:space="preserve">also </w:t>
      </w:r>
      <w:r w:rsidRPr="000A6219">
        <w:rPr>
          <w:rFonts w:ascii="Book Antiqua" w:eastAsia="Calibri" w:hAnsi="Book Antiqua" w:cs="Times New Roman"/>
          <w:sz w:val="24"/>
          <w:szCs w:val="24"/>
          <w:lang w:val="en-US"/>
        </w:rPr>
        <w:t xml:space="preserve">demonstrated that AIEC strains </w:t>
      </w:r>
      <w:r w:rsidR="009F2131" w:rsidRPr="000A6219">
        <w:rPr>
          <w:rFonts w:ascii="Book Antiqua" w:eastAsia="Calibri" w:hAnsi="Book Antiqua" w:cs="Times New Roman"/>
          <w:sz w:val="24"/>
          <w:szCs w:val="24"/>
          <w:lang w:val="en-US"/>
        </w:rPr>
        <w:t xml:space="preserve">grew </w:t>
      </w:r>
      <w:r w:rsidRPr="000A6219">
        <w:rPr>
          <w:rFonts w:ascii="Book Antiqua" w:eastAsia="Calibri" w:hAnsi="Book Antiqua" w:cs="Times New Roman"/>
          <w:sz w:val="24"/>
          <w:szCs w:val="24"/>
          <w:lang w:val="en-US"/>
        </w:rPr>
        <w:t>more after incubation with minimum media with bile salts supplemented with ethanolamine than non-AIEC</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{"citationItems":[{"id":"ITEM-1","itemData":{"DOI":"10.1038/s41598-019-38628-1","ISSN":"2045-2322","PMID":"30778122","abstract":"The adherent-invasive Escherichia coli (AIEC), which colonize the ileal mucosa of Crohn's disease patients, adhere to intestinal epithelial cells, invade them and exacerbate intestinal inflammation. The high nutrient competition between the commensal microbiota and AIEC pathobiont requires the latter to occupy their own metabolic niches to survive and proliferate within the gut. In this study, a global RNA sequencing of AIEC strain LF82 has been used to observe the impact of bile salts on the expression of metabolic genes. The results showed a global up-regulation of genes involved in degradation and a down-regulation of those implicated in biosynthesis. The main up-regulated degradation pathways were ethanolamine, 1,2-propanediol and citrate utilization, as well as the methyl-citrate pathway. Our study reveals that ethanolamine utilization bestows a competitive advantage of AIEC strains that are metabolically capable of its degradation in the presence of bile salts. We observed that bile salts activated secondary metabolism pathways that communicate to provide an energy benefit to AIEC. Bile salts may be used by AIEC as an environmental signal to promote their colonization.","author":[{"dropping-particle":"","family":"Delmas","given":"Julien","non-dropping-particle":"","parse-names":false,"suffix":""},{"dropping-particle":"","family":"Gibold","given":"Lucie","non-dropping-particle":"","parse-names":false,"suffix":""},{"dropping-particle":"","family":"Faïs","given":"Tiphanie","non-dropping-particle":"","parse-names":false,"suffix":""},{"dropping-particle":"","family":"Batista","given":"Sylvine","non-dropping-particle":"","parse-names":false,"suffix":""},{"dropping-particle":"","family":"Leremboure","given":"Martin","non-dropping-particle":"","parse-names":false,"suffix":""},{"dropping-particle":"","family":"Sinel","given":"Clara","non-dropping-particle":"","parse-names":false,"suffix":""},{"dropping-particle":"","family":"Vazeille","given":"Emilie","non-dropping-particle":"","parse-names":false,"suffix":""},{"dropping-particle":"","family":"Cattoir","given":"Vincent","non-dropping-particle":"","parse-names":false,"suffix":""},{"dropping-particle":"","family":"Buisson","given":"Anthony","non-dropping-particle":"","parse-names":false,"suffix":""},{"dropping-particle":"","family":"Barnich","given":"Nicolas","non-dropping-particle":"","parse-names":false,"suffix":""},{"dropping-particle":"","family":"Dalmasso","given":"Guillaume","non-dropping-particle":"","parse-names":false,"suffix":""},{"dropping-particle":"","family":"Bonnet","given":"Richard","non-dropping-particle":"","parse-names":false,"suffix":""}],"container-title":"Scientific Reports","id":"ITEM-1","issue":"1","issued":{"date-parts":[["2019","12","18"]]},"page":"2175","title":"Metabolic adaptation of adherent-invasive Escherichia coli to exposure to bile salts","type":"article-journal","volume":"9"},"uris":["http://www.mendeley.com/documents/?uuid=2f7805cb-0831-3926-83c3-571b797141d9"]}],"mendeley":{"formattedCitation":"&lt;sup&gt;[46]&lt;/sup&gt;","plainTextFormattedCitation":"[46]","previouslyFormattedCitation":"&lt;sup&gt;[46]&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[4</w:t>
      </w:r>
      <w:r w:rsidR="00554ED9">
        <w:rPr>
          <w:rFonts w:ascii="Book Antiqua" w:eastAsia="Calibri" w:hAnsi="Book Antiqua" w:cs="Times New Roman"/>
          <w:noProof/>
          <w:sz w:val="24"/>
          <w:szCs w:val="24"/>
          <w:vertAlign w:val="superscript"/>
          <w:lang w:val="en-US"/>
        </w:rPr>
        <w:t>8</w:t>
      </w:r>
      <w:r w:rsidR="00765E1A"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Therefore, reinforcing the idea that AIEC strains may adapt their metabolism according to gut conditions and that experimental methods need to be carefully considered when drawing conclusions about AIEC molecular traits. Nonetheless, the gene expression analysis of other non-AIEC and AIEC strains apart from K-12 and LF82 in the presence of bile salts has not been provided</w:t>
      </w:r>
      <w:r w:rsidR="009F2131"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sz w:val="24"/>
          <w:szCs w:val="24"/>
          <w:lang w:val="en-US"/>
        </w:rPr>
        <w:lastRenderedPageBreak/>
        <w:t>thus</w:t>
      </w:r>
      <w:r w:rsidR="009F2131"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it is not possible to say that it is an AIEC-specific </w:t>
      </w:r>
      <w:r w:rsidR="00570361" w:rsidRPr="000A6219">
        <w:rPr>
          <w:rFonts w:ascii="Book Antiqua" w:eastAsia="Calibri" w:hAnsi="Book Antiqua" w:cs="Times New Roman"/>
          <w:sz w:val="24"/>
          <w:szCs w:val="24"/>
          <w:lang w:val="en-US"/>
        </w:rPr>
        <w:t>trait</w:t>
      </w:r>
      <w:r w:rsidRPr="000A6219">
        <w:rPr>
          <w:rFonts w:ascii="Book Antiqua" w:eastAsia="Calibri" w:hAnsi="Book Antiqua" w:cs="Times New Roman"/>
          <w:sz w:val="24"/>
          <w:szCs w:val="24"/>
          <w:lang w:val="en-US"/>
        </w:rPr>
        <w:t xml:space="preserve"> nor an </w:t>
      </w:r>
      <w:r w:rsidR="00E603F9" w:rsidRPr="000A6219">
        <w:rPr>
          <w:rFonts w:ascii="Book Antiqua" w:eastAsia="Calibri" w:hAnsi="Book Antiqua" w:cs="Times New Roman"/>
          <w:sz w:val="24"/>
          <w:szCs w:val="24"/>
          <w:lang w:val="en-US"/>
        </w:rPr>
        <w:t>adaptive</w:t>
      </w:r>
      <w:r w:rsidRPr="000A6219">
        <w:rPr>
          <w:rFonts w:ascii="Book Antiqua" w:eastAsia="Calibri" w:hAnsi="Book Antiqua" w:cs="Times New Roman"/>
          <w:sz w:val="24"/>
          <w:szCs w:val="24"/>
          <w:lang w:val="en-US"/>
        </w:rPr>
        <w:t xml:space="preserve"> method common among AIE</w:t>
      </w:r>
      <w:r w:rsidR="00C15F0F" w:rsidRPr="000A6219">
        <w:rPr>
          <w:rFonts w:ascii="Book Antiqua" w:eastAsia="Calibri" w:hAnsi="Book Antiqua" w:cs="Times New Roman"/>
          <w:sz w:val="24"/>
          <w:szCs w:val="24"/>
          <w:lang w:val="en-US"/>
        </w:rPr>
        <w:t xml:space="preserve">C strains. Besides, Zhang </w:t>
      </w:r>
      <w:r w:rsidR="00C15F0F" w:rsidRPr="000A6219">
        <w:rPr>
          <w:rFonts w:ascii="Book Antiqua" w:eastAsia="Calibri" w:hAnsi="Book Antiqua" w:cs="Times New Roman"/>
          <w:i/>
          <w:sz w:val="24"/>
          <w:szCs w:val="24"/>
          <w:lang w:val="en-US"/>
        </w:rPr>
        <w:t>et al</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{"citationItems":[{"id":"ITEM-1","itemData":{"DOI":"10.1371/journal.pone.0130902","ISSN":"1932-6203","PMID":"26125937","abstract":"Adherent-invasive Escherichia coli (AIEC) strains are detected more frequently within mucosal lesions of patients with Crohn's disease (CD). The AIEC phenotype consists of adherence and invasion of intestinal epithelial cells and survival within macrophages of these bacteria in vitro. Our aim was to identify candidate transcripts that distinguish AIEC from non-invasive E. coli (NIEC) strains and might be useful for rapid and accurate identification of AIEC by culture-independent technology. We performed comparative RNA-Sequence (RNASeq) analysis using AIEC strain LF82 and NIEC strain HS during exponential and stationary growth. Differential expression analysis of coding sequences (CDS) homologous to both strains demonstrated 224 and 241 genes with increased and decreased expression, respectively, in LF82 relative to HS. Transition metal transport and siderophore metabolism related pathway genes were up-regulated, while glycogen metabolic and oxidation-reduction related pathway genes were down-regulated, in LF82. Chemotaxis related transcripts were up-regulated in LF82 during the exponential phase, but flagellum-dependent motility pathway genes were down-regulated in LF82 during the stationary phase. CDS that mapped only to the LF82 genome accounted for 747 genes. We applied an in silico subtractive genomics approach to identify CDS specific to AIEC by incorporating the genomes of 10 other previously phenotyped NIEC. From this analysis, 166 CDS mapped to the LF82 genome and lacked homology to any of the 11 human NIEC strains. We compared these CDS across 13 AIEC, but none were homologous in each. Four LF82 gene loci belonging to clustered regularly interspaced short palindromic repeats region (CRISPR)--CRISPR-associated (Cas) genes were identified in 4 to 6 AIEC and absent from all non-pathogenic bacteria. As previously reported, AIEC strains were enriched for pdu operon genes. One CDS, encoding an excisionase, was shared by 9 AIEC strains. Reverse transcription quantitative polymerase chain reaction assays for 6 genes were conducted on fecal and ileal RNA samples from 22 inflammatory bowel disease (IBD), and 32 patients without IBD (non-IBD). The expression of Cas loci was detected in a higher proportion of CD than non-IBD fecal and ileal RNA samples (p &lt;0.05). These results support a comparative genomic/transcriptomic approach towards identifying candidate AIEC signature transcripts.","author":[{"dropping-particle":"","family":"Zhang","given":"Yuanhao","non-dropping-particle":"","parse-names":false,"suffix":""},{"dropping-particle":"","family":"Rowehl","given":"Leahana","non-dropping-particle":"","parse-names":false,"suffix":""},{"dropping-particle":"","family":"Krumsiek","given":"Julia M","non-dropping-particle":"","parse-names":false,"suffix":""},{"dropping-particle":"","family":"Orner","given":"Erika P","non-dropping-particle":"","parse-names":false,"suffix":""},{"dropping-particle":"","family":"Shaikh","given":"Nurmohammad","non-dropping-particle":"","parse-names":false,"suffix":""},{"dropping-particle":"","family":"Tarr","given":"Phillip I","non-dropping-particle":"","parse-names":false,"suffix":""},{"dropping-particle":"","family":"Sodergren","given":"Erica","non-dropping-particle":"","parse-names":false,"suffix":""},{"dropping-particle":"","family":"Weinstock","given":"George M","non-dropping-particle":"","parse-names":false,"suffix":""},{"dropping-particle":"","family":"Boedeker","given":"Edgar C","non-dropping-particle":"","parse-names":false,"suffix":""},{"dropping-particle":"","family":"Xiong","given":"Xuejian","non-dropping-particle":"","parse-names":false,"suffix":""},{"dropping-particle":"","family":"Parkinson","given":"John","non-dropping-particle":"","parse-names":false,"suffix":""},{"dropping-particle":"","family":"Frank","given":"Daniel N","non-dropping-particle":"","parse-names":false,"suffix":""},{"dropping-particle":"","family":"Li","given":"Ellen","non-dropping-particle":"","parse-names":false,"suffix":""},{"dropping-particle":"","family":"Gathungu","given":"Grace","non-dropping-particle":"","parse-names":false,"suffix":""}],"container-title":"PloS one","id":"ITEM-1","issue":"6","issued":{"date-parts":[["2015"]]},"page":"e0130902","publisher":"Public Library of Science","title":"Identification of Candidate Adherent-Invasive E. coli Signature Transcripts by Genomic/Transcriptomic Analysis.","type":"article-journal","volume":"10"},"uris":["http://www.mendeley.com/documents/?uuid=c64dddf1-d66e-31ad-8569-739a844139b3"]}],"mendeley":{"formattedCitation":"&lt;sup&gt;[35]&lt;/sup&gt;","plainTextFormattedCitation":"[35]","previouslyFormattedCitation":"&lt;sup&gt;[35]&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[35]</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identified potential coding regions that could be applied as signature transcripts. Nevertheless, it is worth noting that they compared only one AIEC strain (LF82) with one commensal (HS) </w:t>
      </w:r>
      <w:r w:rsidR="009F2131" w:rsidRPr="000A6219">
        <w:rPr>
          <w:rFonts w:ascii="Book Antiqua" w:eastAsia="Calibri" w:hAnsi="Book Antiqua" w:cs="Times New Roman"/>
          <w:sz w:val="24"/>
          <w:szCs w:val="24"/>
          <w:lang w:val="en-US"/>
        </w:rPr>
        <w:t xml:space="preserve">strain </w:t>
      </w:r>
      <w:r w:rsidRPr="000A6219">
        <w:rPr>
          <w:rFonts w:ascii="Book Antiqua" w:eastAsia="Calibri" w:hAnsi="Book Antiqua" w:cs="Times New Roman"/>
          <w:sz w:val="24"/>
          <w:szCs w:val="24"/>
          <w:lang w:val="en-US"/>
        </w:rPr>
        <w:t xml:space="preserve">during growth in </w:t>
      </w:r>
      <w:r w:rsidR="009F2131" w:rsidRPr="000A6219">
        <w:rPr>
          <w:rFonts w:ascii="Book Antiqua" w:eastAsia="Calibri" w:hAnsi="Book Antiqua" w:cs="Times New Roman"/>
          <w:sz w:val="24"/>
          <w:szCs w:val="24"/>
          <w:lang w:val="en-US"/>
        </w:rPr>
        <w:t xml:space="preserve">Luria </w:t>
      </w:r>
      <w:r w:rsidR="0051226F" w:rsidRPr="000A6219">
        <w:rPr>
          <w:rFonts w:ascii="Book Antiqua" w:eastAsia="Calibri" w:hAnsi="Book Antiqua" w:cs="Times New Roman"/>
          <w:sz w:val="24"/>
          <w:szCs w:val="24"/>
          <w:lang w:val="en-US"/>
        </w:rPr>
        <w:t>broth</w:t>
      </w:r>
      <w:r w:rsidRPr="000A6219">
        <w:rPr>
          <w:rFonts w:ascii="Book Antiqua" w:eastAsia="Calibri" w:hAnsi="Book Antiqua" w:cs="Times New Roman"/>
          <w:sz w:val="24"/>
          <w:szCs w:val="24"/>
          <w:lang w:val="en-US"/>
        </w:rPr>
        <w:t xml:space="preserve">. Thereby, the differences found </w:t>
      </w:r>
      <w:r w:rsidR="009F2131" w:rsidRPr="000A6219">
        <w:rPr>
          <w:rFonts w:ascii="Book Antiqua" w:eastAsia="Calibri" w:hAnsi="Book Antiqua" w:cs="Times New Roman"/>
          <w:sz w:val="24"/>
          <w:szCs w:val="24"/>
          <w:lang w:val="en-US"/>
        </w:rPr>
        <w:t xml:space="preserve">between the strains </w:t>
      </w:r>
      <w:r w:rsidRPr="000A6219">
        <w:rPr>
          <w:rFonts w:ascii="Book Antiqua" w:eastAsia="Calibri" w:hAnsi="Book Antiqua" w:cs="Times New Roman"/>
          <w:sz w:val="24"/>
          <w:szCs w:val="24"/>
          <w:lang w:val="en-US"/>
        </w:rPr>
        <w:t xml:space="preserve">could be strain-specific or perceptible due to the phylogenetic distance of the strains rather than to the AIEC phenotype. </w:t>
      </w:r>
      <w:r w:rsidR="009F2131" w:rsidRPr="000A6219">
        <w:rPr>
          <w:rFonts w:ascii="Book Antiqua" w:eastAsia="Calibri" w:hAnsi="Book Antiqua" w:cs="Times New Roman"/>
          <w:sz w:val="24"/>
          <w:szCs w:val="24"/>
          <w:lang w:val="en-US"/>
        </w:rPr>
        <w:t>Given</w:t>
      </w:r>
      <w:r w:rsidR="00076EB2" w:rsidRPr="000A6219">
        <w:rPr>
          <w:rFonts w:ascii="Book Antiqua" w:eastAsia="Calibri" w:hAnsi="Book Antiqua" w:cs="Times New Roman"/>
          <w:sz w:val="24"/>
          <w:szCs w:val="24"/>
          <w:lang w:val="en-US"/>
        </w:rPr>
        <w:t xml:space="preserve"> the extent of these studies</w:t>
      </w:r>
      <w:r w:rsidR="009F2131" w:rsidRPr="000A6219">
        <w:rPr>
          <w:rFonts w:ascii="Book Antiqua" w:eastAsia="Calibri" w:hAnsi="Book Antiqua" w:cs="Times New Roman"/>
          <w:sz w:val="24"/>
          <w:szCs w:val="24"/>
          <w:lang w:val="en-US"/>
        </w:rPr>
        <w:t xml:space="preserve"> and</w:t>
      </w:r>
      <w:r w:rsidR="00076EB2" w:rsidRPr="000A6219">
        <w:rPr>
          <w:rFonts w:ascii="Book Antiqua" w:eastAsia="Calibri" w:hAnsi="Book Antiqua" w:cs="Times New Roman"/>
          <w:sz w:val="24"/>
          <w:szCs w:val="24"/>
          <w:lang w:val="en-US"/>
        </w:rPr>
        <w:t xml:space="preserve"> although there are some transcripts with a stimulating role in AIEC virulence, a candidate transcript </w:t>
      </w:r>
      <w:r w:rsidR="009F2131" w:rsidRPr="000A6219">
        <w:rPr>
          <w:rFonts w:ascii="Book Antiqua" w:eastAsia="Calibri" w:hAnsi="Book Antiqua" w:cs="Times New Roman"/>
          <w:sz w:val="24"/>
          <w:szCs w:val="24"/>
          <w:lang w:val="en-US"/>
        </w:rPr>
        <w:t xml:space="preserve">suitable </w:t>
      </w:r>
      <w:r w:rsidR="00076EB2" w:rsidRPr="000A6219">
        <w:rPr>
          <w:rFonts w:ascii="Book Antiqua" w:eastAsia="Calibri" w:hAnsi="Book Antiqua" w:cs="Times New Roman"/>
          <w:sz w:val="24"/>
          <w:szCs w:val="24"/>
          <w:lang w:val="en-US"/>
        </w:rPr>
        <w:t xml:space="preserve">to be considered a universal and specific AIEC probe has not </w:t>
      </w:r>
      <w:r w:rsidR="005F6A7F" w:rsidRPr="000A6219">
        <w:rPr>
          <w:rFonts w:ascii="Book Antiqua" w:eastAsia="Calibri" w:hAnsi="Book Antiqua" w:cs="Times New Roman"/>
          <w:sz w:val="24"/>
          <w:szCs w:val="24"/>
          <w:lang w:val="en-US"/>
        </w:rPr>
        <w:t xml:space="preserve">yet </w:t>
      </w:r>
      <w:r w:rsidR="00076EB2" w:rsidRPr="000A6219">
        <w:rPr>
          <w:rFonts w:ascii="Book Antiqua" w:eastAsia="Calibri" w:hAnsi="Book Antiqua" w:cs="Times New Roman"/>
          <w:sz w:val="24"/>
          <w:szCs w:val="24"/>
          <w:lang w:val="en-US"/>
        </w:rPr>
        <w:t xml:space="preserve">been </w:t>
      </w:r>
      <w:r w:rsidR="005F6A7F" w:rsidRPr="000A6219">
        <w:rPr>
          <w:rFonts w:ascii="Book Antiqua" w:eastAsia="Calibri" w:hAnsi="Book Antiqua" w:cs="Times New Roman"/>
          <w:sz w:val="24"/>
          <w:szCs w:val="24"/>
          <w:lang w:val="en-US"/>
        </w:rPr>
        <w:t>determined</w:t>
      </w:r>
      <w:r w:rsidR="00076EB2"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sz w:val="24"/>
          <w:szCs w:val="24"/>
          <w:lang w:val="en-US"/>
        </w:rPr>
        <w:t xml:space="preserve">It is against this background that we </w:t>
      </w:r>
      <w:r w:rsidR="00076EB2" w:rsidRPr="000A6219">
        <w:rPr>
          <w:rFonts w:ascii="Book Antiqua" w:eastAsia="Calibri" w:hAnsi="Book Antiqua" w:cs="Times New Roman"/>
          <w:sz w:val="24"/>
          <w:szCs w:val="24"/>
          <w:lang w:val="en-US"/>
        </w:rPr>
        <w:t xml:space="preserve">encourage scientists to compare closely related </w:t>
      </w:r>
      <w:r w:rsidR="005F6A7F" w:rsidRPr="000A6219">
        <w:rPr>
          <w:rFonts w:ascii="Book Antiqua" w:eastAsia="Calibri" w:hAnsi="Book Antiqua" w:cs="Times New Roman"/>
          <w:sz w:val="24"/>
          <w:szCs w:val="24"/>
          <w:lang w:val="en-US"/>
        </w:rPr>
        <w:t xml:space="preserve">strains </w:t>
      </w:r>
      <w:r w:rsidR="00076EB2" w:rsidRPr="000A6219">
        <w:rPr>
          <w:rFonts w:ascii="Book Antiqua" w:eastAsia="Calibri" w:hAnsi="Book Antiqua" w:cs="Times New Roman"/>
          <w:sz w:val="24"/>
          <w:szCs w:val="24"/>
          <w:lang w:val="en-US"/>
        </w:rPr>
        <w:t xml:space="preserve">and </w:t>
      </w:r>
      <w:r w:rsidRPr="000A6219">
        <w:rPr>
          <w:rFonts w:ascii="Book Antiqua" w:eastAsia="Calibri" w:hAnsi="Book Antiqua" w:cs="Times New Roman"/>
          <w:sz w:val="24"/>
          <w:szCs w:val="24"/>
          <w:lang w:val="en-US"/>
        </w:rPr>
        <w:t>conduct</w:t>
      </w:r>
      <w:r w:rsidR="00076EB2" w:rsidRPr="000A6219">
        <w:rPr>
          <w:rFonts w:ascii="Book Antiqua" w:eastAsia="Calibri" w:hAnsi="Book Antiqua" w:cs="Times New Roman"/>
          <w:sz w:val="24"/>
          <w:szCs w:val="24"/>
          <w:lang w:val="en-US"/>
        </w:rPr>
        <w:t xml:space="preserve"> the protocol</w:t>
      </w:r>
      <w:r w:rsidRPr="000A6219">
        <w:rPr>
          <w:rFonts w:ascii="Book Antiqua" w:eastAsia="Calibri" w:hAnsi="Book Antiqua" w:cs="Times New Roman"/>
          <w:sz w:val="24"/>
          <w:szCs w:val="24"/>
          <w:lang w:val="en-US"/>
        </w:rPr>
        <w:t xml:space="preserve"> </w:t>
      </w:r>
      <w:r w:rsidR="00076EB2" w:rsidRPr="000A6219">
        <w:rPr>
          <w:rFonts w:ascii="Book Antiqua" w:eastAsia="Calibri" w:hAnsi="Book Antiqua" w:cs="Times New Roman"/>
          <w:sz w:val="24"/>
          <w:szCs w:val="24"/>
          <w:lang w:val="en-US"/>
        </w:rPr>
        <w:t xml:space="preserve">in a more accurate environment </w:t>
      </w:r>
      <w:r w:rsidR="005F6A7F" w:rsidRPr="000A6219">
        <w:rPr>
          <w:rFonts w:ascii="Book Antiqua" w:eastAsia="Calibri" w:hAnsi="Book Antiqua" w:cs="Times New Roman"/>
          <w:sz w:val="24"/>
          <w:szCs w:val="24"/>
          <w:lang w:val="en-US"/>
        </w:rPr>
        <w:t xml:space="preserve">in order </w:t>
      </w:r>
      <w:r w:rsidR="00076EB2" w:rsidRPr="000A6219">
        <w:rPr>
          <w:rFonts w:ascii="Book Antiqua" w:eastAsia="Calibri" w:hAnsi="Book Antiqua" w:cs="Times New Roman"/>
          <w:sz w:val="24"/>
          <w:szCs w:val="24"/>
          <w:lang w:val="en-US"/>
        </w:rPr>
        <w:t>t</w:t>
      </w:r>
      <w:r w:rsidRPr="000A6219">
        <w:rPr>
          <w:rFonts w:ascii="Book Antiqua" w:eastAsia="Calibri" w:hAnsi="Book Antiqua" w:cs="Times New Roman"/>
          <w:sz w:val="24"/>
          <w:szCs w:val="24"/>
          <w:lang w:val="en-US"/>
        </w:rPr>
        <w:t xml:space="preserve">o </w:t>
      </w:r>
      <w:r w:rsidR="005F6A7F" w:rsidRPr="000A6219">
        <w:rPr>
          <w:rFonts w:ascii="Book Antiqua" w:eastAsia="Calibri" w:hAnsi="Book Antiqua" w:cs="Times New Roman"/>
          <w:sz w:val="24"/>
          <w:szCs w:val="24"/>
          <w:lang w:val="en-US"/>
        </w:rPr>
        <w:t>obtain</w:t>
      </w:r>
      <w:r w:rsidRPr="000A6219">
        <w:rPr>
          <w:rFonts w:ascii="Book Antiqua" w:eastAsia="Calibri" w:hAnsi="Book Antiqua" w:cs="Times New Roman"/>
          <w:sz w:val="24"/>
          <w:szCs w:val="24"/>
          <w:lang w:val="en-US"/>
        </w:rPr>
        <w:t xml:space="preserve"> a more a reliable interpretation of the gut context. </w:t>
      </w:r>
      <w:r w:rsidR="00E739B6" w:rsidRPr="000A6219">
        <w:rPr>
          <w:rFonts w:ascii="Book Antiqua" w:eastAsia="Calibri" w:hAnsi="Book Antiqua" w:cs="Times New Roman"/>
          <w:sz w:val="24"/>
          <w:szCs w:val="24"/>
          <w:lang w:val="en-US"/>
        </w:rPr>
        <w:t xml:space="preserve">For instance, </w:t>
      </w:r>
      <w:proofErr w:type="spellStart"/>
      <w:r w:rsidR="00E739B6" w:rsidRPr="000A6219">
        <w:rPr>
          <w:rFonts w:ascii="Book Antiqua" w:eastAsia="Calibri" w:hAnsi="Book Antiqua" w:cs="Times New Roman"/>
          <w:sz w:val="24"/>
          <w:szCs w:val="24"/>
          <w:lang w:val="en-US"/>
        </w:rPr>
        <w:t>previo</w:t>
      </w:r>
      <w:r w:rsidR="005F6A7F" w:rsidRPr="000A6219">
        <w:rPr>
          <w:rFonts w:ascii="Book Antiqua" w:eastAsia="Calibri" w:hAnsi="Book Antiqua" w:cs="Times New Roman"/>
          <w:sz w:val="24"/>
          <w:szCs w:val="24"/>
          <w:lang w:val="en-US"/>
        </w:rPr>
        <w:t>r</w:t>
      </w:r>
      <w:proofErr w:type="spellEnd"/>
      <w:r w:rsidR="00E739B6" w:rsidRPr="000A6219">
        <w:rPr>
          <w:rFonts w:ascii="Book Antiqua" w:eastAsia="Calibri" w:hAnsi="Book Antiqua" w:cs="Times New Roman"/>
          <w:sz w:val="24"/>
          <w:szCs w:val="24"/>
          <w:lang w:val="en-US"/>
        </w:rPr>
        <w:t xml:space="preserve"> to bacterial adhesion and invasion, bacteria need to cross the muc</w:t>
      </w:r>
      <w:r w:rsidR="005F6A7F" w:rsidRPr="000A6219">
        <w:rPr>
          <w:rFonts w:ascii="Book Antiqua" w:eastAsia="Calibri" w:hAnsi="Book Antiqua" w:cs="Times New Roman"/>
          <w:sz w:val="24"/>
          <w:szCs w:val="24"/>
          <w:lang w:val="en-US"/>
        </w:rPr>
        <w:t>osal</w:t>
      </w:r>
      <w:r w:rsidR="00E739B6" w:rsidRPr="000A6219">
        <w:rPr>
          <w:rFonts w:ascii="Book Antiqua" w:eastAsia="Calibri" w:hAnsi="Book Antiqua" w:cs="Times New Roman"/>
          <w:sz w:val="24"/>
          <w:szCs w:val="24"/>
          <w:lang w:val="en-US"/>
        </w:rPr>
        <w:t xml:space="preserve"> layer. As a consequence, an assay examining bacteria capacity to disrupt and translocate through the mucus should also be contemplated.</w:t>
      </w:r>
    </w:p>
    <w:p w14:paraId="6FF77915" w14:textId="77777777" w:rsidR="00C15F0F" w:rsidRPr="000A6219" w:rsidRDefault="00C15F0F" w:rsidP="000A6219">
      <w:pPr>
        <w:snapToGrid w:val="0"/>
        <w:spacing w:after="0" w:line="360" w:lineRule="auto"/>
        <w:jc w:val="both"/>
        <w:rPr>
          <w:rFonts w:ascii="Book Antiqua" w:eastAsia="Times New Roman" w:hAnsi="Book Antiqua" w:cs="Times New Roman"/>
          <w:b/>
          <w:iCs/>
          <w:sz w:val="24"/>
          <w:szCs w:val="24"/>
          <w:lang w:val="en-US"/>
        </w:rPr>
      </w:pPr>
    </w:p>
    <w:p w14:paraId="7BEC3077" w14:textId="0E49096E" w:rsidR="0051226F" w:rsidRPr="000A6219" w:rsidRDefault="0051226F" w:rsidP="000A6219">
      <w:pPr>
        <w:snapToGrid w:val="0"/>
        <w:spacing w:after="0" w:line="360" w:lineRule="auto"/>
        <w:jc w:val="both"/>
        <w:rPr>
          <w:rFonts w:ascii="Book Antiqua" w:eastAsia="Calibri" w:hAnsi="Book Antiqua" w:cs="Times New Roman"/>
          <w:sz w:val="24"/>
          <w:szCs w:val="24"/>
          <w:lang w:val="en-US"/>
        </w:rPr>
      </w:pPr>
      <w:r w:rsidRPr="000A6219">
        <w:rPr>
          <w:rStyle w:val="h3"/>
          <w:rFonts w:ascii="Book Antiqua" w:hAnsi="Book Antiqua"/>
          <w:b/>
          <w:bCs/>
          <w:color w:val="000000"/>
          <w:sz w:val="24"/>
          <w:szCs w:val="24"/>
          <w:u w:val="single"/>
          <w:lang w:val="en-GB"/>
        </w:rPr>
        <w:t>CONCLUSION</w:t>
      </w:r>
    </w:p>
    <w:p w14:paraId="29A7AFDB" w14:textId="6C3026AF" w:rsidR="00721A65" w:rsidRPr="000A6219" w:rsidRDefault="00721A65"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Although </w:t>
      </w:r>
      <w:r w:rsidR="005F6A7F" w:rsidRPr="000A6219">
        <w:rPr>
          <w:rFonts w:ascii="Book Antiqua" w:eastAsia="Calibri" w:hAnsi="Book Antiqua" w:cs="Times New Roman"/>
          <w:sz w:val="24"/>
          <w:szCs w:val="24"/>
          <w:lang w:val="en-US"/>
        </w:rPr>
        <w:t>the factors that constitute</w:t>
      </w:r>
      <w:r w:rsidRPr="000A6219">
        <w:rPr>
          <w:rFonts w:ascii="Book Antiqua" w:eastAsia="Calibri" w:hAnsi="Book Antiqua" w:cs="Times New Roman"/>
          <w:sz w:val="24"/>
          <w:szCs w:val="24"/>
          <w:lang w:val="en-US"/>
        </w:rPr>
        <w:t xml:space="preserve"> an AIEC strain re</w:t>
      </w:r>
      <w:r w:rsidR="005F6A7F" w:rsidRPr="000A6219">
        <w:rPr>
          <w:rFonts w:ascii="Book Antiqua" w:eastAsia="Calibri" w:hAnsi="Book Antiqua" w:cs="Times New Roman"/>
          <w:sz w:val="24"/>
          <w:szCs w:val="24"/>
          <w:lang w:val="en-US"/>
        </w:rPr>
        <w:t>main</w:t>
      </w:r>
      <w:r w:rsidRPr="000A6219">
        <w:rPr>
          <w:rFonts w:ascii="Book Antiqua" w:eastAsia="Calibri" w:hAnsi="Book Antiqua" w:cs="Times New Roman"/>
          <w:sz w:val="24"/>
          <w:szCs w:val="24"/>
          <w:lang w:val="en-US"/>
        </w:rPr>
        <w:t xml:space="preserve"> an enigma, the outcomes obtained by several lines of research </w:t>
      </w:r>
      <w:r w:rsidR="00570361" w:rsidRPr="000A6219">
        <w:rPr>
          <w:rFonts w:ascii="Book Antiqua" w:eastAsia="Calibri" w:hAnsi="Book Antiqua" w:cs="Times New Roman"/>
          <w:sz w:val="24"/>
          <w:szCs w:val="24"/>
          <w:lang w:val="en-US"/>
        </w:rPr>
        <w:t xml:space="preserve">over the last </w:t>
      </w:r>
      <w:r w:rsidR="00DB4B1E" w:rsidRPr="000A6219">
        <w:rPr>
          <w:rFonts w:ascii="Book Antiqua" w:eastAsia="Calibri" w:hAnsi="Book Antiqua" w:cs="Times New Roman"/>
          <w:sz w:val="24"/>
          <w:szCs w:val="24"/>
          <w:lang w:val="en-US"/>
        </w:rPr>
        <w:t>15 years</w:t>
      </w:r>
      <w:r w:rsidRPr="000A6219">
        <w:rPr>
          <w:rFonts w:ascii="Book Antiqua" w:eastAsia="Calibri" w:hAnsi="Book Antiqua" w:cs="Times New Roman"/>
          <w:sz w:val="24"/>
          <w:szCs w:val="24"/>
          <w:lang w:val="en-US"/>
        </w:rPr>
        <w:t xml:space="preserve"> provide meaningful information on AIEC genetics. Gene prevalence, amino acid substitutions</w:t>
      </w:r>
      <w:r w:rsidR="005F6A7F"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and gene expression have been studied for both known and unknown genetic elements. </w:t>
      </w:r>
      <w:r w:rsidR="005F6A7F" w:rsidRPr="000A6219">
        <w:rPr>
          <w:rFonts w:ascii="Book Antiqua" w:eastAsia="Calibri" w:hAnsi="Book Antiqua" w:cs="Times New Roman"/>
          <w:sz w:val="24"/>
          <w:szCs w:val="24"/>
          <w:lang w:val="en-US"/>
        </w:rPr>
        <w:t>In summary</w:t>
      </w:r>
      <w:r w:rsidRPr="000A6219">
        <w:rPr>
          <w:rFonts w:ascii="Book Antiqua" w:eastAsia="Calibri" w:hAnsi="Book Antiqua" w:cs="Times New Roman"/>
          <w:sz w:val="24"/>
          <w:szCs w:val="24"/>
          <w:lang w:val="en-US"/>
        </w:rPr>
        <w:t xml:space="preserve">, </w:t>
      </w:r>
      <w:r w:rsidR="00076EB2" w:rsidRPr="000A6219">
        <w:rPr>
          <w:rFonts w:ascii="Book Antiqua" w:eastAsia="Calibri" w:hAnsi="Book Antiqua" w:cs="Times New Roman"/>
          <w:sz w:val="24"/>
          <w:szCs w:val="24"/>
          <w:lang w:val="en-US"/>
        </w:rPr>
        <w:t>research studies</w:t>
      </w:r>
      <w:r w:rsidRPr="000A6219">
        <w:rPr>
          <w:rFonts w:ascii="Book Antiqua" w:eastAsia="Calibri" w:hAnsi="Book Antiqua" w:cs="Times New Roman"/>
          <w:sz w:val="24"/>
          <w:szCs w:val="24"/>
          <w:lang w:val="en-US"/>
        </w:rPr>
        <w:t xml:space="preserve"> presented and discussed in this </w:t>
      </w:r>
      <w:r w:rsidR="00076EB2" w:rsidRPr="000A6219">
        <w:rPr>
          <w:rFonts w:ascii="Book Antiqua" w:eastAsia="Calibri" w:hAnsi="Book Antiqua" w:cs="Times New Roman"/>
          <w:sz w:val="24"/>
          <w:szCs w:val="24"/>
          <w:lang w:val="en-US"/>
        </w:rPr>
        <w:t>review</w:t>
      </w:r>
      <w:r w:rsidRPr="000A6219">
        <w:rPr>
          <w:rFonts w:ascii="Book Antiqua" w:eastAsia="Calibri" w:hAnsi="Book Antiqua" w:cs="Times New Roman"/>
          <w:sz w:val="24"/>
          <w:szCs w:val="24"/>
          <w:lang w:val="en-US"/>
        </w:rPr>
        <w:t xml:space="preserve"> demonstrate that AIEC is a diverse pathotype considering gene content and point mutations, </w:t>
      </w:r>
      <w:r w:rsidR="00DB4B1E" w:rsidRPr="000A6219">
        <w:rPr>
          <w:rFonts w:ascii="Book Antiqua" w:eastAsia="Calibri" w:hAnsi="Book Antiqua" w:cs="Times New Roman"/>
          <w:sz w:val="24"/>
          <w:szCs w:val="24"/>
          <w:lang w:val="en-US"/>
        </w:rPr>
        <w:t>and</w:t>
      </w:r>
      <w:r w:rsidRPr="000A6219">
        <w:rPr>
          <w:rFonts w:ascii="Book Antiqua" w:eastAsia="Calibri" w:hAnsi="Book Antiqua" w:cs="Times New Roman"/>
          <w:sz w:val="24"/>
          <w:szCs w:val="24"/>
          <w:lang w:val="en-US"/>
        </w:rPr>
        <w:t xml:space="preserve"> gene expression studies insinuated that the AIEC phenotype may be determined by particular differences in gene expression</w:t>
      </w:r>
      <w:r w:rsidR="005F6A7F" w:rsidRPr="000A6219">
        <w:rPr>
          <w:rFonts w:ascii="Book Antiqua" w:eastAsia="Calibri" w:hAnsi="Book Antiqua" w:cs="Times New Roman"/>
          <w:sz w:val="24"/>
          <w:szCs w:val="24"/>
          <w:lang w:val="en-US"/>
        </w:rPr>
        <w:t>,</w:t>
      </w:r>
      <w:r w:rsidR="00DB4B1E" w:rsidRPr="000A6219">
        <w:rPr>
          <w:rFonts w:ascii="Book Antiqua" w:eastAsia="Calibri" w:hAnsi="Book Antiqua" w:cs="Times New Roman"/>
          <w:sz w:val="24"/>
          <w:szCs w:val="24"/>
          <w:lang w:val="en-US"/>
        </w:rPr>
        <w:t xml:space="preserve"> but these need further </w:t>
      </w:r>
      <w:r w:rsidR="005F6A7F" w:rsidRPr="000A6219">
        <w:rPr>
          <w:rFonts w:ascii="Book Antiqua" w:eastAsia="Calibri" w:hAnsi="Book Antiqua" w:cs="Times New Roman"/>
          <w:sz w:val="24"/>
          <w:szCs w:val="24"/>
          <w:lang w:val="en-US"/>
        </w:rPr>
        <w:t>verification using</w:t>
      </w:r>
      <w:r w:rsidR="00DB4B1E" w:rsidRPr="000A6219">
        <w:rPr>
          <w:rFonts w:ascii="Book Antiqua" w:eastAsia="Calibri" w:hAnsi="Book Antiqua" w:cs="Times New Roman"/>
          <w:sz w:val="24"/>
          <w:szCs w:val="24"/>
          <w:lang w:val="en-US"/>
        </w:rPr>
        <w:t xml:space="preserve"> other AIEC strains</w:t>
      </w:r>
      <w:r w:rsidR="0051226F" w:rsidRPr="000A6219">
        <w:rPr>
          <w:rFonts w:ascii="Book Antiqua" w:eastAsia="Calibri" w:hAnsi="Book Antiqua" w:cs="Times New Roman"/>
          <w:sz w:val="24"/>
          <w:szCs w:val="24"/>
          <w:lang w:val="en-US"/>
        </w:rPr>
        <w:t>.</w:t>
      </w:r>
    </w:p>
    <w:p w14:paraId="21123C3A" w14:textId="11FA008E" w:rsidR="00A073BA" w:rsidRPr="000A6219" w:rsidRDefault="00721A65"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The discovery of an AIEC biomarker would significantly ease further epidemiological studies </w:t>
      </w:r>
      <w:r w:rsidR="005F6A7F" w:rsidRPr="000A6219">
        <w:rPr>
          <w:rFonts w:ascii="Book Antiqua" w:eastAsia="Calibri" w:hAnsi="Book Antiqua" w:cs="Times New Roman"/>
          <w:sz w:val="24"/>
          <w:szCs w:val="24"/>
          <w:lang w:val="en-US"/>
        </w:rPr>
        <w:t xml:space="preserve">in order </w:t>
      </w:r>
      <w:r w:rsidRPr="000A6219">
        <w:rPr>
          <w:rFonts w:ascii="Book Antiqua" w:eastAsia="Calibri" w:hAnsi="Book Antiqua" w:cs="Times New Roman"/>
          <w:sz w:val="24"/>
          <w:szCs w:val="24"/>
          <w:lang w:val="en-US"/>
        </w:rPr>
        <w:t>to better determine AIEC prevalence and abundance</w:t>
      </w:r>
      <w:r w:rsidR="005F6A7F" w:rsidRPr="000A6219">
        <w:rPr>
          <w:rFonts w:ascii="Book Antiqua" w:eastAsia="Calibri" w:hAnsi="Book Antiqua" w:cs="Times New Roman"/>
          <w:sz w:val="24"/>
          <w:szCs w:val="24"/>
          <w:lang w:val="en-US"/>
        </w:rPr>
        <w:t xml:space="preserve"> and</w:t>
      </w:r>
      <w:r w:rsidRPr="000A6219">
        <w:rPr>
          <w:rFonts w:ascii="Book Antiqua" w:eastAsia="Calibri" w:hAnsi="Book Antiqua" w:cs="Times New Roman"/>
          <w:sz w:val="24"/>
          <w:szCs w:val="24"/>
          <w:lang w:val="en-US"/>
        </w:rPr>
        <w:t xml:space="preserve">, discover environmental and animal reservoirs and </w:t>
      </w:r>
      <w:r w:rsidRPr="000A6219">
        <w:rPr>
          <w:rFonts w:ascii="Book Antiqua" w:eastAsia="Calibri" w:hAnsi="Book Antiqua" w:cs="Times New Roman"/>
          <w:sz w:val="24"/>
          <w:szCs w:val="24"/>
          <w:lang w:val="en-US"/>
        </w:rPr>
        <w:lastRenderedPageBreak/>
        <w:t>transmission pathways</w:t>
      </w:r>
      <w:r w:rsidR="005F6A7F" w:rsidRPr="000A6219">
        <w:rPr>
          <w:rFonts w:ascii="Book Antiqua" w:eastAsia="Calibri" w:hAnsi="Book Antiqua" w:cs="Times New Roman"/>
          <w:sz w:val="24"/>
          <w:szCs w:val="24"/>
          <w:lang w:val="en-US"/>
        </w:rPr>
        <w:t xml:space="preserve"> in addition to facilitating</w:t>
      </w:r>
      <w:r w:rsidRPr="000A6219">
        <w:rPr>
          <w:rFonts w:ascii="Book Antiqua" w:eastAsia="Calibri" w:hAnsi="Book Antiqua" w:cs="Times New Roman"/>
          <w:sz w:val="24"/>
          <w:szCs w:val="24"/>
          <w:lang w:val="en-US"/>
        </w:rPr>
        <w:t xml:space="preserve"> </w:t>
      </w:r>
      <w:r w:rsidR="00570361" w:rsidRPr="000A6219">
        <w:rPr>
          <w:rFonts w:ascii="Book Antiqua" w:eastAsia="Calibri" w:hAnsi="Book Antiqua" w:cs="Times New Roman"/>
          <w:sz w:val="24"/>
          <w:szCs w:val="24"/>
          <w:lang w:val="en-US"/>
        </w:rPr>
        <w:t>clin</w:t>
      </w:r>
      <w:r w:rsidR="00C33991" w:rsidRPr="000A6219">
        <w:rPr>
          <w:rFonts w:ascii="Book Antiqua" w:eastAsia="Calibri" w:hAnsi="Book Antiqua" w:cs="Times New Roman"/>
          <w:sz w:val="24"/>
          <w:szCs w:val="24"/>
          <w:lang w:val="en-US"/>
        </w:rPr>
        <w:t>ical studies in CD patients. F</w:t>
      </w:r>
      <w:r w:rsidRPr="000A6219">
        <w:rPr>
          <w:rFonts w:ascii="Book Antiqua" w:eastAsia="Calibri" w:hAnsi="Book Antiqua" w:cs="Times New Roman"/>
          <w:sz w:val="24"/>
          <w:szCs w:val="24"/>
          <w:lang w:val="en-US"/>
        </w:rPr>
        <w:t>or example</w:t>
      </w:r>
      <w:r w:rsidR="005F6A7F"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w:t>
      </w:r>
      <w:r w:rsidR="005F6A7F" w:rsidRPr="000A6219">
        <w:rPr>
          <w:rFonts w:ascii="Book Antiqua" w:eastAsia="Calibri" w:hAnsi="Book Antiqua" w:cs="Times New Roman"/>
          <w:sz w:val="24"/>
          <w:szCs w:val="24"/>
          <w:lang w:val="en-US"/>
        </w:rPr>
        <w:t>studying</w:t>
      </w:r>
      <w:r w:rsidRPr="000A6219">
        <w:rPr>
          <w:rFonts w:ascii="Book Antiqua" w:eastAsia="Calibri" w:hAnsi="Book Antiqua" w:cs="Times New Roman"/>
          <w:sz w:val="24"/>
          <w:szCs w:val="24"/>
          <w:lang w:val="en-US"/>
        </w:rPr>
        <w:t xml:space="preserve"> the variations </w:t>
      </w:r>
      <w:r w:rsidR="005F6A7F" w:rsidRPr="000A6219">
        <w:rPr>
          <w:rFonts w:ascii="Book Antiqua" w:eastAsia="Calibri" w:hAnsi="Book Antiqua" w:cs="Times New Roman"/>
          <w:sz w:val="24"/>
          <w:szCs w:val="24"/>
          <w:lang w:val="en-US"/>
        </w:rPr>
        <w:t>in</w:t>
      </w:r>
      <w:r w:rsidRPr="000A6219">
        <w:rPr>
          <w:rFonts w:ascii="Book Antiqua" w:eastAsia="Calibri" w:hAnsi="Book Antiqua" w:cs="Times New Roman"/>
          <w:sz w:val="24"/>
          <w:szCs w:val="24"/>
          <w:lang w:val="en-US"/>
        </w:rPr>
        <w:t xml:space="preserve"> abundance in relation to the state of the dise</w:t>
      </w:r>
      <w:r w:rsidR="005F6A7F" w:rsidRPr="000A6219">
        <w:rPr>
          <w:rFonts w:ascii="Book Antiqua" w:eastAsia="Calibri" w:hAnsi="Book Antiqua" w:cs="Times New Roman"/>
          <w:sz w:val="24"/>
          <w:szCs w:val="24"/>
          <w:lang w:val="en-US"/>
        </w:rPr>
        <w:t>ase or in response to treatment might be useful</w:t>
      </w:r>
      <w:r w:rsidRPr="000A6219">
        <w:rPr>
          <w:rFonts w:ascii="Book Antiqua" w:eastAsia="Calibri" w:hAnsi="Book Antiqua" w:cs="Times New Roman"/>
          <w:sz w:val="24"/>
          <w:szCs w:val="24"/>
          <w:lang w:val="en-US"/>
        </w:rPr>
        <w:t xml:space="preserve">. This </w:t>
      </w:r>
      <w:r w:rsidR="005F6A7F" w:rsidRPr="000A6219">
        <w:rPr>
          <w:rFonts w:ascii="Book Antiqua" w:eastAsia="Calibri" w:hAnsi="Book Antiqua" w:cs="Times New Roman"/>
          <w:sz w:val="24"/>
          <w:szCs w:val="24"/>
          <w:lang w:val="en-US"/>
        </w:rPr>
        <w:t xml:space="preserve">type of </w:t>
      </w:r>
      <w:r w:rsidRPr="000A6219">
        <w:rPr>
          <w:rFonts w:ascii="Book Antiqua" w:eastAsia="Calibri" w:hAnsi="Book Antiqua" w:cs="Times New Roman"/>
          <w:sz w:val="24"/>
          <w:szCs w:val="24"/>
          <w:lang w:val="en-US"/>
        </w:rPr>
        <w:t xml:space="preserve">biomarker would represent a rapid and cost-effective way to identify AIEC carriers, who could be treated with AIEC-directed therapies. So far, the diversity among AIEC strains challenges the correlation of individual virulence factors with pathotype in a way that is predictive. Moreover, AIEC </w:t>
      </w:r>
      <w:r w:rsidR="001D6ABE" w:rsidRPr="000A6219">
        <w:rPr>
          <w:rFonts w:ascii="Book Antiqua" w:eastAsia="Calibri" w:hAnsi="Book Antiqua" w:cs="Times New Roman"/>
          <w:sz w:val="24"/>
          <w:szCs w:val="24"/>
          <w:lang w:val="en-US"/>
        </w:rPr>
        <w:t>classification as a non-AIEC from the gut that turns to pathogenic in particular conditions</w:t>
      </w:r>
      <w:r w:rsidRPr="000A6219">
        <w:rPr>
          <w:rFonts w:ascii="Book Antiqua" w:eastAsia="Calibri" w:hAnsi="Book Antiqua" w:cs="Times New Roman"/>
          <w:sz w:val="24"/>
          <w:szCs w:val="24"/>
          <w:lang w:val="en-US"/>
        </w:rPr>
        <w:t xml:space="preserve"> is gaining significance</w:t>
      </w:r>
      <w:r w:rsidR="001D6ABE"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but much remains to be learned about the host-pathogen interactions that govern AIEC infection biology. As a consequence, new approaches need to be performed in order to increase the probability </w:t>
      </w:r>
      <w:r w:rsidR="005F6A7F" w:rsidRPr="000A6219">
        <w:rPr>
          <w:rFonts w:ascii="Book Antiqua" w:eastAsia="Calibri" w:hAnsi="Book Antiqua" w:cs="Times New Roman"/>
          <w:sz w:val="24"/>
          <w:szCs w:val="24"/>
          <w:lang w:val="en-US"/>
        </w:rPr>
        <w:t>of finding</w:t>
      </w:r>
      <w:r w:rsidRPr="000A6219">
        <w:rPr>
          <w:rFonts w:ascii="Book Antiqua" w:eastAsia="Calibri" w:hAnsi="Book Antiqua" w:cs="Times New Roman"/>
          <w:sz w:val="24"/>
          <w:szCs w:val="24"/>
          <w:lang w:val="en-US"/>
        </w:rPr>
        <w:t xml:space="preserve"> an AIEC molecular signature (these include but are not limited to SNPs in non-coding sequences, transcriptomics, metabolomics</w:t>
      </w:r>
      <w:r w:rsidR="005F6A7F"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and epigenomics). Nonetheless, all</w:t>
      </w:r>
      <w:r w:rsidR="005F6A7F" w:rsidRPr="000A6219">
        <w:rPr>
          <w:rFonts w:ascii="Book Antiqua" w:eastAsia="Calibri" w:hAnsi="Book Antiqua" w:cs="Times New Roman"/>
          <w:sz w:val="24"/>
          <w:szCs w:val="24"/>
          <w:lang w:val="en-US"/>
        </w:rPr>
        <w:t xml:space="preserve"> of</w:t>
      </w:r>
      <w:r w:rsidRPr="000A6219">
        <w:rPr>
          <w:rFonts w:ascii="Book Antiqua" w:eastAsia="Calibri" w:hAnsi="Book Antiqua" w:cs="Times New Roman"/>
          <w:sz w:val="24"/>
          <w:szCs w:val="24"/>
          <w:lang w:val="en-US"/>
        </w:rPr>
        <w:t xml:space="preserve"> these studies should be conducted using AIEC strains identified according to a </w:t>
      </w:r>
      <w:r w:rsidR="005F6A7F" w:rsidRPr="000A6219">
        <w:rPr>
          <w:rFonts w:ascii="Book Antiqua" w:eastAsia="Calibri" w:hAnsi="Book Antiqua" w:cs="Times New Roman"/>
          <w:sz w:val="24"/>
          <w:szCs w:val="24"/>
          <w:lang w:val="en-US"/>
        </w:rPr>
        <w:t>standardized</w:t>
      </w:r>
      <w:r w:rsidRPr="000A6219">
        <w:rPr>
          <w:rFonts w:ascii="Book Antiqua" w:eastAsia="Calibri" w:hAnsi="Book Antiqua" w:cs="Times New Roman"/>
          <w:sz w:val="24"/>
          <w:szCs w:val="24"/>
          <w:lang w:val="en-US"/>
        </w:rPr>
        <w:t xml:space="preserve"> method, and the proposed methods should be tested in diverse strain collections from different geographical regions.</w:t>
      </w:r>
    </w:p>
    <w:p w14:paraId="1F8828D7" w14:textId="77777777" w:rsidR="0051226F" w:rsidRPr="000A6219" w:rsidRDefault="0051226F" w:rsidP="000A6219">
      <w:pPr>
        <w:snapToGrid w:val="0"/>
        <w:spacing w:after="0" w:line="360" w:lineRule="auto"/>
        <w:jc w:val="both"/>
        <w:rPr>
          <w:rFonts w:ascii="Book Antiqua" w:eastAsia="Calibri" w:hAnsi="Book Antiqua" w:cs="Times New Roman"/>
          <w:sz w:val="24"/>
          <w:szCs w:val="24"/>
          <w:lang w:val="en-US"/>
        </w:rPr>
      </w:pPr>
    </w:p>
    <w:p w14:paraId="416B84E8" w14:textId="77777777" w:rsidR="0051226F" w:rsidRPr="000A6219" w:rsidRDefault="0051226F" w:rsidP="000A6219">
      <w:pPr>
        <w:shd w:val="clear" w:color="auto" w:fill="FFFFFF"/>
        <w:snapToGrid w:val="0"/>
        <w:spacing w:after="0" w:line="360" w:lineRule="auto"/>
        <w:jc w:val="both"/>
        <w:rPr>
          <w:rFonts w:ascii="Book Antiqua" w:hAnsi="Book Antiqua"/>
          <w:b/>
          <w:color w:val="000000"/>
          <w:sz w:val="24"/>
          <w:szCs w:val="24"/>
          <w:lang w:val="en-GB"/>
        </w:rPr>
      </w:pPr>
      <w:r w:rsidRPr="000A6219">
        <w:rPr>
          <w:rFonts w:ascii="Book Antiqua" w:hAnsi="Book Antiqua"/>
          <w:b/>
          <w:color w:val="000000"/>
          <w:sz w:val="24"/>
          <w:szCs w:val="24"/>
          <w:lang w:val="en-GB"/>
        </w:rPr>
        <w:t>REFERENCES</w:t>
      </w:r>
    </w:p>
    <w:p w14:paraId="1C32C885"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 </w:t>
      </w:r>
      <w:r w:rsidRPr="000A6219">
        <w:rPr>
          <w:rFonts w:ascii="Book Antiqua" w:hAnsi="Book Antiqua"/>
          <w:b/>
          <w:sz w:val="24"/>
          <w:szCs w:val="24"/>
        </w:rPr>
        <w:t>Darfeuille-Michaud A</w:t>
      </w:r>
      <w:r w:rsidRPr="000A6219">
        <w:rPr>
          <w:rFonts w:ascii="Book Antiqua" w:hAnsi="Book Antiqua"/>
          <w:sz w:val="24"/>
          <w:szCs w:val="24"/>
        </w:rPr>
        <w:t xml:space="preserve">, Boudeau J, Bulois P, Neut C, Glasser AL, Barnich N, Bringer MA, Swidsinski A, Beaugerie L, Colombel JF. High prevalence of adherent-invasive Escherichia coli associated with ileal mucosa in Crohn's disease. </w:t>
      </w:r>
      <w:r w:rsidRPr="000A6219">
        <w:rPr>
          <w:rFonts w:ascii="Book Antiqua" w:hAnsi="Book Antiqua"/>
          <w:i/>
          <w:sz w:val="24"/>
          <w:szCs w:val="24"/>
        </w:rPr>
        <w:t>Gastroenterology</w:t>
      </w:r>
      <w:r w:rsidRPr="000A6219">
        <w:rPr>
          <w:rFonts w:ascii="Book Antiqua" w:hAnsi="Book Antiqua"/>
          <w:sz w:val="24"/>
          <w:szCs w:val="24"/>
        </w:rPr>
        <w:t xml:space="preserve"> 2004; </w:t>
      </w:r>
      <w:r w:rsidRPr="000A6219">
        <w:rPr>
          <w:rFonts w:ascii="Book Antiqua" w:hAnsi="Book Antiqua"/>
          <w:b/>
          <w:sz w:val="24"/>
          <w:szCs w:val="24"/>
        </w:rPr>
        <w:t>127</w:t>
      </w:r>
      <w:r w:rsidRPr="000A6219">
        <w:rPr>
          <w:rFonts w:ascii="Book Antiqua" w:hAnsi="Book Antiqua"/>
          <w:sz w:val="24"/>
          <w:szCs w:val="24"/>
        </w:rPr>
        <w:t>: 412-421 [PMID: 15300573 DOI: 10.1053/j.gastro.2004.04.061]</w:t>
      </w:r>
    </w:p>
    <w:p w14:paraId="634364D7"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 </w:t>
      </w:r>
      <w:r w:rsidRPr="000A6219">
        <w:rPr>
          <w:rFonts w:ascii="Book Antiqua" w:hAnsi="Book Antiqua"/>
          <w:b/>
          <w:sz w:val="24"/>
          <w:szCs w:val="24"/>
        </w:rPr>
        <w:t>Barnich N</w:t>
      </w:r>
      <w:r w:rsidRPr="000A6219">
        <w:rPr>
          <w:rFonts w:ascii="Book Antiqua" w:hAnsi="Book Antiqua"/>
          <w:sz w:val="24"/>
          <w:szCs w:val="24"/>
        </w:rPr>
        <w:t xml:space="preserve">, Carvalho FA, Glasser AL, Darcha C, Jantscheff P, Allez M, Peeters H, Bommelaer G, Desreumaux P, Colombel JF, Darfeuille-Michaud A. CEACAM6 acts as a receptor for adherent-invasive E. coli, supporting ileal mucosa colonization in Crohn disease. </w:t>
      </w:r>
      <w:r w:rsidRPr="000A6219">
        <w:rPr>
          <w:rFonts w:ascii="Book Antiqua" w:hAnsi="Book Antiqua"/>
          <w:i/>
          <w:sz w:val="24"/>
          <w:szCs w:val="24"/>
        </w:rPr>
        <w:t>J Clin Invest</w:t>
      </w:r>
      <w:r w:rsidRPr="000A6219">
        <w:rPr>
          <w:rFonts w:ascii="Book Antiqua" w:hAnsi="Book Antiqua"/>
          <w:sz w:val="24"/>
          <w:szCs w:val="24"/>
        </w:rPr>
        <w:t xml:space="preserve"> 2007; </w:t>
      </w:r>
      <w:r w:rsidRPr="000A6219">
        <w:rPr>
          <w:rFonts w:ascii="Book Antiqua" w:hAnsi="Book Antiqua"/>
          <w:b/>
          <w:sz w:val="24"/>
          <w:szCs w:val="24"/>
        </w:rPr>
        <w:t>117</w:t>
      </w:r>
      <w:r w:rsidRPr="000A6219">
        <w:rPr>
          <w:rFonts w:ascii="Book Antiqua" w:hAnsi="Book Antiqua"/>
          <w:sz w:val="24"/>
          <w:szCs w:val="24"/>
        </w:rPr>
        <w:t>: 1566-1574 [PMID: 17525800 DOI: 10.1172/JCI30504]</w:t>
      </w:r>
    </w:p>
    <w:p w14:paraId="2B8073BC"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 </w:t>
      </w:r>
      <w:r w:rsidRPr="000A6219">
        <w:rPr>
          <w:rFonts w:ascii="Book Antiqua" w:hAnsi="Book Antiqua"/>
          <w:b/>
          <w:sz w:val="24"/>
          <w:szCs w:val="24"/>
        </w:rPr>
        <w:t>Rolhion N</w:t>
      </w:r>
      <w:r w:rsidRPr="000A6219">
        <w:rPr>
          <w:rFonts w:ascii="Book Antiqua" w:hAnsi="Book Antiqua"/>
          <w:sz w:val="24"/>
          <w:szCs w:val="24"/>
        </w:rPr>
        <w:t xml:space="preserve">, Barnich N, Bringer MA, Glasser AL, Ranc J, Hébuterne X, Hofman P, Darfeuille-Michaud A. Abnormally expressed ER stress response chaperone </w:t>
      </w:r>
      <w:r w:rsidRPr="000A6219">
        <w:rPr>
          <w:rFonts w:ascii="Book Antiqua" w:hAnsi="Book Antiqua"/>
          <w:sz w:val="24"/>
          <w:szCs w:val="24"/>
        </w:rPr>
        <w:lastRenderedPageBreak/>
        <w:t xml:space="preserve">Gp96 in CD favours adherent-invasive Escherichia coli invasion. </w:t>
      </w:r>
      <w:r w:rsidRPr="000A6219">
        <w:rPr>
          <w:rFonts w:ascii="Book Antiqua" w:hAnsi="Book Antiqua"/>
          <w:i/>
          <w:sz w:val="24"/>
          <w:szCs w:val="24"/>
        </w:rPr>
        <w:t>Gut</w:t>
      </w:r>
      <w:r w:rsidRPr="000A6219">
        <w:rPr>
          <w:rFonts w:ascii="Book Antiqua" w:hAnsi="Book Antiqua"/>
          <w:sz w:val="24"/>
          <w:szCs w:val="24"/>
        </w:rPr>
        <w:t xml:space="preserve"> 2010; </w:t>
      </w:r>
      <w:r w:rsidRPr="000A6219">
        <w:rPr>
          <w:rFonts w:ascii="Book Antiqua" w:hAnsi="Book Antiqua"/>
          <w:b/>
          <w:sz w:val="24"/>
          <w:szCs w:val="24"/>
        </w:rPr>
        <w:t>59</w:t>
      </w:r>
      <w:r w:rsidRPr="000A6219">
        <w:rPr>
          <w:rFonts w:ascii="Book Antiqua" w:hAnsi="Book Antiqua"/>
          <w:sz w:val="24"/>
          <w:szCs w:val="24"/>
        </w:rPr>
        <w:t>: 1355-1362 [PMID: 20587550 DOI: 10.1136/gut.2010.207456]</w:t>
      </w:r>
    </w:p>
    <w:p w14:paraId="79E4AEC9"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4 </w:t>
      </w:r>
      <w:r w:rsidRPr="000A6219">
        <w:rPr>
          <w:rFonts w:ascii="Book Antiqua" w:hAnsi="Book Antiqua"/>
          <w:b/>
          <w:sz w:val="24"/>
          <w:szCs w:val="24"/>
        </w:rPr>
        <w:t>Carvalho FA</w:t>
      </w:r>
      <w:r w:rsidRPr="000A6219">
        <w:rPr>
          <w:rFonts w:ascii="Book Antiqua" w:hAnsi="Book Antiqua"/>
          <w:sz w:val="24"/>
          <w:szCs w:val="24"/>
        </w:rPr>
        <w:t xml:space="preserve">, Barnich N, Sivignon A, Darcha C, Chan CH, Stanners CP, Darfeuille-Michaud A. Crohn's disease adherent-invasive Escherichia coli colonize and induce strong gut inflammation in transgenic mice expressing human CEACAM. </w:t>
      </w:r>
      <w:r w:rsidRPr="000A6219">
        <w:rPr>
          <w:rFonts w:ascii="Book Antiqua" w:hAnsi="Book Antiqua"/>
          <w:i/>
          <w:sz w:val="24"/>
          <w:szCs w:val="24"/>
        </w:rPr>
        <w:t>J Exp Med</w:t>
      </w:r>
      <w:r w:rsidRPr="000A6219">
        <w:rPr>
          <w:rFonts w:ascii="Book Antiqua" w:hAnsi="Book Antiqua"/>
          <w:sz w:val="24"/>
          <w:szCs w:val="24"/>
        </w:rPr>
        <w:t xml:space="preserve"> 2009; </w:t>
      </w:r>
      <w:r w:rsidRPr="000A6219">
        <w:rPr>
          <w:rFonts w:ascii="Book Antiqua" w:hAnsi="Book Antiqua"/>
          <w:b/>
          <w:sz w:val="24"/>
          <w:szCs w:val="24"/>
        </w:rPr>
        <w:t>206</w:t>
      </w:r>
      <w:r w:rsidRPr="000A6219">
        <w:rPr>
          <w:rFonts w:ascii="Book Antiqua" w:hAnsi="Book Antiqua"/>
          <w:sz w:val="24"/>
          <w:szCs w:val="24"/>
        </w:rPr>
        <w:t>: 2179-2189 [PMID: 19737864 DOI: 10.1084/jem.20090741]</w:t>
      </w:r>
    </w:p>
    <w:p w14:paraId="55125DC3"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5 </w:t>
      </w:r>
      <w:r w:rsidRPr="000A6219">
        <w:rPr>
          <w:rFonts w:ascii="Book Antiqua" w:hAnsi="Book Antiqua"/>
          <w:b/>
          <w:sz w:val="24"/>
          <w:szCs w:val="24"/>
        </w:rPr>
        <w:t>Chassaing B</w:t>
      </w:r>
      <w:r w:rsidRPr="000A6219">
        <w:rPr>
          <w:rFonts w:ascii="Book Antiqua" w:hAnsi="Book Antiqua"/>
          <w:sz w:val="24"/>
          <w:szCs w:val="24"/>
        </w:rPr>
        <w:t xml:space="preserve">, Rolhion N, de Vallée A, Salim SY, Prorok-Hamon M, Neut C, Campbell BJ, Söderholm JD, Hugot JP, Colombel JF, Darfeuille-Michaud A. Crohn disease--associated adherent-invasive E. coli bacteria target mouse and human Peyer's patches via long polar fimbriae. </w:t>
      </w:r>
      <w:r w:rsidRPr="000A6219">
        <w:rPr>
          <w:rFonts w:ascii="Book Antiqua" w:hAnsi="Book Antiqua"/>
          <w:i/>
          <w:sz w:val="24"/>
          <w:szCs w:val="24"/>
        </w:rPr>
        <w:t>J Clin Invest</w:t>
      </w:r>
      <w:r w:rsidRPr="000A6219">
        <w:rPr>
          <w:rFonts w:ascii="Book Antiqua" w:hAnsi="Book Antiqua"/>
          <w:sz w:val="24"/>
          <w:szCs w:val="24"/>
        </w:rPr>
        <w:t xml:space="preserve"> 2011; </w:t>
      </w:r>
      <w:r w:rsidRPr="000A6219">
        <w:rPr>
          <w:rFonts w:ascii="Book Antiqua" w:hAnsi="Book Antiqua"/>
          <w:b/>
          <w:sz w:val="24"/>
          <w:szCs w:val="24"/>
        </w:rPr>
        <w:t>121</w:t>
      </w:r>
      <w:r w:rsidRPr="000A6219">
        <w:rPr>
          <w:rFonts w:ascii="Book Antiqua" w:hAnsi="Book Antiqua"/>
          <w:sz w:val="24"/>
          <w:szCs w:val="24"/>
        </w:rPr>
        <w:t>: 966-975 [PMID: 21339647 DOI: 10.1172/JCI44632]</w:t>
      </w:r>
    </w:p>
    <w:p w14:paraId="3CA3EEB6"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6 </w:t>
      </w:r>
      <w:r w:rsidRPr="000A6219">
        <w:rPr>
          <w:rFonts w:ascii="Book Antiqua" w:hAnsi="Book Antiqua"/>
          <w:b/>
          <w:sz w:val="24"/>
          <w:szCs w:val="24"/>
        </w:rPr>
        <w:t>Chassaing B</w:t>
      </w:r>
      <w:r w:rsidRPr="000A6219">
        <w:rPr>
          <w:rFonts w:ascii="Book Antiqua" w:hAnsi="Book Antiqua"/>
          <w:sz w:val="24"/>
          <w:szCs w:val="24"/>
        </w:rPr>
        <w:t xml:space="preserve">, Koren O, Carvalho FA, Ley RE, Gewirtz AT. AIEC pathobiont instigates chronic colitis in susceptible hosts by altering microbiota composition. </w:t>
      </w:r>
      <w:r w:rsidRPr="000A6219">
        <w:rPr>
          <w:rFonts w:ascii="Book Antiqua" w:hAnsi="Book Antiqua"/>
          <w:i/>
          <w:sz w:val="24"/>
          <w:szCs w:val="24"/>
        </w:rPr>
        <w:t>Gut</w:t>
      </w:r>
      <w:r w:rsidRPr="000A6219">
        <w:rPr>
          <w:rFonts w:ascii="Book Antiqua" w:hAnsi="Book Antiqua"/>
          <w:sz w:val="24"/>
          <w:szCs w:val="24"/>
        </w:rPr>
        <w:t xml:space="preserve"> 2014; </w:t>
      </w:r>
      <w:r w:rsidRPr="000A6219">
        <w:rPr>
          <w:rFonts w:ascii="Book Antiqua" w:hAnsi="Book Antiqua"/>
          <w:b/>
          <w:sz w:val="24"/>
          <w:szCs w:val="24"/>
        </w:rPr>
        <w:t>63</w:t>
      </w:r>
      <w:r w:rsidRPr="000A6219">
        <w:rPr>
          <w:rFonts w:ascii="Book Antiqua" w:hAnsi="Book Antiqua"/>
          <w:sz w:val="24"/>
          <w:szCs w:val="24"/>
        </w:rPr>
        <w:t>: 1069-1080 [PMID: 23896971 DOI: 10.1136/gutjnl-2013-304909]</w:t>
      </w:r>
    </w:p>
    <w:p w14:paraId="78099308"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7 </w:t>
      </w:r>
      <w:r w:rsidRPr="000A6219">
        <w:rPr>
          <w:rFonts w:ascii="Book Antiqua" w:hAnsi="Book Antiqua"/>
          <w:b/>
          <w:sz w:val="24"/>
          <w:szCs w:val="24"/>
        </w:rPr>
        <w:t>Drouet M</w:t>
      </w:r>
      <w:r w:rsidRPr="000A6219">
        <w:rPr>
          <w:rFonts w:ascii="Book Antiqua" w:hAnsi="Book Antiqua"/>
          <w:sz w:val="24"/>
          <w:szCs w:val="24"/>
        </w:rPr>
        <w:t xml:space="preserve">, Vignal C, Singer E, Djouina M, Dubreuil L, Cortot A, Desreumaux P, Neut C. AIEC colonization and pathogenicity: influence of previous antibiotic treatment and preexisting inflammation. </w:t>
      </w:r>
      <w:r w:rsidRPr="000A6219">
        <w:rPr>
          <w:rFonts w:ascii="Book Antiqua" w:hAnsi="Book Antiqua"/>
          <w:i/>
          <w:sz w:val="24"/>
          <w:szCs w:val="24"/>
        </w:rPr>
        <w:t>Inflamm Bowel Dis</w:t>
      </w:r>
      <w:r w:rsidRPr="000A6219">
        <w:rPr>
          <w:rFonts w:ascii="Book Antiqua" w:hAnsi="Book Antiqua"/>
          <w:sz w:val="24"/>
          <w:szCs w:val="24"/>
        </w:rPr>
        <w:t xml:space="preserve"> 2012; </w:t>
      </w:r>
      <w:r w:rsidRPr="000A6219">
        <w:rPr>
          <w:rFonts w:ascii="Book Antiqua" w:hAnsi="Book Antiqua"/>
          <w:b/>
          <w:sz w:val="24"/>
          <w:szCs w:val="24"/>
        </w:rPr>
        <w:t>18</w:t>
      </w:r>
      <w:r w:rsidRPr="000A6219">
        <w:rPr>
          <w:rFonts w:ascii="Book Antiqua" w:hAnsi="Book Antiqua"/>
          <w:sz w:val="24"/>
          <w:szCs w:val="24"/>
        </w:rPr>
        <w:t>: 1923-1931 [PMID: 22344932 DOI: 10.1002/ibd.22908]</w:t>
      </w:r>
    </w:p>
    <w:p w14:paraId="225A8EB9"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8 </w:t>
      </w:r>
      <w:r w:rsidRPr="000A6219">
        <w:rPr>
          <w:rFonts w:ascii="Book Antiqua" w:hAnsi="Book Antiqua"/>
          <w:b/>
          <w:sz w:val="24"/>
          <w:szCs w:val="24"/>
        </w:rPr>
        <w:t>Bretin A</w:t>
      </w:r>
      <w:r w:rsidRPr="000A6219">
        <w:rPr>
          <w:rFonts w:ascii="Book Antiqua" w:hAnsi="Book Antiqua"/>
          <w:sz w:val="24"/>
          <w:szCs w:val="24"/>
        </w:rPr>
        <w:t xml:space="preserve">, Lucas C, Larabi A, Dalmasso G, Billard E, Barnich N, Bonnet R, Nguyen HTT. AIEC infection triggers modification of gut microbiota composition in genetically predisposed mice, contributing to intestinal inflammation. </w:t>
      </w:r>
      <w:r w:rsidRPr="000A6219">
        <w:rPr>
          <w:rFonts w:ascii="Book Antiqua" w:hAnsi="Book Antiqua"/>
          <w:i/>
          <w:sz w:val="24"/>
          <w:szCs w:val="24"/>
        </w:rPr>
        <w:t>Sci Rep</w:t>
      </w:r>
      <w:r w:rsidRPr="000A6219">
        <w:rPr>
          <w:rFonts w:ascii="Book Antiqua" w:hAnsi="Book Antiqua"/>
          <w:sz w:val="24"/>
          <w:szCs w:val="24"/>
        </w:rPr>
        <w:t xml:space="preserve"> 2018; </w:t>
      </w:r>
      <w:r w:rsidRPr="000A6219">
        <w:rPr>
          <w:rFonts w:ascii="Book Antiqua" w:hAnsi="Book Antiqua"/>
          <w:b/>
          <w:sz w:val="24"/>
          <w:szCs w:val="24"/>
        </w:rPr>
        <w:t>8</w:t>
      </w:r>
      <w:r w:rsidRPr="000A6219">
        <w:rPr>
          <w:rFonts w:ascii="Book Antiqua" w:hAnsi="Book Antiqua"/>
          <w:sz w:val="24"/>
          <w:szCs w:val="24"/>
        </w:rPr>
        <w:t>: 12301 [PMID: 30120269 DOI: 10.1038/s41598-018-30055-y]</w:t>
      </w:r>
    </w:p>
    <w:p w14:paraId="07220994"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9 </w:t>
      </w:r>
      <w:r w:rsidRPr="000A6219">
        <w:rPr>
          <w:rFonts w:ascii="Book Antiqua" w:hAnsi="Book Antiqua"/>
          <w:b/>
          <w:sz w:val="24"/>
          <w:szCs w:val="24"/>
        </w:rPr>
        <w:t>Baumgart M</w:t>
      </w:r>
      <w:r w:rsidRPr="000A6219">
        <w:rPr>
          <w:rFonts w:ascii="Book Antiqua" w:hAnsi="Book Antiqua"/>
          <w:sz w:val="24"/>
          <w:szCs w:val="24"/>
        </w:rPr>
        <w:t xml:space="preserve">, Dogan B, Rishniw M, Weitzman G, Bosworth B, Yantiss R, Orsi RH, Wiedmann M, McDonough P, Kim SG, Berg D, Schukken Y, Scherl E, Simpson KW. Culture independent analysis of ileal mucosa reveals a selective increase in invasive Escherichia coli of novel phylogeny relative to depletion of Clostridiales in Crohn's disease involving the ileum. </w:t>
      </w:r>
      <w:r w:rsidRPr="000A6219">
        <w:rPr>
          <w:rFonts w:ascii="Book Antiqua" w:hAnsi="Book Antiqua"/>
          <w:i/>
          <w:sz w:val="24"/>
          <w:szCs w:val="24"/>
        </w:rPr>
        <w:t>ISME J</w:t>
      </w:r>
      <w:r w:rsidRPr="000A6219">
        <w:rPr>
          <w:rFonts w:ascii="Book Antiqua" w:hAnsi="Book Antiqua"/>
          <w:sz w:val="24"/>
          <w:szCs w:val="24"/>
        </w:rPr>
        <w:t xml:space="preserve"> 2007; </w:t>
      </w:r>
      <w:r w:rsidRPr="000A6219">
        <w:rPr>
          <w:rFonts w:ascii="Book Antiqua" w:hAnsi="Book Antiqua"/>
          <w:b/>
          <w:sz w:val="24"/>
          <w:szCs w:val="24"/>
        </w:rPr>
        <w:t>1</w:t>
      </w:r>
      <w:r w:rsidRPr="000A6219">
        <w:rPr>
          <w:rFonts w:ascii="Book Antiqua" w:hAnsi="Book Antiqua"/>
          <w:sz w:val="24"/>
          <w:szCs w:val="24"/>
        </w:rPr>
        <w:t>: 403-418 [PMID: 18043660 DOI: 10.1038/ismej.2007.52]</w:t>
      </w:r>
    </w:p>
    <w:p w14:paraId="3FD63959"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lastRenderedPageBreak/>
        <w:t xml:space="preserve">10 </w:t>
      </w:r>
      <w:r w:rsidRPr="000A6219">
        <w:rPr>
          <w:rFonts w:ascii="Book Antiqua" w:hAnsi="Book Antiqua"/>
          <w:b/>
          <w:sz w:val="24"/>
          <w:szCs w:val="24"/>
        </w:rPr>
        <w:t>Sasaki M</w:t>
      </w:r>
      <w:r w:rsidRPr="000A6219">
        <w:rPr>
          <w:rFonts w:ascii="Book Antiqua" w:hAnsi="Book Antiqua"/>
          <w:sz w:val="24"/>
          <w:szCs w:val="24"/>
        </w:rPr>
        <w:t xml:space="preserve">, Sitaraman SV, Babbin BA, Gerner-Smidt P, Ribot EM, Garrett N, Alpern JA, Akyildiz A, Theiss AL, Nusrat A, Klapproth JM. Invasive Escherichia coli are a feature of Crohn's disease. </w:t>
      </w:r>
      <w:r w:rsidRPr="000A6219">
        <w:rPr>
          <w:rFonts w:ascii="Book Antiqua" w:hAnsi="Book Antiqua"/>
          <w:i/>
          <w:sz w:val="24"/>
          <w:szCs w:val="24"/>
        </w:rPr>
        <w:t>Lab Invest</w:t>
      </w:r>
      <w:r w:rsidRPr="000A6219">
        <w:rPr>
          <w:rFonts w:ascii="Book Antiqua" w:hAnsi="Book Antiqua"/>
          <w:sz w:val="24"/>
          <w:szCs w:val="24"/>
        </w:rPr>
        <w:t xml:space="preserve"> 2007; </w:t>
      </w:r>
      <w:r w:rsidRPr="000A6219">
        <w:rPr>
          <w:rFonts w:ascii="Book Antiqua" w:hAnsi="Book Antiqua"/>
          <w:b/>
          <w:sz w:val="24"/>
          <w:szCs w:val="24"/>
        </w:rPr>
        <w:t>87</w:t>
      </w:r>
      <w:r w:rsidRPr="000A6219">
        <w:rPr>
          <w:rFonts w:ascii="Book Antiqua" w:hAnsi="Book Antiqua"/>
          <w:sz w:val="24"/>
          <w:szCs w:val="24"/>
        </w:rPr>
        <w:t>: 1042-1054 [PMID: 17660846 DOI: 10.1038/labinvest.3700661]</w:t>
      </w:r>
    </w:p>
    <w:p w14:paraId="1862E938"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11 </w:t>
      </w:r>
      <w:r w:rsidRPr="000A6219">
        <w:rPr>
          <w:rFonts w:ascii="Book Antiqua" w:hAnsi="Book Antiqua"/>
          <w:b/>
          <w:sz w:val="24"/>
          <w:szCs w:val="24"/>
        </w:rPr>
        <w:t>Martinez-Medina M</w:t>
      </w:r>
      <w:r w:rsidRPr="000A6219">
        <w:rPr>
          <w:rFonts w:ascii="Book Antiqua" w:hAnsi="Book Antiqua"/>
          <w:sz w:val="24"/>
          <w:szCs w:val="24"/>
        </w:rPr>
        <w:t xml:space="preserve">, Aldeguer X, Lopez-Siles M, González-Huix F, López-Oliu C, Dahbi G, Blanco JE, Blanco J, Garcia-Gil LJ, Darfeuille-Michaud A. Molecular diversity of Escherichia coli in the human gut: new ecological evidence supporting the role of adherent-invasive E. coli (AIEC) in Crohn's disease. </w:t>
      </w:r>
      <w:r w:rsidRPr="000A6219">
        <w:rPr>
          <w:rFonts w:ascii="Book Antiqua" w:hAnsi="Book Antiqua"/>
          <w:i/>
          <w:sz w:val="24"/>
          <w:szCs w:val="24"/>
        </w:rPr>
        <w:t>Inflamm Bowel Dis</w:t>
      </w:r>
      <w:r w:rsidRPr="000A6219">
        <w:rPr>
          <w:rFonts w:ascii="Book Antiqua" w:hAnsi="Book Antiqua"/>
          <w:sz w:val="24"/>
          <w:szCs w:val="24"/>
        </w:rPr>
        <w:t xml:space="preserve"> 2009; </w:t>
      </w:r>
      <w:r w:rsidRPr="000A6219">
        <w:rPr>
          <w:rFonts w:ascii="Book Antiqua" w:hAnsi="Book Antiqua"/>
          <w:b/>
          <w:sz w:val="24"/>
          <w:szCs w:val="24"/>
        </w:rPr>
        <w:t>15</w:t>
      </w:r>
      <w:r w:rsidRPr="000A6219">
        <w:rPr>
          <w:rFonts w:ascii="Book Antiqua" w:hAnsi="Book Antiqua"/>
          <w:sz w:val="24"/>
          <w:szCs w:val="24"/>
        </w:rPr>
        <w:t>: 872-882 [PMID: 19235912 DOI: 10.1002/ibd.20860]</w:t>
      </w:r>
    </w:p>
    <w:p w14:paraId="2599D3AD"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12 </w:t>
      </w:r>
      <w:r w:rsidRPr="000A6219">
        <w:rPr>
          <w:rFonts w:ascii="Book Antiqua" w:hAnsi="Book Antiqua"/>
          <w:b/>
          <w:sz w:val="24"/>
          <w:szCs w:val="24"/>
        </w:rPr>
        <w:t>Dogan B</w:t>
      </w:r>
      <w:r w:rsidRPr="000A6219">
        <w:rPr>
          <w:rFonts w:ascii="Book Antiqua" w:hAnsi="Book Antiqua"/>
          <w:sz w:val="24"/>
          <w:szCs w:val="24"/>
        </w:rPr>
        <w:t xml:space="preserve">, Scherl E, Bosworth B, Yantiss R, Altier C, McDonough PL, Jiang ZD, Dupont HL, Garneau P, Harel J, Rishniw M, Simpson KW. Multidrug resistance is common in Escherichia coli associated with ileal Crohn's disease. </w:t>
      </w:r>
      <w:r w:rsidRPr="000A6219">
        <w:rPr>
          <w:rFonts w:ascii="Book Antiqua" w:hAnsi="Book Antiqua"/>
          <w:i/>
          <w:sz w:val="24"/>
          <w:szCs w:val="24"/>
        </w:rPr>
        <w:t>Inflamm Bowel Dis</w:t>
      </w:r>
      <w:r w:rsidRPr="000A6219">
        <w:rPr>
          <w:rFonts w:ascii="Book Antiqua" w:hAnsi="Book Antiqua"/>
          <w:sz w:val="24"/>
          <w:szCs w:val="24"/>
        </w:rPr>
        <w:t xml:space="preserve"> 2013; </w:t>
      </w:r>
      <w:r w:rsidRPr="000A6219">
        <w:rPr>
          <w:rFonts w:ascii="Book Antiqua" w:hAnsi="Book Antiqua"/>
          <w:b/>
          <w:sz w:val="24"/>
          <w:szCs w:val="24"/>
        </w:rPr>
        <w:t>19</w:t>
      </w:r>
      <w:r w:rsidRPr="000A6219">
        <w:rPr>
          <w:rFonts w:ascii="Book Antiqua" w:hAnsi="Book Antiqua"/>
          <w:sz w:val="24"/>
          <w:szCs w:val="24"/>
        </w:rPr>
        <w:t>: 141-150 [PMID: 22508665 DOI: 10.1002/ibd.22971]</w:t>
      </w:r>
    </w:p>
    <w:p w14:paraId="195A4E85"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13 </w:t>
      </w:r>
      <w:r w:rsidRPr="000A6219">
        <w:rPr>
          <w:rFonts w:ascii="Book Antiqua" w:hAnsi="Book Antiqua"/>
          <w:b/>
          <w:sz w:val="24"/>
          <w:szCs w:val="24"/>
        </w:rPr>
        <w:t>Céspedes S</w:t>
      </w:r>
      <w:r w:rsidRPr="000A6219">
        <w:rPr>
          <w:rFonts w:ascii="Book Antiqua" w:hAnsi="Book Antiqua"/>
          <w:sz w:val="24"/>
          <w:szCs w:val="24"/>
        </w:rPr>
        <w:t xml:space="preserve">, Saitz W, Del Canto F, De la Fuente M, Quera R, Hermoso M, Muñoz R, Ginard D, Khorrami S, Girón J, Assar R, Rosselló-Mora R, Vidal RM. Genetic Diversity and Virulence Determinants of </w:t>
      </w:r>
      <w:r w:rsidRPr="000A6219">
        <w:rPr>
          <w:rFonts w:ascii="Book Antiqua" w:hAnsi="Book Antiqua"/>
          <w:i/>
          <w:sz w:val="24"/>
          <w:szCs w:val="24"/>
        </w:rPr>
        <w:t>Escherichia coli</w:t>
      </w:r>
      <w:r w:rsidRPr="000A6219">
        <w:rPr>
          <w:rFonts w:ascii="Book Antiqua" w:hAnsi="Book Antiqua"/>
          <w:sz w:val="24"/>
          <w:szCs w:val="24"/>
        </w:rPr>
        <w:t xml:space="preserve"> Strains Isolated from Patients with Crohn's Disease in Spain and Chile. </w:t>
      </w:r>
      <w:r w:rsidRPr="000A6219">
        <w:rPr>
          <w:rFonts w:ascii="Book Antiqua" w:hAnsi="Book Antiqua"/>
          <w:i/>
          <w:sz w:val="24"/>
          <w:szCs w:val="24"/>
        </w:rPr>
        <w:t>Front Microbiol</w:t>
      </w:r>
      <w:r w:rsidRPr="000A6219">
        <w:rPr>
          <w:rFonts w:ascii="Book Antiqua" w:hAnsi="Book Antiqua"/>
          <w:sz w:val="24"/>
          <w:szCs w:val="24"/>
        </w:rPr>
        <w:t xml:space="preserve"> 2017; </w:t>
      </w:r>
      <w:r w:rsidRPr="000A6219">
        <w:rPr>
          <w:rFonts w:ascii="Book Antiqua" w:hAnsi="Book Antiqua"/>
          <w:b/>
          <w:sz w:val="24"/>
          <w:szCs w:val="24"/>
        </w:rPr>
        <w:t>8</w:t>
      </w:r>
      <w:r w:rsidRPr="000A6219">
        <w:rPr>
          <w:rFonts w:ascii="Book Antiqua" w:hAnsi="Book Antiqua"/>
          <w:sz w:val="24"/>
          <w:szCs w:val="24"/>
        </w:rPr>
        <w:t>: 639 [PMID: 28596755 DOI: 10.3389/fmicb.2017.00639]</w:t>
      </w:r>
    </w:p>
    <w:p w14:paraId="38830069"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14 </w:t>
      </w:r>
      <w:r w:rsidRPr="000A6219">
        <w:rPr>
          <w:rFonts w:ascii="Book Antiqua" w:hAnsi="Book Antiqua"/>
          <w:b/>
          <w:sz w:val="24"/>
          <w:szCs w:val="24"/>
        </w:rPr>
        <w:t>Raso T</w:t>
      </w:r>
      <w:r w:rsidRPr="000A6219">
        <w:rPr>
          <w:rFonts w:ascii="Book Antiqua" w:hAnsi="Book Antiqua"/>
          <w:sz w:val="24"/>
          <w:szCs w:val="24"/>
        </w:rPr>
        <w:t xml:space="preserve">, Crivellaro S, Chirillo MG, Pais P, Gaia E, Savoia D. Analysis of Escherichia coli isolated from patients affected by Crohn's disease. </w:t>
      </w:r>
      <w:r w:rsidRPr="000A6219">
        <w:rPr>
          <w:rFonts w:ascii="Book Antiqua" w:hAnsi="Book Antiqua"/>
          <w:i/>
          <w:sz w:val="24"/>
          <w:szCs w:val="24"/>
        </w:rPr>
        <w:t>Curr Microbiol</w:t>
      </w:r>
      <w:r w:rsidRPr="000A6219">
        <w:rPr>
          <w:rFonts w:ascii="Book Antiqua" w:hAnsi="Book Antiqua"/>
          <w:sz w:val="24"/>
          <w:szCs w:val="24"/>
        </w:rPr>
        <w:t xml:space="preserve"> 2011; </w:t>
      </w:r>
      <w:r w:rsidRPr="000A6219">
        <w:rPr>
          <w:rFonts w:ascii="Book Antiqua" w:hAnsi="Book Antiqua"/>
          <w:b/>
          <w:sz w:val="24"/>
          <w:szCs w:val="24"/>
        </w:rPr>
        <w:t>63</w:t>
      </w:r>
      <w:r w:rsidRPr="000A6219">
        <w:rPr>
          <w:rFonts w:ascii="Book Antiqua" w:hAnsi="Book Antiqua"/>
          <w:sz w:val="24"/>
          <w:szCs w:val="24"/>
        </w:rPr>
        <w:t>: 131-137 [PMID: 21626145 DOI: 10.1007/s00284-011-9947-8]</w:t>
      </w:r>
    </w:p>
    <w:p w14:paraId="14B3898C"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15 </w:t>
      </w:r>
      <w:r w:rsidRPr="000A6219">
        <w:rPr>
          <w:rFonts w:ascii="Book Antiqua" w:hAnsi="Book Antiqua"/>
          <w:b/>
          <w:sz w:val="24"/>
          <w:szCs w:val="24"/>
        </w:rPr>
        <w:t>Negroni A</w:t>
      </w:r>
      <w:r w:rsidRPr="000A6219">
        <w:rPr>
          <w:rFonts w:ascii="Book Antiqua" w:hAnsi="Book Antiqua"/>
          <w:sz w:val="24"/>
          <w:szCs w:val="24"/>
        </w:rPr>
        <w:t xml:space="preserve">, Costanzo M, Vitali R, Superti F, Bertuccini L, Tinari A, Minelli F, Di Nardo G, Nuti F, Pierdomenico M, Cucchiara S, Stronati L. Characterization of adherent-invasive Escherichia coli isolated from pediatric patients with inflammatory bowel disease. </w:t>
      </w:r>
      <w:r w:rsidRPr="000A6219">
        <w:rPr>
          <w:rFonts w:ascii="Book Antiqua" w:hAnsi="Book Antiqua"/>
          <w:i/>
          <w:sz w:val="24"/>
          <w:szCs w:val="24"/>
        </w:rPr>
        <w:t>Inflamm Bowel Dis</w:t>
      </w:r>
      <w:r w:rsidRPr="000A6219">
        <w:rPr>
          <w:rFonts w:ascii="Book Antiqua" w:hAnsi="Book Antiqua"/>
          <w:sz w:val="24"/>
          <w:szCs w:val="24"/>
        </w:rPr>
        <w:t xml:space="preserve"> 2012; </w:t>
      </w:r>
      <w:r w:rsidRPr="000A6219">
        <w:rPr>
          <w:rFonts w:ascii="Book Antiqua" w:hAnsi="Book Antiqua"/>
          <w:b/>
          <w:sz w:val="24"/>
          <w:szCs w:val="24"/>
        </w:rPr>
        <w:t>18</w:t>
      </w:r>
      <w:r w:rsidRPr="000A6219">
        <w:rPr>
          <w:rFonts w:ascii="Book Antiqua" w:hAnsi="Book Antiqua"/>
          <w:sz w:val="24"/>
          <w:szCs w:val="24"/>
        </w:rPr>
        <w:t>: 913-924 [PMID: 21994005 DOI: 10.1002/ibd.21899]</w:t>
      </w:r>
    </w:p>
    <w:p w14:paraId="46B08BB0"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16 </w:t>
      </w:r>
      <w:r w:rsidRPr="000A6219">
        <w:rPr>
          <w:rFonts w:ascii="Book Antiqua" w:hAnsi="Book Antiqua"/>
          <w:b/>
          <w:sz w:val="24"/>
          <w:szCs w:val="24"/>
        </w:rPr>
        <w:t>Conte MP</w:t>
      </w:r>
      <w:r w:rsidRPr="000A6219">
        <w:rPr>
          <w:rFonts w:ascii="Book Antiqua" w:hAnsi="Book Antiqua"/>
          <w:sz w:val="24"/>
          <w:szCs w:val="24"/>
        </w:rPr>
        <w:t xml:space="preserve">, Longhi C, Marazzato M, Conte AL, Aleandri M, Lepanto MS, Zagaglia C, Nicoletti M, Aloi M, Totino V, Palamara AT, Schippa S. Adherent-invasive Escherichia coli (AIEC) in pediatric Crohn's disease patients: </w:t>
      </w:r>
      <w:r w:rsidRPr="000A6219">
        <w:rPr>
          <w:rFonts w:ascii="Book Antiqua" w:hAnsi="Book Antiqua"/>
          <w:sz w:val="24"/>
          <w:szCs w:val="24"/>
        </w:rPr>
        <w:lastRenderedPageBreak/>
        <w:t xml:space="preserve">phenotypic and genetic pathogenic features. </w:t>
      </w:r>
      <w:r w:rsidRPr="000A6219">
        <w:rPr>
          <w:rFonts w:ascii="Book Antiqua" w:hAnsi="Book Antiqua"/>
          <w:i/>
          <w:sz w:val="24"/>
          <w:szCs w:val="24"/>
        </w:rPr>
        <w:t>BMC Res Notes</w:t>
      </w:r>
      <w:r w:rsidRPr="000A6219">
        <w:rPr>
          <w:rFonts w:ascii="Book Antiqua" w:hAnsi="Book Antiqua"/>
          <w:sz w:val="24"/>
          <w:szCs w:val="24"/>
        </w:rPr>
        <w:t xml:space="preserve"> 2014; </w:t>
      </w:r>
      <w:r w:rsidRPr="000A6219">
        <w:rPr>
          <w:rFonts w:ascii="Book Antiqua" w:hAnsi="Book Antiqua"/>
          <w:b/>
          <w:sz w:val="24"/>
          <w:szCs w:val="24"/>
        </w:rPr>
        <w:t>7</w:t>
      </w:r>
      <w:r w:rsidRPr="000A6219">
        <w:rPr>
          <w:rFonts w:ascii="Book Antiqua" w:hAnsi="Book Antiqua"/>
          <w:sz w:val="24"/>
          <w:szCs w:val="24"/>
        </w:rPr>
        <w:t>: 748 [PMID: 25338542 DOI: 10.1186/1756-0500-7-748]</w:t>
      </w:r>
    </w:p>
    <w:p w14:paraId="7DEBB1E1"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17 </w:t>
      </w:r>
      <w:r w:rsidRPr="000A6219">
        <w:rPr>
          <w:rFonts w:ascii="Book Antiqua" w:hAnsi="Book Antiqua"/>
          <w:b/>
          <w:sz w:val="24"/>
          <w:szCs w:val="24"/>
        </w:rPr>
        <w:t>Gullberg E</w:t>
      </w:r>
      <w:r w:rsidRPr="000A6219">
        <w:rPr>
          <w:rFonts w:ascii="Book Antiqua" w:hAnsi="Book Antiqua"/>
          <w:sz w:val="24"/>
          <w:szCs w:val="24"/>
        </w:rPr>
        <w:t xml:space="preserve">, Söderholm JD. Peyer's patches and M cells as potential sites of the inflammatory onset in Crohn's disease. </w:t>
      </w:r>
      <w:r w:rsidRPr="000A6219">
        <w:rPr>
          <w:rFonts w:ascii="Book Antiqua" w:hAnsi="Book Antiqua"/>
          <w:i/>
          <w:sz w:val="24"/>
          <w:szCs w:val="24"/>
        </w:rPr>
        <w:t>Ann N Y Acad Sci</w:t>
      </w:r>
      <w:r w:rsidRPr="000A6219">
        <w:rPr>
          <w:rFonts w:ascii="Book Antiqua" w:hAnsi="Book Antiqua"/>
          <w:sz w:val="24"/>
          <w:szCs w:val="24"/>
        </w:rPr>
        <w:t xml:space="preserve"> 2006; </w:t>
      </w:r>
      <w:r w:rsidRPr="000A6219">
        <w:rPr>
          <w:rFonts w:ascii="Book Antiqua" w:hAnsi="Book Antiqua"/>
          <w:b/>
          <w:sz w:val="24"/>
          <w:szCs w:val="24"/>
        </w:rPr>
        <w:t>1072</w:t>
      </w:r>
      <w:r w:rsidRPr="000A6219">
        <w:rPr>
          <w:rFonts w:ascii="Book Antiqua" w:hAnsi="Book Antiqua"/>
          <w:sz w:val="24"/>
          <w:szCs w:val="24"/>
        </w:rPr>
        <w:t>: 218-232 [PMID: 17057202 DOI: 10.1196/annals.1326.028]</w:t>
      </w:r>
    </w:p>
    <w:p w14:paraId="561407DD"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18 </w:t>
      </w:r>
      <w:r w:rsidRPr="000A6219">
        <w:rPr>
          <w:rFonts w:ascii="Book Antiqua" w:hAnsi="Book Antiqua"/>
          <w:b/>
          <w:sz w:val="24"/>
          <w:szCs w:val="24"/>
        </w:rPr>
        <w:t>Low D</w:t>
      </w:r>
      <w:r w:rsidRPr="000A6219">
        <w:rPr>
          <w:rFonts w:ascii="Book Antiqua" w:hAnsi="Book Antiqua"/>
          <w:sz w:val="24"/>
          <w:szCs w:val="24"/>
        </w:rPr>
        <w:t xml:space="preserve">, Tran HT, Lee IA, Dreux N, Kamba A, Reinecker HC, Darfeuille-Michaud A, Barnich N, Mizoguchi E. Chitin-binding domains of Escherichia coli ChiA mediate interactions with intestinal epithelial cells in mice with colitis. </w:t>
      </w:r>
      <w:r w:rsidRPr="000A6219">
        <w:rPr>
          <w:rFonts w:ascii="Book Antiqua" w:hAnsi="Book Antiqua"/>
          <w:i/>
          <w:sz w:val="24"/>
          <w:szCs w:val="24"/>
        </w:rPr>
        <w:t>Gastroenterology</w:t>
      </w:r>
      <w:r w:rsidRPr="000A6219">
        <w:rPr>
          <w:rFonts w:ascii="Book Antiqua" w:hAnsi="Book Antiqua"/>
          <w:sz w:val="24"/>
          <w:szCs w:val="24"/>
        </w:rPr>
        <w:t xml:space="preserve"> 2013; </w:t>
      </w:r>
      <w:r w:rsidRPr="000A6219">
        <w:rPr>
          <w:rFonts w:ascii="Book Antiqua" w:hAnsi="Book Antiqua"/>
          <w:b/>
          <w:sz w:val="24"/>
          <w:szCs w:val="24"/>
        </w:rPr>
        <w:t>145</w:t>
      </w:r>
      <w:r w:rsidRPr="000A6219">
        <w:rPr>
          <w:rFonts w:ascii="Book Antiqua" w:hAnsi="Book Antiqua"/>
          <w:sz w:val="24"/>
          <w:szCs w:val="24"/>
        </w:rPr>
        <w:t>: 602-12.e9 [PMID: 23684751 DOI: 10.1053/j.gastro.2013.05.017]</w:t>
      </w:r>
    </w:p>
    <w:p w14:paraId="597E7E54"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19 </w:t>
      </w:r>
      <w:r w:rsidRPr="000A6219">
        <w:rPr>
          <w:rFonts w:ascii="Book Antiqua" w:hAnsi="Book Antiqua"/>
          <w:b/>
          <w:sz w:val="24"/>
          <w:szCs w:val="24"/>
        </w:rPr>
        <w:t>Lapaquette P</w:t>
      </w:r>
      <w:r w:rsidRPr="000A6219">
        <w:rPr>
          <w:rFonts w:ascii="Book Antiqua" w:hAnsi="Book Antiqua"/>
          <w:sz w:val="24"/>
          <w:szCs w:val="24"/>
        </w:rPr>
        <w:t xml:space="preserve">, Bringer MA, Darfeuille-Michaud A. Defects in autophagy favour adherent-invasive Escherichia coli persistence within macrophages leading to increased pro-inflammatory response. </w:t>
      </w:r>
      <w:r w:rsidRPr="000A6219">
        <w:rPr>
          <w:rFonts w:ascii="Book Antiqua" w:hAnsi="Book Antiqua"/>
          <w:i/>
          <w:sz w:val="24"/>
          <w:szCs w:val="24"/>
        </w:rPr>
        <w:t>Cell Microbiol</w:t>
      </w:r>
      <w:r w:rsidRPr="000A6219">
        <w:rPr>
          <w:rFonts w:ascii="Book Antiqua" w:hAnsi="Book Antiqua"/>
          <w:sz w:val="24"/>
          <w:szCs w:val="24"/>
        </w:rPr>
        <w:t xml:space="preserve"> 2012; </w:t>
      </w:r>
      <w:r w:rsidRPr="000A6219">
        <w:rPr>
          <w:rFonts w:ascii="Book Antiqua" w:hAnsi="Book Antiqua"/>
          <w:b/>
          <w:sz w:val="24"/>
          <w:szCs w:val="24"/>
        </w:rPr>
        <w:t>14</w:t>
      </w:r>
      <w:r w:rsidRPr="000A6219">
        <w:rPr>
          <w:rFonts w:ascii="Book Antiqua" w:hAnsi="Book Antiqua"/>
          <w:sz w:val="24"/>
          <w:szCs w:val="24"/>
        </w:rPr>
        <w:t>: 791-807 [PMID: 22309232 DOI: 10.1111/j.1462-5822.2012.01768.x]</w:t>
      </w:r>
    </w:p>
    <w:p w14:paraId="64C13C92"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20 </w:t>
      </w:r>
      <w:r w:rsidRPr="000A6219">
        <w:rPr>
          <w:rFonts w:ascii="Book Antiqua" w:hAnsi="Book Antiqua"/>
          <w:b/>
          <w:sz w:val="24"/>
          <w:szCs w:val="24"/>
        </w:rPr>
        <w:t>Negroni A</w:t>
      </w:r>
      <w:r w:rsidRPr="000A6219">
        <w:rPr>
          <w:rFonts w:ascii="Book Antiqua" w:hAnsi="Book Antiqua"/>
          <w:sz w:val="24"/>
          <w:szCs w:val="24"/>
        </w:rPr>
        <w:t xml:space="preserve">, Colantoni E, Vitali R, Palone F, Pierdomenico M, Costanzo M, Cesi V, Cucchiara S, Stronati L. NOD2 induces autophagy to control AIEC bacteria infectiveness in intestinal epithelial cells. </w:t>
      </w:r>
      <w:r w:rsidRPr="000A6219">
        <w:rPr>
          <w:rFonts w:ascii="Book Antiqua" w:hAnsi="Book Antiqua"/>
          <w:i/>
          <w:sz w:val="24"/>
          <w:szCs w:val="24"/>
        </w:rPr>
        <w:t>Inflamm Res</w:t>
      </w:r>
      <w:r w:rsidRPr="000A6219">
        <w:rPr>
          <w:rFonts w:ascii="Book Antiqua" w:hAnsi="Book Antiqua"/>
          <w:sz w:val="24"/>
          <w:szCs w:val="24"/>
        </w:rPr>
        <w:t xml:space="preserve"> 2016; </w:t>
      </w:r>
      <w:r w:rsidRPr="000A6219">
        <w:rPr>
          <w:rFonts w:ascii="Book Antiqua" w:hAnsi="Book Antiqua"/>
          <w:b/>
          <w:sz w:val="24"/>
          <w:szCs w:val="24"/>
        </w:rPr>
        <w:t>65</w:t>
      </w:r>
      <w:r w:rsidRPr="000A6219">
        <w:rPr>
          <w:rFonts w:ascii="Book Antiqua" w:hAnsi="Book Antiqua"/>
          <w:sz w:val="24"/>
          <w:szCs w:val="24"/>
        </w:rPr>
        <w:t>: 803-813 [PMID: 27335178 DOI: 10.1007/s00011-016-0964-8]</w:t>
      </w:r>
    </w:p>
    <w:p w14:paraId="643DA7FF"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21 </w:t>
      </w:r>
      <w:r w:rsidRPr="000A6219">
        <w:rPr>
          <w:rFonts w:ascii="Book Antiqua" w:hAnsi="Book Antiqua"/>
          <w:b/>
          <w:sz w:val="24"/>
          <w:szCs w:val="24"/>
        </w:rPr>
        <w:t>Bringer MA</w:t>
      </w:r>
      <w:r w:rsidRPr="000A6219">
        <w:rPr>
          <w:rFonts w:ascii="Book Antiqua" w:hAnsi="Book Antiqua"/>
          <w:sz w:val="24"/>
          <w:szCs w:val="24"/>
        </w:rPr>
        <w:t xml:space="preserve">, Barnich N, Glasser AL, Bardot O, Darfeuille-Michaud A. HtrA stress protein is involved in intramacrophagic replication of adherent and invasive Escherichia coli strain LF82 isolated from a patient with Crohn's disease. </w:t>
      </w:r>
      <w:r w:rsidRPr="000A6219">
        <w:rPr>
          <w:rFonts w:ascii="Book Antiqua" w:hAnsi="Book Antiqua"/>
          <w:i/>
          <w:sz w:val="24"/>
          <w:szCs w:val="24"/>
        </w:rPr>
        <w:t>Infect Immun</w:t>
      </w:r>
      <w:r w:rsidRPr="000A6219">
        <w:rPr>
          <w:rFonts w:ascii="Book Antiqua" w:hAnsi="Book Antiqua"/>
          <w:sz w:val="24"/>
          <w:szCs w:val="24"/>
        </w:rPr>
        <w:t xml:space="preserve"> 2005; </w:t>
      </w:r>
      <w:r w:rsidRPr="000A6219">
        <w:rPr>
          <w:rFonts w:ascii="Book Antiqua" w:hAnsi="Book Antiqua"/>
          <w:b/>
          <w:sz w:val="24"/>
          <w:szCs w:val="24"/>
        </w:rPr>
        <w:t>73</w:t>
      </w:r>
      <w:r w:rsidRPr="000A6219">
        <w:rPr>
          <w:rFonts w:ascii="Book Antiqua" w:hAnsi="Book Antiqua"/>
          <w:sz w:val="24"/>
          <w:szCs w:val="24"/>
        </w:rPr>
        <w:t>: 712-721 [PMID: 15664909 DOI: 10.1128/IAI.73.2.712-721.2005]</w:t>
      </w:r>
    </w:p>
    <w:p w14:paraId="2C62BE40"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22 </w:t>
      </w:r>
      <w:r w:rsidRPr="000A6219">
        <w:rPr>
          <w:rFonts w:ascii="Book Antiqua" w:hAnsi="Book Antiqua"/>
          <w:b/>
          <w:sz w:val="24"/>
          <w:szCs w:val="24"/>
        </w:rPr>
        <w:t>Meconi S</w:t>
      </w:r>
      <w:r w:rsidRPr="000A6219">
        <w:rPr>
          <w:rFonts w:ascii="Book Antiqua" w:hAnsi="Book Antiqua"/>
          <w:sz w:val="24"/>
          <w:szCs w:val="24"/>
        </w:rPr>
        <w:t xml:space="preserve">, Vercellone A, Levillain F, Payré B, Al Saati T, Capilla F, Desreumaux P, Darfeuille-Michaud A, Altare F. Adherent-invasive Escherichia coli isolated from Crohn's disease patients induce granulomas in vitro. </w:t>
      </w:r>
      <w:r w:rsidRPr="000A6219">
        <w:rPr>
          <w:rFonts w:ascii="Book Antiqua" w:hAnsi="Book Antiqua"/>
          <w:i/>
          <w:sz w:val="24"/>
          <w:szCs w:val="24"/>
        </w:rPr>
        <w:t>Cell Microbiol</w:t>
      </w:r>
      <w:r w:rsidRPr="000A6219">
        <w:rPr>
          <w:rFonts w:ascii="Book Antiqua" w:hAnsi="Book Antiqua"/>
          <w:sz w:val="24"/>
          <w:szCs w:val="24"/>
        </w:rPr>
        <w:t xml:space="preserve"> 2007; </w:t>
      </w:r>
      <w:r w:rsidRPr="000A6219">
        <w:rPr>
          <w:rFonts w:ascii="Book Antiqua" w:hAnsi="Book Antiqua"/>
          <w:b/>
          <w:sz w:val="24"/>
          <w:szCs w:val="24"/>
        </w:rPr>
        <w:t>9</w:t>
      </w:r>
      <w:r w:rsidRPr="000A6219">
        <w:rPr>
          <w:rFonts w:ascii="Book Antiqua" w:hAnsi="Book Antiqua"/>
          <w:sz w:val="24"/>
          <w:szCs w:val="24"/>
        </w:rPr>
        <w:t>: 1252-1261 [PMID: 17223928 DOI: 10.1111/j.1462-5822.2006.00868.x]</w:t>
      </w:r>
    </w:p>
    <w:p w14:paraId="63296435"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23 </w:t>
      </w:r>
      <w:r w:rsidRPr="000A6219">
        <w:rPr>
          <w:rFonts w:ascii="Book Antiqua" w:hAnsi="Book Antiqua"/>
          <w:b/>
          <w:sz w:val="24"/>
          <w:szCs w:val="24"/>
        </w:rPr>
        <w:t>Nguyen HT</w:t>
      </w:r>
      <w:r w:rsidRPr="000A6219">
        <w:rPr>
          <w:rFonts w:ascii="Book Antiqua" w:hAnsi="Book Antiqua"/>
          <w:sz w:val="24"/>
          <w:szCs w:val="24"/>
        </w:rPr>
        <w:t xml:space="preserve">, Dalmasso G, Müller S, Carrière J, Seibold F, Darfeuille-Michaud A. Crohn's disease-associated adherent invasive Escherichia coli modulate levels of microRNAs in intestinal epithelial cells to reduce autophagy. </w:t>
      </w:r>
      <w:r w:rsidRPr="000A6219">
        <w:rPr>
          <w:rFonts w:ascii="Book Antiqua" w:hAnsi="Book Antiqua"/>
          <w:i/>
          <w:sz w:val="24"/>
          <w:szCs w:val="24"/>
        </w:rPr>
        <w:lastRenderedPageBreak/>
        <w:t>Gastroenterology</w:t>
      </w:r>
      <w:r w:rsidRPr="000A6219">
        <w:rPr>
          <w:rFonts w:ascii="Book Antiqua" w:hAnsi="Book Antiqua"/>
          <w:sz w:val="24"/>
          <w:szCs w:val="24"/>
        </w:rPr>
        <w:t xml:space="preserve"> 2014; </w:t>
      </w:r>
      <w:r w:rsidRPr="000A6219">
        <w:rPr>
          <w:rFonts w:ascii="Book Antiqua" w:hAnsi="Book Antiqua"/>
          <w:b/>
          <w:sz w:val="24"/>
          <w:szCs w:val="24"/>
        </w:rPr>
        <w:t>146</w:t>
      </w:r>
      <w:r w:rsidRPr="000A6219">
        <w:rPr>
          <w:rFonts w:ascii="Book Antiqua" w:hAnsi="Book Antiqua"/>
          <w:sz w:val="24"/>
          <w:szCs w:val="24"/>
        </w:rPr>
        <w:t>: 508-519 [PMID: 24148619 DOI: 10.1053/j.gastro.2013.10.021]</w:t>
      </w:r>
    </w:p>
    <w:p w14:paraId="45F61F9E"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24 </w:t>
      </w:r>
      <w:r w:rsidRPr="000A6219">
        <w:rPr>
          <w:rFonts w:ascii="Book Antiqua" w:hAnsi="Book Antiqua"/>
          <w:b/>
          <w:sz w:val="24"/>
          <w:szCs w:val="24"/>
        </w:rPr>
        <w:t>Wine E</w:t>
      </w:r>
      <w:r w:rsidRPr="000A6219">
        <w:rPr>
          <w:rFonts w:ascii="Book Antiqua" w:hAnsi="Book Antiqua"/>
          <w:sz w:val="24"/>
          <w:szCs w:val="24"/>
        </w:rPr>
        <w:t xml:space="preserve">, Ossa JC, Gray-Owen SD, Sherman PM. Adherent-invasive Escherichia coli, strain LF82 disrupts apical junctional complexes in polarized epithelia. </w:t>
      </w:r>
      <w:r w:rsidRPr="000A6219">
        <w:rPr>
          <w:rFonts w:ascii="Book Antiqua" w:hAnsi="Book Antiqua"/>
          <w:i/>
          <w:sz w:val="24"/>
          <w:szCs w:val="24"/>
        </w:rPr>
        <w:t>BMC Microbiol</w:t>
      </w:r>
      <w:r w:rsidRPr="000A6219">
        <w:rPr>
          <w:rFonts w:ascii="Book Antiqua" w:hAnsi="Book Antiqua"/>
          <w:sz w:val="24"/>
          <w:szCs w:val="24"/>
        </w:rPr>
        <w:t xml:space="preserve"> 2009; </w:t>
      </w:r>
      <w:r w:rsidRPr="000A6219">
        <w:rPr>
          <w:rFonts w:ascii="Book Antiqua" w:hAnsi="Book Antiqua"/>
          <w:b/>
          <w:sz w:val="24"/>
          <w:szCs w:val="24"/>
        </w:rPr>
        <w:t>9</w:t>
      </w:r>
      <w:r w:rsidRPr="000A6219">
        <w:rPr>
          <w:rFonts w:ascii="Book Antiqua" w:hAnsi="Book Antiqua"/>
          <w:sz w:val="24"/>
          <w:szCs w:val="24"/>
        </w:rPr>
        <w:t>: 180 [PMID: 19709415 DOI: 10.1186/1471-2180-9-180]</w:t>
      </w:r>
    </w:p>
    <w:p w14:paraId="0E27CC7D"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25 </w:t>
      </w:r>
      <w:r w:rsidRPr="000A6219">
        <w:rPr>
          <w:rFonts w:ascii="Book Antiqua" w:hAnsi="Book Antiqua"/>
          <w:b/>
          <w:sz w:val="24"/>
          <w:szCs w:val="24"/>
        </w:rPr>
        <w:t>Craven M</w:t>
      </w:r>
      <w:r w:rsidRPr="000A6219">
        <w:rPr>
          <w:rFonts w:ascii="Book Antiqua" w:hAnsi="Book Antiqua"/>
          <w:sz w:val="24"/>
          <w:szCs w:val="24"/>
        </w:rPr>
        <w:t xml:space="preserve">, Egan CE, Dowd SE, McDonough SP, Dogan B, Denkers EY, Bowman D, Scherl EJ, Simpson KW. Inflammation drives dysbiosis and bacterial invasion in murine models of ileal Crohn's disease. </w:t>
      </w:r>
      <w:r w:rsidRPr="000A6219">
        <w:rPr>
          <w:rFonts w:ascii="Book Antiqua" w:hAnsi="Book Antiqua"/>
          <w:i/>
          <w:sz w:val="24"/>
          <w:szCs w:val="24"/>
        </w:rPr>
        <w:t>PLoS One</w:t>
      </w:r>
      <w:r w:rsidRPr="000A6219">
        <w:rPr>
          <w:rFonts w:ascii="Book Antiqua" w:hAnsi="Book Antiqua"/>
          <w:sz w:val="24"/>
          <w:szCs w:val="24"/>
        </w:rPr>
        <w:t xml:space="preserve"> 2012; </w:t>
      </w:r>
      <w:r w:rsidRPr="000A6219">
        <w:rPr>
          <w:rFonts w:ascii="Book Antiqua" w:hAnsi="Book Antiqua"/>
          <w:b/>
          <w:sz w:val="24"/>
          <w:szCs w:val="24"/>
        </w:rPr>
        <w:t>7</w:t>
      </w:r>
      <w:r w:rsidRPr="000A6219">
        <w:rPr>
          <w:rFonts w:ascii="Book Antiqua" w:hAnsi="Book Antiqua"/>
          <w:sz w:val="24"/>
          <w:szCs w:val="24"/>
        </w:rPr>
        <w:t>: e41594 [PMID: 22848538 DOI: 10.1371/journal.pone.0041594]</w:t>
      </w:r>
    </w:p>
    <w:p w14:paraId="27DC93F4"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26 </w:t>
      </w:r>
      <w:r w:rsidRPr="000A6219">
        <w:rPr>
          <w:rFonts w:ascii="Book Antiqua" w:hAnsi="Book Antiqua"/>
          <w:b/>
          <w:sz w:val="24"/>
          <w:szCs w:val="24"/>
        </w:rPr>
        <w:t>Martinez-Medina M</w:t>
      </w:r>
      <w:r w:rsidRPr="000A6219">
        <w:rPr>
          <w:rFonts w:ascii="Book Antiqua" w:hAnsi="Book Antiqua"/>
          <w:sz w:val="24"/>
          <w:szCs w:val="24"/>
        </w:rPr>
        <w:t xml:space="preserve">, Mora A, Blanco M, López C, Alonso MP, Bonacorsi S, Nicolas-Chanoine MH, Darfeuille-Michaud A, Garcia-Gil J, Blanco J. Similarity and divergence among adherent-invasive Escherichia coli and extraintestinal pathogenic E. coli strains. </w:t>
      </w:r>
      <w:r w:rsidRPr="000A6219">
        <w:rPr>
          <w:rFonts w:ascii="Book Antiqua" w:hAnsi="Book Antiqua"/>
          <w:i/>
          <w:sz w:val="24"/>
          <w:szCs w:val="24"/>
        </w:rPr>
        <w:t>J Clin Microbiol</w:t>
      </w:r>
      <w:r w:rsidRPr="000A6219">
        <w:rPr>
          <w:rFonts w:ascii="Book Antiqua" w:hAnsi="Book Antiqua"/>
          <w:sz w:val="24"/>
          <w:szCs w:val="24"/>
        </w:rPr>
        <w:t xml:space="preserve"> 2009; </w:t>
      </w:r>
      <w:r w:rsidRPr="000A6219">
        <w:rPr>
          <w:rFonts w:ascii="Book Antiqua" w:hAnsi="Book Antiqua"/>
          <w:b/>
          <w:sz w:val="24"/>
          <w:szCs w:val="24"/>
        </w:rPr>
        <w:t>47</w:t>
      </w:r>
      <w:r w:rsidRPr="000A6219">
        <w:rPr>
          <w:rFonts w:ascii="Book Antiqua" w:hAnsi="Book Antiqua"/>
          <w:sz w:val="24"/>
          <w:szCs w:val="24"/>
        </w:rPr>
        <w:t>: 3968-3979 [PMID: 19828750 DOI: 10.1128/JCM.01484-09]</w:t>
      </w:r>
    </w:p>
    <w:p w14:paraId="5424C87D" w14:textId="5AE527C6"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27 </w:t>
      </w:r>
      <w:r w:rsidRPr="000A6219">
        <w:rPr>
          <w:rFonts w:ascii="Book Antiqua" w:hAnsi="Book Antiqua"/>
          <w:b/>
          <w:sz w:val="24"/>
          <w:szCs w:val="24"/>
        </w:rPr>
        <w:t>Miquel S</w:t>
      </w:r>
      <w:r w:rsidRPr="000A6219">
        <w:rPr>
          <w:rFonts w:ascii="Book Antiqua" w:hAnsi="Book Antiqua"/>
          <w:sz w:val="24"/>
          <w:szCs w:val="24"/>
        </w:rPr>
        <w:t xml:space="preserve">, Peyretaillade E, Claret L, de Vallée A, Dossat C, Vacherie B, Zineb el H, Segurens B, Barbe V, Sauvanet P, Neut C, Colombel JF, Medigue C, Mojica FJ, Peyret P, Bonnet R, Darfeuille-Michaud A. Complete genome sequence of Crohn's disease-associated adherent-invasive E. coli strain LF82. </w:t>
      </w:r>
      <w:r w:rsidRPr="000A6219">
        <w:rPr>
          <w:rFonts w:ascii="Book Antiqua" w:hAnsi="Book Antiqua"/>
          <w:i/>
          <w:sz w:val="24"/>
          <w:szCs w:val="24"/>
        </w:rPr>
        <w:t>PLoS One</w:t>
      </w:r>
      <w:r w:rsidRPr="000A6219">
        <w:rPr>
          <w:rFonts w:ascii="Book Antiqua" w:hAnsi="Book Antiqua"/>
          <w:sz w:val="24"/>
          <w:szCs w:val="24"/>
        </w:rPr>
        <w:t xml:space="preserve"> 2010; </w:t>
      </w:r>
      <w:r w:rsidRPr="000A6219">
        <w:rPr>
          <w:rFonts w:ascii="Book Antiqua" w:hAnsi="Book Antiqua"/>
          <w:b/>
          <w:sz w:val="24"/>
          <w:szCs w:val="24"/>
        </w:rPr>
        <w:t>5</w:t>
      </w:r>
      <w:r w:rsidR="00FC349F" w:rsidRPr="000A6219">
        <w:rPr>
          <w:rFonts w:ascii="Book Antiqua" w:hAnsi="Book Antiqua"/>
          <w:sz w:val="24"/>
          <w:szCs w:val="24"/>
        </w:rPr>
        <w:t xml:space="preserve"> </w:t>
      </w:r>
      <w:r w:rsidRPr="000A6219">
        <w:rPr>
          <w:rFonts w:ascii="Book Antiqua" w:hAnsi="Book Antiqua"/>
          <w:sz w:val="24"/>
          <w:szCs w:val="24"/>
        </w:rPr>
        <w:t>[PMID: 20862302 DOI: 10.1371/journal.pone.0012714]</w:t>
      </w:r>
    </w:p>
    <w:p w14:paraId="222C3CE0"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28 </w:t>
      </w:r>
      <w:r w:rsidRPr="000A6219">
        <w:rPr>
          <w:rFonts w:ascii="Book Antiqua" w:hAnsi="Book Antiqua"/>
          <w:b/>
          <w:sz w:val="24"/>
          <w:szCs w:val="24"/>
        </w:rPr>
        <w:t>Nash JH</w:t>
      </w:r>
      <w:r w:rsidRPr="000A6219">
        <w:rPr>
          <w:rFonts w:ascii="Book Antiqua" w:hAnsi="Book Antiqua"/>
          <w:sz w:val="24"/>
          <w:szCs w:val="24"/>
        </w:rPr>
        <w:t xml:space="preserve">, Villegas A, Kropinski AM, Aguilar-Valenzuela R, Konczy P, Mascarenhas M, Ziebell K, Torres AG, Karmali MA, Coombes BK. Genome sequence of adherent-invasive Escherichia coli and comparative genomic analysis with other E. coli pathotypes. </w:t>
      </w:r>
      <w:r w:rsidRPr="000A6219">
        <w:rPr>
          <w:rFonts w:ascii="Book Antiqua" w:hAnsi="Book Antiqua"/>
          <w:i/>
          <w:sz w:val="24"/>
          <w:szCs w:val="24"/>
        </w:rPr>
        <w:t>BMC Genomics</w:t>
      </w:r>
      <w:r w:rsidRPr="000A6219">
        <w:rPr>
          <w:rFonts w:ascii="Book Antiqua" w:hAnsi="Book Antiqua"/>
          <w:sz w:val="24"/>
          <w:szCs w:val="24"/>
        </w:rPr>
        <w:t xml:space="preserve"> 2010; </w:t>
      </w:r>
      <w:r w:rsidRPr="000A6219">
        <w:rPr>
          <w:rFonts w:ascii="Book Antiqua" w:hAnsi="Book Antiqua"/>
          <w:b/>
          <w:sz w:val="24"/>
          <w:szCs w:val="24"/>
        </w:rPr>
        <w:t>11</w:t>
      </w:r>
      <w:r w:rsidRPr="000A6219">
        <w:rPr>
          <w:rFonts w:ascii="Book Antiqua" w:hAnsi="Book Antiqua"/>
          <w:sz w:val="24"/>
          <w:szCs w:val="24"/>
        </w:rPr>
        <w:t>: 667 [PMID: 21108814 DOI: 10.1186/1471-2164-11-667]</w:t>
      </w:r>
    </w:p>
    <w:p w14:paraId="16283292"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29 </w:t>
      </w:r>
      <w:r w:rsidRPr="000A6219">
        <w:rPr>
          <w:rFonts w:ascii="Book Antiqua" w:hAnsi="Book Antiqua"/>
          <w:b/>
          <w:sz w:val="24"/>
          <w:szCs w:val="24"/>
        </w:rPr>
        <w:t>Krause DO</w:t>
      </w:r>
      <w:r w:rsidRPr="000A6219">
        <w:rPr>
          <w:rFonts w:ascii="Book Antiqua" w:hAnsi="Book Antiqua"/>
          <w:sz w:val="24"/>
          <w:szCs w:val="24"/>
        </w:rPr>
        <w:t xml:space="preserve">, Little AC, Dowd SE, Bernstein CN. Complete genome sequence of adherent invasive Escherichia coli UM146 isolated from Ileal Crohn's disease biopsy tissue. </w:t>
      </w:r>
      <w:r w:rsidRPr="000A6219">
        <w:rPr>
          <w:rFonts w:ascii="Book Antiqua" w:hAnsi="Book Antiqua"/>
          <w:i/>
          <w:sz w:val="24"/>
          <w:szCs w:val="24"/>
        </w:rPr>
        <w:t>J Bacteriol</w:t>
      </w:r>
      <w:r w:rsidRPr="000A6219">
        <w:rPr>
          <w:rFonts w:ascii="Book Antiqua" w:hAnsi="Book Antiqua"/>
          <w:sz w:val="24"/>
          <w:szCs w:val="24"/>
        </w:rPr>
        <w:t xml:space="preserve"> 2011; </w:t>
      </w:r>
      <w:r w:rsidRPr="000A6219">
        <w:rPr>
          <w:rFonts w:ascii="Book Antiqua" w:hAnsi="Book Antiqua"/>
          <w:b/>
          <w:sz w:val="24"/>
          <w:szCs w:val="24"/>
        </w:rPr>
        <w:t>193</w:t>
      </w:r>
      <w:r w:rsidRPr="000A6219">
        <w:rPr>
          <w:rFonts w:ascii="Book Antiqua" w:hAnsi="Book Antiqua"/>
          <w:sz w:val="24"/>
          <w:szCs w:val="24"/>
        </w:rPr>
        <w:t>: 583 [PMID: 21075930 DOI: 10.1128/JB.01290-10]</w:t>
      </w:r>
    </w:p>
    <w:p w14:paraId="1F28D2AC"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30 </w:t>
      </w:r>
      <w:r w:rsidRPr="000A6219">
        <w:rPr>
          <w:rFonts w:ascii="Book Antiqua" w:hAnsi="Book Antiqua"/>
          <w:b/>
          <w:sz w:val="24"/>
          <w:szCs w:val="24"/>
        </w:rPr>
        <w:t>Clarke DJ</w:t>
      </w:r>
      <w:r w:rsidRPr="000A6219">
        <w:rPr>
          <w:rFonts w:ascii="Book Antiqua" w:hAnsi="Book Antiqua"/>
          <w:sz w:val="24"/>
          <w:szCs w:val="24"/>
        </w:rPr>
        <w:t xml:space="preserve">, Chaudhuri RR, Martin HM, Campbell BJ, Rhodes JM, Constantinidou C, Pallen MJ, Loman NJ, Cunningham AF, Browning DF, </w:t>
      </w:r>
      <w:r w:rsidRPr="000A6219">
        <w:rPr>
          <w:rFonts w:ascii="Book Antiqua" w:hAnsi="Book Antiqua"/>
          <w:sz w:val="24"/>
          <w:szCs w:val="24"/>
        </w:rPr>
        <w:lastRenderedPageBreak/>
        <w:t xml:space="preserve">Henderson IR. Complete genome sequence of the Crohn's disease-associated adherent-invasive Escherichia coli strain HM605. </w:t>
      </w:r>
      <w:r w:rsidRPr="000A6219">
        <w:rPr>
          <w:rFonts w:ascii="Book Antiqua" w:hAnsi="Book Antiqua"/>
          <w:i/>
          <w:sz w:val="24"/>
          <w:szCs w:val="24"/>
        </w:rPr>
        <w:t>J Bacteriol</w:t>
      </w:r>
      <w:r w:rsidRPr="000A6219">
        <w:rPr>
          <w:rFonts w:ascii="Book Antiqua" w:hAnsi="Book Antiqua"/>
          <w:sz w:val="24"/>
          <w:szCs w:val="24"/>
        </w:rPr>
        <w:t xml:space="preserve"> 2011; </w:t>
      </w:r>
      <w:r w:rsidRPr="000A6219">
        <w:rPr>
          <w:rFonts w:ascii="Book Antiqua" w:hAnsi="Book Antiqua"/>
          <w:b/>
          <w:sz w:val="24"/>
          <w:szCs w:val="24"/>
        </w:rPr>
        <w:t>193</w:t>
      </w:r>
      <w:r w:rsidRPr="000A6219">
        <w:rPr>
          <w:rFonts w:ascii="Book Antiqua" w:hAnsi="Book Antiqua"/>
          <w:sz w:val="24"/>
          <w:szCs w:val="24"/>
        </w:rPr>
        <w:t>: 4540 [PMID: 21705601 DOI: 10.1128/JB.05374-11]</w:t>
      </w:r>
    </w:p>
    <w:p w14:paraId="7C26DCD5"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31 </w:t>
      </w:r>
      <w:r w:rsidRPr="000A6219">
        <w:rPr>
          <w:rFonts w:ascii="Book Antiqua" w:hAnsi="Book Antiqua"/>
          <w:b/>
          <w:sz w:val="24"/>
          <w:szCs w:val="24"/>
        </w:rPr>
        <w:t>Dogan B</w:t>
      </w:r>
      <w:r w:rsidRPr="000A6219">
        <w:rPr>
          <w:rFonts w:ascii="Book Antiqua" w:hAnsi="Book Antiqua"/>
          <w:sz w:val="24"/>
          <w:szCs w:val="24"/>
        </w:rPr>
        <w:t xml:space="preserve">, Suzuki H, Herlekar D, Sartor RB, Campbell BJ, Roberts CL, Stewart K, Scherl EJ, Araz Y, Bitar PP, Lefébure T, Chandler B, Schukken YH, Stanhope MJ, Simpson KW. Inflammation-associated adherent-invasive Escherichia coli are enriched in pathways for use of propanediol and iron and M-cell translocation. </w:t>
      </w:r>
      <w:r w:rsidRPr="000A6219">
        <w:rPr>
          <w:rFonts w:ascii="Book Antiqua" w:hAnsi="Book Antiqua"/>
          <w:i/>
          <w:sz w:val="24"/>
          <w:szCs w:val="24"/>
        </w:rPr>
        <w:t>Inflamm Bowel Dis</w:t>
      </w:r>
      <w:r w:rsidRPr="000A6219">
        <w:rPr>
          <w:rFonts w:ascii="Book Antiqua" w:hAnsi="Book Antiqua"/>
          <w:sz w:val="24"/>
          <w:szCs w:val="24"/>
        </w:rPr>
        <w:t xml:space="preserve"> 2014; </w:t>
      </w:r>
      <w:r w:rsidRPr="000A6219">
        <w:rPr>
          <w:rFonts w:ascii="Book Antiqua" w:hAnsi="Book Antiqua"/>
          <w:b/>
          <w:sz w:val="24"/>
          <w:szCs w:val="24"/>
        </w:rPr>
        <w:t>20</w:t>
      </w:r>
      <w:r w:rsidRPr="000A6219">
        <w:rPr>
          <w:rFonts w:ascii="Book Antiqua" w:hAnsi="Book Antiqua"/>
          <w:sz w:val="24"/>
          <w:szCs w:val="24"/>
        </w:rPr>
        <w:t>: 1919-1932 [PMID: 25230163 DOI: 10.1097/MIB.0000000000000183]</w:t>
      </w:r>
    </w:p>
    <w:p w14:paraId="79F2DB1A"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32 </w:t>
      </w:r>
      <w:r w:rsidRPr="000A6219">
        <w:rPr>
          <w:rFonts w:ascii="Book Antiqua" w:hAnsi="Book Antiqua"/>
          <w:b/>
          <w:sz w:val="24"/>
          <w:szCs w:val="24"/>
        </w:rPr>
        <w:t>Desilets M</w:t>
      </w:r>
      <w:r w:rsidRPr="000A6219">
        <w:rPr>
          <w:rFonts w:ascii="Book Antiqua" w:hAnsi="Book Antiqua"/>
          <w:sz w:val="24"/>
          <w:szCs w:val="24"/>
        </w:rPr>
        <w:t xml:space="preserve">, Deng X, Rao C, Ensminger AW, Krause DO, Sherman PM, Gray-Owen SD. Genome-based Definition of an Inflammatory Bowel Disease-associated Adherent-Invasive Escherichia coli Pathovar. </w:t>
      </w:r>
      <w:r w:rsidRPr="000A6219">
        <w:rPr>
          <w:rFonts w:ascii="Book Antiqua" w:hAnsi="Book Antiqua"/>
          <w:i/>
          <w:sz w:val="24"/>
          <w:szCs w:val="24"/>
        </w:rPr>
        <w:t>Inflamm Bowel Dis</w:t>
      </w:r>
      <w:r w:rsidRPr="000A6219">
        <w:rPr>
          <w:rFonts w:ascii="Book Antiqua" w:hAnsi="Book Antiqua"/>
          <w:sz w:val="24"/>
          <w:szCs w:val="24"/>
        </w:rPr>
        <w:t xml:space="preserve"> 2016; </w:t>
      </w:r>
      <w:r w:rsidRPr="000A6219">
        <w:rPr>
          <w:rFonts w:ascii="Book Antiqua" w:hAnsi="Book Antiqua"/>
          <w:b/>
          <w:sz w:val="24"/>
          <w:szCs w:val="24"/>
        </w:rPr>
        <w:t>22</w:t>
      </w:r>
      <w:r w:rsidRPr="000A6219">
        <w:rPr>
          <w:rFonts w:ascii="Book Antiqua" w:hAnsi="Book Antiqua"/>
          <w:sz w:val="24"/>
          <w:szCs w:val="24"/>
        </w:rPr>
        <w:t>: 1-12 [PMID: 26444104 DOI: 10.1097/MIB.0000000000000574]</w:t>
      </w:r>
    </w:p>
    <w:p w14:paraId="74CC5ADF" w14:textId="428E2B61"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33 </w:t>
      </w:r>
      <w:r w:rsidRPr="000A6219">
        <w:rPr>
          <w:rFonts w:ascii="Book Antiqua" w:hAnsi="Book Antiqua"/>
          <w:b/>
          <w:sz w:val="24"/>
          <w:szCs w:val="24"/>
        </w:rPr>
        <w:t>Deshpande NP</w:t>
      </w:r>
      <w:r w:rsidRPr="000A6219">
        <w:rPr>
          <w:rFonts w:ascii="Book Antiqua" w:hAnsi="Book Antiqua"/>
          <w:sz w:val="24"/>
          <w:szCs w:val="24"/>
        </w:rPr>
        <w:t xml:space="preserve">, Wilkins MR, Mitchell HM, Kaakoush NO. Novel genetic markers define a subgroup of pathogenic Escherichia coli strains belonging to the B2 phylogenetic group. </w:t>
      </w:r>
      <w:r w:rsidRPr="000A6219">
        <w:rPr>
          <w:rFonts w:ascii="Book Antiqua" w:hAnsi="Book Antiqua"/>
          <w:i/>
          <w:sz w:val="24"/>
          <w:szCs w:val="24"/>
        </w:rPr>
        <w:t>FEMS Microbiol Lett</w:t>
      </w:r>
      <w:r w:rsidRPr="000A6219">
        <w:rPr>
          <w:rFonts w:ascii="Book Antiqua" w:hAnsi="Book Antiqua"/>
          <w:sz w:val="24"/>
          <w:szCs w:val="24"/>
        </w:rPr>
        <w:t xml:space="preserve"> 2015; </w:t>
      </w:r>
      <w:r w:rsidRPr="000A6219">
        <w:rPr>
          <w:rFonts w:ascii="Book Antiqua" w:hAnsi="Book Antiqua"/>
          <w:b/>
          <w:sz w:val="24"/>
          <w:szCs w:val="24"/>
        </w:rPr>
        <w:t>362</w:t>
      </w:r>
      <w:r w:rsidR="00FC349F" w:rsidRPr="000A6219">
        <w:rPr>
          <w:rFonts w:ascii="Book Antiqua" w:hAnsi="Book Antiqua"/>
          <w:sz w:val="24"/>
          <w:szCs w:val="24"/>
        </w:rPr>
        <w:t xml:space="preserve"> </w:t>
      </w:r>
      <w:r w:rsidRPr="000A6219">
        <w:rPr>
          <w:rFonts w:ascii="Book Antiqua" w:hAnsi="Book Antiqua"/>
          <w:sz w:val="24"/>
          <w:szCs w:val="24"/>
        </w:rPr>
        <w:t>[PMID: 26459886 DOI: 10.1093/femsle/fnv193]</w:t>
      </w:r>
    </w:p>
    <w:p w14:paraId="5EC7028A"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34 </w:t>
      </w:r>
      <w:r w:rsidRPr="000A6219">
        <w:rPr>
          <w:rFonts w:ascii="Book Antiqua" w:hAnsi="Book Antiqua"/>
          <w:b/>
          <w:sz w:val="24"/>
          <w:szCs w:val="24"/>
        </w:rPr>
        <w:t>O'Brien CL</w:t>
      </w:r>
      <w:r w:rsidRPr="000A6219">
        <w:rPr>
          <w:rFonts w:ascii="Book Antiqua" w:hAnsi="Book Antiqua"/>
          <w:sz w:val="24"/>
          <w:szCs w:val="24"/>
        </w:rPr>
        <w:t xml:space="preserve">, Bringer MA, Holt KE, Gordon DM, Dubois AL, Barnich N, Darfeuille-Michaud A, Pavli P. Comparative genomics of Crohn's disease-associated adherent-invasive </w:t>
      </w:r>
      <w:r w:rsidRPr="000A6219">
        <w:rPr>
          <w:rFonts w:ascii="Book Antiqua" w:hAnsi="Book Antiqua"/>
          <w:i/>
          <w:sz w:val="24"/>
          <w:szCs w:val="24"/>
        </w:rPr>
        <w:t>Escherichia coli</w:t>
      </w:r>
      <w:r w:rsidRPr="000A6219">
        <w:rPr>
          <w:rFonts w:ascii="Book Antiqua" w:hAnsi="Book Antiqua"/>
          <w:sz w:val="24"/>
          <w:szCs w:val="24"/>
        </w:rPr>
        <w:t xml:space="preserve">. </w:t>
      </w:r>
      <w:r w:rsidRPr="000A6219">
        <w:rPr>
          <w:rFonts w:ascii="Book Antiqua" w:hAnsi="Book Antiqua"/>
          <w:i/>
          <w:sz w:val="24"/>
          <w:szCs w:val="24"/>
        </w:rPr>
        <w:t>Gut</w:t>
      </w:r>
      <w:r w:rsidRPr="000A6219">
        <w:rPr>
          <w:rFonts w:ascii="Book Antiqua" w:hAnsi="Book Antiqua"/>
          <w:sz w:val="24"/>
          <w:szCs w:val="24"/>
        </w:rPr>
        <w:t xml:space="preserve"> 2017; </w:t>
      </w:r>
      <w:r w:rsidRPr="000A6219">
        <w:rPr>
          <w:rFonts w:ascii="Book Antiqua" w:hAnsi="Book Antiqua"/>
          <w:b/>
          <w:sz w:val="24"/>
          <w:szCs w:val="24"/>
        </w:rPr>
        <w:t>66</w:t>
      </w:r>
      <w:r w:rsidRPr="000A6219">
        <w:rPr>
          <w:rFonts w:ascii="Book Antiqua" w:hAnsi="Book Antiqua"/>
          <w:sz w:val="24"/>
          <w:szCs w:val="24"/>
        </w:rPr>
        <w:t>: 1382-1389 [PMID: 27196580 DOI: 10.1136/gutjnl-2015-311059]</w:t>
      </w:r>
    </w:p>
    <w:p w14:paraId="13B946C5"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35 </w:t>
      </w:r>
      <w:r w:rsidRPr="000A6219">
        <w:rPr>
          <w:rFonts w:ascii="Book Antiqua" w:hAnsi="Book Antiqua"/>
          <w:b/>
          <w:sz w:val="24"/>
          <w:szCs w:val="24"/>
        </w:rPr>
        <w:t>Zhang Y</w:t>
      </w:r>
      <w:r w:rsidRPr="000A6219">
        <w:rPr>
          <w:rFonts w:ascii="Book Antiqua" w:hAnsi="Book Antiqua"/>
          <w:sz w:val="24"/>
          <w:szCs w:val="24"/>
        </w:rPr>
        <w:t xml:space="preserve">, Rowehl L, Krumsiek JM, Orner EP, Shaikh N, Tarr PI, Sodergren E, Weinstock GM, Boedeker EC, Xiong X, Parkinson J, Frank DN, Li E, Gathungu G. Identification of Candidate Adherent-Invasive E. coli Signature Transcripts by Genomic/Transcriptomic Analysis. </w:t>
      </w:r>
      <w:r w:rsidRPr="000A6219">
        <w:rPr>
          <w:rFonts w:ascii="Book Antiqua" w:hAnsi="Book Antiqua"/>
          <w:i/>
          <w:sz w:val="24"/>
          <w:szCs w:val="24"/>
        </w:rPr>
        <w:t>PLoS One</w:t>
      </w:r>
      <w:r w:rsidRPr="000A6219">
        <w:rPr>
          <w:rFonts w:ascii="Book Antiqua" w:hAnsi="Book Antiqua"/>
          <w:sz w:val="24"/>
          <w:szCs w:val="24"/>
        </w:rPr>
        <w:t xml:space="preserve"> 2015; </w:t>
      </w:r>
      <w:r w:rsidRPr="000A6219">
        <w:rPr>
          <w:rFonts w:ascii="Book Antiqua" w:hAnsi="Book Antiqua"/>
          <w:b/>
          <w:sz w:val="24"/>
          <w:szCs w:val="24"/>
        </w:rPr>
        <w:t>10</w:t>
      </w:r>
      <w:r w:rsidRPr="000A6219">
        <w:rPr>
          <w:rFonts w:ascii="Book Antiqua" w:hAnsi="Book Antiqua"/>
          <w:sz w:val="24"/>
          <w:szCs w:val="24"/>
        </w:rPr>
        <w:t>: e0130902 [PMID: 26125937 DOI: 10.1371/journal.pone.0130902]</w:t>
      </w:r>
    </w:p>
    <w:p w14:paraId="45DCB6DA"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36 </w:t>
      </w:r>
      <w:r w:rsidRPr="000A6219">
        <w:rPr>
          <w:rFonts w:ascii="Book Antiqua" w:hAnsi="Book Antiqua"/>
          <w:b/>
          <w:sz w:val="24"/>
          <w:szCs w:val="24"/>
        </w:rPr>
        <w:t>Camprubí-Font C</w:t>
      </w:r>
      <w:r w:rsidRPr="000A6219">
        <w:rPr>
          <w:rFonts w:ascii="Book Antiqua" w:hAnsi="Book Antiqua"/>
          <w:sz w:val="24"/>
          <w:szCs w:val="24"/>
        </w:rPr>
        <w:t xml:space="preserve">, Lopez-Siles M, Ferrer-Guixeras M, Niubó-Carulla L, Abellà-Ametller C, Garcia-Gil LJ, Martinez-Medina M. Comparative genomics reveals new single-nucleotide polymorphisms that can assist in identification of adherent-invasive Escherichia coli. </w:t>
      </w:r>
      <w:r w:rsidRPr="000A6219">
        <w:rPr>
          <w:rFonts w:ascii="Book Antiqua" w:hAnsi="Book Antiqua"/>
          <w:i/>
          <w:sz w:val="24"/>
          <w:szCs w:val="24"/>
        </w:rPr>
        <w:t>Sci Rep</w:t>
      </w:r>
      <w:r w:rsidRPr="000A6219">
        <w:rPr>
          <w:rFonts w:ascii="Book Antiqua" w:hAnsi="Book Antiqua"/>
          <w:sz w:val="24"/>
          <w:szCs w:val="24"/>
        </w:rPr>
        <w:t xml:space="preserve"> 2018; </w:t>
      </w:r>
      <w:r w:rsidRPr="000A6219">
        <w:rPr>
          <w:rFonts w:ascii="Book Antiqua" w:hAnsi="Book Antiqua"/>
          <w:b/>
          <w:sz w:val="24"/>
          <w:szCs w:val="24"/>
        </w:rPr>
        <w:t>8</w:t>
      </w:r>
      <w:r w:rsidRPr="000A6219">
        <w:rPr>
          <w:rFonts w:ascii="Book Antiqua" w:hAnsi="Book Antiqua"/>
          <w:sz w:val="24"/>
          <w:szCs w:val="24"/>
        </w:rPr>
        <w:t>: 2695 [PMID: 29426864 DOI: 10.1038/s41598-018-20843-x]</w:t>
      </w:r>
    </w:p>
    <w:p w14:paraId="3F5FA761"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lastRenderedPageBreak/>
        <w:t xml:space="preserve">37 </w:t>
      </w:r>
      <w:r w:rsidRPr="000A6219">
        <w:rPr>
          <w:rFonts w:ascii="Book Antiqua" w:hAnsi="Book Antiqua"/>
          <w:b/>
          <w:sz w:val="24"/>
          <w:szCs w:val="24"/>
        </w:rPr>
        <w:t>Martinez-Medina M</w:t>
      </w:r>
      <w:r w:rsidRPr="000A6219">
        <w:rPr>
          <w:rFonts w:ascii="Book Antiqua" w:hAnsi="Book Antiqua"/>
          <w:sz w:val="24"/>
          <w:szCs w:val="24"/>
        </w:rPr>
        <w:t xml:space="preserve">, Garcia-Gil J, Barnich N, Wieler LH, Ewers C. Adherent-invasive Escherichia coli phenotype displayed by intestinal pathogenic E. coli strains from cats, dogs, and swine. </w:t>
      </w:r>
      <w:r w:rsidRPr="000A6219">
        <w:rPr>
          <w:rFonts w:ascii="Book Antiqua" w:hAnsi="Book Antiqua"/>
          <w:i/>
          <w:sz w:val="24"/>
          <w:szCs w:val="24"/>
        </w:rPr>
        <w:t>Appl Environ Microbiol</w:t>
      </w:r>
      <w:r w:rsidRPr="000A6219">
        <w:rPr>
          <w:rFonts w:ascii="Book Antiqua" w:hAnsi="Book Antiqua"/>
          <w:sz w:val="24"/>
          <w:szCs w:val="24"/>
        </w:rPr>
        <w:t xml:space="preserve"> 2011; </w:t>
      </w:r>
      <w:r w:rsidRPr="000A6219">
        <w:rPr>
          <w:rFonts w:ascii="Book Antiqua" w:hAnsi="Book Antiqua"/>
          <w:b/>
          <w:sz w:val="24"/>
          <w:szCs w:val="24"/>
        </w:rPr>
        <w:t>77</w:t>
      </w:r>
      <w:r w:rsidRPr="000A6219">
        <w:rPr>
          <w:rFonts w:ascii="Book Antiqua" w:hAnsi="Book Antiqua"/>
          <w:sz w:val="24"/>
          <w:szCs w:val="24"/>
        </w:rPr>
        <w:t>: 5813-5817 [PMID: 21705530 DOI: 10.1128/AEM.02614-10]</w:t>
      </w:r>
    </w:p>
    <w:p w14:paraId="53A51A71"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38 </w:t>
      </w:r>
      <w:r w:rsidRPr="000A6219">
        <w:rPr>
          <w:rFonts w:ascii="Book Antiqua" w:hAnsi="Book Antiqua"/>
          <w:b/>
          <w:sz w:val="24"/>
          <w:szCs w:val="24"/>
        </w:rPr>
        <w:t>Camprubí-Font C</w:t>
      </w:r>
      <w:r w:rsidRPr="000A6219">
        <w:rPr>
          <w:rFonts w:ascii="Book Antiqua" w:hAnsi="Book Antiqua"/>
          <w:sz w:val="24"/>
          <w:szCs w:val="24"/>
        </w:rPr>
        <w:t xml:space="preserve">, Ewers C, Lopez-Siles M, Martinez-Medina M. Genetic and Phenotypic Features to Screen for Putative Adherent-Invasive </w:t>
      </w:r>
      <w:r w:rsidRPr="000A6219">
        <w:rPr>
          <w:rFonts w:ascii="Book Antiqua" w:hAnsi="Book Antiqua"/>
          <w:i/>
          <w:sz w:val="24"/>
          <w:szCs w:val="24"/>
        </w:rPr>
        <w:t>Escherichia coli</w:t>
      </w:r>
      <w:r w:rsidRPr="000A6219">
        <w:rPr>
          <w:rFonts w:ascii="Book Antiqua" w:hAnsi="Book Antiqua"/>
          <w:sz w:val="24"/>
          <w:szCs w:val="24"/>
        </w:rPr>
        <w:t xml:space="preserve">. </w:t>
      </w:r>
      <w:r w:rsidRPr="000A6219">
        <w:rPr>
          <w:rFonts w:ascii="Book Antiqua" w:hAnsi="Book Antiqua"/>
          <w:i/>
          <w:sz w:val="24"/>
          <w:szCs w:val="24"/>
        </w:rPr>
        <w:t>Front Microbiol</w:t>
      </w:r>
      <w:r w:rsidRPr="000A6219">
        <w:rPr>
          <w:rFonts w:ascii="Book Antiqua" w:hAnsi="Book Antiqua"/>
          <w:sz w:val="24"/>
          <w:szCs w:val="24"/>
        </w:rPr>
        <w:t xml:space="preserve"> 2019; </w:t>
      </w:r>
      <w:r w:rsidRPr="000A6219">
        <w:rPr>
          <w:rFonts w:ascii="Book Antiqua" w:hAnsi="Book Antiqua"/>
          <w:b/>
          <w:sz w:val="24"/>
          <w:szCs w:val="24"/>
        </w:rPr>
        <w:t>10</w:t>
      </w:r>
      <w:r w:rsidRPr="000A6219">
        <w:rPr>
          <w:rFonts w:ascii="Book Antiqua" w:hAnsi="Book Antiqua"/>
          <w:sz w:val="24"/>
          <w:szCs w:val="24"/>
        </w:rPr>
        <w:t>: 108 [PMID: 30846972 DOI: 10.3389/fmicb.2019.00108]</w:t>
      </w:r>
    </w:p>
    <w:p w14:paraId="7FF43198"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39 </w:t>
      </w:r>
      <w:r w:rsidRPr="000A6219">
        <w:rPr>
          <w:rFonts w:ascii="Book Antiqua" w:hAnsi="Book Antiqua"/>
          <w:b/>
          <w:sz w:val="24"/>
          <w:szCs w:val="24"/>
        </w:rPr>
        <w:t>Vazeille E</w:t>
      </w:r>
      <w:r w:rsidRPr="000A6219">
        <w:rPr>
          <w:rFonts w:ascii="Book Antiqua" w:hAnsi="Book Antiqua"/>
          <w:sz w:val="24"/>
          <w:szCs w:val="24"/>
        </w:rPr>
        <w:t xml:space="preserve">, Chassaing B, Buisson A, Dubois A, de Vallée A, Billard E, Neut C, Bommelaer G, Colombel JF, Barnich N, Darfeuille-Michaud A, Bringer MA. GipA Factor Supports Colonization of Peyer's Patches by Crohn's Disease-associated Escherichia Coli. </w:t>
      </w:r>
      <w:r w:rsidRPr="000A6219">
        <w:rPr>
          <w:rFonts w:ascii="Book Antiqua" w:hAnsi="Book Antiqua"/>
          <w:i/>
          <w:sz w:val="24"/>
          <w:szCs w:val="24"/>
        </w:rPr>
        <w:t>Inflamm Bowel Dis</w:t>
      </w:r>
      <w:r w:rsidRPr="000A6219">
        <w:rPr>
          <w:rFonts w:ascii="Book Antiqua" w:hAnsi="Book Antiqua"/>
          <w:sz w:val="24"/>
          <w:szCs w:val="24"/>
        </w:rPr>
        <w:t xml:space="preserve"> 2016; </w:t>
      </w:r>
      <w:r w:rsidRPr="000A6219">
        <w:rPr>
          <w:rFonts w:ascii="Book Antiqua" w:hAnsi="Book Antiqua"/>
          <w:b/>
          <w:sz w:val="24"/>
          <w:szCs w:val="24"/>
        </w:rPr>
        <w:t>22</w:t>
      </w:r>
      <w:r w:rsidRPr="000A6219">
        <w:rPr>
          <w:rFonts w:ascii="Book Antiqua" w:hAnsi="Book Antiqua"/>
          <w:sz w:val="24"/>
          <w:szCs w:val="24"/>
        </w:rPr>
        <w:t>: 68-81 [PMID: 26512715 DOI: 10.1097/MIB.0000000000000609]</w:t>
      </w:r>
    </w:p>
    <w:p w14:paraId="207EB39D" w14:textId="596E2EB3" w:rsidR="007343D4"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40 </w:t>
      </w:r>
      <w:r w:rsidRPr="000A6219">
        <w:rPr>
          <w:rFonts w:ascii="Book Antiqua" w:hAnsi="Book Antiqua"/>
          <w:b/>
          <w:sz w:val="24"/>
          <w:szCs w:val="24"/>
        </w:rPr>
        <w:t>Dogan B</w:t>
      </w:r>
      <w:r w:rsidRPr="000A6219">
        <w:rPr>
          <w:rFonts w:ascii="Book Antiqua" w:hAnsi="Book Antiqua"/>
          <w:sz w:val="24"/>
          <w:szCs w:val="24"/>
        </w:rPr>
        <w:t xml:space="preserve">, Belcher-Timme HF, Dogan EI, Jiang ZD, DuPont HL, Snyder N, Yang S, Chandler B, Scherl EJ, Simpson KW. Evaluation of Escherichia coli pathotypes associated with irritable bowel syndrome. </w:t>
      </w:r>
      <w:r w:rsidRPr="000A6219">
        <w:rPr>
          <w:rFonts w:ascii="Book Antiqua" w:hAnsi="Book Antiqua"/>
          <w:i/>
          <w:sz w:val="24"/>
          <w:szCs w:val="24"/>
        </w:rPr>
        <w:t>FEMS Microbiol Lett</w:t>
      </w:r>
      <w:r w:rsidRPr="000A6219">
        <w:rPr>
          <w:rFonts w:ascii="Book Antiqua" w:hAnsi="Book Antiqua"/>
          <w:sz w:val="24"/>
          <w:szCs w:val="24"/>
        </w:rPr>
        <w:t xml:space="preserve"> 2018; </w:t>
      </w:r>
      <w:r w:rsidRPr="000A6219">
        <w:rPr>
          <w:rFonts w:ascii="Book Antiqua" w:hAnsi="Book Antiqua"/>
          <w:b/>
          <w:sz w:val="24"/>
          <w:szCs w:val="24"/>
        </w:rPr>
        <w:t>365</w:t>
      </w:r>
      <w:r w:rsidR="00FC349F" w:rsidRPr="000A6219">
        <w:rPr>
          <w:rFonts w:ascii="Book Antiqua" w:hAnsi="Book Antiqua"/>
          <w:sz w:val="24"/>
          <w:szCs w:val="24"/>
        </w:rPr>
        <w:t xml:space="preserve"> </w:t>
      </w:r>
      <w:r w:rsidRPr="000A6219">
        <w:rPr>
          <w:rFonts w:ascii="Book Antiqua" w:hAnsi="Book Antiqua"/>
          <w:sz w:val="24"/>
          <w:szCs w:val="24"/>
        </w:rPr>
        <w:t>[PMID: 30299475 DOI: 10.1093/femsle/fny249]</w:t>
      </w:r>
    </w:p>
    <w:p w14:paraId="759AACD3" w14:textId="4E1F196B" w:rsidR="007343D4" w:rsidRPr="000A6219" w:rsidRDefault="007343D4" w:rsidP="007343D4">
      <w:pPr>
        <w:snapToGrid w:val="0"/>
        <w:spacing w:after="0" w:line="360" w:lineRule="auto"/>
        <w:jc w:val="both"/>
        <w:rPr>
          <w:rFonts w:ascii="Book Antiqua" w:hAnsi="Book Antiqua"/>
          <w:sz w:val="24"/>
          <w:szCs w:val="24"/>
        </w:rPr>
      </w:pPr>
      <w:r>
        <w:rPr>
          <w:rFonts w:ascii="Book Antiqua" w:hAnsi="Book Antiqua"/>
          <w:sz w:val="24"/>
          <w:szCs w:val="24"/>
        </w:rPr>
        <w:t>41</w:t>
      </w:r>
      <w:r w:rsidRPr="000A6219">
        <w:rPr>
          <w:rFonts w:ascii="Book Antiqua" w:hAnsi="Book Antiqua"/>
          <w:sz w:val="24"/>
          <w:szCs w:val="24"/>
        </w:rPr>
        <w:t xml:space="preserve"> </w:t>
      </w:r>
      <w:r w:rsidRPr="000A6219">
        <w:rPr>
          <w:rFonts w:ascii="Book Antiqua" w:hAnsi="Book Antiqua"/>
          <w:b/>
          <w:sz w:val="24"/>
          <w:szCs w:val="24"/>
        </w:rPr>
        <w:t>Clermont O</w:t>
      </w:r>
      <w:r w:rsidRPr="000A6219">
        <w:rPr>
          <w:rFonts w:ascii="Book Antiqua" w:hAnsi="Book Antiqua"/>
          <w:sz w:val="24"/>
          <w:szCs w:val="24"/>
        </w:rPr>
        <w:t xml:space="preserve">, Bonacorsi S, Bingen E. Rapid and simple determination of the Escherichia coli phylogenetic group. </w:t>
      </w:r>
      <w:r w:rsidRPr="000A6219">
        <w:rPr>
          <w:rFonts w:ascii="Book Antiqua" w:hAnsi="Book Antiqua"/>
          <w:i/>
          <w:sz w:val="24"/>
          <w:szCs w:val="24"/>
        </w:rPr>
        <w:t>Appl Environ Microbiol</w:t>
      </w:r>
      <w:r w:rsidRPr="000A6219">
        <w:rPr>
          <w:rFonts w:ascii="Book Antiqua" w:hAnsi="Book Antiqua"/>
          <w:sz w:val="24"/>
          <w:szCs w:val="24"/>
        </w:rPr>
        <w:t xml:space="preserve"> 2000; </w:t>
      </w:r>
      <w:r w:rsidRPr="000A6219">
        <w:rPr>
          <w:rFonts w:ascii="Book Antiqua" w:hAnsi="Book Antiqua"/>
          <w:b/>
          <w:sz w:val="24"/>
          <w:szCs w:val="24"/>
        </w:rPr>
        <w:t>66</w:t>
      </w:r>
      <w:r w:rsidRPr="000A6219">
        <w:rPr>
          <w:rFonts w:ascii="Book Antiqua" w:hAnsi="Book Antiqua"/>
          <w:sz w:val="24"/>
          <w:szCs w:val="24"/>
        </w:rPr>
        <w:t>: 4555-4558 [PMID: 11010916 DOI: 10.1128/AEM.66.10.4555-4558.2000]</w:t>
      </w:r>
    </w:p>
    <w:p w14:paraId="37BD560B" w14:textId="73025DEB" w:rsidR="007343D4"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42</w:t>
      </w:r>
      <w:r w:rsidRPr="000A6219">
        <w:rPr>
          <w:rFonts w:ascii="Book Antiqua" w:hAnsi="Book Antiqua"/>
          <w:sz w:val="24"/>
          <w:szCs w:val="24"/>
        </w:rPr>
        <w:t xml:space="preserve"> </w:t>
      </w:r>
      <w:r w:rsidRPr="000A6219">
        <w:rPr>
          <w:rFonts w:ascii="Book Antiqua" w:hAnsi="Book Antiqua"/>
          <w:b/>
          <w:sz w:val="24"/>
          <w:szCs w:val="24"/>
        </w:rPr>
        <w:t>Falush D</w:t>
      </w:r>
      <w:r w:rsidRPr="000A6219">
        <w:rPr>
          <w:rFonts w:ascii="Book Antiqua" w:hAnsi="Book Antiqua"/>
          <w:sz w:val="24"/>
          <w:szCs w:val="24"/>
        </w:rPr>
        <w:t xml:space="preserve">, Stephens M, Pritchard JK. Inference of population structure using multilocus genotype data: linked loci and correlated allele frequencies. </w:t>
      </w:r>
      <w:r w:rsidRPr="000A6219">
        <w:rPr>
          <w:rFonts w:ascii="Book Antiqua" w:hAnsi="Book Antiqua"/>
          <w:i/>
          <w:sz w:val="24"/>
          <w:szCs w:val="24"/>
        </w:rPr>
        <w:t>Genetics</w:t>
      </w:r>
      <w:r w:rsidRPr="000A6219">
        <w:rPr>
          <w:rFonts w:ascii="Book Antiqua" w:hAnsi="Book Antiqua"/>
          <w:sz w:val="24"/>
          <w:szCs w:val="24"/>
        </w:rPr>
        <w:t xml:space="preserve"> 2003; </w:t>
      </w:r>
      <w:r w:rsidRPr="000A6219">
        <w:rPr>
          <w:rFonts w:ascii="Book Antiqua" w:hAnsi="Book Antiqua"/>
          <w:b/>
          <w:sz w:val="24"/>
          <w:szCs w:val="24"/>
        </w:rPr>
        <w:t>164</w:t>
      </w:r>
      <w:r w:rsidRPr="000A6219">
        <w:rPr>
          <w:rFonts w:ascii="Book Antiqua" w:hAnsi="Book Antiqua"/>
          <w:sz w:val="24"/>
          <w:szCs w:val="24"/>
        </w:rPr>
        <w:t>: 1567-1587 [PMID: 12930761]</w:t>
      </w:r>
    </w:p>
    <w:p w14:paraId="1611D39A" w14:textId="1F927B7F"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4</w:t>
      </w:r>
      <w:r w:rsidR="007343D4">
        <w:rPr>
          <w:rFonts w:ascii="Book Antiqua" w:hAnsi="Book Antiqua"/>
          <w:sz w:val="24"/>
          <w:szCs w:val="24"/>
        </w:rPr>
        <w:t>3</w:t>
      </w:r>
      <w:r w:rsidRPr="000A6219">
        <w:rPr>
          <w:rFonts w:ascii="Book Antiqua" w:hAnsi="Book Antiqua"/>
          <w:sz w:val="24"/>
          <w:szCs w:val="24"/>
        </w:rPr>
        <w:t xml:space="preserve"> </w:t>
      </w:r>
      <w:r w:rsidRPr="000A6219">
        <w:rPr>
          <w:rFonts w:ascii="Book Antiqua" w:hAnsi="Book Antiqua"/>
          <w:b/>
          <w:sz w:val="24"/>
          <w:szCs w:val="24"/>
        </w:rPr>
        <w:t>Gibold L</w:t>
      </w:r>
      <w:r w:rsidRPr="000A6219">
        <w:rPr>
          <w:rFonts w:ascii="Book Antiqua" w:hAnsi="Book Antiqua"/>
          <w:sz w:val="24"/>
          <w:szCs w:val="24"/>
        </w:rPr>
        <w:t xml:space="preserve">, Garenaux E, Dalmasso G, Gallucci C, Cia D, Mottet-Auselo B, Faïs T, Darfeuille-Michaud A, Nguyen HT, Barnich N, Bonnet R, Delmas J. The Vat-AIEC protease promotes crossing of the intestinal mucus layer by Crohn's disease-associated Escherichia coli. </w:t>
      </w:r>
      <w:r w:rsidRPr="000A6219">
        <w:rPr>
          <w:rFonts w:ascii="Book Antiqua" w:hAnsi="Book Antiqua"/>
          <w:i/>
          <w:sz w:val="24"/>
          <w:szCs w:val="24"/>
        </w:rPr>
        <w:t>Cell Microbiol</w:t>
      </w:r>
      <w:r w:rsidRPr="000A6219">
        <w:rPr>
          <w:rFonts w:ascii="Book Antiqua" w:hAnsi="Book Antiqua"/>
          <w:sz w:val="24"/>
          <w:szCs w:val="24"/>
        </w:rPr>
        <w:t xml:space="preserve"> 2016; </w:t>
      </w:r>
      <w:r w:rsidRPr="000A6219">
        <w:rPr>
          <w:rFonts w:ascii="Book Antiqua" w:hAnsi="Book Antiqua"/>
          <w:b/>
          <w:sz w:val="24"/>
          <w:szCs w:val="24"/>
        </w:rPr>
        <w:t>18</w:t>
      </w:r>
      <w:r w:rsidRPr="000A6219">
        <w:rPr>
          <w:rFonts w:ascii="Book Antiqua" w:hAnsi="Book Antiqua"/>
          <w:sz w:val="24"/>
          <w:szCs w:val="24"/>
        </w:rPr>
        <w:t>: 617-631 [PMID: 26499863 DOI: 10.1111/cmi.12539]</w:t>
      </w:r>
    </w:p>
    <w:p w14:paraId="44EF68A7" w14:textId="60F6A6EB"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4</w:t>
      </w:r>
      <w:r w:rsidR="007343D4">
        <w:rPr>
          <w:rFonts w:ascii="Book Antiqua" w:hAnsi="Book Antiqua"/>
          <w:sz w:val="24"/>
          <w:szCs w:val="24"/>
        </w:rPr>
        <w:t>4</w:t>
      </w:r>
      <w:r w:rsidRPr="000A6219">
        <w:rPr>
          <w:rFonts w:ascii="Book Antiqua" w:hAnsi="Book Antiqua"/>
          <w:sz w:val="24"/>
          <w:szCs w:val="24"/>
        </w:rPr>
        <w:t xml:space="preserve"> </w:t>
      </w:r>
      <w:r w:rsidRPr="000A6219">
        <w:rPr>
          <w:rFonts w:ascii="Book Antiqua" w:hAnsi="Book Antiqua"/>
          <w:b/>
          <w:sz w:val="24"/>
          <w:szCs w:val="24"/>
        </w:rPr>
        <w:t>Iebba V</w:t>
      </w:r>
      <w:r w:rsidRPr="000A6219">
        <w:rPr>
          <w:rFonts w:ascii="Book Antiqua" w:hAnsi="Book Antiqua"/>
          <w:sz w:val="24"/>
          <w:szCs w:val="24"/>
        </w:rPr>
        <w:t xml:space="preserve">, Conte MP, Lepanto MS, Di Nardo G, Santangelo F, Aloi M, Totino V, Checchi MP, Longhi C, Cucchiara S, Schippa S. Microevolution in fimH gene of mucosa-associated Escherichia coli strains isolated from pediatric patients </w:t>
      </w:r>
      <w:r w:rsidRPr="000A6219">
        <w:rPr>
          <w:rFonts w:ascii="Book Antiqua" w:hAnsi="Book Antiqua"/>
          <w:sz w:val="24"/>
          <w:szCs w:val="24"/>
        </w:rPr>
        <w:lastRenderedPageBreak/>
        <w:t xml:space="preserve">with inflammatory bowel disease. </w:t>
      </w:r>
      <w:r w:rsidRPr="000A6219">
        <w:rPr>
          <w:rFonts w:ascii="Book Antiqua" w:hAnsi="Book Antiqua"/>
          <w:i/>
          <w:sz w:val="24"/>
          <w:szCs w:val="24"/>
        </w:rPr>
        <w:t>Infect Immun</w:t>
      </w:r>
      <w:r w:rsidRPr="000A6219">
        <w:rPr>
          <w:rFonts w:ascii="Book Antiqua" w:hAnsi="Book Antiqua"/>
          <w:sz w:val="24"/>
          <w:szCs w:val="24"/>
        </w:rPr>
        <w:t xml:space="preserve"> 2012; </w:t>
      </w:r>
      <w:r w:rsidRPr="000A6219">
        <w:rPr>
          <w:rFonts w:ascii="Book Antiqua" w:hAnsi="Book Antiqua"/>
          <w:b/>
          <w:sz w:val="24"/>
          <w:szCs w:val="24"/>
        </w:rPr>
        <w:t>80</w:t>
      </w:r>
      <w:r w:rsidRPr="000A6219">
        <w:rPr>
          <w:rFonts w:ascii="Book Antiqua" w:hAnsi="Book Antiqua"/>
          <w:sz w:val="24"/>
          <w:szCs w:val="24"/>
        </w:rPr>
        <w:t>: 1408-1417 [PMID: 22290143 DOI: 10.1128/IAI.06181-11]</w:t>
      </w:r>
    </w:p>
    <w:p w14:paraId="2F8EA0DE" w14:textId="3574E7B1"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4</w:t>
      </w:r>
      <w:r w:rsidR="007343D4">
        <w:rPr>
          <w:rFonts w:ascii="Book Antiqua" w:hAnsi="Book Antiqua"/>
          <w:sz w:val="24"/>
          <w:szCs w:val="24"/>
        </w:rPr>
        <w:t>5</w:t>
      </w:r>
      <w:r w:rsidRPr="000A6219">
        <w:rPr>
          <w:rFonts w:ascii="Book Antiqua" w:hAnsi="Book Antiqua"/>
          <w:sz w:val="24"/>
          <w:szCs w:val="24"/>
        </w:rPr>
        <w:t xml:space="preserve"> </w:t>
      </w:r>
      <w:r w:rsidRPr="000A6219">
        <w:rPr>
          <w:rFonts w:ascii="Book Antiqua" w:hAnsi="Book Antiqua"/>
          <w:b/>
          <w:sz w:val="24"/>
          <w:szCs w:val="24"/>
        </w:rPr>
        <w:t>Dreux N</w:t>
      </w:r>
      <w:r w:rsidRPr="000A6219">
        <w:rPr>
          <w:rFonts w:ascii="Book Antiqua" w:hAnsi="Book Antiqua"/>
          <w:sz w:val="24"/>
          <w:szCs w:val="24"/>
        </w:rPr>
        <w:t xml:space="preserve">, Denizot J, Martinez-Medina M, Mellmann A, Billig M, Kisiela D, Chattopadhyay S, Sokurenko E, Neut C, Gower-Rousseau C, Colombel JF, Bonnet R, Darfeuille-Michaud A, Barnich N. Point mutations in FimH adhesin of Crohn's disease-associated adherent-invasive Escherichia coli enhance intestinal inflammatory response. </w:t>
      </w:r>
      <w:r w:rsidRPr="000A6219">
        <w:rPr>
          <w:rFonts w:ascii="Book Antiqua" w:hAnsi="Book Antiqua"/>
          <w:i/>
          <w:sz w:val="24"/>
          <w:szCs w:val="24"/>
        </w:rPr>
        <w:t>PLoS Pathog</w:t>
      </w:r>
      <w:r w:rsidRPr="000A6219">
        <w:rPr>
          <w:rFonts w:ascii="Book Antiqua" w:hAnsi="Book Antiqua"/>
          <w:sz w:val="24"/>
          <w:szCs w:val="24"/>
        </w:rPr>
        <w:t xml:space="preserve"> 2013; </w:t>
      </w:r>
      <w:r w:rsidRPr="000A6219">
        <w:rPr>
          <w:rFonts w:ascii="Book Antiqua" w:hAnsi="Book Antiqua"/>
          <w:b/>
          <w:sz w:val="24"/>
          <w:szCs w:val="24"/>
        </w:rPr>
        <w:t>9</w:t>
      </w:r>
      <w:r w:rsidRPr="000A6219">
        <w:rPr>
          <w:rFonts w:ascii="Book Antiqua" w:hAnsi="Book Antiqua"/>
          <w:sz w:val="24"/>
          <w:szCs w:val="24"/>
        </w:rPr>
        <w:t>: e1003141 [PMID: 23358328 DOI: 10.1371/journal.ppat.1003141]</w:t>
      </w:r>
    </w:p>
    <w:p w14:paraId="193BE2A0" w14:textId="0ACF9AB1" w:rsidR="007343D4"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4</w:t>
      </w:r>
      <w:r w:rsidR="007343D4">
        <w:rPr>
          <w:rFonts w:ascii="Book Antiqua" w:hAnsi="Book Antiqua"/>
          <w:sz w:val="24"/>
          <w:szCs w:val="24"/>
        </w:rPr>
        <w:t>6</w:t>
      </w:r>
      <w:r w:rsidRPr="000A6219">
        <w:rPr>
          <w:rFonts w:ascii="Book Antiqua" w:hAnsi="Book Antiqua"/>
          <w:sz w:val="24"/>
          <w:szCs w:val="24"/>
        </w:rPr>
        <w:t xml:space="preserve"> </w:t>
      </w:r>
      <w:r w:rsidRPr="000A6219">
        <w:rPr>
          <w:rFonts w:ascii="Book Antiqua" w:hAnsi="Book Antiqua"/>
          <w:b/>
          <w:sz w:val="24"/>
          <w:szCs w:val="24"/>
        </w:rPr>
        <w:t>Camprubí-Font C</w:t>
      </w:r>
      <w:r w:rsidRPr="000A6219">
        <w:rPr>
          <w:rFonts w:ascii="Book Antiqua" w:hAnsi="Book Antiqua"/>
          <w:sz w:val="24"/>
          <w:szCs w:val="24"/>
        </w:rPr>
        <w:t xml:space="preserve">, Ruiz Del Castillo B, Barrabés S, Martínez-Martínez L, Martinez-Medina M. Amino Acid Substitutions and Differential Gene Expression of Outer Membrane Proteins in Adherent-Invasive </w:t>
      </w:r>
      <w:r w:rsidRPr="000A6219">
        <w:rPr>
          <w:rFonts w:ascii="Book Antiqua" w:hAnsi="Book Antiqua"/>
          <w:i/>
          <w:sz w:val="24"/>
          <w:szCs w:val="24"/>
        </w:rPr>
        <w:t>Escherichia coli</w:t>
      </w:r>
      <w:r w:rsidRPr="000A6219">
        <w:rPr>
          <w:rFonts w:ascii="Book Antiqua" w:hAnsi="Book Antiqua"/>
          <w:sz w:val="24"/>
          <w:szCs w:val="24"/>
        </w:rPr>
        <w:t xml:space="preserve">. </w:t>
      </w:r>
      <w:r w:rsidRPr="000A6219">
        <w:rPr>
          <w:rFonts w:ascii="Book Antiqua" w:hAnsi="Book Antiqua"/>
          <w:i/>
          <w:sz w:val="24"/>
          <w:szCs w:val="24"/>
        </w:rPr>
        <w:t>Front Microbiol</w:t>
      </w:r>
      <w:r w:rsidRPr="000A6219">
        <w:rPr>
          <w:rFonts w:ascii="Book Antiqua" w:hAnsi="Book Antiqua"/>
          <w:sz w:val="24"/>
          <w:szCs w:val="24"/>
        </w:rPr>
        <w:t xml:space="preserve"> 2019; </w:t>
      </w:r>
      <w:r w:rsidRPr="000A6219">
        <w:rPr>
          <w:rFonts w:ascii="Book Antiqua" w:hAnsi="Book Antiqua"/>
          <w:b/>
          <w:sz w:val="24"/>
          <w:szCs w:val="24"/>
        </w:rPr>
        <w:t>10</w:t>
      </w:r>
      <w:r w:rsidRPr="000A6219">
        <w:rPr>
          <w:rFonts w:ascii="Book Antiqua" w:hAnsi="Book Antiqua"/>
          <w:sz w:val="24"/>
          <w:szCs w:val="24"/>
        </w:rPr>
        <w:t>: 1707 [PMID: 31447798 DOI: 10.3389/fmicb.2019.01707]</w:t>
      </w:r>
    </w:p>
    <w:p w14:paraId="2971D5B0" w14:textId="43D62ED6" w:rsidR="007343D4"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47</w:t>
      </w:r>
      <w:r w:rsidRPr="000A6219">
        <w:rPr>
          <w:rFonts w:ascii="Book Antiqua" w:hAnsi="Book Antiqua"/>
          <w:sz w:val="24"/>
          <w:szCs w:val="24"/>
        </w:rPr>
        <w:t xml:space="preserve"> </w:t>
      </w:r>
      <w:r w:rsidRPr="000A6219">
        <w:rPr>
          <w:rFonts w:ascii="Book Antiqua" w:hAnsi="Book Antiqua"/>
          <w:b/>
          <w:sz w:val="24"/>
          <w:szCs w:val="24"/>
        </w:rPr>
        <w:t>Sepehri S</w:t>
      </w:r>
      <w:r w:rsidRPr="000A6219">
        <w:rPr>
          <w:rFonts w:ascii="Book Antiqua" w:hAnsi="Book Antiqua"/>
          <w:sz w:val="24"/>
          <w:szCs w:val="24"/>
        </w:rPr>
        <w:t xml:space="preserve">, Khafipour E, Bernstein CN, Coombes BK, Pilar AV, Karmali M, Ziebell K, Krause DO. Characterization of Escherichia coli isolated from gut biopsies of newly diagnosed patients with inflammatory bowel disease. </w:t>
      </w:r>
      <w:r w:rsidRPr="000A6219">
        <w:rPr>
          <w:rFonts w:ascii="Book Antiqua" w:hAnsi="Book Antiqua"/>
          <w:i/>
          <w:sz w:val="24"/>
          <w:szCs w:val="24"/>
        </w:rPr>
        <w:t>Inflamm Bowel Dis</w:t>
      </w:r>
      <w:r w:rsidRPr="000A6219">
        <w:rPr>
          <w:rFonts w:ascii="Book Antiqua" w:hAnsi="Book Antiqua"/>
          <w:sz w:val="24"/>
          <w:szCs w:val="24"/>
        </w:rPr>
        <w:t xml:space="preserve"> 2011; </w:t>
      </w:r>
      <w:r w:rsidRPr="000A6219">
        <w:rPr>
          <w:rFonts w:ascii="Book Antiqua" w:hAnsi="Book Antiqua"/>
          <w:b/>
          <w:sz w:val="24"/>
          <w:szCs w:val="24"/>
        </w:rPr>
        <w:t>17</w:t>
      </w:r>
      <w:r w:rsidRPr="000A6219">
        <w:rPr>
          <w:rFonts w:ascii="Book Antiqua" w:hAnsi="Book Antiqua"/>
          <w:sz w:val="24"/>
          <w:szCs w:val="24"/>
        </w:rPr>
        <w:t>: 1451-1463 [PMID: 21674703 DOI: 10.1002/ibd.21509]</w:t>
      </w:r>
    </w:p>
    <w:p w14:paraId="522EA419" w14:textId="63E9B86B"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4</w:t>
      </w:r>
      <w:r w:rsidR="007343D4">
        <w:rPr>
          <w:rFonts w:ascii="Book Antiqua" w:hAnsi="Book Antiqua"/>
          <w:sz w:val="24"/>
          <w:szCs w:val="24"/>
        </w:rPr>
        <w:t>8</w:t>
      </w:r>
      <w:r w:rsidRPr="000A6219">
        <w:rPr>
          <w:rFonts w:ascii="Book Antiqua" w:hAnsi="Book Antiqua"/>
          <w:sz w:val="24"/>
          <w:szCs w:val="24"/>
        </w:rPr>
        <w:t xml:space="preserve"> </w:t>
      </w:r>
      <w:r w:rsidRPr="000A6219">
        <w:rPr>
          <w:rFonts w:ascii="Book Antiqua" w:hAnsi="Book Antiqua"/>
          <w:b/>
          <w:sz w:val="24"/>
          <w:szCs w:val="24"/>
        </w:rPr>
        <w:t>Delmas J</w:t>
      </w:r>
      <w:r w:rsidRPr="000A6219">
        <w:rPr>
          <w:rFonts w:ascii="Book Antiqua" w:hAnsi="Book Antiqua"/>
          <w:sz w:val="24"/>
          <w:szCs w:val="24"/>
        </w:rPr>
        <w:t xml:space="preserve">, Gibold L, Faïs T, Batista S, Leremboure M, Sinel C, Vazeille E, Cattoir V, Buisson A, Barnich N, Dalmasso G, Bonnet R. Metabolic adaptation of adherent-invasive Escherichia coli to exposure to bile salts. </w:t>
      </w:r>
      <w:r w:rsidRPr="000A6219">
        <w:rPr>
          <w:rFonts w:ascii="Book Antiqua" w:hAnsi="Book Antiqua"/>
          <w:i/>
          <w:sz w:val="24"/>
          <w:szCs w:val="24"/>
        </w:rPr>
        <w:t>Sci Rep</w:t>
      </w:r>
      <w:r w:rsidRPr="000A6219">
        <w:rPr>
          <w:rFonts w:ascii="Book Antiqua" w:hAnsi="Book Antiqua"/>
          <w:sz w:val="24"/>
          <w:szCs w:val="24"/>
        </w:rPr>
        <w:t xml:space="preserve"> 2019; </w:t>
      </w:r>
      <w:r w:rsidRPr="000A6219">
        <w:rPr>
          <w:rFonts w:ascii="Book Antiqua" w:hAnsi="Book Antiqua"/>
          <w:b/>
          <w:sz w:val="24"/>
          <w:szCs w:val="24"/>
        </w:rPr>
        <w:t>9</w:t>
      </w:r>
      <w:r w:rsidRPr="000A6219">
        <w:rPr>
          <w:rFonts w:ascii="Book Antiqua" w:hAnsi="Book Antiqua"/>
          <w:sz w:val="24"/>
          <w:szCs w:val="24"/>
        </w:rPr>
        <w:t>: 2175 [PMID: 30778122 DOI: 10.1038/s41598-019-38628-1]</w:t>
      </w:r>
    </w:p>
    <w:p w14:paraId="625A2175" w14:textId="09F27719"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4</w:t>
      </w:r>
      <w:r w:rsidR="007343D4">
        <w:rPr>
          <w:rFonts w:ascii="Book Antiqua" w:hAnsi="Book Antiqua"/>
          <w:sz w:val="24"/>
          <w:szCs w:val="24"/>
        </w:rPr>
        <w:t>9</w:t>
      </w:r>
      <w:r w:rsidRPr="000A6219">
        <w:rPr>
          <w:rFonts w:ascii="Book Antiqua" w:hAnsi="Book Antiqua"/>
          <w:sz w:val="24"/>
          <w:szCs w:val="24"/>
        </w:rPr>
        <w:t xml:space="preserve"> </w:t>
      </w:r>
      <w:r w:rsidRPr="000A6219">
        <w:rPr>
          <w:rFonts w:ascii="Book Antiqua" w:hAnsi="Book Antiqua"/>
          <w:b/>
          <w:sz w:val="24"/>
          <w:szCs w:val="24"/>
        </w:rPr>
        <w:t>Martin HM</w:t>
      </w:r>
      <w:r w:rsidRPr="000A6219">
        <w:rPr>
          <w:rFonts w:ascii="Book Antiqua" w:hAnsi="Book Antiqua"/>
          <w:sz w:val="24"/>
          <w:szCs w:val="24"/>
        </w:rPr>
        <w:t xml:space="preserve">, Campbell BJ, Hart CA, Mpofu C, Nayar M, Singh R, Englyst H, Williams HF, Rhodes JM. Enhanced Escherichia coli adherence and invasion in Crohn's disease and colon cancer. </w:t>
      </w:r>
      <w:r w:rsidRPr="000A6219">
        <w:rPr>
          <w:rFonts w:ascii="Book Antiqua" w:hAnsi="Book Antiqua"/>
          <w:i/>
          <w:sz w:val="24"/>
          <w:szCs w:val="24"/>
        </w:rPr>
        <w:t>Gastroenterology</w:t>
      </w:r>
      <w:r w:rsidRPr="000A6219">
        <w:rPr>
          <w:rFonts w:ascii="Book Antiqua" w:hAnsi="Book Antiqua"/>
          <w:sz w:val="24"/>
          <w:szCs w:val="24"/>
        </w:rPr>
        <w:t xml:space="preserve"> 2004; </w:t>
      </w:r>
      <w:r w:rsidRPr="000A6219">
        <w:rPr>
          <w:rFonts w:ascii="Book Antiqua" w:hAnsi="Book Antiqua"/>
          <w:b/>
          <w:sz w:val="24"/>
          <w:szCs w:val="24"/>
        </w:rPr>
        <w:t>127</w:t>
      </w:r>
      <w:r w:rsidRPr="000A6219">
        <w:rPr>
          <w:rFonts w:ascii="Book Antiqua" w:hAnsi="Book Antiqua"/>
          <w:sz w:val="24"/>
          <w:szCs w:val="24"/>
        </w:rPr>
        <w:t>: 80-93 [PMID: 15236175 DOI: 10.1053/j.gastro.2004.03.054]</w:t>
      </w:r>
    </w:p>
    <w:p w14:paraId="36C25F32" w14:textId="7CA9BFED"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50</w:t>
      </w:r>
      <w:r w:rsidR="0051226F" w:rsidRPr="000A6219">
        <w:rPr>
          <w:rFonts w:ascii="Book Antiqua" w:hAnsi="Book Antiqua"/>
          <w:sz w:val="24"/>
          <w:szCs w:val="24"/>
        </w:rPr>
        <w:t xml:space="preserve"> </w:t>
      </w:r>
      <w:r w:rsidR="0051226F" w:rsidRPr="000A6219">
        <w:rPr>
          <w:rFonts w:ascii="Book Antiqua" w:hAnsi="Book Antiqua"/>
          <w:b/>
          <w:sz w:val="24"/>
          <w:szCs w:val="24"/>
        </w:rPr>
        <w:t>Masseret E</w:t>
      </w:r>
      <w:r w:rsidR="0051226F" w:rsidRPr="000A6219">
        <w:rPr>
          <w:rFonts w:ascii="Book Antiqua" w:hAnsi="Book Antiqua"/>
          <w:sz w:val="24"/>
          <w:szCs w:val="24"/>
        </w:rPr>
        <w:t xml:space="preserve">, Boudeau J, Colombel JF, Neut C, Desreumaux P, Joly B, Cortot A, Darfeuille-Michaud A. Genetically related Escherichia coli strains associated with Crohn's disease. </w:t>
      </w:r>
      <w:r w:rsidR="0051226F" w:rsidRPr="000A6219">
        <w:rPr>
          <w:rFonts w:ascii="Book Antiqua" w:hAnsi="Book Antiqua"/>
          <w:i/>
          <w:sz w:val="24"/>
          <w:szCs w:val="24"/>
        </w:rPr>
        <w:t>Gut</w:t>
      </w:r>
      <w:r w:rsidR="0051226F" w:rsidRPr="000A6219">
        <w:rPr>
          <w:rFonts w:ascii="Book Antiqua" w:hAnsi="Book Antiqua"/>
          <w:sz w:val="24"/>
          <w:szCs w:val="24"/>
        </w:rPr>
        <w:t xml:space="preserve"> 2001; </w:t>
      </w:r>
      <w:r w:rsidR="0051226F" w:rsidRPr="000A6219">
        <w:rPr>
          <w:rFonts w:ascii="Book Antiqua" w:hAnsi="Book Antiqua"/>
          <w:b/>
          <w:sz w:val="24"/>
          <w:szCs w:val="24"/>
        </w:rPr>
        <w:t>48</w:t>
      </w:r>
      <w:r w:rsidR="0051226F" w:rsidRPr="000A6219">
        <w:rPr>
          <w:rFonts w:ascii="Book Antiqua" w:hAnsi="Book Antiqua"/>
          <w:sz w:val="24"/>
          <w:szCs w:val="24"/>
        </w:rPr>
        <w:t>: 320-325 [PMID: 11171820 DOI: 10.1136/gut.48.3.320]</w:t>
      </w:r>
    </w:p>
    <w:p w14:paraId="59CAC4E6" w14:textId="5DCBBBF4"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51</w:t>
      </w:r>
      <w:r w:rsidR="0051226F" w:rsidRPr="000A6219">
        <w:rPr>
          <w:rFonts w:ascii="Book Antiqua" w:hAnsi="Book Antiqua"/>
          <w:sz w:val="24"/>
          <w:szCs w:val="24"/>
        </w:rPr>
        <w:t xml:space="preserve"> </w:t>
      </w:r>
      <w:r w:rsidR="0051226F" w:rsidRPr="000A6219">
        <w:rPr>
          <w:rFonts w:ascii="Book Antiqua" w:hAnsi="Book Antiqua"/>
          <w:b/>
          <w:sz w:val="24"/>
          <w:szCs w:val="24"/>
        </w:rPr>
        <w:t>Elhenawy W</w:t>
      </w:r>
      <w:r w:rsidR="0051226F" w:rsidRPr="000A6219">
        <w:rPr>
          <w:rFonts w:ascii="Book Antiqua" w:hAnsi="Book Antiqua"/>
          <w:sz w:val="24"/>
          <w:szCs w:val="24"/>
        </w:rPr>
        <w:t xml:space="preserve">, Tsai CN, Coombes BK. Host-Specific Adaptive Diversification of Crohn's Disease-Associated Adherent-Invasive Escherichia coli. </w:t>
      </w:r>
      <w:r w:rsidR="0051226F" w:rsidRPr="000A6219">
        <w:rPr>
          <w:rFonts w:ascii="Book Antiqua" w:hAnsi="Book Antiqua"/>
          <w:i/>
          <w:sz w:val="24"/>
          <w:szCs w:val="24"/>
        </w:rPr>
        <w:t>Cell Host Microbe</w:t>
      </w:r>
      <w:r w:rsidR="0051226F" w:rsidRPr="000A6219">
        <w:rPr>
          <w:rFonts w:ascii="Book Antiqua" w:hAnsi="Book Antiqua"/>
          <w:sz w:val="24"/>
          <w:szCs w:val="24"/>
        </w:rPr>
        <w:t xml:space="preserve"> 2019; </w:t>
      </w:r>
      <w:r w:rsidR="0051226F" w:rsidRPr="000A6219">
        <w:rPr>
          <w:rFonts w:ascii="Book Antiqua" w:hAnsi="Book Antiqua"/>
          <w:b/>
          <w:sz w:val="24"/>
          <w:szCs w:val="24"/>
        </w:rPr>
        <w:t>25</w:t>
      </w:r>
      <w:r w:rsidR="0051226F" w:rsidRPr="000A6219">
        <w:rPr>
          <w:rFonts w:ascii="Book Antiqua" w:hAnsi="Book Antiqua"/>
          <w:sz w:val="24"/>
          <w:szCs w:val="24"/>
        </w:rPr>
        <w:t>: 301-312.e5 [PMID: 30683582 DOI: 10.1016/j.chom.2018.12.010]</w:t>
      </w:r>
    </w:p>
    <w:p w14:paraId="52F08D2F" w14:textId="1056062C"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lastRenderedPageBreak/>
        <w:t>52</w:t>
      </w:r>
      <w:r w:rsidR="0051226F" w:rsidRPr="000A6219">
        <w:rPr>
          <w:rFonts w:ascii="Book Antiqua" w:hAnsi="Book Antiqua"/>
          <w:sz w:val="24"/>
          <w:szCs w:val="24"/>
        </w:rPr>
        <w:t xml:space="preserve"> </w:t>
      </w:r>
      <w:r w:rsidR="0051226F" w:rsidRPr="000A6219">
        <w:rPr>
          <w:rFonts w:ascii="Book Antiqua" w:hAnsi="Book Antiqua"/>
          <w:b/>
          <w:sz w:val="24"/>
          <w:szCs w:val="24"/>
        </w:rPr>
        <w:t>Casadesús J</w:t>
      </w:r>
      <w:r w:rsidR="0051226F" w:rsidRPr="000A6219">
        <w:rPr>
          <w:rFonts w:ascii="Book Antiqua" w:hAnsi="Book Antiqua"/>
          <w:sz w:val="24"/>
          <w:szCs w:val="24"/>
        </w:rPr>
        <w:t xml:space="preserve">, Low D. Epigenetic gene regulation in the bacterial world. </w:t>
      </w:r>
      <w:r w:rsidR="0051226F" w:rsidRPr="000A6219">
        <w:rPr>
          <w:rFonts w:ascii="Book Antiqua" w:hAnsi="Book Antiqua"/>
          <w:i/>
          <w:sz w:val="24"/>
          <w:szCs w:val="24"/>
        </w:rPr>
        <w:t>Microbiol Mol Biol Rev</w:t>
      </w:r>
      <w:r w:rsidR="0051226F" w:rsidRPr="000A6219">
        <w:rPr>
          <w:rFonts w:ascii="Book Antiqua" w:hAnsi="Book Antiqua"/>
          <w:sz w:val="24"/>
          <w:szCs w:val="24"/>
        </w:rPr>
        <w:t xml:space="preserve"> 2006; </w:t>
      </w:r>
      <w:r w:rsidR="0051226F" w:rsidRPr="000A6219">
        <w:rPr>
          <w:rFonts w:ascii="Book Antiqua" w:hAnsi="Book Antiqua"/>
          <w:b/>
          <w:sz w:val="24"/>
          <w:szCs w:val="24"/>
        </w:rPr>
        <w:t>70</w:t>
      </w:r>
      <w:r w:rsidR="0051226F" w:rsidRPr="000A6219">
        <w:rPr>
          <w:rFonts w:ascii="Book Antiqua" w:hAnsi="Book Antiqua"/>
          <w:sz w:val="24"/>
          <w:szCs w:val="24"/>
        </w:rPr>
        <w:t>: 830-856 [PMID: 16959970 DOI: 10.1128/MMBR.00016-06]</w:t>
      </w:r>
    </w:p>
    <w:p w14:paraId="716537E9" w14:textId="1E2D1630"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5</w:t>
      </w:r>
      <w:r w:rsidR="007343D4">
        <w:rPr>
          <w:rFonts w:ascii="Book Antiqua" w:hAnsi="Book Antiqua"/>
          <w:sz w:val="24"/>
          <w:szCs w:val="24"/>
        </w:rPr>
        <w:t>3</w:t>
      </w:r>
      <w:r w:rsidRPr="000A6219">
        <w:rPr>
          <w:rFonts w:ascii="Book Antiqua" w:hAnsi="Book Antiqua"/>
          <w:sz w:val="24"/>
          <w:szCs w:val="24"/>
        </w:rPr>
        <w:t xml:space="preserve"> </w:t>
      </w:r>
      <w:r w:rsidRPr="000A6219">
        <w:rPr>
          <w:rFonts w:ascii="Book Antiqua" w:hAnsi="Book Antiqua"/>
          <w:b/>
          <w:sz w:val="24"/>
          <w:szCs w:val="24"/>
        </w:rPr>
        <w:t>Blyn LB</w:t>
      </w:r>
      <w:r w:rsidRPr="000A6219">
        <w:rPr>
          <w:rFonts w:ascii="Book Antiqua" w:hAnsi="Book Antiqua"/>
          <w:sz w:val="24"/>
          <w:szCs w:val="24"/>
        </w:rPr>
        <w:t xml:space="preserve">, Braaten BA, Low DA. Regulation of pap pilin phase variation by a mechanism involving differential dam methylation states. </w:t>
      </w:r>
      <w:r w:rsidRPr="000A6219">
        <w:rPr>
          <w:rFonts w:ascii="Book Antiqua" w:hAnsi="Book Antiqua"/>
          <w:i/>
          <w:sz w:val="24"/>
          <w:szCs w:val="24"/>
        </w:rPr>
        <w:t>EMBO J</w:t>
      </w:r>
      <w:r w:rsidRPr="000A6219">
        <w:rPr>
          <w:rFonts w:ascii="Book Antiqua" w:hAnsi="Book Antiqua"/>
          <w:sz w:val="24"/>
          <w:szCs w:val="24"/>
        </w:rPr>
        <w:t xml:space="preserve"> 1990; </w:t>
      </w:r>
      <w:r w:rsidRPr="000A6219">
        <w:rPr>
          <w:rFonts w:ascii="Book Antiqua" w:hAnsi="Book Antiqua"/>
          <w:b/>
          <w:sz w:val="24"/>
          <w:szCs w:val="24"/>
        </w:rPr>
        <w:t>9</w:t>
      </w:r>
      <w:r w:rsidRPr="000A6219">
        <w:rPr>
          <w:rFonts w:ascii="Book Antiqua" w:hAnsi="Book Antiqua"/>
          <w:sz w:val="24"/>
          <w:szCs w:val="24"/>
        </w:rPr>
        <w:t>: 4045-4054 [PMID: 2147413]</w:t>
      </w:r>
    </w:p>
    <w:p w14:paraId="5FB86452" w14:textId="6ACC89FA" w:rsidR="007343D4"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5</w:t>
      </w:r>
      <w:r w:rsidR="007343D4">
        <w:rPr>
          <w:rFonts w:ascii="Book Antiqua" w:hAnsi="Book Antiqua"/>
          <w:sz w:val="24"/>
          <w:szCs w:val="24"/>
        </w:rPr>
        <w:t>4</w:t>
      </w:r>
      <w:r w:rsidRPr="000A6219">
        <w:rPr>
          <w:rFonts w:ascii="Book Antiqua" w:hAnsi="Book Antiqua"/>
          <w:sz w:val="24"/>
          <w:szCs w:val="24"/>
        </w:rPr>
        <w:t xml:space="preserve"> </w:t>
      </w:r>
      <w:r w:rsidRPr="000A6219">
        <w:rPr>
          <w:rFonts w:ascii="Book Antiqua" w:hAnsi="Book Antiqua"/>
          <w:b/>
          <w:sz w:val="24"/>
          <w:szCs w:val="24"/>
        </w:rPr>
        <w:t>Proença JT</w:t>
      </w:r>
      <w:r w:rsidRPr="000A6219">
        <w:rPr>
          <w:rFonts w:ascii="Book Antiqua" w:hAnsi="Book Antiqua"/>
          <w:sz w:val="24"/>
          <w:szCs w:val="24"/>
        </w:rPr>
        <w:t xml:space="preserve">, Barral DC, Gordo I. Commensal-to-pathogen transition: One-single transposon insertion results in two pathoadaptive traits in Escherichia coli -macrophage interaction. </w:t>
      </w:r>
      <w:r w:rsidRPr="000A6219">
        <w:rPr>
          <w:rFonts w:ascii="Book Antiqua" w:hAnsi="Book Antiqua"/>
          <w:i/>
          <w:sz w:val="24"/>
          <w:szCs w:val="24"/>
        </w:rPr>
        <w:t>Sci Rep</w:t>
      </w:r>
      <w:r w:rsidRPr="000A6219">
        <w:rPr>
          <w:rFonts w:ascii="Book Antiqua" w:hAnsi="Book Antiqua"/>
          <w:sz w:val="24"/>
          <w:szCs w:val="24"/>
        </w:rPr>
        <w:t xml:space="preserve"> 2017; </w:t>
      </w:r>
      <w:r w:rsidRPr="000A6219">
        <w:rPr>
          <w:rFonts w:ascii="Book Antiqua" w:hAnsi="Book Antiqua"/>
          <w:b/>
          <w:sz w:val="24"/>
          <w:szCs w:val="24"/>
        </w:rPr>
        <w:t>7</w:t>
      </w:r>
      <w:r w:rsidRPr="000A6219">
        <w:rPr>
          <w:rFonts w:ascii="Book Antiqua" w:hAnsi="Book Antiqua"/>
          <w:sz w:val="24"/>
          <w:szCs w:val="24"/>
        </w:rPr>
        <w:t>: 4504 [PMID: 28674418 DOI: 10.1038/s41598-017-04081-1]</w:t>
      </w:r>
    </w:p>
    <w:p w14:paraId="18577C05" w14:textId="35D40413" w:rsidR="007343D4" w:rsidRPr="000A6219" w:rsidRDefault="007343D4" w:rsidP="007343D4">
      <w:pPr>
        <w:snapToGrid w:val="0"/>
        <w:spacing w:after="0" w:line="360" w:lineRule="auto"/>
        <w:jc w:val="both"/>
        <w:rPr>
          <w:rFonts w:ascii="Book Antiqua" w:hAnsi="Book Antiqua"/>
          <w:sz w:val="24"/>
          <w:szCs w:val="24"/>
        </w:rPr>
      </w:pPr>
      <w:r>
        <w:rPr>
          <w:rFonts w:ascii="Book Antiqua" w:hAnsi="Book Antiqua"/>
          <w:sz w:val="24"/>
          <w:szCs w:val="24"/>
        </w:rPr>
        <w:t>55</w:t>
      </w:r>
      <w:r w:rsidRPr="000A6219">
        <w:rPr>
          <w:rFonts w:ascii="Book Antiqua" w:hAnsi="Book Antiqua"/>
          <w:sz w:val="24"/>
          <w:szCs w:val="24"/>
        </w:rPr>
        <w:t xml:space="preserve"> </w:t>
      </w:r>
      <w:r w:rsidRPr="000A6219">
        <w:rPr>
          <w:rFonts w:ascii="Book Antiqua" w:hAnsi="Book Antiqua"/>
          <w:b/>
          <w:sz w:val="24"/>
          <w:szCs w:val="24"/>
        </w:rPr>
        <w:t>Simpson KW</w:t>
      </w:r>
      <w:r w:rsidRPr="000A6219">
        <w:rPr>
          <w:rFonts w:ascii="Book Antiqua" w:hAnsi="Book Antiqua"/>
          <w:sz w:val="24"/>
          <w:szCs w:val="24"/>
        </w:rPr>
        <w:t xml:space="preserve">, Dogan B, Rishniw M, Goldstein RE, Klaessig S, McDonough PL, German AJ, Yates RM, Russell DG, Johnson SE, Berg DE, Harel J, Bruant G, McDonough SP, Schukken YH. Adherent and invasive Escherichia coli is associated with granulomatous colitis in boxer dogs. </w:t>
      </w:r>
      <w:r w:rsidRPr="000A6219">
        <w:rPr>
          <w:rFonts w:ascii="Book Antiqua" w:hAnsi="Book Antiqua"/>
          <w:i/>
          <w:sz w:val="24"/>
          <w:szCs w:val="24"/>
        </w:rPr>
        <w:t>Infect Immun</w:t>
      </w:r>
      <w:r w:rsidRPr="000A6219">
        <w:rPr>
          <w:rFonts w:ascii="Book Antiqua" w:hAnsi="Book Antiqua"/>
          <w:sz w:val="24"/>
          <w:szCs w:val="24"/>
        </w:rPr>
        <w:t xml:space="preserve"> 2006; </w:t>
      </w:r>
      <w:r w:rsidRPr="000A6219">
        <w:rPr>
          <w:rFonts w:ascii="Book Antiqua" w:hAnsi="Book Antiqua"/>
          <w:b/>
          <w:sz w:val="24"/>
          <w:szCs w:val="24"/>
        </w:rPr>
        <w:t>74</w:t>
      </w:r>
      <w:r w:rsidRPr="000A6219">
        <w:rPr>
          <w:rFonts w:ascii="Book Antiqua" w:hAnsi="Book Antiqua"/>
          <w:sz w:val="24"/>
          <w:szCs w:val="24"/>
        </w:rPr>
        <w:t>: 4778-4792 [PMID: 16861666 DOI: 10.1128/IAI.00067-06]</w:t>
      </w:r>
    </w:p>
    <w:p w14:paraId="6F3D85BC" w14:textId="32E6051F" w:rsidR="007343D4" w:rsidRPr="000A6219" w:rsidRDefault="007343D4" w:rsidP="007343D4">
      <w:pPr>
        <w:snapToGrid w:val="0"/>
        <w:spacing w:after="0" w:line="360" w:lineRule="auto"/>
        <w:jc w:val="both"/>
        <w:rPr>
          <w:rFonts w:ascii="Book Antiqua" w:hAnsi="Book Antiqua"/>
          <w:sz w:val="24"/>
          <w:szCs w:val="24"/>
        </w:rPr>
      </w:pPr>
      <w:r>
        <w:rPr>
          <w:rFonts w:ascii="Book Antiqua" w:hAnsi="Book Antiqua"/>
          <w:sz w:val="24"/>
          <w:szCs w:val="24"/>
        </w:rPr>
        <w:t>56</w:t>
      </w:r>
      <w:r w:rsidRPr="000A6219">
        <w:rPr>
          <w:rFonts w:ascii="Book Antiqua" w:hAnsi="Book Antiqua"/>
          <w:sz w:val="24"/>
          <w:szCs w:val="24"/>
        </w:rPr>
        <w:t xml:space="preserve"> </w:t>
      </w:r>
      <w:r w:rsidRPr="000A6219">
        <w:rPr>
          <w:rFonts w:ascii="Book Antiqua" w:hAnsi="Book Antiqua"/>
          <w:b/>
          <w:sz w:val="24"/>
          <w:szCs w:val="24"/>
        </w:rPr>
        <w:t>Bertuccini L</w:t>
      </w:r>
      <w:r w:rsidRPr="000A6219">
        <w:rPr>
          <w:rFonts w:ascii="Book Antiqua" w:hAnsi="Book Antiqua"/>
          <w:sz w:val="24"/>
          <w:szCs w:val="24"/>
        </w:rPr>
        <w:t xml:space="preserve">, Costanzo M, Iosi F, Tinari A, Terruzzi F, Stronati L, Aloi M, Cucchiara S, Superti F. Lactoferrin prevents invasion and inflammatory response following E. coli strain LF82 infection in experimental model of Crohn's disease. </w:t>
      </w:r>
      <w:r w:rsidRPr="000A6219">
        <w:rPr>
          <w:rFonts w:ascii="Book Antiqua" w:hAnsi="Book Antiqua"/>
          <w:i/>
          <w:sz w:val="24"/>
          <w:szCs w:val="24"/>
        </w:rPr>
        <w:t>Dig Liver Dis</w:t>
      </w:r>
      <w:r w:rsidRPr="000A6219">
        <w:rPr>
          <w:rFonts w:ascii="Book Antiqua" w:hAnsi="Book Antiqua"/>
          <w:sz w:val="24"/>
          <w:szCs w:val="24"/>
        </w:rPr>
        <w:t xml:space="preserve"> 2014; </w:t>
      </w:r>
      <w:r w:rsidRPr="000A6219">
        <w:rPr>
          <w:rFonts w:ascii="Book Antiqua" w:hAnsi="Book Antiqua"/>
          <w:b/>
          <w:sz w:val="24"/>
          <w:szCs w:val="24"/>
        </w:rPr>
        <w:t>46</w:t>
      </w:r>
      <w:r w:rsidRPr="000A6219">
        <w:rPr>
          <w:rFonts w:ascii="Book Antiqua" w:hAnsi="Book Antiqua"/>
          <w:sz w:val="24"/>
          <w:szCs w:val="24"/>
        </w:rPr>
        <w:t>: 496-504 [PMID: 24631031 DOI: 10.1016/j.dld.2014.02.009]</w:t>
      </w:r>
    </w:p>
    <w:p w14:paraId="264066CC" w14:textId="66D5C19E" w:rsidR="007343D4" w:rsidRPr="000A6219" w:rsidRDefault="007343D4" w:rsidP="007343D4">
      <w:pPr>
        <w:snapToGrid w:val="0"/>
        <w:spacing w:after="0" w:line="360" w:lineRule="auto"/>
        <w:jc w:val="both"/>
        <w:rPr>
          <w:rFonts w:ascii="Book Antiqua" w:hAnsi="Book Antiqua"/>
          <w:sz w:val="24"/>
          <w:szCs w:val="24"/>
        </w:rPr>
      </w:pPr>
      <w:r>
        <w:rPr>
          <w:rFonts w:ascii="Book Antiqua" w:hAnsi="Book Antiqua"/>
          <w:sz w:val="24"/>
          <w:szCs w:val="24"/>
        </w:rPr>
        <w:t>57</w:t>
      </w:r>
      <w:r w:rsidRPr="000A6219">
        <w:rPr>
          <w:rFonts w:ascii="Book Antiqua" w:hAnsi="Book Antiqua"/>
          <w:sz w:val="24"/>
          <w:szCs w:val="24"/>
        </w:rPr>
        <w:t xml:space="preserve"> </w:t>
      </w:r>
      <w:r w:rsidRPr="000A6219">
        <w:rPr>
          <w:rFonts w:ascii="Book Antiqua" w:hAnsi="Book Antiqua"/>
          <w:b/>
          <w:sz w:val="24"/>
          <w:szCs w:val="24"/>
        </w:rPr>
        <w:t>De la Fuente M</w:t>
      </w:r>
      <w:r w:rsidRPr="000A6219">
        <w:rPr>
          <w:rFonts w:ascii="Book Antiqua" w:hAnsi="Book Antiqua"/>
          <w:sz w:val="24"/>
          <w:szCs w:val="24"/>
        </w:rPr>
        <w:t xml:space="preserve">, Franchi L, Araya D, Díaz-Jiménez D, Olivares M, Álvarez-Lobos M, Golenbock D, González MJ, López-Kostner F, Quera R, Núñez G, Vidal R, Hermoso MA. Escherichia coli isolates from inflammatory bowel diseases patients survive in macrophages and activate NLRP3 inflammasome. </w:t>
      </w:r>
      <w:r w:rsidRPr="000A6219">
        <w:rPr>
          <w:rFonts w:ascii="Book Antiqua" w:hAnsi="Book Antiqua"/>
          <w:i/>
          <w:sz w:val="24"/>
          <w:szCs w:val="24"/>
        </w:rPr>
        <w:t>Int J Med Microbiol</w:t>
      </w:r>
      <w:r w:rsidRPr="000A6219">
        <w:rPr>
          <w:rFonts w:ascii="Book Antiqua" w:hAnsi="Book Antiqua"/>
          <w:sz w:val="24"/>
          <w:szCs w:val="24"/>
        </w:rPr>
        <w:t xml:space="preserve"> 2014; </w:t>
      </w:r>
      <w:r w:rsidRPr="000A6219">
        <w:rPr>
          <w:rFonts w:ascii="Book Antiqua" w:hAnsi="Book Antiqua"/>
          <w:b/>
          <w:sz w:val="24"/>
          <w:szCs w:val="24"/>
        </w:rPr>
        <w:t>304</w:t>
      </w:r>
      <w:r w:rsidRPr="000A6219">
        <w:rPr>
          <w:rFonts w:ascii="Book Antiqua" w:hAnsi="Book Antiqua"/>
          <w:sz w:val="24"/>
          <w:szCs w:val="24"/>
        </w:rPr>
        <w:t>: 384-392 [PMID: 24581881 DOI: 10.1016/j.ijmm.2014.01.002]</w:t>
      </w:r>
    </w:p>
    <w:p w14:paraId="0FB4705C" w14:textId="723FABC2" w:rsidR="007343D4" w:rsidRPr="000A6219" w:rsidRDefault="007343D4" w:rsidP="007343D4">
      <w:pPr>
        <w:snapToGrid w:val="0"/>
        <w:spacing w:after="0" w:line="360" w:lineRule="auto"/>
        <w:jc w:val="both"/>
        <w:rPr>
          <w:rFonts w:ascii="Book Antiqua" w:hAnsi="Book Antiqua"/>
          <w:sz w:val="24"/>
          <w:szCs w:val="24"/>
        </w:rPr>
      </w:pPr>
      <w:r>
        <w:rPr>
          <w:rFonts w:ascii="Book Antiqua" w:hAnsi="Book Antiqua"/>
          <w:sz w:val="24"/>
          <w:szCs w:val="24"/>
        </w:rPr>
        <w:t>58</w:t>
      </w:r>
      <w:r w:rsidRPr="000A6219">
        <w:rPr>
          <w:rFonts w:ascii="Book Antiqua" w:hAnsi="Book Antiqua"/>
          <w:sz w:val="24"/>
          <w:szCs w:val="24"/>
        </w:rPr>
        <w:t xml:space="preserve"> </w:t>
      </w:r>
      <w:r w:rsidRPr="000A6219">
        <w:rPr>
          <w:rFonts w:ascii="Book Antiqua" w:hAnsi="Book Antiqua"/>
          <w:b/>
          <w:sz w:val="24"/>
          <w:szCs w:val="24"/>
        </w:rPr>
        <w:t>Chalopin T</w:t>
      </w:r>
      <w:r w:rsidRPr="000A6219">
        <w:rPr>
          <w:rFonts w:ascii="Book Antiqua" w:hAnsi="Book Antiqua"/>
          <w:sz w:val="24"/>
          <w:szCs w:val="24"/>
        </w:rPr>
        <w:t xml:space="preserve">, Brissonnet Y, Sivignon A, Deniaud D, Cremet L, Barnich N, Bouckaert J, Gouin SG. Inhibition profiles of mono- and polyvalent FimH antagonists against 10 different Escherichia coli strains. </w:t>
      </w:r>
      <w:r w:rsidRPr="000A6219">
        <w:rPr>
          <w:rFonts w:ascii="Book Antiqua" w:hAnsi="Book Antiqua"/>
          <w:i/>
          <w:sz w:val="24"/>
          <w:szCs w:val="24"/>
        </w:rPr>
        <w:t>Org Biomol Chem</w:t>
      </w:r>
      <w:r w:rsidRPr="000A6219">
        <w:rPr>
          <w:rFonts w:ascii="Book Antiqua" w:hAnsi="Book Antiqua"/>
          <w:sz w:val="24"/>
          <w:szCs w:val="24"/>
        </w:rPr>
        <w:t xml:space="preserve"> 2015; </w:t>
      </w:r>
      <w:r w:rsidRPr="000A6219">
        <w:rPr>
          <w:rFonts w:ascii="Book Antiqua" w:hAnsi="Book Antiqua"/>
          <w:b/>
          <w:sz w:val="24"/>
          <w:szCs w:val="24"/>
        </w:rPr>
        <w:t>13</w:t>
      </w:r>
      <w:r w:rsidRPr="000A6219">
        <w:rPr>
          <w:rFonts w:ascii="Book Antiqua" w:hAnsi="Book Antiqua"/>
          <w:sz w:val="24"/>
          <w:szCs w:val="24"/>
        </w:rPr>
        <w:t>: 11369-11375 [PMID: 26440382 DOI: 10.1039/c5ob01581b]</w:t>
      </w:r>
    </w:p>
    <w:p w14:paraId="18474181" w14:textId="03CE418A" w:rsidR="007343D4" w:rsidRPr="000A6219" w:rsidRDefault="007343D4" w:rsidP="007343D4">
      <w:pPr>
        <w:snapToGrid w:val="0"/>
        <w:spacing w:after="0" w:line="360" w:lineRule="auto"/>
        <w:jc w:val="both"/>
        <w:rPr>
          <w:rFonts w:ascii="Book Antiqua" w:hAnsi="Book Antiqua"/>
          <w:sz w:val="24"/>
          <w:szCs w:val="24"/>
        </w:rPr>
      </w:pPr>
      <w:r>
        <w:rPr>
          <w:rFonts w:ascii="Book Antiqua" w:hAnsi="Book Antiqua"/>
          <w:sz w:val="24"/>
          <w:szCs w:val="24"/>
        </w:rPr>
        <w:lastRenderedPageBreak/>
        <w:t>59</w:t>
      </w:r>
      <w:r w:rsidRPr="000A6219">
        <w:rPr>
          <w:rFonts w:ascii="Book Antiqua" w:hAnsi="Book Antiqua"/>
          <w:sz w:val="24"/>
          <w:szCs w:val="24"/>
        </w:rPr>
        <w:t xml:space="preserve"> </w:t>
      </w:r>
      <w:r w:rsidRPr="000A6219">
        <w:rPr>
          <w:rFonts w:ascii="Book Antiqua" w:hAnsi="Book Antiqua"/>
          <w:b/>
          <w:sz w:val="24"/>
          <w:szCs w:val="24"/>
        </w:rPr>
        <w:t>Assa A</w:t>
      </w:r>
      <w:r w:rsidRPr="000A6219">
        <w:rPr>
          <w:rFonts w:ascii="Book Antiqua" w:hAnsi="Book Antiqua"/>
          <w:sz w:val="24"/>
          <w:szCs w:val="24"/>
        </w:rPr>
        <w:t xml:space="preserve">, Vong L, Pinnell LJ, Rautava J, Avitzur N, Johnson-Henry KC, Sherman PM. Vitamin D deficiency predisposes to adherent-invasive Escherichia coli-induced barrier dysfunction and experimental colonic injury. </w:t>
      </w:r>
      <w:r w:rsidRPr="000A6219">
        <w:rPr>
          <w:rFonts w:ascii="Book Antiqua" w:hAnsi="Book Antiqua"/>
          <w:i/>
          <w:sz w:val="24"/>
          <w:szCs w:val="24"/>
        </w:rPr>
        <w:t>Inflamm Bowel Dis</w:t>
      </w:r>
      <w:r w:rsidRPr="000A6219">
        <w:rPr>
          <w:rFonts w:ascii="Book Antiqua" w:hAnsi="Book Antiqua"/>
          <w:sz w:val="24"/>
          <w:szCs w:val="24"/>
        </w:rPr>
        <w:t xml:space="preserve"> 2015; </w:t>
      </w:r>
      <w:r w:rsidRPr="000A6219">
        <w:rPr>
          <w:rFonts w:ascii="Book Antiqua" w:hAnsi="Book Antiqua"/>
          <w:b/>
          <w:sz w:val="24"/>
          <w:szCs w:val="24"/>
        </w:rPr>
        <w:t>21</w:t>
      </w:r>
      <w:r w:rsidRPr="000A6219">
        <w:rPr>
          <w:rFonts w:ascii="Book Antiqua" w:hAnsi="Book Antiqua"/>
          <w:sz w:val="24"/>
          <w:szCs w:val="24"/>
        </w:rPr>
        <w:t>: 297-306 [PMID: 25590952 DOI: 10.1097/MIB.0000000000000282]</w:t>
      </w:r>
    </w:p>
    <w:p w14:paraId="00A8C1AB" w14:textId="3ECF8A0D" w:rsidR="007343D4" w:rsidRPr="000A6219" w:rsidRDefault="007343D4" w:rsidP="007343D4">
      <w:pPr>
        <w:snapToGrid w:val="0"/>
        <w:spacing w:after="0" w:line="360" w:lineRule="auto"/>
        <w:jc w:val="both"/>
        <w:rPr>
          <w:rFonts w:ascii="Book Antiqua" w:hAnsi="Book Antiqua"/>
          <w:sz w:val="24"/>
          <w:szCs w:val="24"/>
        </w:rPr>
      </w:pPr>
      <w:r>
        <w:rPr>
          <w:rFonts w:ascii="Book Antiqua" w:hAnsi="Book Antiqua"/>
          <w:sz w:val="24"/>
          <w:szCs w:val="24"/>
        </w:rPr>
        <w:t>60</w:t>
      </w:r>
      <w:r w:rsidRPr="000A6219">
        <w:rPr>
          <w:rFonts w:ascii="Book Antiqua" w:hAnsi="Book Antiqua"/>
          <w:sz w:val="24"/>
          <w:szCs w:val="24"/>
        </w:rPr>
        <w:t xml:space="preserve"> </w:t>
      </w:r>
      <w:r w:rsidRPr="000A6219">
        <w:rPr>
          <w:rFonts w:ascii="Book Antiqua" w:hAnsi="Book Antiqua"/>
          <w:b/>
          <w:sz w:val="24"/>
          <w:szCs w:val="24"/>
        </w:rPr>
        <w:t>Lapaquette P</w:t>
      </w:r>
      <w:r w:rsidRPr="000A6219">
        <w:rPr>
          <w:rFonts w:ascii="Book Antiqua" w:hAnsi="Book Antiqua"/>
          <w:sz w:val="24"/>
          <w:szCs w:val="24"/>
        </w:rPr>
        <w:t xml:space="preserve">, Darfeuille-Michaud A. Abnormalities in the handling of intracellular bacteria in Crohn's disease. </w:t>
      </w:r>
      <w:r w:rsidRPr="000A6219">
        <w:rPr>
          <w:rFonts w:ascii="Book Antiqua" w:hAnsi="Book Antiqua"/>
          <w:i/>
          <w:sz w:val="24"/>
          <w:szCs w:val="24"/>
        </w:rPr>
        <w:t>J Clin Gastroenterol</w:t>
      </w:r>
      <w:r w:rsidRPr="000A6219">
        <w:rPr>
          <w:rFonts w:ascii="Book Antiqua" w:hAnsi="Book Antiqua"/>
          <w:sz w:val="24"/>
          <w:szCs w:val="24"/>
        </w:rPr>
        <w:t xml:space="preserve"> 2010; </w:t>
      </w:r>
      <w:r w:rsidRPr="000A6219">
        <w:rPr>
          <w:rFonts w:ascii="Book Antiqua" w:hAnsi="Book Antiqua"/>
          <w:b/>
          <w:sz w:val="24"/>
          <w:szCs w:val="24"/>
        </w:rPr>
        <w:t xml:space="preserve">44 </w:t>
      </w:r>
      <w:r w:rsidRPr="005976AA">
        <w:rPr>
          <w:rFonts w:ascii="Book Antiqua" w:hAnsi="Book Antiqua"/>
          <w:sz w:val="24"/>
          <w:szCs w:val="24"/>
        </w:rPr>
        <w:t xml:space="preserve">Suppl 1: </w:t>
      </w:r>
      <w:r w:rsidRPr="000A6219">
        <w:rPr>
          <w:rFonts w:ascii="Book Antiqua" w:hAnsi="Book Antiqua"/>
          <w:sz w:val="24"/>
          <w:szCs w:val="24"/>
        </w:rPr>
        <w:t>S26-S29 [PMID: 20616747 DOI: 10.1097/MCG.0b013e3181dd4fa5]</w:t>
      </w:r>
    </w:p>
    <w:p w14:paraId="3FED941A" w14:textId="7202A6F9" w:rsidR="007343D4"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61</w:t>
      </w:r>
      <w:r w:rsidRPr="000A6219">
        <w:rPr>
          <w:rFonts w:ascii="Book Antiqua" w:hAnsi="Book Antiqua"/>
          <w:sz w:val="24"/>
          <w:szCs w:val="24"/>
        </w:rPr>
        <w:t xml:space="preserve"> </w:t>
      </w:r>
      <w:r w:rsidRPr="000A6219">
        <w:rPr>
          <w:rFonts w:ascii="Book Antiqua" w:hAnsi="Book Antiqua"/>
          <w:b/>
          <w:sz w:val="24"/>
          <w:szCs w:val="24"/>
        </w:rPr>
        <w:t>Chassaing B</w:t>
      </w:r>
      <w:r w:rsidRPr="000A6219">
        <w:rPr>
          <w:rFonts w:ascii="Book Antiqua" w:hAnsi="Book Antiqua"/>
          <w:sz w:val="24"/>
          <w:szCs w:val="24"/>
        </w:rPr>
        <w:t xml:space="preserve">, Etienne-Mesmin L, Bonnet R, Darfeuille-Michaud A. Bile salts induce long polar fimbriae expression favouring Crohn's disease-associated adherent-invasive Escherichia coli interaction with Peyer's patches. </w:t>
      </w:r>
      <w:r w:rsidRPr="000A6219">
        <w:rPr>
          <w:rFonts w:ascii="Book Antiqua" w:hAnsi="Book Antiqua"/>
          <w:i/>
          <w:sz w:val="24"/>
          <w:szCs w:val="24"/>
        </w:rPr>
        <w:t>Environ Microbiol</w:t>
      </w:r>
      <w:r w:rsidRPr="000A6219">
        <w:rPr>
          <w:rFonts w:ascii="Book Antiqua" w:hAnsi="Book Antiqua"/>
          <w:sz w:val="24"/>
          <w:szCs w:val="24"/>
        </w:rPr>
        <w:t xml:space="preserve"> 2013; </w:t>
      </w:r>
      <w:r w:rsidRPr="000A6219">
        <w:rPr>
          <w:rFonts w:ascii="Book Antiqua" w:hAnsi="Book Antiqua"/>
          <w:b/>
          <w:sz w:val="24"/>
          <w:szCs w:val="24"/>
        </w:rPr>
        <w:t>15</w:t>
      </w:r>
      <w:r w:rsidRPr="000A6219">
        <w:rPr>
          <w:rFonts w:ascii="Book Antiqua" w:hAnsi="Book Antiqua"/>
          <w:sz w:val="24"/>
          <w:szCs w:val="24"/>
        </w:rPr>
        <w:t>: 355-371 [PMID: 22789019 DOI: 10.1111/j.1462-2920.2012.02824.x]</w:t>
      </w:r>
    </w:p>
    <w:p w14:paraId="625653BC" w14:textId="3BEDC570"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6</w:t>
      </w:r>
      <w:r w:rsidR="0051226F" w:rsidRPr="000A6219">
        <w:rPr>
          <w:rFonts w:ascii="Book Antiqua" w:hAnsi="Book Antiqua"/>
          <w:sz w:val="24"/>
          <w:szCs w:val="24"/>
        </w:rPr>
        <w:t xml:space="preserve">2 </w:t>
      </w:r>
      <w:r w:rsidR="0051226F" w:rsidRPr="000A6219">
        <w:rPr>
          <w:rFonts w:ascii="Book Antiqua" w:hAnsi="Book Antiqua"/>
          <w:b/>
          <w:sz w:val="24"/>
          <w:szCs w:val="24"/>
        </w:rPr>
        <w:t>Fang X</w:t>
      </w:r>
      <w:r w:rsidR="0051226F" w:rsidRPr="000A6219">
        <w:rPr>
          <w:rFonts w:ascii="Book Antiqua" w:hAnsi="Book Antiqua"/>
          <w:sz w:val="24"/>
          <w:szCs w:val="24"/>
        </w:rPr>
        <w:t xml:space="preserve">, Monk JM, Nurk S, Akseshina M, Zhu Q, Gemmell C, Gianetto-Hill C, Leung N, Szubin R, Sanders J, Beck PL, Li W, Sandborn WJ, Gray-Owen SD, Knight R, Allen-Vercoe E, Palsson BO, Smarr L. Metagenomics-Based, Strain-Level Analysis of </w:t>
      </w:r>
      <w:r w:rsidR="0051226F" w:rsidRPr="000A6219">
        <w:rPr>
          <w:rFonts w:ascii="Book Antiqua" w:hAnsi="Book Antiqua"/>
          <w:i/>
          <w:sz w:val="24"/>
          <w:szCs w:val="24"/>
        </w:rPr>
        <w:t>Escherichia coli</w:t>
      </w:r>
      <w:r w:rsidR="0051226F" w:rsidRPr="000A6219">
        <w:rPr>
          <w:rFonts w:ascii="Book Antiqua" w:hAnsi="Book Antiqua"/>
          <w:sz w:val="24"/>
          <w:szCs w:val="24"/>
        </w:rPr>
        <w:t xml:space="preserve"> From a Time-Series of Microbiome Samples From a Crohn's Disease Patient. </w:t>
      </w:r>
      <w:r w:rsidR="0051226F" w:rsidRPr="000A6219">
        <w:rPr>
          <w:rFonts w:ascii="Book Antiqua" w:hAnsi="Book Antiqua"/>
          <w:i/>
          <w:sz w:val="24"/>
          <w:szCs w:val="24"/>
        </w:rPr>
        <w:t>Front Microbiol</w:t>
      </w:r>
      <w:r w:rsidR="0051226F" w:rsidRPr="000A6219">
        <w:rPr>
          <w:rFonts w:ascii="Book Antiqua" w:hAnsi="Book Antiqua"/>
          <w:sz w:val="24"/>
          <w:szCs w:val="24"/>
        </w:rPr>
        <w:t xml:space="preserve"> 2018; </w:t>
      </w:r>
      <w:r w:rsidR="0051226F" w:rsidRPr="000A6219">
        <w:rPr>
          <w:rFonts w:ascii="Book Antiqua" w:hAnsi="Book Antiqua"/>
          <w:b/>
          <w:sz w:val="24"/>
          <w:szCs w:val="24"/>
        </w:rPr>
        <w:t>9</w:t>
      </w:r>
      <w:r w:rsidR="0051226F" w:rsidRPr="000A6219">
        <w:rPr>
          <w:rFonts w:ascii="Book Antiqua" w:hAnsi="Book Antiqua"/>
          <w:sz w:val="24"/>
          <w:szCs w:val="24"/>
        </w:rPr>
        <w:t>: 2559 [PMID: 30425690 DOI: 10.3389/fmicb.2018.02559]</w:t>
      </w:r>
    </w:p>
    <w:p w14:paraId="24D73767" w14:textId="6D931967"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6</w:t>
      </w:r>
      <w:r w:rsidR="0051226F" w:rsidRPr="000A6219">
        <w:rPr>
          <w:rFonts w:ascii="Book Antiqua" w:hAnsi="Book Antiqua"/>
          <w:sz w:val="24"/>
          <w:szCs w:val="24"/>
        </w:rPr>
        <w:t xml:space="preserve">3 </w:t>
      </w:r>
      <w:r w:rsidR="0051226F" w:rsidRPr="000A6219">
        <w:rPr>
          <w:rFonts w:ascii="Book Antiqua" w:hAnsi="Book Antiqua"/>
          <w:b/>
          <w:sz w:val="24"/>
          <w:szCs w:val="24"/>
        </w:rPr>
        <w:t>Cieza RJ</w:t>
      </w:r>
      <w:r w:rsidR="0051226F" w:rsidRPr="000A6219">
        <w:rPr>
          <w:rFonts w:ascii="Book Antiqua" w:hAnsi="Book Antiqua"/>
          <w:sz w:val="24"/>
          <w:szCs w:val="24"/>
        </w:rPr>
        <w:t xml:space="preserve">, Hu J, Ross BN, Sbrana E, Torres AG. The IbeA invasin of adherent-invasive Escherichia coli mediates interaction with intestinal epithelia and macrophages. </w:t>
      </w:r>
      <w:r w:rsidR="0051226F" w:rsidRPr="000A6219">
        <w:rPr>
          <w:rFonts w:ascii="Book Antiqua" w:hAnsi="Book Antiqua"/>
          <w:i/>
          <w:sz w:val="24"/>
          <w:szCs w:val="24"/>
        </w:rPr>
        <w:t>Infect Immun</w:t>
      </w:r>
      <w:r w:rsidR="0051226F" w:rsidRPr="000A6219">
        <w:rPr>
          <w:rFonts w:ascii="Book Antiqua" w:hAnsi="Book Antiqua"/>
          <w:sz w:val="24"/>
          <w:szCs w:val="24"/>
        </w:rPr>
        <w:t xml:space="preserve"> 2015; </w:t>
      </w:r>
      <w:r w:rsidR="0051226F" w:rsidRPr="000A6219">
        <w:rPr>
          <w:rFonts w:ascii="Book Antiqua" w:hAnsi="Book Antiqua"/>
          <w:b/>
          <w:sz w:val="24"/>
          <w:szCs w:val="24"/>
        </w:rPr>
        <w:t>83</w:t>
      </w:r>
      <w:r w:rsidR="0051226F" w:rsidRPr="000A6219">
        <w:rPr>
          <w:rFonts w:ascii="Book Antiqua" w:hAnsi="Book Antiqua"/>
          <w:sz w:val="24"/>
          <w:szCs w:val="24"/>
        </w:rPr>
        <w:t>: 1904-1918 [PMID: 25712929 DOI: 10.1128/IAI.03003-14]</w:t>
      </w:r>
    </w:p>
    <w:p w14:paraId="6F7537AB" w14:textId="7442EC63"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6</w:t>
      </w:r>
      <w:r w:rsidR="0051226F" w:rsidRPr="000A6219">
        <w:rPr>
          <w:rFonts w:ascii="Book Antiqua" w:hAnsi="Book Antiqua"/>
          <w:sz w:val="24"/>
          <w:szCs w:val="24"/>
        </w:rPr>
        <w:t xml:space="preserve">4 </w:t>
      </w:r>
      <w:r w:rsidR="0051226F" w:rsidRPr="000A6219">
        <w:rPr>
          <w:rFonts w:ascii="Book Antiqua" w:hAnsi="Book Antiqua"/>
          <w:b/>
          <w:sz w:val="24"/>
          <w:szCs w:val="24"/>
        </w:rPr>
        <w:t>Rolhion N</w:t>
      </w:r>
      <w:r w:rsidR="0051226F" w:rsidRPr="000A6219">
        <w:rPr>
          <w:rFonts w:ascii="Book Antiqua" w:hAnsi="Book Antiqua"/>
          <w:sz w:val="24"/>
          <w:szCs w:val="24"/>
        </w:rPr>
        <w:t xml:space="preserve">, Carvalho FA, Darfeuille-Michaud A. OmpC and the sigma(E) regulatory pathway are involved in adhesion and invasion of the Crohn's disease-associated Escherichia coli strain LF82. </w:t>
      </w:r>
      <w:r w:rsidR="0051226F" w:rsidRPr="000A6219">
        <w:rPr>
          <w:rFonts w:ascii="Book Antiqua" w:hAnsi="Book Antiqua"/>
          <w:i/>
          <w:sz w:val="24"/>
          <w:szCs w:val="24"/>
        </w:rPr>
        <w:t>Mol Microbiol</w:t>
      </w:r>
      <w:r w:rsidR="0051226F" w:rsidRPr="000A6219">
        <w:rPr>
          <w:rFonts w:ascii="Book Antiqua" w:hAnsi="Book Antiqua"/>
          <w:sz w:val="24"/>
          <w:szCs w:val="24"/>
        </w:rPr>
        <w:t xml:space="preserve"> 2007; </w:t>
      </w:r>
      <w:r w:rsidR="0051226F" w:rsidRPr="000A6219">
        <w:rPr>
          <w:rFonts w:ascii="Book Antiqua" w:hAnsi="Book Antiqua"/>
          <w:b/>
          <w:sz w:val="24"/>
          <w:szCs w:val="24"/>
        </w:rPr>
        <w:t>63</w:t>
      </w:r>
      <w:r w:rsidR="0051226F" w:rsidRPr="000A6219">
        <w:rPr>
          <w:rFonts w:ascii="Book Antiqua" w:hAnsi="Book Antiqua"/>
          <w:sz w:val="24"/>
          <w:szCs w:val="24"/>
        </w:rPr>
        <w:t>: 1684-1700 [PMID: 17367388 DOI: 10.1111/j.1365-2958.2007.05638.x]</w:t>
      </w:r>
    </w:p>
    <w:p w14:paraId="7EE57F5F" w14:textId="59E3B6FE"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6</w:t>
      </w:r>
      <w:r w:rsidR="0051226F" w:rsidRPr="000A6219">
        <w:rPr>
          <w:rFonts w:ascii="Book Antiqua" w:hAnsi="Book Antiqua"/>
          <w:sz w:val="24"/>
          <w:szCs w:val="24"/>
        </w:rPr>
        <w:t xml:space="preserve">5 </w:t>
      </w:r>
      <w:r w:rsidR="0051226F" w:rsidRPr="000A6219">
        <w:rPr>
          <w:rFonts w:ascii="Book Antiqua" w:hAnsi="Book Antiqua"/>
          <w:b/>
          <w:sz w:val="24"/>
          <w:szCs w:val="24"/>
        </w:rPr>
        <w:t>Chassaing B</w:t>
      </w:r>
      <w:r w:rsidR="0051226F" w:rsidRPr="000A6219">
        <w:rPr>
          <w:rFonts w:ascii="Book Antiqua" w:hAnsi="Book Antiqua"/>
          <w:sz w:val="24"/>
          <w:szCs w:val="24"/>
        </w:rPr>
        <w:t xml:space="preserve">, Darfeuille-Michaud A. The σE pathway is involved in biofilm formation by Crohn's disease-associated adherent-invasive Escherichia coli. </w:t>
      </w:r>
      <w:r w:rsidR="0051226F" w:rsidRPr="000A6219">
        <w:rPr>
          <w:rFonts w:ascii="Book Antiqua" w:hAnsi="Book Antiqua"/>
          <w:i/>
          <w:sz w:val="24"/>
          <w:szCs w:val="24"/>
        </w:rPr>
        <w:t>J Bacteriol</w:t>
      </w:r>
      <w:r w:rsidR="0051226F" w:rsidRPr="000A6219">
        <w:rPr>
          <w:rFonts w:ascii="Book Antiqua" w:hAnsi="Book Antiqua"/>
          <w:sz w:val="24"/>
          <w:szCs w:val="24"/>
        </w:rPr>
        <w:t xml:space="preserve"> 2013; </w:t>
      </w:r>
      <w:r w:rsidR="0051226F" w:rsidRPr="000A6219">
        <w:rPr>
          <w:rFonts w:ascii="Book Antiqua" w:hAnsi="Book Antiqua"/>
          <w:b/>
          <w:sz w:val="24"/>
          <w:szCs w:val="24"/>
        </w:rPr>
        <w:t>195</w:t>
      </w:r>
      <w:r w:rsidR="0051226F" w:rsidRPr="000A6219">
        <w:rPr>
          <w:rFonts w:ascii="Book Antiqua" w:hAnsi="Book Antiqua"/>
          <w:sz w:val="24"/>
          <w:szCs w:val="24"/>
        </w:rPr>
        <w:t>: 76-84 [PMID: 23104802 DOI: 10.1128/JB.01079-12]</w:t>
      </w:r>
    </w:p>
    <w:p w14:paraId="45546136" w14:textId="06B62F3C"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lastRenderedPageBreak/>
        <w:t>6</w:t>
      </w:r>
      <w:r w:rsidR="0051226F" w:rsidRPr="000A6219">
        <w:rPr>
          <w:rFonts w:ascii="Book Antiqua" w:hAnsi="Book Antiqua"/>
          <w:sz w:val="24"/>
          <w:szCs w:val="24"/>
        </w:rPr>
        <w:t xml:space="preserve">6 </w:t>
      </w:r>
      <w:r w:rsidR="0051226F" w:rsidRPr="000A6219">
        <w:rPr>
          <w:rFonts w:ascii="Book Antiqua" w:hAnsi="Book Antiqua"/>
          <w:b/>
          <w:sz w:val="24"/>
          <w:szCs w:val="24"/>
        </w:rPr>
        <w:t>Kittana H,</w:t>
      </w:r>
      <w:r w:rsidR="00FC349F" w:rsidRPr="000A6219">
        <w:rPr>
          <w:rFonts w:ascii="Book Antiqua" w:hAnsi="Book Antiqua"/>
          <w:sz w:val="24"/>
          <w:szCs w:val="24"/>
        </w:rPr>
        <w:t xml:space="preserve"> </w:t>
      </w:r>
      <w:r w:rsidR="0051226F" w:rsidRPr="000A6219">
        <w:rPr>
          <w:rFonts w:ascii="Book Antiqua" w:hAnsi="Book Antiqua"/>
          <w:sz w:val="24"/>
          <w:szCs w:val="24"/>
        </w:rPr>
        <w:t xml:space="preserve">Gomes-Neto JC, Heck K, Sughroue J, Xian Y, Mantz S, Muñoz RRS, Cody LA, Schmaltz RJ, Anderson CL, Moxley RA, Hostetter JM, Fernando SC, Clarke J, Kachman SD, Cressler CE, Benson AK, Walter J, Ramer-Tait AE. Establishing the phenotypic basis of adherent-invasive Escherichia coli (AIEC) pathogenicity in intestinal inflammation. </w:t>
      </w:r>
      <w:r w:rsidR="0051226F" w:rsidRPr="000A6219">
        <w:rPr>
          <w:rFonts w:ascii="Book Antiqua" w:hAnsi="Book Antiqua"/>
          <w:i/>
          <w:sz w:val="24"/>
          <w:szCs w:val="24"/>
        </w:rPr>
        <w:t>bioRxiv</w:t>
      </w:r>
      <w:r w:rsidR="0091072D" w:rsidRPr="000A6219">
        <w:rPr>
          <w:rFonts w:ascii="Book Antiqua" w:hAnsi="Book Antiqua"/>
          <w:sz w:val="24"/>
          <w:szCs w:val="24"/>
        </w:rPr>
        <w:t xml:space="preserve"> 2019 </w:t>
      </w:r>
      <w:r w:rsidR="0051226F" w:rsidRPr="000A6219">
        <w:rPr>
          <w:rFonts w:ascii="Book Antiqua" w:hAnsi="Book Antiqua"/>
          <w:sz w:val="24"/>
          <w:szCs w:val="24"/>
        </w:rPr>
        <w:t>[DOI: 10.1101/772012]</w:t>
      </w:r>
    </w:p>
    <w:p w14:paraId="51223EA4" w14:textId="03F640D6"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6</w:t>
      </w:r>
      <w:r w:rsidR="0051226F" w:rsidRPr="000A6219">
        <w:rPr>
          <w:rFonts w:ascii="Book Antiqua" w:hAnsi="Book Antiqua"/>
          <w:sz w:val="24"/>
          <w:szCs w:val="24"/>
        </w:rPr>
        <w:t xml:space="preserve">7 </w:t>
      </w:r>
      <w:r w:rsidR="0051226F" w:rsidRPr="000A6219">
        <w:rPr>
          <w:rFonts w:ascii="Book Antiqua" w:hAnsi="Book Antiqua"/>
          <w:b/>
          <w:sz w:val="24"/>
          <w:szCs w:val="24"/>
        </w:rPr>
        <w:t>Barnich N</w:t>
      </w:r>
      <w:r w:rsidR="0051226F" w:rsidRPr="000A6219">
        <w:rPr>
          <w:rFonts w:ascii="Book Antiqua" w:hAnsi="Book Antiqua"/>
          <w:sz w:val="24"/>
          <w:szCs w:val="24"/>
        </w:rPr>
        <w:t xml:space="preserve">, Bringer MA, Claret L, Darfeuille-Michaud A. Involvement of lipoprotein NlpI in the virulence of adherent invasive Escherichia coli strain LF82 isolated from a patient with Crohn's disease. </w:t>
      </w:r>
      <w:r w:rsidR="0051226F" w:rsidRPr="000A6219">
        <w:rPr>
          <w:rFonts w:ascii="Book Antiqua" w:hAnsi="Book Antiqua"/>
          <w:i/>
          <w:sz w:val="24"/>
          <w:szCs w:val="24"/>
        </w:rPr>
        <w:t>Infect Immun</w:t>
      </w:r>
      <w:r w:rsidR="0051226F" w:rsidRPr="000A6219">
        <w:rPr>
          <w:rFonts w:ascii="Book Antiqua" w:hAnsi="Book Antiqua"/>
          <w:sz w:val="24"/>
          <w:szCs w:val="24"/>
        </w:rPr>
        <w:t xml:space="preserve"> 2004; </w:t>
      </w:r>
      <w:r w:rsidR="0051226F" w:rsidRPr="000A6219">
        <w:rPr>
          <w:rFonts w:ascii="Book Antiqua" w:hAnsi="Book Antiqua"/>
          <w:b/>
          <w:sz w:val="24"/>
          <w:szCs w:val="24"/>
        </w:rPr>
        <w:t>72</w:t>
      </w:r>
      <w:r w:rsidR="0051226F" w:rsidRPr="000A6219">
        <w:rPr>
          <w:rFonts w:ascii="Book Antiqua" w:hAnsi="Book Antiqua"/>
          <w:sz w:val="24"/>
          <w:szCs w:val="24"/>
        </w:rPr>
        <w:t>: 2484-2493 [PMID: 15102755 DOI: 10.1128/IAI.72.5.2484-2493.2004]</w:t>
      </w:r>
    </w:p>
    <w:p w14:paraId="29C9F43E" w14:textId="466EC6B3"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6</w:t>
      </w:r>
      <w:r w:rsidR="0051226F" w:rsidRPr="000A6219">
        <w:rPr>
          <w:rFonts w:ascii="Book Antiqua" w:hAnsi="Book Antiqua"/>
          <w:sz w:val="24"/>
          <w:szCs w:val="24"/>
        </w:rPr>
        <w:t xml:space="preserve">8 </w:t>
      </w:r>
      <w:r w:rsidR="0051226F" w:rsidRPr="000A6219">
        <w:rPr>
          <w:rFonts w:ascii="Book Antiqua" w:hAnsi="Book Antiqua"/>
          <w:b/>
          <w:sz w:val="24"/>
          <w:szCs w:val="24"/>
        </w:rPr>
        <w:t>Vazeille E</w:t>
      </w:r>
      <w:r w:rsidR="0051226F" w:rsidRPr="000A6219">
        <w:rPr>
          <w:rFonts w:ascii="Book Antiqua" w:hAnsi="Book Antiqua"/>
          <w:sz w:val="24"/>
          <w:szCs w:val="24"/>
        </w:rPr>
        <w:t xml:space="preserve">, Bringer MA, Gardarin A, Chambon C, Becker-Pauly C, Pender SL, Jakob C, Müller S, Lottaz D, Darfeuille-Michaud A. Role of meprins to protect ileal mucosa of Crohn's disease patients from colonization by adherent-invasive E. coli. </w:t>
      </w:r>
      <w:r w:rsidR="0051226F" w:rsidRPr="000A6219">
        <w:rPr>
          <w:rFonts w:ascii="Book Antiqua" w:hAnsi="Book Antiqua"/>
          <w:i/>
          <w:sz w:val="24"/>
          <w:szCs w:val="24"/>
        </w:rPr>
        <w:t>PLoS One</w:t>
      </w:r>
      <w:r w:rsidR="0051226F" w:rsidRPr="000A6219">
        <w:rPr>
          <w:rFonts w:ascii="Book Antiqua" w:hAnsi="Book Antiqua"/>
          <w:sz w:val="24"/>
          <w:szCs w:val="24"/>
        </w:rPr>
        <w:t xml:space="preserve"> 2011; </w:t>
      </w:r>
      <w:r w:rsidR="0051226F" w:rsidRPr="000A6219">
        <w:rPr>
          <w:rFonts w:ascii="Book Antiqua" w:hAnsi="Book Antiqua"/>
          <w:b/>
          <w:sz w:val="24"/>
          <w:szCs w:val="24"/>
        </w:rPr>
        <w:t>6</w:t>
      </w:r>
      <w:r w:rsidR="0051226F" w:rsidRPr="000A6219">
        <w:rPr>
          <w:rFonts w:ascii="Book Antiqua" w:hAnsi="Book Antiqua"/>
          <w:sz w:val="24"/>
          <w:szCs w:val="24"/>
        </w:rPr>
        <w:t>: e21199 [PMID: 21698174 DOI: 10.1371/journal.pone.0021199]</w:t>
      </w:r>
    </w:p>
    <w:p w14:paraId="43ABC01F" w14:textId="2D0A5405"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6</w:t>
      </w:r>
      <w:r w:rsidR="0051226F" w:rsidRPr="000A6219">
        <w:rPr>
          <w:rFonts w:ascii="Book Antiqua" w:hAnsi="Book Antiqua"/>
          <w:sz w:val="24"/>
          <w:szCs w:val="24"/>
        </w:rPr>
        <w:t xml:space="preserve">9 </w:t>
      </w:r>
      <w:r w:rsidR="0051226F" w:rsidRPr="000A6219">
        <w:rPr>
          <w:rFonts w:ascii="Book Antiqua" w:hAnsi="Book Antiqua"/>
          <w:b/>
          <w:sz w:val="24"/>
          <w:szCs w:val="24"/>
        </w:rPr>
        <w:t>Rolhion N</w:t>
      </w:r>
      <w:r w:rsidR="0051226F" w:rsidRPr="000A6219">
        <w:rPr>
          <w:rFonts w:ascii="Book Antiqua" w:hAnsi="Book Antiqua"/>
          <w:sz w:val="24"/>
          <w:szCs w:val="24"/>
        </w:rPr>
        <w:t xml:space="preserve">, Darfeuille-Michaud A. Adherent-invasive Escherichia coli in inflammatory bowel disease. </w:t>
      </w:r>
      <w:r w:rsidR="0051226F" w:rsidRPr="000A6219">
        <w:rPr>
          <w:rFonts w:ascii="Book Antiqua" w:hAnsi="Book Antiqua"/>
          <w:i/>
          <w:sz w:val="24"/>
          <w:szCs w:val="24"/>
        </w:rPr>
        <w:t>Inflamm Bowel Dis</w:t>
      </w:r>
      <w:r w:rsidR="0051226F" w:rsidRPr="000A6219">
        <w:rPr>
          <w:rFonts w:ascii="Book Antiqua" w:hAnsi="Book Antiqua"/>
          <w:sz w:val="24"/>
          <w:szCs w:val="24"/>
        </w:rPr>
        <w:t xml:space="preserve"> 2007; </w:t>
      </w:r>
      <w:r w:rsidR="0051226F" w:rsidRPr="000A6219">
        <w:rPr>
          <w:rFonts w:ascii="Book Antiqua" w:hAnsi="Book Antiqua"/>
          <w:b/>
          <w:sz w:val="24"/>
          <w:szCs w:val="24"/>
        </w:rPr>
        <w:t>13</w:t>
      </w:r>
      <w:r w:rsidR="0051226F" w:rsidRPr="000A6219">
        <w:rPr>
          <w:rFonts w:ascii="Book Antiqua" w:hAnsi="Book Antiqua"/>
          <w:sz w:val="24"/>
          <w:szCs w:val="24"/>
        </w:rPr>
        <w:t>: 1277-1283 [PMID: 17476674 DOI: 10.1002/ibd.20176]</w:t>
      </w:r>
    </w:p>
    <w:p w14:paraId="2EF637AF" w14:textId="17E1E1C6"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7</w:t>
      </w:r>
      <w:r w:rsidR="0051226F" w:rsidRPr="000A6219">
        <w:rPr>
          <w:rFonts w:ascii="Book Antiqua" w:hAnsi="Book Antiqua"/>
          <w:sz w:val="24"/>
          <w:szCs w:val="24"/>
        </w:rPr>
        <w:t xml:space="preserve">0 </w:t>
      </w:r>
      <w:r w:rsidR="0051226F" w:rsidRPr="000A6219">
        <w:rPr>
          <w:rFonts w:ascii="Book Antiqua" w:hAnsi="Book Antiqua"/>
          <w:b/>
          <w:sz w:val="24"/>
          <w:szCs w:val="24"/>
        </w:rPr>
        <w:t>Eaves-Pyles T</w:t>
      </w:r>
      <w:r w:rsidR="0051226F" w:rsidRPr="000A6219">
        <w:rPr>
          <w:rFonts w:ascii="Book Antiqua" w:hAnsi="Book Antiqua"/>
          <w:sz w:val="24"/>
          <w:szCs w:val="24"/>
        </w:rPr>
        <w:t xml:space="preserve">, Allen CA, Taormina J, Swidsinski A, Tutt CB, Jezek GE, Islas-Islas M, Torres AG. Escherichia coli isolated from a Crohn's disease patient adheres, invades, and induces inflammatory responses in polarized intestinal epithelial cells. </w:t>
      </w:r>
      <w:r w:rsidR="0051226F" w:rsidRPr="000A6219">
        <w:rPr>
          <w:rFonts w:ascii="Book Antiqua" w:hAnsi="Book Antiqua"/>
          <w:i/>
          <w:sz w:val="24"/>
          <w:szCs w:val="24"/>
        </w:rPr>
        <w:t>Int J Med Microbiol</w:t>
      </w:r>
      <w:r w:rsidR="0051226F" w:rsidRPr="000A6219">
        <w:rPr>
          <w:rFonts w:ascii="Book Antiqua" w:hAnsi="Book Antiqua"/>
          <w:sz w:val="24"/>
          <w:szCs w:val="24"/>
        </w:rPr>
        <w:t xml:space="preserve"> 2008; </w:t>
      </w:r>
      <w:r w:rsidR="0051226F" w:rsidRPr="000A6219">
        <w:rPr>
          <w:rFonts w:ascii="Book Antiqua" w:hAnsi="Book Antiqua"/>
          <w:b/>
          <w:sz w:val="24"/>
          <w:szCs w:val="24"/>
        </w:rPr>
        <w:t>298</w:t>
      </w:r>
      <w:r w:rsidR="0051226F" w:rsidRPr="000A6219">
        <w:rPr>
          <w:rFonts w:ascii="Book Antiqua" w:hAnsi="Book Antiqua"/>
          <w:sz w:val="24"/>
          <w:szCs w:val="24"/>
        </w:rPr>
        <w:t>: 397-409 [PMID: 17900983 DOI: 10.1016/j.ijmm.2007.05.011]</w:t>
      </w:r>
    </w:p>
    <w:p w14:paraId="36C306EC" w14:textId="27567335"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7</w:t>
      </w:r>
      <w:r w:rsidR="0051226F" w:rsidRPr="000A6219">
        <w:rPr>
          <w:rFonts w:ascii="Book Antiqua" w:hAnsi="Book Antiqua"/>
          <w:sz w:val="24"/>
          <w:szCs w:val="24"/>
        </w:rPr>
        <w:t xml:space="preserve">1 </w:t>
      </w:r>
      <w:r w:rsidR="0051226F" w:rsidRPr="000A6219">
        <w:rPr>
          <w:rFonts w:ascii="Book Antiqua" w:hAnsi="Book Antiqua"/>
          <w:b/>
          <w:sz w:val="24"/>
          <w:szCs w:val="24"/>
        </w:rPr>
        <w:t>Boudeau J</w:t>
      </w:r>
      <w:r w:rsidR="0051226F" w:rsidRPr="000A6219">
        <w:rPr>
          <w:rFonts w:ascii="Book Antiqua" w:hAnsi="Book Antiqua"/>
          <w:sz w:val="24"/>
          <w:szCs w:val="24"/>
        </w:rPr>
        <w:t xml:space="preserve">, Barnich N, Darfeuille-Michaud A. Type 1 pili-mediated adherence of Escherichia coli strain LF82 isolated from Crohn's disease is involved in bacterial invasion of intestinal epithelial cells. </w:t>
      </w:r>
      <w:r w:rsidR="0051226F" w:rsidRPr="000A6219">
        <w:rPr>
          <w:rFonts w:ascii="Book Antiqua" w:hAnsi="Book Antiqua"/>
          <w:i/>
          <w:sz w:val="24"/>
          <w:szCs w:val="24"/>
        </w:rPr>
        <w:t>Mol Microbiol</w:t>
      </w:r>
      <w:r w:rsidR="0051226F" w:rsidRPr="000A6219">
        <w:rPr>
          <w:rFonts w:ascii="Book Antiqua" w:hAnsi="Book Antiqua"/>
          <w:sz w:val="24"/>
          <w:szCs w:val="24"/>
        </w:rPr>
        <w:t xml:space="preserve"> 2001; </w:t>
      </w:r>
      <w:r w:rsidR="0051226F" w:rsidRPr="000A6219">
        <w:rPr>
          <w:rFonts w:ascii="Book Antiqua" w:hAnsi="Book Antiqua"/>
          <w:b/>
          <w:sz w:val="24"/>
          <w:szCs w:val="24"/>
        </w:rPr>
        <w:t>39</w:t>
      </w:r>
      <w:r w:rsidR="0051226F" w:rsidRPr="000A6219">
        <w:rPr>
          <w:rFonts w:ascii="Book Antiqua" w:hAnsi="Book Antiqua"/>
          <w:sz w:val="24"/>
          <w:szCs w:val="24"/>
        </w:rPr>
        <w:t>: 1272-1284 [PMID: 11251843 DOI: 10.1046/j.1365-2958.2001.02315.x]</w:t>
      </w:r>
    </w:p>
    <w:p w14:paraId="72ED571C" w14:textId="0A1FF90D"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7</w:t>
      </w:r>
      <w:r w:rsidR="0051226F" w:rsidRPr="000A6219">
        <w:rPr>
          <w:rFonts w:ascii="Book Antiqua" w:hAnsi="Book Antiqua"/>
          <w:sz w:val="24"/>
          <w:szCs w:val="24"/>
        </w:rPr>
        <w:t xml:space="preserve">2 </w:t>
      </w:r>
      <w:r w:rsidR="0051226F" w:rsidRPr="000A6219">
        <w:rPr>
          <w:rFonts w:ascii="Book Antiqua" w:hAnsi="Book Antiqua"/>
          <w:b/>
          <w:sz w:val="24"/>
          <w:szCs w:val="24"/>
        </w:rPr>
        <w:t>Boudeau J</w:t>
      </w:r>
      <w:r w:rsidR="0051226F" w:rsidRPr="000A6219">
        <w:rPr>
          <w:rFonts w:ascii="Book Antiqua" w:hAnsi="Book Antiqua"/>
          <w:sz w:val="24"/>
          <w:szCs w:val="24"/>
        </w:rPr>
        <w:t xml:space="preserve">, Glasser AL, Masseret E, Joly B, Darfeuille-Michaud A. Invasive ability of an Escherichia coli strain isolated from the ileal mucosa of a patient with Crohn's disease. </w:t>
      </w:r>
      <w:r w:rsidR="0051226F" w:rsidRPr="000A6219">
        <w:rPr>
          <w:rFonts w:ascii="Book Antiqua" w:hAnsi="Book Antiqua"/>
          <w:i/>
          <w:sz w:val="24"/>
          <w:szCs w:val="24"/>
        </w:rPr>
        <w:t>Infect Immun</w:t>
      </w:r>
      <w:r w:rsidR="0051226F" w:rsidRPr="000A6219">
        <w:rPr>
          <w:rFonts w:ascii="Book Antiqua" w:hAnsi="Book Antiqua"/>
          <w:sz w:val="24"/>
          <w:szCs w:val="24"/>
        </w:rPr>
        <w:t xml:space="preserve"> 1999; </w:t>
      </w:r>
      <w:r w:rsidR="0051226F" w:rsidRPr="000A6219">
        <w:rPr>
          <w:rFonts w:ascii="Book Antiqua" w:hAnsi="Book Antiqua"/>
          <w:b/>
          <w:sz w:val="24"/>
          <w:szCs w:val="24"/>
        </w:rPr>
        <w:t>67</w:t>
      </w:r>
      <w:r w:rsidR="0051226F" w:rsidRPr="000A6219">
        <w:rPr>
          <w:rFonts w:ascii="Book Antiqua" w:hAnsi="Book Antiqua"/>
          <w:sz w:val="24"/>
          <w:szCs w:val="24"/>
        </w:rPr>
        <w:t>: 4499-4509 [PMID: 10456892]</w:t>
      </w:r>
    </w:p>
    <w:p w14:paraId="1633C309" w14:textId="70258EC4"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7</w:t>
      </w:r>
      <w:r w:rsidR="0051226F" w:rsidRPr="000A6219">
        <w:rPr>
          <w:rFonts w:ascii="Book Antiqua" w:hAnsi="Book Antiqua"/>
          <w:sz w:val="24"/>
          <w:szCs w:val="24"/>
        </w:rPr>
        <w:t xml:space="preserve">3 </w:t>
      </w:r>
      <w:r w:rsidR="0051226F" w:rsidRPr="000A6219">
        <w:rPr>
          <w:rFonts w:ascii="Book Antiqua" w:hAnsi="Book Antiqua"/>
          <w:b/>
          <w:sz w:val="24"/>
          <w:szCs w:val="24"/>
        </w:rPr>
        <w:t>Lapaquette P</w:t>
      </w:r>
      <w:r w:rsidR="0051226F" w:rsidRPr="000A6219">
        <w:rPr>
          <w:rFonts w:ascii="Book Antiqua" w:hAnsi="Book Antiqua"/>
          <w:sz w:val="24"/>
          <w:szCs w:val="24"/>
        </w:rPr>
        <w:t xml:space="preserve">, Glasser AL, Huett A, Xavier RJ, Darfeuille-Michaud A. Crohn's disease-associated adherent-invasive E. coli are selectively favoured by </w:t>
      </w:r>
      <w:r w:rsidR="0051226F" w:rsidRPr="000A6219">
        <w:rPr>
          <w:rFonts w:ascii="Book Antiqua" w:hAnsi="Book Antiqua"/>
          <w:sz w:val="24"/>
          <w:szCs w:val="24"/>
        </w:rPr>
        <w:lastRenderedPageBreak/>
        <w:t xml:space="preserve">impaired autophagy to replicate intracellularly. </w:t>
      </w:r>
      <w:r w:rsidR="0051226F" w:rsidRPr="000A6219">
        <w:rPr>
          <w:rFonts w:ascii="Book Antiqua" w:hAnsi="Book Antiqua"/>
          <w:i/>
          <w:sz w:val="24"/>
          <w:szCs w:val="24"/>
        </w:rPr>
        <w:t>Cell Microbiol</w:t>
      </w:r>
      <w:r w:rsidR="0051226F" w:rsidRPr="000A6219">
        <w:rPr>
          <w:rFonts w:ascii="Book Antiqua" w:hAnsi="Book Antiqua"/>
          <w:sz w:val="24"/>
          <w:szCs w:val="24"/>
        </w:rPr>
        <w:t xml:space="preserve"> 2010; </w:t>
      </w:r>
      <w:r w:rsidR="0051226F" w:rsidRPr="000A6219">
        <w:rPr>
          <w:rFonts w:ascii="Book Antiqua" w:hAnsi="Book Antiqua"/>
          <w:b/>
          <w:sz w:val="24"/>
          <w:szCs w:val="24"/>
        </w:rPr>
        <w:t>12</w:t>
      </w:r>
      <w:r w:rsidR="0051226F" w:rsidRPr="000A6219">
        <w:rPr>
          <w:rFonts w:ascii="Book Antiqua" w:hAnsi="Book Antiqua"/>
          <w:sz w:val="24"/>
          <w:szCs w:val="24"/>
        </w:rPr>
        <w:t>: 99-113 [PMID: 19747213 DOI: 10.1111/j.1462-5822.2009.01381.x]</w:t>
      </w:r>
    </w:p>
    <w:p w14:paraId="5ACDFF78" w14:textId="7C916CAA"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7</w:t>
      </w:r>
      <w:r w:rsidR="0051226F" w:rsidRPr="000A6219">
        <w:rPr>
          <w:rFonts w:ascii="Book Antiqua" w:hAnsi="Book Antiqua"/>
          <w:sz w:val="24"/>
          <w:szCs w:val="24"/>
        </w:rPr>
        <w:t xml:space="preserve">4 </w:t>
      </w:r>
      <w:r w:rsidR="0051226F" w:rsidRPr="000A6219">
        <w:rPr>
          <w:rFonts w:ascii="Book Antiqua" w:hAnsi="Book Antiqua"/>
          <w:b/>
          <w:sz w:val="24"/>
          <w:szCs w:val="24"/>
        </w:rPr>
        <w:t>Glasser AL</w:t>
      </w:r>
      <w:r w:rsidR="0051226F" w:rsidRPr="000A6219">
        <w:rPr>
          <w:rFonts w:ascii="Book Antiqua" w:hAnsi="Book Antiqua"/>
          <w:sz w:val="24"/>
          <w:szCs w:val="24"/>
        </w:rPr>
        <w:t xml:space="preserve">, Boudeau J, Barnich N, Perruchot MH, Colombel JF, Darfeuille-Michaud A. Adherent invasive Escherichia coli strains from patients with Crohn's disease survive and replicate within macrophages without inducing host cell death. </w:t>
      </w:r>
      <w:r w:rsidR="0051226F" w:rsidRPr="000A6219">
        <w:rPr>
          <w:rFonts w:ascii="Book Antiqua" w:hAnsi="Book Antiqua"/>
          <w:i/>
          <w:sz w:val="24"/>
          <w:szCs w:val="24"/>
        </w:rPr>
        <w:t>Infect Immun</w:t>
      </w:r>
      <w:r w:rsidR="0051226F" w:rsidRPr="000A6219">
        <w:rPr>
          <w:rFonts w:ascii="Book Antiqua" w:hAnsi="Book Antiqua"/>
          <w:sz w:val="24"/>
          <w:szCs w:val="24"/>
        </w:rPr>
        <w:t xml:space="preserve"> 2001; </w:t>
      </w:r>
      <w:r w:rsidR="0051226F" w:rsidRPr="000A6219">
        <w:rPr>
          <w:rFonts w:ascii="Book Antiqua" w:hAnsi="Book Antiqua"/>
          <w:b/>
          <w:sz w:val="24"/>
          <w:szCs w:val="24"/>
        </w:rPr>
        <w:t>69</w:t>
      </w:r>
      <w:r w:rsidR="0051226F" w:rsidRPr="000A6219">
        <w:rPr>
          <w:rFonts w:ascii="Book Antiqua" w:hAnsi="Book Antiqua"/>
          <w:sz w:val="24"/>
          <w:szCs w:val="24"/>
        </w:rPr>
        <w:t>: 5529-5537 [PMID: 11500426 DOI: 10.1128/iai.69.9.5529-5537.2001]</w:t>
      </w:r>
    </w:p>
    <w:p w14:paraId="5FD8F011" w14:textId="77777777" w:rsidR="007343D4" w:rsidRDefault="007343D4" w:rsidP="000A6219">
      <w:pPr>
        <w:snapToGrid w:val="0"/>
        <w:spacing w:after="0" w:line="360" w:lineRule="auto"/>
        <w:jc w:val="both"/>
        <w:rPr>
          <w:rFonts w:ascii="Book Antiqua" w:hAnsi="Book Antiqua"/>
          <w:sz w:val="24"/>
          <w:szCs w:val="24"/>
        </w:rPr>
      </w:pPr>
    </w:p>
    <w:p w14:paraId="44661B51" w14:textId="6C8AF2EC" w:rsidR="0051226F" w:rsidRPr="000A6219" w:rsidRDefault="0051226F" w:rsidP="000A6219">
      <w:pPr>
        <w:snapToGrid w:val="0"/>
        <w:spacing w:after="0" w:line="360" w:lineRule="auto"/>
        <w:jc w:val="both"/>
        <w:rPr>
          <w:rFonts w:ascii="Book Antiqua" w:hAnsi="Book Antiqua"/>
          <w:b/>
          <w:color w:val="000000"/>
          <w:sz w:val="24"/>
          <w:szCs w:val="24"/>
          <w:lang w:val="en-GB"/>
        </w:rPr>
      </w:pPr>
      <w:r w:rsidRPr="000A6219">
        <w:rPr>
          <w:rFonts w:ascii="Book Antiqua" w:hAnsi="Book Antiqua"/>
          <w:b/>
          <w:color w:val="000000"/>
          <w:sz w:val="24"/>
          <w:szCs w:val="24"/>
          <w:lang w:val="en-GB"/>
        </w:rPr>
        <w:br w:type="page"/>
      </w:r>
    </w:p>
    <w:p w14:paraId="095570E1" w14:textId="77777777" w:rsidR="00473EF4" w:rsidRPr="000A6219" w:rsidRDefault="00473EF4" w:rsidP="000A6219">
      <w:pPr>
        <w:adjustRightInd w:val="0"/>
        <w:snapToGrid w:val="0"/>
        <w:spacing w:after="0" w:line="360" w:lineRule="auto"/>
        <w:jc w:val="both"/>
        <w:rPr>
          <w:rFonts w:ascii="Book Antiqua" w:hAnsi="Book Antiqua"/>
          <w:b/>
          <w:sz w:val="24"/>
          <w:szCs w:val="24"/>
        </w:rPr>
      </w:pPr>
      <w:r w:rsidRPr="000A6219">
        <w:rPr>
          <w:rFonts w:ascii="Book Antiqua" w:hAnsi="Book Antiqua"/>
          <w:b/>
          <w:sz w:val="24"/>
          <w:szCs w:val="24"/>
        </w:rPr>
        <w:lastRenderedPageBreak/>
        <w:t>Footnotes</w:t>
      </w:r>
    </w:p>
    <w:p w14:paraId="2DD81BBD" w14:textId="77777777" w:rsidR="00473EF4" w:rsidRPr="000A6219" w:rsidRDefault="00473EF4" w:rsidP="000A6219">
      <w:pPr>
        <w:snapToGrid w:val="0"/>
        <w:spacing w:after="0" w:line="360" w:lineRule="auto"/>
        <w:jc w:val="both"/>
        <w:rPr>
          <w:rFonts w:ascii="Book Antiqua" w:eastAsia="宋体" w:hAnsi="Book Antiqua"/>
          <w:color w:val="000000"/>
          <w:sz w:val="24"/>
          <w:szCs w:val="24"/>
          <w:lang w:eastAsia="zh-CN"/>
        </w:rPr>
      </w:pPr>
      <w:r w:rsidRPr="000A6219">
        <w:rPr>
          <w:rFonts w:ascii="Book Antiqua" w:hAnsi="Book Antiqua"/>
          <w:b/>
          <w:color w:val="000000"/>
          <w:sz w:val="24"/>
          <w:szCs w:val="24"/>
        </w:rPr>
        <w:t>Conflict-of-interest statement</w:t>
      </w:r>
      <w:r w:rsidRPr="000A6219">
        <w:rPr>
          <w:rFonts w:ascii="Book Antiqua" w:hAnsi="Book Antiqua"/>
          <w:b/>
          <w:sz w:val="24"/>
          <w:szCs w:val="24"/>
        </w:rPr>
        <w:t>:</w:t>
      </w:r>
      <w:r w:rsidRPr="000A6219">
        <w:rPr>
          <w:rFonts w:ascii="Book Antiqua" w:eastAsia="宋体" w:hAnsi="Book Antiqua" w:cs="TimesNewRomanPS-BoldItalicMT"/>
          <w:b/>
          <w:bCs/>
          <w:iCs/>
          <w:color w:val="000000"/>
          <w:sz w:val="24"/>
          <w:szCs w:val="24"/>
          <w:lang w:eastAsia="zh-CN"/>
        </w:rPr>
        <w:t xml:space="preserve"> </w:t>
      </w:r>
      <w:r w:rsidRPr="000A6219">
        <w:rPr>
          <w:rFonts w:ascii="Book Antiqua" w:hAnsi="Book Antiqua"/>
          <w:color w:val="000000"/>
          <w:sz w:val="24"/>
          <w:szCs w:val="24"/>
        </w:rPr>
        <w:t>Authors declare no conflict of interests for this article.</w:t>
      </w:r>
    </w:p>
    <w:p w14:paraId="56ACFDBF" w14:textId="77777777" w:rsidR="00473EF4" w:rsidRPr="000A6219" w:rsidRDefault="00473EF4" w:rsidP="000A6219">
      <w:pPr>
        <w:snapToGrid w:val="0"/>
        <w:spacing w:after="0" w:line="360" w:lineRule="auto"/>
        <w:jc w:val="both"/>
        <w:rPr>
          <w:rFonts w:ascii="Book Antiqua" w:eastAsia="宋体" w:hAnsi="Book Antiqua"/>
          <w:b/>
          <w:color w:val="000000"/>
          <w:sz w:val="24"/>
          <w:szCs w:val="24"/>
          <w:lang w:eastAsia="zh-CN"/>
        </w:rPr>
      </w:pPr>
    </w:p>
    <w:p w14:paraId="458F6B4B" w14:textId="77777777" w:rsidR="00473EF4" w:rsidRPr="000A6219" w:rsidRDefault="00473EF4" w:rsidP="000A6219">
      <w:pPr>
        <w:snapToGrid w:val="0"/>
        <w:spacing w:after="0" w:line="360" w:lineRule="auto"/>
        <w:jc w:val="both"/>
        <w:rPr>
          <w:rFonts w:ascii="Book Antiqua" w:hAnsi="Book Antiqua"/>
          <w:sz w:val="24"/>
          <w:szCs w:val="24"/>
        </w:rPr>
      </w:pPr>
      <w:r w:rsidRPr="000A6219">
        <w:rPr>
          <w:rFonts w:ascii="Book Antiqua" w:hAnsi="Book Antiqua"/>
          <w:b/>
          <w:color w:val="000000"/>
          <w:sz w:val="24"/>
          <w:szCs w:val="24"/>
        </w:rPr>
        <w:t>Open-Access:</w:t>
      </w:r>
      <w:r w:rsidRPr="000A6219">
        <w:rPr>
          <w:rFonts w:ascii="Book Antiqua" w:hAnsi="Book Antiqua"/>
          <w:color w:val="000000"/>
          <w:sz w:val="24"/>
          <w:szCs w:val="24"/>
        </w:rPr>
        <w:t xml:space="preserve"> This article is an open-access </w:t>
      </w:r>
      <w:r w:rsidRPr="000A6219">
        <w:rPr>
          <w:rFonts w:ascii="Book Antiqua" w:hAnsi="Book Antiqua"/>
          <w:sz w:val="24"/>
          <w:szCs w:val="24"/>
        </w:rPr>
        <w:t xml:space="preserve">article that was selected </w:t>
      </w:r>
      <w:r w:rsidRPr="000A6219">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13ED18" w14:textId="77777777" w:rsidR="00473EF4" w:rsidRPr="000A6219" w:rsidRDefault="00473EF4" w:rsidP="000A6219">
      <w:pPr>
        <w:pStyle w:val="a7"/>
        <w:snapToGrid w:val="0"/>
        <w:spacing w:after="0" w:line="360" w:lineRule="auto"/>
        <w:jc w:val="both"/>
        <w:rPr>
          <w:rFonts w:ascii="Book Antiqua" w:eastAsia="宋体" w:hAnsi="Book Antiqua" w:cs="Times New Roman"/>
          <w:bCs/>
          <w:color w:val="000000"/>
          <w:sz w:val="24"/>
          <w:szCs w:val="24"/>
          <w:lang w:eastAsia="zh-CN"/>
        </w:rPr>
      </w:pPr>
    </w:p>
    <w:p w14:paraId="597B8B2F" w14:textId="0D905B73" w:rsidR="00473EF4" w:rsidRPr="000A6219" w:rsidRDefault="00473EF4" w:rsidP="000A6219">
      <w:pPr>
        <w:adjustRightInd w:val="0"/>
        <w:snapToGrid w:val="0"/>
        <w:spacing w:after="0" w:line="360" w:lineRule="auto"/>
        <w:jc w:val="both"/>
        <w:rPr>
          <w:rFonts w:ascii="Book Antiqua" w:hAnsi="Book Antiqua"/>
          <w:bCs/>
          <w:color w:val="000000"/>
          <w:sz w:val="24"/>
          <w:szCs w:val="24"/>
          <w:lang w:eastAsia="zh-CN"/>
        </w:rPr>
      </w:pPr>
      <w:r w:rsidRPr="000A6219">
        <w:rPr>
          <w:rFonts w:ascii="Book Antiqua" w:hAnsi="Book Antiqua"/>
          <w:b/>
          <w:bCs/>
          <w:color w:val="000000"/>
          <w:sz w:val="24"/>
          <w:szCs w:val="24"/>
          <w:lang w:eastAsia="pl-PL"/>
        </w:rPr>
        <w:t>Manuscript source:</w:t>
      </w:r>
      <w:r w:rsidRPr="000A6219">
        <w:rPr>
          <w:rFonts w:ascii="Book Antiqua" w:hAnsi="Book Antiqua"/>
          <w:b/>
          <w:bCs/>
          <w:color w:val="000000"/>
          <w:sz w:val="24"/>
          <w:szCs w:val="24"/>
          <w:lang w:eastAsia="zh-CN"/>
        </w:rPr>
        <w:t xml:space="preserve"> </w:t>
      </w:r>
      <w:r w:rsidRPr="000A6219">
        <w:rPr>
          <w:rFonts w:ascii="Book Antiqua" w:hAnsi="Book Antiqua"/>
          <w:bCs/>
          <w:color w:val="000000"/>
          <w:sz w:val="24"/>
          <w:szCs w:val="24"/>
          <w:lang w:eastAsia="pl-PL"/>
        </w:rPr>
        <w:t>Invited manuscript</w:t>
      </w:r>
    </w:p>
    <w:p w14:paraId="73975F44" w14:textId="77777777" w:rsidR="00473EF4" w:rsidRPr="000A6219" w:rsidRDefault="00473EF4" w:rsidP="000A6219">
      <w:pPr>
        <w:adjustRightInd w:val="0"/>
        <w:snapToGrid w:val="0"/>
        <w:spacing w:after="0" w:line="360" w:lineRule="auto"/>
        <w:jc w:val="both"/>
        <w:rPr>
          <w:rFonts w:ascii="Book Antiqua" w:hAnsi="Book Antiqua"/>
          <w:b/>
          <w:bCs/>
          <w:color w:val="000000"/>
          <w:sz w:val="24"/>
          <w:szCs w:val="24"/>
          <w:lang w:eastAsia="zh-CN"/>
        </w:rPr>
      </w:pPr>
    </w:p>
    <w:p w14:paraId="0F29611A" w14:textId="7EC765B9" w:rsidR="00473EF4" w:rsidRPr="000A6219" w:rsidRDefault="00473EF4" w:rsidP="000A6219">
      <w:pPr>
        <w:snapToGrid w:val="0"/>
        <w:spacing w:after="0" w:line="360" w:lineRule="auto"/>
        <w:jc w:val="both"/>
        <w:rPr>
          <w:rFonts w:ascii="Book Antiqua" w:eastAsia="宋体" w:hAnsi="Book Antiqua"/>
          <w:b/>
          <w:sz w:val="24"/>
          <w:szCs w:val="24"/>
          <w:lang w:eastAsia="zh-CN"/>
        </w:rPr>
      </w:pPr>
      <w:r w:rsidRPr="000A6219">
        <w:rPr>
          <w:rFonts w:ascii="Book Antiqua" w:hAnsi="Book Antiqua"/>
          <w:b/>
          <w:sz w:val="24"/>
          <w:szCs w:val="24"/>
        </w:rPr>
        <w:t>Peer-review started:</w:t>
      </w:r>
      <w:r w:rsidRPr="000A6219">
        <w:rPr>
          <w:rFonts w:ascii="Book Antiqua" w:eastAsia="宋体" w:hAnsi="Book Antiqua"/>
          <w:b/>
          <w:sz w:val="24"/>
          <w:szCs w:val="24"/>
          <w:lang w:eastAsia="zh-CN"/>
        </w:rPr>
        <w:t xml:space="preserve"> </w:t>
      </w:r>
      <w:r w:rsidRPr="000A6219">
        <w:rPr>
          <w:rFonts w:ascii="Book Antiqua" w:eastAsia="宋体" w:hAnsi="Book Antiqua"/>
          <w:sz w:val="24"/>
          <w:szCs w:val="24"/>
          <w:lang w:eastAsia="zh-CN"/>
        </w:rPr>
        <w:t>December 23, 2019</w:t>
      </w:r>
    </w:p>
    <w:p w14:paraId="417EEA74" w14:textId="5A626048" w:rsidR="00473EF4" w:rsidRPr="000A6219" w:rsidRDefault="00473EF4" w:rsidP="000A6219">
      <w:pPr>
        <w:snapToGrid w:val="0"/>
        <w:spacing w:after="0" w:line="360" w:lineRule="auto"/>
        <w:jc w:val="both"/>
        <w:rPr>
          <w:rFonts w:ascii="Book Antiqua" w:eastAsia="宋体" w:hAnsi="Book Antiqua"/>
          <w:b/>
          <w:sz w:val="24"/>
          <w:szCs w:val="24"/>
          <w:lang w:eastAsia="zh-CN"/>
        </w:rPr>
      </w:pPr>
      <w:r w:rsidRPr="000A6219">
        <w:rPr>
          <w:rFonts w:ascii="Book Antiqua" w:hAnsi="Book Antiqua"/>
          <w:b/>
          <w:sz w:val="24"/>
          <w:szCs w:val="24"/>
        </w:rPr>
        <w:t>First decision:</w:t>
      </w:r>
      <w:r w:rsidRPr="000A6219">
        <w:rPr>
          <w:rFonts w:ascii="Book Antiqua" w:eastAsia="宋体" w:hAnsi="Book Antiqua"/>
          <w:b/>
          <w:sz w:val="24"/>
          <w:szCs w:val="24"/>
          <w:lang w:eastAsia="zh-CN"/>
        </w:rPr>
        <w:t xml:space="preserve"> </w:t>
      </w:r>
      <w:r w:rsidRPr="000A6219">
        <w:rPr>
          <w:rFonts w:ascii="Book Antiqua" w:eastAsia="宋体" w:hAnsi="Book Antiqua"/>
          <w:sz w:val="24"/>
          <w:szCs w:val="24"/>
          <w:lang w:eastAsia="zh-CN"/>
        </w:rPr>
        <w:t>February 18, 2020</w:t>
      </w:r>
    </w:p>
    <w:p w14:paraId="3CF52CF9" w14:textId="77777777" w:rsidR="00473EF4" w:rsidRPr="000A6219" w:rsidRDefault="00473EF4" w:rsidP="000A6219">
      <w:pPr>
        <w:snapToGrid w:val="0"/>
        <w:spacing w:after="0" w:line="360" w:lineRule="auto"/>
        <w:jc w:val="both"/>
        <w:rPr>
          <w:rFonts w:ascii="Book Antiqua" w:hAnsi="Book Antiqua"/>
          <w:b/>
          <w:sz w:val="24"/>
          <w:szCs w:val="24"/>
        </w:rPr>
      </w:pPr>
      <w:r w:rsidRPr="000A6219">
        <w:rPr>
          <w:rFonts w:ascii="Book Antiqua" w:hAnsi="Book Antiqua"/>
          <w:b/>
          <w:sz w:val="24"/>
          <w:szCs w:val="24"/>
        </w:rPr>
        <w:t>Article in press:</w:t>
      </w:r>
    </w:p>
    <w:p w14:paraId="24CB1537" w14:textId="77777777" w:rsidR="00473EF4" w:rsidRPr="000A6219" w:rsidRDefault="00473EF4" w:rsidP="000A6219">
      <w:pPr>
        <w:snapToGrid w:val="0"/>
        <w:spacing w:after="0" w:line="360" w:lineRule="auto"/>
        <w:jc w:val="both"/>
        <w:rPr>
          <w:rFonts w:ascii="Book Antiqua" w:eastAsia="宋体" w:hAnsi="Book Antiqua"/>
          <w:color w:val="000000"/>
          <w:sz w:val="24"/>
          <w:szCs w:val="24"/>
          <w:lang w:eastAsia="zh-CN"/>
        </w:rPr>
      </w:pPr>
    </w:p>
    <w:p w14:paraId="148AAA7B" w14:textId="77777777" w:rsidR="00CC07AC" w:rsidRPr="000A6219" w:rsidRDefault="00473EF4" w:rsidP="000A6219">
      <w:pPr>
        <w:widowControl w:val="0"/>
        <w:adjustRightInd w:val="0"/>
        <w:snapToGrid w:val="0"/>
        <w:spacing w:after="0" w:line="360" w:lineRule="auto"/>
        <w:jc w:val="both"/>
        <w:rPr>
          <w:rFonts w:ascii="Book Antiqua" w:eastAsia="微软雅黑" w:hAnsi="Book Antiqua" w:cs="宋体"/>
          <w:sz w:val="24"/>
          <w:szCs w:val="24"/>
          <w:lang w:eastAsia="zh-CN"/>
        </w:rPr>
      </w:pPr>
      <w:r w:rsidRPr="000A6219">
        <w:rPr>
          <w:rFonts w:ascii="Book Antiqua" w:hAnsi="Book Antiqua" w:cs="宋体"/>
          <w:b/>
          <w:sz w:val="24"/>
          <w:szCs w:val="24"/>
          <w:lang w:eastAsia="zh-CN"/>
        </w:rPr>
        <w:t xml:space="preserve">Specialty type: </w:t>
      </w:r>
      <w:r w:rsidR="00CC07AC" w:rsidRPr="000A6219">
        <w:rPr>
          <w:rFonts w:ascii="Book Antiqua" w:eastAsia="微软雅黑" w:hAnsi="Book Antiqua" w:cs="宋体"/>
          <w:sz w:val="24"/>
          <w:szCs w:val="24"/>
          <w:lang w:eastAsia="zh-CN"/>
        </w:rPr>
        <w:t xml:space="preserve">Biochemistry and molecular biology </w:t>
      </w:r>
    </w:p>
    <w:p w14:paraId="0C996B7A" w14:textId="26BAE3C9" w:rsidR="00473EF4" w:rsidRPr="000A6219" w:rsidRDefault="00473EF4" w:rsidP="000A6219">
      <w:pPr>
        <w:widowControl w:val="0"/>
        <w:adjustRightInd w:val="0"/>
        <w:snapToGrid w:val="0"/>
        <w:spacing w:after="0" w:line="360" w:lineRule="auto"/>
        <w:jc w:val="both"/>
        <w:rPr>
          <w:rFonts w:ascii="Book Antiqua" w:hAnsi="Book Antiqua" w:cs="宋体"/>
          <w:sz w:val="24"/>
          <w:szCs w:val="24"/>
          <w:lang w:eastAsia="zh-CN"/>
        </w:rPr>
      </w:pPr>
      <w:r w:rsidRPr="000A6219">
        <w:rPr>
          <w:rFonts w:ascii="Book Antiqua" w:hAnsi="Book Antiqua" w:cs="宋体"/>
          <w:b/>
          <w:sz w:val="24"/>
          <w:szCs w:val="24"/>
          <w:lang w:eastAsia="zh-CN"/>
        </w:rPr>
        <w:t xml:space="preserve">Country of origin: </w:t>
      </w:r>
      <w:r w:rsidRPr="000A6219">
        <w:rPr>
          <w:rFonts w:ascii="Book Antiqua" w:eastAsia="宋体" w:hAnsi="Book Antiqua"/>
          <w:sz w:val="24"/>
          <w:szCs w:val="24"/>
          <w:lang w:eastAsia="es-ES_tradnl"/>
        </w:rPr>
        <w:t>Spain</w:t>
      </w:r>
    </w:p>
    <w:p w14:paraId="74BCECDA" w14:textId="77777777" w:rsidR="00473EF4" w:rsidRPr="000A6219" w:rsidRDefault="00473EF4" w:rsidP="000A6219">
      <w:pPr>
        <w:widowControl w:val="0"/>
        <w:adjustRightInd w:val="0"/>
        <w:snapToGrid w:val="0"/>
        <w:spacing w:after="0" w:line="360" w:lineRule="auto"/>
        <w:jc w:val="both"/>
        <w:rPr>
          <w:rFonts w:ascii="Book Antiqua" w:hAnsi="Book Antiqua" w:cs="宋体"/>
          <w:b/>
          <w:sz w:val="24"/>
          <w:szCs w:val="24"/>
          <w:lang w:eastAsia="zh-CN"/>
        </w:rPr>
      </w:pPr>
      <w:r w:rsidRPr="000A6219">
        <w:rPr>
          <w:rFonts w:ascii="Book Antiqua" w:hAnsi="Book Antiqua" w:cs="宋体"/>
          <w:b/>
          <w:sz w:val="24"/>
          <w:szCs w:val="24"/>
          <w:lang w:eastAsia="zh-CN"/>
        </w:rPr>
        <w:t>Peer-review report classification</w:t>
      </w:r>
    </w:p>
    <w:p w14:paraId="0ED7569E" w14:textId="79DF4466" w:rsidR="00473EF4" w:rsidRPr="000A6219" w:rsidRDefault="00CC07AC" w:rsidP="000A6219">
      <w:pPr>
        <w:widowControl w:val="0"/>
        <w:adjustRightInd w:val="0"/>
        <w:snapToGrid w:val="0"/>
        <w:spacing w:after="0" w:line="360" w:lineRule="auto"/>
        <w:jc w:val="both"/>
        <w:rPr>
          <w:rFonts w:ascii="Book Antiqua" w:hAnsi="Book Antiqua" w:cs="宋体"/>
          <w:sz w:val="24"/>
          <w:szCs w:val="24"/>
          <w:lang w:eastAsia="zh-CN"/>
        </w:rPr>
      </w:pPr>
      <w:r w:rsidRPr="000A6219">
        <w:rPr>
          <w:rFonts w:ascii="Book Antiqua" w:hAnsi="Book Antiqua" w:cs="宋体"/>
          <w:sz w:val="24"/>
          <w:szCs w:val="24"/>
          <w:lang w:eastAsia="zh-CN"/>
        </w:rPr>
        <w:t>Grade A (Excellent): 0</w:t>
      </w:r>
    </w:p>
    <w:p w14:paraId="7622A2C4" w14:textId="4773080F" w:rsidR="00473EF4" w:rsidRPr="000A6219" w:rsidRDefault="00473EF4" w:rsidP="000A6219">
      <w:pPr>
        <w:widowControl w:val="0"/>
        <w:adjustRightInd w:val="0"/>
        <w:snapToGrid w:val="0"/>
        <w:spacing w:after="0" w:line="360" w:lineRule="auto"/>
        <w:jc w:val="both"/>
        <w:rPr>
          <w:rFonts w:ascii="Book Antiqua" w:eastAsia="宋体" w:hAnsi="Book Antiqua" w:cs="宋体"/>
          <w:sz w:val="24"/>
          <w:szCs w:val="24"/>
          <w:lang w:eastAsia="zh-CN"/>
        </w:rPr>
      </w:pPr>
      <w:r w:rsidRPr="000A6219">
        <w:rPr>
          <w:rFonts w:ascii="Book Antiqua" w:hAnsi="Book Antiqua" w:cs="宋体"/>
          <w:sz w:val="24"/>
          <w:szCs w:val="24"/>
          <w:lang w:eastAsia="zh-CN"/>
        </w:rPr>
        <w:t xml:space="preserve">Grade B (Very good): </w:t>
      </w:r>
      <w:r w:rsidR="00CC07AC" w:rsidRPr="000A6219">
        <w:rPr>
          <w:rFonts w:ascii="Book Antiqua" w:eastAsia="宋体" w:hAnsi="Book Antiqua" w:cs="宋体"/>
          <w:sz w:val="24"/>
          <w:szCs w:val="24"/>
          <w:lang w:eastAsia="zh-CN"/>
        </w:rPr>
        <w:t>B</w:t>
      </w:r>
    </w:p>
    <w:p w14:paraId="29CB4253" w14:textId="77777777" w:rsidR="00473EF4" w:rsidRPr="000A6219" w:rsidRDefault="00473EF4" w:rsidP="000A6219">
      <w:pPr>
        <w:widowControl w:val="0"/>
        <w:adjustRightInd w:val="0"/>
        <w:snapToGrid w:val="0"/>
        <w:spacing w:after="0" w:line="360" w:lineRule="auto"/>
        <w:jc w:val="both"/>
        <w:rPr>
          <w:rFonts w:ascii="Book Antiqua" w:hAnsi="Book Antiqua" w:cs="宋体"/>
          <w:sz w:val="24"/>
          <w:szCs w:val="24"/>
          <w:lang w:eastAsia="zh-CN"/>
        </w:rPr>
      </w:pPr>
      <w:r w:rsidRPr="000A6219">
        <w:rPr>
          <w:rFonts w:ascii="Book Antiqua" w:hAnsi="Book Antiqua" w:cs="宋体"/>
          <w:sz w:val="24"/>
          <w:szCs w:val="24"/>
          <w:lang w:eastAsia="zh-CN"/>
        </w:rPr>
        <w:t>Grade C (Good): C</w:t>
      </w:r>
    </w:p>
    <w:p w14:paraId="75BC2D36" w14:textId="77777777" w:rsidR="00473EF4" w:rsidRPr="000A6219" w:rsidRDefault="00473EF4" w:rsidP="000A6219">
      <w:pPr>
        <w:widowControl w:val="0"/>
        <w:adjustRightInd w:val="0"/>
        <w:snapToGrid w:val="0"/>
        <w:spacing w:after="0" w:line="360" w:lineRule="auto"/>
        <w:jc w:val="both"/>
        <w:rPr>
          <w:rFonts w:ascii="Book Antiqua" w:hAnsi="Book Antiqua" w:cs="宋体"/>
          <w:sz w:val="24"/>
          <w:szCs w:val="24"/>
          <w:lang w:eastAsia="zh-CN"/>
        </w:rPr>
      </w:pPr>
      <w:r w:rsidRPr="000A6219">
        <w:rPr>
          <w:rFonts w:ascii="Book Antiqua" w:hAnsi="Book Antiqua" w:cs="宋体"/>
          <w:sz w:val="24"/>
          <w:szCs w:val="24"/>
          <w:lang w:eastAsia="zh-CN"/>
        </w:rPr>
        <w:t>Grade D (Fair): 0</w:t>
      </w:r>
    </w:p>
    <w:p w14:paraId="4F1F6042" w14:textId="77777777" w:rsidR="00473EF4" w:rsidRPr="000A6219" w:rsidRDefault="00473EF4" w:rsidP="000A6219">
      <w:pPr>
        <w:widowControl w:val="0"/>
        <w:adjustRightInd w:val="0"/>
        <w:snapToGrid w:val="0"/>
        <w:spacing w:after="0" w:line="360" w:lineRule="auto"/>
        <w:jc w:val="both"/>
        <w:rPr>
          <w:rFonts w:ascii="Book Antiqua" w:eastAsia="等线" w:hAnsi="Book Antiqua"/>
          <w:kern w:val="2"/>
          <w:sz w:val="24"/>
          <w:szCs w:val="24"/>
          <w:lang w:val="hu-HU" w:eastAsia="zh-CN"/>
        </w:rPr>
      </w:pPr>
      <w:r w:rsidRPr="000A6219">
        <w:rPr>
          <w:rFonts w:ascii="Book Antiqua" w:hAnsi="Book Antiqua" w:cs="宋体"/>
          <w:sz w:val="24"/>
          <w:szCs w:val="24"/>
          <w:lang w:eastAsia="zh-CN"/>
        </w:rPr>
        <w:t>Grade E (Poor): 0</w:t>
      </w:r>
    </w:p>
    <w:p w14:paraId="01BCB6B2" w14:textId="77777777" w:rsidR="00473EF4" w:rsidRPr="000A6219" w:rsidRDefault="00473EF4" w:rsidP="000A6219">
      <w:pPr>
        <w:snapToGrid w:val="0"/>
        <w:spacing w:after="0" w:line="360" w:lineRule="auto"/>
        <w:jc w:val="both"/>
        <w:rPr>
          <w:rFonts w:ascii="Book Antiqua" w:eastAsia="宋体" w:hAnsi="Book Antiqua"/>
          <w:b/>
          <w:sz w:val="24"/>
          <w:szCs w:val="24"/>
          <w:lang w:val="hu-HU" w:eastAsia="zh-CN"/>
        </w:rPr>
      </w:pPr>
    </w:p>
    <w:p w14:paraId="3FB981A9" w14:textId="1067BE47" w:rsidR="00473EF4" w:rsidRPr="000A6219" w:rsidRDefault="00473EF4" w:rsidP="000A6219">
      <w:pPr>
        <w:snapToGrid w:val="0"/>
        <w:spacing w:after="0" w:line="360" w:lineRule="auto"/>
        <w:jc w:val="both"/>
        <w:rPr>
          <w:rFonts w:ascii="Book Antiqua" w:eastAsia="宋体" w:hAnsi="Book Antiqua"/>
          <w:b/>
          <w:sz w:val="24"/>
          <w:szCs w:val="24"/>
          <w:lang w:eastAsia="zh-CN"/>
        </w:rPr>
      </w:pPr>
      <w:r w:rsidRPr="000A6219">
        <w:rPr>
          <w:rFonts w:ascii="Book Antiqua" w:hAnsi="Book Antiqua"/>
          <w:b/>
          <w:sz w:val="24"/>
          <w:szCs w:val="24"/>
        </w:rPr>
        <w:t>P- Reviewer:</w:t>
      </w:r>
      <w:r w:rsidRPr="000A6219">
        <w:rPr>
          <w:rFonts w:ascii="Book Antiqua" w:eastAsia="宋体" w:hAnsi="Book Antiqua"/>
          <w:b/>
          <w:sz w:val="24"/>
          <w:szCs w:val="24"/>
          <w:lang w:eastAsia="zh-CN"/>
        </w:rPr>
        <w:t xml:space="preserve"> </w:t>
      </w:r>
      <w:r w:rsidR="00CC07AC" w:rsidRPr="000A6219">
        <w:rPr>
          <w:rFonts w:ascii="Book Antiqua" w:hAnsi="Book Antiqua" w:cs="宋体"/>
          <w:color w:val="000000"/>
          <w:sz w:val="24"/>
          <w:szCs w:val="24"/>
        </w:rPr>
        <w:t xml:space="preserve">Barnich N, Zhang L </w:t>
      </w:r>
      <w:r w:rsidRPr="000A6219">
        <w:rPr>
          <w:rFonts w:ascii="Book Antiqua" w:hAnsi="Book Antiqua"/>
          <w:b/>
          <w:sz w:val="24"/>
          <w:szCs w:val="24"/>
        </w:rPr>
        <w:t>S- Editor:</w:t>
      </w:r>
      <w:r w:rsidRPr="000A6219">
        <w:rPr>
          <w:rFonts w:ascii="Book Antiqua" w:hAnsi="Book Antiqua"/>
          <w:sz w:val="24"/>
          <w:szCs w:val="24"/>
        </w:rPr>
        <w:t xml:space="preserve"> </w:t>
      </w:r>
      <w:r w:rsidR="00CC07AC" w:rsidRPr="000A6219">
        <w:rPr>
          <w:rFonts w:ascii="Book Antiqua" w:hAnsi="Book Antiqua" w:cs="宋体"/>
          <w:color w:val="000000"/>
          <w:sz w:val="24"/>
          <w:szCs w:val="24"/>
        </w:rPr>
        <w:t>Zhang L</w:t>
      </w:r>
      <w:r w:rsidRPr="000A6219">
        <w:rPr>
          <w:rFonts w:ascii="Book Antiqua" w:eastAsia="宋体" w:hAnsi="Book Antiqua"/>
          <w:sz w:val="24"/>
          <w:szCs w:val="24"/>
          <w:lang w:eastAsia="zh-CN"/>
        </w:rPr>
        <w:t xml:space="preserve"> </w:t>
      </w:r>
      <w:r w:rsidRPr="000A6219">
        <w:rPr>
          <w:rFonts w:ascii="Book Antiqua" w:hAnsi="Book Antiqua"/>
          <w:b/>
          <w:sz w:val="24"/>
          <w:szCs w:val="24"/>
        </w:rPr>
        <w:t>L- Editor:</w:t>
      </w:r>
      <w:r w:rsidRPr="000A6219">
        <w:rPr>
          <w:rFonts w:ascii="Book Antiqua" w:hAnsi="Book Antiqua"/>
          <w:sz w:val="24"/>
          <w:szCs w:val="24"/>
        </w:rPr>
        <w:t xml:space="preserve"> </w:t>
      </w:r>
      <w:r w:rsidRPr="000A6219">
        <w:rPr>
          <w:rFonts w:ascii="Book Antiqua" w:hAnsi="Book Antiqua"/>
          <w:b/>
          <w:sz w:val="24"/>
          <w:szCs w:val="24"/>
        </w:rPr>
        <w:t>E- Editor:</w:t>
      </w:r>
    </w:p>
    <w:p w14:paraId="22D2E1B3" w14:textId="4AB016AC" w:rsidR="00473EF4" w:rsidRPr="000A6219" w:rsidRDefault="00473EF4" w:rsidP="000A6219">
      <w:pPr>
        <w:snapToGrid w:val="0"/>
        <w:spacing w:after="0" w:line="360" w:lineRule="auto"/>
        <w:jc w:val="both"/>
        <w:rPr>
          <w:rFonts w:ascii="Book Antiqua" w:hAnsi="Book Antiqua"/>
          <w:b/>
          <w:bCs/>
          <w:color w:val="000000"/>
          <w:sz w:val="24"/>
          <w:szCs w:val="24"/>
          <w:lang w:eastAsia="zh-CN"/>
        </w:rPr>
      </w:pPr>
      <w:r w:rsidRPr="000A6219">
        <w:rPr>
          <w:rFonts w:ascii="Book Antiqua" w:hAnsi="Book Antiqua"/>
          <w:b/>
          <w:bCs/>
          <w:color w:val="000000"/>
          <w:sz w:val="24"/>
          <w:szCs w:val="24"/>
          <w:lang w:eastAsia="zh-CN"/>
        </w:rPr>
        <w:br w:type="page"/>
      </w:r>
    </w:p>
    <w:p w14:paraId="3BF0D8B1" w14:textId="240291B6" w:rsidR="006707C5" w:rsidRPr="000A6219" w:rsidRDefault="00C27E1B" w:rsidP="000A6219">
      <w:pPr>
        <w:adjustRightInd w:val="0"/>
        <w:snapToGrid w:val="0"/>
        <w:spacing w:after="0" w:line="360" w:lineRule="auto"/>
        <w:jc w:val="both"/>
        <w:rPr>
          <w:rFonts w:ascii="Book Antiqua" w:hAnsi="Book Antiqua"/>
          <w:b/>
          <w:sz w:val="24"/>
          <w:szCs w:val="24"/>
        </w:rPr>
      </w:pPr>
      <w:bookmarkStart w:id="23" w:name="OLE_LINK25"/>
      <w:bookmarkStart w:id="24" w:name="OLE_LINK26"/>
      <w:r w:rsidRPr="000A6219">
        <w:rPr>
          <w:rFonts w:ascii="Book Antiqua" w:hAnsi="Book Antiqua"/>
          <w:b/>
          <w:sz w:val="24"/>
          <w:szCs w:val="24"/>
        </w:rPr>
        <w:lastRenderedPageBreak/>
        <w:t>Figure Legends</w:t>
      </w:r>
    </w:p>
    <w:p w14:paraId="17BE122B" w14:textId="77777777" w:rsidR="006707C5" w:rsidRPr="000A6219" w:rsidRDefault="006707C5"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noProof/>
          <w:sz w:val="24"/>
          <w:szCs w:val="24"/>
          <w:lang w:val="en-US" w:eastAsia="zh-CN"/>
        </w:rPr>
        <w:drawing>
          <wp:inline distT="0" distB="0" distL="0" distR="0" wp14:anchorId="2D0C2F23" wp14:editId="4AD0427A">
            <wp:extent cx="2533650" cy="2362200"/>
            <wp:effectExtent l="0" t="0" r="0" b="0"/>
            <wp:docPr id="306" name="Gràfic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A6219">
        <w:rPr>
          <w:rFonts w:ascii="Book Antiqua" w:eastAsia="Calibri" w:hAnsi="Book Antiqua" w:cs="Times New Roman"/>
          <w:noProof/>
          <w:sz w:val="24"/>
          <w:szCs w:val="24"/>
          <w:lang w:val="en-US" w:eastAsia="zh-CN"/>
        </w:rPr>
        <w:drawing>
          <wp:inline distT="0" distB="0" distL="0" distR="0" wp14:anchorId="0B585CFD" wp14:editId="57F41C6B">
            <wp:extent cx="2628900" cy="2362200"/>
            <wp:effectExtent l="0" t="0" r="0" b="0"/>
            <wp:docPr id="308" name="Gràfic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74611A" w14:textId="0611A7CA" w:rsidR="006707C5" w:rsidRPr="00CB5F52" w:rsidRDefault="006707C5" w:rsidP="00CB5F52">
      <w:pPr>
        <w:snapToGrid w:val="0"/>
        <w:spacing w:after="0" w:line="360" w:lineRule="auto"/>
        <w:jc w:val="both"/>
        <w:rPr>
          <w:rFonts w:ascii="Book Antiqua" w:eastAsia="Calibri" w:hAnsi="Book Antiqua" w:cs="Times New Roman"/>
          <w:sz w:val="24"/>
          <w:szCs w:val="24"/>
          <w:lang w:val="es-ES"/>
        </w:rPr>
      </w:pPr>
      <w:r w:rsidRPr="000A6219">
        <w:rPr>
          <w:rFonts w:ascii="Book Antiqua" w:eastAsia="Calibri" w:hAnsi="Book Antiqua" w:cs="Times New Roman"/>
          <w:b/>
          <w:sz w:val="24"/>
          <w:szCs w:val="24"/>
          <w:lang w:val="en-GB"/>
        </w:rPr>
        <w:t>Figure 1</w:t>
      </w:r>
      <w:r w:rsidRPr="000A6219">
        <w:rPr>
          <w:rFonts w:ascii="Book Antiqua" w:eastAsia="Calibri" w:hAnsi="Book Antiqua" w:cs="Times New Roman"/>
          <w:b/>
          <w:sz w:val="24"/>
          <w:szCs w:val="24"/>
          <w:lang w:val="en-US"/>
        </w:rPr>
        <w:t xml:space="preserve"> Review of cell lines used for adherent-invasive </w:t>
      </w:r>
      <w:r w:rsidRPr="000A6219">
        <w:rPr>
          <w:rFonts w:ascii="Book Antiqua" w:eastAsia="Calibri" w:hAnsi="Book Antiqua" w:cs="Times New Roman"/>
          <w:b/>
          <w:i/>
          <w:sz w:val="24"/>
          <w:szCs w:val="24"/>
          <w:lang w:val="en-US"/>
        </w:rPr>
        <w:t>Escherichia coli</w:t>
      </w:r>
      <w:r w:rsidRPr="000A6219">
        <w:rPr>
          <w:rFonts w:ascii="Book Antiqua" w:eastAsia="Calibri" w:hAnsi="Book Antiqua" w:cs="Times New Roman"/>
          <w:b/>
          <w:sz w:val="24"/>
          <w:szCs w:val="24"/>
          <w:lang w:val="en-US"/>
        </w:rPr>
        <w:t xml:space="preserve"> identification. </w:t>
      </w:r>
      <w:r w:rsidRPr="000A6219">
        <w:rPr>
          <w:rFonts w:ascii="Book Antiqua" w:eastAsia="Calibri" w:hAnsi="Book Antiqua" w:cs="Times New Roman"/>
          <w:sz w:val="24"/>
          <w:szCs w:val="24"/>
          <w:lang w:val="en-US"/>
        </w:rPr>
        <w:t>Analysis of the cell lines used for adhesion and invasion assays are based on 29 previously published works</w:t>
      </w:r>
      <w:r w:rsidRPr="000A6219">
        <w:rPr>
          <w:rFonts w:ascii="Book Antiqua" w:eastAsia="Calibri" w:hAnsi="Book Antiqua" w:cs="Times New Roman"/>
          <w:sz w:val="24"/>
          <w:szCs w:val="24"/>
          <w:lang w:val="en-US"/>
        </w:rPr>
        <w:fldChar w:fldCharType="begin" w:fldLock="1"/>
      </w:r>
      <w:r w:rsidRPr="000A6219">
        <w:rPr>
          <w:rFonts w:ascii="Book Antiqua" w:eastAsia="Calibri" w:hAnsi="Book Antiqua" w:cs="Times New Roman"/>
          <w:sz w:val="24"/>
          <w:szCs w:val="24"/>
          <w:lang w:val="en-US"/>
        </w:rPr>
        <w:instrText>ADDIN CSL_CITATION {"citationItems":[{"id":"ITEM-1","itemData":{"DOI":"10.1053/j.gastro.2004.04.061","ISBN":"0016-5085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Frédéric","non-dropping-particle":"","parse-names":false,"suffix":""}],"container-title":"Gastroenterology","id":"ITEM-1","issue":"2","issued":{"date-parts":[["2004"]]},"page":"412-421","title":"High prevalence of adherent-invasive Escherichia coli associated with ileal mucosa in Crohn's disease","type":"article-journal","volume":"127"},"uris":["http://www.mendeley.com/documents/?uuid=c37eb702-0cb7-4694-ad28-7a4aed1f66ff"]},{"id":"ITEM-2","itemData":{"DOI":"10.3389/fmicb.2017.00639","PMID":"28596755","abstract":"Adherent-invasive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microbiology","id":"ITEM-2","issued":{"date-parts":[["2017"]]},"page":"639","publisher":"Frontiers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id":"ITEM-3","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Diseases","id":"ITEM-3","issue":"11","issued":{"date-parts":[["2014"]]},"page":"1919-1932","title":"Inflammation-associated adherent-invasive Escherichia coli are enriched in pathways for use of propanediol and iron and M-cell","type":"article-journal","volume":"20"},"uris":["http://www.mendeley.com/documents/?uuid=b025bc87-f0b0-4286-b32d-e57faa03ef86"]},{"id":"ITEM-4","itemData":{"DOI":"10.1186/1756-0500-7-748","ISSN":"1756-0500","PMID":"25338542","abstract":"BACKGROUND: Adherent-invasive Escherichia coli (AIEC) have been implicated in the ethiopathogenesis of Crohn's disease (CD). In this study, we analyzed a collection of intestinal mucosa-associated E. coli isolates, presenting AIEC phenotypes, isolated from biopsies of CD pediatric patients and non-inflammatory bowel diseases (IBD) controls, in order to investigate their genetic and phenotypic pathogenic features.\\n\\nRESULTS: A total of 616 E. coli isolates from biopsies of four pediatric CD patients and of four non-IBD controls were collected and individually analyzed. For AIEC identification, adherent isolates were assayed for invasiveness, and the capacity of the adhesive-invasive isolates to survive and replicate intracellularly was determined over macrophages J774. In this way we identified 36 AIEC-like isolates. Interestingly, their relative abundance was significantly higher in CD patients (10%; 31/308) than in non-IBD controls (1%; 5/308) (χ2 = 38.96 p &lt; 0.001). Furthermore pulsed field gel electrophoresis (PFGE) and randomly amplified polymorphic DNA (RAPD) techniques were applied to analyze the clonality of the 36 AIEC-like isolates. The results obtained allowed us to identify 27 distinct genotypes (22 from CD patients and 5 from non-IBD controls). As for the AIEC prototype strain LF82, all 27 AIEC genotypes presented an aggregative pattern of adherence (AA) that was inhibited by D-mannose, indicating that adhesiveness of AIEC is likely mediated by type 1 pili. PCR analisys was used to investigate presence of virulence genes. The results indicated that among the 27 AIEC isolates, the incidence of genes encoding virulence factors K1 (χ2 = 6.167 P = 0.013), kpsMT II (χ2 = 6.167 P = 0.013), fyuA (χ2 = 6.167 P = 0.013), and ibeA (χ2 = 8.867 P = 0.003) was significantly higher among AIEC strains isolated from CD patients than non-IBD controls.\\n\\nCONCLUSIONS: The identification of AIEC strains in both CD and non-IBD controls, confirmed the \"pathobiont\" nature of AIEC strains. The finding that AIEC-like isolates were more abundant in CD patients, indicates that a close association of these strains with CD may also exists in pediatric patients.","author":[{"dropping-particle":"","family":"Conte","given":"Maria Pia","non-dropping-particle":"","parse-names":false,"suffix":""},{"dropping-particle":"","family":"Longhi","given":"Catia","non-dropping-particle":"","parse-names":false,"suffix":""},{"dropping-particle":"","family":"Marazzato","given":"Massimiliano","non-dropping-particle":"","parse-names":false,"suffix":""},{"dropping-particle":"","family":"Conte","given":"Antonietta Lucia","non-dropping-particle":"","parse-names":false,"suffix":""},{"dropping-particle":"","family":"Aleandri","given":"Marta","non-dropping-particle":"","parse-names":false,"suffix":""},{"dropping-particle":"","family":"Lepanto","given":"Maria Stefania","non-dropping-particle":"","parse-names":false,"suffix":""},{"dropping-particle":"","family":"Zagaglia","given":"Carlo","non-dropping-particle":"","parse-names":false,"suffix":""},{"dropping-particle":"","family":"Nicoletti","given":"Mauro","non-dropping-particle":"","parse-names":false,"suffix":""},{"dropping-particle":"","family":"Aloi","given":"Marina","non-dropping-particle":"","parse-names":false,"suffix":""},{"dropping-particle":"","family":"Totino","given":"Valentina","non-dropping-particle":"","parse-names":false,"suffix":""},{"dropping-particle":"","family":"Palamara","given":"Anna Teresa","non-dropping-particle":"","parse-names":false,"suffix":""},{"dropping-particle":"","family":"Schippa","given":"Serena","non-dropping-particle":"","parse-names":false,"suffix":""}],"container-title":"BMC research notes","id":"ITEM-4","issue":"1","issued":{"date-parts":[["2014"]]},"page":"748","title":"Adherent-invasive Escherichia coli (AIEC) in pediatric Crohn's disease patients: phenotypic and genetic pathogenic features.","type":"article-journal","volume":"7"},"uris":["http://www.mendeley.com/documents/?uuid=7bbeb97f-85b8-4d75-8c59-8aaeab2c26f5"]},{"id":"ITEM-5","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-5","issue":"8","issued":{"date-parts":[["2016"]]},"page":"1382-1389","title":"Comparative genomics of Crohn's disease-associated adherent-invasive Escherichia coli","type":"article-journal","volume":"66"},"uris":["http://www.mendeley.com/documents/?uuid=5433c40e-8818-41e5-9f75-43963d20c944"]},{"id":"ITEM-6","itemData":{"DOI":"10.1039/C5OB01581B","ISSN":"1477-0520","author":[{"dropping-particle":"","family":"Chalopin","given":"T.","non-dropping-particle":"","parse-names":false,"suffix":""},{"dropping-particle":"","family":"Brissonnet","given":"Y.","non-dropping-particle":"","parse-names":false,"suffix":""},{"dropping-particle":"","family":"Sivignon","given":"A.","non-dropping-particle":"","parse-names":false,"suffix":""},{"dropping-particle":"","family":"Deniaud","given":"D.","non-dropping-particle":"","parse-names":false,"suffix":""},{"dropping-particle":"","family":"Cremet","given":"L.","non-dropping-particle":"","parse-names":false,"suffix":""},{"dropping-particle":"","family":"Barnich","given":"N.","non-dropping-particle":"","parse-names":false,"suffix":""},{"dropping-particle":"","family":"Bouckaert","given":"J.","non-dropping-particle":"","parse-names":false,"suffix":""},{"dropping-particle":"","family":"Gouin","given":"S. G.","non-dropping-particle":"","parse-names":false,"suffix":""}],"container-title":"Org. Biomol. Chem.","id":"ITEM-6","issue":"46","issued":{"date-parts":[["2015"]]},"page":"11369-11375","publisher":"Royal Society of Chemistry","title":"Inhibition profiles of mono- and polyvalent FimH antagonists against 10 different Escherichia coli strains","type":"article-journal","volume":"13"},"uris":["http://www.mendeley.com/documents/?uuid=9c317296-c618-43ab-a90e-42d98c21fbde"]},{"id":"ITEM-7","itemData":{"DOI":"10.1016/j.ijmm.2014.01.002","ISSN":"1618-0607","PMID":"24581881","abstract":"Crohn's disease (CD) is a multifactorial pathology associated with the presence of adherent-invasive Escherichia coli (AIEC) and NLRP3 polymorphic variants. The presence of intracellular E. coli in other intestinal pathologies (OIP) and the role of NLRP3-inflammasome in the immune response activated by these bacteria have not been investigated. In this study, we sought to characterize intracellular strains isolated from patients with CD, ulcerative colitis (UC) and OIP, and analyze NLRP3-inflammasome role in the immune response and bactericidal activity induced in macrophages exposed to invasive bacteria. For this, intracellular E. coli isolation from ileal biopsies, using gentamicin-protection assay, revealed a prevalence and CFU/biopsy of E. coli higher in biopsies from CD, UC and OIP patients than in controls. To characterize bacterial isolates, pulsed-field gel electrophoresis (PFGE) patterns, virulence genes, serogroup and phylogenetic group were analyzed. We found out that bacteria isolated from a given patient were closely related and shared virulence factors; however, strains from different patients were genetically heterogeneous. AIEC characteristics in isolated strains, such as invasive and replicative properties, were assessed in epithelial cells and macrophages, respectively. Some strains from CD and UC demonstrated AIEC properties, but not strains from OIP. Furthermore, the role of NLRP3 in pro-inflammatory cytokines production and bacterial elimination was determined in macrophages. E. coli strains induced IL-1β through NLRP3-dependent mechanism; however, their elimination by macrophages was independent of NLRP3. Invasiveness of intracellular E. coli strains into the intestinal mucosa and IL-1β production may contribute to CD and UC pathogenesis.","author":[{"dropping-particle":"","family":"la Fuente","given":"Marjorie","non-dropping-particle":"De","parse-names":false,"suffix":""},{"dropping-particle":"","family":"Franchi","given":"Luigi","non-dropping-particle":"","parse-names":false,"suffix":""},{"dropping-particle":"","family":"Araya","given":"Daniela","non-dropping-particle":"","parse-names":false,"suffix":""},{"dropping-particle":"","family":"Díaz-Jiménez","given":"David","non-dropping-particle":"","parse-names":false,"suffix":""},{"dropping-particle":"","family":"Olivares","given":"Mauricio","non-dropping-particle":"","parse-names":false,"suffix":""},{"dropping-particle":"","family":"Álvarez-Lobos","given":"Manuel","non-dropping-particle":"","parse-names":false,"suffix":""},{"dropping-particle":"","family":"Golenbock","given":"Douglas","non-dropping-particle":"","parse-names":false,"suffix":""},{"dropping-particle":"","family":"González","given":"María-Julieta","non-dropping-particle":"","parse-names":false,"suffix":""},{"dropping-particle":"","family":"López-Kostner","given":"Francisco","non-dropping-particle":"","parse-names":false,"suffix":""},{"dropping-particle":"","family":"Quera","given":"Rodrigo","non-dropping-particle":"","parse-names":false,"suffix":""},{"dropping-particle":"","family":"Núñez","given":"Gabriel","non-dropping-particle":"","parse-names":false,"suffix":""},{"dropping-particle":"","family":"Vidal","given":"Roberto","non-dropping-particle":"","parse-names":false,"suffix":""},{"dropping-particle":"","family":"Hermoso","given":"Marcela A","non-dropping-particle":"","parse-names":false,"suffix":""}],"container-title":"International journal of medical microbiology : IJMM","id":"ITEM-7","issue":"3-4","issued":{"date-parts":[["2014","5"]]},"page":"384-92","publisher":"NIH Public Access","title":"Escherichia coli isolates from inflammatory bowel diseases patients survive in macrophages and activate NLRP3 inflammasome.","type":"article-journal","volume":"304"},"uris":["http://www.mendeley.com/documents/?uuid=8211dd93-a65f-3ffd-b8b8-3521545a509e"]},{"id":"ITEM-8","itemData":{"DOI":"10.1128/IAI.06181-11","ISSN":"1098-5522","PMID":"22290143","abstract":"Several studies reported increased numbers of mucosa-associated Escherichia coli strains in patients with inflammatory bowel disease (IBD), encompassing Crohn's disease (CD) and ulcerative colitis (UC). The majority of E. coli strains possess type 1 fimbriae, whose tip fibrillum protein, FimH, naturally undergoes amino acid replacements, an important process in the adaptation of commensal E. coli strains to environmental changes, like those observed in IBD and urinary tract infections. In this study, we analyzed mutational patterns in the fimH gene of 52 mucosa-associated E. coli strains isolated from IBD and non-IBD pediatric patients, in order to investigate microevolution of this genetic trait. FimH-positive strains were also phylogenetically typed and tested for their adhesive ability on Caco-2 cells. Specific FimH alleles for each grouping feature were found. Mutations G66S and V27A were related to CD, while mutations A242V, V163A, and T74I were attributed to UC. Otherwise, the G66S, N70S, and S78N mutations were specifically attributed to B2/D phylogroups. The N70S and A119V mutations were related to adhesive E. coli strains. Phylogroup B2, adhesive, and IBD E. coli strains showed a higher site substitution rate (SSR) in the fimH gene, together with a higher number of mutations. The degree of naïve mucosal inflammation was related to specific FimH alleles. Moreover, we could suggest that the V27A mutation is pathoadaptive for the CD intestinal habitat, while we could also suggest that both the N70S and S78N mutations are related to the more virulent E. coli B2 phylogroup. In conclusion, we found some FimH variants that seem to be more involved than others in the evolution of IBD pathogenesis.","author":[{"dropping-particle":"","family":"Iebba","given":"Valerio","non-dropping-particle":"","parse-names":false,"suffix":""},{"dropping-particle":"","family":"Conte","given":"Maria Pia","non-dropping-particle":"","parse-names":false,"suffix":""},{"dropping-particle":"","family":"Lepanto","given":"Maria Stefania","non-dropping-particle":"","parse-names":false,"suffix":""},{"dropping-particle":"","family":"Nardo","given":"Giovanni","non-dropping-particle":"Di","parse-names":false,"suffix":""},{"dropping-particle":"","family":"Santangelo","given":"Floriana","non-dropping-particle":"","parse-names":false,"suffix":""},{"dropping-particle":"","family":"Aloi","given":"Marina","non-dropping-particle":"","parse-names":false,"suffix":""},{"dropping-particle":"","family":"Totino","given":"Valentina","non-dropping-particle":"","parse-names":false,"suffix":""},{"dropping-particle":"","family":"Checchi","given":"Monica Proietti","non-dropping-particle":"","parse-names":false,"suffix":""},{"dropping-particle":"","family":"Longhi","given":"Catia","non-dropping-particle":"","parse-names":false,"suffix":""},{"dropping-particle":"","family":"Cucchiara","given":"Salvatore","non-dropping-particle":"","parse-names":false,"suffix":""},{"dropping-particle":"","family":"Schippa","given":"Serena","non-dropping-particle":"","parse-names":false,"suffix":""}],"container-title":"Infection and immunity","id":"ITEM-8","issue":"4","issued":{"date-parts":[["2012","4"]]},"page":"1408-17","publisher":"American Society for Microbiology (ASM)","title":"Microevolution in fimH gene of mucosa-associated Escherichia coli strains isolated from pediatric patients with inflammatory bowel disease.","type":"article-journal","volume":"80"},"uris":["http://www.mendeley.com/documents/?uuid=29ce98d6-715c-38ec-beb7-c1ae2eb5c317"]},{"id":"ITEM-9","itemData":{"DOI":"10.1097/MIB.0000000000000609","ISBN":"0000000000000","ISSN":"1078-0998","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AIEC.\\n\\nMETHODS: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ELISA.\\n\\nRESULTS: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mice.\\n\\nCONCLUSIONS: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Diseases","id":"ITEM-9","issue":"1","issued":{"date-parts":[["2016"]]},"page":"68-81","title":"GipA factor supports colonization of peyer</w:instrText>
      </w:r>
      <w:r w:rsidRPr="000A6219">
        <w:rPr>
          <w:rFonts w:ascii="Times New Roman" w:eastAsia="Calibri" w:hAnsi="Times New Roman" w:cs="Times New Roman"/>
          <w:sz w:val="24"/>
          <w:szCs w:val="24"/>
          <w:lang w:val="en-US"/>
        </w:rPr>
        <w:instrText>ʼ</w:instrText>
      </w:r>
      <w:r w:rsidRPr="000A6219">
        <w:rPr>
          <w:rFonts w:ascii="Book Antiqua" w:eastAsia="Calibri" w:hAnsi="Book Antiqua" w:cs="Times New Roman"/>
          <w:sz w:val="24"/>
          <w:szCs w:val="24"/>
          <w:lang w:val="en-US"/>
        </w:rPr>
        <w:instrText>s patches by Crohn</w:instrText>
      </w:r>
      <w:r w:rsidRPr="000A6219">
        <w:rPr>
          <w:rFonts w:ascii="Times New Roman" w:eastAsia="Calibri" w:hAnsi="Times New Roman" w:cs="Times New Roman"/>
          <w:sz w:val="24"/>
          <w:szCs w:val="24"/>
          <w:lang w:val="en-US"/>
        </w:rPr>
        <w:instrText>ʼ</w:instrText>
      </w:r>
      <w:r w:rsidRPr="000A6219">
        <w:rPr>
          <w:rFonts w:ascii="Book Antiqua" w:eastAsia="Calibri" w:hAnsi="Book Antiqua" w:cs="Times New Roman"/>
          <w:sz w:val="24"/>
          <w:szCs w:val="24"/>
          <w:lang w:val="en-US"/>
        </w:rPr>
        <w:instrText>s disease-associated Escherichia coli","type":"article-journal","volume":"22"},"uris":["http://www.mendeley.com/documents/?uuid=2418af44-9b70-4aec-b95f-228644a8d509"]},{"id":"ITEM-10","itemData":{"DOI":"10.1371/journal.ppat.1003141","ISBN":"1553-7374 (Electronic)\\n1553-7366 (Linking)","ISSN":"15537366","PMID":"23358328","abstract":"Adherent-invasive Escherichia coli (AIEC) are abnormally predominant on Crohn's disease (CD) ileal mucosa. AIEC reference strain LF82 adheres to ileal enterocytes via the common type 1 pili adhesin FimH and recognizes CEACAM6 receptors abnormally expressed on CD ileal epithelial cells. The fimH genes of 45 AIEC and 47 non-AIEC strains were sequenced. The phylogenetic tree based on fimH DNA sequences indicated that AIEC strains predominantly express FimH with amino acid mutations of a recent evolutionary origin - a typical signature of pathoadaptive changes of bacterial pathogens. Point mutations in FimH, some of a unique AIEC-associated nature, confer AIEC bacteria a significantly higher ability to adhere to CEACAM-expressing T84 intestinal epithelial cells. Moreover, in the LF82 strain, the replacement of fimH(LF82) (expressing FimH with an AIEC-associated mutation) with fimH(K12) (expressing FimH of commensal E. coli K12) decreased the ability of bacteria to persist and to induce severe colitis and gut inflammation in infected CEABAC10 transgenic mice expressing human CEACAM receptors. Our results highlight a mechanism of AIEC virulence evolution that involves selection of amino acid mutations in the common bacterial traits, such as FimH protein, and leads to the development of chronic inflammatory bowel disease (IBD) in a genetically susceptible host. The analysis of fimH SNPs may be a useful method to predict the potential virulence of E. coli isolated from IBD patients for diagnostic or epidemiological studies and to identify new strategies for therapeutic intervention to block the interaction between AIEC and gut mucosa in the early stages of IBD.","author":[{"dropping-particle":"","family":"Dreux","given":"Nicolas","non-dropping-particle":"","parse-names":false,"suffix":""},{"dropping-particle":"","family":"Denizot","given":"Jérémy","non-dropping-particle":"","parse-names":false,"suffix":""},{"dropping-particle":"","family":"Martinez-Medina","given":"Margarita","non-dropping-particle":"","parse-names":false,"suffix":""},{"dropping-particle":"","family":"Mellmann","given":"Alexander","non-dropping-particle":"","parse-names":false,"suffix":""},{"dropping-particle":"","family":"Billig","given":"Maria","non-dropping-particle":"","parse-names":false,"suffix":""},{"dropping-particle":"","family":"Kisiela","given":"Dagmara","non-dropping-particle":"","parse-names":false,"suffix":""},{"dropping-particle":"","family":"Chattopadhyay","given":"Sujay","non-dropping-particle":"","parse-names":false,"suffix":""},{"dropping-particle":"","family":"Sokurenko","given":"Evgeni","non-dropping-particle":"","parse-names":false,"suffix":""},{"dropping-particle":"","family":"Neut","given":"Christel","non-dropping-particle":"","parse-names":false,"suffix":""},{"dropping-particle":"","family":"Gower-Rousseau","given":"Corinne","non-dropping-particle":"","parse-names":false,"suffix":""},{"dropping-particle":"","family":"Colombel","given":"Jean Frédéric","non-dropping-particle":"","parse-names":false,"suffix":""},{"dropping-particle":"","family":"Bonnet","given":"Richard","non-dropping-particle":"","parse-names":false,"suffix":""},{"dropping-particle":"","family":"Darfeuille-Michaud","given":"Arlette","non-dropping-particle":"","parse-names":false,"suffix":""},{"dropping-particle":"","family":"Barnich","given":"Nicolas","non-dropping-particle":"","parse-names":false,"suffix":""}],"container-title":"PLoS Pathogens","id":"ITEM-10","issue":"1","issued":{"date-parts":[["2013"]]},"page":"1-17","title":"Point mutations in FimH adhesin of Crohn's disease-associated adherent-invasive Escherichia coli enhance intestinal inflammatory response","type":"article-journal","volume":"9"},"uris":["http://www.mendeley.com/documents/?uuid=6d0e5098-37e3-4812-ad76-0a47a20bd8c1"]},{"id":"ITEM-11","itemData":{"DOI":"10.1371/journal.pone.0021199","ISSN":"1932-6203","PMID":"21698174","abstract":"Ileal lesions in Crohn's disease (CD) patients are colonized by pathogenic adherent-invasive Escherichia coli (AIEC) able to adhere to and invade intestinal epithelial cells (IEC), and to survive within macrophages. The interaction of AIEC with IEC depends on bacterial factors mainly type 1 pili, flagella, and outer membrane proteins. In humans, proteases can act as host defence mechanisms to counteract bacterial colonization. The protease meprin, composed of multimeric complexes of the two subunits alpha and beta, is abundantly expressed in IECs. Decreased levels of this protease correlate with the severity of the inflammation in patients with inflammatory bowel disease. The aim of the present study was to analyze the ability of meprin to modulate the interaction of AIEC with IECs. In patients with ileal CD we observed decreased levels of meprins, in particular that of meprin β. Dose-dependent inhibition of the abilities of AIEC strain LF82 to adhere to and invade intestinal epithelial T84 cells was observed when bacteria were pre-treated with both exogenous meprin α and meprin β. Dose-dependent proteolytic degradation of type 1 pili was observed in the presence of active meprins, but not with heat-inactivated meprins, and pretreatment of AIEC bacteria with meprins impaired their ability to bind mannosylated host receptors and led to decreased secretion of the pro-inflammatory cytokine IL-8 by infected T84 cells. Thus, decreased levels of protective meprins as observed in CD patients may contribute to increased AIEC colonization.","author":[{"dropping-particle":"","family":"Vazeille","given":"Emilie","non-dropping-particle":"","parse-names":false,"suffix":""},{"dropping-particle":"","family":"Bringer","given":"Marie-Agnès","non-dropping-particle":"","parse-names":false,"suffix":""},{"dropping-particle":"","family":"Gardarin","given":"Aurélie","non-dropping-particle":"","parse-names":false,"suffix":""},{"dropping-particle":"","family":"Chambon","given":"Christophe","non-dropping-particle":"","parse-names":false,"suffix":""},{"dropping-particle":"","family":"Becker-Pauly","given":"Christoph","non-dropping-particle":"","parse-names":false,"suffix":""},{"dropping-particle":"","family":"Pender","given":"Sylvia L F","non-dropping-particle":"","parse-names":false,"suffix":""},{"dropping-particle":"","family":"Jakob","given":"Christine","non-dropping-particle":"","parse-names":false,"suffix":""},{"dropping-particle":"","family":"Müller","given":"Stefan","non-dropping-particle":"","parse-names":false,"suffix":""},{"dropping-particle":"","family":"Lottaz","given":"Daniel","non-dropping-particle":"","parse-names":false,"suffix":""},{"dropping-particle":"","family":"Darfeuille-Michaud","given":"Arlette","non-dropping-particle":"","parse-names":false,"suffix":""}],"container-title":"PloS one","id":"ITEM-11","issue":"6","issued":{"date-parts":[["2011","1"]]},"page":"e21199","publisher":"Public Library of Science","title":"Role of meprins to protect ileal mucosa of Crohn's disease patients from colonization by adherent-invasive E. coli.","type":"article-journal","volume":"6"},"uris":["http://www.mendeley.com/documents/?uuid=d7cfac78-0c7c-4b8c-8314-27377d3912c4"]},{"id":"ITEM-12","itemData":{"DOI":"10.1111/j.1365-2958.2007.05638.x","ISBN":"0950-382X (Print)","ISSN":"0950382X","PMID":"17367388","abstract":"Ileal lesions of 36.4% of patients with Crohn's disease (CD), an inflammatory bowel disease in humans, are colonized by pathogenic adherent-invasive Escherichia coli (AIEC), and high levels of antibodies directed against E. coli OmpC are present in 37-55% of CD patients. We therefore investigated the expression of OmpC and its role in the interaction of CD-associated adherent-invasive E. coli strain LF82 with intestinal epithelial cells. High osmolarity induced a significant increase in the ability of LF82 bacteria to interact with Intestine-407 cells, which correlates with increased OmpC expression. Deletion of ompC gene markedly decreased the adhesion and invasion levels of the corresponding mutant. A LF82-DeltaompR mutant impaired in OmpC and OmpF expression, showed decreased adhesion and invasion, and unlike a K-12-negative OmpR mutant did not express flagella and type 1 pili. Interestingly, the wild-type phenotype was restored when OmpC or OmpF expression was induced in the LF82-DeltaompR mutant. Overexpression of RpoE in the LF82-DeltaompR isogenic mutant restored a full wild-type phenotype without restoring OmpC expression. Increased expression of RpoE was observed in wild-type strain LF82 at high osmolarity. Hence, the role of OmpC in the AIEC LF82 adhesion and invasion is indirect and involves the sigma(E) regulatory pathway.","author":[{"dropping-particle":"","family":"Rolhion","given":"Nathalie","non-dropping-particle":"","parse-names":false,"suffix":""},{"dropping-particle":"","family":"Carvalho","given":"Frédéric Antonio","non-dropping-particle":"","parse-names":false,"suffix":""},{"dropping-particle":"","family":"Darfeuille-Michaud","given":"Arlette","non-dropping-particle":"","parse-names":false,"suffix":""}],"container-title":"Molecular Microbiology","id":"ITEM-12","issue":"6","issued":{"date-parts":[["2007"]]},"page":"1684-1700","title":"OmpC and the σE regulatory pathway are involved in adhesion and invasion of the Crohn's disease-associated Escherichia coli strain LF82","type":"article-journal","volume":"63"},"uris":["http://www.mendeley.com/documents/?uuid=4f445c77-5687-46c0-9b78-b65ef6cd1ddc"]},{"id":"ITEM-13","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Journal","id":"ITEM-13","issue":"5","issued":{"date-parts":[["2007","9","12"]]},"note":"Ref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-14","itemData":{"DOI":"10.1097/MIB.0000000000000282","ISBN":"0000000000000","ISSN":"15364844","PMID":"25590952","abstract":"BACKGROUND: Adherent-invasive Escherichia coli (AIEC) colonization has been strongly implicated in the pathogenesis of Crohn's disease. Environmental triggers such as vitamin D deficiency have emerged as key factors in the pathogenesis of inflammatory bowel diseases. The aim of this study was to investigate the effects of 1,25(OH)2D3 on AIEC infection-induced changes in vivo and in vitro.\\n\\nMETHODS: Barrier function was assessed in polarized epithelial Caco-2-bbe cells grown in medium with or without vitamin D and challenged with AIEC strain LF82. Weaned C57BL/6 mice were fed either a vitamin D-sufficient or -deficient diet for 5 weeks and then infected with AIEC, in the absence and presence of low-dose dextran sodium sulphate. Disease severity was assessed by histological analysis and in vivo intestinal permeability assay. Presence of invasive bacteria was assessed by transmission electron microscopy.\\n\\nRESULTS: Caco-2-bbe cells incubated with 1,25(OH)2D3 were protected against AIEC-induced disruption of transepithelial electrical resistance and tight-junction protein redistribution. Vitamin D-deficient C57BL/6 mice given a course of 2% dextran sodium sulphate exhibited pronounced epithelial barrier dysfunction, were more susceptible to AIEC colonization, and showed exacerbated colonic injury. Transmission electron microscopy of colonic tissue from infected mice demonstrated invasion of AIEC and fecal microbiome analysis revealed shifts in microbial communities.\\n\\nCONCLUSIONS: These data show that vitamin D is able to mitigate the deleterious effects of AIEC on the intestinal mucosa, by maintaining intestinal epithelial barrier homeostasis and preserving tight-junction architecture. This study highlights the association between vitamin D status, dysbiosis, and Crohn's disease.","author":[{"dropping-particle":"","family":"Assa","given":"Amit","non-dropping-particle":"","parse-names":false,"suffix":""},{"dropping-particle":"","family":"Vong","given":"Linda","non-dropping-particle":"","parse-names":false,"suffix":""},{"dropping-particle":"","family":"Pinnell","given":"Lee J.","non-dropping-particle":"","parse-names":false,"suffix":""},{"dropping-particle":"","family":"Rautava","given":"Jaana","non-dropping-particle":"","parse-names":false,"suffix":""},{"dropping-particle":"","family":"Avitzur","given":"Naama","non-dropping-particle":"","parse-names":false,"suffix":""},{"dropping-particle":"","family":"Johnson-Henry","given":"Kathene C.","non-dropping-particle":"","parse-names":false,"suffix":""},{"dropping-particle":"","family":"Sherman","given":"Philip M.","non-dropping-particle":"","parse-names":false,"suffix":""}],"container-title":"Inflammatory Bowel Diseases","id":"ITEM-14","issue":"2","issued":{"date-parts":[["2015"]]},"page":"297-306","title":"Vitamin D deficiency predisposes to adherent-invasive escherichia coli-induced barrier dysfunction and experimental colonic injury","type":"article-journal","volume":"21"},"uris":["http://www.mendeley.com/documents/?uuid=4eed921c-91a5-4900-90b2-43be204cd8ee"]},{"id":"ITEM-15","itemData":{"DOI":"10.1128/IAI.72.5.2484-2493.2004","ISBN":"0019-9567 (Print)\\n0019-9567 (Linking)","ISSN":"00199567","PMID":"15102755","abstract":"Escherichia coli strain LF82 recovered from a chronic lesion of a patient with Crohn's disease (CD) is able to adhere to and invade cultured intestinal epithelial cells and to replicate within macrophages. One mutant selected for its impaired ability to invade epithelial cells had an insertion of a Tn phoA transposon within the nlpI gene encoding the lipoprotein NlpI. A NlpI-negative isogenic mutant showed a 35-fold decrease in its ability to adhere to and a 45-fold decrease in its ability to invade Intestine-407 cells, but its ability to survive and to replicate within macrophages was similar to that of wild-type strain LF82. In addition, this mutant did not express flagella and synthesized very small amounts of type 1 pili. Downregulation of type 1 pili in the NlpI-negative mutant resulted from a preferential switch toward the OFF position of the invertible DNA element located upstream of the fim operon. The FimB and FimE recombinases act in concert to control the switch, and a large decrease in fimB and fimE mRNA levels was observed. The absence of flagellar structures correlated with a drastic 19-fold decrease in the fliC mRNA level, regardless of the FlhD2C2 transcriptional regulator and of the {sigma}28 transcription factor. The key role of NlpI in virulence is independent of type 1 pili and motility, since induced type 1 pilus expression and/or forced contact between bacteria and intestinal epithelial cells did not restore the ability of the NlpI mutant to adhere to and to invade intestinal epithelial cells.","author":[{"dropping-particle":"","family":"Barnich","given":"Nicolas","non-dropping-particle":"","parse-names":false,"suffix":""},{"dropping-particle":"","family":"Bringer","given":"Marie Agnès","non-dropping-particle":"","parse-names":false,"suffix":""},{"dropping-particle":"","family":"Claret","given":"Laurent","non-dropping-particle":"","parse-names":false,"suffix":""},{"dropping-particle":"","family":"Daffeuille-Michaud","given":"Arlette","non-dropping-particle":"","parse-names":false,"suffix":""}],"container-title":"Infection and Immunity","id":"ITEM-15","issue":"5","issued":{"date-parts":[["2004"]]},"page":"2484-2493","title":"Involvement of lipoprotein NlpI in the virulence of adherent invasive Escherichia coli strain LF82 isolated from a patient with Crohn's disease","type":"article-journal","volume":"72"},"uris":["http://www.mendeley.com/documents/?uuid=b7dc45dd-05d2-4c57-be8d-b1a6907942cb"]},{"id":"ITEM-16","itemData":{"DOI":"10.1016/j.dld.2014.02.009","ISBN":"1878-3562 1590-8658","ISSN":"18783562","PMID":"24631031","abstract":"Background: Crohn's disease is a multifactorial disease in which an aberrant immune response to commensal intestinal microbiota leads to chronic inflammation. The small intestine of patients with Crohn's disease is colonized by a group of adherent-invasive Escherichia coli strongly able to adhere and invade intestinal epithelial cells lactoferrin is an iron-binding glycoprotein known to have anti-bacterial and anti-inflammatory activities. Aims: We explore the ability of bovine lactoferrin to modulate the interactions between the adherent-invasive E. coli strain LF82 and intestinal epithelial cells as well as the inflammatory response. Methods: Bacterial adhesion and invasion assays were used to assess the antimicrobial activity of lactoferrin. Electron microscopy was used to characterize bacteria-cell interactions. The mRNA expression of pro-inflammatory cytokines was measured both in cultured cells and in biopsies taken from intestine of patients affected by Crohn's disease. Results: Lactoferrin inhibited bacterial invasion through minimally affecting adhesion. This divergence was due to a mannose-dependent lactoferrin binding to the bacterial type 1 pili and consequent bacterial aggregation on the intestinal epithelial cell surface. Expression of pro-inflammatory cytokines, such as TNF-alpha, IL-8, and IL-6, was markedly inhibited by lactoferrin both in cultured and Crohn-derived intestinal cells. Conclusions: Bovine lactoferrin might function via an antibacterial and/or anti-inflammatory mechanism in the treatment of Crohn's disease. © 2014 Editrice Gastroenterologica Italiana S.r.l.","author":[{"dropping-particle":"","family":"Bertuccini","given":"Lucia","non-dropping-particle":"","parse-names":false,"suffix":""},{"dropping-particle":"","family":"Costanzo","given":"Manuela","non-dropping-particle":"","parse-names":false,"suffix":""},{"dropping-particle":"","family":"Iosi","given":"Francesca","non-dropping-particle":"","parse-names":false,"suffix":""},{"dropping-particle":"","family":"Tinari","given":"Antonella","non-dropping-particle":"","parse-names":false,"suffix":""},{"dropping-particle":"","family":"Terruzzi","given":"Fabio","non-dropping-particle":"","parse-names":false,"suffix":""},{"dropping-particle":"","family":"Stronati","given":"Laura","non-dropping-particle":"","parse-names":false,"suffix":""},{"dropping-particle":"","family":"Aloi","given":"Marina","non-dropping-particle":"","parse-names":false,"suffix":""},{"dropping-particle":"","family":"Cucchiara","given":"Salvatore","non-dropping-particle":"","parse-names":false,"suffix":""},{"dropping-particle":"","family":"Superti","given":"Fabiana","non-dropping-particle":"","parse-names":false,"suffix":""}],"container-title":"Digestive and Liver Disease","id":"ITEM-16","issue":"6","issued":{"date-parts":[["2014"]]},"page":"496-504","title":"Lactoferrin prevents invasion and inflammatory response following E. coli strain LF82 infection in experimental model of Crohn's disease","type":"article-journal","volume":"46"},"uris":["http://www.mendeley.com/documents/?uuid=4920b1f7-0442-4476-8b6b-69450730e683"]},{"id":"ITEM-17","itemData":{"DOI":"10.1016/j.ijmm.2007.05.011","ISBN":"1618-0607 (Electronic)","ISSN":"14384221","PMID":"17900983","abstract":"Inflammatory diseases of the intestinal tract are a major health concern both in the United States and around the world. Evidence now suggests that a new category of Escherichia coli, designated Adherent Invasive E. coli (AIEC) is highly prevalent in Crohn's Disease (CD) patients. AIEC strains have been shown to colonize and adhere to intestinal epithelial cells (IEC). However, the role AIEC strains play in the induction of an inflammatory response is not known. Therefore, we examined several E. coli strains (designated LF82, O83:H1, 6604 and 6655) that were isolated from CD patients for their ability to induce inflammation in two IEC, Caco-2BBe and T-84 cells. Results showed that each strain had varying abilities to adhere to and invade IEC as well as induced cytokine secretion from polarized IEC. However, E. coli O83:H1 displayed the best characteristics of AIEC strains as compared to the prototype AIEC strain LF82, inducing cytokine secretion from IEC and promoting immune cell migration through IEC. Upon further analysis, E. coli O83:H1 did not harbor virulence genes present in known pathogenic intestinal organisms. Further characterization of E. coli O83:H1 virulence determinants showed that a non-flagellated O83:H1 strain significantly decreased the organism's ability to adhere to and invade both IEC and elicit IEC cytokine secretion compared to the wild type and complemented strains. These findings demonstrate that E. coli O83:H1 possesses the characteristics of the AIEC LF82 strain that may contribute to the low-grade, chronic inflammation observed in Crohn's disease. © 2007 Elsevier GmbH. All rights reserved.","author":[{"dropping-particle":"","family":"Eaves-Pyles","given":"Tonyia","non-dropping-particle":"","parse-names":false,"suffix":""},{"dropping-particle":"","family":"Allen","given":"Christopher a.","non-dropping-particle":"","parse-names":false,"suffix":""},{"dropping-particle":"","family":"Taormina","given":"Joanna","non-dropping-particle":"","parse-names":false,"suffix":""},{"dropping-particle":"","family":"Swidsinski","given":"Alexander","non-dropping-particle":"","parse-names":false,"suffix":""},{"dropping-particle":"","family":"Tutt","given":"Christopher B.","non-dropping-particle":"","parse-names":false,"suffix":""},{"dropping-particle":"","family":"Eric Jezek","given":"G.","non-dropping-particle":"","parse-names":false,"suffix":""},{"dropping-particle":"","family":"Islas-Islas","given":"Martha","non-dropping-particle":"","parse-names":false,"suffix":""},{"dropping-particle":"","family":"Torres","given":"Alfredo G.","non-dropping-particle":"","parse-names":false,"suffix":""}],"container-title":"International Journal of Medical Microbiology","id":"ITEM-17","issue":"5-6","issued":{"date-parts":[["2008"]]},"page":"397-409","title":"Escherichia coli isolated from a Crohn's disease patient adheres, invades, and induces inflammatory responses in polarized intestinal epithelial cells","type":"article-journal","volume":"298"},"uris":["http://www.mendeley.com/documents/?uuid=431c6366-dc5e-4092-b1a5-302706872a16"]},{"id":"ITEM-18","itemData":{"DOI":"10.1046/j.1365-2958.2001.02315.x","ISBN":"1365-2958","ISSN":"0950382X","PMID":"11251843","abstract":"We previously characterized the invasive ability of Escherichia coli strain LF82, isolated from an ileal biopsy of a patient with Crohn's disease. In the present study, we performed TnphoA insertion mutagenesis to identify genes involved in LF82 invasion of intestinal epithelial cells. Most of the non-invasive mutants had an insertion mutation within the type 1 pili-encoding operon. Two non-invasive fim mutants, which harboured an insertion within the fimI and fimF genes, still adhered but had lost the ability to induce host cell membrane elongations at the sites of contact with the epithelial cells. Transcomplementation experiments with a fim operon cloned from E. coli K-12 restored both invasive ability and the ability to induce host cell membrane elongations. Expression of the cloned LF82 or K-12 fim operon into the non-invasive laboratory strain JM109 did not confer invasive properties. Thus, these findings showed that: (i) type 1 pili-mediated adherence is involved in LF82-induced perturbation of host cell signalling responsible for membrane elongations; (ii) native shafts are required for type 1 pilus-mediated induction of membrane elongations; (iii) this active phenomenon is a key step in the establishment of the invasive process; and (iv) type 1 pili alone are not sufficient to trigger bacterial internalization.","author":[{"dropping-particle":"","family":"Boudeau","given":"J.","non-dropping-particle":"","parse-names":false,"suffix":""},{"dropping-particle":"","family":"Barnich","given":"N.","non-dropping-particle":"","parse-names":false,"suffix":""},{"dropping-particle":"","family":"Darfeuille-Michaud","given":"a.","non-dropping-particle":"","parse-names":false,"suffix":""}],"container-title":"Molecular Microbiology","id":"ITEM-18","issue":"5","issued":{"date-parts":[["2001"]]},"page":"1272-1284","title":"Type 1 pili-mediated adherence of Escherichia coli strain LF82 isolated from Crohn's disease is involved in bacterial invasion of intestinal epithelial cells","type":"article-journal","volume":"39"},"uris":["http://www.mendeley.com/documents/?uuid=b17a19be-8d04-49f4-8b99-8a9f2b4c84f5"]},{"id":"ITEM-19","itemData":{"ISSN":"0019-9567","PMID":"10456892","abstract":"Crohn's disease (CD) is an inflammatory bowel disease in which Escherichia coli strains have been suspected of being involved. We demonstrated previously that ileal lesions of CD are colonized by E. coli strains able to adhere to intestinal Caco-2 cells but devoid of the virulence genes so far described in the pathogenic E. coli strains involved in gastrointestinal infections. In the present study we compared the invasive ability of one of these strains isolated from an ileal biopsy of a patient with CD, strain LF82, with that of reference enteroinvasive (EIEC), enteropathogenic (EPEC), enterotoxigenic (ETEC), enteraggregative (EAggEC), enterohemorrhagic (EHEC), and diffusely adhering (DAEC) E. coli strains. Gentamicin protection assays showed that E. coli LF82 was able to efficiently invade HEp-2 cells. Its invasive level was not significantly different from that of EIEC and EPEC strains (P &gt; 0.5) but significantly higher than that of ETEC (P &lt; 0.03), EHEC (P &lt; 0. 005), EAggEC (P &lt; 0.004) and DAEC (P &lt; 0.02) strains. Strain LF82 also demonstrated efficient ability to invade intestinal epithelial cultured Caco-2, Intestine-407, and HCT-8 cells. Electron microscopy examination of infected HEp-2 cells revealed the presence of numerous intracellular bacteria located in vacuoles or free in the host cell cytoplasm. In addition, the interaction of strain LF82 with epithelial cells was associated with the elongation of microvillar extensions that extruded from the host cell membranes and engulfed the bacteria. This internalization mechanism strongly resembles Salmonella- or Shigella-induced macropinocytosis. The use of cytochalasin D and colchicine showed that the uptake of strain LF82 by HEp-2 cells was mediated by both an actin microfilament-dependent mechanism and microtubule involvement. In addition, strain LF82 survived for at least 24 h in HEp-2 and Intestine-407 cells and efficiently replicated intracellularly in HEp-2 cells. PCR and hybridization experiments did not reveal the presence of any of the genetic determinants encoding EIEC, EPEC, or ETEC proteins involved in bacterial invasion. Thus, these findings show that LF82, which colonized the ileal mucosa of a patient with CD, is a true invasive E. coli strain and suggest the existence of a new potentially pathogenic group of E. coli, which we propose be designated adherent-invasive E. coli.","author":[{"dropping-particle":"","family":"Boudeau","given":"J","non-dropping-particle":"","parse-names":false,"suffix":""},{"dropping-particle":"","family":"Glasser","given":"A L","non-dropping-particle":"","parse-names":false,"suffix":""},{"dropping-particle":"","family":"Masseret","given":"E","non-dropping-particle":"","parse-names":false,"suffix":""},{"dropping-particle":"","family":"Joly","given":"B","non-dropping-particle":"","parse-names":false,"suffix":""},{"dropping-particle":"","family":"Darfeuille-Michaud","given":"A","non-dropping-particle":"","parse-names":false,"suffix":""}],"container-title":"Infection and immunity","id":"ITEM-19","issue":"9","issued":{"date-parts":[["1999","9"]]},"page":"4499-509","title":"Invasive ability of an Escherichia coli strain isolated from the ileal mucosa of a patient with Crohn's disease.","type":"article-journal","volume":"67"},"uris":["http://www.mendeley.com/documents/?uuid=63c1ac8a-f8e0-4620-b143-f67cd50e791a"]},{"id":"ITEM-20","itemData":{"DOI":"10.1111/cmi.12539","ISSN":"14625814","author":[{"dropping-particle":"","family":"Gibold","given":"Lucie","non-dropping-particle":"","parse-names":false,"suffix":""},{"dropping-particle":"","family":"Garenaux","given":"Estelle","non-dropping-particle":"","parse-names":false,"suffix":""},{"dropping-particle":"","family":"Dalmasso","given":"Guillaume","non-dropping-particle":"","parse-names":false,"suffix":""},{"dropping-particle":"","family":"Gallucci","given":"Camille","non-dropping-particle":"","parse-names":false,"suffix":""},{"dropping-particle":"","family":"Cia","given":"David","non-dropping-particle":"","parse-names":false,"suffix":""},{"dropping-particle":"","family":"Mottet-Auselo","given":"Benoit","non-dropping-particle":"","parse-names":false,"suffix":""},{"dropping-particle":"","family":"Faïs","given":"Tiphanie","non-dropping-particle":"","parse-names":false,"suffix":""},{"dropping-particle":"","family":"Darfeuille-Michaud","given":"Arlette","non-dropping-particle":"","parse-names":false,"suffix":""},{"dropping-particle":"","family":"Nguyen","given":"Hang Thi Thu","non-dropping-particle":"","parse-names":false,"suffix":""},{"dropping-particle":"","family":"Barnich","given":"Nicolas","non-dropping-particle":"","parse-names":false,"suffix":""},{"dropping-particle":"","family":"Bonnet","given":"Richard","non-dropping-particle":"","parse-names":false,"suffix":""},{"dropping-particle":"","family":"Delmas","given":"Julien","non-dropping-particle":"","parse-names":false,"suffix":""}],"container-title":"Cellular Microbiology","id":"ITEM-20","issued":{"date-parts":[["2015"]]},"page":"n/a-n/a","title":"The Vat-AIEC protease promotes crossing of the intestinal mucus layer by Crohn's disease-associated &lt;i&gt;Escherichia coli&lt;/i&gt;","type":"article-journal"},"uris":["http://www.mendeley.com/documents/?uuid=07ee6357-c68d-47d7-a5b0-2488abde1cf3"]},{"id":"ITEM-21","itemData":{"DOI":"10.1128/IAI.00067-06","ISSN":"0019-9567","PMID":"16861666","abstract":"The mucosa-associated microflora is increasingly considered to play a pivotal role in the pathogenesis of inflammatory bowel disease. This study explored the possibility that an abnormal mucosal flora is involved in the etiopathogenesis of granulomatous colitis of Boxer dogs (GCB). Colonic biopsy samples from affected dogs (n = 13) and controls (n = 38) were examined by fluorescent in situ hybridization (FISH) with a eubacterial 16S rRNA probe. Culture, 16S ribosomal DNA sequencing, and histochemistry were used to guide subsequent FISH. GCB-associated Escherichia coli isolates were evaluated for their ability to invade and persist in cultured epithelial cells and macrophages as well as for serotype, phylogenetic group, genome size, overall genotype, and presence of virulence genes. Intramucosal gram-negative coccobacilli were present in 100% of GCB samples but not controls. Invasive bacteria hybridized with FISH probes to E. coli. Three of four GCB-associated E. coli isolates adhered to, invaded, and replicated within cultured epithelial cells. Invasion triggered a \"splash\"-type response, was decreased by cytochalasin D, genistein, colchicine, and wortmannin, and paralleled the behavior of the Crohn's disease-associated strain E. coli LF 82. GCB E. coli and LF 82 were diverse in serotype and overall genotype but similar in phylogeny (B2 and D), in virulence gene profiles (fyuA, irp1, irp2, chuA, fepC, ibeA, kpsMII, iss), in having a larger genome size than commensal E. coli, and in the presence of novel multilocus sequence types. We conclude that GCB is associated with selective intramucosal colonization by E. coli. E. coli strains associated with GCB and Crohn's disease have an adherent and invasive phenotype and novel multilocus sequence types and resemble E. coli associated with extraintestinal disease in phylogeny and virulence gene profile.","author":[{"dropping-particle":"","family":"Simpson","given":"Kenneth W","non-dropping-particle":"","parse-names":false,"suffix":""},{"dropping-particle":"","family":"Dogan","given":"Belgin","non-dropping-particle":"","parse-names":false,"suffix":""},{"dropping-particle":"","family":"Rishniw","given":"Mark","non-dropping-particle":"","parse-names":false,"suffix":""},{"dropping-particle":"","family":"Goldstein","given":"Richard E","non-dropping-particle":"","parse-names":false,"suffix":""},{"dropping-particle":"","family":"Klaessig","given":"Suzanne","non-dropping-particle":"","parse-names":false,"suffix":""},{"dropping-particle":"","family":"McDonough","given":"Patrick L","non-dropping-particle":"","parse-names":false,"suffix":""},{"dropping-particle":"","family":"German","given":"Alex J","non-dropping-particle":"","parse-names":false,"suffix":""},{"dropping-particle":"","family":"Yates","given":"Robin M","non-dropping-particle":"","parse-names":false,"suffix":""},{"dropping-particle":"","family":"Russell","given":"David G","non-dropping-particle":"","parse-names":false,"suffix":""},{"dropping-particle":"","family":"Johnson","given":"Susan E","non-dropping-particle":"","parse-names":false,"suffix":""},{"dropping-particle":"","family":"Berg","given":"Douglas E","non-dropping-particle":"","parse-names":false,"suffix":""},{"dropping-particle":"","family":"Harel","given":"Josee","non-dropping-particle":"","parse-names":false,"suffix":""},{"dropping-particle":"","family":"Bruant","given":"Guillaume","non-dropping-particle":"","parse-names":false,"suffix":""},{"dropping-particle":"","family":"McDonough","given":"Sean P","non-dropping-particle":"","parse-names":false,"suffix":""},{"dropping-particle":"","family":"Schukken","given":"Ynte H","non-dropping-particle":"","parse-names":false,"suffix":""}],"container-title":"Infection and immunity","id":"ITEM-21","issue":"8","issued":{"date-parts":[["2006","8"]]},"page":"4778-92","publisher":"American Society for Microbiology (ASM)","title":"Adherent and invasive Escherichia coli is associated with granulomatous colitis in boxer dogs.","type":"article-journal","volume":"74"},"uris":["http://www.mendeley.com/documents/?uuid=b197a317-e61f-39b5-93f7-5074795b1111"]},{"id":"ITEM-22","itemData":{"DOI":"10.1053/j.gastro.2013.05.017","ISSN":"1528-0012","PMID":"23684751","abstract":"BACKGROUND &amp; AIMS: Inducible chitinase 3-like-1 is expressed by intestinal epithelial cells (IECs) and adheres to bacteria under conditions of inflammation. We performed a structure-function analysis of the chitin-binding domains encoded by the chiA gene, which mediates the pathogenic effects of adherent invasive Escherichia coli (AIEC).\n\nMETHODS: We created AIEC (strain LF82) with deletion of chiA (LF82-ΔchiA) or that expressed chiA with specific mutations. We investigated the effects of infecting different IEC lines with these bacteria compared with nonpathogenic E coli; chitinase activities were measured using the colloidal chitin-azure method. Colitis was induced in C57/Bl6 mice by administration of dextran sodium sulfate, and mice were given 10(8) bacteria for 15 consecutive days by gavage. Stool/tissue samples were collected and analyzed.\n\nRESULTS: LF82-ΔchiA had significantly less adhesion to IEC lines than LF82. Complementation of LF82-ΔchiA with the LF82 chiA gene, but not chiA from nonpathogenic (K12) E coli, increased adhesion. We identified 5 specific polymorphisms in the chitin-binding domain of LF82 chiA (at amino acids 362, 370, 378, 388, and 548) that differ from chiA of K12 and were required for LF82 to interact directly with IECs. This interaction was mediated by an N-glycosylated asparagine in chitinase 3-like-1 (amino acid 68) on IECs. Mice infected with LF82, or LF82-ΔchiA complemented with LF82 chiA, developed more severe colitis after administration of dextran sodium sulfate than mice infected with LF82-ΔchiA or LF82 that expressed mutant forms of chiA.\n\nCONCLUSIONS: AIEC adheres to an N-glycosylated chitinase 3-like-1 on IECs via the chitin-binding domain of chiA. This mechanism promotes the pathogenic effects of AIEC in mice with colitis.","author":[{"dropping-particle":"","family":"Low","given":"Daren","non-dropping-particle":"","parse-names":false,"suffix":""},{"dropping-particle":"","family":"Tran","given":"Hoa T","non-dropping-particle":"","parse-names":false,"suffix":""},{"dropping-particle":"","family":"Lee","given":"In-Ah","non-dropping-particle":"","parse-names":false,"suffix":""},{"dropping-particle":"","family":"Dreux","given":"Nicolas","non-dropping-particle":"","parse-names":false,"suffix":""},{"dropping-particle":"","family":"Kamba","given":"Alan","non-dropping-particle":"","parse-names":false,"suffix":""},{"dropping-particle":"","family":"Reinecker","given":"Hans-Christian","non-dropping-particle":"","parse-names":false,"suffix":""},{"dropping-particle":"","family":"Darfeuille-Michaud","given":"Arlette","non-dropping-particle":"","parse-names":false,"suffix":""},{"dropping-particle":"","family":"Barnich","given":"Nicolas","non-dropping-particle":"","parse-names":false,"suffix":""},{"dropping-particle":"","family":"Mizoguchi","given":"Emiko","non-dropping-particle":"","parse-names":false,"suffix":""}],"container-title":"Gastroenterology","id":"ITEM-22","issue":"3","issued":{"date-parts":[["2013","9"]]},"page":"602-12.e9","title":"Chitin-binding domains of Escherichia coli ChiA mediate interactions with intestinal epithelial cells in mice with colitis.","type":"article-journal","volume":"145"},"uris":["http://www.mendeley.com/documents/?uuid=485e80a9-7d98-46c1-a31a-a6dac6c43ecf"]},{"id":"ITEM-23","itemData":{"author":[{"dropping-particle":"","family":"Lapaquette","given":"Pierre","non-dropping-particle":"","parse-names":false,"suffix":""},{"dropping-particle":"","family":"Darfeuille-michaud","given":"Arlette","non-dropping-particle":"","parse-names":false,"suffix":""}],"container-title":"Journal of Clinical Gastroenterology","id":"ITEM-23","issue":"00","issued":{"date-parts":[["2010"]]},"page":"1-4","title":"Abnormalities in the handling of intracellular bacteria in Crohn’s disease","type":"article-journal","volume":"00"},"uris":["http://www.mendeley.com/documents/?uuid=ec7cd705-8c32-4e07-b2c6-374c17b27805"]},{"id":"ITEM-24","itemData":{"DOI":"10.1111/j.1462-2920.2012.02824.x","ISBN":"1462-2920 (Electronic)\\n1462-2912 (Linking)","ISSN":"14622912","PMID":"22789019","abstract":"Ileal lesions of patients with Crohn's disease are colonized by adherent-invasive Escherichia coli (AIEC). The earliest lesions of recurrent Crohn's disease are erosions of Peyer's patches (PP). We recently reported the presence of a functional lpf operon in AIEC, encoding long polar fimbriae (LPF), that allows AIEC bacteria to interact with PP and to translocate across M cells. The aim of this study was to analyse the effect of gastrointestinal conditions on LPF expression in AIEC strains. The LF82 bacterial growth in an acid pH medium or at high osmolarity medium had no effect on lpf transcription level, in contrast to bacterial growth in the presence of bile salts, which promoted activation of lpf transcription. When cultured in the presence of bile salt, LF82 wild-type bacteria, but not the isogenic mutant deleted for lpfA, exhibited a higher level of interaction with PP and a higher level of translocation through M cell monolayers. The FhlA transcriptional factor was found to be a key bacterial regulator at the origin of LPF expression in the presence of bile salts.","author":[{"dropping-particle":"","family":"Chassaing","given":"Benoit","non-dropping-particle":"","parse-names":false,"suffix":""},{"dropping-particle":"","family":"Etienne-Mesmin","given":"Lucie","non-dropping-particle":"","parse-names":false,"suffix":""},{"dropping-particle":"","family":"Bonnet","given":"Richard","non-dropping-particle":"","parse-names":false,"suffix":""},{"dropping-particle":"","family":"Darfeuille-Michaud","given":"Arlette","non-dropping-particle":"","parse-names":false,"suffix":""}],"container-title":"Environmental Microbiology","id":"ITEM-24","issue":"2","issued":{"date-parts":[["2013"]]},"page":"355-371","title":"Bile salts induce long polar fimbriae expression favouring Crohn's disease-associated adherent-invasive Escherichia coli interaction with Peyer's patches","type":"article-journal","volume":"15"},"uris":["http://www.mendeley.com/documents/?uuid=43d7afb7-1c50-4ec1-a378-28bd123e96d2"]},{"id":"ITEM-25","itemData":{"DOI":"10.3389/fmicb.2018.02559","ISSN":"1664-302X","PMID":"30425690","abstract":"Dysbiosis of the gut microbiome, including elevated abundance of putative leading bacterial triggers such as E. coli in inflammatory bowel disease (IBD) patients, is of great interest. To date, most E. coli studies in IBD patients are focused on clinical isolates, overlooking their relative abundances and turnover over time. Metagenomics-based studies, on the other hand, are less focused on strain-level investigations. Here, using recently developed bioinformatic tools, we analyzed the abundance and properties of specific E. coli strains in a Crohns disease (CD) patient longitudinally, while also considering the composition of the entire community over time. In this report, we conducted a pilot study on metagenomic-based, strain-level analysis of a time-series of E. coli strains in a left-sided CD patient, who exhibited sustained levels of E. coli greater than 100X healthy controls. We: (1) mapped out the composition of the gut microbiome over time, particularly the presence of E. coli strains, and found that the abundance and dominance of specific E. coli strains in the community varied over time; (2) performed strain-level de novo assemblies of seven dominant E. coli strains, and illustrated disparity between these strains in both phylogenetic origin and genomic content; (3) observed that strain ST1 (recovered during peak inflammation) is highly similar to known pathogenic AIEC strains NC101 and LF82 in both virulence factors and metabolic functions, while other strains (ST2-ST7) that were collected during more stable states displayed diverse characteristics; (4) isolated, sequenced, experimentally characterized ST1, and confirmed the accuracy of the de novo assembly; and (5) assessed growth capability of ST1 with a newly reconstructed genome-scale metabolic model of the strain, and showed its potential to use substrates found abundantly in the human gut to outcompete other microbes. In conclusion, inflammation status (assessed by the blood C-reactive protein and stool calprotectin) is likely correlated with the abundance of a subgroup of E. coli strains with specific traits. Therefore, strain-level time-series analysis of dominant E. coli strains in a CD patient is highly informative, and motivates a study of a larger cohort of IBD patients.","author":[{"dropping-particle":"","family":"Fang","given":"Xin","non-dropping-particle":"","parse-names":false,"suffix":""},{"dropping-particle":"","family":"Monk","given":"Jonathan M","non-dropping-particle":"","parse-names":false,"suffix":""},{"dropping-particle":"","family":"Nurk","given":"Sergey","non-dropping-particle":"","parse-names":false,"suffix":""},{"dropping-particle":"","family":"Akseshina","given":"Margarita","non-dropping-particle":"","parse-names":false,"suffix":""},{"dropping-particle":"","family":"Zhu","given":"Qiyun","non-dropping-particle":"","parse-names":false,"suffix":""},{"dropping-particle":"","family":"Gemmell","given":"Christopher","non-dropping-particle":"","parse-names":false,"suffix":""},{"dropping-particle":"","family":"Gianetto-Hill","given":"Connor","non-dropping-particle":"","parse-names":false,"suffix":""},{"dropping-particle":"","family":"Leung","given":"Nelly","non-dropping-particle":"","parse-names":false,"suffix":""},{"dropping-particle":"","family":"Szubin","given":"Richard","non-dropping-particle":"","parse-names":false,"suffix":""},{"dropping-particle":"","family":"Sanders","given":"Jon","non-dropping-particle":"","parse-names":false,"suffix":""},{"dropping-particle":"","family":"Beck","given":"Paul L","non-dropping-particle":"","parse-names":false,"suffix":""},{"dropping-particle":"","family":"Li","given":"Weizhong","non-dropping-particle":"","parse-names":false,"suffix":""},{"dropping-particle":"","family":"Sandborn","given":"William J","non-dropping-particle":"","parse-names":false,"suffix":""},{"dropping-particle":"","family":"Gray-Owen","given":"Scott D","non-dropping-particle":"","parse-names":false,"suffix":""},{"dropping-particle":"","family":"Knight","given":"Rob","non-dropping-particle":"","parse-names":false,"suffix":""},{"dropping-particle":"","family":"Allen-Vercoe","given":"Emma","non-dropping-particle":"","parse-names":false,"suffix":""},{"dropping-particle":"","family":"Palsson","given":"Bernhard O","non-dropping-particle":"","parse-names":false,"suffix":""},{"dropping-particle":"","family":"Smarr","given":"Larry","non-dropping-particle":"","parse-names":false,"suffix":""}],"container-title":"Frontiers in microbiology","id":"ITEM-25","issued":{"date-parts":[["2018"]]},"page":"2559","publisher":"Frontiers Media SA","title":"Metagenomics-based, strain-level analysis of Escherichia coli from a time-series of microbiome samples from a Crohn's disease patient.","type":"article-journal","volume":"9"},"uris":["http://www.mendeley.com/documents/?uuid=dbc65b36-27a3-3512-99c7-b009b97bd826"]},{"id":"ITEM-26","itemData":{"DOI":"10.1007/s00284-011-9947-8","ISSN":"03438651","PMID":"21626145","abstract":"The etiopathogenesis of Crohn's disease (CD) is still controversial: several genetic, immunologic, and environmental factors, including some bacteria, have been implicated. This study has been devised to assess the involvement of Escherichia coli in CD. Seven E. coli strains were isolated from 14 biopsies obtained from ileocolic ulcers of patients affected by inflammatory bowel disease (IBD), including six with ulcerative colitis and eight with CD. Five strains, exclusively isolated from CD patients, were found inside mucosal cells. Different PCR techniques (for chuA, yjaA, TspE4.C2, escV, and bfpB genes) were performed and PFGE was carried out to characterize these bacteria in comparison with other E. coli strains isolated from non-IBD specimens. The correlation of these characters with bacterial invasiveness on intestinal (Caco-2) and phagocytic (U937) cells was assessed. Overall our pilot data suggest that five among eight strains isolated from CD patients belonged to the adherent-invasive E. coli (AIEC) group, and were invasive on Caco-2 cells and resistant to phagocytosis. These findings suggest that these bacteria could be considered target organisms whose elimination could reduce the intestinal inflammatory process and CD progression.","author":[{"dropping-particle":"","family":"Raso","given":"Tiziana","non-dropping-particle":"","parse-names":false,"suffix":""},{"dropping-particle":"","family":"Crivellaro","given":"Sabrina","non-dropping-particle":"","parse-names":false,"suffix":""},{"dropping-particle":"","family":"Chirillo","given":"Maria Gabriella","non-dropping-particle":"","parse-names":false,"suffix":""},{"dropping-particle":"","family":"Pais","given":"Paolo","non-dropping-particle":"","parse-names":false,"suffix":""},{"dropping-particle":"","family":"Gaia","given":"Ezio","non-dropping-particle":"","parse-names":false,"suffix":""},{"dropping-particle":"","family":"Savoia","given":"Dianella","non-dropping-particle":"","parse-names":false,"suffix":""}],"container-title":"Current Microbiology","id":"ITEM-26","issue":"2","issued":{"date-parts":[["2011"]]},"page":"131-137","title":"Analysis of escherichia coli isolated from patients affected by Crohn's Disease","type":"article-journal","volume":"63"},"uris":["http://www.mendeley.com/documents/?uuid=1fa184a2-8db5-4f2b-8017-32caca068199"]},{"id":"ITEM-27","itemData":{"DOI":"10.1128/IAI.73.2.712-721.2005","ISSN":"0019-9567","PMID":"15664909","abstract":"Adherent and invasive Escherichia coli (AIEC) bacteria isolated from Crohn's disease patients are able to greatly replicate within macrophages without escaping from the phagosome and without inducing macrophage death. In the present study, evidence is provided that in AIEC strain LF82 the htrA gene encoding the stress protein HtrA is essential for intracellular replication within J774-A1 macrophages. Deletion of the htrA gene in strain LF82 induced increased sensitivity of the isogenic mutant to oxidative stress caused by hydrogen peroxide and a reduced rate of growth in an acid and nutrient-poor medium partly reproducing the microenvironment of the phagosome. In vitro experiments using an LF82 htrA gene promoter fusion with the lacZ gene revealed a 38-fold activation of the promoter in AIEC LF82 intramacrophagic bacteria. The CpxRA two-component signaling pathway was not involved in this activation. In addition, the activation of the LF82 htrA gene promoter was not observed in the nonpathogenic E. coli K-12 intramacrophagic bacteria, indicating that the AIEC LF82 genetic background is crucial for induction of htrA gene transcription during phagocytosis.","author":[{"dropping-particle":"","family":"Bringer","given":"Marie-Agnès","non-dropping-particle":"","parse-names":false,"suffix":""},{"dropping-particle":"","family":"Barnich","given":"Nicolas","non-dropping-particle":"","parse-names":false,"suffix":""},{"dropping-particle":"","family":"Glasser","given":"Anne-Lise","non-dropping-particle":"","parse-names":false,"suffix":""},{"dropping-particle":"","family":"Bardot","given":"Olivier","non-dropping-particle":"","parse-names":false,"suffix":""},{"dropping-particle":"","family":"Darfeuille-Michaud","given":"Arlette","non-dropping-particle":"","parse-names":false,"suffix":""}],"container-title":"Infection and immunity","id":"ITEM-27","issue":"2","issued":{"date-parts":[["2005","2"]]},"page":"712-21","publisher":"American Society for Microbiology (ASM)","title":"HtrA stress protein is involved in intramacrophagic replication of adherent and invasive Escherichia coli strain LF82 isolated from a patient with Crohn's disease.","type":"article-journal","volume":"73"},"uris":["http://www.mendeley.com/documents/?uuid=b7a37f2b-8b71-3cc1-ae3d-a00e9f4df1c5"]},{"id":"ITEM-28","itemData":{"DOI":"10.1128/IAI.69.9.5529","ISBN":"0019-9567","ISSN":"0019-9567","author":[{"dropping-particle":"","family":"Glasser","given":"Anne-lise","non-dropping-particle":"","parse-names":false,"suffix":""},{"dropping-particle":"","family":"Boudeau","given":"Jerome","non-dropping-particle":"","parse-names":false,"suffix":""},{"dropping-particle":"","family":"Barnich","given":"Nicolas","non-dropping-particle":"","parse-names":false,"suffix":""},{"dropping-particle":"","family":"Perruchot","given":"Marie-helene","non-dropping-particle":"","parse-names":false,"suffix":""},{"dropping-particle":"","family":"Colombel","given":"Jean-frederic","non-dropping-particle":"","parse-names":false,"suffix":""},{"dropping-particle":"","family":"Darfeuille-michaud","given":"Arlette","non-dropping-particle":"","parse-names":false,"suffix":""}],"container-title":"Infection and immunity Immun","id":"ITEM-28","issue":"9","issued":{"date-parts":[["2001"]]},"page":"5529-37","title":"Adherent invasive Escherichia coli strains from patients with Crohn's disease survive and replicate within macrophages without inducing host cell death","type":"article-journal","volume":"69"},"uris":["http://www.mendeley.com/documents/?uuid=dac7dc69-33df-42a9-a7de-6e12b6464a60"]},{"id":"ITEM-29","itemData":{"DOI":"10.1002/ibd.20860","ISBN":"1536-4844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Diseases","id":"ITEM-29","issue":"6","issued":{"date-parts":[["2009"]]},"page":"872-882","title":"Molecular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disease","type":"article-journal","volume":"15"},"uris":["http://www.mendeley.com/documents/?uuid=8ec3da2d-ecbe-4f70-992f-5ef4b3d86aba"]},{"id":"ITEM-30","itemData":{"DOI":"10.1101/772012","abstract":"Background &amp; Aims Adherent-invasive Escherichia coli (AIEC) are enriched in ileal Crohn’s disease patients and implicated in disease etiology. However, AIEC pathogenesis is poorly understood, and it is unclear if the expansion of these organisms contributes to inflammatory bowel disease (IBD). Questions also remain as to what extent the various in vitro phenotypes used to classify AIEC are pathologically relevant.\n\nMethods We utilized a combination of in vitro phenotyping and a murine model of intestinal inflammation to systematically relate AIEC phenotypes to pathogenicity for 30 mucosa-associated human-derived E. coli strains. In vitro assays used included survival/replication in and TNF-α production by J774 macrophages as well as invasion/replication in Caco2 intestinal epithelial cells.\n\nResults AIEC do not form a phenotypic group that is clearly separated from non-AIEC. However, E. coli strains displaying in vitro AIEC phenotypes caused, on average, more severe intestinal inflammation. Survival/replication of strains in J774 and Caco2 cells were positively correlated with disease in vivo , while adherence to Caco2 cells and TNF-α production by J774 cells were not. Importantly, co-colonization with adherent non-AIEC strains ameliorated AIEC-mediated disease.\n\nConclusion Our findings do not support the existence of an AIEC pathovar that can be clearly separated from commensal E. coli . However, intracellular survival/replication phenotypes do contribute to murine intestinal inflammation, suggesting that the AIEC overgrowth observed in human IBD makes a causal contribution to disease. The ability to differentiate pathologically-relevant AIEC phenotypes from those that are not provides an important foundation for developing strategies to predict, diagnose and treat human IBD through characterizing and modulating patient E. coli populations.","author":[{"dropping-particle":"","family":"Kittana","given":"Hatem","non-dropping-particle":"","parse-names":false,"suffix":""},{"dropping-particle":"","family":"Gomes-Neto","given":"João C.","non-dropping-particle":"","parse-names":false,"suffix":""},{"dropping-particle":"","family":"Heck","given":"Kari","non-dropping-particle":"","parse-names":false,"suffix":""},{"dropping-particle":"","family":"Sughroue","given":"Jason","non-dropping-particle":"","parse-names":false,"suffix":""},{"dropping-particle":"","family":"Xian","given":"Yibo","non-dropping-particle":"","parse-names":false,"suffix":""},{"dropping-particle":"","family":"Mantz","given":"Sara","non-dropping-particle":"","parse-names":false,"suffix":""},{"dropping-particle":"","family":"Muñoz","given":"Rafael R. Segura","non-dropping-particle":"","parse-names":false,"suffix":""},{"dropping-particle":"","family":"Cody","given":"Liz A.","non-dropping-particle":"","parse-names":false,"suffix":""},{"dropping-particle":"","family":"Schmaltz","given":"Robert J.","non-dropping-particle":"","parse-names":false,"suffix":""},{"dropping-particle":"","family":"Anderson","given":"Christopher L.","non-dropping-particle":"","parse-names":false,"suffix":""},{"dropping-particle":"","family":"Moxley","given":"Rodney A.","non-dropping-particle":"","parse-names":false,"suffix":""},{"dropping-particle":"","family":"Hostetter","given":"Jesse M.","non-dropping-particle":"","parse-names":false,"suffix":""},{"dropping-particle":"","family":"Fernando","given":"Samodha C.","non-dropping-particle":"","parse-names":false,"suffix":""},{"dropping-particle":"","family":"Clarke","given":"Jennifer","non-dropping-particle":"","parse-names":false,"suffix":""},{"dropping-particle":"","family":"Kachman","given":"Stephen D.","non-dropping-particle":"","parse-names":false,"suffix":""},{"dropping-particle":"","family":"Cressler","given":"Clayton E.","non-dropping-particle":"","parse-names":false,"suffix":""},{"dropping-particle":"","family":"Benson","given":"Andrew K.","non-dropping-particle":"","parse-names":false,"suffix":""},{"dropping-particle":"","family":"Walter","given":"Jens","non-dropping-particle":"","parse-names":false,"suffix":""},{"dropping-particle":"","family":"Ramer-Tait","given":"Amanda E.","non-dropping-particle":"","parse-names":false,"suffix":""}],"container-title":"bioRxiv","id":"ITEM-30","issued":{"date-parts":[["2019","9","18"]]},"page":"772012","publisher":"Cold Spring Harbor Laboratory","title":"Establishing the phenotypic basis of adherent-invasive Escherichia coli (AIEC) pathogenicity in intestinal inflammation","type":"article-journal"},"uris":["http://www.mendeley.com/documents/?uuid=009e9613-25bd-3ff6-b8b2-920d24795012"]}],"mendeley":{"formattedCitation":"&lt;sup&gt;[1,9,39,41,43,44,54,56,58–60,62,11,63,64,66,70–76,13,14,16,18,21,31,34]&lt;/sup&gt;","plainTextFormattedCitation":"[1,9,39,41,43,44,54,56,58–60,62,11,63,64,66,70–76,13,14,16,18,21,31,34]","previouslyFormattedCitation":"&lt;sup&gt;[1,9,11,13,14,16,22,25,31,34,39,41,43,44,54,56,58,60–62,64–66,70–76]&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Pr="000A6219">
        <w:rPr>
          <w:rFonts w:ascii="Book Antiqua" w:eastAsia="Calibri" w:hAnsi="Book Antiqua" w:cs="Times New Roman"/>
          <w:noProof/>
          <w:sz w:val="24"/>
          <w:szCs w:val="24"/>
          <w:vertAlign w:val="superscript"/>
          <w:lang w:val="en-US"/>
        </w:rPr>
        <w:t>[1,9,11,13,14,16,18,21,31,34,39,4</w:t>
      </w:r>
      <w:r w:rsidR="006A43FE">
        <w:rPr>
          <w:rFonts w:ascii="Book Antiqua" w:eastAsia="Calibri" w:hAnsi="Book Antiqua" w:cs="Times New Roman"/>
          <w:noProof/>
          <w:sz w:val="24"/>
          <w:szCs w:val="24"/>
          <w:vertAlign w:val="superscript"/>
          <w:lang w:val="en-US"/>
        </w:rPr>
        <w:t>3</w:t>
      </w:r>
      <w:r w:rsidR="0077005C"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noProof/>
          <w:sz w:val="24"/>
          <w:szCs w:val="24"/>
          <w:vertAlign w:val="superscript"/>
          <w:lang w:val="en-US"/>
        </w:rPr>
        <w:t>4</w:t>
      </w:r>
      <w:r w:rsidR="006A43FE">
        <w:rPr>
          <w:rFonts w:ascii="Book Antiqua" w:eastAsia="Calibri" w:hAnsi="Book Antiqua" w:cs="Times New Roman"/>
          <w:noProof/>
          <w:sz w:val="24"/>
          <w:szCs w:val="24"/>
          <w:vertAlign w:val="superscript"/>
          <w:lang w:val="en-US"/>
        </w:rPr>
        <w:t>5</w:t>
      </w:r>
      <w:r w:rsidRPr="000A6219">
        <w:rPr>
          <w:rFonts w:ascii="Book Antiqua" w:eastAsia="Calibri" w:hAnsi="Book Antiqua" w:cs="Times New Roman"/>
          <w:noProof/>
          <w:sz w:val="24"/>
          <w:szCs w:val="24"/>
          <w:vertAlign w:val="superscript"/>
          <w:lang w:val="en-US"/>
        </w:rPr>
        <w:t>,</w:t>
      </w:r>
      <w:r w:rsidR="006A43FE" w:rsidRPr="006A43FE">
        <w:rPr>
          <w:rFonts w:ascii="Book Antiqua" w:eastAsia="Calibri" w:hAnsi="Book Antiqua" w:cs="Times New Roman"/>
          <w:noProof/>
          <w:sz w:val="24"/>
          <w:szCs w:val="24"/>
          <w:vertAlign w:val="superscript"/>
          <w:lang w:val="en-US"/>
        </w:rPr>
        <w:t xml:space="preserve"> </w:t>
      </w:r>
      <w:r w:rsidR="006A43FE">
        <w:rPr>
          <w:rFonts w:ascii="Book Antiqua" w:eastAsia="Calibri" w:hAnsi="Book Antiqua" w:cs="Times New Roman"/>
          <w:noProof/>
          <w:sz w:val="24"/>
          <w:szCs w:val="24"/>
          <w:vertAlign w:val="superscript"/>
          <w:lang w:val="en-US"/>
        </w:rPr>
        <w:t>55-62,6</w:t>
      </w:r>
      <w:r w:rsidR="0077005C" w:rsidRPr="000A6219">
        <w:rPr>
          <w:rFonts w:ascii="Book Antiqua" w:eastAsia="Calibri" w:hAnsi="Book Antiqua" w:cs="Times New Roman"/>
          <w:noProof/>
          <w:sz w:val="24"/>
          <w:szCs w:val="24"/>
          <w:vertAlign w:val="superscript"/>
          <w:lang w:val="en-US"/>
        </w:rPr>
        <w:t>4</w:t>
      </w:r>
      <w:r w:rsidRPr="000A6219">
        <w:rPr>
          <w:rFonts w:ascii="Book Antiqua" w:eastAsia="Calibri" w:hAnsi="Book Antiqua" w:cs="Times New Roman"/>
          <w:noProof/>
          <w:sz w:val="24"/>
          <w:szCs w:val="24"/>
          <w:vertAlign w:val="superscript"/>
          <w:lang w:val="en-US"/>
        </w:rPr>
        <w:t>,</w:t>
      </w:r>
      <w:r w:rsidR="006A43FE">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6</w:t>
      </w:r>
      <w:r w:rsidRPr="000A6219">
        <w:rPr>
          <w:rFonts w:ascii="Book Antiqua" w:eastAsia="Calibri" w:hAnsi="Book Antiqua" w:cs="Times New Roman"/>
          <w:noProof/>
          <w:sz w:val="24"/>
          <w:szCs w:val="24"/>
          <w:vertAlign w:val="superscript"/>
          <w:lang w:val="en-US"/>
        </w:rPr>
        <w:t>–</w:t>
      </w:r>
      <w:r w:rsidR="006A43FE">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8</w:t>
      </w:r>
      <w:r w:rsidRPr="000A6219">
        <w:rPr>
          <w:rFonts w:ascii="Book Antiqua" w:eastAsia="Calibri" w:hAnsi="Book Antiqua" w:cs="Times New Roman"/>
          <w:noProof/>
          <w:sz w:val="24"/>
          <w:szCs w:val="24"/>
          <w:vertAlign w:val="superscript"/>
          <w:lang w:val="en-US"/>
        </w:rPr>
        <w:t>,</w:t>
      </w:r>
      <w:r w:rsidR="006A43FE">
        <w:rPr>
          <w:rFonts w:ascii="Book Antiqua" w:eastAsia="Calibri" w:hAnsi="Book Antiqua" w:cs="Times New Roman"/>
          <w:noProof/>
          <w:sz w:val="24"/>
          <w:szCs w:val="24"/>
          <w:vertAlign w:val="superscript"/>
          <w:lang w:val="en-US"/>
        </w:rPr>
        <w:t>7</w:t>
      </w:r>
      <w:r w:rsidR="0077005C" w:rsidRPr="000A6219">
        <w:rPr>
          <w:rFonts w:ascii="Book Antiqua" w:eastAsia="Calibri" w:hAnsi="Book Antiqua" w:cs="Times New Roman"/>
          <w:noProof/>
          <w:sz w:val="24"/>
          <w:szCs w:val="24"/>
          <w:vertAlign w:val="superscript"/>
          <w:lang w:val="en-US"/>
        </w:rPr>
        <w:t>0</w:t>
      </w:r>
      <w:r w:rsidRPr="000A6219">
        <w:rPr>
          <w:rFonts w:ascii="Book Antiqua" w:eastAsia="Calibri" w:hAnsi="Book Antiqua" w:cs="Times New Roman"/>
          <w:noProof/>
          <w:sz w:val="24"/>
          <w:szCs w:val="24"/>
          <w:vertAlign w:val="superscript"/>
          <w:lang w:val="en-US"/>
        </w:rPr>
        <w:t>-</w:t>
      </w:r>
      <w:r w:rsidR="006A43FE">
        <w:rPr>
          <w:rFonts w:ascii="Book Antiqua" w:eastAsia="Calibri" w:hAnsi="Book Antiqua" w:cs="Times New Roman"/>
          <w:noProof/>
          <w:sz w:val="24"/>
          <w:szCs w:val="24"/>
          <w:vertAlign w:val="superscript"/>
          <w:lang w:val="en-US"/>
        </w:rPr>
        <w:t>7</w:t>
      </w:r>
      <w:r w:rsidR="0077005C" w:rsidRPr="000A6219">
        <w:rPr>
          <w:rFonts w:ascii="Book Antiqua" w:eastAsia="Calibri" w:hAnsi="Book Antiqua" w:cs="Times New Roman"/>
          <w:noProof/>
          <w:sz w:val="24"/>
          <w:szCs w:val="24"/>
          <w:vertAlign w:val="superscript"/>
          <w:lang w:val="en-US"/>
        </w:rPr>
        <w:t>2</w:t>
      </w:r>
      <w:r w:rsidRPr="000A6219">
        <w:rPr>
          <w:rFonts w:ascii="Book Antiqua" w:eastAsia="Calibri" w:hAnsi="Book Antiqua" w:cs="Times New Roman"/>
          <w:noProof/>
          <w:sz w:val="24"/>
          <w:szCs w:val="24"/>
          <w:vertAlign w:val="superscript"/>
          <w:lang w:val="en-US"/>
        </w:rPr>
        <w:t>,</w:t>
      </w:r>
      <w:r w:rsidR="006A43FE">
        <w:rPr>
          <w:rFonts w:ascii="Book Antiqua" w:eastAsia="Calibri" w:hAnsi="Book Antiqua" w:cs="Times New Roman"/>
          <w:noProof/>
          <w:sz w:val="24"/>
          <w:szCs w:val="24"/>
          <w:vertAlign w:val="superscript"/>
          <w:lang w:val="en-US"/>
        </w:rPr>
        <w:t>7</w:t>
      </w:r>
      <w:r w:rsidR="0077005C" w:rsidRPr="000A6219">
        <w:rPr>
          <w:rFonts w:ascii="Book Antiqua" w:eastAsia="Calibri" w:hAnsi="Book Antiqua" w:cs="Times New Roman"/>
          <w:noProof/>
          <w:sz w:val="24"/>
          <w:szCs w:val="24"/>
          <w:vertAlign w:val="superscript"/>
          <w:lang w:val="en-US"/>
        </w:rPr>
        <w:t>4</w:t>
      </w:r>
      <w:r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006A43FE">
        <w:rPr>
          <w:rFonts w:ascii="Book Antiqua" w:eastAsia="Calibri" w:hAnsi="Book Antiqua" w:cs="Times New Roman"/>
          <w:sz w:val="24"/>
          <w:szCs w:val="24"/>
          <w:lang w:val="en-US"/>
        </w:rPr>
        <w:t xml:space="preserve"> </w:t>
      </w:r>
      <w:r w:rsidRPr="000A6219">
        <w:rPr>
          <w:rFonts w:ascii="Book Antiqua" w:eastAsia="Calibri" w:hAnsi="Book Antiqua" w:cs="Times New Roman"/>
          <w:sz w:val="24"/>
          <w:szCs w:val="24"/>
          <w:lang w:val="en-US"/>
        </w:rPr>
        <w:t>while for intramacrophage replica</w:t>
      </w:r>
      <w:r w:rsidR="005976AA">
        <w:rPr>
          <w:rFonts w:ascii="Book Antiqua" w:eastAsia="Calibri" w:hAnsi="Book Antiqua" w:cs="Times New Roman"/>
          <w:sz w:val="24"/>
          <w:szCs w:val="24"/>
          <w:lang w:val="en-US"/>
        </w:rPr>
        <w:t>tion 17 studies were considered</w:t>
      </w:r>
      <w:r w:rsidRPr="000A6219">
        <w:rPr>
          <w:rFonts w:ascii="Book Antiqua" w:eastAsia="Calibri" w:hAnsi="Book Antiqua" w:cs="Times New Roman"/>
          <w:sz w:val="24"/>
          <w:szCs w:val="24"/>
          <w:lang w:val="en-US"/>
        </w:rPr>
        <w:fldChar w:fldCharType="begin" w:fldLock="1"/>
      </w:r>
      <w:r w:rsidRPr="000A6219">
        <w:rPr>
          <w:rFonts w:ascii="Book Antiqua" w:eastAsia="Calibri" w:hAnsi="Book Antiqua" w:cs="Times New Roman"/>
          <w:sz w:val="24"/>
          <w:szCs w:val="24"/>
          <w:lang w:val="en-US"/>
        </w:rPr>
        <w:instrText>ADDIN CSL_CITATION {"citationItems":[{"id":"ITEM-1","itemData":{"DOI":"10.1053/j.gastro.2004.04.061","ISBN":"0016-5085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Frédéric","non-dropping-particle":"","parse-names":false,"suffix":""}],"container-title":"Gastroenterology","id":"ITEM-1","issue":"2","issued":{"date-parts":[["2004"]]},"page":"412-421","title":"High prevalence of adherent-invasive Escherichia coli associated with ileal mucosa in Crohn's disease","type":"article-journal","volume":"127"},"uris":["http://www.mendeley.com/documents/?uuid=c37eb702-0cb7-4694-ad28-7a4aed1f66ff"]},{"id":"ITEM-2","itemData":{"DOI":"10.1002/ibd.20860","ISBN":"1536-4844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Diseases","id":"ITEM-2","issue":"6","issued":{"date-parts":[["2009"]]},"page":"872-882","title":"Molecular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disease","type":"article-journal","volume":"15"},"uris":["http://www.mendeley.com/documents/?uuid=8ec3da2d-ecbe-4f70-992f-5ef4b3d86aba"]},{"id":"ITEM-3","itemData":{"DOI":"10.3389/fmicb.2017.00639","PMID":"28596755","abstract":"Adherent-invasive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microbiology","id":"ITEM-3","issued":{"date-parts":[["2017"]]},"page":"639","publisher":"Frontiers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id":"ITEM-4","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Diseases","id":"ITEM-4","issue":"11","issued":{"date-parts":[["2014"]]},"page":"1919-1932","title":"Inflammation-associated adherent-invasive Escherichia coli are enriched in pathways for use of propanediol and iron and M-cell","type":"article-journal","volume":"20"},"uris":["http://www.mendeley.com/documents/?uuid=b025bc87-f0b0-4286-b32d-e57faa03ef86"]},{"id":"ITEM-5","itemData":{"DOI":"10.1186/1756-0500-7-748","ISSN":"1756-0500","PMID":"25338542","abstract":"BACKGROUND: Adherent-invasive Escherichia coli (AIEC) have been implicated in the ethiopathogenesis of Crohn's disease (CD). In this study, we analyzed a collection of intestinal mucosa-associated E. coli isolates, presenting AIEC phenotypes, isolated from biopsies of CD pediatric patients and non-inflammatory bowel diseases (IBD) controls, in order to investigate their genetic and phenotypic pathogenic features.\\n\\nRESULTS: A total of 616 E. coli isolates from biopsies of four pediatric CD patients and of four non-IBD controls were collected and individually analyzed. For AIEC identification, adherent isolates were assayed for invasiveness, and the capacity of the adhesive-invasive isolates to survive and replicate intracellularly was determined over macrophages J774. In this way we identified 36 AIEC-like isolates. Interestingly, their relative abundance was significantly higher in CD patients (10%; 31/308) than in non-IBD controls (1%; 5/308) (χ2 = 38.96 p &lt; 0.001). Furthermore pulsed field gel electrophoresis (PFGE) and randomly amplified polymorphic DNA (RAPD) techniques were applied to analyze the clonality of the 36 AIEC-like isolates. The results obtained allowed us to identify 27 distinct genotypes (22 from CD patients and 5 from non-IBD controls). As for the AIEC prototype strain LF82, all 27 AIEC genotypes presented an aggregative pattern of adherence (AA) that was inhibited by D-mannose, indicating that adhesiveness of AIEC is likely mediated by type 1 pili. PCR analisys was used to investigate presence of virulence genes. The results indicated that among the 27 AIEC isolates, the incidence of genes encoding virulence factors K1 (χ2 = 6.167 P = 0.013), kpsMT II (χ2 = 6.167 P = 0.013), fyuA (χ2 = 6.167 P = 0.013), and ibeA (χ2 = 8.867 P = 0.003) was significantly higher among AIEC strains isolated from CD patients than non-IBD controls.\\n\\nCONCLUSIONS: The identification of AIEC strains in both CD and non-IBD controls, confirmed the \"pathobiont\" nature of AIEC strains. The finding that AIEC-like isolates were more abundant in CD patients, indicates that a close association of these strains with CD may also exists in pediatric patients.","author":[{"dropping-particle":"","family":"Conte","given":"Maria Pia","non-dropping-particle":"","parse-names":false,"suffix":""},{"dropping-particle":"","family":"Longhi","given":"Catia","non-dropping-particle":"","parse-names":false,"suffix":""},{"dropping-particle":"","family":"Marazzato","given":"Massimiliano","non-dropping-particle":"","parse-names":false,"suffix":""},{"dropping-particle":"","family":"Conte","given":"Antonietta Lucia","non-dropping-particle":"","parse-names":false,"suffix":""},{"dropping-particle":"","family":"Aleandri","given":"Marta","non-dropping-particle":"","parse-names":false,"suffix":""},{"dropping-particle":"","family":"Lepanto","given":"Maria Stefania","non-dropping-particle":"","parse-names":false,"suffix":""},{"dropping-particle":"","family":"Zagaglia","given":"Carlo","non-dropping-particle":"","parse-names":false,"suffix":""},{"dropping-particle":"","family":"Nicoletti","given":"Mauro","non-dropping-particle":"","parse-names":false,"suffix":""},{"dropping-particle":"","family":"Aloi","given":"Marina","non-dropping-particle":"","parse-names":false,"suffix":""},{"dropping-particle":"","family":"Totino","given":"Valentina","non-dropping-particle":"","parse-names":false,"suffix":""},{"dropping-particle":"","family":"Palamara","given":"Anna Teresa","non-dropping-particle":"","parse-names":false,"suffix":""},{"dropping-particle":"","family":"Schippa","given":"Serena","non-dropping-particle":"","parse-names":false,"suffix":""}],"container-title":"BMC research notes","id":"ITEM-5","issue":"1","issued":{"date-parts":[["2014"]]},"page":"748","title":"Adherent-invasive Escherichia coli (AIEC) in pediatric Crohn's disease patients: phenotypic and genetic pathogenic features.","type":"article-journal","volume":"7"},"uris":["http://www.mendeley.com/documents/?uuid=7bbeb97f-85b8-4d75-8c59-8aaeab2c26f5"]},{"id":"ITEM-6","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-6","issue":"8","issued":{"date-parts":[["2016"]]},"page":"1382-1389","title":"Comparative genomics of Crohn's disease-associated adherent-invasive Escherichia coli","type":"article-journal","volume":"66"},"uris":["http://www.mendeley.com/documents/?uuid=5433c40e-8818-41e5-9f75-43963d20c944"]},{"id":"ITEM-7","itemData":{"DOI":"10.1016/j.ijmm.2014.01.002","ISSN":"1618-0607","PMID":"24581881","abstract":"Crohn's disease (CD) is a multifactorial pathology associated with the presence of adherent-invasive Escherichia coli (AIEC) and NLRP3 polymorphic variants. The presence of intracellular E. coli in other intestinal pathologies (OIP) and the role of NLRP3-inflammasome in the immune response activated by these bacteria have not been investigated. In this study, we sought to characterize intracellular strains isolated from patients with CD, ulcerative colitis (UC) and OIP, and analyze NLRP3-inflammasome role in the immune response and bactericidal activity induced in macrophages exposed to invasive bacteria. For this, intracellular E. coli isolation from ileal biopsies, using gentamicin-protection assay, revealed a prevalence and CFU/biopsy of E. coli higher in biopsies from CD, UC and OIP patients than in controls. To characterize bacterial isolates, pulsed-field gel electrophoresis (PFGE) patterns, virulence genes, serogroup and phylogenetic group were analyzed. We found out that bacteria isolated from a given patient were closely related and shared virulence factors; however, strains from different patients were genetically heterogeneous. AIEC characteristics in isolated strains, such as invasive and replicative properties, were assessed in epithelial cells and macrophages, respectively. Some strains from CD and UC demonstrated AIEC properties, but not strains from OIP. Furthermore, the role of NLRP3 in pro-inflammatory cytokines production and bacterial elimination was determined in macrophages. E. coli strains induced IL-1β through NLRP3-dependent mechanism; however, their elimination by macrophages was independent of NLRP3. Invasiveness of intracellular E. coli strains into the intestinal mucosa and IL-1β production may contribute to CD and UC pathogenesis.","author":[{"dropping-particle":"","family":"la Fuente","given":"Marjorie","non-dropping-particle":"De","parse-names":false,"suffix":""},{"dropping-particle":"","family":"Franchi","given":"Luigi","non-dropping-particle":"","parse-names":false,"suffix":""},{"dropping-particle":"","family":"Araya","given":"Daniela","non-dropping-particle":"","parse-names":false,"suffix":""},{"dropping-particle":"","family":"Díaz-Jiménez","given":"David","non-dropping-particle":"","parse-names":false,"suffix":""},{"dropping-particle":"","family":"Olivares","given":"Mauricio","non-dropping-particle":"","parse-names":false,"suffix":""},{"dropping-particle":"","family":"Álvarez-Lobos","given":"Manuel","non-dropping-particle":"","parse-names":false,"suffix":""},{"dropping-particle":"","family":"Golenbock","given":"Douglas","non-dropping-particle":"","parse-names":false,"suffix":""},{"dropping-particle":"","family":"González","given":"María-Julieta","non-dropping-particle":"","parse-names":false,"suffix":""},{"dropping-particle":"","family":"López-Kostner","given":"Francisco","non-dropping-particle":"","parse-names":false,"suffix":""},{"dropping-particle":"","family":"Quera","given":"Rodrigo","non-dropping-particle":"","parse-names":false,"suffix":""},{"dropping-particle":"","family":"Núñez","given":"Gabriel","non-dropping-particle":"","parse-names":false,"suffix":""},{"dropping-particle":"","family":"Vidal","given":"Roberto","non-dropping-particle":"","parse-names":false,"suffix":""},{"dropping-particle":"","family":"Hermoso","given":"Marcela A","non-dropping-particle":"","parse-names":false,"suffix":""}],"container-title":"International journal of medical microbiology : IJMM","id":"ITEM-7","issue":"3-4","issued":{"date-parts":[["2014","5"]]},"page":"384-92","publisher":"NIH Public Access","title":"Escherichia coli isolates from inflammatory bowel diseases patients survive in macrophages and activate NLRP3 inflammasome.","type":"article-journal","volume":"304"},"uris":["http://www.mendeley.com/documents/?uuid=8211dd93-a65f-3ffd-b8b8-3521545a509e"]},{"id":"ITEM-8","itemData":{"DOI":"10.1128/IAI.06181-11","ISSN":"1098-5522","PMID":"22290143","abstract":"Several studies reported increased numbers of mucosa-associated Escherichia coli strains in patients with inflammatory bowel disease (IBD), encompassing Crohn's disease (CD) and ulcerative colitis (UC). The majority of E. coli strains possess type 1 fimbriae, whose tip fibrillum protein, FimH, naturally undergoes amino acid replacements, an important process in the adaptation of commensal E. coli strains to environmental changes, like those observed in IBD and urinary tract infections. In this study, we analyzed mutational patterns in the fimH gene of 52 mucosa-associated E. coli strains isolated from IBD and non-IBD pediatric patients, in order to investigate microevolution of this genetic trait. FimH-positive strains were also phylogenetically typed and tested for their adhesive ability on Caco-2 cells. Specific FimH alleles for each grouping feature were found. Mutations G66S and V27A were related to CD, while mutations A242V, V163A, and T74I were attributed to UC. Otherwise, the G66S, N70S, and S78N mutations were specifically attributed to B2/D phylogroups. The N70S and A119V mutations were related to adhesive E. coli strains. Phylogroup B2, adhesive, and IBD E. coli strains showed a higher site substitution rate (SSR) in the fimH gene, together with a higher number of mutations. The degree of naïve mucosal inflammation was related to specific FimH alleles. Moreover, we could suggest that the V27A mutation is pathoadaptive for the CD intestinal habitat, while we could also suggest that both the N70S and S78N mutations are related to the more virulent E. coli B2 phylogroup. In conclusion, we found some FimH variants that seem to be more involved than others in the evolution of IBD pathogenesis.","author":[{"dropping-particle":"","family":"Iebba","given":"Valerio","non-dropping-particle":"","parse-names":false,"suffix":""},{"dropping-particle":"","family":"Conte","given":"Maria Pia","non-dropping-particle":"","parse-names":false,"suffix":""},{"dropping-particle":"","family":"Lepanto","given":"Maria Stefania","non-dropping-particle":"","parse-names":false,"suffix":""},{"dropping-particle":"","family":"Nardo","given":"Giovanni","non-dropping-particle":"Di","parse-names":false,"suffix":""},{"dropping-particle":"","family":"Santangelo","given":"Floriana","non-dropping-particle":"","parse-names":false,"suffix":""},{"dropping-particle":"","family":"Aloi","given":"Marina","non-dropping-particle":"","parse-names":false,"suffix":""},{"dropping-particle":"","family":"Totino","given":"Valentina","non-dropping-particle":"","parse-names":false,"suffix":""},{"dropping-particle":"","family":"Checchi","given":"Monica Proietti","non-dropping-particle":"","parse-names":false,"suffix":""},{"dropping-particle":"","family":"Longhi","given":"Catia","non-dropping-particle":"","parse-names":false,"suffix":""},{"dropping-particle":"","family":"Cucchiara","given":"Salvatore","non-dropping-particle":"","parse-names":false,"suffix":""},{"dropping-particle":"","family":"Schippa","given":"Serena","non-dropping-particle":"","parse-names":false,"suffix":""}],"container-title":"Infection and immunity","id":"ITEM-8","issue":"4","issued":{"date-parts":[["2012","4"]]},"page":"1408-17","publisher":"American Society for Microbiology (ASM)","title":"Microevolution in fimH gene of mucosa-associated Escherichia coli strains isolated from pediatric patients with inflammatory bowel disease.","type":"article-journal","volume":"80"},"uris":["http://www.mendeley.com/documents/?uuid=29ce98d6-715c-38ec-beb7-c1ae2eb5c317"]},{"id":"ITEM-9","itemData":{"DOI":"10.1097/MIB.0000000000000609","ISBN":"0000000000000","ISSN":"1078-0998","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AIEC.\\n\\nMETHODS: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ELISA.\\n\\nRESULTS: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mice.\\n\\nCONCLUSIONS: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Diseases","id":"ITEM-9","issue":"1","issued":{"date-parts":[["2016"]]},"page":"68-81","title":"GipA factor supports colonization of peyer</w:instrText>
      </w:r>
      <w:r w:rsidRPr="000A6219">
        <w:rPr>
          <w:rFonts w:ascii="Times New Roman" w:eastAsia="Calibri" w:hAnsi="Times New Roman" w:cs="Times New Roman"/>
          <w:sz w:val="24"/>
          <w:szCs w:val="24"/>
          <w:lang w:val="en-US"/>
        </w:rPr>
        <w:instrText>ʼ</w:instrText>
      </w:r>
      <w:r w:rsidRPr="000A6219">
        <w:rPr>
          <w:rFonts w:ascii="Book Antiqua" w:eastAsia="Calibri" w:hAnsi="Book Antiqua" w:cs="Times New Roman"/>
          <w:sz w:val="24"/>
          <w:szCs w:val="24"/>
          <w:lang w:val="en-US"/>
        </w:rPr>
        <w:instrText>s patches by Crohn</w:instrText>
      </w:r>
      <w:r w:rsidRPr="000A6219">
        <w:rPr>
          <w:rFonts w:ascii="Times New Roman" w:eastAsia="Calibri" w:hAnsi="Times New Roman" w:cs="Times New Roman"/>
          <w:sz w:val="24"/>
          <w:szCs w:val="24"/>
          <w:lang w:val="en-US"/>
        </w:rPr>
        <w:instrText>ʼ</w:instrText>
      </w:r>
      <w:r w:rsidRPr="000A6219">
        <w:rPr>
          <w:rFonts w:ascii="Book Antiqua" w:eastAsia="Calibri" w:hAnsi="Book Antiqua" w:cs="Times New Roman"/>
          <w:sz w:val="24"/>
          <w:szCs w:val="24"/>
          <w:lang w:val="en-US"/>
        </w:rPr>
        <w:instrText>s disease-associated Escherichia coli","type":"article-journal","volume":"22"},"uris":["http://www.mendeley.com/documents/?uuid=2418af44-9b70-4aec-b95f-228644a8d509"]},{"id":"ITEM-10","itemData":{"DOI":"10.1371/journal.pone.0021199","ISSN":"1932-6203","PMID":"21698174","abstract":"Ileal lesions in Crohn's disease (CD) patients are colonized by pathogenic adherent-invasive Escherichia coli (AIEC) able to adhere to and invade intestinal epithelial cells (IEC), and to survive within macrophages. The interaction of AIEC with IEC depends on bacterial factors mainly type 1 pili, flagella, and outer membrane proteins. In humans, proteases can act as host defence mechanisms to counteract bacterial colonization. The protease meprin, composed of multimeric complexes of the two subunits alpha and beta, is abundantly expressed in IECs. Decreased levels of this protease correlate with the severity of the inflammation in patients with inflammatory bowel disease. The aim of the present study was to analyze the ability of meprin to modulate the interaction of AIEC with IECs. In patients with ileal CD we observed decreased levels of meprins, in particular that of meprin β. Dose-dependent inhibition of the abilities of AIEC strain LF82 to adhere to and invade intestinal epithelial T84 cells was observed when bacteria were pre-treated with both exogenous meprin α and meprin β. Dose-dependent proteolytic degradation of type 1 pili was observed in the presence of active meprins, but not with heat-inactivated meprins, and pretreatment of AIEC bacteria with meprins impaired their ability to bind mannosylated host receptors and led to decreased secretion of the pro-inflammatory cytokine IL-8 by infected T84 cells. Thus, decreased levels of protective meprins as observed in CD patients may contribute to increased AIEC colonization.","author":[{"dropping-particle":"","family":"Vazeille","given":"Emilie","non-dropping-particle":"","parse-names":false,"suffix":""},{"dropping-particle":"","family":"Bringer","given":"Marie-Agnès","non-dropping-particle":"","parse-names":false,"suffix":""},{"dropping-particle":"","family":"Gardarin","given":"Aurélie","non-dropping-particle":"","parse-names":false,"suffix":""},{"dropping-particle":"","family":"Chambon","given":"Christophe","non-dropping-particle":"","parse-names":false,"suffix":""},{"dropping-particle":"","family":"Becker-Pauly","given":"Christoph","non-dropping-particle":"","parse-names":false,"suffix":""},{"dropping-particle":"","family":"Pender","given":"Sylvia L F","non-dropping-particle":"","parse-names":false,"suffix":""},{"dropping-particle":"","family":"Jakob","given":"Christine","non-dropping-particle":"","parse-names":false,"suffix":""},{"dropping-particle":"","family":"Müller","given":"Stefan","non-dropping-particle":"","parse-names":false,"suffix":""},{"dropping-particle":"","family":"Lottaz","given":"Daniel","non-dropping-particle":"","parse-names":false,"suffix":""},{"dropping-particle":"","family":"Darfeuille-Michaud","given":"Arlette","non-dropping-particle":"","parse-names":false,"suffix":""}],"container-title":"PloS one","id":"ITEM-10","issue":"6","issued":{"date-parts":[["2011","1"]]},"page":"e21199","publisher":"Public Library of Science","title":"Role of meprins to protect ileal mucosa of Crohn's disease patients from colonization by adherent-invasive E. coli.","type":"article-journal","volume":"6"},"uris":["http://www.mendeley.com/documents/?uuid=d7cfac78-0c7c-4b8c-8314-27377d3912c4"]},{"id":"ITEM-11","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Journal","id":"ITEM-11","issue":"5","issued":{"date-parts":[["2007","9","12"]]},"note":"Ref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ileum","type":"article-journal","volume":"1"},"uris":["http://www.mendeley.com/documents/?uuid=2107dc8c-d9c8-3eaa-aff8-de85bd3a90fa"]},{"id":"ITEM-12","itemData":{"DOI":"10.1128/IAI.72.5.2484-2493.2004","ISBN":"0019-9567 (Print)\\n0019-9567 (Linking)","ISSN":"00199567","PMID":"15102755","abstract":"Escherichia coli strain LF82 recovered from a chronic lesion of a patient with Crohn's disease (CD) is able to adhere to and invade cultured intestinal epithelial cells and to replicate within macrophages. One mutant selected for its impaired ability to invade epithelial cells had an insertion of a Tn phoA transposon within the nlpI gene encoding the lipoprotein NlpI. A NlpI-negative isogenic mutant showed a 35-fold decrease in its ability to adhere to and a 45-fold decrease in its ability to invade Intestine-407 cells, but its ability to survive and to replicate within macrophages was similar to that of wild-type strain LF82. In addition, this mutant did not express flagella and synthesized very small amounts of type 1 pili. Downregulation of type 1 pili in the NlpI-negative mutant resulted from a preferential switch toward the OFF position of the invertible DNA element located upstream of the fim operon. The FimB and FimE recombinases act in concert to control the switch, and a large decrease in fimB and fimE mRNA levels was observed. The absence of flagellar structures correlated with a drastic 19-fold decrease in the fliC mRNA level, regardless of the FlhD2C2 transcriptional regulator and of the {sigma}28 transcription factor. The key role of NlpI in virulence is independent of type 1 pili and motility, since induced type 1 pilus expression and/or forced contact between bacteria and intestinal epithelial cells did not restore the ability of the NlpI mutant to adhere to and to invade intestinal epithelial cells.","author":[{"dropping-particle":"","family":"Barnich","given":"Nicolas","non-dropping-particle":"","parse-names":false,"suffix":""},{"dropping-particle":"","family":"Bringer","given":"Marie Agnès","non-dropping-particle":"","parse-names":false,"suffix":""},{"dropping-particle":"","family":"Claret","given":"Laurent","non-dropping-particle":"","parse-names":false,"suffix":""},{"dropping-particle":"","family":"Daffeuille-Michaud","given":"Arlette","non-dropping-particle":"","parse-names":false,"suffix":""}],"container-title":"Infection and Immunity","id":"ITEM-12","issue":"5","issued":{"date-parts":[["2004"]]},"page":"2484-2493","title":"Involvement of lipoprotein NlpI in the virulence of adherent invasive Escherichia coli strain LF82 isolated from a patient with Crohn's disease","type":"article-journal","volume":"72"},"uris":["http://www.mendeley.com/documents/?uuid=b7dc45dd-05d2-4c57-be8d-b1a6907942cb"]},{"id":"ITEM-13","itemData":{"DOI":"10.1128/IAI.00067-06","ISSN":"0019-9567","PMID":"16861666","abstract":"The mucosa-associated microflora is increasingly considered to play a pivotal role in the pathogenesis of inflammatory bowel disease. This study explored the possibility that an abnormal mucosal flora is involved in the etiopathogenesis of granulomatous colitis of Boxer dogs (GCB). Colonic biopsy samples from affected dogs (n = 13) and controls (n = 38) were examined by fluorescent in situ hybridization (FISH) with a eubacterial 16S rRNA probe. Culture, 16S ribosomal DNA sequencing, and histochemistry were used to guide subsequent FISH. GCB-associated Escherichia coli isolates were evaluated for their ability to invade and persist in cultured epithelial cells and macrophages as well as for serotype, phylogenetic group, genome size, overall genotype, and presence of virulence genes. Intramucosal gram-negative coccobacilli were present in 100% of GCB samples but not controls. Invasive bacteria hybridized with FISH probes to E. coli. Three of four GCB-associated E. coli isolates adhered to, invaded, and replicated within cultured epithelial cells. Invasion triggered a \"splash\"-type response, was decreased by cytochalasin D, genistein, colchicine, and wortmannin, and paralleled the behavior of the Crohn's disease-associated strain E. coli LF 82. GCB E. coli and LF 82 were diverse in serotype and overall genotype but similar in phylogeny (B2 and D), in virulence gene profiles (fyuA, irp1, irp2, chuA, fepC, ibeA, kpsMII, iss), in having a larger genome size than commensal E. coli, and in the presence of novel multilocus sequence types. We conclude that GCB is associated with selective intramucosal colonization by E. coli. E. coli strains associated with GCB and Crohn's disease have an adherent and invasive phenotype and novel multilocus sequence types and resemble E. coli associated with extraintestinal disease in phylogeny and virulence gene profile.","author":[{"dropping-particle":"","family":"Simpson","given":"Kenneth W","non-dropping-particle":"","parse-names":false,"suffix":""},{"dropping-particle":"","family":"Dogan","given":"Belgin","non-dropping-particle":"","parse-names":false,"suffix":""},{"dropping-particle":"","family":"Rishniw","given":"Mark","non-dropping-particle":"","parse-names":false,"suffix":""},{"dropping-particle":"","family":"Goldstein","given":"Richard E","non-dropping-particle":"","parse-names":false,"suffix":""},{"dropping-particle":"","family":"Klaessig","given":"Suzanne","non-dropping-particle":"","parse-names":false,"suffix":""},{"dropping-particle":"","family":"McDonough","given":"Patrick L","non-dropping-particle":"","parse-names":false,"suffix":""},{"dropping-particle":"","family":"German","given":"Alex J","non-dropping-particle":"","parse-names":false,"suffix":""},{"dropping-particle":"","family":"Yates","given":"Robin M","non-dropping-particle":"","parse-names":false,"suffix":""},{"dropping-particle":"","family":"Russell","given":"David G","non-dropping-particle":"","parse-names":false,"suffix":""},{"dropping-particle":"","family":"Johnson","given":"Susan E","non-dropping-particle":"","parse-names":false,"suffix":""},{"dropping-particle":"","family":"Berg","given":"Douglas E","non-dropping-particle":"","parse-names":false,"suffix":""},{"dropping-particle":"","family":"Harel","given":"Josee","non-dropping-particle":"","parse-names":false,"suffix":""},{"dropping-particle":"","family":"Bruant","given":"Guillaume","non-dropping-particle":"","parse-names":false,"suffix":""},{"dropping-particle":"","family":"McDonough","given":"Sean P","non-dropping-particle":"","parse-names":false,"suffix":""},{"dropping-particle":"","family":"Schukken","given":"Ynte H","non-dropping-particle":"","parse-names":false,"suffix":""}],"container-title":"Infection and immunity","id":"ITEM-13","issue":"8","issued":{"date-parts":[["2006","8"]]},"page":"4778-92","publisher":"American Society for Microbiology (ASM)","title":"Adherent and invasive Escherichia coli is associated with granulomatous colitis in boxer dogs.","type":"article-journal","volume":"74"},"uris":["http://www.mendeley.com/documents/?uuid=b197a317-e61f-39b5-93f7-5074795b1111"]},{"id":"ITEM-14","itemData":{"DOI":"10.3389/fmicb.2018.02559","ISSN":"1664-302X","PMID":"30425690","abstract":"Dysbiosis of the gut microbiome, including elevated abundance of putative leading bacterial triggers such as E. coli in inflammatory bowel disease (IBD) patients, is of great interest. To date, most E. coli studies in IBD patients are focused on clinical isolates, overlooking their relative abundances and turnover over time. Metagenomics-based studies, on the other hand, are less focused on strain-level investigations. Here, using recently developed bioinformatic tools, we analyzed the abundance and properties of specific E. coli strains in a Crohns disease (CD) patient longitudinally, while also considering the composition of the entire community over time. In this report, we conducted a pilot study on metagenomic-based, strain-level analysis of a time-series of E. coli strains in a left-sided CD patient, who exhibited sustained levels of E. coli greater than 100X healthy controls. We: (1) mapped out the composition of the gut microbiome over time, particularly the presence of E. coli strains, and found that the abundance and dominance of specific E. coli strains in the community varied over time; (2) performed strain-level de novo assemblies of seven dominant E. coli strains, and illustrated disparity between these strains in both phylogenetic origin and genomic content; (3) observed that strain ST1 (recovered during peak inflammation) is highly similar to known pathogenic AIEC strains NC101 and LF82 in both virulence factors and metabolic functions, while other strains (ST2-ST7) that were collected during more stable states displayed diverse characteristics; (4) isolated, sequenced, experimentally characterized ST1, and confirmed the accuracy of the de novo assembly; and (5) assessed growth capability of ST1 with a newly reconstructed genome-scale metabolic model of the strain, and showed its potential to use substrates found abundantly in the human gut to outcompete other microbes. In conclusion, inflammation status (assessed by the blood C-reactive protein and stool calprotectin) is likely correlated with the abundance of a subgroup of E. coli strains with specific traits. Therefore, strain-level time-series analysis of dominant E. coli strains in a CD patient is highly informative, and motivates a study of a larger cohort of IBD patients.","author":[{"dropping-particle":"","family":"Fang","given":"Xin","non-dropping-particle":"","parse-names":false,"suffix":""},{"dropping-particle":"","family":"Monk","given":"Jonathan M","non-dropping-particle":"","parse-names":false,"suffix":""},{"dropping-particle":"","family":"Nurk","given":"Sergey","non-dropping-particle":"","parse-names":false,"suffix":""},{"dropping-particle":"","family":"Akseshina","given":"Margarita","non-dropping-particle":"","parse-names":false,"suffix":""},{"dropping-particle":"","family":"Zhu","given":"Qiyun","non-dropping-particle":"","parse-names":false,"suffix":""},{"dropping-particle":"","family":"Gemmell","given":"Christopher","non-dropping-particle":"","parse-names":false,"suffix":""},{"dropping-particle":"","family":"Gianetto-Hill","given":"Connor","non-dropping-particle":"","parse-names":false,"suffix":""},{"dropping-particle":"","family":"Leung","given":"Nelly","non-dropping-particle":"","parse-names":false,"suffix":""},{"dropping-particle":"","family":"Szubin","given":"Richard","non-dropping-particle":"","parse-names":false,"suffix":""},{"dropping-particle":"","family":"Sanders","given":"Jon","non-dropping-particle":"","parse-names":false,"suffix":""},{"dropping-particle":"","family":"Beck","given":"Paul L","non-dropping-particle":"","parse-names":false,"suffix":""},{"dropping-particle":"","family":"Li","given":"Weizhong","non-dropping-particle":"","parse-names":false,"suffix":""},{"dropping-particle":"","family":"Sandborn","given":"William J","non-dropping-particle":"","parse-names":false,"suffix":""},{"dropping-particle":"","family":"Gray-Owen","given":"Scott D","non-dropping-particle":"","parse-names":false,"suffix":""},{"dropping-particle":"","family":"Knight","given":"Rob","non-dropping-particle":"","parse-names":false,"suffix":""},{"dropping-particle":"","family":"Allen-Vercoe","given":"Emma","non-dropping-particle":"","parse-names":false,"suffix":""},{"dropping-particle":"","family":"Palsson","given":"Bernhard O","non-dropping-particle":"","parse-names":false,"suffix":""},{"dropping-particle":"","family":"Smarr","given":"Larry","non-dropping-particle":"","parse-names":false,"suffix":""}],"container-title":"Frontiers in microbiology","id":"ITEM-14","issued":{"date-parts":[["2018"]]},"page":"2559","publisher":"Frontiers Media SA","title":"Metagenomics-based, strain-level analysis of Escherichia coli from a time-series of microbiome samples from a Crohn's disease patient.","type":"article-journal","volume":"9"},"uris":["http://www.mendeley.com/documents/?uuid=dbc65b36-27a3-3512-99c7-b009b97bd826"]},{"id":"ITEM-15","itemData":{"DOI":"10.1007/s00284-011-9947-8","ISSN":"03438651","PMID":"21626145","abstract":"The etiopathogenesis of Crohn's disease (CD) is still controversial: several genetic, immunologic, and environmental factors, including some bacteria, have been implicated. This study has been devised to assess the involvement of Escherichia coli in CD. Seven E. coli strains were isolated from 14 biopsies obtained from ileocolic ulcers of patients affected by inflammatory bowel disease (IBD), including six with ulcerative colitis and eight with CD. Five strains, exclusively isolated from CD patients, were found inside mucosal cells. Different PCR techniques (for chuA, yjaA, TspE4.C2, escV, and bfpB genes) were performed and PFGE was carried out to characterize these bacteria in comparison with other E. coli strains isolated from non-IBD specimens. The correlation of these characters with bacterial invasiveness on intestinal (Caco-2) and phagocytic (U937) cells was assessed. Overall our pilot data suggest that five among eight strains isolated from CD patients belonged to the adherent-invasive E. coli (AIEC) group, and were invasive on Caco-2 cells and resistant to phagocytosis. These findings suggest that these bacteria could be considered target organisms whose elimination could reduce the intestinal inflammatory process and CD progression.","author":[{"dropping-particle":"","family":"Raso","given":"Tiziana","non-dropping-particle":"","parse-names":false,"suffix":""},{"dropping-particle":"","family":"Crivellaro","given":"Sabrina","non-dropping-particle":"","parse-names":false,"suffix":""},{"dropping-particle":"","family":"Chirillo","given":"Maria Gabriella","non-dropping-particle":"","parse-names":false,"suffix":""},{"dropping-particle":"","family":"Pais","given":"Paolo","non-dropping-particle":"","parse-names":false,"suffix":""},{"dropping-particle":"","family":"Gaia","given":"Ezio","non-dropping-particle":"","parse-names":false,"suffix":""},{"dropping-particle":"","family":"Savoia","given":"Dianella","non-dropping-particle":"","parse-names":false,"suffix":""}],"container-title":"Current Microbiology","id":"ITEM-15","issue":"2","issued":{"date-parts":[["2011"]]},"page":"131-137","title":"Analysis of escherichia coli isolated from patients affected by Crohn's Disease","type":"article-journal","volume":"63"},"uris":["http://www.mendeley.com/documents/?uuid=1fa184a2-8db5-4f2b-8017-32caca068199"]},{"id":"ITEM-16","itemData":{"DOI":"10.1128/IAI.73.2.712-721.2005","ISSN":"0019-9567","PMID":"15664909","abstract":"Adherent and invasive Escherichia coli (AIEC) bacteria isolated from Crohn's disease patients are able to greatly replicate within macrophages without escaping from the phagosome and without inducing macrophage death. In the present study, evidence is provided that in AIEC strain LF82 the htrA gene encoding the stress protein HtrA is essential for intracellular replication within J774-A1 macrophages. Deletion of the htrA gene in strain LF82 induced increased sensitivity of the isogenic mutant to oxidative stress caused by hydrogen peroxide and a reduced rate of growth in an acid and nutrient-poor medium partly reproducing the microenvironment of the phagosome. In vitro experiments using an LF82 htrA gene promoter fusion with the lacZ gene revealed a 38-fold activation of the promoter in AIEC LF82 intramacrophagic bacteria. The CpxRA two-component signaling pathway was not involved in this activation. In addition, the activation of the LF82 htrA gene promoter was not observed in the nonpathogenic E. coli K-12 intramacrophagic bacteria, indicating that the AIEC LF82 genetic background is crucial for induction of htrA gene transcription during phagocytosis.","author":[{"dropping-particle":"","family":"Bringer","given":"Marie-Agnès","non-dropping-particle":"","parse-names":false,"suffix":""},{"dropping-particle":"","family":"Barnich","given":"Nicolas","non-dropping-particle":"","parse-names":false,"suffix":""},{"dropping-particle":"","family":"Glasser","given":"Anne-Lise","non-dropping-particle":"","parse-names":false,"suffix":""},{"dropping-particle":"","family":"Bardot","given":"Olivier","non-dropping-particle":"","parse-names":false,"suffix":""},{"dropping-particle":"","family":"Darfeuille-Michaud","given":"Arlette","non-dropping-particle":"","parse-names":false,"suffix":""}],"container-title":"Infection and immunity","id":"ITEM-16","issue":"2","issued":{"date-parts":[["2005","2"]]},"page":"712-21","publisher":"American Society for Microbiology (ASM)","title":"HtrA stress protein is involved in intramacrophagic replication of adherent and invasive Escherichia coli strain LF82 isolated from a patient with Crohn's disease.","type":"article-journal","volume":"73"},"uris":["http://www.mendeley.com/documents/?uuid=b7a37f2b-8b71-3cc1-ae3d-a00e9f4df1c5"]},{"id":"ITEM-17","itemData":{"DOI":"10.1128/IAI.69.9.5529","ISBN":"0019-9567","ISSN":"0019-9567","author":[{"dropping-particle":"","family":"Glasser","given":"Anne-lise","non-dropping-particle":"","parse-names":false,"suffix":""},{"dropping-particle":"","family":"Boudeau","given":"Jerome","non-dropping-particle":"","parse-names":false,"suffix":""},{"dropping-particle":"","family":"Barnich","given":"Nicolas","non-dropping-particle":"","parse-names":false,"suffix":""},{"dropping-particle":"","family":"Perruchot","given":"Marie-helene","non-dropping-particle":"","parse-names":false,"suffix":""},{"dropping-particle":"","family":"Colombel","given":"Jean-frederic","non-dropping-particle":"","parse-names":false,"suffix":""},{"dropping-particle":"","family":"Darfeuille-michaud","given":"Arlette","non-dropping-particle":"","parse-names":false,"suffix":""}],"container-title":"Infection and immunity Immun","id":"ITEM-17","issue":"9","issued":{"date-parts":[["2001"]]},"page":"5529-37","title":"Adherent invasive Escherichia coli strains from patients with Crohn's disease survive and replicate within macrophages without inducing host cell death","type":"article-journal","volume":"69"},"uris":["http://www.mendeley.com/documents/?uuid=dac7dc69-33df-42a9-a7de-6e12b6464a60"]},{"id":"ITEM-18","itemData":{"DOI":"10.1101/772012","abstract":"Background &amp; Aims Adherent-invasive Escherichia coli (AIEC) are enriched in ileal Crohn’s disease patients and implicated in disease etiology. However, AIEC pathogenesis is poorly understood, and it is unclear if the expansion of these organisms contributes to inflammatory bowel disease (IBD). Questions also remain as to what extent the various in vitro phenotypes used to classify AIEC are pathologically relevant.\n\nMethods We utilized a combination of in vitro phenotyping and a murine model of intestinal inflammation to systematically relate AIEC phenotypes to pathogenicity for 30 mucosa-associated human-derived E. coli strains. In vitro assays used included survival/replication in and TNF-α production by J774 macrophages as well as invasion/replication in Caco2 intestinal epithelial cells.\n\nResults AIEC do not form a phenotypic group that is clearly separated from non-AIEC. However, E. coli strains displaying in vitro AIEC phenotypes caused, on average, more severe intestinal inflammation. Survival/replication of strains in J774 and Caco2 cells were positively correlated with disease in vivo , while adherence to Caco2 cells and TNF-α production by J774 cells were not. Importantly, co-colonization with adherent non-AIEC strains ameliorated AIEC-mediated disease.\n\nConclusion Our findings do not support the existence of an AIEC pathovar that can be clearly separated from commensal E. coli . However, intracellular survival/replication phenotypes do contribute to murine intestinal inflammation, suggesting that the AIEC overgrowth observed in human IBD makes a causal contribution to disease. The ability to differentiate pathologically-relevant AIEC phenotypes from those that are not provides an important foundation for developing strategies to predict, diagnose and treat human IBD through characterizing and modulating patient E. coli populations.","author":[{"dropping-particle":"","family":"Kittana","given":"Hatem","non-dropping-particle":"","parse-names":false,"suffix":""},{"dropping-particle":"","family":"Gomes-Neto","given":"João C.","non-dropping-particle":"","parse-names":false,"suffix":""},{"dropping-particle":"","family":"Heck","given":"Kari","non-dropping-particle":"","parse-names":false,"suffix":""},{"dropping-particle":"","family":"Sughroue","given":"Jason","non-dropping-particle":"","parse-names":false,"suffix":""},{"dropping-particle":"","family":"Xian","given":"Yibo","non-dropping-particle":"","parse-names":false,"suffix":""},{"dropping-particle":"","family":"Mantz","given":"Sara","non-dropping-particle":"","parse-names":false,"suffix":""},{"dropping-particle":"","family":"Muñoz","given":"Rafael R. Segura","non-dropping-particle":"","parse-names":false,"suffix":""},{"dropping-particle":"","family":"Cody","given":"Liz A.","non-dropping-particle":"","parse-names":false,"suffix":""},{"dropping-particle":"","family":"Schmaltz","given":"Robert J.","non-dropping-particle":"","parse-names":false,"suffix":""},{"dropping-particle":"","family":"Anderson","given":"Christopher L.","non-dropping-particle":"","parse-names":false,"suffix":""},{"dropping-particle":"","family":"Moxley","given":"Rodney A.","non-dropping-particle":"","parse-names":false,"suffix":""},{"dropping-particle":"","family":"Hostetter","given":"Jesse M.","non-dropping-particle":"","parse-names":false,"suffix":""},{"dropping-particle":"","family":"Fernando","given":"Samodha C.","non-dropping-particle":"","parse-names":false,"suffix":""},{"dropping-particle":"","family":"Clarke","given":"Jennifer","non-dropping-particle":"","parse-names":false,"suffix":""},{"dropping-particle":"","family":"Kachman","given":"Stephen D.","non-dropping-particle":"","parse-names":false,"suffix":""},{"dropping-particle":"","family":"Cressler","given":"Clayton E.","non-dropping-particle":"","parse-names":false,"suffix":""},{"dropping-particle":"","family":"Benson","given":"Andrew K.","non-dropping-particle":"","parse-names":false,"suffix":""},{"dropping-particle":"","family":"Walter","given":"Jens","non-dropping-particle":"","parse-names":false,"suffix":""},{"dropping-particle":"","family":"Ramer-Tait","given":"Amanda E.","non-dropping-particle":"","parse-names":false,"suffix":""}],"container-title":"bioRxiv","id":"ITEM-18","issued":{"date-parts":[["2019","9","18"]]},"page":"772012","publisher":"Cold Spring Harbor Laboratory","title":"Establishing the phenotypic basis of adherent-invasive Escherichia coli (AIEC) pathogenicity in intestinal inflammation","type":"article-journal"},"uris":["http://www.mendeley.com/documents/?uuid=009e9613-25bd-3ff6-b8b2-920d24795012"]}],"mendeley":{"formattedCitation":"&lt;sup&gt;[1,9,43,54,58–60,66,70,72,11,13,14,16,21,31,34,39]&lt;/sup&gt;","plainTextFormattedCitation":"[1,9,43,54,58–60,66,70,72,11,13,14,16,21,31,34,39]","previouslyFormattedCitation":"&lt;sup&gt;[1,9,11,13,14,16,25,31,34,39,43,54,58,64–66,70,72]&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Pr="000A6219">
        <w:rPr>
          <w:rFonts w:ascii="Book Antiqua" w:eastAsia="Calibri" w:hAnsi="Book Antiqua" w:cs="Times New Roman"/>
          <w:noProof/>
          <w:sz w:val="24"/>
          <w:szCs w:val="24"/>
          <w:vertAlign w:val="superscript"/>
          <w:lang w:val="es-ES"/>
        </w:rPr>
        <w:t>[1,9, 11,13,14,16,21,31,34,39,4</w:t>
      </w:r>
      <w:r w:rsidR="006A43FE">
        <w:rPr>
          <w:rFonts w:ascii="Book Antiqua" w:eastAsia="Calibri" w:hAnsi="Book Antiqua" w:cs="Times New Roman"/>
          <w:noProof/>
          <w:sz w:val="24"/>
          <w:szCs w:val="24"/>
          <w:vertAlign w:val="superscript"/>
          <w:lang w:val="es-ES"/>
        </w:rPr>
        <w:t>4</w:t>
      </w:r>
      <w:r w:rsidRPr="000A6219">
        <w:rPr>
          <w:rFonts w:ascii="Book Antiqua" w:eastAsia="Calibri" w:hAnsi="Book Antiqua" w:cs="Times New Roman"/>
          <w:noProof/>
          <w:sz w:val="24"/>
          <w:szCs w:val="24"/>
          <w:vertAlign w:val="superscript"/>
          <w:lang w:val="es-ES"/>
        </w:rPr>
        <w:t>,</w:t>
      </w:r>
      <w:r w:rsidR="006A43FE">
        <w:rPr>
          <w:rFonts w:ascii="Book Antiqua" w:eastAsia="Calibri" w:hAnsi="Book Antiqua" w:cs="Times New Roman"/>
          <w:noProof/>
          <w:sz w:val="24"/>
          <w:szCs w:val="24"/>
          <w:vertAlign w:val="superscript"/>
          <w:lang w:val="es-ES"/>
        </w:rPr>
        <w:t>55</w:t>
      </w:r>
      <w:r w:rsidRPr="000A6219">
        <w:rPr>
          <w:rFonts w:ascii="Book Antiqua" w:eastAsia="Calibri" w:hAnsi="Book Antiqua" w:cs="Times New Roman"/>
          <w:noProof/>
          <w:sz w:val="24"/>
          <w:szCs w:val="24"/>
          <w:vertAlign w:val="superscript"/>
          <w:lang w:val="es-ES"/>
        </w:rPr>
        <w:t>,</w:t>
      </w:r>
      <w:r w:rsidR="006A43FE">
        <w:rPr>
          <w:rFonts w:ascii="Book Antiqua" w:eastAsia="Calibri" w:hAnsi="Book Antiqua" w:cs="Times New Roman"/>
          <w:noProof/>
          <w:sz w:val="24"/>
          <w:szCs w:val="24"/>
          <w:vertAlign w:val="superscript"/>
          <w:lang w:val="es-ES"/>
        </w:rPr>
        <w:t>57,6</w:t>
      </w:r>
      <w:r w:rsidR="006A43FE" w:rsidRPr="000A6219">
        <w:rPr>
          <w:rFonts w:ascii="Book Antiqua" w:eastAsia="Calibri" w:hAnsi="Book Antiqua" w:cs="Times New Roman"/>
          <w:noProof/>
          <w:sz w:val="24"/>
          <w:szCs w:val="24"/>
          <w:vertAlign w:val="superscript"/>
          <w:lang w:val="es-ES"/>
        </w:rPr>
        <w:t>2,</w:t>
      </w:r>
      <w:r w:rsidR="006A43FE">
        <w:rPr>
          <w:rFonts w:ascii="Book Antiqua" w:eastAsia="Calibri" w:hAnsi="Book Antiqua" w:cs="Times New Roman"/>
          <w:noProof/>
          <w:sz w:val="24"/>
          <w:szCs w:val="24"/>
          <w:vertAlign w:val="superscript"/>
          <w:lang w:val="es-ES"/>
        </w:rPr>
        <w:t>6</w:t>
      </w:r>
      <w:r w:rsidR="006A43FE" w:rsidRPr="000A6219">
        <w:rPr>
          <w:rFonts w:ascii="Book Antiqua" w:eastAsia="Calibri" w:hAnsi="Book Antiqua" w:cs="Times New Roman"/>
          <w:noProof/>
          <w:sz w:val="24"/>
          <w:szCs w:val="24"/>
          <w:vertAlign w:val="superscript"/>
          <w:lang w:val="es-ES"/>
        </w:rPr>
        <w:t>6–</w:t>
      </w:r>
      <w:r w:rsidR="006A43FE">
        <w:rPr>
          <w:rFonts w:ascii="Book Antiqua" w:eastAsia="Calibri" w:hAnsi="Book Antiqua" w:cs="Times New Roman"/>
          <w:noProof/>
          <w:sz w:val="24"/>
          <w:szCs w:val="24"/>
          <w:vertAlign w:val="superscript"/>
          <w:lang w:val="es-ES"/>
        </w:rPr>
        <w:t>6</w:t>
      </w:r>
      <w:r w:rsidR="006A43FE" w:rsidRPr="000A6219">
        <w:rPr>
          <w:rFonts w:ascii="Book Antiqua" w:eastAsia="Calibri" w:hAnsi="Book Antiqua" w:cs="Times New Roman"/>
          <w:noProof/>
          <w:sz w:val="24"/>
          <w:szCs w:val="24"/>
          <w:vertAlign w:val="superscript"/>
          <w:lang w:val="es-ES"/>
        </w:rPr>
        <w:t>8,</w:t>
      </w:r>
      <w:r w:rsidR="006A43FE">
        <w:rPr>
          <w:rFonts w:ascii="Book Antiqua" w:eastAsia="Calibri" w:hAnsi="Book Antiqua" w:cs="Times New Roman"/>
          <w:noProof/>
          <w:sz w:val="24"/>
          <w:szCs w:val="24"/>
          <w:vertAlign w:val="superscript"/>
          <w:lang w:val="es-ES"/>
        </w:rPr>
        <w:t>7</w:t>
      </w:r>
      <w:r w:rsidR="006A43FE" w:rsidRPr="000A6219">
        <w:rPr>
          <w:rFonts w:ascii="Book Antiqua" w:eastAsia="Calibri" w:hAnsi="Book Antiqua" w:cs="Times New Roman"/>
          <w:noProof/>
          <w:sz w:val="24"/>
          <w:szCs w:val="24"/>
          <w:vertAlign w:val="superscript"/>
          <w:lang w:val="es-ES"/>
        </w:rPr>
        <w:t>4</w:t>
      </w:r>
      <w:r w:rsidRPr="000A6219">
        <w:rPr>
          <w:rFonts w:ascii="Book Antiqua" w:eastAsia="Calibri" w:hAnsi="Book Antiqua" w:cs="Times New Roman"/>
          <w:noProof/>
          <w:sz w:val="24"/>
          <w:szCs w:val="24"/>
          <w:vertAlign w:val="superscript"/>
          <w:lang w:val="es-ES"/>
        </w:rPr>
        <w:t>]</w:t>
      </w:r>
      <w:r w:rsidRPr="000A6219">
        <w:rPr>
          <w:rFonts w:ascii="Book Antiqua" w:eastAsia="Calibri" w:hAnsi="Book Antiqua" w:cs="Times New Roman"/>
          <w:sz w:val="24"/>
          <w:szCs w:val="24"/>
          <w:lang w:val="en-US"/>
        </w:rPr>
        <w:fldChar w:fldCharType="end"/>
      </w:r>
      <w:r w:rsidR="00CB5F52">
        <w:rPr>
          <w:rFonts w:ascii="Book Antiqua" w:eastAsia="Calibri" w:hAnsi="Book Antiqua" w:cs="Times New Roman"/>
          <w:sz w:val="24"/>
          <w:szCs w:val="24"/>
          <w:lang w:val="es-ES"/>
        </w:rPr>
        <w:t>.</w:t>
      </w:r>
    </w:p>
    <w:p w14:paraId="119CB3DC" w14:textId="77777777" w:rsidR="006707C5" w:rsidRPr="000A6219" w:rsidRDefault="006707C5" w:rsidP="000A6219">
      <w:pPr>
        <w:snapToGrid w:val="0"/>
        <w:spacing w:after="0" w:line="360" w:lineRule="auto"/>
        <w:jc w:val="both"/>
        <w:rPr>
          <w:rFonts w:ascii="Book Antiqua" w:hAnsi="Book Antiqua"/>
          <w:b/>
          <w:sz w:val="24"/>
          <w:szCs w:val="24"/>
        </w:rPr>
      </w:pPr>
      <w:r w:rsidRPr="000A6219">
        <w:rPr>
          <w:rFonts w:ascii="Book Antiqua" w:hAnsi="Book Antiqua"/>
          <w:b/>
          <w:sz w:val="24"/>
          <w:szCs w:val="24"/>
        </w:rPr>
        <w:br w:type="page"/>
      </w:r>
    </w:p>
    <w:bookmarkEnd w:id="23"/>
    <w:bookmarkEnd w:id="24"/>
    <w:p w14:paraId="2B1F2066" w14:textId="676C04C2" w:rsidR="00875652" w:rsidRPr="000A6219" w:rsidRDefault="00875652" w:rsidP="000A6219">
      <w:pPr>
        <w:snapToGrid w:val="0"/>
        <w:spacing w:after="0"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lastRenderedPageBreak/>
        <w:t xml:space="preserve">Table </w:t>
      </w:r>
      <w:r w:rsidR="00BA5A02" w:rsidRPr="000A6219">
        <w:rPr>
          <w:rFonts w:ascii="Book Antiqua" w:eastAsia="Calibri" w:hAnsi="Book Antiqua" w:cs="Times New Roman"/>
          <w:b/>
          <w:sz w:val="24"/>
          <w:szCs w:val="24"/>
          <w:lang w:val="en-US"/>
        </w:rPr>
        <w:t>1</w:t>
      </w:r>
      <w:r w:rsidRPr="000A6219">
        <w:rPr>
          <w:rFonts w:ascii="Book Antiqua" w:eastAsia="Calibri" w:hAnsi="Book Antiqua" w:cs="Times New Roman"/>
          <w:b/>
          <w:sz w:val="24"/>
          <w:szCs w:val="24"/>
          <w:lang w:val="en-US"/>
        </w:rPr>
        <w:t xml:space="preserve"> </w:t>
      </w:r>
      <w:r w:rsidR="00EA7A76" w:rsidRPr="000A6219">
        <w:rPr>
          <w:rFonts w:ascii="Book Antiqua" w:eastAsia="Calibri" w:hAnsi="Book Antiqua" w:cs="Times New Roman"/>
          <w:b/>
          <w:sz w:val="24"/>
          <w:szCs w:val="24"/>
          <w:lang w:val="en-US"/>
        </w:rPr>
        <w:t>Phenotype, phylogroup and prevalence of virulence gene</w:t>
      </w:r>
      <w:r w:rsidR="00076943" w:rsidRPr="000A6219">
        <w:rPr>
          <w:rFonts w:ascii="Book Antiqua" w:eastAsia="Calibri" w:hAnsi="Book Antiqua" w:cs="Times New Roman"/>
          <w:b/>
          <w:sz w:val="24"/>
          <w:szCs w:val="24"/>
          <w:lang w:val="en-US"/>
        </w:rPr>
        <w:t xml:space="preserve">s found to be more frequent in adherent-invasive </w:t>
      </w:r>
      <w:r w:rsidR="000670ED" w:rsidRPr="000A6219">
        <w:rPr>
          <w:rFonts w:ascii="Book Antiqua" w:eastAsia="Calibri" w:hAnsi="Book Antiqua" w:cs="Times New Roman"/>
          <w:b/>
          <w:i/>
          <w:sz w:val="24"/>
          <w:szCs w:val="24"/>
          <w:lang w:val="en-US"/>
        </w:rPr>
        <w:t>Escherichia coli</w:t>
      </w:r>
      <w:r w:rsidR="00EA7A76" w:rsidRPr="000A6219">
        <w:rPr>
          <w:rFonts w:ascii="Book Antiqua" w:eastAsia="Calibri" w:hAnsi="Book Antiqua" w:cs="Times New Roman"/>
          <w:b/>
          <w:sz w:val="24"/>
          <w:szCs w:val="24"/>
          <w:lang w:val="en-US"/>
        </w:rPr>
        <w:t xml:space="preserve"> than non-</w:t>
      </w:r>
      <w:r w:rsidR="00076943" w:rsidRPr="000A6219">
        <w:rPr>
          <w:rFonts w:ascii="Book Antiqua" w:eastAsia="Calibri" w:hAnsi="Book Antiqua" w:cs="Times New Roman"/>
          <w:b/>
          <w:sz w:val="24"/>
          <w:szCs w:val="24"/>
          <w:lang w:val="en-US"/>
        </w:rPr>
        <w:t xml:space="preserve">adherent-invasive </w:t>
      </w:r>
      <w:r w:rsidR="000670ED" w:rsidRPr="000A6219">
        <w:rPr>
          <w:rFonts w:ascii="Book Antiqua" w:eastAsia="Calibri" w:hAnsi="Book Antiqua" w:cs="Times New Roman"/>
          <w:b/>
          <w:i/>
          <w:sz w:val="24"/>
          <w:szCs w:val="24"/>
          <w:lang w:val="en-US"/>
        </w:rPr>
        <w:t>Escherichia coli</w:t>
      </w:r>
      <w:r w:rsidR="00EA7A76" w:rsidRPr="000A6219">
        <w:rPr>
          <w:rFonts w:ascii="Book Antiqua" w:eastAsia="Calibri" w:hAnsi="Book Antiqua" w:cs="Times New Roman"/>
          <w:b/>
          <w:sz w:val="24"/>
          <w:szCs w:val="24"/>
          <w:lang w:val="en-US"/>
        </w:rPr>
        <w:t xml:space="preserve"> strains in PCR-based and genomic studies</w:t>
      </w:r>
    </w:p>
    <w:tbl>
      <w:tblPr>
        <w:tblStyle w:val="Tablaconcuadrcula1"/>
        <w:tblW w:w="10207"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850"/>
        <w:gridCol w:w="1275"/>
        <w:gridCol w:w="570"/>
        <w:gridCol w:w="567"/>
        <w:gridCol w:w="567"/>
        <w:gridCol w:w="848"/>
        <w:gridCol w:w="1134"/>
        <w:gridCol w:w="851"/>
        <w:gridCol w:w="1701"/>
      </w:tblGrid>
      <w:tr w:rsidR="006707C5" w:rsidRPr="000A6219" w14:paraId="54A4491D" w14:textId="77777777" w:rsidTr="006707C5">
        <w:trPr>
          <w:trHeight w:val="283"/>
        </w:trPr>
        <w:tc>
          <w:tcPr>
            <w:tcW w:w="1844" w:type="dxa"/>
            <w:vMerge w:val="restart"/>
            <w:tcBorders>
              <w:top w:val="single" w:sz="4" w:space="0" w:color="auto"/>
              <w:bottom w:val="nil"/>
            </w:tcBorders>
            <w:shd w:val="clear" w:color="auto" w:fill="auto"/>
            <w:vAlign w:val="bottom"/>
          </w:tcPr>
          <w:p w14:paraId="642ABA0D" w14:textId="4D055C1C" w:rsidR="00875652" w:rsidRPr="000A6219" w:rsidRDefault="006707C5"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Virulence gene</w:t>
            </w:r>
          </w:p>
        </w:tc>
        <w:tc>
          <w:tcPr>
            <w:tcW w:w="2125" w:type="dxa"/>
            <w:gridSpan w:val="2"/>
            <w:tcBorders>
              <w:top w:val="single" w:sz="4" w:space="0" w:color="auto"/>
              <w:bottom w:val="single" w:sz="4" w:space="0" w:color="auto"/>
            </w:tcBorders>
            <w:shd w:val="clear" w:color="auto" w:fill="auto"/>
            <w:vAlign w:val="bottom"/>
            <w:hideMark/>
          </w:tcPr>
          <w:p w14:paraId="56306C1F" w14:textId="3B55A669"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Group of study (</w:t>
            </w:r>
            <w:r w:rsidR="006707C5" w:rsidRPr="000A6219">
              <w:rPr>
                <w:rFonts w:ascii="Book Antiqua" w:eastAsia="Times New Roman" w:hAnsi="Book Antiqua" w:cs="Times New Roman"/>
                <w:b/>
                <w:i/>
                <w:sz w:val="24"/>
                <w:szCs w:val="24"/>
                <w:lang w:val="en-US" w:eastAsia="ar-SA"/>
              </w:rPr>
              <w:t>n</w:t>
            </w:r>
            <w:r w:rsidRPr="000A6219">
              <w:rPr>
                <w:rFonts w:ascii="Book Antiqua" w:eastAsia="Times New Roman" w:hAnsi="Book Antiqua" w:cs="Times New Roman"/>
                <w:b/>
                <w:sz w:val="24"/>
                <w:szCs w:val="24"/>
                <w:lang w:val="en-US" w:eastAsia="ar-SA"/>
              </w:rPr>
              <w:t>)</w:t>
            </w:r>
          </w:p>
        </w:tc>
        <w:tc>
          <w:tcPr>
            <w:tcW w:w="3686" w:type="dxa"/>
            <w:gridSpan w:val="5"/>
            <w:tcBorders>
              <w:top w:val="single" w:sz="4" w:space="0" w:color="auto"/>
              <w:bottom w:val="single" w:sz="4" w:space="0" w:color="auto"/>
            </w:tcBorders>
            <w:shd w:val="clear" w:color="auto" w:fill="auto"/>
            <w:vAlign w:val="bottom"/>
          </w:tcPr>
          <w:p w14:paraId="1AB0D494" w14:textId="6E5EAB20" w:rsidR="00875652" w:rsidRPr="000A6219" w:rsidRDefault="006707C5"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Phylogroup (</w:t>
            </w:r>
            <w:r w:rsidRPr="000A6219">
              <w:rPr>
                <w:rFonts w:ascii="Book Antiqua" w:eastAsia="Times New Roman" w:hAnsi="Book Antiqua" w:cs="Times New Roman"/>
                <w:b/>
                <w:i/>
                <w:sz w:val="24"/>
                <w:szCs w:val="24"/>
                <w:lang w:val="en-US" w:eastAsia="ar-SA"/>
              </w:rPr>
              <w:t>n</w:t>
            </w:r>
            <w:r w:rsidR="00875652" w:rsidRPr="000A6219">
              <w:rPr>
                <w:rFonts w:ascii="Book Antiqua" w:eastAsia="Times New Roman" w:hAnsi="Book Antiqua" w:cs="Times New Roman"/>
                <w:b/>
                <w:sz w:val="24"/>
                <w:szCs w:val="24"/>
                <w:lang w:val="en-US" w:eastAsia="ar-SA"/>
              </w:rPr>
              <w:t>)</w:t>
            </w:r>
            <w:r w:rsidR="00DE7362" w:rsidRPr="000A6219">
              <w:rPr>
                <w:rFonts w:ascii="Book Antiqua" w:eastAsia="Times New Roman" w:hAnsi="Book Antiqua" w:cs="Times New Roman"/>
                <w:sz w:val="24"/>
                <w:szCs w:val="24"/>
                <w:vertAlign w:val="superscript"/>
                <w:lang w:val="en-US" w:eastAsia="ar-SA"/>
              </w:rPr>
              <w:t>1</w:t>
            </w:r>
          </w:p>
        </w:tc>
        <w:tc>
          <w:tcPr>
            <w:tcW w:w="2552" w:type="dxa"/>
            <w:gridSpan w:val="2"/>
            <w:tcBorders>
              <w:top w:val="single" w:sz="4" w:space="0" w:color="auto"/>
              <w:bottom w:val="single" w:sz="4" w:space="0" w:color="auto"/>
            </w:tcBorders>
            <w:shd w:val="clear" w:color="auto" w:fill="auto"/>
            <w:vAlign w:val="bottom"/>
            <w:hideMark/>
          </w:tcPr>
          <w:p w14:paraId="0CD7FA26"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Prevalence (%)</w:t>
            </w:r>
          </w:p>
        </w:tc>
      </w:tr>
      <w:tr w:rsidR="006707C5" w:rsidRPr="000A6219" w14:paraId="01176D6C" w14:textId="77777777" w:rsidTr="006707C5">
        <w:tc>
          <w:tcPr>
            <w:tcW w:w="1844" w:type="dxa"/>
            <w:vMerge/>
            <w:tcBorders>
              <w:top w:val="nil"/>
              <w:bottom w:val="single" w:sz="4" w:space="0" w:color="auto"/>
            </w:tcBorders>
            <w:shd w:val="clear" w:color="auto" w:fill="auto"/>
            <w:vAlign w:val="bottom"/>
            <w:hideMark/>
          </w:tcPr>
          <w:p w14:paraId="3D95B80D"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p>
        </w:tc>
        <w:tc>
          <w:tcPr>
            <w:tcW w:w="850" w:type="dxa"/>
            <w:tcBorders>
              <w:top w:val="single" w:sz="4" w:space="0" w:color="auto"/>
              <w:bottom w:val="single" w:sz="4" w:space="0" w:color="auto"/>
            </w:tcBorders>
            <w:shd w:val="clear" w:color="auto" w:fill="auto"/>
            <w:vAlign w:val="bottom"/>
            <w:hideMark/>
          </w:tcPr>
          <w:p w14:paraId="33C28E62"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AIEC</w:t>
            </w:r>
          </w:p>
        </w:tc>
        <w:tc>
          <w:tcPr>
            <w:tcW w:w="1275" w:type="dxa"/>
            <w:tcBorders>
              <w:top w:val="single" w:sz="4" w:space="0" w:color="auto"/>
              <w:bottom w:val="single" w:sz="4" w:space="0" w:color="auto"/>
            </w:tcBorders>
            <w:shd w:val="clear" w:color="auto" w:fill="auto"/>
            <w:vAlign w:val="bottom"/>
            <w:hideMark/>
          </w:tcPr>
          <w:p w14:paraId="49DD2044"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non-AIEC</w:t>
            </w:r>
          </w:p>
        </w:tc>
        <w:tc>
          <w:tcPr>
            <w:tcW w:w="570" w:type="dxa"/>
            <w:tcBorders>
              <w:top w:val="single" w:sz="4" w:space="0" w:color="auto"/>
              <w:bottom w:val="single" w:sz="4" w:space="0" w:color="auto"/>
            </w:tcBorders>
            <w:shd w:val="clear" w:color="auto" w:fill="auto"/>
            <w:vAlign w:val="bottom"/>
          </w:tcPr>
          <w:p w14:paraId="432BA24D"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A</w:t>
            </w:r>
          </w:p>
        </w:tc>
        <w:tc>
          <w:tcPr>
            <w:tcW w:w="567" w:type="dxa"/>
            <w:tcBorders>
              <w:top w:val="single" w:sz="4" w:space="0" w:color="auto"/>
              <w:bottom w:val="single" w:sz="4" w:space="0" w:color="auto"/>
            </w:tcBorders>
            <w:shd w:val="clear" w:color="auto" w:fill="auto"/>
            <w:vAlign w:val="bottom"/>
          </w:tcPr>
          <w:p w14:paraId="7BFE3664"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B1</w:t>
            </w:r>
          </w:p>
        </w:tc>
        <w:tc>
          <w:tcPr>
            <w:tcW w:w="567" w:type="dxa"/>
            <w:tcBorders>
              <w:top w:val="single" w:sz="4" w:space="0" w:color="auto"/>
              <w:bottom w:val="single" w:sz="4" w:space="0" w:color="auto"/>
            </w:tcBorders>
            <w:shd w:val="clear" w:color="auto" w:fill="auto"/>
            <w:vAlign w:val="bottom"/>
          </w:tcPr>
          <w:p w14:paraId="62799309"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B2</w:t>
            </w:r>
          </w:p>
        </w:tc>
        <w:tc>
          <w:tcPr>
            <w:tcW w:w="848" w:type="dxa"/>
            <w:tcBorders>
              <w:top w:val="single" w:sz="4" w:space="0" w:color="auto"/>
              <w:bottom w:val="single" w:sz="4" w:space="0" w:color="auto"/>
            </w:tcBorders>
            <w:shd w:val="clear" w:color="auto" w:fill="auto"/>
            <w:vAlign w:val="bottom"/>
          </w:tcPr>
          <w:p w14:paraId="6D0AB215"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D</w:t>
            </w:r>
          </w:p>
        </w:tc>
        <w:tc>
          <w:tcPr>
            <w:tcW w:w="1134" w:type="dxa"/>
            <w:tcBorders>
              <w:top w:val="single" w:sz="4" w:space="0" w:color="auto"/>
              <w:bottom w:val="single" w:sz="4" w:space="0" w:color="auto"/>
            </w:tcBorders>
            <w:shd w:val="clear" w:color="auto" w:fill="auto"/>
          </w:tcPr>
          <w:p w14:paraId="4E5ECC75"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Others</w:t>
            </w:r>
          </w:p>
        </w:tc>
        <w:tc>
          <w:tcPr>
            <w:tcW w:w="851" w:type="dxa"/>
            <w:tcBorders>
              <w:top w:val="single" w:sz="4" w:space="0" w:color="auto"/>
              <w:bottom w:val="single" w:sz="4" w:space="0" w:color="auto"/>
            </w:tcBorders>
            <w:shd w:val="clear" w:color="auto" w:fill="auto"/>
            <w:vAlign w:val="bottom"/>
            <w:hideMark/>
          </w:tcPr>
          <w:p w14:paraId="25D69606"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AIEC</w:t>
            </w:r>
          </w:p>
        </w:tc>
        <w:tc>
          <w:tcPr>
            <w:tcW w:w="1701" w:type="dxa"/>
            <w:tcBorders>
              <w:top w:val="single" w:sz="4" w:space="0" w:color="auto"/>
              <w:bottom w:val="single" w:sz="4" w:space="0" w:color="auto"/>
            </w:tcBorders>
            <w:shd w:val="clear" w:color="auto" w:fill="auto"/>
            <w:vAlign w:val="bottom"/>
            <w:hideMark/>
          </w:tcPr>
          <w:p w14:paraId="34461EC6"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non-AIEC</w:t>
            </w:r>
          </w:p>
        </w:tc>
      </w:tr>
      <w:tr w:rsidR="00875652" w:rsidRPr="000A6219" w14:paraId="16645578" w14:textId="77777777" w:rsidTr="006707C5">
        <w:trPr>
          <w:trHeight w:val="603"/>
        </w:trPr>
        <w:tc>
          <w:tcPr>
            <w:tcW w:w="1844" w:type="dxa"/>
            <w:tcBorders>
              <w:top w:val="single" w:sz="4" w:space="0" w:color="auto"/>
            </w:tcBorders>
            <w:shd w:val="clear" w:color="auto" w:fill="auto"/>
            <w:vAlign w:val="center"/>
          </w:tcPr>
          <w:p w14:paraId="7ACD7364" w14:textId="63F47786" w:rsidR="00875652" w:rsidRPr="000A6219" w:rsidRDefault="006707C5" w:rsidP="000A6219">
            <w:pPr>
              <w:suppressAutoHyphens/>
              <w:snapToGrid w:val="0"/>
              <w:spacing w:line="360" w:lineRule="auto"/>
              <w:jc w:val="both"/>
              <w:rPr>
                <w:rFonts w:ascii="Book Antiqua" w:eastAsia="Times New Roman" w:hAnsi="Book Antiqua" w:cs="Times New Roman"/>
                <w:sz w:val="24"/>
                <w:szCs w:val="24"/>
                <w:lang w:val="es-ES" w:eastAsia="ar-SA"/>
              </w:rPr>
            </w:pPr>
            <w:r w:rsidRPr="000A6219">
              <w:rPr>
                <w:rFonts w:ascii="Book Antiqua" w:eastAsia="Times New Roman" w:hAnsi="Book Antiqua" w:cs="Times New Roman"/>
                <w:i/>
                <w:sz w:val="24"/>
                <w:szCs w:val="24"/>
                <w:lang w:val="es-ES" w:eastAsia="ar-SA"/>
              </w:rPr>
              <w:t>malX</w:t>
            </w:r>
            <w:r w:rsidR="00875652" w:rsidRPr="000A6219">
              <w:rPr>
                <w:rFonts w:ascii="Book Antiqua" w:eastAsia="Calibri" w:hAnsi="Book Antiqua" w:cs="Times New Roman"/>
                <w:i/>
                <w:sz w:val="24"/>
                <w:szCs w:val="24"/>
                <w:lang w:val="en-US"/>
              </w:rPr>
              <w:fldChar w:fldCharType="begin" w:fldLock="1"/>
            </w:r>
            <w:r w:rsidR="00894FE5" w:rsidRPr="000A6219">
              <w:rPr>
                <w:rFonts w:ascii="Book Antiqua" w:eastAsia="Calibri" w:hAnsi="Book Antiqua" w:cs="Times New Roman"/>
                <w:i/>
                <w:sz w:val="24"/>
                <w:szCs w:val="24"/>
                <w:lang w:val="es-E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mendeley":{"formattedCitation":"&lt;sup&gt;[37]&lt;/sup&gt;","plainTextFormattedCitation":"[37]","previouslyFormattedCitation":"&lt;sup&gt;[37]&lt;/sup&gt;"},"properties":{"noteIndex":0},"schema":"https://github.com/citation-style-language/schema/raw/master/csl-citation.json"}</w:instrText>
            </w:r>
            <w:r w:rsidR="00875652"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s-ES"/>
              </w:rPr>
              <w:t>[37]</w:t>
            </w:r>
            <w:r w:rsidR="00875652" w:rsidRPr="000A6219">
              <w:rPr>
                <w:rFonts w:ascii="Book Antiqua" w:eastAsia="Calibri" w:hAnsi="Book Antiqua" w:cs="Times New Roman"/>
                <w:i/>
                <w:sz w:val="24"/>
                <w:szCs w:val="24"/>
                <w:lang w:val="en-US"/>
              </w:rPr>
              <w:fldChar w:fldCharType="end"/>
            </w:r>
          </w:p>
        </w:tc>
        <w:tc>
          <w:tcPr>
            <w:tcW w:w="850" w:type="dxa"/>
            <w:tcBorders>
              <w:top w:val="single" w:sz="4" w:space="0" w:color="auto"/>
            </w:tcBorders>
            <w:shd w:val="clear" w:color="auto" w:fill="auto"/>
            <w:vAlign w:val="center"/>
          </w:tcPr>
          <w:p w14:paraId="36D0B525"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49</w:t>
            </w:r>
          </w:p>
        </w:tc>
        <w:tc>
          <w:tcPr>
            <w:tcW w:w="1275" w:type="dxa"/>
            <w:tcBorders>
              <w:top w:val="single" w:sz="4" w:space="0" w:color="auto"/>
            </w:tcBorders>
            <w:shd w:val="clear" w:color="auto" w:fill="auto"/>
            <w:vAlign w:val="center"/>
          </w:tcPr>
          <w:p w14:paraId="7FC22E85" w14:textId="13E09BED" w:rsidR="00875652" w:rsidRPr="000A6219" w:rsidRDefault="00DE736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134</w:t>
            </w:r>
            <w:r w:rsidRPr="000A6219">
              <w:rPr>
                <w:rFonts w:ascii="Book Antiqua" w:eastAsia="Times New Roman" w:hAnsi="Book Antiqua" w:cs="Times New Roman"/>
                <w:sz w:val="24"/>
                <w:szCs w:val="24"/>
                <w:vertAlign w:val="superscript"/>
                <w:lang w:val="en-US" w:eastAsia="ar-SA"/>
              </w:rPr>
              <w:t>2</w:t>
            </w:r>
          </w:p>
        </w:tc>
        <w:tc>
          <w:tcPr>
            <w:tcW w:w="570" w:type="dxa"/>
            <w:tcBorders>
              <w:top w:val="single" w:sz="4" w:space="0" w:color="auto"/>
            </w:tcBorders>
            <w:shd w:val="clear" w:color="auto" w:fill="auto"/>
            <w:vAlign w:val="center"/>
          </w:tcPr>
          <w:p w14:paraId="577F9B9A" w14:textId="30FB9269" w:rsidR="00875652" w:rsidRPr="000A6219" w:rsidRDefault="00420999"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39</w:t>
            </w:r>
          </w:p>
        </w:tc>
        <w:tc>
          <w:tcPr>
            <w:tcW w:w="567" w:type="dxa"/>
            <w:tcBorders>
              <w:top w:val="single" w:sz="4" w:space="0" w:color="auto"/>
            </w:tcBorders>
            <w:shd w:val="clear" w:color="auto" w:fill="auto"/>
            <w:vAlign w:val="center"/>
          </w:tcPr>
          <w:p w14:paraId="55814361" w14:textId="50C5FAEF"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w:t>
            </w:r>
            <w:r w:rsidR="00420999" w:rsidRPr="000A6219">
              <w:rPr>
                <w:rFonts w:ascii="Book Antiqua" w:eastAsia="Times New Roman" w:hAnsi="Book Antiqua" w:cs="Times New Roman"/>
                <w:sz w:val="24"/>
                <w:szCs w:val="24"/>
                <w:lang w:val="en-US" w:eastAsia="ar-SA"/>
              </w:rPr>
              <w:t>9</w:t>
            </w:r>
          </w:p>
        </w:tc>
        <w:tc>
          <w:tcPr>
            <w:tcW w:w="567" w:type="dxa"/>
            <w:tcBorders>
              <w:top w:val="single" w:sz="4" w:space="0" w:color="auto"/>
            </w:tcBorders>
            <w:shd w:val="clear" w:color="auto" w:fill="auto"/>
            <w:vAlign w:val="center"/>
          </w:tcPr>
          <w:p w14:paraId="5B02B14F" w14:textId="696FA4AE" w:rsidR="00875652" w:rsidRPr="000A6219" w:rsidRDefault="00420999"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98</w:t>
            </w:r>
          </w:p>
        </w:tc>
        <w:tc>
          <w:tcPr>
            <w:tcW w:w="848" w:type="dxa"/>
            <w:tcBorders>
              <w:top w:val="single" w:sz="4" w:space="0" w:color="auto"/>
            </w:tcBorders>
            <w:shd w:val="clear" w:color="auto" w:fill="auto"/>
            <w:vAlign w:val="center"/>
          </w:tcPr>
          <w:p w14:paraId="11591212" w14:textId="6AAEE1B1" w:rsidR="00875652" w:rsidRPr="000A6219" w:rsidRDefault="00420999"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19</w:t>
            </w:r>
          </w:p>
        </w:tc>
        <w:tc>
          <w:tcPr>
            <w:tcW w:w="1134" w:type="dxa"/>
            <w:tcBorders>
              <w:top w:val="single" w:sz="4" w:space="0" w:color="auto"/>
            </w:tcBorders>
            <w:shd w:val="clear" w:color="auto" w:fill="auto"/>
            <w:vAlign w:val="center"/>
          </w:tcPr>
          <w:p w14:paraId="2117055F" w14:textId="10B24CBE" w:rsidR="00875652" w:rsidRPr="000A6219" w:rsidRDefault="00420999"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w:t>
            </w:r>
          </w:p>
        </w:tc>
        <w:tc>
          <w:tcPr>
            <w:tcW w:w="851" w:type="dxa"/>
            <w:tcBorders>
              <w:top w:val="single" w:sz="4" w:space="0" w:color="auto"/>
            </w:tcBorders>
            <w:shd w:val="clear" w:color="auto" w:fill="auto"/>
            <w:vAlign w:val="center"/>
          </w:tcPr>
          <w:p w14:paraId="0B35D645"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71</w:t>
            </w:r>
          </w:p>
        </w:tc>
        <w:tc>
          <w:tcPr>
            <w:tcW w:w="1701" w:type="dxa"/>
            <w:tcBorders>
              <w:top w:val="single" w:sz="4" w:space="0" w:color="auto"/>
            </w:tcBorders>
            <w:shd w:val="clear" w:color="auto" w:fill="auto"/>
            <w:vAlign w:val="center"/>
          </w:tcPr>
          <w:p w14:paraId="2B69D6DB"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47</w:t>
            </w:r>
          </w:p>
        </w:tc>
      </w:tr>
      <w:tr w:rsidR="00420999" w:rsidRPr="000A6219" w14:paraId="5304E2B9" w14:textId="77777777" w:rsidTr="006707C5">
        <w:trPr>
          <w:trHeight w:val="603"/>
        </w:trPr>
        <w:tc>
          <w:tcPr>
            <w:tcW w:w="1844" w:type="dxa"/>
            <w:shd w:val="clear" w:color="auto" w:fill="auto"/>
            <w:vAlign w:val="center"/>
          </w:tcPr>
          <w:p w14:paraId="222FA221" w14:textId="1BCCC73F" w:rsidR="00420999" w:rsidRPr="000A6219" w:rsidRDefault="006707C5" w:rsidP="000A6219">
            <w:pPr>
              <w:suppressAutoHyphens/>
              <w:snapToGrid w:val="0"/>
              <w:spacing w:line="360" w:lineRule="auto"/>
              <w:jc w:val="both"/>
              <w:rPr>
                <w:rFonts w:ascii="Book Antiqua" w:eastAsia="Times New Roman" w:hAnsi="Book Antiqua" w:cs="Times New Roman"/>
                <w:i/>
                <w:sz w:val="24"/>
                <w:szCs w:val="24"/>
                <w:lang w:val="es-ES" w:eastAsia="ar-SA"/>
              </w:rPr>
            </w:pPr>
            <w:r w:rsidRPr="000A6219">
              <w:rPr>
                <w:rFonts w:ascii="Book Antiqua" w:eastAsia="Times New Roman" w:hAnsi="Book Antiqua" w:cs="Times New Roman"/>
                <w:i/>
                <w:sz w:val="24"/>
                <w:szCs w:val="24"/>
                <w:lang w:val="es-ES" w:eastAsia="ar-SA"/>
              </w:rPr>
              <w:t>kpsMTII</w:t>
            </w:r>
            <w:r w:rsidR="00420999" w:rsidRPr="000A6219">
              <w:rPr>
                <w:rFonts w:ascii="Book Antiqua" w:eastAsia="Calibri" w:hAnsi="Book Antiqua" w:cs="Times New Roman"/>
                <w:i/>
                <w:sz w:val="24"/>
                <w:szCs w:val="24"/>
                <w:lang w:val="en-US"/>
              </w:rPr>
              <w:fldChar w:fldCharType="begin" w:fldLock="1"/>
            </w:r>
            <w:r w:rsidR="00894FE5" w:rsidRPr="000A6219">
              <w:rPr>
                <w:rFonts w:ascii="Book Antiqua" w:eastAsia="Calibri" w:hAnsi="Book Antiqua" w:cs="Times New Roman"/>
                <w:i/>
                <w:sz w:val="24"/>
                <w:szCs w:val="24"/>
                <w:lang w:val="es-E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mendeley":{"formattedCitation":"&lt;sup&gt;[37]&lt;/sup&gt;","plainTextFormattedCitation":"[37]","previouslyFormattedCitation":"&lt;sup&gt;[37]&lt;/sup&gt;"},"properties":{"noteIndex":0},"schema":"https://github.com/citation-style-language/schema/raw/master/csl-citation.json"}</w:instrText>
            </w:r>
            <w:r w:rsidR="00420999"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s-ES"/>
              </w:rPr>
              <w:t>[37]</w:t>
            </w:r>
            <w:r w:rsidR="00420999" w:rsidRPr="000A6219">
              <w:rPr>
                <w:rFonts w:ascii="Book Antiqua" w:eastAsia="Calibri" w:hAnsi="Book Antiqua" w:cs="Times New Roman"/>
                <w:i/>
                <w:sz w:val="24"/>
                <w:szCs w:val="24"/>
                <w:lang w:val="en-US"/>
              </w:rPr>
              <w:fldChar w:fldCharType="end"/>
            </w:r>
          </w:p>
        </w:tc>
        <w:tc>
          <w:tcPr>
            <w:tcW w:w="850" w:type="dxa"/>
            <w:shd w:val="clear" w:color="auto" w:fill="auto"/>
            <w:vAlign w:val="center"/>
          </w:tcPr>
          <w:p w14:paraId="186B950C" w14:textId="77777777" w:rsidR="00420999" w:rsidRPr="000A6219" w:rsidRDefault="00420999"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49</w:t>
            </w:r>
          </w:p>
        </w:tc>
        <w:tc>
          <w:tcPr>
            <w:tcW w:w="1275" w:type="dxa"/>
            <w:shd w:val="clear" w:color="auto" w:fill="auto"/>
            <w:vAlign w:val="center"/>
          </w:tcPr>
          <w:p w14:paraId="7241A4A7" w14:textId="3942C86D" w:rsidR="00420999" w:rsidRPr="000A6219" w:rsidRDefault="00DE736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134</w:t>
            </w:r>
            <w:r w:rsidRPr="000A6219">
              <w:rPr>
                <w:rFonts w:ascii="Book Antiqua" w:eastAsia="Times New Roman" w:hAnsi="Book Antiqua" w:cs="Times New Roman"/>
                <w:sz w:val="24"/>
                <w:szCs w:val="24"/>
                <w:vertAlign w:val="superscript"/>
                <w:lang w:val="en-US" w:eastAsia="ar-SA"/>
              </w:rPr>
              <w:t>2</w:t>
            </w:r>
          </w:p>
        </w:tc>
        <w:tc>
          <w:tcPr>
            <w:tcW w:w="570" w:type="dxa"/>
            <w:shd w:val="clear" w:color="auto" w:fill="auto"/>
            <w:vAlign w:val="center"/>
          </w:tcPr>
          <w:p w14:paraId="5B569CD1" w14:textId="26095F0F" w:rsidR="00420999" w:rsidRPr="000A6219" w:rsidRDefault="00420999" w:rsidP="000A6219">
            <w:pPr>
              <w:suppressAutoHyphens/>
              <w:snapToGrid w:val="0"/>
              <w:spacing w:line="360" w:lineRule="auto"/>
              <w:jc w:val="both"/>
              <w:rPr>
                <w:rFonts w:ascii="Book Antiqua" w:eastAsia="Times New Roman" w:hAnsi="Book Antiqua" w:cs="Times New Roman"/>
                <w:color w:val="C0504D" w:themeColor="accent2"/>
                <w:sz w:val="24"/>
                <w:szCs w:val="24"/>
                <w:lang w:val="en-US" w:eastAsia="ar-SA"/>
              </w:rPr>
            </w:pPr>
            <w:r w:rsidRPr="000A6219">
              <w:rPr>
                <w:rFonts w:ascii="Book Antiqua" w:eastAsia="Times New Roman" w:hAnsi="Book Antiqua" w:cs="Times New Roman"/>
                <w:sz w:val="24"/>
                <w:szCs w:val="24"/>
                <w:lang w:val="en-US" w:eastAsia="ar-SA"/>
              </w:rPr>
              <w:t>39</w:t>
            </w:r>
          </w:p>
        </w:tc>
        <w:tc>
          <w:tcPr>
            <w:tcW w:w="567" w:type="dxa"/>
            <w:shd w:val="clear" w:color="auto" w:fill="auto"/>
            <w:vAlign w:val="center"/>
          </w:tcPr>
          <w:p w14:paraId="24CAEB66" w14:textId="54DD0AAB" w:rsidR="00420999" w:rsidRPr="000A6219" w:rsidRDefault="00420999" w:rsidP="000A6219">
            <w:pPr>
              <w:suppressAutoHyphens/>
              <w:snapToGrid w:val="0"/>
              <w:spacing w:line="360" w:lineRule="auto"/>
              <w:jc w:val="both"/>
              <w:rPr>
                <w:rFonts w:ascii="Book Antiqua" w:eastAsia="Times New Roman" w:hAnsi="Book Antiqua" w:cs="Times New Roman"/>
                <w:color w:val="C0504D" w:themeColor="accent2"/>
                <w:sz w:val="24"/>
                <w:szCs w:val="24"/>
                <w:lang w:val="en-US" w:eastAsia="ar-SA"/>
              </w:rPr>
            </w:pPr>
            <w:r w:rsidRPr="000A6219">
              <w:rPr>
                <w:rFonts w:ascii="Book Antiqua" w:eastAsia="Times New Roman" w:hAnsi="Book Antiqua" w:cs="Times New Roman"/>
                <w:sz w:val="24"/>
                <w:szCs w:val="24"/>
                <w:lang w:val="en-US" w:eastAsia="ar-SA"/>
              </w:rPr>
              <w:t>19</w:t>
            </w:r>
          </w:p>
        </w:tc>
        <w:tc>
          <w:tcPr>
            <w:tcW w:w="567" w:type="dxa"/>
            <w:shd w:val="clear" w:color="auto" w:fill="auto"/>
            <w:vAlign w:val="center"/>
          </w:tcPr>
          <w:p w14:paraId="17B569FF" w14:textId="781E865F" w:rsidR="00420999" w:rsidRPr="000A6219" w:rsidRDefault="00420999" w:rsidP="000A6219">
            <w:pPr>
              <w:suppressAutoHyphens/>
              <w:snapToGrid w:val="0"/>
              <w:spacing w:line="360" w:lineRule="auto"/>
              <w:jc w:val="both"/>
              <w:rPr>
                <w:rFonts w:ascii="Book Antiqua" w:eastAsia="Times New Roman" w:hAnsi="Book Antiqua" w:cs="Times New Roman"/>
                <w:color w:val="C0504D" w:themeColor="accent2"/>
                <w:sz w:val="24"/>
                <w:szCs w:val="24"/>
                <w:lang w:val="en-US" w:eastAsia="ar-SA"/>
              </w:rPr>
            </w:pPr>
            <w:r w:rsidRPr="000A6219">
              <w:rPr>
                <w:rFonts w:ascii="Book Antiqua" w:eastAsia="Times New Roman" w:hAnsi="Book Antiqua" w:cs="Times New Roman"/>
                <w:sz w:val="24"/>
                <w:szCs w:val="24"/>
                <w:lang w:val="en-US" w:eastAsia="ar-SA"/>
              </w:rPr>
              <w:t>98</w:t>
            </w:r>
          </w:p>
        </w:tc>
        <w:tc>
          <w:tcPr>
            <w:tcW w:w="848" w:type="dxa"/>
            <w:shd w:val="clear" w:color="auto" w:fill="auto"/>
            <w:vAlign w:val="center"/>
          </w:tcPr>
          <w:p w14:paraId="25B0091F" w14:textId="7C84110E" w:rsidR="00420999" w:rsidRPr="000A6219" w:rsidRDefault="00420999" w:rsidP="000A6219">
            <w:pPr>
              <w:suppressAutoHyphens/>
              <w:snapToGrid w:val="0"/>
              <w:spacing w:line="360" w:lineRule="auto"/>
              <w:jc w:val="both"/>
              <w:rPr>
                <w:rFonts w:ascii="Book Antiqua" w:eastAsia="Times New Roman" w:hAnsi="Book Antiqua" w:cs="Times New Roman"/>
                <w:color w:val="C0504D" w:themeColor="accent2"/>
                <w:sz w:val="24"/>
                <w:szCs w:val="24"/>
                <w:lang w:val="en-US" w:eastAsia="ar-SA"/>
              </w:rPr>
            </w:pPr>
            <w:r w:rsidRPr="000A6219">
              <w:rPr>
                <w:rFonts w:ascii="Book Antiqua" w:eastAsia="Times New Roman" w:hAnsi="Book Antiqua" w:cs="Times New Roman"/>
                <w:sz w:val="24"/>
                <w:szCs w:val="24"/>
                <w:lang w:val="en-US" w:eastAsia="ar-SA"/>
              </w:rPr>
              <w:t>19</w:t>
            </w:r>
          </w:p>
        </w:tc>
        <w:tc>
          <w:tcPr>
            <w:tcW w:w="1134" w:type="dxa"/>
            <w:shd w:val="clear" w:color="auto" w:fill="auto"/>
            <w:vAlign w:val="center"/>
          </w:tcPr>
          <w:p w14:paraId="6D5AA78D" w14:textId="673CF0E2" w:rsidR="00420999" w:rsidRPr="000A6219" w:rsidRDefault="00420999"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w:t>
            </w:r>
          </w:p>
        </w:tc>
        <w:tc>
          <w:tcPr>
            <w:tcW w:w="851" w:type="dxa"/>
            <w:shd w:val="clear" w:color="auto" w:fill="auto"/>
            <w:vAlign w:val="center"/>
          </w:tcPr>
          <w:p w14:paraId="49DABC64" w14:textId="77777777" w:rsidR="00420999" w:rsidRPr="000A6219" w:rsidRDefault="00420999"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71</w:t>
            </w:r>
          </w:p>
        </w:tc>
        <w:tc>
          <w:tcPr>
            <w:tcW w:w="1701" w:type="dxa"/>
            <w:shd w:val="clear" w:color="auto" w:fill="auto"/>
            <w:vAlign w:val="center"/>
          </w:tcPr>
          <w:p w14:paraId="677A1F05" w14:textId="77777777" w:rsidR="00420999" w:rsidRPr="000A6219" w:rsidRDefault="00420999"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52</w:t>
            </w:r>
          </w:p>
        </w:tc>
      </w:tr>
      <w:tr w:rsidR="00875652" w:rsidRPr="000A6219" w14:paraId="7D6975EC" w14:textId="77777777" w:rsidTr="006707C5">
        <w:trPr>
          <w:trHeight w:val="603"/>
        </w:trPr>
        <w:tc>
          <w:tcPr>
            <w:tcW w:w="1844" w:type="dxa"/>
            <w:shd w:val="clear" w:color="auto" w:fill="auto"/>
            <w:vAlign w:val="center"/>
            <w:hideMark/>
          </w:tcPr>
          <w:p w14:paraId="7D7AC039" w14:textId="38CF01D6" w:rsidR="00875652" w:rsidRPr="000A6219" w:rsidRDefault="006707C5" w:rsidP="000A6219">
            <w:pPr>
              <w:suppressAutoHyphens/>
              <w:snapToGrid w:val="0"/>
              <w:spacing w:line="360" w:lineRule="auto"/>
              <w:jc w:val="both"/>
              <w:rPr>
                <w:rFonts w:ascii="Book Antiqua" w:eastAsia="Times New Roman" w:hAnsi="Book Antiqua" w:cs="Times New Roman"/>
                <w:sz w:val="24"/>
                <w:szCs w:val="24"/>
                <w:lang w:val="en-US" w:eastAsia="ar-SA"/>
              </w:rPr>
            </w:pPr>
            <w:proofErr w:type="spellStart"/>
            <w:r w:rsidRPr="000A6219">
              <w:rPr>
                <w:rFonts w:ascii="Book Antiqua" w:eastAsia="Times New Roman" w:hAnsi="Book Antiqua" w:cs="Times New Roman"/>
                <w:i/>
                <w:sz w:val="24"/>
                <w:szCs w:val="24"/>
                <w:lang w:val="en-US" w:eastAsia="ar-SA"/>
              </w:rPr>
              <w:t>pduC</w:t>
            </w:r>
            <w:proofErr w:type="spellEnd"/>
            <w:r w:rsidR="00875652"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00875652" w:rsidRPr="000A6219">
              <w:rPr>
                <w:rFonts w:ascii="Book Antiqua" w:eastAsia="Times New Roman" w:hAnsi="Book Antiqua" w:cs="Times New Roman"/>
                <w:i/>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[31]</w:t>
            </w:r>
            <w:r w:rsidR="00875652" w:rsidRPr="000A6219">
              <w:rPr>
                <w:rFonts w:ascii="Book Antiqua" w:eastAsia="Times New Roman" w:hAnsi="Book Antiqua" w:cs="Times New Roman"/>
                <w:i/>
                <w:sz w:val="24"/>
                <w:szCs w:val="24"/>
                <w:lang w:val="en-US" w:eastAsia="ar-SA"/>
              </w:rPr>
              <w:fldChar w:fldCharType="end"/>
            </w:r>
          </w:p>
        </w:tc>
        <w:tc>
          <w:tcPr>
            <w:tcW w:w="850" w:type="dxa"/>
            <w:shd w:val="clear" w:color="auto" w:fill="auto"/>
            <w:vAlign w:val="center"/>
            <w:hideMark/>
          </w:tcPr>
          <w:p w14:paraId="692D55EC"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24</w:t>
            </w:r>
          </w:p>
        </w:tc>
        <w:tc>
          <w:tcPr>
            <w:tcW w:w="1275" w:type="dxa"/>
            <w:shd w:val="clear" w:color="auto" w:fill="auto"/>
            <w:vAlign w:val="center"/>
            <w:hideMark/>
          </w:tcPr>
          <w:p w14:paraId="0B462B75"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25</w:t>
            </w:r>
          </w:p>
        </w:tc>
        <w:tc>
          <w:tcPr>
            <w:tcW w:w="570" w:type="dxa"/>
            <w:shd w:val="clear" w:color="auto" w:fill="auto"/>
            <w:vAlign w:val="center"/>
          </w:tcPr>
          <w:p w14:paraId="1DFDF07D"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14</w:t>
            </w:r>
          </w:p>
        </w:tc>
        <w:tc>
          <w:tcPr>
            <w:tcW w:w="567" w:type="dxa"/>
            <w:shd w:val="clear" w:color="auto" w:fill="auto"/>
            <w:vAlign w:val="center"/>
          </w:tcPr>
          <w:p w14:paraId="31FF9BBD"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16</w:t>
            </w:r>
          </w:p>
        </w:tc>
        <w:tc>
          <w:tcPr>
            <w:tcW w:w="567" w:type="dxa"/>
            <w:shd w:val="clear" w:color="auto" w:fill="auto"/>
            <w:vAlign w:val="center"/>
          </w:tcPr>
          <w:p w14:paraId="36068192"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10</w:t>
            </w:r>
          </w:p>
        </w:tc>
        <w:tc>
          <w:tcPr>
            <w:tcW w:w="848" w:type="dxa"/>
            <w:shd w:val="clear" w:color="auto" w:fill="auto"/>
            <w:vAlign w:val="center"/>
          </w:tcPr>
          <w:p w14:paraId="32A584B3"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w:t>
            </w:r>
          </w:p>
        </w:tc>
        <w:tc>
          <w:tcPr>
            <w:tcW w:w="1134" w:type="dxa"/>
            <w:shd w:val="clear" w:color="auto" w:fill="auto"/>
            <w:vAlign w:val="center"/>
          </w:tcPr>
          <w:p w14:paraId="12E08585"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0</w:t>
            </w:r>
          </w:p>
        </w:tc>
        <w:tc>
          <w:tcPr>
            <w:tcW w:w="851" w:type="dxa"/>
            <w:shd w:val="clear" w:color="auto" w:fill="auto"/>
            <w:vAlign w:val="center"/>
            <w:hideMark/>
          </w:tcPr>
          <w:p w14:paraId="4A6F0586"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50</w:t>
            </w:r>
          </w:p>
        </w:tc>
        <w:tc>
          <w:tcPr>
            <w:tcW w:w="1701" w:type="dxa"/>
            <w:shd w:val="clear" w:color="auto" w:fill="auto"/>
            <w:vAlign w:val="center"/>
            <w:hideMark/>
          </w:tcPr>
          <w:p w14:paraId="2033C717"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20</w:t>
            </w:r>
          </w:p>
        </w:tc>
      </w:tr>
      <w:tr w:rsidR="00875652" w:rsidRPr="000A6219" w14:paraId="2757AB08" w14:textId="77777777" w:rsidTr="006707C5">
        <w:trPr>
          <w:trHeight w:val="555"/>
        </w:trPr>
        <w:tc>
          <w:tcPr>
            <w:tcW w:w="1844" w:type="dxa"/>
            <w:shd w:val="clear" w:color="auto" w:fill="auto"/>
            <w:vAlign w:val="center"/>
            <w:hideMark/>
          </w:tcPr>
          <w:p w14:paraId="51DDE441" w14:textId="4FD82D9D" w:rsidR="00875652" w:rsidRPr="000A6219" w:rsidRDefault="006707C5" w:rsidP="000A6219">
            <w:pPr>
              <w:suppressAutoHyphens/>
              <w:snapToGrid w:val="0"/>
              <w:spacing w:line="360" w:lineRule="auto"/>
              <w:jc w:val="both"/>
              <w:rPr>
                <w:rFonts w:ascii="Book Antiqua" w:eastAsia="Times New Roman" w:hAnsi="Book Antiqua" w:cs="Times New Roman"/>
                <w:sz w:val="24"/>
                <w:szCs w:val="24"/>
                <w:lang w:val="en-US" w:eastAsia="ar-SA"/>
              </w:rPr>
            </w:pPr>
            <w:proofErr w:type="spellStart"/>
            <w:r w:rsidRPr="000A6219">
              <w:rPr>
                <w:rFonts w:ascii="Book Antiqua" w:eastAsia="Times New Roman" w:hAnsi="Book Antiqua" w:cs="Times New Roman"/>
                <w:i/>
                <w:sz w:val="24"/>
                <w:szCs w:val="24"/>
                <w:lang w:val="en-US" w:eastAsia="ar-SA"/>
              </w:rPr>
              <w:t>lpfA</w:t>
            </w:r>
            <w:proofErr w:type="spellEnd"/>
            <w:r w:rsidR="00875652"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00875652" w:rsidRPr="000A6219">
              <w:rPr>
                <w:rFonts w:ascii="Book Antiqua" w:eastAsia="Times New Roman" w:hAnsi="Book Antiqua" w:cs="Times New Roman"/>
                <w:i/>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[31]</w:t>
            </w:r>
            <w:r w:rsidR="00875652" w:rsidRPr="000A6219">
              <w:rPr>
                <w:rFonts w:ascii="Book Antiqua" w:eastAsia="Times New Roman" w:hAnsi="Book Antiqua" w:cs="Times New Roman"/>
                <w:i/>
                <w:sz w:val="24"/>
                <w:szCs w:val="24"/>
                <w:lang w:val="en-US" w:eastAsia="ar-SA"/>
              </w:rPr>
              <w:fldChar w:fldCharType="end"/>
            </w:r>
          </w:p>
        </w:tc>
        <w:tc>
          <w:tcPr>
            <w:tcW w:w="850" w:type="dxa"/>
            <w:shd w:val="clear" w:color="auto" w:fill="auto"/>
            <w:vAlign w:val="center"/>
            <w:hideMark/>
          </w:tcPr>
          <w:p w14:paraId="488A85D4"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24</w:t>
            </w:r>
          </w:p>
        </w:tc>
        <w:tc>
          <w:tcPr>
            <w:tcW w:w="1275" w:type="dxa"/>
            <w:shd w:val="clear" w:color="auto" w:fill="auto"/>
            <w:vAlign w:val="center"/>
            <w:hideMark/>
          </w:tcPr>
          <w:p w14:paraId="053CE54B"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25</w:t>
            </w:r>
          </w:p>
        </w:tc>
        <w:tc>
          <w:tcPr>
            <w:tcW w:w="570" w:type="dxa"/>
            <w:shd w:val="clear" w:color="auto" w:fill="auto"/>
            <w:vAlign w:val="center"/>
          </w:tcPr>
          <w:p w14:paraId="0C352878"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14</w:t>
            </w:r>
          </w:p>
        </w:tc>
        <w:tc>
          <w:tcPr>
            <w:tcW w:w="567" w:type="dxa"/>
            <w:shd w:val="clear" w:color="auto" w:fill="auto"/>
            <w:vAlign w:val="center"/>
          </w:tcPr>
          <w:p w14:paraId="6E5E3C3D"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16</w:t>
            </w:r>
          </w:p>
        </w:tc>
        <w:tc>
          <w:tcPr>
            <w:tcW w:w="567" w:type="dxa"/>
            <w:shd w:val="clear" w:color="auto" w:fill="auto"/>
            <w:vAlign w:val="center"/>
          </w:tcPr>
          <w:p w14:paraId="3039D64A"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10</w:t>
            </w:r>
          </w:p>
        </w:tc>
        <w:tc>
          <w:tcPr>
            <w:tcW w:w="848" w:type="dxa"/>
            <w:shd w:val="clear" w:color="auto" w:fill="auto"/>
            <w:vAlign w:val="center"/>
          </w:tcPr>
          <w:p w14:paraId="35DE9E8A"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w:t>
            </w:r>
          </w:p>
        </w:tc>
        <w:tc>
          <w:tcPr>
            <w:tcW w:w="1134" w:type="dxa"/>
            <w:shd w:val="clear" w:color="auto" w:fill="auto"/>
            <w:vAlign w:val="center"/>
          </w:tcPr>
          <w:p w14:paraId="3874DCD0"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0</w:t>
            </w:r>
          </w:p>
        </w:tc>
        <w:tc>
          <w:tcPr>
            <w:tcW w:w="851" w:type="dxa"/>
            <w:shd w:val="clear" w:color="auto" w:fill="auto"/>
            <w:vAlign w:val="center"/>
            <w:hideMark/>
          </w:tcPr>
          <w:p w14:paraId="7647F8BE"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71</w:t>
            </w:r>
          </w:p>
        </w:tc>
        <w:tc>
          <w:tcPr>
            <w:tcW w:w="1701" w:type="dxa"/>
            <w:shd w:val="clear" w:color="auto" w:fill="auto"/>
            <w:vAlign w:val="center"/>
            <w:hideMark/>
          </w:tcPr>
          <w:p w14:paraId="421E816B"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20</w:t>
            </w:r>
          </w:p>
        </w:tc>
      </w:tr>
      <w:tr w:rsidR="00875652" w:rsidRPr="000A6219" w14:paraId="3C65A28F" w14:textId="77777777" w:rsidTr="006707C5">
        <w:trPr>
          <w:trHeight w:val="563"/>
        </w:trPr>
        <w:tc>
          <w:tcPr>
            <w:tcW w:w="1844" w:type="dxa"/>
            <w:shd w:val="clear" w:color="auto" w:fill="auto"/>
            <w:vAlign w:val="center"/>
            <w:hideMark/>
          </w:tcPr>
          <w:p w14:paraId="69491E7B" w14:textId="64377BEA"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s-ES" w:eastAsia="ar-SA"/>
              </w:rPr>
            </w:pPr>
            <w:r w:rsidRPr="000A6219">
              <w:rPr>
                <w:rFonts w:ascii="Book Antiqua" w:eastAsia="Times New Roman" w:hAnsi="Book Antiqua" w:cs="Times New Roman"/>
                <w:i/>
                <w:sz w:val="24"/>
                <w:szCs w:val="24"/>
                <w:lang w:val="es-ES" w:eastAsia="ar-SA"/>
              </w:rPr>
              <w:t>lpfA</w:t>
            </w:r>
            <w:r w:rsidRPr="000A6219">
              <w:rPr>
                <w:rFonts w:ascii="Book Antiqua" w:eastAsia="Times New Roman" w:hAnsi="Book Antiqua" w:cs="Times New Roman"/>
                <w:sz w:val="24"/>
                <w:szCs w:val="24"/>
                <w:lang w:val="es-ES" w:eastAsia="ar-SA"/>
              </w:rPr>
              <w:t xml:space="preserve"> + </w:t>
            </w:r>
            <w:r w:rsidRPr="000A6219">
              <w:rPr>
                <w:rFonts w:ascii="Book Antiqua" w:eastAsia="Times New Roman" w:hAnsi="Book Antiqua" w:cs="Times New Roman"/>
                <w:i/>
                <w:sz w:val="24"/>
                <w:szCs w:val="24"/>
                <w:lang w:val="es-ES" w:eastAsia="ar-SA"/>
              </w:rPr>
              <w:t>gipA</w:t>
            </w:r>
            <w:r w:rsidRPr="000A6219">
              <w:rPr>
                <w:rFonts w:ascii="Book Antiqua" w:eastAsia="Times New Roman" w:hAnsi="Book Antiqua" w:cs="Times New Roman"/>
                <w:i/>
                <w:sz w:val="24"/>
                <w:szCs w:val="24"/>
                <w:lang w:val="en-US" w:eastAsia="ar-SA"/>
              </w:rPr>
              <w:fldChar w:fldCharType="begin" w:fldLock="1"/>
            </w:r>
            <w:r w:rsidR="00894FE5" w:rsidRPr="000A6219">
              <w:rPr>
                <w:rFonts w:ascii="Book Antiqua" w:eastAsia="Times New Roman" w:hAnsi="Book Antiqua" w:cs="Times New Roman"/>
                <w:i/>
                <w:sz w:val="24"/>
                <w:szCs w:val="24"/>
                <w:lang w:val="es-ES" w:eastAsia="ar-SA"/>
              </w:rPr>
              <w:instrText>ADDIN CSL_CITATION {"citationItems":[{"id":"ITEM-1","itemData":{"DOI":"10.1097/MIB.0000000000000609","ISSN":"1536-4844","PMID":"26512715","abstract":"BACKGROUND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 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 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 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diseases","id":"ITEM-1","issue":"1","issued":{"date-parts":[["2016","1"]]},"page":"68-81","title":"GipA Factor Supports Colonization of Peyer's Patches by Crohn's Disease-associated Escherichia Coli.","type":"article-journal","volume":"22"},"uris":["http://www.mendeley.com/documents/?uuid=51303cd0-bfeb-36be-aba1-cf6d0f4665e0"]}],"mendeley":{"formattedCitation":"&lt;sup&gt;[47]&lt;/sup&gt;","plainTextFormattedCitation":"[47]","previouslyFormattedCitation":"&lt;sup&gt;[47]&lt;/sup&gt;"},"properties":{"noteIndex":0},"schema":"https://github.com/citation-style-language/schema/raw/master/csl-citation.json"}</w:instrText>
            </w:r>
            <w:r w:rsidRPr="000A6219">
              <w:rPr>
                <w:rFonts w:ascii="Book Antiqua" w:eastAsia="Times New Roman" w:hAnsi="Book Antiqua" w:cs="Times New Roman"/>
                <w:i/>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s-ES" w:eastAsia="ar-SA"/>
              </w:rPr>
              <w:t>[</w:t>
            </w:r>
            <w:r w:rsidR="0077005C" w:rsidRPr="000A6219">
              <w:rPr>
                <w:rFonts w:ascii="Book Antiqua" w:eastAsia="Times New Roman" w:hAnsi="Book Antiqua" w:cs="Times New Roman"/>
                <w:noProof/>
                <w:sz w:val="24"/>
                <w:szCs w:val="24"/>
                <w:vertAlign w:val="superscript"/>
                <w:lang w:val="es-ES" w:eastAsia="ar-SA"/>
              </w:rPr>
              <w:t>39]</w:t>
            </w:r>
            <w:r w:rsidRPr="000A6219">
              <w:rPr>
                <w:rFonts w:ascii="Book Antiqua" w:eastAsia="Times New Roman" w:hAnsi="Book Antiqua" w:cs="Times New Roman"/>
                <w:i/>
                <w:sz w:val="24"/>
                <w:szCs w:val="24"/>
                <w:lang w:val="en-US" w:eastAsia="ar-SA"/>
              </w:rPr>
              <w:fldChar w:fldCharType="end"/>
            </w:r>
          </w:p>
        </w:tc>
        <w:tc>
          <w:tcPr>
            <w:tcW w:w="850" w:type="dxa"/>
            <w:shd w:val="clear" w:color="auto" w:fill="auto"/>
            <w:vAlign w:val="center"/>
            <w:hideMark/>
          </w:tcPr>
          <w:p w14:paraId="352346F3"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35</w:t>
            </w:r>
          </w:p>
        </w:tc>
        <w:tc>
          <w:tcPr>
            <w:tcW w:w="1275" w:type="dxa"/>
            <w:shd w:val="clear" w:color="auto" w:fill="auto"/>
            <w:vAlign w:val="center"/>
            <w:hideMark/>
          </w:tcPr>
          <w:p w14:paraId="2565B231"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103</w:t>
            </w:r>
          </w:p>
        </w:tc>
        <w:tc>
          <w:tcPr>
            <w:tcW w:w="3686" w:type="dxa"/>
            <w:gridSpan w:val="5"/>
            <w:shd w:val="clear" w:color="auto" w:fill="auto"/>
            <w:vAlign w:val="center"/>
          </w:tcPr>
          <w:p w14:paraId="4971DA71" w14:textId="77777777" w:rsidR="00875652" w:rsidRPr="000A6219" w:rsidRDefault="00EF4DE3"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Undetermined</w:t>
            </w:r>
          </w:p>
        </w:tc>
        <w:tc>
          <w:tcPr>
            <w:tcW w:w="851" w:type="dxa"/>
            <w:shd w:val="clear" w:color="auto" w:fill="auto"/>
            <w:vAlign w:val="center"/>
            <w:hideMark/>
          </w:tcPr>
          <w:p w14:paraId="2FD5F652"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31</w:t>
            </w:r>
          </w:p>
        </w:tc>
        <w:tc>
          <w:tcPr>
            <w:tcW w:w="1701" w:type="dxa"/>
            <w:shd w:val="clear" w:color="auto" w:fill="auto"/>
            <w:vAlign w:val="center"/>
            <w:hideMark/>
          </w:tcPr>
          <w:p w14:paraId="3E577664"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0</w:t>
            </w:r>
          </w:p>
        </w:tc>
      </w:tr>
      <w:tr w:rsidR="00875652" w:rsidRPr="000A6219" w14:paraId="13CBF903" w14:textId="77777777" w:rsidTr="006707C5">
        <w:trPr>
          <w:trHeight w:val="557"/>
        </w:trPr>
        <w:tc>
          <w:tcPr>
            <w:tcW w:w="1844" w:type="dxa"/>
            <w:shd w:val="clear" w:color="auto" w:fill="auto"/>
            <w:vAlign w:val="center"/>
            <w:hideMark/>
          </w:tcPr>
          <w:p w14:paraId="221A25B0" w14:textId="166D6BD7" w:rsidR="00875652" w:rsidRPr="000A6219" w:rsidRDefault="006707C5" w:rsidP="000A6219">
            <w:pPr>
              <w:suppressAutoHyphens/>
              <w:snapToGrid w:val="0"/>
              <w:spacing w:line="360" w:lineRule="auto"/>
              <w:jc w:val="both"/>
              <w:rPr>
                <w:rFonts w:ascii="Book Antiqua" w:eastAsia="Times New Roman" w:hAnsi="Book Antiqua" w:cs="Times New Roman"/>
                <w:i/>
                <w:sz w:val="24"/>
                <w:szCs w:val="24"/>
                <w:lang w:val="en-US" w:eastAsia="ar-SA"/>
              </w:rPr>
            </w:pPr>
            <w:proofErr w:type="spellStart"/>
            <w:r w:rsidRPr="000A6219">
              <w:rPr>
                <w:rFonts w:ascii="Book Antiqua" w:eastAsia="Times New Roman" w:hAnsi="Book Antiqua" w:cs="Times New Roman"/>
                <w:i/>
                <w:sz w:val="24"/>
                <w:szCs w:val="24"/>
                <w:lang w:val="en-US" w:eastAsia="ar-SA"/>
              </w:rPr>
              <w:t>chuA</w:t>
            </w:r>
            <w:proofErr w:type="spellEnd"/>
            <w:r w:rsidR="00875652"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microbiology","id":"ITEM-1","issued":{"date-parts":[["2017"]]},"page":"639","publisher":"Frontiers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mendeley":{"formattedCitation":"&lt;sup&gt;[13]&lt;/sup&gt;","plainTextFormattedCitation":"[13]","previouslyFormattedCitation":"&lt;sup&gt;[13]&lt;/sup&gt;"},"properties":{"noteIndex":0},"schema":"https://github.com/citation-style-language/schema/raw/master/csl-citation.json"}</w:instrText>
            </w:r>
            <w:r w:rsidR="00875652" w:rsidRPr="000A6219">
              <w:rPr>
                <w:rFonts w:ascii="Book Antiqua" w:eastAsia="Times New Roman" w:hAnsi="Book Antiqua" w:cs="Times New Roman"/>
                <w:i/>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[13]</w:t>
            </w:r>
            <w:r w:rsidR="00875652" w:rsidRPr="000A6219">
              <w:rPr>
                <w:rFonts w:ascii="Book Antiqua" w:eastAsia="Times New Roman" w:hAnsi="Book Antiqua" w:cs="Times New Roman"/>
                <w:i/>
                <w:sz w:val="24"/>
                <w:szCs w:val="24"/>
                <w:lang w:val="en-US" w:eastAsia="ar-SA"/>
              </w:rPr>
              <w:fldChar w:fldCharType="end"/>
            </w:r>
          </w:p>
        </w:tc>
        <w:tc>
          <w:tcPr>
            <w:tcW w:w="850" w:type="dxa"/>
            <w:shd w:val="clear" w:color="auto" w:fill="auto"/>
            <w:vAlign w:val="center"/>
            <w:hideMark/>
          </w:tcPr>
          <w:p w14:paraId="60248D54"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15</w:t>
            </w:r>
          </w:p>
        </w:tc>
        <w:tc>
          <w:tcPr>
            <w:tcW w:w="1275" w:type="dxa"/>
            <w:shd w:val="clear" w:color="auto" w:fill="auto"/>
            <w:vAlign w:val="center"/>
            <w:hideMark/>
          </w:tcPr>
          <w:p w14:paraId="754EB8C9"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37</w:t>
            </w:r>
          </w:p>
        </w:tc>
        <w:tc>
          <w:tcPr>
            <w:tcW w:w="570" w:type="dxa"/>
            <w:shd w:val="clear" w:color="auto" w:fill="auto"/>
            <w:vAlign w:val="center"/>
          </w:tcPr>
          <w:p w14:paraId="6813FF16"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11</w:t>
            </w:r>
          </w:p>
        </w:tc>
        <w:tc>
          <w:tcPr>
            <w:tcW w:w="567" w:type="dxa"/>
            <w:shd w:val="clear" w:color="auto" w:fill="auto"/>
            <w:vAlign w:val="center"/>
          </w:tcPr>
          <w:p w14:paraId="622DE9CC"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w:t>
            </w:r>
          </w:p>
        </w:tc>
        <w:tc>
          <w:tcPr>
            <w:tcW w:w="567" w:type="dxa"/>
            <w:shd w:val="clear" w:color="auto" w:fill="auto"/>
            <w:vAlign w:val="center"/>
          </w:tcPr>
          <w:p w14:paraId="166F2C26"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18</w:t>
            </w:r>
          </w:p>
        </w:tc>
        <w:tc>
          <w:tcPr>
            <w:tcW w:w="848" w:type="dxa"/>
            <w:shd w:val="clear" w:color="auto" w:fill="auto"/>
            <w:vAlign w:val="center"/>
          </w:tcPr>
          <w:p w14:paraId="41FD7D01"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18</w:t>
            </w:r>
          </w:p>
        </w:tc>
        <w:tc>
          <w:tcPr>
            <w:tcW w:w="1134" w:type="dxa"/>
            <w:shd w:val="clear" w:color="auto" w:fill="auto"/>
            <w:vAlign w:val="center"/>
          </w:tcPr>
          <w:p w14:paraId="34B168FB"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0</w:t>
            </w:r>
          </w:p>
        </w:tc>
        <w:tc>
          <w:tcPr>
            <w:tcW w:w="851" w:type="dxa"/>
            <w:shd w:val="clear" w:color="auto" w:fill="auto"/>
            <w:vAlign w:val="center"/>
            <w:hideMark/>
          </w:tcPr>
          <w:p w14:paraId="151521F4"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93</w:t>
            </w:r>
          </w:p>
        </w:tc>
        <w:tc>
          <w:tcPr>
            <w:tcW w:w="1701" w:type="dxa"/>
            <w:shd w:val="clear" w:color="auto" w:fill="auto"/>
            <w:vAlign w:val="center"/>
            <w:hideMark/>
          </w:tcPr>
          <w:p w14:paraId="66C44D07"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59</w:t>
            </w:r>
          </w:p>
        </w:tc>
      </w:tr>
      <w:tr w:rsidR="00A24BD4" w:rsidRPr="000A6219" w14:paraId="2DB46506" w14:textId="77777777" w:rsidTr="006707C5">
        <w:trPr>
          <w:trHeight w:val="557"/>
        </w:trPr>
        <w:tc>
          <w:tcPr>
            <w:tcW w:w="1844" w:type="dxa"/>
            <w:shd w:val="clear" w:color="auto" w:fill="auto"/>
            <w:vAlign w:val="center"/>
          </w:tcPr>
          <w:p w14:paraId="131C980C" w14:textId="6101A7FC" w:rsidR="00A24BD4" w:rsidRPr="000A6219" w:rsidRDefault="006707C5" w:rsidP="000A6219">
            <w:pPr>
              <w:suppressAutoHyphens/>
              <w:snapToGrid w:val="0"/>
              <w:spacing w:line="360" w:lineRule="auto"/>
              <w:jc w:val="both"/>
              <w:rPr>
                <w:rFonts w:ascii="Book Antiqua" w:eastAsia="Times New Roman" w:hAnsi="Book Antiqua" w:cs="Times New Roman"/>
                <w:i/>
                <w:sz w:val="24"/>
                <w:szCs w:val="24"/>
                <w:lang w:val="en-US" w:eastAsia="ar-SA"/>
              </w:rPr>
            </w:pPr>
            <w:proofErr w:type="spellStart"/>
            <w:r w:rsidRPr="000A6219">
              <w:rPr>
                <w:rFonts w:ascii="Book Antiqua" w:eastAsia="Times New Roman" w:hAnsi="Book Antiqua" w:cs="Times New Roman"/>
                <w:i/>
                <w:sz w:val="24"/>
                <w:szCs w:val="24"/>
                <w:lang w:val="en-US" w:eastAsia="ar-SA"/>
              </w:rPr>
              <w:t>ibeA</w:t>
            </w:r>
            <w:proofErr w:type="spellEnd"/>
            <w:r w:rsidR="00A24BD4"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{"citationItems":[{"id":"ITEM-1","itemData":{"DOI":"10.1093/femsle/fny249","ISSN":"1574-6968","PMID":"30299475","abstract":"Irritable Bowel Syndrome (IBS) affects 10-20% of people. Increased numbers of Escherichia coli (E. coli) correlate with symptoms, and patients respond to antimicrobials targeting E. coli. We examined whether specific E. coli strains, phylogroups and pathotypes are associated with IBS. We evaluated 218 E. coli isolates from 33 IBS patients and 23 healthy controls. RAPD analysis revealed 89 E. coli strains (29 controls, 60 IBS), spanning the A, B1, B2, D phylogroups. Strains were similarly enriched in virulence genes associated with extraintestinal pathogenic E.coli (ExPEC) and/or adherent-invasive E.coli (AIEC). Three strains harbored a diarrheagenic virulence gene (2 IBS, 1 control). E. coli capable of invading epithelial cells or replicating in macrophages were detected in 53% of IBS and 50% controls, and 67% IBS and 45% controls respectively (P&gt;0.05). AIEC were identified in 33% of IBS patients vs. 20% of controls (P=0.35). Virulence genes ibeA, ColV and pduC were associated with intramacrophage persistence; ibeA and ColV were associated with epithelial invasion and AIEC pathotype (P&lt;0.05). IBS patients and controls are commonly colonized by E. coli that resemble ExPEC and display pathogen-like behavior in vitro, similar to CD-associated AIEC. The relationship of these resident pathosymbiont E. coli to IBS warrants further investigation.","author":[{"dropping-particle":"","family":"Dogan","given":"Belgin","non-dropping-particle":"","parse-names":false,"suffix":""},{"dropping-particle":"","family":"Belcher-Timme","given":"Hannah Facey","non-dropping-particle":"","parse-names":false,"suffix":""},{"dropping-particle":"","family":"Dogan","given":"Esra I","non-dropping-particle":"","parse-names":false,"suffix":""},{"dropping-particle":"","family":"Jiang","given":"Zhi-Dong","non-dropping-particle":"","parse-names":false,"suffix":""},{"dropping-particle":"","family":"DuPont","given":"Herbert L","non-dropping-particle":"","parse-names":false,"suffix":""},{"dropping-particle":"","family":"Synder","given":"Ned","non-dropping-particle":"","parse-names":false,"suffix":""},{"dropping-particle":"","family":"Yang","given":"Stephen","non-dropping-particle":"","parse-names":false,"suffix":""},{"dropping-particle":"","family":"Chandler","given":"Brendan","non-dropping-particle":"","parse-names":false,"suffix":""},{"dropping-particle":"","family":"Scherl","given":"Ellen J","non-dropping-particle":"","parse-names":false,"suffix":""},{"dropping-particle":"","family":"Simpson","given":"Kenneth W","non-dropping-particle":"","parse-names":false,"suffix":""}],"container-title":"FEMS Microbiology Letters","id":"ITEM-1","issued":{"date-parts":[["2018","10","8"]]},"title":"Evaluation of Escherichia coli pathotypes associated with Irritable Bowel Syndrome","type":"article-journal"},"uris":["http://www.mendeley.com/documents/?uuid=055b9144-4bcb-33d7-994b-828806b957b0"]}],"mendeley":{"formattedCitation":"&lt;sup&gt;[40]&lt;/sup&gt;","plainTextFormattedCitation":"[40]","previouslyFormattedCitation":"&lt;sup&gt;[40]&lt;/sup&gt;"},"properties":{"noteIndex":0},"schema":"https://github.com/citation-style-language/schema/raw/master/csl-citation.json"}</w:instrText>
            </w:r>
            <w:r w:rsidR="00A24BD4" w:rsidRPr="000A6219">
              <w:rPr>
                <w:rFonts w:ascii="Book Antiqua" w:eastAsia="Times New Roman" w:hAnsi="Book Antiqua" w:cs="Times New Roman"/>
                <w:i/>
                <w:sz w:val="24"/>
                <w:szCs w:val="24"/>
                <w:lang w:val="en-US" w:eastAsia="ar-SA"/>
              </w:rPr>
              <w:fldChar w:fldCharType="separate"/>
            </w:r>
            <w:r w:rsidR="00E04FBE" w:rsidRPr="000A6219">
              <w:rPr>
                <w:rFonts w:ascii="Book Antiqua" w:eastAsia="Times New Roman" w:hAnsi="Book Antiqua" w:cs="Times New Roman"/>
                <w:noProof/>
                <w:sz w:val="24"/>
                <w:szCs w:val="24"/>
                <w:vertAlign w:val="superscript"/>
                <w:lang w:val="en-US" w:eastAsia="ar-SA"/>
              </w:rPr>
              <w:t>[40]</w:t>
            </w:r>
            <w:r w:rsidR="00A24BD4" w:rsidRPr="000A6219">
              <w:rPr>
                <w:rFonts w:ascii="Book Antiqua" w:eastAsia="Times New Roman" w:hAnsi="Book Antiqua" w:cs="Times New Roman"/>
                <w:i/>
                <w:sz w:val="24"/>
                <w:szCs w:val="24"/>
                <w:lang w:val="en-US" w:eastAsia="ar-SA"/>
              </w:rPr>
              <w:fldChar w:fldCharType="end"/>
            </w:r>
          </w:p>
        </w:tc>
        <w:tc>
          <w:tcPr>
            <w:tcW w:w="850" w:type="dxa"/>
            <w:shd w:val="clear" w:color="auto" w:fill="auto"/>
            <w:vAlign w:val="center"/>
          </w:tcPr>
          <w:p w14:paraId="4B01C16D" w14:textId="77777777" w:rsidR="00A24BD4" w:rsidRPr="000A6219" w:rsidRDefault="00A24BD4"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19</w:t>
            </w:r>
          </w:p>
        </w:tc>
        <w:tc>
          <w:tcPr>
            <w:tcW w:w="1275" w:type="dxa"/>
            <w:shd w:val="clear" w:color="auto" w:fill="auto"/>
            <w:vAlign w:val="center"/>
          </w:tcPr>
          <w:p w14:paraId="1D664DDD" w14:textId="77777777" w:rsidR="00A24BD4" w:rsidRPr="000A6219" w:rsidRDefault="00A24BD4"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57</w:t>
            </w:r>
          </w:p>
        </w:tc>
        <w:tc>
          <w:tcPr>
            <w:tcW w:w="3686" w:type="dxa"/>
            <w:gridSpan w:val="5"/>
            <w:shd w:val="clear" w:color="auto" w:fill="auto"/>
            <w:vAlign w:val="center"/>
          </w:tcPr>
          <w:p w14:paraId="78E9EFE9" w14:textId="26B0A914" w:rsidR="00A24BD4" w:rsidRPr="000A6219" w:rsidRDefault="00A24BD4" w:rsidP="000A6219">
            <w:pPr>
              <w:suppressAutoHyphens/>
              <w:snapToGrid w:val="0"/>
              <w:spacing w:line="360" w:lineRule="auto"/>
              <w:jc w:val="both"/>
              <w:rPr>
                <w:rFonts w:ascii="Book Antiqua" w:eastAsia="Times New Roman" w:hAnsi="Book Antiqua" w:cs="Times New Roman"/>
                <w:color w:val="C0504D" w:themeColor="accent2"/>
                <w:sz w:val="24"/>
                <w:szCs w:val="24"/>
                <w:lang w:val="en-US" w:eastAsia="ar-SA"/>
              </w:rPr>
            </w:pPr>
            <w:r w:rsidRPr="000A6219">
              <w:rPr>
                <w:rFonts w:ascii="Book Antiqua" w:eastAsia="Times New Roman" w:hAnsi="Book Antiqua" w:cs="Times New Roman"/>
                <w:sz w:val="24"/>
                <w:szCs w:val="24"/>
                <w:lang w:val="en-US" w:eastAsia="ar-SA"/>
              </w:rPr>
              <w:t>Undetermined</w:t>
            </w:r>
          </w:p>
        </w:tc>
        <w:tc>
          <w:tcPr>
            <w:tcW w:w="851" w:type="dxa"/>
            <w:shd w:val="clear" w:color="auto" w:fill="auto"/>
            <w:vAlign w:val="center"/>
          </w:tcPr>
          <w:p w14:paraId="41A5C21E" w14:textId="77777777" w:rsidR="00A24BD4" w:rsidRPr="000A6219" w:rsidRDefault="00A24BD4"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37</w:t>
            </w:r>
          </w:p>
        </w:tc>
        <w:tc>
          <w:tcPr>
            <w:tcW w:w="1701" w:type="dxa"/>
            <w:shd w:val="clear" w:color="auto" w:fill="auto"/>
            <w:vAlign w:val="center"/>
          </w:tcPr>
          <w:p w14:paraId="0F14D823" w14:textId="77777777" w:rsidR="00A24BD4" w:rsidRPr="000A6219" w:rsidRDefault="00A24BD4"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w:t>
            </w:r>
          </w:p>
        </w:tc>
      </w:tr>
      <w:tr w:rsidR="00A24BD4" w:rsidRPr="000A6219" w14:paraId="68B36852" w14:textId="77777777" w:rsidTr="006707C5">
        <w:trPr>
          <w:trHeight w:val="533"/>
        </w:trPr>
        <w:tc>
          <w:tcPr>
            <w:tcW w:w="1844" w:type="dxa"/>
            <w:shd w:val="clear" w:color="auto" w:fill="auto"/>
            <w:vAlign w:val="center"/>
          </w:tcPr>
          <w:p w14:paraId="7C945465" w14:textId="7E9FAA63" w:rsidR="00A24BD4" w:rsidRPr="000A6219" w:rsidRDefault="006707C5" w:rsidP="000A6219">
            <w:pPr>
              <w:suppressAutoHyphens/>
              <w:snapToGrid w:val="0"/>
              <w:spacing w:line="360" w:lineRule="auto"/>
              <w:jc w:val="both"/>
              <w:rPr>
                <w:rFonts w:ascii="Book Antiqua" w:eastAsia="Times New Roman" w:hAnsi="Book Antiqua" w:cs="Times New Roman"/>
                <w:i/>
                <w:sz w:val="24"/>
                <w:szCs w:val="24"/>
                <w:lang w:val="en-US" w:eastAsia="ar-SA"/>
              </w:rPr>
            </w:pPr>
            <w:proofErr w:type="spellStart"/>
            <w:r w:rsidRPr="000A6219">
              <w:rPr>
                <w:rFonts w:ascii="Book Antiqua" w:eastAsia="Times New Roman" w:hAnsi="Book Antiqua" w:cs="Times New Roman"/>
                <w:i/>
                <w:sz w:val="24"/>
                <w:szCs w:val="24"/>
                <w:lang w:val="en-US" w:eastAsia="ar-SA"/>
              </w:rPr>
              <w:t>colV</w:t>
            </w:r>
            <w:proofErr w:type="spellEnd"/>
            <w:r w:rsidR="00A24BD4"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{"citationItems":[{"id":"ITEM-1","itemData":{"DOI":"10.1093/femsle/fny249","ISSN":"1574-6968","PMID":"30299475","abstract":"Irritable Bowel Syndrome (IBS) affects 10-20% of people. Increased numbers of Escherichia coli (E. coli) correlate with symptoms, and patients respond to antimicrobials targeting E. coli. We examined whether specific E. coli strains, phylogroups and pathotypes are associated with IBS. We evaluated 218 E. coli isolates from 33 IBS patients and 23 healthy controls. RAPD analysis revealed 89 E. coli strains (29 controls, 60 IBS), spanning the A, B1, B2, D phylogroups. Strains were similarly enriched in virulence genes associated with extraintestinal pathogenic E.coli (ExPEC) and/or adherent-invasive E.coli (AIEC). Three strains harbored a diarrheagenic virulence gene (2 IBS, 1 control). E. coli capable of invading epithelial cells or replicating in macrophages were detected in 53% of IBS and 50% controls, and 67% IBS and 45% controls respectively (P&gt;0.05). AIEC were identified in 33% of IBS patients vs. 20% of controls (P=0.35). Virulence genes ibeA, ColV and pduC were associated with intramacrophage persistence; ibeA and ColV were associated with epithelial invasion and AIEC pathotype (P&lt;0.05). IBS patients and controls are commonly colonized by E. coli that resemble ExPEC and display pathogen-like behavior in vitro, similar to CD-associated AIEC. The relationship of these resident pathosymbiont E. coli to IBS warrants further investigation.","author":[{"dropping-particle":"","family":"Dogan","given":"Belgin","non-dropping-particle":"","parse-names":false,"suffix":""},{"dropping-particle":"","family":"Belcher-Timme","given":"Hannah Facey","non-dropping-particle":"","parse-names":false,"suffix":""},{"dropping-particle":"","family":"Dogan","given":"Esra I","non-dropping-particle":"","parse-names":false,"suffix":""},{"dropping-particle":"","family":"Jiang","given":"Zhi-Dong","non-dropping-particle":"","parse-names":false,"suffix":""},{"dropping-particle":"","family":"DuPont","given":"Herbert L","non-dropping-particle":"","parse-names":false,"suffix":""},{"dropping-particle":"","family":"Synder","given":"Ned","non-dropping-particle":"","parse-names":false,"suffix":""},{"dropping-particle":"","family":"Yang","given":"Stephen","non-dropping-particle":"","parse-names":false,"suffix":""},{"dropping-particle":"","family":"Chandler","given":"Brendan","non-dropping-particle":"","parse-names":false,"suffix":""},{"dropping-particle":"","family":"Scherl","given":"Ellen J","non-dropping-particle":"","parse-names":false,"suffix":""},{"dropping-particle":"","family":"Simpson","given":"Kenneth W","non-dropping-particle":"","parse-names":false,"suffix":""}],"container-title":"FEMS Microbiology Letters","id":"ITEM-1","issued":{"date-parts":[["2018","10","8"]]},"title":"Evaluation of Escherichia coli pathotypes associated with Irritable Bowel Syndrome","type":"article-journal"},"uris":["http://www.mendeley.com/documents/?uuid=055b9144-4bcb-33d7-994b-828806b957b0"]}],"mendeley":{"formattedCitation":"&lt;sup&gt;[40]&lt;/sup&gt;","plainTextFormattedCitation":"[40]","previouslyFormattedCitation":"&lt;sup&gt;[40]&lt;/sup&gt;"},"properties":{"noteIndex":0},"schema":"https://github.com/citation-style-language/schema/raw/master/csl-citation.json"}</w:instrText>
            </w:r>
            <w:r w:rsidR="00A24BD4" w:rsidRPr="000A6219">
              <w:rPr>
                <w:rFonts w:ascii="Book Antiqua" w:eastAsia="Times New Roman" w:hAnsi="Book Antiqua" w:cs="Times New Roman"/>
                <w:i/>
                <w:sz w:val="24"/>
                <w:szCs w:val="24"/>
                <w:lang w:val="en-US" w:eastAsia="ar-SA"/>
              </w:rPr>
              <w:fldChar w:fldCharType="separate"/>
            </w:r>
            <w:r w:rsidR="00E04FBE" w:rsidRPr="000A6219">
              <w:rPr>
                <w:rFonts w:ascii="Book Antiqua" w:eastAsia="Times New Roman" w:hAnsi="Book Antiqua" w:cs="Times New Roman"/>
                <w:noProof/>
                <w:sz w:val="24"/>
                <w:szCs w:val="24"/>
                <w:vertAlign w:val="superscript"/>
                <w:lang w:val="en-US" w:eastAsia="ar-SA"/>
              </w:rPr>
              <w:t>[40]</w:t>
            </w:r>
            <w:r w:rsidR="00A24BD4" w:rsidRPr="000A6219">
              <w:rPr>
                <w:rFonts w:ascii="Book Antiqua" w:eastAsia="Times New Roman" w:hAnsi="Book Antiqua" w:cs="Times New Roman"/>
                <w:i/>
                <w:sz w:val="24"/>
                <w:szCs w:val="24"/>
                <w:lang w:val="en-US" w:eastAsia="ar-SA"/>
              </w:rPr>
              <w:fldChar w:fldCharType="end"/>
            </w:r>
          </w:p>
        </w:tc>
        <w:tc>
          <w:tcPr>
            <w:tcW w:w="850" w:type="dxa"/>
            <w:shd w:val="clear" w:color="auto" w:fill="auto"/>
            <w:vAlign w:val="center"/>
          </w:tcPr>
          <w:p w14:paraId="61768FE4" w14:textId="77777777" w:rsidR="00A24BD4" w:rsidRPr="000A6219" w:rsidRDefault="00A24BD4"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19</w:t>
            </w:r>
          </w:p>
        </w:tc>
        <w:tc>
          <w:tcPr>
            <w:tcW w:w="1275" w:type="dxa"/>
            <w:shd w:val="clear" w:color="auto" w:fill="auto"/>
            <w:vAlign w:val="center"/>
          </w:tcPr>
          <w:p w14:paraId="1C7AF892" w14:textId="77777777" w:rsidR="00A24BD4" w:rsidRPr="000A6219" w:rsidRDefault="00A24BD4"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57</w:t>
            </w:r>
          </w:p>
        </w:tc>
        <w:tc>
          <w:tcPr>
            <w:tcW w:w="3686" w:type="dxa"/>
            <w:gridSpan w:val="5"/>
            <w:shd w:val="clear" w:color="auto" w:fill="auto"/>
            <w:vAlign w:val="center"/>
          </w:tcPr>
          <w:p w14:paraId="2F19F531" w14:textId="625326CD" w:rsidR="00A24BD4" w:rsidRPr="000A6219" w:rsidRDefault="00A24BD4" w:rsidP="000A6219">
            <w:pPr>
              <w:suppressAutoHyphens/>
              <w:snapToGrid w:val="0"/>
              <w:spacing w:line="360" w:lineRule="auto"/>
              <w:jc w:val="both"/>
              <w:rPr>
                <w:rFonts w:ascii="Book Antiqua" w:eastAsia="Times New Roman" w:hAnsi="Book Antiqua" w:cs="Times New Roman"/>
                <w:color w:val="C0504D" w:themeColor="accent2"/>
                <w:sz w:val="24"/>
                <w:szCs w:val="24"/>
                <w:lang w:val="en-US" w:eastAsia="ar-SA"/>
              </w:rPr>
            </w:pPr>
            <w:r w:rsidRPr="000A6219">
              <w:rPr>
                <w:rFonts w:ascii="Book Antiqua" w:eastAsia="Times New Roman" w:hAnsi="Book Antiqua" w:cs="Times New Roman"/>
                <w:sz w:val="24"/>
                <w:szCs w:val="24"/>
                <w:lang w:val="en-US" w:eastAsia="ar-SA"/>
              </w:rPr>
              <w:t>Undetermined</w:t>
            </w:r>
          </w:p>
        </w:tc>
        <w:tc>
          <w:tcPr>
            <w:tcW w:w="851" w:type="dxa"/>
            <w:shd w:val="clear" w:color="auto" w:fill="auto"/>
            <w:vAlign w:val="center"/>
          </w:tcPr>
          <w:p w14:paraId="11E029F4" w14:textId="77777777" w:rsidR="00A24BD4" w:rsidRPr="000A6219" w:rsidRDefault="00A24BD4"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42</w:t>
            </w:r>
          </w:p>
        </w:tc>
        <w:tc>
          <w:tcPr>
            <w:tcW w:w="1701" w:type="dxa"/>
            <w:shd w:val="clear" w:color="auto" w:fill="auto"/>
            <w:vAlign w:val="center"/>
          </w:tcPr>
          <w:p w14:paraId="5FB61E40" w14:textId="77777777" w:rsidR="00A24BD4" w:rsidRPr="000A6219" w:rsidRDefault="00A24BD4"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16</w:t>
            </w:r>
          </w:p>
        </w:tc>
      </w:tr>
      <w:tr w:rsidR="001B46DC" w:rsidRPr="000A6219" w14:paraId="66E00162" w14:textId="77777777" w:rsidTr="006707C5">
        <w:trPr>
          <w:trHeight w:val="533"/>
        </w:trPr>
        <w:tc>
          <w:tcPr>
            <w:tcW w:w="1844" w:type="dxa"/>
            <w:shd w:val="clear" w:color="auto" w:fill="auto"/>
            <w:vAlign w:val="center"/>
          </w:tcPr>
          <w:p w14:paraId="45B60148" w14:textId="381D3802" w:rsidR="001B46DC" w:rsidRPr="000A6219" w:rsidRDefault="006707C5" w:rsidP="000A6219">
            <w:pPr>
              <w:suppressAutoHyphens/>
              <w:snapToGrid w:val="0"/>
              <w:spacing w:line="360" w:lineRule="auto"/>
              <w:jc w:val="both"/>
              <w:rPr>
                <w:rFonts w:ascii="Book Antiqua" w:eastAsia="Times New Roman" w:hAnsi="Book Antiqua" w:cs="Times New Roman"/>
                <w:i/>
                <w:sz w:val="24"/>
                <w:szCs w:val="24"/>
                <w:lang w:val="en-US" w:eastAsia="ar-SA"/>
              </w:rPr>
            </w:pPr>
            <w:r w:rsidRPr="000A6219">
              <w:rPr>
                <w:rFonts w:ascii="Book Antiqua" w:eastAsia="Times New Roman" w:hAnsi="Book Antiqua" w:cs="Times New Roman"/>
                <w:i/>
                <w:sz w:val="24"/>
                <w:szCs w:val="24"/>
                <w:lang w:val="en-US" w:eastAsia="ar-SA"/>
              </w:rPr>
              <w:t>vat</w:t>
            </w:r>
            <w:r w:rsidR="001B46DC"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1B46DC"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1B46DC" w:rsidRPr="000A6219">
              <w:rPr>
                <w:rFonts w:ascii="Book Antiqua" w:eastAsia="Calibri" w:hAnsi="Book Antiqua" w:cs="Times New Roman"/>
                <w:i/>
                <w:sz w:val="24"/>
                <w:szCs w:val="24"/>
                <w:lang w:val="en-US"/>
              </w:rPr>
              <w:fldChar w:fldCharType="end"/>
            </w:r>
          </w:p>
        </w:tc>
        <w:tc>
          <w:tcPr>
            <w:tcW w:w="850" w:type="dxa"/>
            <w:shd w:val="clear" w:color="auto" w:fill="auto"/>
            <w:vAlign w:val="center"/>
          </w:tcPr>
          <w:p w14:paraId="725C0BC8"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22</w:t>
            </w:r>
          </w:p>
        </w:tc>
        <w:tc>
          <w:tcPr>
            <w:tcW w:w="1275" w:type="dxa"/>
            <w:shd w:val="clear" w:color="auto" w:fill="auto"/>
            <w:vAlign w:val="center"/>
          </w:tcPr>
          <w:p w14:paraId="503CF5AF"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37</w:t>
            </w:r>
          </w:p>
        </w:tc>
        <w:tc>
          <w:tcPr>
            <w:tcW w:w="570" w:type="dxa"/>
            <w:shd w:val="clear" w:color="auto" w:fill="auto"/>
            <w:vAlign w:val="center"/>
          </w:tcPr>
          <w:p w14:paraId="4DAA287E"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w:t>
            </w:r>
          </w:p>
        </w:tc>
        <w:tc>
          <w:tcPr>
            <w:tcW w:w="567" w:type="dxa"/>
            <w:shd w:val="clear" w:color="auto" w:fill="auto"/>
            <w:vAlign w:val="center"/>
          </w:tcPr>
          <w:p w14:paraId="13E05586"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w:t>
            </w:r>
          </w:p>
        </w:tc>
        <w:tc>
          <w:tcPr>
            <w:tcW w:w="567" w:type="dxa"/>
            <w:shd w:val="clear" w:color="auto" w:fill="auto"/>
            <w:vAlign w:val="center"/>
          </w:tcPr>
          <w:p w14:paraId="203DB0CD"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29</w:t>
            </w:r>
          </w:p>
        </w:tc>
        <w:tc>
          <w:tcPr>
            <w:tcW w:w="848" w:type="dxa"/>
            <w:shd w:val="clear" w:color="auto" w:fill="auto"/>
            <w:vAlign w:val="center"/>
          </w:tcPr>
          <w:p w14:paraId="79B46802"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12</w:t>
            </w:r>
          </w:p>
        </w:tc>
        <w:tc>
          <w:tcPr>
            <w:tcW w:w="1134" w:type="dxa"/>
            <w:shd w:val="clear" w:color="auto" w:fill="auto"/>
            <w:vAlign w:val="center"/>
          </w:tcPr>
          <w:p w14:paraId="19071621"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w:t>
            </w:r>
          </w:p>
        </w:tc>
        <w:tc>
          <w:tcPr>
            <w:tcW w:w="851" w:type="dxa"/>
            <w:shd w:val="clear" w:color="auto" w:fill="auto"/>
            <w:vAlign w:val="center"/>
          </w:tcPr>
          <w:p w14:paraId="3FE8BE24"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59</w:t>
            </w:r>
          </w:p>
        </w:tc>
        <w:tc>
          <w:tcPr>
            <w:tcW w:w="1701" w:type="dxa"/>
            <w:shd w:val="clear" w:color="auto" w:fill="auto"/>
            <w:vAlign w:val="center"/>
          </w:tcPr>
          <w:p w14:paraId="5ED32FDC"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30</w:t>
            </w:r>
          </w:p>
        </w:tc>
      </w:tr>
      <w:tr w:rsidR="001B46DC" w:rsidRPr="000A6219" w14:paraId="67D95D93" w14:textId="77777777" w:rsidTr="006707C5">
        <w:trPr>
          <w:trHeight w:val="533"/>
        </w:trPr>
        <w:tc>
          <w:tcPr>
            <w:tcW w:w="1844" w:type="dxa"/>
            <w:shd w:val="clear" w:color="auto" w:fill="auto"/>
            <w:vAlign w:val="center"/>
          </w:tcPr>
          <w:p w14:paraId="3AA1ED1C" w14:textId="48415B9A" w:rsidR="001B46DC" w:rsidRPr="000A6219" w:rsidRDefault="006707C5" w:rsidP="000A6219">
            <w:pPr>
              <w:suppressAutoHyphens/>
              <w:snapToGrid w:val="0"/>
              <w:spacing w:line="360" w:lineRule="auto"/>
              <w:jc w:val="both"/>
              <w:rPr>
                <w:rFonts w:ascii="Book Antiqua" w:eastAsia="Times New Roman" w:hAnsi="Book Antiqua" w:cs="Times New Roman"/>
                <w:i/>
                <w:sz w:val="24"/>
                <w:szCs w:val="24"/>
                <w:lang w:val="en-US" w:eastAsia="ar-SA"/>
              </w:rPr>
            </w:pPr>
            <w:r w:rsidRPr="000A6219">
              <w:rPr>
                <w:rFonts w:ascii="Book Antiqua" w:eastAsia="Times New Roman" w:hAnsi="Book Antiqua" w:cs="Times New Roman"/>
                <w:i/>
                <w:sz w:val="24"/>
                <w:szCs w:val="24"/>
                <w:lang w:val="en-US" w:eastAsia="ar-SA"/>
              </w:rPr>
              <w:t>pic</w:t>
            </w:r>
            <w:r w:rsidR="001B46DC"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1B46DC"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1B46DC" w:rsidRPr="000A6219">
              <w:rPr>
                <w:rFonts w:ascii="Book Antiqua" w:eastAsia="Calibri" w:hAnsi="Book Antiqua" w:cs="Times New Roman"/>
                <w:i/>
                <w:sz w:val="24"/>
                <w:szCs w:val="24"/>
                <w:lang w:val="en-US"/>
              </w:rPr>
              <w:fldChar w:fldCharType="end"/>
            </w:r>
          </w:p>
        </w:tc>
        <w:tc>
          <w:tcPr>
            <w:tcW w:w="850" w:type="dxa"/>
            <w:shd w:val="clear" w:color="auto" w:fill="auto"/>
            <w:vAlign w:val="center"/>
          </w:tcPr>
          <w:p w14:paraId="71122336"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22</w:t>
            </w:r>
          </w:p>
        </w:tc>
        <w:tc>
          <w:tcPr>
            <w:tcW w:w="1275" w:type="dxa"/>
            <w:shd w:val="clear" w:color="auto" w:fill="auto"/>
            <w:vAlign w:val="center"/>
          </w:tcPr>
          <w:p w14:paraId="5FDDB8DD"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37</w:t>
            </w:r>
          </w:p>
        </w:tc>
        <w:tc>
          <w:tcPr>
            <w:tcW w:w="570" w:type="dxa"/>
            <w:shd w:val="clear" w:color="auto" w:fill="auto"/>
            <w:vAlign w:val="center"/>
          </w:tcPr>
          <w:p w14:paraId="5809E601"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w:t>
            </w:r>
          </w:p>
        </w:tc>
        <w:tc>
          <w:tcPr>
            <w:tcW w:w="567" w:type="dxa"/>
            <w:shd w:val="clear" w:color="auto" w:fill="auto"/>
            <w:vAlign w:val="center"/>
          </w:tcPr>
          <w:p w14:paraId="0EC98789"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w:t>
            </w:r>
          </w:p>
        </w:tc>
        <w:tc>
          <w:tcPr>
            <w:tcW w:w="567" w:type="dxa"/>
            <w:shd w:val="clear" w:color="auto" w:fill="auto"/>
            <w:vAlign w:val="center"/>
          </w:tcPr>
          <w:p w14:paraId="64615E12"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29</w:t>
            </w:r>
          </w:p>
        </w:tc>
        <w:tc>
          <w:tcPr>
            <w:tcW w:w="848" w:type="dxa"/>
            <w:shd w:val="clear" w:color="auto" w:fill="auto"/>
            <w:vAlign w:val="center"/>
          </w:tcPr>
          <w:p w14:paraId="0662C770"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12</w:t>
            </w:r>
          </w:p>
        </w:tc>
        <w:tc>
          <w:tcPr>
            <w:tcW w:w="1134" w:type="dxa"/>
            <w:shd w:val="clear" w:color="auto" w:fill="auto"/>
            <w:vAlign w:val="center"/>
          </w:tcPr>
          <w:p w14:paraId="1689C093"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w:t>
            </w:r>
          </w:p>
        </w:tc>
        <w:tc>
          <w:tcPr>
            <w:tcW w:w="851" w:type="dxa"/>
            <w:shd w:val="clear" w:color="auto" w:fill="auto"/>
            <w:vAlign w:val="center"/>
          </w:tcPr>
          <w:p w14:paraId="3DAD7350"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41</w:t>
            </w:r>
          </w:p>
        </w:tc>
        <w:tc>
          <w:tcPr>
            <w:tcW w:w="1701" w:type="dxa"/>
            <w:shd w:val="clear" w:color="auto" w:fill="auto"/>
            <w:vAlign w:val="center"/>
          </w:tcPr>
          <w:p w14:paraId="422D8879"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16</w:t>
            </w:r>
          </w:p>
        </w:tc>
      </w:tr>
      <w:tr w:rsidR="001B46DC" w:rsidRPr="000A6219" w14:paraId="215FD6B5" w14:textId="77777777" w:rsidTr="006707C5">
        <w:trPr>
          <w:trHeight w:val="533"/>
        </w:trPr>
        <w:tc>
          <w:tcPr>
            <w:tcW w:w="1844" w:type="dxa"/>
            <w:shd w:val="clear" w:color="auto" w:fill="auto"/>
            <w:vAlign w:val="center"/>
          </w:tcPr>
          <w:p w14:paraId="18E7C585" w14:textId="2E5E0BC0" w:rsidR="001B46DC" w:rsidRPr="000A6219" w:rsidRDefault="006707C5" w:rsidP="000A6219">
            <w:pPr>
              <w:suppressAutoHyphens/>
              <w:snapToGrid w:val="0"/>
              <w:spacing w:line="360" w:lineRule="auto"/>
              <w:jc w:val="both"/>
              <w:rPr>
                <w:rFonts w:ascii="Book Antiqua" w:eastAsia="Times New Roman" w:hAnsi="Book Antiqua" w:cs="Times New Roman"/>
                <w:i/>
                <w:sz w:val="24"/>
                <w:szCs w:val="24"/>
                <w:lang w:val="en-US" w:eastAsia="ar-SA"/>
              </w:rPr>
            </w:pPr>
            <w:proofErr w:type="spellStart"/>
            <w:r w:rsidRPr="000A6219">
              <w:rPr>
                <w:rFonts w:ascii="Book Antiqua" w:eastAsia="Times New Roman" w:hAnsi="Book Antiqua" w:cs="Times New Roman"/>
                <w:i/>
                <w:sz w:val="24"/>
                <w:szCs w:val="24"/>
                <w:lang w:val="en-US" w:eastAsia="ar-SA"/>
              </w:rPr>
              <w:t>papGII</w:t>
            </w:r>
            <w:proofErr w:type="spellEnd"/>
            <w:r w:rsidRPr="000A6219">
              <w:rPr>
                <w:rFonts w:ascii="Book Antiqua" w:eastAsia="Times New Roman" w:hAnsi="Book Antiqua" w:cs="Times New Roman"/>
                <w:i/>
                <w:sz w:val="24"/>
                <w:szCs w:val="24"/>
                <w:lang w:val="en-US" w:eastAsia="ar-SA"/>
              </w:rPr>
              <w:t>/III</w:t>
            </w:r>
            <w:r w:rsidR="001B46DC"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1B46DC"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1B46DC" w:rsidRPr="000A6219">
              <w:rPr>
                <w:rFonts w:ascii="Book Antiqua" w:eastAsia="Calibri" w:hAnsi="Book Antiqua" w:cs="Times New Roman"/>
                <w:i/>
                <w:sz w:val="24"/>
                <w:szCs w:val="24"/>
                <w:lang w:val="en-US"/>
              </w:rPr>
              <w:fldChar w:fldCharType="end"/>
            </w:r>
          </w:p>
        </w:tc>
        <w:tc>
          <w:tcPr>
            <w:tcW w:w="850" w:type="dxa"/>
            <w:shd w:val="clear" w:color="auto" w:fill="auto"/>
            <w:vAlign w:val="center"/>
          </w:tcPr>
          <w:p w14:paraId="0E912F20"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22</w:t>
            </w:r>
          </w:p>
        </w:tc>
        <w:tc>
          <w:tcPr>
            <w:tcW w:w="1275" w:type="dxa"/>
            <w:shd w:val="clear" w:color="auto" w:fill="auto"/>
            <w:vAlign w:val="center"/>
          </w:tcPr>
          <w:p w14:paraId="72C98DC1"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37</w:t>
            </w:r>
          </w:p>
        </w:tc>
        <w:tc>
          <w:tcPr>
            <w:tcW w:w="570" w:type="dxa"/>
            <w:shd w:val="clear" w:color="auto" w:fill="auto"/>
            <w:vAlign w:val="center"/>
          </w:tcPr>
          <w:p w14:paraId="3950089E"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w:t>
            </w:r>
          </w:p>
        </w:tc>
        <w:tc>
          <w:tcPr>
            <w:tcW w:w="567" w:type="dxa"/>
            <w:shd w:val="clear" w:color="auto" w:fill="auto"/>
            <w:vAlign w:val="center"/>
          </w:tcPr>
          <w:p w14:paraId="4E6777A1"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w:t>
            </w:r>
          </w:p>
        </w:tc>
        <w:tc>
          <w:tcPr>
            <w:tcW w:w="567" w:type="dxa"/>
            <w:shd w:val="clear" w:color="auto" w:fill="auto"/>
            <w:vAlign w:val="center"/>
          </w:tcPr>
          <w:p w14:paraId="72653A58"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29</w:t>
            </w:r>
          </w:p>
        </w:tc>
        <w:tc>
          <w:tcPr>
            <w:tcW w:w="848" w:type="dxa"/>
            <w:shd w:val="clear" w:color="auto" w:fill="auto"/>
            <w:vAlign w:val="center"/>
          </w:tcPr>
          <w:p w14:paraId="307C4086"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12</w:t>
            </w:r>
          </w:p>
        </w:tc>
        <w:tc>
          <w:tcPr>
            <w:tcW w:w="1134" w:type="dxa"/>
            <w:shd w:val="clear" w:color="auto" w:fill="auto"/>
            <w:vAlign w:val="center"/>
          </w:tcPr>
          <w:p w14:paraId="29C42694"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w:t>
            </w:r>
          </w:p>
        </w:tc>
        <w:tc>
          <w:tcPr>
            <w:tcW w:w="851" w:type="dxa"/>
            <w:shd w:val="clear" w:color="auto" w:fill="auto"/>
            <w:vAlign w:val="center"/>
          </w:tcPr>
          <w:p w14:paraId="6508C3B2"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18</w:t>
            </w:r>
          </w:p>
        </w:tc>
        <w:tc>
          <w:tcPr>
            <w:tcW w:w="1701" w:type="dxa"/>
            <w:shd w:val="clear" w:color="auto" w:fill="auto"/>
            <w:vAlign w:val="center"/>
          </w:tcPr>
          <w:p w14:paraId="1C486BE4"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0</w:t>
            </w:r>
          </w:p>
        </w:tc>
      </w:tr>
      <w:tr w:rsidR="001B46DC" w:rsidRPr="000A6219" w14:paraId="2755617D" w14:textId="77777777" w:rsidTr="006707C5">
        <w:trPr>
          <w:trHeight w:val="533"/>
        </w:trPr>
        <w:tc>
          <w:tcPr>
            <w:tcW w:w="1844" w:type="dxa"/>
            <w:shd w:val="clear" w:color="auto" w:fill="auto"/>
            <w:vAlign w:val="center"/>
          </w:tcPr>
          <w:p w14:paraId="74BC9F2A" w14:textId="31563E17" w:rsidR="001B46DC" w:rsidRPr="000A6219" w:rsidRDefault="006707C5" w:rsidP="000A6219">
            <w:pPr>
              <w:suppressAutoHyphens/>
              <w:snapToGrid w:val="0"/>
              <w:spacing w:line="360" w:lineRule="auto"/>
              <w:jc w:val="both"/>
              <w:rPr>
                <w:rFonts w:ascii="Book Antiqua" w:eastAsia="Times New Roman" w:hAnsi="Book Antiqua" w:cs="Times New Roman"/>
                <w:i/>
                <w:sz w:val="24"/>
                <w:szCs w:val="24"/>
                <w:lang w:val="en-US" w:eastAsia="ar-SA"/>
              </w:rPr>
            </w:pPr>
            <w:proofErr w:type="spellStart"/>
            <w:r w:rsidRPr="000A6219">
              <w:rPr>
                <w:rFonts w:ascii="Book Antiqua" w:eastAsia="Times New Roman" w:hAnsi="Book Antiqua" w:cs="Times New Roman"/>
                <w:i/>
                <w:sz w:val="24"/>
                <w:szCs w:val="24"/>
                <w:lang w:val="en-US" w:eastAsia="ar-SA"/>
              </w:rPr>
              <w:t>iss</w:t>
            </w:r>
            <w:proofErr w:type="spellEnd"/>
            <w:r w:rsidR="001B46DC"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1B46DC"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1B46DC" w:rsidRPr="000A6219">
              <w:rPr>
                <w:rFonts w:ascii="Book Antiqua" w:eastAsia="Calibri" w:hAnsi="Book Antiqua" w:cs="Times New Roman"/>
                <w:i/>
                <w:sz w:val="24"/>
                <w:szCs w:val="24"/>
                <w:lang w:val="en-US"/>
              </w:rPr>
              <w:fldChar w:fldCharType="end"/>
            </w:r>
          </w:p>
        </w:tc>
        <w:tc>
          <w:tcPr>
            <w:tcW w:w="850" w:type="dxa"/>
            <w:shd w:val="clear" w:color="auto" w:fill="auto"/>
            <w:vAlign w:val="center"/>
          </w:tcPr>
          <w:p w14:paraId="0332FE0E"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22</w:t>
            </w:r>
          </w:p>
        </w:tc>
        <w:tc>
          <w:tcPr>
            <w:tcW w:w="1275" w:type="dxa"/>
            <w:shd w:val="clear" w:color="auto" w:fill="auto"/>
            <w:vAlign w:val="center"/>
          </w:tcPr>
          <w:p w14:paraId="564912DC"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37</w:t>
            </w:r>
          </w:p>
        </w:tc>
        <w:tc>
          <w:tcPr>
            <w:tcW w:w="570" w:type="dxa"/>
            <w:shd w:val="clear" w:color="auto" w:fill="auto"/>
            <w:vAlign w:val="center"/>
          </w:tcPr>
          <w:p w14:paraId="4C656F78"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w:t>
            </w:r>
          </w:p>
        </w:tc>
        <w:tc>
          <w:tcPr>
            <w:tcW w:w="567" w:type="dxa"/>
            <w:shd w:val="clear" w:color="auto" w:fill="auto"/>
            <w:vAlign w:val="center"/>
          </w:tcPr>
          <w:p w14:paraId="6A722E80"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w:t>
            </w:r>
          </w:p>
        </w:tc>
        <w:tc>
          <w:tcPr>
            <w:tcW w:w="567" w:type="dxa"/>
            <w:shd w:val="clear" w:color="auto" w:fill="auto"/>
            <w:vAlign w:val="center"/>
          </w:tcPr>
          <w:p w14:paraId="396ED185"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29</w:t>
            </w:r>
          </w:p>
        </w:tc>
        <w:tc>
          <w:tcPr>
            <w:tcW w:w="848" w:type="dxa"/>
            <w:shd w:val="clear" w:color="auto" w:fill="auto"/>
            <w:vAlign w:val="center"/>
          </w:tcPr>
          <w:p w14:paraId="6B68C02B"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12</w:t>
            </w:r>
          </w:p>
        </w:tc>
        <w:tc>
          <w:tcPr>
            <w:tcW w:w="1134" w:type="dxa"/>
            <w:shd w:val="clear" w:color="auto" w:fill="auto"/>
            <w:vAlign w:val="center"/>
          </w:tcPr>
          <w:p w14:paraId="2CA11E32"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w:t>
            </w:r>
          </w:p>
        </w:tc>
        <w:tc>
          <w:tcPr>
            <w:tcW w:w="851" w:type="dxa"/>
            <w:shd w:val="clear" w:color="auto" w:fill="auto"/>
            <w:vAlign w:val="center"/>
          </w:tcPr>
          <w:p w14:paraId="3C101F48"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32</w:t>
            </w:r>
          </w:p>
        </w:tc>
        <w:tc>
          <w:tcPr>
            <w:tcW w:w="1701" w:type="dxa"/>
            <w:shd w:val="clear" w:color="auto" w:fill="auto"/>
            <w:vAlign w:val="center"/>
          </w:tcPr>
          <w:p w14:paraId="518CF30F"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11</w:t>
            </w:r>
          </w:p>
        </w:tc>
      </w:tr>
    </w:tbl>
    <w:p w14:paraId="1189C67D" w14:textId="5049A315" w:rsidR="00875652" w:rsidRPr="000A6219" w:rsidRDefault="00DE7362" w:rsidP="000A6219">
      <w:pPr>
        <w:suppressAutoHyphens/>
        <w:snapToGrid w:val="0"/>
        <w:spacing w:after="0"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vertAlign w:val="superscript"/>
          <w:lang w:val="en-US" w:eastAsia="ar-SA"/>
        </w:rPr>
        <w:t>1</w:t>
      </w:r>
      <w:r w:rsidRPr="000A6219">
        <w:rPr>
          <w:rFonts w:ascii="Book Antiqua" w:eastAsia="Times New Roman" w:hAnsi="Book Antiqua" w:cs="Times New Roman"/>
          <w:sz w:val="24"/>
          <w:szCs w:val="24"/>
          <w:lang w:val="en-US" w:eastAsia="ar-SA"/>
        </w:rPr>
        <w:t>Based on house-keeping genes</w:t>
      </w:r>
      <w:r w:rsidR="00E04FBE" w:rsidRPr="000A6219">
        <w:rPr>
          <w:rFonts w:ascii="Book Antiqua" w:eastAsia="Times New Roman" w:hAnsi="Book Antiqua" w:cs="Times New Roman"/>
          <w:sz w:val="24"/>
          <w:szCs w:val="24"/>
          <w:lang w:val="en-US" w:eastAsia="ar-SA"/>
        </w:rPr>
        <w:t xml:space="preserve"> identified by triplex PCR</w:t>
      </w:r>
      <w:r w:rsidR="00E04FBE" w:rsidRPr="000A6219">
        <w:rPr>
          <w:rFonts w:ascii="Book Antiqua" w:eastAsia="Times New Roman" w:hAnsi="Book Antiqua" w:cs="Times New Roman"/>
          <w:sz w:val="24"/>
          <w:szCs w:val="24"/>
          <w:lang w:val="en-US" w:eastAsia="ar-SA"/>
        </w:rPr>
        <w:fldChar w:fldCharType="begin" w:fldLock="1"/>
      </w:r>
      <w:r w:rsidR="00E04FBE" w:rsidRPr="000A6219">
        <w:rPr>
          <w:rFonts w:ascii="Book Antiqua" w:eastAsia="Times New Roman" w:hAnsi="Book Antiqua" w:cs="Times New Roman"/>
          <w:sz w:val="24"/>
          <w:szCs w:val="24"/>
          <w:lang w:val="en-US" w:eastAsia="ar-SA"/>
        </w:rPr>
        <w:instrText>ADDIN CSL_CITATION {"citationItems":[{"id":"ITEM-1","itemData":{"DOI":"10.1128/AEM.66.10.4555-4558.2000","ISBN":"0099-2240 (Print)\\r0099-2240 (Linking)","ISSN":"0099-2240","PMID":"11010916","abstract":"Phylogenetic analysis has shown that Escherichia coli is composed of four main phylogenetic groups (A, B1, B2, and D) and that virulent extra-intestinal strains mainly belong to groups B2 and D. Actually, phylogenetic groups can be determined by multilocus enzyme electrophoresis or ribotyping, both of which are complex, time-consuming techniques. We describe a simple and rapid phylogenetic grouping technique based on triplex PCR. The method, which uses a combination of two genes (chuA and yjaA) and an anonymous DNA fragment, was tested with 230 strains and showed excellent correlation with reference methods.","author":[{"dropping-particle":"","family":"Clermont","given":"O","non-dropping-particle":"","parse-names":false,"suffix":""},{"dropping-particle":"","family":"Bonacorsi","given":"S","non-dropping-particle":"","parse-names":false,"suffix":""},{"dropping-particle":"","family":"Bingen","given":"E","non-dropping-particle":"","parse-names":false,"suffix":""}],"container-title":"Applied and environmental microbiology","id":"ITEM-1","issue":"10","issued":{"date-parts":[["2000"]]},"note":"grup filogenètic","page":"4555-8","title":"Rapid and simple determination of the Escherichia coli phylogenetic group.","type":"article-journal","volume":"66"},"uris":["http://www.mendeley.com/documents/?uuid=fea4cb3f-20f3-416c-ad5f-86460080e93a"]}],"mendeley":{"formattedCitation":"&lt;sup&gt;[67]&lt;/sup&gt;","plainTextFormattedCitation":"[67]","previouslyFormattedCitation":"&lt;sup&gt;[67]&lt;/sup&gt;"},"properties":{"noteIndex":0},"schema":"https://github.com/citation-style-language/schema/raw/master/csl-citation.json"}</w:instrText>
      </w:r>
      <w:r w:rsidR="00E04FBE" w:rsidRPr="000A6219">
        <w:rPr>
          <w:rFonts w:ascii="Book Antiqua" w:eastAsia="Times New Roman" w:hAnsi="Book Antiqua" w:cs="Times New Roman"/>
          <w:sz w:val="24"/>
          <w:szCs w:val="24"/>
          <w:lang w:val="en-US" w:eastAsia="ar-SA"/>
        </w:rPr>
        <w:fldChar w:fldCharType="separate"/>
      </w:r>
      <w:r w:rsidR="00E04FBE" w:rsidRPr="000A6219">
        <w:rPr>
          <w:rFonts w:ascii="Book Antiqua" w:eastAsia="Times New Roman" w:hAnsi="Book Antiqua" w:cs="Times New Roman"/>
          <w:noProof/>
          <w:sz w:val="24"/>
          <w:szCs w:val="24"/>
          <w:vertAlign w:val="superscript"/>
          <w:lang w:val="en-US" w:eastAsia="ar-SA"/>
        </w:rPr>
        <w:t>[</w:t>
      </w:r>
      <w:r w:rsidR="00CB5F52">
        <w:rPr>
          <w:rFonts w:ascii="Book Antiqua" w:eastAsia="Times New Roman" w:hAnsi="Book Antiqua" w:cs="Times New Roman"/>
          <w:noProof/>
          <w:sz w:val="24"/>
          <w:szCs w:val="24"/>
          <w:vertAlign w:val="superscript"/>
          <w:lang w:val="en-US" w:eastAsia="ar-SA"/>
        </w:rPr>
        <w:t>41</w:t>
      </w:r>
      <w:r w:rsidR="00E04FBE" w:rsidRPr="000A6219">
        <w:rPr>
          <w:rFonts w:ascii="Book Antiqua" w:eastAsia="Times New Roman" w:hAnsi="Book Antiqua" w:cs="Times New Roman"/>
          <w:noProof/>
          <w:sz w:val="24"/>
          <w:szCs w:val="24"/>
          <w:vertAlign w:val="superscript"/>
          <w:lang w:val="en-US" w:eastAsia="ar-SA"/>
        </w:rPr>
        <w:t>]</w:t>
      </w:r>
      <w:r w:rsidR="00E04FBE" w:rsidRPr="000A6219">
        <w:rPr>
          <w:rFonts w:ascii="Book Antiqua" w:eastAsia="Times New Roman" w:hAnsi="Book Antiqua" w:cs="Times New Roman"/>
          <w:sz w:val="24"/>
          <w:szCs w:val="24"/>
          <w:lang w:val="en-US" w:eastAsia="ar-SA"/>
        </w:rPr>
        <w:fldChar w:fldCharType="end"/>
      </w:r>
      <w:r w:rsidR="00E04FBE" w:rsidRPr="000A6219">
        <w:rPr>
          <w:rFonts w:ascii="Book Antiqua" w:eastAsia="Times New Roman" w:hAnsi="Book Antiqua" w:cs="Times New Roman"/>
          <w:sz w:val="24"/>
          <w:szCs w:val="24"/>
          <w:lang w:val="en-US" w:eastAsia="ar-SA"/>
        </w:rPr>
        <w:t xml:space="preserve"> or by structure analysis included in the </w:t>
      </w:r>
      <w:proofErr w:type="spellStart"/>
      <w:r w:rsidR="00E04FBE" w:rsidRPr="000A6219">
        <w:rPr>
          <w:rFonts w:ascii="Book Antiqua" w:eastAsia="Times New Roman" w:hAnsi="Book Antiqua" w:cs="Times New Roman"/>
          <w:sz w:val="24"/>
          <w:szCs w:val="24"/>
          <w:lang w:val="en-US" w:eastAsia="ar-SA"/>
        </w:rPr>
        <w:t>multilocus</w:t>
      </w:r>
      <w:proofErr w:type="spellEnd"/>
      <w:r w:rsidR="00E04FBE" w:rsidRPr="000A6219">
        <w:rPr>
          <w:rFonts w:ascii="Book Antiqua" w:eastAsia="Times New Roman" w:hAnsi="Book Antiqua" w:cs="Times New Roman"/>
          <w:sz w:val="24"/>
          <w:szCs w:val="24"/>
          <w:lang w:val="en-US" w:eastAsia="ar-SA"/>
        </w:rPr>
        <w:t xml:space="preserve"> sequence</w:t>
      </w:r>
      <w:r w:rsidR="006707C5" w:rsidRPr="000A6219">
        <w:rPr>
          <w:rFonts w:ascii="Book Antiqua" w:eastAsia="Times New Roman" w:hAnsi="Book Antiqua" w:cs="Times New Roman"/>
          <w:sz w:val="24"/>
          <w:szCs w:val="24"/>
          <w:lang w:val="en-US" w:eastAsia="ar-SA"/>
        </w:rPr>
        <w:t xml:space="preserve"> typing </w:t>
      </w:r>
      <w:r w:rsidR="00E04FBE" w:rsidRPr="000A6219">
        <w:rPr>
          <w:rFonts w:ascii="Book Antiqua" w:eastAsia="Times New Roman" w:hAnsi="Book Antiqua" w:cs="Times New Roman"/>
          <w:sz w:val="24"/>
          <w:szCs w:val="24"/>
          <w:lang w:val="en-US" w:eastAsia="ar-SA"/>
        </w:rPr>
        <w:t>analyses</w:t>
      </w:r>
      <w:r w:rsidR="00E04FBE" w:rsidRPr="000A6219">
        <w:rPr>
          <w:rFonts w:ascii="Book Antiqua" w:eastAsia="Times New Roman" w:hAnsi="Book Antiqua" w:cs="Times New Roman"/>
          <w:sz w:val="24"/>
          <w:szCs w:val="24"/>
          <w:lang w:val="en-US" w:eastAsia="ar-SA"/>
        </w:rPr>
        <w:fldChar w:fldCharType="begin" w:fldLock="1"/>
      </w:r>
      <w:r w:rsidR="004C4A78" w:rsidRPr="000A6219">
        <w:rPr>
          <w:rFonts w:ascii="Book Antiqua" w:eastAsia="Times New Roman" w:hAnsi="Book Antiqua" w:cs="Times New Roman"/>
          <w:sz w:val="24"/>
          <w:szCs w:val="24"/>
          <w:lang w:val="en-US" w:eastAsia="ar-SA"/>
        </w:rPr>
        <w:instrText>ADDIN CSL_CITATION {"citationItems":[{"id":"ITEM-1","itemData":{"ISSN":"0016-6731","PMID":"12930761","abstract":"We describe extensions to the method of Pritchard et al. for inferring population structure from multilocus genotype data. Most importantly, we develop methods that allow for linkage between loci. The new model accounts for the correlations between linked loci that arise in admixed populations (\"admixture linkage disequilibium\"). This modification has several advantages, allowing (1) detection of admixture events farther back into the past, (2) inference of the population of origin of chromosomal regions, and (3) more accurate estimates of statistical uncertainty when linked loci are used. It is also of potential use for admixture mapping. In addition, we describe a new prior model for the allele frequencies within each population, which allows identification of subtle population subdivisions that were not detectable using the existing method. We present results applying the new methods to study admixture in African-Americans, recombination in Helicobacter pylori, and drift in populations of Drosophila melanogaster. The methods are implemented in a program, structure, version 2.0, which is available at http://pritch.bsd.uchicago.edu.","author":[{"dropping-particle":"","family":"Falush","given":"Daniel","non-dropping-particle":"","parse-names":false,"suffix":""},{"dropping-particle":"","family":"Stephens","given":"Matthew","non-dropping-particle":"","parse-names":false,"suffix":""},{"dropping-particle":"","family":"Pritchard","given":"Jonathan K","non-dropping-particle":"","parse-names":false,"suffix":""}],"container-title":"Genetics","id":"ITEM-1","issue":"4","issued":{"date-parts":[["2003","8"]]},"page":"1567-87","title":"Inference of population structure using multilocus genotype data: linked loci and correlated allele frequencies.","type":"article-journal","volume":"164"},"uris":["http://www.mendeley.com/documents/?uuid=00e674d6-7e08-32d5-a20c-0d4f221c2677"]}],"mendeley":{"formattedCitation":"&lt;sup&gt;[68]&lt;/sup&gt;","plainTextFormattedCitation":"[68]","previouslyFormattedCitation":"&lt;sup&gt;[68]&lt;/sup&gt;"},"properties":{"noteIndex":0},"schema":"https://github.com/citation-style-language/schema/raw/master/csl-citation.json"}</w:instrText>
      </w:r>
      <w:r w:rsidR="00E04FBE" w:rsidRPr="000A6219">
        <w:rPr>
          <w:rFonts w:ascii="Book Antiqua" w:eastAsia="Times New Roman" w:hAnsi="Book Antiqua" w:cs="Times New Roman"/>
          <w:sz w:val="24"/>
          <w:szCs w:val="24"/>
          <w:lang w:val="en-US" w:eastAsia="ar-SA"/>
        </w:rPr>
        <w:fldChar w:fldCharType="separate"/>
      </w:r>
      <w:r w:rsidR="00E04FBE" w:rsidRPr="000A6219">
        <w:rPr>
          <w:rFonts w:ascii="Book Antiqua" w:eastAsia="Times New Roman" w:hAnsi="Book Antiqua" w:cs="Times New Roman"/>
          <w:noProof/>
          <w:sz w:val="24"/>
          <w:szCs w:val="24"/>
          <w:vertAlign w:val="superscript"/>
          <w:lang w:val="en-US" w:eastAsia="ar-SA"/>
        </w:rPr>
        <w:t>[</w:t>
      </w:r>
      <w:r w:rsidR="00CB5F52">
        <w:rPr>
          <w:rFonts w:ascii="Book Antiqua" w:eastAsia="Times New Roman" w:hAnsi="Book Antiqua" w:cs="Times New Roman"/>
          <w:noProof/>
          <w:sz w:val="24"/>
          <w:szCs w:val="24"/>
          <w:vertAlign w:val="superscript"/>
          <w:lang w:val="en-US" w:eastAsia="ar-SA"/>
        </w:rPr>
        <w:t>42</w:t>
      </w:r>
      <w:r w:rsidR="00E04FBE" w:rsidRPr="000A6219">
        <w:rPr>
          <w:rFonts w:ascii="Book Antiqua" w:eastAsia="Times New Roman" w:hAnsi="Book Antiqua" w:cs="Times New Roman"/>
          <w:noProof/>
          <w:sz w:val="24"/>
          <w:szCs w:val="24"/>
          <w:vertAlign w:val="superscript"/>
          <w:lang w:val="en-US" w:eastAsia="ar-SA"/>
        </w:rPr>
        <w:t>]</w:t>
      </w:r>
      <w:r w:rsidR="00E04FBE" w:rsidRPr="000A6219">
        <w:rPr>
          <w:rFonts w:ascii="Book Antiqua" w:eastAsia="Times New Roman" w:hAnsi="Book Antiqua" w:cs="Times New Roman"/>
          <w:sz w:val="24"/>
          <w:szCs w:val="24"/>
          <w:lang w:val="en-US" w:eastAsia="ar-SA"/>
        </w:rPr>
        <w:fldChar w:fldCharType="end"/>
      </w:r>
      <w:r w:rsidRPr="000A6219">
        <w:rPr>
          <w:rFonts w:ascii="Book Antiqua" w:eastAsia="Times New Roman" w:hAnsi="Book Antiqua" w:cs="Times New Roman"/>
          <w:sz w:val="24"/>
          <w:szCs w:val="24"/>
          <w:lang w:val="en-US" w:eastAsia="ar-SA"/>
        </w:rPr>
        <w:t xml:space="preserve">. </w:t>
      </w:r>
      <w:r w:rsidRPr="000A6219">
        <w:rPr>
          <w:rFonts w:ascii="Book Antiqua" w:eastAsia="Times New Roman" w:hAnsi="Book Antiqua" w:cs="Times New Roman"/>
          <w:sz w:val="24"/>
          <w:szCs w:val="24"/>
          <w:vertAlign w:val="superscript"/>
          <w:lang w:val="en-US" w:eastAsia="ar-SA"/>
        </w:rPr>
        <w:t>2</w:t>
      </w:r>
      <w:r w:rsidR="005F6A7F" w:rsidRPr="000A6219">
        <w:rPr>
          <w:rFonts w:ascii="Book Antiqua" w:eastAsia="Times New Roman" w:hAnsi="Book Antiqua" w:cs="Times New Roman"/>
          <w:sz w:val="24"/>
          <w:szCs w:val="24"/>
          <w:lang w:val="en-US" w:eastAsia="ar-SA"/>
        </w:rPr>
        <w:t>Nineteen</w:t>
      </w:r>
      <w:r w:rsidR="00420999" w:rsidRPr="000A6219">
        <w:rPr>
          <w:rFonts w:ascii="Book Antiqua" w:eastAsia="Times New Roman" w:hAnsi="Book Antiqua" w:cs="Times New Roman"/>
          <w:sz w:val="24"/>
          <w:szCs w:val="24"/>
          <w:lang w:val="en-US" w:eastAsia="ar-SA"/>
        </w:rPr>
        <w:t xml:space="preserve"> intestinal pathogenic </w:t>
      </w:r>
      <w:r w:rsidR="006707C5" w:rsidRPr="000A6219">
        <w:rPr>
          <w:rFonts w:ascii="Book Antiqua" w:eastAsia="Calibri" w:hAnsi="Book Antiqua" w:cs="Times New Roman"/>
          <w:i/>
          <w:sz w:val="24"/>
          <w:szCs w:val="24"/>
          <w:lang w:val="en-US"/>
        </w:rPr>
        <w:t>Escherichia coli</w:t>
      </w:r>
      <w:r w:rsidR="00420999" w:rsidRPr="000A6219">
        <w:rPr>
          <w:rFonts w:ascii="Book Antiqua" w:eastAsia="Times New Roman" w:hAnsi="Book Antiqua" w:cs="Times New Roman"/>
          <w:sz w:val="24"/>
          <w:szCs w:val="24"/>
          <w:lang w:val="en-US" w:eastAsia="ar-SA"/>
        </w:rPr>
        <w:t xml:space="preserve"> strains and 78 </w:t>
      </w:r>
      <w:proofErr w:type="spellStart"/>
      <w:r w:rsidR="00420999" w:rsidRPr="000A6219">
        <w:rPr>
          <w:rFonts w:ascii="Book Antiqua" w:eastAsia="Times New Roman" w:hAnsi="Book Antiqua" w:cs="Times New Roman"/>
          <w:sz w:val="24"/>
          <w:szCs w:val="24"/>
          <w:lang w:val="en-US" w:eastAsia="ar-SA"/>
        </w:rPr>
        <w:t>ExPEC</w:t>
      </w:r>
      <w:proofErr w:type="spellEnd"/>
      <w:r w:rsidR="00420999" w:rsidRPr="000A6219">
        <w:rPr>
          <w:rFonts w:ascii="Book Antiqua" w:eastAsia="Times New Roman" w:hAnsi="Book Antiqua" w:cs="Times New Roman"/>
          <w:sz w:val="24"/>
          <w:szCs w:val="24"/>
          <w:lang w:val="en-US" w:eastAsia="ar-SA"/>
        </w:rPr>
        <w:t xml:space="preserve"> strains isolated from animals and 37 human mucosa</w:t>
      </w:r>
      <w:r w:rsidR="005F6A7F" w:rsidRPr="000A6219">
        <w:rPr>
          <w:rFonts w:ascii="Book Antiqua" w:eastAsia="Times New Roman" w:hAnsi="Book Antiqua" w:cs="Times New Roman"/>
          <w:sz w:val="24"/>
          <w:szCs w:val="24"/>
          <w:lang w:val="en-US" w:eastAsia="ar-SA"/>
        </w:rPr>
        <w:t>l</w:t>
      </w:r>
      <w:r w:rsidR="00420999" w:rsidRPr="000A6219">
        <w:rPr>
          <w:rFonts w:ascii="Book Antiqua" w:eastAsia="Times New Roman" w:hAnsi="Book Antiqua" w:cs="Times New Roman"/>
          <w:sz w:val="24"/>
          <w:szCs w:val="24"/>
          <w:lang w:val="en-US" w:eastAsia="ar-SA"/>
        </w:rPr>
        <w:t>-associated non-AIEC strains.</w:t>
      </w:r>
      <w:r w:rsidR="006707C5" w:rsidRPr="000A6219">
        <w:rPr>
          <w:rFonts w:ascii="Book Antiqua" w:eastAsia="Times New Roman" w:hAnsi="Book Antiqua" w:cs="Times New Roman"/>
          <w:sz w:val="24"/>
          <w:szCs w:val="24"/>
          <w:lang w:val="en-US" w:eastAsia="ar-SA"/>
        </w:rPr>
        <w:t xml:space="preserve"> AIEC: Adherent-invasive </w:t>
      </w:r>
      <w:r w:rsidR="006707C5" w:rsidRPr="000A6219">
        <w:rPr>
          <w:rFonts w:ascii="Book Antiqua" w:eastAsia="Calibri" w:hAnsi="Book Antiqua" w:cs="Times New Roman"/>
          <w:i/>
          <w:sz w:val="24"/>
          <w:szCs w:val="24"/>
          <w:lang w:val="en-US"/>
        </w:rPr>
        <w:t>Escherichia coli</w:t>
      </w:r>
      <w:r w:rsidR="006707C5" w:rsidRPr="000A6219">
        <w:rPr>
          <w:rFonts w:ascii="Book Antiqua" w:eastAsia="Times New Roman" w:hAnsi="Book Antiqua" w:cs="Times New Roman"/>
          <w:i/>
          <w:sz w:val="24"/>
          <w:szCs w:val="24"/>
          <w:lang w:val="en-US" w:eastAsia="ar-SA"/>
        </w:rPr>
        <w:t>.</w:t>
      </w:r>
    </w:p>
    <w:p w14:paraId="6D906739" w14:textId="77777777" w:rsidR="00875652" w:rsidRPr="000A6219" w:rsidRDefault="00875652" w:rsidP="000A6219">
      <w:pPr>
        <w:snapToGrid w:val="0"/>
        <w:spacing w:after="0" w:line="360" w:lineRule="auto"/>
        <w:jc w:val="both"/>
        <w:rPr>
          <w:rFonts w:ascii="Book Antiqua" w:hAnsi="Book Antiqua"/>
          <w:b/>
          <w:sz w:val="24"/>
          <w:szCs w:val="24"/>
          <w:lang w:val="en-US"/>
        </w:rPr>
      </w:pPr>
      <w:r w:rsidRPr="000A6219">
        <w:rPr>
          <w:rFonts w:ascii="Book Antiqua" w:hAnsi="Book Antiqua"/>
          <w:b/>
          <w:sz w:val="24"/>
          <w:szCs w:val="24"/>
          <w:lang w:val="en-US"/>
        </w:rPr>
        <w:br w:type="page"/>
      </w:r>
    </w:p>
    <w:p w14:paraId="57D4F04A" w14:textId="6574EB6A" w:rsidR="00053061" w:rsidRPr="000A6219" w:rsidRDefault="00053061" w:rsidP="000A6219">
      <w:pPr>
        <w:snapToGrid w:val="0"/>
        <w:spacing w:after="0" w:line="360" w:lineRule="auto"/>
        <w:jc w:val="both"/>
        <w:rPr>
          <w:rFonts w:ascii="Book Antiqua" w:hAnsi="Book Antiqua"/>
          <w:b/>
          <w:sz w:val="24"/>
          <w:szCs w:val="24"/>
          <w:lang w:val="en-US"/>
        </w:rPr>
      </w:pPr>
      <w:r w:rsidRPr="000A6219">
        <w:rPr>
          <w:rFonts w:ascii="Book Antiqua" w:hAnsi="Book Antiqua"/>
          <w:b/>
          <w:sz w:val="24"/>
          <w:szCs w:val="24"/>
          <w:lang w:val="en-US"/>
        </w:rPr>
        <w:lastRenderedPageBreak/>
        <w:t xml:space="preserve">Table </w:t>
      </w:r>
      <w:r w:rsidR="00BA5A02" w:rsidRPr="000A6219">
        <w:rPr>
          <w:rFonts w:ascii="Book Antiqua" w:hAnsi="Book Antiqua"/>
          <w:b/>
          <w:sz w:val="24"/>
          <w:szCs w:val="24"/>
          <w:lang w:val="en-US"/>
        </w:rPr>
        <w:t>2</w:t>
      </w:r>
      <w:r w:rsidRPr="000A6219">
        <w:rPr>
          <w:rFonts w:ascii="Book Antiqua" w:hAnsi="Book Antiqua"/>
          <w:b/>
          <w:sz w:val="24"/>
          <w:szCs w:val="24"/>
          <w:lang w:val="en-US"/>
        </w:rPr>
        <w:t xml:space="preserve"> Review of studies in whic</w:t>
      </w:r>
      <w:r w:rsidR="00052D98" w:rsidRPr="000A6219">
        <w:rPr>
          <w:rFonts w:ascii="Book Antiqua" w:hAnsi="Book Antiqua"/>
          <w:b/>
          <w:sz w:val="24"/>
          <w:szCs w:val="24"/>
          <w:lang w:val="en-US"/>
        </w:rPr>
        <w:t>h the prevalence of particular virulence gene</w:t>
      </w:r>
      <w:r w:rsidRPr="000A6219">
        <w:rPr>
          <w:rFonts w:ascii="Book Antiqua" w:hAnsi="Book Antiqua"/>
          <w:b/>
          <w:sz w:val="24"/>
          <w:szCs w:val="24"/>
          <w:lang w:val="en-US"/>
        </w:rPr>
        <w:t xml:space="preserve">s has been examined according to the </w:t>
      </w:r>
      <w:r w:rsidR="00076943" w:rsidRPr="000A6219">
        <w:rPr>
          <w:rFonts w:ascii="Book Antiqua" w:eastAsia="Calibri" w:hAnsi="Book Antiqua" w:cs="Times New Roman"/>
          <w:b/>
          <w:sz w:val="24"/>
          <w:szCs w:val="24"/>
          <w:lang w:val="en-US"/>
        </w:rPr>
        <w:t xml:space="preserve">adherent-invasive </w:t>
      </w:r>
      <w:r w:rsidR="000670ED" w:rsidRPr="000A6219">
        <w:rPr>
          <w:rFonts w:ascii="Book Antiqua" w:eastAsia="Calibri" w:hAnsi="Book Antiqua" w:cs="Times New Roman"/>
          <w:b/>
          <w:i/>
          <w:sz w:val="24"/>
          <w:szCs w:val="24"/>
          <w:lang w:val="en-US"/>
        </w:rPr>
        <w:t>Escherichia coli</w:t>
      </w:r>
      <w:r w:rsidR="000670ED" w:rsidRPr="000A6219">
        <w:rPr>
          <w:rFonts w:ascii="Book Antiqua" w:hAnsi="Book Antiqua"/>
          <w:b/>
          <w:sz w:val="24"/>
          <w:szCs w:val="24"/>
          <w:lang w:val="en-US"/>
        </w:rPr>
        <w:t xml:space="preserve"> </w:t>
      </w:r>
      <w:r w:rsidR="0005405C" w:rsidRPr="000A6219">
        <w:rPr>
          <w:rFonts w:ascii="Book Antiqua" w:hAnsi="Book Antiqua"/>
          <w:b/>
          <w:sz w:val="24"/>
          <w:szCs w:val="24"/>
          <w:lang w:val="en-US"/>
        </w:rPr>
        <w:t>pathotype</w:t>
      </w:r>
    </w:p>
    <w:tbl>
      <w:tblPr>
        <w:tblStyle w:val="ab"/>
        <w:tblW w:w="8825" w:type="dxa"/>
        <w:jc w:val="center"/>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817"/>
        <w:gridCol w:w="1471"/>
        <w:gridCol w:w="4130"/>
      </w:tblGrid>
      <w:tr w:rsidR="009E3673" w:rsidRPr="000A6219" w14:paraId="2665106B" w14:textId="77777777" w:rsidTr="0088716F">
        <w:trPr>
          <w:trHeight w:val="495"/>
          <w:jc w:val="center"/>
        </w:trPr>
        <w:tc>
          <w:tcPr>
            <w:tcW w:w="2407" w:type="dxa"/>
            <w:tcBorders>
              <w:top w:val="single" w:sz="4" w:space="0" w:color="auto"/>
              <w:bottom w:val="single" w:sz="4" w:space="0" w:color="auto"/>
            </w:tcBorders>
            <w:shd w:val="clear" w:color="auto" w:fill="auto"/>
            <w:vAlign w:val="center"/>
            <w:hideMark/>
          </w:tcPr>
          <w:p w14:paraId="1F132705" w14:textId="33BFE15E" w:rsidR="009E3673" w:rsidRPr="000A6219" w:rsidRDefault="0005405C"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Ref.</w:t>
            </w:r>
          </w:p>
        </w:tc>
        <w:tc>
          <w:tcPr>
            <w:tcW w:w="817" w:type="dxa"/>
            <w:tcBorders>
              <w:top w:val="single" w:sz="4" w:space="0" w:color="auto"/>
              <w:bottom w:val="single" w:sz="4" w:space="0" w:color="auto"/>
            </w:tcBorders>
            <w:shd w:val="clear" w:color="auto" w:fill="auto"/>
            <w:vAlign w:val="center"/>
            <w:hideMark/>
          </w:tcPr>
          <w:p w14:paraId="3CCCA004" w14:textId="77777777" w:rsidR="009E3673" w:rsidRPr="000A6219" w:rsidRDefault="009E3673"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AIEC</w:t>
            </w:r>
          </w:p>
        </w:tc>
        <w:tc>
          <w:tcPr>
            <w:tcW w:w="1471" w:type="dxa"/>
            <w:tcBorders>
              <w:top w:val="single" w:sz="4" w:space="0" w:color="auto"/>
              <w:bottom w:val="single" w:sz="4" w:space="0" w:color="auto"/>
            </w:tcBorders>
            <w:shd w:val="clear" w:color="auto" w:fill="auto"/>
            <w:vAlign w:val="center"/>
            <w:hideMark/>
          </w:tcPr>
          <w:p w14:paraId="112391F2" w14:textId="77777777" w:rsidR="009E3673" w:rsidRPr="000A6219" w:rsidRDefault="009E3673"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Non-AIEC</w:t>
            </w:r>
          </w:p>
        </w:tc>
        <w:tc>
          <w:tcPr>
            <w:tcW w:w="4130" w:type="dxa"/>
            <w:tcBorders>
              <w:top w:val="single" w:sz="4" w:space="0" w:color="auto"/>
              <w:bottom w:val="single" w:sz="4" w:space="0" w:color="auto"/>
            </w:tcBorders>
            <w:shd w:val="clear" w:color="auto" w:fill="auto"/>
            <w:vAlign w:val="center"/>
            <w:hideMark/>
          </w:tcPr>
          <w:p w14:paraId="29831FBB" w14:textId="77777777" w:rsidR="009E3673" w:rsidRPr="000A6219" w:rsidRDefault="009E3673"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Genes studied</w:t>
            </w:r>
          </w:p>
        </w:tc>
      </w:tr>
      <w:tr w:rsidR="009E3673" w:rsidRPr="000A6219" w14:paraId="143CD1A2" w14:textId="77777777" w:rsidTr="0088716F">
        <w:trPr>
          <w:trHeight w:val="756"/>
          <w:jc w:val="center"/>
        </w:trPr>
        <w:tc>
          <w:tcPr>
            <w:tcW w:w="2407" w:type="dxa"/>
            <w:tcBorders>
              <w:top w:val="single" w:sz="4" w:space="0" w:color="auto"/>
            </w:tcBorders>
            <w:shd w:val="clear" w:color="auto" w:fill="auto"/>
            <w:hideMark/>
          </w:tcPr>
          <w:p w14:paraId="0E33974A" w14:textId="691966B0" w:rsidR="009E3673" w:rsidRPr="000A6219" w:rsidRDefault="0005405C" w:rsidP="000A6219">
            <w:pPr>
              <w:snapToGrid w:val="0"/>
              <w:spacing w:line="360" w:lineRule="auto"/>
              <w:jc w:val="both"/>
              <w:rPr>
                <w:rFonts w:ascii="Book Antiqua" w:hAnsi="Book Antiqua"/>
                <w:sz w:val="24"/>
                <w:szCs w:val="24"/>
                <w:lang w:val="es-ES"/>
              </w:rPr>
            </w:pPr>
            <w:proofErr w:type="spellStart"/>
            <w:r w:rsidRPr="000A6219">
              <w:rPr>
                <w:rFonts w:ascii="Book Antiqua" w:hAnsi="Book Antiqua"/>
                <w:sz w:val="24"/>
                <w:szCs w:val="24"/>
                <w:lang w:val="en-US"/>
              </w:rPr>
              <w:t>Darfeuille</w:t>
            </w:r>
            <w:proofErr w:type="spellEnd"/>
            <w:r w:rsidRPr="000A6219">
              <w:rPr>
                <w:rFonts w:ascii="Book Antiqua" w:hAnsi="Book Antiqua"/>
                <w:sz w:val="24"/>
                <w:szCs w:val="24"/>
                <w:lang w:val="en-US"/>
              </w:rPr>
              <w:t xml:space="preserve">-Michaud </w:t>
            </w:r>
            <w:r w:rsidRPr="000A6219">
              <w:rPr>
                <w:rFonts w:ascii="Book Antiqua" w:hAnsi="Book Antiqua"/>
                <w:i/>
                <w:sz w:val="24"/>
                <w:szCs w:val="24"/>
                <w:lang w:val="en-US"/>
              </w:rPr>
              <w:t>et al</w:t>
            </w:r>
            <w:r w:rsidRPr="000A6219">
              <w:rPr>
                <w:rFonts w:ascii="Book Antiqua" w:hAnsi="Book Antiqua"/>
                <w:sz w:val="24"/>
                <w:szCs w:val="24"/>
                <w:vertAlign w:val="superscript"/>
                <w:lang w:val="en-US"/>
              </w:rPr>
              <w:t>[1]</w:t>
            </w:r>
            <w:r w:rsidRPr="000A6219">
              <w:rPr>
                <w:rFonts w:ascii="Book Antiqua" w:hAnsi="Book Antiqua"/>
                <w:sz w:val="24"/>
                <w:szCs w:val="24"/>
                <w:lang w:val="en-US"/>
              </w:rPr>
              <w:t>, 2004</w:t>
            </w:r>
          </w:p>
        </w:tc>
        <w:tc>
          <w:tcPr>
            <w:tcW w:w="817" w:type="dxa"/>
            <w:tcBorders>
              <w:top w:val="single" w:sz="4" w:space="0" w:color="auto"/>
            </w:tcBorders>
            <w:shd w:val="clear" w:color="auto" w:fill="auto"/>
            <w:hideMark/>
          </w:tcPr>
          <w:p w14:paraId="6C3FB11F" w14:textId="77777777" w:rsidR="009E3673" w:rsidRPr="000A6219" w:rsidRDefault="009E3673"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26</w:t>
            </w:r>
          </w:p>
        </w:tc>
        <w:tc>
          <w:tcPr>
            <w:tcW w:w="1471" w:type="dxa"/>
            <w:tcBorders>
              <w:top w:val="single" w:sz="4" w:space="0" w:color="auto"/>
            </w:tcBorders>
            <w:shd w:val="clear" w:color="auto" w:fill="auto"/>
            <w:hideMark/>
          </w:tcPr>
          <w:p w14:paraId="627AD7CA" w14:textId="77777777" w:rsidR="009E3673" w:rsidRPr="000A6219" w:rsidRDefault="009E3673"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0</w:t>
            </w:r>
          </w:p>
        </w:tc>
        <w:tc>
          <w:tcPr>
            <w:tcW w:w="4130" w:type="dxa"/>
            <w:tcBorders>
              <w:top w:val="single" w:sz="4" w:space="0" w:color="auto"/>
            </w:tcBorders>
            <w:shd w:val="clear" w:color="auto" w:fill="auto"/>
            <w:hideMark/>
          </w:tcPr>
          <w:p w14:paraId="4D3F661A" w14:textId="45B759EE" w:rsidR="009E3673" w:rsidRPr="000A6219" w:rsidRDefault="009E3673" w:rsidP="000A6219">
            <w:pPr>
              <w:snapToGrid w:val="0"/>
              <w:spacing w:line="360" w:lineRule="auto"/>
              <w:jc w:val="both"/>
              <w:rPr>
                <w:rFonts w:ascii="Book Antiqua" w:hAnsi="Book Antiqua"/>
                <w:i/>
                <w:sz w:val="24"/>
                <w:szCs w:val="24"/>
                <w:lang w:val="es-ES"/>
              </w:rPr>
            </w:pPr>
            <w:r w:rsidRPr="000A6219">
              <w:rPr>
                <w:rFonts w:ascii="Book Antiqua" w:hAnsi="Book Antiqua"/>
                <w:i/>
                <w:sz w:val="24"/>
                <w:szCs w:val="24"/>
                <w:lang w:val="es-ES"/>
              </w:rPr>
              <w:t>afaD, eae, ipaC</w:t>
            </w:r>
            <w:r w:rsidRPr="000A6219">
              <w:rPr>
                <w:rFonts w:ascii="Book Antiqua" w:hAnsi="Book Antiqua"/>
                <w:sz w:val="24"/>
                <w:szCs w:val="24"/>
                <w:lang w:val="es-ES"/>
              </w:rPr>
              <w:t xml:space="preserve">, </w:t>
            </w:r>
            <w:r w:rsidR="0005405C" w:rsidRPr="000A6219">
              <w:rPr>
                <w:rFonts w:ascii="Book Antiqua" w:hAnsi="Book Antiqua"/>
                <w:i/>
                <w:sz w:val="24"/>
                <w:szCs w:val="24"/>
                <w:lang w:val="es-ES"/>
              </w:rPr>
              <w:t>tia</w:t>
            </w:r>
          </w:p>
        </w:tc>
      </w:tr>
      <w:tr w:rsidR="009E3673" w:rsidRPr="000A6219" w14:paraId="457B3D89" w14:textId="77777777" w:rsidTr="0088716F">
        <w:trPr>
          <w:trHeight w:val="247"/>
          <w:jc w:val="center"/>
        </w:trPr>
        <w:tc>
          <w:tcPr>
            <w:tcW w:w="2407" w:type="dxa"/>
            <w:shd w:val="clear" w:color="auto" w:fill="auto"/>
            <w:hideMark/>
          </w:tcPr>
          <w:p w14:paraId="7C42F3B0" w14:textId="28B67307" w:rsidR="009E3673" w:rsidRPr="000A6219" w:rsidRDefault="0005405C"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 xml:space="preserve">Martinez-Medina </w:t>
            </w:r>
            <w:r w:rsidRPr="000A6219">
              <w:rPr>
                <w:rFonts w:ascii="Book Antiqua" w:hAnsi="Book Antiqua"/>
                <w:i/>
                <w:sz w:val="24"/>
                <w:szCs w:val="24"/>
                <w:lang w:val="es-ES"/>
              </w:rPr>
              <w:t>et</w:t>
            </w:r>
            <w:r w:rsidRPr="000A6219">
              <w:rPr>
                <w:rFonts w:ascii="Book Antiqua" w:hAnsi="Book Antiqua"/>
                <w:sz w:val="24"/>
                <w:szCs w:val="24"/>
                <w:lang w:val="es-ES"/>
              </w:rPr>
              <w:t xml:space="preserve"> </w:t>
            </w:r>
            <w:r w:rsidRPr="000A6219">
              <w:rPr>
                <w:rFonts w:ascii="Book Antiqua" w:hAnsi="Book Antiqua"/>
                <w:i/>
                <w:sz w:val="24"/>
                <w:szCs w:val="24"/>
                <w:lang w:val="es-ES"/>
              </w:rPr>
              <w:t>al</w:t>
            </w:r>
            <w:r w:rsidRPr="000A6219">
              <w:rPr>
                <w:rFonts w:ascii="Book Antiqua" w:hAnsi="Book Antiqua"/>
                <w:sz w:val="24"/>
                <w:szCs w:val="24"/>
                <w:vertAlign w:val="superscript"/>
                <w:lang w:val="es-ES"/>
              </w:rPr>
              <w:t>[11]</w:t>
            </w:r>
            <w:r w:rsidR="009E3673" w:rsidRPr="000A6219">
              <w:rPr>
                <w:rFonts w:ascii="Book Antiqua" w:hAnsi="Book Antiqua"/>
                <w:sz w:val="24"/>
                <w:szCs w:val="24"/>
                <w:lang w:val="es-ES"/>
              </w:rPr>
              <w:t>, 2009</w:t>
            </w:r>
          </w:p>
        </w:tc>
        <w:tc>
          <w:tcPr>
            <w:tcW w:w="817" w:type="dxa"/>
            <w:shd w:val="clear" w:color="auto" w:fill="auto"/>
            <w:hideMark/>
          </w:tcPr>
          <w:p w14:paraId="2F8B9DDA" w14:textId="77777777" w:rsidR="009E3673" w:rsidRPr="000A6219" w:rsidRDefault="009E3673"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22</w:t>
            </w:r>
          </w:p>
        </w:tc>
        <w:tc>
          <w:tcPr>
            <w:tcW w:w="1471" w:type="dxa"/>
            <w:shd w:val="clear" w:color="auto" w:fill="auto"/>
            <w:hideMark/>
          </w:tcPr>
          <w:p w14:paraId="1A3371DD" w14:textId="77777777" w:rsidR="009E3673" w:rsidRPr="000A6219" w:rsidRDefault="009E3673"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38</w:t>
            </w:r>
          </w:p>
        </w:tc>
        <w:tc>
          <w:tcPr>
            <w:tcW w:w="4130" w:type="dxa"/>
            <w:shd w:val="clear" w:color="auto" w:fill="auto"/>
            <w:hideMark/>
          </w:tcPr>
          <w:p w14:paraId="2677300E" w14:textId="31787F72" w:rsidR="009E3673" w:rsidRPr="000A6219" w:rsidRDefault="009E3673" w:rsidP="000A6219">
            <w:pPr>
              <w:snapToGrid w:val="0"/>
              <w:spacing w:line="360" w:lineRule="auto"/>
              <w:jc w:val="both"/>
              <w:rPr>
                <w:rFonts w:ascii="Book Antiqua" w:hAnsi="Book Antiqua"/>
                <w:i/>
                <w:sz w:val="24"/>
                <w:szCs w:val="24"/>
                <w:lang w:val="es-ES"/>
              </w:rPr>
            </w:pPr>
            <w:r w:rsidRPr="000A6219">
              <w:rPr>
                <w:rFonts w:ascii="Book Antiqua" w:hAnsi="Book Antiqua"/>
                <w:i/>
                <w:sz w:val="24"/>
                <w:szCs w:val="24"/>
                <w:lang w:val="es-ES"/>
              </w:rPr>
              <w:t>afa/draBC, bfpA, cdtB,cnf1, eae, eltA, est, fimAvMT78, fimH, hlyA, ibeA, ipaH, iucD, neuC, papC,</w:t>
            </w:r>
            <w:r w:rsidR="0005405C" w:rsidRPr="000A6219">
              <w:rPr>
                <w:rFonts w:ascii="Book Antiqua" w:hAnsi="Book Antiqua"/>
                <w:i/>
                <w:sz w:val="24"/>
                <w:szCs w:val="24"/>
                <w:lang w:val="es-ES"/>
              </w:rPr>
              <w:t xml:space="preserve"> pCDV432, sfa/focDE, stx1, stx2</w:t>
            </w:r>
          </w:p>
        </w:tc>
      </w:tr>
      <w:tr w:rsidR="009E3673" w:rsidRPr="000A6219" w14:paraId="7B351E34" w14:textId="77777777" w:rsidTr="0088716F">
        <w:trPr>
          <w:trHeight w:val="247"/>
          <w:jc w:val="center"/>
        </w:trPr>
        <w:tc>
          <w:tcPr>
            <w:tcW w:w="2407" w:type="dxa"/>
            <w:shd w:val="clear" w:color="auto" w:fill="auto"/>
            <w:hideMark/>
          </w:tcPr>
          <w:p w14:paraId="23F4904E" w14:textId="51E7BAFC" w:rsidR="009E3673" w:rsidRPr="000A6219" w:rsidRDefault="009E3673"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Martine</w:t>
            </w:r>
            <w:r w:rsidR="0005405C" w:rsidRPr="000A6219">
              <w:rPr>
                <w:rFonts w:ascii="Book Antiqua" w:hAnsi="Book Antiqua"/>
                <w:sz w:val="24"/>
                <w:szCs w:val="24"/>
                <w:lang w:val="es-ES"/>
              </w:rPr>
              <w:t xml:space="preserve">z-Medina </w:t>
            </w:r>
            <w:r w:rsidR="0005405C" w:rsidRPr="000A6219">
              <w:rPr>
                <w:rFonts w:ascii="Book Antiqua" w:hAnsi="Book Antiqua"/>
                <w:i/>
                <w:sz w:val="24"/>
                <w:szCs w:val="24"/>
                <w:lang w:val="es-ES"/>
              </w:rPr>
              <w:t>et al</w:t>
            </w:r>
            <w:r w:rsidR="0005405C" w:rsidRPr="000A6219">
              <w:rPr>
                <w:rFonts w:ascii="Book Antiqua" w:hAnsi="Book Antiqua"/>
                <w:sz w:val="24"/>
                <w:szCs w:val="24"/>
                <w:lang w:val="en-US"/>
              </w:rPr>
              <w:fldChar w:fldCharType="begin" w:fldLock="1"/>
            </w:r>
            <w:r w:rsidR="0005405C" w:rsidRPr="000A6219">
              <w:rPr>
                <w:rFonts w:ascii="Book Antiqua" w:hAnsi="Book Antiqua"/>
                <w:sz w:val="24"/>
                <w:szCs w:val="24"/>
                <w:lang w:val="es-ES"/>
              </w:rPr>
              <w:instrText>ADDIN CSL_CITATION {"citationItems":[{"id":"ITEM-1","itemData":{"DOI":"10.1128/JCM.01484-09","ISSN":"1098-660X","PMID":"19828750","abstract":"Adherent-invasive Escherichia coli (AIEC) pathovar strains, which are associated with Crohn's disease, share many genetic and phenotypic features with extraintestinal pathogenic E. coli (ExPEC) strains, but little is known about the level of genetic similarity between the two pathovars. We aimed to determine the frequency of strains with the \"AIEC phenotype\" among a collection of ExPEC strains and to further search for a common phylogenetic origin for the intestinal and extraintestinal AIEC strains. The adhesion, invasion, and intramacrophage replication capabilities (AIEC phenotype) of 63 ExPEC strains were determined. Correlations between virulence genotype and AIEC phenotype and between intestinal/extraintestinal origin, serotype, and phylogroup were evaluated for the 63 ExPEC and 23 intestinal AIEC strains. Phylogenetic relationships between extraintestinal and intestinal AIEC strains were determined using multilocus sequence typing (MLST) and pulsed-field gel electrophoresis. Only four (6.35%) ExPEC strains, belonging to the O6:H1, O83:H1, and O25:H4 serotypes, were classified as having an AIEC phenotype. These strains were found to be genetically related to some intestinal AIEC strains of the same serotypes as revealed by MLST. No particular virulence gene sets correlated with the intestinal/extraintestinal origin of the strains or with the AIEC phenotype, whereas the gene sets did correlate with the serogroup. We identified two intestinal AIEC strains and one extraintestinal AIEC strain belonging to the O25:H4 serotype that also belonged to the emerging and virulent clonal group ST131. In conclusion, the ExPEC and AIEC pathovars share similar virulence gene sets, and certain strains are phylogenetically related. However, the majority of ExPEC strains did not behave like AIEC strains, thus confirming that the AIEC pathovar possesses virulence-specific features that, to date, are detectable only phenotypically.","author":[{"dropping-particle":"","family":"Martinez-Medina","given":"Margarita","non-dropping-particle":"","parse-names":false,"suffix":""},{"dropping-particle":"","family":"Mora","given":"Azucena","non-dropping-particle":"","parse-names":false,"suffix":""},{"dropping-particle":"","family":"Blanco","given":"Miguel","non-dropping-particle":"","parse-names":false,"suffix":""},{"dropping-particle":"","family":"López","given":"Cecilia","non-dropping-particle":"","parse-names":false,"suffix":""},{"dropping-particle":"","family":"Alonso","given":"María Pilar","non-dropping-particle":"","parse-names":false,"suffix":""},{"dropping-particle":"","family":"Bonacorsi","given":"Stéphane","non-dropping-particle":"","parse-names":false,"suffix":""},{"dropping-particle":"","family":"Nicolas-Chanoine","given":"Marie-Hélène","non-dropping-particle":"","parse-names":false,"suffix":""},{"dropping-particle":"","family":"Darfeuille-Michaud","given":"Arlette","non-dropping-particle":"","parse-names":false,"suffix":""},{"dropping-particle":"","family":"Garcia-Gil","given":"Jesus","non-dropping-particle":"","parse-names":false,"suffix":""},{"dropping-particle":"","family":"Blanco","given":"Jorge","non-dropping-particle":"","parse-names":false,"suffix":""}],"container-title":"Journal of clinical microbiology","id":"ITEM-1","issue":"12","issued":{"date-parts":[["2009","12"]]},"page":"3968-79","title":"Similarity and divergence among adherent-invasive Escherichia coli and extraintestinal pathogenic E. coli strains.","type":"article-journal","volume":"47"},"uris":["http://www.mendeley.com/documents/?uuid=8b2d0a0d-417a-4887-a3ec-bd53e0cbf097"]}],"mendeley":{"formattedCitation":"&lt;sup&gt;[26]&lt;/sup&gt;","plainTextFormattedCitation":"[26]","previouslyFormattedCitation":"&lt;sup&gt;[26]&lt;/sup&gt;"},"properties":{"noteIndex":0},"schema":"https://github.com/citation-style-language/schema/raw/master/csl-citation.json"}</w:instrText>
            </w:r>
            <w:r w:rsidR="0005405C" w:rsidRPr="000A6219">
              <w:rPr>
                <w:rFonts w:ascii="Book Antiqua" w:hAnsi="Book Antiqua"/>
                <w:sz w:val="24"/>
                <w:szCs w:val="24"/>
                <w:lang w:val="en-US"/>
              </w:rPr>
              <w:fldChar w:fldCharType="separate"/>
            </w:r>
            <w:r w:rsidR="0005405C" w:rsidRPr="000A6219">
              <w:rPr>
                <w:rFonts w:ascii="Book Antiqua" w:hAnsi="Book Antiqua"/>
                <w:noProof/>
                <w:sz w:val="24"/>
                <w:szCs w:val="24"/>
                <w:vertAlign w:val="superscript"/>
                <w:lang w:val="es-ES"/>
              </w:rPr>
              <w:t>[26]</w:t>
            </w:r>
            <w:r w:rsidR="0005405C" w:rsidRPr="000A6219">
              <w:rPr>
                <w:rFonts w:ascii="Book Antiqua" w:hAnsi="Book Antiqua"/>
                <w:sz w:val="24"/>
                <w:szCs w:val="24"/>
                <w:lang w:val="en-US"/>
              </w:rPr>
              <w:fldChar w:fldCharType="end"/>
            </w:r>
            <w:r w:rsidR="0005405C" w:rsidRPr="000A6219">
              <w:rPr>
                <w:rFonts w:ascii="Book Antiqua" w:hAnsi="Book Antiqua"/>
                <w:sz w:val="24"/>
                <w:szCs w:val="24"/>
                <w:lang w:val="es-ES"/>
              </w:rPr>
              <w:t>, 2009</w:t>
            </w:r>
          </w:p>
        </w:tc>
        <w:tc>
          <w:tcPr>
            <w:tcW w:w="817" w:type="dxa"/>
            <w:shd w:val="clear" w:color="auto" w:fill="auto"/>
            <w:hideMark/>
          </w:tcPr>
          <w:p w14:paraId="7850CA83" w14:textId="77777777" w:rsidR="009E3673" w:rsidRPr="000A6219" w:rsidRDefault="009E3673"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27</w:t>
            </w:r>
          </w:p>
        </w:tc>
        <w:tc>
          <w:tcPr>
            <w:tcW w:w="1471" w:type="dxa"/>
            <w:shd w:val="clear" w:color="auto" w:fill="auto"/>
            <w:hideMark/>
          </w:tcPr>
          <w:p w14:paraId="4E75FD0C" w14:textId="77777777" w:rsidR="009E3673" w:rsidRPr="000A6219" w:rsidRDefault="009E3673"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59</w:t>
            </w:r>
          </w:p>
        </w:tc>
        <w:tc>
          <w:tcPr>
            <w:tcW w:w="4130" w:type="dxa"/>
            <w:shd w:val="clear" w:color="auto" w:fill="auto"/>
            <w:hideMark/>
          </w:tcPr>
          <w:p w14:paraId="18010BF9" w14:textId="2A6F0B35" w:rsidR="009E3673" w:rsidRPr="000A6219" w:rsidRDefault="009E3673" w:rsidP="000A6219">
            <w:pPr>
              <w:snapToGrid w:val="0"/>
              <w:spacing w:line="360" w:lineRule="auto"/>
              <w:jc w:val="both"/>
              <w:rPr>
                <w:rFonts w:ascii="Book Antiqua" w:hAnsi="Book Antiqua"/>
                <w:i/>
                <w:sz w:val="24"/>
                <w:szCs w:val="24"/>
                <w:lang w:val="es-ES"/>
              </w:rPr>
            </w:pPr>
            <w:r w:rsidRPr="000A6219">
              <w:rPr>
                <w:rFonts w:ascii="Book Antiqua" w:hAnsi="Book Antiqua"/>
                <w:i/>
                <w:sz w:val="24"/>
                <w:szCs w:val="24"/>
                <w:lang w:val="es-ES"/>
              </w:rPr>
              <w:t>afa/draBC, bfpA, bmaE, cdtB, cnf</w:t>
            </w:r>
            <w:r w:rsidR="00FC349F" w:rsidRPr="000A6219">
              <w:rPr>
                <w:rFonts w:ascii="Book Antiqua" w:hAnsi="Book Antiqua"/>
                <w:i/>
                <w:sz w:val="24"/>
                <w:szCs w:val="24"/>
                <w:lang w:val="es-ES"/>
              </w:rPr>
              <w:t xml:space="preserve">1, cvaC, eae, eltA, est, fimA, </w:t>
            </w:r>
            <w:r w:rsidRPr="000A6219">
              <w:rPr>
                <w:rFonts w:ascii="Book Antiqua" w:hAnsi="Book Antiqua"/>
                <w:i/>
                <w:sz w:val="24"/>
                <w:szCs w:val="24"/>
                <w:lang w:val="es-ES"/>
              </w:rPr>
              <w:t>fimAvMT78, fimH, focG, gafD, hlyA, ibeA ,ipaH,</w:t>
            </w:r>
            <w:r w:rsidR="00FC349F" w:rsidRPr="000A6219">
              <w:rPr>
                <w:rFonts w:ascii="Book Antiqua" w:hAnsi="Book Antiqua"/>
                <w:i/>
                <w:sz w:val="24"/>
                <w:szCs w:val="24"/>
                <w:lang w:val="es-ES"/>
              </w:rPr>
              <w:t xml:space="preserve"> iroN, iucD, kpsMII, kpsMIII, </w:t>
            </w:r>
            <w:r w:rsidRPr="000A6219">
              <w:rPr>
                <w:rFonts w:ascii="Book Antiqua" w:hAnsi="Book Antiqua"/>
                <w:i/>
                <w:sz w:val="24"/>
                <w:szCs w:val="24"/>
                <w:lang w:val="es-ES"/>
              </w:rPr>
              <w:t xml:space="preserve">malX, neuC, papC, papGI, papGII, papGIII alleles,pCDV432, sat, </w:t>
            </w:r>
            <w:r w:rsidRPr="000A6219">
              <w:rPr>
                <w:rFonts w:ascii="Book Antiqua" w:hAnsi="Book Antiqua"/>
                <w:b/>
                <w:i/>
                <w:sz w:val="24"/>
                <w:szCs w:val="24"/>
                <w:lang w:val="es-ES"/>
              </w:rPr>
              <w:t>sfa/focDE</w:t>
            </w:r>
            <w:r w:rsidRPr="000A6219">
              <w:rPr>
                <w:rFonts w:ascii="Book Antiqua" w:hAnsi="Book Antiqua"/>
                <w:i/>
                <w:sz w:val="24"/>
                <w:szCs w:val="24"/>
                <w:lang w:val="es-ES"/>
              </w:rPr>
              <w:t xml:space="preserve">, sfaS, stx1, stx2, </w:t>
            </w:r>
            <w:r w:rsidR="0005405C" w:rsidRPr="000A6219">
              <w:rPr>
                <w:rFonts w:ascii="Book Antiqua" w:hAnsi="Book Antiqua"/>
                <w:i/>
                <w:sz w:val="24"/>
                <w:szCs w:val="24"/>
                <w:lang w:val="es-ES"/>
              </w:rPr>
              <w:t>traT, usp</w:t>
            </w:r>
          </w:p>
        </w:tc>
      </w:tr>
      <w:tr w:rsidR="009E3673" w:rsidRPr="000A6219" w14:paraId="4F53486A" w14:textId="77777777" w:rsidTr="0088716F">
        <w:trPr>
          <w:trHeight w:val="247"/>
          <w:jc w:val="center"/>
        </w:trPr>
        <w:tc>
          <w:tcPr>
            <w:tcW w:w="2407" w:type="dxa"/>
            <w:shd w:val="clear" w:color="auto" w:fill="auto"/>
            <w:hideMark/>
          </w:tcPr>
          <w:p w14:paraId="3FD4AD6C" w14:textId="0B9490FB" w:rsidR="009E3673" w:rsidRPr="000A6219" w:rsidRDefault="0005405C"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 xml:space="preserve">Martinez-Medina </w:t>
            </w:r>
            <w:r w:rsidRPr="000A6219">
              <w:rPr>
                <w:rFonts w:ascii="Book Antiqua" w:hAnsi="Book Antiqua"/>
                <w:i/>
                <w:sz w:val="24"/>
                <w:szCs w:val="24"/>
                <w:lang w:val="es-ES"/>
              </w:rPr>
              <w:t>et</w:t>
            </w:r>
            <w:r w:rsidRPr="000A6219">
              <w:rPr>
                <w:rFonts w:ascii="Book Antiqua" w:hAnsi="Book Antiqua"/>
                <w:sz w:val="24"/>
                <w:szCs w:val="24"/>
                <w:lang w:val="es-ES"/>
              </w:rPr>
              <w:t xml:space="preserve"> </w:t>
            </w:r>
            <w:r w:rsidRPr="000A6219">
              <w:rPr>
                <w:rFonts w:ascii="Book Antiqua" w:hAnsi="Book Antiqua"/>
                <w:i/>
                <w:sz w:val="24"/>
                <w:szCs w:val="24"/>
                <w:lang w:val="es-ES"/>
              </w:rPr>
              <w:t>al</w:t>
            </w:r>
            <w:r w:rsidRPr="000A6219">
              <w:rPr>
                <w:rFonts w:ascii="Book Antiqua" w:hAnsi="Book Antiqua"/>
                <w:sz w:val="24"/>
                <w:szCs w:val="24"/>
                <w:lang w:val="en-US"/>
              </w:rPr>
              <w:fldChar w:fldCharType="begin" w:fldLock="1"/>
            </w:r>
            <w:r w:rsidRPr="000A6219">
              <w:rPr>
                <w:rFonts w:ascii="Book Antiqua" w:hAnsi="Book Antiqua"/>
                <w:sz w:val="24"/>
                <w:szCs w:val="24"/>
                <w:lang w:val="es-E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mendeley":{"formattedCitation":"&lt;sup&gt;[37]&lt;/sup&gt;","plainTextFormattedCitation":"[37]","previouslyFormattedCitation":"&lt;sup&gt;[37]&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s-ES"/>
              </w:rPr>
              <w:t>[37]</w:t>
            </w:r>
            <w:r w:rsidRPr="000A6219">
              <w:rPr>
                <w:rFonts w:ascii="Book Antiqua" w:hAnsi="Book Antiqua"/>
                <w:sz w:val="24"/>
                <w:szCs w:val="24"/>
                <w:lang w:val="en-US"/>
              </w:rPr>
              <w:fldChar w:fldCharType="end"/>
            </w:r>
            <w:r w:rsidR="009E3673" w:rsidRPr="000A6219">
              <w:rPr>
                <w:rFonts w:ascii="Book Antiqua" w:hAnsi="Book Antiqua"/>
                <w:sz w:val="24"/>
                <w:szCs w:val="24"/>
                <w:lang w:val="es-ES"/>
              </w:rPr>
              <w:t>, 2011</w:t>
            </w:r>
          </w:p>
        </w:tc>
        <w:tc>
          <w:tcPr>
            <w:tcW w:w="817" w:type="dxa"/>
            <w:shd w:val="clear" w:color="auto" w:fill="auto"/>
            <w:hideMark/>
          </w:tcPr>
          <w:p w14:paraId="5D0DDDE0"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49</w:t>
            </w:r>
          </w:p>
        </w:tc>
        <w:tc>
          <w:tcPr>
            <w:tcW w:w="1471" w:type="dxa"/>
            <w:shd w:val="clear" w:color="auto" w:fill="auto"/>
            <w:hideMark/>
          </w:tcPr>
          <w:p w14:paraId="7805CBD0"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134</w:t>
            </w:r>
          </w:p>
        </w:tc>
        <w:tc>
          <w:tcPr>
            <w:tcW w:w="4130" w:type="dxa"/>
            <w:shd w:val="clear" w:color="auto" w:fill="auto"/>
            <w:hideMark/>
          </w:tcPr>
          <w:p w14:paraId="0108F2B2" w14:textId="1CA6F8A2" w:rsidR="009E3673" w:rsidRPr="000A6219" w:rsidRDefault="009E3673" w:rsidP="000A6219">
            <w:pPr>
              <w:snapToGrid w:val="0"/>
              <w:spacing w:line="360" w:lineRule="auto"/>
              <w:jc w:val="both"/>
              <w:rPr>
                <w:rFonts w:ascii="Book Antiqua" w:hAnsi="Book Antiqua"/>
                <w:b/>
                <w:i/>
                <w:sz w:val="24"/>
                <w:szCs w:val="24"/>
                <w:lang w:val="en-US"/>
              </w:rPr>
            </w:pPr>
            <w:proofErr w:type="spellStart"/>
            <w:r w:rsidRPr="000A6219">
              <w:rPr>
                <w:rFonts w:ascii="Book Antiqua" w:hAnsi="Book Antiqua"/>
                <w:i/>
                <w:sz w:val="24"/>
                <w:szCs w:val="24"/>
                <w:lang w:val="en-US"/>
              </w:rPr>
              <w:t>afa</w:t>
            </w:r>
            <w:proofErr w:type="spellEnd"/>
            <w:r w:rsidRPr="000A6219">
              <w:rPr>
                <w:rFonts w:ascii="Book Antiqua" w:hAnsi="Book Antiqua"/>
                <w:i/>
                <w:sz w:val="24"/>
                <w:szCs w:val="24"/>
                <w:lang w:val="en-US"/>
              </w:rPr>
              <w:t>/</w:t>
            </w:r>
            <w:proofErr w:type="spellStart"/>
            <w:r w:rsidRPr="000A6219">
              <w:rPr>
                <w:rFonts w:ascii="Book Antiqua" w:hAnsi="Book Antiqua"/>
                <w:i/>
                <w:sz w:val="24"/>
                <w:szCs w:val="24"/>
                <w:lang w:val="en-US"/>
              </w:rPr>
              <w:t>draBC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astA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bmaE</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chuA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cnf</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csgA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cvaB</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cvaC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eaI</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eitA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eitC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etsB</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etsC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fimC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focG</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fyuA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gafD</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gimB</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hlyA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hlyF</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hra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ibeA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iha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ireA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iroN</w:t>
            </w:r>
            <w:proofErr w:type="spellEnd"/>
            <w:r w:rsidRPr="000A6219">
              <w:rPr>
                <w:rFonts w:ascii="Book Antiqua" w:hAnsi="Book Antiqua"/>
                <w:i/>
                <w:sz w:val="24"/>
                <w:szCs w:val="24"/>
                <w:lang w:val="en-US"/>
              </w:rPr>
              <w:t xml:space="preserve">, irp2, </w:t>
            </w:r>
            <w:proofErr w:type="spellStart"/>
            <w:r w:rsidRPr="000A6219">
              <w:rPr>
                <w:rFonts w:ascii="Book Antiqua" w:hAnsi="Book Antiqua"/>
                <w:i/>
                <w:sz w:val="24"/>
                <w:szCs w:val="24"/>
                <w:lang w:val="en-US"/>
              </w:rPr>
              <w:t>iss</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iucD</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iutA</w:t>
            </w:r>
            <w:proofErr w:type="spellEnd"/>
            <w:r w:rsidRPr="000A6219">
              <w:rPr>
                <w:rFonts w:ascii="Book Antiqua" w:hAnsi="Book Antiqua"/>
                <w:i/>
                <w:sz w:val="24"/>
                <w:szCs w:val="24"/>
                <w:lang w:val="en-US"/>
              </w:rPr>
              <w:t xml:space="preserve">, </w:t>
            </w:r>
            <w:proofErr w:type="spellStart"/>
            <w:r w:rsidRPr="000A6219">
              <w:rPr>
                <w:rFonts w:ascii="Book Antiqua" w:hAnsi="Book Antiqua"/>
                <w:b/>
                <w:i/>
                <w:sz w:val="24"/>
                <w:szCs w:val="24"/>
                <w:lang w:val="en-US"/>
              </w:rPr>
              <w:t>kpsMTII</w:t>
            </w:r>
            <w:proofErr w:type="spellEnd"/>
            <w:r w:rsidRPr="000A6219">
              <w:rPr>
                <w:rFonts w:ascii="Book Antiqua" w:hAnsi="Book Antiqua"/>
                <w:i/>
                <w:sz w:val="24"/>
                <w:szCs w:val="24"/>
                <w:lang w:val="en-US"/>
              </w:rPr>
              <w:t xml:space="preserve">, </w:t>
            </w:r>
            <w:proofErr w:type="spellStart"/>
            <w:r w:rsidRPr="000A6219">
              <w:rPr>
                <w:rFonts w:ascii="Book Antiqua" w:hAnsi="Book Antiqua"/>
                <w:b/>
                <w:i/>
                <w:sz w:val="24"/>
                <w:szCs w:val="24"/>
                <w:lang w:val="en-US"/>
              </w:rPr>
              <w:t>malX</w:t>
            </w:r>
            <w:proofErr w:type="spellEnd"/>
            <w:r w:rsidRPr="000A6219">
              <w:rPr>
                <w:rFonts w:ascii="Book Antiqua" w:hAnsi="Book Antiqua"/>
                <w:i/>
                <w:sz w:val="24"/>
                <w:szCs w:val="24"/>
                <w:lang w:val="en-US"/>
              </w:rPr>
              <w:t xml:space="preserve">, mat, </w:t>
            </w:r>
            <w:proofErr w:type="spellStart"/>
            <w:r w:rsidRPr="000A6219">
              <w:rPr>
                <w:rFonts w:ascii="Book Antiqua" w:hAnsi="Book Antiqua"/>
                <w:i/>
                <w:sz w:val="24"/>
                <w:szCs w:val="24"/>
                <w:lang w:val="en-US"/>
              </w:rPr>
              <w:t>neuC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nfaE</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ompA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ompT</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papEF</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papGI</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papGII</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papGII</w:t>
            </w:r>
            <w:proofErr w:type="spellEnd"/>
            <w:r w:rsidRPr="000A6219">
              <w:rPr>
                <w:rFonts w:ascii="Book Antiqua" w:hAnsi="Book Antiqua"/>
                <w:i/>
                <w:sz w:val="24"/>
                <w:szCs w:val="24"/>
                <w:lang w:val="en-US"/>
              </w:rPr>
              <w:t xml:space="preserve">/III, </w:t>
            </w:r>
            <w:proofErr w:type="spellStart"/>
            <w:r w:rsidRPr="000A6219">
              <w:rPr>
                <w:rFonts w:ascii="Book Antiqua" w:hAnsi="Book Antiqua"/>
                <w:i/>
                <w:sz w:val="24"/>
                <w:szCs w:val="24"/>
                <w:lang w:val="en-US"/>
              </w:rPr>
              <w:t>papGIII</w:t>
            </w:r>
            <w:proofErr w:type="spellEnd"/>
            <w:r w:rsidRPr="000A6219">
              <w:rPr>
                <w:rFonts w:ascii="Book Antiqua" w:hAnsi="Book Antiqua"/>
                <w:i/>
                <w:sz w:val="24"/>
                <w:szCs w:val="24"/>
                <w:lang w:val="en-US"/>
              </w:rPr>
              <w:t xml:space="preserve">, pic, pks, sat, </w:t>
            </w:r>
            <w:proofErr w:type="spellStart"/>
            <w:r w:rsidRPr="000A6219">
              <w:rPr>
                <w:rFonts w:ascii="Book Antiqua" w:hAnsi="Book Antiqua"/>
                <w:i/>
                <w:sz w:val="24"/>
                <w:szCs w:val="24"/>
                <w:lang w:val="en-US"/>
              </w:rPr>
              <w:t>sfa</w:t>
            </w:r>
            <w:proofErr w:type="spellEnd"/>
            <w:r w:rsidRPr="000A6219">
              <w:rPr>
                <w:rFonts w:ascii="Book Antiqua" w:hAnsi="Book Antiqua"/>
                <w:i/>
                <w:sz w:val="24"/>
                <w:szCs w:val="24"/>
                <w:lang w:val="en-US"/>
              </w:rPr>
              <w:t>/</w:t>
            </w:r>
            <w:proofErr w:type="spellStart"/>
            <w:r w:rsidRPr="000A6219">
              <w:rPr>
                <w:rFonts w:ascii="Book Antiqua" w:hAnsi="Book Antiqua"/>
                <w:i/>
                <w:sz w:val="24"/>
                <w:szCs w:val="24"/>
                <w:lang w:val="en-US"/>
              </w:rPr>
              <w:t>foc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sfaS</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sitA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sitD</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chr.</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si</w:t>
            </w:r>
            <w:r w:rsidR="0005405C" w:rsidRPr="000A6219">
              <w:rPr>
                <w:rFonts w:ascii="Book Antiqua" w:hAnsi="Book Antiqua"/>
                <w:i/>
                <w:sz w:val="24"/>
                <w:szCs w:val="24"/>
                <w:lang w:val="en-US"/>
              </w:rPr>
              <w:t>tD</w:t>
            </w:r>
            <w:proofErr w:type="spellEnd"/>
            <w:r w:rsidR="0005405C" w:rsidRPr="000A6219">
              <w:rPr>
                <w:rFonts w:ascii="Book Antiqua" w:hAnsi="Book Antiqua"/>
                <w:i/>
                <w:sz w:val="24"/>
                <w:szCs w:val="24"/>
                <w:lang w:val="en-US"/>
              </w:rPr>
              <w:t xml:space="preserve"> (epis.), </w:t>
            </w:r>
            <w:proofErr w:type="spellStart"/>
            <w:r w:rsidR="0005405C" w:rsidRPr="000A6219">
              <w:rPr>
                <w:rFonts w:ascii="Book Antiqua" w:hAnsi="Book Antiqua"/>
                <w:i/>
                <w:sz w:val="24"/>
                <w:szCs w:val="24"/>
                <w:lang w:val="en-US"/>
              </w:rPr>
              <w:t>tia</w:t>
            </w:r>
            <w:proofErr w:type="spellEnd"/>
            <w:r w:rsidR="0005405C"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traT</w:t>
            </w:r>
            <w:proofErr w:type="spellEnd"/>
            <w:r w:rsidR="0005405C"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tsh</w:t>
            </w:r>
            <w:proofErr w:type="spellEnd"/>
            <w:r w:rsidR="0005405C" w:rsidRPr="000A6219">
              <w:rPr>
                <w:rFonts w:ascii="Book Antiqua" w:hAnsi="Book Antiqua"/>
                <w:i/>
                <w:sz w:val="24"/>
                <w:szCs w:val="24"/>
                <w:lang w:val="en-US"/>
              </w:rPr>
              <w:t>, vat</w:t>
            </w:r>
          </w:p>
        </w:tc>
      </w:tr>
      <w:tr w:rsidR="009E3673" w:rsidRPr="000A6219" w14:paraId="77CDF494" w14:textId="77777777" w:rsidTr="0088716F">
        <w:trPr>
          <w:trHeight w:val="262"/>
          <w:jc w:val="center"/>
        </w:trPr>
        <w:tc>
          <w:tcPr>
            <w:tcW w:w="2407" w:type="dxa"/>
            <w:shd w:val="clear" w:color="auto" w:fill="auto"/>
            <w:hideMark/>
          </w:tcPr>
          <w:p w14:paraId="490DFBBA" w14:textId="6DEB19A6" w:rsidR="009E3673" w:rsidRPr="000A6219" w:rsidRDefault="0005405C" w:rsidP="000A6219">
            <w:pPr>
              <w:snapToGrid w:val="0"/>
              <w:spacing w:line="360" w:lineRule="auto"/>
              <w:jc w:val="both"/>
              <w:rPr>
                <w:rFonts w:ascii="Book Antiqua" w:hAnsi="Book Antiqua"/>
                <w:sz w:val="24"/>
                <w:szCs w:val="24"/>
                <w:lang w:val="en-US"/>
              </w:rPr>
            </w:pPr>
            <w:proofErr w:type="spellStart"/>
            <w:r w:rsidRPr="000A6219">
              <w:rPr>
                <w:rFonts w:ascii="Book Antiqua" w:hAnsi="Book Antiqua"/>
                <w:sz w:val="24"/>
                <w:szCs w:val="24"/>
                <w:lang w:val="en-US"/>
              </w:rPr>
              <w:t>Chassaing</w:t>
            </w:r>
            <w:proofErr w:type="spellEnd"/>
            <w:r w:rsidRPr="000A6219">
              <w:rPr>
                <w:rFonts w:ascii="Book Antiqua" w:hAnsi="Book Antiqua"/>
                <w:sz w:val="24"/>
                <w:szCs w:val="24"/>
                <w:lang w:val="en-US"/>
              </w:rPr>
              <w:t xml:space="preserve"> </w:t>
            </w:r>
            <w:r w:rsidRPr="000A6219">
              <w:rPr>
                <w:rFonts w:ascii="Book Antiqua" w:hAnsi="Book Antiqua"/>
                <w:i/>
                <w:sz w:val="24"/>
                <w:szCs w:val="24"/>
                <w:lang w:val="en-US"/>
              </w:rPr>
              <w:t>et al</w:t>
            </w:r>
            <w:r w:rsidRPr="000A6219">
              <w:rPr>
                <w:rFonts w:ascii="Book Antiqua" w:hAnsi="Book Antiqua"/>
                <w:sz w:val="24"/>
                <w:szCs w:val="24"/>
                <w:vertAlign w:val="superscript"/>
                <w:lang w:val="en-US"/>
              </w:rPr>
              <w:t>[5]</w:t>
            </w:r>
            <w:r w:rsidRPr="000A6219">
              <w:rPr>
                <w:rFonts w:ascii="Book Antiqua" w:hAnsi="Book Antiqua"/>
                <w:sz w:val="24"/>
                <w:szCs w:val="24"/>
                <w:lang w:val="en-US"/>
              </w:rPr>
              <w:t>, 2011</w:t>
            </w:r>
          </w:p>
        </w:tc>
        <w:tc>
          <w:tcPr>
            <w:tcW w:w="2288" w:type="dxa"/>
            <w:gridSpan w:val="2"/>
            <w:shd w:val="clear" w:color="auto" w:fill="auto"/>
            <w:hideMark/>
          </w:tcPr>
          <w:p w14:paraId="387EDF1E"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 xml:space="preserve">249 </w:t>
            </w:r>
          </w:p>
        </w:tc>
        <w:tc>
          <w:tcPr>
            <w:tcW w:w="4130" w:type="dxa"/>
            <w:shd w:val="clear" w:color="auto" w:fill="auto"/>
            <w:hideMark/>
          </w:tcPr>
          <w:p w14:paraId="6C4A41DF" w14:textId="77777777" w:rsidR="009E3673" w:rsidRPr="000A6219" w:rsidRDefault="009E3673" w:rsidP="000A6219">
            <w:pPr>
              <w:snapToGrid w:val="0"/>
              <w:spacing w:line="360" w:lineRule="auto"/>
              <w:jc w:val="both"/>
              <w:rPr>
                <w:rFonts w:ascii="Book Antiqua" w:hAnsi="Book Antiqua"/>
                <w:b/>
                <w:i/>
                <w:sz w:val="24"/>
                <w:szCs w:val="24"/>
                <w:lang w:val="en-US"/>
              </w:rPr>
            </w:pPr>
            <w:proofErr w:type="spellStart"/>
            <w:r w:rsidRPr="000A6219">
              <w:rPr>
                <w:rFonts w:ascii="Book Antiqua" w:hAnsi="Book Antiqua"/>
                <w:b/>
                <w:i/>
                <w:sz w:val="24"/>
                <w:szCs w:val="24"/>
                <w:lang w:val="en-US"/>
              </w:rPr>
              <w:t>lpfA</w:t>
            </w:r>
            <w:proofErr w:type="spellEnd"/>
          </w:p>
        </w:tc>
      </w:tr>
      <w:tr w:rsidR="009E3673" w:rsidRPr="000A6219" w14:paraId="35FBF76D" w14:textId="77777777" w:rsidTr="0088716F">
        <w:trPr>
          <w:trHeight w:val="247"/>
          <w:jc w:val="center"/>
        </w:trPr>
        <w:tc>
          <w:tcPr>
            <w:tcW w:w="2407" w:type="dxa"/>
            <w:shd w:val="clear" w:color="auto" w:fill="auto"/>
            <w:hideMark/>
          </w:tcPr>
          <w:p w14:paraId="332CD99D" w14:textId="462CD8C8" w:rsidR="009E3673" w:rsidRPr="000A6219" w:rsidRDefault="0005405C"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 xml:space="preserve">Conte </w:t>
            </w:r>
            <w:r w:rsidRPr="000A6219">
              <w:rPr>
                <w:rFonts w:ascii="Book Antiqua" w:hAnsi="Book Antiqua"/>
                <w:i/>
                <w:sz w:val="24"/>
                <w:szCs w:val="24"/>
                <w:lang w:val="en-US"/>
              </w:rPr>
              <w:t>et al</w:t>
            </w:r>
            <w:r w:rsidRPr="000A6219">
              <w:rPr>
                <w:rFonts w:ascii="Book Antiqua" w:hAnsi="Book Antiqua"/>
                <w:sz w:val="24"/>
                <w:szCs w:val="24"/>
                <w:vertAlign w:val="superscript"/>
                <w:lang w:val="en-US"/>
              </w:rPr>
              <w:t>[16]</w:t>
            </w:r>
            <w:r w:rsidR="009E3673" w:rsidRPr="000A6219">
              <w:rPr>
                <w:rFonts w:ascii="Book Antiqua" w:hAnsi="Book Antiqua"/>
                <w:sz w:val="24"/>
                <w:szCs w:val="24"/>
                <w:lang w:val="en-US"/>
              </w:rPr>
              <w:t xml:space="preserve">, 2014 </w:t>
            </w:r>
          </w:p>
        </w:tc>
        <w:tc>
          <w:tcPr>
            <w:tcW w:w="817" w:type="dxa"/>
            <w:shd w:val="clear" w:color="auto" w:fill="auto"/>
            <w:hideMark/>
          </w:tcPr>
          <w:p w14:paraId="5AA51BA6"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27</w:t>
            </w:r>
          </w:p>
        </w:tc>
        <w:tc>
          <w:tcPr>
            <w:tcW w:w="1471" w:type="dxa"/>
            <w:shd w:val="clear" w:color="auto" w:fill="auto"/>
            <w:hideMark/>
          </w:tcPr>
          <w:p w14:paraId="0B229150"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0</w:t>
            </w:r>
          </w:p>
        </w:tc>
        <w:tc>
          <w:tcPr>
            <w:tcW w:w="4130" w:type="dxa"/>
            <w:shd w:val="clear" w:color="auto" w:fill="auto"/>
            <w:hideMark/>
          </w:tcPr>
          <w:p w14:paraId="12C8A203" w14:textId="73174D12" w:rsidR="009E3673" w:rsidRPr="000A6219" w:rsidRDefault="009E3673" w:rsidP="000A6219">
            <w:pPr>
              <w:snapToGrid w:val="0"/>
              <w:spacing w:line="360" w:lineRule="auto"/>
              <w:jc w:val="both"/>
              <w:rPr>
                <w:rFonts w:ascii="Book Antiqua" w:hAnsi="Book Antiqua"/>
                <w:i/>
                <w:sz w:val="24"/>
                <w:szCs w:val="24"/>
                <w:lang w:val="en-US"/>
              </w:rPr>
            </w:pPr>
            <w:proofErr w:type="spellStart"/>
            <w:r w:rsidRPr="000A6219">
              <w:rPr>
                <w:rFonts w:ascii="Book Antiqua" w:hAnsi="Book Antiqua"/>
                <w:i/>
                <w:sz w:val="24"/>
                <w:szCs w:val="24"/>
                <w:lang w:val="en-US"/>
              </w:rPr>
              <w:t>afa</w:t>
            </w:r>
            <w:proofErr w:type="spellEnd"/>
            <w:r w:rsidRPr="000A6219">
              <w:rPr>
                <w:rFonts w:ascii="Book Antiqua" w:hAnsi="Book Antiqua"/>
                <w:i/>
                <w:sz w:val="24"/>
                <w:szCs w:val="24"/>
                <w:lang w:val="en-US"/>
              </w:rPr>
              <w:t>/</w:t>
            </w:r>
            <w:proofErr w:type="spellStart"/>
            <w:r w:rsidRPr="000A6219">
              <w:rPr>
                <w:rFonts w:ascii="Book Antiqua" w:hAnsi="Book Antiqua"/>
                <w:i/>
                <w:sz w:val="24"/>
                <w:szCs w:val="24"/>
                <w:lang w:val="en-US"/>
              </w:rPr>
              <w:t>draBC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aggR</w:t>
            </w:r>
            <w:proofErr w:type="spellEnd"/>
            <w:r w:rsidRPr="000A6219">
              <w:rPr>
                <w:rFonts w:ascii="Book Antiqua" w:hAnsi="Book Antiqua"/>
                <w:i/>
                <w:sz w:val="24"/>
                <w:szCs w:val="24"/>
                <w:lang w:val="en-US"/>
              </w:rPr>
              <w:t xml:space="preserve">, cnf1, </w:t>
            </w:r>
            <w:proofErr w:type="spellStart"/>
            <w:r w:rsidRPr="000A6219">
              <w:rPr>
                <w:rFonts w:ascii="Book Antiqua" w:hAnsi="Book Antiqua"/>
                <w:i/>
                <w:sz w:val="24"/>
                <w:szCs w:val="24"/>
                <w:lang w:val="en-US"/>
              </w:rPr>
              <w:t>cvaC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fimH</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focG</w:t>
            </w:r>
            <w:proofErr w:type="spellEnd"/>
            <w:r w:rsidRPr="000A6219">
              <w:rPr>
                <w:rFonts w:ascii="Book Antiqua" w:hAnsi="Book Antiqua"/>
                <w:i/>
                <w:sz w:val="24"/>
                <w:szCs w:val="24"/>
                <w:lang w:val="en-US"/>
              </w:rPr>
              <w:t xml:space="preserve">, </w:t>
            </w:r>
            <w:proofErr w:type="spellStart"/>
            <w:r w:rsidRPr="000A6219">
              <w:rPr>
                <w:rFonts w:ascii="Book Antiqua" w:hAnsi="Book Antiqua"/>
                <w:b/>
                <w:i/>
                <w:sz w:val="24"/>
                <w:szCs w:val="24"/>
                <w:lang w:val="en-US"/>
              </w:rPr>
              <w:t>fyuA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gafD</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hlyA</w:t>
            </w:r>
            <w:proofErr w:type="spellEnd"/>
            <w:r w:rsidRPr="000A6219">
              <w:rPr>
                <w:rFonts w:ascii="Book Antiqua" w:hAnsi="Book Antiqua"/>
                <w:i/>
                <w:sz w:val="24"/>
                <w:szCs w:val="24"/>
                <w:lang w:val="en-US"/>
              </w:rPr>
              <w:t xml:space="preserve">, </w:t>
            </w:r>
            <w:proofErr w:type="spellStart"/>
            <w:r w:rsidRPr="000A6219">
              <w:rPr>
                <w:rFonts w:ascii="Book Antiqua" w:hAnsi="Book Antiqua"/>
                <w:b/>
                <w:i/>
                <w:sz w:val="24"/>
                <w:szCs w:val="24"/>
                <w:lang w:val="en-US"/>
              </w:rPr>
              <w:t>ibeA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iutA</w:t>
            </w:r>
            <w:proofErr w:type="spellEnd"/>
            <w:r w:rsidRPr="000A6219">
              <w:rPr>
                <w:rFonts w:ascii="Book Antiqua" w:hAnsi="Book Antiqua"/>
                <w:i/>
                <w:sz w:val="24"/>
                <w:szCs w:val="24"/>
                <w:lang w:val="en-US"/>
              </w:rPr>
              <w:t xml:space="preserve">, </w:t>
            </w:r>
            <w:r w:rsidRPr="000A6219">
              <w:rPr>
                <w:rFonts w:ascii="Book Antiqua" w:hAnsi="Book Antiqua"/>
                <w:i/>
                <w:sz w:val="24"/>
                <w:szCs w:val="24"/>
                <w:lang w:val="en-US"/>
              </w:rPr>
              <w:lastRenderedPageBreak/>
              <w:t xml:space="preserve">kpsMT1, kpsMT5, </w:t>
            </w:r>
            <w:proofErr w:type="spellStart"/>
            <w:r w:rsidRPr="000A6219">
              <w:rPr>
                <w:rFonts w:ascii="Book Antiqua" w:hAnsi="Book Antiqua"/>
                <w:i/>
                <w:sz w:val="24"/>
                <w:szCs w:val="24"/>
                <w:lang w:val="en-US"/>
              </w:rPr>
              <w:t>kpsMTII</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kpsMTIII</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nfaE</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pAA</w:t>
            </w:r>
            <w:proofErr w:type="spellEnd"/>
            <w:r w:rsidRPr="000A6219">
              <w:rPr>
                <w:rFonts w:ascii="Book Antiqua" w:hAnsi="Book Antiqua"/>
                <w:i/>
                <w:sz w:val="24"/>
                <w:szCs w:val="24"/>
                <w:lang w:val="en-US"/>
              </w:rPr>
              <w:t>, PAI</w:t>
            </w:r>
            <w:r w:rsidR="00076943" w:rsidRPr="000A6219">
              <w:rPr>
                <w:rFonts w:ascii="Book Antiqua" w:hAnsi="Book Antiqua"/>
                <w:sz w:val="24"/>
                <w:szCs w:val="24"/>
                <w:vertAlign w:val="superscript"/>
                <w:lang w:val="en-US"/>
              </w:rPr>
              <w:t>1</w:t>
            </w:r>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papEF</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papG</w:t>
            </w:r>
            <w:proofErr w:type="spellEnd"/>
            <w:r w:rsidRPr="000A6219">
              <w:rPr>
                <w:rFonts w:ascii="Book Antiqua" w:hAnsi="Book Antiqua"/>
                <w:i/>
                <w:sz w:val="24"/>
                <w:szCs w:val="24"/>
                <w:lang w:val="en-US"/>
              </w:rPr>
              <w:t xml:space="preserve"> alleles, </w:t>
            </w:r>
            <w:proofErr w:type="spellStart"/>
            <w:r w:rsidRPr="000A6219">
              <w:rPr>
                <w:rFonts w:ascii="Book Antiqua" w:hAnsi="Book Antiqua"/>
                <w:i/>
                <w:sz w:val="24"/>
                <w:szCs w:val="24"/>
                <w:lang w:val="en-US"/>
              </w:rPr>
              <w:t>sfa</w:t>
            </w:r>
            <w:proofErr w:type="spellEnd"/>
            <w:r w:rsidRPr="000A6219">
              <w:rPr>
                <w:rFonts w:ascii="Book Antiqua" w:hAnsi="Book Antiqua"/>
                <w:i/>
                <w:sz w:val="24"/>
                <w:szCs w:val="24"/>
                <w:lang w:val="en-US"/>
              </w:rPr>
              <w:t>/</w:t>
            </w:r>
            <w:proofErr w:type="spellStart"/>
            <w:r w:rsidRPr="000A6219">
              <w:rPr>
                <w:rFonts w:ascii="Book Antiqua" w:hAnsi="Book Antiqua"/>
                <w:i/>
                <w:sz w:val="24"/>
                <w:szCs w:val="24"/>
                <w:lang w:val="en-US"/>
              </w:rPr>
              <w:t>focDE</w:t>
            </w:r>
            <w:proofErr w:type="spellEnd"/>
            <w:r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traT</w:t>
            </w:r>
            <w:proofErr w:type="spellEnd"/>
          </w:p>
        </w:tc>
      </w:tr>
      <w:tr w:rsidR="009E3673" w:rsidRPr="000A6219" w14:paraId="3DE60737" w14:textId="77777777" w:rsidTr="0088716F">
        <w:trPr>
          <w:trHeight w:val="247"/>
          <w:jc w:val="center"/>
        </w:trPr>
        <w:tc>
          <w:tcPr>
            <w:tcW w:w="2407" w:type="dxa"/>
            <w:shd w:val="clear" w:color="auto" w:fill="auto"/>
            <w:hideMark/>
          </w:tcPr>
          <w:p w14:paraId="1E4FDC21" w14:textId="44AF6597" w:rsidR="009E3673" w:rsidRPr="000A6219" w:rsidRDefault="0005405C" w:rsidP="000A6219">
            <w:pPr>
              <w:snapToGrid w:val="0"/>
              <w:spacing w:line="360" w:lineRule="auto"/>
              <w:jc w:val="both"/>
              <w:rPr>
                <w:rFonts w:ascii="Book Antiqua" w:hAnsi="Book Antiqua"/>
                <w:sz w:val="24"/>
                <w:szCs w:val="24"/>
                <w:lang w:val="en-US"/>
              </w:rPr>
            </w:pPr>
            <w:proofErr w:type="spellStart"/>
            <w:r w:rsidRPr="000A6219">
              <w:rPr>
                <w:rFonts w:ascii="Book Antiqua" w:hAnsi="Book Antiqua"/>
                <w:sz w:val="24"/>
                <w:szCs w:val="24"/>
                <w:lang w:val="en-US"/>
              </w:rPr>
              <w:lastRenderedPageBreak/>
              <w:t>Vazeille</w:t>
            </w:r>
            <w:proofErr w:type="spellEnd"/>
            <w:r w:rsidRPr="000A6219">
              <w:rPr>
                <w:rFonts w:ascii="Book Antiqua" w:hAnsi="Book Antiqua"/>
                <w:sz w:val="24"/>
                <w:szCs w:val="24"/>
                <w:lang w:val="en-US"/>
              </w:rPr>
              <w:t xml:space="preserve"> </w:t>
            </w:r>
            <w:r w:rsidRPr="000A6219">
              <w:rPr>
                <w:rFonts w:ascii="Book Antiqua" w:hAnsi="Book Antiqua"/>
                <w:i/>
                <w:sz w:val="24"/>
                <w:szCs w:val="24"/>
                <w:lang w:val="en-U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n-US"/>
              </w:rPr>
              <w:instrText>ADDIN CSL_CITATION {"citationItems":[{"id":"ITEM-1","itemData":{"DOI":"10.1097/MIB.0000000000000609","ISSN":"1536-4844","PMID":"26512715","abstract":"BACKGROUND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 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 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 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diseases","id":"ITEM-1","issue":"1","issued":{"date-parts":[["2016","1"]]},"page":"68-81","title":"GipA Factor Supports Colonization of Peyer's Patches by Crohn's Disease-associated Escherichia Coli.","type":"article-journal","volume":"22"},"uris":["http://www.mendeley.com/documents/?uuid=51303cd0-bfeb-36be-aba1-cf6d0f4665e0"]}],"mendeley":{"formattedCitation":"&lt;sup&gt;[47]&lt;/sup&gt;","plainTextFormattedCitation":"[47]","previouslyFormattedCitation":"&lt;sup&gt;[47]&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n-US"/>
              </w:rPr>
              <w:t>[</w:t>
            </w:r>
            <w:r w:rsidR="0077005C" w:rsidRPr="000A6219">
              <w:rPr>
                <w:rFonts w:ascii="Book Antiqua" w:hAnsi="Book Antiqua"/>
                <w:noProof/>
                <w:sz w:val="24"/>
                <w:szCs w:val="24"/>
                <w:vertAlign w:val="superscript"/>
                <w:lang w:val="en-US"/>
              </w:rPr>
              <w:t>39</w:t>
            </w:r>
            <w:r w:rsidRPr="000A6219">
              <w:rPr>
                <w:rFonts w:ascii="Book Antiqua" w:hAnsi="Book Antiqua"/>
                <w:noProof/>
                <w:sz w:val="24"/>
                <w:szCs w:val="24"/>
                <w:vertAlign w:val="superscript"/>
                <w:lang w:val="en-US"/>
              </w:rPr>
              <w:t>]</w:t>
            </w:r>
            <w:r w:rsidRPr="000A6219">
              <w:rPr>
                <w:rFonts w:ascii="Book Antiqua" w:hAnsi="Book Antiqua"/>
                <w:sz w:val="24"/>
                <w:szCs w:val="24"/>
                <w:lang w:val="en-US"/>
              </w:rPr>
              <w:fldChar w:fldCharType="end"/>
            </w:r>
            <w:r w:rsidR="009E3673" w:rsidRPr="000A6219">
              <w:rPr>
                <w:rFonts w:ascii="Book Antiqua" w:hAnsi="Book Antiqua"/>
                <w:sz w:val="24"/>
                <w:szCs w:val="24"/>
                <w:lang w:val="en-US"/>
              </w:rPr>
              <w:t xml:space="preserve">, 2016 </w:t>
            </w:r>
          </w:p>
        </w:tc>
        <w:tc>
          <w:tcPr>
            <w:tcW w:w="817" w:type="dxa"/>
            <w:shd w:val="clear" w:color="auto" w:fill="auto"/>
            <w:hideMark/>
          </w:tcPr>
          <w:p w14:paraId="78BC950F"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35</w:t>
            </w:r>
          </w:p>
        </w:tc>
        <w:tc>
          <w:tcPr>
            <w:tcW w:w="1471" w:type="dxa"/>
            <w:shd w:val="clear" w:color="auto" w:fill="auto"/>
            <w:hideMark/>
          </w:tcPr>
          <w:p w14:paraId="75AF4DB1"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103</w:t>
            </w:r>
          </w:p>
        </w:tc>
        <w:tc>
          <w:tcPr>
            <w:tcW w:w="4130" w:type="dxa"/>
            <w:shd w:val="clear" w:color="auto" w:fill="auto"/>
            <w:hideMark/>
          </w:tcPr>
          <w:p w14:paraId="1AEAD47A" w14:textId="45204FCB" w:rsidR="009E3673" w:rsidRPr="000A6219" w:rsidRDefault="009E3673" w:rsidP="000A6219">
            <w:pPr>
              <w:snapToGrid w:val="0"/>
              <w:spacing w:line="360" w:lineRule="auto"/>
              <w:jc w:val="both"/>
              <w:rPr>
                <w:rFonts w:ascii="Book Antiqua" w:hAnsi="Book Antiqua"/>
                <w:i/>
                <w:sz w:val="24"/>
                <w:szCs w:val="24"/>
                <w:lang w:val="en-US"/>
              </w:rPr>
            </w:pPr>
            <w:proofErr w:type="spellStart"/>
            <w:r w:rsidRPr="000A6219">
              <w:rPr>
                <w:rFonts w:ascii="Book Antiqua" w:hAnsi="Book Antiqua"/>
                <w:b/>
                <w:i/>
                <w:sz w:val="24"/>
                <w:szCs w:val="24"/>
                <w:lang w:val="en-US"/>
              </w:rPr>
              <w:t>lpfA</w:t>
            </w:r>
            <w:proofErr w:type="spellEnd"/>
            <w:r w:rsidR="0005405C" w:rsidRPr="000A6219">
              <w:rPr>
                <w:rFonts w:ascii="Book Antiqua" w:hAnsi="Book Antiqua"/>
                <w:b/>
                <w:i/>
                <w:sz w:val="24"/>
                <w:szCs w:val="24"/>
                <w:lang w:val="en-US"/>
              </w:rPr>
              <w:t xml:space="preserve"> </w:t>
            </w:r>
            <w:r w:rsidRPr="000A6219">
              <w:rPr>
                <w:rFonts w:ascii="Book Antiqua" w:hAnsi="Book Antiqua"/>
                <w:b/>
                <w:i/>
                <w:sz w:val="24"/>
                <w:szCs w:val="24"/>
                <w:lang w:val="en-US"/>
              </w:rPr>
              <w:t>+</w:t>
            </w:r>
            <w:r w:rsidR="0005405C" w:rsidRPr="000A6219">
              <w:rPr>
                <w:rFonts w:ascii="Book Antiqua" w:hAnsi="Book Antiqua"/>
                <w:b/>
                <w:i/>
                <w:sz w:val="24"/>
                <w:szCs w:val="24"/>
                <w:lang w:val="en-US"/>
              </w:rPr>
              <w:t xml:space="preserve"> </w:t>
            </w:r>
            <w:proofErr w:type="spellStart"/>
            <w:r w:rsidRPr="000A6219">
              <w:rPr>
                <w:rFonts w:ascii="Book Antiqua" w:hAnsi="Book Antiqua"/>
                <w:b/>
                <w:i/>
                <w:sz w:val="24"/>
                <w:szCs w:val="24"/>
                <w:lang w:val="en-US"/>
              </w:rPr>
              <w:t>gipA</w:t>
            </w:r>
            <w:proofErr w:type="spellEnd"/>
          </w:p>
        </w:tc>
      </w:tr>
      <w:tr w:rsidR="009E3673" w:rsidRPr="000A6219" w14:paraId="25211276" w14:textId="77777777" w:rsidTr="0088716F">
        <w:trPr>
          <w:trHeight w:val="247"/>
          <w:jc w:val="center"/>
        </w:trPr>
        <w:tc>
          <w:tcPr>
            <w:tcW w:w="2407" w:type="dxa"/>
            <w:shd w:val="clear" w:color="auto" w:fill="auto"/>
            <w:hideMark/>
          </w:tcPr>
          <w:p w14:paraId="3CAF99FA" w14:textId="33243C3F" w:rsidR="009E3673" w:rsidRPr="000A6219" w:rsidRDefault="0005405C" w:rsidP="000A6219">
            <w:pPr>
              <w:snapToGrid w:val="0"/>
              <w:spacing w:line="360" w:lineRule="auto"/>
              <w:jc w:val="both"/>
              <w:rPr>
                <w:rFonts w:ascii="Book Antiqua" w:hAnsi="Book Antiqua"/>
                <w:sz w:val="24"/>
                <w:szCs w:val="24"/>
                <w:lang w:val="en-US"/>
              </w:rPr>
            </w:pPr>
            <w:proofErr w:type="spellStart"/>
            <w:r w:rsidRPr="000A6219">
              <w:rPr>
                <w:rFonts w:ascii="Book Antiqua" w:hAnsi="Book Antiqua"/>
                <w:sz w:val="24"/>
                <w:szCs w:val="24"/>
                <w:lang w:val="en-US"/>
              </w:rPr>
              <w:t>Céspedes</w:t>
            </w:r>
            <w:proofErr w:type="spellEnd"/>
            <w:r w:rsidRPr="000A6219">
              <w:rPr>
                <w:rFonts w:ascii="Book Antiqua" w:hAnsi="Book Antiqua"/>
                <w:sz w:val="24"/>
                <w:szCs w:val="24"/>
                <w:lang w:val="en-US"/>
              </w:rPr>
              <w:t xml:space="preserve"> </w:t>
            </w:r>
            <w:r w:rsidRPr="000A6219">
              <w:rPr>
                <w:rFonts w:ascii="Book Antiqua" w:hAnsi="Book Antiqua"/>
                <w:i/>
                <w:sz w:val="24"/>
                <w:szCs w:val="24"/>
                <w:lang w:val="en-U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n-US"/>
              </w:rPr>
              <w:instrText>ADDIN CSL_CITATION {"citationItems":[{"id":"ITEM-1","itemData":{"DOI":"10.3389/fmicb.2017.00639","PMID":"28596755","abstract":"Adherent-invasive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microbiology","id":"ITEM-1","issued":{"date-parts":[["2017"]]},"page":"639","publisher":"Frontiers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mendeley":{"formattedCitation":"&lt;sup&gt;[13]&lt;/sup&gt;","plainTextFormattedCitation":"[13]","previouslyFormattedCitation":"&lt;sup&gt;[13]&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n-US"/>
              </w:rPr>
              <w:t>[13]</w:t>
            </w:r>
            <w:r w:rsidRPr="000A6219">
              <w:rPr>
                <w:rFonts w:ascii="Book Antiqua" w:hAnsi="Book Antiqua"/>
                <w:sz w:val="24"/>
                <w:szCs w:val="24"/>
                <w:lang w:val="en-US"/>
              </w:rPr>
              <w:fldChar w:fldCharType="end"/>
            </w:r>
            <w:r w:rsidRPr="000A6219">
              <w:rPr>
                <w:rFonts w:ascii="Book Antiqua" w:hAnsi="Book Antiqua"/>
                <w:sz w:val="24"/>
                <w:szCs w:val="24"/>
                <w:lang w:val="en-US"/>
              </w:rPr>
              <w:t>, 2017</w:t>
            </w:r>
          </w:p>
        </w:tc>
        <w:tc>
          <w:tcPr>
            <w:tcW w:w="817" w:type="dxa"/>
            <w:shd w:val="clear" w:color="auto" w:fill="auto"/>
            <w:hideMark/>
          </w:tcPr>
          <w:p w14:paraId="37B2F339"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15</w:t>
            </w:r>
          </w:p>
        </w:tc>
        <w:tc>
          <w:tcPr>
            <w:tcW w:w="1471" w:type="dxa"/>
            <w:shd w:val="clear" w:color="auto" w:fill="auto"/>
            <w:hideMark/>
          </w:tcPr>
          <w:p w14:paraId="67299EA8"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37</w:t>
            </w:r>
          </w:p>
        </w:tc>
        <w:tc>
          <w:tcPr>
            <w:tcW w:w="4130" w:type="dxa"/>
            <w:shd w:val="clear" w:color="auto" w:fill="auto"/>
            <w:hideMark/>
          </w:tcPr>
          <w:p w14:paraId="3B57749A" w14:textId="765D5496" w:rsidR="009E3673" w:rsidRPr="000A6219" w:rsidRDefault="009E3673" w:rsidP="000A6219">
            <w:pPr>
              <w:snapToGrid w:val="0"/>
              <w:spacing w:line="360" w:lineRule="auto"/>
              <w:jc w:val="both"/>
              <w:rPr>
                <w:rFonts w:ascii="Book Antiqua" w:hAnsi="Book Antiqua"/>
                <w:i/>
                <w:sz w:val="24"/>
                <w:szCs w:val="24"/>
                <w:lang w:val="en-US"/>
              </w:rPr>
            </w:pPr>
            <w:proofErr w:type="spellStart"/>
            <w:r w:rsidRPr="000A6219">
              <w:rPr>
                <w:rFonts w:ascii="Book Antiqua" w:hAnsi="Book Antiqua"/>
                <w:i/>
                <w:sz w:val="24"/>
                <w:szCs w:val="24"/>
                <w:lang w:val="en-US"/>
              </w:rPr>
              <w:t>afa</w:t>
            </w:r>
            <w:proofErr w:type="spellEnd"/>
            <w:r w:rsidRPr="000A6219">
              <w:rPr>
                <w:rFonts w:ascii="Book Antiqua" w:hAnsi="Book Antiqua"/>
                <w:i/>
                <w:sz w:val="24"/>
                <w:szCs w:val="24"/>
                <w:lang w:val="en-US"/>
              </w:rPr>
              <w:t>/</w:t>
            </w:r>
            <w:proofErr w:type="spellStart"/>
            <w:r w:rsidRPr="000A6219">
              <w:rPr>
                <w:rFonts w:ascii="Book Antiqua" w:hAnsi="Book Antiqua"/>
                <w:i/>
                <w:sz w:val="24"/>
                <w:szCs w:val="24"/>
                <w:lang w:val="en-US"/>
              </w:rPr>
              <w:t>draBC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aufA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cdtB</w:t>
            </w:r>
            <w:proofErr w:type="spellEnd"/>
            <w:r w:rsidRPr="000A6219">
              <w:rPr>
                <w:rFonts w:ascii="Book Antiqua" w:hAnsi="Book Antiqua"/>
                <w:i/>
                <w:sz w:val="24"/>
                <w:szCs w:val="24"/>
                <w:lang w:val="en-US"/>
              </w:rPr>
              <w:t xml:space="preserve">, </w:t>
            </w:r>
            <w:proofErr w:type="spellStart"/>
            <w:r w:rsidRPr="000A6219">
              <w:rPr>
                <w:rFonts w:ascii="Book Antiqua" w:hAnsi="Book Antiqua"/>
                <w:b/>
                <w:i/>
                <w:sz w:val="24"/>
                <w:szCs w:val="24"/>
                <w:lang w:val="en-US"/>
              </w:rPr>
              <w:t>chuA</w:t>
            </w:r>
            <w:proofErr w:type="spellEnd"/>
            <w:r w:rsidRPr="000A6219">
              <w:rPr>
                <w:rFonts w:ascii="Book Antiqua" w:hAnsi="Book Antiqua"/>
                <w:i/>
                <w:sz w:val="24"/>
                <w:szCs w:val="24"/>
                <w:lang w:val="en-US"/>
              </w:rPr>
              <w:t xml:space="preserve">, cnf1, </w:t>
            </w:r>
            <w:proofErr w:type="spellStart"/>
            <w:r w:rsidRPr="000A6219">
              <w:rPr>
                <w:rFonts w:ascii="Book Antiqua" w:hAnsi="Book Antiqua"/>
                <w:i/>
                <w:sz w:val="24"/>
                <w:szCs w:val="24"/>
                <w:lang w:val="en-US"/>
              </w:rPr>
              <w:t>cvaC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eaaA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eatA</w:t>
            </w:r>
            <w:proofErr w:type="spellEnd"/>
            <w:r w:rsidRPr="000A6219">
              <w:rPr>
                <w:rFonts w:ascii="Book Antiqua" w:hAnsi="Book Antiqua"/>
                <w:i/>
                <w:sz w:val="24"/>
                <w:szCs w:val="24"/>
                <w:lang w:val="en-US"/>
              </w:rPr>
              <w:t xml:space="preserve">, ecNA144, </w:t>
            </w:r>
            <w:proofErr w:type="spellStart"/>
            <w:r w:rsidRPr="000A6219">
              <w:rPr>
                <w:rFonts w:ascii="Book Antiqua" w:hAnsi="Book Antiqua"/>
                <w:i/>
                <w:sz w:val="24"/>
                <w:szCs w:val="24"/>
                <w:lang w:val="en-US"/>
              </w:rPr>
              <w:t>espC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espP</w:t>
            </w:r>
            <w:proofErr w:type="spellEnd"/>
            <w:r w:rsidRPr="000A6219">
              <w:rPr>
                <w:rFonts w:ascii="Book Antiqua" w:hAnsi="Book Antiqua"/>
                <w:i/>
                <w:sz w:val="24"/>
                <w:szCs w:val="24"/>
                <w:lang w:val="en-US"/>
              </w:rPr>
              <w:t xml:space="preserve">, </w:t>
            </w:r>
            <w:proofErr w:type="spellStart"/>
            <w:r w:rsidRPr="000A6219">
              <w:rPr>
                <w:rFonts w:ascii="Book Antiqua" w:hAnsi="Book Antiqua"/>
                <w:b/>
                <w:i/>
                <w:sz w:val="24"/>
                <w:szCs w:val="24"/>
                <w:lang w:val="en-US"/>
              </w:rPr>
              <w:t>fhuD</w:t>
            </w:r>
            <w:proofErr w:type="spellEnd"/>
            <w:r w:rsidRPr="000A6219">
              <w:rPr>
                <w:rFonts w:ascii="Book Antiqua" w:hAnsi="Book Antiqua"/>
                <w:i/>
                <w:sz w:val="24"/>
                <w:szCs w:val="24"/>
                <w:lang w:val="en-US"/>
              </w:rPr>
              <w:t xml:space="preserve">, fimAvMT78 , </w:t>
            </w:r>
            <w:proofErr w:type="spellStart"/>
            <w:r w:rsidRPr="000A6219">
              <w:rPr>
                <w:rFonts w:ascii="Book Antiqua" w:hAnsi="Book Antiqua"/>
                <w:i/>
                <w:sz w:val="24"/>
                <w:szCs w:val="24"/>
                <w:lang w:val="en-US"/>
              </w:rPr>
              <w:t>fimH</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gipA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hlyA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ibeA</w:t>
            </w:r>
            <w:proofErr w:type="spellEnd"/>
            <w:r w:rsidRPr="000A6219">
              <w:rPr>
                <w:rFonts w:ascii="Book Antiqua" w:hAnsi="Book Antiqua"/>
                <w:i/>
                <w:sz w:val="24"/>
                <w:szCs w:val="24"/>
                <w:lang w:val="en-US"/>
              </w:rPr>
              <w:t xml:space="preserve">, </w:t>
            </w:r>
            <w:r w:rsidRPr="000A6219">
              <w:rPr>
                <w:rFonts w:ascii="Book Antiqua" w:hAnsi="Book Antiqua"/>
                <w:b/>
                <w:i/>
                <w:sz w:val="24"/>
                <w:szCs w:val="24"/>
                <w:lang w:val="en-US"/>
              </w:rPr>
              <w:t>irp2</w:t>
            </w:r>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neuC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papC</w:t>
            </w:r>
            <w:proofErr w:type="spellEnd"/>
            <w:r w:rsidRPr="000A6219">
              <w:rPr>
                <w:rFonts w:ascii="Book Antiqua" w:hAnsi="Book Antiqua"/>
                <w:i/>
                <w:sz w:val="24"/>
                <w:szCs w:val="24"/>
                <w:lang w:val="en-US"/>
              </w:rPr>
              <w:t xml:space="preserve">, pet, pic, </w:t>
            </w:r>
            <w:proofErr w:type="spellStart"/>
            <w:r w:rsidRPr="000A6219">
              <w:rPr>
                <w:rFonts w:ascii="Book Antiqua" w:hAnsi="Book Antiqua"/>
                <w:i/>
                <w:sz w:val="24"/>
                <w:szCs w:val="24"/>
                <w:lang w:val="en-US"/>
              </w:rPr>
              <w:t>ratA</w:t>
            </w:r>
            <w:proofErr w:type="spellEnd"/>
            <w:r w:rsidRPr="000A6219">
              <w:rPr>
                <w:rFonts w:ascii="Book Antiqua" w:hAnsi="Book Antiqua"/>
                <w:i/>
                <w:sz w:val="24"/>
                <w:szCs w:val="24"/>
                <w:lang w:val="en-US"/>
              </w:rPr>
              <w:t xml:space="preserve">, sat, </w:t>
            </w:r>
            <w:proofErr w:type="spellStart"/>
            <w:r w:rsidRPr="000A6219">
              <w:rPr>
                <w:rFonts w:ascii="Book Antiqua" w:hAnsi="Book Antiqua"/>
                <w:i/>
                <w:sz w:val="24"/>
                <w:szCs w:val="24"/>
                <w:lang w:val="en-US"/>
              </w:rPr>
              <w:t>sepA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sfa</w:t>
            </w:r>
            <w:proofErr w:type="spellEnd"/>
            <w:r w:rsidRPr="000A6219">
              <w:rPr>
                <w:rFonts w:ascii="Book Antiqua" w:hAnsi="Book Antiqua"/>
                <w:i/>
                <w:sz w:val="24"/>
                <w:szCs w:val="24"/>
                <w:lang w:val="en-US"/>
              </w:rPr>
              <w:t>/</w:t>
            </w:r>
            <w:proofErr w:type="spellStart"/>
            <w:r w:rsidRPr="000A6219">
              <w:rPr>
                <w:rFonts w:ascii="Book Antiqua" w:hAnsi="Book Antiqua"/>
                <w:i/>
                <w:sz w:val="24"/>
                <w:szCs w:val="24"/>
                <w:lang w:val="en-US"/>
              </w:rPr>
              <w:t>focD</w:t>
            </w:r>
            <w:r w:rsidR="0005405C" w:rsidRPr="000A6219">
              <w:rPr>
                <w:rFonts w:ascii="Book Antiqua" w:hAnsi="Book Antiqua"/>
                <w:i/>
                <w:sz w:val="24"/>
                <w:szCs w:val="24"/>
                <w:lang w:val="en-US"/>
              </w:rPr>
              <w:t>E</w:t>
            </w:r>
            <w:proofErr w:type="spellEnd"/>
            <w:r w:rsidR="0005405C"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sigA</w:t>
            </w:r>
            <w:proofErr w:type="spellEnd"/>
            <w:r w:rsidR="0005405C"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tsh</w:t>
            </w:r>
            <w:proofErr w:type="spellEnd"/>
            <w:r w:rsidR="0005405C" w:rsidRPr="000A6219">
              <w:rPr>
                <w:rFonts w:ascii="Book Antiqua" w:hAnsi="Book Antiqua"/>
                <w:i/>
                <w:sz w:val="24"/>
                <w:szCs w:val="24"/>
                <w:lang w:val="en-US"/>
              </w:rPr>
              <w:t>, vat</w:t>
            </w:r>
          </w:p>
        </w:tc>
      </w:tr>
      <w:tr w:rsidR="009E3673" w:rsidRPr="000A6219" w14:paraId="2C4AF378" w14:textId="77777777" w:rsidTr="0088716F">
        <w:trPr>
          <w:trHeight w:val="247"/>
          <w:jc w:val="center"/>
        </w:trPr>
        <w:tc>
          <w:tcPr>
            <w:tcW w:w="2407" w:type="dxa"/>
            <w:shd w:val="clear" w:color="auto" w:fill="auto"/>
            <w:hideMark/>
          </w:tcPr>
          <w:p w14:paraId="00CDFC88" w14:textId="7047F6AB"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 xml:space="preserve">Dogan </w:t>
            </w:r>
            <w:r w:rsidRPr="000A6219">
              <w:rPr>
                <w:rFonts w:ascii="Book Antiqua" w:hAnsi="Book Antiqua"/>
                <w:i/>
                <w:sz w:val="24"/>
                <w:szCs w:val="24"/>
                <w:lang w:val="en-US"/>
              </w:rPr>
              <w:t>et al</w:t>
            </w:r>
            <w:r w:rsidR="0005405C" w:rsidRPr="000A6219">
              <w:rPr>
                <w:rFonts w:ascii="Book Antiqua" w:hAnsi="Book Antiqua"/>
                <w:sz w:val="24"/>
                <w:szCs w:val="24"/>
                <w:lang w:val="en-US"/>
              </w:rPr>
              <w:fldChar w:fldCharType="begin" w:fldLock="1"/>
            </w:r>
            <w:r w:rsidR="0005405C" w:rsidRPr="000A6219">
              <w:rPr>
                <w:rFonts w:ascii="Book Antiqua" w:hAnsi="Book Antiqua"/>
                <w:sz w:val="24"/>
                <w:szCs w:val="24"/>
                <w:lang w:val="en-US"/>
              </w:rPr>
              <w:instrText>ADDIN CSL_CITATION {"citationItems":[{"id":"ITEM-1","itemData":{"DOI":"10.1093/femsle/fny249","ISSN":"1574-6968","PMID":"30299475","abstract":"Irritable Bowel Syndrome (IBS) affects 10-20% of people. Increased numbers of Escherichia coli (E. coli) correlate with symptoms, and patients respond to antimicrobials targeting E. coli. We examined whether specific E. coli strains, phylogroups and pathotypes are associated with IBS. We evaluated 218 E. coli isolates from 33 IBS patients and 23 healthy controls. RAPD analysis revealed 89 E. coli strains (29 controls, 60 IBS), spanning the A, B1, B2, D phylogroups. Strains were similarly enriched in virulence genes associated with extraintestinal pathogenic E.coli (ExPEC) and/or adherent-invasive E.coli (AIEC). Three strains harbored a diarrheagenic virulence gene (2 IBS, 1 control). E. coli capable of invading epithelial cells or replicating in macrophages were detected in 53% of IBS and 50% controls, and 67% IBS and 45% controls respectively (P&gt;0.05). AIEC were identified in 33% of IBS patients vs. 20% of controls (P=0.35). Virulence genes ibeA, ColV and pduC were associated with intramacrophage persistence; ibeA and ColV were associated with epithelial invasion and AIEC pathotype (P&lt;0.05). IBS patients and controls are commonly colonized by E. coli that resemble ExPEC and display pathogen-like behavior in vitro, similar to CD-associated AIEC. The relationship of these resident pathosymbiont E. coli to IBS warrants further investigation.","author":[{"dropping-particle":"","family":"Dogan","given":"Belgin","non-dropping-particle":"","parse-names":false,"suffix":""},{"dropping-particle":"","family":"Belcher-Timme","given":"Hannah Facey","non-dropping-particle":"","parse-names":false,"suffix":""},{"dropping-particle":"","family":"Dogan","given":"Esra I","non-dropping-particle":"","parse-names":false,"suffix":""},{"dropping-particle":"","family":"Jiang","given":"Zhi-Dong","non-dropping-particle":"","parse-names":false,"suffix":""},{"dropping-particle":"","family":"DuPont","given":"Herbert L","non-dropping-particle":"","parse-names":false,"suffix":""},{"dropping-particle":"","family":"Synder","given":"Ned","non-dropping-particle":"","parse-names":false,"suffix":""},{"dropping-particle":"","family":"Yang","given":"Stephen","non-dropping-particle":"","parse-names":false,"suffix":""},{"dropping-particle":"","family":"Chandler","given":"Brendan","non-dropping-particle":"","parse-names":false,"suffix":""},{"dropping-particle":"","family":"Scherl","given":"Ellen J","non-dropping-particle":"","parse-names":false,"suffix":""},{"dropping-particle":"","family":"Simpson","given":"Kenneth W","non-dropping-particle":"","parse-names":false,"suffix":""}],"container-title":"FEMS Microbiology Letters","id":"ITEM-1","issued":{"date-parts":[["2018","10","8"]]},"title":"Evaluation of Escherichia coli pathotypes associated with Irritable Bowel Syndrome","type":"article-journal"},"uris":["http://www.mendeley.com/documents/?uuid=055b9144-4bcb-33d7-994b-828806b957b0"]}],"mendeley":{"formattedCitation":"&lt;sup&gt;[40]&lt;/sup&gt;","plainTextFormattedCitation":"[40]","previouslyFormattedCitation":"&lt;sup&gt;[42]&lt;/sup&gt;"},"properties":{"noteIndex":0},"schema":"https://github.com/citation-style-language/schema/raw/master/csl-citation.json"}</w:instrText>
            </w:r>
            <w:r w:rsidR="0005405C" w:rsidRPr="000A6219">
              <w:rPr>
                <w:rFonts w:ascii="Book Antiqua" w:hAnsi="Book Antiqua"/>
                <w:sz w:val="24"/>
                <w:szCs w:val="24"/>
                <w:lang w:val="en-US"/>
              </w:rPr>
              <w:fldChar w:fldCharType="separate"/>
            </w:r>
            <w:r w:rsidR="0005405C" w:rsidRPr="000A6219">
              <w:rPr>
                <w:rFonts w:ascii="Book Antiqua" w:hAnsi="Book Antiqua"/>
                <w:noProof/>
                <w:sz w:val="24"/>
                <w:szCs w:val="24"/>
                <w:vertAlign w:val="superscript"/>
                <w:lang w:val="en-US"/>
              </w:rPr>
              <w:t>[40]</w:t>
            </w:r>
            <w:r w:rsidR="0005405C" w:rsidRPr="000A6219">
              <w:rPr>
                <w:rFonts w:ascii="Book Antiqua" w:hAnsi="Book Antiqua"/>
                <w:sz w:val="24"/>
                <w:szCs w:val="24"/>
                <w:lang w:val="en-US"/>
              </w:rPr>
              <w:fldChar w:fldCharType="end"/>
            </w:r>
            <w:r w:rsidRPr="000A6219">
              <w:rPr>
                <w:rFonts w:ascii="Book Antiqua" w:hAnsi="Book Antiqua"/>
                <w:sz w:val="24"/>
                <w:szCs w:val="24"/>
                <w:lang w:val="en-US"/>
              </w:rPr>
              <w:t xml:space="preserve">, 2018 </w:t>
            </w:r>
          </w:p>
        </w:tc>
        <w:tc>
          <w:tcPr>
            <w:tcW w:w="817" w:type="dxa"/>
            <w:shd w:val="clear" w:color="auto" w:fill="auto"/>
            <w:hideMark/>
          </w:tcPr>
          <w:p w14:paraId="795DA1B4"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19</w:t>
            </w:r>
          </w:p>
        </w:tc>
        <w:tc>
          <w:tcPr>
            <w:tcW w:w="1471" w:type="dxa"/>
            <w:shd w:val="clear" w:color="auto" w:fill="auto"/>
            <w:hideMark/>
          </w:tcPr>
          <w:p w14:paraId="18116E5B"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57</w:t>
            </w:r>
          </w:p>
        </w:tc>
        <w:tc>
          <w:tcPr>
            <w:tcW w:w="4130" w:type="dxa"/>
            <w:shd w:val="clear" w:color="auto" w:fill="auto"/>
            <w:hideMark/>
          </w:tcPr>
          <w:p w14:paraId="32FCEE33" w14:textId="3B527CEE" w:rsidR="009E3673" w:rsidRPr="000A6219" w:rsidRDefault="009E3673" w:rsidP="000A6219">
            <w:pPr>
              <w:tabs>
                <w:tab w:val="center" w:pos="4252"/>
              </w:tabs>
              <w:snapToGrid w:val="0"/>
              <w:spacing w:line="360" w:lineRule="auto"/>
              <w:jc w:val="both"/>
              <w:rPr>
                <w:rFonts w:ascii="Book Antiqua" w:hAnsi="Book Antiqua"/>
                <w:i/>
                <w:sz w:val="24"/>
                <w:szCs w:val="24"/>
                <w:lang w:val="en-US"/>
              </w:rPr>
            </w:pPr>
            <w:proofErr w:type="spellStart"/>
            <w:r w:rsidRPr="000A6219">
              <w:rPr>
                <w:rFonts w:ascii="Book Antiqua" w:hAnsi="Book Antiqua"/>
                <w:i/>
                <w:sz w:val="24"/>
                <w:szCs w:val="24"/>
                <w:lang w:val="en-US"/>
              </w:rPr>
              <w:t>afaC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chuA</w:t>
            </w:r>
            <w:proofErr w:type="spellEnd"/>
            <w:r w:rsidRPr="000A6219">
              <w:rPr>
                <w:rFonts w:ascii="Book Antiqua" w:hAnsi="Book Antiqua"/>
                <w:i/>
                <w:sz w:val="24"/>
                <w:szCs w:val="24"/>
                <w:lang w:val="en-US"/>
              </w:rPr>
              <w:t xml:space="preserve">, cnf1, </w:t>
            </w:r>
            <w:proofErr w:type="spellStart"/>
            <w:r w:rsidRPr="000A6219">
              <w:rPr>
                <w:rFonts w:ascii="Book Antiqua" w:hAnsi="Book Antiqua"/>
                <w:b/>
                <w:i/>
                <w:sz w:val="24"/>
                <w:szCs w:val="24"/>
                <w:lang w:val="en-US"/>
              </w:rPr>
              <w:t>colV</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focG</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fyuA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gsp</w:t>
            </w:r>
            <w:proofErr w:type="spellEnd"/>
            <w:r w:rsidRPr="000A6219">
              <w:rPr>
                <w:rFonts w:ascii="Book Antiqua" w:hAnsi="Book Antiqua"/>
                <w:i/>
                <w:sz w:val="24"/>
                <w:szCs w:val="24"/>
                <w:lang w:val="en-US"/>
              </w:rPr>
              <w:t xml:space="preserve">, hcp, </w:t>
            </w:r>
            <w:proofErr w:type="spellStart"/>
            <w:r w:rsidRPr="000A6219">
              <w:rPr>
                <w:rFonts w:ascii="Book Antiqua" w:hAnsi="Book Antiqua"/>
                <w:b/>
                <w:i/>
                <w:sz w:val="24"/>
                <w:szCs w:val="24"/>
                <w:lang w:val="en-US"/>
              </w:rPr>
              <w:t>ibeA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iss</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kpsMII</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lpfA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malX</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papC</w:t>
            </w:r>
            <w:proofErr w:type="spellEnd"/>
            <w:r w:rsidR="0005405C"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pduC</w:t>
            </w:r>
            <w:proofErr w:type="spellEnd"/>
            <w:r w:rsidR="0005405C" w:rsidRPr="000A6219">
              <w:rPr>
                <w:rFonts w:ascii="Book Antiqua" w:hAnsi="Book Antiqua"/>
                <w:i/>
                <w:sz w:val="24"/>
                <w:szCs w:val="24"/>
                <w:lang w:val="en-US"/>
              </w:rPr>
              <w:t xml:space="preserve">, pmt1, </w:t>
            </w:r>
            <w:proofErr w:type="spellStart"/>
            <w:r w:rsidR="0005405C" w:rsidRPr="000A6219">
              <w:rPr>
                <w:rFonts w:ascii="Book Antiqua" w:hAnsi="Book Antiqua"/>
                <w:i/>
                <w:sz w:val="24"/>
                <w:szCs w:val="24"/>
                <w:lang w:val="en-US"/>
              </w:rPr>
              <w:t>ratA</w:t>
            </w:r>
            <w:proofErr w:type="spellEnd"/>
            <w:r w:rsidR="0005405C"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sfaDE</w:t>
            </w:r>
            <w:proofErr w:type="spellEnd"/>
            <w:r w:rsidR="0005405C"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traC</w:t>
            </w:r>
            <w:proofErr w:type="spellEnd"/>
          </w:p>
        </w:tc>
      </w:tr>
      <w:tr w:rsidR="009E3673" w:rsidRPr="000A6219" w14:paraId="7D912370" w14:textId="77777777" w:rsidTr="0088716F">
        <w:trPr>
          <w:trHeight w:val="1801"/>
          <w:jc w:val="center"/>
        </w:trPr>
        <w:tc>
          <w:tcPr>
            <w:tcW w:w="2407" w:type="dxa"/>
            <w:shd w:val="clear" w:color="auto" w:fill="auto"/>
          </w:tcPr>
          <w:p w14:paraId="526B0D5F" w14:textId="6EEA04EA" w:rsidR="009E3673" w:rsidRPr="000A6219" w:rsidRDefault="0005405C" w:rsidP="000A6219">
            <w:pPr>
              <w:snapToGrid w:val="0"/>
              <w:spacing w:line="360" w:lineRule="auto"/>
              <w:jc w:val="both"/>
              <w:rPr>
                <w:rFonts w:ascii="Book Antiqua" w:hAnsi="Book Antiqua"/>
                <w:sz w:val="24"/>
                <w:szCs w:val="24"/>
                <w:lang w:val="fr-FR"/>
              </w:rPr>
            </w:pPr>
            <w:r w:rsidRPr="000A6219">
              <w:rPr>
                <w:rFonts w:ascii="Book Antiqua" w:hAnsi="Book Antiqua"/>
                <w:sz w:val="24"/>
                <w:szCs w:val="24"/>
                <w:lang w:val="fr-FR"/>
              </w:rPr>
              <w:t xml:space="preserve">Camprubí-Font </w:t>
            </w:r>
            <w:r w:rsidRPr="000A6219">
              <w:rPr>
                <w:rFonts w:ascii="Book Antiqua" w:hAnsi="Book Antiqua"/>
                <w:i/>
                <w:sz w:val="24"/>
                <w:szCs w:val="24"/>
                <w:lang w:val="fr-FR"/>
              </w:rPr>
              <w:t>et</w:t>
            </w:r>
            <w:r w:rsidRPr="000A6219">
              <w:rPr>
                <w:rFonts w:ascii="Book Antiqua" w:hAnsi="Book Antiqua"/>
                <w:sz w:val="24"/>
                <w:szCs w:val="24"/>
                <w:lang w:val="fr-FR"/>
              </w:rPr>
              <w:t xml:space="preserve"> </w:t>
            </w:r>
            <w:r w:rsidRPr="000A6219">
              <w:rPr>
                <w:rFonts w:ascii="Book Antiqua" w:hAnsi="Book Antiqua"/>
                <w:i/>
                <w:sz w:val="24"/>
                <w:szCs w:val="24"/>
                <w:lang w:val="fr-FR"/>
              </w:rPr>
              <w:t>al</w:t>
            </w:r>
            <w:r w:rsidRPr="000A6219">
              <w:rPr>
                <w:rFonts w:ascii="Book Antiqua" w:hAnsi="Book Antiqua"/>
                <w:sz w:val="24"/>
                <w:szCs w:val="24"/>
                <w:lang w:val="en-US"/>
              </w:rPr>
              <w:fldChar w:fldCharType="begin" w:fldLock="1"/>
            </w:r>
            <w:r w:rsidRPr="000A6219">
              <w:rPr>
                <w:rFonts w:ascii="Book Antiqua" w:hAnsi="Book Antiqua"/>
                <w:sz w:val="24"/>
                <w:szCs w:val="24"/>
                <w:lang w:val="fr-FR"/>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fr-FR"/>
              </w:rPr>
              <w:t>[38]</w:t>
            </w:r>
            <w:r w:rsidRPr="000A6219">
              <w:rPr>
                <w:rFonts w:ascii="Book Antiqua" w:hAnsi="Book Antiqua"/>
                <w:sz w:val="24"/>
                <w:szCs w:val="24"/>
                <w:lang w:val="en-US"/>
              </w:rPr>
              <w:fldChar w:fldCharType="end"/>
            </w:r>
            <w:r w:rsidRPr="000A6219">
              <w:rPr>
                <w:rFonts w:ascii="Book Antiqua" w:hAnsi="Book Antiqua"/>
                <w:sz w:val="24"/>
                <w:szCs w:val="24"/>
                <w:lang w:val="fr-FR"/>
              </w:rPr>
              <w:t>, 2019</w:t>
            </w:r>
          </w:p>
        </w:tc>
        <w:tc>
          <w:tcPr>
            <w:tcW w:w="817" w:type="dxa"/>
            <w:shd w:val="clear" w:color="auto" w:fill="auto"/>
          </w:tcPr>
          <w:p w14:paraId="6FECD9FD" w14:textId="77777777" w:rsidR="009E3673" w:rsidRPr="000A6219" w:rsidRDefault="009E3673" w:rsidP="000A6219">
            <w:pPr>
              <w:snapToGrid w:val="0"/>
              <w:spacing w:line="360" w:lineRule="auto"/>
              <w:jc w:val="both"/>
              <w:rPr>
                <w:rFonts w:ascii="Book Antiqua" w:hAnsi="Book Antiqua"/>
                <w:sz w:val="24"/>
                <w:szCs w:val="24"/>
                <w:lang w:val="fr-FR"/>
              </w:rPr>
            </w:pPr>
            <w:r w:rsidRPr="000A6219">
              <w:rPr>
                <w:rFonts w:ascii="Book Antiqua" w:hAnsi="Book Antiqua"/>
                <w:sz w:val="24"/>
                <w:szCs w:val="24"/>
                <w:lang w:val="fr-FR"/>
              </w:rPr>
              <w:t>48</w:t>
            </w:r>
          </w:p>
        </w:tc>
        <w:tc>
          <w:tcPr>
            <w:tcW w:w="1471" w:type="dxa"/>
            <w:shd w:val="clear" w:color="auto" w:fill="auto"/>
          </w:tcPr>
          <w:p w14:paraId="6C73AF00" w14:textId="77777777" w:rsidR="009E3673" w:rsidRPr="000A6219" w:rsidRDefault="009E3673" w:rsidP="000A6219">
            <w:pPr>
              <w:snapToGrid w:val="0"/>
              <w:spacing w:line="360" w:lineRule="auto"/>
              <w:jc w:val="both"/>
              <w:rPr>
                <w:rFonts w:ascii="Book Antiqua" w:hAnsi="Book Antiqua"/>
                <w:sz w:val="24"/>
                <w:szCs w:val="24"/>
                <w:lang w:val="fr-FR"/>
              </w:rPr>
            </w:pPr>
            <w:r w:rsidRPr="000A6219">
              <w:rPr>
                <w:rFonts w:ascii="Book Antiqua" w:hAnsi="Book Antiqua"/>
                <w:sz w:val="24"/>
                <w:szCs w:val="24"/>
                <w:lang w:val="fr-FR"/>
              </w:rPr>
              <w:t>56</w:t>
            </w:r>
          </w:p>
        </w:tc>
        <w:tc>
          <w:tcPr>
            <w:tcW w:w="4130" w:type="dxa"/>
            <w:shd w:val="clear" w:color="auto" w:fill="auto"/>
            <w:vAlign w:val="center"/>
          </w:tcPr>
          <w:p w14:paraId="7B4E1539" w14:textId="593A75E1" w:rsidR="009E3673" w:rsidRPr="000A6219" w:rsidRDefault="009E3673" w:rsidP="000A6219">
            <w:pPr>
              <w:tabs>
                <w:tab w:val="center" w:pos="4252"/>
              </w:tabs>
              <w:snapToGrid w:val="0"/>
              <w:spacing w:line="360" w:lineRule="auto"/>
              <w:jc w:val="both"/>
              <w:rPr>
                <w:rFonts w:ascii="Book Antiqua" w:hAnsi="Book Antiqua"/>
                <w:i/>
                <w:sz w:val="24"/>
                <w:szCs w:val="24"/>
                <w:lang w:val="fr-FR"/>
              </w:rPr>
            </w:pPr>
            <w:r w:rsidRPr="000A6219">
              <w:rPr>
                <w:rFonts w:ascii="Book Antiqua" w:hAnsi="Book Antiqua"/>
                <w:i/>
                <w:sz w:val="24"/>
                <w:szCs w:val="24"/>
                <w:lang w:val="fr-FR"/>
              </w:rPr>
              <w:t xml:space="preserve">afa/draBC, bmaE, csgA, fimC, focG, gafD, hra, iha, mat, nfaE, papC, papEF, </w:t>
            </w:r>
            <w:r w:rsidRPr="000A6219">
              <w:rPr>
                <w:rFonts w:ascii="Book Antiqua" w:hAnsi="Book Antiqua"/>
                <w:b/>
                <w:i/>
                <w:sz w:val="24"/>
                <w:szCs w:val="24"/>
                <w:lang w:val="fr-FR"/>
              </w:rPr>
              <w:t>papGII/III</w:t>
            </w:r>
            <w:r w:rsidRPr="000A6219">
              <w:rPr>
                <w:rFonts w:ascii="Book Antiqua" w:hAnsi="Book Antiqua"/>
                <w:i/>
                <w:sz w:val="24"/>
                <w:szCs w:val="24"/>
                <w:lang w:val="fr-FR"/>
              </w:rPr>
              <w:t xml:space="preserve">, papGI, papGII, papGIII, sfa/foc, sfaS, tsh, chuA, eitA, eitC, fyuA, ireA, iroN, irp2, iucD, iutA, sitA, sitD, (epis.), sitD (chr.), </w:t>
            </w:r>
            <w:r w:rsidRPr="000A6219">
              <w:rPr>
                <w:rFonts w:ascii="Book Antiqua" w:hAnsi="Book Antiqua"/>
                <w:b/>
                <w:i/>
                <w:sz w:val="24"/>
                <w:szCs w:val="24"/>
                <w:lang w:val="fr-FR"/>
              </w:rPr>
              <w:t>iss</w:t>
            </w:r>
            <w:r w:rsidRPr="000A6219">
              <w:rPr>
                <w:rFonts w:ascii="Book Antiqua" w:hAnsi="Book Antiqua"/>
                <w:i/>
                <w:sz w:val="24"/>
                <w:szCs w:val="24"/>
                <w:lang w:val="fr-FR"/>
              </w:rPr>
              <w:t>, neuC, kpsMTII, ompA, ompT, traT,</w:t>
            </w:r>
            <w:r w:rsidRPr="000A6219">
              <w:rPr>
                <w:rFonts w:ascii="Book Antiqua" w:hAnsi="Book Antiqua"/>
                <w:sz w:val="24"/>
                <w:szCs w:val="24"/>
                <w:lang w:val="fr-FR"/>
              </w:rPr>
              <w:t xml:space="preserve"> </w:t>
            </w:r>
            <w:r w:rsidRPr="000A6219">
              <w:rPr>
                <w:rFonts w:ascii="Book Antiqua" w:hAnsi="Book Antiqua"/>
                <w:i/>
                <w:sz w:val="24"/>
                <w:szCs w:val="24"/>
                <w:lang w:val="fr-FR"/>
              </w:rPr>
              <w:t xml:space="preserve">astA, cnf, sat, </w:t>
            </w:r>
            <w:r w:rsidRPr="000A6219">
              <w:rPr>
                <w:rFonts w:ascii="Book Antiqua" w:hAnsi="Book Antiqua"/>
                <w:b/>
                <w:i/>
                <w:sz w:val="24"/>
                <w:szCs w:val="24"/>
                <w:lang w:val="fr-FR"/>
              </w:rPr>
              <w:t>vat</w:t>
            </w:r>
            <w:r w:rsidRPr="000A6219">
              <w:rPr>
                <w:rFonts w:ascii="Book Antiqua" w:hAnsi="Book Antiqua"/>
                <w:i/>
                <w:sz w:val="24"/>
                <w:szCs w:val="24"/>
                <w:lang w:val="fr-FR"/>
              </w:rPr>
              <w:t xml:space="preserve">, hlyA, hlyF, ibeA, gimB, tia, malX, </w:t>
            </w:r>
            <w:r w:rsidRPr="000A6219">
              <w:rPr>
                <w:rFonts w:ascii="Book Antiqua" w:hAnsi="Book Antiqua"/>
                <w:b/>
                <w:i/>
                <w:sz w:val="24"/>
                <w:szCs w:val="24"/>
                <w:lang w:val="fr-FR"/>
              </w:rPr>
              <w:t>pic</w:t>
            </w:r>
            <w:r w:rsidRPr="000A6219">
              <w:rPr>
                <w:rFonts w:ascii="Book Antiqua" w:hAnsi="Book Antiqua"/>
                <w:i/>
                <w:sz w:val="24"/>
                <w:szCs w:val="24"/>
                <w:lang w:val="fr-FR"/>
              </w:rPr>
              <w:t xml:space="preserve">, pks, eaI, cvaB, cvaC, etsB, etsC, lpfA141, lpfA154, fimH, chiA, astA, cnf, sat, </w:t>
            </w:r>
            <w:r w:rsidRPr="000A6219">
              <w:rPr>
                <w:rFonts w:ascii="Book Antiqua" w:hAnsi="Book Antiqua"/>
                <w:b/>
                <w:i/>
                <w:sz w:val="24"/>
                <w:szCs w:val="24"/>
                <w:lang w:val="fr-FR"/>
              </w:rPr>
              <w:t>vat</w:t>
            </w:r>
          </w:p>
        </w:tc>
      </w:tr>
      <w:tr w:rsidR="009E3673" w:rsidRPr="000A6219" w14:paraId="21FF2DBB" w14:textId="77777777" w:rsidTr="0088716F">
        <w:trPr>
          <w:trHeight w:val="247"/>
          <w:jc w:val="center"/>
        </w:trPr>
        <w:tc>
          <w:tcPr>
            <w:tcW w:w="2407" w:type="dxa"/>
            <w:shd w:val="clear" w:color="auto" w:fill="auto"/>
          </w:tcPr>
          <w:p w14:paraId="44098A15" w14:textId="1E9A64A9" w:rsidR="009E3673" w:rsidRPr="000A6219" w:rsidRDefault="009E3673" w:rsidP="00CB5F52">
            <w:pPr>
              <w:snapToGrid w:val="0"/>
              <w:spacing w:line="360" w:lineRule="auto"/>
              <w:jc w:val="both"/>
              <w:rPr>
                <w:rFonts w:ascii="Book Antiqua" w:hAnsi="Book Antiqua"/>
                <w:sz w:val="24"/>
                <w:szCs w:val="24"/>
                <w:lang w:val="fr-FR"/>
              </w:rPr>
            </w:pPr>
            <w:r w:rsidRPr="000A6219">
              <w:rPr>
                <w:rFonts w:ascii="Book Antiqua" w:hAnsi="Book Antiqua"/>
                <w:sz w:val="24"/>
                <w:szCs w:val="24"/>
                <w:lang w:val="fr-FR"/>
              </w:rPr>
              <w:t xml:space="preserve">Camprubí-Font </w:t>
            </w:r>
            <w:r w:rsidRPr="000A6219">
              <w:rPr>
                <w:rFonts w:ascii="Book Antiqua" w:hAnsi="Book Antiqua"/>
                <w:i/>
                <w:sz w:val="24"/>
                <w:szCs w:val="24"/>
                <w:lang w:val="fr-FR"/>
              </w:rPr>
              <w:t>et al</w:t>
            </w:r>
            <w:r w:rsidR="0005405C" w:rsidRPr="000A6219">
              <w:rPr>
                <w:rFonts w:ascii="Book Antiqua" w:hAnsi="Book Antiqua"/>
                <w:sz w:val="24"/>
                <w:szCs w:val="24"/>
                <w:lang w:val="en-US"/>
              </w:rPr>
              <w:fldChar w:fldCharType="begin" w:fldLock="1"/>
            </w:r>
            <w:r w:rsidR="0005405C" w:rsidRPr="000A6219">
              <w:rPr>
                <w:rFonts w:ascii="Book Antiqua" w:hAnsi="Book Antiqua"/>
                <w:sz w:val="24"/>
                <w:szCs w:val="24"/>
                <w:lang w:val="fr-FR"/>
              </w:rPr>
              <w:instrText>ADDIN CSL_CITATION {"citationItems":[{"id":"ITEM-1","itemData":{"DOI":"10.3389/fmicb.2019.01707","author":[{"dropping-particle":"","family":"Camprubí-Font","given":"Carla","non-dropping-particle":"","parse-names":false,"suffix":""},{"dropping-particle":"","family":"Ruiz del Castillo","given":"Belén","non-dropping-particle":"","parse-names":false,"suffix":""},{"dropping-particle":"","family":"Barrabés","given":"Silvia","non-dropping-particle":"","parse-names":false,"suffix":""},{"dropping-particle":"","family":"Martínez-Martínez","given":"Luis","non-dropping-particle":"","parse-names":false,"suffix":""},{"dropping-particle":"","family":"Martinez-Medina","given":"Margarita","non-dropping-particle":"","parse-names":false,"suffix":""}],"container-title":"Frontiers in Microbiology","id":"ITEM-1","issued":{"date-parts":[["2019","8","6"]]},"publisher":"Frontiers Media SA","title":"Amino Acid Substitutions and Differential Gene Expression of Outer Membrane Proteins in Adherent-Invasive Escherichia coli","type":"article-journal","volume":"10"},"uris":["http://www.mendeley.com/documents/?uuid=07724558-db31-38cd-a96a-6f44edd060f8"]}],"mendeley":{"formattedCitation":"&lt;sup&gt;[45]&lt;/sup&gt;","plainTextFormattedCitation":"[45]","previouslyFormattedCitation":"&lt;sup&gt;[45]&lt;/sup&gt;"},"properties":{"noteIndex":0},"schema":"https://github.com/citation-style-language/schema/raw/master/csl-citation.json"}</w:instrText>
            </w:r>
            <w:r w:rsidR="0005405C" w:rsidRPr="000A6219">
              <w:rPr>
                <w:rFonts w:ascii="Book Antiqua" w:hAnsi="Book Antiqua"/>
                <w:sz w:val="24"/>
                <w:szCs w:val="24"/>
                <w:lang w:val="en-US"/>
              </w:rPr>
              <w:fldChar w:fldCharType="separate"/>
            </w:r>
            <w:r w:rsidR="0005405C" w:rsidRPr="000A6219">
              <w:rPr>
                <w:rFonts w:ascii="Book Antiqua" w:hAnsi="Book Antiqua"/>
                <w:noProof/>
                <w:sz w:val="24"/>
                <w:szCs w:val="24"/>
                <w:vertAlign w:val="superscript"/>
                <w:lang w:val="fr-FR"/>
              </w:rPr>
              <w:t>[4</w:t>
            </w:r>
            <w:r w:rsidR="00CB5F52">
              <w:rPr>
                <w:rFonts w:ascii="Book Antiqua" w:hAnsi="Book Antiqua"/>
                <w:noProof/>
                <w:sz w:val="24"/>
                <w:szCs w:val="24"/>
                <w:vertAlign w:val="superscript"/>
                <w:lang w:val="fr-FR"/>
              </w:rPr>
              <w:t>6</w:t>
            </w:r>
            <w:r w:rsidR="0005405C" w:rsidRPr="000A6219">
              <w:rPr>
                <w:rFonts w:ascii="Book Antiqua" w:hAnsi="Book Antiqua"/>
                <w:noProof/>
                <w:sz w:val="24"/>
                <w:szCs w:val="24"/>
                <w:vertAlign w:val="superscript"/>
                <w:lang w:val="fr-FR"/>
              </w:rPr>
              <w:t>]</w:t>
            </w:r>
            <w:r w:rsidR="0005405C" w:rsidRPr="000A6219">
              <w:rPr>
                <w:rFonts w:ascii="Book Antiqua" w:hAnsi="Book Antiqua"/>
                <w:sz w:val="24"/>
                <w:szCs w:val="24"/>
                <w:lang w:val="en-US"/>
              </w:rPr>
              <w:fldChar w:fldCharType="end"/>
            </w:r>
            <w:r w:rsidR="0005405C" w:rsidRPr="000A6219">
              <w:rPr>
                <w:rFonts w:ascii="Book Antiqua" w:hAnsi="Book Antiqua"/>
                <w:sz w:val="24"/>
                <w:szCs w:val="24"/>
                <w:lang w:val="fr-FR"/>
              </w:rPr>
              <w:t>, 2019</w:t>
            </w:r>
          </w:p>
        </w:tc>
        <w:tc>
          <w:tcPr>
            <w:tcW w:w="817" w:type="dxa"/>
            <w:shd w:val="clear" w:color="auto" w:fill="auto"/>
          </w:tcPr>
          <w:p w14:paraId="3D030DFD"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13</w:t>
            </w:r>
          </w:p>
        </w:tc>
        <w:tc>
          <w:tcPr>
            <w:tcW w:w="1471" w:type="dxa"/>
            <w:shd w:val="clear" w:color="auto" w:fill="auto"/>
          </w:tcPr>
          <w:p w14:paraId="393C6BE4"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30</w:t>
            </w:r>
          </w:p>
        </w:tc>
        <w:tc>
          <w:tcPr>
            <w:tcW w:w="4130" w:type="dxa"/>
            <w:shd w:val="clear" w:color="auto" w:fill="auto"/>
          </w:tcPr>
          <w:p w14:paraId="55C92E39" w14:textId="77777777" w:rsidR="009E3673" w:rsidRPr="000A6219" w:rsidRDefault="009E3673" w:rsidP="000A6219">
            <w:pPr>
              <w:tabs>
                <w:tab w:val="center" w:pos="4252"/>
              </w:tabs>
              <w:snapToGrid w:val="0"/>
              <w:spacing w:line="360" w:lineRule="auto"/>
              <w:jc w:val="both"/>
              <w:rPr>
                <w:rFonts w:ascii="Book Antiqua" w:hAnsi="Book Antiqua"/>
                <w:sz w:val="24"/>
                <w:szCs w:val="24"/>
                <w:lang w:val="en-US"/>
              </w:rPr>
            </w:pPr>
            <w:proofErr w:type="spellStart"/>
            <w:r w:rsidRPr="000A6219">
              <w:rPr>
                <w:rFonts w:ascii="Book Antiqua" w:hAnsi="Book Antiqua"/>
                <w:i/>
                <w:sz w:val="24"/>
                <w:szCs w:val="24"/>
                <w:lang w:val="en-US"/>
              </w:rPr>
              <w:t>ompA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ompC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ompF</w:t>
            </w:r>
            <w:proofErr w:type="spellEnd"/>
          </w:p>
        </w:tc>
      </w:tr>
    </w:tbl>
    <w:p w14:paraId="558A1D6C" w14:textId="5FD64C81" w:rsidR="00053061" w:rsidRPr="000A6219" w:rsidRDefault="00D915B1" w:rsidP="000A6219">
      <w:pPr>
        <w:snapToGrid w:val="0"/>
        <w:spacing w:after="0" w:line="360" w:lineRule="auto"/>
        <w:jc w:val="both"/>
        <w:rPr>
          <w:rFonts w:ascii="Book Antiqua" w:hAnsi="Book Antiqua"/>
          <w:sz w:val="24"/>
          <w:szCs w:val="24"/>
          <w:lang w:val="en-US"/>
        </w:rPr>
      </w:pPr>
      <w:r w:rsidRPr="000A6219">
        <w:rPr>
          <w:rFonts w:ascii="Book Antiqua" w:hAnsi="Book Antiqua"/>
          <w:sz w:val="24"/>
          <w:szCs w:val="24"/>
          <w:lang w:val="en-US"/>
        </w:rPr>
        <w:t xml:space="preserve">Genes associated with pathotype or origin of isolation are highlighted in bold. </w:t>
      </w:r>
      <w:r w:rsidR="00076943" w:rsidRPr="000A6219">
        <w:rPr>
          <w:rFonts w:ascii="Book Antiqua" w:hAnsi="Book Antiqua"/>
          <w:sz w:val="24"/>
          <w:szCs w:val="24"/>
          <w:vertAlign w:val="superscript"/>
          <w:lang w:val="en-US"/>
        </w:rPr>
        <w:t>1</w:t>
      </w:r>
      <w:r w:rsidR="00053061" w:rsidRPr="000A6219">
        <w:rPr>
          <w:rFonts w:ascii="Book Antiqua" w:hAnsi="Book Antiqua"/>
          <w:sz w:val="24"/>
          <w:szCs w:val="24"/>
          <w:lang w:val="en-US"/>
        </w:rPr>
        <w:t xml:space="preserve">Pathogenicity island described in a virulent </w:t>
      </w:r>
      <w:proofErr w:type="spellStart"/>
      <w:r w:rsidR="00053061" w:rsidRPr="000A6219">
        <w:rPr>
          <w:rFonts w:ascii="Book Antiqua" w:hAnsi="Book Antiqua"/>
          <w:sz w:val="24"/>
          <w:szCs w:val="24"/>
          <w:lang w:val="en-US"/>
        </w:rPr>
        <w:t>uropathogen</w:t>
      </w:r>
      <w:proofErr w:type="spellEnd"/>
      <w:r w:rsidR="00053061" w:rsidRPr="000A6219">
        <w:rPr>
          <w:rFonts w:ascii="Book Antiqua" w:hAnsi="Book Antiqua"/>
          <w:sz w:val="24"/>
          <w:szCs w:val="24"/>
          <w:lang w:val="en-US"/>
        </w:rPr>
        <w:t xml:space="preserve">. </w:t>
      </w:r>
      <w:r w:rsidR="0088716F" w:rsidRPr="000A6219">
        <w:rPr>
          <w:rFonts w:ascii="Book Antiqua" w:hAnsi="Book Antiqua"/>
          <w:sz w:val="24"/>
          <w:szCs w:val="24"/>
          <w:lang w:val="en-US"/>
        </w:rPr>
        <w:t xml:space="preserve">AIEC: Adherent-invasive </w:t>
      </w:r>
      <w:r w:rsidR="0088716F" w:rsidRPr="000A6219">
        <w:rPr>
          <w:rFonts w:ascii="Book Antiqua" w:eastAsia="Calibri" w:hAnsi="Book Antiqua" w:cs="Times New Roman"/>
          <w:i/>
          <w:sz w:val="24"/>
          <w:szCs w:val="24"/>
          <w:lang w:val="en-US"/>
        </w:rPr>
        <w:t>Escherichia coli</w:t>
      </w:r>
      <w:r w:rsidR="0088716F" w:rsidRPr="000A6219">
        <w:rPr>
          <w:rFonts w:ascii="Book Antiqua" w:hAnsi="Book Antiqua"/>
          <w:sz w:val="24"/>
          <w:szCs w:val="24"/>
          <w:lang w:val="en-US"/>
        </w:rPr>
        <w:t>; CD: Crohn’s disease patients; UC: Ulcerative colitis patients.</w:t>
      </w:r>
    </w:p>
    <w:p w14:paraId="2E97A4CF" w14:textId="17A55928" w:rsidR="00BA5A02" w:rsidRPr="000A6219" w:rsidRDefault="00053061" w:rsidP="000A6219">
      <w:pPr>
        <w:snapToGrid w:val="0"/>
        <w:spacing w:after="0" w:line="360" w:lineRule="auto"/>
        <w:jc w:val="both"/>
        <w:rPr>
          <w:rFonts w:ascii="Book Antiqua" w:hAnsi="Book Antiqua"/>
          <w:sz w:val="24"/>
          <w:szCs w:val="24"/>
          <w:lang w:val="en-US"/>
        </w:rPr>
      </w:pPr>
      <w:r w:rsidRPr="000A6219">
        <w:rPr>
          <w:rFonts w:ascii="Book Antiqua" w:hAnsi="Book Antiqua"/>
          <w:sz w:val="24"/>
          <w:szCs w:val="24"/>
          <w:lang w:val="en-US"/>
        </w:rPr>
        <w:br w:type="page"/>
      </w:r>
      <w:r w:rsidR="0088716F" w:rsidRPr="000A6219">
        <w:rPr>
          <w:rFonts w:ascii="Book Antiqua" w:hAnsi="Book Antiqua"/>
          <w:b/>
          <w:sz w:val="24"/>
          <w:szCs w:val="24"/>
          <w:lang w:val="en-US"/>
        </w:rPr>
        <w:lastRenderedPageBreak/>
        <w:t>Table 3</w:t>
      </w:r>
      <w:r w:rsidR="00BA5A02" w:rsidRPr="000A6219">
        <w:rPr>
          <w:rFonts w:ascii="Book Antiqua" w:hAnsi="Book Antiqua"/>
          <w:b/>
          <w:sz w:val="24"/>
          <w:szCs w:val="24"/>
          <w:lang w:val="en-US"/>
        </w:rPr>
        <w:t xml:space="preserve"> Summary of the comparative genomics studies conducted in </w:t>
      </w:r>
      <w:r w:rsidR="00076943" w:rsidRPr="000A6219">
        <w:rPr>
          <w:rFonts w:ascii="Book Antiqua" w:eastAsia="Calibri" w:hAnsi="Book Antiqua" w:cs="Times New Roman"/>
          <w:b/>
          <w:sz w:val="24"/>
          <w:szCs w:val="24"/>
          <w:lang w:val="en-US"/>
        </w:rPr>
        <w:t xml:space="preserve">adherent-invasive </w:t>
      </w:r>
      <w:r w:rsidR="000670ED" w:rsidRPr="000A6219">
        <w:rPr>
          <w:rFonts w:ascii="Book Antiqua" w:eastAsia="Calibri" w:hAnsi="Book Antiqua" w:cs="Times New Roman"/>
          <w:b/>
          <w:i/>
          <w:sz w:val="24"/>
          <w:szCs w:val="24"/>
          <w:lang w:val="en-US"/>
        </w:rPr>
        <w:t>Escherichia coli</w:t>
      </w:r>
      <w:r w:rsidR="0088716F" w:rsidRPr="000A6219">
        <w:rPr>
          <w:rFonts w:ascii="Book Antiqua" w:hAnsi="Book Antiqua"/>
          <w:b/>
          <w:sz w:val="24"/>
          <w:szCs w:val="24"/>
          <w:lang w:val="en-US"/>
        </w:rPr>
        <w:t xml:space="preserve"> to date</w:t>
      </w:r>
    </w:p>
    <w:tbl>
      <w:tblPr>
        <w:tblStyle w:val="ab"/>
        <w:tblW w:w="9186"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850"/>
        <w:gridCol w:w="851"/>
        <w:gridCol w:w="3402"/>
        <w:gridCol w:w="2239"/>
      </w:tblGrid>
      <w:tr w:rsidR="0088716F" w:rsidRPr="000A6219" w14:paraId="5441E4BD" w14:textId="77777777" w:rsidTr="007A0A4A">
        <w:trPr>
          <w:trHeight w:val="496"/>
        </w:trPr>
        <w:tc>
          <w:tcPr>
            <w:tcW w:w="1844" w:type="dxa"/>
            <w:tcBorders>
              <w:top w:val="single" w:sz="4" w:space="0" w:color="auto"/>
              <w:bottom w:val="single" w:sz="4" w:space="0" w:color="auto"/>
            </w:tcBorders>
            <w:shd w:val="clear" w:color="auto" w:fill="auto"/>
            <w:vAlign w:val="center"/>
            <w:hideMark/>
          </w:tcPr>
          <w:p w14:paraId="0A9A543F" w14:textId="51D58B64" w:rsidR="003C1901" w:rsidRPr="000A6219" w:rsidRDefault="0088716F"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Ref.</w:t>
            </w:r>
          </w:p>
        </w:tc>
        <w:tc>
          <w:tcPr>
            <w:tcW w:w="850" w:type="dxa"/>
            <w:tcBorders>
              <w:top w:val="single" w:sz="4" w:space="0" w:color="auto"/>
              <w:bottom w:val="single" w:sz="4" w:space="0" w:color="auto"/>
            </w:tcBorders>
            <w:shd w:val="clear" w:color="auto" w:fill="auto"/>
            <w:vAlign w:val="center"/>
            <w:hideMark/>
          </w:tcPr>
          <w:p w14:paraId="5D9EAD75" w14:textId="77777777" w:rsidR="003C1901" w:rsidRPr="000A6219" w:rsidRDefault="003C1901"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AIEC</w:t>
            </w:r>
          </w:p>
        </w:tc>
        <w:tc>
          <w:tcPr>
            <w:tcW w:w="851" w:type="dxa"/>
            <w:tcBorders>
              <w:top w:val="single" w:sz="4" w:space="0" w:color="auto"/>
              <w:bottom w:val="single" w:sz="4" w:space="0" w:color="auto"/>
            </w:tcBorders>
            <w:shd w:val="clear" w:color="auto" w:fill="auto"/>
            <w:vAlign w:val="center"/>
            <w:hideMark/>
          </w:tcPr>
          <w:p w14:paraId="2B7140AA" w14:textId="77777777" w:rsidR="003C1901" w:rsidRPr="000A6219" w:rsidRDefault="003C1901"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Non-AIEC</w:t>
            </w:r>
          </w:p>
        </w:tc>
        <w:tc>
          <w:tcPr>
            <w:tcW w:w="3402" w:type="dxa"/>
            <w:tcBorders>
              <w:top w:val="single" w:sz="4" w:space="0" w:color="auto"/>
              <w:bottom w:val="single" w:sz="4" w:space="0" w:color="auto"/>
            </w:tcBorders>
            <w:shd w:val="clear" w:color="auto" w:fill="auto"/>
            <w:vAlign w:val="center"/>
            <w:hideMark/>
          </w:tcPr>
          <w:p w14:paraId="32CA8776" w14:textId="77777777" w:rsidR="003C1901" w:rsidRPr="000A6219" w:rsidRDefault="003C1901"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Phylogroup</w:t>
            </w:r>
          </w:p>
        </w:tc>
        <w:tc>
          <w:tcPr>
            <w:tcW w:w="2239" w:type="dxa"/>
            <w:tcBorders>
              <w:top w:val="single" w:sz="4" w:space="0" w:color="auto"/>
              <w:bottom w:val="single" w:sz="4" w:space="0" w:color="auto"/>
            </w:tcBorders>
            <w:shd w:val="clear" w:color="auto" w:fill="auto"/>
            <w:hideMark/>
          </w:tcPr>
          <w:p w14:paraId="1EBB7B35" w14:textId="799CC690" w:rsidR="003C1901" w:rsidRPr="000A6219" w:rsidRDefault="003C1901"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 xml:space="preserve">AIEC </w:t>
            </w:r>
            <w:r w:rsidR="0088716F" w:rsidRPr="000A6219">
              <w:rPr>
                <w:rFonts w:ascii="Book Antiqua" w:hAnsi="Book Antiqua"/>
                <w:b/>
                <w:sz w:val="24"/>
                <w:szCs w:val="24"/>
                <w:lang w:val="en-US"/>
              </w:rPr>
              <w:t xml:space="preserve">origin </w:t>
            </w:r>
            <w:r w:rsidRPr="000A6219">
              <w:rPr>
                <w:rFonts w:ascii="Book Antiqua" w:hAnsi="Book Antiqua"/>
                <w:b/>
                <w:sz w:val="24"/>
                <w:szCs w:val="24"/>
                <w:lang w:val="en-US"/>
              </w:rPr>
              <w:t>of isolation</w:t>
            </w:r>
          </w:p>
        </w:tc>
      </w:tr>
      <w:tr w:rsidR="0088716F" w:rsidRPr="000A6219" w14:paraId="52E93B97" w14:textId="77777777" w:rsidTr="007A0A4A">
        <w:trPr>
          <w:trHeight w:val="1198"/>
        </w:trPr>
        <w:tc>
          <w:tcPr>
            <w:tcW w:w="1844" w:type="dxa"/>
            <w:tcBorders>
              <w:top w:val="single" w:sz="4" w:space="0" w:color="auto"/>
            </w:tcBorders>
            <w:shd w:val="clear" w:color="auto" w:fill="auto"/>
            <w:hideMark/>
          </w:tcPr>
          <w:p w14:paraId="7EF113D4" w14:textId="7AF44253" w:rsidR="003C1901" w:rsidRPr="000A6219" w:rsidRDefault="0088716F"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 xml:space="preserve">Miquel </w:t>
            </w:r>
            <w:r w:rsidRPr="000A6219">
              <w:rPr>
                <w:rFonts w:ascii="Book Antiqua" w:hAnsi="Book Antiqua"/>
                <w:i/>
                <w:sz w:val="24"/>
                <w:szCs w:val="24"/>
                <w:lang w:val="es-E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s-ES"/>
              </w:rPr>
              <w:instrText>ADDIN CSL_CITATION {"citationItems":[{"id":"ITEM-1","itemData":{"DOI":"10.1371/journal.pone.0012714","ISBN":"1932-6203 (Electronic)\\n1932-6203 (Linking)","ISSN":"19326203","PMID":"20862302","abstract":"Ileal lesions of Crohn's disease (CD) patients are abnormally colonized by pathogenic adherent-invasive Escherichia coli (AIEC) able to invade and to replicate within intestinal epithelial cells and macrophages.","author":[{"dropping-particle":"","family":"Miquel","given":"Sylvie","non-dropping-particle":"","parse-names":false,"suffix":""},{"dropping-particle":"","family":"Peyretaillade","given":"Eric","non-dropping-particle":"","parse-names":false,"suffix":""},{"dropping-particle":"","family":"Claret","given":"Laurent","non-dropping-particle":"","parse-names":false,"suffix":""},{"dropping-particle":"","family":"Vallée","given":"Amélie","non-dropping-particle":"de","parse-names":false,"suffix":""},{"dropping-particle":"","family":"Dossat","given":"Carole","non-dropping-particle":"","parse-names":false,"suffix":""},{"dropping-particle":"","family":"Vacherie","given":"Benoit","non-dropping-particle":"","parse-names":false,"suffix":""},{"dropping-particle":"","family":"Zineb","given":"El Hajji","non-dropping-particle":"","parse-names":false,"suffix":""},{"dropping-particle":"","family":"Segurens","given":"Beatrice","non-dropping-particle":"","parse-names":false,"suffix":""},{"dropping-particle":"","family":"Barbe","given":"Valerie","non-dropping-particle":"","parse-names":false,"suffix":""},{"dropping-particle":"","family":"Sauvanet","given":"Pierre","non-dropping-particle":"","parse-names":false,"suffix":""},{"dropping-particle":"","family":"Neut","given":"Christel","non-dropping-particle":"","parse-names":false,"suffix":""},{"dropping-particle":"","family":"Colombel","given":"Jean Frédéric","non-dropping-particle":"","parse-names":false,"suffix":""},{"dropping-particle":"","family":"Medigue","given":"Claudine","non-dropping-particle":"","parse-names":false,"suffix":""},{"dropping-particle":"","family":"Mojica","given":"Francisco J M","non-dropping-particle":"","parse-names":false,"suffix":""},{"dropping-particle":"","family":"Peyret","given":"Pierre","non-dropping-particle":"","parse-names":false,"suffix":""},{"dropping-particle":"","family":"Bonnet","given":"Richard","non-dropping-particle":"","parse-names":false,"suffix":""},{"dropping-particle":"","family":"Darfeuille-Michaud","given":"Arlette","non-dropping-particle":"","parse-names":false,"suffix":""}],"container-title":"PLoS ONE","id":"ITEM-1","issue":"9","issued":{"date-parts":[["2010"]]},"page":"1-16","title":"Complete genome sequence of crohn's disease-associated adherent-invasive E. coli strain LF82","type":"article-journal","volume":"5"},"uris":["http://www.mendeley.com/documents/?uuid=5c59293e-452f-4ef4-88f7-069527ae6877"]}],"mendeley":{"formattedCitation":"&lt;sup&gt;[27]&lt;/sup&gt;","plainTextFormattedCitation":"[27]","previouslyFormattedCitation":"&lt;sup&gt;[27]&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s-ES"/>
              </w:rPr>
              <w:t>[27]</w:t>
            </w:r>
            <w:r w:rsidRPr="000A6219">
              <w:rPr>
                <w:rFonts w:ascii="Book Antiqua" w:hAnsi="Book Antiqua"/>
                <w:sz w:val="24"/>
                <w:szCs w:val="24"/>
                <w:lang w:val="en-US"/>
              </w:rPr>
              <w:fldChar w:fldCharType="end"/>
            </w:r>
            <w:r w:rsidR="003C1901" w:rsidRPr="000A6219">
              <w:rPr>
                <w:rFonts w:ascii="Book Antiqua" w:hAnsi="Book Antiqua"/>
                <w:sz w:val="24"/>
                <w:szCs w:val="24"/>
                <w:lang w:val="es-ES"/>
              </w:rPr>
              <w:t xml:space="preserve">, 2010 </w:t>
            </w:r>
          </w:p>
        </w:tc>
        <w:tc>
          <w:tcPr>
            <w:tcW w:w="850" w:type="dxa"/>
            <w:tcBorders>
              <w:top w:val="single" w:sz="4" w:space="0" w:color="auto"/>
            </w:tcBorders>
            <w:shd w:val="clear" w:color="auto" w:fill="auto"/>
            <w:hideMark/>
          </w:tcPr>
          <w:p w14:paraId="01929ECF"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w:t>
            </w:r>
          </w:p>
        </w:tc>
        <w:tc>
          <w:tcPr>
            <w:tcW w:w="851" w:type="dxa"/>
            <w:tcBorders>
              <w:top w:val="single" w:sz="4" w:space="0" w:color="auto"/>
            </w:tcBorders>
            <w:shd w:val="clear" w:color="auto" w:fill="auto"/>
            <w:hideMark/>
          </w:tcPr>
          <w:p w14:paraId="70E3292A" w14:textId="78EC04BF"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21</w:t>
            </w:r>
            <w:r w:rsidR="006D217A" w:rsidRPr="000A6219">
              <w:rPr>
                <w:rFonts w:ascii="Book Antiqua" w:hAnsi="Book Antiqua"/>
                <w:sz w:val="24"/>
                <w:szCs w:val="24"/>
                <w:vertAlign w:val="superscript"/>
                <w:lang w:val="en-US"/>
              </w:rPr>
              <w:t>1</w:t>
            </w:r>
          </w:p>
        </w:tc>
        <w:tc>
          <w:tcPr>
            <w:tcW w:w="3402" w:type="dxa"/>
            <w:tcBorders>
              <w:top w:val="single" w:sz="4" w:space="0" w:color="auto"/>
            </w:tcBorders>
            <w:shd w:val="clear" w:color="auto" w:fill="auto"/>
            <w:hideMark/>
          </w:tcPr>
          <w:p w14:paraId="2EA18574" w14:textId="63EF5F9E"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AIEC: B2</w:t>
            </w:r>
            <w:r w:rsidR="0088716F" w:rsidRPr="000A6219">
              <w:rPr>
                <w:rFonts w:ascii="Book Antiqua" w:hAnsi="Book Antiqua"/>
                <w:sz w:val="24"/>
                <w:szCs w:val="24"/>
                <w:lang w:val="en-US"/>
              </w:rPr>
              <w:t>;</w:t>
            </w:r>
            <w:r w:rsidR="0088716F" w:rsidRPr="000A6219">
              <w:rPr>
                <w:rFonts w:ascii="Book Antiqua" w:hAnsi="Book Antiqua"/>
                <w:sz w:val="24"/>
                <w:szCs w:val="24"/>
                <w:lang w:val="en-US" w:eastAsia="zh-CN"/>
              </w:rPr>
              <w:t xml:space="preserve"> </w:t>
            </w:r>
            <w:r w:rsidRPr="000A6219">
              <w:rPr>
                <w:rFonts w:ascii="Book Antiqua" w:hAnsi="Book Antiqua"/>
                <w:sz w:val="24"/>
                <w:szCs w:val="24"/>
                <w:lang w:val="en-US"/>
              </w:rPr>
              <w:t>Commensals: 4A, 2B1, 1B2</w:t>
            </w:r>
            <w:r w:rsidR="0088716F" w:rsidRPr="000A6219">
              <w:rPr>
                <w:rFonts w:ascii="Book Antiqua" w:hAnsi="Book Antiqua"/>
                <w:sz w:val="24"/>
                <w:szCs w:val="24"/>
                <w:lang w:val="en-US"/>
              </w:rPr>
              <w:t>;</w:t>
            </w:r>
            <w:r w:rsidR="0088716F" w:rsidRPr="000A6219">
              <w:rPr>
                <w:rFonts w:ascii="Book Antiqua" w:hAnsi="Book Antiqua"/>
                <w:sz w:val="24"/>
                <w:szCs w:val="24"/>
                <w:lang w:val="en-US" w:eastAsia="zh-CN"/>
              </w:rPr>
              <w:t xml:space="preserve"> </w:t>
            </w:r>
            <w:proofErr w:type="spellStart"/>
            <w:r w:rsidRPr="000A6219">
              <w:rPr>
                <w:rFonts w:ascii="Book Antiqua" w:hAnsi="Book Antiqua"/>
                <w:sz w:val="24"/>
                <w:szCs w:val="24"/>
                <w:lang w:val="en-US"/>
              </w:rPr>
              <w:t>ExPEC</w:t>
            </w:r>
            <w:proofErr w:type="spellEnd"/>
            <w:r w:rsidRPr="000A6219">
              <w:rPr>
                <w:rFonts w:ascii="Book Antiqua" w:hAnsi="Book Antiqua"/>
                <w:sz w:val="24"/>
                <w:szCs w:val="24"/>
                <w:lang w:val="en-US"/>
              </w:rPr>
              <w:t>: 2B1, 6B2, 3D, 3E</w:t>
            </w:r>
          </w:p>
        </w:tc>
        <w:tc>
          <w:tcPr>
            <w:tcW w:w="2239" w:type="dxa"/>
            <w:tcBorders>
              <w:top w:val="single" w:sz="4" w:space="0" w:color="auto"/>
            </w:tcBorders>
            <w:shd w:val="clear" w:color="auto" w:fill="auto"/>
            <w:hideMark/>
          </w:tcPr>
          <w:p w14:paraId="05896FC3"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From an I-CD patient</w:t>
            </w:r>
          </w:p>
        </w:tc>
      </w:tr>
      <w:tr w:rsidR="0088716F" w:rsidRPr="000A6219" w14:paraId="77FDC2E4" w14:textId="77777777" w:rsidTr="007A0A4A">
        <w:trPr>
          <w:trHeight w:val="248"/>
        </w:trPr>
        <w:tc>
          <w:tcPr>
            <w:tcW w:w="1844" w:type="dxa"/>
            <w:shd w:val="clear" w:color="auto" w:fill="auto"/>
            <w:hideMark/>
          </w:tcPr>
          <w:p w14:paraId="589FE56C" w14:textId="2663FFC0" w:rsidR="003C1901" w:rsidRPr="000A6219" w:rsidRDefault="0088716F"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 xml:space="preserve">Nash </w:t>
            </w:r>
            <w:r w:rsidRPr="000A6219">
              <w:rPr>
                <w:rFonts w:ascii="Book Antiqua" w:hAnsi="Book Antiqua"/>
                <w:i/>
                <w:sz w:val="24"/>
                <w:szCs w:val="24"/>
                <w:lang w:val="en-U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n-US"/>
              </w:rPr>
              <w:instrText>ADDIN CSL_CITATION {"citationItems":[{"id":"ITEM-1","itemData":{"DOI":"10.1186/1471-2164-11-667","ISBN":"1471-2164","ISSN":"1471-2164","PMID":"21108814","abstract":"Adherent and invasive Escherichia coli (AIEC) are commonly found in ileal lesions of Crohn's Disease (CD) patients, where they adhere to intestinal epithelial cells and invade into and survive in epithelial cells and macrophages, thereby gaining access to a typically restricted host niche. Colonization leads to strong inflammatory responses in the gut suggesting that AIEC could play a role in CD immunopathology. Despite extensive investigation, the genetic determinants accounting for the AIEC phenotype remain poorly defined. To address this, we present the complete genome sequence of an AIEC, revealing the genetic blueprint for this disease-associated E. coli pathotype.","author":[{"dropping-particle":"","family":"Nash","given":"John He","non-dropping-particle":"","parse-names":false,"suffix":""},{"dropping-particle":"","family":"Villegas","given":"Andre","non-dropping-particle":"","parse-names":false,"suffix":""},{"dropping-particle":"","family":"Kropinski","given":"Andrew M","non-dropping-particle":"","parse-names":false,"suffix":""},{"dropping-particle":"","family":"Aguilar-Valenzuela","given":"Renan","non-dropping-particle":"","parse-names":false,"suffix":""},{"dropping-particle":"","family":"Konczy","given":"Paulina","non-dropping-particle":"","parse-names":false,"suffix":""},{"dropping-particle":"","family":"Mascarenhas","given":"Mariola","non-dropping-particle":"","parse-names":false,"suffix":""},{"dropping-particle":"","family":"Ziebell","given":"Kim","non-dropping-particle":"","parse-names":false,"suffix":""},{"dropping-particle":"","family":"Torres","given":"Alfredo G","non-dropping-particle":"","parse-names":false,"suffix":""},{"dropping-particle":"","family":"Karmali","given":"Mohamed a","non-dropping-particle":"","parse-names":false,"suffix":""},{"dropping-particle":"","family":"Coombes","given":"Brian K","non-dropping-particle":"","parse-names":false,"suffix":""}],"container-title":"BMC genomics","id":"ITEM-1","issue":"1","issued":{"date-parts":[["2010"]]},"page":"667","publisher":"BioMed Central Ltd","title":"Genome sequence of adherent-invasive Escherichia coli and comparative genomic analysis with other E. coli pathotypes.","type":"article-journal","volume":"11"},"uris":["http://www.mendeley.com/documents/?uuid=ec9a337b-296b-40cb-8f8f-5f1145304980"]}],"mendeley":{"formattedCitation":"&lt;sup&gt;[28]&lt;/sup&gt;","plainTextFormattedCitation":"[28]","previouslyFormattedCitation":"&lt;sup&gt;[28]&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n-US"/>
              </w:rPr>
              <w:t>[28]</w:t>
            </w:r>
            <w:r w:rsidRPr="000A6219">
              <w:rPr>
                <w:rFonts w:ascii="Book Antiqua" w:hAnsi="Book Antiqua"/>
                <w:sz w:val="24"/>
                <w:szCs w:val="24"/>
                <w:lang w:val="en-US"/>
              </w:rPr>
              <w:fldChar w:fldCharType="end"/>
            </w:r>
            <w:r w:rsidR="003C1901" w:rsidRPr="000A6219">
              <w:rPr>
                <w:rFonts w:ascii="Book Antiqua" w:hAnsi="Book Antiqua"/>
                <w:sz w:val="24"/>
                <w:szCs w:val="24"/>
                <w:lang w:val="en-US"/>
              </w:rPr>
              <w:t>, 2010</w:t>
            </w:r>
          </w:p>
        </w:tc>
        <w:tc>
          <w:tcPr>
            <w:tcW w:w="850" w:type="dxa"/>
            <w:shd w:val="clear" w:color="auto" w:fill="auto"/>
            <w:hideMark/>
          </w:tcPr>
          <w:p w14:paraId="09314AB6"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2</w:t>
            </w:r>
          </w:p>
        </w:tc>
        <w:tc>
          <w:tcPr>
            <w:tcW w:w="851" w:type="dxa"/>
            <w:shd w:val="clear" w:color="auto" w:fill="auto"/>
            <w:hideMark/>
          </w:tcPr>
          <w:p w14:paraId="430BDFDD" w14:textId="3FCBE152"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10</w:t>
            </w:r>
            <w:r w:rsidR="006D217A" w:rsidRPr="000A6219">
              <w:rPr>
                <w:rFonts w:ascii="Book Antiqua" w:hAnsi="Book Antiqua"/>
                <w:sz w:val="24"/>
                <w:szCs w:val="24"/>
                <w:vertAlign w:val="superscript"/>
                <w:lang w:val="en-US"/>
              </w:rPr>
              <w:t>1</w:t>
            </w:r>
          </w:p>
        </w:tc>
        <w:tc>
          <w:tcPr>
            <w:tcW w:w="3402" w:type="dxa"/>
            <w:shd w:val="clear" w:color="auto" w:fill="auto"/>
            <w:hideMark/>
          </w:tcPr>
          <w:p w14:paraId="433D2120" w14:textId="00276549"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AIEC: B2</w:t>
            </w:r>
            <w:r w:rsidR="0088716F" w:rsidRPr="000A6219">
              <w:rPr>
                <w:rFonts w:ascii="Book Antiqua" w:hAnsi="Book Antiqua"/>
                <w:sz w:val="24"/>
                <w:szCs w:val="24"/>
                <w:lang w:val="en-US"/>
              </w:rPr>
              <w:t>;</w:t>
            </w:r>
            <w:r w:rsidR="0088716F" w:rsidRPr="000A6219">
              <w:rPr>
                <w:rFonts w:ascii="Book Antiqua" w:hAnsi="Book Antiqua"/>
                <w:sz w:val="24"/>
                <w:szCs w:val="24"/>
                <w:lang w:val="en-US" w:eastAsia="zh-CN"/>
              </w:rPr>
              <w:t xml:space="preserve"> </w:t>
            </w:r>
            <w:r w:rsidRPr="000A6219">
              <w:rPr>
                <w:rFonts w:ascii="Book Antiqua" w:hAnsi="Book Antiqua"/>
                <w:sz w:val="24"/>
                <w:szCs w:val="24"/>
                <w:lang w:val="en-US"/>
              </w:rPr>
              <w:t>Commensals: 2A</w:t>
            </w:r>
            <w:r w:rsidR="0088716F" w:rsidRPr="000A6219">
              <w:rPr>
                <w:rFonts w:ascii="Book Antiqua" w:hAnsi="Book Antiqua"/>
                <w:sz w:val="24"/>
                <w:szCs w:val="24"/>
                <w:lang w:val="en-US"/>
              </w:rPr>
              <w:t>;</w:t>
            </w:r>
            <w:r w:rsidR="0088716F" w:rsidRPr="000A6219">
              <w:rPr>
                <w:rFonts w:ascii="Book Antiqua" w:hAnsi="Book Antiqua"/>
                <w:sz w:val="24"/>
                <w:szCs w:val="24"/>
                <w:lang w:val="en-US" w:eastAsia="zh-CN"/>
              </w:rPr>
              <w:t xml:space="preserve"> </w:t>
            </w:r>
            <w:proofErr w:type="spellStart"/>
            <w:r w:rsidRPr="000A6219">
              <w:rPr>
                <w:rFonts w:ascii="Book Antiqua" w:hAnsi="Book Antiqua"/>
                <w:sz w:val="24"/>
                <w:szCs w:val="24"/>
                <w:lang w:val="en-US"/>
              </w:rPr>
              <w:t>ExPEC</w:t>
            </w:r>
            <w:proofErr w:type="spellEnd"/>
            <w:r w:rsidRPr="000A6219">
              <w:rPr>
                <w:rFonts w:ascii="Book Antiqua" w:hAnsi="Book Antiqua"/>
                <w:sz w:val="24"/>
                <w:szCs w:val="24"/>
                <w:lang w:val="en-US"/>
              </w:rPr>
              <w:t>: 7B2, 1E</w:t>
            </w:r>
          </w:p>
        </w:tc>
        <w:tc>
          <w:tcPr>
            <w:tcW w:w="2239" w:type="dxa"/>
            <w:shd w:val="clear" w:color="auto" w:fill="auto"/>
            <w:hideMark/>
          </w:tcPr>
          <w:p w14:paraId="1B2CB1D4"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From I-CD patients</w:t>
            </w:r>
          </w:p>
        </w:tc>
      </w:tr>
      <w:tr w:rsidR="0088716F" w:rsidRPr="000A6219" w14:paraId="346CBB0A" w14:textId="77777777" w:rsidTr="007A0A4A">
        <w:trPr>
          <w:trHeight w:val="248"/>
        </w:trPr>
        <w:tc>
          <w:tcPr>
            <w:tcW w:w="1844" w:type="dxa"/>
            <w:shd w:val="clear" w:color="auto" w:fill="auto"/>
            <w:hideMark/>
          </w:tcPr>
          <w:p w14:paraId="5D2A997D" w14:textId="6C44642C" w:rsidR="003C1901" w:rsidRPr="000A6219" w:rsidRDefault="0088716F"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 xml:space="preserve">Dogan </w:t>
            </w:r>
            <w:r w:rsidRPr="000A6219">
              <w:rPr>
                <w:rFonts w:ascii="Book Antiqua" w:hAnsi="Book Antiqua"/>
                <w:i/>
                <w:sz w:val="24"/>
                <w:szCs w:val="24"/>
                <w:lang w:val="es-E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s-E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s-ES"/>
              </w:rPr>
              <w:t>[31]</w:t>
            </w:r>
            <w:r w:rsidRPr="000A6219">
              <w:rPr>
                <w:rFonts w:ascii="Book Antiqua" w:hAnsi="Book Antiqua"/>
                <w:sz w:val="24"/>
                <w:szCs w:val="24"/>
                <w:lang w:val="en-US"/>
              </w:rPr>
              <w:fldChar w:fldCharType="end"/>
            </w:r>
            <w:r w:rsidRPr="000A6219">
              <w:rPr>
                <w:rFonts w:ascii="Book Antiqua" w:hAnsi="Book Antiqua"/>
                <w:sz w:val="24"/>
                <w:szCs w:val="24"/>
                <w:lang w:val="es-ES"/>
              </w:rPr>
              <w:t>, 2014</w:t>
            </w:r>
          </w:p>
        </w:tc>
        <w:tc>
          <w:tcPr>
            <w:tcW w:w="850" w:type="dxa"/>
            <w:shd w:val="clear" w:color="auto" w:fill="auto"/>
            <w:hideMark/>
          </w:tcPr>
          <w:p w14:paraId="464F4992"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24</w:t>
            </w:r>
          </w:p>
        </w:tc>
        <w:tc>
          <w:tcPr>
            <w:tcW w:w="851" w:type="dxa"/>
            <w:shd w:val="clear" w:color="auto" w:fill="auto"/>
            <w:hideMark/>
          </w:tcPr>
          <w:p w14:paraId="6AC634DD"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25</w:t>
            </w:r>
          </w:p>
        </w:tc>
        <w:tc>
          <w:tcPr>
            <w:tcW w:w="3402" w:type="dxa"/>
            <w:shd w:val="clear" w:color="auto" w:fill="auto"/>
            <w:hideMark/>
          </w:tcPr>
          <w:p w14:paraId="50E6DF6C" w14:textId="11B4982B"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14 strains from A phylogroup, 16 B1, 10 B2 and 9 D</w:t>
            </w:r>
            <w:r w:rsidR="006D217A" w:rsidRPr="000A6219">
              <w:rPr>
                <w:rFonts w:ascii="Book Antiqua" w:hAnsi="Book Antiqua"/>
                <w:sz w:val="24"/>
                <w:szCs w:val="24"/>
                <w:vertAlign w:val="superscript"/>
                <w:lang w:val="en-US"/>
              </w:rPr>
              <w:t>2</w:t>
            </w:r>
          </w:p>
        </w:tc>
        <w:tc>
          <w:tcPr>
            <w:tcW w:w="2239" w:type="dxa"/>
            <w:shd w:val="clear" w:color="auto" w:fill="auto"/>
            <w:hideMark/>
          </w:tcPr>
          <w:p w14:paraId="441603AE"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From I-CD patients and controls</w:t>
            </w:r>
          </w:p>
        </w:tc>
      </w:tr>
      <w:tr w:rsidR="0088716F" w:rsidRPr="000A6219" w14:paraId="6066094A" w14:textId="77777777" w:rsidTr="007A0A4A">
        <w:trPr>
          <w:trHeight w:val="248"/>
        </w:trPr>
        <w:tc>
          <w:tcPr>
            <w:tcW w:w="1844" w:type="dxa"/>
            <w:shd w:val="clear" w:color="auto" w:fill="auto"/>
            <w:hideMark/>
          </w:tcPr>
          <w:p w14:paraId="4A503943" w14:textId="5E1A261B" w:rsidR="003C1901" w:rsidRPr="000A6219" w:rsidRDefault="0088716F" w:rsidP="000A6219">
            <w:pPr>
              <w:snapToGrid w:val="0"/>
              <w:spacing w:line="360" w:lineRule="auto"/>
              <w:jc w:val="both"/>
              <w:rPr>
                <w:rFonts w:ascii="Book Antiqua" w:hAnsi="Book Antiqua"/>
                <w:sz w:val="24"/>
                <w:szCs w:val="24"/>
                <w:lang w:val="en-US"/>
              </w:rPr>
            </w:pPr>
            <w:proofErr w:type="spellStart"/>
            <w:r w:rsidRPr="000A6219">
              <w:rPr>
                <w:rFonts w:ascii="Book Antiqua" w:hAnsi="Book Antiqua"/>
                <w:sz w:val="24"/>
                <w:szCs w:val="24"/>
                <w:lang w:val="en-US"/>
              </w:rPr>
              <w:t>Desilets</w:t>
            </w:r>
            <w:proofErr w:type="spellEnd"/>
            <w:r w:rsidRPr="000A6219">
              <w:rPr>
                <w:rFonts w:ascii="Book Antiqua" w:hAnsi="Book Antiqua"/>
                <w:sz w:val="24"/>
                <w:szCs w:val="24"/>
                <w:lang w:val="en-US"/>
              </w:rPr>
              <w:t xml:space="preserve"> </w:t>
            </w:r>
            <w:r w:rsidRPr="000A6219">
              <w:rPr>
                <w:rFonts w:ascii="Book Antiqua" w:hAnsi="Book Antiqua"/>
                <w:i/>
                <w:sz w:val="24"/>
                <w:szCs w:val="24"/>
                <w:lang w:val="en-U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n-US"/>
              </w:rPr>
              <w:instrText>ADDIN CSL_CITATION {"citationItems":[{"id":"ITEM-1","itemData":{"DOI":"10.1097/MIB.0000000000000574","ISBN":"0000000000000","ISSN":"15364844","PMID":"26444104","abstract":"BACKGROUND Mucosal-associated Escherichia coli are commonly found in inflamed tissues during inflammatory bowel disease (IBD). These bacteria often possess an adherent and invasive phenotype but lack virulence-associated features of well-described intestinal E. coli pathogens, and are of diverse serology and phylotypes, making it difficult to correlate strain characteristics with exacerbations of disease. METHODS The genome sequences of 14 phenotypically assigned adherent-invasive Escherichia coli (AIEC) isolates obtained from intestinal biopsies of patients with IBD were compared with the genome sequences of 37 other pathogenic and commensal E. coli available from public databases. RESULTS Core genome-based phylogenetic analyses and genome-wide comparison of genetic content established the existence of a closely related cluster of AIEC strains with 3 distinct genetic insertions differentiating them from commensal E. coli. These strains are of the B2 phylotype have a variant type VI secretion system (T6SS-1), and are highly related to extraintestinal pathogenic E. coli, suggesting that these 2 clinically distinct pathovars have common virulence strategies. Four other mucosally adherent E. coli strains from patients with IBD were of diverse phylogenetic origins and lacked the 3 genetic features, suggesting that they are not related to the B2 AIEC cluster. Although AIEC are often considered as having a unique association with Crohn's disease, isolates from Crohn's disease and ulcerative colitis were genetically indistinguishable. CONCLUSIONS B2 AIEC thus represent a closely related cluster of IBD-associated E. coli strains that are distinct from normal commensal isolates, and which should be considered separately from the phenotypically similar but genetically distinct non-B2 AIEC strains when considering their association with intestinal pathogenesis.","author":[{"dropping-particle":"","family":"Desilets","given":"Michael","non-dropping-particle":"","parse-names":false,"suffix":""},{"dropping-particle":"","family":"Deng","given":"Xiangding","non-dropping-particle":"","parse-names":false,"suffix":""},{"dropping-particle":"","family":"Rao","given":"Chitong","non-dropping-particle":"","parse-names":false,"suffix":""},{"dropping-particle":"","family":"Ensminger","given":"Alexander W.","non-dropping-particle":"","parse-names":false,"suffix":""},{"dropping-particle":"","family":"Krause","given":"Denis O.","non-dropping-particle":"","parse-names":false,"suffix":""},{"dropping-particle":"","family":"Sherman","given":"Philip M.","non-dropping-particle":"","parse-names":false,"suffix":""},{"dropping-particle":"","family":"Gray-Owen","given":"Scott D.","non-dropping-particle":"","parse-names":false,"suffix":""}],"container-title":"Inflammatory Bowel Diseases","id":"ITEM-1","issue":"1","issued":{"date-parts":[["2016"]]},"page":"1-12","title":"Genome-based definition of an inflammatory bowel disease-associated adherent-invasive Escherichia coli pathovar","type":"article-journal","volume":"22"},"uris":["http://www.mendeley.com/documents/?uuid=b415452d-a7f0-42e4-a968-ab2a8693e4d3"]}],"mendeley":{"formattedCitation":"&lt;sup&gt;[32]&lt;/sup&gt;","plainTextFormattedCitation":"[32]","previouslyFormattedCitation":"&lt;sup&gt;[32]&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n-US"/>
              </w:rPr>
              <w:t>[32]</w:t>
            </w:r>
            <w:r w:rsidRPr="000A6219">
              <w:rPr>
                <w:rFonts w:ascii="Book Antiqua" w:hAnsi="Book Antiqua"/>
                <w:sz w:val="24"/>
                <w:szCs w:val="24"/>
                <w:lang w:val="en-US"/>
              </w:rPr>
              <w:fldChar w:fldCharType="end"/>
            </w:r>
            <w:r w:rsidRPr="000A6219">
              <w:rPr>
                <w:rFonts w:ascii="Book Antiqua" w:hAnsi="Book Antiqua"/>
                <w:sz w:val="24"/>
                <w:szCs w:val="24"/>
                <w:lang w:val="en-US"/>
              </w:rPr>
              <w:t>, 2015</w:t>
            </w:r>
          </w:p>
        </w:tc>
        <w:tc>
          <w:tcPr>
            <w:tcW w:w="850" w:type="dxa"/>
            <w:shd w:val="clear" w:color="auto" w:fill="auto"/>
            <w:hideMark/>
          </w:tcPr>
          <w:p w14:paraId="02B195E3" w14:textId="15F94B61"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14</w:t>
            </w:r>
            <w:r w:rsidR="006D217A" w:rsidRPr="000A6219">
              <w:rPr>
                <w:rFonts w:ascii="Book Antiqua" w:hAnsi="Book Antiqua"/>
                <w:sz w:val="24"/>
                <w:szCs w:val="24"/>
                <w:vertAlign w:val="superscript"/>
                <w:lang w:val="en-US"/>
              </w:rPr>
              <w:t>3</w:t>
            </w:r>
          </w:p>
        </w:tc>
        <w:tc>
          <w:tcPr>
            <w:tcW w:w="851" w:type="dxa"/>
            <w:shd w:val="clear" w:color="auto" w:fill="auto"/>
            <w:hideMark/>
          </w:tcPr>
          <w:p w14:paraId="71CFD112"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6</w:t>
            </w:r>
          </w:p>
        </w:tc>
        <w:tc>
          <w:tcPr>
            <w:tcW w:w="3402" w:type="dxa"/>
            <w:shd w:val="clear" w:color="auto" w:fill="auto"/>
            <w:hideMark/>
          </w:tcPr>
          <w:p w14:paraId="4C9494CE" w14:textId="56483098"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AIEC: A:</w:t>
            </w:r>
            <w:r w:rsidR="0088716F" w:rsidRPr="000A6219">
              <w:rPr>
                <w:rFonts w:ascii="Book Antiqua" w:hAnsi="Book Antiqua"/>
                <w:sz w:val="24"/>
                <w:szCs w:val="24"/>
                <w:lang w:val="en-US"/>
              </w:rPr>
              <w:t xml:space="preserve"> </w:t>
            </w:r>
            <w:r w:rsidRPr="000A6219">
              <w:rPr>
                <w:rFonts w:ascii="Book Antiqua" w:hAnsi="Book Antiqua"/>
                <w:sz w:val="24"/>
                <w:szCs w:val="24"/>
                <w:lang w:val="en-US"/>
              </w:rPr>
              <w:t>1; B1:</w:t>
            </w:r>
            <w:r w:rsidR="0088716F" w:rsidRPr="000A6219">
              <w:rPr>
                <w:rFonts w:ascii="Book Antiqua" w:hAnsi="Book Antiqua"/>
                <w:sz w:val="24"/>
                <w:szCs w:val="24"/>
                <w:lang w:val="en-US"/>
              </w:rPr>
              <w:t xml:space="preserve"> </w:t>
            </w:r>
            <w:r w:rsidRPr="000A6219">
              <w:rPr>
                <w:rFonts w:ascii="Book Antiqua" w:hAnsi="Book Antiqua"/>
                <w:sz w:val="24"/>
                <w:szCs w:val="24"/>
                <w:lang w:val="en-US"/>
              </w:rPr>
              <w:t>1; B2:</w:t>
            </w:r>
            <w:r w:rsidR="0088716F" w:rsidRPr="000A6219">
              <w:rPr>
                <w:rFonts w:ascii="Book Antiqua" w:hAnsi="Book Antiqua"/>
                <w:sz w:val="24"/>
                <w:szCs w:val="24"/>
                <w:lang w:val="en-US"/>
              </w:rPr>
              <w:t xml:space="preserve"> </w:t>
            </w:r>
            <w:r w:rsidRPr="000A6219">
              <w:rPr>
                <w:rFonts w:ascii="Book Antiqua" w:hAnsi="Book Antiqua"/>
                <w:sz w:val="24"/>
                <w:szCs w:val="24"/>
                <w:lang w:val="en-US"/>
              </w:rPr>
              <w:t>10; D:</w:t>
            </w:r>
            <w:r w:rsidR="0088716F" w:rsidRPr="000A6219">
              <w:rPr>
                <w:rFonts w:ascii="Book Antiqua" w:hAnsi="Book Antiqua"/>
                <w:sz w:val="24"/>
                <w:szCs w:val="24"/>
                <w:lang w:val="en-US"/>
              </w:rPr>
              <w:t xml:space="preserve"> </w:t>
            </w:r>
            <w:r w:rsidRPr="000A6219">
              <w:rPr>
                <w:rFonts w:ascii="Book Antiqua" w:hAnsi="Book Antiqua"/>
                <w:sz w:val="24"/>
                <w:szCs w:val="24"/>
                <w:lang w:val="en-US"/>
              </w:rPr>
              <w:t>1; F:</w:t>
            </w:r>
            <w:r w:rsidR="0088716F" w:rsidRPr="000A6219">
              <w:rPr>
                <w:rFonts w:ascii="Book Antiqua" w:hAnsi="Book Antiqua"/>
                <w:sz w:val="24"/>
                <w:szCs w:val="24"/>
                <w:lang w:val="en-US"/>
              </w:rPr>
              <w:t xml:space="preserve"> </w:t>
            </w:r>
            <w:r w:rsidRPr="000A6219">
              <w:rPr>
                <w:rFonts w:ascii="Book Antiqua" w:hAnsi="Book Antiqua"/>
                <w:sz w:val="24"/>
                <w:szCs w:val="24"/>
                <w:lang w:val="en-US"/>
              </w:rPr>
              <w:t>1. non-AIEC: A:</w:t>
            </w:r>
            <w:r w:rsidR="0088716F" w:rsidRPr="000A6219">
              <w:rPr>
                <w:rFonts w:ascii="Book Antiqua" w:hAnsi="Book Antiqua"/>
                <w:sz w:val="24"/>
                <w:szCs w:val="24"/>
                <w:lang w:val="en-US"/>
              </w:rPr>
              <w:t xml:space="preserve"> </w:t>
            </w:r>
            <w:r w:rsidRPr="000A6219">
              <w:rPr>
                <w:rFonts w:ascii="Book Antiqua" w:hAnsi="Book Antiqua"/>
                <w:sz w:val="24"/>
                <w:szCs w:val="24"/>
                <w:lang w:val="en-US"/>
              </w:rPr>
              <w:t>2; B1:</w:t>
            </w:r>
            <w:r w:rsidR="0088716F" w:rsidRPr="000A6219">
              <w:rPr>
                <w:rFonts w:ascii="Book Antiqua" w:hAnsi="Book Antiqua"/>
                <w:sz w:val="24"/>
                <w:szCs w:val="24"/>
                <w:lang w:val="en-US"/>
              </w:rPr>
              <w:t xml:space="preserve"> </w:t>
            </w:r>
            <w:r w:rsidRPr="000A6219">
              <w:rPr>
                <w:rFonts w:ascii="Book Antiqua" w:hAnsi="Book Antiqua"/>
                <w:sz w:val="24"/>
                <w:szCs w:val="24"/>
                <w:lang w:val="en-US"/>
              </w:rPr>
              <w:t>2; B2:</w:t>
            </w:r>
            <w:r w:rsidR="0088716F" w:rsidRPr="000A6219">
              <w:rPr>
                <w:rFonts w:ascii="Book Antiqua" w:hAnsi="Book Antiqua"/>
                <w:sz w:val="24"/>
                <w:szCs w:val="24"/>
                <w:lang w:val="en-US"/>
              </w:rPr>
              <w:t xml:space="preserve"> 2</w:t>
            </w:r>
          </w:p>
        </w:tc>
        <w:tc>
          <w:tcPr>
            <w:tcW w:w="2239" w:type="dxa"/>
            <w:shd w:val="clear" w:color="auto" w:fill="auto"/>
            <w:hideMark/>
          </w:tcPr>
          <w:p w14:paraId="7B1D7794" w14:textId="54F05D24" w:rsidR="003C1901" w:rsidRPr="000A6219" w:rsidRDefault="003C1901" w:rsidP="00CB5F52">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From CD and UC patients</w:t>
            </w:r>
            <w:r w:rsidRPr="000A6219">
              <w:rPr>
                <w:rFonts w:ascii="Book Antiqua" w:hAnsi="Book Antiqua"/>
                <w:sz w:val="24"/>
                <w:szCs w:val="24"/>
                <w:lang w:val="en-US"/>
              </w:rPr>
              <w:fldChar w:fldCharType="begin" w:fldLock="1"/>
            </w:r>
            <w:r w:rsidR="004C4A78" w:rsidRPr="000A6219">
              <w:rPr>
                <w:rFonts w:ascii="Book Antiqua" w:hAnsi="Book Antiqua"/>
                <w:sz w:val="24"/>
                <w:szCs w:val="24"/>
                <w:lang w:val="en-US"/>
              </w:rPr>
              <w:instrText>ADDIN CSL_CITATION {"citationItems":[{"id":"ITEM-1","itemData":{"DOI":"10.1002/ibd.21509","ISSN":"1078-0998","PMID":"21674703","abstract":"BACKGROUND Mucosal-associated Escherichia coli may play a role in the pathogenesis of inflammatory bowel diseases (IBDs). In this study we assessed mucosal-associated E. coli in adults at the time of first diagnosis. MATERIALS AND METHODS E. coli were isolated from 59 right colon biopsies of 34 newly diagnosed adult IBD patients (Crohn's disease [CD] = 23, ulcerative colitis [UC] = 11) and 25 healthy controls (HC). Strains were serotyped, phylotyped into A, B1, B2, or D, and tested for their ability to survive in macrophages. The presence of various virulence factors was also assessed. The fimH subunit of type 1 fimbriae was sequenced and phylogenetically analyzed. RESULTS A total of 65 E. coli were isolated from CD (29 isolates from 23 patients), UC (11 isolates from 11 patients), and HC (25 isolates from 25 subjects). All E. coli were positive for fimH, crl, and cgsA and negative for vt1, vt2, hlyA, cnf, and eae. Significant positive associations were between CD and in between CD and afae (P = 0.002), and between UC and ompA (P = 0.02), afae (P = 0.03), and USP (P = 0.04). The B2+D phylotype was significantly associated with inflammation (P = 0.04) as it was with serine protease autotransporters (SPATE), malX, ompA, and kpsMTII (P &lt; 0.05). Macrophage survival was the highest in UC-isolated E. coli (P = 0.04). FimH amino acid substitutions N91S, S99N, and A223V were associated with IBD (P &lt; 0.05). CONCLUSIONS Adherent invasive E. coli are present at first diagnosis, suggesting that they may have a role in the early stages of disease onset.","author":[{"dropping-particle":"","family":"Sepehri","given":"Shadi","non-dropping-particle":"","parse-names":false,"suffix":""},{"dropping-particle":"","family":"Khafipour","given":"Ehsan","non-dropping-particle":"","parse-names":false,"suffix":""},{"dropping-particle":"","family":"Bernstein","given":"Charles N.","non-dropping-particle":"","parse-names":false,"suffix":""},{"dropping-particle":"","family":"Coombes","given":"Brian K.","non-dropping-particle":"","parse-names":false,"suffix":""},{"dropping-particle":"V.","family":"Pilar","given":"Ana","non-dropping-particle":"","parse-names":false,"suffix":""},{"dropping-particle":"","family":"Karmali","given":"Mohamed","non-dropping-particle":"","parse-names":false,"suffix":""},{"dropping-particle":"","family":"Ziebell","given":"Kim","non-dropping-particle":"","parse-names":false,"suffix":""},{"dropping-particle":"","family":"Krause","given":"Denis O.","non-dropping-particle":"","parse-names":false,"suffix":""}],"container-title":"Inflammatory Bowel Diseases","id":"ITEM-1","issue":"7","issued":{"date-parts":[["2011","7"]]},"page":"1451-1463","title":"Characterization of Escherichia coli isolated from gut biopsies of newly diagnosed patients with inflammatory bowel disease","type":"article-journal","volume":"17"},"uris":["http://www.mendeley.com/documents/?uuid=44f1974c-c59d-31d5-8619-e6663934f9f2"]}],"mendeley":{"formattedCitation":"&lt;sup&gt;[69]&lt;/sup&gt;","plainTextFormattedCitation":"[69]","previouslyFormattedCitation":"&lt;sup&gt;[69]&lt;/sup&gt;"},"properties":{"noteIndex":0},"schema":"https://github.com/citation-style-language/schema/raw/master/csl-citation.json"}</w:instrText>
            </w:r>
            <w:r w:rsidRPr="000A6219">
              <w:rPr>
                <w:rFonts w:ascii="Book Antiqua" w:hAnsi="Book Antiqua"/>
                <w:sz w:val="24"/>
                <w:szCs w:val="24"/>
                <w:lang w:val="en-US"/>
              </w:rPr>
              <w:fldChar w:fldCharType="separate"/>
            </w:r>
            <w:r w:rsidR="00E04FBE" w:rsidRPr="000A6219">
              <w:rPr>
                <w:rFonts w:ascii="Book Antiqua" w:hAnsi="Book Antiqua"/>
                <w:noProof/>
                <w:sz w:val="24"/>
                <w:szCs w:val="24"/>
                <w:vertAlign w:val="superscript"/>
                <w:lang w:val="en-US"/>
              </w:rPr>
              <w:t>[</w:t>
            </w:r>
            <w:r w:rsidR="00CB5F52">
              <w:rPr>
                <w:rFonts w:ascii="Book Antiqua" w:hAnsi="Book Antiqua"/>
                <w:noProof/>
                <w:sz w:val="24"/>
                <w:szCs w:val="24"/>
                <w:vertAlign w:val="superscript"/>
                <w:lang w:val="en-US"/>
              </w:rPr>
              <w:t>4</w:t>
            </w:r>
            <w:r w:rsidR="0077005C" w:rsidRPr="000A6219">
              <w:rPr>
                <w:rFonts w:ascii="Book Antiqua" w:hAnsi="Book Antiqua"/>
                <w:noProof/>
                <w:sz w:val="24"/>
                <w:szCs w:val="24"/>
                <w:vertAlign w:val="superscript"/>
                <w:lang w:val="en-US"/>
              </w:rPr>
              <w:t>7</w:t>
            </w:r>
            <w:r w:rsidR="00E04FBE" w:rsidRPr="000A6219">
              <w:rPr>
                <w:rFonts w:ascii="Book Antiqua" w:hAnsi="Book Antiqua"/>
                <w:noProof/>
                <w:sz w:val="24"/>
                <w:szCs w:val="24"/>
                <w:vertAlign w:val="superscript"/>
                <w:lang w:val="en-US"/>
              </w:rPr>
              <w:t>]</w:t>
            </w:r>
            <w:r w:rsidRPr="000A6219">
              <w:rPr>
                <w:rFonts w:ascii="Book Antiqua" w:hAnsi="Book Antiqua"/>
                <w:sz w:val="24"/>
                <w:szCs w:val="24"/>
                <w:lang w:val="en-US"/>
              </w:rPr>
              <w:fldChar w:fldCharType="end"/>
            </w:r>
          </w:p>
        </w:tc>
      </w:tr>
      <w:tr w:rsidR="0088716F" w:rsidRPr="000A6219" w14:paraId="2DBD608F" w14:textId="77777777" w:rsidTr="007A0A4A">
        <w:trPr>
          <w:trHeight w:val="263"/>
        </w:trPr>
        <w:tc>
          <w:tcPr>
            <w:tcW w:w="1844" w:type="dxa"/>
            <w:shd w:val="clear" w:color="auto" w:fill="auto"/>
            <w:hideMark/>
          </w:tcPr>
          <w:p w14:paraId="457F44EF" w14:textId="700C7E7D" w:rsidR="003C1901" w:rsidRPr="000A6219" w:rsidRDefault="0088716F"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 xml:space="preserve">Zhang </w:t>
            </w:r>
            <w:r w:rsidRPr="000A6219">
              <w:rPr>
                <w:rFonts w:ascii="Book Antiqua" w:hAnsi="Book Antiqua"/>
                <w:i/>
                <w:sz w:val="24"/>
                <w:szCs w:val="24"/>
                <w:lang w:val="en-U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n-US"/>
              </w:rPr>
              <w:instrText>ADDIN CSL_CITATION {"citationItems":[{"id":"ITEM-1","itemData":{"DOI":"10.1371/journal.pone.0130902","ISSN":"1932-6203","PMID":"26125937","abstract":"Adherent-invasive Escherichia coli (AIEC) strains are detected more frequently within mucosal lesions of patients with Crohn's disease (CD). The AIEC phenotype consists of adherence and invasion of intestinal epithelial cells and survival within macrophages of these bacteria in vitro. Our aim was to identify candidate transcripts that distinguish AIEC from non-invasive E. coli (NIEC) strains and might be useful for rapid and accurate identification of AIEC by culture-independent technology. We performed comparative RNA-Sequence (RNASeq) analysis using AIEC strain LF82 and NIEC strain HS during exponential and stationary growth. Differential expression analysis of coding sequences (CDS) homologous to both strains demonstrated 224 and 241 genes with increased and decreased expression, respectively, in LF82 relative to HS. Transition metal transport and siderophore metabolism related pathway genes were up-regulated, while glycogen metabolic and oxidation-reduction related pathway genes were down-regulated, in LF82. Chemotaxis related transcripts were up-regulated in LF82 during the exponential phase, but flagellum-dependent motility pathway genes were down-regulated in LF82 during the stationary phase. CDS that mapped only to the LF82 genome accounted for 747 genes. We applied an in silico subtractive genomics approach to identify CDS specific to AIEC by incorporating the genomes of 10 other previously phenotyped NIEC. From this analysis, 166 CDS mapped to the LF82 genome and lacked homology to any of the 11 human NIEC strains. We compared these CDS across 13 AIEC, but none were homologous in each. Four LF82 gene loci belonging to clustered regularly interspaced short palindromic repeats region (CRISPR)--CRISPR-associated (Cas) genes were identified in 4 to 6 AIEC and absent from all non-pathogenic bacteria. As previously reported, AIEC strains were enriched for pdu operon genes. One CDS, encoding an excisionase, was shared by 9 AIEC strains. Reverse transcription quantitative polymerase chain reaction assays for 6 genes were conducted on fecal and ileal RNA samples from 22 inflammatory bowel disease (IBD), and 32 patients without IBD (non-IBD). The expression of Cas loci was detected in a higher proportion of CD than non-IBD fecal and ileal RNA samples (p &lt;0.05). These results support a comparative genomic/transcriptomic approach towards identifying candidate AIEC signature transcripts.","author":[{"dropping-particle":"","family":"Zhang","given":"Yuanhao","non-dropping-particle":"","parse-names":false,"suffix":""},{"dropping-particle":"","family":"Rowehl","given":"Leahana","non-dropping-particle":"","parse-names":false,"suffix":""},{"dropping-particle":"","family":"Krumsiek","given":"Julia M","non-dropping-particle":"","parse-names":false,"suffix":""},{"dropping-particle":"","family":"Orner","given":"Erika P","non-dropping-particle":"","parse-names":false,"suffix":""},{"dropping-particle":"","family":"Shaikh","given":"Nurmohammad","non-dropping-particle":"","parse-names":false,"suffix":""},{"dropping-particle":"","family":"Tarr","given":"Phillip I","non-dropping-particle":"","parse-names":false,"suffix":""},{"dropping-particle":"","family":"Sodergren","given":"Erica","non-dropping-particle":"","parse-names":false,"suffix":""},{"dropping-particle":"","family":"Weinstock","given":"George M","non-dropping-particle":"","parse-names":false,"suffix":""},{"dropping-particle":"","family":"Boedeker","given":"Edgar C","non-dropping-particle":"","parse-names":false,"suffix":""},{"dropping-particle":"","family":"Xiong","given":"Xuejian","non-dropping-particle":"","parse-names":false,"suffix":""},{"dropping-particle":"","family":"Parkinson","given":"John","non-dropping-particle":"","parse-names":false,"suffix":""},{"dropping-particle":"","family":"Frank","given":"Daniel N","non-dropping-particle":"","parse-names":false,"suffix":""},{"dropping-particle":"","family":"Li","given":"Ellen","non-dropping-particle":"","parse-names":false,"suffix":""},{"dropping-particle":"","family":"Gathungu","given":"Grace","non-dropping-particle":"","parse-names":false,"suffix":""}],"container-title":"PloS one","id":"ITEM-1","issue":"6","issued":{"date-parts":[["2015"]]},"page":"e0130902","publisher":"Public Library of Science","title":"Identification of Candidate Adherent-Invasive E. coli Signature Transcripts by Genomic/Transcriptomic Analysis.","type":"article-journal","volume":"10"},"uris":["http://www.mendeley.com/documents/?uuid=c64dddf1-d66e-31ad-8569-739a844139b3"]}],"mendeley":{"formattedCitation":"&lt;sup&gt;[35]&lt;/sup&gt;","plainTextFormattedCitation":"[35]","previouslyFormattedCitation":"&lt;sup&gt;[35]&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n-US"/>
              </w:rPr>
              <w:t>[35]</w:t>
            </w:r>
            <w:r w:rsidRPr="000A6219">
              <w:rPr>
                <w:rFonts w:ascii="Book Antiqua" w:hAnsi="Book Antiqua"/>
                <w:sz w:val="24"/>
                <w:szCs w:val="24"/>
                <w:lang w:val="en-US"/>
              </w:rPr>
              <w:fldChar w:fldCharType="end"/>
            </w:r>
            <w:r w:rsidRPr="000A6219">
              <w:rPr>
                <w:rFonts w:ascii="Book Antiqua" w:hAnsi="Book Antiqua"/>
                <w:sz w:val="24"/>
                <w:szCs w:val="24"/>
                <w:lang w:val="en-US"/>
              </w:rPr>
              <w:t>, 2015</w:t>
            </w:r>
          </w:p>
        </w:tc>
        <w:tc>
          <w:tcPr>
            <w:tcW w:w="850" w:type="dxa"/>
            <w:shd w:val="clear" w:color="auto" w:fill="auto"/>
            <w:hideMark/>
          </w:tcPr>
          <w:p w14:paraId="3E8451A0"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13</w:t>
            </w:r>
          </w:p>
        </w:tc>
        <w:tc>
          <w:tcPr>
            <w:tcW w:w="851" w:type="dxa"/>
            <w:shd w:val="clear" w:color="auto" w:fill="auto"/>
            <w:hideMark/>
          </w:tcPr>
          <w:p w14:paraId="753C47EE"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11</w:t>
            </w:r>
          </w:p>
        </w:tc>
        <w:tc>
          <w:tcPr>
            <w:tcW w:w="3402" w:type="dxa"/>
            <w:shd w:val="clear" w:color="auto" w:fill="auto"/>
            <w:hideMark/>
          </w:tcPr>
          <w:p w14:paraId="24A06961"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AIEC: 1A, 1B1, 4B2, 1D, 5 Unknown. non-AIEC: 3A, 8 Unknown</w:t>
            </w:r>
          </w:p>
        </w:tc>
        <w:tc>
          <w:tcPr>
            <w:tcW w:w="2239" w:type="dxa"/>
            <w:shd w:val="clear" w:color="auto" w:fill="auto"/>
            <w:hideMark/>
          </w:tcPr>
          <w:p w14:paraId="38F761B7" w14:textId="113AD6BD"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 xml:space="preserve">From CD and </w:t>
            </w:r>
            <w:r w:rsidR="0088716F" w:rsidRPr="000A6219">
              <w:rPr>
                <w:rFonts w:ascii="Book Antiqua" w:hAnsi="Book Antiqua"/>
                <w:sz w:val="24"/>
                <w:szCs w:val="24"/>
                <w:lang w:val="en-US"/>
              </w:rPr>
              <w:t>UC patients and non-CD subjects</w:t>
            </w:r>
          </w:p>
        </w:tc>
      </w:tr>
      <w:tr w:rsidR="0088716F" w:rsidRPr="000A6219" w14:paraId="1C0AB309" w14:textId="77777777" w:rsidTr="007A0A4A">
        <w:trPr>
          <w:trHeight w:val="248"/>
        </w:trPr>
        <w:tc>
          <w:tcPr>
            <w:tcW w:w="1844" w:type="dxa"/>
            <w:shd w:val="clear" w:color="auto" w:fill="auto"/>
            <w:hideMark/>
          </w:tcPr>
          <w:p w14:paraId="552E1C2C" w14:textId="7D51CE4A" w:rsidR="003C1901" w:rsidRPr="000A6219" w:rsidRDefault="0088716F"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n-US"/>
              </w:rPr>
              <w:t xml:space="preserve">Deshpande </w:t>
            </w:r>
            <w:r w:rsidRPr="000A6219">
              <w:rPr>
                <w:rFonts w:ascii="Book Antiqua" w:hAnsi="Book Antiqua"/>
                <w:i/>
                <w:sz w:val="24"/>
                <w:szCs w:val="24"/>
                <w:lang w:val="en-U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n-US"/>
              </w:rPr>
              <w:instrText>ADDIN CSL_CITATION {"citationItems":[{"id":"ITEM-1","itemData":{"DOI":"10.1093/femsle/fnv193","ISSN":"1574-6968","PMID":"26459886","abstract":"The B2 phylogenetic group of Escherichia coli contains important pathogens such as extra-intestinal pathogenic, adherent-invasive, and uropathogenic strains. In this study, we used comparative genomics and statistical methods to identify genetic variations which define a subset of pathogenic strains belonging to the B2 phylogenetic group. An initial proof of concept analysis indicated that five of the 62 E. coli strains available in the KEGG database showed close association with B2 adherent-invasive E. coli, forming a subgroup within the B2 phylogenetic group. The tool, kSNP which uses a k-mer approach, and the statistical phenotype prediction tool PPFS2 were then employed to identify 29 high-resolution SNPs, which reaffirmed this grouping. PPFS2 analysis also provided indications that the clustering of this subgroup was highly consistent, and thus, could have a strong phenotypic basis rather than being only evolutionary. Protein homology analyses identified three proteins to be conserved across this subgrouping, two CRISPR-Cas proteins and a hypothetical protein. Functional analyses of these genetic and protein variations may provide insights into the phenotype of these strains.","author":[{"dropping-particle":"","family":"Deshpande","given":"Nandan P","non-dropping-particle":"","parse-names":false,"suffix":""},{"dropping-particle":"","family":"Wilkins","given":"Marc R","non-dropping-particle":"","parse-names":false,"suffix":""},{"dropping-particle":"","family":"Mitchell","given":"Hazel M","non-dropping-particle":"","parse-names":false,"suffix":""},{"dropping-particle":"","family":"Kaakoush","given":"Nadeem O","non-dropping-particle":"","parse-names":false,"suffix":""}],"container-title":"FEMS microbiology letters","id":"ITEM-1","issue":"August","issued":{"date-parts":[["2015"]]},"page":"1-7","title":"Novel genetic markers define a subgroup of pathogenic Escherichia coli strains belonging to the B2 phylogenetic group.","type":"article-journal"},"uris":["http://www.mendeley.com/documents/?uuid=a0f81734-88f7-4d12-b832-b176246b3a92"]}],"mendeley":{"formattedCitation":"&lt;sup&gt;[33]&lt;/sup&gt;","plainTextFormattedCitation":"[33]","previouslyFormattedCitation":"&lt;sup&gt;[33]&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s-ES"/>
              </w:rPr>
              <w:t>[33]</w:t>
            </w:r>
            <w:r w:rsidRPr="000A6219">
              <w:rPr>
                <w:rFonts w:ascii="Book Antiqua" w:hAnsi="Book Antiqua"/>
                <w:sz w:val="24"/>
                <w:szCs w:val="24"/>
                <w:lang w:val="en-US"/>
              </w:rPr>
              <w:fldChar w:fldCharType="end"/>
            </w:r>
            <w:r w:rsidR="003C1901" w:rsidRPr="000A6219">
              <w:rPr>
                <w:rFonts w:ascii="Book Antiqua" w:hAnsi="Book Antiqua"/>
                <w:sz w:val="24"/>
                <w:szCs w:val="24"/>
                <w:lang w:val="en-US"/>
              </w:rPr>
              <w:t xml:space="preserve">, 2015 </w:t>
            </w:r>
          </w:p>
        </w:tc>
        <w:tc>
          <w:tcPr>
            <w:tcW w:w="850" w:type="dxa"/>
            <w:shd w:val="clear" w:color="auto" w:fill="auto"/>
            <w:hideMark/>
          </w:tcPr>
          <w:p w14:paraId="64FBB619"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4</w:t>
            </w:r>
          </w:p>
        </w:tc>
        <w:tc>
          <w:tcPr>
            <w:tcW w:w="851" w:type="dxa"/>
            <w:shd w:val="clear" w:color="auto" w:fill="auto"/>
            <w:hideMark/>
          </w:tcPr>
          <w:p w14:paraId="2785CF6D" w14:textId="4489C89D"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1307</w:t>
            </w:r>
            <w:r w:rsidR="006D217A" w:rsidRPr="000A6219">
              <w:rPr>
                <w:rFonts w:ascii="Book Antiqua" w:hAnsi="Book Antiqua"/>
                <w:sz w:val="24"/>
                <w:szCs w:val="24"/>
                <w:vertAlign w:val="superscript"/>
                <w:lang w:val="en-US"/>
              </w:rPr>
              <w:t>1</w:t>
            </w:r>
          </w:p>
        </w:tc>
        <w:tc>
          <w:tcPr>
            <w:tcW w:w="3402" w:type="dxa"/>
            <w:shd w:val="clear" w:color="auto" w:fill="auto"/>
            <w:hideMark/>
          </w:tcPr>
          <w:p w14:paraId="5373431E"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All B2</w:t>
            </w:r>
          </w:p>
        </w:tc>
        <w:tc>
          <w:tcPr>
            <w:tcW w:w="2239" w:type="dxa"/>
            <w:shd w:val="clear" w:color="auto" w:fill="auto"/>
            <w:hideMark/>
          </w:tcPr>
          <w:p w14:paraId="07E2AA6C"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From CD patients</w:t>
            </w:r>
          </w:p>
        </w:tc>
      </w:tr>
      <w:tr w:rsidR="0088716F" w:rsidRPr="000A6219" w14:paraId="0FA2604E" w14:textId="77777777" w:rsidTr="007A0A4A">
        <w:trPr>
          <w:trHeight w:val="248"/>
        </w:trPr>
        <w:tc>
          <w:tcPr>
            <w:tcW w:w="1844" w:type="dxa"/>
            <w:shd w:val="clear" w:color="auto" w:fill="auto"/>
            <w:hideMark/>
          </w:tcPr>
          <w:p w14:paraId="618313E5" w14:textId="0B89ED1E" w:rsidR="003C1901" w:rsidRPr="000A6219" w:rsidRDefault="0088716F"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 xml:space="preserve">O’Brien </w:t>
            </w:r>
            <w:r w:rsidRPr="000A6219">
              <w:rPr>
                <w:rFonts w:ascii="Book Antiqua" w:hAnsi="Book Antiqua"/>
                <w:i/>
                <w:sz w:val="24"/>
                <w:szCs w:val="24"/>
                <w:lang w:val="es-E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s-ES"/>
              </w:rPr>
              <w:instrText>ADDIN CSL_CITATION {"citationItems":[{"id":"ITEM-1","itemData":{"DOI":"10.1136/gutjnl-2015-311059","ISSN":"0017-5749","author":[{"dropping-particle":"","family":"O'Brien","given":"Claire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-1","issue":"8","issued":{"date-parts":[["2016"]]},"page":"1382-1389","title":"Comparative genomics of Crohn's disease-associated adherent-invasive Escherichia coli","type":"article-journal","volume":"66"},"uris":["http://www.mendeley.com/documents/?uuid=5433c40e-8818-41e5-9f75-43963d20c944"]}],"mendeley":{"formattedCitation":"&lt;sup&gt;[34]&lt;/sup&gt;","plainTextFormattedCitation":"[34]","previouslyFormattedCitation":"&lt;sup&gt;[34]&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s-ES"/>
              </w:rPr>
              <w:t>[34]</w:t>
            </w:r>
            <w:r w:rsidRPr="000A6219">
              <w:rPr>
                <w:rFonts w:ascii="Book Antiqua" w:hAnsi="Book Antiqua"/>
                <w:sz w:val="24"/>
                <w:szCs w:val="24"/>
                <w:lang w:val="en-US"/>
              </w:rPr>
              <w:fldChar w:fldCharType="end"/>
            </w:r>
            <w:r w:rsidRPr="000A6219">
              <w:rPr>
                <w:rFonts w:ascii="Book Antiqua" w:hAnsi="Book Antiqua"/>
                <w:sz w:val="24"/>
                <w:szCs w:val="24"/>
                <w:lang w:val="es-ES"/>
              </w:rPr>
              <w:t>, 2015</w:t>
            </w:r>
          </w:p>
        </w:tc>
        <w:tc>
          <w:tcPr>
            <w:tcW w:w="850" w:type="dxa"/>
            <w:shd w:val="clear" w:color="auto" w:fill="auto"/>
            <w:hideMark/>
          </w:tcPr>
          <w:p w14:paraId="7C9F17CC"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11</w:t>
            </w:r>
          </w:p>
        </w:tc>
        <w:tc>
          <w:tcPr>
            <w:tcW w:w="851" w:type="dxa"/>
            <w:shd w:val="clear" w:color="auto" w:fill="auto"/>
            <w:hideMark/>
          </w:tcPr>
          <w:p w14:paraId="7E60E49E"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30</w:t>
            </w:r>
          </w:p>
        </w:tc>
        <w:tc>
          <w:tcPr>
            <w:tcW w:w="3402" w:type="dxa"/>
            <w:shd w:val="clear" w:color="auto" w:fill="auto"/>
            <w:hideMark/>
          </w:tcPr>
          <w:p w14:paraId="662F76CF"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All B2, ST95</w:t>
            </w:r>
          </w:p>
        </w:tc>
        <w:tc>
          <w:tcPr>
            <w:tcW w:w="2239" w:type="dxa"/>
            <w:shd w:val="clear" w:color="auto" w:fill="auto"/>
            <w:hideMark/>
          </w:tcPr>
          <w:p w14:paraId="45EDD551"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From IBD patients and controls</w:t>
            </w:r>
          </w:p>
        </w:tc>
      </w:tr>
      <w:tr w:rsidR="0088716F" w:rsidRPr="000A6219" w14:paraId="7E8E5C97" w14:textId="77777777" w:rsidTr="007A0A4A">
        <w:trPr>
          <w:trHeight w:val="653"/>
        </w:trPr>
        <w:tc>
          <w:tcPr>
            <w:tcW w:w="1844" w:type="dxa"/>
            <w:shd w:val="clear" w:color="auto" w:fill="auto"/>
          </w:tcPr>
          <w:p w14:paraId="63553E7D" w14:textId="685B8CFD" w:rsidR="003C1901" w:rsidRPr="000A6219" w:rsidRDefault="0088716F"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 xml:space="preserve">Camprubí-Font </w:t>
            </w:r>
            <w:r w:rsidRPr="000A6219">
              <w:rPr>
                <w:rFonts w:ascii="Book Antiqua" w:hAnsi="Book Antiqua"/>
                <w:i/>
                <w:sz w:val="24"/>
                <w:szCs w:val="24"/>
                <w:lang w:val="es-E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s-ES"/>
              </w:rPr>
              <w:instrText>ADDIN CSL_CITATION {"citationItems":[{"id":"ITEM-1","itemData":{"DOI":"10.1038/s41598-018-20843-x","ISSN":"2045-2322","abstract":"Adherent-invasive Escherichia coli (AIEC) have been involved in Crohn’s disease (CD). Currently, AIEC are identified by time-consuming techniques based on in vitro infection of cell lines to determine their ability to adhere to and invade intestinal epithelial cells as well as to survive and replicate within macrophages. Our aim was to find signature sequences that can be used to identify the AIEC pathotype. Comparative genomics was performed between three E. coli strain pairs, each pair comprised one AIEC and one non-AIEC with identical pulsotype, sequence type and virulence gene carriage. Genetic differences were further analysed in 22 AIEC and 28 non-AIEC isolated from CD patients and controls. The strain pairs showed similar genome structures, and no gene was specific to AIEC. Three single nucleotide polymorphisms displayed different nucleotide distributions between AIEC and non-AIEC, and four correlated with increased adhesion and/or invasion indices. Here, we present a classification algorithm based on the identification of three allelic variants that can predict the AIEC phenotype with 84% accuracy. Our study corroborates the absence of an AIEC-specific genetic marker distributed across all AIEC strains. Nonetheless, point mutations putatively involved in the AIEC phenotype can be used for the molecular identification of the AIEC pathotype.","author":[{"dropping-particle":"","family":"Camprubí-Font","given":"Carla","non-dropping-particle":"","parse-names":false,"suffix":""},{"dropping-particle":"","family":"Lopez-Siles","given":"Mireia","non-dropping-particle":"","parse-names":false,"suffix":""},{"dropping-particle":"","family":"Ferrer-Guixeras","given":"Meritxell","non-dropping-particle":"","parse-names":false,"suffix":""},{"dropping-particle":"","family":"Niubó-Carulla","given":"Laura","non-dropping-particle":"","parse-names":false,"suffix":""},{"dropping-particle":"","family":"Abellà-Ametller","given":"Carles","non-dropping-particle":"","parse-names":false,"suffix":""},{"dropping-particle":"","family":"Garcia-Gil","given":"Librado Jesús","non-dropping-particle":"","parse-names":false,"suffix":""},{"dropping-particle":"","family":"Martinez-Medina","given":"Margarita","non-dropping-particle":"","parse-names":false,"suffix":""}],"container-title":"Scientific Reports","id":"ITEM-1","issue":"2695","issued":{"date-parts":[["2018","12","9"]]},"page":"1-11","publisher":"Nature Publishing Group","title":"Comparative genomics reveals new single-nucleotide polymorphisms that can assist in identification of adherent-invasive Escherichia coli","type":"article-journal","volume":"8"},"uris":["http://www.mendeley.com/documents/?uuid=0123a8cc-e2a6-3256-aead-c6c75508c7e9"]}],"mendeley":{"formattedCitation":"&lt;sup&gt;[36]&lt;/sup&gt;","plainTextFormattedCitation":"[36]","previouslyFormattedCitation":"&lt;sup&gt;[36]&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s-ES"/>
              </w:rPr>
              <w:t>[36]</w:t>
            </w:r>
            <w:r w:rsidRPr="000A6219">
              <w:rPr>
                <w:rFonts w:ascii="Book Antiqua" w:hAnsi="Book Antiqua"/>
                <w:sz w:val="24"/>
                <w:szCs w:val="24"/>
                <w:lang w:val="en-US"/>
              </w:rPr>
              <w:fldChar w:fldCharType="end"/>
            </w:r>
            <w:r w:rsidR="003C1901" w:rsidRPr="000A6219">
              <w:rPr>
                <w:rFonts w:ascii="Book Antiqua" w:hAnsi="Book Antiqua"/>
                <w:sz w:val="24"/>
                <w:szCs w:val="24"/>
                <w:lang w:val="es-ES"/>
              </w:rPr>
              <w:t>, 2018</w:t>
            </w:r>
          </w:p>
        </w:tc>
        <w:tc>
          <w:tcPr>
            <w:tcW w:w="850" w:type="dxa"/>
            <w:shd w:val="clear" w:color="auto" w:fill="auto"/>
          </w:tcPr>
          <w:p w14:paraId="584B3D6A"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3</w:t>
            </w:r>
          </w:p>
        </w:tc>
        <w:tc>
          <w:tcPr>
            <w:tcW w:w="851" w:type="dxa"/>
            <w:shd w:val="clear" w:color="auto" w:fill="auto"/>
          </w:tcPr>
          <w:p w14:paraId="597FFCF3"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3</w:t>
            </w:r>
          </w:p>
        </w:tc>
        <w:tc>
          <w:tcPr>
            <w:tcW w:w="3402" w:type="dxa"/>
            <w:shd w:val="clear" w:color="auto" w:fill="auto"/>
          </w:tcPr>
          <w:p w14:paraId="1E17D045" w14:textId="1E70F6AE"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 xml:space="preserve">AIEC: 1 B1, 1 B2 and 1 </w:t>
            </w:r>
            <w:r w:rsidR="0088716F" w:rsidRPr="000A6219">
              <w:rPr>
                <w:rFonts w:ascii="Book Antiqua" w:hAnsi="Book Antiqua"/>
                <w:sz w:val="24"/>
                <w:szCs w:val="24"/>
                <w:lang w:val="en-US"/>
              </w:rPr>
              <w:t>D. Non-AIEC: 1 B1, 1 B2 and 1 D</w:t>
            </w:r>
          </w:p>
        </w:tc>
        <w:tc>
          <w:tcPr>
            <w:tcW w:w="2239" w:type="dxa"/>
            <w:shd w:val="clear" w:color="auto" w:fill="auto"/>
          </w:tcPr>
          <w:p w14:paraId="129DA051"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From CD patients and controls</w:t>
            </w:r>
          </w:p>
        </w:tc>
      </w:tr>
    </w:tbl>
    <w:p w14:paraId="200D042A" w14:textId="3F4BFFD0" w:rsidR="00BA5A02" w:rsidRPr="000A6219" w:rsidRDefault="00D915B1" w:rsidP="000A6219">
      <w:pPr>
        <w:snapToGrid w:val="0"/>
        <w:spacing w:after="0" w:line="360" w:lineRule="auto"/>
        <w:jc w:val="both"/>
        <w:rPr>
          <w:rFonts w:ascii="Book Antiqua" w:hAnsi="Book Antiqua"/>
          <w:sz w:val="24"/>
          <w:szCs w:val="24"/>
          <w:lang w:val="en-US"/>
        </w:rPr>
      </w:pPr>
      <w:r w:rsidRPr="000A6219">
        <w:rPr>
          <w:rFonts w:ascii="Book Antiqua" w:hAnsi="Book Antiqua"/>
          <w:sz w:val="24"/>
          <w:szCs w:val="24"/>
          <w:lang w:val="en-US"/>
        </w:rPr>
        <w:t xml:space="preserve">The strain collection examined according to pathotype and phylogroup is depicted. </w:t>
      </w:r>
      <w:r w:rsidR="007A0A4A" w:rsidRPr="000A6219">
        <w:rPr>
          <w:rFonts w:ascii="Book Antiqua" w:hAnsi="Book Antiqua"/>
          <w:sz w:val="24"/>
          <w:szCs w:val="24"/>
          <w:lang w:val="en-US"/>
        </w:rPr>
        <w:t>Adherent</w:t>
      </w:r>
      <w:r w:rsidRPr="000A6219">
        <w:rPr>
          <w:rFonts w:ascii="Book Antiqua" w:hAnsi="Book Antiqua"/>
          <w:sz w:val="24"/>
          <w:szCs w:val="24"/>
          <w:lang w:val="en-US"/>
        </w:rPr>
        <w:t xml:space="preserve">-invasive </w:t>
      </w:r>
      <w:r w:rsidR="007A0A4A" w:rsidRPr="000A6219">
        <w:rPr>
          <w:rFonts w:ascii="Book Antiqua" w:eastAsia="Calibri" w:hAnsi="Book Antiqua" w:cs="Times New Roman"/>
          <w:i/>
          <w:sz w:val="24"/>
          <w:szCs w:val="24"/>
          <w:lang w:val="en-US"/>
        </w:rPr>
        <w:t>Escherichia coli</w:t>
      </w:r>
      <w:r w:rsidRPr="000A6219">
        <w:rPr>
          <w:rFonts w:ascii="Book Antiqua" w:hAnsi="Book Antiqua"/>
          <w:sz w:val="24"/>
          <w:szCs w:val="24"/>
          <w:lang w:val="en-US"/>
        </w:rPr>
        <w:t xml:space="preserve"> origin of isolation and study observations are also presented. </w:t>
      </w:r>
      <w:r w:rsidR="007A0A4A" w:rsidRPr="000A6219">
        <w:rPr>
          <w:rFonts w:ascii="Book Antiqua" w:hAnsi="Book Antiqua"/>
          <w:sz w:val="24"/>
          <w:szCs w:val="24"/>
          <w:vertAlign w:val="superscript"/>
          <w:lang w:val="en-US"/>
        </w:rPr>
        <w:t>1</w:t>
      </w:r>
      <w:r w:rsidR="007A0A4A" w:rsidRPr="000A6219">
        <w:rPr>
          <w:rFonts w:ascii="Book Antiqua" w:hAnsi="Book Antiqua"/>
          <w:sz w:val="24"/>
          <w:szCs w:val="24"/>
          <w:lang w:val="en-US"/>
        </w:rPr>
        <w:t xml:space="preserve">Include commensals and </w:t>
      </w:r>
      <w:proofErr w:type="spellStart"/>
      <w:r w:rsidR="007A0A4A" w:rsidRPr="000A6219">
        <w:rPr>
          <w:rFonts w:ascii="Book Antiqua" w:hAnsi="Book Antiqua"/>
          <w:sz w:val="24"/>
          <w:szCs w:val="24"/>
          <w:lang w:val="en-US"/>
        </w:rPr>
        <w:t>ExPEC</w:t>
      </w:r>
      <w:proofErr w:type="spellEnd"/>
      <w:r w:rsidR="007A0A4A" w:rsidRPr="000A6219">
        <w:rPr>
          <w:rFonts w:ascii="Book Antiqua" w:hAnsi="Book Antiqua"/>
          <w:sz w:val="24"/>
          <w:szCs w:val="24"/>
          <w:lang w:val="en-US"/>
        </w:rPr>
        <w:t>.</w:t>
      </w:r>
      <w:r w:rsidR="007A0A4A" w:rsidRPr="000A6219">
        <w:rPr>
          <w:rFonts w:ascii="Book Antiqua" w:hAnsi="Book Antiqua"/>
          <w:sz w:val="24"/>
          <w:szCs w:val="24"/>
          <w:lang w:val="en-US" w:eastAsia="zh-CN"/>
        </w:rPr>
        <w:t xml:space="preserve"> </w:t>
      </w:r>
      <w:r w:rsidR="00076943" w:rsidRPr="000A6219">
        <w:rPr>
          <w:rFonts w:ascii="Book Antiqua" w:hAnsi="Book Antiqua"/>
          <w:sz w:val="24"/>
          <w:szCs w:val="24"/>
          <w:vertAlign w:val="superscript"/>
          <w:lang w:val="en-US"/>
        </w:rPr>
        <w:t>2</w:t>
      </w:r>
      <w:r w:rsidR="00BA5A02" w:rsidRPr="000A6219">
        <w:rPr>
          <w:rFonts w:ascii="Book Antiqua" w:hAnsi="Book Antiqua" w:cs="Courier New"/>
          <w:sz w:val="24"/>
          <w:szCs w:val="24"/>
          <w:lang w:val="en-US"/>
        </w:rPr>
        <w:t xml:space="preserve">Human AIEC: 1A, 1B1, 1B2 and 1D; Murine AIEC: 1B1 and 1 B2; Dog AIEC: 2 B2; Human non-AIEC A phylogroup. </w:t>
      </w:r>
      <w:r w:rsidR="00076943" w:rsidRPr="000A6219">
        <w:rPr>
          <w:rFonts w:ascii="Book Antiqua" w:hAnsi="Book Antiqua"/>
          <w:sz w:val="24"/>
          <w:szCs w:val="24"/>
          <w:vertAlign w:val="superscript"/>
          <w:lang w:val="en-US"/>
        </w:rPr>
        <w:t>3</w:t>
      </w:r>
      <w:r w:rsidR="00BA5A02" w:rsidRPr="000A6219">
        <w:rPr>
          <w:rFonts w:ascii="Book Antiqua" w:hAnsi="Book Antiqua"/>
          <w:sz w:val="24"/>
          <w:szCs w:val="24"/>
          <w:lang w:val="en-US"/>
        </w:rPr>
        <w:t xml:space="preserve">Apart from LF82, UM146 and NRG857c the other strains were only assessed for intramacrophage replication in J774 cells. </w:t>
      </w:r>
      <w:r w:rsidR="007A0A4A" w:rsidRPr="000A6219">
        <w:rPr>
          <w:rFonts w:ascii="Book Antiqua" w:hAnsi="Book Antiqua"/>
          <w:sz w:val="24"/>
          <w:szCs w:val="24"/>
          <w:lang w:val="en-US"/>
        </w:rPr>
        <w:lastRenderedPageBreak/>
        <w:t xml:space="preserve">AIEC: Adherent-invasive </w:t>
      </w:r>
      <w:r w:rsidR="007A0A4A" w:rsidRPr="000A6219">
        <w:rPr>
          <w:rFonts w:ascii="Book Antiqua" w:eastAsia="Calibri" w:hAnsi="Book Antiqua" w:cs="Times New Roman"/>
          <w:i/>
          <w:sz w:val="24"/>
          <w:szCs w:val="24"/>
          <w:lang w:val="en-US"/>
        </w:rPr>
        <w:t>Escherichia coli;</w:t>
      </w:r>
      <w:r w:rsidR="007A0A4A" w:rsidRPr="000A6219">
        <w:rPr>
          <w:rFonts w:ascii="Book Antiqua" w:hAnsi="Book Antiqua"/>
          <w:sz w:val="24"/>
          <w:szCs w:val="24"/>
          <w:lang w:val="en-US"/>
        </w:rPr>
        <w:t xml:space="preserve"> CD: Crohn’s disease; UC: Ulcerative colitis. </w:t>
      </w:r>
      <w:r w:rsidR="00BA5A02" w:rsidRPr="000A6219">
        <w:rPr>
          <w:rFonts w:ascii="Book Antiqua" w:hAnsi="Book Antiqua"/>
          <w:sz w:val="24"/>
          <w:szCs w:val="24"/>
          <w:lang w:val="en-US"/>
        </w:rPr>
        <w:br w:type="page"/>
      </w:r>
    </w:p>
    <w:p w14:paraId="2E6587A4" w14:textId="60E8457E" w:rsidR="00053061" w:rsidRPr="000A6219" w:rsidRDefault="00053061" w:rsidP="000A6219">
      <w:pPr>
        <w:snapToGrid w:val="0"/>
        <w:spacing w:after="0"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lastRenderedPageBreak/>
        <w:t xml:space="preserve">Table </w:t>
      </w:r>
      <w:r w:rsidR="00BA5A02" w:rsidRPr="000A6219">
        <w:rPr>
          <w:rFonts w:ascii="Book Antiqua" w:eastAsia="Calibri" w:hAnsi="Book Antiqua" w:cs="Times New Roman"/>
          <w:b/>
          <w:sz w:val="24"/>
          <w:szCs w:val="24"/>
          <w:lang w:val="en-US"/>
        </w:rPr>
        <w:t>4</w:t>
      </w:r>
      <w:r w:rsidR="007A0A4A" w:rsidRPr="000A6219">
        <w:rPr>
          <w:rFonts w:ascii="Book Antiqua" w:eastAsia="Calibri" w:hAnsi="Book Antiqua" w:cs="Times New Roman"/>
          <w:b/>
          <w:sz w:val="24"/>
          <w:szCs w:val="24"/>
          <w:lang w:val="en-US"/>
        </w:rPr>
        <w:t xml:space="preserve"> </w:t>
      </w:r>
      <w:r w:rsidRPr="000A6219">
        <w:rPr>
          <w:rFonts w:ascii="Book Antiqua" w:eastAsia="Calibri" w:hAnsi="Book Antiqua" w:cs="Times New Roman"/>
          <w:b/>
          <w:sz w:val="24"/>
          <w:szCs w:val="24"/>
          <w:lang w:val="en-US"/>
        </w:rPr>
        <w:t xml:space="preserve">Genetic elements more frequently found in strains from the </w:t>
      </w:r>
      <w:r w:rsidR="006D217A" w:rsidRPr="000A6219">
        <w:rPr>
          <w:rFonts w:ascii="Book Antiqua" w:eastAsia="Calibri" w:hAnsi="Book Antiqua" w:cs="Times New Roman"/>
          <w:b/>
          <w:sz w:val="24"/>
          <w:szCs w:val="24"/>
          <w:lang w:val="en-US"/>
        </w:rPr>
        <w:t xml:space="preserve">adherent-invasive </w:t>
      </w:r>
      <w:r w:rsidR="000670ED" w:rsidRPr="000A6219">
        <w:rPr>
          <w:rFonts w:ascii="Book Antiqua" w:eastAsia="Calibri" w:hAnsi="Book Antiqua" w:cs="Times New Roman"/>
          <w:b/>
          <w:i/>
          <w:sz w:val="24"/>
          <w:szCs w:val="24"/>
          <w:lang w:val="en-US"/>
        </w:rPr>
        <w:t>Escherichia coli</w:t>
      </w:r>
      <w:r w:rsidRPr="000A6219">
        <w:rPr>
          <w:rFonts w:ascii="Book Antiqua" w:eastAsia="Calibri" w:hAnsi="Book Antiqua" w:cs="Times New Roman"/>
          <w:b/>
          <w:sz w:val="24"/>
          <w:szCs w:val="24"/>
          <w:lang w:val="en-US"/>
        </w:rPr>
        <w:t xml:space="preserve"> pathotype and suggested as putative </w:t>
      </w:r>
      <w:r w:rsidR="006D217A" w:rsidRPr="000A6219">
        <w:rPr>
          <w:rFonts w:ascii="Book Antiqua" w:eastAsia="Calibri" w:hAnsi="Book Antiqua" w:cs="Times New Roman"/>
          <w:b/>
          <w:sz w:val="24"/>
          <w:szCs w:val="24"/>
          <w:lang w:val="en-US"/>
        </w:rPr>
        <w:t xml:space="preserve">adherent-invasive </w:t>
      </w:r>
      <w:r w:rsidR="000670ED" w:rsidRPr="000A6219">
        <w:rPr>
          <w:rFonts w:ascii="Book Antiqua" w:eastAsia="Calibri" w:hAnsi="Book Antiqua" w:cs="Times New Roman"/>
          <w:b/>
          <w:i/>
          <w:sz w:val="24"/>
          <w:szCs w:val="24"/>
          <w:lang w:val="en-US"/>
        </w:rPr>
        <w:t>Escherichia coli</w:t>
      </w:r>
      <w:r w:rsidR="0088716F" w:rsidRPr="000A6219">
        <w:rPr>
          <w:rFonts w:ascii="Book Antiqua" w:eastAsia="Calibri" w:hAnsi="Book Antiqua" w:cs="Times New Roman"/>
          <w:b/>
          <w:sz w:val="24"/>
          <w:szCs w:val="24"/>
          <w:lang w:val="en-US"/>
        </w:rPr>
        <w:t xml:space="preserve"> molecular markers</w:t>
      </w:r>
    </w:p>
    <w:tbl>
      <w:tblPr>
        <w:tblStyle w:val="Tablaconcuadrcula1"/>
        <w:tblW w:w="10349"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2"/>
        <w:gridCol w:w="1418"/>
        <w:gridCol w:w="850"/>
        <w:gridCol w:w="1418"/>
        <w:gridCol w:w="1415"/>
        <w:gridCol w:w="1420"/>
        <w:gridCol w:w="1276"/>
      </w:tblGrid>
      <w:tr w:rsidR="009D51C0" w:rsidRPr="000A6219" w14:paraId="0BB1480C" w14:textId="77777777" w:rsidTr="00DA2BBC">
        <w:trPr>
          <w:trHeight w:val="283"/>
        </w:trPr>
        <w:tc>
          <w:tcPr>
            <w:tcW w:w="1560" w:type="dxa"/>
            <w:vMerge w:val="restart"/>
            <w:tcBorders>
              <w:top w:val="single" w:sz="4" w:space="0" w:color="auto"/>
            </w:tcBorders>
            <w:shd w:val="clear" w:color="auto" w:fill="auto"/>
            <w:vAlign w:val="bottom"/>
          </w:tcPr>
          <w:p w14:paraId="08116F64" w14:textId="5569D966"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Marker</w:t>
            </w:r>
          </w:p>
        </w:tc>
        <w:tc>
          <w:tcPr>
            <w:tcW w:w="2410" w:type="dxa"/>
            <w:gridSpan w:val="2"/>
            <w:tcBorders>
              <w:top w:val="single" w:sz="4" w:space="0" w:color="auto"/>
              <w:bottom w:val="single" w:sz="4" w:space="0" w:color="auto"/>
            </w:tcBorders>
            <w:shd w:val="clear" w:color="auto" w:fill="auto"/>
            <w:vAlign w:val="bottom"/>
            <w:hideMark/>
          </w:tcPr>
          <w:p w14:paraId="1FEB1221" w14:textId="37FC8F18"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Group of study (</w:t>
            </w:r>
            <w:r w:rsidRPr="000A6219">
              <w:rPr>
                <w:rFonts w:ascii="Book Antiqua" w:eastAsia="Times New Roman" w:hAnsi="Book Antiqua" w:cs="Times New Roman"/>
                <w:b/>
                <w:i/>
                <w:sz w:val="24"/>
                <w:szCs w:val="24"/>
                <w:lang w:val="en-US" w:eastAsia="ar-SA"/>
              </w:rPr>
              <w:t>n</w:t>
            </w:r>
            <w:r w:rsidRPr="000A6219">
              <w:rPr>
                <w:rFonts w:ascii="Book Antiqua" w:eastAsia="Times New Roman" w:hAnsi="Book Antiqua" w:cs="Times New Roman"/>
                <w:b/>
                <w:sz w:val="24"/>
                <w:szCs w:val="24"/>
                <w:lang w:val="en-US" w:eastAsia="ar-SA"/>
              </w:rPr>
              <w:t>)</w:t>
            </w:r>
          </w:p>
        </w:tc>
        <w:tc>
          <w:tcPr>
            <w:tcW w:w="2268" w:type="dxa"/>
            <w:gridSpan w:val="2"/>
            <w:tcBorders>
              <w:top w:val="single" w:sz="4" w:space="0" w:color="auto"/>
              <w:bottom w:val="single" w:sz="4" w:space="0" w:color="auto"/>
            </w:tcBorders>
            <w:shd w:val="clear" w:color="auto" w:fill="auto"/>
            <w:vAlign w:val="bottom"/>
            <w:hideMark/>
          </w:tcPr>
          <w:p w14:paraId="18234010" w14:textId="77777777"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Prevalence (%)</w:t>
            </w:r>
          </w:p>
        </w:tc>
        <w:tc>
          <w:tcPr>
            <w:tcW w:w="1415" w:type="dxa"/>
            <w:vMerge w:val="restart"/>
            <w:tcBorders>
              <w:top w:val="single" w:sz="4" w:space="0" w:color="auto"/>
              <w:bottom w:val="nil"/>
            </w:tcBorders>
            <w:shd w:val="clear" w:color="auto" w:fill="auto"/>
            <w:vAlign w:val="center"/>
            <w:hideMark/>
          </w:tcPr>
          <w:p w14:paraId="1B5D6D42" w14:textId="77777777"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Sensitivity (%)</w:t>
            </w:r>
          </w:p>
        </w:tc>
        <w:tc>
          <w:tcPr>
            <w:tcW w:w="1420" w:type="dxa"/>
            <w:vMerge w:val="restart"/>
            <w:tcBorders>
              <w:top w:val="single" w:sz="4" w:space="0" w:color="auto"/>
              <w:bottom w:val="nil"/>
            </w:tcBorders>
            <w:shd w:val="clear" w:color="auto" w:fill="auto"/>
            <w:vAlign w:val="center"/>
            <w:hideMark/>
          </w:tcPr>
          <w:p w14:paraId="6A354B16" w14:textId="77777777"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Specificity (%)</w:t>
            </w:r>
          </w:p>
        </w:tc>
        <w:tc>
          <w:tcPr>
            <w:tcW w:w="1276" w:type="dxa"/>
            <w:vMerge w:val="restart"/>
            <w:tcBorders>
              <w:top w:val="single" w:sz="4" w:space="0" w:color="auto"/>
              <w:bottom w:val="nil"/>
            </w:tcBorders>
            <w:shd w:val="clear" w:color="auto" w:fill="auto"/>
            <w:vAlign w:val="center"/>
            <w:hideMark/>
          </w:tcPr>
          <w:p w14:paraId="198E85D7" w14:textId="06E6E53A"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Accuracy (%)</w:t>
            </w:r>
          </w:p>
        </w:tc>
      </w:tr>
      <w:tr w:rsidR="009D51C0" w:rsidRPr="000A6219" w14:paraId="4525962B" w14:textId="77777777" w:rsidTr="00DA2BBC">
        <w:tc>
          <w:tcPr>
            <w:tcW w:w="1560" w:type="dxa"/>
            <w:vMerge/>
            <w:tcBorders>
              <w:bottom w:val="single" w:sz="4" w:space="0" w:color="auto"/>
            </w:tcBorders>
            <w:shd w:val="clear" w:color="auto" w:fill="auto"/>
            <w:vAlign w:val="bottom"/>
            <w:hideMark/>
          </w:tcPr>
          <w:p w14:paraId="2B25BE04" w14:textId="5E35EA49"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p>
        </w:tc>
        <w:tc>
          <w:tcPr>
            <w:tcW w:w="992" w:type="dxa"/>
            <w:tcBorders>
              <w:top w:val="single" w:sz="4" w:space="0" w:color="auto"/>
              <w:bottom w:val="single" w:sz="4" w:space="0" w:color="auto"/>
            </w:tcBorders>
            <w:shd w:val="clear" w:color="auto" w:fill="auto"/>
            <w:vAlign w:val="bottom"/>
            <w:hideMark/>
          </w:tcPr>
          <w:p w14:paraId="61F76822" w14:textId="77777777"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AIEC</w:t>
            </w:r>
          </w:p>
        </w:tc>
        <w:tc>
          <w:tcPr>
            <w:tcW w:w="1418" w:type="dxa"/>
            <w:tcBorders>
              <w:top w:val="single" w:sz="4" w:space="0" w:color="auto"/>
              <w:bottom w:val="single" w:sz="4" w:space="0" w:color="auto"/>
            </w:tcBorders>
            <w:shd w:val="clear" w:color="auto" w:fill="auto"/>
            <w:vAlign w:val="bottom"/>
            <w:hideMark/>
          </w:tcPr>
          <w:p w14:paraId="6B62C188" w14:textId="77777777"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non-AIEC</w:t>
            </w:r>
          </w:p>
        </w:tc>
        <w:tc>
          <w:tcPr>
            <w:tcW w:w="850" w:type="dxa"/>
            <w:tcBorders>
              <w:top w:val="single" w:sz="4" w:space="0" w:color="auto"/>
              <w:bottom w:val="single" w:sz="4" w:space="0" w:color="auto"/>
            </w:tcBorders>
            <w:shd w:val="clear" w:color="auto" w:fill="auto"/>
            <w:vAlign w:val="bottom"/>
            <w:hideMark/>
          </w:tcPr>
          <w:p w14:paraId="46A76ECC" w14:textId="77777777"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AIEC</w:t>
            </w:r>
          </w:p>
        </w:tc>
        <w:tc>
          <w:tcPr>
            <w:tcW w:w="1418" w:type="dxa"/>
            <w:tcBorders>
              <w:top w:val="single" w:sz="4" w:space="0" w:color="auto"/>
              <w:bottom w:val="single" w:sz="4" w:space="0" w:color="auto"/>
            </w:tcBorders>
            <w:shd w:val="clear" w:color="auto" w:fill="auto"/>
            <w:vAlign w:val="bottom"/>
            <w:hideMark/>
          </w:tcPr>
          <w:p w14:paraId="205273A2" w14:textId="77777777"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non-AIEC</w:t>
            </w:r>
          </w:p>
        </w:tc>
        <w:tc>
          <w:tcPr>
            <w:tcW w:w="1415" w:type="dxa"/>
            <w:vMerge/>
            <w:tcBorders>
              <w:top w:val="nil"/>
              <w:bottom w:val="single" w:sz="4" w:space="0" w:color="auto"/>
            </w:tcBorders>
            <w:shd w:val="clear" w:color="auto" w:fill="auto"/>
            <w:vAlign w:val="center"/>
            <w:hideMark/>
          </w:tcPr>
          <w:p w14:paraId="162ADA6E" w14:textId="77777777" w:rsidR="009D51C0" w:rsidRPr="000A6219" w:rsidRDefault="009D51C0" w:rsidP="000A6219">
            <w:pPr>
              <w:snapToGrid w:val="0"/>
              <w:spacing w:line="360" w:lineRule="auto"/>
              <w:jc w:val="both"/>
              <w:rPr>
                <w:rFonts w:ascii="Book Antiqua" w:eastAsia="Times New Roman" w:hAnsi="Book Antiqua" w:cs="Times New Roman"/>
                <w:b/>
                <w:sz w:val="24"/>
                <w:szCs w:val="24"/>
                <w:lang w:val="en-US" w:eastAsia="ar-SA"/>
              </w:rPr>
            </w:pPr>
          </w:p>
        </w:tc>
        <w:tc>
          <w:tcPr>
            <w:tcW w:w="1420" w:type="dxa"/>
            <w:vMerge/>
            <w:tcBorders>
              <w:top w:val="nil"/>
              <w:bottom w:val="single" w:sz="4" w:space="0" w:color="auto"/>
            </w:tcBorders>
            <w:shd w:val="clear" w:color="auto" w:fill="auto"/>
            <w:vAlign w:val="center"/>
            <w:hideMark/>
          </w:tcPr>
          <w:p w14:paraId="050A79DE" w14:textId="77777777" w:rsidR="009D51C0" w:rsidRPr="000A6219" w:rsidRDefault="009D51C0" w:rsidP="000A6219">
            <w:pPr>
              <w:snapToGrid w:val="0"/>
              <w:spacing w:line="360" w:lineRule="auto"/>
              <w:jc w:val="both"/>
              <w:rPr>
                <w:rFonts w:ascii="Book Antiqua" w:eastAsia="Times New Roman" w:hAnsi="Book Antiqua" w:cs="Times New Roman"/>
                <w:b/>
                <w:sz w:val="24"/>
                <w:szCs w:val="24"/>
                <w:lang w:val="en-US" w:eastAsia="ar-SA"/>
              </w:rPr>
            </w:pPr>
          </w:p>
        </w:tc>
        <w:tc>
          <w:tcPr>
            <w:tcW w:w="1276" w:type="dxa"/>
            <w:vMerge/>
            <w:tcBorders>
              <w:top w:val="nil"/>
              <w:bottom w:val="single" w:sz="4" w:space="0" w:color="auto"/>
            </w:tcBorders>
            <w:shd w:val="clear" w:color="auto" w:fill="auto"/>
            <w:vAlign w:val="center"/>
            <w:hideMark/>
          </w:tcPr>
          <w:p w14:paraId="7DF1ED32" w14:textId="77777777" w:rsidR="009D51C0" w:rsidRPr="000A6219" w:rsidRDefault="009D51C0" w:rsidP="000A6219">
            <w:pPr>
              <w:snapToGrid w:val="0"/>
              <w:spacing w:line="360" w:lineRule="auto"/>
              <w:jc w:val="both"/>
              <w:rPr>
                <w:rFonts w:ascii="Book Antiqua" w:eastAsia="Times New Roman" w:hAnsi="Book Antiqua" w:cs="Times New Roman"/>
                <w:b/>
                <w:sz w:val="24"/>
                <w:szCs w:val="24"/>
                <w:lang w:val="en-US" w:eastAsia="ar-SA"/>
              </w:rPr>
            </w:pPr>
          </w:p>
        </w:tc>
      </w:tr>
      <w:tr w:rsidR="00053061" w:rsidRPr="000A6219" w14:paraId="13832BC5" w14:textId="77777777" w:rsidTr="007A0A4A">
        <w:trPr>
          <w:trHeight w:val="603"/>
        </w:trPr>
        <w:tc>
          <w:tcPr>
            <w:tcW w:w="1560" w:type="dxa"/>
            <w:tcBorders>
              <w:top w:val="single" w:sz="4" w:space="0" w:color="auto"/>
            </w:tcBorders>
            <w:shd w:val="clear" w:color="auto" w:fill="auto"/>
            <w:vAlign w:val="center"/>
            <w:hideMark/>
          </w:tcPr>
          <w:p w14:paraId="4DFEC4F7" w14:textId="03427EDA" w:rsidR="00053061" w:rsidRPr="000A6219" w:rsidRDefault="007A0A4A" w:rsidP="000A6219">
            <w:pPr>
              <w:suppressAutoHyphens/>
              <w:snapToGrid w:val="0"/>
              <w:spacing w:line="360" w:lineRule="auto"/>
              <w:jc w:val="both"/>
              <w:rPr>
                <w:rFonts w:ascii="Book Antiqua" w:eastAsia="Times New Roman" w:hAnsi="Book Antiqua" w:cs="Times New Roman"/>
                <w:sz w:val="24"/>
                <w:szCs w:val="24"/>
                <w:lang w:val="en-US" w:eastAsia="ar-SA"/>
              </w:rPr>
            </w:pPr>
            <w:proofErr w:type="spellStart"/>
            <w:r w:rsidRPr="000A6219">
              <w:rPr>
                <w:rFonts w:ascii="Book Antiqua" w:eastAsia="Times New Roman" w:hAnsi="Book Antiqua" w:cs="Times New Roman"/>
                <w:i/>
                <w:sz w:val="24"/>
                <w:szCs w:val="24"/>
                <w:lang w:val="en-US" w:eastAsia="ar-SA"/>
              </w:rPr>
              <w:t>pduC</w:t>
            </w:r>
            <w:proofErr w:type="spellEnd"/>
            <w:r w:rsidR="00053061"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00053061" w:rsidRPr="000A6219">
              <w:rPr>
                <w:rFonts w:ascii="Book Antiqua" w:eastAsia="Times New Roman" w:hAnsi="Book Antiqua" w:cs="Times New Roman"/>
                <w:i/>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[31]</w:t>
            </w:r>
            <w:r w:rsidR="00053061" w:rsidRPr="000A6219">
              <w:rPr>
                <w:rFonts w:ascii="Book Antiqua" w:eastAsia="Times New Roman" w:hAnsi="Book Antiqua" w:cs="Times New Roman"/>
                <w:i/>
                <w:sz w:val="24"/>
                <w:szCs w:val="24"/>
                <w:lang w:val="en-US" w:eastAsia="ar-SA"/>
              </w:rPr>
              <w:fldChar w:fldCharType="end"/>
            </w:r>
            <w:r w:rsidR="006D217A" w:rsidRPr="000A6219">
              <w:rPr>
                <w:rFonts w:ascii="Book Antiqua" w:eastAsia="Times New Roman" w:hAnsi="Book Antiqua" w:cs="Times New Roman"/>
                <w:sz w:val="24"/>
                <w:szCs w:val="24"/>
                <w:vertAlign w:val="superscript"/>
                <w:lang w:val="en-US" w:eastAsia="ar-SA"/>
              </w:rPr>
              <w:t>1</w:t>
            </w:r>
          </w:p>
        </w:tc>
        <w:tc>
          <w:tcPr>
            <w:tcW w:w="992" w:type="dxa"/>
            <w:tcBorders>
              <w:top w:val="single" w:sz="4" w:space="0" w:color="auto"/>
            </w:tcBorders>
            <w:shd w:val="clear" w:color="auto" w:fill="auto"/>
            <w:vAlign w:val="center"/>
            <w:hideMark/>
          </w:tcPr>
          <w:p w14:paraId="41D70D4C"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24</w:t>
            </w:r>
          </w:p>
        </w:tc>
        <w:tc>
          <w:tcPr>
            <w:tcW w:w="1418" w:type="dxa"/>
            <w:tcBorders>
              <w:top w:val="single" w:sz="4" w:space="0" w:color="auto"/>
            </w:tcBorders>
            <w:shd w:val="clear" w:color="auto" w:fill="auto"/>
            <w:vAlign w:val="center"/>
            <w:hideMark/>
          </w:tcPr>
          <w:p w14:paraId="72260714"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25</w:t>
            </w:r>
          </w:p>
        </w:tc>
        <w:tc>
          <w:tcPr>
            <w:tcW w:w="850" w:type="dxa"/>
            <w:tcBorders>
              <w:top w:val="single" w:sz="4" w:space="0" w:color="auto"/>
            </w:tcBorders>
            <w:shd w:val="clear" w:color="auto" w:fill="auto"/>
            <w:vAlign w:val="center"/>
            <w:hideMark/>
          </w:tcPr>
          <w:p w14:paraId="37EA8EBD"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50</w:t>
            </w:r>
          </w:p>
        </w:tc>
        <w:tc>
          <w:tcPr>
            <w:tcW w:w="1418" w:type="dxa"/>
            <w:tcBorders>
              <w:top w:val="single" w:sz="4" w:space="0" w:color="auto"/>
            </w:tcBorders>
            <w:shd w:val="clear" w:color="auto" w:fill="auto"/>
            <w:vAlign w:val="center"/>
            <w:hideMark/>
          </w:tcPr>
          <w:p w14:paraId="3C72C7E5"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20</w:t>
            </w:r>
          </w:p>
        </w:tc>
        <w:tc>
          <w:tcPr>
            <w:tcW w:w="1415" w:type="dxa"/>
            <w:tcBorders>
              <w:top w:val="single" w:sz="4" w:space="0" w:color="auto"/>
            </w:tcBorders>
            <w:shd w:val="clear" w:color="auto" w:fill="auto"/>
            <w:vAlign w:val="center"/>
            <w:hideMark/>
          </w:tcPr>
          <w:p w14:paraId="1A6B70DD"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50</w:t>
            </w:r>
          </w:p>
        </w:tc>
        <w:tc>
          <w:tcPr>
            <w:tcW w:w="1420" w:type="dxa"/>
            <w:tcBorders>
              <w:top w:val="single" w:sz="4" w:space="0" w:color="auto"/>
            </w:tcBorders>
            <w:shd w:val="clear" w:color="auto" w:fill="auto"/>
            <w:vAlign w:val="center"/>
            <w:hideMark/>
          </w:tcPr>
          <w:p w14:paraId="26D58B81"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80</w:t>
            </w:r>
          </w:p>
        </w:tc>
        <w:tc>
          <w:tcPr>
            <w:tcW w:w="1276" w:type="dxa"/>
            <w:tcBorders>
              <w:top w:val="single" w:sz="4" w:space="0" w:color="auto"/>
            </w:tcBorders>
            <w:shd w:val="clear" w:color="auto" w:fill="auto"/>
            <w:vAlign w:val="center"/>
            <w:hideMark/>
          </w:tcPr>
          <w:p w14:paraId="695596B2"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65</w:t>
            </w:r>
          </w:p>
        </w:tc>
      </w:tr>
      <w:tr w:rsidR="00053061" w:rsidRPr="000A6219" w14:paraId="30F5A8DB" w14:textId="77777777" w:rsidTr="007A0A4A">
        <w:trPr>
          <w:trHeight w:val="555"/>
        </w:trPr>
        <w:tc>
          <w:tcPr>
            <w:tcW w:w="1560" w:type="dxa"/>
            <w:shd w:val="clear" w:color="auto" w:fill="auto"/>
            <w:vAlign w:val="center"/>
            <w:hideMark/>
          </w:tcPr>
          <w:p w14:paraId="2A32D6C5" w14:textId="5BFC4CBF" w:rsidR="00053061" w:rsidRPr="000A6219" w:rsidRDefault="007A0A4A" w:rsidP="000A6219">
            <w:pPr>
              <w:suppressAutoHyphens/>
              <w:snapToGrid w:val="0"/>
              <w:spacing w:line="360" w:lineRule="auto"/>
              <w:jc w:val="both"/>
              <w:rPr>
                <w:rFonts w:ascii="Book Antiqua" w:eastAsia="Times New Roman" w:hAnsi="Book Antiqua" w:cs="Times New Roman"/>
                <w:sz w:val="24"/>
                <w:szCs w:val="24"/>
                <w:lang w:val="en-US" w:eastAsia="ar-SA"/>
              </w:rPr>
            </w:pPr>
            <w:proofErr w:type="spellStart"/>
            <w:r w:rsidRPr="000A6219">
              <w:rPr>
                <w:rFonts w:ascii="Book Antiqua" w:eastAsia="Times New Roman" w:hAnsi="Book Antiqua" w:cs="Times New Roman"/>
                <w:i/>
                <w:sz w:val="24"/>
                <w:szCs w:val="24"/>
                <w:lang w:val="en-US" w:eastAsia="ar-SA"/>
              </w:rPr>
              <w:t>lpfA</w:t>
            </w:r>
            <w:proofErr w:type="spellEnd"/>
            <w:r w:rsidR="00053061"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00053061" w:rsidRPr="000A6219">
              <w:rPr>
                <w:rFonts w:ascii="Book Antiqua" w:eastAsia="Times New Roman" w:hAnsi="Book Antiqua" w:cs="Times New Roman"/>
                <w:i/>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[31]</w:t>
            </w:r>
            <w:r w:rsidR="00053061" w:rsidRPr="000A6219">
              <w:rPr>
                <w:rFonts w:ascii="Book Antiqua" w:eastAsia="Times New Roman" w:hAnsi="Book Antiqua" w:cs="Times New Roman"/>
                <w:i/>
                <w:sz w:val="24"/>
                <w:szCs w:val="24"/>
                <w:lang w:val="en-US" w:eastAsia="ar-SA"/>
              </w:rPr>
              <w:fldChar w:fldCharType="end"/>
            </w:r>
            <w:r w:rsidR="006D217A" w:rsidRPr="000A6219">
              <w:rPr>
                <w:rFonts w:ascii="Book Antiqua" w:eastAsia="Times New Roman" w:hAnsi="Book Antiqua" w:cs="Times New Roman"/>
                <w:sz w:val="24"/>
                <w:szCs w:val="24"/>
                <w:vertAlign w:val="superscript"/>
                <w:lang w:val="en-US" w:eastAsia="ar-SA"/>
              </w:rPr>
              <w:t>1</w:t>
            </w:r>
          </w:p>
        </w:tc>
        <w:tc>
          <w:tcPr>
            <w:tcW w:w="992" w:type="dxa"/>
            <w:shd w:val="clear" w:color="auto" w:fill="auto"/>
            <w:vAlign w:val="center"/>
            <w:hideMark/>
          </w:tcPr>
          <w:p w14:paraId="7B6611DD"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24</w:t>
            </w:r>
          </w:p>
        </w:tc>
        <w:tc>
          <w:tcPr>
            <w:tcW w:w="1418" w:type="dxa"/>
            <w:shd w:val="clear" w:color="auto" w:fill="auto"/>
            <w:vAlign w:val="center"/>
            <w:hideMark/>
          </w:tcPr>
          <w:p w14:paraId="15C8445F"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25</w:t>
            </w:r>
          </w:p>
        </w:tc>
        <w:tc>
          <w:tcPr>
            <w:tcW w:w="850" w:type="dxa"/>
            <w:shd w:val="clear" w:color="auto" w:fill="auto"/>
            <w:vAlign w:val="center"/>
            <w:hideMark/>
          </w:tcPr>
          <w:p w14:paraId="3EF3B85E"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71</w:t>
            </w:r>
          </w:p>
        </w:tc>
        <w:tc>
          <w:tcPr>
            <w:tcW w:w="1418" w:type="dxa"/>
            <w:shd w:val="clear" w:color="auto" w:fill="auto"/>
            <w:vAlign w:val="center"/>
            <w:hideMark/>
          </w:tcPr>
          <w:p w14:paraId="26F4CF68"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20</w:t>
            </w:r>
          </w:p>
        </w:tc>
        <w:tc>
          <w:tcPr>
            <w:tcW w:w="1415" w:type="dxa"/>
            <w:shd w:val="clear" w:color="auto" w:fill="auto"/>
            <w:vAlign w:val="center"/>
            <w:hideMark/>
          </w:tcPr>
          <w:p w14:paraId="18C599C8"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71</w:t>
            </w:r>
          </w:p>
        </w:tc>
        <w:tc>
          <w:tcPr>
            <w:tcW w:w="1420" w:type="dxa"/>
            <w:shd w:val="clear" w:color="auto" w:fill="auto"/>
            <w:vAlign w:val="center"/>
            <w:hideMark/>
          </w:tcPr>
          <w:p w14:paraId="6FA94EB1"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80</w:t>
            </w:r>
          </w:p>
        </w:tc>
        <w:tc>
          <w:tcPr>
            <w:tcW w:w="1276" w:type="dxa"/>
            <w:shd w:val="clear" w:color="auto" w:fill="auto"/>
            <w:vAlign w:val="center"/>
            <w:hideMark/>
          </w:tcPr>
          <w:p w14:paraId="4D3CCF9D"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75</w:t>
            </w:r>
          </w:p>
        </w:tc>
      </w:tr>
      <w:tr w:rsidR="00013800" w:rsidRPr="000A6219" w14:paraId="559834C9" w14:textId="77777777" w:rsidTr="007A0A4A">
        <w:trPr>
          <w:trHeight w:val="555"/>
        </w:trPr>
        <w:tc>
          <w:tcPr>
            <w:tcW w:w="1560" w:type="dxa"/>
            <w:shd w:val="clear" w:color="auto" w:fill="auto"/>
            <w:vAlign w:val="center"/>
          </w:tcPr>
          <w:p w14:paraId="6BE7BDBF" w14:textId="5618D829" w:rsidR="00013800" w:rsidRPr="000A6219" w:rsidRDefault="007A0A4A" w:rsidP="000A6219">
            <w:pPr>
              <w:suppressAutoHyphens/>
              <w:snapToGrid w:val="0"/>
              <w:spacing w:line="360" w:lineRule="auto"/>
              <w:jc w:val="both"/>
              <w:rPr>
                <w:rFonts w:ascii="Book Antiqua" w:eastAsia="Times New Roman" w:hAnsi="Book Antiqua" w:cs="Times New Roman"/>
                <w:i/>
                <w:sz w:val="24"/>
                <w:szCs w:val="24"/>
                <w:lang w:val="en-US" w:eastAsia="ar-SA"/>
              </w:rPr>
            </w:pPr>
            <w:r w:rsidRPr="000A6219">
              <w:rPr>
                <w:rFonts w:ascii="Book Antiqua" w:eastAsia="Times New Roman" w:hAnsi="Book Antiqua" w:cs="Times New Roman"/>
                <w:sz w:val="24"/>
                <w:szCs w:val="24"/>
                <w:lang w:val="en-US" w:eastAsia="ar-SA"/>
              </w:rPr>
              <w:t>29 SNPs</w:t>
            </w:r>
            <w:r w:rsidR="00013800" w:rsidRPr="000A6219">
              <w:rPr>
                <w:rFonts w:ascii="Book Antiqua" w:eastAsia="Times New Roman" w:hAnsi="Book Antiqua" w:cs="Times New Roman"/>
                <w:sz w:val="24"/>
                <w:szCs w:val="24"/>
                <w:lang w:val="en-US" w:eastAsia="ar-SA"/>
              </w:rPr>
              <w:fldChar w:fldCharType="begin" w:fldLock="1"/>
            </w:r>
            <w:r w:rsidR="00894FE5" w:rsidRPr="000A6219">
              <w:rPr>
                <w:rFonts w:ascii="Book Antiqua" w:eastAsia="Times New Roman" w:hAnsi="Book Antiqua" w:cs="Times New Roman"/>
                <w:sz w:val="24"/>
                <w:szCs w:val="24"/>
                <w:lang w:val="en-US" w:eastAsia="ar-SA"/>
              </w:rPr>
              <w:instrText>ADDIN CSL_CITATION {"citationItems":[{"id":"ITEM-1","itemData":{"DOI":"10.1093/femsle/fnv193","ISSN":"1574-6968","PMID":"26459886","abstract":"The B2 phylogenetic group of Escherichia coli contains important pathogens such as extra-intestinal pathogenic, adherent-invasive, and uropathogenic strains. In this study, we used comparative genomics and statistical methods to identify genetic variations which define a subset of pathogenic strains belonging to the B2 phylogenetic group. An initial proof of concept analysis indicated that five of the 62 E. coli strains available in the KEGG database showed close association with B2 adherent-invasive E. coli, forming a subgroup within the B2 phylogenetic group. The tool, kSNP which uses a k-mer approach, and the statistical phenotype prediction tool PPFS2 were then employed to identify 29 high-resolution SNPs, which reaffirmed this grouping. PPFS2 analysis also provided indications that the clustering of this subgroup was highly consistent, and thus, could have a strong phenotypic basis rather than being only evolutionary. Protein homology analyses identified three proteins to be conserved across this subgrouping, two CRISPR-Cas proteins and a hypothetical protein. Functional analyses of these genetic and protein variations may provide insights into the phenotype of these strains.","author":[{"dropping-particle":"","family":"Deshpande","given":"Nandan P","non-dropping-particle":"","parse-names":false,"suffix":""},{"dropping-particle":"","family":"Wilkins","given":"Marc R","non-dropping-particle":"","parse-names":false,"suffix":""},{"dropping-particle":"","family":"Mitchell","given":"Hazel M","non-dropping-particle":"","parse-names":false,"suffix":""},{"dropping-particle":"","family":"Kaakoush","given":"Nadeem O","non-dropping-particle":"","parse-names":false,"suffix":""}],"container-title":"FEMS microbiology letters","id":"ITEM-1","issue":"August","issued":{"date-parts":[["2015"]]},"page":"1-7","title":"Novel genetic markers define a subgroup of pathogenic Escherichia coli strains belonging to the B2 phylogenetic group.","type":"article-journal"},"uris":["http://www.mendeley.com/documents/?uuid=a0f81734-88f7-4d12-b832-b176246b3a92"]}],"mendeley":{"formattedCitation":"&lt;sup&gt;[33]&lt;/sup&gt;","plainTextFormattedCitation":"[33]","previouslyFormattedCitation":"&lt;sup&gt;[33]&lt;/sup&gt;"},"properties":{"noteIndex":0},"schema":"https://github.com/citation-style-language/schema/raw/master/csl-citation.json"}</w:instrText>
            </w:r>
            <w:r w:rsidR="00013800" w:rsidRPr="000A6219">
              <w:rPr>
                <w:rFonts w:ascii="Book Antiqua" w:eastAsia="Times New Roman" w:hAnsi="Book Antiqua" w:cs="Times New Roman"/>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[33]</w:t>
            </w:r>
            <w:r w:rsidR="00013800" w:rsidRPr="000A6219">
              <w:rPr>
                <w:rFonts w:ascii="Book Antiqua" w:eastAsia="Times New Roman" w:hAnsi="Book Antiqua" w:cs="Times New Roman"/>
                <w:sz w:val="24"/>
                <w:szCs w:val="24"/>
                <w:lang w:val="en-US" w:eastAsia="ar-SA"/>
              </w:rPr>
              <w:fldChar w:fldCharType="end"/>
            </w:r>
            <w:r w:rsidR="006D217A" w:rsidRPr="000A6219">
              <w:rPr>
                <w:rFonts w:ascii="Book Antiqua" w:eastAsia="Times New Roman" w:hAnsi="Book Antiqua" w:cs="Times New Roman"/>
                <w:sz w:val="24"/>
                <w:szCs w:val="24"/>
                <w:vertAlign w:val="superscript"/>
                <w:lang w:val="en-US" w:eastAsia="ar-SA"/>
              </w:rPr>
              <w:t>2</w:t>
            </w:r>
          </w:p>
        </w:tc>
        <w:tc>
          <w:tcPr>
            <w:tcW w:w="992" w:type="dxa"/>
            <w:shd w:val="clear" w:color="auto" w:fill="auto"/>
            <w:vAlign w:val="center"/>
          </w:tcPr>
          <w:p w14:paraId="34673542" w14:textId="7E8735FB"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4</w:t>
            </w:r>
          </w:p>
        </w:tc>
        <w:tc>
          <w:tcPr>
            <w:tcW w:w="1418" w:type="dxa"/>
            <w:shd w:val="clear" w:color="auto" w:fill="auto"/>
            <w:vAlign w:val="center"/>
          </w:tcPr>
          <w:p w14:paraId="7672FBF7" w14:textId="242ECB35"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1307</w:t>
            </w:r>
          </w:p>
        </w:tc>
        <w:tc>
          <w:tcPr>
            <w:tcW w:w="850" w:type="dxa"/>
            <w:shd w:val="clear" w:color="auto" w:fill="auto"/>
            <w:vAlign w:val="center"/>
          </w:tcPr>
          <w:p w14:paraId="34392E83" w14:textId="32366ED2"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100</w:t>
            </w:r>
          </w:p>
        </w:tc>
        <w:tc>
          <w:tcPr>
            <w:tcW w:w="1418" w:type="dxa"/>
            <w:shd w:val="clear" w:color="auto" w:fill="auto"/>
            <w:vAlign w:val="center"/>
          </w:tcPr>
          <w:p w14:paraId="10BA3421" w14:textId="6D463B76"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4</w:t>
            </w:r>
          </w:p>
        </w:tc>
        <w:tc>
          <w:tcPr>
            <w:tcW w:w="1415" w:type="dxa"/>
            <w:shd w:val="clear" w:color="auto" w:fill="auto"/>
            <w:vAlign w:val="center"/>
          </w:tcPr>
          <w:p w14:paraId="526E95FA" w14:textId="3A642184"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w:t>
            </w:r>
          </w:p>
        </w:tc>
        <w:tc>
          <w:tcPr>
            <w:tcW w:w="1420" w:type="dxa"/>
            <w:shd w:val="clear" w:color="auto" w:fill="auto"/>
            <w:vAlign w:val="center"/>
          </w:tcPr>
          <w:p w14:paraId="777C764D" w14:textId="2E66A457"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w:t>
            </w:r>
          </w:p>
        </w:tc>
        <w:tc>
          <w:tcPr>
            <w:tcW w:w="1276" w:type="dxa"/>
            <w:shd w:val="clear" w:color="auto" w:fill="auto"/>
            <w:vAlign w:val="center"/>
          </w:tcPr>
          <w:p w14:paraId="7CD36A0B" w14:textId="32BB59D9"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w:t>
            </w:r>
          </w:p>
        </w:tc>
      </w:tr>
      <w:tr w:rsidR="00013800" w:rsidRPr="000A6219" w14:paraId="40DC2E2A" w14:textId="77777777" w:rsidTr="007A0A4A">
        <w:trPr>
          <w:trHeight w:val="563"/>
        </w:trPr>
        <w:tc>
          <w:tcPr>
            <w:tcW w:w="1560" w:type="dxa"/>
            <w:shd w:val="clear" w:color="auto" w:fill="auto"/>
            <w:vAlign w:val="center"/>
            <w:hideMark/>
          </w:tcPr>
          <w:p w14:paraId="5B5BA5D6" w14:textId="449BE8D4"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s-ES" w:eastAsia="ar-SA"/>
              </w:rPr>
            </w:pPr>
            <w:r w:rsidRPr="000A6219">
              <w:rPr>
                <w:rFonts w:ascii="Book Antiqua" w:eastAsia="Times New Roman" w:hAnsi="Book Antiqua" w:cs="Times New Roman"/>
                <w:i/>
                <w:sz w:val="24"/>
                <w:szCs w:val="24"/>
                <w:lang w:val="es-ES" w:eastAsia="ar-SA"/>
              </w:rPr>
              <w:t>lpfA</w:t>
            </w:r>
            <w:r w:rsidRPr="000A6219">
              <w:rPr>
                <w:rFonts w:ascii="Book Antiqua" w:eastAsia="Times New Roman" w:hAnsi="Book Antiqua" w:cs="Times New Roman"/>
                <w:sz w:val="24"/>
                <w:szCs w:val="24"/>
                <w:lang w:val="es-ES" w:eastAsia="ar-SA"/>
              </w:rPr>
              <w:t xml:space="preserve"> + </w:t>
            </w:r>
            <w:r w:rsidR="007A0A4A" w:rsidRPr="000A6219">
              <w:rPr>
                <w:rFonts w:ascii="Book Antiqua" w:eastAsia="Times New Roman" w:hAnsi="Book Antiqua" w:cs="Times New Roman"/>
                <w:i/>
                <w:sz w:val="24"/>
                <w:szCs w:val="24"/>
                <w:lang w:val="es-ES" w:eastAsia="ar-SA"/>
              </w:rPr>
              <w:t>gipA</w:t>
            </w:r>
            <w:r w:rsidRPr="000A6219">
              <w:rPr>
                <w:rFonts w:ascii="Book Antiqua" w:eastAsia="Times New Roman" w:hAnsi="Book Antiqua" w:cs="Times New Roman"/>
                <w:i/>
                <w:sz w:val="24"/>
                <w:szCs w:val="24"/>
                <w:lang w:val="en-US" w:eastAsia="ar-SA"/>
              </w:rPr>
              <w:fldChar w:fldCharType="begin" w:fldLock="1"/>
            </w:r>
            <w:r w:rsidR="00894FE5" w:rsidRPr="000A6219">
              <w:rPr>
                <w:rFonts w:ascii="Book Antiqua" w:eastAsia="Times New Roman" w:hAnsi="Book Antiqua" w:cs="Times New Roman"/>
                <w:i/>
                <w:sz w:val="24"/>
                <w:szCs w:val="24"/>
                <w:lang w:val="es-ES" w:eastAsia="ar-SA"/>
              </w:rPr>
              <w:instrText>ADDIN CSL_CITATION {"citationItems":[{"id":"ITEM-1","itemData":{"DOI":"10.1097/MIB.0000000000000609","ISSN":"1536-4844","PMID":"26512715","abstract":"BACKGROUND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 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 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 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diseases","id":"ITEM-1","issue":"1","issued":{"date-parts":[["2016","1"]]},"page":"68-81","title":"GipA Factor Supports Colonization of Peyer's Patches by Crohn's Disease-associated Escherichia Coli.","type":"article-journal","volume":"22"},"uris":["http://www.mendeley.com/documents/?uuid=51303cd0-bfeb-36be-aba1-cf6d0f4665e0"]}],"mendeley":{"formattedCitation":"&lt;sup&gt;[47]&lt;/sup&gt;","plainTextFormattedCitation":"[47]","previouslyFormattedCitation":"&lt;sup&gt;[47]&lt;/sup&gt;"},"properties":{"noteIndex":0},"schema":"https://github.com/citation-style-language/schema/raw/master/csl-citation.json"}</w:instrText>
            </w:r>
            <w:r w:rsidRPr="000A6219">
              <w:rPr>
                <w:rFonts w:ascii="Book Antiqua" w:eastAsia="Times New Roman" w:hAnsi="Book Antiqua" w:cs="Times New Roman"/>
                <w:i/>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s-ES" w:eastAsia="ar-SA"/>
              </w:rPr>
              <w:t>[</w:t>
            </w:r>
            <w:r w:rsidR="005E7236" w:rsidRPr="000A6219">
              <w:rPr>
                <w:rFonts w:ascii="Book Antiqua" w:eastAsia="Times New Roman" w:hAnsi="Book Antiqua" w:cs="Times New Roman"/>
                <w:noProof/>
                <w:sz w:val="24"/>
                <w:szCs w:val="24"/>
                <w:vertAlign w:val="superscript"/>
                <w:lang w:val="es-ES" w:eastAsia="ar-SA"/>
              </w:rPr>
              <w:t>39</w:t>
            </w:r>
            <w:r w:rsidR="00765E1A" w:rsidRPr="000A6219">
              <w:rPr>
                <w:rFonts w:ascii="Book Antiqua" w:eastAsia="Times New Roman" w:hAnsi="Book Antiqua" w:cs="Times New Roman"/>
                <w:noProof/>
                <w:sz w:val="24"/>
                <w:szCs w:val="24"/>
                <w:vertAlign w:val="superscript"/>
                <w:lang w:val="es-ES" w:eastAsia="ar-SA"/>
              </w:rPr>
              <w:t>]</w:t>
            </w:r>
            <w:r w:rsidRPr="000A6219">
              <w:rPr>
                <w:rFonts w:ascii="Book Antiqua" w:eastAsia="Times New Roman" w:hAnsi="Book Antiqua" w:cs="Times New Roman"/>
                <w:i/>
                <w:sz w:val="24"/>
                <w:szCs w:val="24"/>
                <w:lang w:val="en-US" w:eastAsia="ar-SA"/>
              </w:rPr>
              <w:fldChar w:fldCharType="end"/>
            </w:r>
          </w:p>
        </w:tc>
        <w:tc>
          <w:tcPr>
            <w:tcW w:w="992" w:type="dxa"/>
            <w:shd w:val="clear" w:color="auto" w:fill="auto"/>
            <w:vAlign w:val="center"/>
            <w:hideMark/>
          </w:tcPr>
          <w:p w14:paraId="65F5D922" w14:textId="77777777"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35</w:t>
            </w:r>
          </w:p>
        </w:tc>
        <w:tc>
          <w:tcPr>
            <w:tcW w:w="1418" w:type="dxa"/>
            <w:shd w:val="clear" w:color="auto" w:fill="auto"/>
            <w:vAlign w:val="center"/>
            <w:hideMark/>
          </w:tcPr>
          <w:p w14:paraId="2397D7C0" w14:textId="77777777"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103</w:t>
            </w:r>
          </w:p>
        </w:tc>
        <w:tc>
          <w:tcPr>
            <w:tcW w:w="850" w:type="dxa"/>
            <w:shd w:val="clear" w:color="auto" w:fill="auto"/>
            <w:vAlign w:val="center"/>
            <w:hideMark/>
          </w:tcPr>
          <w:p w14:paraId="133CB7E5" w14:textId="77777777"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31</w:t>
            </w:r>
          </w:p>
        </w:tc>
        <w:tc>
          <w:tcPr>
            <w:tcW w:w="1418" w:type="dxa"/>
            <w:shd w:val="clear" w:color="auto" w:fill="auto"/>
            <w:vAlign w:val="center"/>
            <w:hideMark/>
          </w:tcPr>
          <w:p w14:paraId="1B678930" w14:textId="77777777"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0</w:t>
            </w:r>
          </w:p>
        </w:tc>
        <w:tc>
          <w:tcPr>
            <w:tcW w:w="1415" w:type="dxa"/>
            <w:shd w:val="clear" w:color="auto" w:fill="auto"/>
            <w:vAlign w:val="center"/>
            <w:hideMark/>
          </w:tcPr>
          <w:p w14:paraId="6E06A45E" w14:textId="77777777"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31</w:t>
            </w:r>
          </w:p>
        </w:tc>
        <w:tc>
          <w:tcPr>
            <w:tcW w:w="1420" w:type="dxa"/>
            <w:shd w:val="clear" w:color="auto" w:fill="auto"/>
            <w:vAlign w:val="center"/>
            <w:hideMark/>
          </w:tcPr>
          <w:p w14:paraId="0FDC9141" w14:textId="77777777"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100</w:t>
            </w:r>
          </w:p>
        </w:tc>
        <w:tc>
          <w:tcPr>
            <w:tcW w:w="1276" w:type="dxa"/>
            <w:shd w:val="clear" w:color="auto" w:fill="auto"/>
            <w:vAlign w:val="center"/>
            <w:hideMark/>
          </w:tcPr>
          <w:p w14:paraId="1BBD1BB2" w14:textId="77777777"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83</w:t>
            </w:r>
          </w:p>
        </w:tc>
      </w:tr>
      <w:tr w:rsidR="006206FD" w:rsidRPr="000A6219" w14:paraId="51CAFF69" w14:textId="77777777" w:rsidTr="007A0A4A">
        <w:trPr>
          <w:trHeight w:val="563"/>
        </w:trPr>
        <w:tc>
          <w:tcPr>
            <w:tcW w:w="1560" w:type="dxa"/>
            <w:shd w:val="clear" w:color="auto" w:fill="auto"/>
            <w:vAlign w:val="center"/>
          </w:tcPr>
          <w:p w14:paraId="22487CFF" w14:textId="5E81975F" w:rsidR="006206FD" w:rsidRPr="000A6219" w:rsidRDefault="007A0A4A" w:rsidP="000A6219">
            <w:pPr>
              <w:suppressAutoHyphens/>
              <w:snapToGrid w:val="0"/>
              <w:spacing w:line="360" w:lineRule="auto"/>
              <w:jc w:val="both"/>
              <w:rPr>
                <w:rFonts w:ascii="Book Antiqua" w:eastAsia="Times New Roman" w:hAnsi="Book Antiqua" w:cs="Times New Roman"/>
                <w:i/>
                <w:sz w:val="24"/>
                <w:szCs w:val="24"/>
                <w:lang w:val="en-US" w:eastAsia="ar-SA"/>
              </w:rPr>
            </w:pPr>
            <w:r w:rsidRPr="000A6219">
              <w:rPr>
                <w:rFonts w:ascii="Book Antiqua" w:eastAsia="Times New Roman" w:hAnsi="Book Antiqua" w:cs="Times New Roman"/>
                <w:sz w:val="24"/>
                <w:szCs w:val="24"/>
                <w:lang w:val="en-US" w:eastAsia="ar-SA"/>
              </w:rPr>
              <w:t>3 genomic regions</w:t>
            </w:r>
            <w:r w:rsidR="006206FD" w:rsidRPr="000A6219">
              <w:rPr>
                <w:rFonts w:ascii="Book Antiqua" w:eastAsia="Times New Roman" w:hAnsi="Book Antiqua" w:cs="Times New Roman"/>
                <w:sz w:val="24"/>
                <w:szCs w:val="24"/>
                <w:lang w:val="en-US" w:eastAsia="ar-SA"/>
              </w:rPr>
              <w:fldChar w:fldCharType="begin" w:fldLock="1"/>
            </w:r>
            <w:r w:rsidR="00E04FBE" w:rsidRPr="000A6219">
              <w:rPr>
                <w:rFonts w:ascii="Book Antiqua" w:eastAsia="Times New Roman" w:hAnsi="Book Antiqua" w:cs="Times New Roman"/>
                <w:sz w:val="24"/>
                <w:szCs w:val="24"/>
                <w:lang w:val="en-US" w:eastAsia="ar-SA"/>
              </w:rPr>
              <w:instrText>ADDIN CSL_CITATION {"citationItems":[{"id":"ITEM-1","itemData":{"DOI":"10.1097/MIB.0000000000000574","ISBN":"0000000000000","ISSN":"15364844","PMID":"26444104","abstract":"BACKGROUND Mucosal-associated Escherichia coli are commonly found in inflamed tissues during inflammatory bowel disease (IBD). These bacteria often possess an adherent and invasive phenotype but lack virulence-associated features of well-described intestinal E. coli pathogens, and are of diverse serology and phylotypes, making it difficult to correlate strain characteristics with exacerbations of disease. METHODS The genome sequences of 14 phenotypically assigned adherent-invasive Escherichia coli (AIEC) isolates obtained from intestinal biopsies of patients with IBD were compared with the genome sequences of 37 other pathogenic and commensal E. coli available from public databases. RESULTS Core genome-based phylogenetic analyses and genome-wide comparison of genetic content established the existence of a closely related cluster of AIEC strains with 3 distinct genetic insertions differentiating them from commensal E. coli. These strains are of the B2 phylotype have a variant type VI secretion system (T6SS-1), and are highly related to extraintestinal pathogenic E. coli, suggesting that these 2 clinically distinct pathovars have common virulence strategies. Four other mucosally adherent E. coli strains from patients with IBD were of diverse phylogenetic origins and lacked the 3 genetic features, suggesting that they are not related to the B2 AIEC cluster. Although AIEC are often considered as having a unique association with Crohn's disease, isolates from Crohn's disease and ulcerative colitis were genetically indistinguishable. CONCLUSIONS B2 AIEC thus represent a closely related cluster of IBD-associated E. coli strains that are distinct from normal commensal isolates, and which should be considered separately from the phenotypically similar but genetically distinct non-B2 AIEC strains when considering their association with intestinal pathogenesis.","author":[{"dropping-particle":"","family":"Desilets","given":"Michael","non-dropping-particle":"","parse-names":false,"suffix":""},{"dropping-particle":"","family":"Deng","given":"Xiangding","non-dropping-particle":"","parse-names":false,"suffix":""},{"dropping-particle":"","family":"Rao","given":"Chitong","non-dropping-particle":"","parse-names":false,"suffix":""},{"dropping-particle":"","family":"Ensminger","given":"Alexander W.","non-dropping-particle":"","parse-names":false,"suffix":""},{"dropping-particle":"","family":"Krause","given":"Denis O.","non-dropping-particle":"","parse-names":false,"suffix":""},{"dropping-particle":"","family":"Sherman","given":"Philip M.","non-dropping-particle":"","parse-names":false,"suffix":""},{"dropping-particle":"","family":"Gray-Owen","given":"Scott D.","non-dropping-particle":"","parse-names":false,"suffix":""}],"container-title":"Inflammatory Bowel Diseases","id":"ITEM-1","issue":"1","issued":{"date-parts":[["2016"]]},"page":"1-12","title":"Genome-based definition of an inflammatory bowel disease-associated adherent-invasive Escherichia coli pathovar","type":"article-journal","volume":"22"},"uris":["http://www.mendeley.com/documents/?uuid=b415452d-a7f0-42e4-a968-ab2a8693e4d3"]}],"mendeley":{"formattedCitation":"&lt;sup&gt;[32]&lt;/sup&gt;","plainTextFormattedCitation":"[32]","previouslyFormattedCitation":"&lt;sup&gt;[32]&lt;/sup&gt;"},"properties":{"noteIndex":0},"schema":"https://github.com/citation-style-language/schema/raw/master/csl-citation.json"}</w:instrText>
            </w:r>
            <w:r w:rsidR="006206FD" w:rsidRPr="000A6219">
              <w:rPr>
                <w:rFonts w:ascii="Book Antiqua" w:eastAsia="Times New Roman" w:hAnsi="Book Antiqua" w:cs="Times New Roman"/>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[32]</w:t>
            </w:r>
            <w:r w:rsidR="006206FD" w:rsidRPr="000A6219">
              <w:rPr>
                <w:rFonts w:ascii="Book Antiqua" w:eastAsia="Times New Roman" w:hAnsi="Book Antiqua" w:cs="Times New Roman"/>
                <w:sz w:val="24"/>
                <w:szCs w:val="24"/>
                <w:lang w:val="en-US" w:eastAsia="ar-SA"/>
              </w:rPr>
              <w:fldChar w:fldCharType="end"/>
            </w:r>
            <w:r w:rsidR="006D217A" w:rsidRPr="000A6219">
              <w:rPr>
                <w:rFonts w:ascii="Book Antiqua" w:eastAsia="Times New Roman" w:hAnsi="Book Antiqua" w:cs="Times New Roman"/>
                <w:sz w:val="24"/>
                <w:szCs w:val="24"/>
                <w:vertAlign w:val="superscript"/>
                <w:lang w:val="en-US" w:eastAsia="ar-SA"/>
              </w:rPr>
              <w:t>3</w:t>
            </w:r>
          </w:p>
        </w:tc>
        <w:tc>
          <w:tcPr>
            <w:tcW w:w="992" w:type="dxa"/>
            <w:shd w:val="clear" w:color="auto" w:fill="auto"/>
            <w:vAlign w:val="center"/>
          </w:tcPr>
          <w:p w14:paraId="51EFF8A9" w14:textId="045FED9D"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14</w:t>
            </w:r>
          </w:p>
        </w:tc>
        <w:tc>
          <w:tcPr>
            <w:tcW w:w="1418" w:type="dxa"/>
            <w:shd w:val="clear" w:color="auto" w:fill="auto"/>
            <w:vAlign w:val="center"/>
          </w:tcPr>
          <w:p w14:paraId="7E2343CE" w14:textId="6F2B53CF"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6</w:t>
            </w:r>
          </w:p>
        </w:tc>
        <w:tc>
          <w:tcPr>
            <w:tcW w:w="850" w:type="dxa"/>
            <w:shd w:val="clear" w:color="auto" w:fill="auto"/>
            <w:vAlign w:val="center"/>
          </w:tcPr>
          <w:p w14:paraId="29ED42ED" w14:textId="6C3B19BE"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79</w:t>
            </w:r>
          </w:p>
        </w:tc>
        <w:tc>
          <w:tcPr>
            <w:tcW w:w="1418" w:type="dxa"/>
            <w:shd w:val="clear" w:color="auto" w:fill="auto"/>
            <w:vAlign w:val="center"/>
          </w:tcPr>
          <w:p w14:paraId="0E2D5924" w14:textId="32577D4B"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0</w:t>
            </w:r>
          </w:p>
        </w:tc>
        <w:tc>
          <w:tcPr>
            <w:tcW w:w="1415" w:type="dxa"/>
            <w:shd w:val="clear" w:color="auto" w:fill="auto"/>
            <w:vAlign w:val="center"/>
          </w:tcPr>
          <w:p w14:paraId="7CC161C9" w14:textId="616E760B"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79</w:t>
            </w:r>
          </w:p>
        </w:tc>
        <w:tc>
          <w:tcPr>
            <w:tcW w:w="1420" w:type="dxa"/>
            <w:shd w:val="clear" w:color="auto" w:fill="auto"/>
            <w:vAlign w:val="center"/>
          </w:tcPr>
          <w:p w14:paraId="21D16690" w14:textId="65B36EFE"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100</w:t>
            </w:r>
          </w:p>
        </w:tc>
        <w:tc>
          <w:tcPr>
            <w:tcW w:w="1276" w:type="dxa"/>
            <w:shd w:val="clear" w:color="auto" w:fill="auto"/>
            <w:vAlign w:val="center"/>
          </w:tcPr>
          <w:p w14:paraId="7958769B" w14:textId="2FB5EECD"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85</w:t>
            </w:r>
          </w:p>
        </w:tc>
      </w:tr>
      <w:tr w:rsidR="006206FD" w:rsidRPr="000A6219" w14:paraId="364305D0" w14:textId="77777777" w:rsidTr="007A0A4A">
        <w:trPr>
          <w:trHeight w:val="557"/>
        </w:trPr>
        <w:tc>
          <w:tcPr>
            <w:tcW w:w="1560" w:type="dxa"/>
            <w:shd w:val="clear" w:color="auto" w:fill="auto"/>
            <w:vAlign w:val="center"/>
            <w:hideMark/>
          </w:tcPr>
          <w:p w14:paraId="59E3EB6E" w14:textId="0594B729" w:rsidR="006206FD" w:rsidRPr="000A6219" w:rsidRDefault="007A0A4A" w:rsidP="000A6219">
            <w:pPr>
              <w:suppressAutoHyphens/>
              <w:snapToGrid w:val="0"/>
              <w:spacing w:line="360" w:lineRule="auto"/>
              <w:jc w:val="both"/>
              <w:rPr>
                <w:rFonts w:ascii="Book Antiqua" w:eastAsia="Times New Roman" w:hAnsi="Book Antiqua" w:cs="Times New Roman"/>
                <w:i/>
                <w:sz w:val="24"/>
                <w:szCs w:val="24"/>
                <w:lang w:val="en-US" w:eastAsia="ar-SA"/>
              </w:rPr>
            </w:pPr>
            <w:proofErr w:type="spellStart"/>
            <w:r w:rsidRPr="000A6219">
              <w:rPr>
                <w:rFonts w:ascii="Book Antiqua" w:eastAsia="Times New Roman" w:hAnsi="Book Antiqua" w:cs="Times New Roman"/>
                <w:i/>
                <w:sz w:val="24"/>
                <w:szCs w:val="24"/>
                <w:lang w:val="en-US" w:eastAsia="ar-SA"/>
              </w:rPr>
              <w:t>chuA</w:t>
            </w:r>
            <w:proofErr w:type="spellEnd"/>
            <w:r w:rsidR="006206FD"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microbiology","id":"ITEM-1","issued":{"date-parts":[["2017"]]},"page":"639","publisher":"Frontiers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mendeley":{"formattedCitation":"&lt;sup&gt;[13]&lt;/sup&gt;","plainTextFormattedCitation":"[13]","previouslyFormattedCitation":"&lt;sup&gt;[13]&lt;/sup&gt;"},"properties":{"noteIndex":0},"schema":"https://github.com/citation-style-language/schema/raw/master/csl-citation.json"}</w:instrText>
            </w:r>
            <w:r w:rsidR="006206FD" w:rsidRPr="000A6219">
              <w:rPr>
                <w:rFonts w:ascii="Book Antiqua" w:eastAsia="Times New Roman" w:hAnsi="Book Antiqua" w:cs="Times New Roman"/>
                <w:i/>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[13]</w:t>
            </w:r>
            <w:r w:rsidR="006206FD" w:rsidRPr="000A6219">
              <w:rPr>
                <w:rFonts w:ascii="Book Antiqua" w:eastAsia="Times New Roman" w:hAnsi="Book Antiqua" w:cs="Times New Roman"/>
                <w:i/>
                <w:sz w:val="24"/>
                <w:szCs w:val="24"/>
                <w:lang w:val="en-US" w:eastAsia="ar-SA"/>
              </w:rPr>
              <w:fldChar w:fldCharType="end"/>
            </w:r>
            <w:r w:rsidR="006D217A" w:rsidRPr="000A6219">
              <w:rPr>
                <w:rFonts w:ascii="Book Antiqua" w:eastAsia="Times New Roman" w:hAnsi="Book Antiqua" w:cs="Times New Roman"/>
                <w:sz w:val="24"/>
                <w:szCs w:val="24"/>
                <w:vertAlign w:val="superscript"/>
                <w:lang w:val="en-US" w:eastAsia="ar-SA"/>
              </w:rPr>
              <w:t>4</w:t>
            </w:r>
          </w:p>
        </w:tc>
        <w:tc>
          <w:tcPr>
            <w:tcW w:w="992" w:type="dxa"/>
            <w:shd w:val="clear" w:color="auto" w:fill="auto"/>
            <w:vAlign w:val="center"/>
            <w:hideMark/>
          </w:tcPr>
          <w:p w14:paraId="17CBC390"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15</w:t>
            </w:r>
          </w:p>
        </w:tc>
        <w:tc>
          <w:tcPr>
            <w:tcW w:w="1418" w:type="dxa"/>
            <w:shd w:val="clear" w:color="auto" w:fill="auto"/>
            <w:vAlign w:val="center"/>
            <w:hideMark/>
          </w:tcPr>
          <w:p w14:paraId="7F1A34AA"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37</w:t>
            </w:r>
          </w:p>
        </w:tc>
        <w:tc>
          <w:tcPr>
            <w:tcW w:w="850" w:type="dxa"/>
            <w:shd w:val="clear" w:color="auto" w:fill="auto"/>
            <w:vAlign w:val="center"/>
            <w:hideMark/>
          </w:tcPr>
          <w:p w14:paraId="2B63574B"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93</w:t>
            </w:r>
          </w:p>
        </w:tc>
        <w:tc>
          <w:tcPr>
            <w:tcW w:w="1418" w:type="dxa"/>
            <w:shd w:val="clear" w:color="auto" w:fill="auto"/>
            <w:vAlign w:val="center"/>
            <w:hideMark/>
          </w:tcPr>
          <w:p w14:paraId="1D18A3B4"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59</w:t>
            </w:r>
          </w:p>
        </w:tc>
        <w:tc>
          <w:tcPr>
            <w:tcW w:w="1415" w:type="dxa"/>
            <w:shd w:val="clear" w:color="auto" w:fill="auto"/>
            <w:vAlign w:val="center"/>
            <w:hideMark/>
          </w:tcPr>
          <w:p w14:paraId="554CE07E"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93</w:t>
            </w:r>
          </w:p>
        </w:tc>
        <w:tc>
          <w:tcPr>
            <w:tcW w:w="1420" w:type="dxa"/>
            <w:shd w:val="clear" w:color="auto" w:fill="auto"/>
            <w:vAlign w:val="center"/>
            <w:hideMark/>
          </w:tcPr>
          <w:p w14:paraId="014D3325"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41</w:t>
            </w:r>
          </w:p>
        </w:tc>
        <w:tc>
          <w:tcPr>
            <w:tcW w:w="1276" w:type="dxa"/>
            <w:shd w:val="clear" w:color="auto" w:fill="auto"/>
            <w:vAlign w:val="center"/>
            <w:hideMark/>
          </w:tcPr>
          <w:p w14:paraId="09AFBF1A"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56</w:t>
            </w:r>
          </w:p>
        </w:tc>
      </w:tr>
      <w:tr w:rsidR="006206FD" w:rsidRPr="000A6219" w14:paraId="760CD92B" w14:textId="77777777" w:rsidTr="007A0A4A">
        <w:trPr>
          <w:trHeight w:val="557"/>
        </w:trPr>
        <w:tc>
          <w:tcPr>
            <w:tcW w:w="1560" w:type="dxa"/>
            <w:shd w:val="clear" w:color="auto" w:fill="auto"/>
            <w:vAlign w:val="center"/>
          </w:tcPr>
          <w:p w14:paraId="4442D8D6" w14:textId="725DFB21" w:rsidR="006206FD" w:rsidRPr="000A6219" w:rsidRDefault="007A0A4A"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SNP algorithm</w:t>
            </w:r>
            <w:r w:rsidR="006206FD" w:rsidRPr="000A6219">
              <w:rPr>
                <w:rFonts w:ascii="Book Antiqua" w:eastAsia="Times New Roman" w:hAnsi="Book Antiqua" w:cs="Times New Roman"/>
                <w:sz w:val="24"/>
                <w:szCs w:val="24"/>
                <w:lang w:val="en-US" w:eastAsia="ar-SA"/>
              </w:rPr>
              <w:fldChar w:fldCharType="begin" w:fldLock="1"/>
            </w:r>
            <w:r w:rsidR="00E04FBE" w:rsidRPr="000A6219">
              <w:rPr>
                <w:rFonts w:ascii="Book Antiqua" w:eastAsia="Times New Roman" w:hAnsi="Book Antiqua" w:cs="Times New Roman"/>
                <w:sz w:val="24"/>
                <w:szCs w:val="24"/>
                <w:lang w:val="en-US" w:eastAsia="ar-SA"/>
              </w:rPr>
              <w:instrText>ADDIN CSL_CITATION {"citationItems":[{"id":"ITEM-1","itemData":{"DOI":"10.1038/s41598-018-20843-x","ISSN":"2045-2322","abstract":"Adherent-invasive Escherichia coli (AIEC) have been involved in Crohn’s disease (CD). Currently, AIEC are identified by time-consuming techniques based on in vitro infection of cell lines to determine their ability to adhere to and invade intestinal epithelial cells as well as to survive and replicate within macrophages. Our aim was to find signature sequences that can be used to identify the AIEC pathotype. Comparative genomics was performed between three E. coli strain pairs, each pair comprised one AIEC and one non-AIEC with identical pulsotype, sequence type and virulence gene carriage. Genetic differences were further analysed in 22 AIEC and 28 non-AIEC isolated from CD patients and controls. The strain pairs showed similar genome structures, and no gene was specific to AIEC. Three single nucleotide polymorphisms displayed different nucleotide distributions between AIEC and non-AIEC, and four correlated with increased adhesion and/or invasion indices. Here, we present a classification algorithm based on the identification of three allelic variants that can predict the AIEC phenotype with 84% accuracy. Our study corroborates the absence of an AIEC-specific genetic marker distributed across all AIEC strains. Nonetheless, point mutations putatively involved in the AIEC phenotype can be used for the molecular identification of the AIEC pathotype.","author":[{"dropping-particle":"","family":"Camprubí-Font","given":"Carla","non-dropping-particle":"","parse-names":false,"suffix":""},{"dropping-particle":"","family":"Lopez-Siles","given":"Mireia","non-dropping-particle":"","parse-names":false,"suffix":""},{"dropping-particle":"","family":"Ferrer-Guixeras","given":"Meritxell","non-dropping-particle":"","parse-names":false,"suffix":""},{"dropping-particle":"","family":"Niubó-Carulla","given":"Laura","non-dropping-particle":"","parse-names":false,"suffix":""},{"dropping-particle":"","family":"Abellà-Ametller","given":"Carles","non-dropping-particle":"","parse-names":false,"suffix":""},{"dropping-particle":"","family":"Garcia-Gil","given":"Librado Jesús","non-dropping-particle":"","parse-names":false,"suffix":""},{"dropping-particle":"","family":"Martinez-Medina","given":"Margarita","non-dropping-particle":"","parse-names":false,"suffix":""}],"container-title":"Scientific Reports","id":"ITEM-1","issue":"2695","issued":{"date-parts":[["2018","12","9"]]},"page":"1-11","publisher":"Nature Publishing Group","title":"Comparative genomics reveals new single-nucleotide polymorphisms that can assist in identification of adherent-invasive Escherichia coli","type":"article-journal","volume":"8"},"uris":["http://www.mendeley.com/documents/?uuid=0123a8cc-e2a6-3256-aead-c6c75508c7e9"]}],"mendeley":{"formattedCitation":"&lt;sup&gt;[36]&lt;/sup&gt;","plainTextFormattedCitation":"[36]","previouslyFormattedCitation":"&lt;sup&gt;[36]&lt;/sup&gt;"},"properties":{"noteIndex":0},"schema":"https://github.com/citation-style-language/schema/raw/master/csl-citation.json"}</w:instrText>
            </w:r>
            <w:r w:rsidR="006206FD" w:rsidRPr="000A6219">
              <w:rPr>
                <w:rFonts w:ascii="Book Antiqua" w:eastAsia="Times New Roman" w:hAnsi="Book Antiqua" w:cs="Times New Roman"/>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[36]</w:t>
            </w:r>
            <w:r w:rsidR="006206FD" w:rsidRPr="000A6219">
              <w:rPr>
                <w:rFonts w:ascii="Book Antiqua" w:eastAsia="Times New Roman" w:hAnsi="Book Antiqua" w:cs="Times New Roman"/>
                <w:sz w:val="24"/>
                <w:szCs w:val="24"/>
                <w:lang w:val="en-US" w:eastAsia="ar-SA"/>
              </w:rPr>
              <w:fldChar w:fldCharType="end"/>
            </w:r>
          </w:p>
        </w:tc>
        <w:tc>
          <w:tcPr>
            <w:tcW w:w="992" w:type="dxa"/>
            <w:shd w:val="clear" w:color="auto" w:fill="auto"/>
            <w:vAlign w:val="center"/>
          </w:tcPr>
          <w:p w14:paraId="53856AD9" w14:textId="051C3B3D"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22</w:t>
            </w:r>
          </w:p>
        </w:tc>
        <w:tc>
          <w:tcPr>
            <w:tcW w:w="1418" w:type="dxa"/>
            <w:shd w:val="clear" w:color="auto" w:fill="auto"/>
            <w:vAlign w:val="center"/>
          </w:tcPr>
          <w:p w14:paraId="4060F042" w14:textId="27194B22"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29</w:t>
            </w:r>
          </w:p>
        </w:tc>
        <w:tc>
          <w:tcPr>
            <w:tcW w:w="850" w:type="dxa"/>
            <w:shd w:val="clear" w:color="auto" w:fill="auto"/>
            <w:vAlign w:val="center"/>
          </w:tcPr>
          <w:p w14:paraId="61EDDD41" w14:textId="10642521"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w:t>
            </w:r>
          </w:p>
        </w:tc>
        <w:tc>
          <w:tcPr>
            <w:tcW w:w="1418" w:type="dxa"/>
            <w:shd w:val="clear" w:color="auto" w:fill="auto"/>
            <w:vAlign w:val="center"/>
          </w:tcPr>
          <w:p w14:paraId="7D4DF92D" w14:textId="6CF12B4B"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w:t>
            </w:r>
          </w:p>
        </w:tc>
        <w:tc>
          <w:tcPr>
            <w:tcW w:w="1415" w:type="dxa"/>
            <w:shd w:val="clear" w:color="auto" w:fill="auto"/>
            <w:vAlign w:val="center"/>
          </w:tcPr>
          <w:p w14:paraId="335D2923" w14:textId="7B16C0F2"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82</w:t>
            </w:r>
          </w:p>
        </w:tc>
        <w:tc>
          <w:tcPr>
            <w:tcW w:w="1420" w:type="dxa"/>
            <w:shd w:val="clear" w:color="auto" w:fill="auto"/>
            <w:vAlign w:val="center"/>
          </w:tcPr>
          <w:p w14:paraId="17FFEBE0" w14:textId="32F508EA"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86</w:t>
            </w:r>
          </w:p>
        </w:tc>
        <w:tc>
          <w:tcPr>
            <w:tcW w:w="1276" w:type="dxa"/>
            <w:shd w:val="clear" w:color="auto" w:fill="auto"/>
            <w:vAlign w:val="center"/>
          </w:tcPr>
          <w:p w14:paraId="5008A0C7" w14:textId="7D63BC5D"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84</w:t>
            </w:r>
          </w:p>
        </w:tc>
      </w:tr>
      <w:tr w:rsidR="006206FD" w:rsidRPr="000A6219" w14:paraId="4C8B08FC" w14:textId="77777777" w:rsidTr="007A0A4A">
        <w:trPr>
          <w:trHeight w:val="533"/>
        </w:trPr>
        <w:tc>
          <w:tcPr>
            <w:tcW w:w="1560" w:type="dxa"/>
            <w:shd w:val="clear" w:color="auto" w:fill="auto"/>
            <w:vAlign w:val="center"/>
            <w:hideMark/>
          </w:tcPr>
          <w:p w14:paraId="14BDC9DA" w14:textId="0D36AB35" w:rsidR="006206FD" w:rsidRPr="000A6219" w:rsidRDefault="007A0A4A"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i/>
                <w:sz w:val="24"/>
                <w:szCs w:val="24"/>
                <w:lang w:val="en-US" w:eastAsia="ar-SA"/>
              </w:rPr>
              <w:t xml:space="preserve">pic + </w:t>
            </w:r>
            <w:proofErr w:type="spellStart"/>
            <w:r w:rsidRPr="000A6219">
              <w:rPr>
                <w:rFonts w:ascii="Book Antiqua" w:eastAsia="Times New Roman" w:hAnsi="Book Antiqua" w:cs="Times New Roman"/>
                <w:i/>
                <w:sz w:val="24"/>
                <w:szCs w:val="24"/>
                <w:lang w:val="en-US" w:eastAsia="ar-SA"/>
              </w:rPr>
              <w:t>ampR</w:t>
            </w:r>
            <w:proofErr w:type="spellEnd"/>
            <w:r w:rsidR="006206FD"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6206FD" w:rsidRPr="000A6219">
              <w:rPr>
                <w:rFonts w:ascii="Book Antiqua" w:eastAsia="Times New Roman" w:hAnsi="Book Antiqua" w:cs="Times New Roman"/>
                <w:i/>
                <w:sz w:val="24"/>
                <w:szCs w:val="24"/>
                <w:lang w:val="en-US" w:eastAsia="ar-SA"/>
              </w:rPr>
              <w:fldChar w:fldCharType="separate"/>
            </w:r>
            <w:r w:rsidR="00E04FBE" w:rsidRPr="000A6219">
              <w:rPr>
                <w:rFonts w:ascii="Book Antiqua" w:eastAsia="Times New Roman" w:hAnsi="Book Antiqua" w:cs="Times New Roman"/>
                <w:noProof/>
                <w:sz w:val="24"/>
                <w:szCs w:val="24"/>
                <w:vertAlign w:val="superscript"/>
                <w:lang w:val="en-US" w:eastAsia="ar-SA"/>
              </w:rPr>
              <w:t>[38]</w:t>
            </w:r>
            <w:r w:rsidR="006206FD" w:rsidRPr="000A6219">
              <w:rPr>
                <w:rFonts w:ascii="Book Antiqua" w:eastAsia="Times New Roman" w:hAnsi="Book Antiqua" w:cs="Times New Roman"/>
                <w:i/>
                <w:sz w:val="24"/>
                <w:szCs w:val="24"/>
                <w:lang w:val="en-US" w:eastAsia="ar-SA"/>
              </w:rPr>
              <w:fldChar w:fldCharType="end"/>
            </w:r>
          </w:p>
        </w:tc>
        <w:tc>
          <w:tcPr>
            <w:tcW w:w="992" w:type="dxa"/>
            <w:shd w:val="clear" w:color="auto" w:fill="auto"/>
            <w:vAlign w:val="center"/>
            <w:hideMark/>
          </w:tcPr>
          <w:p w14:paraId="4FF57F78"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22</w:t>
            </w:r>
          </w:p>
        </w:tc>
        <w:tc>
          <w:tcPr>
            <w:tcW w:w="1418" w:type="dxa"/>
            <w:shd w:val="clear" w:color="auto" w:fill="auto"/>
            <w:vAlign w:val="center"/>
            <w:hideMark/>
          </w:tcPr>
          <w:p w14:paraId="1827FF2E"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27</w:t>
            </w:r>
          </w:p>
        </w:tc>
        <w:tc>
          <w:tcPr>
            <w:tcW w:w="850" w:type="dxa"/>
            <w:shd w:val="clear" w:color="auto" w:fill="auto"/>
            <w:vAlign w:val="center"/>
            <w:hideMark/>
          </w:tcPr>
          <w:p w14:paraId="5175405B"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86</w:t>
            </w:r>
          </w:p>
        </w:tc>
        <w:tc>
          <w:tcPr>
            <w:tcW w:w="1418" w:type="dxa"/>
            <w:shd w:val="clear" w:color="auto" w:fill="auto"/>
            <w:vAlign w:val="center"/>
            <w:hideMark/>
          </w:tcPr>
          <w:p w14:paraId="1A32C930"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33</w:t>
            </w:r>
          </w:p>
        </w:tc>
        <w:tc>
          <w:tcPr>
            <w:tcW w:w="1415" w:type="dxa"/>
            <w:shd w:val="clear" w:color="auto" w:fill="auto"/>
            <w:vAlign w:val="center"/>
            <w:hideMark/>
          </w:tcPr>
          <w:p w14:paraId="295D0005"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86</w:t>
            </w:r>
          </w:p>
        </w:tc>
        <w:tc>
          <w:tcPr>
            <w:tcW w:w="1420" w:type="dxa"/>
            <w:shd w:val="clear" w:color="auto" w:fill="auto"/>
            <w:vAlign w:val="center"/>
            <w:hideMark/>
          </w:tcPr>
          <w:p w14:paraId="6FD68187"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67</w:t>
            </w:r>
          </w:p>
        </w:tc>
        <w:tc>
          <w:tcPr>
            <w:tcW w:w="1276" w:type="dxa"/>
            <w:shd w:val="clear" w:color="auto" w:fill="auto"/>
            <w:vAlign w:val="center"/>
            <w:hideMark/>
          </w:tcPr>
          <w:p w14:paraId="1333FD59"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75</w:t>
            </w:r>
          </w:p>
        </w:tc>
      </w:tr>
    </w:tbl>
    <w:p w14:paraId="2C218BEC" w14:textId="389A50E4" w:rsidR="00053061" w:rsidRPr="000A6219" w:rsidRDefault="006D217A"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vertAlign w:val="superscript"/>
          <w:lang w:val="en-US"/>
        </w:rPr>
        <w:t>1</w:t>
      </w:r>
      <w:r w:rsidR="00053061" w:rsidRPr="000A6219">
        <w:rPr>
          <w:rFonts w:ascii="Book Antiqua" w:eastAsia="Calibri" w:hAnsi="Book Antiqua" w:cs="Times New Roman"/>
          <w:sz w:val="24"/>
          <w:szCs w:val="24"/>
          <w:lang w:val="en-US"/>
        </w:rPr>
        <w:t xml:space="preserve">This strain collection was mainly formed by strains from A and B1 phylogroup (14 A, 16 B1, 10 B2 and 9D). </w:t>
      </w:r>
      <w:r w:rsidRPr="000A6219">
        <w:rPr>
          <w:rFonts w:ascii="Book Antiqua" w:eastAsia="Calibri" w:hAnsi="Book Antiqua" w:cs="Times New Roman"/>
          <w:sz w:val="24"/>
          <w:szCs w:val="24"/>
          <w:vertAlign w:val="superscript"/>
          <w:lang w:val="en-US"/>
        </w:rPr>
        <w:t>2</w:t>
      </w:r>
      <w:r w:rsidR="00053061" w:rsidRPr="000A6219">
        <w:rPr>
          <w:rFonts w:ascii="Book Antiqua" w:eastAsia="Calibri" w:hAnsi="Book Antiqua" w:cs="Times New Roman"/>
          <w:sz w:val="24"/>
          <w:szCs w:val="24"/>
          <w:lang w:val="en-US"/>
        </w:rPr>
        <w:t xml:space="preserve">Only B2 strains were included. In this case, the non-AIEC group included commensal and </w:t>
      </w:r>
      <w:proofErr w:type="spellStart"/>
      <w:r w:rsidR="00053061" w:rsidRPr="000A6219">
        <w:rPr>
          <w:rFonts w:ascii="Book Antiqua" w:eastAsia="Calibri" w:hAnsi="Book Antiqua" w:cs="Times New Roman"/>
          <w:sz w:val="24"/>
          <w:szCs w:val="24"/>
          <w:lang w:val="en-US"/>
        </w:rPr>
        <w:t>ExPEC</w:t>
      </w:r>
      <w:proofErr w:type="spellEnd"/>
      <w:r w:rsidR="00053061" w:rsidRPr="000A6219">
        <w:rPr>
          <w:rFonts w:ascii="Book Antiqua" w:eastAsia="Calibri" w:hAnsi="Book Antiqua" w:cs="Times New Roman"/>
          <w:sz w:val="24"/>
          <w:szCs w:val="24"/>
          <w:lang w:val="en-US"/>
        </w:rPr>
        <w:t xml:space="preserve"> strains. </w:t>
      </w:r>
      <w:r w:rsidRPr="000A6219">
        <w:rPr>
          <w:rFonts w:ascii="Book Antiqua" w:eastAsia="Calibri" w:hAnsi="Book Antiqua" w:cs="Times New Roman"/>
          <w:sz w:val="24"/>
          <w:szCs w:val="24"/>
          <w:vertAlign w:val="superscript"/>
          <w:lang w:val="en-US"/>
        </w:rPr>
        <w:t>3</w:t>
      </w:r>
      <w:r w:rsidR="00053061" w:rsidRPr="000A6219">
        <w:rPr>
          <w:rFonts w:ascii="Book Antiqua" w:eastAsia="Calibri" w:hAnsi="Book Antiqua" w:cs="Times New Roman"/>
          <w:sz w:val="24"/>
          <w:szCs w:val="24"/>
          <w:lang w:val="en-US"/>
        </w:rPr>
        <w:t xml:space="preserve">Only present in B2 AIEC strains. The strains’ phylogroup were: AIEC: 1 A, 1 B1, 10 B2, 1 D and 1 F; non-AIEC: 2 A, 2 B1 and 2 B2. </w:t>
      </w:r>
      <w:r w:rsidRPr="000A6219">
        <w:rPr>
          <w:rFonts w:ascii="Book Antiqua" w:eastAsia="Calibri" w:hAnsi="Book Antiqua" w:cs="Times New Roman"/>
          <w:sz w:val="24"/>
          <w:szCs w:val="24"/>
          <w:vertAlign w:val="superscript"/>
          <w:lang w:val="en-US"/>
        </w:rPr>
        <w:t>4</w:t>
      </w:r>
      <w:r w:rsidR="006206FD" w:rsidRPr="000A6219">
        <w:rPr>
          <w:rFonts w:ascii="Book Antiqua" w:eastAsia="Times New Roman" w:hAnsi="Book Antiqua" w:cs="Times New Roman"/>
          <w:sz w:val="24"/>
          <w:szCs w:val="24"/>
          <w:lang w:val="en-US" w:eastAsia="ar-SA"/>
        </w:rPr>
        <w:t xml:space="preserve">Strain collection with mainly B2 and D strains (11 A, 5 B1, 18 B2 and 18 D). </w:t>
      </w:r>
      <w:r w:rsidR="007A0A4A" w:rsidRPr="000A6219">
        <w:rPr>
          <w:rFonts w:ascii="Book Antiqua" w:hAnsi="Book Antiqua"/>
          <w:sz w:val="24"/>
          <w:szCs w:val="24"/>
          <w:lang w:val="en-US"/>
        </w:rPr>
        <w:t xml:space="preserve">AIEC: Adherent-invasive </w:t>
      </w:r>
      <w:r w:rsidR="007A0A4A" w:rsidRPr="000A6219">
        <w:rPr>
          <w:rFonts w:ascii="Book Antiqua" w:eastAsia="Calibri" w:hAnsi="Book Antiqua" w:cs="Times New Roman"/>
          <w:i/>
          <w:sz w:val="24"/>
          <w:szCs w:val="24"/>
          <w:lang w:val="en-US"/>
        </w:rPr>
        <w:t>Escherichia coli</w:t>
      </w:r>
      <w:r w:rsidR="007A0A4A" w:rsidRPr="000A6219">
        <w:rPr>
          <w:rFonts w:ascii="Book Antiqua" w:hAnsi="Book Antiqua"/>
          <w:sz w:val="24"/>
          <w:szCs w:val="24"/>
          <w:lang w:val="en-US"/>
        </w:rPr>
        <w:t>.</w:t>
      </w:r>
    </w:p>
    <w:p w14:paraId="1E01A5CB" w14:textId="77777777" w:rsidR="00053061" w:rsidRPr="000A6219" w:rsidRDefault="00053061" w:rsidP="000A6219">
      <w:pPr>
        <w:snapToGrid w:val="0"/>
        <w:spacing w:after="0" w:line="360" w:lineRule="auto"/>
        <w:jc w:val="both"/>
        <w:rPr>
          <w:rFonts w:ascii="Book Antiqua" w:hAnsi="Book Antiqua"/>
          <w:sz w:val="24"/>
          <w:szCs w:val="24"/>
          <w:lang w:val="en-US"/>
        </w:rPr>
      </w:pPr>
      <w:r w:rsidRPr="000A6219">
        <w:rPr>
          <w:rFonts w:ascii="Book Antiqua" w:hAnsi="Book Antiqua"/>
          <w:sz w:val="24"/>
          <w:szCs w:val="24"/>
          <w:lang w:val="en-US"/>
        </w:rPr>
        <w:br w:type="page"/>
      </w:r>
    </w:p>
    <w:p w14:paraId="4042140B" w14:textId="478C80EE" w:rsidR="00053061" w:rsidRPr="000A6219" w:rsidRDefault="00053061"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b/>
          <w:sz w:val="24"/>
          <w:szCs w:val="24"/>
          <w:lang w:val="en-US"/>
        </w:rPr>
        <w:lastRenderedPageBreak/>
        <w:t xml:space="preserve">Table </w:t>
      </w:r>
      <w:r w:rsidR="00BA5A02" w:rsidRPr="000A6219">
        <w:rPr>
          <w:rFonts w:ascii="Book Antiqua" w:eastAsia="Calibri" w:hAnsi="Book Antiqua" w:cs="Times New Roman"/>
          <w:b/>
          <w:sz w:val="24"/>
          <w:szCs w:val="24"/>
          <w:lang w:val="en-US"/>
        </w:rPr>
        <w:t>5</w:t>
      </w:r>
      <w:r w:rsidRPr="000A6219">
        <w:rPr>
          <w:rFonts w:ascii="Book Antiqua" w:eastAsia="Calibri" w:hAnsi="Book Antiqua" w:cs="Times New Roman"/>
          <w:b/>
          <w:sz w:val="24"/>
          <w:szCs w:val="24"/>
          <w:lang w:val="en-US"/>
        </w:rPr>
        <w:t xml:space="preserve"> Comparison of the principal experimental conditions of the protocols used to assess bacterial invasion to intestinal epithelial cells and survival and</w:t>
      </w:r>
      <w:r w:rsidR="007A0A4A" w:rsidRPr="000A6219">
        <w:rPr>
          <w:rFonts w:ascii="Book Antiqua" w:eastAsia="Calibri" w:hAnsi="Book Antiqua" w:cs="Times New Roman"/>
          <w:b/>
          <w:sz w:val="24"/>
          <w:szCs w:val="24"/>
          <w:lang w:val="en-US"/>
        </w:rPr>
        <w:t xml:space="preserve"> replication inside macrophages</w:t>
      </w:r>
    </w:p>
    <w:tbl>
      <w:tblPr>
        <w:tblStyle w:val="Tablaconcuadrcula1"/>
        <w:tblW w:w="0" w:type="auto"/>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2551"/>
        <w:gridCol w:w="3969"/>
        <w:gridCol w:w="1540"/>
      </w:tblGrid>
      <w:tr w:rsidR="00053061" w:rsidRPr="000A6219" w14:paraId="3F3B770D" w14:textId="77777777" w:rsidTr="0017360F">
        <w:trPr>
          <w:trHeight w:val="201"/>
        </w:trPr>
        <w:tc>
          <w:tcPr>
            <w:tcW w:w="9195" w:type="dxa"/>
            <w:gridSpan w:val="4"/>
            <w:tcBorders>
              <w:top w:val="single" w:sz="4" w:space="0" w:color="auto"/>
              <w:bottom w:val="single" w:sz="4" w:space="0" w:color="auto"/>
            </w:tcBorders>
            <w:shd w:val="clear" w:color="auto" w:fill="auto"/>
            <w:vAlign w:val="center"/>
            <w:hideMark/>
          </w:tcPr>
          <w:p w14:paraId="4207C5C9" w14:textId="77777777" w:rsidR="00053061" w:rsidRPr="000A6219" w:rsidRDefault="00053061" w:rsidP="000A6219">
            <w:pPr>
              <w:snapToGrid w:val="0"/>
              <w:spacing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t>Invasion assays</w:t>
            </w:r>
          </w:p>
        </w:tc>
      </w:tr>
      <w:tr w:rsidR="00053061" w:rsidRPr="000A6219" w14:paraId="33FF6C08" w14:textId="77777777" w:rsidTr="0017360F">
        <w:trPr>
          <w:trHeight w:val="393"/>
        </w:trPr>
        <w:tc>
          <w:tcPr>
            <w:tcW w:w="1135" w:type="dxa"/>
            <w:tcBorders>
              <w:top w:val="single" w:sz="4" w:space="0" w:color="auto"/>
              <w:bottom w:val="single" w:sz="4" w:space="0" w:color="auto"/>
            </w:tcBorders>
            <w:shd w:val="clear" w:color="auto" w:fill="auto"/>
            <w:vAlign w:val="center"/>
            <w:hideMark/>
          </w:tcPr>
          <w:p w14:paraId="67530F0D" w14:textId="77777777" w:rsidR="00053061" w:rsidRPr="000A6219" w:rsidRDefault="00053061" w:rsidP="000A6219">
            <w:pPr>
              <w:snapToGrid w:val="0"/>
              <w:spacing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t>MOI</w:t>
            </w:r>
          </w:p>
        </w:tc>
        <w:tc>
          <w:tcPr>
            <w:tcW w:w="2551" w:type="dxa"/>
            <w:tcBorders>
              <w:top w:val="single" w:sz="4" w:space="0" w:color="auto"/>
              <w:bottom w:val="single" w:sz="4" w:space="0" w:color="auto"/>
            </w:tcBorders>
            <w:shd w:val="clear" w:color="auto" w:fill="auto"/>
            <w:vAlign w:val="center"/>
            <w:hideMark/>
          </w:tcPr>
          <w:p w14:paraId="7875640C" w14:textId="77777777" w:rsidR="00053061" w:rsidRPr="000A6219" w:rsidRDefault="00053061" w:rsidP="000A6219">
            <w:pPr>
              <w:snapToGrid w:val="0"/>
              <w:spacing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t>Infection conditions</w:t>
            </w:r>
          </w:p>
        </w:tc>
        <w:tc>
          <w:tcPr>
            <w:tcW w:w="3969" w:type="dxa"/>
            <w:tcBorders>
              <w:top w:val="single" w:sz="4" w:space="0" w:color="auto"/>
              <w:bottom w:val="single" w:sz="4" w:space="0" w:color="auto"/>
            </w:tcBorders>
            <w:shd w:val="clear" w:color="auto" w:fill="auto"/>
            <w:vAlign w:val="center"/>
            <w:hideMark/>
          </w:tcPr>
          <w:p w14:paraId="4A8C2A01" w14:textId="77777777" w:rsidR="00053061" w:rsidRPr="000A6219" w:rsidRDefault="00053061" w:rsidP="000A6219">
            <w:pPr>
              <w:snapToGrid w:val="0"/>
              <w:spacing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t>Incubation conditions</w:t>
            </w:r>
          </w:p>
        </w:tc>
        <w:tc>
          <w:tcPr>
            <w:tcW w:w="1540" w:type="dxa"/>
            <w:tcBorders>
              <w:top w:val="single" w:sz="4" w:space="0" w:color="auto"/>
              <w:bottom w:val="single" w:sz="4" w:space="0" w:color="auto"/>
            </w:tcBorders>
            <w:shd w:val="clear" w:color="auto" w:fill="auto"/>
            <w:vAlign w:val="center"/>
            <w:hideMark/>
          </w:tcPr>
          <w:p w14:paraId="7E3435C3" w14:textId="751CB088" w:rsidR="00053061" w:rsidRPr="000A6219" w:rsidRDefault="00053061" w:rsidP="000A6219">
            <w:pPr>
              <w:snapToGrid w:val="0"/>
              <w:spacing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t>Ref</w:t>
            </w:r>
            <w:r w:rsidR="0017360F" w:rsidRPr="000A6219">
              <w:rPr>
                <w:rFonts w:ascii="Book Antiqua" w:eastAsia="Calibri" w:hAnsi="Book Antiqua" w:cs="Times New Roman"/>
                <w:b/>
                <w:sz w:val="24"/>
                <w:szCs w:val="24"/>
                <w:lang w:val="en-US"/>
              </w:rPr>
              <w:t>.</w:t>
            </w:r>
          </w:p>
        </w:tc>
      </w:tr>
      <w:tr w:rsidR="00053061" w:rsidRPr="000A6219" w14:paraId="7A4A058D" w14:textId="77777777" w:rsidTr="0017360F">
        <w:trPr>
          <w:trHeight w:val="393"/>
        </w:trPr>
        <w:tc>
          <w:tcPr>
            <w:tcW w:w="1135" w:type="dxa"/>
            <w:tcBorders>
              <w:top w:val="single" w:sz="4" w:space="0" w:color="auto"/>
            </w:tcBorders>
            <w:shd w:val="clear" w:color="auto" w:fill="auto"/>
            <w:vAlign w:val="center"/>
            <w:hideMark/>
          </w:tcPr>
          <w:p w14:paraId="68E041DA"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w:t>
            </w:r>
          </w:p>
        </w:tc>
        <w:tc>
          <w:tcPr>
            <w:tcW w:w="2551" w:type="dxa"/>
            <w:tcBorders>
              <w:top w:val="single" w:sz="4" w:space="0" w:color="auto"/>
            </w:tcBorders>
            <w:shd w:val="clear" w:color="auto" w:fill="auto"/>
            <w:vAlign w:val="center"/>
            <w:hideMark/>
          </w:tcPr>
          <w:p w14:paraId="7E4B24F4"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30 min </w:t>
            </w:r>
          </w:p>
        </w:tc>
        <w:tc>
          <w:tcPr>
            <w:tcW w:w="3969" w:type="dxa"/>
            <w:tcBorders>
              <w:top w:val="single" w:sz="4" w:space="0" w:color="auto"/>
            </w:tcBorders>
            <w:shd w:val="clear" w:color="auto" w:fill="auto"/>
            <w:vAlign w:val="center"/>
            <w:hideMark/>
          </w:tcPr>
          <w:p w14:paraId="23D59FE6"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3 h with amikacin 100 µg/mL</w:t>
            </w:r>
          </w:p>
        </w:tc>
        <w:tc>
          <w:tcPr>
            <w:tcW w:w="1540" w:type="dxa"/>
            <w:tcBorders>
              <w:top w:val="single" w:sz="4" w:space="0" w:color="auto"/>
            </w:tcBorders>
            <w:shd w:val="clear" w:color="auto" w:fill="auto"/>
            <w:vAlign w:val="center"/>
            <w:hideMark/>
          </w:tcPr>
          <w:p w14:paraId="55640CC0" w14:textId="22360C90"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13</w:t>
            </w:r>
            <w:r>
              <w:rPr>
                <w:rFonts w:ascii="Book Antiqua" w:hAnsi="Book Antiqua" w:cs="Times New Roman" w:hint="eastAsia"/>
                <w:sz w:val="24"/>
                <w:szCs w:val="24"/>
                <w:lang w:val="en-US" w:eastAsia="zh-CN"/>
              </w:rPr>
              <w:t>]</w:t>
            </w:r>
          </w:p>
        </w:tc>
      </w:tr>
      <w:tr w:rsidR="00053061" w:rsidRPr="000A6219" w14:paraId="60B1964C" w14:textId="77777777" w:rsidTr="0017360F">
        <w:trPr>
          <w:trHeight w:val="393"/>
        </w:trPr>
        <w:tc>
          <w:tcPr>
            <w:tcW w:w="1135" w:type="dxa"/>
            <w:shd w:val="clear" w:color="auto" w:fill="auto"/>
            <w:vAlign w:val="center"/>
            <w:hideMark/>
          </w:tcPr>
          <w:p w14:paraId="04C3F055"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w:t>
            </w:r>
          </w:p>
        </w:tc>
        <w:tc>
          <w:tcPr>
            <w:tcW w:w="2551" w:type="dxa"/>
            <w:shd w:val="clear" w:color="auto" w:fill="auto"/>
            <w:vAlign w:val="center"/>
            <w:hideMark/>
          </w:tcPr>
          <w:p w14:paraId="6BE794F7"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1 h </w:t>
            </w:r>
          </w:p>
        </w:tc>
        <w:tc>
          <w:tcPr>
            <w:tcW w:w="3969" w:type="dxa"/>
            <w:shd w:val="clear" w:color="auto" w:fill="auto"/>
            <w:vAlign w:val="center"/>
            <w:hideMark/>
          </w:tcPr>
          <w:p w14:paraId="2E4AA864"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 h with gentamicin 100 µg/mL</w:t>
            </w:r>
          </w:p>
        </w:tc>
        <w:tc>
          <w:tcPr>
            <w:tcW w:w="1540" w:type="dxa"/>
            <w:shd w:val="clear" w:color="auto" w:fill="auto"/>
            <w:vAlign w:val="center"/>
            <w:hideMark/>
          </w:tcPr>
          <w:p w14:paraId="012AC419" w14:textId="44BC2AD2"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70</w:t>
            </w:r>
            <w:r>
              <w:rPr>
                <w:rFonts w:ascii="Book Antiqua" w:hAnsi="Book Antiqua" w:cs="Times New Roman" w:hint="eastAsia"/>
                <w:sz w:val="24"/>
                <w:szCs w:val="24"/>
                <w:lang w:val="en-US" w:eastAsia="zh-CN"/>
              </w:rPr>
              <w:t>]</w:t>
            </w:r>
          </w:p>
        </w:tc>
      </w:tr>
      <w:tr w:rsidR="00053061" w:rsidRPr="000A6219" w14:paraId="764363B7" w14:textId="77777777" w:rsidTr="0017360F">
        <w:trPr>
          <w:trHeight w:val="1843"/>
        </w:trPr>
        <w:tc>
          <w:tcPr>
            <w:tcW w:w="1135" w:type="dxa"/>
            <w:shd w:val="clear" w:color="auto" w:fill="auto"/>
            <w:vAlign w:val="center"/>
            <w:hideMark/>
          </w:tcPr>
          <w:p w14:paraId="17DFC9B0"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 or 20</w:t>
            </w:r>
          </w:p>
        </w:tc>
        <w:tc>
          <w:tcPr>
            <w:tcW w:w="2551" w:type="dxa"/>
            <w:shd w:val="clear" w:color="auto" w:fill="auto"/>
            <w:vAlign w:val="center"/>
            <w:hideMark/>
          </w:tcPr>
          <w:p w14:paraId="7F492F56"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3 h</w:t>
            </w:r>
          </w:p>
        </w:tc>
        <w:tc>
          <w:tcPr>
            <w:tcW w:w="3969" w:type="dxa"/>
            <w:shd w:val="clear" w:color="auto" w:fill="auto"/>
            <w:vAlign w:val="center"/>
            <w:hideMark/>
          </w:tcPr>
          <w:p w14:paraId="35AA049B"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 h with gentamicin 100 µg/mL</w:t>
            </w:r>
          </w:p>
        </w:tc>
        <w:tc>
          <w:tcPr>
            <w:tcW w:w="1540" w:type="dxa"/>
            <w:shd w:val="clear" w:color="auto" w:fill="auto"/>
            <w:vAlign w:val="center"/>
            <w:hideMark/>
          </w:tcPr>
          <w:p w14:paraId="567F8CA4" w14:textId="48D4139D" w:rsidR="00053061" w:rsidRPr="000A6219"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hAnsi="Book Antiqua" w:cs="Times New Roman"/>
                <w:sz w:val="24"/>
                <w:szCs w:val="24"/>
                <w:lang w:val="en-US" w:eastAsia="zh-CN"/>
              </w:rPr>
              <w:t>1,9,11,14,16,31,34,47,56-60,63-65,71</w:t>
            </w:r>
            <w:r>
              <w:rPr>
                <w:rFonts w:ascii="Book Antiqua" w:hAnsi="Book Antiqua" w:cs="Times New Roman" w:hint="eastAsia"/>
                <w:sz w:val="24"/>
                <w:szCs w:val="24"/>
                <w:lang w:val="en-US" w:eastAsia="zh-CN"/>
              </w:rPr>
              <w:t>]</w:t>
            </w:r>
          </w:p>
        </w:tc>
      </w:tr>
      <w:tr w:rsidR="00053061" w:rsidRPr="000A6219" w14:paraId="1CCD8D6E" w14:textId="77777777" w:rsidTr="0017360F">
        <w:trPr>
          <w:trHeight w:val="393"/>
        </w:trPr>
        <w:tc>
          <w:tcPr>
            <w:tcW w:w="1135" w:type="dxa"/>
            <w:shd w:val="clear" w:color="auto" w:fill="auto"/>
            <w:vAlign w:val="center"/>
            <w:hideMark/>
          </w:tcPr>
          <w:p w14:paraId="12555227"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w:t>
            </w:r>
          </w:p>
        </w:tc>
        <w:tc>
          <w:tcPr>
            <w:tcW w:w="2551" w:type="dxa"/>
            <w:shd w:val="clear" w:color="auto" w:fill="auto"/>
            <w:vAlign w:val="center"/>
            <w:hideMark/>
          </w:tcPr>
          <w:p w14:paraId="6E3D6095"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3 h</w:t>
            </w:r>
          </w:p>
        </w:tc>
        <w:tc>
          <w:tcPr>
            <w:tcW w:w="3969" w:type="dxa"/>
            <w:shd w:val="clear" w:color="auto" w:fill="auto"/>
            <w:vAlign w:val="center"/>
            <w:hideMark/>
          </w:tcPr>
          <w:p w14:paraId="43AF19BB"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 h with gentamicin 3 mg/mL</w:t>
            </w:r>
          </w:p>
        </w:tc>
        <w:tc>
          <w:tcPr>
            <w:tcW w:w="1540" w:type="dxa"/>
            <w:shd w:val="clear" w:color="auto" w:fill="auto"/>
            <w:vAlign w:val="center"/>
            <w:hideMark/>
          </w:tcPr>
          <w:p w14:paraId="2F7B0076" w14:textId="4D208EAD" w:rsidR="00053061" w:rsidRPr="00FC7F65" w:rsidRDefault="00FC7F65" w:rsidP="000A6219">
            <w:pPr>
              <w:snapToGrid w:val="0"/>
              <w:spacing w:line="360" w:lineRule="auto"/>
              <w:jc w:val="both"/>
              <w:rPr>
                <w:rFonts w:ascii="Book Antiqua" w:hAnsi="Book Antiqua" w:cs="Times New Roman"/>
                <w:sz w:val="24"/>
                <w:szCs w:val="24"/>
                <w:lang w:val="es-E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72</w:t>
            </w:r>
            <w:r>
              <w:rPr>
                <w:rFonts w:ascii="Book Antiqua" w:hAnsi="Book Antiqua" w:cs="Times New Roman" w:hint="eastAsia"/>
                <w:sz w:val="24"/>
                <w:szCs w:val="24"/>
                <w:lang w:val="en-US" w:eastAsia="zh-CN"/>
              </w:rPr>
              <w:t>]</w:t>
            </w:r>
          </w:p>
        </w:tc>
      </w:tr>
      <w:tr w:rsidR="00053061" w:rsidRPr="000A6219" w14:paraId="2938E7D4" w14:textId="77777777" w:rsidTr="0017360F">
        <w:trPr>
          <w:trHeight w:val="393"/>
        </w:trPr>
        <w:tc>
          <w:tcPr>
            <w:tcW w:w="1135" w:type="dxa"/>
            <w:shd w:val="clear" w:color="auto" w:fill="auto"/>
            <w:vAlign w:val="center"/>
            <w:hideMark/>
          </w:tcPr>
          <w:p w14:paraId="14B77148" w14:textId="77777777" w:rsidR="00053061" w:rsidRPr="000A6219" w:rsidRDefault="00053061" w:rsidP="000A6219">
            <w:pPr>
              <w:snapToGrid w:val="0"/>
              <w:spacing w:line="360" w:lineRule="auto"/>
              <w:jc w:val="both"/>
              <w:rPr>
                <w:rFonts w:ascii="Book Antiqua" w:eastAsia="Calibri" w:hAnsi="Book Antiqua" w:cs="Times New Roman"/>
                <w:sz w:val="24"/>
                <w:szCs w:val="24"/>
                <w:lang w:val="es-ES"/>
              </w:rPr>
            </w:pPr>
            <w:r w:rsidRPr="000A6219">
              <w:rPr>
                <w:rFonts w:ascii="Book Antiqua" w:eastAsia="Calibri" w:hAnsi="Book Antiqua" w:cs="Times New Roman"/>
                <w:sz w:val="24"/>
                <w:szCs w:val="24"/>
                <w:lang w:val="es-ES"/>
              </w:rPr>
              <w:t>100</w:t>
            </w:r>
          </w:p>
        </w:tc>
        <w:tc>
          <w:tcPr>
            <w:tcW w:w="2551" w:type="dxa"/>
            <w:shd w:val="clear" w:color="auto" w:fill="auto"/>
            <w:vAlign w:val="center"/>
            <w:hideMark/>
          </w:tcPr>
          <w:p w14:paraId="5C819319" w14:textId="77777777" w:rsidR="00053061" w:rsidRPr="000A6219" w:rsidRDefault="00053061" w:rsidP="000A6219">
            <w:pPr>
              <w:snapToGrid w:val="0"/>
              <w:spacing w:line="360" w:lineRule="auto"/>
              <w:jc w:val="both"/>
              <w:rPr>
                <w:rFonts w:ascii="Book Antiqua" w:eastAsia="Calibri" w:hAnsi="Book Antiqua" w:cs="Times New Roman"/>
                <w:sz w:val="24"/>
                <w:szCs w:val="24"/>
                <w:lang w:val="es-ES"/>
              </w:rPr>
            </w:pPr>
            <w:r w:rsidRPr="000A6219">
              <w:rPr>
                <w:rFonts w:ascii="Book Antiqua" w:eastAsia="Calibri" w:hAnsi="Book Antiqua" w:cs="Times New Roman"/>
                <w:sz w:val="24"/>
                <w:szCs w:val="24"/>
                <w:lang w:val="es-ES"/>
              </w:rPr>
              <w:t>2 h</w:t>
            </w:r>
          </w:p>
        </w:tc>
        <w:tc>
          <w:tcPr>
            <w:tcW w:w="3969" w:type="dxa"/>
            <w:shd w:val="clear" w:color="auto" w:fill="auto"/>
            <w:vAlign w:val="center"/>
            <w:hideMark/>
          </w:tcPr>
          <w:p w14:paraId="71F50BE8" w14:textId="77777777" w:rsidR="00053061" w:rsidRPr="000A6219" w:rsidRDefault="00053061" w:rsidP="000A6219">
            <w:pPr>
              <w:snapToGrid w:val="0"/>
              <w:spacing w:line="360" w:lineRule="auto"/>
              <w:jc w:val="both"/>
              <w:rPr>
                <w:rFonts w:ascii="Book Antiqua" w:eastAsia="Calibri" w:hAnsi="Book Antiqua" w:cs="Times New Roman"/>
                <w:sz w:val="24"/>
                <w:szCs w:val="24"/>
                <w:lang w:val="es-ES"/>
              </w:rPr>
            </w:pPr>
            <w:r w:rsidRPr="000A6219">
              <w:rPr>
                <w:rFonts w:ascii="Book Antiqua" w:eastAsia="Calibri" w:hAnsi="Book Antiqua" w:cs="Times New Roman"/>
                <w:sz w:val="24"/>
                <w:szCs w:val="24"/>
                <w:lang w:val="es-ES"/>
              </w:rPr>
              <w:t>1 h with gentamicin 50 µg/mL</w:t>
            </w:r>
          </w:p>
        </w:tc>
        <w:tc>
          <w:tcPr>
            <w:tcW w:w="1540" w:type="dxa"/>
            <w:shd w:val="clear" w:color="auto" w:fill="auto"/>
            <w:vAlign w:val="center"/>
            <w:hideMark/>
          </w:tcPr>
          <w:p w14:paraId="60D6BDB6" w14:textId="43FDD27D"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54</w:t>
            </w:r>
            <w:r>
              <w:rPr>
                <w:rFonts w:ascii="Book Antiqua" w:hAnsi="Book Antiqua" w:cs="Times New Roman" w:hint="eastAsia"/>
                <w:sz w:val="24"/>
                <w:szCs w:val="24"/>
                <w:lang w:val="en-US" w:eastAsia="zh-CN"/>
              </w:rPr>
              <w:t>]</w:t>
            </w:r>
          </w:p>
        </w:tc>
      </w:tr>
      <w:tr w:rsidR="00053061" w:rsidRPr="000A6219" w14:paraId="0A9B995A" w14:textId="77777777" w:rsidTr="0017360F">
        <w:trPr>
          <w:trHeight w:val="393"/>
        </w:trPr>
        <w:tc>
          <w:tcPr>
            <w:tcW w:w="1135" w:type="dxa"/>
            <w:shd w:val="clear" w:color="auto" w:fill="auto"/>
            <w:vAlign w:val="center"/>
            <w:hideMark/>
          </w:tcPr>
          <w:p w14:paraId="07227B66"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100</w:t>
            </w:r>
          </w:p>
        </w:tc>
        <w:tc>
          <w:tcPr>
            <w:tcW w:w="2551" w:type="dxa"/>
            <w:shd w:val="clear" w:color="auto" w:fill="auto"/>
            <w:vAlign w:val="center"/>
            <w:hideMark/>
          </w:tcPr>
          <w:p w14:paraId="50E4A131"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3 h </w:t>
            </w:r>
          </w:p>
        </w:tc>
        <w:tc>
          <w:tcPr>
            <w:tcW w:w="3969" w:type="dxa"/>
            <w:shd w:val="clear" w:color="auto" w:fill="auto"/>
            <w:vAlign w:val="center"/>
            <w:hideMark/>
          </w:tcPr>
          <w:p w14:paraId="6E08A3EC"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 h with gentamicin 50 µg/mL</w:t>
            </w:r>
          </w:p>
        </w:tc>
        <w:tc>
          <w:tcPr>
            <w:tcW w:w="1540" w:type="dxa"/>
            <w:shd w:val="clear" w:color="auto" w:fill="auto"/>
            <w:vAlign w:val="center"/>
            <w:hideMark/>
          </w:tcPr>
          <w:p w14:paraId="5C858DBE" w14:textId="18917C7A"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62</w:t>
            </w:r>
            <w:r>
              <w:rPr>
                <w:rFonts w:ascii="Book Antiqua" w:hAnsi="Book Antiqua" w:cs="Times New Roman" w:hint="eastAsia"/>
                <w:sz w:val="24"/>
                <w:szCs w:val="24"/>
                <w:lang w:val="en-US" w:eastAsia="zh-CN"/>
              </w:rPr>
              <w:t>]</w:t>
            </w:r>
          </w:p>
        </w:tc>
      </w:tr>
      <w:tr w:rsidR="00053061" w:rsidRPr="000A6219" w14:paraId="349CFAB7" w14:textId="77777777" w:rsidTr="0017360F">
        <w:trPr>
          <w:trHeight w:val="393"/>
        </w:trPr>
        <w:tc>
          <w:tcPr>
            <w:tcW w:w="9195" w:type="dxa"/>
            <w:gridSpan w:val="4"/>
            <w:shd w:val="clear" w:color="auto" w:fill="auto"/>
            <w:vAlign w:val="center"/>
            <w:hideMark/>
          </w:tcPr>
          <w:p w14:paraId="0E56D7AF"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Survival and replication assays</w:t>
            </w:r>
          </w:p>
        </w:tc>
      </w:tr>
      <w:tr w:rsidR="00053061" w:rsidRPr="000A6219" w14:paraId="19200ECD" w14:textId="77777777" w:rsidTr="0017360F">
        <w:trPr>
          <w:trHeight w:val="393"/>
        </w:trPr>
        <w:tc>
          <w:tcPr>
            <w:tcW w:w="1135" w:type="dxa"/>
            <w:shd w:val="clear" w:color="auto" w:fill="auto"/>
            <w:vAlign w:val="center"/>
            <w:hideMark/>
          </w:tcPr>
          <w:p w14:paraId="5C09A5E4"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w:t>
            </w:r>
          </w:p>
        </w:tc>
        <w:tc>
          <w:tcPr>
            <w:tcW w:w="2551" w:type="dxa"/>
            <w:shd w:val="clear" w:color="auto" w:fill="auto"/>
            <w:vAlign w:val="center"/>
            <w:hideMark/>
          </w:tcPr>
          <w:p w14:paraId="792E070C"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20 min </w:t>
            </w:r>
          </w:p>
        </w:tc>
        <w:tc>
          <w:tcPr>
            <w:tcW w:w="3969" w:type="dxa"/>
            <w:shd w:val="clear" w:color="auto" w:fill="auto"/>
            <w:vAlign w:val="center"/>
            <w:hideMark/>
          </w:tcPr>
          <w:p w14:paraId="75D154C9"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gentamicin 100 µg/mL for 40 min and media replacement with gentamicin 50 µg/mL for 24 h</w:t>
            </w:r>
          </w:p>
        </w:tc>
        <w:tc>
          <w:tcPr>
            <w:tcW w:w="1540" w:type="dxa"/>
            <w:shd w:val="clear" w:color="auto" w:fill="auto"/>
            <w:vAlign w:val="center"/>
            <w:hideMark/>
          </w:tcPr>
          <w:p w14:paraId="7AAEA5EA" w14:textId="49B37DE5"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16</w:t>
            </w:r>
            <w:r>
              <w:rPr>
                <w:rFonts w:ascii="Book Antiqua" w:hAnsi="Book Antiqua" w:cs="Times New Roman" w:hint="eastAsia"/>
                <w:sz w:val="24"/>
                <w:szCs w:val="24"/>
                <w:lang w:val="en-US" w:eastAsia="zh-CN"/>
              </w:rPr>
              <w:t>]</w:t>
            </w:r>
          </w:p>
        </w:tc>
      </w:tr>
      <w:tr w:rsidR="00053061" w:rsidRPr="000A6219" w14:paraId="3E9B3C6E" w14:textId="77777777" w:rsidTr="0017360F">
        <w:trPr>
          <w:trHeight w:val="393"/>
        </w:trPr>
        <w:tc>
          <w:tcPr>
            <w:tcW w:w="1135" w:type="dxa"/>
            <w:shd w:val="clear" w:color="auto" w:fill="auto"/>
            <w:vAlign w:val="center"/>
            <w:hideMark/>
          </w:tcPr>
          <w:p w14:paraId="7DE48DA2"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w:t>
            </w:r>
          </w:p>
        </w:tc>
        <w:tc>
          <w:tcPr>
            <w:tcW w:w="2551" w:type="dxa"/>
            <w:shd w:val="clear" w:color="auto" w:fill="auto"/>
            <w:vAlign w:val="center"/>
            <w:hideMark/>
          </w:tcPr>
          <w:p w14:paraId="441A84C6"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 h</w:t>
            </w:r>
          </w:p>
        </w:tc>
        <w:tc>
          <w:tcPr>
            <w:tcW w:w="3969" w:type="dxa"/>
            <w:shd w:val="clear" w:color="auto" w:fill="auto"/>
            <w:vAlign w:val="center"/>
            <w:hideMark/>
          </w:tcPr>
          <w:p w14:paraId="486482C3"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amikacin 100 µg/mL for 3 and 24 h</w:t>
            </w:r>
          </w:p>
        </w:tc>
        <w:tc>
          <w:tcPr>
            <w:tcW w:w="1540" w:type="dxa"/>
            <w:shd w:val="clear" w:color="auto" w:fill="auto"/>
            <w:vAlign w:val="center"/>
            <w:hideMark/>
          </w:tcPr>
          <w:p w14:paraId="52F93CB8" w14:textId="21FC2F3B"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13</w:t>
            </w:r>
            <w:r>
              <w:rPr>
                <w:rFonts w:ascii="Book Antiqua" w:hAnsi="Book Antiqua" w:cs="Times New Roman" w:hint="eastAsia"/>
                <w:sz w:val="24"/>
                <w:szCs w:val="24"/>
                <w:lang w:val="en-US" w:eastAsia="zh-CN"/>
              </w:rPr>
              <w:t>]</w:t>
            </w:r>
          </w:p>
        </w:tc>
      </w:tr>
      <w:tr w:rsidR="00053061" w:rsidRPr="000A6219" w14:paraId="6A9B0456" w14:textId="77777777" w:rsidTr="0017360F">
        <w:trPr>
          <w:trHeight w:val="393"/>
        </w:trPr>
        <w:tc>
          <w:tcPr>
            <w:tcW w:w="1135" w:type="dxa"/>
            <w:shd w:val="clear" w:color="auto" w:fill="auto"/>
            <w:vAlign w:val="center"/>
            <w:hideMark/>
          </w:tcPr>
          <w:p w14:paraId="646A1CC7"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w:t>
            </w:r>
          </w:p>
        </w:tc>
        <w:tc>
          <w:tcPr>
            <w:tcW w:w="2551" w:type="dxa"/>
            <w:shd w:val="clear" w:color="auto" w:fill="auto"/>
            <w:vAlign w:val="center"/>
            <w:hideMark/>
          </w:tcPr>
          <w:p w14:paraId="55DEEFCF"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 h</w:t>
            </w:r>
          </w:p>
        </w:tc>
        <w:tc>
          <w:tcPr>
            <w:tcW w:w="3969" w:type="dxa"/>
            <w:shd w:val="clear" w:color="auto" w:fill="auto"/>
            <w:vAlign w:val="center"/>
            <w:hideMark/>
          </w:tcPr>
          <w:p w14:paraId="64A2B928"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gentamicin 100 µg/mL for 1 h and media replacement with gentamicin 20 µg/mL for 24 h</w:t>
            </w:r>
          </w:p>
        </w:tc>
        <w:tc>
          <w:tcPr>
            <w:tcW w:w="1540" w:type="dxa"/>
            <w:shd w:val="clear" w:color="auto" w:fill="auto"/>
            <w:vAlign w:val="center"/>
            <w:hideMark/>
          </w:tcPr>
          <w:p w14:paraId="51A60F05" w14:textId="1890C780"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1,34,58</w:t>
            </w:r>
            <w:r>
              <w:rPr>
                <w:rFonts w:ascii="Book Antiqua" w:hAnsi="Book Antiqua" w:cs="Times New Roman" w:hint="eastAsia"/>
                <w:sz w:val="24"/>
                <w:szCs w:val="24"/>
                <w:lang w:val="en-US" w:eastAsia="zh-CN"/>
              </w:rPr>
              <w:t>]</w:t>
            </w:r>
          </w:p>
        </w:tc>
      </w:tr>
      <w:tr w:rsidR="00053061" w:rsidRPr="000A6219" w14:paraId="4A0B09EC" w14:textId="77777777" w:rsidTr="0017360F">
        <w:trPr>
          <w:trHeight w:val="393"/>
        </w:trPr>
        <w:tc>
          <w:tcPr>
            <w:tcW w:w="1135" w:type="dxa"/>
            <w:shd w:val="clear" w:color="auto" w:fill="auto"/>
            <w:vAlign w:val="center"/>
            <w:hideMark/>
          </w:tcPr>
          <w:p w14:paraId="5802490F"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 or 100</w:t>
            </w:r>
          </w:p>
        </w:tc>
        <w:tc>
          <w:tcPr>
            <w:tcW w:w="2551" w:type="dxa"/>
            <w:shd w:val="clear" w:color="auto" w:fill="auto"/>
            <w:vAlign w:val="center"/>
            <w:hideMark/>
          </w:tcPr>
          <w:p w14:paraId="6AB99AEA" w14:textId="72F480FB" w:rsidR="00053061" w:rsidRPr="000A6219" w:rsidRDefault="0017360F"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Centrifugation 10 min at 1000 </w:t>
            </w:r>
            <w:r w:rsidR="00053061" w:rsidRPr="000A6219">
              <w:rPr>
                <w:rFonts w:ascii="Book Antiqua" w:eastAsia="Calibri" w:hAnsi="Book Antiqua" w:cs="Times New Roman"/>
                <w:sz w:val="24"/>
                <w:szCs w:val="24"/>
                <w:lang w:val="en-US"/>
              </w:rPr>
              <w:t>g and incubation 10 min</w:t>
            </w:r>
          </w:p>
        </w:tc>
        <w:tc>
          <w:tcPr>
            <w:tcW w:w="3969" w:type="dxa"/>
            <w:shd w:val="clear" w:color="auto" w:fill="auto"/>
            <w:vAlign w:val="center"/>
            <w:hideMark/>
          </w:tcPr>
          <w:p w14:paraId="6D78F45F"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gentamicin 100 µg/mL for 40 min and media replacement with gentamicin 20 µg/mL for 24 h</w:t>
            </w:r>
          </w:p>
        </w:tc>
        <w:tc>
          <w:tcPr>
            <w:tcW w:w="1540" w:type="dxa"/>
            <w:shd w:val="clear" w:color="auto" w:fill="auto"/>
            <w:vAlign w:val="center"/>
            <w:hideMark/>
          </w:tcPr>
          <w:p w14:paraId="5443D9E5" w14:textId="5A731A12"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11,47,66</w:t>
            </w:r>
            <w:r>
              <w:rPr>
                <w:rFonts w:ascii="Book Antiqua" w:hAnsi="Book Antiqua" w:cs="Times New Roman" w:hint="eastAsia"/>
                <w:sz w:val="24"/>
                <w:szCs w:val="24"/>
                <w:lang w:val="en-US" w:eastAsia="zh-CN"/>
              </w:rPr>
              <w:t>]</w:t>
            </w:r>
          </w:p>
        </w:tc>
      </w:tr>
      <w:tr w:rsidR="00053061" w:rsidRPr="000A6219" w14:paraId="5FBB5C22" w14:textId="77777777" w:rsidTr="0017360F">
        <w:trPr>
          <w:trHeight w:val="393"/>
        </w:trPr>
        <w:tc>
          <w:tcPr>
            <w:tcW w:w="1135" w:type="dxa"/>
            <w:shd w:val="clear" w:color="auto" w:fill="auto"/>
            <w:vAlign w:val="center"/>
            <w:hideMark/>
          </w:tcPr>
          <w:p w14:paraId="24887382"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w:t>
            </w:r>
          </w:p>
        </w:tc>
        <w:tc>
          <w:tcPr>
            <w:tcW w:w="2551" w:type="dxa"/>
            <w:shd w:val="clear" w:color="auto" w:fill="auto"/>
            <w:vAlign w:val="center"/>
            <w:hideMark/>
          </w:tcPr>
          <w:p w14:paraId="21C414BA" w14:textId="0B951FD8"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Centrifugation 5 min </w:t>
            </w:r>
            <w:r w:rsidR="0017360F" w:rsidRPr="000A6219">
              <w:rPr>
                <w:rFonts w:ascii="Book Antiqua" w:eastAsia="Calibri" w:hAnsi="Book Antiqua" w:cs="Times New Roman"/>
                <w:sz w:val="24"/>
                <w:szCs w:val="24"/>
                <w:lang w:val="en-US"/>
              </w:rPr>
              <w:t xml:space="preserve">at 500 </w:t>
            </w:r>
            <w:r w:rsidRPr="000A6219">
              <w:rPr>
                <w:rFonts w:ascii="Book Antiqua" w:eastAsia="Calibri" w:hAnsi="Book Antiqua" w:cs="Times New Roman"/>
                <w:sz w:val="24"/>
                <w:szCs w:val="24"/>
                <w:lang w:val="en-US"/>
              </w:rPr>
              <w:t xml:space="preserve">g and </w:t>
            </w:r>
            <w:r w:rsidRPr="000A6219">
              <w:rPr>
                <w:rFonts w:ascii="Book Antiqua" w:eastAsia="Calibri" w:hAnsi="Book Antiqua" w:cs="Times New Roman"/>
                <w:sz w:val="24"/>
                <w:szCs w:val="24"/>
                <w:lang w:val="en-US"/>
              </w:rPr>
              <w:lastRenderedPageBreak/>
              <w:t xml:space="preserve">incubation 30 min </w:t>
            </w:r>
          </w:p>
        </w:tc>
        <w:tc>
          <w:tcPr>
            <w:tcW w:w="3969" w:type="dxa"/>
            <w:shd w:val="clear" w:color="auto" w:fill="auto"/>
            <w:vAlign w:val="center"/>
            <w:hideMark/>
          </w:tcPr>
          <w:p w14:paraId="7A5BD685"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lastRenderedPageBreak/>
              <w:t xml:space="preserve">Media replacement with gentamicin 100 µg/mL for 2 h and </w:t>
            </w:r>
            <w:r w:rsidRPr="000A6219">
              <w:rPr>
                <w:rFonts w:ascii="Book Antiqua" w:eastAsia="Calibri" w:hAnsi="Book Antiqua" w:cs="Times New Roman"/>
                <w:sz w:val="24"/>
                <w:szCs w:val="24"/>
                <w:lang w:val="en-US"/>
              </w:rPr>
              <w:lastRenderedPageBreak/>
              <w:t>media replacement with gentamicin 15 µg/mL for 24 h</w:t>
            </w:r>
          </w:p>
        </w:tc>
        <w:tc>
          <w:tcPr>
            <w:tcW w:w="1540" w:type="dxa"/>
            <w:shd w:val="clear" w:color="auto" w:fill="auto"/>
            <w:vAlign w:val="center"/>
            <w:hideMark/>
          </w:tcPr>
          <w:p w14:paraId="304199F0" w14:textId="27702EFE"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lastRenderedPageBreak/>
              <w:t>[</w:t>
            </w:r>
            <w:r w:rsidR="0017360F" w:rsidRPr="000A6219">
              <w:rPr>
                <w:rFonts w:ascii="Book Antiqua" w:eastAsia="Calibri" w:hAnsi="Book Antiqua" w:cs="Times New Roman"/>
                <w:sz w:val="24"/>
                <w:szCs w:val="24"/>
                <w:lang w:val="en-US"/>
              </w:rPr>
              <w:t>70</w:t>
            </w:r>
            <w:r>
              <w:rPr>
                <w:rFonts w:ascii="Book Antiqua" w:hAnsi="Book Antiqua" w:cs="Times New Roman" w:hint="eastAsia"/>
                <w:sz w:val="24"/>
                <w:szCs w:val="24"/>
                <w:lang w:val="en-US" w:eastAsia="zh-CN"/>
              </w:rPr>
              <w:t>]</w:t>
            </w:r>
          </w:p>
        </w:tc>
      </w:tr>
      <w:tr w:rsidR="00053061" w:rsidRPr="000A6219" w14:paraId="67CE0DD5" w14:textId="77777777" w:rsidTr="0017360F">
        <w:trPr>
          <w:trHeight w:val="393"/>
        </w:trPr>
        <w:tc>
          <w:tcPr>
            <w:tcW w:w="1135" w:type="dxa"/>
            <w:shd w:val="clear" w:color="auto" w:fill="auto"/>
            <w:vAlign w:val="center"/>
            <w:hideMark/>
          </w:tcPr>
          <w:p w14:paraId="31CA7D49"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20</w:t>
            </w:r>
          </w:p>
        </w:tc>
        <w:tc>
          <w:tcPr>
            <w:tcW w:w="2551" w:type="dxa"/>
            <w:shd w:val="clear" w:color="auto" w:fill="auto"/>
            <w:vAlign w:val="center"/>
            <w:hideMark/>
          </w:tcPr>
          <w:p w14:paraId="403539CD"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 h</w:t>
            </w:r>
          </w:p>
        </w:tc>
        <w:tc>
          <w:tcPr>
            <w:tcW w:w="3969" w:type="dxa"/>
            <w:shd w:val="clear" w:color="auto" w:fill="auto"/>
            <w:vAlign w:val="center"/>
            <w:hideMark/>
          </w:tcPr>
          <w:p w14:paraId="54F756F9"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gentamicin 100 µg/mL for 1 h and media replacement with gentamicin 20 µg/mL for 24 h</w:t>
            </w:r>
          </w:p>
        </w:tc>
        <w:tc>
          <w:tcPr>
            <w:tcW w:w="1540" w:type="dxa"/>
            <w:shd w:val="clear" w:color="auto" w:fill="auto"/>
            <w:vAlign w:val="center"/>
            <w:hideMark/>
          </w:tcPr>
          <w:p w14:paraId="2FD05EB5" w14:textId="2398E9C4"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9,31</w:t>
            </w:r>
            <w:r>
              <w:rPr>
                <w:rFonts w:ascii="Book Antiqua" w:hAnsi="Book Antiqua" w:cs="Times New Roman" w:hint="eastAsia"/>
                <w:sz w:val="24"/>
                <w:szCs w:val="24"/>
                <w:lang w:val="en-US" w:eastAsia="zh-CN"/>
              </w:rPr>
              <w:t>]</w:t>
            </w:r>
          </w:p>
        </w:tc>
      </w:tr>
      <w:tr w:rsidR="00053061" w:rsidRPr="000A6219" w14:paraId="6109C3C5" w14:textId="77777777" w:rsidTr="0017360F">
        <w:trPr>
          <w:trHeight w:val="393"/>
        </w:trPr>
        <w:tc>
          <w:tcPr>
            <w:tcW w:w="1135" w:type="dxa"/>
            <w:shd w:val="clear" w:color="auto" w:fill="auto"/>
            <w:vAlign w:val="center"/>
            <w:hideMark/>
          </w:tcPr>
          <w:p w14:paraId="66F59A8A"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20</w:t>
            </w:r>
          </w:p>
        </w:tc>
        <w:tc>
          <w:tcPr>
            <w:tcW w:w="2551" w:type="dxa"/>
            <w:shd w:val="clear" w:color="auto" w:fill="auto"/>
            <w:vAlign w:val="center"/>
            <w:hideMark/>
          </w:tcPr>
          <w:p w14:paraId="77368B21"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 h</w:t>
            </w:r>
          </w:p>
        </w:tc>
        <w:tc>
          <w:tcPr>
            <w:tcW w:w="3969" w:type="dxa"/>
            <w:shd w:val="clear" w:color="auto" w:fill="auto"/>
            <w:vAlign w:val="center"/>
            <w:hideMark/>
          </w:tcPr>
          <w:p w14:paraId="02845984"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gentamicin 100 µg/mL for 1 and 24 h</w:t>
            </w:r>
          </w:p>
        </w:tc>
        <w:tc>
          <w:tcPr>
            <w:tcW w:w="1540" w:type="dxa"/>
            <w:shd w:val="clear" w:color="auto" w:fill="auto"/>
            <w:vAlign w:val="center"/>
            <w:hideMark/>
          </w:tcPr>
          <w:p w14:paraId="2A6ADF6B" w14:textId="675492B1"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14</w:t>
            </w:r>
            <w:r>
              <w:rPr>
                <w:rFonts w:ascii="Book Antiqua" w:hAnsi="Book Antiqua" w:cs="Times New Roman" w:hint="eastAsia"/>
                <w:sz w:val="24"/>
                <w:szCs w:val="24"/>
                <w:lang w:val="en-US" w:eastAsia="zh-CN"/>
              </w:rPr>
              <w:t>]</w:t>
            </w:r>
          </w:p>
        </w:tc>
      </w:tr>
      <w:tr w:rsidR="00053061" w:rsidRPr="000A6219" w14:paraId="25D9282A" w14:textId="77777777" w:rsidTr="0017360F">
        <w:trPr>
          <w:trHeight w:val="393"/>
        </w:trPr>
        <w:tc>
          <w:tcPr>
            <w:tcW w:w="1135" w:type="dxa"/>
            <w:shd w:val="clear" w:color="auto" w:fill="auto"/>
            <w:vAlign w:val="center"/>
            <w:hideMark/>
          </w:tcPr>
          <w:p w14:paraId="4EA83A60"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20</w:t>
            </w:r>
          </w:p>
        </w:tc>
        <w:tc>
          <w:tcPr>
            <w:tcW w:w="2551" w:type="dxa"/>
            <w:shd w:val="clear" w:color="auto" w:fill="auto"/>
            <w:vAlign w:val="center"/>
            <w:hideMark/>
          </w:tcPr>
          <w:p w14:paraId="26D45E9A"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 h</w:t>
            </w:r>
          </w:p>
        </w:tc>
        <w:tc>
          <w:tcPr>
            <w:tcW w:w="3969" w:type="dxa"/>
            <w:shd w:val="clear" w:color="auto" w:fill="auto"/>
            <w:vAlign w:val="center"/>
            <w:hideMark/>
          </w:tcPr>
          <w:p w14:paraId="3C3DF8BC"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gentamicin 3 mg/mL for 1 and 24 h</w:t>
            </w:r>
          </w:p>
        </w:tc>
        <w:tc>
          <w:tcPr>
            <w:tcW w:w="1540" w:type="dxa"/>
            <w:shd w:val="clear" w:color="auto" w:fill="auto"/>
            <w:vAlign w:val="center"/>
            <w:hideMark/>
          </w:tcPr>
          <w:p w14:paraId="307C2661" w14:textId="4FFEB6AE"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72</w:t>
            </w:r>
            <w:r>
              <w:rPr>
                <w:rFonts w:ascii="Book Antiqua" w:hAnsi="Book Antiqua" w:cs="Times New Roman" w:hint="eastAsia"/>
                <w:sz w:val="24"/>
                <w:szCs w:val="24"/>
                <w:lang w:val="en-US" w:eastAsia="zh-CN"/>
              </w:rPr>
              <w:t>]</w:t>
            </w:r>
          </w:p>
        </w:tc>
      </w:tr>
      <w:tr w:rsidR="00053061" w:rsidRPr="000A6219" w14:paraId="2F87FAA8" w14:textId="77777777" w:rsidTr="0017360F">
        <w:trPr>
          <w:trHeight w:val="393"/>
        </w:trPr>
        <w:tc>
          <w:tcPr>
            <w:tcW w:w="1135" w:type="dxa"/>
            <w:shd w:val="clear" w:color="auto" w:fill="auto"/>
            <w:vAlign w:val="center"/>
            <w:hideMark/>
          </w:tcPr>
          <w:p w14:paraId="16E68D54"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100</w:t>
            </w:r>
          </w:p>
        </w:tc>
        <w:tc>
          <w:tcPr>
            <w:tcW w:w="2551" w:type="dxa"/>
            <w:shd w:val="clear" w:color="auto" w:fill="auto"/>
            <w:vAlign w:val="center"/>
            <w:hideMark/>
          </w:tcPr>
          <w:p w14:paraId="25C8A097" w14:textId="3C4B8709" w:rsidR="00053061" w:rsidRPr="000A6219" w:rsidRDefault="0017360F"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Centrifugation 10 min at 1000 </w:t>
            </w:r>
            <w:r w:rsidR="00053061" w:rsidRPr="000A6219">
              <w:rPr>
                <w:rFonts w:ascii="Book Antiqua" w:eastAsia="Calibri" w:hAnsi="Book Antiqua" w:cs="Times New Roman"/>
                <w:sz w:val="24"/>
                <w:szCs w:val="24"/>
                <w:lang w:val="en-US"/>
              </w:rPr>
              <w:t>g and incubation 10 min</w:t>
            </w:r>
          </w:p>
        </w:tc>
        <w:tc>
          <w:tcPr>
            <w:tcW w:w="3969" w:type="dxa"/>
            <w:shd w:val="clear" w:color="auto" w:fill="auto"/>
            <w:vAlign w:val="center"/>
            <w:hideMark/>
          </w:tcPr>
          <w:p w14:paraId="1CC588DD"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gentamicin 20 µg/mL for 1 and 24 h</w:t>
            </w:r>
          </w:p>
        </w:tc>
        <w:tc>
          <w:tcPr>
            <w:tcW w:w="1540" w:type="dxa"/>
            <w:shd w:val="clear" w:color="auto" w:fill="auto"/>
            <w:vAlign w:val="center"/>
            <w:hideMark/>
          </w:tcPr>
          <w:p w14:paraId="61204F1D" w14:textId="6648718C"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21,59</w:t>
            </w:r>
            <w:r>
              <w:rPr>
                <w:rFonts w:ascii="Book Antiqua" w:hAnsi="Book Antiqua" w:cs="Times New Roman" w:hint="eastAsia"/>
                <w:sz w:val="24"/>
                <w:szCs w:val="24"/>
                <w:lang w:val="en-US" w:eastAsia="zh-CN"/>
              </w:rPr>
              <w:t>]</w:t>
            </w:r>
          </w:p>
        </w:tc>
      </w:tr>
      <w:tr w:rsidR="00053061" w:rsidRPr="000A6219" w14:paraId="4350084F" w14:textId="77777777" w:rsidTr="0017360F">
        <w:trPr>
          <w:trHeight w:val="393"/>
        </w:trPr>
        <w:tc>
          <w:tcPr>
            <w:tcW w:w="1135" w:type="dxa"/>
            <w:shd w:val="clear" w:color="auto" w:fill="auto"/>
            <w:vAlign w:val="center"/>
            <w:hideMark/>
          </w:tcPr>
          <w:p w14:paraId="0EA7C0D2"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100</w:t>
            </w:r>
          </w:p>
        </w:tc>
        <w:tc>
          <w:tcPr>
            <w:tcW w:w="2551" w:type="dxa"/>
            <w:shd w:val="clear" w:color="auto" w:fill="auto"/>
            <w:vAlign w:val="center"/>
            <w:hideMark/>
          </w:tcPr>
          <w:p w14:paraId="549CFE32"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 h</w:t>
            </w:r>
          </w:p>
        </w:tc>
        <w:tc>
          <w:tcPr>
            <w:tcW w:w="3969" w:type="dxa"/>
            <w:shd w:val="clear" w:color="auto" w:fill="auto"/>
            <w:vAlign w:val="center"/>
            <w:hideMark/>
          </w:tcPr>
          <w:p w14:paraId="25D0B010"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gentamicin 50 µg/mL for 1 and 24 h</w:t>
            </w:r>
          </w:p>
        </w:tc>
        <w:tc>
          <w:tcPr>
            <w:tcW w:w="1540" w:type="dxa"/>
            <w:shd w:val="clear" w:color="auto" w:fill="auto"/>
            <w:vAlign w:val="center"/>
            <w:hideMark/>
          </w:tcPr>
          <w:p w14:paraId="51FF1EDE" w14:textId="1628D6D7"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54</w:t>
            </w:r>
            <w:r>
              <w:rPr>
                <w:rFonts w:ascii="Book Antiqua" w:hAnsi="Book Antiqua" w:cs="Times New Roman" w:hint="eastAsia"/>
                <w:sz w:val="24"/>
                <w:szCs w:val="24"/>
                <w:lang w:val="en-US" w:eastAsia="zh-CN"/>
              </w:rPr>
              <w:t>]</w:t>
            </w:r>
          </w:p>
        </w:tc>
      </w:tr>
    </w:tbl>
    <w:p w14:paraId="488291BD" w14:textId="4722826B" w:rsidR="00915528" w:rsidRPr="000A6219" w:rsidRDefault="00915528" w:rsidP="000A6219">
      <w:pPr>
        <w:snapToGrid w:val="0"/>
        <w:spacing w:after="0" w:line="360" w:lineRule="auto"/>
        <w:jc w:val="both"/>
        <w:rPr>
          <w:rFonts w:ascii="Book Antiqua" w:hAnsi="Book Antiqua"/>
          <w:sz w:val="24"/>
          <w:szCs w:val="24"/>
          <w:lang w:val="en-US"/>
        </w:rPr>
      </w:pPr>
    </w:p>
    <w:sectPr w:rsidR="00915528" w:rsidRPr="000A6219" w:rsidSect="00A753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B096" w14:textId="77777777" w:rsidR="003E0375" w:rsidRDefault="003E0375" w:rsidP="007343D4">
      <w:pPr>
        <w:spacing w:after="0" w:line="240" w:lineRule="auto"/>
      </w:pPr>
      <w:r>
        <w:separator/>
      </w:r>
    </w:p>
  </w:endnote>
  <w:endnote w:type="continuationSeparator" w:id="0">
    <w:p w14:paraId="6BDB51F4" w14:textId="77777777" w:rsidR="003E0375" w:rsidRDefault="003E0375" w:rsidP="0073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altName w:val="Times New Roman"/>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4D396" w14:textId="77777777" w:rsidR="003E0375" w:rsidRDefault="003E0375" w:rsidP="007343D4">
      <w:pPr>
        <w:spacing w:after="0" w:line="240" w:lineRule="auto"/>
      </w:pPr>
      <w:r>
        <w:separator/>
      </w:r>
    </w:p>
  </w:footnote>
  <w:footnote w:type="continuationSeparator" w:id="0">
    <w:p w14:paraId="03750608" w14:textId="77777777" w:rsidR="003E0375" w:rsidRDefault="003E0375" w:rsidP="0073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E3F31"/>
    <w:multiLevelType w:val="hybridMultilevel"/>
    <w:tmpl w:val="DBEED228"/>
    <w:lvl w:ilvl="0" w:tplc="2BB663DC">
      <w:start w:val="1"/>
      <w:numFmt w:val="decimal"/>
      <w:lvlText w:val="%1."/>
      <w:lvlJc w:val="left"/>
      <w:pPr>
        <w:ind w:left="720" w:hanging="360"/>
      </w:pPr>
      <w:rPr>
        <w:i/>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15:restartNumberingAfterBreak="0">
    <w:nsid w:val="4C0653C3"/>
    <w:multiLevelType w:val="hybridMultilevel"/>
    <w:tmpl w:val="0F1E77FA"/>
    <w:lvl w:ilvl="0" w:tplc="4AFE74B6">
      <w:start w:val="1"/>
      <w:numFmt w:val="upperRoman"/>
      <w:lvlText w:val="(%1)"/>
      <w:lvlJc w:val="left"/>
      <w:pPr>
        <w:ind w:left="1728" w:hanging="1020"/>
      </w:pPr>
      <w:rPr>
        <w:color w:val="auto"/>
      </w:rPr>
    </w:lvl>
    <w:lvl w:ilvl="1" w:tplc="04030019">
      <w:start w:val="1"/>
      <w:numFmt w:val="lowerLetter"/>
      <w:lvlText w:val="%2."/>
      <w:lvlJc w:val="left"/>
      <w:pPr>
        <w:ind w:left="1788" w:hanging="360"/>
      </w:pPr>
    </w:lvl>
    <w:lvl w:ilvl="2" w:tplc="0403001B">
      <w:start w:val="1"/>
      <w:numFmt w:val="lowerRoman"/>
      <w:lvlText w:val="%3."/>
      <w:lvlJc w:val="right"/>
      <w:pPr>
        <w:ind w:left="2508" w:hanging="180"/>
      </w:pPr>
    </w:lvl>
    <w:lvl w:ilvl="3" w:tplc="0403000F">
      <w:start w:val="1"/>
      <w:numFmt w:val="decimal"/>
      <w:lvlText w:val="%4."/>
      <w:lvlJc w:val="left"/>
      <w:pPr>
        <w:ind w:left="3228" w:hanging="360"/>
      </w:pPr>
    </w:lvl>
    <w:lvl w:ilvl="4" w:tplc="04030019">
      <w:start w:val="1"/>
      <w:numFmt w:val="lowerLetter"/>
      <w:lvlText w:val="%5."/>
      <w:lvlJc w:val="left"/>
      <w:pPr>
        <w:ind w:left="3948" w:hanging="360"/>
      </w:pPr>
    </w:lvl>
    <w:lvl w:ilvl="5" w:tplc="0403001B">
      <w:start w:val="1"/>
      <w:numFmt w:val="lowerRoman"/>
      <w:lvlText w:val="%6."/>
      <w:lvlJc w:val="right"/>
      <w:pPr>
        <w:ind w:left="4668" w:hanging="180"/>
      </w:pPr>
    </w:lvl>
    <w:lvl w:ilvl="6" w:tplc="0403000F">
      <w:start w:val="1"/>
      <w:numFmt w:val="decimal"/>
      <w:lvlText w:val="%7."/>
      <w:lvlJc w:val="left"/>
      <w:pPr>
        <w:ind w:left="5388" w:hanging="360"/>
      </w:pPr>
    </w:lvl>
    <w:lvl w:ilvl="7" w:tplc="04030019">
      <w:start w:val="1"/>
      <w:numFmt w:val="lowerLetter"/>
      <w:lvlText w:val="%8."/>
      <w:lvlJc w:val="left"/>
      <w:pPr>
        <w:ind w:left="6108" w:hanging="360"/>
      </w:pPr>
    </w:lvl>
    <w:lvl w:ilvl="8" w:tplc="0403001B">
      <w:start w:val="1"/>
      <w:numFmt w:val="lowerRoman"/>
      <w:lvlText w:val="%9."/>
      <w:lvlJc w:val="right"/>
      <w:pPr>
        <w:ind w:left="6828" w:hanging="180"/>
      </w:pPr>
    </w:lvl>
  </w:abstractNum>
  <w:abstractNum w:abstractNumId="2" w15:restartNumberingAfterBreak="0">
    <w:nsid w:val="4DCE26D0"/>
    <w:multiLevelType w:val="hybridMultilevel"/>
    <w:tmpl w:val="DBEED228"/>
    <w:lvl w:ilvl="0" w:tplc="2BB663DC">
      <w:start w:val="1"/>
      <w:numFmt w:val="decimal"/>
      <w:lvlText w:val="%1."/>
      <w:lvlJc w:val="left"/>
      <w:pPr>
        <w:ind w:left="720" w:hanging="360"/>
      </w:pPr>
      <w:rPr>
        <w:i/>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 w15:restartNumberingAfterBreak="0">
    <w:nsid w:val="60B953B0"/>
    <w:multiLevelType w:val="hybridMultilevel"/>
    <w:tmpl w:val="2452B19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BE"/>
    <w:rsid w:val="00010A49"/>
    <w:rsid w:val="00011DAD"/>
    <w:rsid w:val="00013800"/>
    <w:rsid w:val="00052D98"/>
    <w:rsid w:val="00053061"/>
    <w:rsid w:val="0005405C"/>
    <w:rsid w:val="00054840"/>
    <w:rsid w:val="000670ED"/>
    <w:rsid w:val="0007336D"/>
    <w:rsid w:val="00076943"/>
    <w:rsid w:val="00076EB2"/>
    <w:rsid w:val="00083459"/>
    <w:rsid w:val="00084366"/>
    <w:rsid w:val="0008662F"/>
    <w:rsid w:val="000A6219"/>
    <w:rsid w:val="000C7F7C"/>
    <w:rsid w:val="000D6033"/>
    <w:rsid w:val="000E153F"/>
    <w:rsid w:val="000F373A"/>
    <w:rsid w:val="000F7667"/>
    <w:rsid w:val="00103BFE"/>
    <w:rsid w:val="0010433F"/>
    <w:rsid w:val="001237F7"/>
    <w:rsid w:val="00123A7B"/>
    <w:rsid w:val="00143E6E"/>
    <w:rsid w:val="0015344F"/>
    <w:rsid w:val="00163CC1"/>
    <w:rsid w:val="001709CB"/>
    <w:rsid w:val="0017117D"/>
    <w:rsid w:val="0017360F"/>
    <w:rsid w:val="001B2D5B"/>
    <w:rsid w:val="001B46DC"/>
    <w:rsid w:val="001C72CB"/>
    <w:rsid w:val="001D6ABE"/>
    <w:rsid w:val="00204FD3"/>
    <w:rsid w:val="00210738"/>
    <w:rsid w:val="002138A8"/>
    <w:rsid w:val="00216C8F"/>
    <w:rsid w:val="002341F9"/>
    <w:rsid w:val="0023618D"/>
    <w:rsid w:val="00253AD5"/>
    <w:rsid w:val="00274D68"/>
    <w:rsid w:val="00281FF0"/>
    <w:rsid w:val="00287F98"/>
    <w:rsid w:val="00297413"/>
    <w:rsid w:val="002D226F"/>
    <w:rsid w:val="002D7E05"/>
    <w:rsid w:val="002E63A9"/>
    <w:rsid w:val="002F3C3F"/>
    <w:rsid w:val="00306DE7"/>
    <w:rsid w:val="00312B0C"/>
    <w:rsid w:val="00321B9F"/>
    <w:rsid w:val="003279A1"/>
    <w:rsid w:val="0033107E"/>
    <w:rsid w:val="0033181E"/>
    <w:rsid w:val="003319E1"/>
    <w:rsid w:val="00371908"/>
    <w:rsid w:val="003800E9"/>
    <w:rsid w:val="0038562A"/>
    <w:rsid w:val="00387859"/>
    <w:rsid w:val="00396974"/>
    <w:rsid w:val="003B36CA"/>
    <w:rsid w:val="003B4B62"/>
    <w:rsid w:val="003C1901"/>
    <w:rsid w:val="003C2A96"/>
    <w:rsid w:val="003D0CC7"/>
    <w:rsid w:val="003D38CD"/>
    <w:rsid w:val="003D76DB"/>
    <w:rsid w:val="003E0375"/>
    <w:rsid w:val="003F53DA"/>
    <w:rsid w:val="00415690"/>
    <w:rsid w:val="00420999"/>
    <w:rsid w:val="00424BD2"/>
    <w:rsid w:val="004508F5"/>
    <w:rsid w:val="004541D3"/>
    <w:rsid w:val="00473EF4"/>
    <w:rsid w:val="0047787B"/>
    <w:rsid w:val="004817B7"/>
    <w:rsid w:val="00497979"/>
    <w:rsid w:val="004A0AFC"/>
    <w:rsid w:val="004A360C"/>
    <w:rsid w:val="004A6E53"/>
    <w:rsid w:val="004B306F"/>
    <w:rsid w:val="004B7E1B"/>
    <w:rsid w:val="004C4A78"/>
    <w:rsid w:val="004C6ECB"/>
    <w:rsid w:val="004F0801"/>
    <w:rsid w:val="0050435A"/>
    <w:rsid w:val="0051226F"/>
    <w:rsid w:val="00526A9B"/>
    <w:rsid w:val="00540F34"/>
    <w:rsid w:val="00546C9A"/>
    <w:rsid w:val="005505C3"/>
    <w:rsid w:val="00554ED9"/>
    <w:rsid w:val="0056251C"/>
    <w:rsid w:val="00570361"/>
    <w:rsid w:val="005807D4"/>
    <w:rsid w:val="00587BE3"/>
    <w:rsid w:val="00595655"/>
    <w:rsid w:val="005976AA"/>
    <w:rsid w:val="005C0AF8"/>
    <w:rsid w:val="005C35E4"/>
    <w:rsid w:val="005D3B0E"/>
    <w:rsid w:val="005E0537"/>
    <w:rsid w:val="005E7236"/>
    <w:rsid w:val="005F5312"/>
    <w:rsid w:val="005F6A7F"/>
    <w:rsid w:val="005F77C6"/>
    <w:rsid w:val="00605ADD"/>
    <w:rsid w:val="0061753A"/>
    <w:rsid w:val="006206FD"/>
    <w:rsid w:val="00645EA7"/>
    <w:rsid w:val="00650178"/>
    <w:rsid w:val="006506DE"/>
    <w:rsid w:val="006542A5"/>
    <w:rsid w:val="00667F1A"/>
    <w:rsid w:val="006707C5"/>
    <w:rsid w:val="00680DDF"/>
    <w:rsid w:val="006A43FE"/>
    <w:rsid w:val="006B3D71"/>
    <w:rsid w:val="006B4EEF"/>
    <w:rsid w:val="006C536E"/>
    <w:rsid w:val="006D1A22"/>
    <w:rsid w:val="006D217A"/>
    <w:rsid w:val="007009E6"/>
    <w:rsid w:val="00721A65"/>
    <w:rsid w:val="00730780"/>
    <w:rsid w:val="007343D4"/>
    <w:rsid w:val="0074040E"/>
    <w:rsid w:val="00743D2A"/>
    <w:rsid w:val="00750556"/>
    <w:rsid w:val="00765E1A"/>
    <w:rsid w:val="007662EF"/>
    <w:rsid w:val="0077005C"/>
    <w:rsid w:val="00771FEC"/>
    <w:rsid w:val="007812B5"/>
    <w:rsid w:val="00782880"/>
    <w:rsid w:val="00793FA6"/>
    <w:rsid w:val="00795C88"/>
    <w:rsid w:val="007A0A4A"/>
    <w:rsid w:val="007A24EC"/>
    <w:rsid w:val="007B2D1C"/>
    <w:rsid w:val="007C120A"/>
    <w:rsid w:val="007D24FB"/>
    <w:rsid w:val="007D7B13"/>
    <w:rsid w:val="007E6020"/>
    <w:rsid w:val="007F74F2"/>
    <w:rsid w:val="0080250C"/>
    <w:rsid w:val="00803BB6"/>
    <w:rsid w:val="00836C07"/>
    <w:rsid w:val="0087288E"/>
    <w:rsid w:val="00875652"/>
    <w:rsid w:val="0088030C"/>
    <w:rsid w:val="008834A1"/>
    <w:rsid w:val="00883834"/>
    <w:rsid w:val="00885E21"/>
    <w:rsid w:val="0088716F"/>
    <w:rsid w:val="00892AF7"/>
    <w:rsid w:val="00894FE5"/>
    <w:rsid w:val="008B37BE"/>
    <w:rsid w:val="008C703D"/>
    <w:rsid w:val="008D0C89"/>
    <w:rsid w:val="008D2842"/>
    <w:rsid w:val="008E506F"/>
    <w:rsid w:val="008F1238"/>
    <w:rsid w:val="009065E4"/>
    <w:rsid w:val="0091072D"/>
    <w:rsid w:val="00912F1B"/>
    <w:rsid w:val="00913998"/>
    <w:rsid w:val="00915528"/>
    <w:rsid w:val="009219A1"/>
    <w:rsid w:val="0093086E"/>
    <w:rsid w:val="009322C7"/>
    <w:rsid w:val="00934ACF"/>
    <w:rsid w:val="00974F3B"/>
    <w:rsid w:val="00994711"/>
    <w:rsid w:val="009958E9"/>
    <w:rsid w:val="009A32D9"/>
    <w:rsid w:val="009B2903"/>
    <w:rsid w:val="009B4172"/>
    <w:rsid w:val="009D51C0"/>
    <w:rsid w:val="009E3673"/>
    <w:rsid w:val="009F2131"/>
    <w:rsid w:val="009F382D"/>
    <w:rsid w:val="00A073BA"/>
    <w:rsid w:val="00A11F46"/>
    <w:rsid w:val="00A24BD4"/>
    <w:rsid w:val="00A47ABB"/>
    <w:rsid w:val="00A53A27"/>
    <w:rsid w:val="00A57DCB"/>
    <w:rsid w:val="00A66A7D"/>
    <w:rsid w:val="00A74752"/>
    <w:rsid w:val="00A75320"/>
    <w:rsid w:val="00AA0DC5"/>
    <w:rsid w:val="00AA5196"/>
    <w:rsid w:val="00AB1B10"/>
    <w:rsid w:val="00AC40FA"/>
    <w:rsid w:val="00AD52BC"/>
    <w:rsid w:val="00AE09AB"/>
    <w:rsid w:val="00AE4BC2"/>
    <w:rsid w:val="00B007F5"/>
    <w:rsid w:val="00B106E4"/>
    <w:rsid w:val="00B26649"/>
    <w:rsid w:val="00B354BE"/>
    <w:rsid w:val="00B36050"/>
    <w:rsid w:val="00B41FF1"/>
    <w:rsid w:val="00B420B9"/>
    <w:rsid w:val="00B55F1A"/>
    <w:rsid w:val="00B6467B"/>
    <w:rsid w:val="00B82BB2"/>
    <w:rsid w:val="00B854ED"/>
    <w:rsid w:val="00B96D08"/>
    <w:rsid w:val="00BA04A4"/>
    <w:rsid w:val="00BA5A02"/>
    <w:rsid w:val="00BA6897"/>
    <w:rsid w:val="00BB34FE"/>
    <w:rsid w:val="00BC6452"/>
    <w:rsid w:val="00BD29A8"/>
    <w:rsid w:val="00BD5846"/>
    <w:rsid w:val="00BE2357"/>
    <w:rsid w:val="00BF7F8C"/>
    <w:rsid w:val="00C06C3D"/>
    <w:rsid w:val="00C15127"/>
    <w:rsid w:val="00C15F0F"/>
    <w:rsid w:val="00C16456"/>
    <w:rsid w:val="00C27E1B"/>
    <w:rsid w:val="00C31C4D"/>
    <w:rsid w:val="00C33991"/>
    <w:rsid w:val="00C34862"/>
    <w:rsid w:val="00C43421"/>
    <w:rsid w:val="00C55430"/>
    <w:rsid w:val="00C65E54"/>
    <w:rsid w:val="00C904B5"/>
    <w:rsid w:val="00CB27D6"/>
    <w:rsid w:val="00CB5F52"/>
    <w:rsid w:val="00CC07AC"/>
    <w:rsid w:val="00CC7C37"/>
    <w:rsid w:val="00CE3B19"/>
    <w:rsid w:val="00CE7FDE"/>
    <w:rsid w:val="00D16876"/>
    <w:rsid w:val="00D234B4"/>
    <w:rsid w:val="00D52989"/>
    <w:rsid w:val="00D53581"/>
    <w:rsid w:val="00D5471D"/>
    <w:rsid w:val="00D7484E"/>
    <w:rsid w:val="00D75C7D"/>
    <w:rsid w:val="00D915B1"/>
    <w:rsid w:val="00DA2241"/>
    <w:rsid w:val="00DA5BBD"/>
    <w:rsid w:val="00DB16AA"/>
    <w:rsid w:val="00DB4B1E"/>
    <w:rsid w:val="00DC083E"/>
    <w:rsid w:val="00DC0C01"/>
    <w:rsid w:val="00DC638B"/>
    <w:rsid w:val="00DE153E"/>
    <w:rsid w:val="00DE7362"/>
    <w:rsid w:val="00DF0390"/>
    <w:rsid w:val="00DF3BA0"/>
    <w:rsid w:val="00E04FBE"/>
    <w:rsid w:val="00E07AA2"/>
    <w:rsid w:val="00E138C1"/>
    <w:rsid w:val="00E36F10"/>
    <w:rsid w:val="00E4299B"/>
    <w:rsid w:val="00E50472"/>
    <w:rsid w:val="00E6017A"/>
    <w:rsid w:val="00E603F9"/>
    <w:rsid w:val="00E61D89"/>
    <w:rsid w:val="00E739B6"/>
    <w:rsid w:val="00E813E9"/>
    <w:rsid w:val="00E9026D"/>
    <w:rsid w:val="00E95CBA"/>
    <w:rsid w:val="00EA024A"/>
    <w:rsid w:val="00EA5056"/>
    <w:rsid w:val="00EA7A76"/>
    <w:rsid w:val="00EB1D50"/>
    <w:rsid w:val="00ED1E11"/>
    <w:rsid w:val="00ED2B2C"/>
    <w:rsid w:val="00EE2E57"/>
    <w:rsid w:val="00EF1B8E"/>
    <w:rsid w:val="00EF4DE3"/>
    <w:rsid w:val="00F22911"/>
    <w:rsid w:val="00F37B32"/>
    <w:rsid w:val="00F505E6"/>
    <w:rsid w:val="00F90474"/>
    <w:rsid w:val="00F931FD"/>
    <w:rsid w:val="00F948DD"/>
    <w:rsid w:val="00F97101"/>
    <w:rsid w:val="00FA3745"/>
    <w:rsid w:val="00FB326F"/>
    <w:rsid w:val="00FC349F"/>
    <w:rsid w:val="00FC4D50"/>
    <w:rsid w:val="00FC7F65"/>
    <w:rsid w:val="00FD3E5E"/>
    <w:rsid w:val="00FE1722"/>
    <w:rsid w:val="00FF174F"/>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A479C"/>
  <w15:docId w15:val="{44F4208A-AABA-47AE-A823-B99DAC33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aconcuadrcula1">
    <w:name w:val="Tabla con cuadrícula1"/>
    <w:basedOn w:val="a1"/>
    <w:uiPriority w:val="59"/>
    <w:rsid w:val="00721A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721A65"/>
    <w:pPr>
      <w:spacing w:after="0" w:line="240" w:lineRule="auto"/>
    </w:pPr>
    <w:rPr>
      <w:rFonts w:ascii="Tahoma" w:hAnsi="Tahoma" w:cs="Tahoma"/>
      <w:sz w:val="16"/>
      <w:szCs w:val="16"/>
    </w:rPr>
  </w:style>
  <w:style w:type="character" w:customStyle="1" w:styleId="a4">
    <w:name w:val="批注框文本 字符"/>
    <w:basedOn w:val="a0"/>
    <w:link w:val="a3"/>
    <w:uiPriority w:val="99"/>
    <w:semiHidden/>
    <w:rsid w:val="00721A65"/>
    <w:rPr>
      <w:rFonts w:ascii="Tahoma" w:hAnsi="Tahoma" w:cs="Tahoma"/>
      <w:sz w:val="16"/>
      <w:szCs w:val="16"/>
    </w:rPr>
  </w:style>
  <w:style w:type="character" w:styleId="a5">
    <w:name w:val="Hyperlink"/>
    <w:basedOn w:val="a0"/>
    <w:uiPriority w:val="99"/>
    <w:unhideWhenUsed/>
    <w:rsid w:val="0010433F"/>
    <w:rPr>
      <w:color w:val="0000FF" w:themeColor="hyperlink"/>
      <w:u w:val="single"/>
    </w:rPr>
  </w:style>
  <w:style w:type="character" w:styleId="a6">
    <w:name w:val="annotation reference"/>
    <w:basedOn w:val="a0"/>
    <w:uiPriority w:val="99"/>
    <w:semiHidden/>
    <w:unhideWhenUsed/>
    <w:rsid w:val="0010433F"/>
    <w:rPr>
      <w:sz w:val="16"/>
      <w:szCs w:val="16"/>
    </w:rPr>
  </w:style>
  <w:style w:type="paragraph" w:styleId="a7">
    <w:name w:val="annotation text"/>
    <w:basedOn w:val="a"/>
    <w:link w:val="a8"/>
    <w:unhideWhenUsed/>
    <w:rsid w:val="0010433F"/>
    <w:pPr>
      <w:spacing w:line="240" w:lineRule="auto"/>
    </w:pPr>
    <w:rPr>
      <w:sz w:val="20"/>
      <w:szCs w:val="20"/>
    </w:rPr>
  </w:style>
  <w:style w:type="character" w:customStyle="1" w:styleId="a8">
    <w:name w:val="批注文字 字符"/>
    <w:basedOn w:val="a0"/>
    <w:link w:val="a7"/>
    <w:rsid w:val="0010433F"/>
    <w:rPr>
      <w:sz w:val="20"/>
      <w:szCs w:val="20"/>
    </w:rPr>
  </w:style>
  <w:style w:type="paragraph" w:styleId="a9">
    <w:name w:val="annotation subject"/>
    <w:basedOn w:val="a7"/>
    <w:next w:val="a7"/>
    <w:link w:val="aa"/>
    <w:uiPriority w:val="99"/>
    <w:semiHidden/>
    <w:unhideWhenUsed/>
    <w:rsid w:val="0010433F"/>
    <w:rPr>
      <w:b/>
      <w:bCs/>
    </w:rPr>
  </w:style>
  <w:style w:type="character" w:customStyle="1" w:styleId="aa">
    <w:name w:val="批注主题 字符"/>
    <w:basedOn w:val="a8"/>
    <w:link w:val="a9"/>
    <w:uiPriority w:val="99"/>
    <w:semiHidden/>
    <w:rsid w:val="0010433F"/>
    <w:rPr>
      <w:b/>
      <w:bCs/>
      <w:sz w:val="20"/>
      <w:szCs w:val="20"/>
    </w:rPr>
  </w:style>
  <w:style w:type="table" w:styleId="ab">
    <w:name w:val="Table Grid"/>
    <w:basedOn w:val="a1"/>
    <w:uiPriority w:val="59"/>
    <w:rsid w:val="000530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20999"/>
    <w:pPr>
      <w:ind w:left="720"/>
      <w:contextualSpacing/>
    </w:pPr>
  </w:style>
  <w:style w:type="character" w:styleId="ad">
    <w:name w:val="line number"/>
    <w:basedOn w:val="a0"/>
    <w:uiPriority w:val="99"/>
    <w:semiHidden/>
    <w:unhideWhenUsed/>
    <w:rsid w:val="00287F98"/>
  </w:style>
  <w:style w:type="character" w:customStyle="1" w:styleId="h3">
    <w:name w:val="h3"/>
    <w:rsid w:val="0051226F"/>
  </w:style>
  <w:style w:type="paragraph" w:styleId="ae">
    <w:name w:val="header"/>
    <w:basedOn w:val="a"/>
    <w:link w:val="af"/>
    <w:uiPriority w:val="99"/>
    <w:unhideWhenUsed/>
    <w:rsid w:val="007343D4"/>
    <w:pPr>
      <w:pBdr>
        <w:bottom w:val="single" w:sz="6" w:space="1" w:color="auto"/>
      </w:pBdr>
      <w:tabs>
        <w:tab w:val="center" w:pos="4153"/>
        <w:tab w:val="right" w:pos="8306"/>
      </w:tabs>
      <w:snapToGrid w:val="0"/>
      <w:spacing w:line="240" w:lineRule="auto"/>
      <w:jc w:val="center"/>
    </w:pPr>
    <w:rPr>
      <w:sz w:val="18"/>
      <w:szCs w:val="18"/>
    </w:rPr>
  </w:style>
  <w:style w:type="character" w:customStyle="1" w:styleId="af">
    <w:name w:val="页眉 字符"/>
    <w:basedOn w:val="a0"/>
    <w:link w:val="ae"/>
    <w:uiPriority w:val="99"/>
    <w:rsid w:val="007343D4"/>
    <w:rPr>
      <w:sz w:val="18"/>
      <w:szCs w:val="18"/>
    </w:rPr>
  </w:style>
  <w:style w:type="paragraph" w:styleId="af0">
    <w:name w:val="footer"/>
    <w:basedOn w:val="a"/>
    <w:link w:val="af1"/>
    <w:uiPriority w:val="99"/>
    <w:unhideWhenUsed/>
    <w:rsid w:val="007343D4"/>
    <w:pPr>
      <w:tabs>
        <w:tab w:val="center" w:pos="4153"/>
        <w:tab w:val="right" w:pos="8306"/>
      </w:tabs>
      <w:snapToGrid w:val="0"/>
      <w:spacing w:line="240" w:lineRule="auto"/>
    </w:pPr>
    <w:rPr>
      <w:sz w:val="18"/>
      <w:szCs w:val="18"/>
    </w:rPr>
  </w:style>
  <w:style w:type="character" w:customStyle="1" w:styleId="af1">
    <w:name w:val="页脚 字符"/>
    <w:basedOn w:val="a0"/>
    <w:link w:val="af0"/>
    <w:uiPriority w:val="99"/>
    <w:rsid w:val="007343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8675">
      <w:bodyDiv w:val="1"/>
      <w:marLeft w:val="0"/>
      <w:marRight w:val="0"/>
      <w:marTop w:val="0"/>
      <w:marBottom w:val="0"/>
      <w:divBdr>
        <w:top w:val="none" w:sz="0" w:space="0" w:color="auto"/>
        <w:left w:val="none" w:sz="0" w:space="0" w:color="auto"/>
        <w:bottom w:val="none" w:sz="0" w:space="0" w:color="auto"/>
        <w:right w:val="none" w:sz="0" w:space="0" w:color="auto"/>
      </w:divBdr>
    </w:div>
    <w:div w:id="21323546">
      <w:bodyDiv w:val="1"/>
      <w:marLeft w:val="0"/>
      <w:marRight w:val="0"/>
      <w:marTop w:val="0"/>
      <w:marBottom w:val="0"/>
      <w:divBdr>
        <w:top w:val="none" w:sz="0" w:space="0" w:color="auto"/>
        <w:left w:val="none" w:sz="0" w:space="0" w:color="auto"/>
        <w:bottom w:val="none" w:sz="0" w:space="0" w:color="auto"/>
        <w:right w:val="none" w:sz="0" w:space="0" w:color="auto"/>
      </w:divBdr>
    </w:div>
    <w:div w:id="42214254">
      <w:bodyDiv w:val="1"/>
      <w:marLeft w:val="0"/>
      <w:marRight w:val="0"/>
      <w:marTop w:val="0"/>
      <w:marBottom w:val="0"/>
      <w:divBdr>
        <w:top w:val="none" w:sz="0" w:space="0" w:color="auto"/>
        <w:left w:val="none" w:sz="0" w:space="0" w:color="auto"/>
        <w:bottom w:val="none" w:sz="0" w:space="0" w:color="auto"/>
        <w:right w:val="none" w:sz="0" w:space="0" w:color="auto"/>
      </w:divBdr>
    </w:div>
    <w:div w:id="64955016">
      <w:bodyDiv w:val="1"/>
      <w:marLeft w:val="0"/>
      <w:marRight w:val="0"/>
      <w:marTop w:val="0"/>
      <w:marBottom w:val="0"/>
      <w:divBdr>
        <w:top w:val="none" w:sz="0" w:space="0" w:color="auto"/>
        <w:left w:val="none" w:sz="0" w:space="0" w:color="auto"/>
        <w:bottom w:val="none" w:sz="0" w:space="0" w:color="auto"/>
        <w:right w:val="none" w:sz="0" w:space="0" w:color="auto"/>
      </w:divBdr>
    </w:div>
    <w:div w:id="91779497">
      <w:bodyDiv w:val="1"/>
      <w:marLeft w:val="0"/>
      <w:marRight w:val="0"/>
      <w:marTop w:val="0"/>
      <w:marBottom w:val="0"/>
      <w:divBdr>
        <w:top w:val="none" w:sz="0" w:space="0" w:color="auto"/>
        <w:left w:val="none" w:sz="0" w:space="0" w:color="auto"/>
        <w:bottom w:val="none" w:sz="0" w:space="0" w:color="auto"/>
        <w:right w:val="none" w:sz="0" w:space="0" w:color="auto"/>
      </w:divBdr>
    </w:div>
    <w:div w:id="97065158">
      <w:bodyDiv w:val="1"/>
      <w:marLeft w:val="0"/>
      <w:marRight w:val="0"/>
      <w:marTop w:val="0"/>
      <w:marBottom w:val="0"/>
      <w:divBdr>
        <w:top w:val="none" w:sz="0" w:space="0" w:color="auto"/>
        <w:left w:val="none" w:sz="0" w:space="0" w:color="auto"/>
        <w:bottom w:val="none" w:sz="0" w:space="0" w:color="auto"/>
        <w:right w:val="none" w:sz="0" w:space="0" w:color="auto"/>
      </w:divBdr>
    </w:div>
    <w:div w:id="112947055">
      <w:bodyDiv w:val="1"/>
      <w:marLeft w:val="0"/>
      <w:marRight w:val="0"/>
      <w:marTop w:val="0"/>
      <w:marBottom w:val="0"/>
      <w:divBdr>
        <w:top w:val="none" w:sz="0" w:space="0" w:color="auto"/>
        <w:left w:val="none" w:sz="0" w:space="0" w:color="auto"/>
        <w:bottom w:val="none" w:sz="0" w:space="0" w:color="auto"/>
        <w:right w:val="none" w:sz="0" w:space="0" w:color="auto"/>
      </w:divBdr>
    </w:div>
    <w:div w:id="124858921">
      <w:bodyDiv w:val="1"/>
      <w:marLeft w:val="0"/>
      <w:marRight w:val="0"/>
      <w:marTop w:val="0"/>
      <w:marBottom w:val="0"/>
      <w:divBdr>
        <w:top w:val="none" w:sz="0" w:space="0" w:color="auto"/>
        <w:left w:val="none" w:sz="0" w:space="0" w:color="auto"/>
        <w:bottom w:val="none" w:sz="0" w:space="0" w:color="auto"/>
        <w:right w:val="none" w:sz="0" w:space="0" w:color="auto"/>
      </w:divBdr>
    </w:div>
    <w:div w:id="306134066">
      <w:bodyDiv w:val="1"/>
      <w:marLeft w:val="0"/>
      <w:marRight w:val="0"/>
      <w:marTop w:val="0"/>
      <w:marBottom w:val="0"/>
      <w:divBdr>
        <w:top w:val="none" w:sz="0" w:space="0" w:color="auto"/>
        <w:left w:val="none" w:sz="0" w:space="0" w:color="auto"/>
        <w:bottom w:val="none" w:sz="0" w:space="0" w:color="auto"/>
        <w:right w:val="none" w:sz="0" w:space="0" w:color="auto"/>
      </w:divBdr>
    </w:div>
    <w:div w:id="323902876">
      <w:bodyDiv w:val="1"/>
      <w:marLeft w:val="0"/>
      <w:marRight w:val="0"/>
      <w:marTop w:val="0"/>
      <w:marBottom w:val="0"/>
      <w:divBdr>
        <w:top w:val="none" w:sz="0" w:space="0" w:color="auto"/>
        <w:left w:val="none" w:sz="0" w:space="0" w:color="auto"/>
        <w:bottom w:val="none" w:sz="0" w:space="0" w:color="auto"/>
        <w:right w:val="none" w:sz="0" w:space="0" w:color="auto"/>
      </w:divBdr>
    </w:div>
    <w:div w:id="401223734">
      <w:bodyDiv w:val="1"/>
      <w:marLeft w:val="0"/>
      <w:marRight w:val="0"/>
      <w:marTop w:val="0"/>
      <w:marBottom w:val="0"/>
      <w:divBdr>
        <w:top w:val="none" w:sz="0" w:space="0" w:color="auto"/>
        <w:left w:val="none" w:sz="0" w:space="0" w:color="auto"/>
        <w:bottom w:val="none" w:sz="0" w:space="0" w:color="auto"/>
        <w:right w:val="none" w:sz="0" w:space="0" w:color="auto"/>
      </w:divBdr>
    </w:div>
    <w:div w:id="401759393">
      <w:bodyDiv w:val="1"/>
      <w:marLeft w:val="0"/>
      <w:marRight w:val="0"/>
      <w:marTop w:val="0"/>
      <w:marBottom w:val="0"/>
      <w:divBdr>
        <w:top w:val="none" w:sz="0" w:space="0" w:color="auto"/>
        <w:left w:val="none" w:sz="0" w:space="0" w:color="auto"/>
        <w:bottom w:val="none" w:sz="0" w:space="0" w:color="auto"/>
        <w:right w:val="none" w:sz="0" w:space="0" w:color="auto"/>
      </w:divBdr>
      <w:divsChild>
        <w:div w:id="1307734323">
          <w:marLeft w:val="0"/>
          <w:marRight w:val="0"/>
          <w:marTop w:val="0"/>
          <w:marBottom w:val="295"/>
          <w:divBdr>
            <w:top w:val="none" w:sz="0" w:space="0" w:color="auto"/>
            <w:left w:val="none" w:sz="0" w:space="0" w:color="auto"/>
            <w:bottom w:val="none" w:sz="0" w:space="0" w:color="auto"/>
            <w:right w:val="none" w:sz="0" w:space="0" w:color="auto"/>
          </w:divBdr>
          <w:divsChild>
            <w:div w:id="962543832">
              <w:marLeft w:val="0"/>
              <w:marRight w:val="0"/>
              <w:marTop w:val="0"/>
              <w:marBottom w:val="0"/>
              <w:divBdr>
                <w:top w:val="none" w:sz="0" w:space="0" w:color="auto"/>
                <w:left w:val="none" w:sz="0" w:space="0" w:color="auto"/>
                <w:bottom w:val="none" w:sz="0" w:space="0" w:color="auto"/>
                <w:right w:val="none" w:sz="0" w:space="0" w:color="auto"/>
              </w:divBdr>
              <w:divsChild>
                <w:div w:id="2071534842">
                  <w:marLeft w:val="0"/>
                  <w:marRight w:val="0"/>
                  <w:marTop w:val="48"/>
                  <w:marBottom w:val="0"/>
                  <w:divBdr>
                    <w:top w:val="none" w:sz="0" w:space="0" w:color="auto"/>
                    <w:left w:val="none" w:sz="0" w:space="0" w:color="auto"/>
                    <w:bottom w:val="none" w:sz="0" w:space="0" w:color="auto"/>
                    <w:right w:val="none" w:sz="0" w:space="0" w:color="auto"/>
                  </w:divBdr>
                </w:div>
              </w:divsChild>
            </w:div>
            <w:div w:id="1906452775">
              <w:marLeft w:val="3249"/>
              <w:marRight w:val="0"/>
              <w:marTop w:val="0"/>
              <w:marBottom w:val="0"/>
              <w:divBdr>
                <w:top w:val="none" w:sz="0" w:space="0" w:color="auto"/>
                <w:left w:val="none" w:sz="0" w:space="0" w:color="auto"/>
                <w:bottom w:val="none" w:sz="0" w:space="0" w:color="auto"/>
                <w:right w:val="none" w:sz="0" w:space="0" w:color="auto"/>
              </w:divBdr>
              <w:divsChild>
                <w:div w:id="882984699">
                  <w:marLeft w:val="0"/>
                  <w:marRight w:val="0"/>
                  <w:marTop w:val="0"/>
                  <w:marBottom w:val="0"/>
                  <w:divBdr>
                    <w:top w:val="none" w:sz="0" w:space="0" w:color="auto"/>
                    <w:left w:val="none" w:sz="0" w:space="0" w:color="auto"/>
                    <w:bottom w:val="none" w:sz="0" w:space="0" w:color="auto"/>
                    <w:right w:val="none" w:sz="0" w:space="0" w:color="auto"/>
                  </w:divBdr>
                  <w:divsChild>
                    <w:div w:id="1319573864">
                      <w:marLeft w:val="0"/>
                      <w:marRight w:val="0"/>
                      <w:marTop w:val="0"/>
                      <w:marBottom w:val="0"/>
                      <w:divBdr>
                        <w:top w:val="none" w:sz="0" w:space="0" w:color="auto"/>
                        <w:left w:val="none" w:sz="0" w:space="0" w:color="auto"/>
                        <w:bottom w:val="none" w:sz="0" w:space="0" w:color="auto"/>
                        <w:right w:val="none" w:sz="0" w:space="0" w:color="auto"/>
                      </w:divBdr>
                      <w:divsChild>
                        <w:div w:id="1845511535">
                          <w:marLeft w:val="0"/>
                          <w:marRight w:val="0"/>
                          <w:marTop w:val="0"/>
                          <w:marBottom w:val="0"/>
                          <w:divBdr>
                            <w:top w:val="none" w:sz="0" w:space="0" w:color="auto"/>
                            <w:left w:val="none" w:sz="0" w:space="0" w:color="auto"/>
                            <w:bottom w:val="none" w:sz="0" w:space="0" w:color="auto"/>
                            <w:right w:val="none" w:sz="0" w:space="0" w:color="auto"/>
                          </w:divBdr>
                          <w:divsChild>
                            <w:div w:id="1194920370">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1519276832">
          <w:marLeft w:val="0"/>
          <w:marRight w:val="178"/>
          <w:marTop w:val="0"/>
          <w:marBottom w:val="0"/>
          <w:divBdr>
            <w:top w:val="none" w:sz="0" w:space="0" w:color="auto"/>
            <w:left w:val="none" w:sz="0" w:space="0" w:color="auto"/>
            <w:bottom w:val="none" w:sz="0" w:space="0" w:color="auto"/>
            <w:right w:val="none" w:sz="0" w:space="0" w:color="auto"/>
          </w:divBdr>
          <w:divsChild>
            <w:div w:id="597522689">
              <w:marLeft w:val="0"/>
              <w:marRight w:val="0"/>
              <w:marTop w:val="0"/>
              <w:marBottom w:val="0"/>
              <w:divBdr>
                <w:top w:val="none" w:sz="0" w:space="0" w:color="auto"/>
                <w:left w:val="none" w:sz="0" w:space="0" w:color="auto"/>
                <w:bottom w:val="none" w:sz="0" w:space="0" w:color="auto"/>
                <w:right w:val="none" w:sz="0" w:space="0" w:color="auto"/>
              </w:divBdr>
              <w:divsChild>
                <w:div w:id="1019741622">
                  <w:marLeft w:val="0"/>
                  <w:marRight w:val="0"/>
                  <w:marTop w:val="0"/>
                  <w:marBottom w:val="0"/>
                  <w:divBdr>
                    <w:top w:val="none" w:sz="0" w:space="0" w:color="auto"/>
                    <w:left w:val="none" w:sz="0" w:space="0" w:color="auto"/>
                    <w:bottom w:val="none" w:sz="0" w:space="0" w:color="auto"/>
                    <w:right w:val="none" w:sz="0" w:space="0" w:color="auto"/>
                  </w:divBdr>
                </w:div>
                <w:div w:id="604076179">
                  <w:marLeft w:val="0"/>
                  <w:marRight w:val="0"/>
                  <w:marTop w:val="0"/>
                  <w:marBottom w:val="0"/>
                  <w:divBdr>
                    <w:top w:val="none" w:sz="0" w:space="0" w:color="auto"/>
                    <w:left w:val="none" w:sz="0" w:space="0" w:color="auto"/>
                    <w:bottom w:val="none" w:sz="0" w:space="0" w:color="auto"/>
                    <w:right w:val="none" w:sz="0" w:space="0" w:color="auto"/>
                  </w:divBdr>
                </w:div>
                <w:div w:id="749548348">
                  <w:marLeft w:val="0"/>
                  <w:marRight w:val="0"/>
                  <w:marTop w:val="0"/>
                  <w:marBottom w:val="0"/>
                  <w:divBdr>
                    <w:top w:val="none" w:sz="0" w:space="0" w:color="auto"/>
                    <w:left w:val="none" w:sz="0" w:space="0" w:color="auto"/>
                    <w:bottom w:val="none" w:sz="0" w:space="0" w:color="auto"/>
                    <w:right w:val="none" w:sz="0" w:space="0" w:color="auto"/>
                  </w:divBdr>
                  <w:divsChild>
                    <w:div w:id="1260724344">
                      <w:marLeft w:val="0"/>
                      <w:marRight w:val="0"/>
                      <w:marTop w:val="120"/>
                      <w:marBottom w:val="360"/>
                      <w:divBdr>
                        <w:top w:val="none" w:sz="0" w:space="0" w:color="auto"/>
                        <w:left w:val="none" w:sz="0" w:space="0" w:color="auto"/>
                        <w:bottom w:val="none" w:sz="0" w:space="0" w:color="auto"/>
                        <w:right w:val="none" w:sz="0" w:space="0" w:color="auto"/>
                      </w:divBdr>
                      <w:divsChild>
                        <w:div w:id="1295982622">
                          <w:marLeft w:val="0"/>
                          <w:marRight w:val="0"/>
                          <w:marTop w:val="0"/>
                          <w:marBottom w:val="0"/>
                          <w:divBdr>
                            <w:top w:val="none" w:sz="0" w:space="0" w:color="auto"/>
                            <w:left w:val="none" w:sz="0" w:space="0" w:color="auto"/>
                            <w:bottom w:val="none" w:sz="0" w:space="0" w:color="auto"/>
                            <w:right w:val="none" w:sz="0" w:space="0" w:color="auto"/>
                          </w:divBdr>
                        </w:div>
                        <w:div w:id="571233066">
                          <w:marLeft w:val="0"/>
                          <w:marRight w:val="0"/>
                          <w:marTop w:val="0"/>
                          <w:marBottom w:val="0"/>
                          <w:divBdr>
                            <w:top w:val="none" w:sz="0" w:space="0" w:color="auto"/>
                            <w:left w:val="none" w:sz="0" w:space="0" w:color="auto"/>
                            <w:bottom w:val="none" w:sz="0" w:space="0" w:color="auto"/>
                            <w:right w:val="none" w:sz="0" w:space="0" w:color="auto"/>
                          </w:divBdr>
                        </w:div>
                        <w:div w:id="851648746">
                          <w:marLeft w:val="0"/>
                          <w:marRight w:val="0"/>
                          <w:marTop w:val="0"/>
                          <w:marBottom w:val="0"/>
                          <w:divBdr>
                            <w:top w:val="none" w:sz="0" w:space="0" w:color="auto"/>
                            <w:left w:val="none" w:sz="0" w:space="0" w:color="auto"/>
                            <w:bottom w:val="none" w:sz="0" w:space="0" w:color="auto"/>
                            <w:right w:val="none" w:sz="0" w:space="0" w:color="auto"/>
                          </w:divBdr>
                          <w:divsChild>
                            <w:div w:id="258298400">
                              <w:marLeft w:val="0"/>
                              <w:marRight w:val="0"/>
                              <w:marTop w:val="0"/>
                              <w:marBottom w:val="0"/>
                              <w:divBdr>
                                <w:top w:val="none" w:sz="0" w:space="0" w:color="auto"/>
                                <w:left w:val="none" w:sz="0" w:space="0" w:color="auto"/>
                                <w:bottom w:val="none" w:sz="0" w:space="0" w:color="auto"/>
                                <w:right w:val="none" w:sz="0" w:space="0" w:color="auto"/>
                              </w:divBdr>
                            </w:div>
                          </w:divsChild>
                        </w:div>
                        <w:div w:id="993145758">
                          <w:marLeft w:val="0"/>
                          <w:marRight w:val="0"/>
                          <w:marTop w:val="288"/>
                          <w:marBottom w:val="100"/>
                          <w:divBdr>
                            <w:top w:val="none" w:sz="0" w:space="0" w:color="auto"/>
                            <w:left w:val="none" w:sz="0" w:space="0" w:color="auto"/>
                            <w:bottom w:val="none" w:sz="0" w:space="0" w:color="auto"/>
                            <w:right w:val="none" w:sz="0" w:space="0" w:color="auto"/>
                          </w:divBdr>
                          <w:divsChild>
                            <w:div w:id="1102652230">
                              <w:marLeft w:val="0"/>
                              <w:marRight w:val="0"/>
                              <w:marTop w:val="0"/>
                              <w:marBottom w:val="0"/>
                              <w:divBdr>
                                <w:top w:val="none" w:sz="0" w:space="0" w:color="auto"/>
                                <w:left w:val="none" w:sz="0" w:space="0" w:color="auto"/>
                                <w:bottom w:val="none" w:sz="0" w:space="0" w:color="auto"/>
                                <w:right w:val="none" w:sz="0" w:space="0" w:color="auto"/>
                              </w:divBdr>
                            </w:div>
                          </w:divsChild>
                        </w:div>
                        <w:div w:id="877622148">
                          <w:marLeft w:val="0"/>
                          <w:marRight w:val="0"/>
                          <w:marTop w:val="288"/>
                          <w:marBottom w:val="100"/>
                          <w:divBdr>
                            <w:top w:val="none" w:sz="0" w:space="0" w:color="auto"/>
                            <w:left w:val="none" w:sz="0" w:space="0" w:color="auto"/>
                            <w:bottom w:val="none" w:sz="0" w:space="0" w:color="auto"/>
                            <w:right w:val="none" w:sz="0" w:space="0" w:color="auto"/>
                          </w:divBdr>
                          <w:divsChild>
                            <w:div w:id="10940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90989">
      <w:bodyDiv w:val="1"/>
      <w:marLeft w:val="0"/>
      <w:marRight w:val="0"/>
      <w:marTop w:val="0"/>
      <w:marBottom w:val="0"/>
      <w:divBdr>
        <w:top w:val="none" w:sz="0" w:space="0" w:color="auto"/>
        <w:left w:val="none" w:sz="0" w:space="0" w:color="auto"/>
        <w:bottom w:val="none" w:sz="0" w:space="0" w:color="auto"/>
        <w:right w:val="none" w:sz="0" w:space="0" w:color="auto"/>
      </w:divBdr>
    </w:div>
    <w:div w:id="417144268">
      <w:bodyDiv w:val="1"/>
      <w:marLeft w:val="0"/>
      <w:marRight w:val="0"/>
      <w:marTop w:val="0"/>
      <w:marBottom w:val="0"/>
      <w:divBdr>
        <w:top w:val="none" w:sz="0" w:space="0" w:color="auto"/>
        <w:left w:val="none" w:sz="0" w:space="0" w:color="auto"/>
        <w:bottom w:val="none" w:sz="0" w:space="0" w:color="auto"/>
        <w:right w:val="none" w:sz="0" w:space="0" w:color="auto"/>
      </w:divBdr>
    </w:div>
    <w:div w:id="418914014">
      <w:bodyDiv w:val="1"/>
      <w:marLeft w:val="0"/>
      <w:marRight w:val="0"/>
      <w:marTop w:val="0"/>
      <w:marBottom w:val="0"/>
      <w:divBdr>
        <w:top w:val="none" w:sz="0" w:space="0" w:color="auto"/>
        <w:left w:val="none" w:sz="0" w:space="0" w:color="auto"/>
        <w:bottom w:val="none" w:sz="0" w:space="0" w:color="auto"/>
        <w:right w:val="none" w:sz="0" w:space="0" w:color="auto"/>
      </w:divBdr>
    </w:div>
    <w:div w:id="421420146">
      <w:bodyDiv w:val="1"/>
      <w:marLeft w:val="0"/>
      <w:marRight w:val="0"/>
      <w:marTop w:val="0"/>
      <w:marBottom w:val="0"/>
      <w:divBdr>
        <w:top w:val="none" w:sz="0" w:space="0" w:color="auto"/>
        <w:left w:val="none" w:sz="0" w:space="0" w:color="auto"/>
        <w:bottom w:val="none" w:sz="0" w:space="0" w:color="auto"/>
        <w:right w:val="none" w:sz="0" w:space="0" w:color="auto"/>
      </w:divBdr>
    </w:div>
    <w:div w:id="536893393">
      <w:bodyDiv w:val="1"/>
      <w:marLeft w:val="0"/>
      <w:marRight w:val="0"/>
      <w:marTop w:val="0"/>
      <w:marBottom w:val="0"/>
      <w:divBdr>
        <w:top w:val="none" w:sz="0" w:space="0" w:color="auto"/>
        <w:left w:val="none" w:sz="0" w:space="0" w:color="auto"/>
        <w:bottom w:val="none" w:sz="0" w:space="0" w:color="auto"/>
        <w:right w:val="none" w:sz="0" w:space="0" w:color="auto"/>
      </w:divBdr>
    </w:div>
    <w:div w:id="555170062">
      <w:bodyDiv w:val="1"/>
      <w:marLeft w:val="0"/>
      <w:marRight w:val="0"/>
      <w:marTop w:val="0"/>
      <w:marBottom w:val="0"/>
      <w:divBdr>
        <w:top w:val="none" w:sz="0" w:space="0" w:color="auto"/>
        <w:left w:val="none" w:sz="0" w:space="0" w:color="auto"/>
        <w:bottom w:val="none" w:sz="0" w:space="0" w:color="auto"/>
        <w:right w:val="none" w:sz="0" w:space="0" w:color="auto"/>
      </w:divBdr>
    </w:div>
    <w:div w:id="572198321">
      <w:bodyDiv w:val="1"/>
      <w:marLeft w:val="0"/>
      <w:marRight w:val="0"/>
      <w:marTop w:val="0"/>
      <w:marBottom w:val="0"/>
      <w:divBdr>
        <w:top w:val="none" w:sz="0" w:space="0" w:color="auto"/>
        <w:left w:val="none" w:sz="0" w:space="0" w:color="auto"/>
        <w:bottom w:val="none" w:sz="0" w:space="0" w:color="auto"/>
        <w:right w:val="none" w:sz="0" w:space="0" w:color="auto"/>
      </w:divBdr>
    </w:div>
    <w:div w:id="587858258">
      <w:bodyDiv w:val="1"/>
      <w:marLeft w:val="0"/>
      <w:marRight w:val="0"/>
      <w:marTop w:val="0"/>
      <w:marBottom w:val="0"/>
      <w:divBdr>
        <w:top w:val="none" w:sz="0" w:space="0" w:color="auto"/>
        <w:left w:val="none" w:sz="0" w:space="0" w:color="auto"/>
        <w:bottom w:val="none" w:sz="0" w:space="0" w:color="auto"/>
        <w:right w:val="none" w:sz="0" w:space="0" w:color="auto"/>
      </w:divBdr>
    </w:div>
    <w:div w:id="666325097">
      <w:bodyDiv w:val="1"/>
      <w:marLeft w:val="0"/>
      <w:marRight w:val="0"/>
      <w:marTop w:val="0"/>
      <w:marBottom w:val="0"/>
      <w:divBdr>
        <w:top w:val="none" w:sz="0" w:space="0" w:color="auto"/>
        <w:left w:val="none" w:sz="0" w:space="0" w:color="auto"/>
        <w:bottom w:val="none" w:sz="0" w:space="0" w:color="auto"/>
        <w:right w:val="none" w:sz="0" w:space="0" w:color="auto"/>
      </w:divBdr>
    </w:div>
    <w:div w:id="728112836">
      <w:bodyDiv w:val="1"/>
      <w:marLeft w:val="0"/>
      <w:marRight w:val="0"/>
      <w:marTop w:val="0"/>
      <w:marBottom w:val="0"/>
      <w:divBdr>
        <w:top w:val="none" w:sz="0" w:space="0" w:color="auto"/>
        <w:left w:val="none" w:sz="0" w:space="0" w:color="auto"/>
        <w:bottom w:val="none" w:sz="0" w:space="0" w:color="auto"/>
        <w:right w:val="none" w:sz="0" w:space="0" w:color="auto"/>
      </w:divBdr>
    </w:div>
    <w:div w:id="738988334">
      <w:bodyDiv w:val="1"/>
      <w:marLeft w:val="0"/>
      <w:marRight w:val="0"/>
      <w:marTop w:val="0"/>
      <w:marBottom w:val="0"/>
      <w:divBdr>
        <w:top w:val="none" w:sz="0" w:space="0" w:color="auto"/>
        <w:left w:val="none" w:sz="0" w:space="0" w:color="auto"/>
        <w:bottom w:val="none" w:sz="0" w:space="0" w:color="auto"/>
        <w:right w:val="none" w:sz="0" w:space="0" w:color="auto"/>
      </w:divBdr>
    </w:div>
    <w:div w:id="794520024">
      <w:bodyDiv w:val="1"/>
      <w:marLeft w:val="0"/>
      <w:marRight w:val="0"/>
      <w:marTop w:val="0"/>
      <w:marBottom w:val="0"/>
      <w:divBdr>
        <w:top w:val="none" w:sz="0" w:space="0" w:color="auto"/>
        <w:left w:val="none" w:sz="0" w:space="0" w:color="auto"/>
        <w:bottom w:val="none" w:sz="0" w:space="0" w:color="auto"/>
        <w:right w:val="none" w:sz="0" w:space="0" w:color="auto"/>
      </w:divBdr>
    </w:div>
    <w:div w:id="832994054">
      <w:bodyDiv w:val="1"/>
      <w:marLeft w:val="0"/>
      <w:marRight w:val="0"/>
      <w:marTop w:val="0"/>
      <w:marBottom w:val="0"/>
      <w:divBdr>
        <w:top w:val="none" w:sz="0" w:space="0" w:color="auto"/>
        <w:left w:val="none" w:sz="0" w:space="0" w:color="auto"/>
        <w:bottom w:val="none" w:sz="0" w:space="0" w:color="auto"/>
        <w:right w:val="none" w:sz="0" w:space="0" w:color="auto"/>
      </w:divBdr>
    </w:div>
    <w:div w:id="891311663">
      <w:bodyDiv w:val="1"/>
      <w:marLeft w:val="0"/>
      <w:marRight w:val="0"/>
      <w:marTop w:val="0"/>
      <w:marBottom w:val="0"/>
      <w:divBdr>
        <w:top w:val="none" w:sz="0" w:space="0" w:color="auto"/>
        <w:left w:val="none" w:sz="0" w:space="0" w:color="auto"/>
        <w:bottom w:val="none" w:sz="0" w:space="0" w:color="auto"/>
        <w:right w:val="none" w:sz="0" w:space="0" w:color="auto"/>
      </w:divBdr>
    </w:div>
    <w:div w:id="910971022">
      <w:bodyDiv w:val="1"/>
      <w:marLeft w:val="0"/>
      <w:marRight w:val="0"/>
      <w:marTop w:val="0"/>
      <w:marBottom w:val="0"/>
      <w:divBdr>
        <w:top w:val="none" w:sz="0" w:space="0" w:color="auto"/>
        <w:left w:val="none" w:sz="0" w:space="0" w:color="auto"/>
        <w:bottom w:val="none" w:sz="0" w:space="0" w:color="auto"/>
        <w:right w:val="none" w:sz="0" w:space="0" w:color="auto"/>
      </w:divBdr>
    </w:div>
    <w:div w:id="971135236">
      <w:bodyDiv w:val="1"/>
      <w:marLeft w:val="0"/>
      <w:marRight w:val="0"/>
      <w:marTop w:val="0"/>
      <w:marBottom w:val="0"/>
      <w:divBdr>
        <w:top w:val="none" w:sz="0" w:space="0" w:color="auto"/>
        <w:left w:val="none" w:sz="0" w:space="0" w:color="auto"/>
        <w:bottom w:val="none" w:sz="0" w:space="0" w:color="auto"/>
        <w:right w:val="none" w:sz="0" w:space="0" w:color="auto"/>
      </w:divBdr>
    </w:div>
    <w:div w:id="1010256867">
      <w:bodyDiv w:val="1"/>
      <w:marLeft w:val="0"/>
      <w:marRight w:val="0"/>
      <w:marTop w:val="0"/>
      <w:marBottom w:val="0"/>
      <w:divBdr>
        <w:top w:val="none" w:sz="0" w:space="0" w:color="auto"/>
        <w:left w:val="none" w:sz="0" w:space="0" w:color="auto"/>
        <w:bottom w:val="none" w:sz="0" w:space="0" w:color="auto"/>
        <w:right w:val="none" w:sz="0" w:space="0" w:color="auto"/>
      </w:divBdr>
    </w:div>
    <w:div w:id="1057970172">
      <w:bodyDiv w:val="1"/>
      <w:marLeft w:val="0"/>
      <w:marRight w:val="0"/>
      <w:marTop w:val="0"/>
      <w:marBottom w:val="0"/>
      <w:divBdr>
        <w:top w:val="none" w:sz="0" w:space="0" w:color="auto"/>
        <w:left w:val="none" w:sz="0" w:space="0" w:color="auto"/>
        <w:bottom w:val="none" w:sz="0" w:space="0" w:color="auto"/>
        <w:right w:val="none" w:sz="0" w:space="0" w:color="auto"/>
      </w:divBdr>
    </w:div>
    <w:div w:id="1126777395">
      <w:bodyDiv w:val="1"/>
      <w:marLeft w:val="0"/>
      <w:marRight w:val="0"/>
      <w:marTop w:val="0"/>
      <w:marBottom w:val="0"/>
      <w:divBdr>
        <w:top w:val="none" w:sz="0" w:space="0" w:color="auto"/>
        <w:left w:val="none" w:sz="0" w:space="0" w:color="auto"/>
        <w:bottom w:val="none" w:sz="0" w:space="0" w:color="auto"/>
        <w:right w:val="none" w:sz="0" w:space="0" w:color="auto"/>
      </w:divBdr>
    </w:div>
    <w:div w:id="1127898296">
      <w:bodyDiv w:val="1"/>
      <w:marLeft w:val="0"/>
      <w:marRight w:val="0"/>
      <w:marTop w:val="0"/>
      <w:marBottom w:val="0"/>
      <w:divBdr>
        <w:top w:val="none" w:sz="0" w:space="0" w:color="auto"/>
        <w:left w:val="none" w:sz="0" w:space="0" w:color="auto"/>
        <w:bottom w:val="none" w:sz="0" w:space="0" w:color="auto"/>
        <w:right w:val="none" w:sz="0" w:space="0" w:color="auto"/>
      </w:divBdr>
    </w:div>
    <w:div w:id="1148592957">
      <w:bodyDiv w:val="1"/>
      <w:marLeft w:val="0"/>
      <w:marRight w:val="0"/>
      <w:marTop w:val="0"/>
      <w:marBottom w:val="0"/>
      <w:divBdr>
        <w:top w:val="none" w:sz="0" w:space="0" w:color="auto"/>
        <w:left w:val="none" w:sz="0" w:space="0" w:color="auto"/>
        <w:bottom w:val="none" w:sz="0" w:space="0" w:color="auto"/>
        <w:right w:val="none" w:sz="0" w:space="0" w:color="auto"/>
      </w:divBdr>
    </w:div>
    <w:div w:id="1302618755">
      <w:bodyDiv w:val="1"/>
      <w:marLeft w:val="0"/>
      <w:marRight w:val="0"/>
      <w:marTop w:val="0"/>
      <w:marBottom w:val="0"/>
      <w:divBdr>
        <w:top w:val="none" w:sz="0" w:space="0" w:color="auto"/>
        <w:left w:val="none" w:sz="0" w:space="0" w:color="auto"/>
        <w:bottom w:val="none" w:sz="0" w:space="0" w:color="auto"/>
        <w:right w:val="none" w:sz="0" w:space="0" w:color="auto"/>
      </w:divBdr>
    </w:div>
    <w:div w:id="1308708783">
      <w:bodyDiv w:val="1"/>
      <w:marLeft w:val="0"/>
      <w:marRight w:val="0"/>
      <w:marTop w:val="0"/>
      <w:marBottom w:val="0"/>
      <w:divBdr>
        <w:top w:val="none" w:sz="0" w:space="0" w:color="auto"/>
        <w:left w:val="none" w:sz="0" w:space="0" w:color="auto"/>
        <w:bottom w:val="none" w:sz="0" w:space="0" w:color="auto"/>
        <w:right w:val="none" w:sz="0" w:space="0" w:color="auto"/>
      </w:divBdr>
    </w:div>
    <w:div w:id="1367674698">
      <w:bodyDiv w:val="1"/>
      <w:marLeft w:val="0"/>
      <w:marRight w:val="0"/>
      <w:marTop w:val="0"/>
      <w:marBottom w:val="0"/>
      <w:divBdr>
        <w:top w:val="none" w:sz="0" w:space="0" w:color="auto"/>
        <w:left w:val="none" w:sz="0" w:space="0" w:color="auto"/>
        <w:bottom w:val="none" w:sz="0" w:space="0" w:color="auto"/>
        <w:right w:val="none" w:sz="0" w:space="0" w:color="auto"/>
      </w:divBdr>
    </w:div>
    <w:div w:id="1405299209">
      <w:bodyDiv w:val="1"/>
      <w:marLeft w:val="0"/>
      <w:marRight w:val="0"/>
      <w:marTop w:val="0"/>
      <w:marBottom w:val="0"/>
      <w:divBdr>
        <w:top w:val="none" w:sz="0" w:space="0" w:color="auto"/>
        <w:left w:val="none" w:sz="0" w:space="0" w:color="auto"/>
        <w:bottom w:val="none" w:sz="0" w:space="0" w:color="auto"/>
        <w:right w:val="none" w:sz="0" w:space="0" w:color="auto"/>
      </w:divBdr>
    </w:div>
    <w:div w:id="1461846885">
      <w:bodyDiv w:val="1"/>
      <w:marLeft w:val="0"/>
      <w:marRight w:val="0"/>
      <w:marTop w:val="0"/>
      <w:marBottom w:val="0"/>
      <w:divBdr>
        <w:top w:val="none" w:sz="0" w:space="0" w:color="auto"/>
        <w:left w:val="none" w:sz="0" w:space="0" w:color="auto"/>
        <w:bottom w:val="none" w:sz="0" w:space="0" w:color="auto"/>
        <w:right w:val="none" w:sz="0" w:space="0" w:color="auto"/>
      </w:divBdr>
    </w:div>
    <w:div w:id="1527208189">
      <w:bodyDiv w:val="1"/>
      <w:marLeft w:val="0"/>
      <w:marRight w:val="0"/>
      <w:marTop w:val="0"/>
      <w:marBottom w:val="0"/>
      <w:divBdr>
        <w:top w:val="none" w:sz="0" w:space="0" w:color="auto"/>
        <w:left w:val="none" w:sz="0" w:space="0" w:color="auto"/>
        <w:bottom w:val="none" w:sz="0" w:space="0" w:color="auto"/>
        <w:right w:val="none" w:sz="0" w:space="0" w:color="auto"/>
      </w:divBdr>
    </w:div>
    <w:div w:id="1547763767">
      <w:bodyDiv w:val="1"/>
      <w:marLeft w:val="0"/>
      <w:marRight w:val="0"/>
      <w:marTop w:val="0"/>
      <w:marBottom w:val="0"/>
      <w:divBdr>
        <w:top w:val="none" w:sz="0" w:space="0" w:color="auto"/>
        <w:left w:val="none" w:sz="0" w:space="0" w:color="auto"/>
        <w:bottom w:val="none" w:sz="0" w:space="0" w:color="auto"/>
        <w:right w:val="none" w:sz="0" w:space="0" w:color="auto"/>
      </w:divBdr>
    </w:div>
    <w:div w:id="1577546152">
      <w:bodyDiv w:val="1"/>
      <w:marLeft w:val="0"/>
      <w:marRight w:val="0"/>
      <w:marTop w:val="0"/>
      <w:marBottom w:val="0"/>
      <w:divBdr>
        <w:top w:val="none" w:sz="0" w:space="0" w:color="auto"/>
        <w:left w:val="none" w:sz="0" w:space="0" w:color="auto"/>
        <w:bottom w:val="none" w:sz="0" w:space="0" w:color="auto"/>
        <w:right w:val="none" w:sz="0" w:space="0" w:color="auto"/>
      </w:divBdr>
    </w:div>
    <w:div w:id="1647314316">
      <w:bodyDiv w:val="1"/>
      <w:marLeft w:val="0"/>
      <w:marRight w:val="0"/>
      <w:marTop w:val="0"/>
      <w:marBottom w:val="0"/>
      <w:divBdr>
        <w:top w:val="none" w:sz="0" w:space="0" w:color="auto"/>
        <w:left w:val="none" w:sz="0" w:space="0" w:color="auto"/>
        <w:bottom w:val="none" w:sz="0" w:space="0" w:color="auto"/>
        <w:right w:val="none" w:sz="0" w:space="0" w:color="auto"/>
      </w:divBdr>
    </w:div>
    <w:div w:id="1654024911">
      <w:bodyDiv w:val="1"/>
      <w:marLeft w:val="0"/>
      <w:marRight w:val="0"/>
      <w:marTop w:val="0"/>
      <w:marBottom w:val="0"/>
      <w:divBdr>
        <w:top w:val="none" w:sz="0" w:space="0" w:color="auto"/>
        <w:left w:val="none" w:sz="0" w:space="0" w:color="auto"/>
        <w:bottom w:val="none" w:sz="0" w:space="0" w:color="auto"/>
        <w:right w:val="none" w:sz="0" w:space="0" w:color="auto"/>
      </w:divBdr>
    </w:div>
    <w:div w:id="1663460507">
      <w:bodyDiv w:val="1"/>
      <w:marLeft w:val="0"/>
      <w:marRight w:val="0"/>
      <w:marTop w:val="0"/>
      <w:marBottom w:val="0"/>
      <w:divBdr>
        <w:top w:val="none" w:sz="0" w:space="0" w:color="auto"/>
        <w:left w:val="none" w:sz="0" w:space="0" w:color="auto"/>
        <w:bottom w:val="none" w:sz="0" w:space="0" w:color="auto"/>
        <w:right w:val="none" w:sz="0" w:space="0" w:color="auto"/>
      </w:divBdr>
    </w:div>
    <w:div w:id="1687172370">
      <w:bodyDiv w:val="1"/>
      <w:marLeft w:val="0"/>
      <w:marRight w:val="0"/>
      <w:marTop w:val="0"/>
      <w:marBottom w:val="0"/>
      <w:divBdr>
        <w:top w:val="none" w:sz="0" w:space="0" w:color="auto"/>
        <w:left w:val="none" w:sz="0" w:space="0" w:color="auto"/>
        <w:bottom w:val="none" w:sz="0" w:space="0" w:color="auto"/>
        <w:right w:val="none" w:sz="0" w:space="0" w:color="auto"/>
      </w:divBdr>
    </w:div>
    <w:div w:id="1730954370">
      <w:bodyDiv w:val="1"/>
      <w:marLeft w:val="0"/>
      <w:marRight w:val="0"/>
      <w:marTop w:val="0"/>
      <w:marBottom w:val="0"/>
      <w:divBdr>
        <w:top w:val="none" w:sz="0" w:space="0" w:color="auto"/>
        <w:left w:val="none" w:sz="0" w:space="0" w:color="auto"/>
        <w:bottom w:val="none" w:sz="0" w:space="0" w:color="auto"/>
        <w:right w:val="none" w:sz="0" w:space="0" w:color="auto"/>
      </w:divBdr>
    </w:div>
    <w:div w:id="1757510013">
      <w:bodyDiv w:val="1"/>
      <w:marLeft w:val="0"/>
      <w:marRight w:val="0"/>
      <w:marTop w:val="0"/>
      <w:marBottom w:val="0"/>
      <w:divBdr>
        <w:top w:val="none" w:sz="0" w:space="0" w:color="auto"/>
        <w:left w:val="none" w:sz="0" w:space="0" w:color="auto"/>
        <w:bottom w:val="none" w:sz="0" w:space="0" w:color="auto"/>
        <w:right w:val="none" w:sz="0" w:space="0" w:color="auto"/>
      </w:divBdr>
    </w:div>
    <w:div w:id="1782383160">
      <w:bodyDiv w:val="1"/>
      <w:marLeft w:val="0"/>
      <w:marRight w:val="0"/>
      <w:marTop w:val="0"/>
      <w:marBottom w:val="0"/>
      <w:divBdr>
        <w:top w:val="none" w:sz="0" w:space="0" w:color="auto"/>
        <w:left w:val="none" w:sz="0" w:space="0" w:color="auto"/>
        <w:bottom w:val="none" w:sz="0" w:space="0" w:color="auto"/>
        <w:right w:val="none" w:sz="0" w:space="0" w:color="auto"/>
      </w:divBdr>
    </w:div>
    <w:div w:id="1865089783">
      <w:bodyDiv w:val="1"/>
      <w:marLeft w:val="0"/>
      <w:marRight w:val="0"/>
      <w:marTop w:val="0"/>
      <w:marBottom w:val="0"/>
      <w:divBdr>
        <w:top w:val="none" w:sz="0" w:space="0" w:color="auto"/>
        <w:left w:val="none" w:sz="0" w:space="0" w:color="auto"/>
        <w:bottom w:val="none" w:sz="0" w:space="0" w:color="auto"/>
        <w:right w:val="none" w:sz="0" w:space="0" w:color="auto"/>
      </w:divBdr>
    </w:div>
    <w:div w:id="1872037159">
      <w:bodyDiv w:val="1"/>
      <w:marLeft w:val="0"/>
      <w:marRight w:val="0"/>
      <w:marTop w:val="0"/>
      <w:marBottom w:val="0"/>
      <w:divBdr>
        <w:top w:val="none" w:sz="0" w:space="0" w:color="auto"/>
        <w:left w:val="none" w:sz="0" w:space="0" w:color="auto"/>
        <w:bottom w:val="none" w:sz="0" w:space="0" w:color="auto"/>
        <w:right w:val="none" w:sz="0" w:space="0" w:color="auto"/>
      </w:divBdr>
    </w:div>
    <w:div w:id="1912278374">
      <w:bodyDiv w:val="1"/>
      <w:marLeft w:val="0"/>
      <w:marRight w:val="0"/>
      <w:marTop w:val="0"/>
      <w:marBottom w:val="0"/>
      <w:divBdr>
        <w:top w:val="none" w:sz="0" w:space="0" w:color="auto"/>
        <w:left w:val="none" w:sz="0" w:space="0" w:color="auto"/>
        <w:bottom w:val="none" w:sz="0" w:space="0" w:color="auto"/>
        <w:right w:val="none" w:sz="0" w:space="0" w:color="auto"/>
      </w:divBdr>
    </w:div>
    <w:div w:id="1932425207">
      <w:bodyDiv w:val="1"/>
      <w:marLeft w:val="0"/>
      <w:marRight w:val="0"/>
      <w:marTop w:val="0"/>
      <w:marBottom w:val="0"/>
      <w:divBdr>
        <w:top w:val="none" w:sz="0" w:space="0" w:color="auto"/>
        <w:left w:val="none" w:sz="0" w:space="0" w:color="auto"/>
        <w:bottom w:val="none" w:sz="0" w:space="0" w:color="auto"/>
        <w:right w:val="none" w:sz="0" w:space="0" w:color="auto"/>
      </w:divBdr>
    </w:div>
    <w:div w:id="1976793934">
      <w:bodyDiv w:val="1"/>
      <w:marLeft w:val="0"/>
      <w:marRight w:val="0"/>
      <w:marTop w:val="0"/>
      <w:marBottom w:val="0"/>
      <w:divBdr>
        <w:top w:val="none" w:sz="0" w:space="0" w:color="auto"/>
        <w:left w:val="none" w:sz="0" w:space="0" w:color="auto"/>
        <w:bottom w:val="none" w:sz="0" w:space="0" w:color="auto"/>
        <w:right w:val="none" w:sz="0" w:space="0" w:color="auto"/>
      </w:divBdr>
    </w:div>
    <w:div w:id="1995143059">
      <w:bodyDiv w:val="1"/>
      <w:marLeft w:val="0"/>
      <w:marRight w:val="0"/>
      <w:marTop w:val="0"/>
      <w:marBottom w:val="0"/>
      <w:divBdr>
        <w:top w:val="none" w:sz="0" w:space="0" w:color="auto"/>
        <w:left w:val="none" w:sz="0" w:space="0" w:color="auto"/>
        <w:bottom w:val="none" w:sz="0" w:space="0" w:color="auto"/>
        <w:right w:val="none" w:sz="0" w:space="0" w:color="auto"/>
      </w:divBdr>
    </w:div>
    <w:div w:id="2038852303">
      <w:bodyDiv w:val="1"/>
      <w:marLeft w:val="0"/>
      <w:marRight w:val="0"/>
      <w:marTop w:val="0"/>
      <w:marBottom w:val="0"/>
      <w:divBdr>
        <w:top w:val="none" w:sz="0" w:space="0" w:color="auto"/>
        <w:left w:val="none" w:sz="0" w:space="0" w:color="auto"/>
        <w:bottom w:val="none" w:sz="0" w:space="0" w:color="auto"/>
        <w:right w:val="none" w:sz="0" w:space="0" w:color="auto"/>
      </w:divBdr>
    </w:div>
    <w:div w:id="2069188215">
      <w:bodyDiv w:val="1"/>
      <w:marLeft w:val="0"/>
      <w:marRight w:val="0"/>
      <w:marTop w:val="0"/>
      <w:marBottom w:val="0"/>
      <w:divBdr>
        <w:top w:val="none" w:sz="0" w:space="0" w:color="auto"/>
        <w:left w:val="none" w:sz="0" w:space="0" w:color="auto"/>
        <w:bottom w:val="none" w:sz="0" w:space="0" w:color="auto"/>
        <w:right w:val="none" w:sz="0" w:space="0" w:color="auto"/>
      </w:divBdr>
    </w:div>
    <w:div w:id="2074885358">
      <w:bodyDiv w:val="1"/>
      <w:marLeft w:val="0"/>
      <w:marRight w:val="0"/>
      <w:marTop w:val="0"/>
      <w:marBottom w:val="0"/>
      <w:divBdr>
        <w:top w:val="none" w:sz="0" w:space="0" w:color="auto"/>
        <w:left w:val="none" w:sz="0" w:space="0" w:color="auto"/>
        <w:bottom w:val="none" w:sz="0" w:space="0" w:color="auto"/>
        <w:right w:val="none" w:sz="0" w:space="0" w:color="auto"/>
      </w:divBdr>
    </w:div>
    <w:div w:id="2079592103">
      <w:bodyDiv w:val="1"/>
      <w:marLeft w:val="0"/>
      <w:marRight w:val="0"/>
      <w:marTop w:val="0"/>
      <w:marBottom w:val="0"/>
      <w:divBdr>
        <w:top w:val="none" w:sz="0" w:space="0" w:color="auto"/>
        <w:left w:val="none" w:sz="0" w:space="0" w:color="auto"/>
        <w:bottom w:val="none" w:sz="0" w:space="0" w:color="auto"/>
        <w:right w:val="none" w:sz="0" w:space="0" w:color="auto"/>
      </w:divBdr>
    </w:div>
    <w:div w:id="2110196230">
      <w:bodyDiv w:val="1"/>
      <w:marLeft w:val="0"/>
      <w:marRight w:val="0"/>
      <w:marTop w:val="0"/>
      <w:marBottom w:val="0"/>
      <w:divBdr>
        <w:top w:val="none" w:sz="0" w:space="0" w:color="auto"/>
        <w:left w:val="none" w:sz="0" w:space="0" w:color="auto"/>
        <w:bottom w:val="none" w:sz="0" w:space="0" w:color="auto"/>
        <w:right w:val="none" w:sz="0" w:space="0" w:color="auto"/>
      </w:divBdr>
    </w:div>
    <w:div w:id="2113013205">
      <w:bodyDiv w:val="1"/>
      <w:marLeft w:val="0"/>
      <w:marRight w:val="0"/>
      <w:marTop w:val="0"/>
      <w:marBottom w:val="0"/>
      <w:divBdr>
        <w:top w:val="none" w:sz="0" w:space="0" w:color="auto"/>
        <w:left w:val="none" w:sz="0" w:space="0" w:color="auto"/>
        <w:bottom w:val="none" w:sz="0" w:space="0" w:color="auto"/>
        <w:right w:val="none" w:sz="0" w:space="0" w:color="auto"/>
      </w:divBdr>
    </w:div>
    <w:div w:id="21148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G:\Tesi\Info%20v&#224;ria\Linies%20cel&#183;lular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Tesi\Info%20v&#224;ria\Linies%20cel&#183;lular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Garamond" panose="02020404030301010803" pitchFamily="18" charset="0"/>
              </a:defRPr>
            </a:pPr>
            <a:r>
              <a:rPr lang="en-US" sz="1000">
                <a:latin typeface="Garamond" panose="02020404030301010803" pitchFamily="18" charset="0"/>
              </a:rPr>
              <a:t>Adhesion and invasion </a:t>
            </a:r>
          </a:p>
        </c:rich>
      </c:tx>
      <c:layout>
        <c:manualLayout>
          <c:xMode val="edge"/>
          <c:yMode val="edge"/>
          <c:x val="0.150566719160105"/>
          <c:y val="0.87754152007594788"/>
        </c:manualLayout>
      </c:layout>
      <c:overlay val="0"/>
    </c:title>
    <c:autoTitleDeleted val="0"/>
    <c:plotArea>
      <c:layout>
        <c:manualLayout>
          <c:layoutTarget val="inner"/>
          <c:xMode val="edge"/>
          <c:yMode val="edge"/>
          <c:x val="0.14499266906976757"/>
          <c:y val="0.14546442756602326"/>
          <c:w val="0.6946451230706765"/>
          <c:h val="0.71103771320620324"/>
        </c:manualLayout>
      </c:layout>
      <c:pieChart>
        <c:varyColors val="1"/>
        <c:ser>
          <c:idx val="0"/>
          <c:order val="0"/>
          <c:tx>
            <c:v>Cell lines</c:v>
          </c:tx>
          <c:dPt>
            <c:idx val="0"/>
            <c:bubble3D val="0"/>
            <c:spPr>
              <a:solidFill>
                <a:schemeClr val="bg2">
                  <a:lumMod val="50000"/>
                </a:schemeClr>
              </a:solidFill>
            </c:spPr>
            <c:extLst>
              <c:ext xmlns:c16="http://schemas.microsoft.com/office/drawing/2014/chart" uri="{C3380CC4-5D6E-409C-BE32-E72D297353CC}">
                <c16:uniqueId val="{00000001-48A5-4D18-81BD-A8EC6FCEE947}"/>
              </c:ext>
            </c:extLst>
          </c:dPt>
          <c:dPt>
            <c:idx val="1"/>
            <c:bubble3D val="0"/>
            <c:spPr>
              <a:solidFill>
                <a:schemeClr val="bg2">
                  <a:lumMod val="75000"/>
                </a:schemeClr>
              </a:solidFill>
            </c:spPr>
            <c:extLst>
              <c:ext xmlns:c16="http://schemas.microsoft.com/office/drawing/2014/chart" uri="{C3380CC4-5D6E-409C-BE32-E72D297353CC}">
                <c16:uniqueId val="{00000003-48A5-4D18-81BD-A8EC6FCEE947}"/>
              </c:ext>
            </c:extLst>
          </c:dPt>
          <c:dPt>
            <c:idx val="2"/>
            <c:bubble3D val="0"/>
            <c:spPr>
              <a:solidFill>
                <a:schemeClr val="bg2">
                  <a:lumMod val="90000"/>
                </a:schemeClr>
              </a:solidFill>
            </c:spPr>
            <c:extLst>
              <c:ext xmlns:c16="http://schemas.microsoft.com/office/drawing/2014/chart" uri="{C3380CC4-5D6E-409C-BE32-E72D297353CC}">
                <c16:uniqueId val="{00000005-48A5-4D18-81BD-A8EC6FCEE947}"/>
              </c:ext>
            </c:extLst>
          </c:dPt>
          <c:dPt>
            <c:idx val="3"/>
            <c:bubble3D val="0"/>
            <c:spPr>
              <a:solidFill>
                <a:schemeClr val="bg1">
                  <a:lumMod val="50000"/>
                </a:schemeClr>
              </a:solidFill>
            </c:spPr>
            <c:extLst>
              <c:ext xmlns:c16="http://schemas.microsoft.com/office/drawing/2014/chart" uri="{C3380CC4-5D6E-409C-BE32-E72D297353CC}">
                <c16:uniqueId val="{00000007-48A5-4D18-81BD-A8EC6FCEE947}"/>
              </c:ext>
            </c:extLst>
          </c:dPt>
          <c:dPt>
            <c:idx val="4"/>
            <c:bubble3D val="0"/>
            <c:spPr>
              <a:solidFill>
                <a:schemeClr val="bg1">
                  <a:lumMod val="65000"/>
                </a:schemeClr>
              </a:solidFill>
            </c:spPr>
            <c:extLst>
              <c:ext xmlns:c16="http://schemas.microsoft.com/office/drawing/2014/chart" uri="{C3380CC4-5D6E-409C-BE32-E72D297353CC}">
                <c16:uniqueId val="{00000009-48A5-4D18-81BD-A8EC6FCEE947}"/>
              </c:ext>
            </c:extLst>
          </c:dPt>
          <c:dPt>
            <c:idx val="5"/>
            <c:bubble3D val="0"/>
            <c:spPr>
              <a:solidFill>
                <a:schemeClr val="bg1">
                  <a:lumMod val="85000"/>
                </a:schemeClr>
              </a:solidFill>
            </c:spPr>
            <c:extLst>
              <c:ext xmlns:c16="http://schemas.microsoft.com/office/drawing/2014/chart" uri="{C3380CC4-5D6E-409C-BE32-E72D297353CC}">
                <c16:uniqueId val="{0000000B-48A5-4D18-81BD-A8EC6FCEE947}"/>
              </c:ext>
            </c:extLst>
          </c:dPt>
          <c:dPt>
            <c:idx val="6"/>
            <c:bubble3D val="0"/>
            <c:spPr>
              <a:solidFill>
                <a:schemeClr val="tx1">
                  <a:lumMod val="75000"/>
                  <a:lumOff val="25000"/>
                </a:schemeClr>
              </a:solidFill>
            </c:spPr>
            <c:extLst>
              <c:ext xmlns:c16="http://schemas.microsoft.com/office/drawing/2014/chart" uri="{C3380CC4-5D6E-409C-BE32-E72D297353CC}">
                <c16:uniqueId val="{0000000D-48A5-4D18-81BD-A8EC6FCEE947}"/>
              </c:ext>
            </c:extLst>
          </c:dPt>
          <c:dLbls>
            <c:dLbl>
              <c:idx val="6"/>
              <c:tx>
                <c:rich>
                  <a:bodyPr/>
                  <a:lstStyle/>
                  <a:p>
                    <a:r>
                      <a:rPr lang="en-US" sz="1000"/>
                      <a:t>Hek293
2%</a:t>
                    </a:r>
                    <a:endParaRPr lang="en-US"/>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8A5-4D18-81BD-A8EC6FCEE947}"/>
                </c:ext>
              </c:extLst>
            </c:dLbl>
            <c:spPr>
              <a:noFill/>
              <a:ln>
                <a:noFill/>
              </a:ln>
              <a:effectLst/>
            </c:spPr>
            <c:txPr>
              <a:bodyPr/>
              <a:lstStyle/>
              <a:p>
                <a:pPr>
                  <a:defRPr sz="1000">
                    <a:latin typeface="Garamond" panose="02020404030301010803" pitchFamily="18" charset="0"/>
                  </a:defRPr>
                </a:pPr>
                <a:endParaRPr lang="zh-CN"/>
              </a:p>
            </c:txPr>
            <c:showLegendKey val="0"/>
            <c:showVal val="0"/>
            <c:showCatName val="1"/>
            <c:showSerName val="0"/>
            <c:showPercent val="1"/>
            <c:showBubbleSize val="0"/>
            <c:showLeaderLines val="1"/>
            <c:extLst>
              <c:ext xmlns:c15="http://schemas.microsoft.com/office/drawing/2012/chart" uri="{CE6537A1-D6FC-4f65-9D91-7224C49458BB}"/>
            </c:extLst>
          </c:dLbls>
          <c:cat>
            <c:strRef>
              <c:f>Hoja1!$F$1:$L$1</c:f>
              <c:strCache>
                <c:ptCount val="7"/>
                <c:pt idx="0">
                  <c:v>I407</c:v>
                </c:pt>
                <c:pt idx="1">
                  <c:v>Caco2</c:v>
                </c:pt>
                <c:pt idx="2">
                  <c:v>Hep2</c:v>
                </c:pt>
                <c:pt idx="3">
                  <c:v>T84</c:v>
                </c:pt>
                <c:pt idx="4">
                  <c:v>HCT-8</c:v>
                </c:pt>
                <c:pt idx="5">
                  <c:v>HT-29a</c:v>
                </c:pt>
                <c:pt idx="6">
                  <c:v>Hek293</c:v>
                </c:pt>
              </c:strCache>
            </c:strRef>
          </c:cat>
          <c:val>
            <c:numRef>
              <c:f>Hoja1!$F$32:$L$32</c:f>
              <c:numCache>
                <c:formatCode>General</c:formatCode>
                <c:ptCount val="7"/>
                <c:pt idx="0">
                  <c:v>11</c:v>
                </c:pt>
                <c:pt idx="1">
                  <c:v>18</c:v>
                </c:pt>
                <c:pt idx="2">
                  <c:v>7</c:v>
                </c:pt>
                <c:pt idx="3">
                  <c:v>9</c:v>
                </c:pt>
                <c:pt idx="4">
                  <c:v>2</c:v>
                </c:pt>
                <c:pt idx="5">
                  <c:v>2</c:v>
                </c:pt>
                <c:pt idx="6">
                  <c:v>1</c:v>
                </c:pt>
              </c:numCache>
            </c:numRef>
          </c:val>
          <c:extLst>
            <c:ext xmlns:c16="http://schemas.microsoft.com/office/drawing/2014/chart" uri="{C3380CC4-5D6E-409C-BE32-E72D297353CC}">
              <c16:uniqueId val="{0000000E-48A5-4D18-81BD-A8EC6FCEE947}"/>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Garamond" panose="02020404030301010803" pitchFamily="18" charset="0"/>
              </a:defRPr>
            </a:pPr>
            <a:r>
              <a:rPr lang="en-US" sz="1000">
                <a:latin typeface="Garamond" panose="02020404030301010803" pitchFamily="18" charset="0"/>
              </a:rPr>
              <a:t>Intramacrophage replication</a:t>
            </a:r>
          </a:p>
        </c:rich>
      </c:tx>
      <c:layout>
        <c:manualLayout>
          <c:xMode val="edge"/>
          <c:yMode val="edge"/>
          <c:x val="0.21684773099014798"/>
          <c:y val="0.8717949369232072"/>
        </c:manualLayout>
      </c:layout>
      <c:overlay val="0"/>
    </c:title>
    <c:autoTitleDeleted val="0"/>
    <c:plotArea>
      <c:layout>
        <c:manualLayout>
          <c:layoutTarget val="inner"/>
          <c:xMode val="edge"/>
          <c:yMode val="edge"/>
          <c:x val="0.24973448971052531"/>
          <c:y val="0.13406824146981627"/>
          <c:w val="0.6946451230706765"/>
          <c:h val="0.71103771320620324"/>
        </c:manualLayout>
      </c:layout>
      <c:pieChart>
        <c:varyColors val="1"/>
        <c:ser>
          <c:idx val="0"/>
          <c:order val="0"/>
          <c:tx>
            <c:v>Cell lines</c:v>
          </c:tx>
          <c:dPt>
            <c:idx val="0"/>
            <c:bubble3D val="0"/>
            <c:spPr>
              <a:solidFill>
                <a:schemeClr val="bg2">
                  <a:lumMod val="50000"/>
                </a:schemeClr>
              </a:solidFill>
            </c:spPr>
            <c:extLst>
              <c:ext xmlns:c16="http://schemas.microsoft.com/office/drawing/2014/chart" uri="{C3380CC4-5D6E-409C-BE32-E72D297353CC}">
                <c16:uniqueId val="{00000001-D6FE-47F6-83EA-F91CD8AFA558}"/>
              </c:ext>
            </c:extLst>
          </c:dPt>
          <c:dPt>
            <c:idx val="1"/>
            <c:bubble3D val="0"/>
            <c:spPr>
              <a:solidFill>
                <a:schemeClr val="bg2">
                  <a:lumMod val="75000"/>
                </a:schemeClr>
              </a:solidFill>
            </c:spPr>
            <c:extLst>
              <c:ext xmlns:c16="http://schemas.microsoft.com/office/drawing/2014/chart" uri="{C3380CC4-5D6E-409C-BE32-E72D297353CC}">
                <c16:uniqueId val="{00000003-D6FE-47F6-83EA-F91CD8AFA558}"/>
              </c:ext>
            </c:extLst>
          </c:dPt>
          <c:dPt>
            <c:idx val="2"/>
            <c:bubble3D val="0"/>
            <c:spPr>
              <a:solidFill>
                <a:schemeClr val="bg2">
                  <a:lumMod val="90000"/>
                </a:schemeClr>
              </a:solidFill>
            </c:spPr>
            <c:extLst>
              <c:ext xmlns:c16="http://schemas.microsoft.com/office/drawing/2014/chart" uri="{C3380CC4-5D6E-409C-BE32-E72D297353CC}">
                <c16:uniqueId val="{00000005-D6FE-47F6-83EA-F91CD8AFA558}"/>
              </c:ext>
            </c:extLst>
          </c:dPt>
          <c:dPt>
            <c:idx val="3"/>
            <c:bubble3D val="0"/>
            <c:spPr>
              <a:solidFill>
                <a:schemeClr val="bg1">
                  <a:lumMod val="50000"/>
                </a:schemeClr>
              </a:solidFill>
            </c:spPr>
            <c:extLst>
              <c:ext xmlns:c16="http://schemas.microsoft.com/office/drawing/2014/chart" uri="{C3380CC4-5D6E-409C-BE32-E72D297353CC}">
                <c16:uniqueId val="{00000007-D6FE-47F6-83EA-F91CD8AFA558}"/>
              </c:ext>
            </c:extLst>
          </c:dPt>
          <c:dPt>
            <c:idx val="4"/>
            <c:bubble3D val="0"/>
            <c:spPr>
              <a:solidFill>
                <a:schemeClr val="bg1">
                  <a:lumMod val="65000"/>
                </a:schemeClr>
              </a:solidFill>
            </c:spPr>
            <c:extLst>
              <c:ext xmlns:c16="http://schemas.microsoft.com/office/drawing/2014/chart" uri="{C3380CC4-5D6E-409C-BE32-E72D297353CC}">
                <c16:uniqueId val="{00000009-D6FE-47F6-83EA-F91CD8AFA558}"/>
              </c:ext>
            </c:extLst>
          </c:dPt>
          <c:dPt>
            <c:idx val="5"/>
            <c:bubble3D val="0"/>
            <c:spPr>
              <a:solidFill>
                <a:schemeClr val="bg1">
                  <a:lumMod val="85000"/>
                </a:schemeClr>
              </a:solidFill>
            </c:spPr>
            <c:extLst>
              <c:ext xmlns:c16="http://schemas.microsoft.com/office/drawing/2014/chart" uri="{C3380CC4-5D6E-409C-BE32-E72D297353CC}">
                <c16:uniqueId val="{0000000B-D6FE-47F6-83EA-F91CD8AFA558}"/>
              </c:ext>
            </c:extLst>
          </c:dPt>
          <c:dLbls>
            <c:spPr>
              <a:noFill/>
              <a:ln>
                <a:noFill/>
              </a:ln>
              <a:effectLst/>
            </c:spPr>
            <c:txPr>
              <a:bodyPr/>
              <a:lstStyle/>
              <a:p>
                <a:pPr>
                  <a:defRPr sz="1000">
                    <a:latin typeface="Garamond" panose="02020404030301010803" pitchFamily="18" charset="0"/>
                  </a:defRPr>
                </a:pPr>
                <a:endParaRPr lang="zh-CN"/>
              </a:p>
            </c:txPr>
            <c:showLegendKey val="0"/>
            <c:showVal val="0"/>
            <c:showCatName val="1"/>
            <c:showSerName val="0"/>
            <c:showPercent val="1"/>
            <c:showBubbleSize val="0"/>
            <c:showLeaderLines val="1"/>
            <c:extLst>
              <c:ext xmlns:c15="http://schemas.microsoft.com/office/drawing/2012/chart" uri="{CE6537A1-D6FC-4f65-9D91-7224C49458BB}"/>
            </c:extLst>
          </c:dLbls>
          <c:cat>
            <c:strRef>
              <c:f>Hoja1!$O$1:$T$1</c:f>
              <c:strCache>
                <c:ptCount val="6"/>
                <c:pt idx="0">
                  <c:v>J774</c:v>
                </c:pt>
                <c:pt idx="1">
                  <c:v>THP-1</c:v>
                </c:pt>
                <c:pt idx="2">
                  <c:v>RAW264.7 </c:v>
                </c:pt>
                <c:pt idx="3">
                  <c:v>U937</c:v>
                </c:pt>
                <c:pt idx="4">
                  <c:v>BMDM</c:v>
                </c:pt>
                <c:pt idx="5">
                  <c:v>HMDM</c:v>
                </c:pt>
              </c:strCache>
            </c:strRef>
          </c:cat>
          <c:val>
            <c:numRef>
              <c:f>Hoja1!$O$32:$T$32</c:f>
              <c:numCache>
                <c:formatCode>General</c:formatCode>
                <c:ptCount val="6"/>
                <c:pt idx="0">
                  <c:v>8</c:v>
                </c:pt>
                <c:pt idx="1">
                  <c:v>4</c:v>
                </c:pt>
                <c:pt idx="2">
                  <c:v>2</c:v>
                </c:pt>
                <c:pt idx="3">
                  <c:v>1</c:v>
                </c:pt>
                <c:pt idx="4">
                  <c:v>2</c:v>
                </c:pt>
                <c:pt idx="5">
                  <c:v>2</c:v>
                </c:pt>
              </c:numCache>
            </c:numRef>
          </c:val>
          <c:extLst>
            <c:ext xmlns:c16="http://schemas.microsoft.com/office/drawing/2014/chart" uri="{C3380CC4-5D6E-409C-BE32-E72D297353CC}">
              <c16:uniqueId val="{0000000C-D6FE-47F6-83EA-F91CD8AFA558}"/>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1A9E-0DC1-4709-9434-08A8B031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139348</Words>
  <Characters>794289</Characters>
  <Application>Microsoft Office Word</Application>
  <DocSecurity>0</DocSecurity>
  <Lines>6619</Lines>
  <Paragraphs>1863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de Girona</Company>
  <LinksUpToDate>false</LinksUpToDate>
  <CharactersWithSpaces>931774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Liansheng Ma</cp:lastModifiedBy>
  <cp:revision>3</cp:revision>
  <cp:lastPrinted>2019-11-08T11:37:00Z</cp:lastPrinted>
  <dcterms:created xsi:type="dcterms:W3CDTF">2020-03-31T19:00:00Z</dcterms:created>
  <dcterms:modified xsi:type="dcterms:W3CDTF">2020-03-31T19:00:00Z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http://www.zotero.org/styles/american-society-for-microbiology</vt:lpwstr>
  </property>
  <property fmtid="{D5CDD505-2E9C-101B-9397-08002B2CF9AE}" pid="7" name="Mendeley Recent Style Name 2_1">
    <vt:lpwstr>American Society for Microbiology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http://www.zotero.org/styles/frontiers-in-microbiology</vt:lpwstr>
  </property>
  <property fmtid="{D5CDD505-2E9C-101B-9397-08002B2CF9AE}" pid="11" name="Mendeley Recent Style Name 4_1">
    <vt:lpwstr>Frontiers in Microbiology</vt:lpwstr>
  </property>
  <property fmtid="{D5CDD505-2E9C-101B-9397-08002B2CF9AE}" pid="12" name="Mendeley Recent Style Id 5_1">
    <vt:lpwstr>http://www.zotero.org/styles/frontiers</vt:lpwstr>
  </property>
  <property fmtid="{D5CDD505-2E9C-101B-9397-08002B2CF9AE}" pid="13" name="Mendeley Recent Style Name 5_1">
    <vt:lpwstr>Frontiers journals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b50cc135-5f91-378b-92a9-7868dd248244</vt:lpwstr>
  </property>
  <property fmtid="{D5CDD505-2E9C-101B-9397-08002B2CF9AE}" pid="24" name="Mendeley Citation Style_1">
    <vt:lpwstr>http://www.zotero.org/styles/world-journal-of-gastroenterology</vt:lpwstr>
  </property>
</Properties>
</file>