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A12F4" w14:textId="77777777" w:rsidR="000E33AA" w:rsidRPr="007F560B" w:rsidRDefault="000E33AA" w:rsidP="007F560B">
      <w:pPr>
        <w:adjustRightInd w:val="0"/>
        <w:snapToGrid w:val="0"/>
        <w:spacing w:line="360" w:lineRule="auto"/>
        <w:jc w:val="both"/>
        <w:rPr>
          <w:b/>
          <w:color w:val="0000FF"/>
          <w:sz w:val="24"/>
          <w:szCs w:val="24"/>
          <w:lang w:val="en-US"/>
        </w:rPr>
      </w:pPr>
      <w:r w:rsidRPr="007F560B">
        <w:rPr>
          <w:rFonts w:eastAsia="Times New Roman" w:cs="宋体"/>
          <w:b/>
          <w:color w:val="000000"/>
          <w:sz w:val="24"/>
          <w:szCs w:val="24"/>
          <w:lang w:val="en-US"/>
        </w:rPr>
        <w:t xml:space="preserve">Name of Journal: </w:t>
      </w:r>
      <w:r w:rsidRPr="007F560B">
        <w:rPr>
          <w:rFonts w:eastAsia="Times New Roman" w:cs="宋体"/>
          <w:i/>
          <w:color w:val="000000"/>
          <w:sz w:val="24"/>
          <w:szCs w:val="24"/>
          <w:lang w:val="en-US"/>
        </w:rPr>
        <w:t>World Journal of Clinical Cases</w:t>
      </w:r>
    </w:p>
    <w:p w14:paraId="1375E160" w14:textId="77777777" w:rsidR="000E33AA" w:rsidRPr="007F560B" w:rsidRDefault="000E33AA" w:rsidP="007F560B">
      <w:pPr>
        <w:adjustRightInd w:val="0"/>
        <w:snapToGrid w:val="0"/>
        <w:spacing w:line="360" w:lineRule="auto"/>
        <w:jc w:val="both"/>
        <w:rPr>
          <w:rFonts w:eastAsia="Times New Roman" w:cs="宋体"/>
          <w:b/>
          <w:i/>
          <w:color w:val="000000"/>
          <w:sz w:val="24"/>
          <w:szCs w:val="24"/>
          <w:lang w:val="en-US"/>
        </w:rPr>
      </w:pPr>
      <w:r w:rsidRPr="007F560B">
        <w:rPr>
          <w:rFonts w:cs="Arial"/>
          <w:b/>
          <w:color w:val="000000"/>
          <w:sz w:val="24"/>
          <w:szCs w:val="24"/>
          <w:lang w:val="en"/>
        </w:rPr>
        <w:t xml:space="preserve">Manuscript NO: </w:t>
      </w:r>
      <w:r w:rsidRPr="007F560B">
        <w:rPr>
          <w:rFonts w:cs="Arial"/>
          <w:color w:val="000000"/>
          <w:sz w:val="24"/>
          <w:szCs w:val="24"/>
          <w:lang w:val="en"/>
        </w:rPr>
        <w:t>53601</w:t>
      </w:r>
    </w:p>
    <w:p w14:paraId="2C53E556" w14:textId="77777777" w:rsidR="000E33AA" w:rsidRPr="007F560B" w:rsidRDefault="000E33AA" w:rsidP="007F560B">
      <w:pPr>
        <w:adjustRightInd w:val="0"/>
        <w:snapToGrid w:val="0"/>
        <w:spacing w:line="360" w:lineRule="auto"/>
        <w:jc w:val="both"/>
        <w:rPr>
          <w:rFonts w:eastAsia="幼圆"/>
          <w:b/>
          <w:i/>
          <w:color w:val="000000"/>
          <w:sz w:val="24"/>
          <w:szCs w:val="24"/>
          <w:lang w:val="en-US"/>
        </w:rPr>
      </w:pPr>
      <w:r w:rsidRPr="007F560B">
        <w:rPr>
          <w:b/>
          <w:color w:val="000000"/>
          <w:sz w:val="24"/>
          <w:szCs w:val="24"/>
          <w:shd w:val="clear" w:color="auto" w:fill="FFFFFF"/>
          <w:lang w:val="en-US"/>
        </w:rPr>
        <w:t>Manuscript Type</w:t>
      </w:r>
      <w:r w:rsidRPr="007F560B">
        <w:rPr>
          <w:b/>
          <w:color w:val="000000"/>
          <w:sz w:val="24"/>
          <w:szCs w:val="24"/>
          <w:lang w:val="en-US"/>
        </w:rPr>
        <w:t xml:space="preserve">: </w:t>
      </w:r>
      <w:r w:rsidRPr="007F560B">
        <w:rPr>
          <w:sz w:val="24"/>
          <w:szCs w:val="24"/>
          <w:lang w:val="en-US"/>
        </w:rPr>
        <w:t>ORIGINAL ARTICLE</w:t>
      </w:r>
    </w:p>
    <w:p w14:paraId="2991D655" w14:textId="77777777" w:rsidR="000E33AA" w:rsidRPr="007F560B" w:rsidRDefault="000E33AA" w:rsidP="007F560B">
      <w:pPr>
        <w:adjustRightInd w:val="0"/>
        <w:snapToGrid w:val="0"/>
        <w:spacing w:line="360" w:lineRule="auto"/>
        <w:jc w:val="both"/>
        <w:rPr>
          <w:b/>
          <w:color w:val="000000"/>
          <w:sz w:val="24"/>
          <w:szCs w:val="24"/>
          <w:lang w:val="en-US"/>
        </w:rPr>
      </w:pPr>
    </w:p>
    <w:p w14:paraId="5AD8364C" w14:textId="77777777" w:rsidR="000E33AA" w:rsidRPr="007F560B" w:rsidRDefault="000E33AA" w:rsidP="007F560B">
      <w:pPr>
        <w:adjustRightInd w:val="0"/>
        <w:snapToGrid w:val="0"/>
        <w:spacing w:line="360" w:lineRule="auto"/>
        <w:jc w:val="both"/>
        <w:rPr>
          <w:rFonts w:eastAsiaTheme="minorEastAsia"/>
          <w:b/>
          <w:i/>
          <w:color w:val="000000"/>
          <w:sz w:val="24"/>
          <w:szCs w:val="24"/>
          <w:lang w:val="en-US"/>
        </w:rPr>
      </w:pPr>
      <w:bookmarkStart w:id="0" w:name="OLE_LINK2"/>
      <w:r w:rsidRPr="007F560B">
        <w:rPr>
          <w:rFonts w:eastAsia="幼圆"/>
          <w:b/>
          <w:i/>
          <w:color w:val="000000"/>
          <w:sz w:val="24"/>
          <w:szCs w:val="24"/>
          <w:lang w:val="en-US"/>
        </w:rPr>
        <w:t>Observational Study</w:t>
      </w:r>
      <w:bookmarkEnd w:id="0"/>
    </w:p>
    <w:p w14:paraId="33A7DD06" w14:textId="4C2B98FF" w:rsidR="00A8261B" w:rsidRPr="007F560B" w:rsidRDefault="00A8261B" w:rsidP="007F560B">
      <w:pPr>
        <w:snapToGrid w:val="0"/>
        <w:spacing w:line="360" w:lineRule="auto"/>
        <w:jc w:val="both"/>
        <w:rPr>
          <w:rFonts w:cs="Times New Roman"/>
          <w:b/>
          <w:sz w:val="24"/>
          <w:szCs w:val="24"/>
          <w:lang w:val="en-US"/>
        </w:rPr>
      </w:pPr>
      <w:r w:rsidRPr="007F560B">
        <w:rPr>
          <w:rFonts w:cs="Times New Roman"/>
          <w:b/>
          <w:sz w:val="24"/>
          <w:szCs w:val="24"/>
          <w:lang w:val="en-US"/>
        </w:rPr>
        <w:t xml:space="preserve">Cytokines </w:t>
      </w:r>
      <w:r w:rsidR="005C2C6A" w:rsidRPr="007F560B">
        <w:rPr>
          <w:rFonts w:cs="Times New Roman"/>
          <w:b/>
          <w:sz w:val="24"/>
          <w:szCs w:val="24"/>
          <w:lang w:val="en-US"/>
        </w:rPr>
        <w:t>predict</w:t>
      </w:r>
      <w:r w:rsidR="00CE1F15">
        <w:rPr>
          <w:rFonts w:cs="Times New Roman"/>
          <w:b/>
          <w:sz w:val="24"/>
          <w:szCs w:val="24"/>
          <w:lang w:val="en-US"/>
        </w:rPr>
        <w:t xml:space="preserve"> </w:t>
      </w:r>
      <w:proofErr w:type="spellStart"/>
      <w:r w:rsidR="005C2C6A" w:rsidRPr="007F560B">
        <w:rPr>
          <w:rFonts w:cs="Times New Roman"/>
          <w:b/>
          <w:sz w:val="24"/>
          <w:szCs w:val="24"/>
          <w:lang w:val="en-US"/>
        </w:rPr>
        <w:t>virological</w:t>
      </w:r>
      <w:proofErr w:type="spellEnd"/>
      <w:r w:rsidR="005C2C6A" w:rsidRPr="007F560B">
        <w:rPr>
          <w:rFonts w:cs="Times New Roman"/>
          <w:b/>
          <w:sz w:val="24"/>
          <w:szCs w:val="24"/>
          <w:lang w:val="en-US"/>
        </w:rPr>
        <w:t xml:space="preserve"> response </w:t>
      </w:r>
      <w:r w:rsidRPr="007F560B">
        <w:rPr>
          <w:rFonts w:cs="Times New Roman"/>
          <w:b/>
          <w:sz w:val="24"/>
          <w:szCs w:val="24"/>
          <w:lang w:val="en-US"/>
        </w:rPr>
        <w:t xml:space="preserve">in </w:t>
      </w:r>
      <w:r w:rsidR="005C2C6A" w:rsidRPr="007F560B">
        <w:rPr>
          <w:rFonts w:cs="Times New Roman"/>
          <w:b/>
          <w:sz w:val="24"/>
          <w:szCs w:val="24"/>
          <w:lang w:val="en-US"/>
        </w:rPr>
        <w:t xml:space="preserve">chronic hepatitis </w:t>
      </w:r>
      <w:r w:rsidRPr="007F560B">
        <w:rPr>
          <w:rFonts w:cs="Times New Roman"/>
          <w:b/>
          <w:sz w:val="24"/>
          <w:szCs w:val="24"/>
          <w:lang w:val="en-US"/>
        </w:rPr>
        <w:t xml:space="preserve">B </w:t>
      </w:r>
      <w:r w:rsidR="005C2C6A" w:rsidRPr="007F560B">
        <w:rPr>
          <w:rFonts w:cs="Times New Roman"/>
          <w:b/>
          <w:sz w:val="24"/>
          <w:szCs w:val="24"/>
          <w:lang w:val="en-US"/>
        </w:rPr>
        <w:t>patients receiving peginterferon alfa</w:t>
      </w:r>
      <w:r w:rsidRPr="007F560B">
        <w:rPr>
          <w:rFonts w:cs="Times New Roman"/>
          <w:b/>
          <w:sz w:val="24"/>
          <w:szCs w:val="24"/>
          <w:lang w:val="en-US"/>
        </w:rPr>
        <w:t xml:space="preserve">-2a </w:t>
      </w:r>
      <w:r w:rsidR="005C2C6A" w:rsidRPr="007F560B">
        <w:rPr>
          <w:rFonts w:cs="Times New Roman"/>
          <w:b/>
          <w:sz w:val="24"/>
          <w:szCs w:val="24"/>
          <w:lang w:val="en-US"/>
        </w:rPr>
        <w:t>therapy</w:t>
      </w:r>
      <w:bookmarkStart w:id="1" w:name="OLE_LINK14"/>
      <w:bookmarkStart w:id="2" w:name="OLE_LINK15"/>
    </w:p>
    <w:p w14:paraId="49D6F9BC" w14:textId="77777777" w:rsidR="00A8261B" w:rsidRPr="007F560B" w:rsidRDefault="00A8261B" w:rsidP="007F560B">
      <w:pPr>
        <w:snapToGrid w:val="0"/>
        <w:spacing w:line="360" w:lineRule="auto"/>
        <w:jc w:val="both"/>
        <w:rPr>
          <w:rFonts w:eastAsiaTheme="minorEastAsia" w:cs="Times New Roman"/>
          <w:b/>
          <w:sz w:val="24"/>
          <w:szCs w:val="24"/>
          <w:lang w:val="en-US"/>
        </w:rPr>
      </w:pPr>
    </w:p>
    <w:p w14:paraId="573770DF" w14:textId="77777777" w:rsidR="005C2C6A" w:rsidRPr="007F560B" w:rsidRDefault="005C2C6A" w:rsidP="007F560B">
      <w:pPr>
        <w:snapToGrid w:val="0"/>
        <w:spacing w:line="360" w:lineRule="auto"/>
        <w:jc w:val="both"/>
        <w:rPr>
          <w:rFonts w:eastAsia="宋体" w:cs="Times New Roman"/>
          <w:sz w:val="24"/>
          <w:szCs w:val="24"/>
          <w:lang w:val="en-US"/>
        </w:rPr>
      </w:pPr>
      <w:r w:rsidRPr="007F560B">
        <w:rPr>
          <w:rFonts w:eastAsia="宋体" w:cs="Times New Roman"/>
          <w:sz w:val="24"/>
          <w:szCs w:val="24"/>
          <w:lang w:val="en-US"/>
        </w:rPr>
        <w:t xml:space="preserve">Fu WK </w:t>
      </w:r>
      <w:r w:rsidRPr="007F560B">
        <w:rPr>
          <w:rFonts w:eastAsia="宋体" w:cs="Times New Roman"/>
          <w:i/>
          <w:sz w:val="24"/>
          <w:szCs w:val="24"/>
          <w:lang w:val="en-US"/>
        </w:rPr>
        <w:t>et al</w:t>
      </w:r>
      <w:r w:rsidRPr="007F560B">
        <w:rPr>
          <w:rFonts w:eastAsia="宋体" w:cs="Times New Roman"/>
          <w:sz w:val="24"/>
          <w:szCs w:val="24"/>
          <w:lang w:val="en-US"/>
        </w:rPr>
        <w:t>. Serum cytokines and response to PEG-IFN therapy in CHB</w:t>
      </w:r>
    </w:p>
    <w:p w14:paraId="04F1F11C" w14:textId="77777777" w:rsidR="005C2C6A" w:rsidRPr="007F560B" w:rsidRDefault="005C2C6A" w:rsidP="007F560B">
      <w:pPr>
        <w:snapToGrid w:val="0"/>
        <w:spacing w:line="360" w:lineRule="auto"/>
        <w:jc w:val="both"/>
        <w:rPr>
          <w:rFonts w:eastAsia="宋体" w:cs="Times New Roman"/>
          <w:sz w:val="24"/>
          <w:szCs w:val="24"/>
          <w:lang w:val="en-US"/>
        </w:rPr>
      </w:pPr>
    </w:p>
    <w:p w14:paraId="50BB6755" w14:textId="77777777" w:rsidR="00A8261B" w:rsidRPr="007F560B" w:rsidRDefault="008B7F76" w:rsidP="007F560B">
      <w:pPr>
        <w:snapToGrid w:val="0"/>
        <w:spacing w:line="360" w:lineRule="auto"/>
        <w:jc w:val="both"/>
        <w:rPr>
          <w:rFonts w:eastAsia="宋体" w:cs="Times New Roman"/>
          <w:sz w:val="24"/>
          <w:szCs w:val="24"/>
          <w:lang w:val="en-US"/>
        </w:rPr>
      </w:pPr>
      <w:r w:rsidRPr="007F560B">
        <w:rPr>
          <w:rFonts w:eastAsia="宋体" w:cs="Times New Roman"/>
          <w:sz w:val="24"/>
          <w:szCs w:val="24"/>
          <w:lang w:val="en-US"/>
        </w:rPr>
        <w:t xml:space="preserve">Wen-Kang </w:t>
      </w:r>
      <w:bookmarkStart w:id="3" w:name="OLE_LINK7"/>
      <w:r w:rsidRPr="007F560B">
        <w:rPr>
          <w:rFonts w:eastAsia="宋体" w:cs="Times New Roman"/>
          <w:sz w:val="24"/>
          <w:szCs w:val="24"/>
          <w:lang w:val="en-US"/>
        </w:rPr>
        <w:t>Fu</w:t>
      </w:r>
      <w:bookmarkEnd w:id="3"/>
      <w:r w:rsidR="00A8261B" w:rsidRPr="007F560B">
        <w:rPr>
          <w:rFonts w:eastAsia="宋体" w:cs="Times New Roman"/>
          <w:sz w:val="24"/>
          <w:szCs w:val="24"/>
          <w:lang w:val="en-US"/>
        </w:rPr>
        <w:t xml:space="preserve">, </w:t>
      </w:r>
      <w:proofErr w:type="spellStart"/>
      <w:r w:rsidR="00A8261B" w:rsidRPr="007F560B">
        <w:rPr>
          <w:rFonts w:eastAsia="宋体" w:cs="Times New Roman"/>
          <w:sz w:val="24"/>
          <w:szCs w:val="24"/>
          <w:lang w:val="en-US"/>
        </w:rPr>
        <w:t>Jie</w:t>
      </w:r>
      <w:proofErr w:type="spellEnd"/>
      <w:r w:rsidR="00A8261B" w:rsidRPr="007F560B">
        <w:rPr>
          <w:rFonts w:eastAsia="宋体" w:cs="Times New Roman"/>
          <w:sz w:val="24"/>
          <w:szCs w:val="24"/>
          <w:lang w:val="en-US"/>
        </w:rPr>
        <w:t xml:space="preserve"> Cao, Ning-N</w:t>
      </w:r>
      <w:r w:rsidR="00A066EA" w:rsidRPr="007F560B">
        <w:rPr>
          <w:rFonts w:eastAsia="宋体" w:cs="Times New Roman"/>
          <w:sz w:val="24"/>
          <w:szCs w:val="24"/>
          <w:lang w:val="en-US"/>
        </w:rPr>
        <w:t>i</w:t>
      </w:r>
      <w:r w:rsidR="00A8261B" w:rsidRPr="007F560B">
        <w:rPr>
          <w:rFonts w:eastAsia="宋体" w:cs="Times New Roman"/>
          <w:sz w:val="24"/>
          <w:szCs w:val="24"/>
          <w:lang w:val="en-US"/>
        </w:rPr>
        <w:t xml:space="preserve">ng </w:t>
      </w:r>
      <w:proofErr w:type="spellStart"/>
      <w:r w:rsidR="00A8261B" w:rsidRPr="007F560B">
        <w:rPr>
          <w:rFonts w:eastAsia="宋体" w:cs="Times New Roman"/>
          <w:sz w:val="24"/>
          <w:szCs w:val="24"/>
          <w:lang w:val="en-US"/>
        </w:rPr>
        <w:t>Mi</w:t>
      </w:r>
      <w:proofErr w:type="spellEnd"/>
      <w:r w:rsidR="00A8261B" w:rsidRPr="007F560B">
        <w:rPr>
          <w:rFonts w:eastAsia="宋体" w:cs="Times New Roman"/>
          <w:sz w:val="24"/>
          <w:szCs w:val="24"/>
          <w:lang w:val="en-US"/>
        </w:rPr>
        <w:t xml:space="preserve">, </w:t>
      </w:r>
      <w:r w:rsidRPr="007F560B">
        <w:rPr>
          <w:rFonts w:eastAsia="宋体" w:cs="Times New Roman"/>
          <w:sz w:val="24"/>
          <w:szCs w:val="24"/>
          <w:lang w:val="en-US"/>
        </w:rPr>
        <w:t xml:space="preserve">Chong-Fei Huang, Long Gao, </w:t>
      </w:r>
      <w:proofErr w:type="spellStart"/>
      <w:r w:rsidRPr="007F560B">
        <w:rPr>
          <w:rFonts w:eastAsia="宋体" w:cs="Times New Roman"/>
          <w:sz w:val="24"/>
          <w:szCs w:val="24"/>
          <w:lang w:val="en-US"/>
        </w:rPr>
        <w:t>Jin</w:t>
      </w:r>
      <w:proofErr w:type="spellEnd"/>
      <w:r w:rsidRPr="007F560B">
        <w:rPr>
          <w:rFonts w:eastAsia="宋体" w:cs="Times New Roman"/>
          <w:sz w:val="24"/>
          <w:szCs w:val="24"/>
          <w:lang w:val="en-US"/>
        </w:rPr>
        <w:t>-Duo Zhang, Ping Yue, Bing Bai,</w:t>
      </w:r>
      <w:r w:rsidR="00A8261B" w:rsidRPr="007F560B">
        <w:rPr>
          <w:rFonts w:eastAsia="宋体" w:cs="Times New Roman"/>
          <w:sz w:val="24"/>
          <w:szCs w:val="24"/>
          <w:lang w:val="en-US"/>
        </w:rPr>
        <w:t xml:space="preserve"> </w:t>
      </w:r>
      <w:r w:rsidRPr="007F560B">
        <w:rPr>
          <w:rFonts w:eastAsia="宋体" w:cs="Times New Roman"/>
          <w:sz w:val="24"/>
          <w:szCs w:val="24"/>
          <w:lang w:val="en-US"/>
        </w:rPr>
        <w:t>Yan-Yan Lin</w:t>
      </w:r>
      <w:r w:rsidR="0033464D" w:rsidRPr="007F560B">
        <w:rPr>
          <w:rFonts w:eastAsia="宋体" w:cs="Times New Roman"/>
          <w:sz w:val="24"/>
          <w:szCs w:val="24"/>
          <w:lang w:val="en-US"/>
        </w:rPr>
        <w:t>,</w:t>
      </w:r>
      <w:r w:rsidR="00A8261B" w:rsidRPr="007F560B">
        <w:rPr>
          <w:rFonts w:eastAsia="宋体" w:cs="Times New Roman"/>
          <w:sz w:val="24"/>
          <w:szCs w:val="24"/>
          <w:lang w:val="en-US"/>
        </w:rPr>
        <w:t xml:space="preserve"> Wen</w:t>
      </w:r>
      <w:bookmarkEnd w:id="1"/>
      <w:bookmarkEnd w:id="2"/>
      <w:r w:rsidR="00A8261B" w:rsidRPr="007F560B">
        <w:rPr>
          <w:rFonts w:eastAsia="宋体" w:cs="Times New Roman"/>
          <w:sz w:val="24"/>
          <w:szCs w:val="24"/>
          <w:lang w:val="en-US"/>
        </w:rPr>
        <w:t>-Bo Meng</w:t>
      </w:r>
    </w:p>
    <w:p w14:paraId="40780F81" w14:textId="77777777" w:rsidR="00A8261B" w:rsidRPr="007F560B" w:rsidRDefault="00A8261B" w:rsidP="007F560B">
      <w:pPr>
        <w:snapToGrid w:val="0"/>
        <w:spacing w:line="360" w:lineRule="auto"/>
        <w:jc w:val="both"/>
        <w:rPr>
          <w:rFonts w:eastAsia="宋体" w:cs="Times New Roman"/>
          <w:b/>
          <w:sz w:val="24"/>
          <w:szCs w:val="24"/>
          <w:lang w:val="en-US"/>
        </w:rPr>
      </w:pPr>
    </w:p>
    <w:p w14:paraId="58F7A9B8" w14:textId="77777777" w:rsidR="00A8261B" w:rsidRPr="007F560B" w:rsidRDefault="00A8261B" w:rsidP="007F560B">
      <w:pPr>
        <w:snapToGrid w:val="0"/>
        <w:spacing w:line="360" w:lineRule="auto"/>
        <w:jc w:val="both"/>
        <w:rPr>
          <w:rFonts w:eastAsia="宋体" w:cs="Times New Roman"/>
          <w:sz w:val="24"/>
          <w:szCs w:val="24"/>
          <w:lang w:val="en-US"/>
        </w:rPr>
      </w:pPr>
      <w:r w:rsidRPr="007F560B">
        <w:rPr>
          <w:rFonts w:eastAsia="宋体" w:cs="Times New Roman"/>
          <w:b/>
          <w:sz w:val="24"/>
          <w:szCs w:val="24"/>
          <w:lang w:val="en-US"/>
        </w:rPr>
        <w:t xml:space="preserve">Wen-Kang Fu, </w:t>
      </w:r>
      <w:proofErr w:type="spellStart"/>
      <w:r w:rsidR="00EE5649" w:rsidRPr="007F560B">
        <w:rPr>
          <w:rFonts w:eastAsia="宋体" w:cs="Times New Roman"/>
          <w:b/>
          <w:sz w:val="24"/>
          <w:szCs w:val="24"/>
          <w:lang w:val="en-US"/>
        </w:rPr>
        <w:t>Jie</w:t>
      </w:r>
      <w:proofErr w:type="spellEnd"/>
      <w:r w:rsidR="00EE5649" w:rsidRPr="007F560B">
        <w:rPr>
          <w:rFonts w:eastAsia="宋体" w:cs="Times New Roman"/>
          <w:b/>
          <w:sz w:val="24"/>
          <w:szCs w:val="24"/>
          <w:lang w:val="en-US"/>
        </w:rPr>
        <w:t xml:space="preserve"> Cao, </w:t>
      </w:r>
      <w:r w:rsidRPr="007F560B">
        <w:rPr>
          <w:rFonts w:eastAsia="宋体" w:cs="Times New Roman"/>
          <w:b/>
          <w:sz w:val="24"/>
          <w:szCs w:val="24"/>
          <w:lang w:val="en-US"/>
        </w:rPr>
        <w:t>Ning-N</w:t>
      </w:r>
      <w:r w:rsidR="00B35A18" w:rsidRPr="007F560B">
        <w:rPr>
          <w:rFonts w:eastAsia="宋体" w:cs="Times New Roman"/>
          <w:b/>
          <w:sz w:val="24"/>
          <w:szCs w:val="24"/>
          <w:lang w:val="en-US"/>
        </w:rPr>
        <w:t>i</w:t>
      </w:r>
      <w:r w:rsidR="00A066EA" w:rsidRPr="007F560B">
        <w:rPr>
          <w:rFonts w:eastAsia="宋体" w:cs="Times New Roman"/>
          <w:b/>
          <w:sz w:val="24"/>
          <w:szCs w:val="24"/>
          <w:lang w:val="en-US"/>
        </w:rPr>
        <w:t xml:space="preserve">ng </w:t>
      </w:r>
      <w:proofErr w:type="spellStart"/>
      <w:r w:rsidR="00A066EA" w:rsidRPr="007F560B">
        <w:rPr>
          <w:rFonts w:eastAsia="宋体" w:cs="Times New Roman"/>
          <w:b/>
          <w:sz w:val="24"/>
          <w:szCs w:val="24"/>
          <w:lang w:val="en-US"/>
        </w:rPr>
        <w:t>Mi</w:t>
      </w:r>
      <w:proofErr w:type="spellEnd"/>
      <w:r w:rsidR="00A066EA" w:rsidRPr="007F560B">
        <w:rPr>
          <w:rFonts w:eastAsia="宋体" w:cs="Times New Roman"/>
          <w:b/>
          <w:sz w:val="24"/>
          <w:szCs w:val="24"/>
          <w:lang w:val="en-US"/>
        </w:rPr>
        <w:t>, Chong-Fei Huang</w:t>
      </w:r>
      <w:r w:rsidRPr="007F560B">
        <w:rPr>
          <w:rFonts w:eastAsia="宋体" w:cs="Times New Roman"/>
          <w:b/>
          <w:sz w:val="24"/>
          <w:szCs w:val="24"/>
          <w:lang w:val="en-US"/>
        </w:rPr>
        <w:t>, Long Gao,</w:t>
      </w:r>
      <w:r w:rsidRPr="007F560B">
        <w:rPr>
          <w:sz w:val="24"/>
          <w:szCs w:val="24"/>
          <w:lang w:val="en-US"/>
        </w:rPr>
        <w:t xml:space="preserve"> </w:t>
      </w:r>
      <w:r w:rsidR="00EE5649" w:rsidRPr="007F560B">
        <w:rPr>
          <w:rFonts w:eastAsia="宋体" w:cs="Times New Roman"/>
          <w:b/>
          <w:sz w:val="24"/>
          <w:szCs w:val="24"/>
          <w:lang w:val="en-US"/>
        </w:rPr>
        <w:t xml:space="preserve">Wen-Bo Meng, </w:t>
      </w:r>
      <w:r w:rsidRPr="007F560B">
        <w:rPr>
          <w:rFonts w:eastAsia="宋体" w:cs="Times New Roman"/>
          <w:sz w:val="24"/>
          <w:szCs w:val="24"/>
          <w:lang w:val="en-US"/>
        </w:rPr>
        <w:t>The First Clinical Medical School, Lanzhou University, Lanzhou 730000, Gansu</w:t>
      </w:r>
      <w:r w:rsidR="0033464D" w:rsidRPr="007F560B">
        <w:rPr>
          <w:rFonts w:eastAsia="宋体" w:cs="Times New Roman"/>
          <w:sz w:val="24"/>
          <w:szCs w:val="24"/>
          <w:lang w:val="en-US"/>
        </w:rPr>
        <w:t xml:space="preserve"> Province, China</w:t>
      </w:r>
    </w:p>
    <w:p w14:paraId="3036DA3A" w14:textId="77777777" w:rsidR="0033464D" w:rsidRPr="007F560B" w:rsidRDefault="0033464D" w:rsidP="007F560B">
      <w:pPr>
        <w:snapToGrid w:val="0"/>
        <w:spacing w:line="360" w:lineRule="auto"/>
        <w:jc w:val="both"/>
        <w:rPr>
          <w:rFonts w:eastAsia="宋体" w:cs="Times New Roman"/>
          <w:sz w:val="24"/>
          <w:szCs w:val="24"/>
          <w:lang w:val="en-US"/>
        </w:rPr>
      </w:pPr>
    </w:p>
    <w:p w14:paraId="435EA981" w14:textId="77777777" w:rsidR="00A8261B" w:rsidRPr="007F560B" w:rsidRDefault="0033464D" w:rsidP="007F560B">
      <w:pPr>
        <w:snapToGrid w:val="0"/>
        <w:spacing w:line="360" w:lineRule="auto"/>
        <w:jc w:val="both"/>
        <w:rPr>
          <w:rFonts w:eastAsia="宋体" w:cs="Times New Roman"/>
          <w:sz w:val="24"/>
          <w:szCs w:val="24"/>
          <w:lang w:val="en-US"/>
        </w:rPr>
      </w:pPr>
      <w:proofErr w:type="spellStart"/>
      <w:r w:rsidRPr="007F560B">
        <w:rPr>
          <w:rFonts w:eastAsia="宋体" w:cs="Times New Roman"/>
          <w:b/>
          <w:sz w:val="24"/>
          <w:szCs w:val="24"/>
          <w:lang w:val="en-US"/>
        </w:rPr>
        <w:t>Jie</w:t>
      </w:r>
      <w:proofErr w:type="spellEnd"/>
      <w:r w:rsidRPr="007F560B">
        <w:rPr>
          <w:rFonts w:eastAsia="宋体" w:cs="Times New Roman"/>
          <w:b/>
          <w:sz w:val="24"/>
          <w:szCs w:val="24"/>
          <w:lang w:val="en-US"/>
        </w:rPr>
        <w:t xml:space="preserve"> Cao, </w:t>
      </w:r>
      <w:r w:rsidR="00A8261B" w:rsidRPr="007F560B">
        <w:rPr>
          <w:rFonts w:eastAsia="宋体" w:cs="Times New Roman"/>
          <w:sz w:val="24"/>
          <w:szCs w:val="24"/>
          <w:lang w:val="en-US"/>
        </w:rPr>
        <w:t xml:space="preserve">Laboratory Department of the First Hospital of Lanzhou University, Lanzhou 730000, </w:t>
      </w:r>
      <w:r w:rsidRPr="007F560B">
        <w:rPr>
          <w:rFonts w:eastAsia="宋体" w:cs="Times New Roman"/>
          <w:sz w:val="24"/>
          <w:szCs w:val="24"/>
          <w:lang w:val="en-US"/>
        </w:rPr>
        <w:t>Gansu Province, China</w:t>
      </w:r>
    </w:p>
    <w:p w14:paraId="219989D0" w14:textId="77777777" w:rsidR="00D146AA" w:rsidRPr="007F560B" w:rsidRDefault="00D146AA" w:rsidP="007F560B">
      <w:pPr>
        <w:snapToGrid w:val="0"/>
        <w:spacing w:line="360" w:lineRule="auto"/>
        <w:jc w:val="both"/>
        <w:rPr>
          <w:rFonts w:eastAsia="宋体" w:cs="Times New Roman"/>
          <w:sz w:val="24"/>
          <w:szCs w:val="24"/>
          <w:lang w:val="en-US"/>
        </w:rPr>
      </w:pPr>
    </w:p>
    <w:p w14:paraId="1A48C323" w14:textId="77777777" w:rsidR="0033464D" w:rsidRPr="007F560B" w:rsidRDefault="0033464D" w:rsidP="007F560B">
      <w:pPr>
        <w:snapToGrid w:val="0"/>
        <w:spacing w:line="360" w:lineRule="auto"/>
        <w:jc w:val="both"/>
        <w:rPr>
          <w:rFonts w:eastAsia="宋体" w:cs="Times New Roman"/>
          <w:sz w:val="24"/>
          <w:szCs w:val="24"/>
          <w:lang w:val="en-US"/>
        </w:rPr>
      </w:pPr>
      <w:proofErr w:type="spellStart"/>
      <w:r w:rsidRPr="007F560B">
        <w:rPr>
          <w:rFonts w:eastAsia="宋体" w:cs="Times New Roman"/>
          <w:b/>
          <w:sz w:val="24"/>
          <w:szCs w:val="24"/>
          <w:lang w:val="en-US"/>
        </w:rPr>
        <w:t>Jin</w:t>
      </w:r>
      <w:proofErr w:type="spellEnd"/>
      <w:r w:rsidRPr="007F560B">
        <w:rPr>
          <w:rFonts w:eastAsia="宋体" w:cs="Times New Roman"/>
          <w:b/>
          <w:sz w:val="24"/>
          <w:szCs w:val="24"/>
          <w:lang w:val="en-US"/>
        </w:rPr>
        <w:t xml:space="preserve">-Duo Zhang, Ping Yue, Bing Bai, Yan-Yan Lin, </w:t>
      </w:r>
      <w:r w:rsidR="00EE5649" w:rsidRPr="007F560B">
        <w:rPr>
          <w:rFonts w:eastAsia="宋体" w:cs="Times New Roman"/>
          <w:b/>
          <w:sz w:val="24"/>
          <w:szCs w:val="24"/>
          <w:lang w:val="en-US"/>
        </w:rPr>
        <w:t xml:space="preserve">Wen-Bo Meng, </w:t>
      </w:r>
      <w:r w:rsidRPr="007F560B">
        <w:rPr>
          <w:rFonts w:eastAsia="宋体" w:cs="Times New Roman"/>
          <w:sz w:val="24"/>
          <w:szCs w:val="24"/>
          <w:lang w:val="en-US"/>
        </w:rPr>
        <w:t>Special Minimally Invasive Surgery Department, The First Hospital of Lanzhou University, Lanzhou 730000, Gansu Province, China</w:t>
      </w:r>
    </w:p>
    <w:p w14:paraId="7472CFA2" w14:textId="77777777" w:rsidR="0033464D" w:rsidRPr="007F560B" w:rsidRDefault="0033464D" w:rsidP="007F560B">
      <w:pPr>
        <w:snapToGrid w:val="0"/>
        <w:spacing w:line="360" w:lineRule="auto"/>
        <w:jc w:val="both"/>
        <w:rPr>
          <w:rFonts w:eastAsia="宋体" w:cs="Times New Roman"/>
          <w:sz w:val="24"/>
          <w:szCs w:val="24"/>
          <w:lang w:val="en-US"/>
        </w:rPr>
      </w:pPr>
    </w:p>
    <w:p w14:paraId="73946359" w14:textId="77777777" w:rsidR="00EE5649" w:rsidRPr="007F560B" w:rsidRDefault="00EE5649" w:rsidP="007F560B">
      <w:pPr>
        <w:snapToGrid w:val="0"/>
        <w:spacing w:line="360" w:lineRule="auto"/>
        <w:jc w:val="both"/>
        <w:rPr>
          <w:rFonts w:eastAsia="宋体" w:cs="Times New Roman"/>
          <w:sz w:val="24"/>
          <w:szCs w:val="24"/>
          <w:lang w:val="en-US"/>
        </w:rPr>
      </w:pPr>
      <w:r w:rsidRPr="007F560B">
        <w:rPr>
          <w:rFonts w:eastAsia="宋体" w:cs="Times New Roman"/>
          <w:b/>
          <w:sz w:val="24"/>
          <w:szCs w:val="24"/>
          <w:lang w:val="en-US"/>
        </w:rPr>
        <w:t>Wen-Bo Meng,</w:t>
      </w:r>
      <w:r w:rsidRPr="007F560B">
        <w:rPr>
          <w:rFonts w:eastAsia="宋体" w:cs="Times New Roman"/>
          <w:sz w:val="24"/>
          <w:szCs w:val="24"/>
          <w:lang w:val="en-US"/>
        </w:rPr>
        <w:t xml:space="preserve"> </w:t>
      </w:r>
      <w:r w:rsidR="00A8261B" w:rsidRPr="007F560B">
        <w:rPr>
          <w:rFonts w:eastAsia="宋体" w:cs="Times New Roman"/>
          <w:sz w:val="24"/>
          <w:szCs w:val="24"/>
          <w:lang w:val="en-US"/>
        </w:rPr>
        <w:t>Institute of Genetics, School of Basic Medical Sciences, Lanzhou Uni</w:t>
      </w:r>
      <w:r w:rsidRPr="007F560B">
        <w:rPr>
          <w:rFonts w:eastAsia="宋体" w:cs="Times New Roman"/>
          <w:sz w:val="24"/>
          <w:szCs w:val="24"/>
          <w:lang w:val="en-US"/>
        </w:rPr>
        <w:t>versity, Lanzhou 730000, Gansu Province, China</w:t>
      </w:r>
    </w:p>
    <w:p w14:paraId="1EB443F2" w14:textId="77777777" w:rsidR="00EE5649" w:rsidRPr="007F560B" w:rsidRDefault="00EE5649" w:rsidP="007F560B">
      <w:pPr>
        <w:snapToGrid w:val="0"/>
        <w:spacing w:line="360" w:lineRule="auto"/>
        <w:jc w:val="both"/>
        <w:rPr>
          <w:rFonts w:eastAsia="宋体" w:cs="Times New Roman"/>
          <w:sz w:val="24"/>
          <w:szCs w:val="24"/>
          <w:lang w:val="en-US"/>
        </w:rPr>
      </w:pPr>
    </w:p>
    <w:p w14:paraId="049F6313" w14:textId="3F994EB2" w:rsidR="00EE5649" w:rsidRPr="007F560B" w:rsidRDefault="00EE5649" w:rsidP="007F560B">
      <w:pPr>
        <w:snapToGrid w:val="0"/>
        <w:spacing w:line="360" w:lineRule="auto"/>
        <w:jc w:val="both"/>
        <w:rPr>
          <w:rFonts w:eastAsia="宋体" w:cs="Times New Roman"/>
          <w:sz w:val="24"/>
          <w:szCs w:val="24"/>
          <w:lang w:val="en-US"/>
        </w:rPr>
      </w:pPr>
      <w:r w:rsidRPr="007F560B">
        <w:rPr>
          <w:rFonts w:eastAsia="宋体" w:cs="Times New Roman"/>
          <w:b/>
          <w:sz w:val="24"/>
          <w:szCs w:val="24"/>
          <w:lang w:val="en-US"/>
        </w:rPr>
        <w:t xml:space="preserve">Wen-Bo </w:t>
      </w:r>
      <w:proofErr w:type="spellStart"/>
      <w:r w:rsidRPr="007F560B">
        <w:rPr>
          <w:rFonts w:eastAsia="宋体" w:cs="Times New Roman"/>
          <w:b/>
          <w:sz w:val="24"/>
          <w:szCs w:val="24"/>
          <w:lang w:val="en-US"/>
        </w:rPr>
        <w:t>Meng</w:t>
      </w:r>
      <w:proofErr w:type="spellEnd"/>
      <w:r w:rsidRPr="007F560B">
        <w:rPr>
          <w:rFonts w:eastAsia="宋体" w:cs="Times New Roman"/>
          <w:b/>
          <w:sz w:val="24"/>
          <w:szCs w:val="24"/>
          <w:lang w:val="en-US"/>
        </w:rPr>
        <w:t xml:space="preserve">, </w:t>
      </w:r>
      <w:r w:rsidR="00A8261B" w:rsidRPr="007F560B">
        <w:rPr>
          <w:rFonts w:eastAsia="宋体" w:cs="Times New Roman"/>
          <w:sz w:val="24"/>
          <w:szCs w:val="24"/>
          <w:lang w:val="en-US"/>
        </w:rPr>
        <w:t xml:space="preserve">Institute of </w:t>
      </w:r>
      <w:proofErr w:type="spellStart"/>
      <w:r w:rsidR="00A8261B" w:rsidRPr="007F560B">
        <w:rPr>
          <w:rFonts w:eastAsia="宋体" w:cs="Times New Roman"/>
          <w:sz w:val="24"/>
          <w:szCs w:val="24"/>
          <w:lang w:val="en-US"/>
        </w:rPr>
        <w:t>Hepatopancreato</w:t>
      </w:r>
      <w:r w:rsidRPr="007F560B">
        <w:rPr>
          <w:rFonts w:eastAsia="宋体" w:cs="Times New Roman"/>
          <w:sz w:val="24"/>
          <w:szCs w:val="24"/>
          <w:lang w:val="en-US"/>
        </w:rPr>
        <w:t>biliary</w:t>
      </w:r>
      <w:proofErr w:type="spellEnd"/>
      <w:r w:rsidR="00CE1F15">
        <w:rPr>
          <w:rFonts w:eastAsia="宋体" w:cs="Times New Roman"/>
          <w:sz w:val="24"/>
          <w:szCs w:val="24"/>
          <w:lang w:val="en-US"/>
        </w:rPr>
        <w:t xml:space="preserve"> of </w:t>
      </w:r>
      <w:r w:rsidR="00CE1F15" w:rsidRPr="007F560B">
        <w:rPr>
          <w:rFonts w:eastAsia="宋体" w:cs="Times New Roman"/>
          <w:sz w:val="24"/>
          <w:szCs w:val="24"/>
          <w:lang w:val="en-US"/>
        </w:rPr>
        <w:t>Gansu Province</w:t>
      </w:r>
      <w:r w:rsidRPr="007F560B">
        <w:rPr>
          <w:rFonts w:eastAsia="宋体" w:cs="Times New Roman"/>
          <w:sz w:val="24"/>
          <w:szCs w:val="24"/>
          <w:lang w:val="en-US"/>
        </w:rPr>
        <w:t xml:space="preserve">, Lanzhou 730000, Gansu Province, </w:t>
      </w:r>
      <w:proofErr w:type="spellStart"/>
      <w:r w:rsidRPr="007F560B">
        <w:rPr>
          <w:rFonts w:eastAsia="宋体" w:cs="Times New Roman"/>
          <w:sz w:val="24"/>
          <w:szCs w:val="24"/>
          <w:lang w:val="en-US"/>
        </w:rPr>
        <w:t>China</w:t>
      </w:r>
      <w:r w:rsidR="00CE1F15">
        <w:rPr>
          <w:rFonts w:eastAsia="宋体" w:cs="Times New Roman"/>
          <w:sz w:val="24"/>
          <w:szCs w:val="24"/>
          <w:lang w:val="en-US"/>
        </w:rPr>
        <w:t>o</w:t>
      </w:r>
      <w:proofErr w:type="spellEnd"/>
    </w:p>
    <w:p w14:paraId="71A8804E" w14:textId="77777777" w:rsidR="00EE5649" w:rsidRPr="007F560B" w:rsidRDefault="00EE5649" w:rsidP="007F560B">
      <w:pPr>
        <w:snapToGrid w:val="0"/>
        <w:spacing w:line="360" w:lineRule="auto"/>
        <w:jc w:val="both"/>
        <w:rPr>
          <w:rFonts w:eastAsia="宋体" w:cs="Times New Roman"/>
          <w:sz w:val="24"/>
          <w:szCs w:val="24"/>
          <w:lang w:val="en-US"/>
        </w:rPr>
      </w:pPr>
    </w:p>
    <w:p w14:paraId="684F1736" w14:textId="776CD741" w:rsidR="00A8261B" w:rsidRPr="007F560B" w:rsidRDefault="00EE5649" w:rsidP="007F560B">
      <w:pPr>
        <w:snapToGrid w:val="0"/>
        <w:spacing w:line="360" w:lineRule="auto"/>
        <w:jc w:val="both"/>
        <w:rPr>
          <w:rFonts w:eastAsia="宋体" w:cs="Times New Roman"/>
          <w:sz w:val="24"/>
          <w:szCs w:val="24"/>
          <w:lang w:val="en-US"/>
        </w:rPr>
      </w:pPr>
      <w:r w:rsidRPr="007F560B">
        <w:rPr>
          <w:rFonts w:eastAsia="宋体" w:cs="Times New Roman"/>
          <w:b/>
          <w:sz w:val="24"/>
          <w:szCs w:val="24"/>
          <w:lang w:val="en-US"/>
        </w:rPr>
        <w:t xml:space="preserve">Wen-Bo Meng, </w:t>
      </w:r>
      <w:r w:rsidR="00A8261B" w:rsidRPr="007F560B">
        <w:rPr>
          <w:rFonts w:eastAsia="宋体" w:cs="Times New Roman"/>
          <w:sz w:val="24"/>
          <w:szCs w:val="24"/>
          <w:lang w:val="en-US"/>
        </w:rPr>
        <w:t xml:space="preserve">Key Laboratory </w:t>
      </w:r>
      <w:r w:rsidR="00CE1F15">
        <w:rPr>
          <w:rFonts w:eastAsia="宋体" w:cs="Times New Roman"/>
          <w:sz w:val="24"/>
          <w:szCs w:val="24"/>
          <w:lang w:val="en-US"/>
        </w:rPr>
        <w:t xml:space="preserve">of </w:t>
      </w:r>
      <w:r w:rsidR="00A8261B" w:rsidRPr="007F560B">
        <w:rPr>
          <w:rFonts w:eastAsia="宋体" w:cs="Times New Roman"/>
          <w:sz w:val="24"/>
          <w:szCs w:val="24"/>
          <w:lang w:val="en-US"/>
        </w:rPr>
        <w:t>Biotherapy and Regenerative Medicine</w:t>
      </w:r>
      <w:r w:rsidR="00CE1F15" w:rsidRPr="00CE1F15">
        <w:rPr>
          <w:rFonts w:eastAsia="宋体" w:cs="Times New Roman"/>
          <w:sz w:val="24"/>
          <w:szCs w:val="24"/>
          <w:lang w:val="en-US"/>
        </w:rPr>
        <w:t xml:space="preserve"> </w:t>
      </w:r>
      <w:r w:rsidR="00CE1F15">
        <w:rPr>
          <w:rFonts w:eastAsia="宋体" w:cs="Times New Roman"/>
          <w:sz w:val="24"/>
          <w:szCs w:val="24"/>
          <w:lang w:val="en-US"/>
        </w:rPr>
        <w:t xml:space="preserve">of </w:t>
      </w:r>
      <w:r w:rsidR="00CE1F15" w:rsidRPr="007F560B">
        <w:rPr>
          <w:rFonts w:eastAsia="宋体" w:cs="Times New Roman"/>
          <w:sz w:val="24"/>
          <w:szCs w:val="24"/>
          <w:lang w:val="en-US"/>
        </w:rPr>
        <w:lastRenderedPageBreak/>
        <w:t>Gansu Province</w:t>
      </w:r>
      <w:r w:rsidR="00A8261B" w:rsidRPr="007F560B">
        <w:rPr>
          <w:rFonts w:eastAsia="宋体" w:cs="Times New Roman"/>
          <w:sz w:val="24"/>
          <w:szCs w:val="24"/>
          <w:lang w:val="en-US"/>
        </w:rPr>
        <w:t xml:space="preserve">, Lanzhou 730000, </w:t>
      </w:r>
      <w:r w:rsidRPr="007F560B">
        <w:rPr>
          <w:rFonts w:eastAsia="宋体" w:cs="Times New Roman"/>
          <w:sz w:val="24"/>
          <w:szCs w:val="24"/>
          <w:lang w:val="en-US"/>
        </w:rPr>
        <w:t>Gansu Province, China</w:t>
      </w:r>
    </w:p>
    <w:p w14:paraId="3D3A5B98" w14:textId="77777777" w:rsidR="00EE5649" w:rsidRPr="007F560B" w:rsidRDefault="00EE5649" w:rsidP="007F560B">
      <w:pPr>
        <w:snapToGrid w:val="0"/>
        <w:spacing w:line="360" w:lineRule="auto"/>
        <w:jc w:val="both"/>
        <w:rPr>
          <w:rFonts w:eastAsiaTheme="minorEastAsia"/>
          <w:sz w:val="24"/>
          <w:szCs w:val="24"/>
          <w:lang w:val="en-US"/>
        </w:rPr>
      </w:pPr>
    </w:p>
    <w:p w14:paraId="02D89C0E" w14:textId="258ADB97" w:rsidR="00EE5649" w:rsidRPr="007F560B" w:rsidRDefault="00EE5649" w:rsidP="007F560B">
      <w:pPr>
        <w:snapToGrid w:val="0"/>
        <w:spacing w:line="360" w:lineRule="auto"/>
        <w:jc w:val="both"/>
        <w:rPr>
          <w:sz w:val="24"/>
          <w:szCs w:val="24"/>
          <w:lang w:val="en-US"/>
        </w:rPr>
      </w:pPr>
      <w:r w:rsidRPr="007F560B">
        <w:rPr>
          <w:b/>
          <w:sz w:val="24"/>
          <w:szCs w:val="24"/>
          <w:lang w:val="en-US"/>
        </w:rPr>
        <w:t xml:space="preserve">Author contributions: </w:t>
      </w:r>
      <w:r w:rsidRPr="007F560B">
        <w:rPr>
          <w:sz w:val="24"/>
          <w:szCs w:val="24"/>
          <w:lang w:val="en-US"/>
        </w:rPr>
        <w:t>F</w:t>
      </w:r>
      <w:r w:rsidR="00163381" w:rsidRPr="007F560B">
        <w:rPr>
          <w:sz w:val="24"/>
          <w:szCs w:val="24"/>
          <w:lang w:val="en-US"/>
        </w:rPr>
        <w:t xml:space="preserve">u WK and </w:t>
      </w:r>
      <w:r w:rsidRPr="007F560B">
        <w:rPr>
          <w:sz w:val="24"/>
          <w:szCs w:val="24"/>
          <w:lang w:val="en-US"/>
        </w:rPr>
        <w:t>C</w:t>
      </w:r>
      <w:r w:rsidR="00163381" w:rsidRPr="007F560B">
        <w:rPr>
          <w:sz w:val="24"/>
          <w:szCs w:val="24"/>
          <w:lang w:val="en-US"/>
        </w:rPr>
        <w:t>ao J</w:t>
      </w:r>
      <w:r w:rsidRPr="007F560B">
        <w:rPr>
          <w:sz w:val="24"/>
          <w:szCs w:val="24"/>
          <w:lang w:val="en-US"/>
        </w:rPr>
        <w:t xml:space="preserve"> designed the study and perform</w:t>
      </w:r>
      <w:r w:rsidR="00163381" w:rsidRPr="007F560B">
        <w:rPr>
          <w:sz w:val="24"/>
          <w:szCs w:val="24"/>
          <w:lang w:val="en-US"/>
        </w:rPr>
        <w:t xml:space="preserve">ed the study; </w:t>
      </w:r>
      <w:r w:rsidRPr="007F560B">
        <w:rPr>
          <w:sz w:val="24"/>
          <w:szCs w:val="24"/>
          <w:lang w:val="en-US"/>
        </w:rPr>
        <w:t>M</w:t>
      </w:r>
      <w:r w:rsidR="00163381" w:rsidRPr="007F560B">
        <w:rPr>
          <w:sz w:val="24"/>
          <w:szCs w:val="24"/>
          <w:lang w:val="en-US"/>
        </w:rPr>
        <w:t>eng WB</w:t>
      </w:r>
      <w:r w:rsidR="00CE1F15">
        <w:rPr>
          <w:sz w:val="24"/>
          <w:szCs w:val="24"/>
          <w:lang w:val="en-US"/>
        </w:rPr>
        <w:t xml:space="preserve"> and</w:t>
      </w:r>
      <w:r w:rsidR="00CE1F15" w:rsidRPr="007F560B">
        <w:rPr>
          <w:sz w:val="24"/>
          <w:szCs w:val="24"/>
          <w:lang w:val="en-US"/>
        </w:rPr>
        <w:t xml:space="preserve"> </w:t>
      </w:r>
      <w:r w:rsidRPr="007F560B">
        <w:rPr>
          <w:sz w:val="24"/>
          <w:szCs w:val="24"/>
          <w:lang w:val="en-US"/>
        </w:rPr>
        <w:t>F</w:t>
      </w:r>
      <w:r w:rsidR="00163381" w:rsidRPr="007F560B">
        <w:rPr>
          <w:sz w:val="24"/>
          <w:szCs w:val="24"/>
          <w:lang w:val="en-US"/>
        </w:rPr>
        <w:t>u WK</w:t>
      </w:r>
      <w:r w:rsidRPr="007F560B">
        <w:rPr>
          <w:sz w:val="24"/>
          <w:szCs w:val="24"/>
          <w:lang w:val="en-US"/>
        </w:rPr>
        <w:t xml:space="preserve"> </w:t>
      </w:r>
      <w:r w:rsidR="00163381" w:rsidRPr="007F560B">
        <w:rPr>
          <w:sz w:val="24"/>
          <w:szCs w:val="24"/>
          <w:lang w:val="en-US"/>
        </w:rPr>
        <w:t xml:space="preserve">wrote </w:t>
      </w:r>
      <w:r w:rsidRPr="007F560B">
        <w:rPr>
          <w:sz w:val="24"/>
          <w:szCs w:val="24"/>
          <w:lang w:val="en-US"/>
        </w:rPr>
        <w:t xml:space="preserve">the manuscript; </w:t>
      </w:r>
      <w:r w:rsidR="00163381" w:rsidRPr="007F560B">
        <w:rPr>
          <w:sz w:val="24"/>
          <w:szCs w:val="24"/>
          <w:lang w:val="en-US"/>
        </w:rPr>
        <w:t xml:space="preserve">Fu WK, </w:t>
      </w:r>
      <w:r w:rsidRPr="007F560B">
        <w:rPr>
          <w:sz w:val="24"/>
          <w:szCs w:val="24"/>
          <w:lang w:val="en-US"/>
        </w:rPr>
        <w:t>H</w:t>
      </w:r>
      <w:r w:rsidR="00163381" w:rsidRPr="007F560B">
        <w:rPr>
          <w:sz w:val="24"/>
          <w:szCs w:val="24"/>
          <w:lang w:val="en-US"/>
        </w:rPr>
        <w:t xml:space="preserve">uang CF, </w:t>
      </w:r>
      <w:r w:rsidR="00CE1F15">
        <w:rPr>
          <w:sz w:val="24"/>
          <w:szCs w:val="24"/>
          <w:lang w:val="en-US"/>
        </w:rPr>
        <w:t xml:space="preserve">and </w:t>
      </w:r>
      <w:r w:rsidRPr="007F560B">
        <w:rPr>
          <w:sz w:val="24"/>
          <w:szCs w:val="24"/>
          <w:lang w:val="en-US"/>
        </w:rPr>
        <w:t>G</w:t>
      </w:r>
      <w:r w:rsidR="00163381" w:rsidRPr="007F560B">
        <w:rPr>
          <w:sz w:val="24"/>
          <w:szCs w:val="24"/>
          <w:lang w:val="en-US"/>
        </w:rPr>
        <w:t>ao L</w:t>
      </w:r>
      <w:r w:rsidRPr="007F560B">
        <w:rPr>
          <w:sz w:val="24"/>
          <w:szCs w:val="24"/>
          <w:lang w:val="en-US"/>
        </w:rPr>
        <w:t xml:space="preserve"> </w:t>
      </w:r>
      <w:r w:rsidR="00163381" w:rsidRPr="007F560B">
        <w:rPr>
          <w:sz w:val="24"/>
          <w:szCs w:val="24"/>
          <w:lang w:val="en-US"/>
        </w:rPr>
        <w:t xml:space="preserve">analyzed and interpreted the results; </w:t>
      </w:r>
      <w:r w:rsidRPr="007F560B">
        <w:rPr>
          <w:sz w:val="24"/>
          <w:szCs w:val="24"/>
          <w:lang w:val="en-US"/>
        </w:rPr>
        <w:t>Y</w:t>
      </w:r>
      <w:r w:rsidR="00163381" w:rsidRPr="007F560B">
        <w:rPr>
          <w:sz w:val="24"/>
          <w:szCs w:val="24"/>
          <w:lang w:val="en-US"/>
        </w:rPr>
        <w:t xml:space="preserve">ue P and </w:t>
      </w:r>
      <w:r w:rsidRPr="007F560B">
        <w:rPr>
          <w:sz w:val="24"/>
          <w:szCs w:val="24"/>
          <w:lang w:val="en-US"/>
        </w:rPr>
        <w:t>B</w:t>
      </w:r>
      <w:r w:rsidR="00163381" w:rsidRPr="007F560B">
        <w:rPr>
          <w:sz w:val="24"/>
          <w:szCs w:val="24"/>
          <w:lang w:val="en-US"/>
        </w:rPr>
        <w:t>ai B</w:t>
      </w:r>
      <w:r w:rsidRPr="007F560B">
        <w:rPr>
          <w:sz w:val="24"/>
          <w:szCs w:val="24"/>
          <w:lang w:val="en-US"/>
        </w:rPr>
        <w:t xml:space="preserve"> </w:t>
      </w:r>
      <w:r w:rsidR="00163381" w:rsidRPr="007F560B">
        <w:rPr>
          <w:sz w:val="24"/>
          <w:szCs w:val="24"/>
          <w:lang w:val="en-US"/>
        </w:rPr>
        <w:t xml:space="preserve">provided </w:t>
      </w:r>
      <w:r w:rsidRPr="007F560B">
        <w:rPr>
          <w:sz w:val="24"/>
          <w:szCs w:val="24"/>
          <w:lang w:val="en-US"/>
        </w:rPr>
        <w:t>intellectual contribution</w:t>
      </w:r>
      <w:r w:rsidR="00EB4833">
        <w:rPr>
          <w:sz w:val="24"/>
          <w:szCs w:val="24"/>
          <w:lang w:val="en-US"/>
        </w:rPr>
        <w:t xml:space="preserve">; </w:t>
      </w:r>
      <w:r w:rsidR="00EB4833" w:rsidRPr="007F560B">
        <w:rPr>
          <w:sz w:val="24"/>
          <w:szCs w:val="24"/>
          <w:lang w:val="en-US"/>
        </w:rPr>
        <w:t>a</w:t>
      </w:r>
      <w:r w:rsidRPr="007F560B">
        <w:rPr>
          <w:sz w:val="24"/>
          <w:szCs w:val="24"/>
          <w:lang w:val="en-US"/>
        </w:rPr>
        <w:t>ll authors have reviewed and approved the final manuscript.</w:t>
      </w:r>
    </w:p>
    <w:p w14:paraId="4AE783A7" w14:textId="77777777" w:rsidR="00EE5649" w:rsidRPr="007F560B" w:rsidRDefault="00EE5649" w:rsidP="007F560B">
      <w:pPr>
        <w:snapToGrid w:val="0"/>
        <w:spacing w:line="360" w:lineRule="auto"/>
        <w:jc w:val="both"/>
        <w:rPr>
          <w:rFonts w:eastAsiaTheme="minorEastAsia" w:cs="Times New Roman"/>
          <w:b/>
          <w:sz w:val="24"/>
          <w:szCs w:val="24"/>
          <w:lang w:val="en-US"/>
        </w:rPr>
      </w:pPr>
    </w:p>
    <w:p w14:paraId="2EB26AD9" w14:textId="5B16F6D0" w:rsidR="00EE5649" w:rsidRPr="007F560B" w:rsidRDefault="00EE5649" w:rsidP="007F560B">
      <w:pPr>
        <w:snapToGrid w:val="0"/>
        <w:spacing w:line="360" w:lineRule="auto"/>
        <w:jc w:val="both"/>
        <w:rPr>
          <w:rFonts w:eastAsiaTheme="minorEastAsia"/>
          <w:sz w:val="24"/>
          <w:szCs w:val="24"/>
          <w:lang w:val="en-US"/>
        </w:rPr>
      </w:pPr>
      <w:r w:rsidRPr="007F560B">
        <w:rPr>
          <w:b/>
          <w:sz w:val="24"/>
          <w:szCs w:val="24"/>
          <w:lang w:val="en-US"/>
        </w:rPr>
        <w:t xml:space="preserve">Supported by </w:t>
      </w:r>
      <w:r w:rsidRPr="007F560B">
        <w:rPr>
          <w:sz w:val="24"/>
          <w:szCs w:val="24"/>
          <w:lang w:val="en-US"/>
        </w:rPr>
        <w:t>National Natural Science Foundation of China</w:t>
      </w:r>
      <w:r w:rsidR="00163381" w:rsidRPr="007F560B">
        <w:rPr>
          <w:sz w:val="24"/>
          <w:szCs w:val="24"/>
          <w:lang w:val="en-US"/>
        </w:rPr>
        <w:t xml:space="preserve">, No. 81872036; </w:t>
      </w:r>
      <w:r w:rsidRPr="007F560B">
        <w:rPr>
          <w:sz w:val="24"/>
          <w:szCs w:val="24"/>
          <w:lang w:val="en-US"/>
        </w:rPr>
        <w:t xml:space="preserve">Talent Innovation and Entrepreneurship Plan of </w:t>
      </w:r>
      <w:proofErr w:type="spellStart"/>
      <w:r w:rsidRPr="007F560B">
        <w:rPr>
          <w:sz w:val="24"/>
          <w:szCs w:val="24"/>
          <w:lang w:val="en-US"/>
        </w:rPr>
        <w:t>Chengguan</w:t>
      </w:r>
      <w:proofErr w:type="spellEnd"/>
      <w:r w:rsidRPr="007F560B">
        <w:rPr>
          <w:sz w:val="24"/>
          <w:szCs w:val="24"/>
          <w:lang w:val="en-US"/>
        </w:rPr>
        <w:t xml:space="preserve"> District</w:t>
      </w:r>
      <w:r w:rsidR="00CE1F15" w:rsidRPr="00CE1F15">
        <w:rPr>
          <w:sz w:val="24"/>
          <w:szCs w:val="24"/>
          <w:lang w:val="en-US"/>
        </w:rPr>
        <w:t xml:space="preserve"> </w:t>
      </w:r>
      <w:r w:rsidR="00CE1F15">
        <w:rPr>
          <w:sz w:val="24"/>
          <w:szCs w:val="24"/>
          <w:lang w:val="en-US"/>
        </w:rPr>
        <w:t xml:space="preserve">of </w:t>
      </w:r>
      <w:r w:rsidR="00CE1F15" w:rsidRPr="007F560B">
        <w:rPr>
          <w:sz w:val="24"/>
          <w:szCs w:val="24"/>
          <w:lang w:val="en-US"/>
        </w:rPr>
        <w:t>Lanzhou City</w:t>
      </w:r>
      <w:r w:rsidR="00163381" w:rsidRPr="007F560B">
        <w:rPr>
          <w:sz w:val="24"/>
          <w:szCs w:val="24"/>
          <w:lang w:val="en-US"/>
        </w:rPr>
        <w:t>, No. 2019RCCX0038;</w:t>
      </w:r>
      <w:r w:rsidRPr="007F560B">
        <w:rPr>
          <w:sz w:val="24"/>
          <w:szCs w:val="24"/>
          <w:lang w:val="en-US"/>
        </w:rPr>
        <w:t xml:space="preserve"> Science and Technology Plan of </w:t>
      </w:r>
      <w:proofErr w:type="spellStart"/>
      <w:r w:rsidRPr="007F560B">
        <w:rPr>
          <w:sz w:val="24"/>
          <w:szCs w:val="24"/>
          <w:lang w:val="en-US"/>
        </w:rPr>
        <w:t>Chengguan</w:t>
      </w:r>
      <w:proofErr w:type="spellEnd"/>
      <w:r w:rsidRPr="007F560B">
        <w:rPr>
          <w:sz w:val="24"/>
          <w:szCs w:val="24"/>
          <w:lang w:val="en-US"/>
        </w:rPr>
        <w:t xml:space="preserve"> District of Lanzhou City</w:t>
      </w:r>
      <w:r w:rsidR="00163381" w:rsidRPr="007F560B">
        <w:rPr>
          <w:sz w:val="24"/>
          <w:szCs w:val="24"/>
          <w:lang w:val="en-US"/>
        </w:rPr>
        <w:t>, No. 2019JSXC0092</w:t>
      </w:r>
      <w:r w:rsidRPr="007F560B">
        <w:rPr>
          <w:rFonts w:eastAsiaTheme="minorEastAsia"/>
          <w:sz w:val="24"/>
          <w:szCs w:val="24"/>
          <w:lang w:val="en-US"/>
        </w:rPr>
        <w:t>.</w:t>
      </w:r>
    </w:p>
    <w:p w14:paraId="0DB9D4C3" w14:textId="77777777" w:rsidR="00EE5649" w:rsidRPr="007F560B" w:rsidRDefault="00EE5649" w:rsidP="007F560B">
      <w:pPr>
        <w:snapToGrid w:val="0"/>
        <w:spacing w:line="360" w:lineRule="auto"/>
        <w:jc w:val="both"/>
        <w:rPr>
          <w:rFonts w:eastAsiaTheme="minorEastAsia" w:cs="Times New Roman"/>
          <w:b/>
          <w:sz w:val="24"/>
          <w:szCs w:val="24"/>
          <w:lang w:val="en-US"/>
        </w:rPr>
      </w:pPr>
    </w:p>
    <w:p w14:paraId="2D23ECB8" w14:textId="0B3A9945" w:rsidR="00A8261B" w:rsidRPr="007F560B" w:rsidRDefault="00163381" w:rsidP="007F560B">
      <w:pPr>
        <w:snapToGrid w:val="0"/>
        <w:spacing w:line="360" w:lineRule="auto"/>
        <w:jc w:val="both"/>
        <w:rPr>
          <w:rStyle w:val="a4"/>
          <w:rFonts w:cs="Times New Roman"/>
          <w:b/>
          <w:color w:val="auto"/>
          <w:sz w:val="24"/>
          <w:szCs w:val="24"/>
          <w:u w:val="none"/>
          <w:lang w:val="en-US"/>
        </w:rPr>
      </w:pPr>
      <w:r w:rsidRPr="007F560B">
        <w:rPr>
          <w:b/>
          <w:color w:val="000000"/>
          <w:sz w:val="24"/>
          <w:szCs w:val="24"/>
          <w:lang w:val="en-US"/>
        </w:rPr>
        <w:t>Corresponding author:</w:t>
      </w:r>
      <w:r w:rsidR="00EE5649" w:rsidRPr="007F560B">
        <w:rPr>
          <w:rFonts w:eastAsiaTheme="minorEastAsia" w:cs="Times New Roman"/>
          <w:b/>
          <w:sz w:val="24"/>
          <w:szCs w:val="24"/>
          <w:lang w:val="en-US"/>
        </w:rPr>
        <w:t xml:space="preserve"> </w:t>
      </w:r>
      <w:r w:rsidR="00A8261B" w:rsidRPr="007F560B">
        <w:rPr>
          <w:rFonts w:eastAsia="宋体" w:cs="Times New Roman"/>
          <w:b/>
          <w:sz w:val="24"/>
          <w:szCs w:val="24"/>
          <w:lang w:val="en-US"/>
        </w:rPr>
        <w:t>Wen</w:t>
      </w:r>
      <w:r w:rsidR="005C2C6A" w:rsidRPr="007F560B">
        <w:rPr>
          <w:rFonts w:eastAsia="宋体" w:cs="Times New Roman"/>
          <w:b/>
          <w:sz w:val="24"/>
          <w:szCs w:val="24"/>
          <w:lang w:val="en-US"/>
        </w:rPr>
        <w:t xml:space="preserve">-Bo </w:t>
      </w:r>
      <w:r w:rsidR="00A8261B" w:rsidRPr="007F560B">
        <w:rPr>
          <w:rFonts w:eastAsia="宋体" w:cs="Times New Roman"/>
          <w:b/>
          <w:sz w:val="24"/>
          <w:szCs w:val="24"/>
          <w:lang w:val="en-US"/>
        </w:rPr>
        <w:t>Meng</w:t>
      </w:r>
      <w:r w:rsidR="005C2C6A" w:rsidRPr="007F560B">
        <w:rPr>
          <w:rFonts w:cs="Times New Roman"/>
          <w:b/>
          <w:sz w:val="24"/>
          <w:szCs w:val="24"/>
          <w:lang w:val="en-US"/>
        </w:rPr>
        <w:t xml:space="preserve">, </w:t>
      </w:r>
      <w:r w:rsidR="00A8261B" w:rsidRPr="007F560B">
        <w:rPr>
          <w:rFonts w:cs="Times New Roman"/>
          <w:b/>
          <w:sz w:val="24"/>
          <w:szCs w:val="24"/>
          <w:lang w:val="en-US"/>
        </w:rPr>
        <w:t xml:space="preserve">MD, PhD, </w:t>
      </w:r>
      <w:r w:rsidR="009C739D" w:rsidRPr="007F560B">
        <w:rPr>
          <w:rFonts w:cs="Times New Roman"/>
          <w:b/>
          <w:sz w:val="24"/>
          <w:szCs w:val="24"/>
          <w:lang w:val="en-US"/>
        </w:rPr>
        <w:t>Chief Doctor, Director, Professor,</w:t>
      </w:r>
      <w:r w:rsidR="00A8261B" w:rsidRPr="007F560B">
        <w:rPr>
          <w:rFonts w:cs="Times New Roman"/>
          <w:sz w:val="24"/>
          <w:szCs w:val="24"/>
          <w:lang w:val="en-US"/>
        </w:rPr>
        <w:t xml:space="preserve"> </w:t>
      </w:r>
      <w:r w:rsidR="00A8261B" w:rsidRPr="007F560B">
        <w:rPr>
          <w:rFonts w:eastAsia="宋体" w:cs="Times New Roman"/>
          <w:sz w:val="24"/>
          <w:szCs w:val="24"/>
          <w:lang w:val="en-US"/>
        </w:rPr>
        <w:t>Special Minimally Invasive Surgery Department</w:t>
      </w:r>
      <w:r w:rsidR="00A8261B" w:rsidRPr="007F560B">
        <w:rPr>
          <w:rFonts w:cs="Times New Roman"/>
          <w:sz w:val="24"/>
          <w:szCs w:val="24"/>
          <w:lang w:val="en-US"/>
        </w:rPr>
        <w:t xml:space="preserve">, </w:t>
      </w:r>
      <w:r w:rsidR="00A8261B" w:rsidRPr="007F560B">
        <w:rPr>
          <w:rFonts w:eastAsia="宋体" w:cs="Times New Roman"/>
          <w:sz w:val="24"/>
          <w:szCs w:val="24"/>
          <w:lang w:val="en-US"/>
        </w:rPr>
        <w:t xml:space="preserve">The First Hospital of Lanzhou University, </w:t>
      </w:r>
      <w:r w:rsidR="009C739D" w:rsidRPr="007F560B">
        <w:rPr>
          <w:rFonts w:eastAsia="宋体" w:cs="Times New Roman"/>
          <w:sz w:val="24"/>
          <w:szCs w:val="24"/>
          <w:lang w:val="en-US"/>
        </w:rPr>
        <w:t>No. 1</w:t>
      </w:r>
      <w:r w:rsidR="00CE1F15">
        <w:rPr>
          <w:rFonts w:eastAsia="宋体" w:cs="Times New Roman"/>
          <w:sz w:val="24"/>
          <w:szCs w:val="24"/>
          <w:lang w:val="en-US"/>
        </w:rPr>
        <w:t>,</w:t>
      </w:r>
      <w:r w:rsidR="009C739D" w:rsidRPr="007F560B">
        <w:rPr>
          <w:rFonts w:eastAsia="宋体" w:cs="Times New Roman"/>
          <w:sz w:val="24"/>
          <w:szCs w:val="24"/>
          <w:lang w:val="en-US"/>
        </w:rPr>
        <w:t xml:space="preserve"> </w:t>
      </w:r>
      <w:proofErr w:type="spellStart"/>
      <w:r w:rsidR="009C739D" w:rsidRPr="007F560B">
        <w:rPr>
          <w:rFonts w:eastAsia="宋体" w:cs="Times New Roman"/>
          <w:sz w:val="24"/>
          <w:szCs w:val="24"/>
          <w:lang w:val="en-US"/>
        </w:rPr>
        <w:t>Donggang</w:t>
      </w:r>
      <w:proofErr w:type="spellEnd"/>
      <w:r w:rsidR="009C739D" w:rsidRPr="007F560B">
        <w:rPr>
          <w:rFonts w:eastAsia="宋体" w:cs="Times New Roman"/>
          <w:sz w:val="24"/>
          <w:szCs w:val="24"/>
          <w:lang w:val="en-US"/>
        </w:rPr>
        <w:t xml:space="preserve"> West Road, Lanzhou 730000, Gansu</w:t>
      </w:r>
      <w:r w:rsidR="00E2361D">
        <w:rPr>
          <w:rFonts w:eastAsia="宋体" w:cs="Times New Roman"/>
          <w:sz w:val="24"/>
          <w:szCs w:val="24"/>
          <w:lang w:val="en-US"/>
        </w:rPr>
        <w:t xml:space="preserve"> </w:t>
      </w:r>
      <w:r w:rsidR="00E2361D" w:rsidRPr="007F560B">
        <w:rPr>
          <w:rFonts w:eastAsia="宋体" w:cs="Times New Roman"/>
          <w:sz w:val="24"/>
          <w:szCs w:val="24"/>
          <w:lang w:val="en-US"/>
        </w:rPr>
        <w:t>Province</w:t>
      </w:r>
      <w:r w:rsidR="009C739D" w:rsidRPr="007F560B">
        <w:rPr>
          <w:rFonts w:eastAsia="宋体" w:cs="Times New Roman"/>
          <w:sz w:val="24"/>
          <w:szCs w:val="24"/>
          <w:lang w:val="en-US"/>
        </w:rPr>
        <w:t xml:space="preserve">, China. </w:t>
      </w:r>
      <w:r w:rsidR="00A8261B" w:rsidRPr="007F560B">
        <w:rPr>
          <w:rStyle w:val="a4"/>
          <w:rFonts w:cs="Times New Roman"/>
          <w:sz w:val="24"/>
          <w:szCs w:val="24"/>
          <w:lang w:val="en-US"/>
        </w:rPr>
        <w:t>mengwb@lzu.edu.cn</w:t>
      </w:r>
    </w:p>
    <w:p w14:paraId="563D2B4E" w14:textId="77777777" w:rsidR="000E33AA" w:rsidRPr="007F560B" w:rsidRDefault="000E33AA" w:rsidP="007F560B">
      <w:pPr>
        <w:snapToGrid w:val="0"/>
        <w:spacing w:line="360" w:lineRule="auto"/>
        <w:jc w:val="both"/>
        <w:rPr>
          <w:rFonts w:eastAsia="宋体" w:cs="Times New Roman"/>
          <w:sz w:val="24"/>
          <w:szCs w:val="24"/>
          <w:lang w:val="en-US"/>
        </w:rPr>
      </w:pPr>
    </w:p>
    <w:p w14:paraId="03B32EB9" w14:textId="77777777" w:rsidR="000E33AA" w:rsidRPr="007F560B" w:rsidRDefault="000E33AA" w:rsidP="007F560B">
      <w:pPr>
        <w:adjustRightInd w:val="0"/>
        <w:snapToGrid w:val="0"/>
        <w:spacing w:line="360" w:lineRule="auto"/>
        <w:jc w:val="both"/>
        <w:rPr>
          <w:b/>
          <w:color w:val="000000"/>
          <w:sz w:val="24"/>
          <w:szCs w:val="24"/>
          <w:lang w:val="en-US"/>
        </w:rPr>
      </w:pPr>
      <w:r w:rsidRPr="007F560B">
        <w:rPr>
          <w:b/>
          <w:color w:val="000000"/>
          <w:sz w:val="24"/>
          <w:szCs w:val="24"/>
          <w:lang w:val="en-US"/>
        </w:rPr>
        <w:t xml:space="preserve">Received: </w:t>
      </w:r>
      <w:r w:rsidRPr="007F560B">
        <w:rPr>
          <w:color w:val="000000"/>
          <w:sz w:val="24"/>
          <w:szCs w:val="24"/>
          <w:lang w:val="en-US"/>
        </w:rPr>
        <w:t xml:space="preserve">March </w:t>
      </w:r>
      <w:r w:rsidR="00554037" w:rsidRPr="007F560B">
        <w:rPr>
          <w:color w:val="000000"/>
          <w:sz w:val="24"/>
          <w:szCs w:val="24"/>
          <w:lang w:val="en-US"/>
        </w:rPr>
        <w:t>3</w:t>
      </w:r>
      <w:r w:rsidRPr="007F560B">
        <w:rPr>
          <w:color w:val="000000"/>
          <w:sz w:val="24"/>
          <w:szCs w:val="24"/>
          <w:lang w:val="en-US"/>
        </w:rPr>
        <w:t>, 20</w:t>
      </w:r>
      <w:r w:rsidR="00554037" w:rsidRPr="007F560B">
        <w:rPr>
          <w:color w:val="000000"/>
          <w:sz w:val="24"/>
          <w:szCs w:val="24"/>
          <w:lang w:val="en-US"/>
        </w:rPr>
        <w:t>20</w:t>
      </w:r>
    </w:p>
    <w:p w14:paraId="0C142B74" w14:textId="77777777" w:rsidR="000E33AA" w:rsidRPr="007F560B" w:rsidRDefault="000E33AA" w:rsidP="007F560B">
      <w:pPr>
        <w:adjustRightInd w:val="0"/>
        <w:snapToGrid w:val="0"/>
        <w:spacing w:line="360" w:lineRule="auto"/>
        <w:jc w:val="both"/>
        <w:rPr>
          <w:color w:val="000000"/>
          <w:sz w:val="24"/>
          <w:szCs w:val="24"/>
          <w:lang w:val="en-US"/>
        </w:rPr>
      </w:pPr>
      <w:r w:rsidRPr="007F560B">
        <w:rPr>
          <w:b/>
          <w:color w:val="000000"/>
          <w:sz w:val="24"/>
          <w:szCs w:val="24"/>
          <w:lang w:val="en-US"/>
        </w:rPr>
        <w:t xml:space="preserve">Revised: </w:t>
      </w:r>
      <w:r w:rsidR="009C739D" w:rsidRPr="007F560B">
        <w:rPr>
          <w:color w:val="000000"/>
          <w:sz w:val="24"/>
          <w:szCs w:val="24"/>
          <w:lang w:val="en-US"/>
        </w:rPr>
        <w:t>April 18, 2020</w:t>
      </w:r>
    </w:p>
    <w:p w14:paraId="7CD3B61D" w14:textId="52FC886C" w:rsidR="000E33AA" w:rsidRPr="008C7B5E" w:rsidRDefault="000E33AA" w:rsidP="008C7B5E">
      <w:pPr>
        <w:widowControl/>
        <w:snapToGrid w:val="0"/>
        <w:spacing w:line="360" w:lineRule="auto"/>
        <w:rPr>
          <w:rFonts w:eastAsia="宋体" w:cs="Times New Roman"/>
          <w:b/>
          <w:sz w:val="24"/>
          <w:szCs w:val="24"/>
          <w:lang w:val="en-GB" w:eastAsia="en-US"/>
        </w:rPr>
      </w:pPr>
      <w:r w:rsidRPr="007F560B">
        <w:rPr>
          <w:b/>
          <w:color w:val="000000"/>
          <w:sz w:val="24"/>
          <w:szCs w:val="24"/>
          <w:lang w:val="en-US"/>
        </w:rPr>
        <w:t>Accepted:</w:t>
      </w:r>
      <w:r w:rsidR="008C7B5E" w:rsidRPr="008C7B5E">
        <w:rPr>
          <w:rFonts w:eastAsia="宋体" w:cs="Times New Roman"/>
          <w:bCs/>
          <w:sz w:val="24"/>
          <w:szCs w:val="24"/>
          <w:lang w:val="en-GB" w:eastAsia="en-US"/>
        </w:rPr>
        <w:t xml:space="preserve"> </w:t>
      </w:r>
      <w:r w:rsidR="008C7B5E" w:rsidRPr="0034067F">
        <w:rPr>
          <w:rFonts w:eastAsia="宋体" w:cs="Times New Roman"/>
          <w:bCs/>
          <w:sz w:val="24"/>
          <w:szCs w:val="24"/>
          <w:lang w:val="en-GB" w:eastAsia="en-US"/>
        </w:rPr>
        <w:t>April 28, 2020</w:t>
      </w:r>
      <w:r w:rsidR="008C7B5E" w:rsidRPr="0034067F">
        <w:rPr>
          <w:rFonts w:ascii="Calibri" w:eastAsia="宋体" w:hAnsi="Calibri" w:cs="Times New Roman"/>
          <w:bCs/>
          <w:sz w:val="24"/>
          <w:szCs w:val="24"/>
          <w:lang w:val="el-GR" w:eastAsia="en-US"/>
        </w:rPr>
        <w:t xml:space="preserve"> </w:t>
      </w:r>
      <w:r w:rsidRPr="007F560B">
        <w:rPr>
          <w:b/>
          <w:color w:val="000000"/>
          <w:sz w:val="24"/>
          <w:szCs w:val="24"/>
          <w:lang w:val="en-US"/>
        </w:rPr>
        <w:t xml:space="preserve"> </w:t>
      </w:r>
    </w:p>
    <w:p w14:paraId="60FE607B" w14:textId="4FC4F24F" w:rsidR="000E33AA" w:rsidRPr="003370EF" w:rsidRDefault="000E33AA" w:rsidP="00DD07E7">
      <w:pPr>
        <w:adjustRightInd w:val="0"/>
        <w:snapToGrid w:val="0"/>
        <w:spacing w:line="360" w:lineRule="auto"/>
        <w:jc w:val="both"/>
        <w:rPr>
          <w:rFonts w:eastAsiaTheme="minorEastAsia"/>
          <w:b/>
          <w:color w:val="000000"/>
          <w:sz w:val="24"/>
          <w:szCs w:val="24"/>
          <w:lang w:val="en-US"/>
        </w:rPr>
      </w:pPr>
      <w:r w:rsidRPr="007F560B">
        <w:rPr>
          <w:b/>
          <w:color w:val="000000"/>
          <w:sz w:val="24"/>
          <w:szCs w:val="24"/>
          <w:lang w:val="en-US"/>
        </w:rPr>
        <w:t>Published online:</w:t>
      </w:r>
      <w:r w:rsidR="00DD07E7">
        <w:rPr>
          <w:rFonts w:eastAsiaTheme="minorEastAsia" w:hint="eastAsia"/>
          <w:b/>
          <w:color w:val="000000"/>
          <w:sz w:val="24"/>
          <w:szCs w:val="24"/>
          <w:lang w:val="en-US"/>
        </w:rPr>
        <w:t xml:space="preserve"> </w:t>
      </w:r>
      <w:r w:rsidR="003370EF" w:rsidRPr="003370EF">
        <w:rPr>
          <w:color w:val="000000"/>
          <w:sz w:val="24"/>
          <w:szCs w:val="24"/>
          <w:lang w:val="en-US"/>
        </w:rPr>
        <w:t>June 6, 2020</w:t>
      </w:r>
    </w:p>
    <w:p w14:paraId="13D093A6" w14:textId="77777777" w:rsidR="00DD07E7" w:rsidRDefault="00DD07E7" w:rsidP="007F560B">
      <w:pPr>
        <w:adjustRightInd w:val="0"/>
        <w:snapToGrid w:val="0"/>
        <w:spacing w:line="360" w:lineRule="auto"/>
        <w:jc w:val="both"/>
        <w:rPr>
          <w:rFonts w:eastAsia="宋体" w:cs="Times New Roman"/>
          <w:sz w:val="24"/>
          <w:szCs w:val="24"/>
          <w:lang w:val="en-US"/>
        </w:rPr>
      </w:pPr>
    </w:p>
    <w:p w14:paraId="33A1367C" w14:textId="77777777" w:rsidR="009C739D" w:rsidRPr="007F560B" w:rsidRDefault="009C739D" w:rsidP="007F560B">
      <w:pPr>
        <w:adjustRightInd w:val="0"/>
        <w:snapToGrid w:val="0"/>
        <w:spacing w:line="360" w:lineRule="auto"/>
        <w:jc w:val="both"/>
        <w:rPr>
          <w:b/>
          <w:color w:val="008000"/>
          <w:sz w:val="24"/>
          <w:szCs w:val="24"/>
          <w:lang w:val="en-US"/>
        </w:rPr>
      </w:pPr>
      <w:r w:rsidRPr="007F560B">
        <w:rPr>
          <w:b/>
          <w:color w:val="000000"/>
          <w:sz w:val="24"/>
          <w:szCs w:val="24"/>
          <w:lang w:val="en-US"/>
        </w:rPr>
        <w:t>Abstract</w:t>
      </w:r>
    </w:p>
    <w:p w14:paraId="4AB3FCDA" w14:textId="77777777" w:rsidR="009C739D" w:rsidRPr="007F560B" w:rsidRDefault="009C739D" w:rsidP="007F560B">
      <w:pPr>
        <w:adjustRightInd w:val="0"/>
        <w:snapToGrid w:val="0"/>
        <w:spacing w:line="360" w:lineRule="auto"/>
        <w:jc w:val="both"/>
        <w:rPr>
          <w:color w:val="000000"/>
          <w:sz w:val="24"/>
          <w:szCs w:val="24"/>
          <w:lang w:val="en-US"/>
        </w:rPr>
      </w:pPr>
      <w:r w:rsidRPr="007F560B">
        <w:rPr>
          <w:color w:val="000000"/>
          <w:sz w:val="24"/>
          <w:szCs w:val="24"/>
          <w:lang w:val="en-US"/>
        </w:rPr>
        <w:t>BACKGROUND</w:t>
      </w:r>
    </w:p>
    <w:p w14:paraId="75F80DCF" w14:textId="053E0A72" w:rsidR="00A8261B" w:rsidRPr="007F560B" w:rsidRDefault="0097781E" w:rsidP="007F560B">
      <w:pPr>
        <w:pStyle w:val="a3"/>
        <w:snapToGrid w:val="0"/>
        <w:spacing w:line="360" w:lineRule="auto"/>
        <w:ind w:left="0"/>
        <w:jc w:val="both"/>
        <w:rPr>
          <w:rFonts w:eastAsia="TimesNewRoman" w:cs="TimesNewRoman"/>
          <w:lang w:val="en-US"/>
        </w:rPr>
      </w:pPr>
      <w:r w:rsidRPr="007F560B">
        <w:rPr>
          <w:rFonts w:eastAsia="TimesNewRoman" w:cs="TimesNewRoman"/>
          <w:lang w:val="en-US"/>
        </w:rPr>
        <w:t xml:space="preserve">Chronic hepatitis B virus </w:t>
      </w:r>
      <w:r w:rsidR="00A8261B" w:rsidRPr="007F560B">
        <w:rPr>
          <w:rFonts w:eastAsia="TimesNewRoman" w:cs="TimesNewRoman"/>
          <w:lang w:val="en-US"/>
        </w:rPr>
        <w:t>infection remains a</w:t>
      </w:r>
      <w:r w:rsidR="00265BAD" w:rsidRPr="007F560B">
        <w:rPr>
          <w:rFonts w:eastAsia="TimesNewRoman" w:cs="TimesNewRoman"/>
          <w:lang w:val="en-US"/>
        </w:rPr>
        <w:t xml:space="preserve"> </w:t>
      </w:r>
      <w:r w:rsidR="00A91A3D" w:rsidRPr="007F560B">
        <w:rPr>
          <w:rFonts w:eastAsia="TimesNewRoman" w:cs="TimesNewRoman"/>
          <w:lang w:val="en-US"/>
        </w:rPr>
        <w:t xml:space="preserve">major </w:t>
      </w:r>
      <w:r w:rsidR="00A8261B" w:rsidRPr="007F560B">
        <w:rPr>
          <w:rFonts w:eastAsia="TimesNewRoman" w:cs="TimesNewRoman"/>
          <w:lang w:val="en-US"/>
        </w:rPr>
        <w:t>global public health problem.</w:t>
      </w:r>
      <w:r w:rsidR="009C739D" w:rsidRPr="007F560B">
        <w:rPr>
          <w:rFonts w:eastAsia="TimesNewRoman" w:cs="TimesNewRoman"/>
          <w:lang w:val="en-US"/>
        </w:rPr>
        <w:t xml:space="preserve"> </w:t>
      </w:r>
      <w:r w:rsidR="00A8261B" w:rsidRPr="007F560B">
        <w:rPr>
          <w:rFonts w:eastAsia="TimesNewRoman" w:cs="TimesNewRoman"/>
          <w:lang w:val="en-US"/>
        </w:rPr>
        <w:t xml:space="preserve">Peginterferon-alpha-2a (PEG-IFN) has direct antiviral and immunoregulatory effects, </w:t>
      </w:r>
      <w:r w:rsidR="00CE1F15">
        <w:rPr>
          <w:rFonts w:eastAsia="TimesNewRoman" w:cs="TimesNewRoman"/>
          <w:lang w:val="en-US"/>
        </w:rPr>
        <w:t xml:space="preserve">and </w:t>
      </w:r>
      <w:r w:rsidR="00A8261B" w:rsidRPr="007F560B">
        <w:rPr>
          <w:rFonts w:eastAsia="TimesNewRoman" w:cs="TimesNewRoman"/>
          <w:lang w:val="en-US"/>
        </w:rPr>
        <w:t>it has become one of the first choice drugs for the treatment of chronic hepatitis B</w:t>
      </w:r>
      <w:r w:rsidR="009C739D" w:rsidRPr="007F560B">
        <w:rPr>
          <w:rFonts w:eastAsia="TimesNewRoman" w:cs="TimesNewRoman"/>
          <w:lang w:val="en-US"/>
        </w:rPr>
        <w:t xml:space="preserve"> </w:t>
      </w:r>
      <w:r w:rsidR="00A8261B" w:rsidRPr="007F560B">
        <w:rPr>
          <w:rFonts w:eastAsia="TimesNewRoman" w:cs="TimesNewRoman"/>
          <w:lang w:val="en-US"/>
        </w:rPr>
        <w:t>(CHB). Cytokines play an important role in immunity,</w:t>
      </w:r>
      <w:r w:rsidR="00B35A18" w:rsidRPr="007F560B">
        <w:rPr>
          <w:rFonts w:eastAsia="TimesNewRoman" w:cs="TimesNewRoman"/>
          <w:lang w:val="en-US"/>
        </w:rPr>
        <w:t xml:space="preserve"> </w:t>
      </w:r>
      <w:r w:rsidR="00CE1F15">
        <w:rPr>
          <w:rFonts w:eastAsia="TimesNewRoman" w:cs="TimesNewRoman"/>
          <w:lang w:val="en-US"/>
        </w:rPr>
        <w:t xml:space="preserve">and </w:t>
      </w:r>
      <w:r w:rsidR="00A8261B" w:rsidRPr="007F560B">
        <w:rPr>
          <w:rFonts w:eastAsia="TimesNewRoman" w:cs="TimesNewRoman"/>
          <w:lang w:val="en-US"/>
        </w:rPr>
        <w:t>they directly inhibit viral replication and indirectly determine the predominant pattern of the host immune response.</w:t>
      </w:r>
    </w:p>
    <w:p w14:paraId="4836BD81" w14:textId="77777777" w:rsidR="00A8261B" w:rsidRPr="007F560B" w:rsidRDefault="00A8261B" w:rsidP="007F560B">
      <w:pPr>
        <w:pStyle w:val="a3"/>
        <w:snapToGrid w:val="0"/>
        <w:spacing w:line="360" w:lineRule="auto"/>
        <w:ind w:left="0"/>
        <w:jc w:val="both"/>
        <w:rPr>
          <w:rFonts w:eastAsiaTheme="minorEastAsia"/>
          <w:lang w:val="en-US"/>
        </w:rPr>
      </w:pPr>
    </w:p>
    <w:p w14:paraId="7710C8B7" w14:textId="77777777" w:rsidR="00A8261B" w:rsidRPr="007F560B" w:rsidRDefault="00A8261B" w:rsidP="007F560B">
      <w:pPr>
        <w:pStyle w:val="a3"/>
        <w:snapToGrid w:val="0"/>
        <w:spacing w:line="360" w:lineRule="auto"/>
        <w:ind w:left="0"/>
        <w:jc w:val="both"/>
        <w:rPr>
          <w:lang w:val="en-US"/>
        </w:rPr>
      </w:pPr>
      <w:r w:rsidRPr="007F560B">
        <w:rPr>
          <w:lang w:val="en-US"/>
        </w:rPr>
        <w:t>AIM</w:t>
      </w:r>
    </w:p>
    <w:p w14:paraId="59F0FFED" w14:textId="1B0763EE" w:rsidR="00A8261B" w:rsidRPr="007F560B" w:rsidRDefault="00A8261B" w:rsidP="007F560B">
      <w:pPr>
        <w:pStyle w:val="a3"/>
        <w:snapToGrid w:val="0"/>
        <w:spacing w:line="360" w:lineRule="auto"/>
        <w:ind w:left="0"/>
        <w:jc w:val="both"/>
        <w:rPr>
          <w:rFonts w:eastAsiaTheme="minorEastAsia"/>
          <w:lang w:val="en-US"/>
        </w:rPr>
      </w:pPr>
      <w:r w:rsidRPr="007F560B">
        <w:rPr>
          <w:rFonts w:eastAsiaTheme="minorEastAsia"/>
          <w:lang w:val="en-US"/>
        </w:rPr>
        <w:t xml:space="preserve">To determine the correlation between cytokine/chemokine expression levels </w:t>
      </w:r>
      <w:r w:rsidR="00CE1F15">
        <w:rPr>
          <w:rFonts w:eastAsiaTheme="minorEastAsia"/>
          <w:lang w:val="en-US"/>
        </w:rPr>
        <w:t>and</w:t>
      </w:r>
      <w:r w:rsidR="00CE1F15" w:rsidRPr="007F560B">
        <w:rPr>
          <w:rFonts w:eastAsiaTheme="minorEastAsia"/>
          <w:lang w:val="en-US"/>
        </w:rPr>
        <w:t xml:space="preserve"> </w:t>
      </w:r>
      <w:r w:rsidRPr="007F560B">
        <w:rPr>
          <w:rFonts w:eastAsiaTheme="minorEastAsia"/>
          <w:lang w:val="en-US"/>
        </w:rPr>
        <w:t xml:space="preserve">response to </w:t>
      </w:r>
      <w:r w:rsidRPr="007F560B">
        <w:rPr>
          <w:rFonts w:eastAsia="TimesNewRoman" w:cs="TimesNewRoman"/>
          <w:lang w:val="en-US"/>
        </w:rPr>
        <w:t>PEG-IFN</w:t>
      </w:r>
      <w:r w:rsidRPr="007F560B">
        <w:rPr>
          <w:rFonts w:eastAsiaTheme="minorEastAsia"/>
          <w:lang w:val="en-US"/>
        </w:rPr>
        <w:t xml:space="preserve"> treatment in patients with CHB.</w:t>
      </w:r>
    </w:p>
    <w:p w14:paraId="0D971339" w14:textId="77777777" w:rsidR="00A8261B" w:rsidRPr="007F560B" w:rsidRDefault="00A8261B" w:rsidP="007F560B">
      <w:pPr>
        <w:pStyle w:val="a3"/>
        <w:snapToGrid w:val="0"/>
        <w:spacing w:line="360" w:lineRule="auto"/>
        <w:ind w:left="0"/>
        <w:jc w:val="both"/>
        <w:rPr>
          <w:rFonts w:eastAsiaTheme="minorEastAsia"/>
          <w:lang w:val="en-US"/>
        </w:rPr>
      </w:pPr>
    </w:p>
    <w:p w14:paraId="77C9294D" w14:textId="77777777" w:rsidR="00A8261B" w:rsidRPr="007F560B" w:rsidRDefault="00A8261B" w:rsidP="007F560B">
      <w:pPr>
        <w:pStyle w:val="a3"/>
        <w:snapToGrid w:val="0"/>
        <w:spacing w:line="360" w:lineRule="auto"/>
        <w:ind w:left="0"/>
        <w:jc w:val="both"/>
        <w:rPr>
          <w:lang w:val="en-US"/>
        </w:rPr>
      </w:pPr>
      <w:r w:rsidRPr="007F560B">
        <w:rPr>
          <w:lang w:val="en-US"/>
        </w:rPr>
        <w:t>METHODS</w:t>
      </w:r>
    </w:p>
    <w:p w14:paraId="7B4266A1" w14:textId="77777777" w:rsidR="00A8261B" w:rsidRPr="007F560B" w:rsidRDefault="00A8261B" w:rsidP="007F560B">
      <w:pPr>
        <w:pStyle w:val="a3"/>
        <w:snapToGrid w:val="0"/>
        <w:spacing w:line="360" w:lineRule="auto"/>
        <w:ind w:left="0"/>
        <w:jc w:val="both"/>
        <w:rPr>
          <w:rFonts w:eastAsia="TimesNewRoman" w:cs="TimesNewRoman"/>
          <w:lang w:val="en-US"/>
        </w:rPr>
      </w:pPr>
      <w:r w:rsidRPr="007F560B">
        <w:rPr>
          <w:rFonts w:eastAsia="TimesNewRoman" w:cs="TimesNewRoman"/>
          <w:lang w:val="en-US"/>
        </w:rPr>
        <w:t xml:space="preserve">Forty-six kinds of cytokines were analyzed before </w:t>
      </w:r>
      <w:r w:rsidR="009C739D" w:rsidRPr="007F560B">
        <w:rPr>
          <w:rFonts w:eastAsia="TimesNewRoman" w:cs="TimesNewRoman"/>
          <w:lang w:val="en-US"/>
        </w:rPr>
        <w:t xml:space="preserve">PEG-IFN therapy and at 24 </w:t>
      </w:r>
      <w:proofErr w:type="spellStart"/>
      <w:r w:rsidR="009C739D" w:rsidRPr="007F560B">
        <w:rPr>
          <w:rFonts w:eastAsia="TimesNewRoman" w:cs="TimesNewRoman"/>
          <w:lang w:val="en-US"/>
        </w:rPr>
        <w:t>wk</w:t>
      </w:r>
      <w:proofErr w:type="spellEnd"/>
      <w:r w:rsidRPr="007F560B">
        <w:rPr>
          <w:rFonts w:eastAsia="TimesNewRoman" w:cs="TimesNewRoman"/>
          <w:lang w:val="en-US"/>
        </w:rPr>
        <w:t xml:space="preserve"> during therapy in 26 CHB patients.</w:t>
      </w:r>
    </w:p>
    <w:p w14:paraId="3D6831D7" w14:textId="77777777" w:rsidR="00A8261B" w:rsidRPr="007F560B" w:rsidRDefault="00A8261B" w:rsidP="007F560B">
      <w:pPr>
        <w:pStyle w:val="a3"/>
        <w:snapToGrid w:val="0"/>
        <w:spacing w:line="360" w:lineRule="auto"/>
        <w:ind w:left="0"/>
        <w:jc w:val="both"/>
        <w:rPr>
          <w:rFonts w:eastAsia="TimesNewRoman" w:cs="TimesNewRoman"/>
          <w:lang w:val="en-US"/>
        </w:rPr>
      </w:pPr>
    </w:p>
    <w:p w14:paraId="614CC89D" w14:textId="77777777" w:rsidR="00A8261B" w:rsidRPr="007F560B" w:rsidRDefault="00A8261B" w:rsidP="007F560B">
      <w:pPr>
        <w:pStyle w:val="a3"/>
        <w:snapToGrid w:val="0"/>
        <w:spacing w:line="360" w:lineRule="auto"/>
        <w:ind w:left="0"/>
        <w:jc w:val="both"/>
        <w:rPr>
          <w:lang w:val="en-US"/>
        </w:rPr>
      </w:pPr>
      <w:r w:rsidRPr="007F560B">
        <w:rPr>
          <w:lang w:val="en-US"/>
        </w:rPr>
        <w:t>RESULTS</w:t>
      </w:r>
    </w:p>
    <w:p w14:paraId="59B92220" w14:textId="3A93B940" w:rsidR="00A8261B" w:rsidRPr="007F560B" w:rsidRDefault="00A8261B" w:rsidP="007F560B">
      <w:pPr>
        <w:pStyle w:val="a3"/>
        <w:snapToGrid w:val="0"/>
        <w:spacing w:line="360" w:lineRule="auto"/>
        <w:ind w:left="0"/>
        <w:jc w:val="both"/>
        <w:rPr>
          <w:lang w:val="en-US"/>
        </w:rPr>
      </w:pPr>
      <w:r w:rsidRPr="007F560B">
        <w:rPr>
          <w:rFonts w:eastAsia="TimesNewRoman" w:cs="TimesNewRoman"/>
          <w:lang w:val="en-US"/>
        </w:rPr>
        <w:t xml:space="preserve">The </w:t>
      </w:r>
      <w:proofErr w:type="spellStart"/>
      <w:r w:rsidRPr="007F560B">
        <w:rPr>
          <w:rFonts w:eastAsia="TimesNewRoman" w:cs="TimesNewRoman"/>
          <w:lang w:val="en-US"/>
        </w:rPr>
        <w:t>monokine</w:t>
      </w:r>
      <w:proofErr w:type="spellEnd"/>
      <w:r w:rsidRPr="007F560B">
        <w:rPr>
          <w:rFonts w:eastAsia="TimesNewRoman" w:cs="TimesNewRoman"/>
          <w:lang w:val="en-US"/>
        </w:rPr>
        <w:t xml:space="preserve"> induced by INF-</w:t>
      </w:r>
      <w:r w:rsidRPr="007F560B">
        <w:rPr>
          <w:rFonts w:cs="TimesNewRoman"/>
        </w:rPr>
        <w:t>γ</w:t>
      </w:r>
      <w:r w:rsidRPr="007F560B">
        <w:rPr>
          <w:rFonts w:eastAsia="宋体" w:cs="TimesNewRoman"/>
          <w:lang w:val="en-US"/>
        </w:rPr>
        <w:t xml:space="preserve"> (</w:t>
      </w:r>
      <w:r w:rsidRPr="007F560B">
        <w:rPr>
          <w:rFonts w:eastAsia="TimesNewRoman" w:cs="TimesNewRoman"/>
          <w:lang w:val="en-US"/>
        </w:rPr>
        <w:t xml:space="preserve">CXCL9) and serum interferon-inducible protein 10 ( IP-10) levels at baseline were higher in </w:t>
      </w:r>
      <w:proofErr w:type="spellStart"/>
      <w:r w:rsidR="00A91A3D" w:rsidRPr="007F560B">
        <w:rPr>
          <w:rFonts w:eastAsia="TimesNewRoman" w:cs="TimesNewRoman"/>
          <w:lang w:val="en-US"/>
        </w:rPr>
        <w:t>virological</w:t>
      </w:r>
      <w:proofErr w:type="spellEnd"/>
      <w:r w:rsidR="009C739D" w:rsidRPr="007F560B">
        <w:rPr>
          <w:rFonts w:eastAsia="TimesNewRoman" w:cs="TimesNewRoman"/>
          <w:lang w:val="en-US"/>
        </w:rPr>
        <w:t xml:space="preserve"> responders</w:t>
      </w:r>
      <w:r w:rsidRPr="007F560B">
        <w:rPr>
          <w:rFonts w:eastAsia="TimesNewRoman" w:cs="TimesNewRoman"/>
          <w:lang w:val="en-US"/>
        </w:rPr>
        <w:t xml:space="preserve"> than in non-</w:t>
      </w:r>
      <w:proofErr w:type="spellStart"/>
      <w:r w:rsidR="00A91A3D" w:rsidRPr="007F560B">
        <w:rPr>
          <w:rFonts w:eastAsia="TimesNewRoman" w:cs="TimesNewRoman"/>
          <w:lang w:val="en-US"/>
        </w:rPr>
        <w:t>virological</w:t>
      </w:r>
      <w:proofErr w:type="spellEnd"/>
      <w:r w:rsidRPr="007F560B">
        <w:rPr>
          <w:rFonts w:eastAsia="TimesNewRoman" w:cs="TimesNewRoman"/>
          <w:lang w:val="en-US"/>
        </w:rPr>
        <w:t xml:space="preserve"> responders</w:t>
      </w:r>
      <w:r w:rsidR="009C739D" w:rsidRPr="007F560B">
        <w:rPr>
          <w:rFonts w:eastAsia="TimesNewRoman" w:cs="TimesNewRoman"/>
          <w:lang w:val="en-US"/>
        </w:rPr>
        <w:t xml:space="preserve"> </w:t>
      </w:r>
      <w:r w:rsidRPr="007F560B">
        <w:rPr>
          <w:rFonts w:eastAsia="TimesNewRoman" w:cs="TimesNewRoman"/>
          <w:lang w:val="en-US"/>
        </w:rPr>
        <w:t xml:space="preserve">(NRs) and decreased during treatment, whereas the NRs did not exhibit significant changes. The macrophage inflammatory protein 1d (MIP-1d) levels at baseline and during treatment were significantly higher in the </w:t>
      </w:r>
      <w:proofErr w:type="spellStart"/>
      <w:r w:rsidR="009C739D" w:rsidRPr="007F560B">
        <w:rPr>
          <w:rFonts w:eastAsia="TimesNewRoman" w:cs="TimesNewRoman"/>
          <w:lang w:val="en-US"/>
        </w:rPr>
        <w:t>virological</w:t>
      </w:r>
      <w:proofErr w:type="spellEnd"/>
      <w:r w:rsidR="009C739D" w:rsidRPr="007F560B">
        <w:rPr>
          <w:rFonts w:eastAsia="TimesNewRoman" w:cs="TimesNewRoman"/>
          <w:lang w:val="en-US"/>
        </w:rPr>
        <w:t xml:space="preserve"> responders</w:t>
      </w:r>
      <w:r w:rsidRPr="007F560B">
        <w:rPr>
          <w:rFonts w:eastAsia="TimesNewRoman" w:cs="TimesNewRoman"/>
          <w:lang w:val="en-US"/>
        </w:rPr>
        <w:t xml:space="preserve"> than in the NRs, while thymus and activation-regulated chemokine (TARC) levels at baseline and during treatment were significantly lower</w:t>
      </w:r>
      <w:r w:rsidR="00CE1F15" w:rsidRPr="007F560B">
        <w:rPr>
          <w:rFonts w:eastAsia="TimesNewRoman" w:cs="TimesNewRoman"/>
          <w:lang w:val="en-US"/>
        </w:rPr>
        <w:t xml:space="preserve"> in the </w:t>
      </w:r>
      <w:proofErr w:type="spellStart"/>
      <w:r w:rsidR="00CE1F15" w:rsidRPr="007F560B">
        <w:rPr>
          <w:rFonts w:eastAsia="TimesNewRoman" w:cs="TimesNewRoman"/>
          <w:lang w:val="en-US"/>
        </w:rPr>
        <w:t>virological</w:t>
      </w:r>
      <w:proofErr w:type="spellEnd"/>
      <w:r w:rsidR="00CE1F15" w:rsidRPr="007F560B">
        <w:rPr>
          <w:rFonts w:eastAsia="TimesNewRoman" w:cs="TimesNewRoman"/>
          <w:lang w:val="en-US"/>
        </w:rPr>
        <w:t xml:space="preserve"> responders</w:t>
      </w:r>
      <w:r w:rsidRPr="007F560B">
        <w:rPr>
          <w:rFonts w:eastAsia="TimesNewRoman" w:cs="TimesNewRoman"/>
          <w:lang w:val="en-US"/>
        </w:rPr>
        <w:t xml:space="preserve"> than in the NRs. Th</w:t>
      </w:r>
      <w:r w:rsidR="009C739D" w:rsidRPr="007F560B">
        <w:rPr>
          <w:rFonts w:eastAsia="TimesNewRoman" w:cs="TimesNewRoman"/>
          <w:lang w:val="en-US"/>
        </w:rPr>
        <w:t>e CXCL9, IP-10, MIP-1d</w:t>
      </w:r>
      <w:r w:rsidR="00CE1F15">
        <w:rPr>
          <w:rFonts w:eastAsia="TimesNewRoman" w:cs="TimesNewRoman"/>
          <w:lang w:val="en-US"/>
        </w:rPr>
        <w:t>,</w:t>
      </w:r>
      <w:r w:rsidR="009C739D" w:rsidRPr="007F560B">
        <w:rPr>
          <w:rFonts w:eastAsia="TimesNewRoman" w:cs="TimesNewRoman"/>
          <w:lang w:val="en-US"/>
        </w:rPr>
        <w:t xml:space="preserve"> and TARC </w:t>
      </w:r>
      <w:r w:rsidRPr="007F560B">
        <w:rPr>
          <w:rFonts w:eastAsia="TimesNewRoman" w:cs="TimesNewRoman"/>
          <w:lang w:val="en-US"/>
        </w:rPr>
        <w:t xml:space="preserve">baseline levels exhibited the expected effects for interferon treatment. </w:t>
      </w:r>
      <w:r w:rsidR="00CE1F15">
        <w:rPr>
          <w:rFonts w:eastAsia="TimesNewRoman" w:cs="TimesNewRoman"/>
          <w:lang w:val="en-US"/>
        </w:rPr>
        <w:t>The a</w:t>
      </w:r>
      <w:r w:rsidR="00CE1F15" w:rsidRPr="007F560B">
        <w:rPr>
          <w:rFonts w:eastAsia="TimesNewRoman" w:cs="TimesNewRoman"/>
          <w:lang w:val="en-US"/>
        </w:rPr>
        <w:t xml:space="preserve">rea </w:t>
      </w:r>
      <w:r w:rsidR="009C739D" w:rsidRPr="007F560B">
        <w:rPr>
          <w:rFonts w:eastAsia="TimesNewRoman" w:cs="TimesNewRoman"/>
          <w:lang w:val="en-US"/>
        </w:rPr>
        <w:t xml:space="preserve">under </w:t>
      </w:r>
      <w:r w:rsidRPr="007F560B">
        <w:rPr>
          <w:rFonts w:eastAsia="TimesNewRoman" w:cs="TimesNewRoman"/>
          <w:lang w:val="en-US"/>
        </w:rPr>
        <w:t xml:space="preserve">the </w:t>
      </w:r>
      <w:r w:rsidR="00CE1F15">
        <w:rPr>
          <w:rFonts w:eastAsia="TimesNewRoman" w:cs="TimesNewRoman"/>
          <w:lang w:val="en-US"/>
        </w:rPr>
        <w:t>r</w:t>
      </w:r>
      <w:r w:rsidR="00CE1F15" w:rsidRPr="007F560B">
        <w:rPr>
          <w:rFonts w:eastAsia="TimesNewRoman" w:cs="TimesNewRoman"/>
          <w:lang w:val="en-US"/>
        </w:rPr>
        <w:t xml:space="preserve">eceiver </w:t>
      </w:r>
      <w:r w:rsidR="00CE1F15">
        <w:rPr>
          <w:rFonts w:eastAsia="TimesNewRoman" w:cs="TimesNewRoman"/>
          <w:lang w:val="en-US"/>
        </w:rPr>
        <w:t>o</w:t>
      </w:r>
      <w:r w:rsidR="00CE1F15" w:rsidRPr="007F560B">
        <w:rPr>
          <w:rFonts w:eastAsia="TimesNewRoman" w:cs="TimesNewRoman"/>
          <w:lang w:val="en-US"/>
        </w:rPr>
        <w:t xml:space="preserve">perating </w:t>
      </w:r>
      <w:r w:rsidR="00165074">
        <w:rPr>
          <w:rFonts w:eastAsia="TimesNewRoman" w:cs="TimesNewRoman"/>
          <w:lang w:val="en-US"/>
        </w:rPr>
        <w:t>c</w:t>
      </w:r>
      <w:r w:rsidR="00042B1D" w:rsidRPr="007F560B">
        <w:rPr>
          <w:rFonts w:eastAsia="TimesNewRoman" w:cs="TimesNewRoman"/>
          <w:lang w:val="en-US"/>
        </w:rPr>
        <w:t>haracteristic</w:t>
      </w:r>
      <w:r w:rsidR="009C739D" w:rsidRPr="007F560B">
        <w:rPr>
          <w:rFonts w:eastAsia="TimesNewRoman" w:cs="TimesNewRoman"/>
          <w:lang w:val="en-US"/>
        </w:rPr>
        <w:t xml:space="preserve"> curve</w:t>
      </w:r>
      <w:r w:rsidRPr="007F560B">
        <w:rPr>
          <w:rFonts w:eastAsia="TimesNewRoman" w:cs="TimesNewRoman"/>
          <w:lang w:val="en-US"/>
        </w:rPr>
        <w:t xml:space="preserve"> values of CXCL9, IP-10, MIP-1d</w:t>
      </w:r>
      <w:r w:rsidR="00CE1F15">
        <w:rPr>
          <w:rFonts w:eastAsia="TimesNewRoman" w:cs="TimesNewRoman"/>
          <w:lang w:val="en-US"/>
        </w:rPr>
        <w:t>,</w:t>
      </w:r>
      <w:r w:rsidRPr="007F560B">
        <w:rPr>
          <w:rFonts w:eastAsia="TimesNewRoman" w:cs="TimesNewRoman"/>
          <w:lang w:val="en-US"/>
        </w:rPr>
        <w:t xml:space="preserve"> and TARC </w:t>
      </w:r>
      <w:r w:rsidR="004A4D50" w:rsidRPr="007F560B">
        <w:rPr>
          <w:rFonts w:eastAsia="TimesNewRoman" w:cs="TimesNewRoman"/>
          <w:lang w:val="en-US"/>
        </w:rPr>
        <w:t>for</w:t>
      </w:r>
      <w:r w:rsidR="004A4D50">
        <w:rPr>
          <w:rFonts w:eastAsia="TimesNewRoman" w:cs="TimesNewRoman"/>
          <w:lang w:val="en-US"/>
        </w:rPr>
        <w:t xml:space="preserve"> predicting</w:t>
      </w:r>
      <w:r w:rsidR="004A4D50" w:rsidRPr="007F560B">
        <w:rPr>
          <w:rFonts w:eastAsia="TimesNewRoman" w:cs="TimesNewRoman"/>
          <w:lang w:val="en-US"/>
        </w:rPr>
        <w:t xml:space="preserve"> </w:t>
      </w:r>
      <w:proofErr w:type="spellStart"/>
      <w:r w:rsidR="004A4D50" w:rsidRPr="007F560B">
        <w:rPr>
          <w:rFonts w:eastAsia="TimesNewRoman" w:cs="TimesNewRoman"/>
          <w:lang w:val="en-US"/>
        </w:rPr>
        <w:t>virological</w:t>
      </w:r>
      <w:proofErr w:type="spellEnd"/>
      <w:r w:rsidR="004A4D50" w:rsidRPr="007F560B">
        <w:rPr>
          <w:rFonts w:eastAsia="TimesNewRoman" w:cs="TimesNewRoman"/>
          <w:lang w:val="en-US"/>
        </w:rPr>
        <w:t xml:space="preserve"> responses </w:t>
      </w:r>
      <w:r w:rsidRPr="007F560B">
        <w:rPr>
          <w:rFonts w:eastAsia="TimesNewRoman" w:cs="TimesNewRoman"/>
          <w:lang w:val="en-US"/>
        </w:rPr>
        <w:t>were 0.787, 0.799, 0.787</w:t>
      </w:r>
      <w:r w:rsidR="00CE1F15">
        <w:rPr>
          <w:rFonts w:eastAsia="TimesNewRoman" w:cs="TimesNewRoman"/>
          <w:lang w:val="en-US"/>
        </w:rPr>
        <w:t>,</w:t>
      </w:r>
      <w:r w:rsidRPr="007F560B">
        <w:rPr>
          <w:rFonts w:eastAsia="TimesNewRoman" w:cs="TimesNewRoman"/>
          <w:lang w:val="en-US"/>
        </w:rPr>
        <w:t xml:space="preserve"> and 0.77 (</w:t>
      </w:r>
      <w:r w:rsidRPr="007F560B">
        <w:rPr>
          <w:rFonts w:eastAsia="TimesNewRoman" w:cs="TimesNewRoman"/>
          <w:i/>
          <w:caps/>
          <w:lang w:val="en-US"/>
        </w:rPr>
        <w:t>p</w:t>
      </w:r>
      <w:r w:rsidRPr="007F560B">
        <w:rPr>
          <w:rFonts w:eastAsia="TimesNewRoman" w:cs="TimesNewRoman"/>
          <w:lang w:val="en-US"/>
        </w:rPr>
        <w:t xml:space="preserve"> = 0.01, 0.013, 0.01, </w:t>
      </w:r>
      <w:r w:rsidR="00CE1F15" w:rsidRPr="007F560B">
        <w:rPr>
          <w:rFonts w:eastAsia="TimesNewRoman" w:cs="TimesNewRoman"/>
          <w:lang w:val="en-US"/>
        </w:rPr>
        <w:t>and</w:t>
      </w:r>
      <w:r w:rsidR="00CE1F15">
        <w:rPr>
          <w:rFonts w:eastAsia="TimesNewRoman" w:cs="TimesNewRoman"/>
          <w:i/>
          <w:caps/>
          <w:lang w:val="en-US"/>
        </w:rPr>
        <w:t xml:space="preserve"> </w:t>
      </w:r>
      <w:r w:rsidRPr="007F560B">
        <w:rPr>
          <w:rFonts w:eastAsia="TimesNewRoman" w:cs="TimesNewRoman"/>
          <w:lang w:val="en-US"/>
        </w:rPr>
        <w:t>0.021), respectively.</w:t>
      </w:r>
    </w:p>
    <w:p w14:paraId="2E5EFF77" w14:textId="77777777" w:rsidR="00A8261B" w:rsidRPr="007F560B" w:rsidRDefault="00A8261B" w:rsidP="007F560B">
      <w:pPr>
        <w:pStyle w:val="a3"/>
        <w:snapToGrid w:val="0"/>
        <w:spacing w:line="360" w:lineRule="auto"/>
        <w:ind w:left="0"/>
        <w:jc w:val="both"/>
        <w:rPr>
          <w:rFonts w:eastAsiaTheme="minorEastAsia"/>
          <w:lang w:val="en-US"/>
        </w:rPr>
      </w:pPr>
    </w:p>
    <w:p w14:paraId="0D7B49E8" w14:textId="77777777" w:rsidR="00A8261B" w:rsidRPr="007F560B" w:rsidRDefault="00A8261B" w:rsidP="007F560B">
      <w:pPr>
        <w:pStyle w:val="a3"/>
        <w:snapToGrid w:val="0"/>
        <w:spacing w:line="360" w:lineRule="auto"/>
        <w:ind w:left="0"/>
        <w:jc w:val="both"/>
        <w:rPr>
          <w:lang w:val="en-US"/>
        </w:rPr>
      </w:pPr>
      <w:r w:rsidRPr="007F560B">
        <w:rPr>
          <w:lang w:val="en-US"/>
        </w:rPr>
        <w:t>CONCLUSION</w:t>
      </w:r>
    </w:p>
    <w:p w14:paraId="4DCEFC4F" w14:textId="1AB62F6C" w:rsidR="00A8261B" w:rsidRPr="007F560B" w:rsidRDefault="00A8261B" w:rsidP="007F560B">
      <w:pPr>
        <w:pStyle w:val="a3"/>
        <w:snapToGrid w:val="0"/>
        <w:spacing w:line="360" w:lineRule="auto"/>
        <w:ind w:left="0"/>
        <w:jc w:val="both"/>
        <w:rPr>
          <w:rFonts w:eastAsia="TimesNewRoman" w:cs="TimesNewRoman"/>
          <w:kern w:val="44"/>
          <w:lang w:val="en-US"/>
        </w:rPr>
      </w:pPr>
      <w:r w:rsidRPr="007F560B">
        <w:rPr>
          <w:rFonts w:eastAsia="TimesNewRoman" w:cs="TimesNewRoman"/>
          <w:kern w:val="44"/>
          <w:lang w:val="en-US"/>
        </w:rPr>
        <w:t>We found that cytokine levels</w:t>
      </w:r>
      <w:r w:rsidR="00CE1F15">
        <w:rPr>
          <w:rFonts w:eastAsia="TimesNewRoman" w:cs="TimesNewRoman"/>
          <w:kern w:val="44"/>
          <w:lang w:val="en-US"/>
        </w:rPr>
        <w:t xml:space="preserve"> before </w:t>
      </w:r>
      <w:r w:rsidRPr="007F560B">
        <w:rPr>
          <w:rFonts w:eastAsia="TimesNewRoman" w:cs="TimesNewRoman"/>
          <w:kern w:val="44"/>
          <w:lang w:val="en-US"/>
        </w:rPr>
        <w:t xml:space="preserve">and during </w:t>
      </w:r>
      <w:r w:rsidR="00CE1F15">
        <w:rPr>
          <w:rFonts w:eastAsia="TimesNewRoman" w:cs="TimesNewRoman"/>
          <w:kern w:val="44"/>
          <w:lang w:val="en-US"/>
        </w:rPr>
        <w:t xml:space="preserve">treatment </w:t>
      </w:r>
      <w:r w:rsidRPr="007F560B">
        <w:rPr>
          <w:rFonts w:eastAsia="TimesNewRoman" w:cs="TimesNewRoman"/>
          <w:kern w:val="44"/>
          <w:lang w:val="en-US"/>
        </w:rPr>
        <w:t xml:space="preserve">may represent potential biomarkers to select </w:t>
      </w:r>
      <w:r w:rsidR="00CE1F15">
        <w:rPr>
          <w:rFonts w:eastAsia="TimesNewRoman" w:cs="TimesNewRoman"/>
          <w:kern w:val="44"/>
          <w:lang w:val="en-US"/>
        </w:rPr>
        <w:t>CHB</w:t>
      </w:r>
      <w:r w:rsidRPr="007F560B">
        <w:rPr>
          <w:rFonts w:eastAsia="TimesNewRoman" w:cs="TimesNewRoman"/>
          <w:kern w:val="44"/>
          <w:lang w:val="en-US"/>
        </w:rPr>
        <w:t xml:space="preserve"> patients who can respond to PEG-IFN. Therefore, cytokines can be used as an indicator </w:t>
      </w:r>
      <w:r w:rsidR="00B35A18" w:rsidRPr="007F560B">
        <w:rPr>
          <w:rFonts w:eastAsia="TimesNewRoman" w:cs="TimesNewRoman"/>
          <w:kern w:val="44"/>
          <w:lang w:val="en-US"/>
        </w:rPr>
        <w:t>of</w:t>
      </w:r>
      <w:r w:rsidRPr="007F560B">
        <w:rPr>
          <w:rFonts w:eastAsia="TimesNewRoman" w:cs="TimesNewRoman"/>
          <w:kern w:val="44"/>
          <w:lang w:val="en-US"/>
        </w:rPr>
        <w:t xml:space="preserve"> antiviral drug selection before </w:t>
      </w:r>
      <w:r w:rsidR="00CE1F15">
        <w:rPr>
          <w:rFonts w:eastAsia="TimesNewRoman" w:cs="TimesNewRoman"/>
          <w:kern w:val="44"/>
          <w:lang w:val="en-US"/>
        </w:rPr>
        <w:t>CHB</w:t>
      </w:r>
      <w:r w:rsidRPr="007F560B">
        <w:rPr>
          <w:rFonts w:eastAsia="TimesNewRoman" w:cs="TimesNewRoman"/>
          <w:kern w:val="44"/>
          <w:lang w:val="en-US"/>
        </w:rPr>
        <w:t xml:space="preserve"> treatment.</w:t>
      </w:r>
    </w:p>
    <w:p w14:paraId="18B230ED" w14:textId="77777777" w:rsidR="00A8261B" w:rsidRPr="007F560B" w:rsidRDefault="00A8261B" w:rsidP="007F560B">
      <w:pPr>
        <w:pStyle w:val="a3"/>
        <w:snapToGrid w:val="0"/>
        <w:spacing w:line="360" w:lineRule="auto"/>
        <w:ind w:left="0"/>
        <w:jc w:val="both"/>
        <w:rPr>
          <w:rFonts w:eastAsia="TimesNewRoman" w:cs="TimesNewRoman"/>
          <w:kern w:val="44"/>
          <w:lang w:val="en-US"/>
        </w:rPr>
      </w:pPr>
    </w:p>
    <w:p w14:paraId="070BBFDB" w14:textId="77777777" w:rsidR="00A8261B" w:rsidRPr="007F560B" w:rsidRDefault="00A8261B" w:rsidP="007F560B">
      <w:pPr>
        <w:pStyle w:val="a3"/>
        <w:snapToGrid w:val="0"/>
        <w:spacing w:line="360" w:lineRule="auto"/>
        <w:ind w:left="0"/>
        <w:jc w:val="both"/>
        <w:rPr>
          <w:lang w:val="en-US"/>
        </w:rPr>
      </w:pPr>
      <w:r w:rsidRPr="007F560B">
        <w:rPr>
          <w:b/>
          <w:lang w:val="en-US"/>
        </w:rPr>
        <w:t xml:space="preserve">Key words: </w:t>
      </w:r>
      <w:r w:rsidR="009C739D" w:rsidRPr="007F560B">
        <w:rPr>
          <w:lang w:val="en-US"/>
        </w:rPr>
        <w:t xml:space="preserve">Chronic </w:t>
      </w:r>
      <w:r w:rsidRPr="007F560B">
        <w:rPr>
          <w:lang w:val="en-US"/>
        </w:rPr>
        <w:t>hepatitis B</w:t>
      </w:r>
      <w:r w:rsidR="009C739D" w:rsidRPr="007F560B">
        <w:rPr>
          <w:lang w:val="en-US"/>
        </w:rPr>
        <w:t>;</w:t>
      </w:r>
      <w:r w:rsidR="00A91A3D" w:rsidRPr="007F560B">
        <w:rPr>
          <w:lang w:val="en-US"/>
        </w:rPr>
        <w:t xml:space="preserve"> </w:t>
      </w:r>
      <w:r w:rsidR="009C739D" w:rsidRPr="007F560B">
        <w:rPr>
          <w:rFonts w:eastAsia="TimesNewRoman" w:cs="TimesNewRoman"/>
          <w:lang w:val="en-US"/>
        </w:rPr>
        <w:t>Peginterferon-alpha-2a</w:t>
      </w:r>
      <w:r w:rsidR="009C739D" w:rsidRPr="007F560B">
        <w:rPr>
          <w:lang w:val="en-US"/>
        </w:rPr>
        <w:t>;</w:t>
      </w:r>
      <w:r w:rsidR="00A91A3D" w:rsidRPr="007F560B">
        <w:rPr>
          <w:lang w:val="en-US"/>
        </w:rPr>
        <w:t xml:space="preserve"> </w:t>
      </w:r>
      <w:r w:rsidR="009C739D" w:rsidRPr="007F560B">
        <w:rPr>
          <w:lang w:val="en-US"/>
        </w:rPr>
        <w:t>Cytokine</w:t>
      </w:r>
      <w:r w:rsidRPr="007F560B">
        <w:rPr>
          <w:lang w:val="en-US"/>
        </w:rPr>
        <w:t>/chemokine</w:t>
      </w:r>
      <w:r w:rsidR="009C739D" w:rsidRPr="007F560B">
        <w:rPr>
          <w:lang w:val="en-US"/>
        </w:rPr>
        <w:t>;</w:t>
      </w:r>
      <w:r w:rsidR="008B7F76" w:rsidRPr="007F560B">
        <w:rPr>
          <w:rFonts w:eastAsia="TimesNewRoman" w:cs="TimesNewRoman"/>
          <w:lang w:val="en-US"/>
        </w:rPr>
        <w:t xml:space="preserve"> </w:t>
      </w:r>
      <w:r w:rsidR="008B7F76" w:rsidRPr="007F560B">
        <w:rPr>
          <w:rFonts w:eastAsia="TimesNewRoman" w:cs="TimesNewRoman"/>
          <w:lang w:val="en-US"/>
        </w:rPr>
        <w:lastRenderedPageBreak/>
        <w:t>CXCL9</w:t>
      </w:r>
      <w:r w:rsidR="009C739D" w:rsidRPr="007F560B">
        <w:rPr>
          <w:rFonts w:eastAsia="TimesNewRoman" w:cs="TimesNewRoman"/>
          <w:lang w:val="en-US"/>
        </w:rPr>
        <w:t>;</w:t>
      </w:r>
      <w:r w:rsidR="008B7F76" w:rsidRPr="007F560B">
        <w:rPr>
          <w:rFonts w:eastAsia="TimesNewRoman" w:cs="TimesNewRoman"/>
          <w:lang w:val="en-US"/>
        </w:rPr>
        <w:t xml:space="preserve"> </w:t>
      </w:r>
      <w:r w:rsidR="009C739D" w:rsidRPr="007F560B">
        <w:rPr>
          <w:rFonts w:eastAsia="TimesNewRoman" w:cs="TimesNewRoman"/>
          <w:lang w:val="en-US"/>
        </w:rPr>
        <w:t>Interferon-inducible protein 10;</w:t>
      </w:r>
      <w:r w:rsidR="008B7F76" w:rsidRPr="007F560B">
        <w:rPr>
          <w:rFonts w:eastAsia="TimesNewRoman" w:cs="TimesNewRoman"/>
          <w:lang w:val="en-US"/>
        </w:rPr>
        <w:t xml:space="preserve"> </w:t>
      </w:r>
      <w:r w:rsidR="009C739D" w:rsidRPr="007F560B">
        <w:rPr>
          <w:rFonts w:eastAsia="TimesNewRoman" w:cs="TimesNewRoman"/>
          <w:lang w:val="en-US"/>
        </w:rPr>
        <w:t>Thymus and activation-regulated chemokine</w:t>
      </w:r>
    </w:p>
    <w:p w14:paraId="68CBDA2C" w14:textId="77777777" w:rsidR="00A8261B" w:rsidRPr="007F560B" w:rsidRDefault="00A8261B" w:rsidP="007F560B">
      <w:pPr>
        <w:snapToGrid w:val="0"/>
        <w:spacing w:line="360" w:lineRule="auto"/>
        <w:jc w:val="both"/>
        <w:rPr>
          <w:rFonts w:eastAsiaTheme="minorEastAsia"/>
          <w:b/>
          <w:sz w:val="24"/>
          <w:szCs w:val="24"/>
          <w:lang w:val="en-US"/>
        </w:rPr>
      </w:pPr>
    </w:p>
    <w:p w14:paraId="370C375B" w14:textId="77777777" w:rsidR="00BC5044" w:rsidRPr="00BC5044" w:rsidRDefault="0097781E" w:rsidP="00BC5044">
      <w:pPr>
        <w:snapToGrid w:val="0"/>
        <w:spacing w:line="360" w:lineRule="auto"/>
        <w:rPr>
          <w:rFonts w:cs="Times New Roman"/>
          <w:sz w:val="24"/>
          <w:szCs w:val="24"/>
          <w:lang w:val="en-US"/>
        </w:rPr>
      </w:pPr>
      <w:r w:rsidRPr="007F560B">
        <w:rPr>
          <w:rFonts w:eastAsia="宋体" w:cs="Times New Roman"/>
          <w:sz w:val="24"/>
          <w:szCs w:val="24"/>
          <w:lang w:val="en-US"/>
        </w:rPr>
        <w:t xml:space="preserve">Fu WK, Cao J, Mi NN, Huang CF, Gao L, Zhang JD, Yue P, Bai B, Lin YY, Meng WB. </w:t>
      </w:r>
      <w:r w:rsidRPr="007F560B">
        <w:rPr>
          <w:rFonts w:cs="Times New Roman"/>
          <w:sz w:val="24"/>
          <w:szCs w:val="24"/>
          <w:lang w:val="en-US"/>
        </w:rPr>
        <w:t xml:space="preserve">Cytokines predict </w:t>
      </w:r>
      <w:proofErr w:type="spellStart"/>
      <w:r w:rsidRPr="007F560B">
        <w:rPr>
          <w:rFonts w:cs="Times New Roman"/>
          <w:sz w:val="24"/>
          <w:szCs w:val="24"/>
          <w:lang w:val="en-US"/>
        </w:rPr>
        <w:t>virological</w:t>
      </w:r>
      <w:proofErr w:type="spellEnd"/>
      <w:r w:rsidRPr="007F560B">
        <w:rPr>
          <w:rFonts w:cs="Times New Roman"/>
          <w:sz w:val="24"/>
          <w:szCs w:val="24"/>
          <w:lang w:val="en-US"/>
        </w:rPr>
        <w:t xml:space="preserve"> response in chronic hepatitis B patients receiving peginterferon alfa-2a therapy. </w:t>
      </w:r>
      <w:r w:rsidRPr="007F560B">
        <w:rPr>
          <w:rFonts w:cs="Times New Roman"/>
          <w:i/>
          <w:sz w:val="24"/>
          <w:szCs w:val="24"/>
          <w:lang w:val="en-US"/>
        </w:rPr>
        <w:t xml:space="preserve">World J </w:t>
      </w:r>
      <w:proofErr w:type="spellStart"/>
      <w:r w:rsidRPr="007F560B">
        <w:rPr>
          <w:rFonts w:cs="Times New Roman"/>
          <w:i/>
          <w:sz w:val="24"/>
          <w:szCs w:val="24"/>
          <w:lang w:val="en-US"/>
        </w:rPr>
        <w:t>Clin</w:t>
      </w:r>
      <w:proofErr w:type="spellEnd"/>
      <w:r w:rsidRPr="007F560B">
        <w:rPr>
          <w:rFonts w:cs="Times New Roman"/>
          <w:i/>
          <w:sz w:val="24"/>
          <w:szCs w:val="24"/>
          <w:lang w:val="en-US"/>
        </w:rPr>
        <w:t xml:space="preserve"> Cases </w:t>
      </w:r>
      <w:r w:rsidRPr="007F560B">
        <w:rPr>
          <w:rFonts w:cs="Times New Roman"/>
          <w:sz w:val="24"/>
          <w:szCs w:val="24"/>
          <w:lang w:val="en-US"/>
        </w:rPr>
        <w:t xml:space="preserve">2020; </w:t>
      </w:r>
      <w:r w:rsidR="003370EF" w:rsidRPr="003370EF">
        <w:rPr>
          <w:rFonts w:cs="Times New Roman"/>
          <w:sz w:val="24"/>
          <w:szCs w:val="24"/>
          <w:lang w:val="en-US"/>
        </w:rPr>
        <w:t xml:space="preserve">8(11): </w:t>
      </w:r>
      <w:r w:rsidR="00BC5044" w:rsidRPr="00BC5044">
        <w:rPr>
          <w:rFonts w:cs="Times New Roman" w:hint="eastAsia"/>
          <w:sz w:val="24"/>
          <w:szCs w:val="24"/>
          <w:lang w:val="en-US"/>
        </w:rPr>
        <w:t>2255-2265</w:t>
      </w:r>
      <w:r w:rsidR="00BC5044" w:rsidRPr="00BC5044">
        <w:rPr>
          <w:rFonts w:cs="Times New Roman"/>
          <w:sz w:val="24"/>
          <w:szCs w:val="24"/>
          <w:lang w:val="en-US"/>
        </w:rPr>
        <w:t xml:space="preserve"> URL: </w:t>
      </w:r>
      <w:hyperlink r:id="rId7" w:history="1">
        <w:r w:rsidR="00BC5044" w:rsidRPr="00BC5044">
          <w:rPr>
            <w:rStyle w:val="a4"/>
            <w:rFonts w:cs="Times New Roman"/>
            <w:sz w:val="24"/>
            <w:szCs w:val="24"/>
            <w:lang w:val="en-US"/>
          </w:rPr>
          <w:t>https://www.wjgnet.com/2307-8960/full/v8/i11/</w:t>
        </w:r>
        <w:r w:rsidR="00BC5044" w:rsidRPr="00BC5044">
          <w:rPr>
            <w:rStyle w:val="a4"/>
            <w:rFonts w:cs="Times New Roman" w:hint="eastAsia"/>
            <w:sz w:val="24"/>
            <w:szCs w:val="24"/>
            <w:lang w:val="en-US"/>
          </w:rPr>
          <w:t>2255</w:t>
        </w:r>
        <w:r w:rsidR="00BC5044" w:rsidRPr="00BC5044">
          <w:rPr>
            <w:rStyle w:val="a4"/>
            <w:rFonts w:cs="Times New Roman"/>
            <w:sz w:val="24"/>
            <w:szCs w:val="24"/>
            <w:lang w:val="en-US"/>
          </w:rPr>
          <w:t>.htm</w:t>
        </w:r>
      </w:hyperlink>
      <w:r w:rsidR="00BC5044" w:rsidRPr="00BC5044">
        <w:rPr>
          <w:rFonts w:cs="Times New Roman" w:hint="eastAsia"/>
          <w:sz w:val="24"/>
          <w:szCs w:val="24"/>
          <w:lang w:val="en-US"/>
        </w:rPr>
        <w:t xml:space="preserve"> </w:t>
      </w:r>
      <w:r w:rsidR="00BC5044" w:rsidRPr="00BC5044">
        <w:rPr>
          <w:rFonts w:cs="Times New Roman"/>
          <w:sz w:val="24"/>
          <w:szCs w:val="24"/>
          <w:lang w:val="en-US"/>
        </w:rPr>
        <w:t>DOI: https://dx.doi.org/10.12998/wjcc.v8.i11.</w:t>
      </w:r>
      <w:r w:rsidR="00BC5044" w:rsidRPr="00BC5044">
        <w:rPr>
          <w:rFonts w:cs="Times New Roman" w:hint="eastAsia"/>
          <w:sz w:val="24"/>
          <w:szCs w:val="24"/>
          <w:lang w:val="en-US"/>
        </w:rPr>
        <w:t>2255</w:t>
      </w:r>
    </w:p>
    <w:p w14:paraId="7CA52ABC" w14:textId="6C23DE18" w:rsidR="00DD07E7" w:rsidRPr="00BC5044" w:rsidRDefault="00DD07E7" w:rsidP="00BC5044">
      <w:pPr>
        <w:snapToGrid w:val="0"/>
        <w:spacing w:line="360" w:lineRule="auto"/>
        <w:rPr>
          <w:rFonts w:eastAsiaTheme="minorEastAsia"/>
          <w:b/>
          <w:sz w:val="24"/>
          <w:szCs w:val="24"/>
          <w:lang w:val="en-US"/>
        </w:rPr>
      </w:pPr>
      <w:bookmarkStart w:id="4" w:name="_GoBack"/>
      <w:bookmarkEnd w:id="4"/>
    </w:p>
    <w:p w14:paraId="78B4D643" w14:textId="042C7312" w:rsidR="00A8261B" w:rsidRPr="007F560B" w:rsidRDefault="00A8261B" w:rsidP="007F560B">
      <w:pPr>
        <w:snapToGrid w:val="0"/>
        <w:spacing w:line="360" w:lineRule="auto"/>
        <w:jc w:val="both"/>
        <w:rPr>
          <w:rFonts w:cs="Times New Roman"/>
          <w:bCs/>
          <w:color w:val="000000"/>
          <w:sz w:val="24"/>
          <w:szCs w:val="24"/>
          <w:lang w:val="en-US"/>
        </w:rPr>
      </w:pPr>
      <w:r w:rsidRPr="007F560B">
        <w:rPr>
          <w:b/>
          <w:sz w:val="24"/>
          <w:szCs w:val="24"/>
          <w:lang w:val="en-US"/>
        </w:rPr>
        <w:t>Core tip</w:t>
      </w:r>
      <w:r w:rsidRPr="00C75710">
        <w:rPr>
          <w:b/>
          <w:sz w:val="24"/>
          <w:szCs w:val="24"/>
          <w:lang w:val="en-US"/>
        </w:rPr>
        <w:t xml:space="preserve">: </w:t>
      </w:r>
      <w:r w:rsidRPr="007F560B">
        <w:rPr>
          <w:rFonts w:cs="Times New Roman"/>
          <w:bCs/>
          <w:color w:val="000000"/>
          <w:sz w:val="24"/>
          <w:szCs w:val="24"/>
          <w:lang w:val="en-US"/>
        </w:rPr>
        <w:t xml:space="preserve">Analyses of the changes in cytokine expression patterns during treatment </w:t>
      </w:r>
      <w:r w:rsidR="00CE1F15">
        <w:rPr>
          <w:rFonts w:cs="Times New Roman"/>
          <w:bCs/>
          <w:color w:val="000000"/>
          <w:sz w:val="24"/>
          <w:szCs w:val="24"/>
          <w:lang w:val="en-US"/>
        </w:rPr>
        <w:t xml:space="preserve">can </w:t>
      </w:r>
      <w:r w:rsidRPr="007F560B">
        <w:rPr>
          <w:rFonts w:cs="Times New Roman"/>
          <w:bCs/>
          <w:color w:val="000000"/>
          <w:sz w:val="24"/>
          <w:szCs w:val="24"/>
          <w:lang w:val="en-US"/>
        </w:rPr>
        <w:t xml:space="preserve">help to understand the pathogenesis of </w:t>
      </w:r>
      <w:r w:rsidR="009C739D" w:rsidRPr="007F560B">
        <w:rPr>
          <w:sz w:val="24"/>
          <w:szCs w:val="24"/>
          <w:lang w:val="en-US"/>
        </w:rPr>
        <w:t>chronic hepatitis B</w:t>
      </w:r>
      <w:r w:rsidRPr="007F560B">
        <w:rPr>
          <w:rFonts w:cs="Times New Roman"/>
          <w:bCs/>
          <w:color w:val="000000"/>
          <w:sz w:val="24"/>
          <w:szCs w:val="24"/>
          <w:lang w:val="en-US"/>
        </w:rPr>
        <w:t xml:space="preserve"> and predict treatment responses. We found that </w:t>
      </w:r>
      <w:r w:rsidR="009C739D" w:rsidRPr="007F560B">
        <w:rPr>
          <w:rFonts w:eastAsia="TimesNewRoman" w:cs="TimesNewRoman"/>
          <w:sz w:val="24"/>
          <w:szCs w:val="24"/>
          <w:lang w:val="en-US"/>
        </w:rPr>
        <w:t>macrophage inflammatory protein 1d</w:t>
      </w:r>
      <w:r w:rsidRPr="007F560B">
        <w:rPr>
          <w:rFonts w:cs="Times New Roman"/>
          <w:bCs/>
          <w:color w:val="000000"/>
          <w:sz w:val="24"/>
          <w:szCs w:val="24"/>
          <w:lang w:val="en-US"/>
        </w:rPr>
        <w:t xml:space="preserve">, CXCL9, CXCL6, </w:t>
      </w:r>
      <w:r w:rsidR="0097781E" w:rsidRPr="007F560B">
        <w:rPr>
          <w:rFonts w:eastAsia="TimesNewRoman" w:cs="TimesNewRoman"/>
          <w:sz w:val="24"/>
          <w:szCs w:val="24"/>
          <w:lang w:val="en-US"/>
        </w:rPr>
        <w:t>interferon-inducible protein 10</w:t>
      </w:r>
      <w:r w:rsidR="00CE1F15">
        <w:rPr>
          <w:rFonts w:eastAsia="TimesNewRoman" w:cs="TimesNewRoman"/>
          <w:sz w:val="24"/>
          <w:szCs w:val="24"/>
          <w:lang w:val="en-US"/>
        </w:rPr>
        <w:t>,</w:t>
      </w:r>
      <w:r w:rsidRPr="007F560B">
        <w:rPr>
          <w:rFonts w:cs="Times New Roman"/>
          <w:bCs/>
          <w:color w:val="000000"/>
          <w:sz w:val="24"/>
          <w:szCs w:val="24"/>
          <w:lang w:val="en-US"/>
        </w:rPr>
        <w:t xml:space="preserve"> and </w:t>
      </w:r>
      <w:r w:rsidR="0097781E" w:rsidRPr="007F560B">
        <w:rPr>
          <w:rFonts w:eastAsia="TimesNewRoman" w:cs="TimesNewRoman"/>
          <w:sz w:val="24"/>
          <w:szCs w:val="24"/>
          <w:lang w:val="en-US"/>
        </w:rPr>
        <w:t>thymus and activation-regulated chemokine</w:t>
      </w:r>
      <w:r w:rsidRPr="007F560B">
        <w:rPr>
          <w:rFonts w:cs="Times New Roman"/>
          <w:bCs/>
          <w:color w:val="000000"/>
          <w:sz w:val="24"/>
          <w:szCs w:val="24"/>
          <w:lang w:val="en-US"/>
        </w:rPr>
        <w:t xml:space="preserve"> have predictive </w:t>
      </w:r>
      <w:r w:rsidR="00CE1F15">
        <w:rPr>
          <w:rFonts w:cs="Times New Roman"/>
          <w:bCs/>
          <w:color w:val="000000"/>
          <w:sz w:val="24"/>
          <w:szCs w:val="24"/>
          <w:lang w:val="en-US"/>
        </w:rPr>
        <w:t>significance</w:t>
      </w:r>
      <w:r w:rsidR="00CE1F15" w:rsidRPr="007F560B">
        <w:rPr>
          <w:rFonts w:cs="Times New Roman"/>
          <w:bCs/>
          <w:color w:val="000000"/>
          <w:sz w:val="24"/>
          <w:szCs w:val="24"/>
          <w:lang w:val="en-US"/>
        </w:rPr>
        <w:t xml:space="preserve"> </w:t>
      </w:r>
      <w:r w:rsidR="00CE1F15">
        <w:rPr>
          <w:rFonts w:cs="Times New Roman"/>
          <w:bCs/>
          <w:color w:val="000000"/>
          <w:sz w:val="24"/>
          <w:szCs w:val="24"/>
          <w:lang w:val="en-US"/>
        </w:rPr>
        <w:t>i</w:t>
      </w:r>
      <w:r w:rsidR="00CE1F15" w:rsidRPr="007F560B">
        <w:rPr>
          <w:rFonts w:cs="Times New Roman"/>
          <w:bCs/>
          <w:color w:val="000000"/>
          <w:sz w:val="24"/>
          <w:szCs w:val="24"/>
          <w:lang w:val="en-US"/>
        </w:rPr>
        <w:t xml:space="preserve">n </w:t>
      </w:r>
      <w:r w:rsidRPr="007F560B">
        <w:rPr>
          <w:rFonts w:cs="Times New Roman"/>
          <w:bCs/>
          <w:color w:val="000000"/>
          <w:sz w:val="24"/>
          <w:szCs w:val="24"/>
          <w:lang w:val="en-US"/>
        </w:rPr>
        <w:t>interferon therapy</w:t>
      </w:r>
      <w:r w:rsidRPr="007F560B">
        <w:rPr>
          <w:rFonts w:eastAsiaTheme="minorEastAsia" w:cs="Times New Roman"/>
          <w:bCs/>
          <w:color w:val="000000"/>
          <w:sz w:val="24"/>
          <w:szCs w:val="24"/>
          <w:lang w:val="en-US"/>
        </w:rPr>
        <w:t>. Therefore</w:t>
      </w:r>
      <w:r w:rsidRPr="007F560B">
        <w:rPr>
          <w:rFonts w:cs="Times New Roman"/>
          <w:bCs/>
          <w:color w:val="000000"/>
          <w:sz w:val="24"/>
          <w:szCs w:val="24"/>
          <w:lang w:val="en-US"/>
        </w:rPr>
        <w:t xml:space="preserve">, further large and long-term </w:t>
      </w:r>
      <w:r w:rsidR="00CE1F15" w:rsidRPr="007F560B">
        <w:rPr>
          <w:rFonts w:cs="Times New Roman"/>
          <w:bCs/>
          <w:color w:val="000000"/>
          <w:sz w:val="24"/>
          <w:szCs w:val="24"/>
          <w:lang w:val="en-US"/>
        </w:rPr>
        <w:t>follow</w:t>
      </w:r>
      <w:r w:rsidR="00CE1F15">
        <w:rPr>
          <w:rFonts w:cs="Times New Roman"/>
          <w:bCs/>
          <w:color w:val="000000"/>
          <w:sz w:val="24"/>
          <w:szCs w:val="24"/>
          <w:lang w:val="en-US"/>
        </w:rPr>
        <w:t>-</w:t>
      </w:r>
      <w:r w:rsidRPr="007F560B">
        <w:rPr>
          <w:rFonts w:cs="Times New Roman"/>
          <w:bCs/>
          <w:color w:val="000000"/>
          <w:sz w:val="24"/>
          <w:szCs w:val="24"/>
          <w:lang w:val="en-US"/>
        </w:rPr>
        <w:t xml:space="preserve">up studies are needed to determine the predictive value of cytokines in </w:t>
      </w:r>
      <w:r w:rsidR="009C739D" w:rsidRPr="007F560B">
        <w:rPr>
          <w:sz w:val="24"/>
          <w:szCs w:val="24"/>
          <w:lang w:val="en-US"/>
        </w:rPr>
        <w:t>chronic hepatitis B</w:t>
      </w:r>
      <w:r w:rsidRPr="007F560B">
        <w:rPr>
          <w:rFonts w:cs="Times New Roman"/>
          <w:bCs/>
          <w:color w:val="000000"/>
          <w:sz w:val="24"/>
          <w:szCs w:val="24"/>
          <w:lang w:val="en-US"/>
        </w:rPr>
        <w:t xml:space="preserve"> patients</w:t>
      </w:r>
      <w:r w:rsidR="00CE1F15">
        <w:rPr>
          <w:rFonts w:cs="Times New Roman"/>
          <w:bCs/>
          <w:color w:val="000000"/>
          <w:sz w:val="24"/>
          <w:szCs w:val="24"/>
          <w:lang w:val="en-US"/>
        </w:rPr>
        <w:t xml:space="preserve"> </w:t>
      </w:r>
      <w:r w:rsidR="00CE1F15" w:rsidRPr="007F560B">
        <w:rPr>
          <w:rFonts w:cs="Times New Roman"/>
          <w:bCs/>
          <w:color w:val="000000"/>
          <w:sz w:val="24"/>
          <w:szCs w:val="24"/>
          <w:lang w:val="en-US"/>
        </w:rPr>
        <w:t>receiv</w:t>
      </w:r>
      <w:r w:rsidR="00CE1F15">
        <w:rPr>
          <w:rFonts w:cs="Times New Roman"/>
          <w:bCs/>
          <w:color w:val="000000"/>
          <w:sz w:val="24"/>
          <w:szCs w:val="24"/>
          <w:lang w:val="en-US"/>
        </w:rPr>
        <w:t>ing</w:t>
      </w:r>
      <w:r w:rsidR="00CE1F15" w:rsidRPr="007F560B">
        <w:rPr>
          <w:rFonts w:cs="Times New Roman"/>
          <w:bCs/>
          <w:color w:val="000000"/>
          <w:sz w:val="24"/>
          <w:szCs w:val="24"/>
          <w:lang w:val="en-US"/>
        </w:rPr>
        <w:t xml:space="preserve"> </w:t>
      </w:r>
      <w:r w:rsidR="00CE1F15">
        <w:rPr>
          <w:rFonts w:eastAsia="TimesNewRoman" w:cs="TimesNewRoman"/>
          <w:sz w:val="24"/>
          <w:szCs w:val="24"/>
          <w:lang w:val="en-US"/>
        </w:rPr>
        <w:t>p</w:t>
      </w:r>
      <w:r w:rsidR="00CE1F15" w:rsidRPr="007F560B">
        <w:rPr>
          <w:rFonts w:eastAsia="TimesNewRoman" w:cs="TimesNewRoman"/>
          <w:sz w:val="24"/>
          <w:szCs w:val="24"/>
          <w:lang w:val="en-US"/>
        </w:rPr>
        <w:t>eginterferon</w:t>
      </w:r>
      <w:r w:rsidR="009C739D" w:rsidRPr="007F560B">
        <w:rPr>
          <w:rFonts w:eastAsia="TimesNewRoman" w:cs="TimesNewRoman"/>
          <w:sz w:val="24"/>
          <w:szCs w:val="24"/>
          <w:lang w:val="en-US"/>
        </w:rPr>
        <w:t>-alpha-2a</w:t>
      </w:r>
      <w:r w:rsidRPr="007F560B">
        <w:rPr>
          <w:rFonts w:cs="Times New Roman"/>
          <w:bCs/>
          <w:color w:val="000000"/>
          <w:sz w:val="24"/>
          <w:szCs w:val="24"/>
          <w:lang w:val="en-US"/>
        </w:rPr>
        <w:t xml:space="preserve"> treatment. In addition, the differences in these factors between the response and non-response groups and their specific biological roles in </w:t>
      </w:r>
      <w:r w:rsidR="0097781E" w:rsidRPr="007F560B">
        <w:rPr>
          <w:rFonts w:eastAsia="TimesNewRoman" w:cs="TimesNewRoman"/>
          <w:sz w:val="24"/>
          <w:szCs w:val="24"/>
          <w:lang w:val="en-US"/>
        </w:rPr>
        <w:t>hepatitis B virus</w:t>
      </w:r>
      <w:r w:rsidRPr="007F560B">
        <w:rPr>
          <w:rFonts w:cs="Times New Roman"/>
          <w:bCs/>
          <w:color w:val="000000"/>
          <w:sz w:val="24"/>
          <w:szCs w:val="24"/>
          <w:lang w:val="en-US"/>
        </w:rPr>
        <w:t xml:space="preserve"> infection require further investigation.</w:t>
      </w:r>
    </w:p>
    <w:p w14:paraId="4C8CB9C8" w14:textId="77777777" w:rsidR="0097781E" w:rsidRPr="007F560B" w:rsidRDefault="0097781E" w:rsidP="007F560B">
      <w:pPr>
        <w:widowControl/>
        <w:autoSpaceDE/>
        <w:autoSpaceDN/>
        <w:snapToGrid w:val="0"/>
        <w:spacing w:line="360" w:lineRule="auto"/>
        <w:jc w:val="both"/>
        <w:rPr>
          <w:sz w:val="24"/>
          <w:szCs w:val="24"/>
          <w:lang w:val="en-US"/>
        </w:rPr>
      </w:pPr>
      <w:r w:rsidRPr="007F560B">
        <w:rPr>
          <w:b/>
          <w:bCs/>
          <w:sz w:val="24"/>
          <w:szCs w:val="24"/>
          <w:lang w:val="en-US"/>
        </w:rPr>
        <w:br w:type="page"/>
      </w:r>
    </w:p>
    <w:p w14:paraId="4DC007CB" w14:textId="77777777" w:rsidR="0097781E" w:rsidRPr="007F560B" w:rsidRDefault="0097781E" w:rsidP="007F560B">
      <w:pPr>
        <w:adjustRightInd w:val="0"/>
        <w:snapToGrid w:val="0"/>
        <w:spacing w:line="360" w:lineRule="auto"/>
        <w:jc w:val="both"/>
        <w:rPr>
          <w:b/>
          <w:color w:val="000000"/>
          <w:sz w:val="24"/>
          <w:szCs w:val="24"/>
          <w:u w:val="single"/>
          <w:lang w:val="en-US"/>
        </w:rPr>
      </w:pPr>
      <w:r w:rsidRPr="007F560B">
        <w:rPr>
          <w:b/>
          <w:color w:val="000000"/>
          <w:sz w:val="24"/>
          <w:szCs w:val="24"/>
          <w:u w:val="single"/>
          <w:lang w:val="en-US"/>
        </w:rPr>
        <w:lastRenderedPageBreak/>
        <w:t>INTRODUCTION</w:t>
      </w:r>
    </w:p>
    <w:p w14:paraId="5AF7E44A" w14:textId="1AA526C5" w:rsidR="00A8261B" w:rsidRPr="007F560B" w:rsidRDefault="00A8261B" w:rsidP="007F560B">
      <w:pPr>
        <w:pStyle w:val="1"/>
        <w:snapToGrid w:val="0"/>
        <w:spacing w:before="0" w:line="360" w:lineRule="auto"/>
        <w:ind w:left="0"/>
        <w:jc w:val="both"/>
        <w:rPr>
          <w:rFonts w:eastAsia="TimesNewRoman" w:cs="TimesNewRoman"/>
          <w:b w:val="0"/>
          <w:lang w:val="en-US"/>
        </w:rPr>
      </w:pPr>
      <w:r w:rsidRPr="007F560B">
        <w:rPr>
          <w:rFonts w:eastAsia="TimesNewRoman" w:cs="TimesNewRoman"/>
          <w:b w:val="0"/>
          <w:lang w:val="en-US"/>
        </w:rPr>
        <w:t xml:space="preserve">Despite the development of a highly effective and safe </w:t>
      </w:r>
      <w:bookmarkStart w:id="5" w:name="OLE_LINK4"/>
      <w:bookmarkStart w:id="6" w:name="OLE_LINK5"/>
      <w:r w:rsidR="00CE1F15" w:rsidRPr="007F560B">
        <w:rPr>
          <w:rFonts w:eastAsia="TimesNewRoman" w:cs="TimesNewRoman"/>
          <w:b w:val="0"/>
          <w:lang w:val="en-US"/>
        </w:rPr>
        <w:t>vaccin</w:t>
      </w:r>
      <w:r w:rsidR="00CE1F15">
        <w:rPr>
          <w:rFonts w:eastAsia="TimesNewRoman" w:cs="TimesNewRoman"/>
          <w:b w:val="0"/>
          <w:lang w:val="en-US"/>
        </w:rPr>
        <w:t>e</w:t>
      </w:r>
      <w:r w:rsidR="00CE1F15" w:rsidRPr="007F560B">
        <w:rPr>
          <w:rFonts w:eastAsia="TimesNewRoman" w:cs="TimesNewRoman"/>
          <w:b w:val="0"/>
          <w:lang w:val="en-US"/>
        </w:rPr>
        <w:t xml:space="preserve"> </w:t>
      </w:r>
      <w:r w:rsidRPr="007F560B">
        <w:rPr>
          <w:rFonts w:eastAsia="TimesNewRoman" w:cs="TimesNewRoman"/>
          <w:b w:val="0"/>
          <w:lang w:val="en-US"/>
        </w:rPr>
        <w:t xml:space="preserve">over 30 years ago, </w:t>
      </w:r>
      <w:bookmarkEnd w:id="5"/>
      <w:bookmarkEnd w:id="6"/>
      <w:r w:rsidRPr="007F560B">
        <w:rPr>
          <w:rFonts w:eastAsia="TimesNewRoman" w:cs="TimesNewRoman"/>
          <w:b w:val="0"/>
          <w:lang w:val="en-US"/>
        </w:rPr>
        <w:t>chronic hepatitis B virus (HBV) infection remains a global major public health problem</w:t>
      </w:r>
      <w:r w:rsidR="00274096" w:rsidRPr="007F560B">
        <w:rPr>
          <w:rFonts w:eastAsia="TimesNewRoman" w:cs="TimesNewRoman"/>
          <w:b w:val="0"/>
          <w:lang w:val="en-US"/>
        </w:rPr>
        <w:t>,</w:t>
      </w:r>
      <w:r w:rsidR="008A2576" w:rsidRPr="007F560B">
        <w:rPr>
          <w:rFonts w:eastAsia="TimesNewRoman" w:cs="TimesNewRoman"/>
          <w:b w:val="0"/>
          <w:lang w:val="en-US"/>
        </w:rPr>
        <w:t xml:space="preserve"> and at least 257 million</w:t>
      </w:r>
      <w:r w:rsidRPr="007F560B">
        <w:rPr>
          <w:rFonts w:eastAsia="TimesNewRoman" w:cs="TimesNewRoman"/>
          <w:b w:val="0"/>
          <w:lang w:val="en-US"/>
        </w:rPr>
        <w:t xml:space="preserve"> people are chronically infected with </w:t>
      </w:r>
      <w:r w:rsidR="0097781E" w:rsidRPr="007F560B">
        <w:rPr>
          <w:rFonts w:eastAsia="TimesNewRoman" w:cs="TimesNewRoman"/>
          <w:b w:val="0"/>
          <w:lang w:val="en-US"/>
        </w:rPr>
        <w:t>HBV</w:t>
      </w:r>
      <w:r w:rsidRPr="007F560B">
        <w:rPr>
          <w:rFonts w:eastAsia="TimesNewRoman" w:cs="TimesNewRoman"/>
          <w:b w:val="0"/>
          <w:lang w:val="en-US"/>
        </w:rPr>
        <w:t xml:space="preserve"> </w:t>
      </w:r>
      <w:proofErr w:type="gramStart"/>
      <w:r w:rsidRPr="007F560B">
        <w:rPr>
          <w:rFonts w:eastAsia="TimesNewRoman" w:cs="TimesNewRoman"/>
          <w:b w:val="0"/>
          <w:lang w:val="en-US"/>
        </w:rPr>
        <w:t>worldwide</w:t>
      </w:r>
      <w:r w:rsidRPr="007F560B">
        <w:rPr>
          <w:rFonts w:eastAsia="TimesNewRoman" w:cs="TimesNewRoman"/>
          <w:b w:val="0"/>
          <w:noProof/>
          <w:vertAlign w:val="superscript"/>
          <w:lang w:val="en-US"/>
        </w:rPr>
        <w:t>[</w:t>
      </w:r>
      <w:proofErr w:type="gramEnd"/>
      <w:r w:rsidRPr="007F560B">
        <w:rPr>
          <w:rFonts w:eastAsia="TimesNewRoman" w:cs="TimesNewRoman"/>
          <w:b w:val="0"/>
          <w:noProof/>
          <w:vertAlign w:val="superscript"/>
          <w:lang w:val="en-US"/>
        </w:rPr>
        <w:t>1]</w:t>
      </w:r>
      <w:r w:rsidR="0097781E" w:rsidRPr="007F560B">
        <w:rPr>
          <w:rFonts w:eastAsia="TimesNewRoman" w:cs="TimesNewRoman"/>
          <w:b w:val="0"/>
          <w:lang w:val="en-US"/>
        </w:rPr>
        <w:t>. Approximately 887</w:t>
      </w:r>
      <w:r w:rsidRPr="007F560B">
        <w:rPr>
          <w:rFonts w:eastAsia="TimesNewRoman" w:cs="TimesNewRoman"/>
          <w:b w:val="0"/>
          <w:lang w:val="en-US"/>
        </w:rPr>
        <w:t xml:space="preserve">000 </w:t>
      </w:r>
      <w:r w:rsidR="0097781E" w:rsidRPr="007F560B">
        <w:rPr>
          <w:rFonts w:eastAsia="TimesNewRoman" w:cs="TimesNewRoman"/>
          <w:b w:val="0"/>
          <w:lang w:val="en-US"/>
        </w:rPr>
        <w:t>chronic hepatitis B (CHB)</w:t>
      </w:r>
      <w:r w:rsidRPr="007F560B">
        <w:rPr>
          <w:rFonts w:eastAsia="TimesNewRoman" w:cs="TimesNewRoman"/>
          <w:b w:val="0"/>
          <w:lang w:val="en-US"/>
        </w:rPr>
        <w:t xml:space="preserve"> patients die annually from complications associated with the disease, including cirrhosis, hepatocellular carcinoma</w:t>
      </w:r>
      <w:r w:rsidR="00CE1F15">
        <w:rPr>
          <w:rFonts w:eastAsia="TimesNewRoman" w:cs="TimesNewRoman"/>
          <w:b w:val="0"/>
          <w:lang w:val="en-US"/>
        </w:rPr>
        <w:t>,</w:t>
      </w:r>
      <w:r w:rsidRPr="007F560B">
        <w:rPr>
          <w:rFonts w:eastAsia="TimesNewRoman" w:cs="TimesNewRoman"/>
          <w:b w:val="0"/>
          <w:lang w:val="en-US"/>
        </w:rPr>
        <w:t xml:space="preserve"> and liver failure</w:t>
      </w:r>
      <w:r w:rsidR="00E76101" w:rsidRPr="007F560B">
        <w:rPr>
          <w:rFonts w:eastAsia="TimesNewRoman" w:cs="TimesNewRoman"/>
          <w:b w:val="0"/>
          <w:noProof/>
          <w:vertAlign w:val="superscript"/>
          <w:lang w:val="en-US"/>
        </w:rPr>
        <w:t>[1-10]</w:t>
      </w:r>
      <w:r w:rsidRPr="007F560B">
        <w:rPr>
          <w:rFonts w:eastAsia="TimesNewRoman" w:cs="TimesNewRoman"/>
          <w:b w:val="0"/>
          <w:lang w:val="en-US"/>
        </w:rPr>
        <w:t xml:space="preserve">. Effective antiviral drugs inhibit replication and reduce the </w:t>
      </w:r>
      <w:r w:rsidR="008A2576" w:rsidRPr="007F560B">
        <w:rPr>
          <w:rFonts w:eastAsia="TimesNewRoman" w:cs="TimesNewRoman"/>
          <w:b w:val="0"/>
          <w:lang w:val="en-US"/>
        </w:rPr>
        <w:t>risks</w:t>
      </w:r>
      <w:r w:rsidRPr="007F560B">
        <w:rPr>
          <w:rFonts w:eastAsia="TimesNewRoman" w:cs="TimesNewRoman"/>
          <w:b w:val="0"/>
          <w:lang w:val="en-US"/>
        </w:rPr>
        <w:t xml:space="preserve"> of CHB </w:t>
      </w:r>
      <w:proofErr w:type="gramStart"/>
      <w:r w:rsidRPr="007F560B">
        <w:rPr>
          <w:rFonts w:eastAsia="TimesNewRoman" w:cs="TimesNewRoman"/>
          <w:b w:val="0"/>
          <w:lang w:val="en-US"/>
        </w:rPr>
        <w:t>complications</w:t>
      </w:r>
      <w:r w:rsidR="00E76101" w:rsidRPr="007F560B">
        <w:rPr>
          <w:rFonts w:eastAsia="TimesNewRoman" w:cs="TimesNewRoman"/>
          <w:b w:val="0"/>
          <w:noProof/>
          <w:vertAlign w:val="superscript"/>
          <w:lang w:val="en-US"/>
        </w:rPr>
        <w:t>[</w:t>
      </w:r>
      <w:proofErr w:type="gramEnd"/>
      <w:r w:rsidR="00E76101" w:rsidRPr="007F560B">
        <w:rPr>
          <w:rFonts w:eastAsia="TimesNewRoman" w:cs="TimesNewRoman"/>
          <w:b w:val="0"/>
          <w:noProof/>
          <w:vertAlign w:val="superscript"/>
          <w:lang w:val="en-US"/>
        </w:rPr>
        <w:t>11]</w:t>
      </w:r>
      <w:r w:rsidRPr="007F560B">
        <w:rPr>
          <w:rFonts w:eastAsia="TimesNewRoman" w:cs="TimesNewRoman"/>
          <w:b w:val="0"/>
          <w:lang w:val="en-US"/>
        </w:rPr>
        <w:t xml:space="preserve">. Host and viral factors play key roles in the natural history of </w:t>
      </w:r>
      <w:r w:rsidR="00CE1F15">
        <w:rPr>
          <w:rFonts w:eastAsia="TimesNewRoman" w:cs="TimesNewRoman"/>
          <w:b w:val="0"/>
          <w:lang w:val="en-US"/>
        </w:rPr>
        <w:t>CHB</w:t>
      </w:r>
      <w:r w:rsidRPr="007F560B">
        <w:rPr>
          <w:rFonts w:eastAsia="TimesNewRoman" w:cs="TimesNewRoman"/>
          <w:b w:val="0"/>
          <w:lang w:val="en-US"/>
        </w:rPr>
        <w:t xml:space="preserve">, the disease activity, and the effectiveness of antiviral </w:t>
      </w:r>
      <w:proofErr w:type="gramStart"/>
      <w:r w:rsidRPr="007F560B">
        <w:rPr>
          <w:rFonts w:eastAsia="TimesNewRoman" w:cs="TimesNewRoman"/>
          <w:b w:val="0"/>
          <w:lang w:val="en-US"/>
        </w:rPr>
        <w:t>therapy</w:t>
      </w:r>
      <w:r w:rsidR="00E76101" w:rsidRPr="007F560B">
        <w:rPr>
          <w:rFonts w:eastAsia="TimesNewRoman" w:cs="TimesNewRoman"/>
          <w:b w:val="0"/>
          <w:noProof/>
          <w:vertAlign w:val="superscript"/>
          <w:lang w:val="en-US"/>
        </w:rPr>
        <w:t>[</w:t>
      </w:r>
      <w:proofErr w:type="gramEnd"/>
      <w:r w:rsidR="00E76101" w:rsidRPr="007F560B">
        <w:rPr>
          <w:rFonts w:eastAsia="TimesNewRoman" w:cs="TimesNewRoman"/>
          <w:b w:val="0"/>
          <w:noProof/>
          <w:vertAlign w:val="superscript"/>
          <w:lang w:val="en-US"/>
        </w:rPr>
        <w:t>12]</w:t>
      </w:r>
      <w:r w:rsidRPr="007F560B">
        <w:rPr>
          <w:rFonts w:eastAsia="TimesNewRoman" w:cs="TimesNewRoman"/>
          <w:b w:val="0"/>
          <w:lang w:val="en-US"/>
        </w:rPr>
        <w:t xml:space="preserve">. CHB patients generally have an impaired host immune response, which may be associated with a persistent high viral load and subsequent T cell </w:t>
      </w:r>
      <w:proofErr w:type="gramStart"/>
      <w:r w:rsidRPr="007F560B">
        <w:rPr>
          <w:rFonts w:eastAsia="TimesNewRoman" w:cs="TimesNewRoman"/>
          <w:b w:val="0"/>
          <w:lang w:val="en-US"/>
        </w:rPr>
        <w:t>failure</w:t>
      </w:r>
      <w:r w:rsidR="0097781E" w:rsidRPr="007F560B">
        <w:rPr>
          <w:rFonts w:eastAsia="TimesNewRoman" w:cs="TimesNewRoman"/>
          <w:b w:val="0"/>
          <w:noProof/>
          <w:vertAlign w:val="superscript"/>
          <w:lang w:val="en-US"/>
        </w:rPr>
        <w:t>[</w:t>
      </w:r>
      <w:proofErr w:type="gramEnd"/>
      <w:r w:rsidR="0097781E" w:rsidRPr="007F560B">
        <w:rPr>
          <w:rFonts w:eastAsia="TimesNewRoman" w:cs="TimesNewRoman"/>
          <w:b w:val="0"/>
          <w:noProof/>
          <w:vertAlign w:val="superscript"/>
          <w:lang w:val="en-US"/>
        </w:rPr>
        <w:t>11,</w:t>
      </w:r>
      <w:r w:rsidR="00E76101" w:rsidRPr="007F560B">
        <w:rPr>
          <w:rFonts w:eastAsia="TimesNewRoman" w:cs="TimesNewRoman"/>
          <w:b w:val="0"/>
          <w:noProof/>
          <w:vertAlign w:val="superscript"/>
          <w:lang w:val="en-US"/>
        </w:rPr>
        <w:t>13]</w:t>
      </w:r>
      <w:r w:rsidRPr="007F560B">
        <w:rPr>
          <w:rFonts w:eastAsia="TimesNewRoman" w:cs="TimesNewRoman"/>
          <w:b w:val="0"/>
          <w:lang w:val="en-US"/>
        </w:rPr>
        <w:t xml:space="preserve">. At present, the antiviral strategy for </w:t>
      </w:r>
      <w:r w:rsidR="00CE1F15">
        <w:rPr>
          <w:rFonts w:eastAsia="TimesNewRoman" w:cs="TimesNewRoman"/>
          <w:b w:val="0"/>
          <w:lang w:val="en-US"/>
        </w:rPr>
        <w:t>CHB</w:t>
      </w:r>
      <w:r w:rsidRPr="007F560B">
        <w:rPr>
          <w:rFonts w:eastAsia="TimesNewRoman" w:cs="TimesNewRoman"/>
          <w:b w:val="0"/>
          <w:lang w:val="en-US"/>
        </w:rPr>
        <w:t xml:space="preserve"> mainly lies in the effective suppression of the virus and the recovery of HBV-specific immune </w:t>
      </w:r>
      <w:proofErr w:type="gramStart"/>
      <w:r w:rsidRPr="007F560B">
        <w:rPr>
          <w:rFonts w:eastAsia="TimesNewRoman" w:cs="TimesNewRoman"/>
          <w:b w:val="0"/>
          <w:lang w:val="en-US"/>
        </w:rPr>
        <w:t>responses</w:t>
      </w:r>
      <w:r w:rsidR="00E76101" w:rsidRPr="007F560B">
        <w:rPr>
          <w:rFonts w:eastAsia="TimesNewRoman" w:cs="TimesNewRoman"/>
          <w:b w:val="0"/>
          <w:noProof/>
          <w:vertAlign w:val="superscript"/>
          <w:lang w:val="en-US"/>
        </w:rPr>
        <w:t>[</w:t>
      </w:r>
      <w:proofErr w:type="gramEnd"/>
      <w:r w:rsidR="00E76101" w:rsidRPr="007F560B">
        <w:rPr>
          <w:rFonts w:eastAsia="TimesNewRoman" w:cs="TimesNewRoman"/>
          <w:b w:val="0"/>
          <w:noProof/>
          <w:vertAlign w:val="superscript"/>
          <w:lang w:val="en-US"/>
        </w:rPr>
        <w:t>12]</w:t>
      </w:r>
      <w:r w:rsidR="0097781E" w:rsidRPr="007F560B">
        <w:rPr>
          <w:rFonts w:eastAsia="TimesNewRoman" w:cs="TimesNewRoman"/>
          <w:b w:val="0"/>
          <w:lang w:val="en-US"/>
        </w:rPr>
        <w:t xml:space="preserve">. </w:t>
      </w:r>
      <w:r w:rsidRPr="007F560B">
        <w:rPr>
          <w:rFonts w:eastAsia="TimesNewRoman" w:cs="TimesNewRoman"/>
          <w:b w:val="0"/>
          <w:lang w:val="en-US"/>
        </w:rPr>
        <w:t xml:space="preserve">Because peginterferon-alpha-2a (PEG-IFN) has direct antiviral and immunoregulatory effects, it has become one of the first choice drugs for the treatment of </w:t>
      </w:r>
      <w:proofErr w:type="gramStart"/>
      <w:r w:rsidR="00CE1F15">
        <w:rPr>
          <w:rFonts w:eastAsia="TimesNewRoman" w:cs="TimesNewRoman"/>
          <w:b w:val="0"/>
          <w:lang w:val="en-US"/>
        </w:rPr>
        <w:t>CHB</w:t>
      </w:r>
      <w:r w:rsidR="00E76101" w:rsidRPr="007F560B">
        <w:rPr>
          <w:rFonts w:eastAsia="TimesNewRoman" w:cs="TimesNewRoman"/>
          <w:b w:val="0"/>
          <w:noProof/>
          <w:vertAlign w:val="superscript"/>
          <w:lang w:val="en-US"/>
        </w:rPr>
        <w:t>[</w:t>
      </w:r>
      <w:proofErr w:type="gramEnd"/>
      <w:r w:rsidR="00E76101" w:rsidRPr="007F560B">
        <w:rPr>
          <w:rFonts w:eastAsia="TimesNewRoman" w:cs="TimesNewRoman"/>
          <w:b w:val="0"/>
          <w:noProof/>
          <w:vertAlign w:val="superscript"/>
          <w:lang w:val="en-US"/>
        </w:rPr>
        <w:t>14]</w:t>
      </w:r>
      <w:r w:rsidRPr="007F560B">
        <w:rPr>
          <w:rFonts w:eastAsia="TimesNewRoman" w:cs="TimesNewRoman"/>
          <w:b w:val="0"/>
          <w:lang w:val="en-US"/>
        </w:rPr>
        <w:t>.</w:t>
      </w:r>
      <w:r w:rsidRPr="007F560B">
        <w:rPr>
          <w:b w:val="0"/>
          <w:lang w:val="en-US"/>
        </w:rPr>
        <w:t xml:space="preserve"> </w:t>
      </w:r>
      <w:r w:rsidRPr="007F560B">
        <w:rPr>
          <w:rFonts w:eastAsia="TimesNewRoman" w:cs="TimesNewRoman"/>
          <w:b w:val="0"/>
          <w:lang w:val="en-US"/>
        </w:rPr>
        <w:t>Antiviral treatment with PEG-IFN effectively inhibits HBV replication and may lead to seroconversion of hepatitis B e antigen (</w:t>
      </w:r>
      <w:proofErr w:type="spellStart"/>
      <w:r w:rsidRPr="007F560B">
        <w:rPr>
          <w:rFonts w:eastAsia="TimesNewRoman" w:cs="TimesNewRoman"/>
          <w:b w:val="0"/>
          <w:lang w:val="en-US"/>
        </w:rPr>
        <w:t>HBeAg</w:t>
      </w:r>
      <w:proofErr w:type="spellEnd"/>
      <w:r w:rsidRPr="007F560B">
        <w:rPr>
          <w:rFonts w:eastAsia="TimesNewRoman" w:cs="TimesNewRoman"/>
          <w:b w:val="0"/>
          <w:lang w:val="en-US"/>
        </w:rPr>
        <w:t xml:space="preserve">), clearance of hepatitis B surface antigen (HBsAg), normalization of alanine aminotransferase (ALT) levels, and histologic </w:t>
      </w:r>
      <w:proofErr w:type="gramStart"/>
      <w:r w:rsidRPr="007F560B">
        <w:rPr>
          <w:rFonts w:eastAsia="TimesNewRoman" w:cs="TimesNewRoman"/>
          <w:b w:val="0"/>
          <w:lang w:val="en-US"/>
        </w:rPr>
        <w:t>improvement</w:t>
      </w:r>
      <w:r w:rsidR="00E76101" w:rsidRPr="007F560B">
        <w:rPr>
          <w:rFonts w:eastAsia="TimesNewRoman" w:cs="TimesNewRoman"/>
          <w:b w:val="0"/>
          <w:noProof/>
          <w:vertAlign w:val="superscript"/>
          <w:lang w:val="en-US"/>
        </w:rPr>
        <w:t>[</w:t>
      </w:r>
      <w:proofErr w:type="gramEnd"/>
      <w:r w:rsidR="00E76101" w:rsidRPr="007F560B">
        <w:rPr>
          <w:rFonts w:eastAsia="TimesNewRoman" w:cs="TimesNewRoman"/>
          <w:b w:val="0"/>
          <w:noProof/>
          <w:vertAlign w:val="superscript"/>
          <w:lang w:val="en-US"/>
        </w:rPr>
        <w:t>11]</w:t>
      </w:r>
      <w:r w:rsidRPr="007F560B">
        <w:rPr>
          <w:rFonts w:eastAsia="TimesNewRoman" w:cs="TimesNewRoman"/>
          <w:b w:val="0"/>
          <w:lang w:val="en-US"/>
        </w:rPr>
        <w:t xml:space="preserve">. If patients achieve an IFN induced </w:t>
      </w:r>
      <w:proofErr w:type="spellStart"/>
      <w:r w:rsidR="00A91A3D" w:rsidRPr="007F560B">
        <w:rPr>
          <w:rFonts w:eastAsia="TimesNewRoman" w:cs="TimesNewRoman"/>
          <w:b w:val="0"/>
          <w:lang w:val="en-US"/>
        </w:rPr>
        <w:t>virological</w:t>
      </w:r>
      <w:proofErr w:type="spellEnd"/>
      <w:r w:rsidRPr="007F560B">
        <w:rPr>
          <w:rFonts w:eastAsia="TimesNewRoman" w:cs="TimesNewRoman"/>
          <w:b w:val="0"/>
          <w:lang w:val="en-US"/>
        </w:rPr>
        <w:t xml:space="preserve"> response, they may achieve long-term therapeutic effects while reducing the </w:t>
      </w:r>
      <w:r w:rsidR="008A2576" w:rsidRPr="007F560B">
        <w:rPr>
          <w:rFonts w:eastAsia="TimesNewRoman" w:cs="TimesNewRoman"/>
          <w:b w:val="0"/>
          <w:lang w:val="en-US"/>
        </w:rPr>
        <w:t>risks</w:t>
      </w:r>
      <w:r w:rsidRPr="007F560B">
        <w:rPr>
          <w:rFonts w:eastAsia="TimesNewRoman" w:cs="TimesNewRoman"/>
          <w:b w:val="0"/>
          <w:lang w:val="en-US"/>
        </w:rPr>
        <w:t xml:space="preserve"> of cirrhosis and </w:t>
      </w:r>
      <w:proofErr w:type="gramStart"/>
      <w:r w:rsidRPr="007F560B">
        <w:rPr>
          <w:rFonts w:eastAsia="TimesNewRoman" w:cs="TimesNewRoman"/>
          <w:b w:val="0"/>
          <w:lang w:val="en-US"/>
        </w:rPr>
        <w:t>HCC</w:t>
      </w:r>
      <w:r w:rsidR="0097781E" w:rsidRPr="007F560B">
        <w:rPr>
          <w:rFonts w:eastAsia="TimesNewRoman" w:cs="TimesNewRoman"/>
          <w:b w:val="0"/>
          <w:noProof/>
          <w:vertAlign w:val="superscript"/>
          <w:lang w:val="en-US"/>
        </w:rPr>
        <w:t>[</w:t>
      </w:r>
      <w:proofErr w:type="gramEnd"/>
      <w:r w:rsidR="0097781E" w:rsidRPr="007F560B">
        <w:rPr>
          <w:rFonts w:eastAsia="TimesNewRoman" w:cs="TimesNewRoman"/>
          <w:b w:val="0"/>
          <w:noProof/>
          <w:vertAlign w:val="superscript"/>
          <w:lang w:val="en-US"/>
        </w:rPr>
        <w:t>11,</w:t>
      </w:r>
      <w:r w:rsidR="00E76101" w:rsidRPr="007F560B">
        <w:rPr>
          <w:rFonts w:eastAsia="TimesNewRoman" w:cs="TimesNewRoman"/>
          <w:b w:val="0"/>
          <w:noProof/>
          <w:vertAlign w:val="superscript"/>
          <w:lang w:val="en-US"/>
        </w:rPr>
        <w:t>14]</w:t>
      </w:r>
      <w:r w:rsidRPr="007F560B">
        <w:rPr>
          <w:rFonts w:eastAsia="TimesNewRoman" w:cs="TimesNewRoman"/>
          <w:b w:val="0"/>
          <w:lang w:val="en-US"/>
        </w:rPr>
        <w:t xml:space="preserve">. </w:t>
      </w:r>
      <w:r w:rsidR="00CE1F15">
        <w:rPr>
          <w:rFonts w:eastAsia="TimesNewRoman" w:cs="TimesNewRoman"/>
          <w:b w:val="0"/>
          <w:lang w:val="en-US"/>
        </w:rPr>
        <w:t>When</w:t>
      </w:r>
      <w:r w:rsidR="00CE1F15" w:rsidRPr="007F560B">
        <w:rPr>
          <w:rFonts w:eastAsia="TimesNewRoman" w:cs="TimesNewRoman"/>
          <w:b w:val="0"/>
          <w:lang w:val="en-US"/>
        </w:rPr>
        <w:t xml:space="preserve"> </w:t>
      </w:r>
      <w:r w:rsidRPr="007F560B">
        <w:rPr>
          <w:rFonts w:eastAsia="TimesNewRoman" w:cs="TimesNewRoman"/>
          <w:b w:val="0"/>
          <w:lang w:val="en-US"/>
        </w:rPr>
        <w:t xml:space="preserve">patients with </w:t>
      </w:r>
      <w:r w:rsidR="00CE1F15">
        <w:rPr>
          <w:rFonts w:eastAsia="TimesNewRoman" w:cs="TimesNewRoman"/>
          <w:b w:val="0"/>
          <w:lang w:val="en-US"/>
        </w:rPr>
        <w:t>CHB</w:t>
      </w:r>
      <w:r w:rsidRPr="007F560B">
        <w:rPr>
          <w:rFonts w:eastAsia="TimesNewRoman" w:cs="TimesNewRoman"/>
          <w:b w:val="0"/>
          <w:lang w:val="en-US"/>
        </w:rPr>
        <w:t xml:space="preserve"> receive PEG-IFN treatment, there is no guarantee of a sustained virology response,</w:t>
      </w:r>
      <w:r w:rsidRPr="007F560B">
        <w:rPr>
          <w:rFonts w:eastAsia="宋体" w:cs="宋体"/>
          <w:b w:val="0"/>
          <w:lang w:val="en-US"/>
        </w:rPr>
        <w:t xml:space="preserve"> </w:t>
      </w:r>
      <w:r w:rsidRPr="007F560B">
        <w:rPr>
          <w:rFonts w:eastAsia="TimesNewRoman" w:cs="TimesNewRoman"/>
          <w:b w:val="0"/>
          <w:lang w:val="en-US"/>
        </w:rPr>
        <w:t xml:space="preserve">and </w:t>
      </w:r>
      <w:r w:rsidRPr="007F560B">
        <w:rPr>
          <w:rFonts w:eastAsia="宋体" w:cs="宋体"/>
          <w:b w:val="0"/>
          <w:lang w:val="en-US"/>
        </w:rPr>
        <w:t>s</w:t>
      </w:r>
      <w:r w:rsidRPr="007F560B">
        <w:rPr>
          <w:rFonts w:eastAsia="TimesNewRoman" w:cs="TimesNewRoman"/>
          <w:b w:val="0"/>
          <w:lang w:val="en-US"/>
        </w:rPr>
        <w:t>tudies show that only 30% of patients benefit</w:t>
      </w:r>
      <w:r w:rsidR="00CE1F15">
        <w:rPr>
          <w:rFonts w:eastAsia="TimesNewRoman" w:cs="TimesNewRoman"/>
          <w:b w:val="0"/>
          <w:lang w:val="en-US"/>
        </w:rPr>
        <w:t xml:space="preserve"> from this </w:t>
      </w:r>
      <w:proofErr w:type="gramStart"/>
      <w:r w:rsidR="00CE1F15">
        <w:rPr>
          <w:rFonts w:eastAsia="TimesNewRoman" w:cs="TimesNewRoman"/>
          <w:b w:val="0"/>
          <w:lang w:val="en-US"/>
        </w:rPr>
        <w:t>treatment</w:t>
      </w:r>
      <w:r w:rsidR="00E76101" w:rsidRPr="007F560B">
        <w:rPr>
          <w:rFonts w:eastAsia="TimesNewRoman" w:cs="TimesNewRoman"/>
          <w:b w:val="0"/>
          <w:noProof/>
          <w:vertAlign w:val="superscript"/>
          <w:lang w:val="en-US"/>
        </w:rPr>
        <w:t>[</w:t>
      </w:r>
      <w:proofErr w:type="gramEnd"/>
      <w:r w:rsidR="00E76101" w:rsidRPr="007F560B">
        <w:rPr>
          <w:rFonts w:eastAsia="TimesNewRoman" w:cs="TimesNewRoman"/>
          <w:b w:val="0"/>
          <w:noProof/>
          <w:vertAlign w:val="superscript"/>
          <w:lang w:val="en-US"/>
        </w:rPr>
        <w:t>15]</w:t>
      </w:r>
      <w:r w:rsidRPr="007F560B">
        <w:rPr>
          <w:rFonts w:eastAsia="TimesNewRoman" w:cs="TimesNewRoman"/>
          <w:b w:val="0"/>
          <w:lang w:val="en-US"/>
        </w:rPr>
        <w:t xml:space="preserve">. Since PEG-IFN has the properties of immune regulation, the host immune status may affect the efficacy of PEG-IFN in the treatment of </w:t>
      </w:r>
      <w:proofErr w:type="gramStart"/>
      <w:r w:rsidR="00CE1F15">
        <w:rPr>
          <w:rFonts w:eastAsia="TimesNewRoman" w:cs="TimesNewRoman"/>
          <w:b w:val="0"/>
          <w:lang w:val="en-US"/>
        </w:rPr>
        <w:t>CHB</w:t>
      </w:r>
      <w:r w:rsidR="0097781E" w:rsidRPr="007F560B">
        <w:rPr>
          <w:rFonts w:eastAsia="TimesNewRoman" w:cs="TimesNewRoman"/>
          <w:b w:val="0"/>
          <w:noProof/>
          <w:vertAlign w:val="superscript"/>
          <w:lang w:val="en-US"/>
        </w:rPr>
        <w:t>[</w:t>
      </w:r>
      <w:proofErr w:type="gramEnd"/>
      <w:r w:rsidR="0097781E" w:rsidRPr="007F560B">
        <w:rPr>
          <w:rFonts w:eastAsia="TimesNewRoman" w:cs="TimesNewRoman"/>
          <w:b w:val="0"/>
          <w:noProof/>
          <w:vertAlign w:val="superscript"/>
          <w:lang w:val="en-US"/>
        </w:rPr>
        <w:t>11,</w:t>
      </w:r>
      <w:r w:rsidR="00E76101" w:rsidRPr="007F560B">
        <w:rPr>
          <w:rFonts w:eastAsia="TimesNewRoman" w:cs="TimesNewRoman"/>
          <w:b w:val="0"/>
          <w:noProof/>
          <w:vertAlign w:val="superscript"/>
          <w:lang w:val="en-US"/>
        </w:rPr>
        <w:t>12]</w:t>
      </w:r>
      <w:r w:rsidRPr="007F560B">
        <w:rPr>
          <w:rFonts w:eastAsia="TimesNewRoman" w:cs="TimesNewRoman"/>
          <w:b w:val="0"/>
          <w:lang w:val="en-US"/>
        </w:rPr>
        <w:t xml:space="preserve">. Several studies in recent years have shown that cytokines and chemokines may play a potential </w:t>
      </w:r>
      <w:r w:rsidR="0097781E" w:rsidRPr="007F560B">
        <w:rPr>
          <w:rFonts w:eastAsia="TimesNewRoman" w:cs="TimesNewRoman"/>
          <w:b w:val="0"/>
          <w:lang w:val="en-US"/>
        </w:rPr>
        <w:t xml:space="preserve">role in chronic viral </w:t>
      </w:r>
      <w:proofErr w:type="gramStart"/>
      <w:r w:rsidR="0097781E" w:rsidRPr="007F560B">
        <w:rPr>
          <w:rFonts w:eastAsia="TimesNewRoman" w:cs="TimesNewRoman"/>
          <w:b w:val="0"/>
          <w:lang w:val="en-US"/>
        </w:rPr>
        <w:t>hepatitis</w:t>
      </w:r>
      <w:r w:rsidR="0097781E" w:rsidRPr="007F560B">
        <w:rPr>
          <w:rFonts w:eastAsia="TimesNewRoman" w:cs="TimesNewRoman"/>
          <w:b w:val="0"/>
          <w:noProof/>
          <w:vertAlign w:val="superscript"/>
          <w:lang w:val="en-US"/>
        </w:rPr>
        <w:t>[</w:t>
      </w:r>
      <w:proofErr w:type="gramEnd"/>
      <w:r w:rsidR="0097781E" w:rsidRPr="007F560B">
        <w:rPr>
          <w:rFonts w:eastAsia="TimesNewRoman" w:cs="TimesNewRoman"/>
          <w:b w:val="0"/>
          <w:noProof/>
          <w:vertAlign w:val="superscript"/>
          <w:lang w:val="en-US"/>
        </w:rPr>
        <w:t>12,16,</w:t>
      </w:r>
      <w:r w:rsidR="00E76101" w:rsidRPr="007F560B">
        <w:rPr>
          <w:rFonts w:eastAsia="TimesNewRoman" w:cs="TimesNewRoman"/>
          <w:b w:val="0"/>
          <w:noProof/>
          <w:vertAlign w:val="superscript"/>
          <w:lang w:val="en-US"/>
        </w:rPr>
        <w:t>17]</w:t>
      </w:r>
      <w:r w:rsidRPr="007F560B">
        <w:rPr>
          <w:rFonts w:eastAsia="TimesNewRoman" w:cs="TimesNewRoman"/>
          <w:b w:val="0"/>
          <w:lang w:val="en-US"/>
        </w:rPr>
        <w:t>.</w:t>
      </w:r>
    </w:p>
    <w:p w14:paraId="72FDDA26" w14:textId="494ED4CA" w:rsidR="00A8261B" w:rsidRPr="007F560B" w:rsidRDefault="00A8261B" w:rsidP="007F560B">
      <w:pPr>
        <w:snapToGrid w:val="0"/>
        <w:spacing w:line="360" w:lineRule="auto"/>
        <w:ind w:firstLineChars="100" w:firstLine="240"/>
        <w:jc w:val="both"/>
        <w:rPr>
          <w:sz w:val="24"/>
          <w:szCs w:val="24"/>
          <w:lang w:val="en-US"/>
        </w:rPr>
      </w:pPr>
      <w:r w:rsidRPr="007F560B">
        <w:rPr>
          <w:color w:val="231F20"/>
          <w:sz w:val="24"/>
          <w:szCs w:val="24"/>
          <w:lang w:val="en-US"/>
        </w:rPr>
        <w:t>Cytokines play an important role in immunity</w:t>
      </w:r>
      <w:r w:rsidR="00CE1F15">
        <w:rPr>
          <w:color w:val="231F20"/>
          <w:sz w:val="24"/>
          <w:szCs w:val="24"/>
          <w:lang w:val="en-US"/>
        </w:rPr>
        <w:t>, and</w:t>
      </w:r>
      <w:r w:rsidR="00CE1F15" w:rsidRPr="007F560B">
        <w:rPr>
          <w:color w:val="231F20"/>
          <w:sz w:val="24"/>
          <w:szCs w:val="24"/>
          <w:lang w:val="en-US"/>
        </w:rPr>
        <w:t xml:space="preserve"> </w:t>
      </w:r>
      <w:r w:rsidRPr="007F560B">
        <w:rPr>
          <w:color w:val="231F20"/>
          <w:sz w:val="24"/>
          <w:szCs w:val="24"/>
          <w:lang w:val="en-US"/>
        </w:rPr>
        <w:t xml:space="preserve">they directly inhibit viral replication and indirectly determine the predominant pattern of the host </w:t>
      </w:r>
      <w:r w:rsidRPr="007F560B">
        <w:rPr>
          <w:color w:val="231F20"/>
          <w:sz w:val="24"/>
          <w:szCs w:val="24"/>
          <w:lang w:val="en-US"/>
        </w:rPr>
        <w:lastRenderedPageBreak/>
        <w:t xml:space="preserve">immune </w:t>
      </w:r>
      <w:proofErr w:type="gramStart"/>
      <w:r w:rsidRPr="007F560B">
        <w:rPr>
          <w:color w:val="231F20"/>
          <w:sz w:val="24"/>
          <w:szCs w:val="24"/>
          <w:lang w:val="en-US"/>
        </w:rPr>
        <w:t>response</w:t>
      </w:r>
      <w:r w:rsidR="00E76101" w:rsidRPr="007F560B">
        <w:rPr>
          <w:noProof/>
          <w:color w:val="231F20"/>
          <w:sz w:val="24"/>
          <w:szCs w:val="24"/>
          <w:vertAlign w:val="superscript"/>
          <w:lang w:val="en-US"/>
        </w:rPr>
        <w:t>[</w:t>
      </w:r>
      <w:proofErr w:type="gramEnd"/>
      <w:r w:rsidR="00E76101" w:rsidRPr="007F560B">
        <w:rPr>
          <w:noProof/>
          <w:color w:val="231F20"/>
          <w:sz w:val="24"/>
          <w:szCs w:val="24"/>
          <w:vertAlign w:val="superscript"/>
          <w:lang w:val="en-US"/>
        </w:rPr>
        <w:t>18]</w:t>
      </w:r>
      <w:r w:rsidRPr="007F560B">
        <w:rPr>
          <w:color w:val="231F20"/>
          <w:sz w:val="24"/>
          <w:szCs w:val="24"/>
          <w:lang w:val="en-US"/>
        </w:rPr>
        <w:t xml:space="preserve">. Chemokines are a group of small cytokines that induce the migration of circulating white blood cells to sites of inflammation or injury and enhance the phagocytosis abilities of inflammatory </w:t>
      </w:r>
      <w:proofErr w:type="gramStart"/>
      <w:r w:rsidRPr="007F560B">
        <w:rPr>
          <w:color w:val="231F20"/>
          <w:sz w:val="24"/>
          <w:szCs w:val="24"/>
          <w:lang w:val="en-US"/>
        </w:rPr>
        <w:t>cells</w:t>
      </w:r>
      <w:r w:rsidR="00E76101" w:rsidRPr="007F560B">
        <w:rPr>
          <w:noProof/>
          <w:color w:val="231F20"/>
          <w:sz w:val="24"/>
          <w:szCs w:val="24"/>
          <w:vertAlign w:val="superscript"/>
          <w:lang w:val="en-US"/>
        </w:rPr>
        <w:t>[</w:t>
      </w:r>
      <w:proofErr w:type="gramEnd"/>
      <w:r w:rsidR="00E76101" w:rsidRPr="007F560B">
        <w:rPr>
          <w:noProof/>
          <w:color w:val="231F20"/>
          <w:sz w:val="24"/>
          <w:szCs w:val="24"/>
          <w:vertAlign w:val="superscript"/>
          <w:lang w:val="en-US"/>
        </w:rPr>
        <w:t>19]</w:t>
      </w:r>
      <w:r w:rsidRPr="007F560B">
        <w:rPr>
          <w:color w:val="231F20"/>
          <w:sz w:val="24"/>
          <w:szCs w:val="24"/>
          <w:lang w:val="en-US"/>
        </w:rPr>
        <w:t xml:space="preserve">. Due to the highly complex control of cytokine secretion, </w:t>
      </w:r>
      <w:r w:rsidRPr="007F560B">
        <w:rPr>
          <w:sz w:val="24"/>
          <w:szCs w:val="24"/>
          <w:lang w:val="en-US"/>
        </w:rPr>
        <w:t xml:space="preserve">the interactions between cytokines, and with their receptors, are widely spread in numerous regulatory </w:t>
      </w:r>
      <w:proofErr w:type="gramStart"/>
      <w:r w:rsidRPr="007F560B">
        <w:rPr>
          <w:sz w:val="24"/>
          <w:szCs w:val="24"/>
          <w:lang w:val="en-US"/>
        </w:rPr>
        <w:t>networks</w:t>
      </w:r>
      <w:r w:rsidR="00E76101" w:rsidRPr="007F560B">
        <w:rPr>
          <w:noProof/>
          <w:sz w:val="24"/>
          <w:szCs w:val="24"/>
          <w:vertAlign w:val="superscript"/>
          <w:lang w:val="en-US"/>
        </w:rPr>
        <w:t>[</w:t>
      </w:r>
      <w:proofErr w:type="gramEnd"/>
      <w:r w:rsidR="00E76101" w:rsidRPr="007F560B">
        <w:rPr>
          <w:noProof/>
          <w:sz w:val="24"/>
          <w:szCs w:val="24"/>
          <w:vertAlign w:val="superscript"/>
          <w:lang w:val="en-US"/>
        </w:rPr>
        <w:t>19]</w:t>
      </w:r>
      <w:r w:rsidRPr="007F560B">
        <w:rPr>
          <w:sz w:val="24"/>
          <w:szCs w:val="24"/>
          <w:lang w:val="en-US"/>
        </w:rPr>
        <w:t>.</w:t>
      </w:r>
      <w:r w:rsidR="0097781E" w:rsidRPr="007F560B">
        <w:rPr>
          <w:color w:val="FF0000"/>
          <w:sz w:val="24"/>
          <w:szCs w:val="24"/>
          <w:lang w:val="en-US"/>
        </w:rPr>
        <w:t xml:space="preserve"> </w:t>
      </w:r>
      <w:r w:rsidRPr="007F560B">
        <w:rPr>
          <w:color w:val="231F20"/>
          <w:sz w:val="24"/>
          <w:szCs w:val="24"/>
          <w:lang w:val="en-US"/>
        </w:rPr>
        <w:t>Screening multiple biomarkers can clarify the immune mechanism</w:t>
      </w:r>
      <w:r w:rsidRPr="007F560B">
        <w:rPr>
          <w:sz w:val="24"/>
          <w:szCs w:val="24"/>
          <w:lang w:val="en-US"/>
        </w:rPr>
        <w:t xml:space="preserve"> of HBV infection and predict the response to antiviral therapy. Moreover, </w:t>
      </w:r>
      <w:r w:rsidR="00CE1F15">
        <w:rPr>
          <w:sz w:val="24"/>
          <w:szCs w:val="24"/>
          <w:lang w:val="en-US"/>
        </w:rPr>
        <w:t>a</w:t>
      </w:r>
      <w:r w:rsidR="00CE1F15" w:rsidRPr="007F560B">
        <w:rPr>
          <w:sz w:val="24"/>
          <w:szCs w:val="24"/>
          <w:lang w:val="en-US"/>
        </w:rPr>
        <w:t xml:space="preserve"> </w:t>
      </w:r>
      <w:r w:rsidRPr="007F560B">
        <w:rPr>
          <w:sz w:val="24"/>
          <w:szCs w:val="24"/>
          <w:lang w:val="en-US"/>
        </w:rPr>
        <w:t xml:space="preserve">study has </w:t>
      </w:r>
      <w:r w:rsidR="008A2576" w:rsidRPr="007F560B">
        <w:rPr>
          <w:sz w:val="24"/>
          <w:szCs w:val="24"/>
          <w:lang w:val="en-US"/>
        </w:rPr>
        <w:t xml:space="preserve">demonstrated </w:t>
      </w:r>
      <w:r w:rsidRPr="007F560B">
        <w:rPr>
          <w:sz w:val="24"/>
          <w:szCs w:val="24"/>
          <w:lang w:val="en-US"/>
        </w:rPr>
        <w:t>that T cell responses and circulating cytokines are associated with</w:t>
      </w:r>
      <w:r w:rsidR="00CE1F15">
        <w:rPr>
          <w:sz w:val="24"/>
          <w:szCs w:val="24"/>
          <w:lang w:val="en-US"/>
        </w:rPr>
        <w:t xml:space="preserve"> HBV</w:t>
      </w:r>
      <w:r w:rsidRPr="007F560B">
        <w:rPr>
          <w:sz w:val="24"/>
          <w:szCs w:val="24"/>
          <w:lang w:val="en-US"/>
        </w:rPr>
        <w:t xml:space="preserve"> replication and liver function. Interleukin (IL)-10, IL -12</w:t>
      </w:r>
      <w:r w:rsidR="00CE1F15">
        <w:rPr>
          <w:sz w:val="24"/>
          <w:szCs w:val="24"/>
          <w:lang w:val="en-US"/>
        </w:rPr>
        <w:t>,</w:t>
      </w:r>
      <w:r w:rsidRPr="007F560B">
        <w:rPr>
          <w:sz w:val="24"/>
          <w:szCs w:val="24"/>
          <w:lang w:val="en-US"/>
        </w:rPr>
        <w:t xml:space="preserve"> and IL -21 play </w:t>
      </w:r>
      <w:r w:rsidR="008A2576" w:rsidRPr="007F560B">
        <w:rPr>
          <w:sz w:val="24"/>
          <w:szCs w:val="24"/>
          <w:lang w:val="en-US"/>
        </w:rPr>
        <w:t>crucial</w:t>
      </w:r>
      <w:r w:rsidR="008A2576" w:rsidRPr="007F560B" w:rsidDel="008A2576">
        <w:rPr>
          <w:sz w:val="24"/>
          <w:szCs w:val="24"/>
          <w:lang w:val="en-US"/>
        </w:rPr>
        <w:t xml:space="preserve"> </w:t>
      </w:r>
      <w:r w:rsidRPr="007F560B">
        <w:rPr>
          <w:sz w:val="24"/>
          <w:szCs w:val="24"/>
          <w:lang w:val="en-US"/>
        </w:rPr>
        <w:t xml:space="preserve">roles in the immune clearance stage; thus, they are related to the seroconversion of </w:t>
      </w:r>
      <w:proofErr w:type="spellStart"/>
      <w:proofErr w:type="gramStart"/>
      <w:r w:rsidRPr="007F560B">
        <w:rPr>
          <w:sz w:val="24"/>
          <w:szCs w:val="24"/>
          <w:lang w:val="en-US"/>
        </w:rPr>
        <w:t>HBeAg</w:t>
      </w:r>
      <w:proofErr w:type="spellEnd"/>
      <w:r w:rsidR="0097781E" w:rsidRPr="007F560B">
        <w:rPr>
          <w:noProof/>
          <w:sz w:val="24"/>
          <w:szCs w:val="24"/>
          <w:vertAlign w:val="superscript"/>
          <w:lang w:val="en-US"/>
        </w:rPr>
        <w:t>[</w:t>
      </w:r>
      <w:proofErr w:type="gramEnd"/>
      <w:r w:rsidR="0097781E" w:rsidRPr="007F560B">
        <w:rPr>
          <w:noProof/>
          <w:sz w:val="24"/>
          <w:szCs w:val="24"/>
          <w:vertAlign w:val="superscript"/>
          <w:lang w:val="en-US"/>
        </w:rPr>
        <w:t>11,16,18,</w:t>
      </w:r>
      <w:r w:rsidR="00E76101" w:rsidRPr="007F560B">
        <w:rPr>
          <w:noProof/>
          <w:sz w:val="24"/>
          <w:szCs w:val="24"/>
          <w:vertAlign w:val="superscript"/>
          <w:lang w:val="en-US"/>
        </w:rPr>
        <w:t>19]</w:t>
      </w:r>
      <w:r w:rsidRPr="007F560B">
        <w:rPr>
          <w:sz w:val="24"/>
          <w:szCs w:val="24"/>
          <w:lang w:val="en-US"/>
        </w:rPr>
        <w:t xml:space="preserve">. Nevertheless, the relationship between multiple cytokines and chemokines and the responses to </w:t>
      </w:r>
      <w:r w:rsidR="0097781E" w:rsidRPr="007F560B">
        <w:rPr>
          <w:rFonts w:eastAsia="TimesNewRoman" w:cs="TimesNewRoman"/>
          <w:sz w:val="24"/>
          <w:szCs w:val="24"/>
          <w:lang w:val="en-US"/>
        </w:rPr>
        <w:t>PEG-IFN</w:t>
      </w:r>
      <w:r w:rsidRPr="007F560B">
        <w:rPr>
          <w:sz w:val="24"/>
          <w:szCs w:val="24"/>
          <w:lang w:val="en-US"/>
        </w:rPr>
        <w:t xml:space="preserve"> therapy in patients with CHB has not previously been clarified.</w:t>
      </w:r>
    </w:p>
    <w:p w14:paraId="0FA6D9E5" w14:textId="5B6A33C8" w:rsidR="00A8261B" w:rsidRPr="007F560B" w:rsidRDefault="00A8261B" w:rsidP="007F560B">
      <w:pPr>
        <w:snapToGrid w:val="0"/>
        <w:spacing w:line="360" w:lineRule="auto"/>
        <w:ind w:firstLineChars="100" w:firstLine="240"/>
        <w:jc w:val="both"/>
        <w:rPr>
          <w:rFonts w:eastAsia="TimesNewRoman" w:cs="TimesNewRoman"/>
          <w:sz w:val="24"/>
          <w:szCs w:val="24"/>
          <w:lang w:val="en-US"/>
        </w:rPr>
      </w:pPr>
      <w:r w:rsidRPr="007F560B">
        <w:rPr>
          <w:rFonts w:eastAsia="TimesNewRoman" w:cs="TimesNewRoman"/>
          <w:sz w:val="24"/>
          <w:szCs w:val="24"/>
          <w:lang w:val="en-US"/>
        </w:rPr>
        <w:t>In</w:t>
      </w:r>
      <w:r w:rsidR="009A5EFF" w:rsidRPr="007F560B">
        <w:rPr>
          <w:rFonts w:eastAsia="TimesNewRoman" w:cs="TimesNewRoman"/>
          <w:sz w:val="24"/>
          <w:szCs w:val="24"/>
          <w:lang w:val="en-US"/>
        </w:rPr>
        <w:t xml:space="preserve"> this</w:t>
      </w:r>
      <w:r w:rsidRPr="007F560B">
        <w:rPr>
          <w:rFonts w:eastAsia="TimesNewRoman" w:cs="TimesNewRoman"/>
          <w:sz w:val="24"/>
          <w:szCs w:val="24"/>
          <w:lang w:val="en-US"/>
        </w:rPr>
        <w:t xml:space="preserve"> study, we analyzed the serum levels of cytokines in CHB patients </w:t>
      </w:r>
      <w:r w:rsidR="009A5EFF" w:rsidRPr="007F560B">
        <w:rPr>
          <w:rFonts w:eastAsia="TimesNewRoman" w:cs="TimesNewRoman"/>
          <w:sz w:val="24"/>
          <w:szCs w:val="24"/>
          <w:lang w:val="en-US"/>
        </w:rPr>
        <w:t>receiving</w:t>
      </w:r>
      <w:r w:rsidRPr="007F560B">
        <w:rPr>
          <w:rFonts w:eastAsia="TimesNewRoman" w:cs="TimesNewRoman"/>
          <w:sz w:val="24"/>
          <w:szCs w:val="24"/>
          <w:lang w:val="en-US"/>
        </w:rPr>
        <w:t xml:space="preserve"> </w:t>
      </w:r>
      <w:r w:rsidR="0097781E" w:rsidRPr="007F560B">
        <w:rPr>
          <w:rFonts w:eastAsia="TimesNewRoman" w:cs="TimesNewRoman"/>
          <w:sz w:val="24"/>
          <w:szCs w:val="24"/>
          <w:lang w:val="en-US"/>
        </w:rPr>
        <w:t>PEG-IFN</w:t>
      </w:r>
      <w:r w:rsidRPr="007F560B">
        <w:rPr>
          <w:rFonts w:eastAsia="TimesNewRoman" w:cs="TimesNewRoman"/>
          <w:sz w:val="24"/>
          <w:szCs w:val="24"/>
          <w:lang w:val="en-US"/>
        </w:rPr>
        <w:t xml:space="preserve"> treatment and responses to the therapy. </w:t>
      </w:r>
      <w:bookmarkStart w:id="7" w:name="OLE_LINK175"/>
      <w:bookmarkStart w:id="8" w:name="OLE_LINK176"/>
      <w:r w:rsidRPr="007F560B">
        <w:rPr>
          <w:rFonts w:eastAsia="TimesNewRoman" w:cs="TimesNewRoman"/>
          <w:sz w:val="24"/>
          <w:szCs w:val="24"/>
          <w:lang w:val="en-US"/>
        </w:rPr>
        <w:t xml:space="preserve">Forty-six cytokines, including </w:t>
      </w:r>
      <w:r w:rsidR="00C2256D" w:rsidRPr="007F560B">
        <w:rPr>
          <w:rFonts w:eastAsia="TimesNewRoman" w:cs="TimesNewRoman"/>
          <w:sz w:val="24"/>
          <w:szCs w:val="24"/>
          <w:lang w:val="en-US"/>
        </w:rPr>
        <w:t>macrophage inflammatory protein 1d (MIP-1d)</w:t>
      </w:r>
      <w:r w:rsidRPr="007F560B">
        <w:rPr>
          <w:rFonts w:eastAsia="TimesNewRoman" w:cs="TimesNewRoman"/>
          <w:sz w:val="24"/>
          <w:szCs w:val="24"/>
          <w:lang w:val="en-US"/>
        </w:rPr>
        <w:t xml:space="preserve">, CXCL9, CXCL6, IP10, </w:t>
      </w:r>
      <w:r w:rsidR="00CE1F15">
        <w:rPr>
          <w:rFonts w:eastAsia="TimesNewRoman" w:cs="TimesNewRoman"/>
          <w:sz w:val="24"/>
          <w:szCs w:val="24"/>
          <w:lang w:val="en-US"/>
        </w:rPr>
        <w:t xml:space="preserve">and </w:t>
      </w:r>
      <w:r w:rsidRPr="007F560B">
        <w:rPr>
          <w:rFonts w:eastAsia="TimesNewRoman" w:cs="TimesNewRoman"/>
          <w:sz w:val="24"/>
          <w:szCs w:val="24"/>
          <w:lang w:val="en-US"/>
        </w:rPr>
        <w:t>TARC</w:t>
      </w:r>
      <w:bookmarkEnd w:id="7"/>
      <w:bookmarkEnd w:id="8"/>
      <w:r w:rsidRPr="007F560B">
        <w:rPr>
          <w:rFonts w:eastAsia="TimesNewRoman" w:cs="TimesNewRoman"/>
          <w:sz w:val="24"/>
          <w:szCs w:val="24"/>
          <w:lang w:val="en-US"/>
        </w:rPr>
        <w:t xml:space="preserve">, </w:t>
      </w:r>
      <w:r w:rsidR="00CE1F15">
        <w:rPr>
          <w:rFonts w:eastAsia="TimesNewRoman" w:cs="TimesNewRoman"/>
          <w:sz w:val="24"/>
          <w:szCs w:val="24"/>
          <w:lang w:val="en-US"/>
        </w:rPr>
        <w:t>in</w:t>
      </w:r>
      <w:r w:rsidR="009A5EFF" w:rsidRPr="007F560B">
        <w:rPr>
          <w:rFonts w:eastAsia="TimesNewRoman" w:cs="TimesNewRoman"/>
          <w:sz w:val="24"/>
          <w:szCs w:val="24"/>
          <w:lang w:val="en-US"/>
        </w:rPr>
        <w:t xml:space="preserve"> serum samples of </w:t>
      </w:r>
      <w:r w:rsidRPr="007F560B">
        <w:rPr>
          <w:rFonts w:eastAsia="TimesNewRoman" w:cs="TimesNewRoman"/>
          <w:sz w:val="24"/>
          <w:szCs w:val="24"/>
          <w:lang w:val="en-US"/>
        </w:rPr>
        <w:t>CHB patients</w:t>
      </w:r>
      <w:r w:rsidR="00CE1F15" w:rsidRPr="00CE1F15">
        <w:rPr>
          <w:rFonts w:eastAsia="TimesNewRoman" w:cs="TimesNewRoman"/>
          <w:sz w:val="24"/>
          <w:szCs w:val="24"/>
          <w:lang w:val="en-US"/>
        </w:rPr>
        <w:t xml:space="preserve"> </w:t>
      </w:r>
      <w:r w:rsidR="00CE1F15" w:rsidRPr="007F560B">
        <w:rPr>
          <w:rFonts w:eastAsia="TimesNewRoman" w:cs="TimesNewRoman"/>
          <w:sz w:val="24"/>
          <w:szCs w:val="24"/>
          <w:lang w:val="en-US"/>
        </w:rPr>
        <w:t>were simultaneously tested</w:t>
      </w:r>
      <w:r w:rsidRPr="007F560B">
        <w:rPr>
          <w:rFonts w:eastAsia="TimesNewRoman" w:cs="TimesNewRoman"/>
          <w:sz w:val="24"/>
          <w:szCs w:val="24"/>
          <w:lang w:val="en-US"/>
        </w:rPr>
        <w:t xml:space="preserve">. The predictive value of the cytokines for the responses to </w:t>
      </w:r>
      <w:r w:rsidR="0097781E" w:rsidRPr="007F560B">
        <w:rPr>
          <w:rFonts w:eastAsia="TimesNewRoman" w:cs="TimesNewRoman"/>
          <w:sz w:val="24"/>
          <w:szCs w:val="24"/>
          <w:lang w:val="en-US"/>
        </w:rPr>
        <w:t>PEG-IFN</w:t>
      </w:r>
      <w:r w:rsidRPr="007F560B">
        <w:rPr>
          <w:rFonts w:eastAsia="TimesNewRoman" w:cs="TimesNewRoman"/>
          <w:sz w:val="24"/>
          <w:szCs w:val="24"/>
          <w:lang w:val="en-US"/>
        </w:rPr>
        <w:t xml:space="preserve"> </w:t>
      </w:r>
      <w:r w:rsidR="00CE1F15" w:rsidRPr="007F560B">
        <w:rPr>
          <w:rFonts w:eastAsia="TimesNewRoman" w:cs="TimesNewRoman"/>
          <w:sz w:val="24"/>
          <w:szCs w:val="24"/>
          <w:lang w:val="en-US"/>
        </w:rPr>
        <w:t>w</w:t>
      </w:r>
      <w:r w:rsidR="00CE1F15">
        <w:rPr>
          <w:rFonts w:eastAsia="TimesNewRoman" w:cs="TimesNewRoman"/>
          <w:sz w:val="24"/>
          <w:szCs w:val="24"/>
          <w:lang w:val="en-US"/>
        </w:rPr>
        <w:t>as</w:t>
      </w:r>
      <w:r w:rsidR="00CE1F15" w:rsidRPr="007F560B">
        <w:rPr>
          <w:rFonts w:eastAsia="TimesNewRoman" w:cs="TimesNewRoman"/>
          <w:sz w:val="24"/>
          <w:szCs w:val="24"/>
          <w:lang w:val="en-US"/>
        </w:rPr>
        <w:t xml:space="preserve"> </w:t>
      </w:r>
      <w:r w:rsidRPr="007F560B">
        <w:rPr>
          <w:rFonts w:eastAsia="TimesNewRoman" w:cs="TimesNewRoman"/>
          <w:sz w:val="24"/>
          <w:szCs w:val="24"/>
          <w:lang w:val="en-US"/>
        </w:rPr>
        <w:t>also assessed.</w:t>
      </w:r>
    </w:p>
    <w:p w14:paraId="0F01E3DC" w14:textId="77777777" w:rsidR="00A8261B" w:rsidRPr="007F560B" w:rsidRDefault="00A8261B" w:rsidP="007F560B">
      <w:pPr>
        <w:pStyle w:val="1"/>
        <w:snapToGrid w:val="0"/>
        <w:spacing w:before="0" w:line="360" w:lineRule="auto"/>
        <w:ind w:left="0"/>
        <w:jc w:val="both"/>
        <w:rPr>
          <w:rFonts w:eastAsiaTheme="minorEastAsia"/>
          <w:lang w:val="en-US"/>
        </w:rPr>
      </w:pPr>
    </w:p>
    <w:p w14:paraId="568F3534" w14:textId="77777777" w:rsidR="00C2256D" w:rsidRPr="007F560B" w:rsidRDefault="00C2256D" w:rsidP="007F560B">
      <w:pPr>
        <w:adjustRightInd w:val="0"/>
        <w:snapToGrid w:val="0"/>
        <w:spacing w:line="360" w:lineRule="auto"/>
        <w:jc w:val="both"/>
        <w:rPr>
          <w:b/>
          <w:color w:val="000000"/>
          <w:sz w:val="24"/>
          <w:szCs w:val="24"/>
          <w:u w:val="single"/>
          <w:lang w:val="en-US"/>
        </w:rPr>
      </w:pPr>
      <w:r w:rsidRPr="007F560B">
        <w:rPr>
          <w:b/>
          <w:color w:val="000000"/>
          <w:sz w:val="24"/>
          <w:szCs w:val="24"/>
          <w:u w:val="single"/>
          <w:lang w:val="en-US"/>
        </w:rPr>
        <w:t>MATERIALS AND METHODS</w:t>
      </w:r>
    </w:p>
    <w:p w14:paraId="4EF8F444" w14:textId="77777777" w:rsidR="00A8261B" w:rsidRPr="007F560B" w:rsidRDefault="00A8261B" w:rsidP="007F560B">
      <w:pPr>
        <w:snapToGrid w:val="0"/>
        <w:spacing w:line="360" w:lineRule="auto"/>
        <w:jc w:val="both"/>
        <w:rPr>
          <w:rFonts w:eastAsia="TimesNewRoman" w:cs="TimesNewRoman"/>
          <w:b/>
          <w:i/>
          <w:sz w:val="24"/>
          <w:szCs w:val="24"/>
          <w:lang w:val="en-US"/>
        </w:rPr>
      </w:pPr>
      <w:r w:rsidRPr="007F560B">
        <w:rPr>
          <w:rFonts w:eastAsia="TimesNewRoman" w:cs="TimesNewRoman"/>
          <w:b/>
          <w:i/>
          <w:sz w:val="24"/>
          <w:szCs w:val="24"/>
          <w:lang w:val="en-US"/>
        </w:rPr>
        <w:t xml:space="preserve">Serum </w:t>
      </w:r>
      <w:r w:rsidR="00C2256D" w:rsidRPr="007F560B">
        <w:rPr>
          <w:rFonts w:eastAsia="TimesNewRoman" w:cs="TimesNewRoman"/>
          <w:b/>
          <w:i/>
          <w:sz w:val="24"/>
          <w:szCs w:val="24"/>
          <w:lang w:val="en-US"/>
        </w:rPr>
        <w:t>samples</w:t>
      </w:r>
    </w:p>
    <w:p w14:paraId="3FBFAF84" w14:textId="6BBC50A6" w:rsidR="00A8261B" w:rsidRPr="007F560B" w:rsidRDefault="00A8261B" w:rsidP="007F560B">
      <w:pPr>
        <w:snapToGrid w:val="0"/>
        <w:spacing w:line="360" w:lineRule="auto"/>
        <w:jc w:val="both"/>
        <w:rPr>
          <w:rFonts w:eastAsia="TimesNewRoman" w:cs="TimesNewRoman"/>
          <w:sz w:val="24"/>
          <w:szCs w:val="24"/>
          <w:lang w:val="en-US"/>
        </w:rPr>
      </w:pPr>
      <w:r w:rsidRPr="007F560B">
        <w:rPr>
          <w:rFonts w:eastAsia="TimesNewRoman" w:cs="TimesNewRoman"/>
          <w:sz w:val="24"/>
          <w:szCs w:val="24"/>
          <w:lang w:val="en-US"/>
        </w:rPr>
        <w:t xml:space="preserve">In total, 78 serum samples were prospectively collected with written informed consent from 26 CHB patients undergoing </w:t>
      </w:r>
      <w:r w:rsidR="0097781E" w:rsidRPr="007F560B">
        <w:rPr>
          <w:rFonts w:eastAsia="TimesNewRoman" w:cs="TimesNewRoman"/>
          <w:sz w:val="24"/>
          <w:szCs w:val="24"/>
          <w:lang w:val="en-US"/>
        </w:rPr>
        <w:t>PEG-IFN</w:t>
      </w:r>
      <w:r w:rsidRPr="007F560B">
        <w:rPr>
          <w:rFonts w:eastAsia="TimesNewRoman" w:cs="TimesNewRoman"/>
          <w:sz w:val="24"/>
          <w:szCs w:val="24"/>
          <w:lang w:val="en-US"/>
        </w:rPr>
        <w:t xml:space="preserve"> therapy between </w:t>
      </w:r>
      <w:r w:rsidR="002B380F" w:rsidRPr="007F560B">
        <w:rPr>
          <w:rFonts w:eastAsia="TimesNewRoman" w:cs="TimesNewRoman"/>
          <w:sz w:val="24"/>
          <w:szCs w:val="24"/>
          <w:lang w:val="en-US"/>
        </w:rPr>
        <w:t xml:space="preserve">August </w:t>
      </w:r>
      <w:r w:rsidRPr="007F560B">
        <w:rPr>
          <w:rFonts w:eastAsia="TimesNewRoman" w:cs="TimesNewRoman"/>
          <w:sz w:val="24"/>
          <w:szCs w:val="24"/>
          <w:lang w:val="en-US"/>
        </w:rPr>
        <w:t>201</w:t>
      </w:r>
      <w:r w:rsidR="002B380F" w:rsidRPr="007F560B">
        <w:rPr>
          <w:rFonts w:eastAsia="TimesNewRoman" w:cs="TimesNewRoman"/>
          <w:sz w:val="24"/>
          <w:szCs w:val="24"/>
          <w:lang w:val="en-US"/>
        </w:rPr>
        <w:t xml:space="preserve">8 </w:t>
      </w:r>
      <w:r w:rsidRPr="007F560B">
        <w:rPr>
          <w:rFonts w:eastAsia="TimesNewRoman" w:cs="TimesNewRoman"/>
          <w:sz w:val="24"/>
          <w:szCs w:val="24"/>
          <w:lang w:val="en-US"/>
        </w:rPr>
        <w:t xml:space="preserve">and </w:t>
      </w:r>
      <w:r w:rsidR="002B380F" w:rsidRPr="007F560B">
        <w:rPr>
          <w:rFonts w:eastAsia="TimesNewRoman" w:cs="TimesNewRoman"/>
          <w:sz w:val="24"/>
          <w:szCs w:val="24"/>
          <w:lang w:val="en-US"/>
        </w:rPr>
        <w:t>June 2019</w:t>
      </w:r>
      <w:r w:rsidRPr="007F560B">
        <w:rPr>
          <w:rFonts w:eastAsia="TimesNewRoman" w:cs="TimesNewRoman"/>
          <w:sz w:val="24"/>
          <w:szCs w:val="24"/>
          <w:lang w:val="en-US"/>
        </w:rPr>
        <w:t xml:space="preserve">. All patients were positive for serum HBsAg for more than 6 </w:t>
      </w:r>
      <w:proofErr w:type="spellStart"/>
      <w:r w:rsidRPr="007F560B">
        <w:rPr>
          <w:rFonts w:eastAsia="TimesNewRoman" w:cs="TimesNewRoman"/>
          <w:sz w:val="24"/>
          <w:szCs w:val="24"/>
          <w:lang w:val="en-US"/>
        </w:rPr>
        <w:t>mo</w:t>
      </w:r>
      <w:proofErr w:type="spellEnd"/>
      <w:r w:rsidRPr="007F560B">
        <w:rPr>
          <w:rFonts w:eastAsia="TimesNewRoman" w:cs="TimesNewRoman"/>
          <w:sz w:val="24"/>
          <w:szCs w:val="24"/>
          <w:lang w:val="en-US"/>
        </w:rPr>
        <w:t xml:space="preserve">, and patients receiving </w:t>
      </w:r>
      <w:r w:rsidR="0097781E" w:rsidRPr="007F560B">
        <w:rPr>
          <w:rFonts w:eastAsia="TimesNewRoman" w:cs="TimesNewRoman"/>
          <w:sz w:val="24"/>
          <w:szCs w:val="24"/>
          <w:lang w:val="en-US"/>
        </w:rPr>
        <w:t>PEG-IFN</w:t>
      </w:r>
      <w:r w:rsidRPr="007F560B">
        <w:rPr>
          <w:rFonts w:eastAsia="TimesNewRoman" w:cs="TimesNewRoman"/>
          <w:sz w:val="24"/>
          <w:szCs w:val="24"/>
          <w:lang w:val="en-US"/>
        </w:rPr>
        <w:t xml:space="preserve"> therapy fulfilled the treatment criteria for CHB according to the American Association</w:t>
      </w:r>
      <w:r w:rsidR="00C2256D" w:rsidRPr="007F560B">
        <w:rPr>
          <w:rFonts w:eastAsia="TimesNewRoman" w:cs="TimesNewRoman"/>
          <w:sz w:val="24"/>
          <w:szCs w:val="24"/>
          <w:lang w:val="en-US"/>
        </w:rPr>
        <w:t xml:space="preserve"> for the Study of Liver Disease</w:t>
      </w:r>
      <w:r w:rsidRPr="007F560B">
        <w:rPr>
          <w:rFonts w:eastAsia="TimesNewRoman" w:cs="TimesNewRoman"/>
          <w:sz w:val="24"/>
          <w:szCs w:val="24"/>
          <w:lang w:val="en-US"/>
        </w:rPr>
        <w:t xml:space="preserve"> treatment guidelines, </w:t>
      </w:r>
      <w:r w:rsidRPr="007F560B">
        <w:rPr>
          <w:rFonts w:eastAsia="TimesNewRoman" w:cs="TimesNewRoman"/>
          <w:i/>
          <w:sz w:val="24"/>
          <w:szCs w:val="24"/>
          <w:lang w:val="en-US"/>
        </w:rPr>
        <w:t>i.e.</w:t>
      </w:r>
      <w:r w:rsidRPr="007F560B">
        <w:rPr>
          <w:rFonts w:eastAsia="TimesNewRoman" w:cs="TimesNewRoman"/>
          <w:sz w:val="24"/>
          <w:szCs w:val="24"/>
          <w:lang w:val="en-US"/>
        </w:rPr>
        <w:t>, serum ALT levels &gt;</w:t>
      </w:r>
      <w:r w:rsidR="00C2256D" w:rsidRPr="007F560B">
        <w:rPr>
          <w:rFonts w:eastAsia="TimesNewRoman" w:cs="TimesNewRoman"/>
          <w:sz w:val="24"/>
          <w:szCs w:val="24"/>
          <w:lang w:val="en-US"/>
        </w:rPr>
        <w:t xml:space="preserve"> </w:t>
      </w:r>
      <w:r w:rsidRPr="007F560B">
        <w:rPr>
          <w:rFonts w:eastAsia="TimesNewRoman" w:cs="TimesNewRoman"/>
          <w:sz w:val="24"/>
          <w:szCs w:val="24"/>
          <w:lang w:val="en-US"/>
        </w:rPr>
        <w:t xml:space="preserve">80 U/L (2 </w:t>
      </w:r>
      <w:r w:rsidR="00C2256D" w:rsidRPr="007F560B">
        <w:rPr>
          <w:rFonts w:eastAsia="TimesNewRoman" w:cs="TimesNewRoman"/>
          <w:sz w:val="24"/>
          <w:szCs w:val="24"/>
          <w:lang w:val="en-US"/>
        </w:rPr>
        <w:t>×</w:t>
      </w:r>
      <w:r w:rsidRPr="007F560B">
        <w:rPr>
          <w:rFonts w:eastAsia="TimesNewRoman" w:cs="TimesNewRoman"/>
          <w:sz w:val="24"/>
          <w:szCs w:val="24"/>
          <w:lang w:val="en-US"/>
        </w:rPr>
        <w:t xml:space="preserve"> upper limit of normal) with HBV DNA &gt;</w:t>
      </w:r>
      <w:r w:rsidR="00C2256D" w:rsidRPr="007F560B">
        <w:rPr>
          <w:rFonts w:eastAsia="TimesNewRoman" w:cs="TimesNewRoman"/>
          <w:sz w:val="24"/>
          <w:szCs w:val="24"/>
          <w:lang w:val="en-US"/>
        </w:rPr>
        <w:t xml:space="preserve"> 20</w:t>
      </w:r>
      <w:r w:rsidRPr="007F560B">
        <w:rPr>
          <w:rFonts w:eastAsia="TimesNewRoman" w:cs="TimesNewRoman"/>
          <w:sz w:val="24"/>
          <w:szCs w:val="24"/>
          <w:lang w:val="en-US"/>
        </w:rPr>
        <w:t xml:space="preserve">000 IU/mL in </w:t>
      </w:r>
      <w:proofErr w:type="spellStart"/>
      <w:r w:rsidRPr="007F560B">
        <w:rPr>
          <w:rFonts w:eastAsia="TimesNewRoman" w:cs="TimesNewRoman"/>
          <w:sz w:val="24"/>
          <w:szCs w:val="24"/>
          <w:lang w:val="en-US"/>
        </w:rPr>
        <w:t>HBeAg</w:t>
      </w:r>
      <w:proofErr w:type="spellEnd"/>
      <w:r w:rsidRPr="007F560B">
        <w:rPr>
          <w:rFonts w:eastAsia="TimesNewRoman" w:cs="TimesNewRoman"/>
          <w:sz w:val="24"/>
          <w:szCs w:val="24"/>
          <w:lang w:val="en-US"/>
        </w:rPr>
        <w:t xml:space="preserve"> positive </w:t>
      </w:r>
      <w:proofErr w:type="gramStart"/>
      <w:r w:rsidRPr="007F560B">
        <w:rPr>
          <w:rFonts w:eastAsia="TimesNewRoman" w:cs="TimesNewRoman"/>
          <w:sz w:val="24"/>
          <w:szCs w:val="24"/>
          <w:lang w:val="en-US"/>
        </w:rPr>
        <w:t>patients</w:t>
      </w:r>
      <w:r w:rsidR="00E76101" w:rsidRPr="007F560B">
        <w:rPr>
          <w:rFonts w:eastAsia="TimesNewRoman" w:cs="TimesNewRoman"/>
          <w:noProof/>
          <w:sz w:val="24"/>
          <w:szCs w:val="24"/>
          <w:vertAlign w:val="superscript"/>
          <w:lang w:val="en-US"/>
        </w:rPr>
        <w:t>[</w:t>
      </w:r>
      <w:proofErr w:type="gramEnd"/>
      <w:r w:rsidR="00E76101" w:rsidRPr="007F560B">
        <w:rPr>
          <w:rFonts w:eastAsia="TimesNewRoman" w:cs="TimesNewRoman"/>
          <w:noProof/>
          <w:sz w:val="24"/>
          <w:szCs w:val="24"/>
          <w:vertAlign w:val="superscript"/>
          <w:lang w:val="en-US"/>
        </w:rPr>
        <w:t>14]</w:t>
      </w:r>
      <w:r w:rsidRPr="007F560B">
        <w:rPr>
          <w:rFonts w:eastAsia="TimesNewRoman" w:cs="TimesNewRoman"/>
          <w:sz w:val="24"/>
          <w:szCs w:val="24"/>
          <w:lang w:val="en-US"/>
        </w:rPr>
        <w:t xml:space="preserve">. The patients were treated with 180 </w:t>
      </w:r>
      <w:r w:rsidRPr="007F560B">
        <w:rPr>
          <w:rFonts w:eastAsia="TimesNewRoman" w:cs="TimesNewRoman"/>
          <w:sz w:val="24"/>
          <w:szCs w:val="24"/>
        </w:rPr>
        <w:t>μ</w:t>
      </w:r>
      <w:r w:rsidRPr="007F560B">
        <w:rPr>
          <w:rFonts w:eastAsia="TimesNewRoman" w:cs="TimesNewRoman"/>
          <w:sz w:val="24"/>
          <w:szCs w:val="24"/>
          <w:lang w:val="en-US"/>
        </w:rPr>
        <w:t xml:space="preserve">g of </w:t>
      </w:r>
      <w:r w:rsidR="0097781E" w:rsidRPr="007F560B">
        <w:rPr>
          <w:rFonts w:eastAsia="TimesNewRoman" w:cs="TimesNewRoman"/>
          <w:sz w:val="24"/>
          <w:szCs w:val="24"/>
          <w:lang w:val="en-US"/>
        </w:rPr>
        <w:t>PEG-IFN</w:t>
      </w:r>
      <w:r w:rsidR="00C2256D" w:rsidRPr="007F560B">
        <w:rPr>
          <w:rFonts w:eastAsia="TimesNewRoman" w:cs="TimesNewRoman"/>
          <w:sz w:val="24"/>
          <w:szCs w:val="24"/>
          <w:lang w:val="en-US"/>
        </w:rPr>
        <w:t xml:space="preserve"> per week for 48 wk</w:t>
      </w:r>
      <w:r w:rsidRPr="007F560B">
        <w:rPr>
          <w:rFonts w:eastAsia="TimesNewRoman" w:cs="TimesNewRoman"/>
          <w:sz w:val="24"/>
          <w:szCs w:val="24"/>
          <w:lang w:val="en-US"/>
        </w:rPr>
        <w:t xml:space="preserve">. Venous </w:t>
      </w:r>
      <w:r w:rsidRPr="007F560B">
        <w:rPr>
          <w:rFonts w:eastAsia="TimesNewRoman" w:cs="TimesNewRoman"/>
          <w:sz w:val="24"/>
          <w:szCs w:val="24"/>
          <w:lang w:val="en-US"/>
        </w:rPr>
        <w:lastRenderedPageBreak/>
        <w:t xml:space="preserve">blood samples were drawn from patients with consent at two to four </w:t>
      </w:r>
      <w:r w:rsidR="004A4D50" w:rsidRPr="007F560B">
        <w:rPr>
          <w:rFonts w:eastAsia="TimesNewRoman" w:cs="TimesNewRoman"/>
          <w:sz w:val="24"/>
          <w:szCs w:val="24"/>
          <w:lang w:val="en-US"/>
        </w:rPr>
        <w:t>time</w:t>
      </w:r>
      <w:r w:rsidR="004A4D50">
        <w:rPr>
          <w:rFonts w:eastAsia="TimesNewRoman" w:cs="TimesNewRoman"/>
          <w:sz w:val="24"/>
          <w:szCs w:val="24"/>
          <w:lang w:val="en-US"/>
        </w:rPr>
        <w:t xml:space="preserve"> points</w:t>
      </w:r>
      <w:r w:rsidR="004A4D50" w:rsidRPr="007F560B">
        <w:rPr>
          <w:rFonts w:eastAsia="TimesNewRoman" w:cs="TimesNewRoman"/>
          <w:sz w:val="24"/>
          <w:szCs w:val="24"/>
          <w:lang w:val="en-US"/>
        </w:rPr>
        <w:t xml:space="preserve"> </w:t>
      </w:r>
      <w:r w:rsidRPr="007F560B">
        <w:rPr>
          <w:rFonts w:eastAsia="TimesNewRoman" w:cs="TimesNewRoman"/>
          <w:sz w:val="24"/>
          <w:szCs w:val="24"/>
          <w:lang w:val="en-US"/>
        </w:rPr>
        <w:t xml:space="preserve">as follows: </w:t>
      </w:r>
      <w:r w:rsidR="004A4D50">
        <w:rPr>
          <w:rFonts w:eastAsia="TimesNewRoman" w:cs="TimesNewRoman"/>
          <w:sz w:val="24"/>
          <w:szCs w:val="24"/>
          <w:lang w:val="en-US"/>
        </w:rPr>
        <w:t>B</w:t>
      </w:r>
      <w:r w:rsidR="004A4D50" w:rsidRPr="007F560B">
        <w:rPr>
          <w:rFonts w:eastAsia="TimesNewRoman" w:cs="TimesNewRoman"/>
          <w:sz w:val="24"/>
          <w:szCs w:val="24"/>
          <w:lang w:val="en-US"/>
        </w:rPr>
        <w:t xml:space="preserve">efore </w:t>
      </w:r>
      <w:r w:rsidR="0097781E" w:rsidRPr="007F560B">
        <w:rPr>
          <w:rFonts w:eastAsia="TimesNewRoman" w:cs="TimesNewRoman"/>
          <w:sz w:val="24"/>
          <w:szCs w:val="24"/>
          <w:lang w:val="en-US"/>
        </w:rPr>
        <w:t>PEG-IFN</w:t>
      </w:r>
      <w:r w:rsidRPr="007F560B">
        <w:rPr>
          <w:rFonts w:eastAsia="TimesNewRoman" w:cs="TimesNewRoman"/>
          <w:sz w:val="24"/>
          <w:szCs w:val="24"/>
          <w:lang w:val="en-US"/>
        </w:rPr>
        <w:t xml:space="preserve"> therapy</w:t>
      </w:r>
      <w:r w:rsidR="004A4D50">
        <w:rPr>
          <w:rFonts w:eastAsia="TimesNewRoman" w:cs="TimesNewRoman"/>
          <w:sz w:val="24"/>
          <w:szCs w:val="24"/>
          <w:lang w:val="en-US"/>
        </w:rPr>
        <w:t xml:space="preserve"> and</w:t>
      </w:r>
      <w:r w:rsidR="004A4D50" w:rsidRPr="007F560B">
        <w:rPr>
          <w:rFonts w:eastAsia="TimesNewRoman" w:cs="TimesNewRoman"/>
          <w:sz w:val="24"/>
          <w:szCs w:val="24"/>
          <w:lang w:val="en-US"/>
        </w:rPr>
        <w:t xml:space="preserve"> </w:t>
      </w:r>
      <w:r w:rsidRPr="007F560B">
        <w:rPr>
          <w:rFonts w:eastAsia="TimesNewRoman" w:cs="TimesNewRoman"/>
          <w:sz w:val="24"/>
          <w:szCs w:val="24"/>
          <w:lang w:val="en-US"/>
        </w:rPr>
        <w:t xml:space="preserve">during </w:t>
      </w:r>
      <w:r w:rsidR="0097781E" w:rsidRPr="007F560B">
        <w:rPr>
          <w:rFonts w:eastAsia="TimesNewRoman" w:cs="TimesNewRoman"/>
          <w:sz w:val="24"/>
          <w:szCs w:val="24"/>
          <w:lang w:val="en-US"/>
        </w:rPr>
        <w:t>PEG-IFN</w:t>
      </w:r>
      <w:r w:rsidRPr="007F560B">
        <w:rPr>
          <w:rFonts w:eastAsia="TimesNewRoman" w:cs="TimesNewRoman"/>
          <w:sz w:val="24"/>
          <w:szCs w:val="24"/>
          <w:lang w:val="en-US"/>
        </w:rPr>
        <w:t xml:space="preserve"> </w:t>
      </w:r>
      <w:r w:rsidR="00C2256D" w:rsidRPr="007F560B">
        <w:rPr>
          <w:rFonts w:eastAsia="TimesNewRoman" w:cs="TimesNewRoman"/>
          <w:sz w:val="24"/>
          <w:szCs w:val="24"/>
          <w:lang w:val="en-US"/>
        </w:rPr>
        <w:t xml:space="preserve">therapy (24 </w:t>
      </w:r>
      <w:proofErr w:type="spellStart"/>
      <w:r w:rsidR="00C2256D" w:rsidRPr="007F560B">
        <w:rPr>
          <w:rFonts w:eastAsia="TimesNewRoman" w:cs="TimesNewRoman"/>
          <w:sz w:val="24"/>
          <w:szCs w:val="24"/>
          <w:lang w:val="en-US"/>
        </w:rPr>
        <w:t>wk</w:t>
      </w:r>
      <w:proofErr w:type="spellEnd"/>
      <w:r w:rsidR="00C2256D" w:rsidRPr="007F560B">
        <w:rPr>
          <w:rFonts w:eastAsia="TimesNewRoman" w:cs="TimesNewRoman"/>
          <w:sz w:val="24"/>
          <w:szCs w:val="24"/>
          <w:lang w:val="en-US"/>
        </w:rPr>
        <w:t xml:space="preserve"> and/or 48 </w:t>
      </w:r>
      <w:proofErr w:type="spellStart"/>
      <w:r w:rsidR="00C2256D" w:rsidRPr="007F560B">
        <w:rPr>
          <w:rFonts w:eastAsia="TimesNewRoman" w:cs="TimesNewRoman"/>
          <w:sz w:val="24"/>
          <w:szCs w:val="24"/>
          <w:lang w:val="en-US"/>
        </w:rPr>
        <w:t>wk</w:t>
      </w:r>
      <w:proofErr w:type="spellEnd"/>
      <w:r w:rsidRPr="007F560B">
        <w:rPr>
          <w:rFonts w:eastAsia="TimesNewRoman" w:cs="TimesNewRoman"/>
          <w:sz w:val="24"/>
          <w:szCs w:val="24"/>
          <w:lang w:val="en-US"/>
        </w:rPr>
        <w:t xml:space="preserve"> after initiation of the therapy). The patients were classified as </w:t>
      </w:r>
      <w:proofErr w:type="spellStart"/>
      <w:r w:rsidR="00A91A3D" w:rsidRPr="007F560B">
        <w:rPr>
          <w:rFonts w:eastAsia="TimesNewRoman" w:cs="TimesNewRoman"/>
          <w:sz w:val="24"/>
          <w:szCs w:val="24"/>
          <w:lang w:val="en-US"/>
        </w:rPr>
        <w:t>virological</w:t>
      </w:r>
      <w:proofErr w:type="spellEnd"/>
      <w:r w:rsidRPr="007F560B">
        <w:rPr>
          <w:rFonts w:eastAsia="TimesNewRoman" w:cs="TimesNewRoman"/>
          <w:sz w:val="24"/>
          <w:szCs w:val="24"/>
          <w:lang w:val="en-US"/>
        </w:rPr>
        <w:t xml:space="preserve"> responders (VRs) when the serum HBV DNA levels at the 6</w:t>
      </w:r>
      <w:r w:rsidRPr="007F560B">
        <w:rPr>
          <w:rFonts w:eastAsia="TimesNewRoman" w:cs="TimesNewRoman"/>
          <w:sz w:val="24"/>
          <w:szCs w:val="24"/>
          <w:vertAlign w:val="superscript"/>
          <w:lang w:val="en-US"/>
        </w:rPr>
        <w:t>th</w:t>
      </w:r>
      <w:r w:rsidRPr="007F560B">
        <w:rPr>
          <w:rFonts w:eastAsia="TimesNewRoman" w:cs="TimesNewRoman"/>
          <w:sz w:val="24"/>
          <w:szCs w:val="24"/>
          <w:lang w:val="en-US"/>
        </w:rPr>
        <w:t xml:space="preserve"> </w:t>
      </w:r>
      <w:proofErr w:type="spellStart"/>
      <w:r w:rsidRPr="007F560B">
        <w:rPr>
          <w:rFonts w:eastAsia="TimesNewRoman" w:cs="TimesNewRoman"/>
          <w:sz w:val="24"/>
          <w:szCs w:val="24"/>
          <w:lang w:val="en-US"/>
        </w:rPr>
        <w:t>mo</w:t>
      </w:r>
      <w:proofErr w:type="spellEnd"/>
      <w:r w:rsidR="004A4D50">
        <w:rPr>
          <w:rFonts w:eastAsia="TimesNewRoman" w:cs="TimesNewRoman"/>
          <w:sz w:val="24"/>
          <w:szCs w:val="24"/>
          <w:lang w:val="en-US"/>
        </w:rPr>
        <w:t xml:space="preserve"> </w:t>
      </w:r>
      <w:proofErr w:type="spellStart"/>
      <w:r w:rsidRPr="007F560B">
        <w:rPr>
          <w:rFonts w:eastAsia="TimesNewRoman" w:cs="TimesNewRoman"/>
          <w:sz w:val="24"/>
          <w:szCs w:val="24"/>
          <w:lang w:val="en-US"/>
        </w:rPr>
        <w:t>fter</w:t>
      </w:r>
      <w:proofErr w:type="spellEnd"/>
      <w:r w:rsidRPr="007F560B">
        <w:rPr>
          <w:rFonts w:eastAsia="TimesNewRoman" w:cs="TimesNewRoman"/>
          <w:sz w:val="24"/>
          <w:szCs w:val="24"/>
          <w:lang w:val="en-US"/>
        </w:rPr>
        <w:t xml:space="preserve"> the initiation of the therapy were decreased to less than </w:t>
      </w:r>
      <w:r w:rsidRPr="007F560B">
        <w:rPr>
          <w:rFonts w:eastAsia="TimesNewRoman" w:cs="TimesNewRoman"/>
          <w:color w:val="000000" w:themeColor="text1"/>
          <w:sz w:val="24"/>
          <w:szCs w:val="24"/>
          <w:lang w:val="en-US"/>
        </w:rPr>
        <w:t>2000 I</w:t>
      </w:r>
      <w:r w:rsidRPr="007F560B">
        <w:rPr>
          <w:rFonts w:eastAsia="TimesNewRoman" w:cs="TimesNewRoman"/>
          <w:sz w:val="24"/>
          <w:szCs w:val="24"/>
          <w:lang w:val="en-US"/>
        </w:rPr>
        <w:t>U/</w:t>
      </w:r>
      <w:proofErr w:type="gramStart"/>
      <w:r w:rsidRPr="007F560B">
        <w:rPr>
          <w:rFonts w:eastAsia="TimesNewRoman" w:cs="TimesNewRoman"/>
          <w:sz w:val="24"/>
          <w:szCs w:val="24"/>
          <w:lang w:val="en-US"/>
        </w:rPr>
        <w:t>mL</w:t>
      </w:r>
      <w:r w:rsidR="00E76101" w:rsidRPr="007F560B">
        <w:rPr>
          <w:rFonts w:eastAsia="TimesNewRoman" w:cs="TimesNewRoman"/>
          <w:noProof/>
          <w:sz w:val="24"/>
          <w:szCs w:val="24"/>
          <w:vertAlign w:val="superscript"/>
          <w:lang w:val="en-US"/>
        </w:rPr>
        <w:t>[</w:t>
      </w:r>
      <w:proofErr w:type="gramEnd"/>
      <w:r w:rsidR="00E76101" w:rsidRPr="007F560B">
        <w:rPr>
          <w:rFonts w:eastAsia="TimesNewRoman" w:cs="TimesNewRoman"/>
          <w:noProof/>
          <w:sz w:val="24"/>
          <w:szCs w:val="24"/>
          <w:vertAlign w:val="superscript"/>
          <w:lang w:val="en-US"/>
        </w:rPr>
        <w:t>20]</w:t>
      </w:r>
      <w:r w:rsidRPr="007F560B">
        <w:rPr>
          <w:rFonts w:eastAsia="TimesNewRoman" w:cs="TimesNewRoman"/>
          <w:sz w:val="24"/>
          <w:szCs w:val="24"/>
          <w:lang w:val="en-US"/>
        </w:rPr>
        <w:t xml:space="preserve">, and the other patients were classified as </w:t>
      </w:r>
      <w:proofErr w:type="spellStart"/>
      <w:r w:rsidR="00A91A3D" w:rsidRPr="007F560B">
        <w:rPr>
          <w:rFonts w:eastAsia="TimesNewRoman" w:cs="TimesNewRoman"/>
          <w:sz w:val="24"/>
          <w:szCs w:val="24"/>
          <w:lang w:val="en-US"/>
        </w:rPr>
        <w:t>virological</w:t>
      </w:r>
      <w:proofErr w:type="spellEnd"/>
      <w:r w:rsidRPr="007F560B">
        <w:rPr>
          <w:rFonts w:eastAsia="TimesNewRoman" w:cs="TimesNewRoman"/>
          <w:sz w:val="24"/>
          <w:szCs w:val="24"/>
          <w:lang w:val="en-US"/>
        </w:rPr>
        <w:t xml:space="preserve"> non-responders (NRs). This study was approved by the Institutional Review Board, the First Hospital of Lanzhou University, and complied with the standards of the Declaration of Helsinki and current ethical guidelines. All patients provided written informed consent for participation in the study.</w:t>
      </w:r>
    </w:p>
    <w:p w14:paraId="37BD3A7D" w14:textId="77777777" w:rsidR="00A8261B" w:rsidRPr="007F560B" w:rsidRDefault="00A8261B" w:rsidP="007F560B">
      <w:pPr>
        <w:snapToGrid w:val="0"/>
        <w:spacing w:line="360" w:lineRule="auto"/>
        <w:jc w:val="both"/>
        <w:rPr>
          <w:rFonts w:eastAsia="TimesNewRoman" w:cs="TimesNewRoman"/>
          <w:b/>
          <w:bCs/>
          <w:i/>
          <w:iCs/>
          <w:sz w:val="24"/>
          <w:szCs w:val="24"/>
          <w:lang w:val="en-US"/>
        </w:rPr>
      </w:pPr>
    </w:p>
    <w:p w14:paraId="71799796" w14:textId="77777777" w:rsidR="00A8261B" w:rsidRPr="007F560B" w:rsidRDefault="00A8261B" w:rsidP="007F560B">
      <w:pPr>
        <w:snapToGrid w:val="0"/>
        <w:spacing w:line="360" w:lineRule="auto"/>
        <w:jc w:val="both"/>
        <w:rPr>
          <w:rFonts w:eastAsia="TimesNewRoman" w:cs="TimesNewRoman"/>
          <w:b/>
          <w:bCs/>
          <w:i/>
          <w:iCs/>
          <w:sz w:val="24"/>
          <w:szCs w:val="24"/>
          <w:lang w:val="en-US"/>
        </w:rPr>
      </w:pPr>
      <w:r w:rsidRPr="007F560B">
        <w:rPr>
          <w:rFonts w:eastAsia="TimesNewRoman" w:cs="TimesNewRoman"/>
          <w:b/>
          <w:bCs/>
          <w:i/>
          <w:iCs/>
          <w:sz w:val="24"/>
          <w:szCs w:val="24"/>
          <w:lang w:val="en-US"/>
        </w:rPr>
        <w:t>Measurement of cytokine levels</w:t>
      </w:r>
    </w:p>
    <w:p w14:paraId="60B94EF3" w14:textId="68C8B7B7" w:rsidR="00A8261B" w:rsidRPr="007F560B" w:rsidRDefault="00A8261B" w:rsidP="007F560B">
      <w:pPr>
        <w:snapToGrid w:val="0"/>
        <w:spacing w:line="360" w:lineRule="auto"/>
        <w:jc w:val="both"/>
        <w:rPr>
          <w:rFonts w:eastAsia="TimesNewRoman" w:cs="TimesNewRoman"/>
          <w:sz w:val="24"/>
          <w:szCs w:val="24"/>
          <w:lang w:val="en-US"/>
        </w:rPr>
      </w:pPr>
      <w:r w:rsidRPr="007F560B">
        <w:rPr>
          <w:rFonts w:eastAsia="TimesNewRoman" w:cs="TimesNewRoman"/>
          <w:sz w:val="24"/>
          <w:szCs w:val="24"/>
          <w:lang w:val="en-US"/>
        </w:rPr>
        <w:t xml:space="preserve">Serum was separated within 2 </w:t>
      </w:r>
      <w:r w:rsidR="00C2256D" w:rsidRPr="007F560B">
        <w:rPr>
          <w:rFonts w:eastAsia="TimesNewRoman" w:cs="TimesNewRoman"/>
          <w:sz w:val="24"/>
          <w:szCs w:val="24"/>
          <w:lang w:val="en-US"/>
        </w:rPr>
        <w:t>h</w:t>
      </w:r>
      <w:r w:rsidRPr="007F560B">
        <w:rPr>
          <w:rFonts w:eastAsia="TimesNewRoman" w:cs="TimesNewRoman"/>
          <w:sz w:val="24"/>
          <w:szCs w:val="24"/>
          <w:lang w:val="en-US"/>
        </w:rPr>
        <w:t xml:space="preserve"> of obtaining venous blood samples. If cytokine measurements were not possible on the same day, the </w:t>
      </w:r>
      <w:r w:rsidR="004A4D50">
        <w:rPr>
          <w:rFonts w:eastAsia="TimesNewRoman" w:cs="TimesNewRoman"/>
          <w:sz w:val="24"/>
          <w:szCs w:val="24"/>
          <w:lang w:val="en-US"/>
        </w:rPr>
        <w:t>samples</w:t>
      </w:r>
      <w:r w:rsidR="004A4D50" w:rsidRPr="007F560B">
        <w:rPr>
          <w:rFonts w:eastAsia="TimesNewRoman" w:cs="TimesNewRoman"/>
          <w:sz w:val="24"/>
          <w:szCs w:val="24"/>
          <w:lang w:val="en-US"/>
        </w:rPr>
        <w:t xml:space="preserve"> w</w:t>
      </w:r>
      <w:r w:rsidR="004A4D50">
        <w:rPr>
          <w:rFonts w:eastAsia="TimesNewRoman" w:cs="TimesNewRoman"/>
          <w:sz w:val="24"/>
          <w:szCs w:val="24"/>
          <w:lang w:val="en-US"/>
        </w:rPr>
        <w:t>ere</w:t>
      </w:r>
      <w:r w:rsidR="004A4D50" w:rsidRPr="007F560B">
        <w:rPr>
          <w:rFonts w:eastAsia="TimesNewRoman" w:cs="TimesNewRoman"/>
          <w:sz w:val="24"/>
          <w:szCs w:val="24"/>
          <w:lang w:val="en-US"/>
        </w:rPr>
        <w:t xml:space="preserve"> </w:t>
      </w:r>
      <w:r w:rsidRPr="007F560B">
        <w:rPr>
          <w:rFonts w:eastAsia="TimesNewRoman" w:cs="TimesNewRoman"/>
          <w:sz w:val="24"/>
          <w:szCs w:val="24"/>
          <w:lang w:val="en-US"/>
        </w:rPr>
        <w:t xml:space="preserve">immediately stored at </w:t>
      </w:r>
      <w:r w:rsidR="001E152D">
        <w:rPr>
          <w:rFonts w:eastAsia="TimesNewRoman" w:cs="TimesNewRoman"/>
          <w:sz w:val="24"/>
          <w:szCs w:val="24"/>
          <w:lang w:val="en-US"/>
        </w:rPr>
        <w:t>-</w:t>
      </w:r>
      <w:r w:rsidRPr="007F560B">
        <w:rPr>
          <w:rFonts w:eastAsia="TimesNewRoman" w:cs="TimesNewRoman"/>
          <w:sz w:val="24"/>
          <w:szCs w:val="24"/>
          <w:lang w:val="en-US"/>
        </w:rPr>
        <w:t xml:space="preserve">80 °C until the concentrations of cytokines were measured. </w:t>
      </w:r>
      <w:bookmarkStart w:id="9" w:name="OLE_LINK219"/>
      <w:bookmarkStart w:id="10" w:name="OLE_LINK220"/>
      <w:r w:rsidRPr="007F560B">
        <w:rPr>
          <w:rFonts w:eastAsia="TimesNewRoman" w:cs="TimesNewRoman"/>
          <w:sz w:val="24"/>
          <w:szCs w:val="24"/>
          <w:lang w:val="en-US"/>
        </w:rPr>
        <w:t>A Luminex 200</w:t>
      </w:r>
      <w:bookmarkEnd w:id="9"/>
      <w:bookmarkEnd w:id="10"/>
      <w:r w:rsidRPr="007F560B">
        <w:rPr>
          <w:rFonts w:eastAsia="TimesNewRoman" w:cs="TimesNewRoman"/>
          <w:sz w:val="24"/>
          <w:szCs w:val="24"/>
          <w:lang w:val="en-US"/>
        </w:rPr>
        <w:t xml:space="preserve"> analyzer and Cytokine Array I reagents (</w:t>
      </w:r>
      <w:proofErr w:type="spellStart"/>
      <w:r w:rsidRPr="007F560B">
        <w:rPr>
          <w:rFonts w:eastAsia="TimesNewRoman" w:cs="TimesNewRoman"/>
          <w:sz w:val="24"/>
          <w:szCs w:val="24"/>
          <w:lang w:val="en-US"/>
        </w:rPr>
        <w:t>Randox</w:t>
      </w:r>
      <w:proofErr w:type="spellEnd"/>
      <w:r w:rsidRPr="007F560B">
        <w:rPr>
          <w:rFonts w:eastAsia="TimesNewRoman" w:cs="TimesNewRoman"/>
          <w:sz w:val="24"/>
          <w:szCs w:val="24"/>
          <w:lang w:val="en-US"/>
        </w:rPr>
        <w:t>, Antrim, U</w:t>
      </w:r>
      <w:r w:rsidR="00C2256D" w:rsidRPr="007F560B">
        <w:rPr>
          <w:rFonts w:eastAsia="TimesNewRoman" w:cs="TimesNewRoman"/>
          <w:sz w:val="24"/>
          <w:szCs w:val="24"/>
          <w:lang w:val="en-US"/>
        </w:rPr>
        <w:t xml:space="preserve">nited </w:t>
      </w:r>
      <w:r w:rsidRPr="007F560B">
        <w:rPr>
          <w:rFonts w:eastAsia="TimesNewRoman" w:cs="TimesNewRoman"/>
          <w:sz w:val="24"/>
          <w:szCs w:val="24"/>
          <w:lang w:val="en-US"/>
        </w:rPr>
        <w:t>K</w:t>
      </w:r>
      <w:r w:rsidR="00C2256D" w:rsidRPr="007F560B">
        <w:rPr>
          <w:rFonts w:eastAsia="TimesNewRoman" w:cs="TimesNewRoman"/>
          <w:sz w:val="24"/>
          <w:szCs w:val="24"/>
          <w:lang w:val="en-US"/>
        </w:rPr>
        <w:t>ingdom</w:t>
      </w:r>
      <w:r w:rsidRPr="007F560B">
        <w:rPr>
          <w:rFonts w:eastAsia="TimesNewRoman" w:cs="TimesNewRoman"/>
          <w:sz w:val="24"/>
          <w:szCs w:val="24"/>
          <w:lang w:val="en-US"/>
        </w:rPr>
        <w:t xml:space="preserve">) were used to quantify 46 cytokines in the serum, including BCA-1, CTACK, ENA-78, Eotoxin-2, SDF-1a, TARC, TRAIL, TSLP, CCL19, CXCL9, IP-10, EGF, </w:t>
      </w:r>
      <w:proofErr w:type="spellStart"/>
      <w:r w:rsidRPr="007F560B">
        <w:rPr>
          <w:rFonts w:eastAsia="TimesNewRoman" w:cs="TimesNewRoman"/>
          <w:sz w:val="24"/>
          <w:szCs w:val="24"/>
          <w:lang w:val="en-US"/>
        </w:rPr>
        <w:t>Eotaxin</w:t>
      </w:r>
      <w:proofErr w:type="spellEnd"/>
      <w:r w:rsidRPr="007F560B">
        <w:rPr>
          <w:rFonts w:eastAsia="TimesNewRoman" w:cs="TimesNewRoman"/>
          <w:sz w:val="24"/>
          <w:szCs w:val="24"/>
          <w:lang w:val="en-US"/>
        </w:rPr>
        <w:t xml:space="preserve">, GRO, IL-8, </w:t>
      </w:r>
      <w:r w:rsidR="004A4D50">
        <w:rPr>
          <w:rFonts w:eastAsia="TimesNewRoman" w:cs="TimesNewRoman"/>
          <w:sz w:val="24"/>
          <w:szCs w:val="24"/>
          <w:lang w:val="en-US"/>
        </w:rPr>
        <w:t xml:space="preserve">and </w:t>
      </w:r>
      <w:r w:rsidRPr="007F560B">
        <w:rPr>
          <w:rFonts w:eastAsia="TimesNewRoman" w:cs="TimesNewRoman"/>
          <w:sz w:val="24"/>
          <w:szCs w:val="24"/>
          <w:lang w:val="en-US"/>
        </w:rPr>
        <w:t xml:space="preserve">MIP-1b. </w:t>
      </w:r>
      <w:r w:rsidR="00E130C9" w:rsidRPr="007F560B">
        <w:rPr>
          <w:rFonts w:eastAsia="TimesNewRoman" w:cs="TimesNewRoman"/>
          <w:sz w:val="24"/>
          <w:szCs w:val="24"/>
          <w:lang w:val="en-US"/>
        </w:rPr>
        <w:t>All experiments are measured according to</w:t>
      </w:r>
      <w:r w:rsidR="00042B1D" w:rsidRPr="007F560B">
        <w:rPr>
          <w:rFonts w:eastAsiaTheme="minorEastAsia"/>
          <w:color w:val="666666"/>
          <w:sz w:val="24"/>
          <w:szCs w:val="24"/>
          <w:lang w:val="en-US"/>
        </w:rPr>
        <w:t xml:space="preserve"> </w:t>
      </w:r>
      <w:r w:rsidRPr="007F560B">
        <w:rPr>
          <w:rFonts w:eastAsia="TimesNewRoman" w:cs="TimesNewRoman"/>
          <w:sz w:val="24"/>
          <w:szCs w:val="24"/>
          <w:lang w:val="en-US"/>
        </w:rPr>
        <w:t>the manufacturer's instructions.</w:t>
      </w:r>
    </w:p>
    <w:p w14:paraId="4016AB0D" w14:textId="77777777" w:rsidR="00A8261B" w:rsidRPr="007F560B" w:rsidRDefault="00A8261B" w:rsidP="007F560B">
      <w:pPr>
        <w:snapToGrid w:val="0"/>
        <w:spacing w:line="360" w:lineRule="auto"/>
        <w:jc w:val="both"/>
        <w:rPr>
          <w:rFonts w:eastAsia="TimesNewRoman" w:cs="TimesNewRoman"/>
          <w:b/>
          <w:bCs/>
          <w:i/>
          <w:iCs/>
          <w:sz w:val="24"/>
          <w:szCs w:val="24"/>
          <w:lang w:val="en-US"/>
        </w:rPr>
      </w:pPr>
    </w:p>
    <w:p w14:paraId="40ACE558" w14:textId="77777777" w:rsidR="00A8261B" w:rsidRPr="007F560B" w:rsidRDefault="00A8261B" w:rsidP="007F560B">
      <w:pPr>
        <w:snapToGrid w:val="0"/>
        <w:spacing w:line="360" w:lineRule="auto"/>
        <w:jc w:val="both"/>
        <w:rPr>
          <w:rFonts w:eastAsia="TimesNewRoman" w:cs="TimesNewRoman"/>
          <w:b/>
          <w:bCs/>
          <w:i/>
          <w:iCs/>
          <w:sz w:val="24"/>
          <w:szCs w:val="24"/>
          <w:lang w:val="en-US"/>
        </w:rPr>
      </w:pPr>
      <w:r w:rsidRPr="007F560B">
        <w:rPr>
          <w:rFonts w:eastAsia="TimesNewRoman" w:cs="TimesNewRoman"/>
          <w:b/>
          <w:bCs/>
          <w:i/>
          <w:iCs/>
          <w:sz w:val="24"/>
          <w:szCs w:val="24"/>
          <w:lang w:val="en-US"/>
        </w:rPr>
        <w:t>Other assays</w:t>
      </w:r>
    </w:p>
    <w:p w14:paraId="43E72FB8" w14:textId="29C42950" w:rsidR="00A8261B" w:rsidRPr="007F560B" w:rsidRDefault="00A8261B" w:rsidP="007F560B">
      <w:pPr>
        <w:snapToGrid w:val="0"/>
        <w:spacing w:line="360" w:lineRule="auto"/>
        <w:jc w:val="both"/>
        <w:rPr>
          <w:rFonts w:eastAsia="TimesNewRoman" w:cs="TimesNewRoman"/>
          <w:sz w:val="24"/>
          <w:szCs w:val="24"/>
          <w:lang w:val="en-US"/>
        </w:rPr>
      </w:pPr>
      <w:r w:rsidRPr="007F560B">
        <w:rPr>
          <w:rFonts w:eastAsia="TimesNewRoman" w:cs="TimesNewRoman"/>
          <w:sz w:val="24"/>
          <w:szCs w:val="24"/>
          <w:lang w:val="en-US"/>
        </w:rPr>
        <w:t xml:space="preserve">The serum HBV DNA levels were assayed using a COBAS </w:t>
      </w:r>
      <w:proofErr w:type="spellStart"/>
      <w:r w:rsidRPr="007F560B">
        <w:rPr>
          <w:rFonts w:eastAsia="TimesNewRoman" w:cs="TimesNewRoman"/>
          <w:sz w:val="24"/>
          <w:szCs w:val="24"/>
          <w:lang w:val="en-US"/>
        </w:rPr>
        <w:t>Amplicor</w:t>
      </w:r>
      <w:proofErr w:type="spellEnd"/>
      <w:r w:rsidRPr="007F560B">
        <w:rPr>
          <w:rFonts w:eastAsia="TimesNewRoman" w:cs="TimesNewRoman"/>
          <w:sz w:val="24"/>
          <w:szCs w:val="24"/>
          <w:lang w:val="en-US"/>
        </w:rPr>
        <w:t xml:space="preserve">/COBAS </w:t>
      </w:r>
      <w:proofErr w:type="spellStart"/>
      <w:r w:rsidRPr="007F560B">
        <w:rPr>
          <w:rFonts w:eastAsia="TimesNewRoman" w:cs="TimesNewRoman"/>
          <w:sz w:val="24"/>
          <w:szCs w:val="24"/>
          <w:lang w:val="en-US"/>
        </w:rPr>
        <w:t>TaqMan</w:t>
      </w:r>
      <w:proofErr w:type="spellEnd"/>
      <w:r w:rsidRPr="007F560B">
        <w:rPr>
          <w:rFonts w:eastAsia="TimesNewRoman" w:cs="TimesNewRoman"/>
          <w:sz w:val="24"/>
          <w:szCs w:val="24"/>
          <w:lang w:val="en-US"/>
        </w:rPr>
        <w:t xml:space="preserve"> HBV test (Roche Diagnostics, Indianapolis, IN, U</w:t>
      </w:r>
      <w:r w:rsidR="00C2256D" w:rsidRPr="007F560B">
        <w:rPr>
          <w:rFonts w:eastAsia="TimesNewRoman" w:cs="TimesNewRoman"/>
          <w:sz w:val="24"/>
          <w:szCs w:val="24"/>
          <w:lang w:val="en-US"/>
        </w:rPr>
        <w:t>nited States</w:t>
      </w:r>
      <w:r w:rsidRPr="007F560B">
        <w:rPr>
          <w:rFonts w:eastAsia="TimesNewRoman" w:cs="TimesNewRoman"/>
          <w:sz w:val="24"/>
          <w:szCs w:val="24"/>
          <w:lang w:val="en-US"/>
        </w:rPr>
        <w:t>) with a limit of detection of 20 IU/mL, according to the manufacturer’s instructions. HBV serologic t</w:t>
      </w:r>
      <w:r w:rsidR="00A066EA" w:rsidRPr="007F560B">
        <w:rPr>
          <w:rFonts w:eastAsia="TimesNewRoman" w:cs="TimesNewRoman"/>
          <w:sz w:val="24"/>
          <w:szCs w:val="24"/>
          <w:lang w:val="en-US"/>
        </w:rPr>
        <w:t xml:space="preserve">ests for </w:t>
      </w:r>
      <w:proofErr w:type="spellStart"/>
      <w:r w:rsidR="00A066EA" w:rsidRPr="007F560B">
        <w:rPr>
          <w:rFonts w:eastAsia="TimesNewRoman" w:cs="TimesNewRoman"/>
          <w:sz w:val="24"/>
          <w:szCs w:val="24"/>
          <w:lang w:val="en-US"/>
        </w:rPr>
        <w:t>HBsAg</w:t>
      </w:r>
      <w:proofErr w:type="spellEnd"/>
      <w:r w:rsidR="00A066EA" w:rsidRPr="007F560B">
        <w:rPr>
          <w:rFonts w:eastAsia="TimesNewRoman" w:cs="TimesNewRoman"/>
          <w:sz w:val="24"/>
          <w:szCs w:val="24"/>
          <w:lang w:val="en-US"/>
        </w:rPr>
        <w:t xml:space="preserve">, </w:t>
      </w:r>
      <w:proofErr w:type="spellStart"/>
      <w:r w:rsidR="00A066EA" w:rsidRPr="007F560B">
        <w:rPr>
          <w:rFonts w:eastAsia="TimesNewRoman" w:cs="TimesNewRoman"/>
          <w:sz w:val="24"/>
          <w:szCs w:val="24"/>
          <w:lang w:val="en-US"/>
        </w:rPr>
        <w:t>HBeAg</w:t>
      </w:r>
      <w:proofErr w:type="spellEnd"/>
      <w:r w:rsidR="00A066EA" w:rsidRPr="007F560B">
        <w:rPr>
          <w:rFonts w:eastAsia="TimesNewRoman" w:cs="TimesNewRoman"/>
          <w:sz w:val="24"/>
          <w:szCs w:val="24"/>
          <w:lang w:val="en-US"/>
        </w:rPr>
        <w:t xml:space="preserve">, anti-HBs </w:t>
      </w:r>
      <w:r w:rsidRPr="007F560B">
        <w:rPr>
          <w:rFonts w:eastAsia="TimesNewRoman" w:cs="TimesNewRoman"/>
          <w:sz w:val="24"/>
          <w:szCs w:val="24"/>
          <w:lang w:val="en-US"/>
        </w:rPr>
        <w:t xml:space="preserve">antibody, and </w:t>
      </w:r>
      <w:proofErr w:type="spellStart"/>
      <w:r w:rsidRPr="007F560B">
        <w:rPr>
          <w:rFonts w:eastAsia="TimesNewRoman" w:cs="TimesNewRoman"/>
          <w:sz w:val="24"/>
          <w:szCs w:val="24"/>
          <w:lang w:val="en-US"/>
        </w:rPr>
        <w:t>HBeAb</w:t>
      </w:r>
      <w:proofErr w:type="spellEnd"/>
      <w:r w:rsidRPr="007F560B">
        <w:rPr>
          <w:rFonts w:eastAsia="TimesNewRoman" w:cs="TimesNewRoman"/>
          <w:sz w:val="24"/>
          <w:szCs w:val="24"/>
          <w:lang w:val="en-US"/>
        </w:rPr>
        <w:t xml:space="preserve"> were conducted by enzyme immunoassay</w:t>
      </w:r>
      <w:r w:rsidR="004A4D50">
        <w:rPr>
          <w:rFonts w:eastAsia="TimesNewRoman" w:cs="TimesNewRoman"/>
          <w:sz w:val="24"/>
          <w:szCs w:val="24"/>
          <w:lang w:val="en-US"/>
        </w:rPr>
        <w:t>s</w:t>
      </w:r>
      <w:r w:rsidRPr="007F560B">
        <w:rPr>
          <w:rFonts w:eastAsia="TimesNewRoman" w:cs="TimesNewRoman"/>
          <w:sz w:val="24"/>
          <w:szCs w:val="24"/>
          <w:lang w:val="en-US"/>
        </w:rPr>
        <w:t xml:space="preserve"> (</w:t>
      </w:r>
      <w:proofErr w:type="spellStart"/>
      <w:r w:rsidRPr="007F560B">
        <w:rPr>
          <w:rFonts w:eastAsia="TimesNewRoman" w:cs="TimesNewRoman"/>
          <w:sz w:val="24"/>
          <w:szCs w:val="24"/>
          <w:lang w:val="en-US"/>
        </w:rPr>
        <w:t>AxSYM</w:t>
      </w:r>
      <w:proofErr w:type="spellEnd"/>
      <w:r w:rsidRPr="007F560B">
        <w:rPr>
          <w:rFonts w:eastAsia="TimesNewRoman" w:cs="TimesNewRoman"/>
          <w:sz w:val="24"/>
          <w:szCs w:val="24"/>
          <w:lang w:val="en-US"/>
        </w:rPr>
        <w:t>; Abbott Laboratories, Abbott Park, IL, U</w:t>
      </w:r>
      <w:r w:rsidR="00C2256D" w:rsidRPr="007F560B">
        <w:rPr>
          <w:rFonts w:eastAsia="TimesNewRoman" w:cs="TimesNewRoman"/>
          <w:sz w:val="24"/>
          <w:szCs w:val="24"/>
          <w:lang w:val="en-US"/>
        </w:rPr>
        <w:t>nited States</w:t>
      </w:r>
      <w:r w:rsidRPr="007F560B">
        <w:rPr>
          <w:rFonts w:eastAsia="TimesNewRoman" w:cs="TimesNewRoman"/>
          <w:sz w:val="24"/>
          <w:szCs w:val="24"/>
          <w:lang w:val="en-US"/>
        </w:rPr>
        <w:t>).</w:t>
      </w:r>
      <w:r w:rsidRPr="007F560B">
        <w:rPr>
          <w:color w:val="000000"/>
          <w:sz w:val="24"/>
          <w:szCs w:val="24"/>
          <w:lang w:val="en-US"/>
        </w:rPr>
        <w:t xml:space="preserve"> </w:t>
      </w:r>
      <w:r w:rsidRPr="007F560B">
        <w:rPr>
          <w:rFonts w:eastAsia="TimesNewRoman" w:cs="TimesNewRoman"/>
          <w:sz w:val="24"/>
          <w:szCs w:val="24"/>
          <w:lang w:val="en-US"/>
        </w:rPr>
        <w:t>The levels of serum albumin, ALT, aspartate aminotransfe</w:t>
      </w:r>
      <w:r w:rsidR="00C2256D" w:rsidRPr="007F560B">
        <w:rPr>
          <w:rFonts w:eastAsia="TimesNewRoman" w:cs="TimesNewRoman"/>
          <w:sz w:val="24"/>
          <w:szCs w:val="24"/>
          <w:lang w:val="en-US"/>
        </w:rPr>
        <w:t>rase (AST), and total bilirubin</w:t>
      </w:r>
      <w:r w:rsidRPr="007F560B">
        <w:rPr>
          <w:rFonts w:eastAsia="TimesNewRoman" w:cs="TimesNewRoman"/>
          <w:sz w:val="24"/>
          <w:szCs w:val="24"/>
          <w:lang w:val="en-US"/>
        </w:rPr>
        <w:t xml:space="preserve"> were determined using a Hitachi 7600 analyzer (Hitachi Ltd., Tokyo, Japan) with dedicated reagents (Roche Diagnostics, Mannheim, Germany). The assay was carried out according to </w:t>
      </w:r>
      <w:r w:rsidRPr="007F560B">
        <w:rPr>
          <w:rFonts w:eastAsia="TimesNewRoman" w:cs="TimesNewRoman"/>
          <w:sz w:val="24"/>
          <w:szCs w:val="24"/>
          <w:lang w:val="en-US"/>
        </w:rPr>
        <w:lastRenderedPageBreak/>
        <w:t>the manufacturer's instructions.</w:t>
      </w:r>
    </w:p>
    <w:p w14:paraId="171E7C04" w14:textId="77777777" w:rsidR="00A8261B" w:rsidRPr="007F560B" w:rsidRDefault="00A8261B" w:rsidP="007F560B">
      <w:pPr>
        <w:snapToGrid w:val="0"/>
        <w:spacing w:line="360" w:lineRule="auto"/>
        <w:jc w:val="both"/>
        <w:rPr>
          <w:rFonts w:eastAsia="TimesNewRoman" w:cs="TimesNewRoman"/>
          <w:b/>
          <w:bCs/>
          <w:i/>
          <w:iCs/>
          <w:sz w:val="24"/>
          <w:szCs w:val="24"/>
          <w:lang w:val="en-US"/>
        </w:rPr>
      </w:pPr>
    </w:p>
    <w:p w14:paraId="07885496" w14:textId="77777777" w:rsidR="00A8261B" w:rsidRPr="007F560B" w:rsidRDefault="00A8261B" w:rsidP="007F560B">
      <w:pPr>
        <w:snapToGrid w:val="0"/>
        <w:spacing w:line="360" w:lineRule="auto"/>
        <w:jc w:val="both"/>
        <w:rPr>
          <w:rFonts w:eastAsia="TimesNewRoman" w:cs="TimesNewRoman"/>
          <w:b/>
          <w:bCs/>
          <w:i/>
          <w:iCs/>
          <w:sz w:val="24"/>
          <w:szCs w:val="24"/>
          <w:lang w:val="en-US"/>
        </w:rPr>
      </w:pPr>
      <w:r w:rsidRPr="007F560B">
        <w:rPr>
          <w:rFonts w:eastAsia="TimesNewRoman" w:cs="TimesNewRoman"/>
          <w:b/>
          <w:bCs/>
          <w:i/>
          <w:iCs/>
          <w:sz w:val="24"/>
          <w:szCs w:val="24"/>
          <w:lang w:val="en-US"/>
        </w:rPr>
        <w:t>Statistical analysis</w:t>
      </w:r>
    </w:p>
    <w:p w14:paraId="1421BBA3" w14:textId="773CCC42" w:rsidR="00A8261B" w:rsidRPr="007F560B" w:rsidRDefault="00A8261B" w:rsidP="007F560B">
      <w:pPr>
        <w:snapToGrid w:val="0"/>
        <w:spacing w:line="360" w:lineRule="auto"/>
        <w:jc w:val="both"/>
        <w:rPr>
          <w:rFonts w:eastAsia="TimesNewRoman" w:cs="TimesNewRoman"/>
          <w:sz w:val="24"/>
          <w:szCs w:val="24"/>
          <w:lang w:val="en-US"/>
        </w:rPr>
      </w:pPr>
      <w:r w:rsidRPr="007F560B">
        <w:rPr>
          <w:rFonts w:eastAsia="TimesNewRoman" w:cs="TimesNewRoman"/>
          <w:sz w:val="24"/>
          <w:szCs w:val="24"/>
          <w:lang w:val="en-US"/>
        </w:rPr>
        <w:t xml:space="preserve">Values are expressed as the median (ranges) or the mean ± </w:t>
      </w:r>
      <w:r w:rsidR="00C2256D" w:rsidRPr="007F560B">
        <w:rPr>
          <w:rFonts w:eastAsia="TimesNewRoman" w:cs="TimesNewRoman"/>
          <w:sz w:val="24"/>
          <w:szCs w:val="24"/>
          <w:lang w:val="en-US"/>
        </w:rPr>
        <w:t>SD</w:t>
      </w:r>
      <w:r w:rsidRPr="007F560B">
        <w:rPr>
          <w:rFonts w:eastAsia="TimesNewRoman" w:cs="TimesNewRoman"/>
          <w:sz w:val="24"/>
          <w:szCs w:val="24"/>
          <w:lang w:val="en-US"/>
        </w:rPr>
        <w:t xml:space="preserve"> when appropriate. The correlations between the serum ALT and chemokine levels were tested by Spearman’s test. </w:t>
      </w:r>
      <w:r w:rsidR="002B6992" w:rsidRPr="007F560B">
        <w:rPr>
          <w:rFonts w:eastAsia="TimesNewRoman" w:cs="TimesNewRoman"/>
          <w:sz w:val="24"/>
          <w:szCs w:val="24"/>
          <w:lang w:val="en-US"/>
        </w:rPr>
        <w:t xml:space="preserve">The Mann-Whitney </w:t>
      </w:r>
      <w:r w:rsidR="002B6992" w:rsidRPr="007F560B">
        <w:rPr>
          <w:rFonts w:eastAsia="TimesNewRoman" w:cs="TimesNewRoman"/>
          <w:i/>
          <w:sz w:val="24"/>
          <w:szCs w:val="24"/>
          <w:lang w:val="en-US"/>
        </w:rPr>
        <w:t>U</w:t>
      </w:r>
      <w:r w:rsidR="002B6992" w:rsidRPr="007F560B">
        <w:rPr>
          <w:rFonts w:eastAsia="TimesNewRoman" w:cs="TimesNewRoman"/>
          <w:sz w:val="24"/>
          <w:szCs w:val="24"/>
          <w:lang w:val="en-US"/>
        </w:rPr>
        <w:t xml:space="preserve"> test was used to compare a series of continuous variables</w:t>
      </w:r>
      <w:r w:rsidRPr="007F560B">
        <w:rPr>
          <w:rFonts w:eastAsia="TimesNewRoman" w:cs="TimesNewRoman"/>
          <w:sz w:val="24"/>
          <w:szCs w:val="24"/>
          <w:lang w:val="en-US"/>
        </w:rPr>
        <w:t xml:space="preserve">. </w:t>
      </w:r>
      <w:r w:rsidR="001073E6" w:rsidRPr="007F560B">
        <w:rPr>
          <w:rFonts w:eastAsia="TimesNewRoman" w:cs="TimesNewRoman"/>
          <w:sz w:val="24"/>
          <w:szCs w:val="24"/>
          <w:lang w:val="en-US"/>
        </w:rPr>
        <w:t>The Kruskal-Wallis test and Bonferroni correction were used for multiple comparisons of continuous variables, including cytokine levels between patient subgroups and treatment stages, to compensate for alpha statistical errors. Friedman's test was also performed to compare cytokine levels between paired groups.</w:t>
      </w:r>
      <w:r w:rsidRPr="007F560B">
        <w:rPr>
          <w:rFonts w:eastAsia="TimesNewRoman" w:cs="TimesNewRoman"/>
          <w:sz w:val="24"/>
          <w:szCs w:val="24"/>
          <w:lang w:val="en-US"/>
        </w:rPr>
        <w:t xml:space="preserve"> Friedman's test was carried out to compare the cytokine levels among the paired groups. Categorical variables between the two groups were analyzed for the difference in proportion by Fisher's exact test. The area</w:t>
      </w:r>
      <w:r w:rsidR="004A4D50">
        <w:rPr>
          <w:rFonts w:eastAsia="TimesNewRoman" w:cs="TimesNewRoman"/>
          <w:sz w:val="24"/>
          <w:szCs w:val="24"/>
          <w:lang w:val="en-US"/>
        </w:rPr>
        <w:t>s</w:t>
      </w:r>
      <w:r w:rsidRPr="007F560B">
        <w:rPr>
          <w:rFonts w:eastAsia="TimesNewRoman" w:cs="TimesNewRoman"/>
          <w:sz w:val="24"/>
          <w:szCs w:val="24"/>
          <w:lang w:val="en-US"/>
        </w:rPr>
        <w:t xml:space="preserve"> under the receiver operati</w:t>
      </w:r>
      <w:r w:rsidR="00B35A18" w:rsidRPr="007F560B">
        <w:rPr>
          <w:rFonts w:eastAsia="TimesNewRoman" w:cs="TimesNewRoman"/>
          <w:sz w:val="24"/>
          <w:szCs w:val="24"/>
          <w:lang w:val="en-US"/>
        </w:rPr>
        <w:t>ng characteristic curves (AUROC</w:t>
      </w:r>
      <w:r w:rsidRPr="007F560B">
        <w:rPr>
          <w:rFonts w:eastAsia="TimesNewRoman" w:cs="TimesNewRoman"/>
          <w:sz w:val="24"/>
          <w:szCs w:val="24"/>
          <w:lang w:val="en-US"/>
        </w:rPr>
        <w:t xml:space="preserve">) of the cytokines and HBV DNA were calculated to assess their predictive values for </w:t>
      </w:r>
      <w:proofErr w:type="spellStart"/>
      <w:r w:rsidR="00A91A3D" w:rsidRPr="007F560B">
        <w:rPr>
          <w:rFonts w:eastAsia="TimesNewRoman" w:cs="TimesNewRoman"/>
          <w:sz w:val="24"/>
          <w:szCs w:val="24"/>
          <w:lang w:val="en-US"/>
        </w:rPr>
        <w:t>virological</w:t>
      </w:r>
      <w:proofErr w:type="spellEnd"/>
      <w:r w:rsidRPr="007F560B">
        <w:rPr>
          <w:rFonts w:eastAsia="TimesNewRoman" w:cs="TimesNewRoman"/>
          <w:sz w:val="24"/>
          <w:szCs w:val="24"/>
          <w:lang w:val="en-US"/>
        </w:rPr>
        <w:t xml:space="preserve"> responses. All statistical analyses were performed using the Statistical Package for Social Sciences (SPSS 17.0 for Windows, SPSS Inc., Chicago, IL</w:t>
      </w:r>
      <w:r w:rsidR="00C2256D" w:rsidRPr="007F560B">
        <w:rPr>
          <w:rFonts w:eastAsia="TimesNewRoman" w:cs="TimesNewRoman"/>
          <w:sz w:val="24"/>
          <w:szCs w:val="24"/>
          <w:lang w:val="en-US"/>
        </w:rPr>
        <w:t>, United States</w:t>
      </w:r>
      <w:r w:rsidRPr="007F560B">
        <w:rPr>
          <w:rFonts w:eastAsia="TimesNewRoman" w:cs="TimesNewRoman"/>
          <w:sz w:val="24"/>
          <w:szCs w:val="24"/>
          <w:lang w:val="en-US"/>
        </w:rPr>
        <w:t xml:space="preserve">), and </w:t>
      </w:r>
      <w:r w:rsidRPr="007F560B">
        <w:rPr>
          <w:rFonts w:eastAsia="TimesNewRoman" w:cs="TimesNewRoman"/>
          <w:i/>
          <w:caps/>
          <w:sz w:val="24"/>
          <w:szCs w:val="24"/>
          <w:lang w:val="en-US"/>
        </w:rPr>
        <w:t>p</w:t>
      </w:r>
      <w:r w:rsidR="00C2256D" w:rsidRPr="007F560B">
        <w:rPr>
          <w:rFonts w:eastAsia="TimesNewRoman" w:cs="TimesNewRoman"/>
          <w:sz w:val="24"/>
          <w:szCs w:val="24"/>
          <w:lang w:val="en-US"/>
        </w:rPr>
        <w:t xml:space="preserve"> </w:t>
      </w:r>
      <w:r w:rsidRPr="007F560B">
        <w:rPr>
          <w:rFonts w:eastAsia="TimesNewRoman" w:cs="TimesNewRoman"/>
          <w:sz w:val="24"/>
          <w:szCs w:val="24"/>
          <w:lang w:val="en-US"/>
        </w:rPr>
        <w:t>&lt; 0.05 was considered statistically significant.</w:t>
      </w:r>
    </w:p>
    <w:p w14:paraId="6D281815" w14:textId="77777777" w:rsidR="00EF1378" w:rsidRPr="007F560B" w:rsidRDefault="00EF1378" w:rsidP="007F560B">
      <w:pPr>
        <w:snapToGrid w:val="0"/>
        <w:spacing w:line="360" w:lineRule="auto"/>
        <w:jc w:val="both"/>
        <w:rPr>
          <w:rFonts w:eastAsia="TimesNewRoman" w:cs="TimesNewRoman"/>
          <w:sz w:val="24"/>
          <w:szCs w:val="24"/>
          <w:lang w:val="en-US"/>
        </w:rPr>
      </w:pPr>
    </w:p>
    <w:p w14:paraId="3630BC7D" w14:textId="77777777" w:rsidR="00A8261B" w:rsidRPr="007F560B" w:rsidRDefault="00A8261B" w:rsidP="007F560B">
      <w:pPr>
        <w:snapToGrid w:val="0"/>
        <w:spacing w:line="360" w:lineRule="auto"/>
        <w:jc w:val="both"/>
        <w:rPr>
          <w:rFonts w:eastAsia="TimesNewRoman" w:cs="TimesNewRoman"/>
          <w:b/>
          <w:sz w:val="24"/>
          <w:szCs w:val="24"/>
          <w:u w:val="single"/>
          <w:lang w:val="en-US"/>
        </w:rPr>
      </w:pPr>
      <w:r w:rsidRPr="007F560B">
        <w:rPr>
          <w:rFonts w:eastAsia="TimesNewRoman" w:cs="TimesNewRoman"/>
          <w:b/>
          <w:sz w:val="24"/>
          <w:szCs w:val="24"/>
          <w:u w:val="single"/>
          <w:lang w:val="en-US"/>
        </w:rPr>
        <w:t>RESULTS</w:t>
      </w:r>
    </w:p>
    <w:p w14:paraId="06BBDFC1" w14:textId="77777777" w:rsidR="00A8261B" w:rsidRPr="007F560B" w:rsidRDefault="00A8261B" w:rsidP="007F560B">
      <w:pPr>
        <w:snapToGrid w:val="0"/>
        <w:spacing w:line="360" w:lineRule="auto"/>
        <w:jc w:val="both"/>
        <w:rPr>
          <w:rFonts w:eastAsia="TimesNewRoman" w:cs="TimesNewRoman"/>
          <w:b/>
          <w:bCs/>
          <w:i/>
          <w:iCs/>
          <w:sz w:val="24"/>
          <w:szCs w:val="24"/>
          <w:lang w:val="en-US"/>
        </w:rPr>
      </w:pPr>
      <w:r w:rsidRPr="007F560B">
        <w:rPr>
          <w:rFonts w:eastAsia="TimesNewRoman" w:cs="TimesNewRoman"/>
          <w:b/>
          <w:bCs/>
          <w:i/>
          <w:iCs/>
          <w:sz w:val="24"/>
          <w:szCs w:val="24"/>
          <w:lang w:val="en-US"/>
        </w:rPr>
        <w:t>Characteristics of the CHB patients</w:t>
      </w:r>
    </w:p>
    <w:p w14:paraId="7083A881" w14:textId="7274E594" w:rsidR="00A8261B" w:rsidRPr="007F560B" w:rsidRDefault="00A8261B" w:rsidP="007F560B">
      <w:pPr>
        <w:snapToGrid w:val="0"/>
        <w:spacing w:line="360" w:lineRule="auto"/>
        <w:jc w:val="both"/>
        <w:rPr>
          <w:rFonts w:eastAsia="TimesNewRoman" w:cs="TimesNewRoman"/>
          <w:sz w:val="24"/>
          <w:szCs w:val="24"/>
          <w:lang w:val="en-US"/>
        </w:rPr>
      </w:pPr>
      <w:r w:rsidRPr="007F560B">
        <w:rPr>
          <w:rFonts w:eastAsia="TimesNewRoman" w:cs="TimesNewRoman"/>
          <w:sz w:val="24"/>
          <w:szCs w:val="24"/>
          <w:lang w:val="en-US"/>
        </w:rPr>
        <w:t>The characteristics of</w:t>
      </w:r>
      <w:r w:rsidR="00E130C9" w:rsidRPr="007F560B">
        <w:rPr>
          <w:rFonts w:eastAsia="TimesNewRoman" w:cs="TimesNewRoman"/>
          <w:sz w:val="24"/>
          <w:szCs w:val="24"/>
          <w:lang w:val="en-US"/>
        </w:rPr>
        <w:t xml:space="preserve"> </w:t>
      </w:r>
      <w:r w:rsidRPr="007F560B">
        <w:rPr>
          <w:rFonts w:eastAsia="TimesNewRoman" w:cs="TimesNewRoman"/>
          <w:sz w:val="24"/>
          <w:szCs w:val="24"/>
          <w:lang w:val="en-US"/>
        </w:rPr>
        <w:t>26 patients with CHB are summarized in Table 1. The age and male proportions were not different between the VRs (</w:t>
      </w:r>
      <w:r w:rsidRPr="007F560B">
        <w:rPr>
          <w:rFonts w:eastAsia="TimesNewRoman" w:cs="TimesNewRoman"/>
          <w:i/>
          <w:sz w:val="24"/>
          <w:szCs w:val="24"/>
          <w:lang w:val="en-US"/>
        </w:rPr>
        <w:t>n</w:t>
      </w:r>
      <w:r w:rsidR="00C2256D" w:rsidRPr="007F560B">
        <w:rPr>
          <w:rFonts w:eastAsia="TimesNewRoman" w:cs="TimesNewRoman"/>
          <w:sz w:val="24"/>
          <w:szCs w:val="24"/>
          <w:lang w:val="en-US"/>
        </w:rPr>
        <w:t xml:space="preserve"> </w:t>
      </w:r>
      <w:r w:rsidRPr="007F560B">
        <w:rPr>
          <w:rFonts w:eastAsia="TimesNewRoman" w:cs="TimesNewRoman"/>
          <w:sz w:val="24"/>
          <w:szCs w:val="24"/>
          <w:lang w:val="en-US"/>
        </w:rPr>
        <w:t>=</w:t>
      </w:r>
      <w:r w:rsidR="00C2256D" w:rsidRPr="007F560B">
        <w:rPr>
          <w:rFonts w:eastAsia="TimesNewRoman" w:cs="TimesNewRoman"/>
          <w:sz w:val="24"/>
          <w:szCs w:val="24"/>
          <w:lang w:val="en-US"/>
        </w:rPr>
        <w:t xml:space="preserve"> </w:t>
      </w:r>
      <w:r w:rsidRPr="007F560B">
        <w:rPr>
          <w:rFonts w:eastAsia="TimesNewRoman" w:cs="TimesNewRoman"/>
          <w:sz w:val="24"/>
          <w:szCs w:val="24"/>
          <w:lang w:val="en-US"/>
        </w:rPr>
        <w:t>15) and NRs (</w:t>
      </w:r>
      <w:r w:rsidRPr="007F560B">
        <w:rPr>
          <w:rFonts w:eastAsia="TimesNewRoman" w:cs="TimesNewRoman"/>
          <w:i/>
          <w:sz w:val="24"/>
          <w:szCs w:val="24"/>
          <w:lang w:val="en-US"/>
        </w:rPr>
        <w:t>n</w:t>
      </w:r>
      <w:r w:rsidR="00C2256D" w:rsidRPr="007F560B">
        <w:rPr>
          <w:rFonts w:eastAsia="TimesNewRoman" w:cs="TimesNewRoman"/>
          <w:sz w:val="24"/>
          <w:szCs w:val="24"/>
          <w:lang w:val="en-US"/>
        </w:rPr>
        <w:t xml:space="preserve"> </w:t>
      </w:r>
      <w:r w:rsidRPr="007F560B">
        <w:rPr>
          <w:rFonts w:eastAsia="TimesNewRoman" w:cs="TimesNewRoman"/>
          <w:sz w:val="24"/>
          <w:szCs w:val="24"/>
          <w:lang w:val="en-US"/>
        </w:rPr>
        <w:t>=</w:t>
      </w:r>
      <w:r w:rsidR="00C2256D" w:rsidRPr="007F560B">
        <w:rPr>
          <w:rFonts w:eastAsia="TimesNewRoman" w:cs="TimesNewRoman"/>
          <w:sz w:val="24"/>
          <w:szCs w:val="24"/>
          <w:lang w:val="en-US"/>
        </w:rPr>
        <w:t xml:space="preserve"> </w:t>
      </w:r>
      <w:r w:rsidRPr="007F560B">
        <w:rPr>
          <w:rFonts w:eastAsia="TimesNewRoman" w:cs="TimesNewRoman"/>
          <w:sz w:val="24"/>
          <w:szCs w:val="24"/>
          <w:lang w:val="en-US"/>
        </w:rPr>
        <w:t xml:space="preserve">11). </w:t>
      </w:r>
      <w:r w:rsidR="001073E6" w:rsidRPr="007F560B">
        <w:rPr>
          <w:rFonts w:eastAsia="TimesNewRoman" w:cs="TimesNewRoman"/>
          <w:sz w:val="24"/>
          <w:szCs w:val="24"/>
          <w:lang w:val="en-US"/>
        </w:rPr>
        <w:t>Before peginterferon treatment, there was no difference in serum AST and ALT levels between VRs and NRs, but AST and ALT levels were higher in NRs during and after treatment</w:t>
      </w:r>
      <w:r w:rsidRPr="007F560B">
        <w:rPr>
          <w:rFonts w:eastAsia="TimesNewRoman" w:cs="TimesNewRoman"/>
          <w:sz w:val="24"/>
          <w:szCs w:val="24"/>
          <w:lang w:val="en-US"/>
        </w:rPr>
        <w:t xml:space="preserve">. </w:t>
      </w:r>
      <w:r w:rsidR="0082451F" w:rsidRPr="007F560B">
        <w:rPr>
          <w:rFonts w:eastAsia="TimesNewRoman" w:cs="TimesNewRoman"/>
          <w:sz w:val="24"/>
          <w:szCs w:val="24"/>
          <w:lang w:val="en-US"/>
        </w:rPr>
        <w:t>S</w:t>
      </w:r>
      <w:r w:rsidR="00A85EFA" w:rsidRPr="007F560B">
        <w:rPr>
          <w:rFonts w:eastAsia="TimesNewRoman" w:cs="TimesNewRoman"/>
          <w:sz w:val="24"/>
          <w:szCs w:val="24"/>
          <w:lang w:val="en-US"/>
        </w:rPr>
        <w:t>erum</w:t>
      </w:r>
      <w:r w:rsidRPr="007F560B">
        <w:rPr>
          <w:rFonts w:eastAsia="TimesNewRoman" w:cs="TimesNewRoman"/>
          <w:sz w:val="24"/>
          <w:szCs w:val="24"/>
          <w:lang w:val="en-US"/>
        </w:rPr>
        <w:t xml:space="preserve"> HBV DNA levels before, during</w:t>
      </w:r>
      <w:r w:rsidR="00DB5413">
        <w:rPr>
          <w:rFonts w:eastAsia="TimesNewRoman" w:cs="TimesNewRoman"/>
          <w:sz w:val="24"/>
          <w:szCs w:val="24"/>
          <w:lang w:val="en-US"/>
        </w:rPr>
        <w:t>,</w:t>
      </w:r>
      <w:r w:rsidRPr="007F560B">
        <w:rPr>
          <w:rFonts w:eastAsia="TimesNewRoman" w:cs="TimesNewRoman"/>
          <w:sz w:val="24"/>
          <w:szCs w:val="24"/>
          <w:lang w:val="en-US"/>
        </w:rPr>
        <w:t xml:space="preserve"> and after the therapy were lower in the VRs than in the NRs. Among the VRs, </w:t>
      </w:r>
      <w:r w:rsidR="00DB5413">
        <w:rPr>
          <w:rFonts w:eastAsia="TimesNewRoman" w:cs="TimesNewRoman"/>
          <w:sz w:val="24"/>
          <w:szCs w:val="24"/>
          <w:lang w:val="en-US"/>
        </w:rPr>
        <w:t>ten</w:t>
      </w:r>
      <w:r w:rsidR="00DB5413" w:rsidRPr="007F560B">
        <w:rPr>
          <w:rFonts w:eastAsia="TimesNewRoman" w:cs="TimesNewRoman"/>
          <w:sz w:val="24"/>
          <w:szCs w:val="24"/>
          <w:lang w:val="en-US"/>
        </w:rPr>
        <w:t xml:space="preserve"> </w:t>
      </w:r>
      <w:r w:rsidRPr="007F560B">
        <w:rPr>
          <w:rFonts w:eastAsia="TimesNewRoman" w:cs="TimesNewRoman"/>
          <w:sz w:val="24"/>
          <w:szCs w:val="24"/>
          <w:lang w:val="en-US"/>
        </w:rPr>
        <w:t xml:space="preserve">(66.7%) demonstrated </w:t>
      </w:r>
      <w:proofErr w:type="spellStart"/>
      <w:r w:rsidRPr="007F560B">
        <w:rPr>
          <w:rFonts w:eastAsia="TimesNewRoman" w:cs="TimesNewRoman"/>
          <w:sz w:val="24"/>
          <w:szCs w:val="24"/>
          <w:lang w:val="en-US"/>
        </w:rPr>
        <w:t>HBeAg</w:t>
      </w:r>
      <w:proofErr w:type="spellEnd"/>
      <w:r w:rsidRPr="007F560B">
        <w:rPr>
          <w:rFonts w:eastAsia="TimesNewRoman" w:cs="TimesNewRoman"/>
          <w:sz w:val="24"/>
          <w:szCs w:val="24"/>
          <w:lang w:val="en-US"/>
        </w:rPr>
        <w:t xml:space="preserve"> seroconversion during or after the therapy.</w:t>
      </w:r>
    </w:p>
    <w:p w14:paraId="05E46250" w14:textId="77777777" w:rsidR="00A8261B" w:rsidRPr="007F560B" w:rsidRDefault="00A8261B" w:rsidP="007F560B">
      <w:pPr>
        <w:snapToGrid w:val="0"/>
        <w:spacing w:line="360" w:lineRule="auto"/>
        <w:jc w:val="both"/>
        <w:rPr>
          <w:rFonts w:eastAsia="TimesNewRoman" w:cs="TimesNewRoman"/>
          <w:b/>
          <w:bCs/>
          <w:i/>
          <w:iCs/>
          <w:sz w:val="24"/>
          <w:szCs w:val="24"/>
          <w:lang w:val="en-US"/>
        </w:rPr>
      </w:pPr>
    </w:p>
    <w:p w14:paraId="259C5DDF" w14:textId="77777777" w:rsidR="00C2256D" w:rsidRPr="007F560B" w:rsidRDefault="00C2256D" w:rsidP="007F560B">
      <w:pPr>
        <w:snapToGrid w:val="0"/>
        <w:spacing w:line="360" w:lineRule="auto"/>
        <w:jc w:val="both"/>
        <w:rPr>
          <w:rFonts w:eastAsia="TimesNewRoman" w:cs="TimesNewRoman"/>
          <w:b/>
          <w:bCs/>
          <w:i/>
          <w:iCs/>
          <w:sz w:val="24"/>
          <w:szCs w:val="24"/>
          <w:lang w:val="en-US"/>
        </w:rPr>
      </w:pPr>
    </w:p>
    <w:p w14:paraId="7ACA006F" w14:textId="77777777" w:rsidR="00A8261B" w:rsidRPr="007F560B" w:rsidRDefault="00A8261B" w:rsidP="007F560B">
      <w:pPr>
        <w:snapToGrid w:val="0"/>
        <w:spacing w:line="360" w:lineRule="auto"/>
        <w:jc w:val="both"/>
        <w:rPr>
          <w:rFonts w:eastAsia="TimesNewRoman" w:cs="TimesNewRoman"/>
          <w:b/>
          <w:sz w:val="24"/>
          <w:szCs w:val="24"/>
          <w:lang w:val="en-US"/>
        </w:rPr>
      </w:pPr>
      <w:r w:rsidRPr="007F560B">
        <w:rPr>
          <w:rFonts w:eastAsia="TimesNewRoman" w:cs="TimesNewRoman"/>
          <w:b/>
          <w:bCs/>
          <w:i/>
          <w:iCs/>
          <w:sz w:val="24"/>
          <w:szCs w:val="24"/>
          <w:lang w:val="en-US"/>
        </w:rPr>
        <w:t>Serum levels of cytokines according to treatment phases and therapeutic responses</w:t>
      </w:r>
    </w:p>
    <w:p w14:paraId="327FAD05" w14:textId="6944BE15" w:rsidR="00A8261B" w:rsidRPr="007F560B" w:rsidRDefault="0082451F" w:rsidP="007F560B">
      <w:pPr>
        <w:snapToGrid w:val="0"/>
        <w:spacing w:line="360" w:lineRule="auto"/>
        <w:jc w:val="both"/>
        <w:rPr>
          <w:rFonts w:eastAsia="TimesNewRoman" w:cs="TimesNewRoman"/>
          <w:sz w:val="24"/>
          <w:szCs w:val="24"/>
          <w:lang w:val="en-US"/>
        </w:rPr>
      </w:pPr>
      <w:r w:rsidRPr="007F560B">
        <w:rPr>
          <w:rFonts w:eastAsia="TimesNewRoman" w:cs="TimesNewRoman"/>
          <w:sz w:val="24"/>
          <w:szCs w:val="24"/>
          <w:lang w:val="en-US"/>
        </w:rPr>
        <w:t>S</w:t>
      </w:r>
      <w:r w:rsidR="00A85EFA" w:rsidRPr="007F560B">
        <w:rPr>
          <w:rFonts w:eastAsia="TimesNewRoman" w:cs="TimesNewRoman"/>
          <w:sz w:val="24"/>
          <w:szCs w:val="24"/>
          <w:lang w:val="en-US"/>
        </w:rPr>
        <w:t>erum</w:t>
      </w:r>
      <w:r w:rsidR="00A8261B" w:rsidRPr="007F560B">
        <w:rPr>
          <w:rFonts w:eastAsia="TimesNewRoman" w:cs="TimesNewRoman"/>
          <w:sz w:val="24"/>
          <w:szCs w:val="24"/>
          <w:lang w:val="en-US"/>
        </w:rPr>
        <w:t xml:space="preserve"> levels of 46 cytokines in the phases of peginterferon therapy in the VR and NR groups are summarized in Table 2. The levels of all cytokines, with the exception of BCA-1, CTACK, ENA-78, Eotoxin-2, SDF-1a, TARC, TRAIL, TSLP, CCL19, CXCL9, IP-10, EGF, </w:t>
      </w:r>
      <w:proofErr w:type="spellStart"/>
      <w:r w:rsidR="00A8261B" w:rsidRPr="007F560B">
        <w:rPr>
          <w:rFonts w:eastAsia="TimesNewRoman" w:cs="TimesNewRoman"/>
          <w:sz w:val="24"/>
          <w:szCs w:val="24"/>
          <w:lang w:val="en-US"/>
        </w:rPr>
        <w:t>Eotaxin</w:t>
      </w:r>
      <w:proofErr w:type="spellEnd"/>
      <w:r w:rsidR="00A8261B" w:rsidRPr="007F560B">
        <w:rPr>
          <w:rFonts w:eastAsia="TimesNewRoman" w:cs="TimesNewRoman"/>
          <w:sz w:val="24"/>
          <w:szCs w:val="24"/>
          <w:lang w:val="en-US"/>
        </w:rPr>
        <w:t>, GRO, IL-8</w:t>
      </w:r>
      <w:r w:rsidR="00DB5413">
        <w:rPr>
          <w:rFonts w:eastAsia="TimesNewRoman" w:cs="TimesNewRoman"/>
          <w:sz w:val="24"/>
          <w:szCs w:val="24"/>
          <w:lang w:val="en-US"/>
        </w:rPr>
        <w:t>,</w:t>
      </w:r>
      <w:r w:rsidR="00A8261B" w:rsidRPr="007F560B">
        <w:rPr>
          <w:rFonts w:eastAsia="TimesNewRoman" w:cs="TimesNewRoman"/>
          <w:sz w:val="24"/>
          <w:szCs w:val="24"/>
          <w:lang w:val="en-US"/>
        </w:rPr>
        <w:t xml:space="preserve"> and MIP-1b, were not statistically significant between the treatment response group and the non-response group before and after treatment.</w:t>
      </w:r>
    </w:p>
    <w:p w14:paraId="671D54AF" w14:textId="06ECD57C" w:rsidR="00A8261B" w:rsidRPr="007F560B" w:rsidRDefault="00A8261B" w:rsidP="007F560B">
      <w:pPr>
        <w:snapToGrid w:val="0"/>
        <w:spacing w:line="360" w:lineRule="auto"/>
        <w:ind w:firstLineChars="100" w:firstLine="240"/>
        <w:jc w:val="both"/>
        <w:rPr>
          <w:rFonts w:eastAsia="TimesNewRoman" w:cs="TimesNewRoman"/>
          <w:sz w:val="24"/>
          <w:szCs w:val="24"/>
          <w:lang w:val="en-US"/>
        </w:rPr>
      </w:pPr>
      <w:bookmarkStart w:id="11" w:name="OLE_LINK23"/>
      <w:bookmarkStart w:id="12" w:name="OLE_LINK24"/>
      <w:bookmarkStart w:id="13" w:name="OLE_LINK25"/>
      <w:r w:rsidRPr="007F560B">
        <w:rPr>
          <w:rFonts w:eastAsia="TimesNewRoman" w:cs="TimesNewRoman"/>
          <w:sz w:val="24"/>
          <w:szCs w:val="24"/>
          <w:lang w:val="en-US"/>
        </w:rPr>
        <w:t>The levels of CXCL9 and IP10 were higher in the VR group than in the NR group (</w:t>
      </w:r>
      <w:r w:rsidRPr="007F560B">
        <w:rPr>
          <w:rFonts w:eastAsia="TimesNewRoman" w:cs="TimesNewRoman"/>
          <w:i/>
          <w:caps/>
          <w:sz w:val="24"/>
          <w:szCs w:val="24"/>
          <w:lang w:val="en-US"/>
        </w:rPr>
        <w:t>p</w:t>
      </w:r>
      <w:r w:rsidRPr="007F560B">
        <w:rPr>
          <w:rFonts w:eastAsia="TimesNewRoman" w:cs="TimesNewRoman"/>
          <w:i/>
          <w:sz w:val="24"/>
          <w:szCs w:val="24"/>
          <w:lang w:val="en-US"/>
        </w:rPr>
        <w:t xml:space="preserve"> </w:t>
      </w:r>
      <w:r w:rsidRPr="007F560B">
        <w:rPr>
          <w:rFonts w:eastAsia="TimesNewRoman" w:cs="TimesNewRoman"/>
          <w:sz w:val="24"/>
          <w:szCs w:val="24"/>
          <w:lang w:val="en-US"/>
        </w:rPr>
        <w:t>= 0.041</w:t>
      </w:r>
      <w:r w:rsidR="00DB5413">
        <w:rPr>
          <w:rFonts w:eastAsia="TimesNewRoman" w:cs="TimesNewRoman"/>
          <w:sz w:val="24"/>
          <w:szCs w:val="24"/>
          <w:lang w:val="en-US"/>
        </w:rPr>
        <w:t xml:space="preserve"> and</w:t>
      </w:r>
      <w:r w:rsidR="00C2256D" w:rsidRPr="007F560B">
        <w:rPr>
          <w:rFonts w:eastAsia="TimesNewRoman" w:cs="TimesNewRoman"/>
          <w:sz w:val="24"/>
          <w:szCs w:val="24"/>
          <w:lang w:val="en-US"/>
        </w:rPr>
        <w:t xml:space="preserve"> 0.027</w:t>
      </w:r>
      <w:r w:rsidR="00DB5413">
        <w:rPr>
          <w:rFonts w:eastAsia="TimesNewRoman" w:cs="TimesNewRoman"/>
          <w:sz w:val="24"/>
          <w:szCs w:val="24"/>
          <w:lang w:val="en-US"/>
        </w:rPr>
        <w:t>, respectively</w:t>
      </w:r>
      <w:r w:rsidR="00C2256D" w:rsidRPr="007F560B">
        <w:rPr>
          <w:rFonts w:eastAsia="TimesNewRoman" w:cs="TimesNewRoman"/>
          <w:sz w:val="24"/>
          <w:szCs w:val="24"/>
          <w:lang w:val="en-US"/>
        </w:rPr>
        <w:t xml:space="preserve">). After 24 </w:t>
      </w:r>
      <w:proofErr w:type="spellStart"/>
      <w:r w:rsidR="00C2256D" w:rsidRPr="007F560B">
        <w:rPr>
          <w:rFonts w:eastAsia="TimesNewRoman" w:cs="TimesNewRoman"/>
          <w:sz w:val="24"/>
          <w:szCs w:val="24"/>
          <w:lang w:val="en-US"/>
        </w:rPr>
        <w:t>wk</w:t>
      </w:r>
      <w:proofErr w:type="spellEnd"/>
      <w:r w:rsidRPr="007F560B">
        <w:rPr>
          <w:rFonts w:eastAsia="TimesNewRoman" w:cs="TimesNewRoman"/>
          <w:sz w:val="24"/>
          <w:szCs w:val="24"/>
          <w:lang w:val="en-US"/>
        </w:rPr>
        <w:t xml:space="preserve"> of treatment, CXCL9 and IP10 were significantly lower in the VR group (</w:t>
      </w:r>
      <w:r w:rsidRPr="007F560B">
        <w:rPr>
          <w:rFonts w:eastAsia="TimesNewRoman" w:cs="TimesNewRoman"/>
          <w:i/>
          <w:caps/>
          <w:sz w:val="24"/>
          <w:szCs w:val="24"/>
          <w:lang w:val="en-US"/>
        </w:rPr>
        <w:t>p</w:t>
      </w:r>
      <w:r w:rsidRPr="007F560B">
        <w:rPr>
          <w:rFonts w:eastAsia="TimesNewRoman" w:cs="TimesNewRoman"/>
          <w:i/>
          <w:sz w:val="24"/>
          <w:szCs w:val="24"/>
          <w:lang w:val="en-US"/>
        </w:rPr>
        <w:t xml:space="preserve"> </w:t>
      </w:r>
      <w:r w:rsidRPr="007F560B">
        <w:rPr>
          <w:rFonts w:eastAsia="TimesNewRoman" w:cs="TimesNewRoman"/>
          <w:sz w:val="24"/>
          <w:szCs w:val="24"/>
          <w:lang w:val="en-US"/>
        </w:rPr>
        <w:t xml:space="preserve">= 0.005, </w:t>
      </w:r>
      <w:r w:rsidRPr="007F560B">
        <w:rPr>
          <w:rFonts w:eastAsia="TimesNewRoman" w:cs="TimesNewRoman"/>
          <w:i/>
          <w:caps/>
          <w:sz w:val="24"/>
          <w:szCs w:val="24"/>
          <w:lang w:val="en-US"/>
        </w:rPr>
        <w:t>p</w:t>
      </w:r>
      <w:r w:rsidRPr="007F560B">
        <w:rPr>
          <w:rFonts w:eastAsia="TimesNewRoman" w:cs="TimesNewRoman"/>
          <w:i/>
          <w:sz w:val="24"/>
          <w:szCs w:val="24"/>
          <w:lang w:val="en-US"/>
        </w:rPr>
        <w:t xml:space="preserve"> </w:t>
      </w:r>
      <w:r w:rsidRPr="007F560B">
        <w:rPr>
          <w:rFonts w:eastAsia="TimesNewRoman" w:cs="TimesNewRoman"/>
          <w:sz w:val="24"/>
          <w:szCs w:val="24"/>
          <w:lang w:val="en-US"/>
        </w:rPr>
        <w:t>= 0.006), whereas the levels of these two cytokines were not significantly changed according to the phases of the therapy in the NR group (Fig</w:t>
      </w:r>
      <w:r w:rsidR="00C2256D" w:rsidRPr="007F560B">
        <w:rPr>
          <w:rFonts w:eastAsia="TimesNewRoman" w:cs="TimesNewRoman"/>
          <w:sz w:val="24"/>
          <w:szCs w:val="24"/>
          <w:lang w:val="en-US"/>
        </w:rPr>
        <w:t xml:space="preserve">ure 1A and </w:t>
      </w:r>
      <w:r w:rsidRPr="007F560B">
        <w:rPr>
          <w:rFonts w:eastAsia="TimesNewRoman" w:cs="TimesNewRoman"/>
          <w:sz w:val="24"/>
          <w:szCs w:val="24"/>
          <w:lang w:val="en-US"/>
        </w:rPr>
        <w:t>B).</w:t>
      </w:r>
      <w:bookmarkEnd w:id="11"/>
      <w:bookmarkEnd w:id="12"/>
      <w:bookmarkEnd w:id="13"/>
      <w:r w:rsidRPr="007F560B">
        <w:rPr>
          <w:rFonts w:eastAsia="TimesNewRoman" w:cs="TimesNewRoman"/>
          <w:sz w:val="24"/>
          <w:szCs w:val="24"/>
          <w:lang w:val="en-US"/>
        </w:rPr>
        <w:t xml:space="preserve"> The levels of MIP-1d in the respo</w:t>
      </w:r>
      <w:r w:rsidR="00C2256D" w:rsidRPr="007F560B">
        <w:rPr>
          <w:rFonts w:eastAsia="TimesNewRoman" w:cs="TimesNewRoman"/>
          <w:sz w:val="24"/>
          <w:szCs w:val="24"/>
          <w:lang w:val="en-US"/>
        </w:rPr>
        <w:t xml:space="preserve">nse group at baseline and 24 </w:t>
      </w:r>
      <w:proofErr w:type="spellStart"/>
      <w:r w:rsidR="00C2256D" w:rsidRPr="007F560B">
        <w:rPr>
          <w:rFonts w:eastAsia="TimesNewRoman" w:cs="TimesNewRoman"/>
          <w:sz w:val="24"/>
          <w:szCs w:val="24"/>
          <w:lang w:val="en-US"/>
        </w:rPr>
        <w:t>wk</w:t>
      </w:r>
      <w:proofErr w:type="spellEnd"/>
      <w:r w:rsidRPr="007F560B">
        <w:rPr>
          <w:rFonts w:eastAsia="TimesNewRoman" w:cs="TimesNewRoman"/>
          <w:sz w:val="24"/>
          <w:szCs w:val="24"/>
          <w:lang w:val="en-US"/>
        </w:rPr>
        <w:t xml:space="preserve"> of treatment were higher than those in the </w:t>
      </w:r>
      <w:r w:rsidR="00DB5413">
        <w:rPr>
          <w:rFonts w:eastAsia="TimesNewRoman" w:cs="TimesNewRoman"/>
          <w:sz w:val="24"/>
          <w:szCs w:val="24"/>
          <w:lang w:val="en-US"/>
        </w:rPr>
        <w:t>NR</w:t>
      </w:r>
      <w:r w:rsidRPr="007F560B">
        <w:rPr>
          <w:rFonts w:eastAsia="TimesNewRoman" w:cs="TimesNewRoman"/>
          <w:sz w:val="24"/>
          <w:szCs w:val="24"/>
          <w:lang w:val="en-US"/>
        </w:rPr>
        <w:t xml:space="preserve"> group (</w:t>
      </w:r>
      <w:r w:rsidRPr="007F560B">
        <w:rPr>
          <w:rFonts w:eastAsia="TimesNewRoman" w:cs="TimesNewRoman"/>
          <w:i/>
          <w:caps/>
          <w:sz w:val="24"/>
          <w:szCs w:val="24"/>
          <w:lang w:val="en-US"/>
        </w:rPr>
        <w:t>p</w:t>
      </w:r>
      <w:r w:rsidRPr="007F560B">
        <w:rPr>
          <w:rFonts w:eastAsia="TimesNewRoman" w:cs="TimesNewRoman"/>
          <w:i/>
          <w:sz w:val="24"/>
          <w:szCs w:val="24"/>
          <w:lang w:val="en-US"/>
        </w:rPr>
        <w:t xml:space="preserve"> </w:t>
      </w:r>
      <w:r w:rsidRPr="007F560B">
        <w:rPr>
          <w:rFonts w:eastAsia="TimesNewRoman" w:cs="TimesNewRoman"/>
          <w:sz w:val="24"/>
          <w:szCs w:val="24"/>
          <w:lang w:val="en-US"/>
        </w:rPr>
        <w:t>= 0.036</w:t>
      </w:r>
      <w:r w:rsidR="00DB5413">
        <w:rPr>
          <w:rFonts w:eastAsia="TimesNewRoman" w:cs="TimesNewRoman"/>
          <w:sz w:val="24"/>
          <w:szCs w:val="24"/>
          <w:lang w:val="en-US"/>
        </w:rPr>
        <w:t xml:space="preserve"> and</w:t>
      </w:r>
      <w:r w:rsidRPr="007F560B">
        <w:rPr>
          <w:rFonts w:eastAsia="TimesNewRoman" w:cs="TimesNewRoman"/>
          <w:sz w:val="24"/>
          <w:szCs w:val="24"/>
          <w:lang w:val="en-US"/>
        </w:rPr>
        <w:t xml:space="preserve"> 0.041</w:t>
      </w:r>
      <w:r w:rsidR="00DB5413">
        <w:rPr>
          <w:rFonts w:eastAsia="TimesNewRoman" w:cs="TimesNewRoman"/>
          <w:sz w:val="24"/>
          <w:szCs w:val="24"/>
          <w:lang w:val="en-US"/>
        </w:rPr>
        <w:t>, respectively</w:t>
      </w:r>
      <w:r w:rsidRPr="007F560B">
        <w:rPr>
          <w:rFonts w:eastAsia="TimesNewRoman" w:cs="TimesNewRoman"/>
          <w:sz w:val="24"/>
          <w:szCs w:val="24"/>
          <w:lang w:val="en-US"/>
        </w:rPr>
        <w:t>)</w:t>
      </w:r>
      <w:r w:rsidR="00C2256D" w:rsidRPr="007F560B">
        <w:rPr>
          <w:rFonts w:eastAsia="TimesNewRoman" w:cs="TimesNewRoman"/>
          <w:color w:val="000000" w:themeColor="text1"/>
          <w:sz w:val="24"/>
          <w:szCs w:val="24"/>
          <w:lang w:val="en-US"/>
        </w:rPr>
        <w:t xml:space="preserve"> (Figure</w:t>
      </w:r>
      <w:r w:rsidRPr="007F560B">
        <w:rPr>
          <w:rFonts w:eastAsia="TimesNewRoman" w:cs="TimesNewRoman"/>
          <w:color w:val="000000" w:themeColor="text1"/>
          <w:sz w:val="24"/>
          <w:szCs w:val="24"/>
          <w:lang w:val="en-US"/>
        </w:rPr>
        <w:t xml:space="preserve"> 1C).</w:t>
      </w:r>
      <w:r w:rsidRPr="007F560B">
        <w:rPr>
          <w:rFonts w:eastAsia="TimesNewRoman" w:cs="TimesNewRoman"/>
          <w:sz w:val="24"/>
          <w:szCs w:val="24"/>
          <w:lang w:val="en-US"/>
        </w:rPr>
        <w:t xml:space="preserve"> However, the level</w:t>
      </w:r>
      <w:r w:rsidR="00C2256D" w:rsidRPr="007F560B">
        <w:rPr>
          <w:rFonts w:eastAsia="TimesNewRoman" w:cs="TimesNewRoman"/>
          <w:sz w:val="24"/>
          <w:szCs w:val="24"/>
          <w:lang w:val="en-US"/>
        </w:rPr>
        <w:t xml:space="preserve">s of TARC at baseline and 24 </w:t>
      </w:r>
      <w:proofErr w:type="spellStart"/>
      <w:r w:rsidR="00C2256D" w:rsidRPr="007F560B">
        <w:rPr>
          <w:rFonts w:eastAsia="TimesNewRoman" w:cs="TimesNewRoman"/>
          <w:sz w:val="24"/>
          <w:szCs w:val="24"/>
          <w:lang w:val="en-US"/>
        </w:rPr>
        <w:t>wk</w:t>
      </w:r>
      <w:proofErr w:type="spellEnd"/>
      <w:r w:rsidRPr="007F560B">
        <w:rPr>
          <w:rFonts w:eastAsia="TimesNewRoman" w:cs="TimesNewRoman"/>
          <w:sz w:val="24"/>
          <w:szCs w:val="24"/>
          <w:lang w:val="en-US"/>
        </w:rPr>
        <w:t xml:space="preserve"> in the VRs were lower than those in the </w:t>
      </w:r>
      <w:bookmarkStart w:id="14" w:name="OLE_LINK1"/>
      <w:r w:rsidRPr="007F560B">
        <w:rPr>
          <w:rFonts w:eastAsia="TimesNewRoman" w:cs="TimesNewRoman"/>
          <w:sz w:val="24"/>
          <w:szCs w:val="24"/>
          <w:lang w:val="en-US"/>
        </w:rPr>
        <w:t>NRs</w:t>
      </w:r>
      <w:bookmarkEnd w:id="14"/>
      <w:r w:rsidRPr="007F560B">
        <w:rPr>
          <w:rFonts w:eastAsia="TimesNewRoman" w:cs="TimesNewRoman"/>
          <w:sz w:val="24"/>
          <w:szCs w:val="24"/>
          <w:lang w:val="en-US"/>
        </w:rPr>
        <w:t xml:space="preserve"> (</w:t>
      </w:r>
      <w:r w:rsidRPr="007F560B">
        <w:rPr>
          <w:rFonts w:eastAsia="TimesNewRoman" w:cs="TimesNewRoman"/>
          <w:i/>
          <w:caps/>
          <w:sz w:val="24"/>
          <w:szCs w:val="24"/>
          <w:lang w:val="en-US"/>
        </w:rPr>
        <w:t>p</w:t>
      </w:r>
      <w:r w:rsidRPr="007F560B">
        <w:rPr>
          <w:rFonts w:eastAsia="TimesNewRoman" w:cs="TimesNewRoman"/>
          <w:i/>
          <w:sz w:val="24"/>
          <w:szCs w:val="24"/>
          <w:lang w:val="en-US"/>
        </w:rPr>
        <w:t xml:space="preserve"> </w:t>
      </w:r>
      <w:r w:rsidRPr="007F560B">
        <w:rPr>
          <w:rFonts w:eastAsia="TimesNewRoman" w:cs="TimesNewRoman"/>
          <w:sz w:val="24"/>
          <w:szCs w:val="24"/>
          <w:lang w:val="en-US"/>
        </w:rPr>
        <w:t>= 0.016</w:t>
      </w:r>
      <w:r w:rsidR="00DB5413">
        <w:rPr>
          <w:rFonts w:eastAsia="TimesNewRoman" w:cs="TimesNewRoman"/>
          <w:sz w:val="24"/>
          <w:szCs w:val="24"/>
          <w:lang w:val="en-US"/>
        </w:rPr>
        <w:t xml:space="preserve"> and</w:t>
      </w:r>
      <w:r w:rsidRPr="007F560B">
        <w:rPr>
          <w:rFonts w:eastAsia="TimesNewRoman" w:cs="TimesNewRoman"/>
          <w:sz w:val="24"/>
          <w:szCs w:val="24"/>
          <w:lang w:val="en-US"/>
        </w:rPr>
        <w:t xml:space="preserve"> 0.021</w:t>
      </w:r>
      <w:r w:rsidR="00DB5413">
        <w:rPr>
          <w:rFonts w:eastAsia="TimesNewRoman" w:cs="TimesNewRoman"/>
          <w:sz w:val="24"/>
          <w:szCs w:val="24"/>
          <w:lang w:val="en-US"/>
        </w:rPr>
        <w:t>, respectively</w:t>
      </w:r>
      <w:r w:rsidRPr="007F560B">
        <w:rPr>
          <w:rFonts w:eastAsia="TimesNewRoman" w:cs="TimesNewRoman"/>
          <w:sz w:val="24"/>
          <w:szCs w:val="24"/>
          <w:lang w:val="en-US"/>
        </w:rPr>
        <w:t>)</w:t>
      </w:r>
      <w:r w:rsidR="00C2256D" w:rsidRPr="007F560B">
        <w:rPr>
          <w:rFonts w:eastAsia="TimesNewRoman" w:cs="TimesNewRoman"/>
          <w:color w:val="000000" w:themeColor="text1"/>
          <w:sz w:val="24"/>
          <w:szCs w:val="24"/>
          <w:lang w:val="en-US"/>
        </w:rPr>
        <w:t xml:space="preserve"> (Figure</w:t>
      </w:r>
      <w:r w:rsidRPr="007F560B">
        <w:rPr>
          <w:rFonts w:eastAsia="TimesNewRoman" w:cs="TimesNewRoman"/>
          <w:color w:val="000000" w:themeColor="text1"/>
          <w:sz w:val="24"/>
          <w:szCs w:val="24"/>
          <w:lang w:val="en-US"/>
        </w:rPr>
        <w:t xml:space="preserve"> 1D). </w:t>
      </w:r>
      <w:r w:rsidRPr="007F560B">
        <w:rPr>
          <w:rFonts w:eastAsia="TimesNewRoman" w:cs="TimesNewRoman"/>
          <w:sz w:val="24"/>
          <w:szCs w:val="24"/>
          <w:lang w:val="en-US"/>
        </w:rPr>
        <w:t>The level of SDF-1a in the NRs was highe</w:t>
      </w:r>
      <w:r w:rsidR="00C2256D" w:rsidRPr="007F560B">
        <w:rPr>
          <w:rFonts w:eastAsia="TimesNewRoman" w:cs="TimesNewRoman"/>
          <w:sz w:val="24"/>
          <w:szCs w:val="24"/>
          <w:lang w:val="en-US"/>
        </w:rPr>
        <w:t xml:space="preserve">r than that in the VRs at 24 </w:t>
      </w:r>
      <w:proofErr w:type="spellStart"/>
      <w:r w:rsidR="00C2256D" w:rsidRPr="007F560B">
        <w:rPr>
          <w:rFonts w:eastAsia="TimesNewRoman" w:cs="TimesNewRoman"/>
          <w:sz w:val="24"/>
          <w:szCs w:val="24"/>
          <w:lang w:val="en-US"/>
        </w:rPr>
        <w:t>wk</w:t>
      </w:r>
      <w:proofErr w:type="spellEnd"/>
      <w:r w:rsidRPr="007F560B">
        <w:rPr>
          <w:rFonts w:eastAsia="TimesNewRoman" w:cs="TimesNewRoman"/>
          <w:sz w:val="24"/>
          <w:szCs w:val="24"/>
          <w:lang w:val="en-US"/>
        </w:rPr>
        <w:t xml:space="preserve"> of treatment (</w:t>
      </w:r>
      <w:r w:rsidRPr="007F560B">
        <w:rPr>
          <w:rFonts w:eastAsia="TimesNewRoman" w:cs="TimesNewRoman"/>
          <w:i/>
          <w:caps/>
          <w:sz w:val="24"/>
          <w:szCs w:val="24"/>
          <w:lang w:val="en-US"/>
        </w:rPr>
        <w:t>p</w:t>
      </w:r>
      <w:r w:rsidRPr="007F560B">
        <w:rPr>
          <w:rFonts w:eastAsia="TimesNewRoman" w:cs="TimesNewRoman"/>
          <w:sz w:val="24"/>
          <w:szCs w:val="24"/>
          <w:lang w:val="en-US"/>
        </w:rPr>
        <w:t xml:space="preserve"> = 0.032). The CXCL6 level was higher in the VR</w:t>
      </w:r>
      <w:r w:rsidR="00C2256D" w:rsidRPr="007F560B">
        <w:rPr>
          <w:rFonts w:eastAsia="TimesNewRoman" w:cs="TimesNewRoman"/>
          <w:sz w:val="24"/>
          <w:szCs w:val="24"/>
          <w:lang w:val="en-US"/>
        </w:rPr>
        <w:t xml:space="preserve">s than that in the NRs at 24 </w:t>
      </w:r>
      <w:proofErr w:type="spellStart"/>
      <w:r w:rsidR="00C2256D" w:rsidRPr="007F560B">
        <w:rPr>
          <w:rFonts w:eastAsia="TimesNewRoman" w:cs="TimesNewRoman"/>
          <w:sz w:val="24"/>
          <w:szCs w:val="24"/>
          <w:lang w:val="en-US"/>
        </w:rPr>
        <w:t>wk</w:t>
      </w:r>
      <w:proofErr w:type="spellEnd"/>
      <w:r w:rsidRPr="007F560B">
        <w:rPr>
          <w:rFonts w:eastAsia="TimesNewRoman" w:cs="TimesNewRoman"/>
          <w:sz w:val="24"/>
          <w:szCs w:val="24"/>
          <w:lang w:val="en-US"/>
        </w:rPr>
        <w:t xml:space="preserve"> (</w:t>
      </w:r>
      <w:r w:rsidRPr="007F560B">
        <w:rPr>
          <w:rFonts w:eastAsia="TimesNewRoman" w:cs="TimesNewRoman"/>
          <w:i/>
          <w:caps/>
          <w:sz w:val="24"/>
          <w:szCs w:val="24"/>
          <w:lang w:val="en-US"/>
        </w:rPr>
        <w:t>p</w:t>
      </w:r>
      <w:r w:rsidRPr="007F560B">
        <w:rPr>
          <w:rFonts w:eastAsia="TimesNewRoman" w:cs="TimesNewRoman"/>
          <w:sz w:val="24"/>
          <w:szCs w:val="24"/>
          <w:lang w:val="en-US"/>
        </w:rPr>
        <w:t xml:space="preserve"> = 0.012).</w:t>
      </w:r>
    </w:p>
    <w:p w14:paraId="6B469C6E" w14:textId="77777777" w:rsidR="00A8261B" w:rsidRPr="007F560B" w:rsidRDefault="00A8261B" w:rsidP="007F560B">
      <w:pPr>
        <w:snapToGrid w:val="0"/>
        <w:spacing w:line="360" w:lineRule="auto"/>
        <w:jc w:val="both"/>
        <w:rPr>
          <w:rFonts w:eastAsia="TimesNewRoman" w:cs="TimesNewRoman"/>
          <w:b/>
          <w:bCs/>
          <w:i/>
          <w:iCs/>
          <w:sz w:val="24"/>
          <w:szCs w:val="24"/>
          <w:lang w:val="en-US"/>
        </w:rPr>
      </w:pPr>
    </w:p>
    <w:p w14:paraId="0EEC2685" w14:textId="77777777" w:rsidR="00A8261B" w:rsidRPr="007F560B" w:rsidRDefault="00A8261B" w:rsidP="007F560B">
      <w:pPr>
        <w:snapToGrid w:val="0"/>
        <w:spacing w:line="360" w:lineRule="auto"/>
        <w:jc w:val="both"/>
        <w:rPr>
          <w:rFonts w:eastAsia="TimesNewRoman" w:cs="TimesNewRoman"/>
          <w:b/>
          <w:bCs/>
          <w:i/>
          <w:iCs/>
          <w:sz w:val="24"/>
          <w:szCs w:val="24"/>
          <w:lang w:val="en-US"/>
        </w:rPr>
      </w:pPr>
      <w:r w:rsidRPr="007F560B">
        <w:rPr>
          <w:rFonts w:eastAsia="TimesNewRoman" w:cs="TimesNewRoman"/>
          <w:b/>
          <w:bCs/>
          <w:i/>
          <w:iCs/>
          <w:sz w:val="24"/>
          <w:szCs w:val="24"/>
          <w:lang w:val="en-US"/>
        </w:rPr>
        <w:t>Correlation between serum ALT and chemokine levels</w:t>
      </w:r>
    </w:p>
    <w:p w14:paraId="148E67DA" w14:textId="207707F3" w:rsidR="00A8261B" w:rsidRPr="007F560B" w:rsidRDefault="00A8261B" w:rsidP="007F560B">
      <w:pPr>
        <w:snapToGrid w:val="0"/>
        <w:spacing w:line="360" w:lineRule="auto"/>
        <w:jc w:val="both"/>
        <w:rPr>
          <w:rFonts w:eastAsia="TimesNewRoman" w:cs="TimesNewRoman"/>
          <w:b/>
          <w:sz w:val="24"/>
          <w:szCs w:val="24"/>
          <w:lang w:val="en-US"/>
        </w:rPr>
      </w:pPr>
      <w:r w:rsidRPr="007F560B">
        <w:rPr>
          <w:rFonts w:cs="Times New Roman"/>
          <w:color w:val="000000"/>
          <w:sz w:val="24"/>
          <w:szCs w:val="24"/>
          <w:lang w:val="en-US"/>
        </w:rPr>
        <w:t>The s</w:t>
      </w:r>
      <w:r w:rsidRPr="007F560B">
        <w:rPr>
          <w:rFonts w:eastAsia="TimesNewRoman" w:cs="TimesNewRoman"/>
          <w:sz w:val="24"/>
          <w:szCs w:val="24"/>
          <w:lang w:val="en-US"/>
        </w:rPr>
        <w:t xml:space="preserve">erum ALT and 46 chemokine levels were measured at each time point during </w:t>
      </w:r>
      <w:r w:rsidR="00C2256D" w:rsidRPr="007F560B">
        <w:rPr>
          <w:rFonts w:eastAsia="TimesNewRoman" w:cs="TimesNewRoman"/>
          <w:sz w:val="24"/>
          <w:szCs w:val="24"/>
          <w:lang w:val="en-US"/>
        </w:rPr>
        <w:t>PEG-IFN</w:t>
      </w:r>
      <w:r w:rsidRPr="007F560B">
        <w:rPr>
          <w:rFonts w:eastAsia="TimesNewRoman" w:cs="TimesNewRoman"/>
          <w:sz w:val="24"/>
          <w:szCs w:val="24"/>
          <w:lang w:val="en-US"/>
        </w:rPr>
        <w:t xml:space="preserve"> treatment for correlation analysis. ALT had positive correlations with the serum BCA-1, SCF, CCL19, CXCL9, CXCL6, and CXCL11 </w:t>
      </w:r>
      <w:r w:rsidR="00DB5413">
        <w:rPr>
          <w:rFonts w:eastAsia="TimesNewRoman" w:cs="TimesNewRoman"/>
          <w:sz w:val="24"/>
          <w:szCs w:val="24"/>
          <w:lang w:val="en-US"/>
        </w:rPr>
        <w:t xml:space="preserve">levels </w:t>
      </w:r>
      <w:r w:rsidRPr="007F560B">
        <w:rPr>
          <w:rFonts w:eastAsia="TimesNewRoman" w:cs="TimesNewRoman"/>
          <w:sz w:val="24"/>
          <w:szCs w:val="24"/>
          <w:lang w:val="en-US"/>
        </w:rPr>
        <w:t>(</w:t>
      </w:r>
      <w:r w:rsidRPr="007F560B">
        <w:rPr>
          <w:rFonts w:eastAsia="TimesNewRoman" w:cs="TimesNewRoman"/>
          <w:i/>
          <w:sz w:val="24"/>
          <w:szCs w:val="24"/>
          <w:lang w:val="en-US"/>
        </w:rPr>
        <w:t xml:space="preserve">r </w:t>
      </w:r>
      <w:r w:rsidRPr="007F560B">
        <w:rPr>
          <w:rFonts w:eastAsia="TimesNewRoman" w:cs="TimesNewRoman"/>
          <w:sz w:val="24"/>
          <w:szCs w:val="24"/>
          <w:lang w:val="en-US"/>
        </w:rPr>
        <w:t xml:space="preserve">= 0.526, </w:t>
      </w:r>
      <w:r w:rsidRPr="007F560B">
        <w:rPr>
          <w:rFonts w:eastAsia="TimesNewRoman" w:cs="TimesNewRoman"/>
          <w:i/>
          <w:caps/>
          <w:sz w:val="24"/>
          <w:szCs w:val="24"/>
          <w:lang w:val="en-US"/>
        </w:rPr>
        <w:t>p</w:t>
      </w:r>
      <w:r w:rsidRPr="007F560B">
        <w:rPr>
          <w:rFonts w:eastAsia="TimesNewRoman" w:cs="TimesNewRoman"/>
          <w:i/>
          <w:sz w:val="24"/>
          <w:szCs w:val="24"/>
          <w:lang w:val="en-US"/>
        </w:rPr>
        <w:t xml:space="preserve"> </w:t>
      </w:r>
      <w:r w:rsidRPr="007F560B">
        <w:rPr>
          <w:rFonts w:eastAsia="TimesNewRoman" w:cs="TimesNewRoman"/>
          <w:sz w:val="24"/>
          <w:szCs w:val="24"/>
          <w:lang w:val="en-US"/>
        </w:rPr>
        <w:t xml:space="preserve">= 0.006; </w:t>
      </w:r>
      <w:r w:rsidRPr="007F560B">
        <w:rPr>
          <w:rFonts w:eastAsia="TimesNewRoman" w:cs="TimesNewRoman"/>
          <w:i/>
          <w:sz w:val="24"/>
          <w:szCs w:val="24"/>
          <w:lang w:val="en-US"/>
        </w:rPr>
        <w:t xml:space="preserve">r </w:t>
      </w:r>
      <w:r w:rsidRPr="007F560B">
        <w:rPr>
          <w:rFonts w:eastAsia="TimesNewRoman" w:cs="TimesNewRoman"/>
          <w:sz w:val="24"/>
          <w:szCs w:val="24"/>
          <w:lang w:val="en-US"/>
        </w:rPr>
        <w:t xml:space="preserve">= 0.448, </w:t>
      </w:r>
      <w:r w:rsidRPr="007F560B">
        <w:rPr>
          <w:rFonts w:eastAsia="TimesNewRoman" w:cs="TimesNewRoman"/>
          <w:i/>
          <w:caps/>
          <w:sz w:val="24"/>
          <w:szCs w:val="24"/>
          <w:lang w:val="en-US"/>
        </w:rPr>
        <w:t>p</w:t>
      </w:r>
      <w:r w:rsidRPr="007F560B">
        <w:rPr>
          <w:rFonts w:eastAsia="TimesNewRoman" w:cs="TimesNewRoman"/>
          <w:i/>
          <w:sz w:val="24"/>
          <w:szCs w:val="24"/>
          <w:lang w:val="en-US"/>
        </w:rPr>
        <w:t xml:space="preserve"> </w:t>
      </w:r>
      <w:r w:rsidRPr="007F560B">
        <w:rPr>
          <w:rFonts w:eastAsia="TimesNewRoman" w:cs="TimesNewRoman"/>
          <w:sz w:val="24"/>
          <w:szCs w:val="24"/>
          <w:lang w:val="en-US"/>
        </w:rPr>
        <w:t xml:space="preserve">= 0.022; </w:t>
      </w:r>
      <w:r w:rsidRPr="007F560B">
        <w:rPr>
          <w:rFonts w:eastAsia="TimesNewRoman" w:cs="TimesNewRoman"/>
          <w:i/>
          <w:sz w:val="24"/>
          <w:szCs w:val="24"/>
          <w:lang w:val="en-US"/>
        </w:rPr>
        <w:t xml:space="preserve">r </w:t>
      </w:r>
      <w:r w:rsidRPr="007F560B">
        <w:rPr>
          <w:rFonts w:eastAsia="TimesNewRoman" w:cs="TimesNewRoman"/>
          <w:sz w:val="24"/>
          <w:szCs w:val="24"/>
          <w:lang w:val="en-US"/>
        </w:rPr>
        <w:t xml:space="preserve">= 0.452, </w:t>
      </w:r>
      <w:r w:rsidRPr="007F560B">
        <w:rPr>
          <w:rFonts w:eastAsia="TimesNewRoman" w:cs="TimesNewRoman"/>
          <w:i/>
          <w:caps/>
          <w:sz w:val="24"/>
          <w:szCs w:val="24"/>
          <w:lang w:val="en-US"/>
        </w:rPr>
        <w:t>p</w:t>
      </w:r>
      <w:r w:rsidRPr="007F560B">
        <w:rPr>
          <w:rFonts w:eastAsia="TimesNewRoman" w:cs="TimesNewRoman"/>
          <w:i/>
          <w:sz w:val="24"/>
          <w:szCs w:val="24"/>
          <w:lang w:val="en-US"/>
        </w:rPr>
        <w:t xml:space="preserve"> </w:t>
      </w:r>
      <w:r w:rsidRPr="007F560B">
        <w:rPr>
          <w:rFonts w:eastAsia="TimesNewRoman" w:cs="TimesNewRoman"/>
          <w:sz w:val="24"/>
          <w:szCs w:val="24"/>
          <w:lang w:val="en-US"/>
        </w:rPr>
        <w:t xml:space="preserve">= 0.02; </w:t>
      </w:r>
      <w:r w:rsidRPr="007F560B">
        <w:rPr>
          <w:rFonts w:eastAsia="TimesNewRoman" w:cs="TimesNewRoman"/>
          <w:i/>
          <w:sz w:val="24"/>
          <w:szCs w:val="24"/>
          <w:lang w:val="en-US"/>
        </w:rPr>
        <w:t xml:space="preserve">r </w:t>
      </w:r>
      <w:r w:rsidRPr="007F560B">
        <w:rPr>
          <w:rFonts w:eastAsia="TimesNewRoman" w:cs="TimesNewRoman"/>
          <w:sz w:val="24"/>
          <w:szCs w:val="24"/>
          <w:lang w:val="en-US"/>
        </w:rPr>
        <w:t xml:space="preserve">= 0.588, </w:t>
      </w:r>
      <w:r w:rsidRPr="007F560B">
        <w:rPr>
          <w:rFonts w:eastAsia="TimesNewRoman" w:cs="TimesNewRoman"/>
          <w:i/>
          <w:caps/>
          <w:sz w:val="24"/>
          <w:szCs w:val="24"/>
          <w:lang w:val="en-US"/>
        </w:rPr>
        <w:t>p</w:t>
      </w:r>
      <w:r w:rsidRPr="007F560B">
        <w:rPr>
          <w:rFonts w:eastAsia="TimesNewRoman" w:cs="TimesNewRoman"/>
          <w:i/>
          <w:sz w:val="24"/>
          <w:szCs w:val="24"/>
          <w:lang w:val="en-US"/>
        </w:rPr>
        <w:t xml:space="preserve"> </w:t>
      </w:r>
      <w:r w:rsidRPr="007F560B">
        <w:rPr>
          <w:rFonts w:eastAsia="TimesNewRoman" w:cs="TimesNewRoman"/>
          <w:sz w:val="24"/>
          <w:szCs w:val="24"/>
          <w:lang w:val="en-US"/>
        </w:rPr>
        <w:t xml:space="preserve">= 0.002; </w:t>
      </w:r>
      <w:r w:rsidRPr="007F560B">
        <w:rPr>
          <w:rFonts w:eastAsia="TimesNewRoman" w:cs="TimesNewRoman"/>
          <w:i/>
          <w:sz w:val="24"/>
          <w:szCs w:val="24"/>
          <w:lang w:val="en-US"/>
        </w:rPr>
        <w:t xml:space="preserve">r </w:t>
      </w:r>
      <w:r w:rsidRPr="007F560B">
        <w:rPr>
          <w:rFonts w:eastAsia="TimesNewRoman" w:cs="TimesNewRoman"/>
          <w:sz w:val="24"/>
          <w:szCs w:val="24"/>
          <w:lang w:val="en-US"/>
        </w:rPr>
        <w:t xml:space="preserve">= 0.530, </w:t>
      </w:r>
      <w:r w:rsidRPr="007F560B">
        <w:rPr>
          <w:rFonts w:eastAsia="TimesNewRoman" w:cs="TimesNewRoman"/>
          <w:i/>
          <w:caps/>
          <w:sz w:val="24"/>
          <w:szCs w:val="24"/>
          <w:lang w:val="en-US"/>
        </w:rPr>
        <w:t>p</w:t>
      </w:r>
      <w:r w:rsidRPr="007F560B">
        <w:rPr>
          <w:rFonts w:eastAsia="TimesNewRoman" w:cs="TimesNewRoman"/>
          <w:i/>
          <w:sz w:val="24"/>
          <w:szCs w:val="24"/>
          <w:lang w:val="en-US"/>
        </w:rPr>
        <w:t xml:space="preserve"> </w:t>
      </w:r>
      <w:r w:rsidRPr="007F560B">
        <w:rPr>
          <w:rFonts w:eastAsia="TimesNewRoman" w:cs="TimesNewRoman"/>
          <w:sz w:val="24"/>
          <w:szCs w:val="24"/>
          <w:lang w:val="en-US"/>
        </w:rPr>
        <w:t xml:space="preserve">= 0.005; and </w:t>
      </w:r>
      <w:r w:rsidRPr="007F560B">
        <w:rPr>
          <w:rFonts w:eastAsia="TimesNewRoman" w:cs="TimesNewRoman"/>
          <w:i/>
          <w:sz w:val="24"/>
          <w:szCs w:val="24"/>
          <w:lang w:val="en-US"/>
        </w:rPr>
        <w:t xml:space="preserve">r </w:t>
      </w:r>
      <w:r w:rsidRPr="007F560B">
        <w:rPr>
          <w:rFonts w:eastAsia="TimesNewRoman" w:cs="TimesNewRoman"/>
          <w:sz w:val="24"/>
          <w:szCs w:val="24"/>
          <w:lang w:val="en-US"/>
        </w:rPr>
        <w:t xml:space="preserve">= 0.661, </w:t>
      </w:r>
      <w:r w:rsidRPr="007F560B">
        <w:rPr>
          <w:rFonts w:eastAsia="TimesNewRoman" w:cs="TimesNewRoman"/>
          <w:i/>
          <w:caps/>
          <w:sz w:val="24"/>
          <w:szCs w:val="24"/>
          <w:lang w:val="en-US"/>
        </w:rPr>
        <w:t>p</w:t>
      </w:r>
      <w:r w:rsidRPr="007F560B">
        <w:rPr>
          <w:rFonts w:eastAsia="TimesNewRoman" w:cs="TimesNewRoman"/>
          <w:i/>
          <w:sz w:val="24"/>
          <w:szCs w:val="24"/>
          <w:lang w:val="en-US"/>
        </w:rPr>
        <w:t xml:space="preserve"> </w:t>
      </w:r>
      <w:r w:rsidRPr="007F560B">
        <w:rPr>
          <w:rFonts w:eastAsia="TimesNewRoman" w:cs="TimesNewRoman"/>
          <w:sz w:val="24"/>
          <w:szCs w:val="24"/>
          <w:lang w:val="en-US"/>
        </w:rPr>
        <w:t>&lt; 0.0001). ALT was inversely correlated with the serum Eotoxin-2, IL-16, IL-8, and MIP-1a (</w:t>
      </w:r>
      <w:r w:rsidRPr="007F560B">
        <w:rPr>
          <w:rFonts w:eastAsia="TimesNewRoman" w:cs="TimesNewRoman"/>
          <w:i/>
          <w:sz w:val="24"/>
          <w:szCs w:val="24"/>
          <w:lang w:val="en-US"/>
        </w:rPr>
        <w:t xml:space="preserve">r </w:t>
      </w:r>
      <w:r w:rsidRPr="007F560B">
        <w:rPr>
          <w:rFonts w:eastAsia="TimesNewRoman" w:cs="TimesNewRoman"/>
          <w:sz w:val="24"/>
          <w:szCs w:val="24"/>
          <w:lang w:val="en-US"/>
        </w:rPr>
        <w:t xml:space="preserve">= -0.517, </w:t>
      </w:r>
      <w:r w:rsidRPr="007F560B">
        <w:rPr>
          <w:rFonts w:eastAsia="TimesNewRoman" w:cs="TimesNewRoman"/>
          <w:i/>
          <w:caps/>
          <w:sz w:val="24"/>
          <w:szCs w:val="24"/>
          <w:lang w:val="en-US"/>
        </w:rPr>
        <w:t>p</w:t>
      </w:r>
      <w:r w:rsidRPr="007F560B">
        <w:rPr>
          <w:rFonts w:eastAsia="TimesNewRoman" w:cs="TimesNewRoman"/>
          <w:i/>
          <w:sz w:val="24"/>
          <w:szCs w:val="24"/>
          <w:lang w:val="en-US"/>
        </w:rPr>
        <w:t xml:space="preserve"> </w:t>
      </w:r>
      <w:r w:rsidRPr="007F560B">
        <w:rPr>
          <w:rFonts w:eastAsia="TimesNewRoman" w:cs="TimesNewRoman"/>
          <w:sz w:val="24"/>
          <w:szCs w:val="24"/>
          <w:lang w:val="en-US"/>
        </w:rPr>
        <w:t xml:space="preserve">= 0.006; </w:t>
      </w:r>
      <w:r w:rsidRPr="007F560B">
        <w:rPr>
          <w:rFonts w:eastAsia="TimesNewRoman" w:cs="TimesNewRoman"/>
          <w:i/>
          <w:sz w:val="24"/>
          <w:szCs w:val="24"/>
          <w:lang w:val="en-US"/>
        </w:rPr>
        <w:t xml:space="preserve">r </w:t>
      </w:r>
      <w:r w:rsidRPr="007F560B">
        <w:rPr>
          <w:rFonts w:eastAsia="TimesNewRoman" w:cs="TimesNewRoman"/>
          <w:sz w:val="24"/>
          <w:szCs w:val="24"/>
          <w:lang w:val="en-US"/>
        </w:rPr>
        <w:t xml:space="preserve">= -0.458, </w:t>
      </w:r>
      <w:r w:rsidRPr="007F560B">
        <w:rPr>
          <w:rFonts w:eastAsia="TimesNewRoman" w:cs="TimesNewRoman"/>
          <w:i/>
          <w:caps/>
          <w:sz w:val="24"/>
          <w:szCs w:val="24"/>
          <w:lang w:val="en-US"/>
        </w:rPr>
        <w:t>p</w:t>
      </w:r>
      <w:r w:rsidRPr="007F560B">
        <w:rPr>
          <w:rFonts w:eastAsia="TimesNewRoman" w:cs="TimesNewRoman"/>
          <w:i/>
          <w:sz w:val="24"/>
          <w:szCs w:val="24"/>
          <w:lang w:val="en-US"/>
        </w:rPr>
        <w:t xml:space="preserve"> </w:t>
      </w:r>
      <w:r w:rsidRPr="007F560B">
        <w:rPr>
          <w:rFonts w:eastAsia="TimesNewRoman" w:cs="TimesNewRoman"/>
          <w:sz w:val="24"/>
          <w:szCs w:val="24"/>
          <w:lang w:val="en-US"/>
        </w:rPr>
        <w:t xml:space="preserve">= 0.019; </w:t>
      </w:r>
      <w:r w:rsidRPr="007F560B">
        <w:rPr>
          <w:rFonts w:eastAsia="TimesNewRoman" w:cs="TimesNewRoman"/>
          <w:i/>
          <w:sz w:val="24"/>
          <w:szCs w:val="24"/>
          <w:lang w:val="en-US"/>
        </w:rPr>
        <w:t xml:space="preserve">r </w:t>
      </w:r>
      <w:r w:rsidRPr="007F560B">
        <w:rPr>
          <w:rFonts w:eastAsia="TimesNewRoman" w:cs="TimesNewRoman"/>
          <w:sz w:val="24"/>
          <w:szCs w:val="24"/>
          <w:lang w:val="en-US"/>
        </w:rPr>
        <w:t xml:space="preserve">= -0.404, </w:t>
      </w:r>
      <w:r w:rsidRPr="007F560B">
        <w:rPr>
          <w:rFonts w:eastAsia="TimesNewRoman" w:cs="TimesNewRoman"/>
          <w:i/>
          <w:caps/>
          <w:sz w:val="24"/>
          <w:szCs w:val="24"/>
          <w:lang w:val="en-US"/>
        </w:rPr>
        <w:t>p</w:t>
      </w:r>
      <w:r w:rsidRPr="007F560B">
        <w:rPr>
          <w:rFonts w:eastAsia="TimesNewRoman" w:cs="TimesNewRoman"/>
          <w:i/>
          <w:sz w:val="24"/>
          <w:szCs w:val="24"/>
          <w:lang w:val="en-US"/>
        </w:rPr>
        <w:t xml:space="preserve"> </w:t>
      </w:r>
      <w:r w:rsidRPr="007F560B">
        <w:rPr>
          <w:rFonts w:eastAsia="TimesNewRoman" w:cs="TimesNewRoman"/>
          <w:sz w:val="24"/>
          <w:szCs w:val="24"/>
          <w:lang w:val="en-US"/>
        </w:rPr>
        <w:t xml:space="preserve">= 0.041; and </w:t>
      </w:r>
      <w:r w:rsidRPr="007F560B">
        <w:rPr>
          <w:rFonts w:eastAsia="TimesNewRoman" w:cs="TimesNewRoman"/>
          <w:i/>
          <w:sz w:val="24"/>
          <w:szCs w:val="24"/>
          <w:lang w:val="en-US"/>
        </w:rPr>
        <w:t xml:space="preserve">r </w:t>
      </w:r>
      <w:r w:rsidRPr="007F560B">
        <w:rPr>
          <w:rFonts w:eastAsia="TimesNewRoman" w:cs="TimesNewRoman"/>
          <w:sz w:val="24"/>
          <w:szCs w:val="24"/>
          <w:lang w:val="en-US"/>
        </w:rPr>
        <w:t xml:space="preserve">= -0.388, </w:t>
      </w:r>
      <w:r w:rsidRPr="007F560B">
        <w:rPr>
          <w:rFonts w:eastAsia="TimesNewRoman" w:cs="TimesNewRoman"/>
          <w:i/>
          <w:caps/>
          <w:sz w:val="24"/>
          <w:szCs w:val="24"/>
          <w:lang w:val="en-US"/>
        </w:rPr>
        <w:t>p</w:t>
      </w:r>
      <w:r w:rsidRPr="007F560B">
        <w:rPr>
          <w:rFonts w:eastAsia="TimesNewRoman" w:cs="TimesNewRoman"/>
          <w:i/>
          <w:sz w:val="24"/>
          <w:szCs w:val="24"/>
          <w:lang w:val="en-US"/>
        </w:rPr>
        <w:t xml:space="preserve"> </w:t>
      </w:r>
      <w:r w:rsidRPr="007F560B">
        <w:rPr>
          <w:rFonts w:eastAsia="TimesNewRoman" w:cs="TimesNewRoman"/>
          <w:sz w:val="24"/>
          <w:szCs w:val="24"/>
          <w:lang w:val="en-US"/>
        </w:rPr>
        <w:t>= 0.05).</w:t>
      </w:r>
    </w:p>
    <w:p w14:paraId="3632DE21" w14:textId="77777777" w:rsidR="00EE7761" w:rsidRPr="007F560B" w:rsidRDefault="00EE7761" w:rsidP="007F560B">
      <w:pPr>
        <w:snapToGrid w:val="0"/>
        <w:spacing w:line="360" w:lineRule="auto"/>
        <w:jc w:val="both"/>
        <w:rPr>
          <w:rFonts w:eastAsia="TimesNewRoman" w:cs="TimesNewRoman"/>
          <w:b/>
          <w:bCs/>
          <w:i/>
          <w:iCs/>
          <w:sz w:val="24"/>
          <w:szCs w:val="24"/>
          <w:lang w:val="en-US"/>
        </w:rPr>
      </w:pPr>
    </w:p>
    <w:p w14:paraId="588059D9" w14:textId="46C6B596" w:rsidR="00A8261B" w:rsidRPr="007F560B" w:rsidRDefault="00A8261B" w:rsidP="007F560B">
      <w:pPr>
        <w:snapToGrid w:val="0"/>
        <w:spacing w:line="360" w:lineRule="auto"/>
        <w:jc w:val="both"/>
        <w:rPr>
          <w:rFonts w:eastAsia="TimesNewRoman" w:cs="TimesNewRoman"/>
          <w:b/>
          <w:bCs/>
          <w:i/>
          <w:iCs/>
          <w:sz w:val="24"/>
          <w:szCs w:val="24"/>
          <w:lang w:val="en-US"/>
        </w:rPr>
      </w:pPr>
      <w:r w:rsidRPr="007F560B">
        <w:rPr>
          <w:rFonts w:eastAsia="TimesNewRoman" w:cs="TimesNewRoman"/>
          <w:b/>
          <w:bCs/>
          <w:i/>
          <w:iCs/>
          <w:sz w:val="24"/>
          <w:szCs w:val="24"/>
          <w:lang w:val="en-US"/>
        </w:rPr>
        <w:t>P</w:t>
      </w:r>
      <w:r w:rsidR="00265BAD" w:rsidRPr="007F560B">
        <w:rPr>
          <w:rFonts w:eastAsia="TimesNewRoman" w:cs="TimesNewRoman"/>
          <w:b/>
          <w:bCs/>
          <w:i/>
          <w:iCs/>
          <w:sz w:val="24"/>
          <w:szCs w:val="24"/>
          <w:lang w:val="en-US"/>
        </w:rPr>
        <w:t xml:space="preserve">redictive value of HBV DNA, </w:t>
      </w:r>
      <w:proofErr w:type="spellStart"/>
      <w:r w:rsidR="00265BAD" w:rsidRPr="007F560B">
        <w:rPr>
          <w:rFonts w:eastAsia="TimesNewRoman" w:cs="TimesNewRoman"/>
          <w:b/>
          <w:bCs/>
          <w:i/>
          <w:iCs/>
          <w:sz w:val="24"/>
          <w:szCs w:val="24"/>
          <w:lang w:val="en-US"/>
        </w:rPr>
        <w:t>HB</w:t>
      </w:r>
      <w:r w:rsidRPr="007F560B">
        <w:rPr>
          <w:rFonts w:eastAsia="TimesNewRoman" w:cs="TimesNewRoman"/>
          <w:b/>
          <w:bCs/>
          <w:i/>
          <w:iCs/>
          <w:sz w:val="24"/>
          <w:szCs w:val="24"/>
          <w:lang w:val="en-US"/>
        </w:rPr>
        <w:t>eAg</w:t>
      </w:r>
      <w:proofErr w:type="spellEnd"/>
      <w:r w:rsidR="00B35A18" w:rsidRPr="007F560B">
        <w:rPr>
          <w:rFonts w:eastAsia="TimesNewRoman" w:cs="TimesNewRoman"/>
          <w:b/>
          <w:bCs/>
          <w:i/>
          <w:iCs/>
          <w:sz w:val="24"/>
          <w:szCs w:val="24"/>
          <w:lang w:val="en-US"/>
        </w:rPr>
        <w:t xml:space="preserve">, </w:t>
      </w:r>
      <w:r w:rsidRPr="007F560B">
        <w:rPr>
          <w:rFonts w:eastAsia="TimesNewRoman" w:cs="TimesNewRoman"/>
          <w:b/>
          <w:bCs/>
          <w:i/>
          <w:iCs/>
          <w:sz w:val="24"/>
          <w:szCs w:val="24"/>
          <w:lang w:val="en-US"/>
        </w:rPr>
        <w:t>and cytokines</w:t>
      </w:r>
    </w:p>
    <w:p w14:paraId="4F03CD12" w14:textId="659A3D55" w:rsidR="00A8261B" w:rsidRPr="007F560B" w:rsidRDefault="00A8261B" w:rsidP="007F560B">
      <w:pPr>
        <w:snapToGrid w:val="0"/>
        <w:spacing w:line="360" w:lineRule="auto"/>
        <w:jc w:val="both"/>
        <w:rPr>
          <w:rFonts w:cs="Times New Roman"/>
          <w:sz w:val="24"/>
          <w:szCs w:val="24"/>
          <w:lang w:val="en-US"/>
        </w:rPr>
      </w:pPr>
      <w:r w:rsidRPr="007F560B">
        <w:rPr>
          <w:rFonts w:cs="Times New Roman"/>
          <w:sz w:val="24"/>
          <w:szCs w:val="24"/>
          <w:lang w:val="en-US"/>
        </w:rPr>
        <w:t xml:space="preserve">The AUROC values of the serum HBV DNA and </w:t>
      </w:r>
      <w:proofErr w:type="spellStart"/>
      <w:r w:rsidRPr="007F560B">
        <w:rPr>
          <w:rFonts w:cs="Times New Roman"/>
          <w:sz w:val="24"/>
          <w:szCs w:val="24"/>
          <w:lang w:val="en-US"/>
        </w:rPr>
        <w:t>HBeAg</w:t>
      </w:r>
      <w:proofErr w:type="spellEnd"/>
      <w:r w:rsidRPr="007F560B">
        <w:rPr>
          <w:rFonts w:cs="Times New Roman"/>
          <w:sz w:val="24"/>
          <w:szCs w:val="24"/>
          <w:lang w:val="en-US"/>
        </w:rPr>
        <w:t xml:space="preserve"> levels measured before peginterferon therapy were 0.879 and 0.964 (</w:t>
      </w:r>
      <w:r w:rsidRPr="007F560B">
        <w:rPr>
          <w:rFonts w:cs="Times New Roman"/>
          <w:i/>
          <w:caps/>
          <w:sz w:val="24"/>
          <w:szCs w:val="24"/>
          <w:lang w:val="en-US"/>
        </w:rPr>
        <w:t>p</w:t>
      </w:r>
      <w:r w:rsidRPr="007F560B">
        <w:rPr>
          <w:rFonts w:cs="Times New Roman"/>
          <w:i/>
          <w:sz w:val="24"/>
          <w:szCs w:val="24"/>
          <w:lang w:val="en-US"/>
        </w:rPr>
        <w:t xml:space="preserve"> </w:t>
      </w:r>
      <w:r w:rsidRPr="007F560B">
        <w:rPr>
          <w:rFonts w:cs="Times New Roman"/>
          <w:sz w:val="24"/>
          <w:szCs w:val="24"/>
          <w:lang w:val="en-US"/>
        </w:rPr>
        <w:t xml:space="preserve">= 0.001, </w:t>
      </w:r>
      <w:r w:rsidRPr="007F560B">
        <w:rPr>
          <w:rFonts w:cs="Times New Roman"/>
          <w:i/>
          <w:caps/>
          <w:sz w:val="24"/>
          <w:szCs w:val="24"/>
          <w:lang w:val="en-US"/>
        </w:rPr>
        <w:t>p</w:t>
      </w:r>
      <w:r w:rsidRPr="007F560B">
        <w:rPr>
          <w:rFonts w:cs="Times New Roman"/>
          <w:i/>
          <w:sz w:val="24"/>
          <w:szCs w:val="24"/>
          <w:lang w:val="en-US"/>
        </w:rPr>
        <w:t xml:space="preserve"> </w:t>
      </w:r>
      <w:r w:rsidRPr="007F560B">
        <w:rPr>
          <w:rFonts w:cs="Times New Roman"/>
          <w:sz w:val="24"/>
          <w:szCs w:val="24"/>
          <w:lang w:val="en-US"/>
        </w:rPr>
        <w:t xml:space="preserve">&lt; 0.001), respectively </w:t>
      </w:r>
      <w:r w:rsidR="001F211E" w:rsidRPr="007F560B">
        <w:rPr>
          <w:rFonts w:eastAsia="TimesNewRoman" w:cs="TimesNewRoman"/>
          <w:sz w:val="24"/>
          <w:szCs w:val="24"/>
          <w:lang w:val="en-US"/>
        </w:rPr>
        <w:t>(Figure</w:t>
      </w:r>
      <w:r w:rsidRPr="007F560B">
        <w:rPr>
          <w:rFonts w:eastAsia="TimesNewRoman" w:cs="TimesNewRoman"/>
          <w:sz w:val="24"/>
          <w:szCs w:val="24"/>
          <w:lang w:val="en-US"/>
        </w:rPr>
        <w:t xml:space="preserve"> 2 A)</w:t>
      </w:r>
      <w:r w:rsidRPr="007F560B">
        <w:rPr>
          <w:rFonts w:cs="Times New Roman"/>
          <w:sz w:val="24"/>
          <w:szCs w:val="24"/>
          <w:lang w:val="en-US"/>
        </w:rPr>
        <w:t>. The sensitivity and specificity of the baseline HBV DNA levels in predicting VR were 90.90% and 86.70%, respectively, when the cutoff DNA level was 7.015 IU/</w:t>
      </w:r>
      <w:proofErr w:type="spellStart"/>
      <w:r w:rsidRPr="007F560B">
        <w:rPr>
          <w:rFonts w:cs="Times New Roman"/>
          <w:sz w:val="24"/>
          <w:szCs w:val="24"/>
          <w:lang w:val="en-US"/>
        </w:rPr>
        <w:t>mL.</w:t>
      </w:r>
      <w:proofErr w:type="spellEnd"/>
      <w:r w:rsidRPr="007F560B">
        <w:rPr>
          <w:rFonts w:cs="Times New Roman"/>
          <w:sz w:val="24"/>
          <w:szCs w:val="24"/>
          <w:lang w:val="en-US"/>
        </w:rPr>
        <w:t xml:space="preserve"> The sensitivity and specificity of the baseline </w:t>
      </w:r>
      <w:proofErr w:type="spellStart"/>
      <w:r w:rsidRPr="007F560B">
        <w:rPr>
          <w:rFonts w:cs="Times New Roman"/>
          <w:sz w:val="24"/>
          <w:szCs w:val="24"/>
          <w:lang w:val="en-US"/>
        </w:rPr>
        <w:t>HBeAg</w:t>
      </w:r>
      <w:proofErr w:type="spellEnd"/>
      <w:r w:rsidRPr="007F560B">
        <w:rPr>
          <w:rFonts w:eastAsia="Minion-Regular" w:cs="Times New Roman"/>
          <w:color w:val="231F20"/>
          <w:sz w:val="24"/>
          <w:szCs w:val="24"/>
          <w:lang w:val="en-US"/>
        </w:rPr>
        <w:t xml:space="preserve"> levels in predicting VR were </w:t>
      </w:r>
      <w:r w:rsidRPr="007F560B">
        <w:rPr>
          <w:rFonts w:cs="Times New Roman"/>
          <w:sz w:val="24"/>
          <w:szCs w:val="24"/>
          <w:lang w:val="en-US"/>
        </w:rPr>
        <w:t>100% and 93.30%</w:t>
      </w:r>
      <w:r w:rsidRPr="007F560B">
        <w:rPr>
          <w:rFonts w:eastAsia="Minion-Regular" w:cs="Times New Roman"/>
          <w:color w:val="231F20"/>
          <w:sz w:val="24"/>
          <w:szCs w:val="24"/>
          <w:lang w:val="en-US"/>
        </w:rPr>
        <w:t xml:space="preserve">, respectively, when the cutoff DNA level was </w:t>
      </w:r>
      <w:r w:rsidRPr="007F560B">
        <w:rPr>
          <w:rFonts w:cs="Times New Roman"/>
          <w:sz w:val="24"/>
          <w:szCs w:val="24"/>
          <w:lang w:val="en-US"/>
        </w:rPr>
        <w:t xml:space="preserve">820.95 IU/mL </w:t>
      </w:r>
      <w:r w:rsidR="001F211E" w:rsidRPr="007F560B">
        <w:rPr>
          <w:rFonts w:eastAsia="TimesNewRoman" w:cs="TimesNewRoman"/>
          <w:sz w:val="24"/>
          <w:szCs w:val="24"/>
          <w:lang w:val="en-US"/>
        </w:rPr>
        <w:t>(Figure</w:t>
      </w:r>
      <w:r w:rsidRPr="007F560B">
        <w:rPr>
          <w:rFonts w:eastAsia="TimesNewRoman" w:cs="TimesNewRoman"/>
          <w:sz w:val="24"/>
          <w:szCs w:val="24"/>
          <w:lang w:val="en-US"/>
        </w:rPr>
        <w:t xml:space="preserve"> 2 A)</w:t>
      </w:r>
      <w:r w:rsidRPr="007F560B">
        <w:rPr>
          <w:rFonts w:cs="Times New Roman"/>
          <w:sz w:val="24"/>
          <w:szCs w:val="24"/>
          <w:lang w:val="en-US"/>
        </w:rPr>
        <w:t>. Moreover, the AUROC value of the baseline TARC levels was 0.77 (</w:t>
      </w:r>
      <w:r w:rsidRPr="007F560B">
        <w:rPr>
          <w:rFonts w:cs="Times New Roman"/>
          <w:i/>
          <w:caps/>
          <w:sz w:val="24"/>
          <w:szCs w:val="24"/>
          <w:lang w:val="en-US"/>
        </w:rPr>
        <w:t>p</w:t>
      </w:r>
      <w:r w:rsidRPr="007F560B">
        <w:rPr>
          <w:rFonts w:cs="Times New Roman"/>
          <w:i/>
          <w:sz w:val="24"/>
          <w:szCs w:val="24"/>
          <w:lang w:val="en-US"/>
        </w:rPr>
        <w:t xml:space="preserve"> </w:t>
      </w:r>
      <w:r w:rsidRPr="007F560B">
        <w:rPr>
          <w:rFonts w:cs="Times New Roman"/>
          <w:sz w:val="24"/>
          <w:szCs w:val="24"/>
          <w:lang w:val="en-US"/>
        </w:rPr>
        <w:t xml:space="preserve">= 0.021) in detecting VR, and the lower TARC level was related to VR. The sensitivity and specificity of the baseline TARC level in discriminating VRs from NRs were 72.70% and 73.30%, respectively, with the cutoff value of 26.52 </w:t>
      </w:r>
      <w:proofErr w:type="spellStart"/>
      <w:r w:rsidRPr="007F560B">
        <w:rPr>
          <w:rFonts w:cs="Times New Roman"/>
          <w:sz w:val="24"/>
          <w:szCs w:val="24"/>
          <w:lang w:val="en-US"/>
        </w:rPr>
        <w:t>pg</w:t>
      </w:r>
      <w:proofErr w:type="spellEnd"/>
      <w:r w:rsidRPr="007F560B">
        <w:rPr>
          <w:rFonts w:cs="Times New Roman"/>
          <w:sz w:val="24"/>
          <w:szCs w:val="24"/>
          <w:lang w:val="en-US"/>
        </w:rPr>
        <w:t>/</w:t>
      </w:r>
      <w:proofErr w:type="spellStart"/>
      <w:r w:rsidRPr="007F560B">
        <w:rPr>
          <w:rFonts w:cs="Times New Roman"/>
          <w:sz w:val="24"/>
          <w:szCs w:val="24"/>
          <w:lang w:val="en-US"/>
        </w:rPr>
        <w:t>mL.</w:t>
      </w:r>
      <w:proofErr w:type="spellEnd"/>
      <w:r w:rsidRPr="007F560B">
        <w:rPr>
          <w:rFonts w:cs="Times New Roman"/>
          <w:sz w:val="24"/>
          <w:szCs w:val="24"/>
          <w:lang w:val="en-US"/>
        </w:rPr>
        <w:t xml:space="preserve"> </w:t>
      </w:r>
      <w:r w:rsidR="0082451F" w:rsidRPr="007F560B">
        <w:rPr>
          <w:rFonts w:cs="Times New Roman"/>
          <w:sz w:val="24"/>
          <w:szCs w:val="24"/>
          <w:lang w:val="en-US"/>
        </w:rPr>
        <w:t>MIP-</w:t>
      </w:r>
      <w:r w:rsidR="00427671" w:rsidRPr="007F560B">
        <w:rPr>
          <w:rFonts w:cs="Times New Roman"/>
          <w:sz w:val="24"/>
          <w:szCs w:val="24"/>
          <w:lang w:val="en-US"/>
        </w:rPr>
        <w:t>1d</w:t>
      </w:r>
      <w:r w:rsidRPr="007F560B">
        <w:rPr>
          <w:rFonts w:cs="Times New Roman"/>
          <w:sz w:val="24"/>
          <w:szCs w:val="24"/>
          <w:lang w:val="en-US"/>
        </w:rPr>
        <w:t>, CXCL9, CXCL6</w:t>
      </w:r>
      <w:r w:rsidR="00DB5413">
        <w:rPr>
          <w:rFonts w:cs="Times New Roman"/>
          <w:sz w:val="24"/>
          <w:szCs w:val="24"/>
          <w:lang w:val="en-US"/>
        </w:rPr>
        <w:t>,</w:t>
      </w:r>
      <w:r w:rsidRPr="007F560B">
        <w:rPr>
          <w:rFonts w:cs="Times New Roman"/>
          <w:sz w:val="24"/>
          <w:szCs w:val="24"/>
          <w:lang w:val="en-US"/>
        </w:rPr>
        <w:t xml:space="preserve"> and IP10 also had good predictive value. The AUROC values of the serum </w:t>
      </w:r>
      <w:r w:rsidR="0082451F" w:rsidRPr="007F560B">
        <w:rPr>
          <w:rFonts w:cs="Times New Roman"/>
          <w:sz w:val="24"/>
          <w:szCs w:val="24"/>
          <w:lang w:val="en-US"/>
        </w:rPr>
        <w:t>MIP-</w:t>
      </w:r>
      <w:r w:rsidR="00427671" w:rsidRPr="007F560B">
        <w:rPr>
          <w:rFonts w:cs="Times New Roman"/>
          <w:sz w:val="24"/>
          <w:szCs w:val="24"/>
          <w:lang w:val="en-US"/>
        </w:rPr>
        <w:t>1d</w:t>
      </w:r>
      <w:r w:rsidRPr="007F560B">
        <w:rPr>
          <w:rFonts w:cs="Times New Roman"/>
          <w:sz w:val="24"/>
          <w:szCs w:val="24"/>
          <w:lang w:val="en-US"/>
        </w:rPr>
        <w:t>, CXCL9, CXCL6</w:t>
      </w:r>
      <w:r w:rsidR="00DB5413">
        <w:rPr>
          <w:rFonts w:cs="Times New Roman"/>
          <w:sz w:val="24"/>
          <w:szCs w:val="24"/>
          <w:lang w:val="en-US"/>
        </w:rPr>
        <w:t>,</w:t>
      </w:r>
      <w:r w:rsidRPr="007F560B">
        <w:rPr>
          <w:rFonts w:cs="Times New Roman"/>
          <w:sz w:val="24"/>
          <w:szCs w:val="24"/>
          <w:lang w:val="en-US"/>
        </w:rPr>
        <w:t xml:space="preserve"> and IP10 levels</w:t>
      </w:r>
      <w:r w:rsidR="00DB5413">
        <w:rPr>
          <w:rFonts w:cs="Times New Roman"/>
          <w:sz w:val="24"/>
          <w:szCs w:val="24"/>
          <w:lang w:val="en-US"/>
        </w:rPr>
        <w:t xml:space="preserve"> </w:t>
      </w:r>
      <w:r w:rsidRPr="007F560B">
        <w:rPr>
          <w:rFonts w:cs="Times New Roman"/>
          <w:sz w:val="24"/>
          <w:szCs w:val="24"/>
          <w:lang w:val="en-US"/>
        </w:rPr>
        <w:t>measured before peginterferon therapy were 0.787, 0.799, 0.722</w:t>
      </w:r>
      <w:r w:rsidR="00DB5413">
        <w:rPr>
          <w:rFonts w:cs="Times New Roman"/>
          <w:sz w:val="24"/>
          <w:szCs w:val="24"/>
          <w:lang w:val="en-US"/>
        </w:rPr>
        <w:t>,</w:t>
      </w:r>
      <w:r w:rsidRPr="007F560B">
        <w:rPr>
          <w:rFonts w:cs="Times New Roman"/>
          <w:sz w:val="24"/>
          <w:szCs w:val="24"/>
          <w:lang w:val="en-US"/>
        </w:rPr>
        <w:t xml:space="preserve"> and 0.787 (</w:t>
      </w:r>
      <w:r w:rsidRPr="007F560B">
        <w:rPr>
          <w:rFonts w:cs="Times New Roman"/>
          <w:i/>
          <w:caps/>
          <w:sz w:val="24"/>
          <w:szCs w:val="24"/>
          <w:lang w:val="en-US"/>
        </w:rPr>
        <w:t>p</w:t>
      </w:r>
      <w:r w:rsidRPr="007F560B">
        <w:rPr>
          <w:rFonts w:cs="Times New Roman"/>
          <w:sz w:val="24"/>
          <w:szCs w:val="24"/>
          <w:lang w:val="en-US"/>
        </w:rPr>
        <w:t xml:space="preserve"> = 0.01, 0.01, 0.05</w:t>
      </w:r>
      <w:r w:rsidR="00DB5413">
        <w:rPr>
          <w:rFonts w:cs="Times New Roman"/>
          <w:sz w:val="24"/>
          <w:szCs w:val="24"/>
          <w:lang w:val="en-US"/>
        </w:rPr>
        <w:t>,</w:t>
      </w:r>
      <w:r w:rsidRPr="007F560B">
        <w:rPr>
          <w:rFonts w:cs="Times New Roman"/>
          <w:sz w:val="24"/>
          <w:szCs w:val="24"/>
          <w:lang w:val="en-US"/>
        </w:rPr>
        <w:t xml:space="preserve"> and 0.013)</w:t>
      </w:r>
      <w:r w:rsidR="00DB5413">
        <w:rPr>
          <w:rFonts w:cs="Times New Roman"/>
          <w:sz w:val="24"/>
          <w:szCs w:val="24"/>
          <w:lang w:val="en-US"/>
        </w:rPr>
        <w:t>, res</w:t>
      </w:r>
      <w:r w:rsidR="00E27E20">
        <w:rPr>
          <w:rFonts w:cs="Times New Roman"/>
          <w:sz w:val="24"/>
          <w:szCs w:val="24"/>
          <w:lang w:val="en-US"/>
        </w:rPr>
        <w:t>p</w:t>
      </w:r>
      <w:r w:rsidR="00DB5413">
        <w:rPr>
          <w:rFonts w:cs="Times New Roman"/>
          <w:sz w:val="24"/>
          <w:szCs w:val="24"/>
          <w:lang w:val="en-US"/>
        </w:rPr>
        <w:t>ectively,</w:t>
      </w:r>
      <w:r w:rsidRPr="007F560B">
        <w:rPr>
          <w:rFonts w:cs="Times New Roman"/>
          <w:sz w:val="24"/>
          <w:szCs w:val="24"/>
          <w:lang w:val="en-US"/>
        </w:rPr>
        <w:t xml:space="preserve"> in predicting VR. The sensitivity and specificity of the baseline </w:t>
      </w:r>
      <w:r w:rsidR="00427671" w:rsidRPr="007F560B">
        <w:rPr>
          <w:rFonts w:cs="Times New Roman"/>
          <w:sz w:val="24"/>
          <w:szCs w:val="24"/>
          <w:lang w:val="en-US"/>
        </w:rPr>
        <w:t>MIP-1d</w:t>
      </w:r>
      <w:r w:rsidRPr="007F560B">
        <w:rPr>
          <w:rFonts w:cs="Times New Roman"/>
          <w:sz w:val="24"/>
          <w:szCs w:val="24"/>
          <w:lang w:val="en-US"/>
        </w:rPr>
        <w:t>, CXCL9, CXCL6</w:t>
      </w:r>
      <w:r w:rsidR="00DB5413">
        <w:rPr>
          <w:rFonts w:cs="Times New Roman"/>
          <w:sz w:val="24"/>
          <w:szCs w:val="24"/>
          <w:lang w:val="en-US"/>
        </w:rPr>
        <w:t>,</w:t>
      </w:r>
      <w:r w:rsidRPr="007F560B">
        <w:rPr>
          <w:rFonts w:cs="Times New Roman"/>
          <w:sz w:val="24"/>
          <w:szCs w:val="24"/>
          <w:lang w:val="en-US"/>
        </w:rPr>
        <w:t xml:space="preserve"> and IP10 levels in predicting VR were 69.20</w:t>
      </w:r>
      <w:r w:rsidR="00DB5413" w:rsidRPr="007F560B">
        <w:rPr>
          <w:rFonts w:cs="Times New Roman"/>
          <w:sz w:val="24"/>
          <w:szCs w:val="24"/>
          <w:lang w:val="en-US"/>
        </w:rPr>
        <w:t>%</w:t>
      </w:r>
      <w:r w:rsidR="00DB5413">
        <w:rPr>
          <w:rFonts w:cs="Times New Roman"/>
          <w:sz w:val="24"/>
          <w:szCs w:val="24"/>
          <w:lang w:val="en-US"/>
        </w:rPr>
        <w:t xml:space="preserve"> and</w:t>
      </w:r>
      <w:r w:rsidR="00DB5413" w:rsidRPr="007F560B">
        <w:rPr>
          <w:rFonts w:cs="Times New Roman"/>
          <w:sz w:val="24"/>
          <w:szCs w:val="24"/>
          <w:lang w:val="en-US"/>
        </w:rPr>
        <w:t xml:space="preserve"> </w:t>
      </w:r>
      <w:r w:rsidRPr="007F560B">
        <w:rPr>
          <w:rFonts w:cs="Times New Roman"/>
          <w:sz w:val="24"/>
          <w:szCs w:val="24"/>
          <w:lang w:val="en-US"/>
        </w:rPr>
        <w:t>84.60%, 76.90</w:t>
      </w:r>
      <w:r w:rsidR="00DB5413" w:rsidRPr="007F560B">
        <w:rPr>
          <w:rFonts w:cs="Times New Roman"/>
          <w:sz w:val="24"/>
          <w:szCs w:val="24"/>
          <w:lang w:val="en-US"/>
        </w:rPr>
        <w:t>%</w:t>
      </w:r>
      <w:r w:rsidR="00DB5413">
        <w:rPr>
          <w:rFonts w:cs="Times New Roman"/>
          <w:sz w:val="24"/>
          <w:szCs w:val="24"/>
          <w:lang w:val="en-US"/>
        </w:rPr>
        <w:t xml:space="preserve"> and</w:t>
      </w:r>
      <w:r w:rsidR="00DB5413" w:rsidRPr="007F560B">
        <w:rPr>
          <w:rFonts w:cs="Times New Roman"/>
          <w:sz w:val="24"/>
          <w:szCs w:val="24"/>
          <w:lang w:val="en-US"/>
        </w:rPr>
        <w:t xml:space="preserve"> </w:t>
      </w:r>
      <w:r w:rsidRPr="007F560B">
        <w:rPr>
          <w:rFonts w:cs="Times New Roman"/>
          <w:sz w:val="24"/>
          <w:szCs w:val="24"/>
          <w:lang w:val="en-US"/>
        </w:rPr>
        <w:t>76.90%, 61.50</w:t>
      </w:r>
      <w:r w:rsidR="00DB5413" w:rsidRPr="007F560B">
        <w:rPr>
          <w:rFonts w:cs="Times New Roman"/>
          <w:sz w:val="24"/>
          <w:szCs w:val="24"/>
          <w:lang w:val="en-US"/>
        </w:rPr>
        <w:t>%</w:t>
      </w:r>
      <w:r w:rsidR="00DB5413">
        <w:rPr>
          <w:rFonts w:cs="Times New Roman"/>
          <w:sz w:val="24"/>
          <w:szCs w:val="24"/>
          <w:lang w:val="en-US"/>
        </w:rPr>
        <w:t xml:space="preserve"> and</w:t>
      </w:r>
      <w:r w:rsidR="00DB5413" w:rsidRPr="007F560B">
        <w:rPr>
          <w:rFonts w:cs="Times New Roman"/>
          <w:sz w:val="24"/>
          <w:szCs w:val="24"/>
          <w:lang w:val="en-US"/>
        </w:rPr>
        <w:t xml:space="preserve"> </w:t>
      </w:r>
      <w:r w:rsidRPr="007F560B">
        <w:rPr>
          <w:rFonts w:cs="Times New Roman"/>
          <w:sz w:val="24"/>
          <w:szCs w:val="24"/>
          <w:lang w:val="en-US"/>
        </w:rPr>
        <w:t>84.60%, and 61.50</w:t>
      </w:r>
      <w:r w:rsidR="00DB5413" w:rsidRPr="007F560B">
        <w:rPr>
          <w:rFonts w:cs="Times New Roman"/>
          <w:sz w:val="24"/>
          <w:szCs w:val="24"/>
          <w:lang w:val="en-US"/>
        </w:rPr>
        <w:t>%</w:t>
      </w:r>
      <w:r w:rsidR="00DB5413">
        <w:rPr>
          <w:rFonts w:cs="Times New Roman"/>
          <w:sz w:val="24"/>
          <w:szCs w:val="24"/>
          <w:lang w:val="en-US"/>
        </w:rPr>
        <w:t xml:space="preserve"> and</w:t>
      </w:r>
      <w:r w:rsidR="00DB5413" w:rsidRPr="007F560B">
        <w:rPr>
          <w:rFonts w:cs="Times New Roman"/>
          <w:sz w:val="24"/>
          <w:szCs w:val="24"/>
          <w:lang w:val="en-US"/>
        </w:rPr>
        <w:t xml:space="preserve"> </w:t>
      </w:r>
      <w:r w:rsidRPr="007F560B">
        <w:rPr>
          <w:rFonts w:cs="Times New Roman"/>
          <w:sz w:val="24"/>
          <w:szCs w:val="24"/>
          <w:lang w:val="en-US"/>
        </w:rPr>
        <w:t xml:space="preserve">92.30%, respectively, when the cutoff values were 1662.5 </w:t>
      </w:r>
      <w:proofErr w:type="spellStart"/>
      <w:r w:rsidRPr="007F560B">
        <w:rPr>
          <w:rFonts w:cs="Times New Roman"/>
          <w:sz w:val="24"/>
          <w:szCs w:val="24"/>
          <w:lang w:val="en-US"/>
        </w:rPr>
        <w:t>pg</w:t>
      </w:r>
      <w:proofErr w:type="spellEnd"/>
      <w:r w:rsidRPr="007F560B">
        <w:rPr>
          <w:rFonts w:cs="Times New Roman"/>
          <w:sz w:val="24"/>
          <w:szCs w:val="24"/>
          <w:lang w:val="en-US"/>
        </w:rPr>
        <w:t xml:space="preserve">/mL, 2840.5 </w:t>
      </w:r>
      <w:proofErr w:type="spellStart"/>
      <w:r w:rsidRPr="007F560B">
        <w:rPr>
          <w:rFonts w:cs="Times New Roman"/>
          <w:sz w:val="24"/>
          <w:szCs w:val="24"/>
          <w:lang w:val="en-US"/>
        </w:rPr>
        <w:t>pg</w:t>
      </w:r>
      <w:proofErr w:type="spellEnd"/>
      <w:r w:rsidRPr="007F560B">
        <w:rPr>
          <w:rFonts w:cs="Times New Roman"/>
          <w:sz w:val="24"/>
          <w:szCs w:val="24"/>
          <w:lang w:val="en-US"/>
        </w:rPr>
        <w:t xml:space="preserve">/mL, 154.50 </w:t>
      </w:r>
      <w:proofErr w:type="spellStart"/>
      <w:r w:rsidRPr="007F560B">
        <w:rPr>
          <w:rFonts w:cs="Times New Roman"/>
          <w:sz w:val="24"/>
          <w:szCs w:val="24"/>
          <w:lang w:val="en-US"/>
        </w:rPr>
        <w:t>pg</w:t>
      </w:r>
      <w:proofErr w:type="spellEnd"/>
      <w:r w:rsidRPr="007F560B">
        <w:rPr>
          <w:rFonts w:cs="Times New Roman"/>
          <w:sz w:val="24"/>
          <w:szCs w:val="24"/>
          <w:lang w:val="en-US"/>
        </w:rPr>
        <w:t>/mL</w:t>
      </w:r>
      <w:r w:rsidR="00DB5413">
        <w:rPr>
          <w:rFonts w:cs="Times New Roman"/>
          <w:sz w:val="24"/>
          <w:szCs w:val="24"/>
          <w:lang w:val="en-US"/>
        </w:rPr>
        <w:t>,</w:t>
      </w:r>
      <w:r w:rsidRPr="007F560B">
        <w:rPr>
          <w:rFonts w:cs="Times New Roman"/>
          <w:sz w:val="24"/>
          <w:szCs w:val="24"/>
          <w:lang w:val="en-US"/>
        </w:rPr>
        <w:t xml:space="preserve"> and 1332.50 </w:t>
      </w:r>
      <w:proofErr w:type="spellStart"/>
      <w:r w:rsidRPr="007F560B">
        <w:rPr>
          <w:rFonts w:cs="Times New Roman"/>
          <w:sz w:val="24"/>
          <w:szCs w:val="24"/>
          <w:lang w:val="en-US"/>
        </w:rPr>
        <w:t>pg</w:t>
      </w:r>
      <w:proofErr w:type="spellEnd"/>
      <w:r w:rsidRPr="007F560B">
        <w:rPr>
          <w:rFonts w:cs="Times New Roman"/>
          <w:sz w:val="24"/>
          <w:szCs w:val="24"/>
          <w:lang w:val="en-US"/>
        </w:rPr>
        <w:t>/mL, respectively</w:t>
      </w:r>
      <w:r w:rsidR="001F211E" w:rsidRPr="007F560B">
        <w:rPr>
          <w:rFonts w:cs="Times New Roman"/>
          <w:sz w:val="24"/>
          <w:szCs w:val="24"/>
          <w:lang w:val="en-US"/>
        </w:rPr>
        <w:t xml:space="preserve"> (Figure</w:t>
      </w:r>
      <w:r w:rsidRPr="007F560B">
        <w:rPr>
          <w:rFonts w:cs="Times New Roman"/>
          <w:sz w:val="24"/>
          <w:szCs w:val="24"/>
          <w:lang w:val="en-US"/>
        </w:rPr>
        <w:t xml:space="preserve"> 2B ). The AUROC values </w:t>
      </w:r>
      <w:r w:rsidR="008B6CD0" w:rsidRPr="007F560B">
        <w:rPr>
          <w:rFonts w:cs="Times New Roman"/>
          <w:sz w:val="24"/>
          <w:szCs w:val="24"/>
          <w:lang w:val="en-US"/>
        </w:rPr>
        <w:t xml:space="preserve">of </w:t>
      </w:r>
      <w:r w:rsidRPr="007F560B">
        <w:rPr>
          <w:rFonts w:cs="Times New Roman"/>
          <w:sz w:val="24"/>
          <w:szCs w:val="24"/>
          <w:lang w:val="en-US"/>
        </w:rPr>
        <w:t xml:space="preserve">all other cytokines quantified in the </w:t>
      </w:r>
      <w:r w:rsidR="008B6CD0" w:rsidRPr="007F560B">
        <w:rPr>
          <w:rFonts w:cs="Times New Roman"/>
          <w:sz w:val="24"/>
          <w:szCs w:val="24"/>
          <w:lang w:val="en-US"/>
        </w:rPr>
        <w:t xml:space="preserve">serum </w:t>
      </w:r>
      <w:r w:rsidRPr="007F560B">
        <w:rPr>
          <w:rFonts w:cs="Times New Roman"/>
          <w:sz w:val="24"/>
          <w:szCs w:val="24"/>
          <w:lang w:val="en-US"/>
        </w:rPr>
        <w:t>samples before the therapy were not statistically significant in predicting VR.</w:t>
      </w:r>
    </w:p>
    <w:p w14:paraId="5FDF1350" w14:textId="77777777" w:rsidR="00572B12" w:rsidRPr="007F560B" w:rsidRDefault="00572B12" w:rsidP="007F560B">
      <w:pPr>
        <w:snapToGrid w:val="0"/>
        <w:spacing w:line="360" w:lineRule="auto"/>
        <w:jc w:val="both"/>
        <w:rPr>
          <w:rFonts w:eastAsiaTheme="minorEastAsia" w:cs="Times New Roman"/>
          <w:sz w:val="24"/>
          <w:szCs w:val="24"/>
          <w:lang w:val="en-US"/>
        </w:rPr>
      </w:pPr>
    </w:p>
    <w:p w14:paraId="0BF4D3DC" w14:textId="77777777" w:rsidR="00A8261B" w:rsidRPr="007F560B" w:rsidRDefault="00A8261B" w:rsidP="007F560B">
      <w:pPr>
        <w:snapToGrid w:val="0"/>
        <w:spacing w:line="360" w:lineRule="auto"/>
        <w:jc w:val="both"/>
        <w:rPr>
          <w:rFonts w:eastAsia="TimesNewRoman" w:cs="TimesNewRoman"/>
          <w:b/>
          <w:sz w:val="24"/>
          <w:szCs w:val="24"/>
          <w:u w:val="single"/>
          <w:lang w:val="en-US"/>
        </w:rPr>
      </w:pPr>
      <w:r w:rsidRPr="007F560B">
        <w:rPr>
          <w:rFonts w:eastAsia="TimesNewRoman" w:cs="TimesNewRoman"/>
          <w:b/>
          <w:sz w:val="24"/>
          <w:szCs w:val="24"/>
          <w:u w:val="single"/>
          <w:lang w:val="en-US"/>
        </w:rPr>
        <w:t>DISCUSSION</w:t>
      </w:r>
    </w:p>
    <w:p w14:paraId="4A7052B2" w14:textId="252AFFF8" w:rsidR="00A8261B" w:rsidRPr="007F560B" w:rsidRDefault="00A8261B" w:rsidP="007F560B">
      <w:pPr>
        <w:snapToGrid w:val="0"/>
        <w:spacing w:line="360" w:lineRule="auto"/>
        <w:jc w:val="both"/>
        <w:rPr>
          <w:rFonts w:cs="Times New Roman"/>
          <w:bCs/>
          <w:color w:val="000000"/>
          <w:sz w:val="24"/>
          <w:szCs w:val="24"/>
          <w:lang w:val="en-US"/>
        </w:rPr>
      </w:pPr>
      <w:r w:rsidRPr="007F560B">
        <w:rPr>
          <w:rFonts w:cs="Times New Roman"/>
          <w:bCs/>
          <w:color w:val="000000"/>
          <w:sz w:val="24"/>
          <w:szCs w:val="24"/>
          <w:lang w:val="en-US"/>
        </w:rPr>
        <w:t xml:space="preserve">Liver inflammation due to HBV </w:t>
      </w:r>
      <w:r w:rsidR="00DB5413">
        <w:rPr>
          <w:rFonts w:cs="Times New Roman"/>
          <w:bCs/>
          <w:color w:val="000000"/>
          <w:sz w:val="24"/>
          <w:szCs w:val="24"/>
          <w:lang w:val="en-US"/>
        </w:rPr>
        <w:t xml:space="preserve">infection </w:t>
      </w:r>
      <w:r w:rsidRPr="007F560B">
        <w:rPr>
          <w:rFonts w:cs="Times New Roman"/>
          <w:bCs/>
          <w:color w:val="000000"/>
          <w:sz w:val="24"/>
          <w:szCs w:val="24"/>
          <w:lang w:val="en-US"/>
        </w:rPr>
        <w:t>is immune mediated.</w:t>
      </w:r>
      <w:r w:rsidRPr="007F560B">
        <w:rPr>
          <w:rFonts w:eastAsia="Minion-Regular"/>
          <w:color w:val="231F20"/>
          <w:sz w:val="24"/>
          <w:szCs w:val="24"/>
          <w:lang w:val="en-US"/>
        </w:rPr>
        <w:t xml:space="preserve"> </w:t>
      </w:r>
      <w:r w:rsidRPr="007F560B">
        <w:rPr>
          <w:rFonts w:cs="Times New Roman"/>
          <w:bCs/>
          <w:color w:val="000000"/>
          <w:sz w:val="24"/>
          <w:szCs w:val="24"/>
          <w:lang w:val="en-US"/>
        </w:rPr>
        <w:t xml:space="preserve">Acquired immunity and innate immunity are </w:t>
      </w:r>
      <w:r w:rsidR="00A85EFA" w:rsidRPr="007F560B">
        <w:rPr>
          <w:rFonts w:cs="Times New Roman"/>
          <w:bCs/>
          <w:color w:val="000000"/>
          <w:sz w:val="24"/>
          <w:szCs w:val="24"/>
          <w:lang w:val="en-US"/>
        </w:rPr>
        <w:t>considered</w:t>
      </w:r>
      <w:r w:rsidR="00DB5413">
        <w:rPr>
          <w:rFonts w:cs="Times New Roman"/>
          <w:bCs/>
          <w:color w:val="000000"/>
          <w:sz w:val="24"/>
          <w:szCs w:val="24"/>
          <w:lang w:val="en-US"/>
        </w:rPr>
        <w:t xml:space="preserve"> </w:t>
      </w:r>
      <w:r w:rsidRPr="007F560B">
        <w:rPr>
          <w:rFonts w:cs="Times New Roman"/>
          <w:bCs/>
          <w:color w:val="000000"/>
          <w:sz w:val="24"/>
          <w:szCs w:val="24"/>
          <w:lang w:val="en-US"/>
        </w:rPr>
        <w:t xml:space="preserve">related to the pathogenesis of </w:t>
      </w:r>
      <w:proofErr w:type="gramStart"/>
      <w:r w:rsidRPr="007F560B">
        <w:rPr>
          <w:rFonts w:cs="Times New Roman"/>
          <w:bCs/>
          <w:color w:val="000000"/>
          <w:sz w:val="24"/>
          <w:szCs w:val="24"/>
          <w:lang w:val="en-US"/>
        </w:rPr>
        <w:t>CHB</w:t>
      </w:r>
      <w:r w:rsidR="00E76101" w:rsidRPr="007F560B">
        <w:rPr>
          <w:rFonts w:cs="Times New Roman"/>
          <w:noProof/>
          <w:color w:val="000000"/>
          <w:sz w:val="24"/>
          <w:szCs w:val="24"/>
          <w:vertAlign w:val="superscript"/>
          <w:lang w:val="en-US"/>
        </w:rPr>
        <w:t>[</w:t>
      </w:r>
      <w:proofErr w:type="gramEnd"/>
      <w:r w:rsidR="00E76101" w:rsidRPr="007F560B">
        <w:rPr>
          <w:rFonts w:cs="Times New Roman"/>
          <w:noProof/>
          <w:color w:val="000000"/>
          <w:sz w:val="24"/>
          <w:szCs w:val="24"/>
          <w:vertAlign w:val="superscript"/>
          <w:lang w:val="en-US"/>
        </w:rPr>
        <w:t>21]</w:t>
      </w:r>
      <w:r w:rsidRPr="007F560B">
        <w:rPr>
          <w:rFonts w:eastAsiaTheme="minorEastAsia" w:cs="Times New Roman"/>
          <w:color w:val="000000"/>
          <w:sz w:val="24"/>
          <w:szCs w:val="24"/>
          <w:lang w:val="en-US"/>
        </w:rPr>
        <w:t xml:space="preserve">. </w:t>
      </w:r>
      <w:r w:rsidRPr="007F560B">
        <w:rPr>
          <w:rFonts w:cs="Times New Roman"/>
          <w:bCs/>
          <w:color w:val="000000"/>
          <w:sz w:val="24"/>
          <w:szCs w:val="24"/>
          <w:lang w:val="en-US"/>
        </w:rPr>
        <w:t xml:space="preserve">In this study, we obtained simultaneous measurements of 46 kinds of cytokines in CHB patients to assess the roles of cytokines according to the responses to </w:t>
      </w:r>
      <w:r w:rsidR="001F211E" w:rsidRPr="007F560B">
        <w:rPr>
          <w:rFonts w:cs="Times New Roman"/>
          <w:bCs/>
          <w:color w:val="000000"/>
          <w:sz w:val="24"/>
          <w:szCs w:val="24"/>
          <w:lang w:val="en-US"/>
        </w:rPr>
        <w:t>PEG-IFN</w:t>
      </w:r>
      <w:r w:rsidRPr="007F560B">
        <w:rPr>
          <w:rFonts w:cs="Times New Roman"/>
          <w:bCs/>
          <w:color w:val="000000"/>
          <w:sz w:val="24"/>
          <w:szCs w:val="24"/>
          <w:lang w:val="en-US"/>
        </w:rPr>
        <w:t xml:space="preserve">, which is a widely used therapeutic agent for the </w:t>
      </w:r>
      <w:r w:rsidRPr="007F560B">
        <w:rPr>
          <w:rFonts w:cs="Times New Roman"/>
          <w:bCs/>
          <w:color w:val="000000"/>
          <w:sz w:val="24"/>
          <w:szCs w:val="24"/>
          <w:lang w:val="en-US"/>
        </w:rPr>
        <w:lastRenderedPageBreak/>
        <w:t>treatment of CHB. However,</w:t>
      </w:r>
      <w:r w:rsidRPr="007F560B">
        <w:rPr>
          <w:color w:val="000000"/>
          <w:sz w:val="24"/>
          <w:szCs w:val="24"/>
          <w:lang w:val="en-US"/>
        </w:rPr>
        <w:t xml:space="preserve"> </w:t>
      </w:r>
      <w:bookmarkStart w:id="15" w:name="OLE_LINK211"/>
      <w:bookmarkStart w:id="16" w:name="OLE_LINK212"/>
      <w:r w:rsidRPr="007F560B">
        <w:rPr>
          <w:rFonts w:cs="Times New Roman"/>
          <w:bCs/>
          <w:color w:val="000000"/>
          <w:sz w:val="24"/>
          <w:szCs w:val="24"/>
          <w:lang w:val="en-US"/>
        </w:rPr>
        <w:t>interferon therapy for CHB remains a clinical challenge.</w:t>
      </w:r>
      <w:bookmarkEnd w:id="15"/>
      <w:bookmarkEnd w:id="16"/>
      <w:r w:rsidRPr="007F560B">
        <w:rPr>
          <w:rFonts w:cs="Times New Roman"/>
          <w:bCs/>
          <w:color w:val="000000"/>
          <w:sz w:val="24"/>
          <w:szCs w:val="24"/>
          <w:lang w:val="en-US"/>
        </w:rPr>
        <w:t xml:space="preserve"> Although successful </w:t>
      </w:r>
      <w:r w:rsidR="001F211E" w:rsidRPr="007F560B">
        <w:rPr>
          <w:rFonts w:eastAsia="TimesNewRoman" w:cs="TimesNewRoman"/>
          <w:sz w:val="24"/>
          <w:szCs w:val="24"/>
          <w:lang w:val="en-US"/>
        </w:rPr>
        <w:t>PEG-IFN</w:t>
      </w:r>
      <w:r w:rsidRPr="007F560B">
        <w:rPr>
          <w:rFonts w:eastAsia="TimesNewRoman" w:cs="TimesNewRoman"/>
          <w:sz w:val="24"/>
          <w:szCs w:val="24"/>
          <w:lang w:val="en-US"/>
        </w:rPr>
        <w:t xml:space="preserve"> </w:t>
      </w:r>
      <w:r w:rsidRPr="007F560B">
        <w:rPr>
          <w:rFonts w:cs="Times New Roman"/>
          <w:bCs/>
          <w:color w:val="000000"/>
          <w:sz w:val="24"/>
          <w:szCs w:val="24"/>
          <w:lang w:val="en-US"/>
        </w:rPr>
        <w:t xml:space="preserve">therapy can induce a long-lasting response and reduce liver-related complications, the efficacy </w:t>
      </w:r>
      <w:r w:rsidR="00DB5413">
        <w:rPr>
          <w:rFonts w:cs="Times New Roman"/>
          <w:bCs/>
          <w:color w:val="000000"/>
          <w:sz w:val="24"/>
          <w:szCs w:val="24"/>
          <w:lang w:val="en-US"/>
        </w:rPr>
        <w:t xml:space="preserve">rate </w:t>
      </w:r>
      <w:r w:rsidRPr="007F560B">
        <w:rPr>
          <w:rFonts w:cs="Times New Roman"/>
          <w:bCs/>
          <w:color w:val="000000"/>
          <w:sz w:val="24"/>
          <w:szCs w:val="24"/>
          <w:lang w:val="en-US"/>
        </w:rPr>
        <w:t xml:space="preserve">of conventional interferon therapy for 6 </w:t>
      </w:r>
      <w:proofErr w:type="spellStart"/>
      <w:r w:rsidRPr="007F560B">
        <w:rPr>
          <w:rFonts w:cs="Times New Roman"/>
          <w:bCs/>
          <w:color w:val="000000"/>
          <w:sz w:val="24"/>
          <w:szCs w:val="24"/>
          <w:lang w:val="en-US"/>
        </w:rPr>
        <w:t>mo</w:t>
      </w:r>
      <w:proofErr w:type="spellEnd"/>
      <w:r w:rsidRPr="007F560B">
        <w:rPr>
          <w:rFonts w:cs="Times New Roman"/>
          <w:bCs/>
          <w:color w:val="000000"/>
          <w:sz w:val="24"/>
          <w:szCs w:val="24"/>
          <w:lang w:val="en-US"/>
        </w:rPr>
        <w:t xml:space="preserve"> was only 25% to 40</w:t>
      </w:r>
      <w:proofErr w:type="gramStart"/>
      <w:r w:rsidRPr="007F560B">
        <w:rPr>
          <w:rFonts w:cs="Times New Roman"/>
          <w:bCs/>
          <w:color w:val="000000"/>
          <w:sz w:val="24"/>
          <w:szCs w:val="24"/>
          <w:lang w:val="en-US"/>
        </w:rPr>
        <w:t>%</w:t>
      </w:r>
      <w:r w:rsidR="001F211E" w:rsidRPr="007F560B">
        <w:rPr>
          <w:rFonts w:cs="Times New Roman"/>
          <w:noProof/>
          <w:color w:val="000000"/>
          <w:sz w:val="24"/>
          <w:szCs w:val="24"/>
          <w:vertAlign w:val="superscript"/>
          <w:lang w:val="en-US"/>
        </w:rPr>
        <w:t>[</w:t>
      </w:r>
      <w:proofErr w:type="gramEnd"/>
      <w:r w:rsidR="001F211E" w:rsidRPr="007F560B">
        <w:rPr>
          <w:rFonts w:cs="Times New Roman"/>
          <w:noProof/>
          <w:color w:val="000000"/>
          <w:sz w:val="24"/>
          <w:szCs w:val="24"/>
          <w:vertAlign w:val="superscript"/>
          <w:lang w:val="en-US"/>
        </w:rPr>
        <w:t>22,</w:t>
      </w:r>
      <w:r w:rsidR="00E76101" w:rsidRPr="007F560B">
        <w:rPr>
          <w:rFonts w:cs="Times New Roman"/>
          <w:noProof/>
          <w:color w:val="000000"/>
          <w:sz w:val="24"/>
          <w:szCs w:val="24"/>
          <w:vertAlign w:val="superscript"/>
          <w:lang w:val="en-US"/>
        </w:rPr>
        <w:t>23]</w:t>
      </w:r>
      <w:r w:rsidRPr="007F560B">
        <w:rPr>
          <w:rFonts w:cs="Times New Roman"/>
          <w:color w:val="000000"/>
          <w:sz w:val="24"/>
          <w:szCs w:val="24"/>
          <w:lang w:val="en-US"/>
        </w:rPr>
        <w:t>.</w:t>
      </w:r>
      <w:r w:rsidRPr="007F560B">
        <w:rPr>
          <w:rFonts w:cs="Times New Roman"/>
          <w:bCs/>
          <w:color w:val="000000"/>
          <w:sz w:val="24"/>
          <w:szCs w:val="24"/>
          <w:lang w:val="en-US"/>
        </w:rPr>
        <w:t xml:space="preserve"> Therefore, </w:t>
      </w:r>
      <w:bookmarkStart w:id="17" w:name="OLE_LINK230"/>
      <w:bookmarkStart w:id="18" w:name="OLE_LINK231"/>
      <w:r w:rsidRPr="007F560B">
        <w:rPr>
          <w:rFonts w:cs="Times New Roman"/>
          <w:bCs/>
          <w:color w:val="000000"/>
          <w:sz w:val="24"/>
          <w:szCs w:val="24"/>
          <w:lang w:val="en-US"/>
        </w:rPr>
        <w:t>individualized treatment strategies</w:t>
      </w:r>
      <w:bookmarkEnd w:id="17"/>
      <w:bookmarkEnd w:id="18"/>
      <w:r w:rsidRPr="007F560B">
        <w:rPr>
          <w:rFonts w:cs="Times New Roman"/>
          <w:bCs/>
          <w:color w:val="000000"/>
          <w:sz w:val="24"/>
          <w:szCs w:val="24"/>
          <w:lang w:val="en-US"/>
        </w:rPr>
        <w:t xml:space="preserve"> according to pretreatment parameters should be </w:t>
      </w:r>
      <w:r w:rsidR="00A85EFA" w:rsidRPr="007F560B">
        <w:rPr>
          <w:rFonts w:cs="Times New Roman"/>
          <w:bCs/>
          <w:color w:val="000000"/>
          <w:sz w:val="24"/>
          <w:szCs w:val="24"/>
          <w:lang w:val="en-US"/>
        </w:rPr>
        <w:t>established</w:t>
      </w:r>
      <w:r w:rsidRPr="007F560B">
        <w:rPr>
          <w:rFonts w:cs="Times New Roman"/>
          <w:bCs/>
          <w:color w:val="000000"/>
          <w:sz w:val="24"/>
          <w:szCs w:val="24"/>
          <w:lang w:val="en-US"/>
        </w:rPr>
        <w:t xml:space="preserve"> to identify patients with the highest chance of response. However, there is currently no ideal pre-treatment predictor of VR.</w:t>
      </w:r>
    </w:p>
    <w:p w14:paraId="52216435" w14:textId="014D8139" w:rsidR="00A50D4C" w:rsidRPr="007F560B" w:rsidRDefault="00A8261B" w:rsidP="007F560B">
      <w:pPr>
        <w:snapToGrid w:val="0"/>
        <w:spacing w:line="360" w:lineRule="auto"/>
        <w:ind w:firstLineChars="100" w:firstLine="240"/>
        <w:jc w:val="both"/>
        <w:rPr>
          <w:rFonts w:cs="Times New Roman"/>
          <w:bCs/>
          <w:color w:val="000000"/>
          <w:sz w:val="24"/>
          <w:szCs w:val="24"/>
          <w:lang w:val="en-US"/>
        </w:rPr>
      </w:pPr>
      <w:r w:rsidRPr="007F560B">
        <w:rPr>
          <w:rFonts w:cs="Times New Roman"/>
          <w:bCs/>
          <w:color w:val="000000"/>
          <w:sz w:val="24"/>
          <w:szCs w:val="24"/>
          <w:lang w:val="en-US"/>
        </w:rPr>
        <w:t>In our study, the serum levels of cytokines changed in the CHB patients during PEG-IFN therapy</w:t>
      </w:r>
      <w:r w:rsidR="00DB5413">
        <w:rPr>
          <w:rFonts w:cs="Times New Roman"/>
          <w:bCs/>
          <w:color w:val="000000"/>
          <w:sz w:val="24"/>
          <w:szCs w:val="24"/>
          <w:lang w:val="en-US"/>
        </w:rPr>
        <w:t>,</w:t>
      </w:r>
      <w:r w:rsidRPr="007F560B">
        <w:rPr>
          <w:rFonts w:cs="Times New Roman"/>
          <w:bCs/>
          <w:color w:val="000000"/>
          <w:sz w:val="24"/>
          <w:szCs w:val="24"/>
          <w:lang w:val="en-US"/>
        </w:rPr>
        <w:t xml:space="preserve"> and</w:t>
      </w:r>
      <w:r w:rsidR="00DB5413">
        <w:rPr>
          <w:rFonts w:cs="Times New Roman"/>
          <w:bCs/>
          <w:color w:val="000000"/>
          <w:sz w:val="24"/>
          <w:szCs w:val="24"/>
          <w:lang w:val="en-US"/>
        </w:rPr>
        <w:t xml:space="preserve"> </w:t>
      </w:r>
      <w:r w:rsidRPr="007F560B">
        <w:rPr>
          <w:rFonts w:cs="Times New Roman"/>
          <w:bCs/>
          <w:color w:val="000000"/>
          <w:sz w:val="24"/>
          <w:szCs w:val="24"/>
          <w:lang w:val="en-US"/>
        </w:rPr>
        <w:t xml:space="preserve">the baseline </w:t>
      </w:r>
      <w:r w:rsidRPr="007F560B">
        <w:rPr>
          <w:rFonts w:eastAsia="TimesNewRoman" w:cs="TimesNewRoman"/>
          <w:sz w:val="24"/>
          <w:szCs w:val="24"/>
          <w:lang w:val="en-US"/>
        </w:rPr>
        <w:t xml:space="preserve">TARC, </w:t>
      </w:r>
      <w:r w:rsidR="00427671" w:rsidRPr="007F560B">
        <w:rPr>
          <w:rFonts w:eastAsia="TimesNewRoman" w:cs="TimesNewRoman"/>
          <w:sz w:val="24"/>
          <w:szCs w:val="24"/>
          <w:lang w:val="en-US"/>
        </w:rPr>
        <w:t>MIP-1d</w:t>
      </w:r>
      <w:r w:rsidRPr="007F560B">
        <w:rPr>
          <w:rFonts w:eastAsia="TimesNewRoman" w:cs="TimesNewRoman"/>
          <w:sz w:val="24"/>
          <w:szCs w:val="24"/>
          <w:lang w:val="en-US"/>
        </w:rPr>
        <w:t>, CXCL9, CXCL6</w:t>
      </w:r>
      <w:r w:rsidR="00DB5413">
        <w:rPr>
          <w:rFonts w:eastAsia="TimesNewRoman" w:cs="TimesNewRoman"/>
          <w:sz w:val="24"/>
          <w:szCs w:val="24"/>
          <w:lang w:val="en-US"/>
        </w:rPr>
        <w:t>,</w:t>
      </w:r>
      <w:r w:rsidRPr="007F560B">
        <w:rPr>
          <w:rFonts w:eastAsia="TimesNewRoman" w:cs="TimesNewRoman"/>
          <w:sz w:val="24"/>
          <w:szCs w:val="24"/>
          <w:lang w:val="en-US"/>
        </w:rPr>
        <w:t xml:space="preserve"> and IP10</w:t>
      </w:r>
      <w:r w:rsidRPr="007F560B">
        <w:rPr>
          <w:rFonts w:cs="Times New Roman"/>
          <w:bCs/>
          <w:color w:val="000000"/>
          <w:sz w:val="24"/>
          <w:szCs w:val="24"/>
          <w:lang w:val="en-US"/>
        </w:rPr>
        <w:t xml:space="preserve"> levels </w:t>
      </w:r>
      <w:r w:rsidR="00DB5413">
        <w:rPr>
          <w:rFonts w:cs="Times New Roman"/>
          <w:bCs/>
          <w:color w:val="000000"/>
          <w:sz w:val="24"/>
          <w:szCs w:val="24"/>
          <w:lang w:val="en-US"/>
        </w:rPr>
        <w:t xml:space="preserve">were </w:t>
      </w:r>
      <w:r w:rsidRPr="007F560B">
        <w:rPr>
          <w:rFonts w:cs="Times New Roman"/>
          <w:bCs/>
          <w:color w:val="000000"/>
          <w:sz w:val="24"/>
          <w:szCs w:val="24"/>
          <w:lang w:val="en-US"/>
        </w:rPr>
        <w:t xml:space="preserve">strongly correlated with </w:t>
      </w:r>
      <w:r w:rsidR="00E96D09" w:rsidRPr="007F560B">
        <w:rPr>
          <w:rFonts w:cs="Times New Roman"/>
          <w:bCs/>
          <w:color w:val="000000"/>
          <w:sz w:val="24"/>
          <w:szCs w:val="24"/>
          <w:lang w:val="en-US"/>
        </w:rPr>
        <w:t xml:space="preserve">the </w:t>
      </w:r>
      <w:proofErr w:type="spellStart"/>
      <w:r w:rsidR="00E96D09" w:rsidRPr="007F560B">
        <w:rPr>
          <w:rFonts w:cs="Times New Roman"/>
          <w:bCs/>
          <w:color w:val="000000"/>
          <w:sz w:val="24"/>
          <w:szCs w:val="24"/>
          <w:lang w:val="en-US"/>
        </w:rPr>
        <w:t>virological</w:t>
      </w:r>
      <w:proofErr w:type="spellEnd"/>
      <w:r w:rsidR="00E96D09" w:rsidRPr="007F560B">
        <w:rPr>
          <w:rFonts w:cs="Times New Roman"/>
          <w:bCs/>
          <w:color w:val="000000"/>
          <w:sz w:val="24"/>
          <w:szCs w:val="24"/>
          <w:lang w:val="en-US"/>
        </w:rPr>
        <w:t xml:space="preserve"> response </w:t>
      </w:r>
      <w:r w:rsidRPr="007F560B">
        <w:rPr>
          <w:rFonts w:cs="Times New Roman"/>
          <w:bCs/>
          <w:color w:val="000000"/>
          <w:sz w:val="24"/>
          <w:szCs w:val="24"/>
          <w:lang w:val="en-US"/>
        </w:rPr>
        <w:t xml:space="preserve">in patients with CHB. Among these cytokines, high baseline levels of </w:t>
      </w:r>
      <w:r w:rsidR="00427671" w:rsidRPr="007F560B">
        <w:rPr>
          <w:rFonts w:cs="Times New Roman"/>
          <w:bCs/>
          <w:color w:val="000000"/>
          <w:sz w:val="24"/>
          <w:szCs w:val="24"/>
          <w:lang w:val="en-US"/>
        </w:rPr>
        <w:t>MIP-1d</w:t>
      </w:r>
      <w:r w:rsidRPr="007F560B">
        <w:rPr>
          <w:rFonts w:cs="Times New Roman"/>
          <w:bCs/>
          <w:color w:val="000000"/>
          <w:sz w:val="24"/>
          <w:szCs w:val="24"/>
          <w:lang w:val="en-US"/>
        </w:rPr>
        <w:t>, CXCL9</w:t>
      </w:r>
      <w:r w:rsidR="00DB5413">
        <w:rPr>
          <w:rFonts w:cs="Times New Roman"/>
          <w:bCs/>
          <w:color w:val="000000"/>
          <w:sz w:val="24"/>
          <w:szCs w:val="24"/>
          <w:lang w:val="en-US"/>
        </w:rPr>
        <w:t>,</w:t>
      </w:r>
      <w:r w:rsidRPr="007F560B">
        <w:rPr>
          <w:rFonts w:cs="Times New Roman"/>
          <w:bCs/>
          <w:color w:val="000000"/>
          <w:sz w:val="24"/>
          <w:szCs w:val="24"/>
          <w:lang w:val="en-US"/>
        </w:rPr>
        <w:t xml:space="preserve"> and IP10 had better prediction of the </w:t>
      </w:r>
      <w:proofErr w:type="spellStart"/>
      <w:r w:rsidR="00A91A3D" w:rsidRPr="007F560B">
        <w:rPr>
          <w:rFonts w:cs="Times New Roman"/>
          <w:bCs/>
          <w:color w:val="000000"/>
          <w:sz w:val="24"/>
          <w:szCs w:val="24"/>
          <w:lang w:val="en-US"/>
        </w:rPr>
        <w:t>virological</w:t>
      </w:r>
      <w:proofErr w:type="spellEnd"/>
      <w:r w:rsidRPr="007F560B">
        <w:rPr>
          <w:rFonts w:cs="Times New Roman"/>
          <w:bCs/>
          <w:color w:val="000000"/>
          <w:sz w:val="24"/>
          <w:szCs w:val="24"/>
          <w:lang w:val="en-US"/>
        </w:rPr>
        <w:t xml:space="preserve"> response to interferon therapy. CXCL6, CXCL9</w:t>
      </w:r>
      <w:r w:rsidR="00E96D09">
        <w:rPr>
          <w:rFonts w:cs="Times New Roman"/>
          <w:bCs/>
          <w:color w:val="000000"/>
          <w:sz w:val="24"/>
          <w:szCs w:val="24"/>
          <w:lang w:val="en-US"/>
        </w:rPr>
        <w:t>,</w:t>
      </w:r>
      <w:r w:rsidRPr="007F560B">
        <w:rPr>
          <w:rFonts w:cs="Times New Roman"/>
          <w:bCs/>
          <w:color w:val="000000"/>
          <w:sz w:val="24"/>
          <w:szCs w:val="24"/>
          <w:lang w:val="en-US"/>
        </w:rPr>
        <w:t xml:space="preserve"> and IP10 are all members of the chemokine </w:t>
      </w:r>
      <w:r w:rsidRPr="007F560B">
        <w:rPr>
          <w:rFonts w:cs="TimesNewRoman"/>
          <w:sz w:val="24"/>
          <w:szCs w:val="24"/>
          <w:lang w:val="en-US"/>
        </w:rPr>
        <w:t>ELR-CXC</w:t>
      </w:r>
      <w:r w:rsidRPr="007F560B">
        <w:rPr>
          <w:rFonts w:cs="Times New Roman"/>
          <w:bCs/>
          <w:color w:val="000000"/>
          <w:sz w:val="24"/>
          <w:szCs w:val="24"/>
          <w:lang w:val="en-US"/>
        </w:rPr>
        <w:t xml:space="preserve"> subfamily, in which CXCL9 and IP10 can be induced by IFN-</w:t>
      </w:r>
      <w:r w:rsidRPr="007F560B">
        <w:rPr>
          <w:rFonts w:cs="Times New Roman"/>
          <w:bCs/>
          <w:color w:val="000000"/>
          <w:sz w:val="24"/>
          <w:szCs w:val="24"/>
        </w:rPr>
        <w:t>γ</w:t>
      </w:r>
      <w:r w:rsidR="001F211E" w:rsidRPr="007F560B">
        <w:rPr>
          <w:rFonts w:cs="Times New Roman"/>
          <w:noProof/>
          <w:color w:val="000000"/>
          <w:sz w:val="24"/>
          <w:szCs w:val="24"/>
          <w:vertAlign w:val="superscript"/>
          <w:lang w:val="en-US"/>
        </w:rPr>
        <w:t>[12,</w:t>
      </w:r>
      <w:r w:rsidR="00E76101" w:rsidRPr="007F560B">
        <w:rPr>
          <w:rFonts w:cs="Times New Roman"/>
          <w:noProof/>
          <w:color w:val="000000"/>
          <w:sz w:val="24"/>
          <w:szCs w:val="24"/>
          <w:vertAlign w:val="superscript"/>
          <w:lang w:val="en-US"/>
        </w:rPr>
        <w:t>24]</w:t>
      </w:r>
      <w:r w:rsidRPr="007F560B">
        <w:rPr>
          <w:rFonts w:eastAsiaTheme="minorEastAsia" w:cs="Times New Roman"/>
          <w:color w:val="000000"/>
          <w:sz w:val="24"/>
          <w:szCs w:val="24"/>
          <w:lang w:val="en-US"/>
        </w:rPr>
        <w:t xml:space="preserve">. </w:t>
      </w:r>
      <w:r w:rsidRPr="007F560B">
        <w:rPr>
          <w:rFonts w:cs="Times New Roman"/>
          <w:bCs/>
          <w:color w:val="000000"/>
          <w:sz w:val="24"/>
          <w:szCs w:val="24"/>
          <w:lang w:val="en-US"/>
        </w:rPr>
        <w:t xml:space="preserve">These three cytokines are secreted by mononuclear/macrophage T lymphocytes, B lymphocytes, hepatocytes, fibroblasts, </w:t>
      </w:r>
      <w:r w:rsidRPr="007F560B">
        <w:rPr>
          <w:rFonts w:cs="Times New Roman"/>
          <w:bCs/>
          <w:i/>
          <w:color w:val="000000"/>
          <w:sz w:val="24"/>
          <w:szCs w:val="24"/>
          <w:lang w:val="en-US"/>
        </w:rPr>
        <w:t>etc</w:t>
      </w:r>
      <w:r w:rsidRPr="007F560B">
        <w:rPr>
          <w:rFonts w:cs="Times New Roman"/>
          <w:bCs/>
          <w:color w:val="000000"/>
          <w:sz w:val="24"/>
          <w:szCs w:val="24"/>
          <w:lang w:val="en-US"/>
        </w:rPr>
        <w:t xml:space="preserve">. CXCL9 and IP10 bind to their co-receptor CXCR3, activate T cells, NK cells, </w:t>
      </w:r>
      <w:proofErr w:type="spellStart"/>
      <w:r w:rsidRPr="007F560B">
        <w:rPr>
          <w:rFonts w:cs="Times New Roman"/>
          <w:bCs/>
          <w:i/>
          <w:color w:val="000000"/>
          <w:sz w:val="24"/>
          <w:szCs w:val="24"/>
          <w:lang w:val="en-US"/>
        </w:rPr>
        <w:t>etc</w:t>
      </w:r>
      <w:proofErr w:type="spellEnd"/>
      <w:r w:rsidRPr="007F560B">
        <w:rPr>
          <w:rFonts w:cs="Times New Roman"/>
          <w:bCs/>
          <w:color w:val="000000"/>
          <w:sz w:val="24"/>
          <w:szCs w:val="24"/>
          <w:lang w:val="en-US"/>
        </w:rPr>
        <w:t xml:space="preserve">, and exert antiviral </w:t>
      </w:r>
      <w:proofErr w:type="gramStart"/>
      <w:r w:rsidRPr="007F560B">
        <w:rPr>
          <w:rFonts w:cs="Times New Roman"/>
          <w:bCs/>
          <w:color w:val="000000"/>
          <w:sz w:val="24"/>
          <w:szCs w:val="24"/>
          <w:lang w:val="en-US"/>
        </w:rPr>
        <w:t>effects</w:t>
      </w:r>
      <w:r w:rsidR="001F211E" w:rsidRPr="007F560B">
        <w:rPr>
          <w:rFonts w:cs="Times New Roman"/>
          <w:noProof/>
          <w:color w:val="000000"/>
          <w:sz w:val="24"/>
          <w:szCs w:val="24"/>
          <w:vertAlign w:val="superscript"/>
          <w:lang w:val="en-US"/>
        </w:rPr>
        <w:t>[</w:t>
      </w:r>
      <w:proofErr w:type="gramEnd"/>
      <w:r w:rsidR="001F211E" w:rsidRPr="007F560B">
        <w:rPr>
          <w:rFonts w:cs="Times New Roman"/>
          <w:noProof/>
          <w:color w:val="000000"/>
          <w:sz w:val="24"/>
          <w:szCs w:val="24"/>
          <w:vertAlign w:val="superscript"/>
          <w:lang w:val="en-US"/>
        </w:rPr>
        <w:t>12,</w:t>
      </w:r>
      <w:r w:rsidR="00E76101" w:rsidRPr="007F560B">
        <w:rPr>
          <w:rFonts w:cs="Times New Roman"/>
          <w:noProof/>
          <w:color w:val="000000"/>
          <w:sz w:val="24"/>
          <w:szCs w:val="24"/>
          <w:vertAlign w:val="superscript"/>
          <w:lang w:val="en-US"/>
        </w:rPr>
        <w:t>25-27]</w:t>
      </w:r>
      <w:r w:rsidRPr="007F560B">
        <w:rPr>
          <w:rFonts w:cs="Times New Roman"/>
          <w:color w:val="000000"/>
          <w:sz w:val="24"/>
          <w:szCs w:val="24"/>
          <w:lang w:val="en-US"/>
        </w:rPr>
        <w:t>.</w:t>
      </w:r>
      <w:r w:rsidR="007C07DF" w:rsidRPr="00EB4833">
        <w:rPr>
          <w:lang w:val="en-US"/>
        </w:rPr>
        <w:t xml:space="preserve"> </w:t>
      </w:r>
      <w:proofErr w:type="spellStart"/>
      <w:r w:rsidR="007C07DF" w:rsidRPr="007C07DF">
        <w:rPr>
          <w:rFonts w:cs="Times New Roman"/>
          <w:color w:val="000000"/>
          <w:sz w:val="24"/>
          <w:szCs w:val="24"/>
          <w:lang w:val="en-US"/>
        </w:rPr>
        <w:t>Bièche</w:t>
      </w:r>
      <w:proofErr w:type="spellEnd"/>
      <w:r w:rsidRPr="007F560B">
        <w:rPr>
          <w:rFonts w:cs="Times New Roman"/>
          <w:color w:val="000000"/>
          <w:sz w:val="24"/>
          <w:szCs w:val="24"/>
          <w:lang w:val="en-US"/>
        </w:rPr>
        <w:t xml:space="preserve"> </w:t>
      </w:r>
      <w:r w:rsidRPr="007F560B">
        <w:rPr>
          <w:rFonts w:cs="Times New Roman"/>
          <w:bCs/>
          <w:i/>
          <w:color w:val="000000"/>
          <w:sz w:val="24"/>
          <w:szCs w:val="24"/>
          <w:lang w:val="en-US"/>
        </w:rPr>
        <w:t xml:space="preserve">et </w:t>
      </w:r>
      <w:proofErr w:type="gramStart"/>
      <w:r w:rsidRPr="007F560B">
        <w:rPr>
          <w:rFonts w:cs="Times New Roman"/>
          <w:bCs/>
          <w:i/>
          <w:color w:val="000000"/>
          <w:sz w:val="24"/>
          <w:szCs w:val="24"/>
          <w:lang w:val="en-US"/>
        </w:rPr>
        <w:t>al</w:t>
      </w:r>
      <w:r w:rsidR="001F211E" w:rsidRPr="007F560B">
        <w:rPr>
          <w:rFonts w:cs="Times New Roman"/>
          <w:bCs/>
          <w:color w:val="000000"/>
          <w:sz w:val="24"/>
          <w:szCs w:val="24"/>
          <w:vertAlign w:val="superscript"/>
          <w:lang w:val="en-US"/>
        </w:rPr>
        <w:t>[</w:t>
      </w:r>
      <w:proofErr w:type="gramEnd"/>
      <w:r w:rsidR="001F211E" w:rsidRPr="007F560B">
        <w:rPr>
          <w:rFonts w:cs="Times New Roman"/>
          <w:bCs/>
          <w:color w:val="000000"/>
          <w:sz w:val="24"/>
          <w:szCs w:val="24"/>
          <w:vertAlign w:val="superscript"/>
          <w:lang w:val="en-US"/>
        </w:rPr>
        <w:t>28]</w:t>
      </w:r>
      <w:r w:rsidRPr="007F560B">
        <w:rPr>
          <w:rFonts w:cs="Times New Roman"/>
          <w:bCs/>
          <w:color w:val="000000"/>
          <w:sz w:val="24"/>
          <w:szCs w:val="24"/>
          <w:lang w:val="en-US"/>
        </w:rPr>
        <w:t xml:space="preserve"> reported that CXCL9 and IP-10 were significantly increased in the serum of patients with </w:t>
      </w:r>
      <w:r w:rsidR="004912CB">
        <w:rPr>
          <w:rFonts w:cs="Times New Roman"/>
          <w:bCs/>
          <w:color w:val="000000"/>
          <w:sz w:val="24"/>
          <w:szCs w:val="24"/>
          <w:lang w:val="en-US"/>
        </w:rPr>
        <w:t>CHB</w:t>
      </w:r>
      <w:r w:rsidR="00E76101" w:rsidRPr="007F560B">
        <w:rPr>
          <w:rFonts w:cs="Times New Roman"/>
          <w:noProof/>
          <w:color w:val="000000"/>
          <w:sz w:val="24"/>
          <w:szCs w:val="24"/>
          <w:vertAlign w:val="superscript"/>
          <w:lang w:val="en-US"/>
        </w:rPr>
        <w:t>[28]</w:t>
      </w:r>
      <w:r w:rsidRPr="007F560B">
        <w:rPr>
          <w:rFonts w:cs="Times New Roman"/>
          <w:color w:val="000000"/>
          <w:sz w:val="24"/>
          <w:szCs w:val="24"/>
          <w:lang w:val="en-US"/>
        </w:rPr>
        <w:t xml:space="preserve">. </w:t>
      </w:r>
      <w:r w:rsidR="004912CB">
        <w:rPr>
          <w:rFonts w:cs="Times New Roman"/>
          <w:bCs/>
          <w:color w:val="000000"/>
          <w:sz w:val="24"/>
          <w:szCs w:val="24"/>
          <w:lang w:val="en-US"/>
        </w:rPr>
        <w:t>A</w:t>
      </w:r>
      <w:r w:rsidR="004912CB" w:rsidRPr="007F560B">
        <w:rPr>
          <w:rFonts w:cs="Times New Roman"/>
          <w:bCs/>
          <w:color w:val="000000"/>
          <w:sz w:val="24"/>
          <w:szCs w:val="24"/>
          <w:lang w:val="en-US"/>
        </w:rPr>
        <w:t xml:space="preserve"> </w:t>
      </w:r>
      <w:r w:rsidRPr="007F560B">
        <w:rPr>
          <w:rFonts w:cs="Times New Roman"/>
          <w:bCs/>
          <w:color w:val="000000"/>
          <w:sz w:val="24"/>
          <w:szCs w:val="24"/>
          <w:lang w:val="en-US"/>
        </w:rPr>
        <w:t>study found a high correlation between high baseline levels of IP10 and</w:t>
      </w:r>
      <w:r w:rsidR="004912CB">
        <w:rPr>
          <w:rFonts w:cs="Times New Roman"/>
          <w:bCs/>
          <w:color w:val="000000"/>
          <w:sz w:val="24"/>
          <w:szCs w:val="24"/>
          <w:lang w:val="en-US"/>
        </w:rPr>
        <w:t xml:space="preserve"> </w:t>
      </w:r>
      <w:r w:rsidR="0097043F">
        <w:rPr>
          <w:rFonts w:cs="Times New Roman"/>
          <w:bCs/>
          <w:color w:val="000000"/>
          <w:sz w:val="24"/>
          <w:szCs w:val="24"/>
          <w:lang w:val="en-US"/>
        </w:rPr>
        <w:t xml:space="preserve">hepatitis </w:t>
      </w:r>
      <w:r w:rsidR="00E27E20">
        <w:rPr>
          <w:rFonts w:cs="Times New Roman"/>
          <w:bCs/>
          <w:color w:val="000000"/>
          <w:sz w:val="24"/>
          <w:szCs w:val="24"/>
          <w:lang w:val="en-US"/>
        </w:rPr>
        <w:t>C</w:t>
      </w:r>
      <w:r w:rsidR="0097043F">
        <w:rPr>
          <w:rFonts w:cs="Times New Roman"/>
          <w:bCs/>
          <w:color w:val="000000"/>
          <w:sz w:val="24"/>
          <w:szCs w:val="24"/>
          <w:lang w:val="en-US"/>
        </w:rPr>
        <w:t xml:space="preserve"> virus (</w:t>
      </w:r>
      <w:r w:rsidRPr="007F560B">
        <w:rPr>
          <w:rFonts w:cs="Times New Roman"/>
          <w:bCs/>
          <w:color w:val="000000"/>
          <w:sz w:val="24"/>
          <w:szCs w:val="24"/>
          <w:lang w:val="en-US"/>
        </w:rPr>
        <w:t>HCV</w:t>
      </w:r>
      <w:r w:rsidR="0097043F">
        <w:rPr>
          <w:rFonts w:cs="Times New Roman"/>
          <w:bCs/>
          <w:color w:val="000000"/>
          <w:sz w:val="24"/>
          <w:szCs w:val="24"/>
          <w:lang w:val="en-US"/>
        </w:rPr>
        <w:t>)</w:t>
      </w:r>
      <w:r w:rsidR="004912CB">
        <w:rPr>
          <w:rFonts w:cs="Times New Roman"/>
          <w:bCs/>
          <w:color w:val="000000"/>
          <w:sz w:val="24"/>
          <w:szCs w:val="24"/>
          <w:lang w:val="en-US"/>
        </w:rPr>
        <w:t xml:space="preserve"> </w:t>
      </w:r>
      <w:r w:rsidRPr="007F560B">
        <w:rPr>
          <w:rFonts w:cs="Times New Roman"/>
          <w:bCs/>
          <w:color w:val="000000"/>
          <w:sz w:val="24"/>
          <w:szCs w:val="24"/>
          <w:lang w:val="en-US"/>
        </w:rPr>
        <w:t>clearance</w:t>
      </w:r>
      <w:r w:rsidR="004912CB">
        <w:rPr>
          <w:rFonts w:cs="Times New Roman"/>
          <w:bCs/>
          <w:color w:val="000000"/>
          <w:sz w:val="24"/>
          <w:szCs w:val="24"/>
          <w:lang w:val="en-US"/>
        </w:rPr>
        <w:t xml:space="preserve"> induced by</w:t>
      </w:r>
      <w:r w:rsidR="004912CB" w:rsidRPr="004912CB">
        <w:rPr>
          <w:rFonts w:cs="Times New Roman"/>
          <w:bCs/>
          <w:color w:val="000000"/>
          <w:sz w:val="24"/>
          <w:szCs w:val="24"/>
          <w:lang w:val="en-US"/>
        </w:rPr>
        <w:t xml:space="preserve"> </w:t>
      </w:r>
      <w:proofErr w:type="spellStart"/>
      <w:r w:rsidR="004912CB" w:rsidRPr="007F560B">
        <w:rPr>
          <w:rFonts w:cs="Times New Roman"/>
          <w:bCs/>
          <w:color w:val="000000"/>
          <w:sz w:val="24"/>
          <w:szCs w:val="24"/>
          <w:lang w:val="en-US"/>
        </w:rPr>
        <w:t>PegIFN</w:t>
      </w:r>
      <w:proofErr w:type="spellEnd"/>
      <w:r w:rsidR="004912CB" w:rsidRPr="007F560B">
        <w:rPr>
          <w:rFonts w:cs="Times New Roman"/>
          <w:bCs/>
          <w:color w:val="000000"/>
          <w:sz w:val="24"/>
          <w:szCs w:val="24"/>
        </w:rPr>
        <w:t>α</w:t>
      </w:r>
      <w:r w:rsidR="004912CB" w:rsidRPr="00234422">
        <w:rPr>
          <w:rFonts w:eastAsiaTheme="minorEastAsia" w:cs="Times New Roman"/>
          <w:bCs/>
          <w:color w:val="000000"/>
          <w:sz w:val="24"/>
          <w:szCs w:val="24"/>
          <w:lang w:val="en-US"/>
        </w:rPr>
        <w:t xml:space="preserve"> treatment </w:t>
      </w:r>
      <w:r w:rsidRPr="007F560B">
        <w:rPr>
          <w:rFonts w:cs="Times New Roman"/>
          <w:bCs/>
          <w:color w:val="000000"/>
          <w:sz w:val="24"/>
          <w:szCs w:val="24"/>
          <w:lang w:val="en-US"/>
        </w:rPr>
        <w:t>in HCV-infected patients</w:t>
      </w:r>
      <w:r w:rsidR="00E76101" w:rsidRPr="007F560B">
        <w:rPr>
          <w:rFonts w:cs="Times New Roman"/>
          <w:noProof/>
          <w:color w:val="000000"/>
          <w:sz w:val="24"/>
          <w:szCs w:val="24"/>
          <w:vertAlign w:val="superscript"/>
          <w:lang w:val="en-US"/>
        </w:rPr>
        <w:t>[29]</w:t>
      </w:r>
      <w:r w:rsidRPr="007F560B">
        <w:rPr>
          <w:rFonts w:cs="Times New Roman"/>
          <w:color w:val="000000"/>
          <w:sz w:val="24"/>
          <w:szCs w:val="24"/>
          <w:lang w:val="en-US"/>
        </w:rPr>
        <w:t xml:space="preserve">. </w:t>
      </w:r>
      <w:r w:rsidRPr="007F560B">
        <w:rPr>
          <w:rFonts w:cs="Times New Roman"/>
          <w:bCs/>
          <w:color w:val="000000"/>
          <w:sz w:val="24"/>
          <w:szCs w:val="24"/>
          <w:lang w:val="en-US"/>
        </w:rPr>
        <w:t>The baseline levels of CXCL9 and IP10 were significantly higher in the response group than</w:t>
      </w:r>
      <w:r w:rsidR="0097043F">
        <w:rPr>
          <w:rFonts w:cs="Times New Roman"/>
          <w:bCs/>
          <w:color w:val="000000"/>
          <w:sz w:val="24"/>
          <w:szCs w:val="24"/>
          <w:lang w:val="en-US"/>
        </w:rPr>
        <w:t xml:space="preserve"> </w:t>
      </w:r>
      <w:r w:rsidRPr="007F560B">
        <w:rPr>
          <w:rFonts w:cs="Times New Roman"/>
          <w:bCs/>
          <w:color w:val="000000"/>
          <w:sz w:val="24"/>
          <w:szCs w:val="24"/>
          <w:lang w:val="en-US"/>
        </w:rPr>
        <w:t>in the non-</w:t>
      </w:r>
      <w:r w:rsidR="0097043F" w:rsidRPr="007F560B">
        <w:rPr>
          <w:rFonts w:cs="Times New Roman"/>
          <w:bCs/>
          <w:color w:val="000000"/>
          <w:sz w:val="24"/>
          <w:szCs w:val="24"/>
          <w:lang w:val="en-US"/>
        </w:rPr>
        <w:t>respon</w:t>
      </w:r>
      <w:r w:rsidR="0097043F">
        <w:rPr>
          <w:rFonts w:cs="Times New Roman"/>
          <w:bCs/>
          <w:color w:val="000000"/>
          <w:sz w:val="24"/>
          <w:szCs w:val="24"/>
          <w:lang w:val="en-US"/>
        </w:rPr>
        <w:t>se</w:t>
      </w:r>
      <w:r w:rsidR="0097043F" w:rsidRPr="007F560B">
        <w:rPr>
          <w:rFonts w:cs="Times New Roman"/>
          <w:bCs/>
          <w:color w:val="000000"/>
          <w:sz w:val="24"/>
          <w:szCs w:val="24"/>
          <w:lang w:val="en-US"/>
        </w:rPr>
        <w:t xml:space="preserve"> </w:t>
      </w:r>
      <w:r w:rsidRPr="007F560B">
        <w:rPr>
          <w:rFonts w:cs="Times New Roman"/>
          <w:bCs/>
          <w:color w:val="000000"/>
          <w:sz w:val="24"/>
          <w:szCs w:val="24"/>
          <w:lang w:val="en-US"/>
        </w:rPr>
        <w:t>group; however, there was a significant decrease in</w:t>
      </w:r>
      <w:r w:rsidR="001F211E" w:rsidRPr="007F560B">
        <w:rPr>
          <w:rFonts w:cs="Times New Roman"/>
          <w:bCs/>
          <w:color w:val="000000"/>
          <w:sz w:val="24"/>
          <w:szCs w:val="24"/>
          <w:lang w:val="en-US"/>
        </w:rPr>
        <w:t xml:space="preserve"> the response group after 24 </w:t>
      </w:r>
      <w:proofErr w:type="spellStart"/>
      <w:r w:rsidR="001F211E" w:rsidRPr="007F560B">
        <w:rPr>
          <w:rFonts w:cs="Times New Roman"/>
          <w:bCs/>
          <w:color w:val="000000"/>
          <w:sz w:val="24"/>
          <w:szCs w:val="24"/>
          <w:lang w:val="en-US"/>
        </w:rPr>
        <w:t>wk</w:t>
      </w:r>
      <w:proofErr w:type="spellEnd"/>
      <w:r w:rsidRPr="007F560B">
        <w:rPr>
          <w:rFonts w:cs="Times New Roman"/>
          <w:bCs/>
          <w:color w:val="000000"/>
          <w:sz w:val="24"/>
          <w:szCs w:val="24"/>
          <w:lang w:val="en-US"/>
        </w:rPr>
        <w:t xml:space="preserve"> of treatment, and there was no significant difference in the non-</w:t>
      </w:r>
      <w:r w:rsidR="0097043F" w:rsidRPr="007F560B">
        <w:rPr>
          <w:rFonts w:cs="Times New Roman"/>
          <w:bCs/>
          <w:color w:val="000000"/>
          <w:sz w:val="24"/>
          <w:szCs w:val="24"/>
          <w:lang w:val="en-US"/>
        </w:rPr>
        <w:t>respon</w:t>
      </w:r>
      <w:r w:rsidR="0097043F">
        <w:rPr>
          <w:rFonts w:cs="Times New Roman"/>
          <w:bCs/>
          <w:color w:val="000000"/>
          <w:sz w:val="24"/>
          <w:szCs w:val="24"/>
          <w:lang w:val="en-US"/>
        </w:rPr>
        <w:t>se</w:t>
      </w:r>
      <w:r w:rsidR="0097043F" w:rsidRPr="007F560B">
        <w:rPr>
          <w:rFonts w:cs="Times New Roman"/>
          <w:bCs/>
          <w:color w:val="000000"/>
          <w:sz w:val="24"/>
          <w:szCs w:val="24"/>
          <w:lang w:val="en-US"/>
        </w:rPr>
        <w:t xml:space="preserve"> </w:t>
      </w:r>
      <w:r w:rsidRPr="007F560B">
        <w:rPr>
          <w:rFonts w:cs="Times New Roman"/>
          <w:bCs/>
          <w:color w:val="000000"/>
          <w:sz w:val="24"/>
          <w:szCs w:val="24"/>
          <w:lang w:val="en-US"/>
        </w:rPr>
        <w:t>group before and after treatment. Studies have indicated that CXCL9 and IP10 mRNA</w:t>
      </w:r>
      <w:r w:rsidR="0097043F">
        <w:rPr>
          <w:rFonts w:cs="Times New Roman"/>
          <w:bCs/>
          <w:color w:val="000000"/>
          <w:sz w:val="24"/>
          <w:szCs w:val="24"/>
          <w:lang w:val="en-US"/>
        </w:rPr>
        <w:t>s</w:t>
      </w:r>
      <w:r w:rsidRPr="007F560B">
        <w:rPr>
          <w:rFonts w:cs="Times New Roman"/>
          <w:bCs/>
          <w:color w:val="000000"/>
          <w:sz w:val="24"/>
          <w:szCs w:val="24"/>
          <w:lang w:val="en-US"/>
        </w:rPr>
        <w:t xml:space="preserve"> were significantly decreased in peripheral blood mononuclear cells of </w:t>
      </w:r>
      <w:r w:rsidR="00432C1E">
        <w:rPr>
          <w:rFonts w:cs="Times New Roman"/>
          <w:bCs/>
          <w:color w:val="000000"/>
          <w:sz w:val="24"/>
          <w:szCs w:val="24"/>
          <w:lang w:val="en-US"/>
        </w:rPr>
        <w:t>CHB</w:t>
      </w:r>
      <w:r w:rsidR="001F211E" w:rsidRPr="007F560B">
        <w:rPr>
          <w:rFonts w:cs="Times New Roman"/>
          <w:bCs/>
          <w:color w:val="000000"/>
          <w:sz w:val="24"/>
          <w:szCs w:val="24"/>
          <w:lang w:val="en-US"/>
        </w:rPr>
        <w:t xml:space="preserve"> patients after 12-24 </w:t>
      </w:r>
      <w:proofErr w:type="spellStart"/>
      <w:r w:rsidR="001F211E" w:rsidRPr="007F560B">
        <w:rPr>
          <w:rFonts w:cs="Times New Roman"/>
          <w:bCs/>
          <w:color w:val="000000"/>
          <w:sz w:val="24"/>
          <w:szCs w:val="24"/>
          <w:lang w:val="en-US"/>
        </w:rPr>
        <w:t>wk</w:t>
      </w:r>
      <w:proofErr w:type="spellEnd"/>
      <w:r w:rsidRPr="007F560B">
        <w:rPr>
          <w:rFonts w:cs="Times New Roman"/>
          <w:bCs/>
          <w:color w:val="000000"/>
          <w:sz w:val="24"/>
          <w:szCs w:val="24"/>
          <w:lang w:val="en-US"/>
        </w:rPr>
        <w:t xml:space="preserve"> of </w:t>
      </w:r>
      <w:proofErr w:type="spellStart"/>
      <w:r w:rsidRPr="007F560B">
        <w:rPr>
          <w:rFonts w:cs="Times New Roman"/>
          <w:bCs/>
          <w:color w:val="000000"/>
          <w:sz w:val="24"/>
          <w:szCs w:val="24"/>
          <w:lang w:val="en-US"/>
        </w:rPr>
        <w:t>PegIFN</w:t>
      </w:r>
      <w:proofErr w:type="spellEnd"/>
      <w:r w:rsidRPr="007F560B">
        <w:rPr>
          <w:rFonts w:cs="Times New Roman"/>
          <w:bCs/>
          <w:color w:val="000000"/>
          <w:sz w:val="24"/>
          <w:szCs w:val="24"/>
        </w:rPr>
        <w:t>α</w:t>
      </w:r>
      <w:r w:rsidRPr="007F560B">
        <w:rPr>
          <w:rFonts w:cs="Times New Roman"/>
          <w:bCs/>
          <w:color w:val="000000"/>
          <w:sz w:val="24"/>
          <w:szCs w:val="24"/>
          <w:lang w:val="en-US"/>
        </w:rPr>
        <w:t xml:space="preserve"> treatment, which was similar to the findings in patients with chronic hepatitis C infection</w:t>
      </w:r>
      <w:r w:rsidR="00E76101" w:rsidRPr="007F560B">
        <w:rPr>
          <w:rFonts w:cs="Times New Roman"/>
          <w:noProof/>
          <w:color w:val="000000"/>
          <w:sz w:val="24"/>
          <w:szCs w:val="24"/>
          <w:vertAlign w:val="superscript"/>
          <w:lang w:val="en-US"/>
        </w:rPr>
        <w:t>[30-32]</w:t>
      </w:r>
      <w:r w:rsidRPr="007F560B">
        <w:rPr>
          <w:rFonts w:cs="Times New Roman"/>
          <w:color w:val="000000"/>
          <w:sz w:val="24"/>
          <w:szCs w:val="24"/>
          <w:lang w:val="en-US"/>
        </w:rPr>
        <w:t xml:space="preserve">. </w:t>
      </w:r>
      <w:r w:rsidRPr="007F560B">
        <w:rPr>
          <w:rFonts w:cs="Times New Roman"/>
          <w:bCs/>
          <w:color w:val="000000"/>
          <w:sz w:val="24"/>
          <w:szCs w:val="24"/>
          <w:lang w:val="en-US"/>
        </w:rPr>
        <w:t xml:space="preserve">According to our study and reports in the literature, the serum levels of CXCL9 and IP10 and the mRNA levels of CXCL9 and IP10 in peripheral blood mononuclear cells decreased in </w:t>
      </w:r>
      <w:r w:rsidRPr="007F560B">
        <w:rPr>
          <w:rFonts w:cs="Times New Roman"/>
          <w:bCs/>
          <w:color w:val="000000"/>
          <w:sz w:val="24"/>
          <w:szCs w:val="24"/>
          <w:lang w:val="en-US"/>
        </w:rPr>
        <w:lastRenderedPageBreak/>
        <w:t>patients who responded to PEG-IFN treatment, which might reflect a reduced hepatic necro-inflammatory activity after treatment. CXCL9 and IP-10 were reported to correlate with hepatic injury during hepatic flares in CHB</w:t>
      </w:r>
      <w:r w:rsidRPr="007F560B">
        <w:rPr>
          <w:rFonts w:cs="Times New Roman"/>
          <w:color w:val="000000"/>
          <w:sz w:val="24"/>
          <w:szCs w:val="24"/>
          <w:lang w:val="en-US"/>
        </w:rPr>
        <w:t>, and a</w:t>
      </w:r>
      <w:r w:rsidRPr="007F560B">
        <w:rPr>
          <w:rFonts w:cs="Times New Roman"/>
          <w:bCs/>
          <w:color w:val="000000"/>
          <w:sz w:val="24"/>
          <w:szCs w:val="24"/>
          <w:lang w:val="en-US"/>
        </w:rPr>
        <w:t xml:space="preserve"> strong correlation of serum CXCL9 and IP-10 levels with ALT levels was also </w:t>
      </w:r>
      <w:proofErr w:type="gramStart"/>
      <w:r w:rsidRPr="007F560B">
        <w:rPr>
          <w:rFonts w:cs="Times New Roman"/>
          <w:bCs/>
          <w:color w:val="000000"/>
          <w:sz w:val="24"/>
          <w:szCs w:val="24"/>
          <w:lang w:val="en-US"/>
        </w:rPr>
        <w:t>noted</w:t>
      </w:r>
      <w:r w:rsidR="00E76101" w:rsidRPr="007F560B">
        <w:rPr>
          <w:rFonts w:cs="Times New Roman"/>
          <w:noProof/>
          <w:color w:val="000000"/>
          <w:sz w:val="24"/>
          <w:szCs w:val="24"/>
          <w:vertAlign w:val="superscript"/>
          <w:lang w:val="en-US"/>
        </w:rPr>
        <w:t>[</w:t>
      </w:r>
      <w:proofErr w:type="gramEnd"/>
      <w:r w:rsidR="00E76101" w:rsidRPr="007F560B">
        <w:rPr>
          <w:rFonts w:cs="Times New Roman"/>
          <w:noProof/>
          <w:color w:val="000000"/>
          <w:sz w:val="24"/>
          <w:szCs w:val="24"/>
          <w:vertAlign w:val="superscript"/>
          <w:lang w:val="en-US"/>
        </w:rPr>
        <w:t>33]</w:t>
      </w:r>
      <w:r w:rsidRPr="007F560B">
        <w:rPr>
          <w:rFonts w:cs="Times New Roman"/>
          <w:color w:val="000000"/>
          <w:sz w:val="24"/>
          <w:szCs w:val="24"/>
          <w:lang w:val="en-US"/>
        </w:rPr>
        <w:t>.</w:t>
      </w:r>
      <w:r w:rsidRPr="007F560B">
        <w:rPr>
          <w:rFonts w:cs="Times New Roman"/>
          <w:bCs/>
          <w:color w:val="000000"/>
          <w:sz w:val="24"/>
          <w:szCs w:val="24"/>
          <w:lang w:val="en-US"/>
        </w:rPr>
        <w:t xml:space="preserve"> Our results also showed positive correlations </w:t>
      </w:r>
      <w:r w:rsidR="00030CA9">
        <w:rPr>
          <w:rFonts w:cs="Times New Roman"/>
          <w:bCs/>
          <w:color w:val="000000"/>
          <w:sz w:val="24"/>
          <w:szCs w:val="24"/>
          <w:lang w:val="en-US"/>
        </w:rPr>
        <w:t>of</w:t>
      </w:r>
      <w:r w:rsidR="00030CA9" w:rsidRPr="007F560B">
        <w:rPr>
          <w:rFonts w:cs="Times New Roman"/>
          <w:bCs/>
          <w:color w:val="000000"/>
          <w:sz w:val="24"/>
          <w:szCs w:val="24"/>
          <w:lang w:val="en-US"/>
        </w:rPr>
        <w:t xml:space="preserve"> </w:t>
      </w:r>
      <w:r w:rsidRPr="007F560B">
        <w:rPr>
          <w:rFonts w:cs="Times New Roman"/>
          <w:bCs/>
          <w:color w:val="000000"/>
          <w:sz w:val="24"/>
          <w:szCs w:val="24"/>
          <w:lang w:val="en-US"/>
        </w:rPr>
        <w:t>CXCL6</w:t>
      </w:r>
      <w:r w:rsidR="00030CA9">
        <w:rPr>
          <w:rFonts w:cs="Times New Roman"/>
          <w:bCs/>
          <w:color w:val="000000"/>
          <w:sz w:val="24"/>
          <w:szCs w:val="24"/>
          <w:lang w:val="en-US"/>
        </w:rPr>
        <w:t xml:space="preserve"> and</w:t>
      </w:r>
      <w:r w:rsidR="00030CA9" w:rsidRPr="007F560B">
        <w:rPr>
          <w:rFonts w:cs="Times New Roman"/>
          <w:bCs/>
          <w:color w:val="000000"/>
          <w:sz w:val="24"/>
          <w:szCs w:val="24"/>
          <w:lang w:val="en-US"/>
        </w:rPr>
        <w:t xml:space="preserve"> </w:t>
      </w:r>
      <w:r w:rsidRPr="007F560B">
        <w:rPr>
          <w:rFonts w:cs="Times New Roman"/>
          <w:bCs/>
          <w:color w:val="000000"/>
          <w:sz w:val="24"/>
          <w:szCs w:val="24"/>
          <w:lang w:val="en-US"/>
        </w:rPr>
        <w:t xml:space="preserve">CXCL9 </w:t>
      </w:r>
      <w:r w:rsidR="00030CA9">
        <w:rPr>
          <w:rFonts w:cs="Times New Roman"/>
          <w:bCs/>
          <w:color w:val="000000"/>
          <w:sz w:val="24"/>
          <w:szCs w:val="24"/>
          <w:lang w:val="en-US"/>
        </w:rPr>
        <w:t>with</w:t>
      </w:r>
      <w:r w:rsidR="00030CA9" w:rsidRPr="007F560B">
        <w:rPr>
          <w:rFonts w:cs="Times New Roman"/>
          <w:bCs/>
          <w:color w:val="000000"/>
          <w:sz w:val="24"/>
          <w:szCs w:val="24"/>
          <w:lang w:val="en-US"/>
        </w:rPr>
        <w:t xml:space="preserve"> </w:t>
      </w:r>
      <w:r w:rsidRPr="007F560B">
        <w:rPr>
          <w:rFonts w:cs="Times New Roman"/>
          <w:bCs/>
          <w:color w:val="000000"/>
          <w:sz w:val="24"/>
          <w:szCs w:val="24"/>
          <w:lang w:val="en-US"/>
        </w:rPr>
        <w:t>ALT levels (</w:t>
      </w:r>
      <w:r w:rsidRPr="007F560B">
        <w:rPr>
          <w:rFonts w:cs="Times New Roman"/>
          <w:bCs/>
          <w:i/>
          <w:color w:val="000000"/>
          <w:sz w:val="24"/>
          <w:szCs w:val="24"/>
          <w:lang w:val="en-US"/>
        </w:rPr>
        <w:t xml:space="preserve">r </w:t>
      </w:r>
      <w:r w:rsidRPr="007F560B">
        <w:rPr>
          <w:rFonts w:cs="Times New Roman"/>
          <w:bCs/>
          <w:color w:val="000000"/>
          <w:sz w:val="24"/>
          <w:szCs w:val="24"/>
          <w:lang w:val="en-US"/>
        </w:rPr>
        <w:t>= 0.530</w:t>
      </w:r>
      <w:r w:rsidR="00BD3AE8">
        <w:rPr>
          <w:rFonts w:cs="Times New Roman"/>
          <w:bCs/>
          <w:color w:val="000000"/>
          <w:sz w:val="24"/>
          <w:szCs w:val="24"/>
          <w:lang w:val="en-US"/>
        </w:rPr>
        <w:t>,</w:t>
      </w:r>
      <w:r w:rsidRPr="007F560B">
        <w:rPr>
          <w:rFonts w:cs="Times New Roman"/>
          <w:bCs/>
          <w:color w:val="000000"/>
          <w:sz w:val="24"/>
          <w:szCs w:val="24"/>
          <w:lang w:val="en-US"/>
        </w:rPr>
        <w:t xml:space="preserve"> </w:t>
      </w:r>
      <w:r w:rsidRPr="007F560B">
        <w:rPr>
          <w:rFonts w:cs="Times New Roman"/>
          <w:bCs/>
          <w:i/>
          <w:caps/>
          <w:color w:val="000000"/>
          <w:sz w:val="24"/>
          <w:szCs w:val="24"/>
          <w:lang w:val="en-US"/>
        </w:rPr>
        <w:t>p</w:t>
      </w:r>
      <w:r w:rsidRPr="007F560B">
        <w:rPr>
          <w:rFonts w:cs="Times New Roman"/>
          <w:bCs/>
          <w:i/>
          <w:color w:val="000000"/>
          <w:sz w:val="24"/>
          <w:szCs w:val="24"/>
          <w:lang w:val="en-US"/>
        </w:rPr>
        <w:t xml:space="preserve"> </w:t>
      </w:r>
      <w:r w:rsidRPr="007F560B">
        <w:rPr>
          <w:rFonts w:cs="Times New Roman"/>
          <w:bCs/>
          <w:color w:val="000000"/>
          <w:sz w:val="24"/>
          <w:szCs w:val="24"/>
          <w:lang w:val="en-US"/>
        </w:rPr>
        <w:t>= 0.005</w:t>
      </w:r>
      <w:r w:rsidR="00BD3AE8">
        <w:rPr>
          <w:rFonts w:cs="Times New Roman"/>
          <w:bCs/>
          <w:color w:val="000000"/>
          <w:sz w:val="24"/>
          <w:szCs w:val="24"/>
          <w:lang w:val="en-US"/>
        </w:rPr>
        <w:t>;</w:t>
      </w:r>
      <w:r w:rsidRPr="007F560B">
        <w:rPr>
          <w:rFonts w:cs="Times New Roman"/>
          <w:bCs/>
          <w:color w:val="000000"/>
          <w:sz w:val="24"/>
          <w:szCs w:val="24"/>
          <w:lang w:val="en-US"/>
        </w:rPr>
        <w:t xml:space="preserve"> </w:t>
      </w:r>
      <w:r w:rsidRPr="007F560B">
        <w:rPr>
          <w:rFonts w:cs="Times New Roman"/>
          <w:bCs/>
          <w:i/>
          <w:color w:val="000000"/>
          <w:sz w:val="24"/>
          <w:szCs w:val="24"/>
          <w:lang w:val="en-US"/>
        </w:rPr>
        <w:t xml:space="preserve">r </w:t>
      </w:r>
      <w:r w:rsidRPr="007F560B">
        <w:rPr>
          <w:rFonts w:cs="Times New Roman"/>
          <w:bCs/>
          <w:color w:val="000000"/>
          <w:sz w:val="24"/>
          <w:szCs w:val="24"/>
          <w:lang w:val="en-US"/>
        </w:rPr>
        <w:t>= 0.588</w:t>
      </w:r>
      <w:r w:rsidR="00BD3AE8">
        <w:rPr>
          <w:rFonts w:cs="Times New Roman"/>
          <w:bCs/>
          <w:color w:val="000000"/>
          <w:sz w:val="24"/>
          <w:szCs w:val="24"/>
          <w:lang w:val="en-US"/>
        </w:rPr>
        <w:t>,</w:t>
      </w:r>
      <w:r w:rsidRPr="007F560B">
        <w:rPr>
          <w:rFonts w:cs="Times New Roman"/>
          <w:bCs/>
          <w:i/>
          <w:caps/>
          <w:color w:val="000000"/>
          <w:sz w:val="24"/>
          <w:szCs w:val="24"/>
          <w:lang w:val="en-US"/>
        </w:rPr>
        <w:t xml:space="preserve"> p</w:t>
      </w:r>
      <w:r w:rsidRPr="007F560B">
        <w:rPr>
          <w:rFonts w:cs="Times New Roman"/>
          <w:bCs/>
          <w:i/>
          <w:color w:val="000000"/>
          <w:sz w:val="24"/>
          <w:szCs w:val="24"/>
          <w:lang w:val="en-US"/>
        </w:rPr>
        <w:t xml:space="preserve"> </w:t>
      </w:r>
      <w:r w:rsidRPr="007F560B">
        <w:rPr>
          <w:rFonts w:cs="Times New Roman"/>
          <w:bCs/>
          <w:color w:val="000000"/>
          <w:sz w:val="24"/>
          <w:szCs w:val="24"/>
          <w:lang w:val="en-US"/>
        </w:rPr>
        <w:t xml:space="preserve">= 0.002). However, IP-10 was not correlated with ALT, which </w:t>
      </w:r>
      <w:r w:rsidR="00030CA9">
        <w:rPr>
          <w:rFonts w:cs="Times New Roman"/>
          <w:bCs/>
          <w:color w:val="000000"/>
          <w:sz w:val="24"/>
          <w:szCs w:val="24"/>
          <w:lang w:val="en-US"/>
        </w:rPr>
        <w:t xml:space="preserve">was </w:t>
      </w:r>
      <w:r w:rsidR="00030CA9" w:rsidRPr="007F560B">
        <w:rPr>
          <w:rFonts w:cs="Times New Roman"/>
          <w:bCs/>
          <w:color w:val="000000"/>
          <w:sz w:val="24"/>
          <w:szCs w:val="24"/>
          <w:lang w:val="en-US"/>
        </w:rPr>
        <w:t>different from th</w:t>
      </w:r>
      <w:r w:rsidR="00030CA9">
        <w:rPr>
          <w:rFonts w:cs="Times New Roman"/>
          <w:bCs/>
          <w:color w:val="000000"/>
          <w:sz w:val="24"/>
          <w:szCs w:val="24"/>
          <w:lang w:val="en-US"/>
        </w:rPr>
        <w:t>at</w:t>
      </w:r>
      <w:r w:rsidR="00030CA9" w:rsidRPr="007F560B">
        <w:rPr>
          <w:rFonts w:cs="Times New Roman"/>
          <w:bCs/>
          <w:color w:val="000000"/>
          <w:sz w:val="24"/>
          <w:szCs w:val="24"/>
          <w:lang w:val="en-US"/>
        </w:rPr>
        <w:t xml:space="preserve"> in the previous literature </w:t>
      </w:r>
      <w:r w:rsidR="00030CA9">
        <w:rPr>
          <w:rFonts w:cs="Times New Roman"/>
          <w:bCs/>
          <w:color w:val="000000"/>
          <w:sz w:val="24"/>
          <w:szCs w:val="24"/>
          <w:lang w:val="en-US"/>
        </w:rPr>
        <w:t xml:space="preserve">and </w:t>
      </w:r>
      <w:r w:rsidRPr="007F560B">
        <w:rPr>
          <w:rFonts w:cs="Times New Roman"/>
          <w:bCs/>
          <w:color w:val="000000"/>
          <w:sz w:val="24"/>
          <w:szCs w:val="24"/>
          <w:lang w:val="en-US"/>
        </w:rPr>
        <w:t xml:space="preserve">may be related to the relatively few samples tested and individual differences of the hosts. </w:t>
      </w:r>
      <w:r w:rsidR="007930FC" w:rsidRPr="007F560B">
        <w:rPr>
          <w:rFonts w:cs="Times New Roman"/>
          <w:bCs/>
          <w:color w:val="000000"/>
          <w:sz w:val="24"/>
          <w:szCs w:val="24"/>
          <w:lang w:val="en-US"/>
        </w:rPr>
        <w:t>Mac-2-binding protein glycosylation isomer (M2BPGi)</w:t>
      </w:r>
      <w:r w:rsidR="00030CA9">
        <w:rPr>
          <w:rFonts w:cs="Times New Roman"/>
          <w:bCs/>
          <w:color w:val="000000"/>
          <w:sz w:val="24"/>
          <w:szCs w:val="24"/>
          <w:lang w:val="en-US"/>
        </w:rPr>
        <w:t>,</w:t>
      </w:r>
      <w:r w:rsidR="007930FC" w:rsidRPr="007F560B">
        <w:rPr>
          <w:rFonts w:cs="Times New Roman"/>
          <w:bCs/>
          <w:color w:val="000000"/>
          <w:sz w:val="24"/>
          <w:szCs w:val="24"/>
          <w:lang w:val="en-US"/>
        </w:rPr>
        <w:t xml:space="preserve"> also called WFA</w:t>
      </w:r>
      <w:r w:rsidR="007930FC" w:rsidRPr="007F560B">
        <w:rPr>
          <w:rFonts w:cs="Times New Roman"/>
          <w:bCs/>
          <w:color w:val="000000"/>
          <w:sz w:val="24"/>
          <w:szCs w:val="24"/>
          <w:vertAlign w:val="superscript"/>
          <w:lang w:val="en-US"/>
        </w:rPr>
        <w:t>+</w:t>
      </w:r>
      <w:r w:rsidR="007930FC" w:rsidRPr="007F560B">
        <w:rPr>
          <w:rFonts w:cs="Times New Roman"/>
          <w:bCs/>
          <w:color w:val="000000"/>
          <w:sz w:val="24"/>
          <w:szCs w:val="24"/>
          <w:lang w:val="en-US"/>
        </w:rPr>
        <w:t>-M2BP, is a serum biomarker for assessing liver fibrosis i</w:t>
      </w:r>
      <w:r w:rsidR="001F211E" w:rsidRPr="007F560B">
        <w:rPr>
          <w:rFonts w:cs="Times New Roman"/>
          <w:bCs/>
          <w:color w:val="000000"/>
          <w:sz w:val="24"/>
          <w:szCs w:val="24"/>
          <w:lang w:val="en-US"/>
        </w:rPr>
        <w:t>n patients with viral hepatitis</w:t>
      </w:r>
      <w:r w:rsidR="007930FC" w:rsidRPr="007F560B">
        <w:rPr>
          <w:rFonts w:cs="Times New Roman"/>
          <w:bCs/>
          <w:color w:val="000000"/>
          <w:sz w:val="24"/>
          <w:szCs w:val="24"/>
          <w:vertAlign w:val="superscript"/>
          <w:lang w:val="en-US"/>
        </w:rPr>
        <w:t>[34]</w:t>
      </w:r>
      <w:r w:rsidR="007930FC" w:rsidRPr="007F560B">
        <w:rPr>
          <w:rFonts w:cs="Times New Roman"/>
          <w:bCs/>
          <w:color w:val="000000"/>
          <w:sz w:val="24"/>
          <w:szCs w:val="24"/>
          <w:lang w:val="en-US"/>
        </w:rPr>
        <w:t>, and its levels significantly correlated with serum IP-10 levels</w:t>
      </w:r>
      <w:r w:rsidR="007930FC" w:rsidRPr="007F560B">
        <w:rPr>
          <w:rFonts w:cs="Times New Roman"/>
          <w:bCs/>
          <w:color w:val="000000"/>
          <w:sz w:val="24"/>
          <w:szCs w:val="24"/>
          <w:vertAlign w:val="superscript"/>
          <w:lang w:val="en-US"/>
        </w:rPr>
        <w:t>[35</w:t>
      </w:r>
      <w:r w:rsidR="00030CA9" w:rsidRPr="007F560B">
        <w:rPr>
          <w:rFonts w:cs="Times New Roman"/>
          <w:bCs/>
          <w:color w:val="000000"/>
          <w:sz w:val="24"/>
          <w:szCs w:val="24"/>
          <w:vertAlign w:val="superscript"/>
          <w:lang w:val="en-US"/>
        </w:rPr>
        <w:t>]</w:t>
      </w:r>
      <w:r w:rsidR="00030CA9">
        <w:rPr>
          <w:rFonts w:cs="Times New Roman"/>
          <w:bCs/>
          <w:color w:val="000000"/>
          <w:sz w:val="24"/>
          <w:szCs w:val="24"/>
          <w:lang w:val="en-US"/>
        </w:rPr>
        <w:t>.</w:t>
      </w:r>
      <w:r w:rsidR="00030CA9" w:rsidRPr="007F560B">
        <w:rPr>
          <w:rFonts w:cs="Times New Roman"/>
          <w:bCs/>
          <w:color w:val="000000"/>
          <w:sz w:val="24"/>
          <w:szCs w:val="24"/>
          <w:lang w:val="en-US"/>
        </w:rPr>
        <w:t xml:space="preserve"> </w:t>
      </w:r>
      <w:r w:rsidR="00030CA9">
        <w:rPr>
          <w:rFonts w:cs="Times New Roman"/>
          <w:bCs/>
          <w:color w:val="000000"/>
          <w:sz w:val="24"/>
          <w:szCs w:val="24"/>
          <w:lang w:val="en-US"/>
        </w:rPr>
        <w:t>A</w:t>
      </w:r>
      <w:r w:rsidR="00030CA9" w:rsidRPr="007F560B">
        <w:rPr>
          <w:rFonts w:cs="Times New Roman"/>
          <w:bCs/>
          <w:color w:val="000000"/>
          <w:sz w:val="24"/>
          <w:szCs w:val="24"/>
          <w:lang w:val="en-US"/>
        </w:rPr>
        <w:t xml:space="preserve"> </w:t>
      </w:r>
      <w:r w:rsidR="007930FC" w:rsidRPr="007F560B">
        <w:rPr>
          <w:rFonts w:cs="Times New Roman"/>
          <w:bCs/>
          <w:color w:val="000000"/>
          <w:sz w:val="24"/>
          <w:szCs w:val="24"/>
          <w:lang w:val="en-US"/>
        </w:rPr>
        <w:t xml:space="preserve">recent study suggested that baseline serum M2BPGi level can be a useful marker in the CHB patients during PEG-IFN </w:t>
      </w:r>
      <w:proofErr w:type="gramStart"/>
      <w:r w:rsidR="007930FC" w:rsidRPr="007F560B">
        <w:rPr>
          <w:rFonts w:cs="Times New Roman"/>
          <w:bCs/>
          <w:color w:val="000000"/>
          <w:sz w:val="24"/>
          <w:szCs w:val="24"/>
          <w:lang w:val="en-US"/>
        </w:rPr>
        <w:t>therapy</w:t>
      </w:r>
      <w:r w:rsidR="007930FC" w:rsidRPr="007F560B">
        <w:rPr>
          <w:rFonts w:cs="Times New Roman"/>
          <w:bCs/>
          <w:color w:val="000000"/>
          <w:sz w:val="24"/>
          <w:szCs w:val="24"/>
          <w:vertAlign w:val="superscript"/>
          <w:lang w:val="en-US"/>
        </w:rPr>
        <w:t>[</w:t>
      </w:r>
      <w:proofErr w:type="gramEnd"/>
      <w:r w:rsidR="007930FC" w:rsidRPr="007F560B">
        <w:rPr>
          <w:rFonts w:cs="Times New Roman"/>
          <w:bCs/>
          <w:color w:val="000000"/>
          <w:sz w:val="24"/>
          <w:szCs w:val="24"/>
          <w:vertAlign w:val="superscript"/>
          <w:lang w:val="en-US"/>
        </w:rPr>
        <w:t>36]</w:t>
      </w:r>
      <w:r w:rsidR="007930FC" w:rsidRPr="007F560B">
        <w:rPr>
          <w:rFonts w:cs="Times New Roman"/>
          <w:bCs/>
          <w:color w:val="000000"/>
          <w:sz w:val="24"/>
          <w:szCs w:val="24"/>
          <w:lang w:val="en-US"/>
        </w:rPr>
        <w:t>.</w:t>
      </w:r>
      <w:r w:rsidR="001F211E" w:rsidRPr="007F560B">
        <w:rPr>
          <w:rFonts w:cs="Times New Roman"/>
          <w:bCs/>
          <w:color w:val="000000"/>
          <w:sz w:val="24"/>
          <w:szCs w:val="24"/>
          <w:lang w:val="en-US"/>
        </w:rPr>
        <w:t xml:space="preserve"> </w:t>
      </w:r>
      <w:r w:rsidRPr="007F560B">
        <w:rPr>
          <w:rFonts w:cs="Times New Roman"/>
          <w:bCs/>
          <w:color w:val="000000"/>
          <w:sz w:val="24"/>
          <w:szCs w:val="24"/>
          <w:lang w:val="en-US"/>
        </w:rPr>
        <w:t xml:space="preserve">The positive correlations between these parameters may imply that these chemokines have positive impacts on the liver inflammation and HBV control, albeit the relevance was not </w:t>
      </w:r>
      <w:r w:rsidR="007930FC" w:rsidRPr="007F560B">
        <w:rPr>
          <w:rFonts w:cs="Times New Roman"/>
          <w:bCs/>
          <w:color w:val="000000"/>
          <w:sz w:val="24"/>
          <w:szCs w:val="24"/>
          <w:lang w:val="en-US"/>
        </w:rPr>
        <w:t xml:space="preserve">satisfactory </w:t>
      </w:r>
      <w:r w:rsidRPr="007F560B">
        <w:rPr>
          <w:rFonts w:cs="Times New Roman"/>
          <w:bCs/>
          <w:color w:val="000000"/>
          <w:sz w:val="24"/>
          <w:szCs w:val="24"/>
          <w:lang w:val="en-US"/>
        </w:rPr>
        <w:t>due to the complex interactions between other host and viral factors that contribute to liver inflammation. These findings indicate that</w:t>
      </w:r>
      <w:r w:rsidRPr="007F560B">
        <w:rPr>
          <w:rFonts w:cs="TimesNewRoman"/>
          <w:sz w:val="24"/>
          <w:szCs w:val="24"/>
          <w:lang w:val="en-US"/>
        </w:rPr>
        <w:t xml:space="preserve"> </w:t>
      </w:r>
      <w:bookmarkStart w:id="19" w:name="OLE_LINK194"/>
      <w:bookmarkStart w:id="20" w:name="OLE_LINK195"/>
      <w:r w:rsidRPr="007F560B">
        <w:rPr>
          <w:rFonts w:cs="TimesNewRoman"/>
          <w:sz w:val="24"/>
          <w:szCs w:val="24"/>
          <w:lang w:val="en-US"/>
        </w:rPr>
        <w:t>CXCL6, CXCL9</w:t>
      </w:r>
      <w:r w:rsidR="00030CA9">
        <w:rPr>
          <w:rFonts w:cs="TimesNewRoman"/>
          <w:sz w:val="24"/>
          <w:szCs w:val="24"/>
          <w:lang w:val="en-US"/>
        </w:rPr>
        <w:t>,</w:t>
      </w:r>
      <w:r w:rsidRPr="007F560B">
        <w:rPr>
          <w:rFonts w:cs="TimesNewRoman"/>
          <w:sz w:val="24"/>
          <w:szCs w:val="24"/>
          <w:lang w:val="en-US"/>
        </w:rPr>
        <w:t xml:space="preserve"> and IP10</w:t>
      </w:r>
      <w:bookmarkEnd w:id="19"/>
      <w:bookmarkEnd w:id="20"/>
      <w:r w:rsidRPr="007F560B">
        <w:rPr>
          <w:rFonts w:cs="Times New Roman"/>
          <w:bCs/>
          <w:color w:val="000000"/>
          <w:sz w:val="24"/>
          <w:szCs w:val="24"/>
          <w:lang w:val="en-US"/>
        </w:rPr>
        <w:t xml:space="preserve"> are associated with hepatic necro-inflammation, and these chemokines </w:t>
      </w:r>
      <w:r w:rsidR="00030CA9">
        <w:rPr>
          <w:rFonts w:cs="Times New Roman"/>
          <w:bCs/>
          <w:color w:val="000000"/>
          <w:sz w:val="24"/>
          <w:szCs w:val="24"/>
          <w:lang w:val="en-US"/>
        </w:rPr>
        <w:t xml:space="preserve">are </w:t>
      </w:r>
      <w:r w:rsidRPr="007F560B">
        <w:rPr>
          <w:rFonts w:cs="Times New Roman"/>
          <w:bCs/>
          <w:color w:val="000000"/>
          <w:sz w:val="24"/>
          <w:szCs w:val="24"/>
          <w:lang w:val="en-US"/>
        </w:rPr>
        <w:t>induced and participate</w:t>
      </w:r>
      <w:r w:rsidR="00030CA9">
        <w:rPr>
          <w:rFonts w:cs="Times New Roman"/>
          <w:bCs/>
          <w:color w:val="000000"/>
          <w:sz w:val="24"/>
          <w:szCs w:val="24"/>
          <w:lang w:val="en-US"/>
        </w:rPr>
        <w:t xml:space="preserve"> </w:t>
      </w:r>
      <w:r w:rsidRPr="007F560B">
        <w:rPr>
          <w:rFonts w:cs="Times New Roman"/>
          <w:bCs/>
          <w:color w:val="000000"/>
          <w:sz w:val="24"/>
          <w:szCs w:val="24"/>
          <w:lang w:val="en-US"/>
        </w:rPr>
        <w:t>in immune responses against HBV infection.</w:t>
      </w:r>
    </w:p>
    <w:p w14:paraId="660E3485" w14:textId="35E2C9D0" w:rsidR="00C2353D" w:rsidRPr="007F560B" w:rsidRDefault="002E532F" w:rsidP="007F560B">
      <w:pPr>
        <w:snapToGrid w:val="0"/>
        <w:spacing w:line="360" w:lineRule="auto"/>
        <w:ind w:firstLineChars="100" w:firstLine="240"/>
        <w:jc w:val="both"/>
        <w:rPr>
          <w:rFonts w:eastAsiaTheme="minorEastAsia" w:cs="Times New Roman"/>
          <w:bCs/>
          <w:color w:val="000000"/>
          <w:sz w:val="24"/>
          <w:szCs w:val="24"/>
          <w:lang w:val="en-US"/>
        </w:rPr>
      </w:pPr>
      <w:r w:rsidRPr="007F560B">
        <w:rPr>
          <w:rFonts w:cs="Times New Roman"/>
          <w:bCs/>
          <w:color w:val="000000"/>
          <w:sz w:val="24"/>
          <w:szCs w:val="24"/>
          <w:lang w:val="en-US"/>
        </w:rPr>
        <w:t>W</w:t>
      </w:r>
      <w:r w:rsidR="00A8261B" w:rsidRPr="007F560B">
        <w:rPr>
          <w:rFonts w:cs="Times New Roman"/>
          <w:bCs/>
          <w:color w:val="000000"/>
          <w:sz w:val="24"/>
          <w:szCs w:val="24"/>
          <w:lang w:val="en-US"/>
        </w:rPr>
        <w:t xml:space="preserve">e also found that TARC in patients with an interferon-treated response was lower than </w:t>
      </w:r>
      <w:r w:rsidR="00432C1E">
        <w:rPr>
          <w:rFonts w:cs="Times New Roman"/>
          <w:bCs/>
          <w:color w:val="000000"/>
          <w:sz w:val="24"/>
          <w:szCs w:val="24"/>
          <w:lang w:val="en-US"/>
        </w:rPr>
        <w:t xml:space="preserve">that </w:t>
      </w:r>
      <w:r w:rsidR="00A8261B" w:rsidRPr="007F560B">
        <w:rPr>
          <w:rFonts w:cs="Times New Roman"/>
          <w:bCs/>
          <w:color w:val="000000"/>
          <w:sz w:val="24"/>
          <w:szCs w:val="24"/>
          <w:lang w:val="en-US"/>
        </w:rPr>
        <w:t xml:space="preserve">in </w:t>
      </w:r>
      <w:r w:rsidR="00432C1E">
        <w:rPr>
          <w:rFonts w:cs="Times New Roman"/>
          <w:bCs/>
          <w:color w:val="000000"/>
          <w:sz w:val="24"/>
          <w:szCs w:val="24"/>
          <w:lang w:val="en-US"/>
        </w:rPr>
        <w:t>the NRs</w:t>
      </w:r>
      <w:r w:rsidR="00A8261B" w:rsidRPr="007F560B">
        <w:rPr>
          <w:rFonts w:cs="Times New Roman"/>
          <w:bCs/>
          <w:color w:val="000000"/>
          <w:sz w:val="24"/>
          <w:szCs w:val="24"/>
          <w:lang w:val="en-US"/>
        </w:rPr>
        <w:t xml:space="preserve"> at baseline; however, the </w:t>
      </w:r>
      <w:r w:rsidR="00432C1E">
        <w:rPr>
          <w:rFonts w:cs="Times New Roman"/>
          <w:bCs/>
          <w:color w:val="000000"/>
          <w:sz w:val="24"/>
          <w:szCs w:val="24"/>
          <w:lang w:val="en-US"/>
        </w:rPr>
        <w:t xml:space="preserve">level in the </w:t>
      </w:r>
      <w:r w:rsidR="00A8261B" w:rsidRPr="007F560B">
        <w:rPr>
          <w:rFonts w:cs="Times New Roman"/>
          <w:bCs/>
          <w:color w:val="000000"/>
          <w:sz w:val="24"/>
          <w:szCs w:val="24"/>
          <w:lang w:val="en-US"/>
        </w:rPr>
        <w:t>response group remained lower than</w:t>
      </w:r>
      <w:r w:rsidR="00432C1E">
        <w:rPr>
          <w:rFonts w:cs="Times New Roman"/>
          <w:bCs/>
          <w:color w:val="000000"/>
          <w:sz w:val="24"/>
          <w:szCs w:val="24"/>
          <w:lang w:val="en-US"/>
        </w:rPr>
        <w:t xml:space="preserve"> that in</w:t>
      </w:r>
      <w:r w:rsidR="00A8261B" w:rsidRPr="007F560B">
        <w:rPr>
          <w:rFonts w:cs="Times New Roman"/>
          <w:bCs/>
          <w:color w:val="000000"/>
          <w:sz w:val="24"/>
          <w:szCs w:val="24"/>
          <w:lang w:val="en-US"/>
        </w:rPr>
        <w:t xml:space="preserve"> the n</w:t>
      </w:r>
      <w:r w:rsidR="001F211E" w:rsidRPr="007F560B">
        <w:rPr>
          <w:rFonts w:cs="Times New Roman"/>
          <w:bCs/>
          <w:color w:val="000000"/>
          <w:sz w:val="24"/>
          <w:szCs w:val="24"/>
          <w:lang w:val="en-US"/>
        </w:rPr>
        <w:t>on-</w:t>
      </w:r>
      <w:r w:rsidR="00432C1E" w:rsidRPr="007F560B">
        <w:rPr>
          <w:rFonts w:cs="Times New Roman"/>
          <w:bCs/>
          <w:color w:val="000000"/>
          <w:sz w:val="24"/>
          <w:szCs w:val="24"/>
          <w:lang w:val="en-US"/>
        </w:rPr>
        <w:t>respon</w:t>
      </w:r>
      <w:r w:rsidR="00432C1E">
        <w:rPr>
          <w:rFonts w:cs="Times New Roman"/>
          <w:bCs/>
          <w:color w:val="000000"/>
          <w:sz w:val="24"/>
          <w:szCs w:val="24"/>
          <w:lang w:val="en-US"/>
        </w:rPr>
        <w:t>se</w:t>
      </w:r>
      <w:r w:rsidR="00432C1E" w:rsidRPr="007F560B">
        <w:rPr>
          <w:rFonts w:cs="Times New Roman"/>
          <w:bCs/>
          <w:color w:val="000000"/>
          <w:sz w:val="24"/>
          <w:szCs w:val="24"/>
          <w:lang w:val="en-US"/>
        </w:rPr>
        <w:t xml:space="preserve"> </w:t>
      </w:r>
      <w:r w:rsidR="001F211E" w:rsidRPr="007F560B">
        <w:rPr>
          <w:rFonts w:cs="Times New Roman"/>
          <w:bCs/>
          <w:color w:val="000000"/>
          <w:sz w:val="24"/>
          <w:szCs w:val="24"/>
          <w:lang w:val="en-US"/>
        </w:rPr>
        <w:t xml:space="preserve">group after 24 </w:t>
      </w:r>
      <w:proofErr w:type="spellStart"/>
      <w:r w:rsidR="001F211E" w:rsidRPr="007F560B">
        <w:rPr>
          <w:rFonts w:cs="Times New Roman"/>
          <w:bCs/>
          <w:color w:val="000000"/>
          <w:sz w:val="24"/>
          <w:szCs w:val="24"/>
          <w:lang w:val="en-US"/>
        </w:rPr>
        <w:t>wk</w:t>
      </w:r>
      <w:proofErr w:type="spellEnd"/>
      <w:r w:rsidR="00A8261B" w:rsidRPr="007F560B">
        <w:rPr>
          <w:rFonts w:cs="Times New Roman"/>
          <w:bCs/>
          <w:color w:val="000000"/>
          <w:sz w:val="24"/>
          <w:szCs w:val="24"/>
          <w:lang w:val="en-US"/>
        </w:rPr>
        <w:t xml:space="preserve"> of treatment. TARC is a member of the CC chemokine group that is constitutively expressed in the thymus and is </w:t>
      </w:r>
      <w:r w:rsidR="001F211E" w:rsidRPr="007F560B">
        <w:rPr>
          <w:rFonts w:cs="Times New Roman"/>
          <w:bCs/>
          <w:color w:val="000000"/>
          <w:sz w:val="24"/>
          <w:szCs w:val="24"/>
          <w:lang w:val="en-US"/>
        </w:rPr>
        <w:t>produced by dendritic cells</w:t>
      </w:r>
      <w:r w:rsidR="00A8261B" w:rsidRPr="007F560B">
        <w:rPr>
          <w:rFonts w:cs="Times New Roman"/>
          <w:bCs/>
          <w:color w:val="000000"/>
          <w:sz w:val="24"/>
          <w:szCs w:val="24"/>
          <w:lang w:val="en-US"/>
        </w:rPr>
        <w:t>, endothelial cells, keratinocytes</w:t>
      </w:r>
      <w:bookmarkStart w:id="21" w:name="OLE_LINK202"/>
      <w:bookmarkStart w:id="22" w:name="OLE_LINK203"/>
      <w:r w:rsidR="00A8261B" w:rsidRPr="007F560B">
        <w:rPr>
          <w:rFonts w:cs="Times New Roman"/>
          <w:bCs/>
          <w:color w:val="000000"/>
          <w:sz w:val="24"/>
          <w:szCs w:val="24"/>
          <w:lang w:val="en-US"/>
        </w:rPr>
        <w:t xml:space="preserve">, </w:t>
      </w:r>
      <w:bookmarkEnd w:id="21"/>
      <w:bookmarkEnd w:id="22"/>
      <w:r w:rsidR="00A8261B" w:rsidRPr="007F560B">
        <w:rPr>
          <w:rFonts w:cs="Times New Roman"/>
          <w:bCs/>
          <w:color w:val="000000"/>
          <w:sz w:val="24"/>
          <w:szCs w:val="24"/>
          <w:lang w:val="en-US"/>
        </w:rPr>
        <w:t>bronchial epithelial cells</w:t>
      </w:r>
      <w:r w:rsidR="00432C1E">
        <w:rPr>
          <w:rFonts w:cs="Times New Roman"/>
          <w:bCs/>
          <w:color w:val="000000"/>
          <w:sz w:val="24"/>
          <w:szCs w:val="24"/>
          <w:lang w:val="en-US"/>
        </w:rPr>
        <w:t>,</w:t>
      </w:r>
      <w:r w:rsidR="00A8261B" w:rsidRPr="007F560B">
        <w:rPr>
          <w:rFonts w:cs="Times New Roman"/>
          <w:bCs/>
          <w:color w:val="000000"/>
          <w:sz w:val="24"/>
          <w:szCs w:val="24"/>
          <w:lang w:val="en-US"/>
        </w:rPr>
        <w:t xml:space="preserve"> and </w:t>
      </w:r>
      <w:proofErr w:type="gramStart"/>
      <w:r w:rsidR="005025C9" w:rsidRPr="007F560B">
        <w:rPr>
          <w:rFonts w:cs="Times New Roman"/>
          <w:bCs/>
          <w:color w:val="000000"/>
          <w:sz w:val="24"/>
          <w:szCs w:val="24"/>
          <w:lang w:val="en-US"/>
        </w:rPr>
        <w:t>fibroblasts</w:t>
      </w:r>
      <w:r w:rsidR="00E76101" w:rsidRPr="007F560B">
        <w:rPr>
          <w:rFonts w:cs="Times New Roman"/>
          <w:noProof/>
          <w:color w:val="000000"/>
          <w:sz w:val="24"/>
          <w:szCs w:val="24"/>
          <w:vertAlign w:val="superscript"/>
          <w:lang w:val="en-US"/>
        </w:rPr>
        <w:t>[</w:t>
      </w:r>
      <w:proofErr w:type="gramEnd"/>
      <w:r w:rsidR="005025C9" w:rsidRPr="007F560B">
        <w:rPr>
          <w:rFonts w:cs="Times New Roman"/>
          <w:noProof/>
          <w:color w:val="000000"/>
          <w:sz w:val="24"/>
          <w:szCs w:val="24"/>
          <w:vertAlign w:val="superscript"/>
          <w:lang w:val="en-US"/>
        </w:rPr>
        <w:t>37</w:t>
      </w:r>
      <w:r w:rsidR="001F211E" w:rsidRPr="007F560B">
        <w:rPr>
          <w:rFonts w:cs="Times New Roman"/>
          <w:noProof/>
          <w:color w:val="000000"/>
          <w:sz w:val="24"/>
          <w:szCs w:val="24"/>
          <w:vertAlign w:val="superscript"/>
          <w:lang w:val="en-US"/>
        </w:rPr>
        <w:t>,</w:t>
      </w:r>
      <w:r w:rsidR="005025C9" w:rsidRPr="007F560B">
        <w:rPr>
          <w:rFonts w:cs="Times New Roman"/>
          <w:noProof/>
          <w:color w:val="000000"/>
          <w:sz w:val="24"/>
          <w:szCs w:val="24"/>
          <w:vertAlign w:val="superscript"/>
          <w:lang w:val="en-US"/>
        </w:rPr>
        <w:t>38</w:t>
      </w:r>
      <w:r w:rsidR="00E76101" w:rsidRPr="007F560B">
        <w:rPr>
          <w:rFonts w:cs="Times New Roman"/>
          <w:noProof/>
          <w:color w:val="000000"/>
          <w:sz w:val="24"/>
          <w:szCs w:val="24"/>
          <w:vertAlign w:val="superscript"/>
          <w:lang w:val="en-US"/>
        </w:rPr>
        <w:t>]</w:t>
      </w:r>
      <w:r w:rsidR="00A8261B" w:rsidRPr="007F560B">
        <w:rPr>
          <w:rFonts w:cs="Times New Roman"/>
          <w:color w:val="000000"/>
          <w:sz w:val="24"/>
          <w:szCs w:val="24"/>
          <w:lang w:val="en-US"/>
        </w:rPr>
        <w:t>.</w:t>
      </w:r>
      <w:r w:rsidR="00A8261B" w:rsidRPr="007F560B">
        <w:rPr>
          <w:rFonts w:cs="Times New Roman"/>
          <w:bCs/>
          <w:color w:val="000000"/>
          <w:sz w:val="24"/>
          <w:szCs w:val="24"/>
          <w:lang w:val="en-US"/>
        </w:rPr>
        <w:t xml:space="preserve"> TARC is a ligand for CCR4, which is predominantly expressed on Th2 lymphocytes, basophils</w:t>
      </w:r>
      <w:r w:rsidR="00432C1E">
        <w:rPr>
          <w:rFonts w:cs="Times New Roman"/>
          <w:bCs/>
          <w:color w:val="000000"/>
          <w:sz w:val="24"/>
          <w:szCs w:val="24"/>
          <w:lang w:val="en-US"/>
        </w:rPr>
        <w:t>,</w:t>
      </w:r>
      <w:r w:rsidR="00A8261B" w:rsidRPr="007F560B">
        <w:rPr>
          <w:rFonts w:cs="Times New Roman"/>
          <w:bCs/>
          <w:color w:val="000000"/>
          <w:sz w:val="24"/>
          <w:szCs w:val="24"/>
          <w:lang w:val="en-US"/>
        </w:rPr>
        <w:t xml:space="preserve"> and natural killer </w:t>
      </w:r>
      <w:proofErr w:type="gramStart"/>
      <w:r w:rsidR="00A8261B" w:rsidRPr="007F560B">
        <w:rPr>
          <w:rFonts w:cs="Times New Roman"/>
          <w:bCs/>
          <w:color w:val="000000"/>
          <w:sz w:val="24"/>
          <w:szCs w:val="24"/>
          <w:lang w:val="en-US"/>
        </w:rPr>
        <w:t>cells</w:t>
      </w:r>
      <w:r w:rsidR="005025C9" w:rsidRPr="007F560B">
        <w:rPr>
          <w:rFonts w:cs="Times New Roman"/>
          <w:noProof/>
          <w:color w:val="000000"/>
          <w:sz w:val="24"/>
          <w:szCs w:val="24"/>
          <w:vertAlign w:val="superscript"/>
          <w:lang w:val="en-US"/>
        </w:rPr>
        <w:t>[</w:t>
      </w:r>
      <w:proofErr w:type="gramEnd"/>
      <w:r w:rsidR="005025C9" w:rsidRPr="007F560B">
        <w:rPr>
          <w:rFonts w:cs="Times New Roman"/>
          <w:noProof/>
          <w:color w:val="000000"/>
          <w:sz w:val="24"/>
          <w:szCs w:val="24"/>
          <w:vertAlign w:val="superscript"/>
          <w:lang w:val="en-US"/>
        </w:rPr>
        <w:t>38</w:t>
      </w:r>
      <w:r w:rsidR="00E76101" w:rsidRPr="007F560B">
        <w:rPr>
          <w:rFonts w:cs="Times New Roman"/>
          <w:noProof/>
          <w:color w:val="000000"/>
          <w:sz w:val="24"/>
          <w:szCs w:val="24"/>
          <w:vertAlign w:val="superscript"/>
          <w:lang w:val="en-US"/>
        </w:rPr>
        <w:t>]</w:t>
      </w:r>
      <w:r w:rsidR="00A8261B" w:rsidRPr="007F560B">
        <w:rPr>
          <w:rFonts w:cs="Times New Roman"/>
          <w:color w:val="000000"/>
          <w:sz w:val="24"/>
          <w:szCs w:val="24"/>
          <w:lang w:val="en-US"/>
        </w:rPr>
        <w:t xml:space="preserve">. </w:t>
      </w:r>
      <w:r w:rsidR="00A8261B" w:rsidRPr="007F560B">
        <w:rPr>
          <w:rFonts w:cs="Times New Roman"/>
          <w:bCs/>
          <w:color w:val="000000"/>
          <w:sz w:val="24"/>
          <w:szCs w:val="24"/>
          <w:lang w:val="en-US"/>
        </w:rPr>
        <w:t xml:space="preserve">ARC can recruit a large number of Th2 cells, </w:t>
      </w:r>
      <w:r w:rsidR="005B6940" w:rsidRPr="007F560B">
        <w:rPr>
          <w:rFonts w:cs="Times New Roman"/>
          <w:bCs/>
          <w:color w:val="000000"/>
          <w:sz w:val="24"/>
          <w:szCs w:val="24"/>
          <w:lang w:val="en-US"/>
        </w:rPr>
        <w:t>despite the fact that</w:t>
      </w:r>
      <w:r w:rsidR="00A8261B" w:rsidRPr="007F560B">
        <w:rPr>
          <w:rFonts w:cs="Times New Roman"/>
          <w:bCs/>
          <w:color w:val="000000"/>
          <w:sz w:val="24"/>
          <w:szCs w:val="24"/>
          <w:lang w:val="en-US"/>
        </w:rPr>
        <w:t xml:space="preserve"> the Th2 cell predominance is to maintain the chronic carrying state of virus </w:t>
      </w:r>
      <w:proofErr w:type="gramStart"/>
      <w:r w:rsidR="005025C9" w:rsidRPr="007F560B">
        <w:rPr>
          <w:rFonts w:cs="Times New Roman"/>
          <w:bCs/>
          <w:color w:val="000000"/>
          <w:sz w:val="24"/>
          <w:szCs w:val="24"/>
          <w:lang w:val="en-US"/>
        </w:rPr>
        <w:t>infection</w:t>
      </w:r>
      <w:r w:rsidR="005025C9" w:rsidRPr="007F560B">
        <w:rPr>
          <w:rFonts w:cs="Times New Roman"/>
          <w:noProof/>
          <w:color w:val="000000"/>
          <w:sz w:val="24"/>
          <w:szCs w:val="24"/>
          <w:vertAlign w:val="superscript"/>
          <w:lang w:val="en-US"/>
        </w:rPr>
        <w:t>[</w:t>
      </w:r>
      <w:proofErr w:type="gramEnd"/>
      <w:r w:rsidR="005025C9" w:rsidRPr="007F560B">
        <w:rPr>
          <w:rFonts w:cs="Times New Roman"/>
          <w:noProof/>
          <w:color w:val="000000"/>
          <w:sz w:val="24"/>
          <w:szCs w:val="24"/>
          <w:vertAlign w:val="superscript"/>
          <w:lang w:val="en-US"/>
        </w:rPr>
        <w:t>39</w:t>
      </w:r>
      <w:r w:rsidR="00E76101" w:rsidRPr="007F560B">
        <w:rPr>
          <w:rFonts w:cs="Times New Roman"/>
          <w:noProof/>
          <w:color w:val="000000"/>
          <w:sz w:val="24"/>
          <w:szCs w:val="24"/>
          <w:vertAlign w:val="superscript"/>
          <w:lang w:val="en-US"/>
        </w:rPr>
        <w:t>]</w:t>
      </w:r>
      <w:r w:rsidR="00A8261B" w:rsidRPr="007F560B">
        <w:rPr>
          <w:rFonts w:eastAsiaTheme="minorEastAsia" w:cs="Times New Roman"/>
          <w:color w:val="000000"/>
          <w:sz w:val="24"/>
          <w:szCs w:val="24"/>
          <w:lang w:val="en-US"/>
        </w:rPr>
        <w:t xml:space="preserve">. </w:t>
      </w:r>
      <w:bookmarkStart w:id="23" w:name="OLE_LINK8"/>
      <w:bookmarkStart w:id="24" w:name="OLE_LINK9"/>
      <w:r w:rsidR="00A8261B" w:rsidRPr="007F560B">
        <w:rPr>
          <w:rFonts w:cs="Times New Roman"/>
          <w:bCs/>
          <w:color w:val="000000"/>
          <w:sz w:val="24"/>
          <w:szCs w:val="24"/>
          <w:lang w:val="en-US"/>
        </w:rPr>
        <w:t xml:space="preserve">Th2 cell </w:t>
      </w:r>
      <w:bookmarkEnd w:id="23"/>
      <w:bookmarkEnd w:id="24"/>
      <w:r w:rsidR="00A8261B" w:rsidRPr="007F560B">
        <w:rPr>
          <w:rFonts w:cs="Times New Roman"/>
          <w:bCs/>
          <w:color w:val="000000"/>
          <w:sz w:val="24"/>
          <w:szCs w:val="24"/>
          <w:lang w:val="en-US"/>
        </w:rPr>
        <w:t xml:space="preserve">activation inhibits both acute and chronic inflammatory </w:t>
      </w:r>
      <w:proofErr w:type="gramStart"/>
      <w:r w:rsidR="005025C9" w:rsidRPr="007F560B">
        <w:rPr>
          <w:rFonts w:cs="Times New Roman"/>
          <w:bCs/>
          <w:color w:val="000000"/>
          <w:sz w:val="24"/>
          <w:szCs w:val="24"/>
          <w:lang w:val="en-US"/>
        </w:rPr>
        <w:t>reactions</w:t>
      </w:r>
      <w:r w:rsidR="005025C9" w:rsidRPr="007F560B">
        <w:rPr>
          <w:rFonts w:cs="Times New Roman"/>
          <w:noProof/>
          <w:color w:val="000000"/>
          <w:sz w:val="24"/>
          <w:szCs w:val="24"/>
          <w:vertAlign w:val="superscript"/>
          <w:lang w:val="en-US"/>
        </w:rPr>
        <w:t>[</w:t>
      </w:r>
      <w:proofErr w:type="gramEnd"/>
      <w:r w:rsidR="005025C9" w:rsidRPr="007F560B">
        <w:rPr>
          <w:rFonts w:cs="Times New Roman"/>
          <w:noProof/>
          <w:color w:val="000000"/>
          <w:sz w:val="24"/>
          <w:szCs w:val="24"/>
          <w:vertAlign w:val="superscript"/>
          <w:lang w:val="en-US"/>
        </w:rPr>
        <w:t>40</w:t>
      </w:r>
      <w:r w:rsidR="00E76101" w:rsidRPr="007F560B">
        <w:rPr>
          <w:rFonts w:cs="Times New Roman"/>
          <w:noProof/>
          <w:color w:val="000000"/>
          <w:sz w:val="24"/>
          <w:szCs w:val="24"/>
          <w:vertAlign w:val="superscript"/>
          <w:lang w:val="en-US"/>
        </w:rPr>
        <w:t>]</w:t>
      </w:r>
      <w:r w:rsidR="00A8261B" w:rsidRPr="007F560B">
        <w:rPr>
          <w:rFonts w:cs="Times New Roman"/>
          <w:color w:val="000000"/>
          <w:sz w:val="24"/>
          <w:szCs w:val="24"/>
          <w:lang w:val="en-US"/>
        </w:rPr>
        <w:t>.</w:t>
      </w:r>
      <w:r w:rsidR="00A8261B" w:rsidRPr="007F560B">
        <w:rPr>
          <w:rFonts w:cs="Times New Roman"/>
          <w:bCs/>
          <w:color w:val="000000"/>
          <w:sz w:val="24"/>
          <w:szCs w:val="24"/>
          <w:lang w:val="en-US"/>
        </w:rPr>
        <w:t xml:space="preserve"> Therefore, the </w:t>
      </w:r>
      <w:r w:rsidR="00A8261B" w:rsidRPr="007F560B">
        <w:rPr>
          <w:rFonts w:cs="Times New Roman"/>
          <w:bCs/>
          <w:color w:val="000000"/>
          <w:sz w:val="24"/>
          <w:szCs w:val="24"/>
          <w:lang w:val="en-US"/>
        </w:rPr>
        <w:lastRenderedPageBreak/>
        <w:t>higher expression of TARC in the non-response group treated with interferon is related to the poor prognosis.</w:t>
      </w:r>
      <w:bookmarkStart w:id="25" w:name="OLE_LINK204"/>
      <w:bookmarkStart w:id="26" w:name="OLE_LINK205"/>
    </w:p>
    <w:p w14:paraId="4A01C867" w14:textId="5D490526" w:rsidR="00C2353D" w:rsidRPr="007F560B" w:rsidRDefault="00A8261B" w:rsidP="007F560B">
      <w:pPr>
        <w:snapToGrid w:val="0"/>
        <w:spacing w:line="360" w:lineRule="auto"/>
        <w:ind w:firstLineChars="100" w:firstLine="240"/>
        <w:jc w:val="both"/>
        <w:rPr>
          <w:rFonts w:eastAsiaTheme="minorEastAsia" w:cs="Times New Roman"/>
          <w:bCs/>
          <w:color w:val="000000"/>
          <w:sz w:val="24"/>
          <w:szCs w:val="24"/>
          <w:lang w:val="en-US"/>
        </w:rPr>
      </w:pPr>
      <w:r w:rsidRPr="007F560B">
        <w:rPr>
          <w:rFonts w:cs="Times New Roman"/>
          <w:bCs/>
          <w:color w:val="000000"/>
          <w:sz w:val="24"/>
          <w:szCs w:val="24"/>
          <w:lang w:val="en-US"/>
        </w:rPr>
        <w:t>MIP-1d</w:t>
      </w:r>
      <w:bookmarkEnd w:id="25"/>
      <w:bookmarkEnd w:id="26"/>
      <w:r w:rsidRPr="007F560B">
        <w:rPr>
          <w:rFonts w:cs="Times New Roman"/>
          <w:bCs/>
          <w:color w:val="000000"/>
          <w:sz w:val="24"/>
          <w:szCs w:val="24"/>
          <w:lang w:val="en-US"/>
        </w:rPr>
        <w:t xml:space="preserve">/CCL15, a member of the CC chemokine family that is expressed only in the gut and the liver, acts mainly </w:t>
      </w:r>
      <w:r w:rsidRPr="007F560B">
        <w:rPr>
          <w:rFonts w:cs="Times New Roman"/>
          <w:bCs/>
          <w:i/>
          <w:color w:val="000000"/>
          <w:sz w:val="24"/>
          <w:szCs w:val="24"/>
          <w:lang w:val="en-US"/>
        </w:rPr>
        <w:t>via</w:t>
      </w:r>
      <w:r w:rsidRPr="007F560B">
        <w:rPr>
          <w:rFonts w:cs="Times New Roman"/>
          <w:bCs/>
          <w:color w:val="000000"/>
          <w:sz w:val="24"/>
          <w:szCs w:val="24"/>
          <w:lang w:val="en-US"/>
        </w:rPr>
        <w:t xml:space="preserve"> the CC chemokine receptor </w:t>
      </w:r>
      <w:proofErr w:type="gramStart"/>
      <w:r w:rsidRPr="007F560B">
        <w:rPr>
          <w:rFonts w:cs="Times New Roman"/>
          <w:bCs/>
          <w:color w:val="000000"/>
          <w:sz w:val="24"/>
          <w:szCs w:val="24"/>
          <w:lang w:val="en-US"/>
        </w:rPr>
        <w:t>CCR1</w:t>
      </w:r>
      <w:r w:rsidR="005025C9" w:rsidRPr="007F560B">
        <w:rPr>
          <w:rFonts w:cs="Times New Roman"/>
          <w:bCs/>
          <w:noProof/>
          <w:color w:val="000000"/>
          <w:sz w:val="24"/>
          <w:szCs w:val="24"/>
          <w:vertAlign w:val="superscript"/>
          <w:lang w:val="en-US"/>
        </w:rPr>
        <w:t>[</w:t>
      </w:r>
      <w:proofErr w:type="gramEnd"/>
      <w:r w:rsidR="005025C9" w:rsidRPr="007F560B">
        <w:rPr>
          <w:rFonts w:cs="Times New Roman"/>
          <w:bCs/>
          <w:noProof/>
          <w:color w:val="000000"/>
          <w:sz w:val="24"/>
          <w:szCs w:val="24"/>
          <w:vertAlign w:val="superscript"/>
          <w:lang w:val="en-US"/>
        </w:rPr>
        <w:t>41,42</w:t>
      </w:r>
      <w:r w:rsidR="00E76101" w:rsidRPr="007F560B">
        <w:rPr>
          <w:rFonts w:cs="Times New Roman"/>
          <w:bCs/>
          <w:noProof/>
          <w:color w:val="000000"/>
          <w:sz w:val="24"/>
          <w:szCs w:val="24"/>
          <w:vertAlign w:val="superscript"/>
          <w:lang w:val="en-US"/>
        </w:rPr>
        <w:t>]</w:t>
      </w:r>
      <w:r w:rsidRPr="007F560B">
        <w:rPr>
          <w:rFonts w:cs="Times New Roman"/>
          <w:bCs/>
          <w:color w:val="000000"/>
          <w:sz w:val="24"/>
          <w:szCs w:val="24"/>
          <w:lang w:val="en-US"/>
        </w:rPr>
        <w:t xml:space="preserve">. MIP-1d was demonstrated to have a chemoattractant role for monocytes, lymphocytes, neutrophils, eosinophils, and dendritic cells. In addition, this molecule plays an important role in the development of inflammatory </w:t>
      </w:r>
      <w:proofErr w:type="gramStart"/>
      <w:r w:rsidRPr="007F560B">
        <w:rPr>
          <w:rFonts w:cs="Times New Roman"/>
          <w:bCs/>
          <w:color w:val="000000"/>
          <w:sz w:val="24"/>
          <w:szCs w:val="24"/>
          <w:lang w:val="en-US"/>
        </w:rPr>
        <w:t>diseases</w:t>
      </w:r>
      <w:r w:rsidR="001F211E" w:rsidRPr="007F560B">
        <w:rPr>
          <w:rFonts w:cs="Times New Roman"/>
          <w:bCs/>
          <w:noProof/>
          <w:color w:val="000000"/>
          <w:sz w:val="24"/>
          <w:szCs w:val="24"/>
          <w:vertAlign w:val="superscript"/>
          <w:lang w:val="en-US"/>
        </w:rPr>
        <w:t>[</w:t>
      </w:r>
      <w:proofErr w:type="gramEnd"/>
      <w:r w:rsidR="001F211E" w:rsidRPr="007F560B">
        <w:rPr>
          <w:rFonts w:cs="Times New Roman"/>
          <w:bCs/>
          <w:noProof/>
          <w:color w:val="000000"/>
          <w:sz w:val="24"/>
          <w:szCs w:val="24"/>
          <w:vertAlign w:val="superscript"/>
          <w:lang w:val="en-US"/>
        </w:rPr>
        <w:t>41,</w:t>
      </w:r>
      <w:r w:rsidR="005025C9" w:rsidRPr="007F560B">
        <w:rPr>
          <w:rFonts w:cs="Times New Roman"/>
          <w:bCs/>
          <w:noProof/>
          <w:color w:val="000000"/>
          <w:sz w:val="24"/>
          <w:szCs w:val="24"/>
          <w:vertAlign w:val="superscript"/>
          <w:lang w:val="en-US"/>
        </w:rPr>
        <w:t>43</w:t>
      </w:r>
      <w:r w:rsidR="00E76101" w:rsidRPr="007F560B">
        <w:rPr>
          <w:rFonts w:cs="Times New Roman"/>
          <w:bCs/>
          <w:noProof/>
          <w:color w:val="000000"/>
          <w:sz w:val="24"/>
          <w:szCs w:val="24"/>
          <w:vertAlign w:val="superscript"/>
          <w:lang w:val="en-US"/>
        </w:rPr>
        <w:t>]</w:t>
      </w:r>
      <w:r w:rsidR="001F211E" w:rsidRPr="007F560B">
        <w:rPr>
          <w:rFonts w:cs="Arial"/>
          <w:color w:val="2E3033"/>
          <w:sz w:val="24"/>
          <w:szCs w:val="24"/>
          <w:shd w:val="clear" w:color="auto" w:fill="EEF0F2"/>
          <w:lang w:val="en-US"/>
        </w:rPr>
        <w:t xml:space="preserve">. </w:t>
      </w:r>
      <w:r w:rsidRPr="007F560B">
        <w:rPr>
          <w:rFonts w:cs="Times New Roman"/>
          <w:bCs/>
          <w:color w:val="000000"/>
          <w:sz w:val="24"/>
          <w:szCs w:val="24"/>
          <w:lang w:val="en-US"/>
        </w:rPr>
        <w:t>Our study found that MIP-1d was higher in the response group than in the non-response gr</w:t>
      </w:r>
      <w:r w:rsidR="001F211E" w:rsidRPr="007F560B">
        <w:rPr>
          <w:rFonts w:cs="Times New Roman"/>
          <w:bCs/>
          <w:color w:val="000000"/>
          <w:sz w:val="24"/>
          <w:szCs w:val="24"/>
          <w:lang w:val="en-US"/>
        </w:rPr>
        <w:t xml:space="preserve">oup at baseline and after 24 </w:t>
      </w:r>
      <w:proofErr w:type="spellStart"/>
      <w:r w:rsidR="001F211E" w:rsidRPr="007F560B">
        <w:rPr>
          <w:rFonts w:cs="Times New Roman"/>
          <w:bCs/>
          <w:color w:val="000000"/>
          <w:sz w:val="24"/>
          <w:szCs w:val="24"/>
          <w:lang w:val="en-US"/>
        </w:rPr>
        <w:t>wk</w:t>
      </w:r>
      <w:proofErr w:type="spellEnd"/>
      <w:r w:rsidRPr="007F560B">
        <w:rPr>
          <w:rFonts w:cs="Times New Roman"/>
          <w:bCs/>
          <w:color w:val="000000"/>
          <w:sz w:val="24"/>
          <w:szCs w:val="24"/>
          <w:lang w:val="en-US"/>
        </w:rPr>
        <w:t xml:space="preserve"> of treatment. The higher level in the response group than in the non-response group may be associated with</w:t>
      </w:r>
      <w:r w:rsidR="00AF71EE">
        <w:rPr>
          <w:rFonts w:cs="Times New Roman"/>
          <w:bCs/>
          <w:color w:val="000000"/>
          <w:sz w:val="24"/>
          <w:szCs w:val="24"/>
          <w:lang w:val="en-US"/>
        </w:rPr>
        <w:t xml:space="preserve"> </w:t>
      </w:r>
      <w:r w:rsidRPr="007F560B">
        <w:rPr>
          <w:rFonts w:cs="Times New Roman"/>
          <w:bCs/>
          <w:color w:val="000000"/>
          <w:sz w:val="24"/>
          <w:szCs w:val="24"/>
          <w:lang w:val="en-US"/>
        </w:rPr>
        <w:t>better recruitment of T cells in the</w:t>
      </w:r>
      <w:r w:rsidRPr="007F560B">
        <w:rPr>
          <w:rFonts w:cs="Times New Roman"/>
          <w:bCs/>
          <w:color w:val="FF0000"/>
          <w:sz w:val="24"/>
          <w:szCs w:val="24"/>
          <w:lang w:val="en-US"/>
        </w:rPr>
        <w:t xml:space="preserve"> </w:t>
      </w:r>
      <w:r w:rsidRPr="007F560B">
        <w:rPr>
          <w:rFonts w:cs="Times New Roman"/>
          <w:bCs/>
          <w:color w:val="000000"/>
          <w:sz w:val="24"/>
          <w:szCs w:val="24"/>
          <w:lang w:val="en-US"/>
        </w:rPr>
        <w:t>response group.</w:t>
      </w:r>
    </w:p>
    <w:p w14:paraId="4171FB73" w14:textId="0DE56AD1" w:rsidR="00A8261B" w:rsidRPr="007F560B" w:rsidRDefault="0042397C" w:rsidP="007F560B">
      <w:pPr>
        <w:snapToGrid w:val="0"/>
        <w:spacing w:line="360" w:lineRule="auto"/>
        <w:ind w:firstLineChars="100" w:firstLine="240"/>
        <w:jc w:val="both"/>
        <w:rPr>
          <w:rFonts w:eastAsiaTheme="minorEastAsia" w:cs="Times New Roman"/>
          <w:bCs/>
          <w:color w:val="000000"/>
          <w:sz w:val="24"/>
          <w:szCs w:val="24"/>
          <w:lang w:val="en-US"/>
        </w:rPr>
      </w:pPr>
      <w:r w:rsidRPr="007F560B">
        <w:rPr>
          <w:rFonts w:cs="Times New Roman"/>
          <w:bCs/>
          <w:color w:val="000000"/>
          <w:sz w:val="24"/>
          <w:szCs w:val="24"/>
          <w:lang w:val="en-US"/>
        </w:rPr>
        <w:t>CXCL6/GCP-2 is a</w:t>
      </w:r>
      <w:r w:rsidR="007930FC" w:rsidRPr="007F560B">
        <w:rPr>
          <w:rFonts w:cs="Times New Roman"/>
          <w:bCs/>
          <w:color w:val="000000"/>
          <w:sz w:val="24"/>
          <w:szCs w:val="24"/>
          <w:lang w:val="en-US"/>
        </w:rPr>
        <w:t xml:space="preserve"> member </w:t>
      </w:r>
      <w:r w:rsidR="00A8261B" w:rsidRPr="007F560B">
        <w:rPr>
          <w:rFonts w:cs="Times New Roman"/>
          <w:bCs/>
          <w:color w:val="000000"/>
          <w:sz w:val="24"/>
          <w:szCs w:val="24"/>
          <w:lang w:val="en-US"/>
        </w:rPr>
        <w:t>of</w:t>
      </w:r>
      <w:bookmarkStart w:id="27" w:name="OLE_LINK208"/>
      <w:r w:rsidR="00A8261B" w:rsidRPr="007F560B">
        <w:rPr>
          <w:rFonts w:cs="Times New Roman"/>
          <w:bCs/>
          <w:color w:val="000000"/>
          <w:sz w:val="24"/>
          <w:szCs w:val="24"/>
          <w:lang w:val="en-US"/>
        </w:rPr>
        <w:t xml:space="preserve"> the ELR-CXC chemokines</w:t>
      </w:r>
      <w:bookmarkEnd w:id="27"/>
      <w:r w:rsidR="00A8261B" w:rsidRPr="007F560B">
        <w:rPr>
          <w:rFonts w:cs="Times New Roman"/>
          <w:bCs/>
          <w:color w:val="000000"/>
          <w:sz w:val="24"/>
          <w:szCs w:val="24"/>
          <w:lang w:val="en-US"/>
        </w:rPr>
        <w:t xml:space="preserve">. CXCL6 is mainly secreted by macrophages and epithelial and stromal </w:t>
      </w:r>
      <w:proofErr w:type="gramStart"/>
      <w:r w:rsidR="00A8261B" w:rsidRPr="007F560B">
        <w:rPr>
          <w:rFonts w:cs="Times New Roman"/>
          <w:bCs/>
          <w:color w:val="000000"/>
          <w:sz w:val="24"/>
          <w:szCs w:val="24"/>
          <w:lang w:val="en-US"/>
        </w:rPr>
        <w:t>cells</w:t>
      </w:r>
      <w:r w:rsidR="005025C9" w:rsidRPr="007F560B">
        <w:rPr>
          <w:rFonts w:cs="Times New Roman"/>
          <w:bCs/>
          <w:noProof/>
          <w:color w:val="000000"/>
          <w:sz w:val="24"/>
          <w:szCs w:val="24"/>
          <w:vertAlign w:val="superscript"/>
          <w:lang w:val="en-US"/>
        </w:rPr>
        <w:t>[</w:t>
      </w:r>
      <w:proofErr w:type="gramEnd"/>
      <w:r w:rsidR="005025C9" w:rsidRPr="007F560B">
        <w:rPr>
          <w:rFonts w:cs="Times New Roman"/>
          <w:bCs/>
          <w:noProof/>
          <w:color w:val="000000"/>
          <w:sz w:val="24"/>
          <w:szCs w:val="24"/>
          <w:vertAlign w:val="superscript"/>
          <w:lang w:val="en-US"/>
        </w:rPr>
        <w:t>44</w:t>
      </w:r>
      <w:r w:rsidR="00E76101" w:rsidRPr="007F560B">
        <w:rPr>
          <w:rFonts w:cs="Times New Roman"/>
          <w:bCs/>
          <w:noProof/>
          <w:color w:val="000000"/>
          <w:sz w:val="24"/>
          <w:szCs w:val="24"/>
          <w:vertAlign w:val="superscript"/>
          <w:lang w:val="en-US"/>
        </w:rPr>
        <w:t>]</w:t>
      </w:r>
      <w:r w:rsidR="00A8261B" w:rsidRPr="007F560B">
        <w:rPr>
          <w:rFonts w:cs="Times New Roman"/>
          <w:bCs/>
          <w:color w:val="000000"/>
          <w:sz w:val="24"/>
          <w:szCs w:val="24"/>
          <w:lang w:val="en-US"/>
        </w:rPr>
        <w:t>. The receptors of CXCL6 are CXCR1</w:t>
      </w:r>
      <w:r w:rsidR="00AF71EE">
        <w:rPr>
          <w:rFonts w:cs="Times New Roman"/>
          <w:bCs/>
          <w:color w:val="000000"/>
          <w:sz w:val="24"/>
          <w:szCs w:val="24"/>
          <w:lang w:val="en-US"/>
        </w:rPr>
        <w:t xml:space="preserve"> and</w:t>
      </w:r>
      <w:r w:rsidR="00AF71EE" w:rsidRPr="007F560B">
        <w:rPr>
          <w:rFonts w:cs="Times New Roman"/>
          <w:bCs/>
          <w:color w:val="000000"/>
          <w:sz w:val="24"/>
          <w:szCs w:val="24"/>
          <w:lang w:val="en-US"/>
        </w:rPr>
        <w:t xml:space="preserve"> </w:t>
      </w:r>
      <w:r w:rsidR="00A8261B" w:rsidRPr="007F560B">
        <w:rPr>
          <w:rFonts w:cs="Times New Roman"/>
          <w:bCs/>
          <w:color w:val="000000"/>
          <w:sz w:val="24"/>
          <w:szCs w:val="24"/>
          <w:lang w:val="en-US"/>
        </w:rPr>
        <w:t>CXCR2, and CXCL6 has the functions of regulating immunity</w:t>
      </w:r>
      <w:r w:rsidR="00B447EA">
        <w:rPr>
          <w:rFonts w:cs="Times New Roman"/>
          <w:bCs/>
          <w:color w:val="000000"/>
          <w:sz w:val="24"/>
          <w:szCs w:val="24"/>
          <w:lang w:val="en-US"/>
        </w:rPr>
        <w:t xml:space="preserve">, </w:t>
      </w:r>
      <w:r w:rsidR="00A8261B" w:rsidRPr="007F560B">
        <w:rPr>
          <w:rFonts w:cs="Times New Roman"/>
          <w:bCs/>
          <w:color w:val="000000"/>
          <w:sz w:val="24"/>
          <w:szCs w:val="24"/>
          <w:lang w:val="en-US"/>
        </w:rPr>
        <w:t>tumor growth</w:t>
      </w:r>
      <w:r w:rsidR="00B447EA">
        <w:rPr>
          <w:rFonts w:cs="Times New Roman"/>
          <w:bCs/>
          <w:color w:val="000000"/>
          <w:sz w:val="24"/>
          <w:szCs w:val="24"/>
          <w:lang w:val="en-US"/>
        </w:rPr>
        <w:t>,</w:t>
      </w:r>
      <w:r w:rsidR="00A8261B" w:rsidRPr="007F560B">
        <w:rPr>
          <w:rFonts w:cs="Times New Roman"/>
          <w:bCs/>
          <w:color w:val="000000"/>
          <w:sz w:val="24"/>
          <w:szCs w:val="24"/>
          <w:lang w:val="en-US"/>
        </w:rPr>
        <w:t xml:space="preserve"> and metastasis, as well as promoting angiogenesis. Liver tissue can express CXCL6, which can induce Kupffer cell, neutrophil</w:t>
      </w:r>
      <w:r w:rsidR="00B447EA">
        <w:rPr>
          <w:rFonts w:cs="Times New Roman"/>
          <w:bCs/>
          <w:color w:val="000000"/>
          <w:sz w:val="24"/>
          <w:szCs w:val="24"/>
          <w:lang w:val="en-US"/>
        </w:rPr>
        <w:t>,</w:t>
      </w:r>
      <w:r w:rsidR="00A8261B" w:rsidRPr="007F560B">
        <w:rPr>
          <w:rFonts w:cs="Times New Roman"/>
          <w:bCs/>
          <w:color w:val="000000"/>
          <w:sz w:val="24"/>
          <w:szCs w:val="24"/>
          <w:lang w:val="en-US"/>
        </w:rPr>
        <w:t xml:space="preserve"> and lymphocyte infiltration in liver </w:t>
      </w:r>
      <w:proofErr w:type="gramStart"/>
      <w:r w:rsidR="00A8261B" w:rsidRPr="007F560B">
        <w:rPr>
          <w:rFonts w:cs="Times New Roman"/>
          <w:bCs/>
          <w:color w:val="000000"/>
          <w:sz w:val="24"/>
          <w:szCs w:val="24"/>
          <w:lang w:val="en-US"/>
        </w:rPr>
        <w:t>inflammation</w:t>
      </w:r>
      <w:r w:rsidR="001F211E" w:rsidRPr="007F560B">
        <w:rPr>
          <w:rFonts w:cs="Times New Roman"/>
          <w:bCs/>
          <w:noProof/>
          <w:color w:val="000000"/>
          <w:sz w:val="24"/>
          <w:szCs w:val="24"/>
          <w:vertAlign w:val="superscript"/>
          <w:lang w:val="en-US"/>
        </w:rPr>
        <w:t>[</w:t>
      </w:r>
      <w:proofErr w:type="gramEnd"/>
      <w:r w:rsidR="001F211E" w:rsidRPr="007F560B">
        <w:rPr>
          <w:rFonts w:cs="Times New Roman"/>
          <w:bCs/>
          <w:noProof/>
          <w:color w:val="000000"/>
          <w:sz w:val="24"/>
          <w:szCs w:val="24"/>
          <w:vertAlign w:val="superscript"/>
          <w:lang w:val="en-US"/>
        </w:rPr>
        <w:t>44,</w:t>
      </w:r>
      <w:r w:rsidR="005025C9" w:rsidRPr="007F560B">
        <w:rPr>
          <w:rFonts w:cs="Times New Roman"/>
          <w:bCs/>
          <w:noProof/>
          <w:color w:val="000000"/>
          <w:sz w:val="24"/>
          <w:szCs w:val="24"/>
          <w:vertAlign w:val="superscript"/>
          <w:lang w:val="en-US"/>
        </w:rPr>
        <w:t>45</w:t>
      </w:r>
      <w:r w:rsidR="00E76101" w:rsidRPr="007F560B">
        <w:rPr>
          <w:rFonts w:cs="Times New Roman"/>
          <w:bCs/>
          <w:noProof/>
          <w:color w:val="000000"/>
          <w:sz w:val="24"/>
          <w:szCs w:val="24"/>
          <w:vertAlign w:val="superscript"/>
          <w:lang w:val="en-US"/>
        </w:rPr>
        <w:t>]</w:t>
      </w:r>
      <w:r w:rsidR="00A8261B" w:rsidRPr="007F560B">
        <w:rPr>
          <w:rFonts w:cs="Times New Roman"/>
          <w:bCs/>
          <w:color w:val="000000"/>
          <w:sz w:val="24"/>
          <w:szCs w:val="24"/>
          <w:lang w:val="en-US"/>
        </w:rPr>
        <w:t xml:space="preserve">. The expression of CXCL6 was elevated in liver inflammation and fibrosis, and in alcoholic hepatitis, CXCL6 levels are elevated and related to the prognosis of </w:t>
      </w:r>
      <w:proofErr w:type="gramStart"/>
      <w:r w:rsidR="00A8261B" w:rsidRPr="007F560B">
        <w:rPr>
          <w:rFonts w:cs="Times New Roman"/>
          <w:bCs/>
          <w:color w:val="000000"/>
          <w:sz w:val="24"/>
          <w:szCs w:val="24"/>
          <w:lang w:val="en-US"/>
        </w:rPr>
        <w:t>patients</w:t>
      </w:r>
      <w:r w:rsidR="005025C9" w:rsidRPr="007F560B">
        <w:rPr>
          <w:rFonts w:cs="Times New Roman"/>
          <w:bCs/>
          <w:noProof/>
          <w:color w:val="000000"/>
          <w:sz w:val="24"/>
          <w:szCs w:val="24"/>
          <w:vertAlign w:val="superscript"/>
          <w:lang w:val="en-US"/>
        </w:rPr>
        <w:t>[</w:t>
      </w:r>
      <w:proofErr w:type="gramEnd"/>
      <w:r w:rsidR="005025C9" w:rsidRPr="007F560B">
        <w:rPr>
          <w:rFonts w:cs="Times New Roman"/>
          <w:bCs/>
          <w:noProof/>
          <w:color w:val="000000"/>
          <w:sz w:val="24"/>
          <w:szCs w:val="24"/>
          <w:vertAlign w:val="superscript"/>
          <w:lang w:val="en-US"/>
        </w:rPr>
        <w:t>45</w:t>
      </w:r>
      <w:r w:rsidR="00E76101" w:rsidRPr="007F560B">
        <w:rPr>
          <w:rFonts w:cs="Times New Roman"/>
          <w:bCs/>
          <w:noProof/>
          <w:color w:val="000000"/>
          <w:sz w:val="24"/>
          <w:szCs w:val="24"/>
          <w:vertAlign w:val="superscript"/>
          <w:lang w:val="en-US"/>
        </w:rPr>
        <w:t>]</w:t>
      </w:r>
      <w:r w:rsidR="00A8261B" w:rsidRPr="007F560B">
        <w:rPr>
          <w:rFonts w:cs="Times New Roman"/>
          <w:bCs/>
          <w:color w:val="000000"/>
          <w:sz w:val="24"/>
          <w:szCs w:val="24"/>
          <w:lang w:val="en-US"/>
        </w:rPr>
        <w:t>. In our study, CXCL6 was significantly higher at both baseline</w:t>
      </w:r>
      <w:r w:rsidR="001F211E" w:rsidRPr="007F560B">
        <w:rPr>
          <w:rFonts w:cs="Times New Roman"/>
          <w:bCs/>
          <w:color w:val="000000"/>
          <w:sz w:val="24"/>
          <w:szCs w:val="24"/>
          <w:lang w:val="en-US"/>
        </w:rPr>
        <w:t xml:space="preserve"> and 24-wk</w:t>
      </w:r>
      <w:r w:rsidR="00A8261B" w:rsidRPr="007F560B">
        <w:rPr>
          <w:rFonts w:cs="Times New Roman"/>
          <w:bCs/>
          <w:color w:val="000000"/>
          <w:sz w:val="24"/>
          <w:szCs w:val="24"/>
          <w:lang w:val="en-US"/>
        </w:rPr>
        <w:t xml:space="preserve"> in the response group than in the non-response group and </w:t>
      </w:r>
      <w:r w:rsidR="00A8261B" w:rsidRPr="007F560B">
        <w:rPr>
          <w:rFonts w:cs="Times New Roman"/>
          <w:bCs/>
          <w:sz w:val="24"/>
          <w:szCs w:val="24"/>
          <w:lang w:val="en-US"/>
        </w:rPr>
        <w:t xml:space="preserve">showed a significant correlation </w:t>
      </w:r>
      <w:r w:rsidR="00A8261B" w:rsidRPr="007F560B">
        <w:rPr>
          <w:rFonts w:cs="Times New Roman"/>
          <w:bCs/>
          <w:color w:val="000000"/>
          <w:sz w:val="24"/>
          <w:szCs w:val="24"/>
          <w:lang w:val="en-US"/>
        </w:rPr>
        <w:t>with ALT.</w:t>
      </w:r>
    </w:p>
    <w:p w14:paraId="4CC8310F" w14:textId="080875EF" w:rsidR="002E532F" w:rsidRPr="007F560B" w:rsidRDefault="00A23C7F" w:rsidP="007F560B">
      <w:pPr>
        <w:snapToGrid w:val="0"/>
        <w:spacing w:line="360" w:lineRule="auto"/>
        <w:ind w:firstLineChars="100" w:firstLine="240"/>
        <w:jc w:val="both"/>
        <w:rPr>
          <w:rFonts w:cs="Times New Roman"/>
          <w:bCs/>
          <w:color w:val="000000"/>
          <w:sz w:val="24"/>
          <w:szCs w:val="24"/>
          <w:lang w:val="en-US"/>
        </w:rPr>
      </w:pPr>
      <w:r w:rsidRPr="007F560B">
        <w:rPr>
          <w:color w:val="000000"/>
          <w:sz w:val="24"/>
          <w:szCs w:val="24"/>
          <w:lang w:val="en-US"/>
        </w:rPr>
        <w:t xml:space="preserve">In conclusion, our results suggest </w:t>
      </w:r>
      <w:r w:rsidR="00A8261B" w:rsidRPr="007F560B">
        <w:rPr>
          <w:rFonts w:cs="Times New Roman"/>
          <w:bCs/>
          <w:color w:val="000000"/>
          <w:sz w:val="24"/>
          <w:szCs w:val="24"/>
          <w:lang w:val="en-US"/>
        </w:rPr>
        <w:t xml:space="preserve">that </w:t>
      </w:r>
      <w:r w:rsidR="00427671" w:rsidRPr="007F560B">
        <w:rPr>
          <w:rFonts w:cs="Times New Roman"/>
          <w:bCs/>
          <w:color w:val="000000"/>
          <w:sz w:val="24"/>
          <w:szCs w:val="24"/>
          <w:lang w:val="en-US"/>
        </w:rPr>
        <w:t>MIP-1d</w:t>
      </w:r>
      <w:r w:rsidR="00A8261B" w:rsidRPr="007F560B">
        <w:rPr>
          <w:rFonts w:cs="Times New Roman"/>
          <w:bCs/>
          <w:color w:val="000000"/>
          <w:sz w:val="24"/>
          <w:szCs w:val="24"/>
          <w:lang w:val="en-US"/>
        </w:rPr>
        <w:t>, CXCL9, CXCL6, IP-10</w:t>
      </w:r>
      <w:r w:rsidR="00B447EA">
        <w:rPr>
          <w:rFonts w:cs="Times New Roman"/>
          <w:bCs/>
          <w:color w:val="000000"/>
          <w:sz w:val="24"/>
          <w:szCs w:val="24"/>
          <w:lang w:val="en-US"/>
        </w:rPr>
        <w:t>,</w:t>
      </w:r>
      <w:r w:rsidR="00A8261B" w:rsidRPr="007F560B">
        <w:rPr>
          <w:rFonts w:cs="Times New Roman"/>
          <w:bCs/>
          <w:color w:val="000000"/>
          <w:sz w:val="24"/>
          <w:szCs w:val="24"/>
          <w:lang w:val="en-US"/>
        </w:rPr>
        <w:t xml:space="preserve"> and TARC have predictive </w:t>
      </w:r>
      <w:r w:rsidR="00B447EA">
        <w:rPr>
          <w:rFonts w:cs="Times New Roman"/>
          <w:bCs/>
          <w:color w:val="000000"/>
          <w:sz w:val="24"/>
          <w:szCs w:val="24"/>
          <w:lang w:val="en-US"/>
        </w:rPr>
        <w:t>significance in</w:t>
      </w:r>
      <w:r w:rsidR="00A8261B" w:rsidRPr="007F560B">
        <w:rPr>
          <w:rFonts w:cs="Times New Roman"/>
          <w:bCs/>
          <w:color w:val="000000"/>
          <w:sz w:val="24"/>
          <w:szCs w:val="24"/>
          <w:lang w:val="en-US"/>
        </w:rPr>
        <w:t xml:space="preserve"> interferon therapy. Cytokines are </w:t>
      </w:r>
      <w:r w:rsidR="007930FC" w:rsidRPr="007F560B">
        <w:rPr>
          <w:rFonts w:cs="Times New Roman"/>
          <w:bCs/>
          <w:color w:val="000000"/>
          <w:sz w:val="24"/>
          <w:szCs w:val="24"/>
          <w:lang w:val="en-US"/>
        </w:rPr>
        <w:t xml:space="preserve">fundamental </w:t>
      </w:r>
      <w:r w:rsidR="00A8261B" w:rsidRPr="007F560B">
        <w:rPr>
          <w:rFonts w:cs="Times New Roman"/>
          <w:bCs/>
          <w:color w:val="000000"/>
          <w:sz w:val="24"/>
          <w:szCs w:val="24"/>
          <w:lang w:val="en-US"/>
        </w:rPr>
        <w:t xml:space="preserve">molecules in the complex signaling network of cell-mediated immunity. Analyses of the changes in cytokine expression patterns during treatment </w:t>
      </w:r>
      <w:r w:rsidR="00B447EA">
        <w:rPr>
          <w:rFonts w:cs="Times New Roman"/>
          <w:bCs/>
          <w:color w:val="000000"/>
          <w:sz w:val="24"/>
          <w:szCs w:val="24"/>
          <w:lang w:val="en-US"/>
        </w:rPr>
        <w:t xml:space="preserve">can </w:t>
      </w:r>
      <w:r w:rsidR="00A8261B" w:rsidRPr="007F560B">
        <w:rPr>
          <w:rFonts w:cs="Times New Roman"/>
          <w:bCs/>
          <w:color w:val="000000"/>
          <w:sz w:val="24"/>
          <w:szCs w:val="24"/>
          <w:lang w:val="en-US"/>
        </w:rPr>
        <w:t>help to understand the pathogenesis of CHB and predict treatment responses.</w:t>
      </w:r>
      <w:r w:rsidR="001F211E" w:rsidRPr="007F560B">
        <w:rPr>
          <w:rFonts w:eastAsia="Minion-Regular"/>
          <w:color w:val="231F20"/>
          <w:sz w:val="24"/>
          <w:szCs w:val="24"/>
          <w:lang w:val="en-US"/>
        </w:rPr>
        <w:t xml:space="preserve"> </w:t>
      </w:r>
      <w:r w:rsidR="00A8261B" w:rsidRPr="007F560B">
        <w:rPr>
          <w:rFonts w:cs="Times New Roman"/>
          <w:bCs/>
          <w:color w:val="000000"/>
          <w:sz w:val="24"/>
          <w:szCs w:val="24"/>
          <w:lang w:val="en-US"/>
        </w:rPr>
        <w:t xml:space="preserve">However, there were limited subjects in this study, and unfortunately, we could not collect all samples from </w:t>
      </w:r>
      <w:r w:rsidR="00B447EA">
        <w:rPr>
          <w:rFonts w:cs="Times New Roman"/>
          <w:bCs/>
          <w:color w:val="000000"/>
          <w:sz w:val="24"/>
          <w:szCs w:val="24"/>
          <w:lang w:val="en-US"/>
        </w:rPr>
        <w:t xml:space="preserve">each </w:t>
      </w:r>
      <w:r w:rsidR="00A8261B" w:rsidRPr="007F560B">
        <w:rPr>
          <w:rFonts w:cs="Times New Roman"/>
          <w:bCs/>
          <w:color w:val="000000"/>
          <w:sz w:val="24"/>
          <w:szCs w:val="24"/>
          <w:lang w:val="en-US"/>
        </w:rPr>
        <w:t>patient</w:t>
      </w:r>
      <w:r w:rsidR="00B447EA" w:rsidRPr="00B447EA">
        <w:rPr>
          <w:rFonts w:cs="Times New Roman"/>
          <w:bCs/>
          <w:color w:val="000000"/>
          <w:sz w:val="24"/>
          <w:szCs w:val="24"/>
          <w:lang w:val="en-US"/>
        </w:rPr>
        <w:t xml:space="preserve"> </w:t>
      </w:r>
      <w:r w:rsidR="00BD3AE8">
        <w:rPr>
          <w:rFonts w:cs="Times New Roman"/>
          <w:bCs/>
          <w:color w:val="000000"/>
          <w:sz w:val="24"/>
          <w:szCs w:val="24"/>
          <w:lang w:val="en-US"/>
        </w:rPr>
        <w:t xml:space="preserve">at </w:t>
      </w:r>
      <w:r w:rsidR="00B447EA" w:rsidRPr="007F560B">
        <w:rPr>
          <w:rFonts w:cs="Times New Roman"/>
          <w:bCs/>
          <w:color w:val="000000"/>
          <w:sz w:val="24"/>
          <w:szCs w:val="24"/>
          <w:lang w:val="en-US"/>
        </w:rPr>
        <w:t>all treatment phases</w:t>
      </w:r>
      <w:r w:rsidR="00A8261B" w:rsidRPr="007F560B">
        <w:rPr>
          <w:rFonts w:cs="Times New Roman"/>
          <w:bCs/>
          <w:color w:val="000000"/>
          <w:sz w:val="24"/>
          <w:szCs w:val="24"/>
          <w:lang w:val="en-US"/>
        </w:rPr>
        <w:t xml:space="preserve">. Therefore, the statistical power was not adequate for an </w:t>
      </w:r>
      <w:r w:rsidR="00A8261B" w:rsidRPr="007F560B">
        <w:rPr>
          <w:rFonts w:cs="Times New Roman"/>
          <w:bCs/>
          <w:color w:val="000000"/>
          <w:sz w:val="24"/>
          <w:szCs w:val="24"/>
          <w:lang w:val="en-US"/>
        </w:rPr>
        <w:lastRenderedPageBreak/>
        <w:t>assessment of the usefulness of cytokines in monitoring CHB patients.</w:t>
      </w:r>
      <w:r w:rsidR="00A8261B" w:rsidRPr="007F560B">
        <w:rPr>
          <w:color w:val="000000"/>
          <w:sz w:val="24"/>
          <w:szCs w:val="24"/>
          <w:lang w:val="en-US"/>
        </w:rPr>
        <w:t xml:space="preserve"> </w:t>
      </w:r>
      <w:r w:rsidR="00A8261B" w:rsidRPr="007F560B">
        <w:rPr>
          <w:rFonts w:cs="Times New Roman"/>
          <w:bCs/>
          <w:color w:val="000000"/>
          <w:sz w:val="24"/>
          <w:szCs w:val="24"/>
          <w:lang w:val="en-US"/>
        </w:rPr>
        <w:t xml:space="preserve">Further large and long-term </w:t>
      </w:r>
      <w:r w:rsidR="00B447EA" w:rsidRPr="007F560B">
        <w:rPr>
          <w:rFonts w:cs="Times New Roman"/>
          <w:bCs/>
          <w:color w:val="000000"/>
          <w:sz w:val="24"/>
          <w:szCs w:val="24"/>
          <w:lang w:val="en-US"/>
        </w:rPr>
        <w:t>follow</w:t>
      </w:r>
      <w:r w:rsidR="00B447EA">
        <w:rPr>
          <w:rFonts w:cs="Times New Roman"/>
          <w:bCs/>
          <w:color w:val="000000"/>
          <w:sz w:val="24"/>
          <w:szCs w:val="24"/>
          <w:lang w:val="en-US"/>
        </w:rPr>
        <w:t>-</w:t>
      </w:r>
      <w:r w:rsidR="00A8261B" w:rsidRPr="007F560B">
        <w:rPr>
          <w:rFonts w:cs="Times New Roman"/>
          <w:bCs/>
          <w:color w:val="000000"/>
          <w:sz w:val="24"/>
          <w:szCs w:val="24"/>
          <w:lang w:val="en-US"/>
        </w:rPr>
        <w:t>up studies are</w:t>
      </w:r>
      <w:r w:rsidR="007930FC" w:rsidRPr="007F560B">
        <w:rPr>
          <w:sz w:val="24"/>
          <w:szCs w:val="24"/>
          <w:lang w:val="en-US"/>
        </w:rPr>
        <w:t xml:space="preserve"> </w:t>
      </w:r>
      <w:r w:rsidR="007930FC" w:rsidRPr="007F560B">
        <w:rPr>
          <w:rFonts w:cs="Times New Roman"/>
          <w:bCs/>
          <w:color w:val="000000"/>
          <w:sz w:val="24"/>
          <w:szCs w:val="24"/>
          <w:lang w:val="en-US"/>
        </w:rPr>
        <w:t xml:space="preserve">required </w:t>
      </w:r>
      <w:r w:rsidR="00A8261B" w:rsidRPr="007F560B">
        <w:rPr>
          <w:rFonts w:cs="Times New Roman"/>
          <w:bCs/>
          <w:color w:val="000000"/>
          <w:sz w:val="24"/>
          <w:szCs w:val="24"/>
          <w:lang w:val="en-US"/>
        </w:rPr>
        <w:t xml:space="preserve">to determine the predictive value of cytokines in CHB patients </w:t>
      </w:r>
      <w:r w:rsidR="00B447EA" w:rsidRPr="007F560B">
        <w:rPr>
          <w:rFonts w:cs="Times New Roman"/>
          <w:bCs/>
          <w:color w:val="000000"/>
          <w:sz w:val="24"/>
          <w:szCs w:val="24"/>
          <w:lang w:val="en-US"/>
        </w:rPr>
        <w:t>receiv</w:t>
      </w:r>
      <w:r w:rsidR="00B447EA">
        <w:rPr>
          <w:rFonts w:cs="Times New Roman"/>
          <w:bCs/>
          <w:color w:val="000000"/>
          <w:sz w:val="24"/>
          <w:szCs w:val="24"/>
          <w:lang w:val="en-US"/>
        </w:rPr>
        <w:t>ing</w:t>
      </w:r>
      <w:r w:rsidR="00B447EA" w:rsidRPr="007F560B">
        <w:rPr>
          <w:rFonts w:cs="Times New Roman"/>
          <w:bCs/>
          <w:color w:val="000000"/>
          <w:sz w:val="24"/>
          <w:szCs w:val="24"/>
          <w:lang w:val="en-US"/>
        </w:rPr>
        <w:t xml:space="preserve"> </w:t>
      </w:r>
      <w:r w:rsidR="00A8261B" w:rsidRPr="007F560B">
        <w:rPr>
          <w:rFonts w:cs="Times New Roman"/>
          <w:bCs/>
          <w:color w:val="000000"/>
          <w:sz w:val="24"/>
          <w:szCs w:val="24"/>
          <w:lang w:val="en-US"/>
        </w:rPr>
        <w:t>PEG-IFN treatment. In addition, the differences in these factors between the response and non-response groups and their specific biological roles in HBV infection require further investigation.</w:t>
      </w:r>
    </w:p>
    <w:p w14:paraId="370EF4D3" w14:textId="77777777" w:rsidR="0011576D" w:rsidRPr="007F560B" w:rsidRDefault="0011576D" w:rsidP="007F560B">
      <w:pPr>
        <w:snapToGrid w:val="0"/>
        <w:spacing w:line="360" w:lineRule="auto"/>
        <w:jc w:val="both"/>
        <w:rPr>
          <w:rFonts w:eastAsiaTheme="minorEastAsia" w:cs="Times New Roman"/>
          <w:bCs/>
          <w:color w:val="000000"/>
          <w:sz w:val="24"/>
          <w:szCs w:val="24"/>
          <w:lang w:val="en-US"/>
        </w:rPr>
      </w:pPr>
    </w:p>
    <w:p w14:paraId="53D31D77" w14:textId="77777777" w:rsidR="00A17C76" w:rsidRPr="007F560B" w:rsidRDefault="00A17C76" w:rsidP="007F560B">
      <w:pPr>
        <w:adjustRightInd w:val="0"/>
        <w:snapToGrid w:val="0"/>
        <w:spacing w:line="360" w:lineRule="auto"/>
        <w:jc w:val="both"/>
        <w:rPr>
          <w:b/>
          <w:color w:val="000000"/>
          <w:sz w:val="24"/>
          <w:szCs w:val="24"/>
          <w:u w:val="single"/>
          <w:lang w:val="en-US"/>
        </w:rPr>
      </w:pPr>
      <w:r w:rsidRPr="007F560B">
        <w:rPr>
          <w:b/>
          <w:color w:val="000000"/>
          <w:sz w:val="24"/>
          <w:szCs w:val="24"/>
          <w:u w:val="single"/>
          <w:lang w:val="en-US"/>
        </w:rPr>
        <w:t>ARTICLE HIGHLIGHTS</w:t>
      </w:r>
    </w:p>
    <w:p w14:paraId="651E3DC3" w14:textId="77777777" w:rsidR="00710588" w:rsidRPr="007F560B" w:rsidRDefault="00710588" w:rsidP="007F560B">
      <w:pPr>
        <w:adjustRightInd w:val="0"/>
        <w:snapToGrid w:val="0"/>
        <w:spacing w:line="360" w:lineRule="auto"/>
        <w:jc w:val="both"/>
        <w:rPr>
          <w:b/>
          <w:i/>
          <w:color w:val="000000"/>
          <w:sz w:val="24"/>
          <w:szCs w:val="24"/>
          <w:lang w:val="en-US"/>
        </w:rPr>
      </w:pPr>
      <w:r w:rsidRPr="007F560B">
        <w:rPr>
          <w:b/>
          <w:i/>
          <w:color w:val="000000"/>
          <w:sz w:val="24"/>
          <w:szCs w:val="24"/>
          <w:lang w:val="en-US"/>
        </w:rPr>
        <w:t>Research background</w:t>
      </w:r>
    </w:p>
    <w:p w14:paraId="54345262" w14:textId="25696232" w:rsidR="00710588" w:rsidRPr="007F560B" w:rsidRDefault="00A17C76" w:rsidP="007F560B">
      <w:pPr>
        <w:adjustRightInd w:val="0"/>
        <w:snapToGrid w:val="0"/>
        <w:spacing w:line="360" w:lineRule="auto"/>
        <w:jc w:val="both"/>
        <w:rPr>
          <w:color w:val="000000"/>
          <w:sz w:val="24"/>
          <w:szCs w:val="24"/>
          <w:lang w:val="en-US"/>
        </w:rPr>
      </w:pPr>
      <w:r w:rsidRPr="007F560B">
        <w:rPr>
          <w:rFonts w:eastAsia="TimesNewRoman" w:cs="TimesNewRoman"/>
          <w:sz w:val="24"/>
          <w:szCs w:val="24"/>
          <w:lang w:val="en-US"/>
        </w:rPr>
        <w:t>Hepatitis B virus (HBV)</w:t>
      </w:r>
      <w:r w:rsidR="005028FD" w:rsidRPr="007F560B">
        <w:rPr>
          <w:color w:val="000000"/>
          <w:sz w:val="24"/>
          <w:szCs w:val="24"/>
          <w:lang w:val="en-US"/>
        </w:rPr>
        <w:t xml:space="preserve"> infection remains a global major public health problem. </w:t>
      </w:r>
      <w:r w:rsidRPr="007F560B">
        <w:rPr>
          <w:rFonts w:eastAsia="TimesNewRoman" w:cs="TimesNewRoman"/>
          <w:sz w:val="24"/>
          <w:szCs w:val="24"/>
          <w:lang w:val="en-US"/>
        </w:rPr>
        <w:t>Chronic hepatitis B (CHB)</w:t>
      </w:r>
      <w:r w:rsidR="005028FD" w:rsidRPr="007F560B">
        <w:rPr>
          <w:color w:val="000000"/>
          <w:sz w:val="24"/>
          <w:szCs w:val="24"/>
          <w:lang w:val="en-US"/>
        </w:rPr>
        <w:t xml:space="preserve"> patients generally have an impaired host immune response, which may be associated with</w:t>
      </w:r>
      <w:r w:rsidR="00B447EA">
        <w:rPr>
          <w:color w:val="000000"/>
          <w:sz w:val="24"/>
          <w:szCs w:val="24"/>
          <w:lang w:val="en-US"/>
        </w:rPr>
        <w:t xml:space="preserve"> </w:t>
      </w:r>
      <w:r w:rsidR="005028FD" w:rsidRPr="007F560B">
        <w:rPr>
          <w:color w:val="000000"/>
          <w:sz w:val="24"/>
          <w:szCs w:val="24"/>
          <w:lang w:val="en-US"/>
        </w:rPr>
        <w:t>persistent</w:t>
      </w:r>
      <w:r w:rsidR="00B447EA">
        <w:rPr>
          <w:color w:val="000000"/>
          <w:sz w:val="24"/>
          <w:szCs w:val="24"/>
          <w:lang w:val="en-US"/>
        </w:rPr>
        <w:t>ly</w:t>
      </w:r>
      <w:r w:rsidR="005028FD" w:rsidRPr="007F560B">
        <w:rPr>
          <w:color w:val="000000"/>
          <w:sz w:val="24"/>
          <w:szCs w:val="24"/>
          <w:lang w:val="en-US"/>
        </w:rPr>
        <w:t xml:space="preserve"> high viral load and subsequent T cell failure</w:t>
      </w:r>
      <w:r w:rsidR="00B447EA">
        <w:rPr>
          <w:color w:val="000000"/>
          <w:sz w:val="24"/>
          <w:szCs w:val="24"/>
          <w:lang w:val="en-US"/>
        </w:rPr>
        <w:t>.</w:t>
      </w:r>
      <w:r w:rsidR="00B447EA" w:rsidRPr="007F560B">
        <w:rPr>
          <w:color w:val="000000"/>
          <w:sz w:val="24"/>
          <w:szCs w:val="24"/>
          <w:lang w:val="en-US"/>
        </w:rPr>
        <w:t xml:space="preserve"> </w:t>
      </w:r>
      <w:r w:rsidR="00B447EA">
        <w:rPr>
          <w:color w:val="000000"/>
          <w:sz w:val="24"/>
          <w:szCs w:val="24"/>
          <w:lang w:val="en-US"/>
        </w:rPr>
        <w:t>Since</w:t>
      </w:r>
      <w:r w:rsidR="005028FD" w:rsidRPr="007F560B">
        <w:rPr>
          <w:color w:val="000000"/>
          <w:sz w:val="24"/>
          <w:szCs w:val="24"/>
          <w:lang w:val="en-US"/>
        </w:rPr>
        <w:t xml:space="preserve"> peginterferon-alpha-2a (PEG-IFN) has direct antiviral and immunoregulatory effects, it has become one of the first choice drugs for the t</w:t>
      </w:r>
      <w:r w:rsidR="004D5368" w:rsidRPr="007F560B">
        <w:rPr>
          <w:color w:val="000000"/>
          <w:sz w:val="24"/>
          <w:szCs w:val="24"/>
          <w:lang w:val="en-US"/>
        </w:rPr>
        <w:t xml:space="preserve">reatment of </w:t>
      </w:r>
      <w:r w:rsidRPr="007F560B">
        <w:rPr>
          <w:color w:val="000000"/>
          <w:sz w:val="24"/>
          <w:szCs w:val="24"/>
          <w:lang w:val="en-US"/>
        </w:rPr>
        <w:t>CH</w:t>
      </w:r>
      <w:r w:rsidR="004D5368" w:rsidRPr="007F560B">
        <w:rPr>
          <w:color w:val="000000"/>
          <w:sz w:val="24"/>
          <w:szCs w:val="24"/>
          <w:lang w:val="en-US"/>
        </w:rPr>
        <w:t>B</w:t>
      </w:r>
      <w:r w:rsidR="00B447EA">
        <w:rPr>
          <w:color w:val="000000"/>
          <w:sz w:val="24"/>
          <w:szCs w:val="24"/>
          <w:lang w:val="en-US"/>
        </w:rPr>
        <w:t xml:space="preserve">. </w:t>
      </w:r>
      <w:r w:rsidR="004D5368" w:rsidRPr="007F560B">
        <w:rPr>
          <w:color w:val="000000"/>
          <w:sz w:val="24"/>
          <w:szCs w:val="24"/>
          <w:lang w:val="en-US"/>
        </w:rPr>
        <w:t xml:space="preserve">PEG-IFN has the properties of immune regulation, </w:t>
      </w:r>
      <w:r w:rsidR="00B447EA">
        <w:rPr>
          <w:color w:val="000000"/>
          <w:sz w:val="24"/>
          <w:szCs w:val="24"/>
          <w:lang w:val="en-US"/>
        </w:rPr>
        <w:t xml:space="preserve">and </w:t>
      </w:r>
      <w:r w:rsidR="004D5368" w:rsidRPr="007F560B">
        <w:rPr>
          <w:color w:val="000000"/>
          <w:sz w:val="24"/>
          <w:szCs w:val="24"/>
          <w:lang w:val="en-US"/>
        </w:rPr>
        <w:t xml:space="preserve">the host immune status may affect the efficacy of PEG-IFN in the treatment of </w:t>
      </w:r>
      <w:r w:rsidR="00432C1E">
        <w:rPr>
          <w:color w:val="000000"/>
          <w:sz w:val="24"/>
          <w:szCs w:val="24"/>
          <w:lang w:val="en-US"/>
        </w:rPr>
        <w:t>CHB</w:t>
      </w:r>
      <w:r w:rsidR="004D5368" w:rsidRPr="007F560B">
        <w:rPr>
          <w:color w:val="000000"/>
          <w:sz w:val="24"/>
          <w:szCs w:val="24"/>
          <w:lang w:val="en-US"/>
        </w:rPr>
        <w:t>.</w:t>
      </w:r>
    </w:p>
    <w:p w14:paraId="76494CB2" w14:textId="77777777" w:rsidR="00B06887" w:rsidRPr="007F560B" w:rsidRDefault="00B06887" w:rsidP="007F560B">
      <w:pPr>
        <w:adjustRightInd w:val="0"/>
        <w:snapToGrid w:val="0"/>
        <w:spacing w:line="360" w:lineRule="auto"/>
        <w:jc w:val="both"/>
        <w:rPr>
          <w:color w:val="000000"/>
          <w:sz w:val="24"/>
          <w:szCs w:val="24"/>
          <w:lang w:val="en-US"/>
        </w:rPr>
      </w:pPr>
    </w:p>
    <w:p w14:paraId="7510335C" w14:textId="77777777" w:rsidR="00710588" w:rsidRPr="007F560B" w:rsidRDefault="00710588" w:rsidP="007F560B">
      <w:pPr>
        <w:adjustRightInd w:val="0"/>
        <w:snapToGrid w:val="0"/>
        <w:spacing w:line="360" w:lineRule="auto"/>
        <w:jc w:val="both"/>
        <w:rPr>
          <w:b/>
          <w:i/>
          <w:color w:val="000000"/>
          <w:sz w:val="24"/>
          <w:szCs w:val="24"/>
          <w:lang w:val="en-US"/>
        </w:rPr>
      </w:pPr>
      <w:r w:rsidRPr="007F560B">
        <w:rPr>
          <w:b/>
          <w:i/>
          <w:color w:val="000000"/>
          <w:sz w:val="24"/>
          <w:szCs w:val="24"/>
          <w:lang w:val="en-US"/>
        </w:rPr>
        <w:t>Research motivation</w:t>
      </w:r>
    </w:p>
    <w:p w14:paraId="098F4371" w14:textId="56E8F1B4" w:rsidR="00710588" w:rsidRPr="007F560B" w:rsidRDefault="004D5368" w:rsidP="007F560B">
      <w:pPr>
        <w:adjustRightInd w:val="0"/>
        <w:snapToGrid w:val="0"/>
        <w:spacing w:line="360" w:lineRule="auto"/>
        <w:jc w:val="both"/>
        <w:rPr>
          <w:color w:val="000000"/>
          <w:sz w:val="24"/>
          <w:szCs w:val="24"/>
          <w:lang w:val="en-US"/>
        </w:rPr>
      </w:pPr>
      <w:r w:rsidRPr="007F560B">
        <w:rPr>
          <w:color w:val="000000"/>
          <w:sz w:val="24"/>
          <w:szCs w:val="24"/>
          <w:lang w:val="en-US"/>
        </w:rPr>
        <w:t>R</w:t>
      </w:r>
      <w:r w:rsidR="005028FD" w:rsidRPr="007F560B">
        <w:rPr>
          <w:color w:val="000000"/>
          <w:sz w:val="24"/>
          <w:szCs w:val="24"/>
          <w:lang w:val="en-US"/>
        </w:rPr>
        <w:t>ecently,</w:t>
      </w:r>
      <w:r w:rsidRPr="007F560B">
        <w:rPr>
          <w:color w:val="000000"/>
          <w:sz w:val="24"/>
          <w:szCs w:val="24"/>
          <w:lang w:val="en-US"/>
        </w:rPr>
        <w:t xml:space="preserve"> </w:t>
      </w:r>
      <w:r w:rsidR="005028FD" w:rsidRPr="007F560B">
        <w:rPr>
          <w:color w:val="000000"/>
          <w:sz w:val="24"/>
          <w:szCs w:val="24"/>
          <w:lang w:val="en-US"/>
        </w:rPr>
        <w:t xml:space="preserve">many studies have shown that cytokines and chemokines may play a potential role in chronic viral hepatitis. We aimed to determine the correlation between cytokine/chemokine expression levels </w:t>
      </w:r>
      <w:r w:rsidR="00B447EA">
        <w:rPr>
          <w:color w:val="000000"/>
          <w:sz w:val="24"/>
          <w:szCs w:val="24"/>
          <w:lang w:val="en-US"/>
        </w:rPr>
        <w:t>and</w:t>
      </w:r>
      <w:r w:rsidR="00B447EA" w:rsidRPr="007F560B">
        <w:rPr>
          <w:color w:val="000000"/>
          <w:sz w:val="24"/>
          <w:szCs w:val="24"/>
          <w:lang w:val="en-US"/>
        </w:rPr>
        <w:t xml:space="preserve"> </w:t>
      </w:r>
      <w:r w:rsidR="005028FD" w:rsidRPr="007F560B">
        <w:rPr>
          <w:color w:val="000000"/>
          <w:sz w:val="24"/>
          <w:szCs w:val="24"/>
          <w:lang w:val="en-US"/>
        </w:rPr>
        <w:t>response to PEG-IFN treatment in patients with CHB.</w:t>
      </w:r>
    </w:p>
    <w:p w14:paraId="581AF2A2" w14:textId="77777777" w:rsidR="00B06887" w:rsidRPr="007F560B" w:rsidRDefault="00B06887" w:rsidP="007F560B">
      <w:pPr>
        <w:adjustRightInd w:val="0"/>
        <w:snapToGrid w:val="0"/>
        <w:spacing w:line="360" w:lineRule="auto"/>
        <w:jc w:val="both"/>
        <w:rPr>
          <w:rFonts w:eastAsiaTheme="minorEastAsia"/>
          <w:color w:val="000000"/>
          <w:sz w:val="24"/>
          <w:szCs w:val="24"/>
          <w:lang w:val="en-US"/>
        </w:rPr>
      </w:pPr>
    </w:p>
    <w:p w14:paraId="1CDB0D9E" w14:textId="77777777" w:rsidR="00710588" w:rsidRPr="007F560B" w:rsidRDefault="00A17C76" w:rsidP="007F560B">
      <w:pPr>
        <w:adjustRightInd w:val="0"/>
        <w:snapToGrid w:val="0"/>
        <w:spacing w:line="360" w:lineRule="auto"/>
        <w:jc w:val="both"/>
        <w:rPr>
          <w:b/>
          <w:i/>
          <w:color w:val="000000"/>
          <w:sz w:val="24"/>
          <w:szCs w:val="24"/>
          <w:lang w:val="en-US"/>
        </w:rPr>
      </w:pPr>
      <w:r w:rsidRPr="007F560B">
        <w:rPr>
          <w:b/>
          <w:i/>
          <w:color w:val="000000"/>
          <w:sz w:val="24"/>
          <w:szCs w:val="24"/>
          <w:lang w:val="en-US"/>
        </w:rPr>
        <w:t>Research objectives</w:t>
      </w:r>
    </w:p>
    <w:p w14:paraId="1AA614EE" w14:textId="418D628D" w:rsidR="00710588" w:rsidRPr="007F560B" w:rsidRDefault="00B66A21" w:rsidP="007F560B">
      <w:pPr>
        <w:adjustRightInd w:val="0"/>
        <w:snapToGrid w:val="0"/>
        <w:spacing w:line="360" w:lineRule="auto"/>
        <w:jc w:val="both"/>
        <w:rPr>
          <w:color w:val="000000"/>
          <w:sz w:val="24"/>
          <w:szCs w:val="24"/>
          <w:lang w:val="en-US"/>
        </w:rPr>
      </w:pPr>
      <w:r w:rsidRPr="007F560B">
        <w:rPr>
          <w:color w:val="000000"/>
          <w:sz w:val="24"/>
          <w:szCs w:val="24"/>
          <w:lang w:val="en-US"/>
        </w:rPr>
        <w:t>Our main purpose was to analyze the serum levels of cytokines in CHB patient</w:t>
      </w:r>
      <w:r w:rsidR="00D22C3F" w:rsidRPr="007F560B">
        <w:rPr>
          <w:color w:val="000000"/>
          <w:sz w:val="24"/>
          <w:szCs w:val="24"/>
          <w:lang w:val="en-US"/>
        </w:rPr>
        <w:t xml:space="preserve">s receiving </w:t>
      </w:r>
      <w:r w:rsidR="00A17C76" w:rsidRPr="007F560B">
        <w:rPr>
          <w:color w:val="000000"/>
          <w:sz w:val="24"/>
          <w:szCs w:val="24"/>
          <w:lang w:val="en-US"/>
        </w:rPr>
        <w:t>PEG-IFN</w:t>
      </w:r>
      <w:r w:rsidR="00D22C3F" w:rsidRPr="007F560B">
        <w:rPr>
          <w:color w:val="000000"/>
          <w:sz w:val="24"/>
          <w:szCs w:val="24"/>
          <w:lang w:val="en-US"/>
        </w:rPr>
        <w:t xml:space="preserve"> </w:t>
      </w:r>
      <w:r w:rsidRPr="007F560B">
        <w:rPr>
          <w:color w:val="000000"/>
          <w:sz w:val="24"/>
          <w:szCs w:val="24"/>
          <w:lang w:val="en-US"/>
        </w:rPr>
        <w:t xml:space="preserve">treatment and responses to the therapy, and to assess the predictive value of the cytokines for the responses to </w:t>
      </w:r>
      <w:r w:rsidR="00A17C76" w:rsidRPr="007F560B">
        <w:rPr>
          <w:color w:val="000000"/>
          <w:sz w:val="24"/>
          <w:szCs w:val="24"/>
          <w:lang w:val="en-US"/>
        </w:rPr>
        <w:t>PEG-IFN</w:t>
      </w:r>
      <w:r w:rsidRPr="007F560B">
        <w:rPr>
          <w:color w:val="000000"/>
          <w:sz w:val="24"/>
          <w:szCs w:val="24"/>
          <w:lang w:val="en-US"/>
        </w:rPr>
        <w:t>.</w:t>
      </w:r>
    </w:p>
    <w:p w14:paraId="707DC094" w14:textId="77777777" w:rsidR="00B06887" w:rsidRPr="007F560B" w:rsidRDefault="00B06887" w:rsidP="007F560B">
      <w:pPr>
        <w:adjustRightInd w:val="0"/>
        <w:snapToGrid w:val="0"/>
        <w:spacing w:line="360" w:lineRule="auto"/>
        <w:jc w:val="both"/>
        <w:rPr>
          <w:color w:val="000000"/>
          <w:sz w:val="24"/>
          <w:szCs w:val="24"/>
          <w:lang w:val="en-US"/>
        </w:rPr>
      </w:pPr>
    </w:p>
    <w:p w14:paraId="2351F0F8" w14:textId="77777777" w:rsidR="00710588" w:rsidRPr="007F560B" w:rsidRDefault="00710588" w:rsidP="007F560B">
      <w:pPr>
        <w:adjustRightInd w:val="0"/>
        <w:snapToGrid w:val="0"/>
        <w:spacing w:line="360" w:lineRule="auto"/>
        <w:jc w:val="both"/>
        <w:rPr>
          <w:b/>
          <w:i/>
          <w:color w:val="000000"/>
          <w:sz w:val="24"/>
          <w:szCs w:val="24"/>
          <w:lang w:val="en-US"/>
        </w:rPr>
      </w:pPr>
      <w:r w:rsidRPr="007F560B">
        <w:rPr>
          <w:b/>
          <w:i/>
          <w:color w:val="000000"/>
          <w:sz w:val="24"/>
          <w:szCs w:val="24"/>
          <w:lang w:val="en-US"/>
        </w:rPr>
        <w:t>Research methods</w:t>
      </w:r>
    </w:p>
    <w:p w14:paraId="19960FAC" w14:textId="680AA518" w:rsidR="00710588" w:rsidRPr="007F560B" w:rsidRDefault="00D22C3F" w:rsidP="007F560B">
      <w:pPr>
        <w:adjustRightInd w:val="0"/>
        <w:snapToGrid w:val="0"/>
        <w:spacing w:line="360" w:lineRule="auto"/>
        <w:jc w:val="both"/>
        <w:rPr>
          <w:color w:val="000000"/>
          <w:sz w:val="24"/>
          <w:szCs w:val="24"/>
          <w:lang w:val="en-US"/>
        </w:rPr>
      </w:pPr>
      <w:r w:rsidRPr="007F560B">
        <w:rPr>
          <w:color w:val="000000"/>
          <w:sz w:val="24"/>
          <w:szCs w:val="24"/>
          <w:lang w:val="en-US"/>
        </w:rPr>
        <w:t xml:space="preserve">In total, 78 serum samples were prospectively collected with written informed </w:t>
      </w:r>
      <w:r w:rsidRPr="007F560B">
        <w:rPr>
          <w:color w:val="000000"/>
          <w:sz w:val="24"/>
          <w:szCs w:val="24"/>
          <w:lang w:val="en-US"/>
        </w:rPr>
        <w:lastRenderedPageBreak/>
        <w:t>consent from 26 CHB patients undergoi</w:t>
      </w:r>
      <w:r w:rsidR="00B06887" w:rsidRPr="007F560B">
        <w:rPr>
          <w:color w:val="000000"/>
          <w:sz w:val="24"/>
          <w:szCs w:val="24"/>
          <w:lang w:val="en-US"/>
        </w:rPr>
        <w:t xml:space="preserve">ng </w:t>
      </w:r>
      <w:r w:rsidR="00A17C76" w:rsidRPr="007F560B">
        <w:rPr>
          <w:color w:val="000000"/>
          <w:sz w:val="24"/>
          <w:szCs w:val="24"/>
          <w:lang w:val="en-US"/>
        </w:rPr>
        <w:t>PEG-IFN</w:t>
      </w:r>
      <w:r w:rsidR="00B06887" w:rsidRPr="007F560B">
        <w:rPr>
          <w:color w:val="000000"/>
          <w:sz w:val="24"/>
          <w:szCs w:val="24"/>
          <w:lang w:val="en-US"/>
        </w:rPr>
        <w:t xml:space="preserve"> therapy. </w:t>
      </w:r>
      <w:r w:rsidRPr="007F560B">
        <w:rPr>
          <w:color w:val="000000"/>
          <w:sz w:val="24"/>
          <w:szCs w:val="24"/>
          <w:lang w:val="en-US"/>
        </w:rPr>
        <w:t xml:space="preserve">A Luminex 200 analyzer and Cytokine Array I reagents were used to quantify 46 cytokines in the serum. The serum HBV DNA levels were assayed using a COBAS </w:t>
      </w:r>
      <w:proofErr w:type="spellStart"/>
      <w:r w:rsidRPr="007F560B">
        <w:rPr>
          <w:color w:val="000000"/>
          <w:sz w:val="24"/>
          <w:szCs w:val="24"/>
          <w:lang w:val="en-US"/>
        </w:rPr>
        <w:t>Amplicor</w:t>
      </w:r>
      <w:proofErr w:type="spellEnd"/>
      <w:r w:rsidRPr="007F560B">
        <w:rPr>
          <w:color w:val="000000"/>
          <w:sz w:val="24"/>
          <w:szCs w:val="24"/>
          <w:lang w:val="en-US"/>
        </w:rPr>
        <w:t xml:space="preserve">/COBAS </w:t>
      </w:r>
      <w:proofErr w:type="spellStart"/>
      <w:r w:rsidRPr="007F560B">
        <w:rPr>
          <w:color w:val="000000"/>
          <w:sz w:val="24"/>
          <w:szCs w:val="24"/>
          <w:lang w:val="en-US"/>
        </w:rPr>
        <w:t>TaqMan</w:t>
      </w:r>
      <w:proofErr w:type="spellEnd"/>
      <w:r w:rsidRPr="007F560B">
        <w:rPr>
          <w:color w:val="000000"/>
          <w:sz w:val="24"/>
          <w:szCs w:val="24"/>
          <w:lang w:val="en-US"/>
        </w:rPr>
        <w:t xml:space="preserve"> HBV test, and </w:t>
      </w:r>
      <w:proofErr w:type="spellStart"/>
      <w:r w:rsidRPr="007F560B">
        <w:rPr>
          <w:color w:val="000000"/>
          <w:sz w:val="24"/>
          <w:szCs w:val="24"/>
          <w:lang w:val="en-US"/>
        </w:rPr>
        <w:t>HBeAb</w:t>
      </w:r>
      <w:proofErr w:type="spellEnd"/>
      <w:r w:rsidRPr="007F560B">
        <w:rPr>
          <w:color w:val="000000"/>
          <w:sz w:val="24"/>
          <w:szCs w:val="24"/>
          <w:lang w:val="en-US"/>
        </w:rPr>
        <w:t xml:space="preserve"> </w:t>
      </w:r>
      <w:r w:rsidR="008C5DD1" w:rsidRPr="007F560B">
        <w:rPr>
          <w:color w:val="000000"/>
          <w:sz w:val="24"/>
          <w:szCs w:val="24"/>
          <w:lang w:val="en-US"/>
        </w:rPr>
        <w:t>was</w:t>
      </w:r>
      <w:r w:rsidRPr="007F560B">
        <w:rPr>
          <w:color w:val="000000"/>
          <w:sz w:val="24"/>
          <w:szCs w:val="24"/>
          <w:lang w:val="en-US"/>
        </w:rPr>
        <w:t xml:space="preserve"> </w:t>
      </w:r>
      <w:r w:rsidR="00B447EA">
        <w:rPr>
          <w:color w:val="000000"/>
          <w:sz w:val="24"/>
          <w:szCs w:val="24"/>
          <w:lang w:val="en-US"/>
        </w:rPr>
        <w:t>measured</w:t>
      </w:r>
      <w:r w:rsidR="00B447EA" w:rsidRPr="007F560B">
        <w:rPr>
          <w:color w:val="000000"/>
          <w:sz w:val="24"/>
          <w:szCs w:val="24"/>
          <w:lang w:val="en-US"/>
        </w:rPr>
        <w:t xml:space="preserve"> </w:t>
      </w:r>
      <w:r w:rsidRPr="007F560B">
        <w:rPr>
          <w:color w:val="000000"/>
          <w:sz w:val="24"/>
          <w:szCs w:val="24"/>
          <w:lang w:val="en-US"/>
        </w:rPr>
        <w:t>by enzyme immunoassay.</w:t>
      </w:r>
    </w:p>
    <w:p w14:paraId="2CE3E817" w14:textId="77777777" w:rsidR="00710588" w:rsidRPr="007F560B" w:rsidRDefault="00710588" w:rsidP="007F560B">
      <w:pPr>
        <w:adjustRightInd w:val="0"/>
        <w:snapToGrid w:val="0"/>
        <w:spacing w:line="360" w:lineRule="auto"/>
        <w:jc w:val="both"/>
        <w:rPr>
          <w:color w:val="000000"/>
          <w:sz w:val="24"/>
          <w:szCs w:val="24"/>
          <w:lang w:val="en-US"/>
        </w:rPr>
      </w:pPr>
    </w:p>
    <w:p w14:paraId="3E4B9372" w14:textId="77777777" w:rsidR="00710588" w:rsidRPr="007F560B" w:rsidRDefault="00710588" w:rsidP="007F560B">
      <w:pPr>
        <w:adjustRightInd w:val="0"/>
        <w:snapToGrid w:val="0"/>
        <w:spacing w:line="360" w:lineRule="auto"/>
        <w:jc w:val="both"/>
        <w:rPr>
          <w:b/>
          <w:i/>
          <w:color w:val="000000"/>
          <w:sz w:val="24"/>
          <w:szCs w:val="24"/>
          <w:lang w:val="en-US"/>
        </w:rPr>
      </w:pPr>
      <w:r w:rsidRPr="007F560B">
        <w:rPr>
          <w:b/>
          <w:i/>
          <w:color w:val="000000"/>
          <w:sz w:val="24"/>
          <w:szCs w:val="24"/>
          <w:lang w:val="en-US"/>
        </w:rPr>
        <w:t>Research results</w:t>
      </w:r>
    </w:p>
    <w:p w14:paraId="74645520" w14:textId="143E21A3" w:rsidR="00710588" w:rsidRPr="007F560B" w:rsidRDefault="00B06887" w:rsidP="007F560B">
      <w:pPr>
        <w:adjustRightInd w:val="0"/>
        <w:snapToGrid w:val="0"/>
        <w:spacing w:line="360" w:lineRule="auto"/>
        <w:jc w:val="both"/>
        <w:rPr>
          <w:color w:val="000000"/>
          <w:sz w:val="24"/>
          <w:szCs w:val="24"/>
          <w:lang w:val="en-US"/>
        </w:rPr>
      </w:pPr>
      <w:r w:rsidRPr="007F560B">
        <w:rPr>
          <w:color w:val="000000"/>
          <w:sz w:val="24"/>
          <w:szCs w:val="24"/>
          <w:lang w:val="en-US"/>
        </w:rPr>
        <w:t>A total of 26 patients (17 male</w:t>
      </w:r>
      <w:r w:rsidR="00B447EA">
        <w:rPr>
          <w:color w:val="000000"/>
          <w:sz w:val="24"/>
          <w:szCs w:val="24"/>
          <w:lang w:val="en-US"/>
        </w:rPr>
        <w:t>s</w:t>
      </w:r>
      <w:r w:rsidRPr="007F560B">
        <w:rPr>
          <w:color w:val="000000"/>
          <w:sz w:val="24"/>
          <w:szCs w:val="24"/>
          <w:lang w:val="en-US"/>
        </w:rPr>
        <w:t xml:space="preserve"> and 9 female</w:t>
      </w:r>
      <w:r w:rsidR="00B447EA">
        <w:rPr>
          <w:color w:val="000000"/>
          <w:sz w:val="24"/>
          <w:szCs w:val="24"/>
          <w:lang w:val="en-US"/>
        </w:rPr>
        <w:t>s</w:t>
      </w:r>
      <w:r w:rsidRPr="007F560B">
        <w:rPr>
          <w:color w:val="000000"/>
          <w:sz w:val="24"/>
          <w:szCs w:val="24"/>
          <w:lang w:val="en-US"/>
        </w:rPr>
        <w:t xml:space="preserve">; mean age, 28.8.3 ± 4.161 years in </w:t>
      </w:r>
      <w:proofErr w:type="spellStart"/>
      <w:r w:rsidRPr="007F560B">
        <w:rPr>
          <w:color w:val="000000"/>
          <w:sz w:val="24"/>
          <w:szCs w:val="24"/>
          <w:lang w:val="en-US"/>
        </w:rPr>
        <w:t>virological</w:t>
      </w:r>
      <w:proofErr w:type="spellEnd"/>
      <w:r w:rsidRPr="007F560B">
        <w:rPr>
          <w:color w:val="000000"/>
          <w:sz w:val="24"/>
          <w:szCs w:val="24"/>
          <w:lang w:val="en-US"/>
        </w:rPr>
        <w:t xml:space="preserve"> responders group, and 27.82</w:t>
      </w:r>
      <w:r w:rsidR="00430798" w:rsidRPr="007F560B">
        <w:rPr>
          <w:color w:val="000000"/>
          <w:sz w:val="24"/>
          <w:szCs w:val="24"/>
          <w:lang w:val="en-US"/>
        </w:rPr>
        <w:t xml:space="preserve"> </w:t>
      </w:r>
      <w:r w:rsidRPr="007F560B">
        <w:rPr>
          <w:color w:val="000000"/>
          <w:sz w:val="24"/>
          <w:szCs w:val="24"/>
          <w:lang w:val="en-US"/>
        </w:rPr>
        <w:t>±</w:t>
      </w:r>
      <w:r w:rsidR="00430798" w:rsidRPr="007F560B">
        <w:rPr>
          <w:color w:val="000000"/>
          <w:sz w:val="24"/>
          <w:szCs w:val="24"/>
          <w:lang w:val="en-US"/>
        </w:rPr>
        <w:t xml:space="preserve"> </w:t>
      </w:r>
      <w:r w:rsidRPr="007F560B">
        <w:rPr>
          <w:color w:val="000000"/>
          <w:sz w:val="24"/>
          <w:szCs w:val="24"/>
          <w:lang w:val="en-US"/>
        </w:rPr>
        <w:t xml:space="preserve">4.446 years in </w:t>
      </w:r>
      <w:proofErr w:type="spellStart"/>
      <w:r w:rsidRPr="007F560B">
        <w:rPr>
          <w:color w:val="000000"/>
          <w:sz w:val="24"/>
          <w:szCs w:val="24"/>
          <w:lang w:val="en-US"/>
        </w:rPr>
        <w:t>virological</w:t>
      </w:r>
      <w:proofErr w:type="spellEnd"/>
      <w:r w:rsidRPr="007F560B">
        <w:rPr>
          <w:color w:val="000000"/>
          <w:sz w:val="24"/>
          <w:szCs w:val="24"/>
          <w:lang w:val="en-US"/>
        </w:rPr>
        <w:t xml:space="preserve"> non-responders group) were enrolled in the study. The </w:t>
      </w:r>
      <w:proofErr w:type="spellStart"/>
      <w:r w:rsidRPr="007F560B">
        <w:rPr>
          <w:color w:val="000000"/>
          <w:sz w:val="24"/>
          <w:szCs w:val="24"/>
          <w:lang w:val="en-US"/>
        </w:rPr>
        <w:t>monokine</w:t>
      </w:r>
      <w:proofErr w:type="spellEnd"/>
      <w:r w:rsidRPr="007F560B">
        <w:rPr>
          <w:color w:val="000000"/>
          <w:sz w:val="24"/>
          <w:szCs w:val="24"/>
          <w:lang w:val="en-US"/>
        </w:rPr>
        <w:t xml:space="preserve"> induced by INF-γ (CXCL9) and serum interferon-inducible protein 10 (IP-10) levels at baseline were h</w:t>
      </w:r>
      <w:r w:rsidR="00430798" w:rsidRPr="007F560B">
        <w:rPr>
          <w:color w:val="000000"/>
          <w:sz w:val="24"/>
          <w:szCs w:val="24"/>
          <w:lang w:val="en-US"/>
        </w:rPr>
        <w:t xml:space="preserve">igher in </w:t>
      </w:r>
      <w:r w:rsidR="00B447EA">
        <w:rPr>
          <w:color w:val="000000"/>
          <w:sz w:val="24"/>
          <w:szCs w:val="24"/>
          <w:lang w:val="en-US"/>
        </w:rPr>
        <w:t xml:space="preserve">the </w:t>
      </w:r>
      <w:proofErr w:type="spellStart"/>
      <w:r w:rsidR="00430798" w:rsidRPr="007F560B">
        <w:rPr>
          <w:color w:val="000000"/>
          <w:sz w:val="24"/>
          <w:szCs w:val="24"/>
          <w:lang w:val="en-US"/>
        </w:rPr>
        <w:t>virological</w:t>
      </w:r>
      <w:proofErr w:type="spellEnd"/>
      <w:r w:rsidR="00430798" w:rsidRPr="007F560B">
        <w:rPr>
          <w:color w:val="000000"/>
          <w:sz w:val="24"/>
          <w:szCs w:val="24"/>
          <w:lang w:val="en-US"/>
        </w:rPr>
        <w:t xml:space="preserve"> responders</w:t>
      </w:r>
      <w:r w:rsidRPr="007F560B">
        <w:rPr>
          <w:color w:val="000000"/>
          <w:sz w:val="24"/>
          <w:szCs w:val="24"/>
          <w:lang w:val="en-US"/>
        </w:rPr>
        <w:t xml:space="preserve"> than</w:t>
      </w:r>
      <w:r w:rsidR="00430798" w:rsidRPr="007F560B">
        <w:rPr>
          <w:color w:val="000000"/>
          <w:sz w:val="24"/>
          <w:szCs w:val="24"/>
          <w:lang w:val="en-US"/>
        </w:rPr>
        <w:t xml:space="preserve"> in </w:t>
      </w:r>
      <w:r w:rsidR="00B447EA">
        <w:rPr>
          <w:color w:val="000000"/>
          <w:sz w:val="24"/>
          <w:szCs w:val="24"/>
          <w:lang w:val="en-US"/>
        </w:rPr>
        <w:t xml:space="preserve">the </w:t>
      </w:r>
      <w:r w:rsidR="00430798" w:rsidRPr="007F560B">
        <w:rPr>
          <w:color w:val="000000"/>
          <w:sz w:val="24"/>
          <w:szCs w:val="24"/>
          <w:lang w:val="en-US"/>
        </w:rPr>
        <w:t>non-</w:t>
      </w:r>
      <w:proofErr w:type="spellStart"/>
      <w:r w:rsidR="00430798" w:rsidRPr="007F560B">
        <w:rPr>
          <w:color w:val="000000"/>
          <w:sz w:val="24"/>
          <w:szCs w:val="24"/>
          <w:lang w:val="en-US"/>
        </w:rPr>
        <w:t>virological</w:t>
      </w:r>
      <w:proofErr w:type="spellEnd"/>
      <w:r w:rsidR="00430798" w:rsidRPr="007F560B">
        <w:rPr>
          <w:color w:val="000000"/>
          <w:sz w:val="24"/>
          <w:szCs w:val="24"/>
          <w:lang w:val="en-US"/>
        </w:rPr>
        <w:t xml:space="preserve"> responders </w:t>
      </w:r>
      <w:r w:rsidRPr="007F560B">
        <w:rPr>
          <w:color w:val="000000"/>
          <w:sz w:val="24"/>
          <w:szCs w:val="24"/>
          <w:lang w:val="en-US"/>
        </w:rPr>
        <w:t xml:space="preserve">and decreased during treatment. The CXCL9, IP-10, </w:t>
      </w:r>
      <w:r w:rsidR="00430798" w:rsidRPr="007F560B">
        <w:rPr>
          <w:rFonts w:eastAsia="TimesNewRoman" w:cs="TimesNewRoman"/>
          <w:sz w:val="24"/>
          <w:szCs w:val="24"/>
          <w:lang w:val="en-US"/>
        </w:rPr>
        <w:t>macrophage inflammatory protein 1d (MIP-1d)</w:t>
      </w:r>
      <w:r w:rsidR="00B447EA">
        <w:rPr>
          <w:rFonts w:eastAsia="TimesNewRoman" w:cs="TimesNewRoman"/>
          <w:sz w:val="24"/>
          <w:szCs w:val="24"/>
          <w:lang w:val="en-US"/>
        </w:rPr>
        <w:t>,</w:t>
      </w:r>
      <w:r w:rsidRPr="007F560B">
        <w:rPr>
          <w:color w:val="000000"/>
          <w:sz w:val="24"/>
          <w:szCs w:val="24"/>
          <w:lang w:val="en-US"/>
        </w:rPr>
        <w:t xml:space="preserve"> and </w:t>
      </w:r>
      <w:r w:rsidR="00430798" w:rsidRPr="007F560B">
        <w:rPr>
          <w:rFonts w:eastAsia="TimesNewRoman" w:cs="TimesNewRoman"/>
          <w:sz w:val="24"/>
          <w:szCs w:val="24"/>
          <w:lang w:val="en-US"/>
        </w:rPr>
        <w:t>thymus and activation-regulated chemokine (TARC)</w:t>
      </w:r>
      <w:r w:rsidRPr="007F560B">
        <w:rPr>
          <w:color w:val="000000"/>
          <w:sz w:val="24"/>
          <w:szCs w:val="24"/>
          <w:lang w:val="en-US"/>
        </w:rPr>
        <w:t xml:space="preserve"> baseline levels exhibited the expected effects for interferon treatment. </w:t>
      </w:r>
      <w:r w:rsidR="00B447EA">
        <w:rPr>
          <w:color w:val="000000"/>
          <w:sz w:val="24"/>
          <w:szCs w:val="24"/>
          <w:lang w:val="en-US"/>
        </w:rPr>
        <w:t>The a</w:t>
      </w:r>
      <w:r w:rsidR="00B447EA" w:rsidRPr="007F560B">
        <w:rPr>
          <w:color w:val="000000"/>
          <w:sz w:val="24"/>
          <w:szCs w:val="24"/>
          <w:lang w:val="en-US"/>
        </w:rPr>
        <w:t xml:space="preserve">rea </w:t>
      </w:r>
      <w:r w:rsidRPr="007F560B">
        <w:rPr>
          <w:color w:val="000000"/>
          <w:sz w:val="24"/>
          <w:szCs w:val="24"/>
          <w:lang w:val="en-US"/>
        </w:rPr>
        <w:t xml:space="preserve">under the </w:t>
      </w:r>
      <w:r w:rsidR="00B447EA">
        <w:rPr>
          <w:color w:val="000000"/>
          <w:sz w:val="24"/>
          <w:szCs w:val="24"/>
          <w:lang w:val="en-US"/>
        </w:rPr>
        <w:t>r</w:t>
      </w:r>
      <w:r w:rsidR="00B447EA" w:rsidRPr="007F560B">
        <w:rPr>
          <w:color w:val="000000"/>
          <w:sz w:val="24"/>
          <w:szCs w:val="24"/>
          <w:lang w:val="en-US"/>
        </w:rPr>
        <w:t xml:space="preserve">eceiver </w:t>
      </w:r>
      <w:r w:rsidR="00B447EA">
        <w:rPr>
          <w:color w:val="000000"/>
          <w:sz w:val="24"/>
          <w:szCs w:val="24"/>
          <w:lang w:val="en-US"/>
        </w:rPr>
        <w:t>o</w:t>
      </w:r>
      <w:r w:rsidR="00B447EA" w:rsidRPr="007F560B">
        <w:rPr>
          <w:color w:val="000000"/>
          <w:sz w:val="24"/>
          <w:szCs w:val="24"/>
          <w:lang w:val="en-US"/>
        </w:rPr>
        <w:t xml:space="preserve">perating </w:t>
      </w:r>
      <w:r w:rsidR="00B447EA">
        <w:rPr>
          <w:color w:val="000000"/>
          <w:sz w:val="24"/>
          <w:szCs w:val="24"/>
          <w:lang w:val="en-US"/>
        </w:rPr>
        <w:t>c</w:t>
      </w:r>
      <w:r w:rsidR="00B447EA" w:rsidRPr="007F560B">
        <w:rPr>
          <w:color w:val="000000"/>
          <w:sz w:val="24"/>
          <w:szCs w:val="24"/>
          <w:lang w:val="en-US"/>
        </w:rPr>
        <w:t xml:space="preserve">haracteristic </w:t>
      </w:r>
      <w:r w:rsidR="00430798" w:rsidRPr="007F560B">
        <w:rPr>
          <w:color w:val="000000"/>
          <w:sz w:val="24"/>
          <w:szCs w:val="24"/>
          <w:lang w:val="en-US"/>
        </w:rPr>
        <w:t>curve</w:t>
      </w:r>
      <w:r w:rsidRPr="007F560B">
        <w:rPr>
          <w:color w:val="000000"/>
          <w:sz w:val="24"/>
          <w:szCs w:val="24"/>
          <w:lang w:val="en-US"/>
        </w:rPr>
        <w:t xml:space="preserve"> values of CXCL9, IP-10, MIP-1d</w:t>
      </w:r>
      <w:r w:rsidR="00B447EA">
        <w:rPr>
          <w:color w:val="000000"/>
          <w:sz w:val="24"/>
          <w:szCs w:val="24"/>
          <w:lang w:val="en-US"/>
        </w:rPr>
        <w:t>,</w:t>
      </w:r>
      <w:r w:rsidRPr="007F560B">
        <w:rPr>
          <w:color w:val="000000"/>
          <w:sz w:val="24"/>
          <w:szCs w:val="24"/>
          <w:lang w:val="en-US"/>
        </w:rPr>
        <w:t xml:space="preserve"> and TARC </w:t>
      </w:r>
      <w:r w:rsidR="00B447EA">
        <w:rPr>
          <w:color w:val="000000"/>
          <w:sz w:val="24"/>
          <w:szCs w:val="24"/>
          <w:lang w:val="en-US"/>
        </w:rPr>
        <w:t xml:space="preserve">for predicting the </w:t>
      </w:r>
      <w:proofErr w:type="spellStart"/>
      <w:r w:rsidR="00B447EA" w:rsidRPr="007F560B">
        <w:rPr>
          <w:color w:val="000000"/>
          <w:sz w:val="24"/>
          <w:szCs w:val="24"/>
          <w:lang w:val="en-US"/>
        </w:rPr>
        <w:t>virological</w:t>
      </w:r>
      <w:proofErr w:type="spellEnd"/>
      <w:r w:rsidR="00B447EA" w:rsidRPr="007F560B">
        <w:rPr>
          <w:color w:val="000000"/>
          <w:sz w:val="24"/>
          <w:szCs w:val="24"/>
          <w:lang w:val="en-US"/>
        </w:rPr>
        <w:t xml:space="preserve"> </w:t>
      </w:r>
      <w:r w:rsidR="00B447EA">
        <w:rPr>
          <w:color w:val="000000"/>
          <w:sz w:val="24"/>
          <w:szCs w:val="24"/>
          <w:lang w:val="en-US"/>
        </w:rPr>
        <w:t xml:space="preserve">response </w:t>
      </w:r>
      <w:r w:rsidRPr="007F560B">
        <w:rPr>
          <w:color w:val="000000"/>
          <w:sz w:val="24"/>
          <w:szCs w:val="24"/>
          <w:lang w:val="en-US"/>
        </w:rPr>
        <w:t>were 0.787, 0.799, 0.787</w:t>
      </w:r>
      <w:r w:rsidR="00B447EA">
        <w:rPr>
          <w:color w:val="000000"/>
          <w:sz w:val="24"/>
          <w:szCs w:val="24"/>
          <w:lang w:val="en-US"/>
        </w:rPr>
        <w:t>,</w:t>
      </w:r>
      <w:r w:rsidRPr="007F560B">
        <w:rPr>
          <w:color w:val="000000"/>
          <w:sz w:val="24"/>
          <w:szCs w:val="24"/>
          <w:lang w:val="en-US"/>
        </w:rPr>
        <w:t xml:space="preserve"> and 0.77 (</w:t>
      </w:r>
      <w:r w:rsidRPr="007F560B">
        <w:rPr>
          <w:i/>
          <w:caps/>
          <w:color w:val="000000"/>
          <w:sz w:val="24"/>
          <w:szCs w:val="24"/>
          <w:lang w:val="en-US"/>
        </w:rPr>
        <w:t>p</w:t>
      </w:r>
      <w:r w:rsidRPr="007F560B">
        <w:rPr>
          <w:color w:val="000000"/>
          <w:sz w:val="24"/>
          <w:szCs w:val="24"/>
          <w:lang w:val="en-US"/>
        </w:rPr>
        <w:t xml:space="preserve"> = 0.01, 0.013, 0.01, </w:t>
      </w:r>
      <w:r w:rsidR="00B447EA" w:rsidRPr="007F560B">
        <w:rPr>
          <w:rFonts w:eastAsia="TimesNewRoman" w:cs="TimesNewRoman"/>
          <w:sz w:val="24"/>
          <w:szCs w:val="24"/>
          <w:lang w:val="en-US"/>
        </w:rPr>
        <w:t>and</w:t>
      </w:r>
      <w:r w:rsidRPr="007F560B">
        <w:rPr>
          <w:color w:val="000000"/>
          <w:sz w:val="24"/>
          <w:szCs w:val="24"/>
          <w:lang w:val="en-US"/>
        </w:rPr>
        <w:t xml:space="preserve"> 0.021), respectively.</w:t>
      </w:r>
    </w:p>
    <w:p w14:paraId="4822AF3A" w14:textId="77777777" w:rsidR="00710588" w:rsidRPr="007F560B" w:rsidRDefault="00710588" w:rsidP="007F560B">
      <w:pPr>
        <w:adjustRightInd w:val="0"/>
        <w:snapToGrid w:val="0"/>
        <w:spacing w:line="360" w:lineRule="auto"/>
        <w:jc w:val="both"/>
        <w:rPr>
          <w:color w:val="000000"/>
          <w:sz w:val="24"/>
          <w:szCs w:val="24"/>
          <w:lang w:val="en-US"/>
        </w:rPr>
      </w:pPr>
    </w:p>
    <w:p w14:paraId="75A90E9F" w14:textId="77777777" w:rsidR="00710588" w:rsidRPr="007F560B" w:rsidRDefault="00710588" w:rsidP="007F560B">
      <w:pPr>
        <w:adjustRightInd w:val="0"/>
        <w:snapToGrid w:val="0"/>
        <w:spacing w:line="360" w:lineRule="auto"/>
        <w:jc w:val="both"/>
        <w:rPr>
          <w:b/>
          <w:i/>
          <w:color w:val="000000"/>
          <w:sz w:val="24"/>
          <w:szCs w:val="24"/>
          <w:lang w:val="en-US"/>
        </w:rPr>
      </w:pPr>
      <w:r w:rsidRPr="007F560B">
        <w:rPr>
          <w:b/>
          <w:i/>
          <w:color w:val="000000"/>
          <w:sz w:val="24"/>
          <w:szCs w:val="24"/>
          <w:lang w:val="en-US"/>
        </w:rPr>
        <w:t>Research conclusions</w:t>
      </w:r>
    </w:p>
    <w:p w14:paraId="71A2DFB2" w14:textId="34937C50" w:rsidR="00710588" w:rsidRPr="007F560B" w:rsidRDefault="0048754E" w:rsidP="007F560B">
      <w:pPr>
        <w:adjustRightInd w:val="0"/>
        <w:snapToGrid w:val="0"/>
        <w:spacing w:line="360" w:lineRule="auto"/>
        <w:jc w:val="both"/>
        <w:rPr>
          <w:color w:val="000000"/>
          <w:sz w:val="24"/>
          <w:szCs w:val="24"/>
          <w:lang w:val="en-US"/>
        </w:rPr>
      </w:pPr>
      <w:r w:rsidRPr="007F560B">
        <w:rPr>
          <w:color w:val="000000"/>
          <w:sz w:val="24"/>
          <w:szCs w:val="24"/>
          <w:lang w:val="en-US"/>
        </w:rPr>
        <w:t>In conclusion, our results suggest that MIP-1d, CXCL9, CXCL6, IP-10</w:t>
      </w:r>
      <w:r w:rsidR="00B447EA">
        <w:rPr>
          <w:color w:val="000000"/>
          <w:sz w:val="24"/>
          <w:szCs w:val="24"/>
          <w:lang w:val="en-US"/>
        </w:rPr>
        <w:t>,</w:t>
      </w:r>
      <w:r w:rsidRPr="007F560B">
        <w:rPr>
          <w:color w:val="000000"/>
          <w:sz w:val="24"/>
          <w:szCs w:val="24"/>
          <w:lang w:val="en-US"/>
        </w:rPr>
        <w:t xml:space="preserve"> and TARC have predictive </w:t>
      </w:r>
      <w:r w:rsidR="00B447EA">
        <w:rPr>
          <w:color w:val="000000"/>
          <w:sz w:val="24"/>
          <w:szCs w:val="24"/>
          <w:lang w:val="en-US"/>
        </w:rPr>
        <w:t>significance</w:t>
      </w:r>
      <w:r w:rsidR="00B447EA" w:rsidRPr="007F560B">
        <w:rPr>
          <w:color w:val="000000"/>
          <w:sz w:val="24"/>
          <w:szCs w:val="24"/>
          <w:lang w:val="en-US"/>
        </w:rPr>
        <w:t xml:space="preserve"> </w:t>
      </w:r>
      <w:r w:rsidR="00B447EA">
        <w:rPr>
          <w:color w:val="000000"/>
          <w:sz w:val="24"/>
          <w:szCs w:val="24"/>
          <w:lang w:val="en-US"/>
        </w:rPr>
        <w:t>i</w:t>
      </w:r>
      <w:r w:rsidR="00B447EA" w:rsidRPr="007F560B">
        <w:rPr>
          <w:color w:val="000000"/>
          <w:sz w:val="24"/>
          <w:szCs w:val="24"/>
          <w:lang w:val="en-US"/>
        </w:rPr>
        <w:t xml:space="preserve">n </w:t>
      </w:r>
      <w:r w:rsidRPr="007F560B">
        <w:rPr>
          <w:color w:val="000000"/>
          <w:sz w:val="24"/>
          <w:szCs w:val="24"/>
          <w:lang w:val="en-US"/>
        </w:rPr>
        <w:t xml:space="preserve">interferon therapy. Cytokines are fundamental molecules in the complex signaling network of cell-mediated immunity. Analyses of the changes in cytokine expression patterns during treatment </w:t>
      </w:r>
      <w:r w:rsidR="00B447EA">
        <w:rPr>
          <w:color w:val="000000"/>
          <w:sz w:val="24"/>
          <w:szCs w:val="24"/>
          <w:lang w:val="en-US"/>
        </w:rPr>
        <w:t xml:space="preserve">can </w:t>
      </w:r>
      <w:r w:rsidRPr="007F560B">
        <w:rPr>
          <w:color w:val="000000"/>
          <w:sz w:val="24"/>
          <w:szCs w:val="24"/>
          <w:lang w:val="en-US"/>
        </w:rPr>
        <w:t>help to understand the pathogenesis of CHB and predict treatment responses.</w:t>
      </w:r>
    </w:p>
    <w:p w14:paraId="106CAC46" w14:textId="77777777" w:rsidR="00710588" w:rsidRPr="007F560B" w:rsidRDefault="00710588" w:rsidP="007F560B">
      <w:pPr>
        <w:adjustRightInd w:val="0"/>
        <w:snapToGrid w:val="0"/>
        <w:spacing w:line="360" w:lineRule="auto"/>
        <w:jc w:val="both"/>
        <w:rPr>
          <w:color w:val="000000"/>
          <w:sz w:val="24"/>
          <w:szCs w:val="24"/>
          <w:lang w:val="en-US"/>
        </w:rPr>
      </w:pPr>
    </w:p>
    <w:p w14:paraId="3419AF9B" w14:textId="77777777" w:rsidR="00710588" w:rsidRPr="007F560B" w:rsidRDefault="00710588" w:rsidP="007F560B">
      <w:pPr>
        <w:adjustRightInd w:val="0"/>
        <w:snapToGrid w:val="0"/>
        <w:spacing w:line="360" w:lineRule="auto"/>
        <w:jc w:val="both"/>
        <w:rPr>
          <w:b/>
          <w:i/>
          <w:color w:val="000000"/>
          <w:sz w:val="24"/>
          <w:szCs w:val="24"/>
          <w:lang w:val="en-US"/>
        </w:rPr>
      </w:pPr>
      <w:r w:rsidRPr="007F560B">
        <w:rPr>
          <w:b/>
          <w:i/>
          <w:color w:val="000000"/>
          <w:sz w:val="24"/>
          <w:szCs w:val="24"/>
          <w:lang w:val="en-US"/>
        </w:rPr>
        <w:t>Research perspectives</w:t>
      </w:r>
    </w:p>
    <w:p w14:paraId="58728D4C" w14:textId="71773971" w:rsidR="00710588" w:rsidRPr="007F560B" w:rsidRDefault="0048754E" w:rsidP="007F560B">
      <w:pPr>
        <w:snapToGrid w:val="0"/>
        <w:spacing w:line="360" w:lineRule="auto"/>
        <w:jc w:val="both"/>
        <w:rPr>
          <w:rFonts w:eastAsiaTheme="minorEastAsia" w:cs="Times New Roman"/>
          <w:bCs/>
          <w:color w:val="000000"/>
          <w:sz w:val="24"/>
          <w:szCs w:val="24"/>
          <w:lang w:val="en-US"/>
        </w:rPr>
      </w:pPr>
      <w:r w:rsidRPr="007F560B">
        <w:rPr>
          <w:rFonts w:eastAsiaTheme="minorEastAsia" w:cs="Times New Roman"/>
          <w:bCs/>
          <w:color w:val="000000"/>
          <w:sz w:val="24"/>
          <w:szCs w:val="24"/>
          <w:lang w:val="en-US"/>
        </w:rPr>
        <w:t xml:space="preserve">Further large and long-term </w:t>
      </w:r>
      <w:r w:rsidR="00B447EA" w:rsidRPr="007F560B">
        <w:rPr>
          <w:rFonts w:eastAsiaTheme="minorEastAsia" w:cs="Times New Roman"/>
          <w:bCs/>
          <w:color w:val="000000"/>
          <w:sz w:val="24"/>
          <w:szCs w:val="24"/>
          <w:lang w:val="en-US"/>
        </w:rPr>
        <w:t>follow</w:t>
      </w:r>
      <w:r w:rsidR="00B447EA">
        <w:rPr>
          <w:rFonts w:eastAsiaTheme="minorEastAsia" w:cs="Times New Roman"/>
          <w:bCs/>
          <w:color w:val="000000"/>
          <w:sz w:val="24"/>
          <w:szCs w:val="24"/>
          <w:lang w:val="en-US"/>
        </w:rPr>
        <w:t>-</w:t>
      </w:r>
      <w:r w:rsidRPr="007F560B">
        <w:rPr>
          <w:rFonts w:eastAsiaTheme="minorEastAsia" w:cs="Times New Roman"/>
          <w:bCs/>
          <w:color w:val="000000"/>
          <w:sz w:val="24"/>
          <w:szCs w:val="24"/>
          <w:lang w:val="en-US"/>
        </w:rPr>
        <w:t>up studies are required to determine the predictive value of cytokines in CHB patients</w:t>
      </w:r>
      <w:r w:rsidR="00510A21">
        <w:rPr>
          <w:rFonts w:eastAsiaTheme="minorEastAsia" w:cs="Times New Roman"/>
          <w:bCs/>
          <w:color w:val="000000"/>
          <w:sz w:val="24"/>
          <w:szCs w:val="24"/>
          <w:lang w:val="en-US"/>
        </w:rPr>
        <w:t xml:space="preserve"> </w:t>
      </w:r>
      <w:r w:rsidR="00510A21" w:rsidRPr="007F560B">
        <w:rPr>
          <w:rFonts w:eastAsiaTheme="minorEastAsia" w:cs="Times New Roman"/>
          <w:bCs/>
          <w:color w:val="000000"/>
          <w:sz w:val="24"/>
          <w:szCs w:val="24"/>
          <w:lang w:val="en-US"/>
        </w:rPr>
        <w:t>receiv</w:t>
      </w:r>
      <w:r w:rsidR="00510A21">
        <w:rPr>
          <w:rFonts w:eastAsiaTheme="minorEastAsia" w:cs="Times New Roman"/>
          <w:bCs/>
          <w:color w:val="000000"/>
          <w:sz w:val="24"/>
          <w:szCs w:val="24"/>
          <w:lang w:val="en-US"/>
        </w:rPr>
        <w:t>ing</w:t>
      </w:r>
      <w:r w:rsidR="00510A21" w:rsidRPr="007F560B">
        <w:rPr>
          <w:rFonts w:eastAsiaTheme="minorEastAsia" w:cs="Times New Roman"/>
          <w:bCs/>
          <w:color w:val="000000"/>
          <w:sz w:val="24"/>
          <w:szCs w:val="24"/>
          <w:lang w:val="en-US"/>
        </w:rPr>
        <w:t xml:space="preserve"> </w:t>
      </w:r>
      <w:r w:rsidRPr="007F560B">
        <w:rPr>
          <w:rFonts w:eastAsiaTheme="minorEastAsia" w:cs="Times New Roman"/>
          <w:bCs/>
          <w:color w:val="000000"/>
          <w:sz w:val="24"/>
          <w:szCs w:val="24"/>
          <w:lang w:val="en-US"/>
        </w:rPr>
        <w:t>PEG-IFN treatment.</w:t>
      </w:r>
      <w:r w:rsidR="008C5DD1" w:rsidRPr="007F560B">
        <w:rPr>
          <w:rFonts w:eastAsiaTheme="minorEastAsia" w:cs="Times New Roman"/>
          <w:bCs/>
          <w:color w:val="000000"/>
          <w:sz w:val="24"/>
          <w:szCs w:val="24"/>
          <w:lang w:val="en-US"/>
        </w:rPr>
        <w:t xml:space="preserve"> Besides</w:t>
      </w:r>
      <w:r w:rsidRPr="007F560B">
        <w:rPr>
          <w:rFonts w:eastAsiaTheme="minorEastAsia" w:cs="Times New Roman"/>
          <w:bCs/>
          <w:color w:val="000000"/>
          <w:sz w:val="24"/>
          <w:szCs w:val="24"/>
          <w:lang w:val="en-US"/>
        </w:rPr>
        <w:t xml:space="preserve">, the differences in these factors between the response and </w:t>
      </w:r>
      <w:r w:rsidRPr="007F560B">
        <w:rPr>
          <w:rFonts w:eastAsiaTheme="minorEastAsia" w:cs="Times New Roman"/>
          <w:bCs/>
          <w:color w:val="000000"/>
          <w:sz w:val="24"/>
          <w:szCs w:val="24"/>
          <w:lang w:val="en-US"/>
        </w:rPr>
        <w:lastRenderedPageBreak/>
        <w:t>non-response groups and their specific biological roles in HBV infection require further investigation.</w:t>
      </w:r>
    </w:p>
    <w:p w14:paraId="3DA37B18" w14:textId="77777777" w:rsidR="0048754E" w:rsidRPr="007F560B" w:rsidRDefault="0048754E" w:rsidP="007F560B">
      <w:pPr>
        <w:snapToGrid w:val="0"/>
        <w:spacing w:line="360" w:lineRule="auto"/>
        <w:jc w:val="both"/>
        <w:rPr>
          <w:rFonts w:eastAsiaTheme="minorEastAsia" w:cs="Times New Roman"/>
          <w:bCs/>
          <w:color w:val="000000"/>
          <w:sz w:val="24"/>
          <w:szCs w:val="24"/>
          <w:lang w:val="en-US"/>
        </w:rPr>
      </w:pPr>
    </w:p>
    <w:p w14:paraId="43B6236E" w14:textId="77777777" w:rsidR="00A8261B" w:rsidRPr="007F560B" w:rsidRDefault="003455AD" w:rsidP="007F560B">
      <w:pPr>
        <w:snapToGrid w:val="0"/>
        <w:spacing w:line="360" w:lineRule="auto"/>
        <w:jc w:val="both"/>
        <w:rPr>
          <w:rFonts w:eastAsiaTheme="minorEastAsia"/>
          <w:b/>
          <w:sz w:val="24"/>
          <w:szCs w:val="24"/>
          <w:lang w:val="en-US"/>
        </w:rPr>
      </w:pPr>
      <w:r w:rsidRPr="007F560B">
        <w:rPr>
          <w:rFonts w:eastAsiaTheme="minorEastAsia"/>
          <w:b/>
          <w:sz w:val="24"/>
          <w:szCs w:val="24"/>
          <w:lang w:val="en-US"/>
        </w:rPr>
        <w:t>REFERENCES</w:t>
      </w:r>
    </w:p>
    <w:p w14:paraId="3D7A1963"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1 </w:t>
      </w:r>
      <w:r w:rsidRPr="007F560B">
        <w:rPr>
          <w:b/>
          <w:sz w:val="24"/>
          <w:szCs w:val="24"/>
          <w:lang w:val="en-US"/>
        </w:rPr>
        <w:t>Lee HM</w:t>
      </w:r>
      <w:r w:rsidRPr="007F560B">
        <w:rPr>
          <w:sz w:val="24"/>
          <w:szCs w:val="24"/>
          <w:lang w:val="en-US"/>
        </w:rPr>
        <w:t xml:space="preserve">, </w:t>
      </w:r>
      <w:proofErr w:type="spellStart"/>
      <w:r w:rsidRPr="007F560B">
        <w:rPr>
          <w:sz w:val="24"/>
          <w:szCs w:val="24"/>
          <w:lang w:val="en-US"/>
        </w:rPr>
        <w:t>Banini</w:t>
      </w:r>
      <w:proofErr w:type="spellEnd"/>
      <w:r w:rsidRPr="007F560B">
        <w:rPr>
          <w:sz w:val="24"/>
          <w:szCs w:val="24"/>
          <w:lang w:val="en-US"/>
        </w:rPr>
        <w:t xml:space="preserve"> BA. Updates on Chronic HBV: Current Challenges and Future Goals. </w:t>
      </w:r>
      <w:proofErr w:type="spellStart"/>
      <w:r w:rsidRPr="007F560B">
        <w:rPr>
          <w:i/>
          <w:sz w:val="24"/>
          <w:szCs w:val="24"/>
          <w:lang w:val="en-US"/>
        </w:rPr>
        <w:t>Curr</w:t>
      </w:r>
      <w:proofErr w:type="spellEnd"/>
      <w:r w:rsidRPr="007F560B">
        <w:rPr>
          <w:i/>
          <w:sz w:val="24"/>
          <w:szCs w:val="24"/>
          <w:lang w:val="en-US"/>
        </w:rPr>
        <w:t xml:space="preserve"> Treat Options </w:t>
      </w:r>
      <w:proofErr w:type="spellStart"/>
      <w:r w:rsidRPr="007F560B">
        <w:rPr>
          <w:i/>
          <w:sz w:val="24"/>
          <w:szCs w:val="24"/>
          <w:lang w:val="en-US"/>
        </w:rPr>
        <w:t>Gastroenterol</w:t>
      </w:r>
      <w:proofErr w:type="spellEnd"/>
      <w:r w:rsidRPr="007F560B">
        <w:rPr>
          <w:sz w:val="24"/>
          <w:szCs w:val="24"/>
          <w:lang w:val="en-US"/>
        </w:rPr>
        <w:t xml:space="preserve"> 2019; </w:t>
      </w:r>
      <w:r w:rsidRPr="007F560B">
        <w:rPr>
          <w:b/>
          <w:sz w:val="24"/>
          <w:szCs w:val="24"/>
          <w:lang w:val="en-US"/>
        </w:rPr>
        <w:t>17</w:t>
      </w:r>
      <w:r w:rsidRPr="007F560B">
        <w:rPr>
          <w:sz w:val="24"/>
          <w:szCs w:val="24"/>
          <w:lang w:val="en-US"/>
        </w:rPr>
        <w:t>: 271-291 [PMID: 31077059 DOI: 10.1007/s11938-019-00236-3]</w:t>
      </w:r>
    </w:p>
    <w:p w14:paraId="102CD06C"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2 </w:t>
      </w:r>
      <w:r w:rsidRPr="007F560B">
        <w:rPr>
          <w:b/>
          <w:sz w:val="24"/>
          <w:szCs w:val="24"/>
          <w:lang w:val="en-US"/>
        </w:rPr>
        <w:t>Schweitzer A</w:t>
      </w:r>
      <w:r w:rsidRPr="007F560B">
        <w:rPr>
          <w:sz w:val="24"/>
          <w:szCs w:val="24"/>
          <w:lang w:val="en-US"/>
        </w:rPr>
        <w:t xml:space="preserve">, Horn J, </w:t>
      </w:r>
      <w:proofErr w:type="spellStart"/>
      <w:r w:rsidRPr="007F560B">
        <w:rPr>
          <w:sz w:val="24"/>
          <w:szCs w:val="24"/>
          <w:lang w:val="en-US"/>
        </w:rPr>
        <w:t>Mikolajczyk</w:t>
      </w:r>
      <w:proofErr w:type="spellEnd"/>
      <w:r w:rsidRPr="007F560B">
        <w:rPr>
          <w:sz w:val="24"/>
          <w:szCs w:val="24"/>
          <w:lang w:val="en-US"/>
        </w:rPr>
        <w:t xml:space="preserve"> RT, Krause G, Ott JJ. Estimations of worldwide prevalence of chronic hepatitis B virus infection: a systematic review of data published between 1965 and 2013. </w:t>
      </w:r>
      <w:r w:rsidRPr="007F560B">
        <w:rPr>
          <w:i/>
          <w:sz w:val="24"/>
          <w:szCs w:val="24"/>
          <w:lang w:val="en-US"/>
        </w:rPr>
        <w:t>Lancet</w:t>
      </w:r>
      <w:r w:rsidRPr="007F560B">
        <w:rPr>
          <w:sz w:val="24"/>
          <w:szCs w:val="24"/>
          <w:lang w:val="en-US"/>
        </w:rPr>
        <w:t xml:space="preserve"> 2015; </w:t>
      </w:r>
      <w:r w:rsidRPr="007F560B">
        <w:rPr>
          <w:b/>
          <w:sz w:val="24"/>
          <w:szCs w:val="24"/>
          <w:lang w:val="en-US"/>
        </w:rPr>
        <w:t>386</w:t>
      </w:r>
      <w:r w:rsidRPr="007F560B">
        <w:rPr>
          <w:sz w:val="24"/>
          <w:szCs w:val="24"/>
          <w:lang w:val="en-US"/>
        </w:rPr>
        <w:t>: 1546-1555 [PMID: 26231459 DOI: 10.1016/S0140-6736(15)61412-X]</w:t>
      </w:r>
    </w:p>
    <w:p w14:paraId="22447077"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3 </w:t>
      </w:r>
      <w:r w:rsidRPr="007F560B">
        <w:rPr>
          <w:b/>
          <w:sz w:val="24"/>
          <w:szCs w:val="24"/>
          <w:lang w:val="en-US"/>
        </w:rPr>
        <w:t>McCarty TR</w:t>
      </w:r>
      <w:r w:rsidRPr="007F560B">
        <w:rPr>
          <w:sz w:val="24"/>
          <w:szCs w:val="24"/>
          <w:lang w:val="en-US"/>
        </w:rPr>
        <w:t xml:space="preserve">, </w:t>
      </w:r>
      <w:proofErr w:type="spellStart"/>
      <w:r w:rsidRPr="007F560B">
        <w:rPr>
          <w:sz w:val="24"/>
          <w:szCs w:val="24"/>
          <w:lang w:val="en-US"/>
        </w:rPr>
        <w:t>Bazarbashi</w:t>
      </w:r>
      <w:proofErr w:type="spellEnd"/>
      <w:r w:rsidRPr="007F560B">
        <w:rPr>
          <w:sz w:val="24"/>
          <w:szCs w:val="24"/>
          <w:lang w:val="en-US"/>
        </w:rPr>
        <w:t xml:space="preserve"> AN, </w:t>
      </w:r>
      <w:proofErr w:type="spellStart"/>
      <w:r w:rsidRPr="007F560B">
        <w:rPr>
          <w:sz w:val="24"/>
          <w:szCs w:val="24"/>
          <w:lang w:val="en-US"/>
        </w:rPr>
        <w:t>Hathorn</w:t>
      </w:r>
      <w:proofErr w:type="spellEnd"/>
      <w:r w:rsidRPr="007F560B">
        <w:rPr>
          <w:sz w:val="24"/>
          <w:szCs w:val="24"/>
          <w:lang w:val="en-US"/>
        </w:rPr>
        <w:t xml:space="preserve"> KE, Thompson CC, </w:t>
      </w:r>
      <w:proofErr w:type="spellStart"/>
      <w:r w:rsidRPr="007F560B">
        <w:rPr>
          <w:sz w:val="24"/>
          <w:szCs w:val="24"/>
          <w:lang w:val="en-US"/>
        </w:rPr>
        <w:t>Ryou</w:t>
      </w:r>
      <w:proofErr w:type="spellEnd"/>
      <w:r w:rsidRPr="007F560B">
        <w:rPr>
          <w:sz w:val="24"/>
          <w:szCs w:val="24"/>
          <w:lang w:val="en-US"/>
        </w:rPr>
        <w:t xml:space="preserve"> M. Combination therapy </w:t>
      </w:r>
      <w:r w:rsidRPr="007F560B">
        <w:rPr>
          <w:i/>
          <w:sz w:val="24"/>
          <w:szCs w:val="24"/>
          <w:lang w:val="en-US"/>
        </w:rPr>
        <w:t>versus</w:t>
      </w:r>
      <w:r w:rsidRPr="007F560B">
        <w:rPr>
          <w:sz w:val="24"/>
          <w:szCs w:val="24"/>
          <w:lang w:val="en-US"/>
        </w:rPr>
        <w:t xml:space="preserve"> monotherapy for EUS-guided management of gastric varices: A systematic review and meta-analysis. </w:t>
      </w:r>
      <w:proofErr w:type="spellStart"/>
      <w:r w:rsidRPr="007F560B">
        <w:rPr>
          <w:i/>
          <w:sz w:val="24"/>
          <w:szCs w:val="24"/>
          <w:lang w:val="en-US"/>
        </w:rPr>
        <w:t>Endosc</w:t>
      </w:r>
      <w:proofErr w:type="spellEnd"/>
      <w:r w:rsidRPr="007F560B">
        <w:rPr>
          <w:i/>
          <w:sz w:val="24"/>
          <w:szCs w:val="24"/>
          <w:lang w:val="en-US"/>
        </w:rPr>
        <w:t xml:space="preserve"> Ultrasound</w:t>
      </w:r>
      <w:r w:rsidRPr="007F560B">
        <w:rPr>
          <w:sz w:val="24"/>
          <w:szCs w:val="24"/>
          <w:lang w:val="en-US"/>
        </w:rPr>
        <w:t xml:space="preserve"> 2020; </w:t>
      </w:r>
      <w:r w:rsidRPr="007F560B">
        <w:rPr>
          <w:b/>
          <w:sz w:val="24"/>
          <w:szCs w:val="24"/>
          <w:lang w:val="en-US"/>
        </w:rPr>
        <w:t>9</w:t>
      </w:r>
      <w:r w:rsidRPr="007F560B">
        <w:rPr>
          <w:sz w:val="24"/>
          <w:szCs w:val="24"/>
          <w:lang w:val="en-US"/>
        </w:rPr>
        <w:t>: 6-15 [PMID: 31417066 DOI: 10.4103/eus.eus_37_19]</w:t>
      </w:r>
    </w:p>
    <w:p w14:paraId="369B45AB"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4 </w:t>
      </w:r>
      <w:proofErr w:type="spellStart"/>
      <w:r w:rsidRPr="007F560B">
        <w:rPr>
          <w:b/>
          <w:sz w:val="24"/>
          <w:szCs w:val="24"/>
          <w:lang w:val="en-US"/>
        </w:rPr>
        <w:t>Samarasena</w:t>
      </w:r>
      <w:proofErr w:type="spellEnd"/>
      <w:r w:rsidRPr="007F560B">
        <w:rPr>
          <w:b/>
          <w:sz w:val="24"/>
          <w:szCs w:val="24"/>
          <w:lang w:val="en-US"/>
        </w:rPr>
        <w:t xml:space="preserve"> J</w:t>
      </w:r>
      <w:r w:rsidRPr="007F560B">
        <w:rPr>
          <w:sz w:val="24"/>
          <w:szCs w:val="24"/>
          <w:lang w:val="en-US"/>
        </w:rPr>
        <w:t xml:space="preserve">, Chang KJ. Endo-hepatology: A new paradigm. </w:t>
      </w:r>
      <w:proofErr w:type="spellStart"/>
      <w:r w:rsidRPr="007F560B">
        <w:rPr>
          <w:i/>
          <w:sz w:val="24"/>
          <w:szCs w:val="24"/>
          <w:lang w:val="en-US"/>
        </w:rPr>
        <w:t>Endosc</w:t>
      </w:r>
      <w:proofErr w:type="spellEnd"/>
      <w:r w:rsidRPr="007F560B">
        <w:rPr>
          <w:i/>
          <w:sz w:val="24"/>
          <w:szCs w:val="24"/>
          <w:lang w:val="en-US"/>
        </w:rPr>
        <w:t xml:space="preserve"> Ultrasound</w:t>
      </w:r>
      <w:r w:rsidRPr="007F560B">
        <w:rPr>
          <w:sz w:val="24"/>
          <w:szCs w:val="24"/>
          <w:lang w:val="en-US"/>
        </w:rPr>
        <w:t xml:space="preserve"> 2018; </w:t>
      </w:r>
      <w:r w:rsidRPr="007F560B">
        <w:rPr>
          <w:b/>
          <w:sz w:val="24"/>
          <w:szCs w:val="24"/>
          <w:lang w:val="en-US"/>
        </w:rPr>
        <w:t>7</w:t>
      </w:r>
      <w:r w:rsidRPr="007F560B">
        <w:rPr>
          <w:sz w:val="24"/>
          <w:szCs w:val="24"/>
          <w:lang w:val="en-US"/>
        </w:rPr>
        <w:t>: 219-222 [PMID: 30117482 DOI: 10.4103/eus.eus_30_18]</w:t>
      </w:r>
    </w:p>
    <w:p w14:paraId="7DCC930D"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5 </w:t>
      </w:r>
      <w:r w:rsidRPr="007F560B">
        <w:rPr>
          <w:b/>
          <w:sz w:val="24"/>
          <w:szCs w:val="24"/>
          <w:lang w:val="en-US"/>
        </w:rPr>
        <w:t>Huang JY</w:t>
      </w:r>
      <w:r w:rsidRPr="007F560B">
        <w:rPr>
          <w:sz w:val="24"/>
          <w:szCs w:val="24"/>
          <w:lang w:val="en-US"/>
        </w:rPr>
        <w:t xml:space="preserve">. Role of EUS-guided liver biopsy in benign parenchymal disease (with video). </w:t>
      </w:r>
      <w:proofErr w:type="spellStart"/>
      <w:r w:rsidRPr="007F560B">
        <w:rPr>
          <w:i/>
          <w:sz w:val="24"/>
          <w:szCs w:val="24"/>
          <w:lang w:val="en-US"/>
        </w:rPr>
        <w:t>Endosc</w:t>
      </w:r>
      <w:proofErr w:type="spellEnd"/>
      <w:r w:rsidRPr="007F560B">
        <w:rPr>
          <w:i/>
          <w:sz w:val="24"/>
          <w:szCs w:val="24"/>
          <w:lang w:val="en-US"/>
        </w:rPr>
        <w:t xml:space="preserve"> Ultrasound</w:t>
      </w:r>
      <w:r w:rsidRPr="007F560B">
        <w:rPr>
          <w:sz w:val="24"/>
          <w:szCs w:val="24"/>
          <w:lang w:val="en-US"/>
        </w:rPr>
        <w:t xml:space="preserve"> 2018; </w:t>
      </w:r>
      <w:r w:rsidRPr="007F560B">
        <w:rPr>
          <w:b/>
          <w:sz w:val="24"/>
          <w:szCs w:val="24"/>
          <w:lang w:val="en-US"/>
        </w:rPr>
        <w:t>7</w:t>
      </w:r>
      <w:r w:rsidRPr="007F560B">
        <w:rPr>
          <w:sz w:val="24"/>
          <w:szCs w:val="24"/>
          <w:lang w:val="en-US"/>
        </w:rPr>
        <w:t>: 236-239 [PMID: 30117485 DOI: 10.4103/eus.eus_33_18]</w:t>
      </w:r>
    </w:p>
    <w:p w14:paraId="2C324313"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6 </w:t>
      </w:r>
      <w:proofErr w:type="spellStart"/>
      <w:r w:rsidRPr="007F560B">
        <w:rPr>
          <w:b/>
          <w:sz w:val="24"/>
          <w:szCs w:val="24"/>
          <w:lang w:val="en-US"/>
        </w:rPr>
        <w:t>Samarasena</w:t>
      </w:r>
      <w:proofErr w:type="spellEnd"/>
      <w:r w:rsidRPr="007F560B">
        <w:rPr>
          <w:b/>
          <w:sz w:val="24"/>
          <w:szCs w:val="24"/>
          <w:lang w:val="en-US"/>
        </w:rPr>
        <w:t xml:space="preserve"> JB</w:t>
      </w:r>
      <w:r w:rsidRPr="007F560B">
        <w:rPr>
          <w:sz w:val="24"/>
          <w:szCs w:val="24"/>
          <w:lang w:val="en-US"/>
        </w:rPr>
        <w:t xml:space="preserve">, Yu AR, Chang KJ. EUS-guided portal pressure measurement (with videos). </w:t>
      </w:r>
      <w:proofErr w:type="spellStart"/>
      <w:r w:rsidRPr="007F560B">
        <w:rPr>
          <w:i/>
          <w:sz w:val="24"/>
          <w:szCs w:val="24"/>
          <w:lang w:val="en-US"/>
        </w:rPr>
        <w:t>Endosc</w:t>
      </w:r>
      <w:proofErr w:type="spellEnd"/>
      <w:r w:rsidRPr="007F560B">
        <w:rPr>
          <w:i/>
          <w:sz w:val="24"/>
          <w:szCs w:val="24"/>
          <w:lang w:val="en-US"/>
        </w:rPr>
        <w:t xml:space="preserve"> Ultrasound</w:t>
      </w:r>
      <w:r w:rsidRPr="007F560B">
        <w:rPr>
          <w:sz w:val="24"/>
          <w:szCs w:val="24"/>
          <w:lang w:val="en-US"/>
        </w:rPr>
        <w:t xml:space="preserve"> 2018; </w:t>
      </w:r>
      <w:r w:rsidRPr="007F560B">
        <w:rPr>
          <w:b/>
          <w:sz w:val="24"/>
          <w:szCs w:val="24"/>
          <w:lang w:val="en-US"/>
        </w:rPr>
        <w:t>7</w:t>
      </w:r>
      <w:r w:rsidRPr="007F560B">
        <w:rPr>
          <w:sz w:val="24"/>
          <w:szCs w:val="24"/>
          <w:lang w:val="en-US"/>
        </w:rPr>
        <w:t>: 257-262 [PMID: 30117489 DOI: 10.4103/eus.eus_35_18]</w:t>
      </w:r>
    </w:p>
    <w:p w14:paraId="1F43F25E"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7 </w:t>
      </w:r>
      <w:proofErr w:type="spellStart"/>
      <w:r w:rsidRPr="007F560B">
        <w:rPr>
          <w:b/>
          <w:sz w:val="24"/>
          <w:szCs w:val="24"/>
          <w:lang w:val="en-US"/>
        </w:rPr>
        <w:t>Lisotti</w:t>
      </w:r>
      <w:proofErr w:type="spellEnd"/>
      <w:r w:rsidRPr="007F560B">
        <w:rPr>
          <w:b/>
          <w:sz w:val="24"/>
          <w:szCs w:val="24"/>
          <w:lang w:val="en-US"/>
        </w:rPr>
        <w:t xml:space="preserve"> A</w:t>
      </w:r>
      <w:r w:rsidRPr="007F560B">
        <w:rPr>
          <w:sz w:val="24"/>
          <w:szCs w:val="24"/>
          <w:lang w:val="en-US"/>
        </w:rPr>
        <w:t xml:space="preserve">, </w:t>
      </w:r>
      <w:proofErr w:type="spellStart"/>
      <w:r w:rsidRPr="007F560B">
        <w:rPr>
          <w:sz w:val="24"/>
          <w:szCs w:val="24"/>
          <w:lang w:val="en-US"/>
        </w:rPr>
        <w:t>Serrani</w:t>
      </w:r>
      <w:proofErr w:type="spellEnd"/>
      <w:r w:rsidRPr="007F560B">
        <w:rPr>
          <w:sz w:val="24"/>
          <w:szCs w:val="24"/>
          <w:lang w:val="en-US"/>
        </w:rPr>
        <w:t xml:space="preserve"> M, </w:t>
      </w:r>
      <w:proofErr w:type="spellStart"/>
      <w:r w:rsidRPr="007F560B">
        <w:rPr>
          <w:sz w:val="24"/>
          <w:szCs w:val="24"/>
          <w:lang w:val="en-US"/>
        </w:rPr>
        <w:t>Caletti</w:t>
      </w:r>
      <w:proofErr w:type="spellEnd"/>
      <w:r w:rsidRPr="007F560B">
        <w:rPr>
          <w:sz w:val="24"/>
          <w:szCs w:val="24"/>
          <w:lang w:val="en-US"/>
        </w:rPr>
        <w:t xml:space="preserve"> G, </w:t>
      </w:r>
      <w:proofErr w:type="spellStart"/>
      <w:r w:rsidRPr="007F560B">
        <w:rPr>
          <w:sz w:val="24"/>
          <w:szCs w:val="24"/>
          <w:lang w:val="en-US"/>
        </w:rPr>
        <w:t>Fusaroli</w:t>
      </w:r>
      <w:proofErr w:type="spellEnd"/>
      <w:r w:rsidRPr="007F560B">
        <w:rPr>
          <w:sz w:val="24"/>
          <w:szCs w:val="24"/>
          <w:lang w:val="en-US"/>
        </w:rPr>
        <w:t xml:space="preserve"> P. EUS liver assessment using contrast agents and elastography. </w:t>
      </w:r>
      <w:proofErr w:type="spellStart"/>
      <w:r w:rsidRPr="007F560B">
        <w:rPr>
          <w:i/>
          <w:sz w:val="24"/>
          <w:szCs w:val="24"/>
          <w:lang w:val="en-US"/>
        </w:rPr>
        <w:t>Endosc</w:t>
      </w:r>
      <w:proofErr w:type="spellEnd"/>
      <w:r w:rsidRPr="007F560B">
        <w:rPr>
          <w:i/>
          <w:sz w:val="24"/>
          <w:szCs w:val="24"/>
          <w:lang w:val="en-US"/>
        </w:rPr>
        <w:t xml:space="preserve"> Ultrasound</w:t>
      </w:r>
      <w:r w:rsidRPr="007F560B">
        <w:rPr>
          <w:sz w:val="24"/>
          <w:szCs w:val="24"/>
          <w:lang w:val="en-US"/>
        </w:rPr>
        <w:t xml:space="preserve"> 2018; </w:t>
      </w:r>
      <w:r w:rsidRPr="007F560B">
        <w:rPr>
          <w:b/>
          <w:sz w:val="24"/>
          <w:szCs w:val="24"/>
          <w:lang w:val="en-US"/>
        </w:rPr>
        <w:t>7</w:t>
      </w:r>
      <w:r w:rsidRPr="007F560B">
        <w:rPr>
          <w:sz w:val="24"/>
          <w:szCs w:val="24"/>
          <w:lang w:val="en-US"/>
        </w:rPr>
        <w:t>: 252-256 [PMID: 30117488 DOI: 10.4103/eus.eus_29_18]</w:t>
      </w:r>
    </w:p>
    <w:p w14:paraId="0CB5B80C"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8 </w:t>
      </w:r>
      <w:proofErr w:type="spellStart"/>
      <w:r w:rsidRPr="007F560B">
        <w:rPr>
          <w:b/>
          <w:sz w:val="24"/>
          <w:szCs w:val="24"/>
          <w:lang w:val="en-US"/>
        </w:rPr>
        <w:t>Djiambou-Nganjeu</w:t>
      </w:r>
      <w:proofErr w:type="spellEnd"/>
      <w:r w:rsidRPr="007F560B">
        <w:rPr>
          <w:b/>
          <w:sz w:val="24"/>
          <w:szCs w:val="24"/>
          <w:lang w:val="en-US"/>
        </w:rPr>
        <w:t xml:space="preserve"> H</w:t>
      </w:r>
      <w:r w:rsidRPr="007F560B">
        <w:rPr>
          <w:sz w:val="24"/>
          <w:szCs w:val="24"/>
          <w:lang w:val="en-US"/>
        </w:rPr>
        <w:t xml:space="preserve">. Hepatic Encephalopathy in Patients in </w:t>
      </w:r>
      <w:proofErr w:type="spellStart"/>
      <w:r w:rsidRPr="007F560B">
        <w:rPr>
          <w:sz w:val="24"/>
          <w:szCs w:val="24"/>
          <w:lang w:val="en-US"/>
        </w:rPr>
        <w:t>Lviv</w:t>
      </w:r>
      <w:proofErr w:type="spellEnd"/>
      <w:r w:rsidRPr="007F560B">
        <w:rPr>
          <w:sz w:val="24"/>
          <w:szCs w:val="24"/>
          <w:lang w:val="en-US"/>
        </w:rPr>
        <w:t xml:space="preserve"> (Ukraine). </w:t>
      </w:r>
      <w:r w:rsidRPr="007F560B">
        <w:rPr>
          <w:i/>
          <w:sz w:val="24"/>
          <w:szCs w:val="24"/>
          <w:lang w:val="en-US"/>
        </w:rPr>
        <w:t xml:space="preserve">J </w:t>
      </w:r>
      <w:proofErr w:type="spellStart"/>
      <w:r w:rsidRPr="007F560B">
        <w:rPr>
          <w:i/>
          <w:sz w:val="24"/>
          <w:szCs w:val="24"/>
          <w:lang w:val="en-US"/>
        </w:rPr>
        <w:t>Transl</w:t>
      </w:r>
      <w:proofErr w:type="spellEnd"/>
      <w:r w:rsidRPr="007F560B">
        <w:rPr>
          <w:i/>
          <w:sz w:val="24"/>
          <w:szCs w:val="24"/>
          <w:lang w:val="en-US"/>
        </w:rPr>
        <w:t xml:space="preserve"> </w:t>
      </w:r>
      <w:proofErr w:type="spellStart"/>
      <w:r w:rsidRPr="007F560B">
        <w:rPr>
          <w:i/>
          <w:sz w:val="24"/>
          <w:szCs w:val="24"/>
          <w:lang w:val="en-US"/>
        </w:rPr>
        <w:t>Int</w:t>
      </w:r>
      <w:proofErr w:type="spellEnd"/>
      <w:r w:rsidRPr="007F560B">
        <w:rPr>
          <w:i/>
          <w:sz w:val="24"/>
          <w:szCs w:val="24"/>
          <w:lang w:val="en-US"/>
        </w:rPr>
        <w:t xml:space="preserve"> Med</w:t>
      </w:r>
      <w:r w:rsidRPr="007F560B">
        <w:rPr>
          <w:sz w:val="24"/>
          <w:szCs w:val="24"/>
          <w:lang w:val="en-US"/>
        </w:rPr>
        <w:t xml:space="preserve"> 2018; </w:t>
      </w:r>
      <w:r w:rsidRPr="007F560B">
        <w:rPr>
          <w:b/>
          <w:sz w:val="24"/>
          <w:szCs w:val="24"/>
          <w:lang w:val="en-US"/>
        </w:rPr>
        <w:t>6</w:t>
      </w:r>
      <w:r w:rsidRPr="007F560B">
        <w:rPr>
          <w:sz w:val="24"/>
          <w:szCs w:val="24"/>
          <w:lang w:val="en-US"/>
        </w:rPr>
        <w:t>: 146-151 [PMID: 30425951 DOI: 10.2478/jtim-2018-0021]</w:t>
      </w:r>
    </w:p>
    <w:p w14:paraId="32626B2B"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9 </w:t>
      </w:r>
      <w:r w:rsidRPr="007F560B">
        <w:rPr>
          <w:b/>
          <w:sz w:val="24"/>
          <w:szCs w:val="24"/>
          <w:lang w:val="en-US"/>
        </w:rPr>
        <w:t>Song T</w:t>
      </w:r>
      <w:r w:rsidRPr="007F560B">
        <w:rPr>
          <w:sz w:val="24"/>
          <w:szCs w:val="24"/>
          <w:lang w:val="en-US"/>
        </w:rPr>
        <w:t xml:space="preserve">, Jia Z, Guo X, Zhao H, Bao W, Han D, Zhou X, Qi X. Does Hepatic Impairment Influence Renal Function Parameters in Liver Cirrhosis? </w:t>
      </w:r>
      <w:r w:rsidRPr="007F560B">
        <w:rPr>
          <w:i/>
          <w:sz w:val="24"/>
          <w:szCs w:val="24"/>
          <w:lang w:val="en-US"/>
        </w:rPr>
        <w:t xml:space="preserve">J </w:t>
      </w:r>
      <w:proofErr w:type="spellStart"/>
      <w:r w:rsidRPr="007F560B">
        <w:rPr>
          <w:i/>
          <w:sz w:val="24"/>
          <w:szCs w:val="24"/>
          <w:lang w:val="en-US"/>
        </w:rPr>
        <w:t>Transl</w:t>
      </w:r>
      <w:proofErr w:type="spellEnd"/>
      <w:r w:rsidRPr="007F560B">
        <w:rPr>
          <w:i/>
          <w:sz w:val="24"/>
          <w:szCs w:val="24"/>
          <w:lang w:val="en-US"/>
        </w:rPr>
        <w:t xml:space="preserve"> </w:t>
      </w:r>
      <w:proofErr w:type="spellStart"/>
      <w:r w:rsidRPr="007F560B">
        <w:rPr>
          <w:i/>
          <w:sz w:val="24"/>
          <w:szCs w:val="24"/>
          <w:lang w:val="en-US"/>
        </w:rPr>
        <w:lastRenderedPageBreak/>
        <w:t>Int</w:t>
      </w:r>
      <w:proofErr w:type="spellEnd"/>
      <w:r w:rsidRPr="007F560B">
        <w:rPr>
          <w:i/>
          <w:sz w:val="24"/>
          <w:szCs w:val="24"/>
          <w:lang w:val="en-US"/>
        </w:rPr>
        <w:t xml:space="preserve"> Med</w:t>
      </w:r>
      <w:r w:rsidRPr="007F560B">
        <w:rPr>
          <w:sz w:val="24"/>
          <w:szCs w:val="24"/>
          <w:lang w:val="en-US"/>
        </w:rPr>
        <w:t xml:space="preserve"> 2018; </w:t>
      </w:r>
      <w:r w:rsidRPr="007F560B">
        <w:rPr>
          <w:b/>
          <w:sz w:val="24"/>
          <w:szCs w:val="24"/>
          <w:lang w:val="en-US"/>
        </w:rPr>
        <w:t>6</w:t>
      </w:r>
      <w:r w:rsidRPr="007F560B">
        <w:rPr>
          <w:sz w:val="24"/>
          <w:szCs w:val="24"/>
          <w:lang w:val="en-US"/>
        </w:rPr>
        <w:t>: 90-92 [PMID: 29984204 DOI: 10.2478/jtim-2018-0017]</w:t>
      </w:r>
    </w:p>
    <w:p w14:paraId="04B61D0D"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10 </w:t>
      </w:r>
      <w:proofErr w:type="spellStart"/>
      <w:r w:rsidRPr="007F560B">
        <w:rPr>
          <w:b/>
          <w:sz w:val="24"/>
          <w:szCs w:val="24"/>
          <w:lang w:val="en-US"/>
        </w:rPr>
        <w:t>Rössle</w:t>
      </w:r>
      <w:proofErr w:type="spellEnd"/>
      <w:r w:rsidRPr="007F560B">
        <w:rPr>
          <w:b/>
          <w:sz w:val="24"/>
          <w:szCs w:val="24"/>
          <w:lang w:val="en-US"/>
        </w:rPr>
        <w:t xml:space="preserve"> M MD</w:t>
      </w:r>
      <w:r w:rsidRPr="007F560B">
        <w:rPr>
          <w:sz w:val="24"/>
          <w:szCs w:val="24"/>
          <w:lang w:val="en-US"/>
        </w:rPr>
        <w:t xml:space="preserve">, </w:t>
      </w:r>
      <w:proofErr w:type="spellStart"/>
      <w:r w:rsidRPr="007F560B">
        <w:rPr>
          <w:sz w:val="24"/>
          <w:szCs w:val="24"/>
          <w:lang w:val="en-US"/>
        </w:rPr>
        <w:t>Schultheiss</w:t>
      </w:r>
      <w:proofErr w:type="spellEnd"/>
      <w:r w:rsidRPr="007F560B">
        <w:rPr>
          <w:sz w:val="24"/>
          <w:szCs w:val="24"/>
          <w:lang w:val="en-US"/>
        </w:rPr>
        <w:t xml:space="preserve"> M. Timing of the Treatment of Portal Vein Thrombosis in Patients with Cirrhosis: A German Hepatologist's Perspective. </w:t>
      </w:r>
      <w:r w:rsidRPr="007F560B">
        <w:rPr>
          <w:i/>
          <w:sz w:val="24"/>
          <w:szCs w:val="24"/>
          <w:lang w:val="en-US"/>
        </w:rPr>
        <w:t xml:space="preserve">J </w:t>
      </w:r>
      <w:proofErr w:type="spellStart"/>
      <w:r w:rsidRPr="007F560B">
        <w:rPr>
          <w:i/>
          <w:sz w:val="24"/>
          <w:szCs w:val="24"/>
          <w:lang w:val="en-US"/>
        </w:rPr>
        <w:t>Transl</w:t>
      </w:r>
      <w:proofErr w:type="spellEnd"/>
      <w:r w:rsidRPr="007F560B">
        <w:rPr>
          <w:i/>
          <w:sz w:val="24"/>
          <w:szCs w:val="24"/>
          <w:lang w:val="en-US"/>
        </w:rPr>
        <w:t xml:space="preserve"> </w:t>
      </w:r>
      <w:proofErr w:type="spellStart"/>
      <w:r w:rsidRPr="007F560B">
        <w:rPr>
          <w:i/>
          <w:sz w:val="24"/>
          <w:szCs w:val="24"/>
          <w:lang w:val="en-US"/>
        </w:rPr>
        <w:t>Int</w:t>
      </w:r>
      <w:proofErr w:type="spellEnd"/>
      <w:r w:rsidRPr="007F560B">
        <w:rPr>
          <w:i/>
          <w:sz w:val="24"/>
          <w:szCs w:val="24"/>
          <w:lang w:val="en-US"/>
        </w:rPr>
        <w:t xml:space="preserve"> Med</w:t>
      </w:r>
      <w:r w:rsidRPr="007F560B">
        <w:rPr>
          <w:sz w:val="24"/>
          <w:szCs w:val="24"/>
          <w:lang w:val="en-US"/>
        </w:rPr>
        <w:t xml:space="preserve"> 2018; </w:t>
      </w:r>
      <w:r w:rsidRPr="007F560B">
        <w:rPr>
          <w:b/>
          <w:sz w:val="24"/>
          <w:szCs w:val="24"/>
          <w:lang w:val="en-US"/>
        </w:rPr>
        <w:t>6</w:t>
      </w:r>
      <w:r w:rsidRPr="007F560B">
        <w:rPr>
          <w:sz w:val="24"/>
          <w:szCs w:val="24"/>
          <w:lang w:val="en-US"/>
        </w:rPr>
        <w:t>: 11-15 [PMID: 29607298 DOI: 10.2478/jtim-2018-0003]</w:t>
      </w:r>
    </w:p>
    <w:p w14:paraId="598539B0"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11 </w:t>
      </w:r>
      <w:r w:rsidRPr="007F560B">
        <w:rPr>
          <w:b/>
          <w:sz w:val="24"/>
          <w:szCs w:val="24"/>
          <w:lang w:val="en-US"/>
        </w:rPr>
        <w:t>Tan G</w:t>
      </w:r>
      <w:r w:rsidRPr="007F560B">
        <w:rPr>
          <w:sz w:val="24"/>
          <w:szCs w:val="24"/>
          <w:lang w:val="en-US"/>
        </w:rPr>
        <w:t xml:space="preserve">, Song H, Xu F, Cheng G. When Hepatitis B Virus Meets Interferons. </w:t>
      </w:r>
      <w:r w:rsidRPr="007F560B">
        <w:rPr>
          <w:i/>
          <w:sz w:val="24"/>
          <w:szCs w:val="24"/>
          <w:lang w:val="en-US"/>
        </w:rPr>
        <w:t>Front Microbiol</w:t>
      </w:r>
      <w:r w:rsidRPr="007F560B">
        <w:rPr>
          <w:sz w:val="24"/>
          <w:szCs w:val="24"/>
          <w:lang w:val="en-US"/>
        </w:rPr>
        <w:t xml:space="preserve"> 2018; </w:t>
      </w:r>
      <w:r w:rsidRPr="007F560B">
        <w:rPr>
          <w:b/>
          <w:sz w:val="24"/>
          <w:szCs w:val="24"/>
          <w:lang w:val="en-US"/>
        </w:rPr>
        <w:t>9</w:t>
      </w:r>
      <w:r w:rsidRPr="007F560B">
        <w:rPr>
          <w:sz w:val="24"/>
          <w:szCs w:val="24"/>
          <w:lang w:val="en-US"/>
        </w:rPr>
        <w:t>: 1611 [PMID: 30072974 DOI: 10.3389/fmicb.2018.01611]</w:t>
      </w:r>
    </w:p>
    <w:p w14:paraId="6702F717"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12 </w:t>
      </w:r>
      <w:r w:rsidRPr="007F560B">
        <w:rPr>
          <w:b/>
          <w:sz w:val="24"/>
          <w:szCs w:val="24"/>
          <w:lang w:val="en-US"/>
        </w:rPr>
        <w:t>Lee IC</w:t>
      </w:r>
      <w:r w:rsidRPr="007F560B">
        <w:rPr>
          <w:sz w:val="24"/>
          <w:szCs w:val="24"/>
          <w:lang w:val="en-US"/>
        </w:rPr>
        <w:t xml:space="preserve">, Huang YH, Su CW, Wang YJ, </w:t>
      </w:r>
      <w:proofErr w:type="spellStart"/>
      <w:r w:rsidRPr="007F560B">
        <w:rPr>
          <w:sz w:val="24"/>
          <w:szCs w:val="24"/>
          <w:lang w:val="en-US"/>
        </w:rPr>
        <w:t>Huo</w:t>
      </w:r>
      <w:proofErr w:type="spellEnd"/>
      <w:r w:rsidRPr="007F560B">
        <w:rPr>
          <w:sz w:val="24"/>
          <w:szCs w:val="24"/>
          <w:lang w:val="en-US"/>
        </w:rPr>
        <w:t xml:space="preserve"> TI, Lee KC, Lin HC. CXCL9 associated with sustained </w:t>
      </w:r>
      <w:proofErr w:type="spellStart"/>
      <w:r w:rsidRPr="007F560B">
        <w:rPr>
          <w:sz w:val="24"/>
          <w:szCs w:val="24"/>
          <w:lang w:val="en-US"/>
        </w:rPr>
        <w:t>virological</w:t>
      </w:r>
      <w:proofErr w:type="spellEnd"/>
      <w:r w:rsidRPr="007F560B">
        <w:rPr>
          <w:sz w:val="24"/>
          <w:szCs w:val="24"/>
          <w:lang w:val="en-US"/>
        </w:rPr>
        <w:t xml:space="preserve"> response in chronic hepatitis B patients receiving peginterferon alfa-2a therapy: a pilot study. </w:t>
      </w:r>
      <w:proofErr w:type="spellStart"/>
      <w:r w:rsidRPr="007F560B">
        <w:rPr>
          <w:i/>
          <w:sz w:val="24"/>
          <w:szCs w:val="24"/>
          <w:lang w:val="en-US"/>
        </w:rPr>
        <w:t>PLoS</w:t>
      </w:r>
      <w:proofErr w:type="spellEnd"/>
      <w:r w:rsidRPr="007F560B">
        <w:rPr>
          <w:i/>
          <w:sz w:val="24"/>
          <w:szCs w:val="24"/>
          <w:lang w:val="en-US"/>
        </w:rPr>
        <w:t xml:space="preserve"> One</w:t>
      </w:r>
      <w:r w:rsidRPr="007F560B">
        <w:rPr>
          <w:sz w:val="24"/>
          <w:szCs w:val="24"/>
          <w:lang w:val="en-US"/>
        </w:rPr>
        <w:t xml:space="preserve"> 2013; </w:t>
      </w:r>
      <w:r w:rsidRPr="007F560B">
        <w:rPr>
          <w:b/>
          <w:sz w:val="24"/>
          <w:szCs w:val="24"/>
          <w:lang w:val="en-US"/>
        </w:rPr>
        <w:t>8</w:t>
      </w:r>
      <w:r w:rsidRPr="007F560B">
        <w:rPr>
          <w:sz w:val="24"/>
          <w:szCs w:val="24"/>
          <w:lang w:val="en-US"/>
        </w:rPr>
        <w:t>: e76798 [PMID: 24124595 DOI: 10.1371/journal.pone.0076798]</w:t>
      </w:r>
    </w:p>
    <w:p w14:paraId="77CE2B9B"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13 </w:t>
      </w:r>
      <w:r w:rsidRPr="007F560B">
        <w:rPr>
          <w:b/>
          <w:sz w:val="24"/>
          <w:szCs w:val="24"/>
          <w:lang w:val="en-US"/>
        </w:rPr>
        <w:t>Wu HL</w:t>
      </w:r>
      <w:r w:rsidRPr="007F560B">
        <w:rPr>
          <w:sz w:val="24"/>
          <w:szCs w:val="24"/>
          <w:lang w:val="en-US"/>
        </w:rPr>
        <w:t xml:space="preserve">, Hsiao TH, Chen PJ, Wong SH, Kao JH, Chen DS, Lu JY, Lu TP, Chen Y, Chuang EY, Tu HC, Liu CJ. Liver Gene Expression Profiles Correlate with Virus Infection and Response to Interferon Therapy in Chronic Hepatitis B Patients. </w:t>
      </w:r>
      <w:r w:rsidRPr="007F560B">
        <w:rPr>
          <w:i/>
          <w:sz w:val="24"/>
          <w:szCs w:val="24"/>
          <w:lang w:val="en-US"/>
        </w:rPr>
        <w:t>Sci Rep</w:t>
      </w:r>
      <w:r w:rsidRPr="007F560B">
        <w:rPr>
          <w:sz w:val="24"/>
          <w:szCs w:val="24"/>
          <w:lang w:val="en-US"/>
        </w:rPr>
        <w:t xml:space="preserve"> 2016; </w:t>
      </w:r>
      <w:r w:rsidRPr="007F560B">
        <w:rPr>
          <w:b/>
          <w:sz w:val="24"/>
          <w:szCs w:val="24"/>
          <w:lang w:val="en-US"/>
        </w:rPr>
        <w:t>6</w:t>
      </w:r>
      <w:r w:rsidRPr="007F560B">
        <w:rPr>
          <w:sz w:val="24"/>
          <w:szCs w:val="24"/>
          <w:lang w:val="en-US"/>
        </w:rPr>
        <w:t>: 31349 [PMID: 27546197 DOI: 10.1038/srep31349]</w:t>
      </w:r>
    </w:p>
    <w:p w14:paraId="3B6BDBFC"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14 </w:t>
      </w:r>
      <w:proofErr w:type="spellStart"/>
      <w:r w:rsidRPr="007F560B">
        <w:rPr>
          <w:b/>
          <w:sz w:val="24"/>
          <w:szCs w:val="24"/>
          <w:lang w:val="en-US"/>
        </w:rPr>
        <w:t>Terrault</w:t>
      </w:r>
      <w:proofErr w:type="spellEnd"/>
      <w:r w:rsidRPr="007F560B">
        <w:rPr>
          <w:b/>
          <w:sz w:val="24"/>
          <w:szCs w:val="24"/>
          <w:lang w:val="en-US"/>
        </w:rPr>
        <w:t xml:space="preserve"> NA</w:t>
      </w:r>
      <w:r w:rsidRPr="007F560B">
        <w:rPr>
          <w:sz w:val="24"/>
          <w:szCs w:val="24"/>
          <w:lang w:val="en-US"/>
        </w:rPr>
        <w:t xml:space="preserve">, </w:t>
      </w:r>
      <w:proofErr w:type="spellStart"/>
      <w:r w:rsidRPr="007F560B">
        <w:rPr>
          <w:sz w:val="24"/>
          <w:szCs w:val="24"/>
          <w:lang w:val="en-US"/>
        </w:rPr>
        <w:t>Lok</w:t>
      </w:r>
      <w:proofErr w:type="spellEnd"/>
      <w:r w:rsidRPr="007F560B">
        <w:rPr>
          <w:sz w:val="24"/>
          <w:szCs w:val="24"/>
          <w:lang w:val="en-US"/>
        </w:rPr>
        <w:t xml:space="preserve"> ASF, McMahon BJ, Chang KM, Hwang JP, Jonas MM, Brown RS Jr, </w:t>
      </w:r>
      <w:proofErr w:type="spellStart"/>
      <w:r w:rsidRPr="007F560B">
        <w:rPr>
          <w:sz w:val="24"/>
          <w:szCs w:val="24"/>
          <w:lang w:val="en-US"/>
        </w:rPr>
        <w:t>Bzowej</w:t>
      </w:r>
      <w:proofErr w:type="spellEnd"/>
      <w:r w:rsidRPr="007F560B">
        <w:rPr>
          <w:sz w:val="24"/>
          <w:szCs w:val="24"/>
          <w:lang w:val="en-US"/>
        </w:rPr>
        <w:t xml:space="preserve"> NH, Wong JB. Update on prevention, diagnosis, and treatment of chronic hepatitis B: AASLD 2018 hepatitis B guidance. </w:t>
      </w:r>
      <w:r w:rsidRPr="007F560B">
        <w:rPr>
          <w:i/>
          <w:sz w:val="24"/>
          <w:szCs w:val="24"/>
          <w:lang w:val="en-US"/>
        </w:rPr>
        <w:t>Hepatology</w:t>
      </w:r>
      <w:r w:rsidRPr="007F560B">
        <w:rPr>
          <w:sz w:val="24"/>
          <w:szCs w:val="24"/>
          <w:lang w:val="en-US"/>
        </w:rPr>
        <w:t xml:space="preserve"> 2018; </w:t>
      </w:r>
      <w:r w:rsidRPr="007F560B">
        <w:rPr>
          <w:b/>
          <w:sz w:val="24"/>
          <w:szCs w:val="24"/>
          <w:lang w:val="en-US"/>
        </w:rPr>
        <w:t>67</w:t>
      </w:r>
      <w:r w:rsidRPr="007F560B">
        <w:rPr>
          <w:sz w:val="24"/>
          <w:szCs w:val="24"/>
          <w:lang w:val="en-US"/>
        </w:rPr>
        <w:t>: 1560-1599 [PMID: 29405329 DOI: 10.1002/hep.29800]</w:t>
      </w:r>
    </w:p>
    <w:p w14:paraId="33E323FF"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15 </w:t>
      </w:r>
      <w:r w:rsidRPr="007F560B">
        <w:rPr>
          <w:b/>
          <w:sz w:val="24"/>
          <w:szCs w:val="24"/>
          <w:lang w:val="en-US"/>
        </w:rPr>
        <w:t>Lau GK</w:t>
      </w:r>
      <w:r w:rsidRPr="007F560B">
        <w:rPr>
          <w:sz w:val="24"/>
          <w:szCs w:val="24"/>
          <w:lang w:val="en-US"/>
        </w:rPr>
        <w:t xml:space="preserve">, </w:t>
      </w:r>
      <w:proofErr w:type="spellStart"/>
      <w:r w:rsidRPr="007F560B">
        <w:rPr>
          <w:sz w:val="24"/>
          <w:szCs w:val="24"/>
          <w:lang w:val="en-US"/>
        </w:rPr>
        <w:t>Piratvisuth</w:t>
      </w:r>
      <w:proofErr w:type="spellEnd"/>
      <w:r w:rsidRPr="007F560B">
        <w:rPr>
          <w:sz w:val="24"/>
          <w:szCs w:val="24"/>
          <w:lang w:val="en-US"/>
        </w:rPr>
        <w:t xml:space="preserve"> T, Luo KX, Marcellin P, </w:t>
      </w:r>
      <w:proofErr w:type="spellStart"/>
      <w:r w:rsidRPr="007F560B">
        <w:rPr>
          <w:sz w:val="24"/>
          <w:szCs w:val="24"/>
          <w:lang w:val="en-US"/>
        </w:rPr>
        <w:t>Thongsawat</w:t>
      </w:r>
      <w:proofErr w:type="spellEnd"/>
      <w:r w:rsidRPr="007F560B">
        <w:rPr>
          <w:sz w:val="24"/>
          <w:szCs w:val="24"/>
          <w:lang w:val="en-US"/>
        </w:rPr>
        <w:t xml:space="preserve"> S, </w:t>
      </w:r>
      <w:proofErr w:type="spellStart"/>
      <w:r w:rsidRPr="007F560B">
        <w:rPr>
          <w:sz w:val="24"/>
          <w:szCs w:val="24"/>
          <w:lang w:val="en-US"/>
        </w:rPr>
        <w:t>Cooksley</w:t>
      </w:r>
      <w:proofErr w:type="spellEnd"/>
      <w:r w:rsidRPr="007F560B">
        <w:rPr>
          <w:sz w:val="24"/>
          <w:szCs w:val="24"/>
          <w:lang w:val="en-US"/>
        </w:rPr>
        <w:t xml:space="preserve"> G, </w:t>
      </w:r>
      <w:proofErr w:type="spellStart"/>
      <w:r w:rsidRPr="007F560B">
        <w:rPr>
          <w:sz w:val="24"/>
          <w:szCs w:val="24"/>
          <w:lang w:val="en-US"/>
        </w:rPr>
        <w:t>Gane</w:t>
      </w:r>
      <w:proofErr w:type="spellEnd"/>
      <w:r w:rsidRPr="007F560B">
        <w:rPr>
          <w:sz w:val="24"/>
          <w:szCs w:val="24"/>
          <w:lang w:val="en-US"/>
        </w:rPr>
        <w:t xml:space="preserve"> E, Fried MW, Chow WC, Paik SW, Chang WY, Berg T, </w:t>
      </w:r>
      <w:proofErr w:type="spellStart"/>
      <w:r w:rsidRPr="007F560B">
        <w:rPr>
          <w:sz w:val="24"/>
          <w:szCs w:val="24"/>
          <w:lang w:val="en-US"/>
        </w:rPr>
        <w:t>Flisiak</w:t>
      </w:r>
      <w:proofErr w:type="spellEnd"/>
      <w:r w:rsidRPr="007F560B">
        <w:rPr>
          <w:sz w:val="24"/>
          <w:szCs w:val="24"/>
          <w:lang w:val="en-US"/>
        </w:rPr>
        <w:t xml:space="preserve"> R, McCloud P, Pluck N; </w:t>
      </w:r>
      <w:proofErr w:type="spellStart"/>
      <w:r w:rsidRPr="007F560B">
        <w:rPr>
          <w:sz w:val="24"/>
          <w:szCs w:val="24"/>
          <w:lang w:val="en-US"/>
        </w:rPr>
        <w:t>Peginterferon</w:t>
      </w:r>
      <w:proofErr w:type="spellEnd"/>
      <w:r w:rsidRPr="007F560B">
        <w:rPr>
          <w:sz w:val="24"/>
          <w:szCs w:val="24"/>
          <w:lang w:val="en-US"/>
        </w:rPr>
        <w:t xml:space="preserve"> Alfa-2a </w:t>
      </w:r>
      <w:proofErr w:type="spellStart"/>
      <w:r w:rsidRPr="007F560B">
        <w:rPr>
          <w:sz w:val="24"/>
          <w:szCs w:val="24"/>
          <w:lang w:val="en-US"/>
        </w:rPr>
        <w:t>HBeAg</w:t>
      </w:r>
      <w:proofErr w:type="spellEnd"/>
      <w:r w:rsidRPr="007F560B">
        <w:rPr>
          <w:sz w:val="24"/>
          <w:szCs w:val="24"/>
          <w:lang w:val="en-US"/>
        </w:rPr>
        <w:t xml:space="preserve">-Positive Chronic Hepatitis B Study Group. Peginterferon Alfa-2a, lamivudine, and the combination for </w:t>
      </w:r>
      <w:proofErr w:type="spellStart"/>
      <w:r w:rsidRPr="007F560B">
        <w:rPr>
          <w:sz w:val="24"/>
          <w:szCs w:val="24"/>
          <w:lang w:val="en-US"/>
        </w:rPr>
        <w:t>HBeAg</w:t>
      </w:r>
      <w:proofErr w:type="spellEnd"/>
      <w:r w:rsidRPr="007F560B">
        <w:rPr>
          <w:sz w:val="24"/>
          <w:szCs w:val="24"/>
          <w:lang w:val="en-US"/>
        </w:rPr>
        <w:t xml:space="preserve">-positive chronic hepatitis B. </w:t>
      </w:r>
      <w:r w:rsidRPr="007F560B">
        <w:rPr>
          <w:i/>
          <w:sz w:val="24"/>
          <w:szCs w:val="24"/>
          <w:lang w:val="en-US"/>
        </w:rPr>
        <w:t xml:space="preserve">N </w:t>
      </w:r>
      <w:proofErr w:type="spellStart"/>
      <w:r w:rsidRPr="007F560B">
        <w:rPr>
          <w:i/>
          <w:sz w:val="24"/>
          <w:szCs w:val="24"/>
          <w:lang w:val="en-US"/>
        </w:rPr>
        <w:t>Engl</w:t>
      </w:r>
      <w:proofErr w:type="spellEnd"/>
      <w:r w:rsidRPr="007F560B">
        <w:rPr>
          <w:i/>
          <w:sz w:val="24"/>
          <w:szCs w:val="24"/>
          <w:lang w:val="en-US"/>
        </w:rPr>
        <w:t xml:space="preserve"> J Med</w:t>
      </w:r>
      <w:r w:rsidRPr="007F560B">
        <w:rPr>
          <w:sz w:val="24"/>
          <w:szCs w:val="24"/>
          <w:lang w:val="en-US"/>
        </w:rPr>
        <w:t xml:space="preserve"> 2005; </w:t>
      </w:r>
      <w:r w:rsidRPr="007F560B">
        <w:rPr>
          <w:b/>
          <w:sz w:val="24"/>
          <w:szCs w:val="24"/>
          <w:lang w:val="en-US"/>
        </w:rPr>
        <w:t>352</w:t>
      </w:r>
      <w:r w:rsidRPr="007F560B">
        <w:rPr>
          <w:sz w:val="24"/>
          <w:szCs w:val="24"/>
          <w:lang w:val="en-US"/>
        </w:rPr>
        <w:t>: 2682-2695 [PMID: 15987917 DOI: 10.1056/NEJMoa043470]</w:t>
      </w:r>
    </w:p>
    <w:p w14:paraId="2BE8B21F"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16 </w:t>
      </w:r>
      <w:r w:rsidRPr="007F560B">
        <w:rPr>
          <w:b/>
          <w:sz w:val="24"/>
          <w:szCs w:val="24"/>
          <w:lang w:val="en-US"/>
        </w:rPr>
        <w:t>Ma SW</w:t>
      </w:r>
      <w:r w:rsidRPr="007F560B">
        <w:rPr>
          <w:sz w:val="24"/>
          <w:szCs w:val="24"/>
          <w:lang w:val="en-US"/>
        </w:rPr>
        <w:t xml:space="preserve">, Huang X, Li YY, Tang LB, Sun XF, Jiang XT, Zhang YX, Sun J, Liu ZH, Abbott WG, Dong YH, </w:t>
      </w:r>
      <w:proofErr w:type="spellStart"/>
      <w:r w:rsidRPr="007F560B">
        <w:rPr>
          <w:sz w:val="24"/>
          <w:szCs w:val="24"/>
          <w:lang w:val="en-US"/>
        </w:rPr>
        <w:t>Naoumov</w:t>
      </w:r>
      <w:proofErr w:type="spellEnd"/>
      <w:r w:rsidRPr="007F560B">
        <w:rPr>
          <w:sz w:val="24"/>
          <w:szCs w:val="24"/>
          <w:lang w:val="en-US"/>
        </w:rPr>
        <w:t xml:space="preserve"> NV, </w:t>
      </w:r>
      <w:proofErr w:type="spellStart"/>
      <w:r w:rsidRPr="007F560B">
        <w:rPr>
          <w:sz w:val="24"/>
          <w:szCs w:val="24"/>
          <w:lang w:val="en-US"/>
        </w:rPr>
        <w:t>Hou</w:t>
      </w:r>
      <w:proofErr w:type="spellEnd"/>
      <w:r w:rsidRPr="007F560B">
        <w:rPr>
          <w:sz w:val="24"/>
          <w:szCs w:val="24"/>
          <w:lang w:val="en-US"/>
        </w:rPr>
        <w:t xml:space="preserve"> JL. High serum IL-21 levels after 12 weeks of antiviral therapy predict </w:t>
      </w:r>
      <w:proofErr w:type="spellStart"/>
      <w:r w:rsidRPr="007F560B">
        <w:rPr>
          <w:sz w:val="24"/>
          <w:szCs w:val="24"/>
          <w:lang w:val="en-US"/>
        </w:rPr>
        <w:t>HBeAg</w:t>
      </w:r>
      <w:proofErr w:type="spellEnd"/>
      <w:r w:rsidRPr="007F560B">
        <w:rPr>
          <w:sz w:val="24"/>
          <w:szCs w:val="24"/>
          <w:lang w:val="en-US"/>
        </w:rPr>
        <w:t xml:space="preserve"> seroconversion in chronic hepatitis B. </w:t>
      </w:r>
      <w:r w:rsidRPr="007F560B">
        <w:rPr>
          <w:i/>
          <w:sz w:val="24"/>
          <w:szCs w:val="24"/>
          <w:lang w:val="en-US"/>
        </w:rPr>
        <w:t>J Hepatol</w:t>
      </w:r>
      <w:r w:rsidRPr="007F560B">
        <w:rPr>
          <w:sz w:val="24"/>
          <w:szCs w:val="24"/>
          <w:lang w:val="en-US"/>
        </w:rPr>
        <w:t xml:space="preserve"> 2012; </w:t>
      </w:r>
      <w:r w:rsidRPr="007F560B">
        <w:rPr>
          <w:b/>
          <w:sz w:val="24"/>
          <w:szCs w:val="24"/>
          <w:lang w:val="en-US"/>
        </w:rPr>
        <w:t>56</w:t>
      </w:r>
      <w:r w:rsidRPr="007F560B">
        <w:rPr>
          <w:sz w:val="24"/>
          <w:szCs w:val="24"/>
          <w:lang w:val="en-US"/>
        </w:rPr>
        <w:t>: 775-781 [PMID: 22173154 DOI: 10.1016/j.jhep.2011.10.020]</w:t>
      </w:r>
    </w:p>
    <w:p w14:paraId="190629DA"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17 </w:t>
      </w:r>
      <w:proofErr w:type="spellStart"/>
      <w:r w:rsidRPr="007F560B">
        <w:rPr>
          <w:b/>
          <w:sz w:val="24"/>
          <w:szCs w:val="24"/>
          <w:lang w:val="en-US"/>
        </w:rPr>
        <w:t>Chokshi</w:t>
      </w:r>
      <w:proofErr w:type="spellEnd"/>
      <w:r w:rsidRPr="007F560B">
        <w:rPr>
          <w:b/>
          <w:sz w:val="24"/>
          <w:szCs w:val="24"/>
          <w:lang w:val="en-US"/>
        </w:rPr>
        <w:t xml:space="preserve"> S</w:t>
      </w:r>
      <w:r w:rsidRPr="007F560B">
        <w:rPr>
          <w:sz w:val="24"/>
          <w:szCs w:val="24"/>
          <w:lang w:val="en-US"/>
        </w:rPr>
        <w:t xml:space="preserve">, </w:t>
      </w:r>
      <w:proofErr w:type="spellStart"/>
      <w:r w:rsidRPr="007F560B">
        <w:rPr>
          <w:sz w:val="24"/>
          <w:szCs w:val="24"/>
          <w:lang w:val="en-US"/>
        </w:rPr>
        <w:t>Cooksley</w:t>
      </w:r>
      <w:proofErr w:type="spellEnd"/>
      <w:r w:rsidRPr="007F560B">
        <w:rPr>
          <w:sz w:val="24"/>
          <w:szCs w:val="24"/>
          <w:lang w:val="en-US"/>
        </w:rPr>
        <w:t xml:space="preserve"> H, Riva A, Phillips S, Williams R, </w:t>
      </w:r>
      <w:proofErr w:type="spellStart"/>
      <w:r w:rsidRPr="007F560B">
        <w:rPr>
          <w:sz w:val="24"/>
          <w:szCs w:val="24"/>
          <w:lang w:val="en-US"/>
        </w:rPr>
        <w:t>Gaggar</w:t>
      </w:r>
      <w:proofErr w:type="spellEnd"/>
      <w:r w:rsidRPr="007F560B">
        <w:rPr>
          <w:sz w:val="24"/>
          <w:szCs w:val="24"/>
          <w:lang w:val="en-US"/>
        </w:rPr>
        <w:t xml:space="preserve"> A, </w:t>
      </w:r>
      <w:proofErr w:type="spellStart"/>
      <w:r w:rsidRPr="007F560B">
        <w:rPr>
          <w:sz w:val="24"/>
          <w:szCs w:val="24"/>
          <w:lang w:val="en-US"/>
        </w:rPr>
        <w:t>Naoumov</w:t>
      </w:r>
      <w:proofErr w:type="spellEnd"/>
      <w:r w:rsidRPr="007F560B">
        <w:rPr>
          <w:sz w:val="24"/>
          <w:szCs w:val="24"/>
          <w:lang w:val="en-US"/>
        </w:rPr>
        <w:t xml:space="preserve"> NV. Identification of serum cytokine profiles associated with </w:t>
      </w:r>
      <w:proofErr w:type="spellStart"/>
      <w:r w:rsidRPr="007F560B">
        <w:rPr>
          <w:sz w:val="24"/>
          <w:szCs w:val="24"/>
          <w:lang w:val="en-US"/>
        </w:rPr>
        <w:lastRenderedPageBreak/>
        <w:t>HBeAg</w:t>
      </w:r>
      <w:proofErr w:type="spellEnd"/>
      <w:r w:rsidRPr="007F560B">
        <w:rPr>
          <w:sz w:val="24"/>
          <w:szCs w:val="24"/>
          <w:lang w:val="en-US"/>
        </w:rPr>
        <w:t xml:space="preserve"> seroconversion following antiviral treatment interruption. </w:t>
      </w:r>
      <w:r w:rsidRPr="007F560B">
        <w:rPr>
          <w:i/>
          <w:sz w:val="24"/>
          <w:szCs w:val="24"/>
          <w:lang w:val="en-US"/>
        </w:rPr>
        <w:t>Viral Immunol</w:t>
      </w:r>
      <w:r w:rsidRPr="007F560B">
        <w:rPr>
          <w:sz w:val="24"/>
          <w:szCs w:val="24"/>
          <w:lang w:val="en-US"/>
        </w:rPr>
        <w:t xml:space="preserve"> 2014; </w:t>
      </w:r>
      <w:r w:rsidRPr="007F560B">
        <w:rPr>
          <w:b/>
          <w:sz w:val="24"/>
          <w:szCs w:val="24"/>
          <w:lang w:val="en-US"/>
        </w:rPr>
        <w:t>27</w:t>
      </w:r>
      <w:r w:rsidRPr="007F560B">
        <w:rPr>
          <w:sz w:val="24"/>
          <w:szCs w:val="24"/>
          <w:lang w:val="en-US"/>
        </w:rPr>
        <w:t>: 235-244 [PMID: 24797262 DOI: 10.1089/vim.2014.0022]</w:t>
      </w:r>
    </w:p>
    <w:p w14:paraId="1C805AD4"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18 </w:t>
      </w:r>
      <w:r w:rsidRPr="007F560B">
        <w:rPr>
          <w:b/>
          <w:sz w:val="24"/>
          <w:szCs w:val="24"/>
          <w:lang w:val="en-US"/>
        </w:rPr>
        <w:t>Park Y</w:t>
      </w:r>
      <w:r w:rsidRPr="007F560B">
        <w:rPr>
          <w:sz w:val="24"/>
          <w:szCs w:val="24"/>
          <w:lang w:val="en-US"/>
        </w:rPr>
        <w:t xml:space="preserve">, Park Y, Han KH, Kim HS. Serum cytokine levels in patients with chronic hepatitis B according to lamivudine therapy. </w:t>
      </w:r>
      <w:r w:rsidRPr="007F560B">
        <w:rPr>
          <w:i/>
          <w:sz w:val="24"/>
          <w:szCs w:val="24"/>
          <w:lang w:val="en-US"/>
        </w:rPr>
        <w:t>J Clin Lab Anal</w:t>
      </w:r>
      <w:r w:rsidRPr="007F560B">
        <w:rPr>
          <w:sz w:val="24"/>
          <w:szCs w:val="24"/>
          <w:lang w:val="en-US"/>
        </w:rPr>
        <w:t xml:space="preserve"> 2011; </w:t>
      </w:r>
      <w:r w:rsidRPr="007F560B">
        <w:rPr>
          <w:b/>
          <w:sz w:val="24"/>
          <w:szCs w:val="24"/>
          <w:lang w:val="en-US"/>
        </w:rPr>
        <w:t>25</w:t>
      </w:r>
      <w:r w:rsidRPr="007F560B">
        <w:rPr>
          <w:sz w:val="24"/>
          <w:szCs w:val="24"/>
          <w:lang w:val="en-US"/>
        </w:rPr>
        <w:t>: 414-421 [PMID: 22086795 DOI: 10.1002/jcla.20495]</w:t>
      </w:r>
    </w:p>
    <w:p w14:paraId="03292733"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19 </w:t>
      </w:r>
      <w:proofErr w:type="spellStart"/>
      <w:r w:rsidRPr="007F560B">
        <w:rPr>
          <w:b/>
          <w:sz w:val="24"/>
          <w:szCs w:val="24"/>
          <w:lang w:val="en-US"/>
        </w:rPr>
        <w:t>Kurihara</w:t>
      </w:r>
      <w:proofErr w:type="spellEnd"/>
      <w:r w:rsidRPr="007F560B">
        <w:rPr>
          <w:b/>
          <w:sz w:val="24"/>
          <w:szCs w:val="24"/>
          <w:lang w:val="en-US"/>
        </w:rPr>
        <w:t xml:space="preserve"> M</w:t>
      </w:r>
      <w:r w:rsidRPr="007F560B">
        <w:rPr>
          <w:sz w:val="24"/>
          <w:szCs w:val="24"/>
          <w:lang w:val="en-US"/>
        </w:rPr>
        <w:t xml:space="preserve">, </w:t>
      </w:r>
      <w:proofErr w:type="spellStart"/>
      <w:r w:rsidRPr="007F560B">
        <w:rPr>
          <w:sz w:val="24"/>
          <w:szCs w:val="24"/>
          <w:lang w:val="en-US"/>
        </w:rPr>
        <w:t>Tsuge</w:t>
      </w:r>
      <w:proofErr w:type="spellEnd"/>
      <w:r w:rsidRPr="007F560B">
        <w:rPr>
          <w:sz w:val="24"/>
          <w:szCs w:val="24"/>
          <w:lang w:val="en-US"/>
        </w:rPr>
        <w:t xml:space="preserve"> M, Murakami E, Mori N, </w:t>
      </w:r>
      <w:proofErr w:type="spellStart"/>
      <w:r w:rsidRPr="007F560B">
        <w:rPr>
          <w:sz w:val="24"/>
          <w:szCs w:val="24"/>
          <w:lang w:val="en-US"/>
        </w:rPr>
        <w:t>Ohishi</w:t>
      </w:r>
      <w:proofErr w:type="spellEnd"/>
      <w:r w:rsidRPr="007F560B">
        <w:rPr>
          <w:sz w:val="24"/>
          <w:szCs w:val="24"/>
          <w:lang w:val="en-US"/>
        </w:rPr>
        <w:t xml:space="preserve"> W, Uchida T, </w:t>
      </w:r>
      <w:proofErr w:type="spellStart"/>
      <w:r w:rsidRPr="007F560B">
        <w:rPr>
          <w:sz w:val="24"/>
          <w:szCs w:val="24"/>
          <w:lang w:val="en-US"/>
        </w:rPr>
        <w:t>Fujino</w:t>
      </w:r>
      <w:proofErr w:type="spellEnd"/>
      <w:r w:rsidRPr="007F560B">
        <w:rPr>
          <w:sz w:val="24"/>
          <w:szCs w:val="24"/>
          <w:lang w:val="en-US"/>
        </w:rPr>
        <w:t xml:space="preserve"> H, Nakahara T, Abe-</w:t>
      </w:r>
      <w:proofErr w:type="spellStart"/>
      <w:r w:rsidRPr="007F560B">
        <w:rPr>
          <w:sz w:val="24"/>
          <w:szCs w:val="24"/>
          <w:lang w:val="en-US"/>
        </w:rPr>
        <w:t>Chayama</w:t>
      </w:r>
      <w:proofErr w:type="spellEnd"/>
      <w:r w:rsidRPr="007F560B">
        <w:rPr>
          <w:sz w:val="24"/>
          <w:szCs w:val="24"/>
          <w:lang w:val="en-US"/>
        </w:rPr>
        <w:t xml:space="preserve"> H, </w:t>
      </w:r>
      <w:proofErr w:type="spellStart"/>
      <w:r w:rsidRPr="007F560B">
        <w:rPr>
          <w:sz w:val="24"/>
          <w:szCs w:val="24"/>
          <w:lang w:val="en-US"/>
        </w:rPr>
        <w:t>Kawaoka</w:t>
      </w:r>
      <w:proofErr w:type="spellEnd"/>
      <w:r w:rsidRPr="007F560B">
        <w:rPr>
          <w:sz w:val="24"/>
          <w:szCs w:val="24"/>
          <w:lang w:val="en-US"/>
        </w:rPr>
        <w:t xml:space="preserve"> T, Miki D, </w:t>
      </w:r>
      <w:proofErr w:type="spellStart"/>
      <w:r w:rsidRPr="007F560B">
        <w:rPr>
          <w:sz w:val="24"/>
          <w:szCs w:val="24"/>
          <w:lang w:val="en-US"/>
        </w:rPr>
        <w:t>Hiramatsu</w:t>
      </w:r>
      <w:proofErr w:type="spellEnd"/>
      <w:r w:rsidRPr="007F560B">
        <w:rPr>
          <w:sz w:val="24"/>
          <w:szCs w:val="24"/>
          <w:lang w:val="en-US"/>
        </w:rPr>
        <w:t xml:space="preserve"> A, Imamura M, Kawakami Y, </w:t>
      </w:r>
      <w:proofErr w:type="spellStart"/>
      <w:r w:rsidRPr="007F560B">
        <w:rPr>
          <w:sz w:val="24"/>
          <w:szCs w:val="24"/>
          <w:lang w:val="en-US"/>
        </w:rPr>
        <w:t>Aikata</w:t>
      </w:r>
      <w:proofErr w:type="spellEnd"/>
      <w:r w:rsidRPr="007F560B">
        <w:rPr>
          <w:sz w:val="24"/>
          <w:szCs w:val="24"/>
          <w:lang w:val="en-US"/>
        </w:rPr>
        <w:t xml:space="preserve"> H, Ochi H, Zhang Y, </w:t>
      </w:r>
      <w:proofErr w:type="spellStart"/>
      <w:r w:rsidRPr="007F560B">
        <w:rPr>
          <w:sz w:val="24"/>
          <w:szCs w:val="24"/>
          <w:lang w:val="en-US"/>
        </w:rPr>
        <w:t>Makokha</w:t>
      </w:r>
      <w:proofErr w:type="spellEnd"/>
      <w:r w:rsidRPr="007F560B">
        <w:rPr>
          <w:sz w:val="24"/>
          <w:szCs w:val="24"/>
          <w:lang w:val="en-US"/>
        </w:rPr>
        <w:t xml:space="preserve"> GN, Hayes CN, </w:t>
      </w:r>
      <w:proofErr w:type="spellStart"/>
      <w:r w:rsidRPr="007F560B">
        <w:rPr>
          <w:sz w:val="24"/>
          <w:szCs w:val="24"/>
          <w:lang w:val="en-US"/>
        </w:rPr>
        <w:t>Chayama</w:t>
      </w:r>
      <w:proofErr w:type="spellEnd"/>
      <w:r w:rsidRPr="007F560B">
        <w:rPr>
          <w:sz w:val="24"/>
          <w:szCs w:val="24"/>
          <w:lang w:val="en-US"/>
        </w:rPr>
        <w:t xml:space="preserve"> K. The association between serum cytokine and chemokine levels and antiviral response by entecavir treatment in chronic hepatitis B patients. </w:t>
      </w:r>
      <w:proofErr w:type="spellStart"/>
      <w:r w:rsidRPr="007F560B">
        <w:rPr>
          <w:i/>
          <w:sz w:val="24"/>
          <w:szCs w:val="24"/>
          <w:lang w:val="en-US"/>
        </w:rPr>
        <w:t>Antivir</w:t>
      </w:r>
      <w:proofErr w:type="spellEnd"/>
      <w:r w:rsidRPr="007F560B">
        <w:rPr>
          <w:i/>
          <w:sz w:val="24"/>
          <w:szCs w:val="24"/>
          <w:lang w:val="en-US"/>
        </w:rPr>
        <w:t xml:space="preserve"> </w:t>
      </w:r>
      <w:proofErr w:type="spellStart"/>
      <w:r w:rsidRPr="007F560B">
        <w:rPr>
          <w:i/>
          <w:sz w:val="24"/>
          <w:szCs w:val="24"/>
          <w:lang w:val="en-US"/>
        </w:rPr>
        <w:t>Ther</w:t>
      </w:r>
      <w:proofErr w:type="spellEnd"/>
      <w:r w:rsidRPr="007F560B">
        <w:rPr>
          <w:sz w:val="24"/>
          <w:szCs w:val="24"/>
          <w:lang w:val="en-US"/>
        </w:rPr>
        <w:t xml:space="preserve"> 2018; </w:t>
      </w:r>
      <w:r w:rsidRPr="007F560B">
        <w:rPr>
          <w:b/>
          <w:sz w:val="24"/>
          <w:szCs w:val="24"/>
          <w:lang w:val="en-US"/>
        </w:rPr>
        <w:t>23</w:t>
      </w:r>
      <w:r w:rsidRPr="007F560B">
        <w:rPr>
          <w:sz w:val="24"/>
          <w:szCs w:val="24"/>
          <w:lang w:val="en-US"/>
        </w:rPr>
        <w:t>: 239-248 [PMID: 28933704 DOI: 10.3851/IMP3196]</w:t>
      </w:r>
    </w:p>
    <w:p w14:paraId="5CD17B22"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20 </w:t>
      </w:r>
      <w:r w:rsidRPr="007F560B">
        <w:rPr>
          <w:b/>
          <w:sz w:val="24"/>
          <w:szCs w:val="24"/>
          <w:lang w:val="en-US"/>
        </w:rPr>
        <w:t>Park Y</w:t>
      </w:r>
      <w:r w:rsidRPr="007F560B">
        <w:rPr>
          <w:sz w:val="24"/>
          <w:szCs w:val="24"/>
          <w:lang w:val="en-US"/>
        </w:rPr>
        <w:t xml:space="preserve">, Park JY, Han KH, Kim HS. Serum cytokine levels in chronic hepatitis B patients receiving peginterferon alpha-2a therapy. </w:t>
      </w:r>
      <w:r w:rsidRPr="007F560B">
        <w:rPr>
          <w:i/>
          <w:sz w:val="24"/>
          <w:szCs w:val="24"/>
          <w:lang w:val="en-US"/>
        </w:rPr>
        <w:t xml:space="preserve">Hepatobiliary </w:t>
      </w:r>
      <w:proofErr w:type="spellStart"/>
      <w:r w:rsidRPr="007F560B">
        <w:rPr>
          <w:i/>
          <w:sz w:val="24"/>
          <w:szCs w:val="24"/>
          <w:lang w:val="en-US"/>
        </w:rPr>
        <w:t>Pancreat</w:t>
      </w:r>
      <w:proofErr w:type="spellEnd"/>
      <w:r w:rsidRPr="007F560B">
        <w:rPr>
          <w:i/>
          <w:sz w:val="24"/>
          <w:szCs w:val="24"/>
          <w:lang w:val="en-US"/>
        </w:rPr>
        <w:t xml:space="preserve"> Dis </w:t>
      </w:r>
      <w:proofErr w:type="spellStart"/>
      <w:r w:rsidRPr="007F560B">
        <w:rPr>
          <w:i/>
          <w:sz w:val="24"/>
          <w:szCs w:val="24"/>
          <w:lang w:val="en-US"/>
        </w:rPr>
        <w:t>Int</w:t>
      </w:r>
      <w:proofErr w:type="spellEnd"/>
      <w:r w:rsidRPr="007F560B">
        <w:rPr>
          <w:sz w:val="24"/>
          <w:szCs w:val="24"/>
          <w:lang w:val="en-US"/>
        </w:rPr>
        <w:t xml:space="preserve"> 2012; </w:t>
      </w:r>
      <w:r w:rsidRPr="007F560B">
        <w:rPr>
          <w:b/>
          <w:sz w:val="24"/>
          <w:szCs w:val="24"/>
          <w:lang w:val="en-US"/>
        </w:rPr>
        <w:t>11</w:t>
      </w:r>
      <w:r w:rsidRPr="007F560B">
        <w:rPr>
          <w:sz w:val="24"/>
          <w:szCs w:val="24"/>
          <w:lang w:val="en-US"/>
        </w:rPr>
        <w:t>: 499-506 [PMID: 23060395 DOI: 10.1016/s1499-3872(12)60214-8]</w:t>
      </w:r>
    </w:p>
    <w:p w14:paraId="6B6DBC9D"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21 </w:t>
      </w:r>
      <w:proofErr w:type="spellStart"/>
      <w:r w:rsidRPr="007F560B">
        <w:rPr>
          <w:b/>
          <w:sz w:val="24"/>
          <w:szCs w:val="24"/>
          <w:lang w:val="en-US"/>
        </w:rPr>
        <w:t>Chisari</w:t>
      </w:r>
      <w:proofErr w:type="spellEnd"/>
      <w:r w:rsidRPr="007F560B">
        <w:rPr>
          <w:b/>
          <w:sz w:val="24"/>
          <w:szCs w:val="24"/>
          <w:lang w:val="en-US"/>
        </w:rPr>
        <w:t xml:space="preserve"> FV</w:t>
      </w:r>
      <w:r w:rsidRPr="007F560B">
        <w:rPr>
          <w:sz w:val="24"/>
          <w:szCs w:val="24"/>
          <w:lang w:val="en-US"/>
        </w:rPr>
        <w:t xml:space="preserve">, Ferrari C. Hepatitis B virus immunopathogenesis. </w:t>
      </w:r>
      <w:proofErr w:type="spellStart"/>
      <w:r w:rsidRPr="007F560B">
        <w:rPr>
          <w:i/>
          <w:sz w:val="24"/>
          <w:szCs w:val="24"/>
          <w:lang w:val="en-US"/>
        </w:rPr>
        <w:t>Annu</w:t>
      </w:r>
      <w:proofErr w:type="spellEnd"/>
      <w:r w:rsidRPr="007F560B">
        <w:rPr>
          <w:i/>
          <w:sz w:val="24"/>
          <w:szCs w:val="24"/>
          <w:lang w:val="en-US"/>
        </w:rPr>
        <w:t xml:space="preserve"> Rev </w:t>
      </w:r>
      <w:proofErr w:type="spellStart"/>
      <w:r w:rsidRPr="007F560B">
        <w:rPr>
          <w:i/>
          <w:sz w:val="24"/>
          <w:szCs w:val="24"/>
          <w:lang w:val="en-US"/>
        </w:rPr>
        <w:t>Immunol</w:t>
      </w:r>
      <w:proofErr w:type="spellEnd"/>
      <w:r w:rsidRPr="007F560B">
        <w:rPr>
          <w:sz w:val="24"/>
          <w:szCs w:val="24"/>
          <w:lang w:val="en-US"/>
        </w:rPr>
        <w:t xml:space="preserve"> 1995; </w:t>
      </w:r>
      <w:r w:rsidRPr="007F560B">
        <w:rPr>
          <w:b/>
          <w:sz w:val="24"/>
          <w:szCs w:val="24"/>
          <w:lang w:val="en-US"/>
        </w:rPr>
        <w:t>13</w:t>
      </w:r>
      <w:r w:rsidRPr="007F560B">
        <w:rPr>
          <w:sz w:val="24"/>
          <w:szCs w:val="24"/>
          <w:lang w:val="en-US"/>
        </w:rPr>
        <w:t>: 29-60 [PMID: 7612225 DOI: 10.1146/annurev.iy.13.040195.000333]</w:t>
      </w:r>
    </w:p>
    <w:p w14:paraId="6BE9CE24"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22 </w:t>
      </w:r>
      <w:r w:rsidRPr="007F560B">
        <w:rPr>
          <w:b/>
          <w:sz w:val="24"/>
          <w:szCs w:val="24"/>
          <w:lang w:val="en-US"/>
        </w:rPr>
        <w:t>Kwon H</w:t>
      </w:r>
      <w:r w:rsidRPr="007F560B">
        <w:rPr>
          <w:sz w:val="24"/>
          <w:szCs w:val="24"/>
          <w:lang w:val="en-US"/>
        </w:rPr>
        <w:t xml:space="preserve">, Lok AS. Hepatitis B therapy. </w:t>
      </w:r>
      <w:r w:rsidRPr="007F560B">
        <w:rPr>
          <w:i/>
          <w:sz w:val="24"/>
          <w:szCs w:val="24"/>
          <w:lang w:val="en-US"/>
        </w:rPr>
        <w:t>Nat Rev Gastroenterol Hepatol</w:t>
      </w:r>
      <w:r w:rsidRPr="007F560B">
        <w:rPr>
          <w:sz w:val="24"/>
          <w:szCs w:val="24"/>
          <w:lang w:val="en-US"/>
        </w:rPr>
        <w:t xml:space="preserve"> 2011; </w:t>
      </w:r>
      <w:r w:rsidRPr="007F560B">
        <w:rPr>
          <w:b/>
          <w:sz w:val="24"/>
          <w:szCs w:val="24"/>
          <w:lang w:val="en-US"/>
        </w:rPr>
        <w:t>8</w:t>
      </w:r>
      <w:r w:rsidRPr="007F560B">
        <w:rPr>
          <w:sz w:val="24"/>
          <w:szCs w:val="24"/>
          <w:lang w:val="en-US"/>
        </w:rPr>
        <w:t>: 275-284 [PMID: 21423260 DOI: 10.1038/nrgastro.2011.33]</w:t>
      </w:r>
    </w:p>
    <w:p w14:paraId="039625B5"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23 </w:t>
      </w:r>
      <w:proofErr w:type="spellStart"/>
      <w:r w:rsidRPr="007F560B">
        <w:rPr>
          <w:b/>
          <w:sz w:val="24"/>
          <w:szCs w:val="24"/>
          <w:lang w:val="en-US"/>
        </w:rPr>
        <w:t>Chien</w:t>
      </w:r>
      <w:proofErr w:type="spellEnd"/>
      <w:r w:rsidRPr="007F560B">
        <w:rPr>
          <w:b/>
          <w:sz w:val="24"/>
          <w:szCs w:val="24"/>
          <w:lang w:val="en-US"/>
        </w:rPr>
        <w:t xml:space="preserve"> RN</w:t>
      </w:r>
      <w:r w:rsidRPr="007F560B">
        <w:rPr>
          <w:sz w:val="24"/>
          <w:szCs w:val="24"/>
          <w:lang w:val="en-US"/>
        </w:rPr>
        <w:t xml:space="preserve">, Kao JH, Peng CY, Chen CH, Liu CJ, Huang YH, Hu TH, Yang HI, Lu SN, Ni YH, Chuang WL, Lee CM, Wu JC, Chen PJ, </w:t>
      </w:r>
      <w:proofErr w:type="spellStart"/>
      <w:r w:rsidRPr="007F560B">
        <w:rPr>
          <w:sz w:val="24"/>
          <w:szCs w:val="24"/>
          <w:lang w:val="en-US"/>
        </w:rPr>
        <w:t>Liaw</w:t>
      </w:r>
      <w:proofErr w:type="spellEnd"/>
      <w:r w:rsidRPr="007F560B">
        <w:rPr>
          <w:sz w:val="24"/>
          <w:szCs w:val="24"/>
          <w:lang w:val="en-US"/>
        </w:rPr>
        <w:t xml:space="preserve"> YF. Taiwan consensus statement on the management of chronic hepatitis B. </w:t>
      </w:r>
      <w:r w:rsidRPr="007F560B">
        <w:rPr>
          <w:i/>
          <w:sz w:val="24"/>
          <w:szCs w:val="24"/>
          <w:lang w:val="en-US"/>
        </w:rPr>
        <w:t xml:space="preserve">J </w:t>
      </w:r>
      <w:proofErr w:type="spellStart"/>
      <w:r w:rsidRPr="007F560B">
        <w:rPr>
          <w:i/>
          <w:sz w:val="24"/>
          <w:szCs w:val="24"/>
          <w:lang w:val="en-US"/>
        </w:rPr>
        <w:t>Formos</w:t>
      </w:r>
      <w:proofErr w:type="spellEnd"/>
      <w:r w:rsidRPr="007F560B">
        <w:rPr>
          <w:i/>
          <w:sz w:val="24"/>
          <w:szCs w:val="24"/>
          <w:lang w:val="en-US"/>
        </w:rPr>
        <w:t xml:space="preserve"> Med </w:t>
      </w:r>
      <w:proofErr w:type="spellStart"/>
      <w:r w:rsidRPr="007F560B">
        <w:rPr>
          <w:i/>
          <w:sz w:val="24"/>
          <w:szCs w:val="24"/>
          <w:lang w:val="en-US"/>
        </w:rPr>
        <w:t>Assoc</w:t>
      </w:r>
      <w:proofErr w:type="spellEnd"/>
      <w:r w:rsidRPr="007F560B">
        <w:rPr>
          <w:sz w:val="24"/>
          <w:szCs w:val="24"/>
          <w:lang w:val="en-US"/>
        </w:rPr>
        <w:t xml:space="preserve"> 2019; </w:t>
      </w:r>
      <w:r w:rsidRPr="007F560B">
        <w:rPr>
          <w:b/>
          <w:sz w:val="24"/>
          <w:szCs w:val="24"/>
          <w:lang w:val="en-US"/>
        </w:rPr>
        <w:t>118</w:t>
      </w:r>
      <w:r w:rsidRPr="007F560B">
        <w:rPr>
          <w:sz w:val="24"/>
          <w:szCs w:val="24"/>
          <w:lang w:val="en-US"/>
        </w:rPr>
        <w:t>: 7-38 [PMID: 30527436 DOI: 10.1016/j.jfma.2018.11.008]</w:t>
      </w:r>
    </w:p>
    <w:p w14:paraId="32313026"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24 </w:t>
      </w:r>
      <w:proofErr w:type="spellStart"/>
      <w:r w:rsidRPr="007F560B">
        <w:rPr>
          <w:b/>
          <w:sz w:val="24"/>
          <w:szCs w:val="24"/>
          <w:lang w:val="en-US"/>
        </w:rPr>
        <w:t>Sonneveld</w:t>
      </w:r>
      <w:proofErr w:type="spellEnd"/>
      <w:r w:rsidRPr="007F560B">
        <w:rPr>
          <w:b/>
          <w:sz w:val="24"/>
          <w:szCs w:val="24"/>
          <w:lang w:val="en-US"/>
        </w:rPr>
        <w:t xml:space="preserve"> MJ</w:t>
      </w:r>
      <w:r w:rsidRPr="007F560B">
        <w:rPr>
          <w:sz w:val="24"/>
          <w:szCs w:val="24"/>
          <w:lang w:val="en-US"/>
        </w:rPr>
        <w:t xml:space="preserve">, </w:t>
      </w:r>
      <w:proofErr w:type="spellStart"/>
      <w:r w:rsidRPr="007F560B">
        <w:rPr>
          <w:sz w:val="24"/>
          <w:szCs w:val="24"/>
          <w:lang w:val="en-US"/>
        </w:rPr>
        <w:t>Arends</w:t>
      </w:r>
      <w:proofErr w:type="spellEnd"/>
      <w:r w:rsidRPr="007F560B">
        <w:rPr>
          <w:sz w:val="24"/>
          <w:szCs w:val="24"/>
          <w:lang w:val="en-US"/>
        </w:rPr>
        <w:t xml:space="preserve"> P, </w:t>
      </w:r>
      <w:proofErr w:type="spellStart"/>
      <w:r w:rsidRPr="007F560B">
        <w:rPr>
          <w:sz w:val="24"/>
          <w:szCs w:val="24"/>
          <w:lang w:val="en-US"/>
        </w:rPr>
        <w:t>Boonstra</w:t>
      </w:r>
      <w:proofErr w:type="spellEnd"/>
      <w:r w:rsidRPr="007F560B">
        <w:rPr>
          <w:sz w:val="24"/>
          <w:szCs w:val="24"/>
          <w:lang w:val="en-US"/>
        </w:rPr>
        <w:t xml:space="preserve"> A, Hansen BE, Janssen HL. Serum levels of interferon-gamma-inducible protein 10 and response to </w:t>
      </w:r>
      <w:proofErr w:type="spellStart"/>
      <w:r w:rsidRPr="007F560B">
        <w:rPr>
          <w:sz w:val="24"/>
          <w:szCs w:val="24"/>
          <w:lang w:val="en-US"/>
        </w:rPr>
        <w:t>peginterferon</w:t>
      </w:r>
      <w:proofErr w:type="spellEnd"/>
      <w:r w:rsidRPr="007F560B">
        <w:rPr>
          <w:sz w:val="24"/>
          <w:szCs w:val="24"/>
          <w:lang w:val="en-US"/>
        </w:rPr>
        <w:t xml:space="preserve"> therapy in </w:t>
      </w:r>
      <w:proofErr w:type="spellStart"/>
      <w:r w:rsidRPr="007F560B">
        <w:rPr>
          <w:sz w:val="24"/>
          <w:szCs w:val="24"/>
          <w:lang w:val="en-US"/>
        </w:rPr>
        <w:t>HBeAg</w:t>
      </w:r>
      <w:proofErr w:type="spellEnd"/>
      <w:r w:rsidRPr="007F560B">
        <w:rPr>
          <w:sz w:val="24"/>
          <w:szCs w:val="24"/>
          <w:lang w:val="en-US"/>
        </w:rPr>
        <w:t xml:space="preserve">-positive chronic hepatitis B. </w:t>
      </w:r>
      <w:r w:rsidRPr="007F560B">
        <w:rPr>
          <w:i/>
          <w:sz w:val="24"/>
          <w:szCs w:val="24"/>
          <w:lang w:val="en-US"/>
        </w:rPr>
        <w:t>J Hepatol</w:t>
      </w:r>
      <w:r w:rsidRPr="007F560B">
        <w:rPr>
          <w:sz w:val="24"/>
          <w:szCs w:val="24"/>
          <w:lang w:val="en-US"/>
        </w:rPr>
        <w:t xml:space="preserve"> 2013; </w:t>
      </w:r>
      <w:r w:rsidRPr="007F560B">
        <w:rPr>
          <w:b/>
          <w:sz w:val="24"/>
          <w:szCs w:val="24"/>
          <w:lang w:val="en-US"/>
        </w:rPr>
        <w:t>58</w:t>
      </w:r>
      <w:r w:rsidRPr="007F560B">
        <w:rPr>
          <w:sz w:val="24"/>
          <w:szCs w:val="24"/>
          <w:lang w:val="en-US"/>
        </w:rPr>
        <w:t>: 898-903 [PMID: 23376362 DOI: 10.1016/j.jhep.2013.01.029]</w:t>
      </w:r>
    </w:p>
    <w:p w14:paraId="2410FFC4"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25 </w:t>
      </w:r>
      <w:r w:rsidRPr="007F560B">
        <w:rPr>
          <w:b/>
          <w:sz w:val="24"/>
          <w:szCs w:val="24"/>
          <w:lang w:val="en-US"/>
        </w:rPr>
        <w:t>Groom JR</w:t>
      </w:r>
      <w:r w:rsidRPr="007F560B">
        <w:rPr>
          <w:sz w:val="24"/>
          <w:szCs w:val="24"/>
          <w:lang w:val="en-US"/>
        </w:rPr>
        <w:t xml:space="preserve">, Luster AD. CXCR3 in T cell function. </w:t>
      </w:r>
      <w:r w:rsidRPr="007F560B">
        <w:rPr>
          <w:i/>
          <w:sz w:val="24"/>
          <w:szCs w:val="24"/>
          <w:lang w:val="en-US"/>
        </w:rPr>
        <w:t>Exp Cell Res</w:t>
      </w:r>
      <w:r w:rsidRPr="007F560B">
        <w:rPr>
          <w:sz w:val="24"/>
          <w:szCs w:val="24"/>
          <w:lang w:val="en-US"/>
        </w:rPr>
        <w:t xml:space="preserve"> 2011; </w:t>
      </w:r>
      <w:r w:rsidRPr="007F560B">
        <w:rPr>
          <w:b/>
          <w:sz w:val="24"/>
          <w:szCs w:val="24"/>
          <w:lang w:val="en-US"/>
        </w:rPr>
        <w:t>317</w:t>
      </w:r>
      <w:r w:rsidRPr="007F560B">
        <w:rPr>
          <w:sz w:val="24"/>
          <w:szCs w:val="24"/>
          <w:lang w:val="en-US"/>
        </w:rPr>
        <w:t>: 620-631 [PMID: 21376175 DOI: 10.1016/j.yexcr.2010.12.017]</w:t>
      </w:r>
    </w:p>
    <w:p w14:paraId="3B30D380"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26 </w:t>
      </w:r>
      <w:r w:rsidRPr="007F560B">
        <w:rPr>
          <w:b/>
          <w:sz w:val="24"/>
          <w:szCs w:val="24"/>
          <w:lang w:val="en-US"/>
        </w:rPr>
        <w:t>Groom JR</w:t>
      </w:r>
      <w:r w:rsidRPr="007F560B">
        <w:rPr>
          <w:sz w:val="24"/>
          <w:szCs w:val="24"/>
          <w:lang w:val="en-US"/>
        </w:rPr>
        <w:t xml:space="preserve">, Luster AD. CXCR3 ligands: redundant, collaborative and </w:t>
      </w:r>
      <w:r w:rsidRPr="007F560B">
        <w:rPr>
          <w:sz w:val="24"/>
          <w:szCs w:val="24"/>
          <w:lang w:val="en-US"/>
        </w:rPr>
        <w:lastRenderedPageBreak/>
        <w:t xml:space="preserve">antagonistic functions. </w:t>
      </w:r>
      <w:r w:rsidRPr="007F560B">
        <w:rPr>
          <w:i/>
          <w:sz w:val="24"/>
          <w:szCs w:val="24"/>
          <w:lang w:val="en-US"/>
        </w:rPr>
        <w:t>Immunol Cell Biol</w:t>
      </w:r>
      <w:r w:rsidRPr="007F560B">
        <w:rPr>
          <w:sz w:val="24"/>
          <w:szCs w:val="24"/>
          <w:lang w:val="en-US"/>
        </w:rPr>
        <w:t xml:space="preserve"> 2011; </w:t>
      </w:r>
      <w:r w:rsidRPr="007F560B">
        <w:rPr>
          <w:b/>
          <w:sz w:val="24"/>
          <w:szCs w:val="24"/>
          <w:lang w:val="en-US"/>
        </w:rPr>
        <w:t>89</w:t>
      </w:r>
      <w:r w:rsidRPr="007F560B">
        <w:rPr>
          <w:sz w:val="24"/>
          <w:szCs w:val="24"/>
          <w:lang w:val="en-US"/>
        </w:rPr>
        <w:t>: 207-215 [PMID: 21221121 DOI: 10.1038/icb.2010.158]</w:t>
      </w:r>
    </w:p>
    <w:p w14:paraId="5B2EB269"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27 </w:t>
      </w:r>
      <w:r w:rsidRPr="007F560B">
        <w:rPr>
          <w:b/>
          <w:sz w:val="24"/>
          <w:szCs w:val="24"/>
          <w:lang w:val="en-US"/>
        </w:rPr>
        <w:t>De Rose V</w:t>
      </w:r>
      <w:r w:rsidRPr="007F560B">
        <w:rPr>
          <w:sz w:val="24"/>
          <w:szCs w:val="24"/>
          <w:lang w:val="en-US"/>
        </w:rPr>
        <w:t xml:space="preserve">, </w:t>
      </w:r>
      <w:proofErr w:type="spellStart"/>
      <w:r w:rsidRPr="007F560B">
        <w:rPr>
          <w:sz w:val="24"/>
          <w:szCs w:val="24"/>
          <w:lang w:val="en-US"/>
        </w:rPr>
        <w:t>Cappello</w:t>
      </w:r>
      <w:proofErr w:type="spellEnd"/>
      <w:r w:rsidRPr="007F560B">
        <w:rPr>
          <w:sz w:val="24"/>
          <w:szCs w:val="24"/>
          <w:lang w:val="en-US"/>
        </w:rPr>
        <w:t xml:space="preserve"> P, </w:t>
      </w:r>
      <w:proofErr w:type="spellStart"/>
      <w:r w:rsidRPr="007F560B">
        <w:rPr>
          <w:sz w:val="24"/>
          <w:szCs w:val="24"/>
          <w:lang w:val="en-US"/>
        </w:rPr>
        <w:t>Sorbello</w:t>
      </w:r>
      <w:proofErr w:type="spellEnd"/>
      <w:r w:rsidRPr="007F560B">
        <w:rPr>
          <w:sz w:val="24"/>
          <w:szCs w:val="24"/>
          <w:lang w:val="en-US"/>
        </w:rPr>
        <w:t xml:space="preserve"> V, </w:t>
      </w:r>
      <w:proofErr w:type="spellStart"/>
      <w:r w:rsidRPr="007F560B">
        <w:rPr>
          <w:sz w:val="24"/>
          <w:szCs w:val="24"/>
          <w:lang w:val="en-US"/>
        </w:rPr>
        <w:t>Ceccarini</w:t>
      </w:r>
      <w:proofErr w:type="spellEnd"/>
      <w:r w:rsidRPr="007F560B">
        <w:rPr>
          <w:sz w:val="24"/>
          <w:szCs w:val="24"/>
          <w:lang w:val="en-US"/>
        </w:rPr>
        <w:t xml:space="preserve"> B, </w:t>
      </w:r>
      <w:proofErr w:type="spellStart"/>
      <w:r w:rsidRPr="007F560B">
        <w:rPr>
          <w:sz w:val="24"/>
          <w:szCs w:val="24"/>
          <w:lang w:val="en-US"/>
        </w:rPr>
        <w:t>Gani</w:t>
      </w:r>
      <w:proofErr w:type="spellEnd"/>
      <w:r w:rsidRPr="007F560B">
        <w:rPr>
          <w:sz w:val="24"/>
          <w:szCs w:val="24"/>
          <w:lang w:val="en-US"/>
        </w:rPr>
        <w:t xml:space="preserve"> F, </w:t>
      </w:r>
      <w:proofErr w:type="spellStart"/>
      <w:r w:rsidRPr="007F560B">
        <w:rPr>
          <w:sz w:val="24"/>
          <w:szCs w:val="24"/>
          <w:lang w:val="en-US"/>
        </w:rPr>
        <w:t>Bosticardo</w:t>
      </w:r>
      <w:proofErr w:type="spellEnd"/>
      <w:r w:rsidRPr="007F560B">
        <w:rPr>
          <w:sz w:val="24"/>
          <w:szCs w:val="24"/>
          <w:lang w:val="en-US"/>
        </w:rPr>
        <w:t xml:space="preserve"> M, </w:t>
      </w:r>
      <w:proofErr w:type="spellStart"/>
      <w:r w:rsidRPr="007F560B">
        <w:rPr>
          <w:sz w:val="24"/>
          <w:szCs w:val="24"/>
          <w:lang w:val="en-US"/>
        </w:rPr>
        <w:t>Fassio</w:t>
      </w:r>
      <w:proofErr w:type="spellEnd"/>
      <w:r w:rsidRPr="007F560B">
        <w:rPr>
          <w:sz w:val="24"/>
          <w:szCs w:val="24"/>
          <w:lang w:val="en-US"/>
        </w:rPr>
        <w:t xml:space="preserve"> S, </w:t>
      </w:r>
      <w:proofErr w:type="spellStart"/>
      <w:r w:rsidRPr="007F560B">
        <w:rPr>
          <w:sz w:val="24"/>
          <w:szCs w:val="24"/>
          <w:lang w:val="en-US"/>
        </w:rPr>
        <w:t>Novelli</w:t>
      </w:r>
      <w:proofErr w:type="spellEnd"/>
      <w:r w:rsidRPr="007F560B">
        <w:rPr>
          <w:sz w:val="24"/>
          <w:szCs w:val="24"/>
          <w:lang w:val="en-US"/>
        </w:rPr>
        <w:t xml:space="preserve"> F. IFN-gamma inhibits the proliferation of allergen-activated T lymphocytes from atopic, asthmatic patients by inducing </w:t>
      </w:r>
      <w:proofErr w:type="spellStart"/>
      <w:r w:rsidRPr="007F560B">
        <w:rPr>
          <w:sz w:val="24"/>
          <w:szCs w:val="24"/>
          <w:lang w:val="en-US"/>
        </w:rPr>
        <w:t>Fas</w:t>
      </w:r>
      <w:proofErr w:type="spellEnd"/>
      <w:r w:rsidRPr="007F560B">
        <w:rPr>
          <w:sz w:val="24"/>
          <w:szCs w:val="24"/>
          <w:lang w:val="en-US"/>
        </w:rPr>
        <w:t>/</w:t>
      </w:r>
      <w:proofErr w:type="spellStart"/>
      <w:r w:rsidRPr="007F560B">
        <w:rPr>
          <w:sz w:val="24"/>
          <w:szCs w:val="24"/>
          <w:lang w:val="en-US"/>
        </w:rPr>
        <w:t>FasL</w:t>
      </w:r>
      <w:proofErr w:type="spellEnd"/>
      <w:r w:rsidRPr="007F560B">
        <w:rPr>
          <w:sz w:val="24"/>
          <w:szCs w:val="24"/>
          <w:lang w:val="en-US"/>
        </w:rPr>
        <w:t xml:space="preserve">-mediated apoptosis. </w:t>
      </w:r>
      <w:r w:rsidRPr="007F560B">
        <w:rPr>
          <w:i/>
          <w:sz w:val="24"/>
          <w:szCs w:val="24"/>
          <w:lang w:val="en-US"/>
        </w:rPr>
        <w:t xml:space="preserve">J </w:t>
      </w:r>
      <w:proofErr w:type="spellStart"/>
      <w:r w:rsidRPr="007F560B">
        <w:rPr>
          <w:i/>
          <w:sz w:val="24"/>
          <w:szCs w:val="24"/>
          <w:lang w:val="en-US"/>
        </w:rPr>
        <w:t>Leukoc</w:t>
      </w:r>
      <w:proofErr w:type="spellEnd"/>
      <w:r w:rsidRPr="007F560B">
        <w:rPr>
          <w:i/>
          <w:sz w:val="24"/>
          <w:szCs w:val="24"/>
          <w:lang w:val="en-US"/>
        </w:rPr>
        <w:t xml:space="preserve"> </w:t>
      </w:r>
      <w:proofErr w:type="spellStart"/>
      <w:r w:rsidRPr="007F560B">
        <w:rPr>
          <w:i/>
          <w:sz w:val="24"/>
          <w:szCs w:val="24"/>
          <w:lang w:val="en-US"/>
        </w:rPr>
        <w:t>Biol</w:t>
      </w:r>
      <w:proofErr w:type="spellEnd"/>
      <w:r w:rsidRPr="007F560B">
        <w:rPr>
          <w:sz w:val="24"/>
          <w:szCs w:val="24"/>
          <w:lang w:val="en-US"/>
        </w:rPr>
        <w:t xml:space="preserve"> 2004; </w:t>
      </w:r>
      <w:r w:rsidRPr="007F560B">
        <w:rPr>
          <w:b/>
          <w:sz w:val="24"/>
          <w:szCs w:val="24"/>
          <w:lang w:val="en-US"/>
        </w:rPr>
        <w:t>76</w:t>
      </w:r>
      <w:r w:rsidRPr="007F560B">
        <w:rPr>
          <w:sz w:val="24"/>
          <w:szCs w:val="24"/>
          <w:lang w:val="en-US"/>
        </w:rPr>
        <w:t>: 423-432 [PMID: 15123769 DOI: 10.1189/jlb.0503247]</w:t>
      </w:r>
    </w:p>
    <w:p w14:paraId="297F48FA"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28 </w:t>
      </w:r>
      <w:proofErr w:type="spellStart"/>
      <w:r w:rsidRPr="007F560B">
        <w:rPr>
          <w:b/>
          <w:sz w:val="24"/>
          <w:szCs w:val="24"/>
          <w:lang w:val="en-US"/>
        </w:rPr>
        <w:t>Bièche</w:t>
      </w:r>
      <w:proofErr w:type="spellEnd"/>
      <w:r w:rsidRPr="007F560B">
        <w:rPr>
          <w:b/>
          <w:sz w:val="24"/>
          <w:szCs w:val="24"/>
          <w:lang w:val="en-US"/>
        </w:rPr>
        <w:t xml:space="preserve"> I</w:t>
      </w:r>
      <w:r w:rsidRPr="007F560B">
        <w:rPr>
          <w:sz w:val="24"/>
          <w:szCs w:val="24"/>
          <w:lang w:val="en-US"/>
        </w:rPr>
        <w:t xml:space="preserve">, </w:t>
      </w:r>
      <w:proofErr w:type="spellStart"/>
      <w:r w:rsidRPr="007F560B">
        <w:rPr>
          <w:sz w:val="24"/>
          <w:szCs w:val="24"/>
          <w:lang w:val="en-US"/>
        </w:rPr>
        <w:t>Asselah</w:t>
      </w:r>
      <w:proofErr w:type="spellEnd"/>
      <w:r w:rsidRPr="007F560B">
        <w:rPr>
          <w:sz w:val="24"/>
          <w:szCs w:val="24"/>
          <w:lang w:val="en-US"/>
        </w:rPr>
        <w:t xml:space="preserve"> T, </w:t>
      </w:r>
      <w:proofErr w:type="spellStart"/>
      <w:r w:rsidRPr="007F560B">
        <w:rPr>
          <w:sz w:val="24"/>
          <w:szCs w:val="24"/>
          <w:lang w:val="en-US"/>
        </w:rPr>
        <w:t>Laurendeau</w:t>
      </w:r>
      <w:proofErr w:type="spellEnd"/>
      <w:r w:rsidRPr="007F560B">
        <w:rPr>
          <w:sz w:val="24"/>
          <w:szCs w:val="24"/>
          <w:lang w:val="en-US"/>
        </w:rPr>
        <w:t xml:space="preserve"> I, </w:t>
      </w:r>
      <w:proofErr w:type="spellStart"/>
      <w:r w:rsidRPr="007F560B">
        <w:rPr>
          <w:sz w:val="24"/>
          <w:szCs w:val="24"/>
          <w:lang w:val="en-US"/>
        </w:rPr>
        <w:t>Vidaud</w:t>
      </w:r>
      <w:proofErr w:type="spellEnd"/>
      <w:r w:rsidRPr="007F560B">
        <w:rPr>
          <w:sz w:val="24"/>
          <w:szCs w:val="24"/>
          <w:lang w:val="en-US"/>
        </w:rPr>
        <w:t xml:space="preserve"> D, </w:t>
      </w:r>
      <w:proofErr w:type="spellStart"/>
      <w:r w:rsidRPr="007F560B">
        <w:rPr>
          <w:sz w:val="24"/>
          <w:szCs w:val="24"/>
          <w:lang w:val="en-US"/>
        </w:rPr>
        <w:t>Degot</w:t>
      </w:r>
      <w:proofErr w:type="spellEnd"/>
      <w:r w:rsidRPr="007F560B">
        <w:rPr>
          <w:sz w:val="24"/>
          <w:szCs w:val="24"/>
          <w:lang w:val="en-US"/>
        </w:rPr>
        <w:t xml:space="preserve"> C, Paradis V, </w:t>
      </w:r>
      <w:proofErr w:type="spellStart"/>
      <w:r w:rsidRPr="007F560B">
        <w:rPr>
          <w:sz w:val="24"/>
          <w:szCs w:val="24"/>
          <w:lang w:val="en-US"/>
        </w:rPr>
        <w:t>Bedossa</w:t>
      </w:r>
      <w:proofErr w:type="spellEnd"/>
      <w:r w:rsidRPr="007F560B">
        <w:rPr>
          <w:sz w:val="24"/>
          <w:szCs w:val="24"/>
          <w:lang w:val="en-US"/>
        </w:rPr>
        <w:t xml:space="preserve"> P, Valla DC, Marcellin P, </w:t>
      </w:r>
      <w:proofErr w:type="spellStart"/>
      <w:r w:rsidRPr="007F560B">
        <w:rPr>
          <w:sz w:val="24"/>
          <w:szCs w:val="24"/>
          <w:lang w:val="en-US"/>
        </w:rPr>
        <w:t>Vidaud</w:t>
      </w:r>
      <w:proofErr w:type="spellEnd"/>
      <w:r w:rsidRPr="007F560B">
        <w:rPr>
          <w:sz w:val="24"/>
          <w:szCs w:val="24"/>
          <w:lang w:val="en-US"/>
        </w:rPr>
        <w:t xml:space="preserve"> M. Molecular profiling of early stage liver fibrosis in patients with chronic hepatitis C virus infection. </w:t>
      </w:r>
      <w:r w:rsidRPr="007F560B">
        <w:rPr>
          <w:i/>
          <w:sz w:val="24"/>
          <w:szCs w:val="24"/>
          <w:lang w:val="en-US"/>
        </w:rPr>
        <w:t>Virology</w:t>
      </w:r>
      <w:r w:rsidRPr="007F560B">
        <w:rPr>
          <w:sz w:val="24"/>
          <w:szCs w:val="24"/>
          <w:lang w:val="en-US"/>
        </w:rPr>
        <w:t xml:space="preserve"> 2005; </w:t>
      </w:r>
      <w:r w:rsidRPr="007F560B">
        <w:rPr>
          <w:b/>
          <w:sz w:val="24"/>
          <w:szCs w:val="24"/>
          <w:lang w:val="en-US"/>
        </w:rPr>
        <w:t>332</w:t>
      </w:r>
      <w:r w:rsidRPr="007F560B">
        <w:rPr>
          <w:sz w:val="24"/>
          <w:szCs w:val="24"/>
          <w:lang w:val="en-US"/>
        </w:rPr>
        <w:t>: 130-144 [PMID: 15661146 DOI: 10.1016/j.virol.2004.11.009]</w:t>
      </w:r>
    </w:p>
    <w:p w14:paraId="131F68B4"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29 </w:t>
      </w:r>
      <w:proofErr w:type="spellStart"/>
      <w:r w:rsidRPr="007F560B">
        <w:rPr>
          <w:b/>
          <w:sz w:val="24"/>
          <w:szCs w:val="24"/>
          <w:lang w:val="en-US"/>
        </w:rPr>
        <w:t>Zeremski</w:t>
      </w:r>
      <w:proofErr w:type="spellEnd"/>
      <w:r w:rsidRPr="007F560B">
        <w:rPr>
          <w:b/>
          <w:sz w:val="24"/>
          <w:szCs w:val="24"/>
          <w:lang w:val="en-US"/>
        </w:rPr>
        <w:t xml:space="preserve"> M</w:t>
      </w:r>
      <w:r w:rsidRPr="007F560B">
        <w:rPr>
          <w:sz w:val="24"/>
          <w:szCs w:val="24"/>
          <w:lang w:val="en-US"/>
        </w:rPr>
        <w:t xml:space="preserve">, </w:t>
      </w:r>
      <w:proofErr w:type="spellStart"/>
      <w:r w:rsidRPr="007F560B">
        <w:rPr>
          <w:sz w:val="24"/>
          <w:szCs w:val="24"/>
          <w:lang w:val="en-US"/>
        </w:rPr>
        <w:t>Petrovic</w:t>
      </w:r>
      <w:proofErr w:type="spellEnd"/>
      <w:r w:rsidRPr="007F560B">
        <w:rPr>
          <w:sz w:val="24"/>
          <w:szCs w:val="24"/>
          <w:lang w:val="en-US"/>
        </w:rPr>
        <w:t xml:space="preserve"> LM, </w:t>
      </w:r>
      <w:proofErr w:type="spellStart"/>
      <w:r w:rsidRPr="007F560B">
        <w:rPr>
          <w:sz w:val="24"/>
          <w:szCs w:val="24"/>
          <w:lang w:val="en-US"/>
        </w:rPr>
        <w:t>Chiriboga</w:t>
      </w:r>
      <w:proofErr w:type="spellEnd"/>
      <w:r w:rsidRPr="007F560B">
        <w:rPr>
          <w:sz w:val="24"/>
          <w:szCs w:val="24"/>
          <w:lang w:val="en-US"/>
        </w:rPr>
        <w:t xml:space="preserve"> L, Brown QB, Yee HT, </w:t>
      </w:r>
      <w:proofErr w:type="spellStart"/>
      <w:r w:rsidRPr="007F560B">
        <w:rPr>
          <w:sz w:val="24"/>
          <w:szCs w:val="24"/>
          <w:lang w:val="en-US"/>
        </w:rPr>
        <w:t>Kinkhabwala</w:t>
      </w:r>
      <w:proofErr w:type="spellEnd"/>
      <w:r w:rsidRPr="007F560B">
        <w:rPr>
          <w:sz w:val="24"/>
          <w:szCs w:val="24"/>
          <w:lang w:val="en-US"/>
        </w:rPr>
        <w:t xml:space="preserve"> M, Jacobson IM, </w:t>
      </w:r>
      <w:proofErr w:type="spellStart"/>
      <w:r w:rsidRPr="007F560B">
        <w:rPr>
          <w:sz w:val="24"/>
          <w:szCs w:val="24"/>
          <w:lang w:val="en-US"/>
        </w:rPr>
        <w:t>Dimova</w:t>
      </w:r>
      <w:proofErr w:type="spellEnd"/>
      <w:r w:rsidRPr="007F560B">
        <w:rPr>
          <w:sz w:val="24"/>
          <w:szCs w:val="24"/>
          <w:lang w:val="en-US"/>
        </w:rPr>
        <w:t xml:space="preserve"> R, </w:t>
      </w:r>
      <w:proofErr w:type="spellStart"/>
      <w:r w:rsidRPr="007F560B">
        <w:rPr>
          <w:sz w:val="24"/>
          <w:szCs w:val="24"/>
          <w:lang w:val="en-US"/>
        </w:rPr>
        <w:t>Markatou</w:t>
      </w:r>
      <w:proofErr w:type="spellEnd"/>
      <w:r w:rsidRPr="007F560B">
        <w:rPr>
          <w:sz w:val="24"/>
          <w:szCs w:val="24"/>
          <w:lang w:val="en-US"/>
        </w:rPr>
        <w:t xml:space="preserve"> M, Talal AH. Intrahepatic levels of CXCR3-associated chemokines correlate with liver inflammation and fibrosis in chronic hepatitis C. </w:t>
      </w:r>
      <w:r w:rsidRPr="007F560B">
        <w:rPr>
          <w:i/>
          <w:sz w:val="24"/>
          <w:szCs w:val="24"/>
          <w:lang w:val="en-US"/>
        </w:rPr>
        <w:t>Hepatology</w:t>
      </w:r>
      <w:r w:rsidRPr="007F560B">
        <w:rPr>
          <w:sz w:val="24"/>
          <w:szCs w:val="24"/>
          <w:lang w:val="en-US"/>
        </w:rPr>
        <w:t xml:space="preserve"> 2008; </w:t>
      </w:r>
      <w:r w:rsidRPr="007F560B">
        <w:rPr>
          <w:b/>
          <w:sz w:val="24"/>
          <w:szCs w:val="24"/>
          <w:lang w:val="en-US"/>
        </w:rPr>
        <w:t>48</w:t>
      </w:r>
      <w:r w:rsidRPr="007F560B">
        <w:rPr>
          <w:sz w:val="24"/>
          <w:szCs w:val="24"/>
          <w:lang w:val="en-US"/>
        </w:rPr>
        <w:t>: 1440-1450 [PMID: 18798334 DOI: 10.1002/hep.22500]</w:t>
      </w:r>
    </w:p>
    <w:p w14:paraId="3700789D"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30 </w:t>
      </w:r>
      <w:proofErr w:type="spellStart"/>
      <w:r w:rsidRPr="007F560B">
        <w:rPr>
          <w:b/>
          <w:sz w:val="24"/>
          <w:szCs w:val="24"/>
          <w:lang w:val="en-US"/>
        </w:rPr>
        <w:t>Apolinario</w:t>
      </w:r>
      <w:proofErr w:type="spellEnd"/>
      <w:r w:rsidRPr="007F560B">
        <w:rPr>
          <w:b/>
          <w:sz w:val="24"/>
          <w:szCs w:val="24"/>
          <w:lang w:val="en-US"/>
        </w:rPr>
        <w:t xml:space="preserve"> A</w:t>
      </w:r>
      <w:r w:rsidRPr="007F560B">
        <w:rPr>
          <w:sz w:val="24"/>
          <w:szCs w:val="24"/>
          <w:lang w:val="en-US"/>
        </w:rPr>
        <w:t xml:space="preserve">, </w:t>
      </w:r>
      <w:proofErr w:type="spellStart"/>
      <w:r w:rsidRPr="007F560B">
        <w:rPr>
          <w:sz w:val="24"/>
          <w:szCs w:val="24"/>
          <w:lang w:val="en-US"/>
        </w:rPr>
        <w:t>Majano</w:t>
      </w:r>
      <w:proofErr w:type="spellEnd"/>
      <w:r w:rsidRPr="007F560B">
        <w:rPr>
          <w:sz w:val="24"/>
          <w:szCs w:val="24"/>
          <w:lang w:val="en-US"/>
        </w:rPr>
        <w:t xml:space="preserve"> PL, </w:t>
      </w:r>
      <w:proofErr w:type="spellStart"/>
      <w:r w:rsidRPr="007F560B">
        <w:rPr>
          <w:sz w:val="24"/>
          <w:szCs w:val="24"/>
          <w:lang w:val="en-US"/>
        </w:rPr>
        <w:t>Lorente</w:t>
      </w:r>
      <w:proofErr w:type="spellEnd"/>
      <w:r w:rsidRPr="007F560B">
        <w:rPr>
          <w:sz w:val="24"/>
          <w:szCs w:val="24"/>
          <w:lang w:val="en-US"/>
        </w:rPr>
        <w:t xml:space="preserve"> R, </w:t>
      </w:r>
      <w:proofErr w:type="spellStart"/>
      <w:r w:rsidRPr="007F560B">
        <w:rPr>
          <w:sz w:val="24"/>
          <w:szCs w:val="24"/>
          <w:lang w:val="en-US"/>
        </w:rPr>
        <w:t>Núñez</w:t>
      </w:r>
      <w:proofErr w:type="spellEnd"/>
      <w:r w:rsidRPr="007F560B">
        <w:rPr>
          <w:sz w:val="24"/>
          <w:szCs w:val="24"/>
          <w:lang w:val="en-US"/>
        </w:rPr>
        <w:t xml:space="preserve"> O, Clemente G, </w:t>
      </w:r>
      <w:proofErr w:type="spellStart"/>
      <w:r w:rsidRPr="007F560B">
        <w:rPr>
          <w:sz w:val="24"/>
          <w:szCs w:val="24"/>
          <w:lang w:val="en-US"/>
        </w:rPr>
        <w:t>García-Monzón</w:t>
      </w:r>
      <w:proofErr w:type="spellEnd"/>
      <w:r w:rsidRPr="007F560B">
        <w:rPr>
          <w:sz w:val="24"/>
          <w:szCs w:val="24"/>
          <w:lang w:val="en-US"/>
        </w:rPr>
        <w:t xml:space="preserve"> C. Gene expression profile of T-cell-specific chemokines in human hepatocyte-derived cells: evidence for a synergistic inducer effect of cytokines and hepatitis C virus proteins. </w:t>
      </w:r>
      <w:r w:rsidRPr="007F560B">
        <w:rPr>
          <w:i/>
          <w:sz w:val="24"/>
          <w:szCs w:val="24"/>
          <w:lang w:val="en-US"/>
        </w:rPr>
        <w:t xml:space="preserve">J Viral </w:t>
      </w:r>
      <w:proofErr w:type="spellStart"/>
      <w:r w:rsidRPr="007F560B">
        <w:rPr>
          <w:i/>
          <w:sz w:val="24"/>
          <w:szCs w:val="24"/>
          <w:lang w:val="en-US"/>
        </w:rPr>
        <w:t>Hepat</w:t>
      </w:r>
      <w:proofErr w:type="spellEnd"/>
      <w:r w:rsidRPr="007F560B">
        <w:rPr>
          <w:sz w:val="24"/>
          <w:szCs w:val="24"/>
          <w:lang w:val="en-US"/>
        </w:rPr>
        <w:t xml:space="preserve"> 2005; </w:t>
      </w:r>
      <w:r w:rsidRPr="007F560B">
        <w:rPr>
          <w:b/>
          <w:sz w:val="24"/>
          <w:szCs w:val="24"/>
          <w:lang w:val="en-US"/>
        </w:rPr>
        <w:t>12</w:t>
      </w:r>
      <w:r w:rsidRPr="007F560B">
        <w:rPr>
          <w:sz w:val="24"/>
          <w:szCs w:val="24"/>
          <w:lang w:val="en-US"/>
        </w:rPr>
        <w:t>: 27-37 [PMID: 15655045 DOI: 10.1111/j.1365-2893.2005.00540.x]</w:t>
      </w:r>
    </w:p>
    <w:p w14:paraId="281FF3DB"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31 </w:t>
      </w:r>
      <w:proofErr w:type="spellStart"/>
      <w:r w:rsidRPr="007F560B">
        <w:rPr>
          <w:b/>
          <w:sz w:val="24"/>
          <w:szCs w:val="24"/>
          <w:lang w:val="en-US"/>
        </w:rPr>
        <w:t>Oo</w:t>
      </w:r>
      <w:proofErr w:type="spellEnd"/>
      <w:r w:rsidRPr="007F560B">
        <w:rPr>
          <w:b/>
          <w:sz w:val="24"/>
          <w:szCs w:val="24"/>
          <w:lang w:val="en-US"/>
        </w:rPr>
        <w:t xml:space="preserve"> YH</w:t>
      </w:r>
      <w:r w:rsidRPr="007F560B">
        <w:rPr>
          <w:sz w:val="24"/>
          <w:szCs w:val="24"/>
          <w:lang w:val="en-US"/>
        </w:rPr>
        <w:t xml:space="preserve">, Weston CJ, </w:t>
      </w:r>
      <w:proofErr w:type="spellStart"/>
      <w:r w:rsidRPr="007F560B">
        <w:rPr>
          <w:sz w:val="24"/>
          <w:szCs w:val="24"/>
          <w:lang w:val="en-US"/>
        </w:rPr>
        <w:t>Lalor</w:t>
      </w:r>
      <w:proofErr w:type="spellEnd"/>
      <w:r w:rsidRPr="007F560B">
        <w:rPr>
          <w:sz w:val="24"/>
          <w:szCs w:val="24"/>
          <w:lang w:val="en-US"/>
        </w:rPr>
        <w:t xml:space="preserve"> PF, </w:t>
      </w:r>
      <w:proofErr w:type="spellStart"/>
      <w:r w:rsidRPr="007F560B">
        <w:rPr>
          <w:sz w:val="24"/>
          <w:szCs w:val="24"/>
          <w:lang w:val="en-US"/>
        </w:rPr>
        <w:t>Curbishley</w:t>
      </w:r>
      <w:proofErr w:type="spellEnd"/>
      <w:r w:rsidRPr="007F560B">
        <w:rPr>
          <w:sz w:val="24"/>
          <w:szCs w:val="24"/>
          <w:lang w:val="en-US"/>
        </w:rPr>
        <w:t xml:space="preserve"> SM, Withers DR, Reynolds GM, Shetty S, </w:t>
      </w:r>
      <w:proofErr w:type="spellStart"/>
      <w:r w:rsidRPr="007F560B">
        <w:rPr>
          <w:sz w:val="24"/>
          <w:szCs w:val="24"/>
          <w:lang w:val="en-US"/>
        </w:rPr>
        <w:t>Harki</w:t>
      </w:r>
      <w:proofErr w:type="spellEnd"/>
      <w:r w:rsidRPr="007F560B">
        <w:rPr>
          <w:sz w:val="24"/>
          <w:szCs w:val="24"/>
          <w:lang w:val="en-US"/>
        </w:rPr>
        <w:t xml:space="preserve"> J, Shaw JC, </w:t>
      </w:r>
      <w:proofErr w:type="spellStart"/>
      <w:r w:rsidRPr="007F560B">
        <w:rPr>
          <w:sz w:val="24"/>
          <w:szCs w:val="24"/>
          <w:lang w:val="en-US"/>
        </w:rPr>
        <w:t>Eksteen</w:t>
      </w:r>
      <w:proofErr w:type="spellEnd"/>
      <w:r w:rsidRPr="007F560B">
        <w:rPr>
          <w:sz w:val="24"/>
          <w:szCs w:val="24"/>
          <w:lang w:val="en-US"/>
        </w:rPr>
        <w:t xml:space="preserve"> B, </w:t>
      </w:r>
      <w:proofErr w:type="spellStart"/>
      <w:r w:rsidRPr="007F560B">
        <w:rPr>
          <w:sz w:val="24"/>
          <w:szCs w:val="24"/>
          <w:lang w:val="en-US"/>
        </w:rPr>
        <w:t>Hubscher</w:t>
      </w:r>
      <w:proofErr w:type="spellEnd"/>
      <w:r w:rsidRPr="007F560B">
        <w:rPr>
          <w:sz w:val="24"/>
          <w:szCs w:val="24"/>
          <w:lang w:val="en-US"/>
        </w:rPr>
        <w:t xml:space="preserve"> SG, Walker LS, Adams DH. Distinct roles for CCR4 and CXCR3 in the recruitment and positioning of regulatory T cells in the inflamed human liver. </w:t>
      </w:r>
      <w:r w:rsidRPr="007F560B">
        <w:rPr>
          <w:i/>
          <w:sz w:val="24"/>
          <w:szCs w:val="24"/>
          <w:lang w:val="en-US"/>
        </w:rPr>
        <w:t>J Immunol</w:t>
      </w:r>
      <w:r w:rsidRPr="007F560B">
        <w:rPr>
          <w:sz w:val="24"/>
          <w:szCs w:val="24"/>
          <w:lang w:val="en-US"/>
        </w:rPr>
        <w:t xml:space="preserve"> 2010; </w:t>
      </w:r>
      <w:r w:rsidRPr="007F560B">
        <w:rPr>
          <w:b/>
          <w:sz w:val="24"/>
          <w:szCs w:val="24"/>
          <w:lang w:val="en-US"/>
        </w:rPr>
        <w:t>184</w:t>
      </w:r>
      <w:r w:rsidRPr="007F560B">
        <w:rPr>
          <w:sz w:val="24"/>
          <w:szCs w:val="24"/>
          <w:lang w:val="en-US"/>
        </w:rPr>
        <w:t>: 2886-2898 [PMID: 20164417 DOI: 10.4049/jimmunol.0901216]</w:t>
      </w:r>
    </w:p>
    <w:p w14:paraId="6CDAE3B6"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32 </w:t>
      </w:r>
      <w:proofErr w:type="spellStart"/>
      <w:r w:rsidRPr="007F560B">
        <w:rPr>
          <w:b/>
          <w:sz w:val="24"/>
          <w:szCs w:val="24"/>
          <w:lang w:val="en-US"/>
        </w:rPr>
        <w:t>Butera</w:t>
      </w:r>
      <w:proofErr w:type="spellEnd"/>
      <w:r w:rsidRPr="007F560B">
        <w:rPr>
          <w:b/>
          <w:sz w:val="24"/>
          <w:szCs w:val="24"/>
          <w:lang w:val="en-US"/>
        </w:rPr>
        <w:t xml:space="preserve"> D</w:t>
      </w:r>
      <w:r w:rsidRPr="007F560B">
        <w:rPr>
          <w:sz w:val="24"/>
          <w:szCs w:val="24"/>
          <w:lang w:val="en-US"/>
        </w:rPr>
        <w:t xml:space="preserve">, </w:t>
      </w:r>
      <w:proofErr w:type="spellStart"/>
      <w:r w:rsidRPr="007F560B">
        <w:rPr>
          <w:sz w:val="24"/>
          <w:szCs w:val="24"/>
          <w:lang w:val="en-US"/>
        </w:rPr>
        <w:t>Marukian</w:t>
      </w:r>
      <w:proofErr w:type="spellEnd"/>
      <w:r w:rsidRPr="007F560B">
        <w:rPr>
          <w:sz w:val="24"/>
          <w:szCs w:val="24"/>
          <w:lang w:val="en-US"/>
        </w:rPr>
        <w:t xml:space="preserve"> S, </w:t>
      </w:r>
      <w:proofErr w:type="spellStart"/>
      <w:r w:rsidRPr="007F560B">
        <w:rPr>
          <w:sz w:val="24"/>
          <w:szCs w:val="24"/>
          <w:lang w:val="en-US"/>
        </w:rPr>
        <w:t>Iwamaye</w:t>
      </w:r>
      <w:proofErr w:type="spellEnd"/>
      <w:r w:rsidRPr="007F560B">
        <w:rPr>
          <w:sz w:val="24"/>
          <w:szCs w:val="24"/>
          <w:lang w:val="en-US"/>
        </w:rPr>
        <w:t xml:space="preserve"> AE, </w:t>
      </w:r>
      <w:proofErr w:type="spellStart"/>
      <w:r w:rsidRPr="007F560B">
        <w:rPr>
          <w:sz w:val="24"/>
          <w:szCs w:val="24"/>
          <w:lang w:val="en-US"/>
        </w:rPr>
        <w:t>Hembrador</w:t>
      </w:r>
      <w:proofErr w:type="spellEnd"/>
      <w:r w:rsidRPr="007F560B">
        <w:rPr>
          <w:sz w:val="24"/>
          <w:szCs w:val="24"/>
          <w:lang w:val="en-US"/>
        </w:rPr>
        <w:t xml:space="preserve"> E, Chambers TJ, Di </w:t>
      </w:r>
      <w:proofErr w:type="spellStart"/>
      <w:r w:rsidRPr="007F560B">
        <w:rPr>
          <w:sz w:val="24"/>
          <w:szCs w:val="24"/>
          <w:lang w:val="en-US"/>
        </w:rPr>
        <w:t>Bisceglie</w:t>
      </w:r>
      <w:proofErr w:type="spellEnd"/>
      <w:r w:rsidRPr="007F560B">
        <w:rPr>
          <w:sz w:val="24"/>
          <w:szCs w:val="24"/>
          <w:lang w:val="en-US"/>
        </w:rPr>
        <w:t xml:space="preserve"> AM, Charles ED, Talal AH, Jacobson IM, Rice CM, Dustin LB. Plasma chemokine levels correlate with the outcome of antiviral therapy in patients with hepatitis C. </w:t>
      </w:r>
      <w:r w:rsidRPr="007F560B">
        <w:rPr>
          <w:i/>
          <w:sz w:val="24"/>
          <w:szCs w:val="24"/>
          <w:lang w:val="en-US"/>
        </w:rPr>
        <w:t>Blood</w:t>
      </w:r>
      <w:r w:rsidRPr="007F560B">
        <w:rPr>
          <w:sz w:val="24"/>
          <w:szCs w:val="24"/>
          <w:lang w:val="en-US"/>
        </w:rPr>
        <w:t xml:space="preserve"> 2005; </w:t>
      </w:r>
      <w:r w:rsidRPr="007F560B">
        <w:rPr>
          <w:b/>
          <w:sz w:val="24"/>
          <w:szCs w:val="24"/>
          <w:lang w:val="en-US"/>
        </w:rPr>
        <w:t>106</w:t>
      </w:r>
      <w:r w:rsidRPr="007F560B">
        <w:rPr>
          <w:sz w:val="24"/>
          <w:szCs w:val="24"/>
          <w:lang w:val="en-US"/>
        </w:rPr>
        <w:t>: 1175-1182 [PMID: 15860662 DOI: 10.1182/blood-2005-01-0126]</w:t>
      </w:r>
    </w:p>
    <w:p w14:paraId="245E9E14"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lastRenderedPageBreak/>
        <w:t xml:space="preserve">33 </w:t>
      </w:r>
      <w:r w:rsidRPr="007F560B">
        <w:rPr>
          <w:b/>
          <w:sz w:val="24"/>
          <w:szCs w:val="24"/>
          <w:lang w:val="en-US"/>
        </w:rPr>
        <w:t>Tan AT</w:t>
      </w:r>
      <w:r w:rsidRPr="007F560B">
        <w:rPr>
          <w:sz w:val="24"/>
          <w:szCs w:val="24"/>
          <w:lang w:val="en-US"/>
        </w:rPr>
        <w:t xml:space="preserve">, Koh S, Goh W, </w:t>
      </w:r>
      <w:proofErr w:type="spellStart"/>
      <w:r w:rsidRPr="007F560B">
        <w:rPr>
          <w:sz w:val="24"/>
          <w:szCs w:val="24"/>
          <w:lang w:val="en-US"/>
        </w:rPr>
        <w:t>Zhe</w:t>
      </w:r>
      <w:proofErr w:type="spellEnd"/>
      <w:r w:rsidRPr="007F560B">
        <w:rPr>
          <w:sz w:val="24"/>
          <w:szCs w:val="24"/>
          <w:lang w:val="en-US"/>
        </w:rPr>
        <w:t xml:space="preserve"> HY, </w:t>
      </w:r>
      <w:proofErr w:type="spellStart"/>
      <w:r w:rsidRPr="007F560B">
        <w:rPr>
          <w:sz w:val="24"/>
          <w:szCs w:val="24"/>
          <w:lang w:val="en-US"/>
        </w:rPr>
        <w:t>Gehring</w:t>
      </w:r>
      <w:proofErr w:type="spellEnd"/>
      <w:r w:rsidRPr="007F560B">
        <w:rPr>
          <w:sz w:val="24"/>
          <w:szCs w:val="24"/>
          <w:lang w:val="en-US"/>
        </w:rPr>
        <w:t xml:space="preserve"> AJ, Lim SG, </w:t>
      </w:r>
      <w:proofErr w:type="spellStart"/>
      <w:r w:rsidRPr="007F560B">
        <w:rPr>
          <w:sz w:val="24"/>
          <w:szCs w:val="24"/>
          <w:lang w:val="en-US"/>
        </w:rPr>
        <w:t>Bertoletti</w:t>
      </w:r>
      <w:proofErr w:type="spellEnd"/>
      <w:r w:rsidRPr="007F560B">
        <w:rPr>
          <w:sz w:val="24"/>
          <w:szCs w:val="24"/>
          <w:lang w:val="en-US"/>
        </w:rPr>
        <w:t xml:space="preserve"> A. A longitudinal analysis of innate and adaptive immune profile during hepatic flares in chronic hepatitis B. </w:t>
      </w:r>
      <w:r w:rsidRPr="007F560B">
        <w:rPr>
          <w:i/>
          <w:sz w:val="24"/>
          <w:szCs w:val="24"/>
          <w:lang w:val="en-US"/>
        </w:rPr>
        <w:t>J Hepatol</w:t>
      </w:r>
      <w:r w:rsidRPr="007F560B">
        <w:rPr>
          <w:sz w:val="24"/>
          <w:szCs w:val="24"/>
          <w:lang w:val="en-US"/>
        </w:rPr>
        <w:t xml:space="preserve"> 2010; </w:t>
      </w:r>
      <w:r w:rsidRPr="007F560B">
        <w:rPr>
          <w:b/>
          <w:sz w:val="24"/>
          <w:szCs w:val="24"/>
          <w:lang w:val="en-US"/>
        </w:rPr>
        <w:t>52</w:t>
      </w:r>
      <w:r w:rsidRPr="007F560B">
        <w:rPr>
          <w:sz w:val="24"/>
          <w:szCs w:val="24"/>
          <w:lang w:val="en-US"/>
        </w:rPr>
        <w:t>: 330-339 [PMID: 20137825 DOI: 10.1016/j.jhep.2009.12.015]</w:t>
      </w:r>
    </w:p>
    <w:p w14:paraId="5CE31A8A"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34 </w:t>
      </w:r>
      <w:proofErr w:type="spellStart"/>
      <w:r w:rsidRPr="007F560B">
        <w:rPr>
          <w:b/>
          <w:sz w:val="24"/>
          <w:szCs w:val="24"/>
          <w:lang w:val="en-US"/>
        </w:rPr>
        <w:t>Shirabe</w:t>
      </w:r>
      <w:proofErr w:type="spellEnd"/>
      <w:r w:rsidRPr="007F560B">
        <w:rPr>
          <w:b/>
          <w:sz w:val="24"/>
          <w:szCs w:val="24"/>
          <w:lang w:val="en-US"/>
        </w:rPr>
        <w:t xml:space="preserve"> K</w:t>
      </w:r>
      <w:r w:rsidRPr="007F560B">
        <w:rPr>
          <w:sz w:val="24"/>
          <w:szCs w:val="24"/>
          <w:lang w:val="en-US"/>
        </w:rPr>
        <w:t xml:space="preserve">, Bekki Y, </w:t>
      </w:r>
      <w:proofErr w:type="spellStart"/>
      <w:r w:rsidRPr="007F560B">
        <w:rPr>
          <w:sz w:val="24"/>
          <w:szCs w:val="24"/>
          <w:lang w:val="en-US"/>
        </w:rPr>
        <w:t>Gantumur</w:t>
      </w:r>
      <w:proofErr w:type="spellEnd"/>
      <w:r w:rsidRPr="007F560B">
        <w:rPr>
          <w:sz w:val="24"/>
          <w:szCs w:val="24"/>
          <w:lang w:val="en-US"/>
        </w:rPr>
        <w:t xml:space="preserve"> D, Araki K, Ishii N, </w:t>
      </w:r>
      <w:proofErr w:type="spellStart"/>
      <w:r w:rsidRPr="007F560B">
        <w:rPr>
          <w:sz w:val="24"/>
          <w:szCs w:val="24"/>
          <w:lang w:val="en-US"/>
        </w:rPr>
        <w:t>Kuno</w:t>
      </w:r>
      <w:proofErr w:type="spellEnd"/>
      <w:r w:rsidRPr="007F560B">
        <w:rPr>
          <w:sz w:val="24"/>
          <w:szCs w:val="24"/>
          <w:lang w:val="en-US"/>
        </w:rPr>
        <w:t xml:space="preserve"> A, </w:t>
      </w:r>
      <w:proofErr w:type="spellStart"/>
      <w:r w:rsidRPr="007F560B">
        <w:rPr>
          <w:sz w:val="24"/>
          <w:szCs w:val="24"/>
          <w:lang w:val="en-US"/>
        </w:rPr>
        <w:t>Narimatsu</w:t>
      </w:r>
      <w:proofErr w:type="spellEnd"/>
      <w:r w:rsidRPr="007F560B">
        <w:rPr>
          <w:sz w:val="24"/>
          <w:szCs w:val="24"/>
          <w:lang w:val="en-US"/>
        </w:rPr>
        <w:t xml:space="preserve"> H, </w:t>
      </w:r>
      <w:proofErr w:type="spellStart"/>
      <w:r w:rsidRPr="007F560B">
        <w:rPr>
          <w:sz w:val="24"/>
          <w:szCs w:val="24"/>
          <w:lang w:val="en-US"/>
        </w:rPr>
        <w:t>Mizokami</w:t>
      </w:r>
      <w:proofErr w:type="spellEnd"/>
      <w:r w:rsidRPr="007F560B">
        <w:rPr>
          <w:sz w:val="24"/>
          <w:szCs w:val="24"/>
          <w:lang w:val="en-US"/>
        </w:rPr>
        <w:t xml:space="preserve"> M. Mac-2 binding protein glycan isomer (M2BPGi) is a new serum biomarker for assessing liver fibrosis: more than a biomarker of liver fibrosis. </w:t>
      </w:r>
      <w:r w:rsidRPr="007F560B">
        <w:rPr>
          <w:i/>
          <w:sz w:val="24"/>
          <w:szCs w:val="24"/>
          <w:lang w:val="en-US"/>
        </w:rPr>
        <w:t>J Gastroenterol</w:t>
      </w:r>
      <w:r w:rsidRPr="007F560B">
        <w:rPr>
          <w:sz w:val="24"/>
          <w:szCs w:val="24"/>
          <w:lang w:val="en-US"/>
        </w:rPr>
        <w:t xml:space="preserve"> 2018; </w:t>
      </w:r>
      <w:r w:rsidRPr="007F560B">
        <w:rPr>
          <w:b/>
          <w:sz w:val="24"/>
          <w:szCs w:val="24"/>
          <w:lang w:val="en-US"/>
        </w:rPr>
        <w:t>53</w:t>
      </w:r>
      <w:r w:rsidRPr="007F560B">
        <w:rPr>
          <w:sz w:val="24"/>
          <w:szCs w:val="24"/>
          <w:lang w:val="en-US"/>
        </w:rPr>
        <w:t>: 819-826 [PMID: 29318378 DOI: 10.1007/s00535-017-1425-z]</w:t>
      </w:r>
    </w:p>
    <w:p w14:paraId="0F7DFF98"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35 </w:t>
      </w:r>
      <w:r w:rsidRPr="007F560B">
        <w:rPr>
          <w:b/>
          <w:sz w:val="24"/>
          <w:szCs w:val="24"/>
          <w:lang w:val="en-US"/>
        </w:rPr>
        <w:t>Nishikawa H</w:t>
      </w:r>
      <w:r w:rsidRPr="007F560B">
        <w:rPr>
          <w:sz w:val="24"/>
          <w:szCs w:val="24"/>
          <w:lang w:val="en-US"/>
        </w:rPr>
        <w:t xml:space="preserve">, </w:t>
      </w:r>
      <w:proofErr w:type="spellStart"/>
      <w:r w:rsidRPr="007F560B">
        <w:rPr>
          <w:sz w:val="24"/>
          <w:szCs w:val="24"/>
          <w:lang w:val="en-US"/>
        </w:rPr>
        <w:t>Enomoto</w:t>
      </w:r>
      <w:proofErr w:type="spellEnd"/>
      <w:r w:rsidRPr="007F560B">
        <w:rPr>
          <w:sz w:val="24"/>
          <w:szCs w:val="24"/>
          <w:lang w:val="en-US"/>
        </w:rPr>
        <w:t xml:space="preserve"> H, Iwata Y, Hasegawa K, Nakano C, Takata R, Nishimura T, Yoh K, Aizawa N, Sakai Y, Ikeda N, Takashima T, Ishii A, </w:t>
      </w:r>
      <w:proofErr w:type="spellStart"/>
      <w:r w:rsidRPr="007F560B">
        <w:rPr>
          <w:sz w:val="24"/>
          <w:szCs w:val="24"/>
          <w:lang w:val="en-US"/>
        </w:rPr>
        <w:t>Iijima</w:t>
      </w:r>
      <w:proofErr w:type="spellEnd"/>
      <w:r w:rsidRPr="007F560B">
        <w:rPr>
          <w:sz w:val="24"/>
          <w:szCs w:val="24"/>
          <w:lang w:val="en-US"/>
        </w:rPr>
        <w:t xml:space="preserve"> H, </w:t>
      </w:r>
      <w:proofErr w:type="spellStart"/>
      <w:r w:rsidRPr="007F560B">
        <w:rPr>
          <w:sz w:val="24"/>
          <w:szCs w:val="24"/>
          <w:lang w:val="en-US"/>
        </w:rPr>
        <w:t>Nishiguchi</w:t>
      </w:r>
      <w:proofErr w:type="spellEnd"/>
      <w:r w:rsidRPr="007F560B">
        <w:rPr>
          <w:sz w:val="24"/>
          <w:szCs w:val="24"/>
          <w:lang w:val="en-US"/>
        </w:rPr>
        <w:t xml:space="preserve"> S. Impact of serum Wisteria floribunda agglutinin positive Mac-2-binding protein and serum interferon-</w:t>
      </w:r>
      <w:r w:rsidRPr="007F560B">
        <w:rPr>
          <w:sz w:val="24"/>
          <w:szCs w:val="24"/>
        </w:rPr>
        <w:t>γ</w:t>
      </w:r>
      <w:r w:rsidRPr="007F560B">
        <w:rPr>
          <w:sz w:val="24"/>
          <w:szCs w:val="24"/>
          <w:lang w:val="en-US"/>
        </w:rPr>
        <w:t xml:space="preserve">-inducible protein-10 in primary biliary cirrhosis. </w:t>
      </w:r>
      <w:r w:rsidRPr="007F560B">
        <w:rPr>
          <w:i/>
          <w:sz w:val="24"/>
          <w:szCs w:val="24"/>
          <w:lang w:val="en-US"/>
        </w:rPr>
        <w:t>Hepatol Res</w:t>
      </w:r>
      <w:r w:rsidRPr="007F560B">
        <w:rPr>
          <w:sz w:val="24"/>
          <w:szCs w:val="24"/>
          <w:lang w:val="en-US"/>
        </w:rPr>
        <w:t xml:space="preserve"> 2016; </w:t>
      </w:r>
      <w:r w:rsidRPr="007F560B">
        <w:rPr>
          <w:b/>
          <w:sz w:val="24"/>
          <w:szCs w:val="24"/>
          <w:lang w:val="en-US"/>
        </w:rPr>
        <w:t>46</w:t>
      </w:r>
      <w:r w:rsidRPr="007F560B">
        <w:rPr>
          <w:sz w:val="24"/>
          <w:szCs w:val="24"/>
          <w:lang w:val="en-US"/>
        </w:rPr>
        <w:t>: 575-583 [PMID: 26418076 DOI: 10.1111/hepr.12595]</w:t>
      </w:r>
    </w:p>
    <w:p w14:paraId="6FC32D6D"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36 </w:t>
      </w:r>
      <w:r w:rsidRPr="007F560B">
        <w:rPr>
          <w:b/>
          <w:sz w:val="24"/>
          <w:szCs w:val="24"/>
          <w:lang w:val="en-US"/>
        </w:rPr>
        <w:t>Zhu MY</w:t>
      </w:r>
      <w:r w:rsidRPr="007F560B">
        <w:rPr>
          <w:sz w:val="24"/>
          <w:szCs w:val="24"/>
          <w:lang w:val="en-US"/>
        </w:rPr>
        <w:t>, Chen PZ, Li J, Yu DM, Huang D, Zhu XJ, Han Y, Chen J, Huang W, Chen YY, Gong QM, Jiang JH, Zhang DH, Zhang Y, Zhang JM, Zhang XX. Serum M2BPGi level is a novel predictive biomarker for the responses to pegylated interferon-</w:t>
      </w:r>
      <w:r w:rsidRPr="007F560B">
        <w:rPr>
          <w:sz w:val="24"/>
          <w:szCs w:val="24"/>
        </w:rPr>
        <w:t>α</w:t>
      </w:r>
      <w:r w:rsidRPr="007F560B">
        <w:rPr>
          <w:sz w:val="24"/>
          <w:szCs w:val="24"/>
          <w:lang w:val="en-US"/>
        </w:rPr>
        <w:t xml:space="preserve"> treatment in </w:t>
      </w:r>
      <w:proofErr w:type="spellStart"/>
      <w:r w:rsidRPr="007F560B">
        <w:rPr>
          <w:sz w:val="24"/>
          <w:szCs w:val="24"/>
          <w:lang w:val="en-US"/>
        </w:rPr>
        <w:t>HBeAg</w:t>
      </w:r>
      <w:proofErr w:type="spellEnd"/>
      <w:r w:rsidRPr="007F560B">
        <w:rPr>
          <w:sz w:val="24"/>
          <w:szCs w:val="24"/>
          <w:lang w:val="en-US"/>
        </w:rPr>
        <w:t xml:space="preserve">-positive chronic hepatitis B patients. </w:t>
      </w:r>
      <w:r w:rsidRPr="007F560B">
        <w:rPr>
          <w:i/>
          <w:sz w:val="24"/>
          <w:szCs w:val="24"/>
          <w:lang w:val="en-US"/>
        </w:rPr>
        <w:t xml:space="preserve">J Med </w:t>
      </w:r>
      <w:proofErr w:type="spellStart"/>
      <w:r w:rsidRPr="007F560B">
        <w:rPr>
          <w:i/>
          <w:sz w:val="24"/>
          <w:szCs w:val="24"/>
          <w:lang w:val="en-US"/>
        </w:rPr>
        <w:t>Virol</w:t>
      </w:r>
      <w:proofErr w:type="spellEnd"/>
      <w:r w:rsidRPr="007F560B">
        <w:rPr>
          <w:sz w:val="24"/>
          <w:szCs w:val="24"/>
          <w:lang w:val="en-US"/>
        </w:rPr>
        <w:t xml:space="preserve"> 2018; </w:t>
      </w:r>
      <w:r w:rsidRPr="007F560B">
        <w:rPr>
          <w:b/>
          <w:sz w:val="24"/>
          <w:szCs w:val="24"/>
          <w:lang w:val="en-US"/>
        </w:rPr>
        <w:t>90</w:t>
      </w:r>
      <w:r w:rsidRPr="007F560B">
        <w:rPr>
          <w:sz w:val="24"/>
          <w:szCs w:val="24"/>
          <w:lang w:val="en-US"/>
        </w:rPr>
        <w:t>: 721-729 [PMID: 29247529 DOI: 10.1002/jmv.25010]</w:t>
      </w:r>
    </w:p>
    <w:p w14:paraId="2DB2AC2E"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37 </w:t>
      </w:r>
      <w:r w:rsidRPr="007F560B">
        <w:rPr>
          <w:b/>
          <w:sz w:val="24"/>
          <w:szCs w:val="24"/>
          <w:lang w:val="en-US"/>
        </w:rPr>
        <w:t>Yu B</w:t>
      </w:r>
      <w:r w:rsidRPr="007F560B">
        <w:rPr>
          <w:sz w:val="24"/>
          <w:szCs w:val="24"/>
          <w:lang w:val="en-US"/>
        </w:rPr>
        <w:t xml:space="preserve">, Koga T, Urabe K, </w:t>
      </w:r>
      <w:proofErr w:type="spellStart"/>
      <w:r w:rsidRPr="007F560B">
        <w:rPr>
          <w:sz w:val="24"/>
          <w:szCs w:val="24"/>
          <w:lang w:val="en-US"/>
        </w:rPr>
        <w:t>Moroi</w:t>
      </w:r>
      <w:proofErr w:type="spellEnd"/>
      <w:r w:rsidRPr="007F560B">
        <w:rPr>
          <w:sz w:val="24"/>
          <w:szCs w:val="24"/>
          <w:lang w:val="en-US"/>
        </w:rPr>
        <w:t xml:space="preserve"> Y, Maeda S, </w:t>
      </w:r>
      <w:proofErr w:type="spellStart"/>
      <w:r w:rsidRPr="007F560B">
        <w:rPr>
          <w:sz w:val="24"/>
          <w:szCs w:val="24"/>
          <w:lang w:val="en-US"/>
        </w:rPr>
        <w:t>Yanagihara</w:t>
      </w:r>
      <w:proofErr w:type="spellEnd"/>
      <w:r w:rsidRPr="007F560B">
        <w:rPr>
          <w:sz w:val="24"/>
          <w:szCs w:val="24"/>
          <w:lang w:val="en-US"/>
        </w:rPr>
        <w:t xml:space="preserve"> Y, </w:t>
      </w:r>
      <w:proofErr w:type="spellStart"/>
      <w:r w:rsidRPr="007F560B">
        <w:rPr>
          <w:sz w:val="24"/>
          <w:szCs w:val="24"/>
          <w:lang w:val="en-US"/>
        </w:rPr>
        <w:t>Furue</w:t>
      </w:r>
      <w:proofErr w:type="spellEnd"/>
      <w:r w:rsidRPr="007F560B">
        <w:rPr>
          <w:sz w:val="24"/>
          <w:szCs w:val="24"/>
          <w:lang w:val="en-US"/>
        </w:rPr>
        <w:t xml:space="preserve"> M. Differential regulation of thymus- and activation-regulated chemokine induced by IL-4, IL-13, TNF-alpha and IFN-gamma in human keratinocyte and fibroblast. </w:t>
      </w:r>
      <w:r w:rsidRPr="007F560B">
        <w:rPr>
          <w:i/>
          <w:sz w:val="24"/>
          <w:szCs w:val="24"/>
          <w:lang w:val="en-US"/>
        </w:rPr>
        <w:t>J Dermatol Sci</w:t>
      </w:r>
      <w:r w:rsidRPr="007F560B">
        <w:rPr>
          <w:sz w:val="24"/>
          <w:szCs w:val="24"/>
          <w:lang w:val="en-US"/>
        </w:rPr>
        <w:t xml:space="preserve"> 2002; </w:t>
      </w:r>
      <w:r w:rsidRPr="007F560B">
        <w:rPr>
          <w:b/>
          <w:sz w:val="24"/>
          <w:szCs w:val="24"/>
          <w:lang w:val="en-US"/>
        </w:rPr>
        <w:t>30</w:t>
      </w:r>
      <w:r w:rsidRPr="007F560B">
        <w:rPr>
          <w:sz w:val="24"/>
          <w:szCs w:val="24"/>
          <w:lang w:val="en-US"/>
        </w:rPr>
        <w:t>: 29-36 [PMID: 12354417 DOI: 10.1016/s0923-1811(02)00046-4]</w:t>
      </w:r>
    </w:p>
    <w:p w14:paraId="3A8424AC"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38 </w:t>
      </w:r>
      <w:r w:rsidRPr="007F560B">
        <w:rPr>
          <w:b/>
          <w:sz w:val="24"/>
          <w:szCs w:val="24"/>
          <w:lang w:val="en-US"/>
        </w:rPr>
        <w:t>Saeki H</w:t>
      </w:r>
      <w:r w:rsidRPr="007F560B">
        <w:rPr>
          <w:sz w:val="24"/>
          <w:szCs w:val="24"/>
          <w:lang w:val="en-US"/>
        </w:rPr>
        <w:t xml:space="preserve">, Tamaki K. Thymus and activation regulated chemokine (TARC)/CCL17 and skin diseases. </w:t>
      </w:r>
      <w:r w:rsidRPr="007F560B">
        <w:rPr>
          <w:i/>
          <w:sz w:val="24"/>
          <w:szCs w:val="24"/>
          <w:lang w:val="en-US"/>
        </w:rPr>
        <w:t>J Dermatol Sci</w:t>
      </w:r>
      <w:r w:rsidRPr="007F560B">
        <w:rPr>
          <w:sz w:val="24"/>
          <w:szCs w:val="24"/>
          <w:lang w:val="en-US"/>
        </w:rPr>
        <w:t xml:space="preserve"> 2006; </w:t>
      </w:r>
      <w:r w:rsidRPr="007F560B">
        <w:rPr>
          <w:b/>
          <w:sz w:val="24"/>
          <w:szCs w:val="24"/>
          <w:lang w:val="en-US"/>
        </w:rPr>
        <w:t>43</w:t>
      </w:r>
      <w:r w:rsidRPr="007F560B">
        <w:rPr>
          <w:sz w:val="24"/>
          <w:szCs w:val="24"/>
          <w:lang w:val="en-US"/>
        </w:rPr>
        <w:t>: 75-84 [PMID: 16859899 DOI: 10.1016/j.jdermsci.2006.06.002]</w:t>
      </w:r>
    </w:p>
    <w:p w14:paraId="7A7FAAA8"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39 </w:t>
      </w:r>
      <w:proofErr w:type="spellStart"/>
      <w:r w:rsidRPr="007F560B">
        <w:rPr>
          <w:b/>
          <w:sz w:val="24"/>
          <w:szCs w:val="24"/>
          <w:lang w:val="en-US"/>
        </w:rPr>
        <w:t>Monick</w:t>
      </w:r>
      <w:proofErr w:type="spellEnd"/>
      <w:r w:rsidRPr="007F560B">
        <w:rPr>
          <w:b/>
          <w:sz w:val="24"/>
          <w:szCs w:val="24"/>
          <w:lang w:val="en-US"/>
        </w:rPr>
        <w:t xml:space="preserve"> MM</w:t>
      </w:r>
      <w:r w:rsidRPr="007F560B">
        <w:rPr>
          <w:sz w:val="24"/>
          <w:szCs w:val="24"/>
          <w:lang w:val="en-US"/>
        </w:rPr>
        <w:t xml:space="preserve">, Powers LS, Hassan I, </w:t>
      </w:r>
      <w:proofErr w:type="spellStart"/>
      <w:r w:rsidRPr="007F560B">
        <w:rPr>
          <w:sz w:val="24"/>
          <w:szCs w:val="24"/>
          <w:lang w:val="en-US"/>
        </w:rPr>
        <w:t>Groskreutz</w:t>
      </w:r>
      <w:proofErr w:type="spellEnd"/>
      <w:r w:rsidRPr="007F560B">
        <w:rPr>
          <w:sz w:val="24"/>
          <w:szCs w:val="24"/>
          <w:lang w:val="en-US"/>
        </w:rPr>
        <w:t xml:space="preserve"> D, </w:t>
      </w:r>
      <w:proofErr w:type="spellStart"/>
      <w:r w:rsidRPr="007F560B">
        <w:rPr>
          <w:sz w:val="24"/>
          <w:szCs w:val="24"/>
          <w:lang w:val="en-US"/>
        </w:rPr>
        <w:t>Yarovinsky</w:t>
      </w:r>
      <w:proofErr w:type="spellEnd"/>
      <w:r w:rsidRPr="007F560B">
        <w:rPr>
          <w:sz w:val="24"/>
          <w:szCs w:val="24"/>
          <w:lang w:val="en-US"/>
        </w:rPr>
        <w:t xml:space="preserve"> TO, Barrett CW, </w:t>
      </w:r>
      <w:proofErr w:type="spellStart"/>
      <w:r w:rsidRPr="007F560B">
        <w:rPr>
          <w:sz w:val="24"/>
          <w:szCs w:val="24"/>
          <w:lang w:val="en-US"/>
        </w:rPr>
        <w:t>Castilow</w:t>
      </w:r>
      <w:proofErr w:type="spellEnd"/>
      <w:r w:rsidRPr="007F560B">
        <w:rPr>
          <w:sz w:val="24"/>
          <w:szCs w:val="24"/>
          <w:lang w:val="en-US"/>
        </w:rPr>
        <w:t xml:space="preserve"> EM, </w:t>
      </w:r>
      <w:proofErr w:type="spellStart"/>
      <w:r w:rsidRPr="007F560B">
        <w:rPr>
          <w:sz w:val="24"/>
          <w:szCs w:val="24"/>
          <w:lang w:val="en-US"/>
        </w:rPr>
        <w:t>Tifrea</w:t>
      </w:r>
      <w:proofErr w:type="spellEnd"/>
      <w:r w:rsidRPr="007F560B">
        <w:rPr>
          <w:sz w:val="24"/>
          <w:szCs w:val="24"/>
          <w:lang w:val="en-US"/>
        </w:rPr>
        <w:t xml:space="preserve"> D, </w:t>
      </w:r>
      <w:proofErr w:type="spellStart"/>
      <w:r w:rsidRPr="007F560B">
        <w:rPr>
          <w:sz w:val="24"/>
          <w:szCs w:val="24"/>
          <w:lang w:val="en-US"/>
        </w:rPr>
        <w:t>Varga</w:t>
      </w:r>
      <w:proofErr w:type="spellEnd"/>
      <w:r w:rsidRPr="007F560B">
        <w:rPr>
          <w:sz w:val="24"/>
          <w:szCs w:val="24"/>
          <w:lang w:val="en-US"/>
        </w:rPr>
        <w:t xml:space="preserve"> SM, </w:t>
      </w:r>
      <w:proofErr w:type="spellStart"/>
      <w:r w:rsidRPr="007F560B">
        <w:rPr>
          <w:sz w:val="24"/>
          <w:szCs w:val="24"/>
          <w:lang w:val="en-US"/>
        </w:rPr>
        <w:t>Hunninghake</w:t>
      </w:r>
      <w:proofErr w:type="spellEnd"/>
      <w:r w:rsidRPr="007F560B">
        <w:rPr>
          <w:sz w:val="24"/>
          <w:szCs w:val="24"/>
          <w:lang w:val="en-US"/>
        </w:rPr>
        <w:t xml:space="preserve"> GW. Respiratory </w:t>
      </w:r>
      <w:r w:rsidRPr="007F560B">
        <w:rPr>
          <w:sz w:val="24"/>
          <w:szCs w:val="24"/>
          <w:lang w:val="en-US"/>
        </w:rPr>
        <w:lastRenderedPageBreak/>
        <w:t xml:space="preserve">syncytial virus synergizes with Th2 cytokines to induce optimal levels of TARC/CCL17. </w:t>
      </w:r>
      <w:r w:rsidRPr="007F560B">
        <w:rPr>
          <w:i/>
          <w:sz w:val="24"/>
          <w:szCs w:val="24"/>
          <w:lang w:val="en-US"/>
        </w:rPr>
        <w:t>J Immunol</w:t>
      </w:r>
      <w:r w:rsidRPr="007F560B">
        <w:rPr>
          <w:sz w:val="24"/>
          <w:szCs w:val="24"/>
          <w:lang w:val="en-US"/>
        </w:rPr>
        <w:t xml:space="preserve"> 2007; </w:t>
      </w:r>
      <w:r w:rsidRPr="007F560B">
        <w:rPr>
          <w:b/>
          <w:sz w:val="24"/>
          <w:szCs w:val="24"/>
          <w:lang w:val="en-US"/>
        </w:rPr>
        <w:t>179</w:t>
      </w:r>
      <w:r w:rsidRPr="007F560B">
        <w:rPr>
          <w:sz w:val="24"/>
          <w:szCs w:val="24"/>
          <w:lang w:val="en-US"/>
        </w:rPr>
        <w:t>: 1648-1658 [PMID: 17641031 DOI: 10.4049/jimmunol.179.3.1648]</w:t>
      </w:r>
    </w:p>
    <w:p w14:paraId="0EC2D683"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40 </w:t>
      </w:r>
      <w:proofErr w:type="spellStart"/>
      <w:r w:rsidRPr="007F560B">
        <w:rPr>
          <w:b/>
          <w:sz w:val="24"/>
          <w:szCs w:val="24"/>
          <w:lang w:val="en-US"/>
        </w:rPr>
        <w:t>Spellberg</w:t>
      </w:r>
      <w:proofErr w:type="spellEnd"/>
      <w:r w:rsidRPr="007F560B">
        <w:rPr>
          <w:b/>
          <w:sz w:val="24"/>
          <w:szCs w:val="24"/>
          <w:lang w:val="en-US"/>
        </w:rPr>
        <w:t xml:space="preserve"> B</w:t>
      </w:r>
      <w:r w:rsidRPr="007F560B">
        <w:rPr>
          <w:sz w:val="24"/>
          <w:szCs w:val="24"/>
          <w:lang w:val="en-US"/>
        </w:rPr>
        <w:t xml:space="preserve">, Edwards JE Jr. Type 1/Type 2 immunity in infectious diseases. </w:t>
      </w:r>
      <w:r w:rsidRPr="007F560B">
        <w:rPr>
          <w:i/>
          <w:sz w:val="24"/>
          <w:szCs w:val="24"/>
          <w:lang w:val="en-US"/>
        </w:rPr>
        <w:t>Clin Infect Dis</w:t>
      </w:r>
      <w:r w:rsidRPr="007F560B">
        <w:rPr>
          <w:sz w:val="24"/>
          <w:szCs w:val="24"/>
          <w:lang w:val="en-US"/>
        </w:rPr>
        <w:t xml:space="preserve"> 2001; </w:t>
      </w:r>
      <w:r w:rsidRPr="007F560B">
        <w:rPr>
          <w:b/>
          <w:sz w:val="24"/>
          <w:szCs w:val="24"/>
          <w:lang w:val="en-US"/>
        </w:rPr>
        <w:t>32</w:t>
      </w:r>
      <w:r w:rsidRPr="007F560B">
        <w:rPr>
          <w:sz w:val="24"/>
          <w:szCs w:val="24"/>
          <w:lang w:val="en-US"/>
        </w:rPr>
        <w:t>: 76-102 [PMID: 11118387 DOI: 10.1086/317537]</w:t>
      </w:r>
    </w:p>
    <w:p w14:paraId="63AC0D38"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41 </w:t>
      </w:r>
      <w:r w:rsidRPr="007F560B">
        <w:rPr>
          <w:b/>
          <w:sz w:val="24"/>
          <w:szCs w:val="24"/>
          <w:lang w:val="en-US"/>
        </w:rPr>
        <w:t>Sung HJ</w:t>
      </w:r>
      <w:r w:rsidRPr="007F560B">
        <w:rPr>
          <w:sz w:val="24"/>
          <w:szCs w:val="24"/>
          <w:lang w:val="en-US"/>
        </w:rPr>
        <w:t xml:space="preserve">, Kim YS, Kang H, Ko J. Human LZIP induces monocyte CC chemokine receptor 2 expression leading to enhancement of monocyte chemoattractant protein 1/CCL2-induced cell migration. </w:t>
      </w:r>
      <w:r w:rsidRPr="007F560B">
        <w:rPr>
          <w:i/>
          <w:sz w:val="24"/>
          <w:szCs w:val="24"/>
          <w:lang w:val="en-US"/>
        </w:rPr>
        <w:t>Exp Mol Med</w:t>
      </w:r>
      <w:r w:rsidRPr="007F560B">
        <w:rPr>
          <w:sz w:val="24"/>
          <w:szCs w:val="24"/>
          <w:lang w:val="en-US"/>
        </w:rPr>
        <w:t xml:space="preserve"> 2008; </w:t>
      </w:r>
      <w:r w:rsidRPr="007F560B">
        <w:rPr>
          <w:b/>
          <w:sz w:val="24"/>
          <w:szCs w:val="24"/>
          <w:lang w:val="en-US"/>
        </w:rPr>
        <w:t>40</w:t>
      </w:r>
      <w:r w:rsidRPr="007F560B">
        <w:rPr>
          <w:sz w:val="24"/>
          <w:szCs w:val="24"/>
          <w:lang w:val="en-US"/>
        </w:rPr>
        <w:t>: 332-338 [PMID: 18587271 DOI: 10.3858/emm.2008.40.3.332]</w:t>
      </w:r>
    </w:p>
    <w:p w14:paraId="5A840EEF"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42 </w:t>
      </w:r>
      <w:r w:rsidRPr="007F560B">
        <w:rPr>
          <w:b/>
          <w:sz w:val="24"/>
          <w:szCs w:val="24"/>
          <w:lang w:val="en-US"/>
        </w:rPr>
        <w:t>Hwang J</w:t>
      </w:r>
      <w:r w:rsidRPr="007F560B">
        <w:rPr>
          <w:sz w:val="24"/>
          <w:szCs w:val="24"/>
          <w:lang w:val="en-US"/>
        </w:rPr>
        <w:t xml:space="preserve">, Kim CW, Son KN, Han KY, Lee KH, Kleinman HK, Ko J, Na DS, Kwon BS, </w:t>
      </w:r>
      <w:proofErr w:type="spellStart"/>
      <w:r w:rsidRPr="007F560B">
        <w:rPr>
          <w:sz w:val="24"/>
          <w:szCs w:val="24"/>
          <w:lang w:val="en-US"/>
        </w:rPr>
        <w:t>Gho</w:t>
      </w:r>
      <w:proofErr w:type="spellEnd"/>
      <w:r w:rsidRPr="007F560B">
        <w:rPr>
          <w:sz w:val="24"/>
          <w:szCs w:val="24"/>
          <w:lang w:val="en-US"/>
        </w:rPr>
        <w:t xml:space="preserve"> YS, Kim J. Angiogenic activity of human CC chemokine CCL15 in vitro and in vivo. </w:t>
      </w:r>
      <w:r w:rsidRPr="007F560B">
        <w:rPr>
          <w:i/>
          <w:sz w:val="24"/>
          <w:szCs w:val="24"/>
          <w:lang w:val="en-US"/>
        </w:rPr>
        <w:t>FEBS Lett</w:t>
      </w:r>
      <w:r w:rsidRPr="007F560B">
        <w:rPr>
          <w:sz w:val="24"/>
          <w:szCs w:val="24"/>
          <w:lang w:val="en-US"/>
        </w:rPr>
        <w:t xml:space="preserve"> 2004; </w:t>
      </w:r>
      <w:r w:rsidRPr="007F560B">
        <w:rPr>
          <w:b/>
          <w:sz w:val="24"/>
          <w:szCs w:val="24"/>
          <w:lang w:val="en-US"/>
        </w:rPr>
        <w:t>570</w:t>
      </w:r>
      <w:r w:rsidRPr="007F560B">
        <w:rPr>
          <w:sz w:val="24"/>
          <w:szCs w:val="24"/>
          <w:lang w:val="en-US"/>
        </w:rPr>
        <w:t>: 47-51 [PMID: 15251437 DOI: 10.1016/j.febslet.2004.06.023]</w:t>
      </w:r>
    </w:p>
    <w:p w14:paraId="173DCEC1"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43 </w:t>
      </w:r>
      <w:r w:rsidRPr="007F560B">
        <w:rPr>
          <w:b/>
          <w:sz w:val="24"/>
          <w:szCs w:val="24"/>
          <w:lang w:val="en-US"/>
        </w:rPr>
        <w:t>Gao Y</w:t>
      </w:r>
      <w:r w:rsidRPr="007F560B">
        <w:rPr>
          <w:sz w:val="24"/>
          <w:szCs w:val="24"/>
          <w:lang w:val="en-US"/>
        </w:rPr>
        <w:t xml:space="preserve">, Zhou Z, Lu S, Huang X, Zhang C, Jiang R, Yao A, Sun B, Wang X. Chemokine CCL15 Mediates Migration of Human Bone Marrow-Derived Mesenchymal Stem Cells Toward Hepatocellular Carcinoma. </w:t>
      </w:r>
      <w:r w:rsidRPr="007F560B">
        <w:rPr>
          <w:i/>
          <w:sz w:val="24"/>
          <w:szCs w:val="24"/>
          <w:lang w:val="en-US"/>
        </w:rPr>
        <w:t>Stem Cells</w:t>
      </w:r>
      <w:r w:rsidRPr="007F560B">
        <w:rPr>
          <w:sz w:val="24"/>
          <w:szCs w:val="24"/>
          <w:lang w:val="en-US"/>
        </w:rPr>
        <w:t xml:space="preserve"> 2016; </w:t>
      </w:r>
      <w:r w:rsidRPr="007F560B">
        <w:rPr>
          <w:b/>
          <w:sz w:val="24"/>
          <w:szCs w:val="24"/>
          <w:lang w:val="en-US"/>
        </w:rPr>
        <w:t>34</w:t>
      </w:r>
      <w:r w:rsidRPr="007F560B">
        <w:rPr>
          <w:sz w:val="24"/>
          <w:szCs w:val="24"/>
          <w:lang w:val="en-US"/>
        </w:rPr>
        <w:t>: 1112-1122 [PMID: 26763650 DOI: 10.1002/stem.2275]</w:t>
      </w:r>
    </w:p>
    <w:p w14:paraId="3931731E"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44 </w:t>
      </w:r>
      <w:proofErr w:type="spellStart"/>
      <w:r w:rsidRPr="007F560B">
        <w:rPr>
          <w:b/>
          <w:sz w:val="24"/>
          <w:szCs w:val="24"/>
          <w:lang w:val="en-US"/>
        </w:rPr>
        <w:t>Wuyts</w:t>
      </w:r>
      <w:proofErr w:type="spellEnd"/>
      <w:r w:rsidRPr="007F560B">
        <w:rPr>
          <w:b/>
          <w:sz w:val="24"/>
          <w:szCs w:val="24"/>
          <w:lang w:val="en-US"/>
        </w:rPr>
        <w:t xml:space="preserve"> A</w:t>
      </w:r>
      <w:r w:rsidRPr="007F560B">
        <w:rPr>
          <w:sz w:val="24"/>
          <w:szCs w:val="24"/>
          <w:lang w:val="en-US"/>
        </w:rPr>
        <w:t xml:space="preserve">, </w:t>
      </w:r>
      <w:proofErr w:type="spellStart"/>
      <w:r w:rsidRPr="007F560B">
        <w:rPr>
          <w:sz w:val="24"/>
          <w:szCs w:val="24"/>
          <w:lang w:val="en-US"/>
        </w:rPr>
        <w:t>Struyf</w:t>
      </w:r>
      <w:proofErr w:type="spellEnd"/>
      <w:r w:rsidRPr="007F560B">
        <w:rPr>
          <w:sz w:val="24"/>
          <w:szCs w:val="24"/>
          <w:lang w:val="en-US"/>
        </w:rPr>
        <w:t xml:space="preserve"> S, </w:t>
      </w:r>
      <w:proofErr w:type="spellStart"/>
      <w:r w:rsidRPr="007F560B">
        <w:rPr>
          <w:sz w:val="24"/>
          <w:szCs w:val="24"/>
          <w:lang w:val="en-US"/>
        </w:rPr>
        <w:t>Gijsbers</w:t>
      </w:r>
      <w:proofErr w:type="spellEnd"/>
      <w:r w:rsidRPr="007F560B">
        <w:rPr>
          <w:sz w:val="24"/>
          <w:szCs w:val="24"/>
          <w:lang w:val="en-US"/>
        </w:rPr>
        <w:t xml:space="preserve"> K, </w:t>
      </w:r>
      <w:proofErr w:type="spellStart"/>
      <w:r w:rsidRPr="007F560B">
        <w:rPr>
          <w:sz w:val="24"/>
          <w:szCs w:val="24"/>
          <w:lang w:val="en-US"/>
        </w:rPr>
        <w:t>Schutyser</w:t>
      </w:r>
      <w:proofErr w:type="spellEnd"/>
      <w:r w:rsidRPr="007F560B">
        <w:rPr>
          <w:sz w:val="24"/>
          <w:szCs w:val="24"/>
          <w:lang w:val="en-US"/>
        </w:rPr>
        <w:t xml:space="preserve"> E, Put W, </w:t>
      </w:r>
      <w:proofErr w:type="spellStart"/>
      <w:r w:rsidRPr="007F560B">
        <w:rPr>
          <w:sz w:val="24"/>
          <w:szCs w:val="24"/>
          <w:lang w:val="en-US"/>
        </w:rPr>
        <w:t>Conings</w:t>
      </w:r>
      <w:proofErr w:type="spellEnd"/>
      <w:r w:rsidRPr="007F560B">
        <w:rPr>
          <w:sz w:val="24"/>
          <w:szCs w:val="24"/>
          <w:lang w:val="en-US"/>
        </w:rPr>
        <w:t xml:space="preserve"> R, </w:t>
      </w:r>
      <w:proofErr w:type="spellStart"/>
      <w:r w:rsidRPr="007F560B">
        <w:rPr>
          <w:sz w:val="24"/>
          <w:szCs w:val="24"/>
          <w:lang w:val="en-US"/>
        </w:rPr>
        <w:t>Lenaerts</w:t>
      </w:r>
      <w:proofErr w:type="spellEnd"/>
      <w:r w:rsidRPr="007F560B">
        <w:rPr>
          <w:sz w:val="24"/>
          <w:szCs w:val="24"/>
          <w:lang w:val="en-US"/>
        </w:rPr>
        <w:t xml:space="preserve"> JP, </w:t>
      </w:r>
      <w:proofErr w:type="spellStart"/>
      <w:r w:rsidRPr="007F560B">
        <w:rPr>
          <w:sz w:val="24"/>
          <w:szCs w:val="24"/>
          <w:lang w:val="en-US"/>
        </w:rPr>
        <w:t>Geboes</w:t>
      </w:r>
      <w:proofErr w:type="spellEnd"/>
      <w:r w:rsidRPr="007F560B">
        <w:rPr>
          <w:sz w:val="24"/>
          <w:szCs w:val="24"/>
          <w:lang w:val="en-US"/>
        </w:rPr>
        <w:t xml:space="preserve"> K, </w:t>
      </w:r>
      <w:proofErr w:type="spellStart"/>
      <w:r w:rsidRPr="007F560B">
        <w:rPr>
          <w:sz w:val="24"/>
          <w:szCs w:val="24"/>
          <w:lang w:val="en-US"/>
        </w:rPr>
        <w:t>Opdenakker</w:t>
      </w:r>
      <w:proofErr w:type="spellEnd"/>
      <w:r w:rsidRPr="007F560B">
        <w:rPr>
          <w:sz w:val="24"/>
          <w:szCs w:val="24"/>
          <w:lang w:val="en-US"/>
        </w:rPr>
        <w:t xml:space="preserve"> G, </w:t>
      </w:r>
      <w:proofErr w:type="spellStart"/>
      <w:r w:rsidRPr="007F560B">
        <w:rPr>
          <w:sz w:val="24"/>
          <w:szCs w:val="24"/>
          <w:lang w:val="en-US"/>
        </w:rPr>
        <w:t>Menten</w:t>
      </w:r>
      <w:proofErr w:type="spellEnd"/>
      <w:r w:rsidRPr="007F560B">
        <w:rPr>
          <w:sz w:val="24"/>
          <w:szCs w:val="24"/>
          <w:lang w:val="en-US"/>
        </w:rPr>
        <w:t xml:space="preserve"> P, </w:t>
      </w:r>
      <w:proofErr w:type="spellStart"/>
      <w:r w:rsidRPr="007F560B">
        <w:rPr>
          <w:sz w:val="24"/>
          <w:szCs w:val="24"/>
          <w:lang w:val="en-US"/>
        </w:rPr>
        <w:t>Proost</w:t>
      </w:r>
      <w:proofErr w:type="spellEnd"/>
      <w:r w:rsidRPr="007F560B">
        <w:rPr>
          <w:sz w:val="24"/>
          <w:szCs w:val="24"/>
          <w:lang w:val="en-US"/>
        </w:rPr>
        <w:t xml:space="preserve"> P, Van </w:t>
      </w:r>
      <w:proofErr w:type="spellStart"/>
      <w:r w:rsidRPr="007F560B">
        <w:rPr>
          <w:sz w:val="24"/>
          <w:szCs w:val="24"/>
          <w:lang w:val="en-US"/>
        </w:rPr>
        <w:t>Damme</w:t>
      </w:r>
      <w:proofErr w:type="spellEnd"/>
      <w:r w:rsidRPr="007F560B">
        <w:rPr>
          <w:sz w:val="24"/>
          <w:szCs w:val="24"/>
          <w:lang w:val="en-US"/>
        </w:rPr>
        <w:t xml:space="preserve"> J. The CXC chemokine GCP-2/CXCL6 is predominantly induced in mesenchymal cells by interleukin-1beta and is down-regulated by interferon-gamma: comparison with interleukin-8/CXCL8. </w:t>
      </w:r>
      <w:r w:rsidRPr="007F560B">
        <w:rPr>
          <w:i/>
          <w:sz w:val="24"/>
          <w:szCs w:val="24"/>
          <w:lang w:val="en-US"/>
        </w:rPr>
        <w:t>Lab Invest</w:t>
      </w:r>
      <w:r w:rsidRPr="007F560B">
        <w:rPr>
          <w:sz w:val="24"/>
          <w:szCs w:val="24"/>
          <w:lang w:val="en-US"/>
        </w:rPr>
        <w:t xml:space="preserve"> 2003; </w:t>
      </w:r>
      <w:r w:rsidRPr="007F560B">
        <w:rPr>
          <w:b/>
          <w:sz w:val="24"/>
          <w:szCs w:val="24"/>
          <w:lang w:val="en-US"/>
        </w:rPr>
        <w:t>83</w:t>
      </w:r>
      <w:r w:rsidRPr="007F560B">
        <w:rPr>
          <w:sz w:val="24"/>
          <w:szCs w:val="24"/>
          <w:lang w:val="en-US"/>
        </w:rPr>
        <w:t>: 23-34 [PMID: 12533683 DOI: 10.1097/01.lab.0000048719.53282.00]</w:t>
      </w:r>
    </w:p>
    <w:p w14:paraId="391A17CC"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45 </w:t>
      </w:r>
      <w:r w:rsidRPr="007F560B">
        <w:rPr>
          <w:b/>
          <w:sz w:val="24"/>
          <w:szCs w:val="24"/>
          <w:lang w:val="en-US"/>
        </w:rPr>
        <w:t>Dominguez M</w:t>
      </w:r>
      <w:r w:rsidRPr="007F560B">
        <w:rPr>
          <w:sz w:val="24"/>
          <w:szCs w:val="24"/>
          <w:lang w:val="en-US"/>
        </w:rPr>
        <w:t xml:space="preserve">, Miquel R, </w:t>
      </w:r>
      <w:proofErr w:type="spellStart"/>
      <w:r w:rsidRPr="007F560B">
        <w:rPr>
          <w:sz w:val="24"/>
          <w:szCs w:val="24"/>
          <w:lang w:val="en-US"/>
        </w:rPr>
        <w:t>Colmenero</w:t>
      </w:r>
      <w:proofErr w:type="spellEnd"/>
      <w:r w:rsidRPr="007F560B">
        <w:rPr>
          <w:sz w:val="24"/>
          <w:szCs w:val="24"/>
          <w:lang w:val="en-US"/>
        </w:rPr>
        <w:t xml:space="preserve"> J, Moreno M, </w:t>
      </w:r>
      <w:proofErr w:type="spellStart"/>
      <w:r w:rsidRPr="007F560B">
        <w:rPr>
          <w:sz w:val="24"/>
          <w:szCs w:val="24"/>
          <w:lang w:val="en-US"/>
        </w:rPr>
        <w:t>García-Pagán</w:t>
      </w:r>
      <w:proofErr w:type="spellEnd"/>
      <w:r w:rsidRPr="007F560B">
        <w:rPr>
          <w:sz w:val="24"/>
          <w:szCs w:val="24"/>
          <w:lang w:val="en-US"/>
        </w:rPr>
        <w:t xml:space="preserve"> JC, Bosch J, Arroyo V, </w:t>
      </w:r>
      <w:proofErr w:type="spellStart"/>
      <w:r w:rsidRPr="007F560B">
        <w:rPr>
          <w:sz w:val="24"/>
          <w:szCs w:val="24"/>
          <w:lang w:val="en-US"/>
        </w:rPr>
        <w:t>Ginès</w:t>
      </w:r>
      <w:proofErr w:type="spellEnd"/>
      <w:r w:rsidRPr="007F560B">
        <w:rPr>
          <w:sz w:val="24"/>
          <w:szCs w:val="24"/>
          <w:lang w:val="en-US"/>
        </w:rPr>
        <w:t xml:space="preserve"> P, </w:t>
      </w:r>
      <w:proofErr w:type="spellStart"/>
      <w:r w:rsidRPr="007F560B">
        <w:rPr>
          <w:sz w:val="24"/>
          <w:szCs w:val="24"/>
          <w:lang w:val="en-US"/>
        </w:rPr>
        <w:t>Caballería</w:t>
      </w:r>
      <w:proofErr w:type="spellEnd"/>
      <w:r w:rsidRPr="007F560B">
        <w:rPr>
          <w:sz w:val="24"/>
          <w:szCs w:val="24"/>
          <w:lang w:val="en-US"/>
        </w:rPr>
        <w:t xml:space="preserve"> J, Bataller R. Hepatic expression of CXC chemokines predicts portal hypertension and survival in patients with alcoholic hepatitis. </w:t>
      </w:r>
      <w:r w:rsidRPr="007F560B">
        <w:rPr>
          <w:i/>
          <w:sz w:val="24"/>
          <w:szCs w:val="24"/>
          <w:lang w:val="en-US"/>
        </w:rPr>
        <w:t>Gastroenterology</w:t>
      </w:r>
      <w:r w:rsidRPr="007F560B">
        <w:rPr>
          <w:sz w:val="24"/>
          <w:szCs w:val="24"/>
          <w:lang w:val="en-US"/>
        </w:rPr>
        <w:t xml:space="preserve"> 2009; </w:t>
      </w:r>
      <w:r w:rsidRPr="007F560B">
        <w:rPr>
          <w:b/>
          <w:sz w:val="24"/>
          <w:szCs w:val="24"/>
          <w:lang w:val="en-US"/>
        </w:rPr>
        <w:t>136</w:t>
      </w:r>
      <w:r w:rsidRPr="007F560B">
        <w:rPr>
          <w:sz w:val="24"/>
          <w:szCs w:val="24"/>
          <w:lang w:val="en-US"/>
        </w:rPr>
        <w:t>: 1639-1650 [PMID: 19208360 DOI: 10.1053/j.gastro.2009.01.056]</w:t>
      </w:r>
    </w:p>
    <w:p w14:paraId="390FB50B" w14:textId="77777777" w:rsidR="003455AD" w:rsidRPr="007F560B" w:rsidRDefault="003455AD" w:rsidP="007F560B">
      <w:pPr>
        <w:snapToGrid w:val="0"/>
        <w:spacing w:line="360" w:lineRule="auto"/>
        <w:jc w:val="both"/>
        <w:rPr>
          <w:rFonts w:eastAsiaTheme="minorEastAsia"/>
          <w:b/>
          <w:sz w:val="24"/>
          <w:szCs w:val="24"/>
          <w:lang w:val="en-US"/>
        </w:rPr>
      </w:pPr>
    </w:p>
    <w:p w14:paraId="2AA128DC" w14:textId="77777777" w:rsidR="000E33AA" w:rsidRPr="007F560B" w:rsidRDefault="000E33AA" w:rsidP="007F560B">
      <w:pPr>
        <w:widowControl/>
        <w:autoSpaceDE/>
        <w:autoSpaceDN/>
        <w:snapToGrid w:val="0"/>
        <w:spacing w:line="360" w:lineRule="auto"/>
        <w:jc w:val="both"/>
        <w:rPr>
          <w:rFonts w:eastAsiaTheme="minorEastAsia"/>
          <w:sz w:val="24"/>
          <w:szCs w:val="24"/>
          <w:lang w:val="en-US"/>
        </w:rPr>
      </w:pPr>
      <w:r w:rsidRPr="007F560B">
        <w:rPr>
          <w:rFonts w:eastAsiaTheme="minorEastAsia"/>
          <w:sz w:val="24"/>
          <w:szCs w:val="24"/>
          <w:lang w:val="en-US"/>
        </w:rPr>
        <w:br w:type="page"/>
      </w:r>
    </w:p>
    <w:p w14:paraId="03A94CCD" w14:textId="77777777" w:rsidR="000E33AA" w:rsidRPr="007F560B" w:rsidRDefault="000E33AA" w:rsidP="007F560B">
      <w:pPr>
        <w:adjustRightInd w:val="0"/>
        <w:snapToGrid w:val="0"/>
        <w:spacing w:line="360" w:lineRule="auto"/>
        <w:jc w:val="both"/>
        <w:rPr>
          <w:rFonts w:eastAsiaTheme="minorEastAsia"/>
          <w:b/>
          <w:sz w:val="24"/>
          <w:szCs w:val="24"/>
          <w:lang w:val="en-US"/>
        </w:rPr>
      </w:pPr>
      <w:r w:rsidRPr="007F560B">
        <w:rPr>
          <w:b/>
          <w:sz w:val="24"/>
          <w:szCs w:val="24"/>
          <w:lang w:val="en-US"/>
        </w:rPr>
        <w:lastRenderedPageBreak/>
        <w:t>Footnotes</w:t>
      </w:r>
    </w:p>
    <w:p w14:paraId="10F415E3" w14:textId="77777777" w:rsidR="00167BDE" w:rsidRPr="007F560B" w:rsidRDefault="00167BDE" w:rsidP="007F560B">
      <w:pPr>
        <w:snapToGrid w:val="0"/>
        <w:spacing w:line="360" w:lineRule="auto"/>
        <w:jc w:val="both"/>
        <w:rPr>
          <w:rFonts w:eastAsiaTheme="minorEastAsia"/>
          <w:bCs/>
          <w:iCs/>
          <w:color w:val="000000"/>
          <w:sz w:val="24"/>
          <w:szCs w:val="24"/>
          <w:lang w:val="en-US"/>
        </w:rPr>
      </w:pPr>
      <w:r w:rsidRPr="007F560B">
        <w:rPr>
          <w:b/>
          <w:color w:val="000000"/>
          <w:sz w:val="24"/>
          <w:szCs w:val="24"/>
          <w:lang w:val="en-US"/>
        </w:rPr>
        <w:t>Institutional review board statement</w:t>
      </w:r>
      <w:r w:rsidRPr="007F560B">
        <w:rPr>
          <w:b/>
          <w:bCs/>
          <w:iCs/>
          <w:color w:val="000000"/>
          <w:sz w:val="24"/>
          <w:szCs w:val="24"/>
          <w:lang w:val="en-US"/>
        </w:rPr>
        <w:t>:</w:t>
      </w:r>
      <w:r w:rsidRPr="007F560B">
        <w:rPr>
          <w:rFonts w:eastAsiaTheme="minorEastAsia"/>
          <w:b/>
          <w:bCs/>
          <w:iCs/>
          <w:color w:val="000000"/>
          <w:sz w:val="24"/>
          <w:szCs w:val="24"/>
          <w:lang w:val="en-US"/>
        </w:rPr>
        <w:t xml:space="preserve"> </w:t>
      </w:r>
      <w:r w:rsidRPr="007F560B">
        <w:rPr>
          <w:rFonts w:eastAsiaTheme="minorEastAsia"/>
          <w:bCs/>
          <w:iCs/>
          <w:color w:val="000000"/>
          <w:sz w:val="24"/>
          <w:szCs w:val="24"/>
          <w:lang w:val="en-US"/>
        </w:rPr>
        <w:t>This study was reviewed and approved by the Ethics Committee of The First Hospital of Lanzhou University, Lanzhou, China.</w:t>
      </w:r>
    </w:p>
    <w:p w14:paraId="7EF86EE4" w14:textId="77777777" w:rsidR="00D16482" w:rsidRPr="007F560B" w:rsidRDefault="00D16482" w:rsidP="007F560B">
      <w:pPr>
        <w:snapToGrid w:val="0"/>
        <w:spacing w:line="360" w:lineRule="auto"/>
        <w:jc w:val="both"/>
        <w:rPr>
          <w:rFonts w:eastAsiaTheme="minorEastAsia"/>
          <w:b/>
          <w:sz w:val="24"/>
          <w:szCs w:val="24"/>
          <w:lang w:val="en-US"/>
        </w:rPr>
      </w:pPr>
    </w:p>
    <w:p w14:paraId="1BC32155" w14:textId="77777777" w:rsidR="00167BDE" w:rsidRPr="007F560B" w:rsidRDefault="00167BDE" w:rsidP="007F560B">
      <w:pPr>
        <w:snapToGrid w:val="0"/>
        <w:spacing w:line="360" w:lineRule="auto"/>
        <w:jc w:val="both"/>
        <w:rPr>
          <w:rFonts w:eastAsiaTheme="minorEastAsia"/>
          <w:sz w:val="24"/>
          <w:szCs w:val="24"/>
          <w:lang w:val="en-US"/>
        </w:rPr>
      </w:pPr>
      <w:r w:rsidRPr="007F560B">
        <w:rPr>
          <w:rFonts w:eastAsiaTheme="minorEastAsia"/>
          <w:b/>
          <w:sz w:val="24"/>
          <w:szCs w:val="24"/>
          <w:lang w:val="en-US"/>
        </w:rPr>
        <w:t>Informed consent statement</w:t>
      </w:r>
      <w:r w:rsidRPr="007F560B">
        <w:rPr>
          <w:rFonts w:eastAsiaTheme="minorEastAsia"/>
          <w:sz w:val="24"/>
          <w:szCs w:val="24"/>
          <w:lang w:val="en-US"/>
        </w:rPr>
        <w:t>: All study participants, or their legal guardian, provided informed written consent prior to study enrollment.</w:t>
      </w:r>
    </w:p>
    <w:p w14:paraId="27E28123" w14:textId="77777777" w:rsidR="00167BDE" w:rsidRPr="007F560B" w:rsidRDefault="00167BDE" w:rsidP="007F560B">
      <w:pPr>
        <w:snapToGrid w:val="0"/>
        <w:spacing w:line="360" w:lineRule="auto"/>
        <w:jc w:val="both"/>
        <w:rPr>
          <w:rFonts w:eastAsiaTheme="minorEastAsia"/>
          <w:sz w:val="24"/>
          <w:szCs w:val="24"/>
          <w:lang w:val="en-US"/>
        </w:rPr>
      </w:pPr>
    </w:p>
    <w:p w14:paraId="3780EB97" w14:textId="77777777" w:rsidR="00167BDE" w:rsidRPr="007F560B" w:rsidRDefault="00167BDE" w:rsidP="007F560B">
      <w:pPr>
        <w:snapToGrid w:val="0"/>
        <w:spacing w:line="360" w:lineRule="auto"/>
        <w:jc w:val="both"/>
        <w:rPr>
          <w:rFonts w:eastAsiaTheme="minorEastAsia"/>
          <w:sz w:val="24"/>
          <w:szCs w:val="24"/>
          <w:lang w:val="en-US"/>
        </w:rPr>
      </w:pPr>
      <w:r w:rsidRPr="007F560B">
        <w:rPr>
          <w:b/>
          <w:color w:val="000000"/>
          <w:sz w:val="24"/>
          <w:szCs w:val="24"/>
          <w:lang w:val="en-US"/>
        </w:rPr>
        <w:t>Conflict-of-interest statement</w:t>
      </w:r>
      <w:r w:rsidRPr="007F560B">
        <w:rPr>
          <w:rFonts w:cs="TimesNewRomanPS-BoldItalicMT"/>
          <w:b/>
          <w:bCs/>
          <w:iCs/>
          <w:color w:val="000000"/>
          <w:sz w:val="24"/>
          <w:szCs w:val="24"/>
          <w:lang w:val="en-US"/>
        </w:rPr>
        <w:t xml:space="preserve">: </w:t>
      </w:r>
      <w:r w:rsidRPr="007F560B">
        <w:rPr>
          <w:rFonts w:cs="TimesNewRomanPS-BoldItalicMT"/>
          <w:bCs/>
          <w:iCs/>
          <w:color w:val="000000"/>
          <w:sz w:val="24"/>
          <w:szCs w:val="24"/>
          <w:lang w:val="en-US"/>
        </w:rPr>
        <w:t>There are no conflicts of interest to report.</w:t>
      </w:r>
    </w:p>
    <w:p w14:paraId="67DACB75" w14:textId="77777777" w:rsidR="00167BDE" w:rsidRPr="007F560B" w:rsidRDefault="00167BDE" w:rsidP="007F560B">
      <w:pPr>
        <w:snapToGrid w:val="0"/>
        <w:spacing w:line="360" w:lineRule="auto"/>
        <w:jc w:val="both"/>
        <w:rPr>
          <w:rFonts w:eastAsiaTheme="minorEastAsia"/>
          <w:sz w:val="24"/>
          <w:szCs w:val="24"/>
          <w:lang w:val="en-US"/>
        </w:rPr>
      </w:pPr>
    </w:p>
    <w:p w14:paraId="4FBC2BE8" w14:textId="77777777" w:rsidR="00167BDE" w:rsidRPr="007F560B" w:rsidRDefault="00167BDE" w:rsidP="007F560B">
      <w:pPr>
        <w:snapToGrid w:val="0"/>
        <w:spacing w:line="360" w:lineRule="auto"/>
        <w:jc w:val="both"/>
        <w:rPr>
          <w:bCs/>
          <w:iCs/>
          <w:color w:val="000000"/>
          <w:sz w:val="24"/>
          <w:szCs w:val="24"/>
          <w:lang w:val="en-US"/>
        </w:rPr>
      </w:pPr>
      <w:r w:rsidRPr="007F560B">
        <w:rPr>
          <w:b/>
          <w:color w:val="000000"/>
          <w:sz w:val="24"/>
          <w:szCs w:val="24"/>
          <w:lang w:val="en-US"/>
        </w:rPr>
        <w:t>Data sharing statement</w:t>
      </w:r>
      <w:r w:rsidRPr="007F560B">
        <w:rPr>
          <w:rFonts w:cs="TimesNewRomanPS-BoldItalicMT"/>
          <w:b/>
          <w:bCs/>
          <w:iCs/>
          <w:color w:val="000000"/>
          <w:sz w:val="24"/>
          <w:szCs w:val="24"/>
          <w:lang w:val="en-US"/>
        </w:rPr>
        <w:t>:</w:t>
      </w:r>
      <w:r w:rsidRPr="007F560B">
        <w:rPr>
          <w:rFonts w:eastAsia="Times New Roman"/>
          <w:color w:val="000000"/>
          <w:sz w:val="24"/>
          <w:szCs w:val="24"/>
          <w:lang w:val="en-US"/>
        </w:rPr>
        <w:t xml:space="preserve"> </w:t>
      </w:r>
      <w:r w:rsidRPr="007F560B">
        <w:rPr>
          <w:bCs/>
          <w:iCs/>
          <w:color w:val="000000"/>
          <w:sz w:val="24"/>
          <w:szCs w:val="24"/>
          <w:lang w:val="en-US"/>
        </w:rPr>
        <w:t>No additional data are available.</w:t>
      </w:r>
    </w:p>
    <w:p w14:paraId="00ED4C69" w14:textId="77777777" w:rsidR="00167BDE" w:rsidRPr="007F560B" w:rsidRDefault="00167BDE" w:rsidP="007F560B">
      <w:pPr>
        <w:snapToGrid w:val="0"/>
        <w:spacing w:line="360" w:lineRule="auto"/>
        <w:jc w:val="both"/>
        <w:rPr>
          <w:rFonts w:eastAsiaTheme="minorEastAsia"/>
          <w:sz w:val="24"/>
          <w:szCs w:val="24"/>
          <w:lang w:val="en-US"/>
        </w:rPr>
      </w:pPr>
    </w:p>
    <w:p w14:paraId="2A99058D" w14:textId="77777777" w:rsidR="000E33AA" w:rsidRPr="007F560B" w:rsidRDefault="000E33AA" w:rsidP="007F560B">
      <w:pPr>
        <w:snapToGrid w:val="0"/>
        <w:spacing w:line="360" w:lineRule="auto"/>
        <w:jc w:val="both"/>
        <w:rPr>
          <w:rFonts w:eastAsiaTheme="minorEastAsia"/>
          <w:sz w:val="24"/>
          <w:szCs w:val="24"/>
          <w:lang w:val="en-US"/>
        </w:rPr>
      </w:pPr>
      <w:r w:rsidRPr="007F560B">
        <w:rPr>
          <w:rFonts w:eastAsiaTheme="minorEastAsia"/>
          <w:b/>
          <w:sz w:val="24"/>
          <w:szCs w:val="24"/>
          <w:lang w:val="en-US"/>
        </w:rPr>
        <w:t>STROBE guidelines statement</w:t>
      </w:r>
      <w:r w:rsidRPr="007F560B">
        <w:rPr>
          <w:rFonts w:eastAsiaTheme="minorEastAsia"/>
          <w:sz w:val="24"/>
          <w:szCs w:val="24"/>
          <w:lang w:val="en-US"/>
        </w:rPr>
        <w:t>: The authors have read the STROBE guidelines, and the manuscript was prepared and revised according to the STROBE guidelines.</w:t>
      </w:r>
    </w:p>
    <w:p w14:paraId="4B76CEE9" w14:textId="77777777" w:rsidR="000E33AA" w:rsidRPr="007F560B" w:rsidRDefault="000E33AA" w:rsidP="007F560B">
      <w:pPr>
        <w:snapToGrid w:val="0"/>
        <w:spacing w:line="360" w:lineRule="auto"/>
        <w:jc w:val="both"/>
        <w:rPr>
          <w:rFonts w:eastAsiaTheme="minorEastAsia"/>
          <w:sz w:val="24"/>
          <w:szCs w:val="24"/>
          <w:lang w:val="en-US"/>
        </w:rPr>
      </w:pPr>
    </w:p>
    <w:p w14:paraId="27EC9A13" w14:textId="77777777" w:rsidR="00D16482" w:rsidRPr="007F560B" w:rsidRDefault="00D16482" w:rsidP="007F560B">
      <w:pPr>
        <w:adjustRightInd w:val="0"/>
        <w:snapToGrid w:val="0"/>
        <w:spacing w:line="360" w:lineRule="auto"/>
        <w:jc w:val="both"/>
        <w:rPr>
          <w:color w:val="000000"/>
          <w:sz w:val="24"/>
          <w:szCs w:val="24"/>
          <w:lang w:val="en-US"/>
        </w:rPr>
      </w:pPr>
      <w:r w:rsidRPr="007F560B">
        <w:rPr>
          <w:b/>
          <w:color w:val="000000"/>
          <w:sz w:val="24"/>
          <w:szCs w:val="24"/>
          <w:lang w:val="en-US"/>
        </w:rPr>
        <w:t>Open-Access:</w:t>
      </w:r>
      <w:r w:rsidRPr="007F560B">
        <w:rPr>
          <w:color w:val="000000"/>
          <w:sz w:val="24"/>
          <w:szCs w:val="24"/>
          <w:lang w:val="en-US"/>
        </w:rPr>
        <w:t xml:space="preserve"> This article is an open-access </w:t>
      </w:r>
      <w:r w:rsidRPr="007F560B">
        <w:rPr>
          <w:sz w:val="24"/>
          <w:szCs w:val="24"/>
          <w:lang w:val="en-US"/>
        </w:rPr>
        <w:t xml:space="preserve">article that was selected </w:t>
      </w:r>
      <w:r w:rsidRPr="007F560B">
        <w:rPr>
          <w:color w:val="000000"/>
          <w:sz w:val="24"/>
          <w:szCs w:val="24"/>
          <w:lang w:val="en-US"/>
        </w:rPr>
        <w:t xml:space="preserve">by an in-house editor and fully peer-reviewed by external reviewers. It is distributed in accordance with the Creative Commons Attribution </w:t>
      </w:r>
      <w:proofErr w:type="spellStart"/>
      <w:r w:rsidRPr="007F560B">
        <w:rPr>
          <w:color w:val="000000"/>
          <w:sz w:val="24"/>
          <w:szCs w:val="24"/>
          <w:lang w:val="en-US"/>
        </w:rPr>
        <w:t>NonCommercial</w:t>
      </w:r>
      <w:proofErr w:type="spellEnd"/>
      <w:r w:rsidRPr="007F560B">
        <w:rPr>
          <w:color w:val="000000"/>
          <w:sz w:val="24"/>
          <w:szCs w:val="24"/>
          <w:lang w:val="en-U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ADF8965" w14:textId="77777777" w:rsidR="00D16482" w:rsidRPr="007F560B" w:rsidRDefault="00D16482" w:rsidP="007F560B">
      <w:pPr>
        <w:adjustRightInd w:val="0"/>
        <w:snapToGrid w:val="0"/>
        <w:spacing w:line="360" w:lineRule="auto"/>
        <w:jc w:val="both"/>
        <w:rPr>
          <w:color w:val="000000"/>
          <w:sz w:val="24"/>
          <w:szCs w:val="24"/>
          <w:lang w:val="en-US"/>
        </w:rPr>
      </w:pPr>
    </w:p>
    <w:p w14:paraId="2CA6ADE7" w14:textId="77777777" w:rsidR="00D16482" w:rsidRPr="007F560B" w:rsidRDefault="00D16482" w:rsidP="007F560B">
      <w:pPr>
        <w:adjustRightInd w:val="0"/>
        <w:snapToGrid w:val="0"/>
        <w:spacing w:line="360" w:lineRule="auto"/>
        <w:jc w:val="both"/>
        <w:rPr>
          <w:bCs/>
          <w:color w:val="000000"/>
          <w:sz w:val="24"/>
          <w:szCs w:val="24"/>
          <w:lang w:val="en-US"/>
        </w:rPr>
      </w:pPr>
      <w:r w:rsidRPr="007F560B">
        <w:rPr>
          <w:b/>
          <w:bCs/>
          <w:color w:val="000000"/>
          <w:sz w:val="24"/>
          <w:szCs w:val="24"/>
          <w:lang w:val="en-US" w:eastAsia="pl-PL"/>
        </w:rPr>
        <w:t>Manuscript source:</w:t>
      </w:r>
      <w:r w:rsidRPr="007F560B">
        <w:rPr>
          <w:b/>
          <w:bCs/>
          <w:color w:val="000000"/>
          <w:sz w:val="24"/>
          <w:szCs w:val="24"/>
          <w:lang w:val="en-US"/>
        </w:rPr>
        <w:t xml:space="preserve"> </w:t>
      </w:r>
      <w:r w:rsidRPr="007F560B">
        <w:rPr>
          <w:bCs/>
          <w:color w:val="000000"/>
          <w:sz w:val="24"/>
          <w:szCs w:val="24"/>
          <w:lang w:val="en-US" w:eastAsia="pl-PL"/>
        </w:rPr>
        <w:t>Unsolicited manuscript</w:t>
      </w:r>
    </w:p>
    <w:p w14:paraId="116A31F7" w14:textId="77777777" w:rsidR="00493551" w:rsidRPr="007F560B" w:rsidRDefault="00493551" w:rsidP="007F560B">
      <w:pPr>
        <w:snapToGrid w:val="0"/>
        <w:spacing w:line="360" w:lineRule="auto"/>
        <w:jc w:val="both"/>
        <w:rPr>
          <w:rFonts w:eastAsiaTheme="minorEastAsia"/>
          <w:sz w:val="24"/>
          <w:szCs w:val="24"/>
          <w:lang w:val="en-US"/>
        </w:rPr>
      </w:pPr>
    </w:p>
    <w:p w14:paraId="320B894D" w14:textId="77777777" w:rsidR="00D16482" w:rsidRPr="007F560B" w:rsidRDefault="00D16482" w:rsidP="007F560B">
      <w:pPr>
        <w:adjustRightInd w:val="0"/>
        <w:snapToGrid w:val="0"/>
        <w:spacing w:line="360" w:lineRule="auto"/>
        <w:jc w:val="both"/>
        <w:rPr>
          <w:b/>
          <w:sz w:val="24"/>
          <w:szCs w:val="24"/>
          <w:lang w:val="en-US"/>
        </w:rPr>
      </w:pPr>
      <w:r w:rsidRPr="007F560B">
        <w:rPr>
          <w:b/>
          <w:sz w:val="24"/>
          <w:szCs w:val="24"/>
          <w:lang w:val="en-US"/>
        </w:rPr>
        <w:t xml:space="preserve">Peer-review started: </w:t>
      </w:r>
      <w:r w:rsidRPr="007F560B">
        <w:rPr>
          <w:sz w:val="24"/>
          <w:szCs w:val="24"/>
          <w:lang w:val="en-US"/>
        </w:rPr>
        <w:t>March 3, 2020</w:t>
      </w:r>
    </w:p>
    <w:p w14:paraId="7F9F2E21" w14:textId="77777777" w:rsidR="00D16482" w:rsidRPr="007F560B" w:rsidRDefault="00D16482" w:rsidP="007F560B">
      <w:pPr>
        <w:adjustRightInd w:val="0"/>
        <w:snapToGrid w:val="0"/>
        <w:spacing w:line="360" w:lineRule="auto"/>
        <w:jc w:val="both"/>
        <w:rPr>
          <w:b/>
          <w:sz w:val="24"/>
          <w:szCs w:val="24"/>
          <w:lang w:val="en-US"/>
        </w:rPr>
      </w:pPr>
      <w:r w:rsidRPr="007F560B">
        <w:rPr>
          <w:b/>
          <w:sz w:val="24"/>
          <w:szCs w:val="24"/>
          <w:lang w:val="en-US"/>
        </w:rPr>
        <w:t xml:space="preserve">First decision: </w:t>
      </w:r>
      <w:r w:rsidRPr="007F560B">
        <w:rPr>
          <w:sz w:val="24"/>
          <w:szCs w:val="24"/>
          <w:lang w:val="en-US"/>
        </w:rPr>
        <w:t>April 1, 2020</w:t>
      </w:r>
    </w:p>
    <w:p w14:paraId="18B99C0E" w14:textId="0EF3AF49" w:rsidR="00D16482" w:rsidRPr="00DD07E7" w:rsidRDefault="00D16482" w:rsidP="007F560B">
      <w:pPr>
        <w:adjustRightInd w:val="0"/>
        <w:snapToGrid w:val="0"/>
        <w:spacing w:line="360" w:lineRule="auto"/>
        <w:jc w:val="both"/>
        <w:rPr>
          <w:rFonts w:eastAsiaTheme="minorEastAsia"/>
          <w:b/>
          <w:sz w:val="24"/>
          <w:szCs w:val="24"/>
          <w:lang w:val="en-US"/>
        </w:rPr>
      </w:pPr>
      <w:r w:rsidRPr="007F560B">
        <w:rPr>
          <w:b/>
          <w:sz w:val="24"/>
          <w:szCs w:val="24"/>
          <w:lang w:val="en-US"/>
        </w:rPr>
        <w:t>Article in press:</w:t>
      </w:r>
      <w:r w:rsidR="00DD07E7">
        <w:rPr>
          <w:rFonts w:eastAsiaTheme="minorEastAsia" w:hint="eastAsia"/>
          <w:b/>
          <w:sz w:val="24"/>
          <w:szCs w:val="24"/>
          <w:lang w:val="en-US"/>
        </w:rPr>
        <w:t xml:space="preserve"> </w:t>
      </w:r>
      <w:r w:rsidR="00DD07E7" w:rsidRPr="0034067F">
        <w:rPr>
          <w:rFonts w:eastAsia="宋体" w:cs="Times New Roman"/>
          <w:bCs/>
          <w:sz w:val="24"/>
          <w:szCs w:val="24"/>
          <w:lang w:val="en-GB" w:eastAsia="en-US"/>
        </w:rPr>
        <w:t>April 28, 2020</w:t>
      </w:r>
    </w:p>
    <w:p w14:paraId="23A48680" w14:textId="77777777" w:rsidR="00D16482" w:rsidRPr="007F560B" w:rsidRDefault="00D16482" w:rsidP="007F560B">
      <w:pPr>
        <w:adjustRightInd w:val="0"/>
        <w:snapToGrid w:val="0"/>
        <w:spacing w:line="360" w:lineRule="auto"/>
        <w:jc w:val="both"/>
        <w:rPr>
          <w:b/>
          <w:sz w:val="24"/>
          <w:szCs w:val="24"/>
          <w:lang w:val="en-US"/>
        </w:rPr>
      </w:pPr>
    </w:p>
    <w:p w14:paraId="79C8A5ED" w14:textId="77777777" w:rsidR="00D16482" w:rsidRPr="007F560B" w:rsidRDefault="00D16482" w:rsidP="007F560B">
      <w:pPr>
        <w:adjustRightInd w:val="0"/>
        <w:snapToGrid w:val="0"/>
        <w:spacing w:line="360" w:lineRule="auto"/>
        <w:jc w:val="both"/>
        <w:rPr>
          <w:rFonts w:eastAsia="微软雅黑" w:cs="宋体"/>
          <w:sz w:val="24"/>
          <w:szCs w:val="24"/>
          <w:lang w:val="en-US"/>
        </w:rPr>
      </w:pPr>
      <w:r w:rsidRPr="007F560B">
        <w:rPr>
          <w:rFonts w:cs="宋体"/>
          <w:b/>
          <w:sz w:val="24"/>
          <w:szCs w:val="24"/>
          <w:lang w:val="en-US"/>
        </w:rPr>
        <w:lastRenderedPageBreak/>
        <w:t xml:space="preserve">Specialty type: </w:t>
      </w:r>
      <w:r w:rsidRPr="007F560B">
        <w:rPr>
          <w:rFonts w:eastAsia="微软雅黑" w:cs="宋体"/>
          <w:sz w:val="24"/>
          <w:szCs w:val="24"/>
          <w:lang w:val="en-US"/>
        </w:rPr>
        <w:t>Medicine, research and experimental</w:t>
      </w:r>
    </w:p>
    <w:p w14:paraId="2192759A" w14:textId="77777777" w:rsidR="00D16482" w:rsidRPr="007F560B" w:rsidRDefault="00D16482" w:rsidP="007F560B">
      <w:pPr>
        <w:adjustRightInd w:val="0"/>
        <w:snapToGrid w:val="0"/>
        <w:spacing w:line="360" w:lineRule="auto"/>
        <w:jc w:val="both"/>
        <w:rPr>
          <w:rFonts w:cs="宋体"/>
          <w:sz w:val="24"/>
          <w:szCs w:val="24"/>
          <w:lang w:val="en-US"/>
        </w:rPr>
      </w:pPr>
      <w:r w:rsidRPr="007F560B">
        <w:rPr>
          <w:rFonts w:cs="宋体"/>
          <w:b/>
          <w:sz w:val="24"/>
          <w:szCs w:val="24"/>
          <w:lang w:val="en-US"/>
        </w:rPr>
        <w:t xml:space="preserve">Country/Territory of origin: </w:t>
      </w:r>
      <w:r w:rsidRPr="007F560B">
        <w:rPr>
          <w:rFonts w:cs="宋体"/>
          <w:sz w:val="24"/>
          <w:szCs w:val="24"/>
          <w:lang w:val="en-US"/>
        </w:rPr>
        <w:t>China</w:t>
      </w:r>
    </w:p>
    <w:p w14:paraId="0AB65C35" w14:textId="77777777" w:rsidR="00D16482" w:rsidRPr="007F560B" w:rsidRDefault="00D16482" w:rsidP="007F560B">
      <w:pPr>
        <w:adjustRightInd w:val="0"/>
        <w:snapToGrid w:val="0"/>
        <w:spacing w:line="360" w:lineRule="auto"/>
        <w:jc w:val="both"/>
        <w:rPr>
          <w:rFonts w:cs="宋体"/>
          <w:b/>
          <w:sz w:val="24"/>
          <w:szCs w:val="24"/>
          <w:lang w:val="en-US"/>
        </w:rPr>
      </w:pPr>
      <w:r w:rsidRPr="007F560B">
        <w:rPr>
          <w:rFonts w:cs="宋体"/>
          <w:b/>
          <w:sz w:val="24"/>
          <w:szCs w:val="24"/>
          <w:lang w:val="en-US"/>
        </w:rPr>
        <w:t>Peer-review report’s scientific quality classification</w:t>
      </w:r>
    </w:p>
    <w:p w14:paraId="10FC06C4" w14:textId="77777777" w:rsidR="00D16482" w:rsidRPr="007F560B" w:rsidRDefault="00D16482" w:rsidP="007F560B">
      <w:pPr>
        <w:adjustRightInd w:val="0"/>
        <w:snapToGrid w:val="0"/>
        <w:spacing w:line="360" w:lineRule="auto"/>
        <w:jc w:val="both"/>
        <w:rPr>
          <w:rFonts w:cs="宋体"/>
          <w:sz w:val="24"/>
          <w:szCs w:val="24"/>
          <w:lang w:val="en-US"/>
        </w:rPr>
      </w:pPr>
      <w:r w:rsidRPr="007F560B">
        <w:rPr>
          <w:rFonts w:cs="宋体"/>
          <w:sz w:val="24"/>
          <w:szCs w:val="24"/>
          <w:lang w:val="en-US"/>
        </w:rPr>
        <w:t>Grade A (Excellent): 0</w:t>
      </w:r>
    </w:p>
    <w:p w14:paraId="2F9C58CF" w14:textId="77777777" w:rsidR="00D16482" w:rsidRPr="007F560B" w:rsidRDefault="00D16482" w:rsidP="007F560B">
      <w:pPr>
        <w:adjustRightInd w:val="0"/>
        <w:snapToGrid w:val="0"/>
        <w:spacing w:line="360" w:lineRule="auto"/>
        <w:jc w:val="both"/>
        <w:rPr>
          <w:rFonts w:cs="宋体"/>
          <w:sz w:val="24"/>
          <w:szCs w:val="24"/>
          <w:lang w:val="en-US"/>
        </w:rPr>
      </w:pPr>
      <w:r w:rsidRPr="007F560B">
        <w:rPr>
          <w:rFonts w:cs="宋体"/>
          <w:sz w:val="24"/>
          <w:szCs w:val="24"/>
          <w:lang w:val="en-US"/>
        </w:rPr>
        <w:t>Grade B (Very good): B, B</w:t>
      </w:r>
    </w:p>
    <w:p w14:paraId="1C07BB3E" w14:textId="77777777" w:rsidR="00D16482" w:rsidRPr="007F560B" w:rsidRDefault="00D16482" w:rsidP="007F560B">
      <w:pPr>
        <w:adjustRightInd w:val="0"/>
        <w:snapToGrid w:val="0"/>
        <w:spacing w:line="360" w:lineRule="auto"/>
        <w:jc w:val="both"/>
        <w:rPr>
          <w:rFonts w:cs="宋体"/>
          <w:sz w:val="24"/>
          <w:szCs w:val="24"/>
          <w:lang w:val="en-US"/>
        </w:rPr>
      </w:pPr>
      <w:r w:rsidRPr="007F560B">
        <w:rPr>
          <w:rFonts w:cs="宋体"/>
          <w:sz w:val="24"/>
          <w:szCs w:val="24"/>
          <w:lang w:val="en-US"/>
        </w:rPr>
        <w:t>Grade C (Good): 0</w:t>
      </w:r>
    </w:p>
    <w:p w14:paraId="6FA6FC48" w14:textId="77777777" w:rsidR="00D16482" w:rsidRPr="007F560B" w:rsidRDefault="00D16482" w:rsidP="007F560B">
      <w:pPr>
        <w:adjustRightInd w:val="0"/>
        <w:snapToGrid w:val="0"/>
        <w:spacing w:line="360" w:lineRule="auto"/>
        <w:jc w:val="both"/>
        <w:rPr>
          <w:rFonts w:cs="宋体"/>
          <w:sz w:val="24"/>
          <w:szCs w:val="24"/>
          <w:lang w:val="en-US"/>
        </w:rPr>
      </w:pPr>
      <w:r w:rsidRPr="007F560B">
        <w:rPr>
          <w:rFonts w:cs="宋体"/>
          <w:sz w:val="24"/>
          <w:szCs w:val="24"/>
          <w:lang w:val="en-US"/>
        </w:rPr>
        <w:t>Grade D (Fair): 0</w:t>
      </w:r>
    </w:p>
    <w:p w14:paraId="74295049" w14:textId="77777777" w:rsidR="00D16482" w:rsidRPr="007F560B" w:rsidRDefault="00D16482" w:rsidP="007F560B">
      <w:pPr>
        <w:adjustRightInd w:val="0"/>
        <w:snapToGrid w:val="0"/>
        <w:spacing w:line="360" w:lineRule="auto"/>
        <w:jc w:val="both"/>
        <w:rPr>
          <w:rFonts w:eastAsia="等线"/>
          <w:sz w:val="24"/>
          <w:szCs w:val="24"/>
          <w:lang w:val="hu-HU"/>
        </w:rPr>
      </w:pPr>
      <w:r w:rsidRPr="007F560B">
        <w:rPr>
          <w:rFonts w:cs="宋体"/>
          <w:sz w:val="24"/>
          <w:szCs w:val="24"/>
          <w:lang w:val="en-US"/>
        </w:rPr>
        <w:t>Grade E (Poor): 0</w:t>
      </w:r>
    </w:p>
    <w:p w14:paraId="6FFA03B7" w14:textId="77777777" w:rsidR="00D16482" w:rsidRPr="007F560B" w:rsidRDefault="00D16482" w:rsidP="007F560B">
      <w:pPr>
        <w:adjustRightInd w:val="0"/>
        <w:snapToGrid w:val="0"/>
        <w:spacing w:line="360" w:lineRule="auto"/>
        <w:jc w:val="both"/>
        <w:rPr>
          <w:b/>
          <w:bCs/>
          <w:color w:val="000000"/>
          <w:sz w:val="24"/>
          <w:szCs w:val="24"/>
          <w:lang w:val="hu-HU"/>
        </w:rPr>
      </w:pPr>
    </w:p>
    <w:p w14:paraId="656D85C7" w14:textId="556022E9" w:rsidR="00D16482" w:rsidRPr="00DD07E7" w:rsidRDefault="00D16482" w:rsidP="007F560B">
      <w:pPr>
        <w:adjustRightInd w:val="0"/>
        <w:snapToGrid w:val="0"/>
        <w:spacing w:line="360" w:lineRule="auto"/>
        <w:jc w:val="both"/>
        <w:rPr>
          <w:rFonts w:eastAsiaTheme="minorEastAsia"/>
          <w:b/>
          <w:bCs/>
          <w:color w:val="000000"/>
          <w:sz w:val="24"/>
          <w:szCs w:val="24"/>
          <w:lang w:val="en-US"/>
        </w:rPr>
      </w:pPr>
      <w:r w:rsidRPr="007F560B">
        <w:rPr>
          <w:b/>
          <w:bCs/>
          <w:color w:val="000000"/>
          <w:sz w:val="24"/>
          <w:szCs w:val="24"/>
          <w:lang w:val="en-US"/>
        </w:rPr>
        <w:t xml:space="preserve">P-Reviewer: </w:t>
      </w:r>
      <w:proofErr w:type="spellStart"/>
      <w:r w:rsidRPr="007F560B">
        <w:rPr>
          <w:bCs/>
          <w:color w:val="000000"/>
          <w:sz w:val="24"/>
          <w:szCs w:val="24"/>
          <w:lang w:val="en-US"/>
        </w:rPr>
        <w:t>Alsubai</w:t>
      </w:r>
      <w:proofErr w:type="spellEnd"/>
      <w:r w:rsidRPr="007F560B">
        <w:rPr>
          <w:bCs/>
          <w:color w:val="000000"/>
          <w:sz w:val="24"/>
          <w:szCs w:val="24"/>
          <w:lang w:val="en-US"/>
        </w:rPr>
        <w:t xml:space="preserve"> J, Lynch H</w:t>
      </w:r>
      <w:r w:rsidRPr="007F560B">
        <w:rPr>
          <w:b/>
          <w:bCs/>
          <w:color w:val="000000"/>
          <w:sz w:val="24"/>
          <w:szCs w:val="24"/>
          <w:lang w:val="en-US"/>
        </w:rPr>
        <w:t xml:space="preserve"> S-Editor:</w:t>
      </w:r>
      <w:r w:rsidRPr="007F560B">
        <w:rPr>
          <w:color w:val="000000"/>
          <w:sz w:val="24"/>
          <w:szCs w:val="24"/>
          <w:lang w:val="en-US"/>
        </w:rPr>
        <w:t xml:space="preserve"> Zhang L </w:t>
      </w:r>
      <w:r w:rsidRPr="007F560B">
        <w:rPr>
          <w:b/>
          <w:bCs/>
          <w:color w:val="000000"/>
          <w:sz w:val="24"/>
          <w:szCs w:val="24"/>
          <w:lang w:val="en-US"/>
        </w:rPr>
        <w:t>L-Editor:</w:t>
      </w:r>
      <w:r w:rsidRPr="007F560B">
        <w:rPr>
          <w:color w:val="000000"/>
          <w:sz w:val="24"/>
          <w:szCs w:val="24"/>
          <w:lang w:val="en-US"/>
        </w:rPr>
        <w:t xml:space="preserve"> </w:t>
      </w:r>
      <w:r w:rsidR="00510A21">
        <w:rPr>
          <w:color w:val="000000"/>
          <w:sz w:val="24"/>
          <w:szCs w:val="24"/>
          <w:lang w:val="en-US"/>
        </w:rPr>
        <w:t xml:space="preserve">Wang TQ </w:t>
      </w:r>
      <w:r w:rsidRPr="007F560B">
        <w:rPr>
          <w:b/>
          <w:bCs/>
          <w:color w:val="000000"/>
          <w:sz w:val="24"/>
          <w:szCs w:val="24"/>
          <w:lang w:val="en-US"/>
        </w:rPr>
        <w:t>E-Editor:</w:t>
      </w:r>
      <w:r w:rsidR="00DD07E7">
        <w:rPr>
          <w:rFonts w:eastAsiaTheme="minorEastAsia" w:hint="eastAsia"/>
          <w:b/>
          <w:bCs/>
          <w:color w:val="000000"/>
          <w:sz w:val="24"/>
          <w:szCs w:val="24"/>
          <w:lang w:val="en-US"/>
        </w:rPr>
        <w:t xml:space="preserve"> </w:t>
      </w:r>
      <w:r w:rsidR="00DD07E7" w:rsidRPr="00DD07E7">
        <w:rPr>
          <w:rFonts w:eastAsiaTheme="minorEastAsia"/>
          <w:bCs/>
          <w:color w:val="000000"/>
          <w:sz w:val="24"/>
          <w:szCs w:val="24"/>
          <w:lang w:val="en-US"/>
        </w:rPr>
        <w:t>Xing YX</w:t>
      </w:r>
    </w:p>
    <w:p w14:paraId="35B21EB3" w14:textId="77777777" w:rsidR="00D16482" w:rsidRPr="007F560B" w:rsidRDefault="00D16482" w:rsidP="007F560B">
      <w:pPr>
        <w:snapToGrid w:val="0"/>
        <w:spacing w:line="360" w:lineRule="auto"/>
        <w:jc w:val="both"/>
        <w:rPr>
          <w:rFonts w:eastAsiaTheme="minorEastAsia"/>
          <w:sz w:val="24"/>
          <w:szCs w:val="24"/>
          <w:lang w:val="en-US"/>
        </w:rPr>
      </w:pPr>
    </w:p>
    <w:p w14:paraId="0D509917" w14:textId="77777777" w:rsidR="00A8261B" w:rsidRPr="007F560B" w:rsidRDefault="00493551" w:rsidP="007F560B">
      <w:pPr>
        <w:snapToGrid w:val="0"/>
        <w:spacing w:line="360" w:lineRule="auto"/>
        <w:jc w:val="both"/>
        <w:rPr>
          <w:sz w:val="24"/>
          <w:szCs w:val="24"/>
          <w:lang w:val="en-US"/>
        </w:rPr>
      </w:pPr>
      <w:r w:rsidRPr="007F560B">
        <w:rPr>
          <w:rFonts w:eastAsiaTheme="minorEastAsia"/>
          <w:sz w:val="24"/>
          <w:szCs w:val="24"/>
          <w:lang w:val="en-US"/>
        </w:rPr>
        <w:br w:type="page"/>
      </w:r>
      <w:r w:rsidR="00A8261B" w:rsidRPr="007F560B">
        <w:rPr>
          <w:b/>
          <w:sz w:val="24"/>
          <w:szCs w:val="24"/>
          <w:lang w:val="en-US"/>
        </w:rPr>
        <w:lastRenderedPageBreak/>
        <w:t>Figure Legends</w:t>
      </w:r>
    </w:p>
    <w:p w14:paraId="680DB596" w14:textId="77777777" w:rsidR="00A8261B" w:rsidRPr="007F560B" w:rsidRDefault="00D16482" w:rsidP="007F560B">
      <w:pPr>
        <w:snapToGrid w:val="0"/>
        <w:spacing w:line="360" w:lineRule="auto"/>
        <w:jc w:val="both"/>
        <w:rPr>
          <w:rFonts w:eastAsiaTheme="minorEastAsia"/>
          <w:sz w:val="24"/>
          <w:szCs w:val="24"/>
          <w:lang w:val="en-US"/>
        </w:rPr>
      </w:pPr>
      <w:r w:rsidRPr="007F560B">
        <w:rPr>
          <w:rFonts w:eastAsiaTheme="minorEastAsia"/>
          <w:noProof/>
          <w:sz w:val="24"/>
          <w:szCs w:val="24"/>
          <w:lang w:val="en-US" w:bidi="ar-SA"/>
        </w:rPr>
        <w:drawing>
          <wp:inline distT="0" distB="0" distL="0" distR="0" wp14:anchorId="44E4008E" wp14:editId="79F63368">
            <wp:extent cx="5274310" cy="259334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2593340"/>
                    </a:xfrm>
                    <a:prstGeom prst="rect">
                      <a:avLst/>
                    </a:prstGeom>
                  </pic:spPr>
                </pic:pic>
              </a:graphicData>
            </a:graphic>
          </wp:inline>
        </w:drawing>
      </w:r>
    </w:p>
    <w:p w14:paraId="70FC181A" w14:textId="08ED65B1" w:rsidR="003531A0" w:rsidRPr="007F560B" w:rsidRDefault="00D16482" w:rsidP="007F560B">
      <w:pPr>
        <w:pStyle w:val="a5"/>
        <w:snapToGrid w:val="0"/>
        <w:spacing w:line="360" w:lineRule="auto"/>
        <w:rPr>
          <w:rFonts w:ascii="Book Antiqua" w:eastAsiaTheme="minorEastAsia" w:hAnsi="Book Antiqua" w:cs="Times New Roman"/>
          <w:bCs/>
          <w:color w:val="000000"/>
          <w:sz w:val="24"/>
          <w:szCs w:val="24"/>
        </w:rPr>
      </w:pPr>
      <w:r w:rsidRPr="007F560B">
        <w:rPr>
          <w:rFonts w:ascii="Book Antiqua" w:eastAsiaTheme="minorEastAsia" w:hAnsi="Book Antiqua" w:cs="Times New Roman"/>
          <w:b/>
          <w:bCs/>
          <w:color w:val="000000"/>
          <w:sz w:val="24"/>
          <w:szCs w:val="24"/>
        </w:rPr>
        <w:t xml:space="preserve">Figure 1 </w:t>
      </w:r>
      <w:r w:rsidR="00A8261B" w:rsidRPr="007F560B">
        <w:rPr>
          <w:rFonts w:ascii="Book Antiqua" w:eastAsiaTheme="minorEastAsia" w:hAnsi="Book Antiqua" w:cs="Times New Roman"/>
          <w:b/>
          <w:bCs/>
          <w:color w:val="000000"/>
          <w:sz w:val="24"/>
          <w:szCs w:val="24"/>
        </w:rPr>
        <w:t xml:space="preserve">Serum levels of cytokines in </w:t>
      </w:r>
      <w:r w:rsidR="008F5966" w:rsidRPr="007F560B">
        <w:rPr>
          <w:rFonts w:ascii="Book Antiqua" w:eastAsiaTheme="minorEastAsia" w:hAnsi="Book Antiqua" w:cs="Times New Roman"/>
          <w:b/>
          <w:bCs/>
          <w:color w:val="000000"/>
          <w:sz w:val="24"/>
          <w:szCs w:val="24"/>
        </w:rPr>
        <w:t>chronic hepatitis B</w:t>
      </w:r>
      <w:r w:rsidR="00A8261B" w:rsidRPr="007F560B">
        <w:rPr>
          <w:rFonts w:ascii="Book Antiqua" w:eastAsiaTheme="minorEastAsia" w:hAnsi="Book Antiqua" w:cs="Times New Roman"/>
          <w:b/>
          <w:bCs/>
          <w:color w:val="000000"/>
          <w:sz w:val="24"/>
          <w:szCs w:val="24"/>
        </w:rPr>
        <w:t xml:space="preserve"> patients according to treatment phases and responses to peginterferon α-2a. </w:t>
      </w:r>
      <w:r w:rsidR="00A8261B" w:rsidRPr="007F560B">
        <w:rPr>
          <w:rFonts w:ascii="Book Antiqua" w:eastAsiaTheme="minorEastAsia" w:hAnsi="Book Antiqua" w:cs="Times New Roman"/>
          <w:bCs/>
          <w:color w:val="000000"/>
          <w:sz w:val="24"/>
          <w:szCs w:val="24"/>
        </w:rPr>
        <w:t>A</w:t>
      </w:r>
      <w:r w:rsidRPr="007F560B">
        <w:rPr>
          <w:rFonts w:ascii="Book Antiqua" w:eastAsiaTheme="minorEastAsia" w:hAnsi="Book Antiqua" w:cs="Times New Roman"/>
          <w:bCs/>
          <w:color w:val="000000"/>
          <w:sz w:val="24"/>
          <w:szCs w:val="24"/>
        </w:rPr>
        <w:t>:</w:t>
      </w:r>
      <w:r w:rsidR="001A151D" w:rsidRPr="007F560B">
        <w:rPr>
          <w:rFonts w:ascii="Book Antiqua" w:eastAsiaTheme="minorEastAsia" w:hAnsi="Book Antiqua" w:cs="Times New Roman"/>
          <w:bCs/>
          <w:color w:val="000000"/>
          <w:sz w:val="24"/>
          <w:szCs w:val="24"/>
        </w:rPr>
        <w:t xml:space="preserve"> </w:t>
      </w:r>
      <w:r w:rsidR="00F32E37" w:rsidRPr="007F560B">
        <w:rPr>
          <w:rFonts w:ascii="Book Antiqua" w:eastAsiaTheme="minorEastAsia" w:hAnsi="Book Antiqua" w:cs="Times New Roman"/>
          <w:bCs/>
          <w:color w:val="000000"/>
          <w:sz w:val="24"/>
          <w:szCs w:val="24"/>
        </w:rPr>
        <w:t>CXC-chemokine ligand 9</w:t>
      </w:r>
      <w:r w:rsidR="001A151D" w:rsidRPr="007F560B">
        <w:rPr>
          <w:rFonts w:ascii="Book Antiqua" w:eastAsiaTheme="minorEastAsia" w:hAnsi="Book Antiqua" w:cs="Times New Roman"/>
          <w:bCs/>
          <w:color w:val="000000"/>
          <w:sz w:val="24"/>
          <w:szCs w:val="24"/>
        </w:rPr>
        <w:t xml:space="preserve">; </w:t>
      </w:r>
      <w:r w:rsidR="00A8261B" w:rsidRPr="007F560B">
        <w:rPr>
          <w:rFonts w:ascii="Book Antiqua" w:eastAsiaTheme="minorEastAsia" w:hAnsi="Book Antiqua" w:cs="Times New Roman"/>
          <w:bCs/>
          <w:color w:val="000000"/>
          <w:sz w:val="24"/>
          <w:szCs w:val="24"/>
        </w:rPr>
        <w:t>B</w:t>
      </w:r>
      <w:r w:rsidRPr="007F560B">
        <w:rPr>
          <w:rFonts w:ascii="Book Antiqua" w:eastAsiaTheme="minorEastAsia" w:hAnsi="Book Antiqua" w:cs="Times New Roman"/>
          <w:bCs/>
          <w:color w:val="000000"/>
          <w:sz w:val="24"/>
          <w:szCs w:val="24"/>
        </w:rPr>
        <w:t>:</w:t>
      </w:r>
      <w:r w:rsidR="001A151D" w:rsidRPr="007F560B">
        <w:rPr>
          <w:rFonts w:ascii="Book Antiqua" w:eastAsiaTheme="minorEastAsia" w:hAnsi="Book Antiqua" w:cs="Times New Roman"/>
          <w:bCs/>
          <w:color w:val="000000"/>
          <w:sz w:val="24"/>
          <w:szCs w:val="24"/>
        </w:rPr>
        <w:t xml:space="preserve"> Interferon gamma-induced protein 10; </w:t>
      </w:r>
      <w:r w:rsidR="00A8261B" w:rsidRPr="007F560B">
        <w:rPr>
          <w:rFonts w:ascii="Book Antiqua" w:eastAsiaTheme="minorEastAsia" w:hAnsi="Book Antiqua" w:cs="Times New Roman"/>
          <w:bCs/>
          <w:color w:val="000000"/>
          <w:sz w:val="24"/>
          <w:szCs w:val="24"/>
        </w:rPr>
        <w:t>C</w:t>
      </w:r>
      <w:r w:rsidRPr="007F560B">
        <w:rPr>
          <w:rFonts w:ascii="Book Antiqua" w:eastAsiaTheme="minorEastAsia" w:hAnsi="Book Antiqua" w:cs="Times New Roman"/>
          <w:bCs/>
          <w:color w:val="000000"/>
          <w:sz w:val="24"/>
          <w:szCs w:val="24"/>
        </w:rPr>
        <w:t>:</w:t>
      </w:r>
      <w:r w:rsidR="00806B35" w:rsidRPr="007F560B">
        <w:rPr>
          <w:rFonts w:ascii="Book Antiqua" w:eastAsiaTheme="minorEastAsia" w:hAnsi="Book Antiqua" w:cs="Times New Roman"/>
          <w:bCs/>
          <w:color w:val="000000"/>
          <w:sz w:val="24"/>
          <w:szCs w:val="24"/>
        </w:rPr>
        <w:t xml:space="preserve"> </w:t>
      </w:r>
      <w:proofErr w:type="spellStart"/>
      <w:r w:rsidR="001A151D" w:rsidRPr="007F560B">
        <w:rPr>
          <w:rFonts w:ascii="Book Antiqua" w:eastAsiaTheme="minorEastAsia" w:hAnsi="Book Antiqua" w:cs="Times New Roman"/>
          <w:bCs/>
          <w:color w:val="000000"/>
          <w:sz w:val="24"/>
          <w:szCs w:val="24"/>
        </w:rPr>
        <w:t>Macrophge</w:t>
      </w:r>
      <w:proofErr w:type="spellEnd"/>
      <w:r w:rsidR="001A151D" w:rsidRPr="007F560B">
        <w:rPr>
          <w:rFonts w:ascii="Book Antiqua" w:eastAsiaTheme="minorEastAsia" w:hAnsi="Book Antiqua" w:cs="Times New Roman"/>
          <w:bCs/>
          <w:color w:val="000000"/>
          <w:sz w:val="24"/>
          <w:szCs w:val="24"/>
        </w:rPr>
        <w:t xml:space="preserve"> inhibitory protein-1 delta</w:t>
      </w:r>
      <w:r w:rsidR="00806B35" w:rsidRPr="007F560B">
        <w:rPr>
          <w:rFonts w:ascii="Book Antiqua" w:eastAsiaTheme="minorEastAsia" w:hAnsi="Book Antiqua" w:cs="Times New Roman"/>
          <w:bCs/>
          <w:color w:val="000000"/>
          <w:sz w:val="24"/>
          <w:szCs w:val="24"/>
        </w:rPr>
        <w:t xml:space="preserve">; </w:t>
      </w:r>
      <w:r w:rsidR="00A8261B" w:rsidRPr="007F560B">
        <w:rPr>
          <w:rFonts w:ascii="Book Antiqua" w:eastAsiaTheme="minorEastAsia" w:hAnsi="Book Antiqua" w:cs="Times New Roman"/>
          <w:bCs/>
          <w:color w:val="000000"/>
          <w:sz w:val="24"/>
          <w:szCs w:val="24"/>
        </w:rPr>
        <w:t>D</w:t>
      </w:r>
      <w:r w:rsidRPr="007F560B">
        <w:rPr>
          <w:rFonts w:ascii="Book Antiqua" w:eastAsiaTheme="minorEastAsia" w:hAnsi="Book Antiqua" w:cs="Times New Roman"/>
          <w:bCs/>
          <w:color w:val="000000"/>
          <w:sz w:val="24"/>
          <w:szCs w:val="24"/>
        </w:rPr>
        <w:t>:</w:t>
      </w:r>
      <w:r w:rsidR="003531A0" w:rsidRPr="007F560B">
        <w:rPr>
          <w:rFonts w:ascii="Book Antiqua" w:eastAsiaTheme="minorEastAsia" w:hAnsi="Book Antiqua" w:cs="Times New Roman"/>
          <w:bCs/>
          <w:color w:val="000000"/>
          <w:sz w:val="24"/>
          <w:szCs w:val="24"/>
        </w:rPr>
        <w:t xml:space="preserve"> </w:t>
      </w:r>
      <w:r w:rsidR="00510A21">
        <w:rPr>
          <w:rFonts w:ascii="Book Antiqua" w:eastAsiaTheme="minorEastAsia" w:hAnsi="Book Antiqua" w:cs="Times New Roman"/>
          <w:bCs/>
          <w:color w:val="000000"/>
          <w:sz w:val="24"/>
          <w:szCs w:val="24"/>
        </w:rPr>
        <w:t>T</w:t>
      </w:r>
      <w:r w:rsidR="001A151D" w:rsidRPr="007F560B">
        <w:rPr>
          <w:rFonts w:ascii="Book Antiqua" w:eastAsiaTheme="minorEastAsia" w:hAnsi="Book Antiqua" w:cs="Times New Roman"/>
          <w:bCs/>
          <w:color w:val="000000"/>
          <w:sz w:val="24"/>
          <w:szCs w:val="24"/>
        </w:rPr>
        <w:t>hymus and activation-regulated chemokine</w:t>
      </w:r>
      <w:r w:rsidR="00A8261B" w:rsidRPr="007F560B">
        <w:rPr>
          <w:rFonts w:ascii="Book Antiqua" w:eastAsiaTheme="minorEastAsia" w:hAnsi="Book Antiqua" w:cs="Times New Roman"/>
          <w:bCs/>
          <w:color w:val="000000"/>
          <w:sz w:val="24"/>
          <w:szCs w:val="24"/>
        </w:rPr>
        <w:t xml:space="preserve">. VRs: </w:t>
      </w:r>
      <w:proofErr w:type="spellStart"/>
      <w:r w:rsidRPr="007F560B">
        <w:rPr>
          <w:rFonts w:ascii="Book Antiqua" w:eastAsiaTheme="minorEastAsia" w:hAnsi="Book Antiqua" w:cs="Times New Roman"/>
          <w:bCs/>
          <w:color w:val="000000"/>
          <w:sz w:val="24"/>
          <w:szCs w:val="24"/>
        </w:rPr>
        <w:t>Virological</w:t>
      </w:r>
      <w:proofErr w:type="spellEnd"/>
      <w:r w:rsidRPr="007F560B">
        <w:rPr>
          <w:rFonts w:ascii="Book Antiqua" w:eastAsiaTheme="minorEastAsia" w:hAnsi="Book Antiqua" w:cs="Times New Roman"/>
          <w:bCs/>
          <w:color w:val="000000"/>
          <w:sz w:val="24"/>
          <w:szCs w:val="24"/>
        </w:rPr>
        <w:t xml:space="preserve"> </w:t>
      </w:r>
      <w:r w:rsidR="00A8261B" w:rsidRPr="007F560B">
        <w:rPr>
          <w:rFonts w:ascii="Book Antiqua" w:eastAsiaTheme="minorEastAsia" w:hAnsi="Book Antiqua" w:cs="Times New Roman"/>
          <w:bCs/>
          <w:color w:val="000000"/>
          <w:sz w:val="24"/>
          <w:szCs w:val="24"/>
        </w:rPr>
        <w:t xml:space="preserve">responders, NRs: </w:t>
      </w:r>
      <w:r w:rsidRPr="007F560B">
        <w:rPr>
          <w:rFonts w:ascii="Book Antiqua" w:eastAsiaTheme="minorEastAsia" w:hAnsi="Book Antiqua" w:cs="Times New Roman"/>
          <w:bCs/>
          <w:color w:val="000000"/>
          <w:sz w:val="24"/>
          <w:szCs w:val="24"/>
        </w:rPr>
        <w:t>Non</w:t>
      </w:r>
      <w:r w:rsidR="00A8261B" w:rsidRPr="007F560B">
        <w:rPr>
          <w:rFonts w:ascii="Book Antiqua" w:eastAsiaTheme="minorEastAsia" w:hAnsi="Book Antiqua" w:cs="Times New Roman"/>
          <w:bCs/>
          <w:color w:val="000000"/>
          <w:sz w:val="24"/>
          <w:szCs w:val="24"/>
        </w:rPr>
        <w:t>-</w:t>
      </w:r>
      <w:proofErr w:type="spellStart"/>
      <w:r w:rsidR="00A91A3D" w:rsidRPr="007F560B">
        <w:rPr>
          <w:rFonts w:ascii="Book Antiqua" w:eastAsiaTheme="minorEastAsia" w:hAnsi="Book Antiqua" w:cs="Times New Roman"/>
          <w:bCs/>
          <w:color w:val="000000"/>
          <w:sz w:val="24"/>
          <w:szCs w:val="24"/>
        </w:rPr>
        <w:t>virological</w:t>
      </w:r>
      <w:proofErr w:type="spellEnd"/>
      <w:r w:rsidR="003531A0" w:rsidRPr="007F560B">
        <w:rPr>
          <w:rFonts w:ascii="Book Antiqua" w:eastAsiaTheme="minorEastAsia" w:hAnsi="Book Antiqua" w:cs="Times New Roman"/>
          <w:bCs/>
          <w:color w:val="000000"/>
          <w:sz w:val="24"/>
          <w:szCs w:val="24"/>
        </w:rPr>
        <w:t xml:space="preserve"> responders; CXCL9: CXC-chemokine ligand 9; IP10: Interferon gamma-induced protein 10; MIP-1d: </w:t>
      </w:r>
      <w:proofErr w:type="spellStart"/>
      <w:r w:rsidR="003531A0" w:rsidRPr="007F560B">
        <w:rPr>
          <w:rFonts w:ascii="Book Antiqua" w:eastAsiaTheme="minorEastAsia" w:hAnsi="Book Antiqua" w:cs="Times New Roman"/>
          <w:bCs/>
          <w:color w:val="000000"/>
          <w:sz w:val="24"/>
          <w:szCs w:val="24"/>
        </w:rPr>
        <w:t>Macrophge</w:t>
      </w:r>
      <w:proofErr w:type="spellEnd"/>
      <w:r w:rsidR="003531A0" w:rsidRPr="007F560B">
        <w:rPr>
          <w:rFonts w:ascii="Book Antiqua" w:eastAsiaTheme="minorEastAsia" w:hAnsi="Book Antiqua" w:cs="Times New Roman"/>
          <w:bCs/>
          <w:color w:val="000000"/>
          <w:sz w:val="24"/>
          <w:szCs w:val="24"/>
        </w:rPr>
        <w:t xml:space="preserve"> inhibitory protein-1 delta; TARC:</w:t>
      </w:r>
      <w:r w:rsidR="003531A0" w:rsidRPr="007F560B">
        <w:rPr>
          <w:rFonts w:ascii="Book Antiqua" w:hAnsi="Book Antiqua"/>
          <w:sz w:val="24"/>
          <w:szCs w:val="24"/>
        </w:rPr>
        <w:t xml:space="preserve"> </w:t>
      </w:r>
      <w:r w:rsidR="00510A21">
        <w:rPr>
          <w:rFonts w:ascii="Book Antiqua" w:eastAsiaTheme="minorEastAsia" w:hAnsi="Book Antiqua" w:cs="Times New Roman"/>
          <w:bCs/>
          <w:color w:val="000000"/>
          <w:sz w:val="24"/>
          <w:szCs w:val="24"/>
        </w:rPr>
        <w:t>T</w:t>
      </w:r>
      <w:r w:rsidR="003531A0" w:rsidRPr="007F560B">
        <w:rPr>
          <w:rFonts w:ascii="Book Antiqua" w:eastAsiaTheme="minorEastAsia" w:hAnsi="Book Antiqua" w:cs="Times New Roman"/>
          <w:bCs/>
          <w:color w:val="000000"/>
          <w:sz w:val="24"/>
          <w:szCs w:val="24"/>
        </w:rPr>
        <w:t>hymus and activation-regulated chemokine.</w:t>
      </w:r>
    </w:p>
    <w:p w14:paraId="12358AC5" w14:textId="77777777" w:rsidR="003531A0" w:rsidRPr="007F560B" w:rsidRDefault="003531A0" w:rsidP="007F560B">
      <w:pPr>
        <w:widowControl/>
        <w:autoSpaceDE/>
        <w:autoSpaceDN/>
        <w:snapToGrid w:val="0"/>
        <w:spacing w:line="360" w:lineRule="auto"/>
        <w:jc w:val="both"/>
        <w:rPr>
          <w:rFonts w:eastAsiaTheme="minorEastAsia" w:cs="Times New Roman"/>
          <w:bCs/>
          <w:color w:val="000000"/>
          <w:kern w:val="2"/>
          <w:sz w:val="24"/>
          <w:szCs w:val="24"/>
          <w:lang w:val="en-US" w:bidi="ar-SA"/>
        </w:rPr>
      </w:pPr>
      <w:r w:rsidRPr="007F560B">
        <w:rPr>
          <w:rFonts w:eastAsiaTheme="minorEastAsia" w:cs="Times New Roman"/>
          <w:bCs/>
          <w:color w:val="000000"/>
          <w:sz w:val="24"/>
          <w:szCs w:val="24"/>
          <w:lang w:val="en-US"/>
        </w:rPr>
        <w:br w:type="page"/>
      </w:r>
    </w:p>
    <w:p w14:paraId="2B195BA5" w14:textId="77777777" w:rsidR="00A8261B" w:rsidRPr="007F560B" w:rsidRDefault="003531A0" w:rsidP="007F560B">
      <w:pPr>
        <w:snapToGrid w:val="0"/>
        <w:spacing w:line="360" w:lineRule="auto"/>
        <w:jc w:val="both"/>
        <w:rPr>
          <w:rFonts w:eastAsiaTheme="minorEastAsia"/>
          <w:sz w:val="24"/>
          <w:szCs w:val="24"/>
          <w:lang w:val="en-US"/>
        </w:rPr>
      </w:pPr>
      <w:r w:rsidRPr="007F560B">
        <w:rPr>
          <w:rFonts w:eastAsiaTheme="minorEastAsia"/>
          <w:noProof/>
          <w:sz w:val="24"/>
          <w:szCs w:val="24"/>
          <w:lang w:val="en-US" w:bidi="ar-SA"/>
        </w:rPr>
        <w:lastRenderedPageBreak/>
        <w:drawing>
          <wp:inline distT="0" distB="0" distL="0" distR="0" wp14:anchorId="751F053A" wp14:editId="42188A5D">
            <wp:extent cx="5274310" cy="18802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1880235"/>
                    </a:xfrm>
                    <a:prstGeom prst="rect">
                      <a:avLst/>
                    </a:prstGeom>
                  </pic:spPr>
                </pic:pic>
              </a:graphicData>
            </a:graphic>
          </wp:inline>
        </w:drawing>
      </w:r>
    </w:p>
    <w:p w14:paraId="06DD85A3" w14:textId="0F28D0E3" w:rsidR="00A8261B" w:rsidRPr="007F560B" w:rsidRDefault="003531A0" w:rsidP="007F560B">
      <w:pPr>
        <w:pStyle w:val="a5"/>
        <w:snapToGrid w:val="0"/>
        <w:spacing w:line="360" w:lineRule="auto"/>
        <w:rPr>
          <w:rFonts w:ascii="Book Antiqua" w:eastAsiaTheme="minorEastAsia" w:hAnsi="Book Antiqua" w:cs="Times New Roman"/>
          <w:bCs/>
          <w:color w:val="000000"/>
          <w:sz w:val="24"/>
          <w:szCs w:val="24"/>
        </w:rPr>
      </w:pPr>
      <w:r w:rsidRPr="007F560B">
        <w:rPr>
          <w:rFonts w:ascii="Book Antiqua" w:eastAsiaTheme="minorEastAsia" w:hAnsi="Book Antiqua" w:cs="Times New Roman"/>
          <w:b/>
          <w:bCs/>
          <w:color w:val="000000"/>
          <w:sz w:val="24"/>
          <w:szCs w:val="24"/>
        </w:rPr>
        <w:t>Figure 2</w:t>
      </w:r>
      <w:r w:rsidR="00A8261B" w:rsidRPr="007F560B">
        <w:rPr>
          <w:rFonts w:ascii="Book Antiqua" w:eastAsiaTheme="minorEastAsia" w:hAnsi="Book Antiqua" w:cs="Times New Roman"/>
          <w:b/>
          <w:bCs/>
          <w:color w:val="000000"/>
          <w:sz w:val="24"/>
          <w:szCs w:val="24"/>
        </w:rPr>
        <w:t xml:space="preserve"> Receiver operating characteristic curves of </w:t>
      </w:r>
      <w:r w:rsidRPr="007F560B">
        <w:rPr>
          <w:rFonts w:ascii="Book Antiqua" w:eastAsia="TimesNewRoman" w:hAnsi="Book Antiqua" w:cs="TimesNewRoman"/>
          <w:b/>
          <w:sz w:val="24"/>
          <w:szCs w:val="24"/>
        </w:rPr>
        <w:t>hepatitis B virus</w:t>
      </w:r>
      <w:r w:rsidR="00A8261B" w:rsidRPr="007F560B">
        <w:rPr>
          <w:rFonts w:ascii="Book Antiqua" w:eastAsiaTheme="minorEastAsia" w:hAnsi="Book Antiqua" w:cs="Times New Roman"/>
          <w:b/>
          <w:bCs/>
          <w:color w:val="000000"/>
          <w:sz w:val="24"/>
          <w:szCs w:val="24"/>
        </w:rPr>
        <w:t xml:space="preserve"> </w:t>
      </w:r>
      <w:r w:rsidRPr="007F560B">
        <w:rPr>
          <w:rFonts w:ascii="Book Antiqua" w:eastAsiaTheme="minorEastAsia" w:hAnsi="Book Antiqua" w:cs="Times New Roman"/>
          <w:b/>
          <w:bCs/>
          <w:color w:val="000000"/>
          <w:sz w:val="24"/>
          <w:szCs w:val="24"/>
        </w:rPr>
        <w:t>deoxyribonucleic acid</w:t>
      </w:r>
      <w:r w:rsidR="00A8261B" w:rsidRPr="007F560B">
        <w:rPr>
          <w:rFonts w:ascii="Book Antiqua" w:eastAsiaTheme="minorEastAsia" w:hAnsi="Book Antiqua" w:cs="Times New Roman"/>
          <w:b/>
          <w:bCs/>
          <w:color w:val="000000"/>
          <w:sz w:val="24"/>
          <w:szCs w:val="24"/>
        </w:rPr>
        <w:t xml:space="preserve">, </w:t>
      </w:r>
      <w:r w:rsidRPr="007F560B">
        <w:rPr>
          <w:rFonts w:ascii="Book Antiqua" w:eastAsia="TimesNewRoman" w:hAnsi="Book Antiqua" w:cs="TimesNewRoman"/>
          <w:b/>
          <w:sz w:val="24"/>
          <w:szCs w:val="24"/>
        </w:rPr>
        <w:t>hepatitis B e antigen</w:t>
      </w:r>
      <w:r w:rsidR="00510A21">
        <w:rPr>
          <w:rFonts w:ascii="Book Antiqua" w:eastAsia="TimesNewRoman" w:hAnsi="Book Antiqua" w:cs="TimesNewRoman"/>
          <w:b/>
          <w:sz w:val="24"/>
          <w:szCs w:val="24"/>
        </w:rPr>
        <w:t>,</w:t>
      </w:r>
      <w:r w:rsidR="00A8261B" w:rsidRPr="007F560B">
        <w:rPr>
          <w:rFonts w:ascii="Book Antiqua" w:eastAsiaTheme="minorEastAsia" w:hAnsi="Book Antiqua" w:cs="Times New Roman"/>
          <w:b/>
          <w:bCs/>
          <w:color w:val="000000"/>
          <w:sz w:val="24"/>
          <w:szCs w:val="24"/>
        </w:rPr>
        <w:t xml:space="preserve"> and cytokines for predicting </w:t>
      </w:r>
      <w:proofErr w:type="spellStart"/>
      <w:r w:rsidR="00A91A3D" w:rsidRPr="007F560B">
        <w:rPr>
          <w:rFonts w:ascii="Book Antiqua" w:eastAsiaTheme="minorEastAsia" w:hAnsi="Book Antiqua" w:cs="Times New Roman"/>
          <w:b/>
          <w:bCs/>
          <w:color w:val="000000"/>
          <w:sz w:val="24"/>
          <w:szCs w:val="24"/>
        </w:rPr>
        <w:t>virological</w:t>
      </w:r>
      <w:proofErr w:type="spellEnd"/>
      <w:r w:rsidR="00A8261B" w:rsidRPr="007F560B">
        <w:rPr>
          <w:rFonts w:ascii="Book Antiqua" w:eastAsiaTheme="minorEastAsia" w:hAnsi="Book Antiqua" w:cs="Times New Roman"/>
          <w:b/>
          <w:bCs/>
          <w:color w:val="000000"/>
          <w:sz w:val="24"/>
          <w:szCs w:val="24"/>
        </w:rPr>
        <w:t xml:space="preserve"> responses. </w:t>
      </w:r>
      <w:r w:rsidR="003371E4" w:rsidRPr="007F560B">
        <w:rPr>
          <w:rFonts w:ascii="Book Antiqua" w:eastAsiaTheme="minorEastAsia" w:hAnsi="Book Antiqua" w:cs="Times New Roman"/>
          <w:bCs/>
          <w:color w:val="000000"/>
          <w:sz w:val="24"/>
          <w:szCs w:val="24"/>
        </w:rPr>
        <w:t>A</w:t>
      </w:r>
      <w:r w:rsidRPr="007F560B">
        <w:rPr>
          <w:rFonts w:ascii="Book Antiqua" w:eastAsiaTheme="minorEastAsia" w:hAnsi="Book Antiqua" w:cs="Times New Roman"/>
          <w:bCs/>
          <w:color w:val="000000"/>
          <w:sz w:val="24"/>
          <w:szCs w:val="24"/>
        </w:rPr>
        <w:t>:</w:t>
      </w:r>
      <w:r w:rsidRPr="007F560B">
        <w:rPr>
          <w:rFonts w:ascii="Book Antiqua" w:eastAsiaTheme="minorEastAsia" w:hAnsi="Book Antiqua" w:cs="Times New Roman"/>
          <w:b/>
          <w:bCs/>
          <w:color w:val="000000"/>
          <w:sz w:val="24"/>
          <w:szCs w:val="24"/>
        </w:rPr>
        <w:t xml:space="preserve"> </w:t>
      </w:r>
      <w:r w:rsidR="005E555B" w:rsidRPr="007F560B">
        <w:rPr>
          <w:rFonts w:ascii="Book Antiqua" w:eastAsiaTheme="minorEastAsia" w:hAnsi="Book Antiqua" w:cs="Times New Roman"/>
          <w:bCs/>
          <w:color w:val="000000"/>
          <w:sz w:val="24"/>
          <w:szCs w:val="24"/>
        </w:rPr>
        <w:t xml:space="preserve">The </w:t>
      </w:r>
      <w:r w:rsidRPr="007F560B">
        <w:rPr>
          <w:rFonts w:ascii="Book Antiqua" w:eastAsia="TimesNewRoman" w:hAnsi="Book Antiqua" w:cs="TimesNewRoman"/>
          <w:sz w:val="24"/>
          <w:szCs w:val="24"/>
        </w:rPr>
        <w:t>receiver operating characteristic curves</w:t>
      </w:r>
      <w:r w:rsidR="00A8261B" w:rsidRPr="007F560B">
        <w:rPr>
          <w:rFonts w:ascii="Book Antiqua" w:eastAsiaTheme="minorEastAsia" w:hAnsi="Book Antiqua" w:cs="Times New Roman"/>
          <w:bCs/>
          <w:color w:val="000000"/>
          <w:sz w:val="24"/>
          <w:szCs w:val="24"/>
        </w:rPr>
        <w:t xml:space="preserve"> values of the serum </w:t>
      </w:r>
      <w:r w:rsidRPr="007F560B">
        <w:rPr>
          <w:rFonts w:ascii="Book Antiqua" w:eastAsia="TimesNewRoman" w:hAnsi="Book Antiqua" w:cs="TimesNewRoman"/>
          <w:sz w:val="24"/>
          <w:szCs w:val="24"/>
        </w:rPr>
        <w:t>hepatitis B virus</w:t>
      </w:r>
      <w:r w:rsidR="00A8261B" w:rsidRPr="007F560B">
        <w:rPr>
          <w:rFonts w:ascii="Book Antiqua" w:eastAsiaTheme="minorEastAsia" w:hAnsi="Book Antiqua" w:cs="Times New Roman"/>
          <w:bCs/>
          <w:color w:val="000000"/>
          <w:sz w:val="24"/>
          <w:szCs w:val="24"/>
        </w:rPr>
        <w:t xml:space="preserve"> </w:t>
      </w:r>
      <w:r w:rsidRPr="007F560B">
        <w:rPr>
          <w:rFonts w:ascii="Book Antiqua" w:eastAsiaTheme="minorEastAsia" w:hAnsi="Book Antiqua" w:cs="Times New Roman"/>
          <w:bCs/>
          <w:color w:val="000000"/>
          <w:sz w:val="24"/>
          <w:szCs w:val="24"/>
        </w:rPr>
        <w:t>deoxyribonucleic acid</w:t>
      </w:r>
      <w:r w:rsidR="00A8261B" w:rsidRPr="007F560B">
        <w:rPr>
          <w:rFonts w:ascii="Book Antiqua" w:eastAsiaTheme="minorEastAsia" w:hAnsi="Book Antiqua" w:cs="Times New Roman"/>
          <w:bCs/>
          <w:color w:val="000000"/>
          <w:sz w:val="24"/>
          <w:szCs w:val="24"/>
        </w:rPr>
        <w:t xml:space="preserve"> and </w:t>
      </w:r>
      <w:r w:rsidRPr="007F560B">
        <w:rPr>
          <w:rFonts w:ascii="Book Antiqua" w:eastAsia="TimesNewRoman" w:hAnsi="Book Antiqua" w:cs="TimesNewRoman"/>
          <w:sz w:val="24"/>
          <w:szCs w:val="24"/>
        </w:rPr>
        <w:t>hepatitis B e antigen</w:t>
      </w:r>
      <w:r w:rsidR="00A8261B" w:rsidRPr="007F560B">
        <w:rPr>
          <w:rFonts w:ascii="Book Antiqua" w:eastAsiaTheme="minorEastAsia" w:hAnsi="Book Antiqua" w:cs="Times New Roman"/>
          <w:bCs/>
          <w:color w:val="000000"/>
          <w:sz w:val="24"/>
          <w:szCs w:val="24"/>
        </w:rPr>
        <w:t xml:space="preserve"> levels measured before peginterferon therapy were 0.879 and 0.964</w:t>
      </w:r>
      <w:r w:rsidR="00510A21">
        <w:rPr>
          <w:rFonts w:ascii="Book Antiqua" w:eastAsiaTheme="minorEastAsia" w:hAnsi="Book Antiqua" w:cs="Times New Roman"/>
          <w:bCs/>
          <w:color w:val="000000"/>
          <w:sz w:val="24"/>
          <w:szCs w:val="24"/>
        </w:rPr>
        <w:t>, respectively</w:t>
      </w:r>
      <w:r w:rsidR="00A8261B" w:rsidRPr="007F560B">
        <w:rPr>
          <w:rFonts w:ascii="Book Antiqua" w:eastAsiaTheme="minorEastAsia" w:hAnsi="Book Antiqua" w:cs="Times New Roman"/>
          <w:bCs/>
          <w:color w:val="000000"/>
          <w:sz w:val="24"/>
          <w:szCs w:val="24"/>
        </w:rPr>
        <w:t>. The</w:t>
      </w:r>
      <w:bookmarkStart w:id="28" w:name="OLE_LINK3"/>
      <w:r w:rsidR="00A8261B" w:rsidRPr="007F560B">
        <w:rPr>
          <w:rFonts w:ascii="Book Antiqua" w:eastAsiaTheme="minorEastAsia" w:hAnsi="Book Antiqua" w:cs="Times New Roman"/>
          <w:bCs/>
          <w:color w:val="000000"/>
          <w:sz w:val="24"/>
          <w:szCs w:val="24"/>
        </w:rPr>
        <w:t xml:space="preserve"> </w:t>
      </w:r>
      <w:bookmarkStart w:id="29" w:name="OLE_LINK6"/>
      <w:r w:rsidR="00A8261B" w:rsidRPr="007F560B">
        <w:rPr>
          <w:rFonts w:ascii="Book Antiqua" w:eastAsiaTheme="minorEastAsia" w:hAnsi="Book Antiqua" w:cs="Times New Roman"/>
          <w:bCs/>
          <w:color w:val="000000"/>
          <w:sz w:val="24"/>
          <w:szCs w:val="24"/>
        </w:rPr>
        <w:t>sensitivity</w:t>
      </w:r>
      <w:bookmarkEnd w:id="28"/>
      <w:bookmarkEnd w:id="29"/>
      <w:r w:rsidR="00A8261B" w:rsidRPr="007F560B">
        <w:rPr>
          <w:rFonts w:ascii="Book Antiqua" w:eastAsiaTheme="minorEastAsia" w:hAnsi="Book Antiqua" w:cs="Times New Roman"/>
          <w:bCs/>
          <w:color w:val="000000"/>
          <w:sz w:val="24"/>
          <w:szCs w:val="24"/>
        </w:rPr>
        <w:t xml:space="preserve"> and specificity of the baseline</w:t>
      </w:r>
      <w:r w:rsidR="00510A21">
        <w:rPr>
          <w:rFonts w:ascii="Book Antiqua" w:eastAsiaTheme="minorEastAsia" w:hAnsi="Book Antiqua" w:cs="Times New Roman"/>
          <w:bCs/>
          <w:color w:val="000000"/>
          <w:sz w:val="24"/>
          <w:szCs w:val="24"/>
        </w:rPr>
        <w:t xml:space="preserve"> </w:t>
      </w:r>
      <w:r w:rsidR="00806B35" w:rsidRPr="007F560B">
        <w:rPr>
          <w:rFonts w:ascii="Book Antiqua" w:eastAsiaTheme="minorEastAsia" w:hAnsi="Book Antiqua" w:cs="Times New Roman"/>
          <w:bCs/>
          <w:color w:val="000000"/>
          <w:sz w:val="24"/>
          <w:szCs w:val="24"/>
        </w:rPr>
        <w:t>thymus and</w:t>
      </w:r>
      <w:r w:rsidRPr="007F560B">
        <w:rPr>
          <w:rFonts w:ascii="Book Antiqua" w:eastAsiaTheme="minorEastAsia" w:hAnsi="Book Antiqua" w:cs="Times New Roman"/>
          <w:bCs/>
          <w:color w:val="000000"/>
          <w:sz w:val="24"/>
          <w:szCs w:val="24"/>
        </w:rPr>
        <w:t xml:space="preserve"> activation-regulated chemokine </w:t>
      </w:r>
      <w:r w:rsidR="00510A21" w:rsidRPr="007F560B">
        <w:rPr>
          <w:rFonts w:ascii="Book Antiqua" w:eastAsiaTheme="minorEastAsia" w:hAnsi="Book Antiqua" w:cs="Times New Roman"/>
          <w:bCs/>
          <w:color w:val="000000"/>
          <w:sz w:val="24"/>
          <w:szCs w:val="24"/>
        </w:rPr>
        <w:t>w</w:t>
      </w:r>
      <w:r w:rsidR="00510A21">
        <w:rPr>
          <w:rFonts w:ascii="Book Antiqua" w:eastAsiaTheme="minorEastAsia" w:hAnsi="Book Antiqua" w:cs="Times New Roman"/>
          <w:bCs/>
          <w:color w:val="000000"/>
          <w:sz w:val="24"/>
          <w:szCs w:val="24"/>
        </w:rPr>
        <w:t>ere</w:t>
      </w:r>
      <w:r w:rsidR="00510A21" w:rsidRPr="007F560B">
        <w:rPr>
          <w:rFonts w:ascii="Book Antiqua" w:eastAsiaTheme="minorEastAsia" w:hAnsi="Book Antiqua" w:cs="Times New Roman"/>
          <w:bCs/>
          <w:color w:val="000000"/>
          <w:sz w:val="24"/>
          <w:szCs w:val="24"/>
        </w:rPr>
        <w:t xml:space="preserve"> </w:t>
      </w:r>
      <w:r w:rsidR="003371E4" w:rsidRPr="007F560B">
        <w:rPr>
          <w:rFonts w:ascii="Book Antiqua" w:eastAsiaTheme="minorEastAsia" w:hAnsi="Book Antiqua" w:cs="Times New Roman"/>
          <w:bCs/>
          <w:color w:val="000000"/>
          <w:sz w:val="24"/>
          <w:szCs w:val="24"/>
        </w:rPr>
        <w:t>72.70</w:t>
      </w:r>
      <w:r w:rsidR="00510A21" w:rsidRPr="007F560B">
        <w:rPr>
          <w:rFonts w:ascii="Book Antiqua" w:eastAsiaTheme="minorEastAsia" w:hAnsi="Book Antiqua" w:cs="Times New Roman"/>
          <w:bCs/>
          <w:color w:val="000000"/>
          <w:sz w:val="24"/>
          <w:szCs w:val="24"/>
        </w:rPr>
        <w:t>%</w:t>
      </w:r>
      <w:r w:rsidR="00510A21">
        <w:rPr>
          <w:rFonts w:ascii="Book Antiqua" w:eastAsiaTheme="minorEastAsia" w:hAnsi="Book Antiqua" w:cs="Times New Roman"/>
          <w:bCs/>
          <w:color w:val="000000"/>
          <w:sz w:val="24"/>
          <w:szCs w:val="24"/>
        </w:rPr>
        <w:t xml:space="preserve"> and </w:t>
      </w:r>
      <w:r w:rsidR="003371E4" w:rsidRPr="007F560B">
        <w:rPr>
          <w:rFonts w:ascii="Book Antiqua" w:eastAsiaTheme="minorEastAsia" w:hAnsi="Book Antiqua" w:cs="Times New Roman"/>
          <w:bCs/>
          <w:color w:val="000000"/>
          <w:sz w:val="24"/>
          <w:szCs w:val="24"/>
        </w:rPr>
        <w:t>73.30</w:t>
      </w:r>
      <w:r w:rsidR="00510A21" w:rsidRPr="007F560B">
        <w:rPr>
          <w:rFonts w:ascii="Book Antiqua" w:eastAsiaTheme="minorEastAsia" w:hAnsi="Book Antiqua" w:cs="Times New Roman"/>
          <w:bCs/>
          <w:color w:val="000000"/>
          <w:sz w:val="24"/>
          <w:szCs w:val="24"/>
        </w:rPr>
        <w:t>%</w:t>
      </w:r>
      <w:r w:rsidR="00510A21">
        <w:rPr>
          <w:rFonts w:ascii="Book Antiqua" w:eastAsiaTheme="minorEastAsia" w:hAnsi="Book Antiqua" w:cs="Times New Roman"/>
          <w:bCs/>
          <w:color w:val="000000"/>
          <w:sz w:val="24"/>
          <w:szCs w:val="24"/>
        </w:rPr>
        <w:t>, respectively</w:t>
      </w:r>
      <w:r w:rsidR="00510A21" w:rsidRPr="007F560B">
        <w:rPr>
          <w:rFonts w:ascii="Book Antiqua" w:eastAsiaTheme="minorEastAsia" w:hAnsi="Book Antiqua" w:cs="Times New Roman"/>
          <w:bCs/>
          <w:color w:val="000000"/>
          <w:sz w:val="24"/>
          <w:szCs w:val="24"/>
        </w:rPr>
        <w:t xml:space="preserve">; </w:t>
      </w:r>
      <w:r w:rsidR="003371E4" w:rsidRPr="007F560B">
        <w:rPr>
          <w:rFonts w:ascii="Book Antiqua" w:eastAsiaTheme="minorEastAsia" w:hAnsi="Book Antiqua" w:cs="Times New Roman"/>
          <w:bCs/>
          <w:color w:val="000000"/>
          <w:sz w:val="24"/>
          <w:szCs w:val="24"/>
        </w:rPr>
        <w:t>B</w:t>
      </w:r>
      <w:r w:rsidRPr="007F560B">
        <w:rPr>
          <w:rFonts w:ascii="Book Antiqua" w:eastAsiaTheme="minorEastAsia" w:hAnsi="Book Antiqua" w:cs="Times New Roman"/>
          <w:b/>
          <w:bCs/>
          <w:color w:val="000000"/>
          <w:sz w:val="24"/>
          <w:szCs w:val="24"/>
        </w:rPr>
        <w:t>:</w:t>
      </w:r>
      <w:r w:rsidR="003371E4" w:rsidRPr="007F560B">
        <w:rPr>
          <w:rFonts w:ascii="Book Antiqua" w:eastAsiaTheme="minorEastAsia" w:hAnsi="Book Antiqua" w:cs="Times New Roman"/>
          <w:b/>
          <w:bCs/>
          <w:color w:val="000000"/>
          <w:sz w:val="24"/>
          <w:szCs w:val="24"/>
        </w:rPr>
        <w:t xml:space="preserve"> </w:t>
      </w:r>
      <w:r w:rsidR="003371E4" w:rsidRPr="007F560B">
        <w:rPr>
          <w:rFonts w:ascii="Book Antiqua" w:eastAsiaTheme="minorEastAsia" w:hAnsi="Book Antiqua" w:cs="Times New Roman"/>
          <w:bCs/>
          <w:color w:val="000000"/>
          <w:sz w:val="24"/>
          <w:szCs w:val="24"/>
        </w:rPr>
        <w:t xml:space="preserve">The sensitivity and specificity of the baseline </w:t>
      </w:r>
      <w:proofErr w:type="spellStart"/>
      <w:r w:rsidRPr="007F560B">
        <w:rPr>
          <w:rFonts w:ascii="Book Antiqua" w:eastAsiaTheme="minorEastAsia" w:hAnsi="Book Antiqua" w:cs="Times New Roman"/>
          <w:bCs/>
          <w:color w:val="000000"/>
          <w:sz w:val="24"/>
          <w:szCs w:val="24"/>
        </w:rPr>
        <w:t>macrophge</w:t>
      </w:r>
      <w:proofErr w:type="spellEnd"/>
      <w:r w:rsidRPr="007F560B">
        <w:rPr>
          <w:rFonts w:ascii="Book Antiqua" w:eastAsiaTheme="minorEastAsia" w:hAnsi="Book Antiqua" w:cs="Times New Roman"/>
          <w:bCs/>
          <w:color w:val="000000"/>
          <w:sz w:val="24"/>
          <w:szCs w:val="24"/>
        </w:rPr>
        <w:t xml:space="preserve"> </w:t>
      </w:r>
      <w:r w:rsidR="00806B35" w:rsidRPr="007F560B">
        <w:rPr>
          <w:rFonts w:ascii="Book Antiqua" w:eastAsiaTheme="minorEastAsia" w:hAnsi="Book Antiqua" w:cs="Times New Roman"/>
          <w:bCs/>
          <w:color w:val="000000"/>
          <w:sz w:val="24"/>
          <w:szCs w:val="24"/>
        </w:rPr>
        <w:t>inhibitory protein-1 delta</w:t>
      </w:r>
      <w:r w:rsidR="00A8261B" w:rsidRPr="007F560B">
        <w:rPr>
          <w:rFonts w:ascii="Book Antiqua" w:eastAsiaTheme="minorEastAsia" w:hAnsi="Book Antiqua" w:cs="Times New Roman"/>
          <w:bCs/>
          <w:color w:val="000000"/>
          <w:sz w:val="24"/>
          <w:szCs w:val="24"/>
        </w:rPr>
        <w:t xml:space="preserve">, </w:t>
      </w:r>
      <w:r w:rsidR="00806B35" w:rsidRPr="007F560B">
        <w:rPr>
          <w:rFonts w:ascii="Book Antiqua" w:eastAsiaTheme="minorEastAsia" w:hAnsi="Book Antiqua" w:cs="Times New Roman"/>
          <w:bCs/>
          <w:color w:val="000000"/>
          <w:sz w:val="24"/>
          <w:szCs w:val="24"/>
        </w:rPr>
        <w:t>CXC-chemokine ligand 9</w:t>
      </w:r>
      <w:r w:rsidR="00A8261B" w:rsidRPr="007F560B">
        <w:rPr>
          <w:rFonts w:ascii="Book Antiqua" w:eastAsiaTheme="minorEastAsia" w:hAnsi="Book Antiqua" w:cs="Times New Roman"/>
          <w:bCs/>
          <w:color w:val="000000"/>
          <w:sz w:val="24"/>
          <w:szCs w:val="24"/>
        </w:rPr>
        <w:t xml:space="preserve">, </w:t>
      </w:r>
      <w:r w:rsidR="00806B35" w:rsidRPr="007F560B">
        <w:rPr>
          <w:rFonts w:ascii="Book Antiqua" w:eastAsiaTheme="minorEastAsia" w:hAnsi="Book Antiqua" w:cs="Times New Roman"/>
          <w:bCs/>
          <w:color w:val="000000"/>
          <w:sz w:val="24"/>
          <w:szCs w:val="24"/>
        </w:rPr>
        <w:t>CXC-chemokine ligand 6</w:t>
      </w:r>
      <w:r w:rsidR="00510A21">
        <w:rPr>
          <w:rFonts w:ascii="Book Antiqua" w:eastAsiaTheme="minorEastAsia" w:hAnsi="Book Antiqua" w:cs="Times New Roman"/>
          <w:bCs/>
          <w:color w:val="000000"/>
          <w:sz w:val="24"/>
          <w:szCs w:val="24"/>
        </w:rPr>
        <w:t>,</w:t>
      </w:r>
      <w:r w:rsidR="00A8261B" w:rsidRPr="007F560B">
        <w:rPr>
          <w:rFonts w:ascii="Book Antiqua" w:eastAsiaTheme="minorEastAsia" w:hAnsi="Book Antiqua" w:cs="Times New Roman"/>
          <w:bCs/>
          <w:color w:val="000000"/>
          <w:sz w:val="24"/>
          <w:szCs w:val="24"/>
        </w:rPr>
        <w:t xml:space="preserve"> and </w:t>
      </w:r>
      <w:r w:rsidRPr="007F560B">
        <w:rPr>
          <w:rFonts w:ascii="Book Antiqua" w:eastAsiaTheme="minorEastAsia" w:hAnsi="Book Antiqua" w:cs="Times New Roman"/>
          <w:bCs/>
          <w:color w:val="000000"/>
          <w:sz w:val="24"/>
          <w:szCs w:val="24"/>
        </w:rPr>
        <w:t xml:space="preserve">interferon gamma-induced protein 10 levels in predicting </w:t>
      </w:r>
      <w:proofErr w:type="spellStart"/>
      <w:r w:rsidR="00806B35" w:rsidRPr="007F560B">
        <w:rPr>
          <w:rFonts w:ascii="Book Antiqua" w:eastAsiaTheme="minorEastAsia" w:hAnsi="Book Antiqua" w:cs="Times New Roman"/>
          <w:bCs/>
          <w:color w:val="000000"/>
          <w:sz w:val="24"/>
          <w:szCs w:val="24"/>
        </w:rPr>
        <w:t>virological</w:t>
      </w:r>
      <w:proofErr w:type="spellEnd"/>
      <w:r w:rsidR="00806B35" w:rsidRPr="007F560B">
        <w:rPr>
          <w:rFonts w:ascii="Book Antiqua" w:eastAsiaTheme="minorEastAsia" w:hAnsi="Book Antiqua" w:cs="Times New Roman"/>
          <w:bCs/>
          <w:color w:val="000000"/>
          <w:sz w:val="24"/>
          <w:szCs w:val="24"/>
        </w:rPr>
        <w:t xml:space="preserve"> responder</w:t>
      </w:r>
      <w:r w:rsidR="00A8261B" w:rsidRPr="007F560B">
        <w:rPr>
          <w:rFonts w:ascii="Book Antiqua" w:eastAsiaTheme="minorEastAsia" w:hAnsi="Book Antiqua" w:cs="Times New Roman"/>
          <w:bCs/>
          <w:color w:val="000000"/>
          <w:sz w:val="24"/>
          <w:szCs w:val="24"/>
        </w:rPr>
        <w:t xml:space="preserve"> were</w:t>
      </w:r>
      <w:r w:rsidR="00806B35" w:rsidRPr="007F560B">
        <w:rPr>
          <w:rFonts w:ascii="Book Antiqua" w:eastAsiaTheme="minorEastAsia" w:hAnsi="Book Antiqua" w:cs="Times New Roman"/>
          <w:bCs/>
          <w:color w:val="000000"/>
          <w:sz w:val="24"/>
          <w:szCs w:val="24"/>
        </w:rPr>
        <w:t xml:space="preserve"> </w:t>
      </w:r>
      <w:r w:rsidR="00A8261B" w:rsidRPr="007F560B">
        <w:rPr>
          <w:rFonts w:ascii="Book Antiqua" w:eastAsiaTheme="minorEastAsia" w:hAnsi="Book Antiqua" w:cs="Times New Roman"/>
          <w:bCs/>
          <w:color w:val="000000"/>
          <w:sz w:val="24"/>
          <w:szCs w:val="24"/>
        </w:rPr>
        <w:t>69.20</w:t>
      </w:r>
      <w:r w:rsidR="00510A21" w:rsidRPr="007F560B">
        <w:rPr>
          <w:rFonts w:ascii="Book Antiqua" w:eastAsiaTheme="minorEastAsia" w:hAnsi="Book Antiqua" w:cs="Times New Roman"/>
          <w:bCs/>
          <w:color w:val="000000"/>
          <w:sz w:val="24"/>
          <w:szCs w:val="24"/>
        </w:rPr>
        <w:t>%</w:t>
      </w:r>
      <w:r w:rsidR="00510A21">
        <w:rPr>
          <w:rFonts w:ascii="Book Antiqua" w:eastAsiaTheme="minorEastAsia" w:hAnsi="Book Antiqua" w:cs="Times New Roman"/>
          <w:bCs/>
          <w:color w:val="000000"/>
          <w:sz w:val="24"/>
          <w:szCs w:val="24"/>
        </w:rPr>
        <w:t xml:space="preserve"> and</w:t>
      </w:r>
      <w:r w:rsidR="00510A21" w:rsidRPr="007F560B">
        <w:rPr>
          <w:rFonts w:ascii="Book Antiqua" w:eastAsiaTheme="minorEastAsia" w:hAnsi="Book Antiqua" w:cs="Times New Roman"/>
          <w:bCs/>
          <w:color w:val="000000"/>
          <w:sz w:val="24"/>
          <w:szCs w:val="24"/>
        </w:rPr>
        <w:t xml:space="preserve"> </w:t>
      </w:r>
      <w:r w:rsidR="00A8261B" w:rsidRPr="007F560B">
        <w:rPr>
          <w:rFonts w:ascii="Book Antiqua" w:eastAsiaTheme="minorEastAsia" w:hAnsi="Book Antiqua" w:cs="Times New Roman"/>
          <w:bCs/>
          <w:color w:val="000000"/>
          <w:sz w:val="24"/>
          <w:szCs w:val="24"/>
        </w:rPr>
        <w:t>84.60%, 76.90</w:t>
      </w:r>
      <w:r w:rsidR="00510A21" w:rsidRPr="007F560B">
        <w:rPr>
          <w:rFonts w:ascii="Book Antiqua" w:eastAsiaTheme="minorEastAsia" w:hAnsi="Book Antiqua" w:cs="Times New Roman"/>
          <w:bCs/>
          <w:color w:val="000000"/>
          <w:sz w:val="24"/>
          <w:szCs w:val="24"/>
        </w:rPr>
        <w:t>%</w:t>
      </w:r>
      <w:r w:rsidR="00510A21">
        <w:rPr>
          <w:rFonts w:ascii="Book Antiqua" w:eastAsiaTheme="minorEastAsia" w:hAnsi="Book Antiqua" w:cs="Times New Roman"/>
          <w:bCs/>
          <w:color w:val="000000"/>
          <w:sz w:val="24"/>
          <w:szCs w:val="24"/>
        </w:rPr>
        <w:t xml:space="preserve"> and</w:t>
      </w:r>
      <w:r w:rsidR="00510A21" w:rsidRPr="007F560B">
        <w:rPr>
          <w:rFonts w:ascii="Book Antiqua" w:eastAsiaTheme="minorEastAsia" w:hAnsi="Book Antiqua" w:cs="Times New Roman"/>
          <w:bCs/>
          <w:color w:val="000000"/>
          <w:sz w:val="24"/>
          <w:szCs w:val="24"/>
        </w:rPr>
        <w:t xml:space="preserve"> </w:t>
      </w:r>
      <w:r w:rsidR="00A8261B" w:rsidRPr="007F560B">
        <w:rPr>
          <w:rFonts w:ascii="Book Antiqua" w:eastAsiaTheme="minorEastAsia" w:hAnsi="Book Antiqua" w:cs="Times New Roman"/>
          <w:bCs/>
          <w:color w:val="000000"/>
          <w:sz w:val="24"/>
          <w:szCs w:val="24"/>
        </w:rPr>
        <w:t>76.90%, 61.50</w:t>
      </w:r>
      <w:r w:rsidR="00510A21" w:rsidRPr="007F560B">
        <w:rPr>
          <w:rFonts w:ascii="Book Antiqua" w:eastAsiaTheme="minorEastAsia" w:hAnsi="Book Antiqua" w:cs="Times New Roman"/>
          <w:bCs/>
          <w:color w:val="000000"/>
          <w:sz w:val="24"/>
          <w:szCs w:val="24"/>
        </w:rPr>
        <w:t>%</w:t>
      </w:r>
      <w:r w:rsidR="00510A21">
        <w:rPr>
          <w:rFonts w:ascii="Book Antiqua" w:eastAsiaTheme="minorEastAsia" w:hAnsi="Book Antiqua" w:cs="Times New Roman"/>
          <w:bCs/>
          <w:color w:val="000000"/>
          <w:sz w:val="24"/>
          <w:szCs w:val="24"/>
        </w:rPr>
        <w:t xml:space="preserve"> and</w:t>
      </w:r>
      <w:r w:rsidR="00510A21" w:rsidRPr="007F560B">
        <w:rPr>
          <w:rFonts w:ascii="Book Antiqua" w:eastAsiaTheme="minorEastAsia" w:hAnsi="Book Antiqua" w:cs="Times New Roman"/>
          <w:bCs/>
          <w:color w:val="000000"/>
          <w:sz w:val="24"/>
          <w:szCs w:val="24"/>
        </w:rPr>
        <w:t xml:space="preserve"> </w:t>
      </w:r>
      <w:r w:rsidR="00A8261B" w:rsidRPr="007F560B">
        <w:rPr>
          <w:rFonts w:ascii="Book Antiqua" w:eastAsiaTheme="minorEastAsia" w:hAnsi="Book Antiqua" w:cs="Times New Roman"/>
          <w:bCs/>
          <w:color w:val="000000"/>
          <w:sz w:val="24"/>
          <w:szCs w:val="24"/>
        </w:rPr>
        <w:t>84.60%, and 61.50</w:t>
      </w:r>
      <w:r w:rsidR="00510A21" w:rsidRPr="007F560B">
        <w:rPr>
          <w:rFonts w:ascii="Book Antiqua" w:eastAsiaTheme="minorEastAsia" w:hAnsi="Book Antiqua" w:cs="Times New Roman"/>
          <w:bCs/>
          <w:color w:val="000000"/>
          <w:sz w:val="24"/>
          <w:szCs w:val="24"/>
        </w:rPr>
        <w:t>%</w:t>
      </w:r>
      <w:r w:rsidR="00510A21">
        <w:rPr>
          <w:rFonts w:ascii="Book Antiqua" w:eastAsiaTheme="minorEastAsia" w:hAnsi="Book Antiqua" w:cs="Times New Roman"/>
          <w:bCs/>
          <w:color w:val="000000"/>
          <w:sz w:val="24"/>
          <w:szCs w:val="24"/>
        </w:rPr>
        <w:t xml:space="preserve"> and</w:t>
      </w:r>
      <w:r w:rsidR="00510A21" w:rsidRPr="007F560B">
        <w:rPr>
          <w:rFonts w:ascii="Book Antiqua" w:eastAsiaTheme="minorEastAsia" w:hAnsi="Book Antiqua" w:cs="Times New Roman"/>
          <w:bCs/>
          <w:color w:val="000000"/>
          <w:sz w:val="24"/>
          <w:szCs w:val="24"/>
        </w:rPr>
        <w:t xml:space="preserve"> </w:t>
      </w:r>
      <w:r w:rsidR="00A8261B" w:rsidRPr="007F560B">
        <w:rPr>
          <w:rFonts w:ascii="Book Antiqua" w:eastAsiaTheme="minorEastAsia" w:hAnsi="Book Antiqua" w:cs="Times New Roman"/>
          <w:bCs/>
          <w:color w:val="000000"/>
          <w:sz w:val="24"/>
          <w:szCs w:val="24"/>
        </w:rPr>
        <w:t>92.30%</w:t>
      </w:r>
      <w:r w:rsidR="00806B35" w:rsidRPr="007F560B">
        <w:rPr>
          <w:rFonts w:ascii="Book Antiqua" w:eastAsiaTheme="minorEastAsia" w:hAnsi="Book Antiqua" w:cs="Times New Roman"/>
          <w:bCs/>
          <w:color w:val="000000"/>
          <w:sz w:val="24"/>
          <w:szCs w:val="24"/>
        </w:rPr>
        <w:t>, respectively</w:t>
      </w:r>
      <w:r w:rsidR="00A8261B" w:rsidRPr="007F560B">
        <w:rPr>
          <w:rFonts w:ascii="Book Antiqua" w:eastAsiaTheme="minorEastAsia" w:hAnsi="Book Antiqua" w:cs="Times New Roman"/>
          <w:bCs/>
          <w:color w:val="000000"/>
          <w:sz w:val="24"/>
          <w:szCs w:val="24"/>
        </w:rPr>
        <w:t>.</w:t>
      </w:r>
      <w:r w:rsidRPr="007F560B">
        <w:rPr>
          <w:rFonts w:ascii="Book Antiqua" w:eastAsia="TimesNewRoman" w:hAnsi="Book Antiqua" w:cs="TimesNewRoman"/>
          <w:sz w:val="24"/>
          <w:szCs w:val="24"/>
        </w:rPr>
        <w:t xml:space="preserve"> </w:t>
      </w:r>
      <w:proofErr w:type="spellStart"/>
      <w:r w:rsidRPr="007F560B">
        <w:rPr>
          <w:rFonts w:ascii="Book Antiqua" w:eastAsia="TimesNewRoman" w:hAnsi="Book Antiqua" w:cs="TimesNewRoman"/>
          <w:sz w:val="24"/>
          <w:szCs w:val="24"/>
        </w:rPr>
        <w:t>HBeAg</w:t>
      </w:r>
      <w:proofErr w:type="spellEnd"/>
      <w:r w:rsidRPr="007F560B">
        <w:rPr>
          <w:rFonts w:ascii="Book Antiqua" w:eastAsia="TimesNewRoman" w:hAnsi="Book Antiqua" w:cs="TimesNewRoman"/>
          <w:sz w:val="24"/>
          <w:szCs w:val="24"/>
        </w:rPr>
        <w:t xml:space="preserve">: Hepatitis B e antigen; HBV: Hepatitis B virus; TARC: Thymus and activation-regulated chemokine; </w:t>
      </w:r>
      <w:r w:rsidRPr="007F560B">
        <w:rPr>
          <w:rFonts w:ascii="Book Antiqua" w:eastAsiaTheme="minorEastAsia" w:hAnsi="Book Antiqua" w:cs="Times New Roman"/>
          <w:bCs/>
          <w:color w:val="000000"/>
          <w:sz w:val="24"/>
          <w:szCs w:val="24"/>
        </w:rPr>
        <w:t xml:space="preserve">CXCL6: CXC-chemokine ligand 6; MIP-1d: </w:t>
      </w:r>
      <w:proofErr w:type="spellStart"/>
      <w:r w:rsidRPr="007F560B">
        <w:rPr>
          <w:rFonts w:ascii="Book Antiqua" w:eastAsiaTheme="minorEastAsia" w:hAnsi="Book Antiqua" w:cs="Times New Roman"/>
          <w:bCs/>
          <w:color w:val="000000"/>
          <w:sz w:val="24"/>
          <w:szCs w:val="24"/>
        </w:rPr>
        <w:t>Macrophge</w:t>
      </w:r>
      <w:proofErr w:type="spellEnd"/>
      <w:r w:rsidRPr="007F560B">
        <w:rPr>
          <w:rFonts w:ascii="Book Antiqua" w:eastAsiaTheme="minorEastAsia" w:hAnsi="Book Antiqua" w:cs="Times New Roman"/>
          <w:bCs/>
          <w:color w:val="000000"/>
          <w:sz w:val="24"/>
          <w:szCs w:val="24"/>
        </w:rPr>
        <w:t xml:space="preserve"> inhibitory protein-1 delta; IP10: Interferon gamma-induced protein 10.</w:t>
      </w:r>
    </w:p>
    <w:p w14:paraId="7B5C76A2" w14:textId="77777777" w:rsidR="003531A0" w:rsidRPr="007F560B" w:rsidRDefault="003531A0" w:rsidP="007F560B">
      <w:pPr>
        <w:widowControl/>
        <w:autoSpaceDE/>
        <w:autoSpaceDN/>
        <w:snapToGrid w:val="0"/>
        <w:spacing w:line="360" w:lineRule="auto"/>
        <w:jc w:val="both"/>
        <w:rPr>
          <w:rFonts w:eastAsiaTheme="minorEastAsia"/>
          <w:sz w:val="24"/>
          <w:szCs w:val="24"/>
          <w:lang w:val="en-US" w:bidi="ar-SA"/>
        </w:rPr>
      </w:pPr>
      <w:r w:rsidRPr="007F560B">
        <w:rPr>
          <w:rFonts w:eastAsiaTheme="minorEastAsia"/>
          <w:sz w:val="24"/>
          <w:szCs w:val="24"/>
          <w:lang w:val="en-US" w:bidi="ar-SA"/>
        </w:rPr>
        <w:br w:type="page"/>
      </w:r>
    </w:p>
    <w:p w14:paraId="25401C70" w14:textId="77777777" w:rsidR="00806B35" w:rsidRPr="007F560B" w:rsidRDefault="003531A0" w:rsidP="007F560B">
      <w:pPr>
        <w:snapToGrid w:val="0"/>
        <w:spacing w:line="360" w:lineRule="auto"/>
        <w:jc w:val="both"/>
        <w:rPr>
          <w:rFonts w:cs="宋体"/>
          <w:b/>
          <w:color w:val="000000"/>
          <w:sz w:val="24"/>
          <w:szCs w:val="24"/>
          <w:lang w:val="en-US"/>
        </w:rPr>
      </w:pPr>
      <w:r w:rsidRPr="007F560B">
        <w:rPr>
          <w:rFonts w:cs="宋体"/>
          <w:b/>
          <w:color w:val="000000"/>
          <w:sz w:val="24"/>
          <w:szCs w:val="24"/>
          <w:lang w:val="en-US"/>
        </w:rPr>
        <w:lastRenderedPageBreak/>
        <w:t>Table 1 Baseline characteristics of patients with chronic hepatitis B</w:t>
      </w:r>
    </w:p>
    <w:tbl>
      <w:tblPr>
        <w:tblStyle w:val="a6"/>
        <w:tblW w:w="8222"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2126"/>
        <w:gridCol w:w="1985"/>
        <w:gridCol w:w="1417"/>
      </w:tblGrid>
      <w:tr w:rsidR="002A46C9" w:rsidRPr="007F560B" w14:paraId="2C887CBA" w14:textId="77777777" w:rsidTr="002A46C9">
        <w:trPr>
          <w:jc w:val="center"/>
        </w:trPr>
        <w:tc>
          <w:tcPr>
            <w:tcW w:w="2694" w:type="dxa"/>
            <w:tcBorders>
              <w:top w:val="single" w:sz="4" w:space="0" w:color="auto"/>
              <w:bottom w:val="single" w:sz="4" w:space="0" w:color="auto"/>
            </w:tcBorders>
            <w:vAlign w:val="center"/>
          </w:tcPr>
          <w:p w14:paraId="278FCAA2" w14:textId="2BE248EB" w:rsidR="002A46C9" w:rsidRPr="00510A21" w:rsidRDefault="002A46C9" w:rsidP="007F560B">
            <w:pPr>
              <w:snapToGrid w:val="0"/>
              <w:spacing w:line="360" w:lineRule="auto"/>
              <w:jc w:val="both"/>
              <w:rPr>
                <w:rFonts w:eastAsiaTheme="minorEastAsia"/>
                <w:sz w:val="24"/>
                <w:szCs w:val="24"/>
                <w:lang w:val="en-US"/>
              </w:rPr>
            </w:pPr>
            <w:r w:rsidRPr="007F560B">
              <w:rPr>
                <w:rFonts w:cs="宋体"/>
                <w:b/>
                <w:color w:val="000000"/>
                <w:sz w:val="24"/>
                <w:szCs w:val="24"/>
              </w:rPr>
              <w:t>Variable</w:t>
            </w:r>
          </w:p>
        </w:tc>
        <w:tc>
          <w:tcPr>
            <w:tcW w:w="2126" w:type="dxa"/>
            <w:tcBorders>
              <w:top w:val="single" w:sz="4" w:space="0" w:color="auto"/>
              <w:bottom w:val="single" w:sz="4" w:space="0" w:color="auto"/>
            </w:tcBorders>
            <w:vAlign w:val="center"/>
          </w:tcPr>
          <w:p w14:paraId="525D6970" w14:textId="77777777" w:rsidR="002A46C9" w:rsidRPr="007F560B" w:rsidRDefault="002A46C9" w:rsidP="007F560B">
            <w:pPr>
              <w:snapToGrid w:val="0"/>
              <w:spacing w:line="360" w:lineRule="auto"/>
              <w:jc w:val="both"/>
              <w:rPr>
                <w:rFonts w:eastAsiaTheme="minorEastAsia"/>
                <w:sz w:val="24"/>
                <w:szCs w:val="24"/>
                <w:lang w:val="en-US"/>
              </w:rPr>
            </w:pPr>
            <w:r w:rsidRPr="007F560B">
              <w:rPr>
                <w:rFonts w:cs="宋体"/>
                <w:b/>
                <w:bCs/>
                <w:color w:val="000000"/>
                <w:sz w:val="24"/>
                <w:szCs w:val="24"/>
              </w:rPr>
              <w:t>Virological responders (</w:t>
            </w:r>
            <w:r w:rsidRPr="007F560B">
              <w:rPr>
                <w:rFonts w:cs="宋体"/>
                <w:b/>
                <w:bCs/>
                <w:i/>
                <w:color w:val="000000"/>
                <w:sz w:val="24"/>
                <w:szCs w:val="24"/>
              </w:rPr>
              <w:t>n</w:t>
            </w:r>
            <w:r w:rsidRPr="007F560B">
              <w:rPr>
                <w:rFonts w:eastAsiaTheme="minorEastAsia" w:cs="宋体"/>
                <w:b/>
                <w:bCs/>
                <w:color w:val="000000"/>
                <w:sz w:val="24"/>
                <w:szCs w:val="24"/>
              </w:rPr>
              <w:t xml:space="preserve"> </w:t>
            </w:r>
            <w:r w:rsidRPr="007F560B">
              <w:rPr>
                <w:rFonts w:cs="宋体"/>
                <w:b/>
                <w:bCs/>
                <w:color w:val="000000"/>
                <w:sz w:val="24"/>
                <w:szCs w:val="24"/>
              </w:rPr>
              <w:t>=</w:t>
            </w:r>
            <w:r w:rsidRPr="007F560B">
              <w:rPr>
                <w:rFonts w:eastAsiaTheme="minorEastAsia" w:cs="宋体"/>
                <w:b/>
                <w:bCs/>
                <w:color w:val="000000"/>
                <w:sz w:val="24"/>
                <w:szCs w:val="24"/>
              </w:rPr>
              <w:t xml:space="preserve"> </w:t>
            </w:r>
            <w:r w:rsidRPr="007F560B">
              <w:rPr>
                <w:rFonts w:cs="宋体"/>
                <w:b/>
                <w:bCs/>
                <w:color w:val="000000"/>
                <w:sz w:val="24"/>
                <w:szCs w:val="24"/>
              </w:rPr>
              <w:t>15)</w:t>
            </w:r>
          </w:p>
        </w:tc>
        <w:tc>
          <w:tcPr>
            <w:tcW w:w="1985" w:type="dxa"/>
            <w:tcBorders>
              <w:top w:val="single" w:sz="4" w:space="0" w:color="auto"/>
              <w:bottom w:val="single" w:sz="4" w:space="0" w:color="auto"/>
            </w:tcBorders>
            <w:vAlign w:val="center"/>
          </w:tcPr>
          <w:p w14:paraId="64A2DD8E" w14:textId="77777777" w:rsidR="002A46C9" w:rsidRPr="007F560B" w:rsidRDefault="002A46C9" w:rsidP="007F560B">
            <w:pPr>
              <w:snapToGrid w:val="0"/>
              <w:spacing w:line="360" w:lineRule="auto"/>
              <w:jc w:val="both"/>
              <w:rPr>
                <w:rFonts w:eastAsiaTheme="minorEastAsia"/>
                <w:sz w:val="24"/>
                <w:szCs w:val="24"/>
                <w:lang w:val="en-US"/>
              </w:rPr>
            </w:pPr>
            <w:r w:rsidRPr="007F560B">
              <w:rPr>
                <w:rFonts w:cs="宋体"/>
                <w:b/>
                <w:bCs/>
                <w:color w:val="000000"/>
                <w:sz w:val="24"/>
                <w:szCs w:val="24"/>
              </w:rPr>
              <w:t>Virological non-responders (</w:t>
            </w:r>
            <w:r w:rsidRPr="007F560B">
              <w:rPr>
                <w:rFonts w:cs="宋体"/>
                <w:b/>
                <w:bCs/>
                <w:i/>
                <w:color w:val="000000"/>
                <w:sz w:val="24"/>
                <w:szCs w:val="24"/>
              </w:rPr>
              <w:t>n</w:t>
            </w:r>
            <w:r w:rsidRPr="007F560B">
              <w:rPr>
                <w:rFonts w:eastAsiaTheme="minorEastAsia" w:cs="宋体"/>
                <w:b/>
                <w:bCs/>
                <w:color w:val="000000"/>
                <w:sz w:val="24"/>
                <w:szCs w:val="24"/>
              </w:rPr>
              <w:t xml:space="preserve"> </w:t>
            </w:r>
            <w:r w:rsidRPr="007F560B">
              <w:rPr>
                <w:rFonts w:cs="宋体"/>
                <w:b/>
                <w:bCs/>
                <w:color w:val="000000"/>
                <w:sz w:val="24"/>
                <w:szCs w:val="24"/>
              </w:rPr>
              <w:t>=</w:t>
            </w:r>
            <w:r w:rsidRPr="007F560B">
              <w:rPr>
                <w:rFonts w:eastAsiaTheme="minorEastAsia" w:cs="宋体"/>
                <w:b/>
                <w:bCs/>
                <w:color w:val="000000"/>
                <w:sz w:val="24"/>
                <w:szCs w:val="24"/>
              </w:rPr>
              <w:t xml:space="preserve"> </w:t>
            </w:r>
            <w:r w:rsidRPr="007F560B">
              <w:rPr>
                <w:rFonts w:cs="宋体"/>
                <w:b/>
                <w:bCs/>
                <w:color w:val="000000"/>
                <w:sz w:val="24"/>
                <w:szCs w:val="24"/>
              </w:rPr>
              <w:t>11)</w:t>
            </w:r>
          </w:p>
        </w:tc>
        <w:tc>
          <w:tcPr>
            <w:tcW w:w="1417" w:type="dxa"/>
            <w:tcBorders>
              <w:top w:val="single" w:sz="4" w:space="0" w:color="auto"/>
              <w:bottom w:val="single" w:sz="4" w:space="0" w:color="auto"/>
            </w:tcBorders>
            <w:vAlign w:val="center"/>
          </w:tcPr>
          <w:p w14:paraId="571A71B1" w14:textId="77777777" w:rsidR="002A46C9" w:rsidRPr="007F560B" w:rsidRDefault="002A46C9" w:rsidP="007F560B">
            <w:pPr>
              <w:snapToGrid w:val="0"/>
              <w:spacing w:line="360" w:lineRule="auto"/>
              <w:jc w:val="both"/>
              <w:rPr>
                <w:rFonts w:eastAsiaTheme="minorEastAsia"/>
                <w:sz w:val="24"/>
                <w:szCs w:val="24"/>
                <w:lang w:val="en-US"/>
              </w:rPr>
            </w:pPr>
            <w:r w:rsidRPr="007F560B">
              <w:rPr>
                <w:rFonts w:cs="宋体"/>
                <w:b/>
                <w:i/>
                <w:color w:val="000000"/>
                <w:sz w:val="24"/>
                <w:szCs w:val="24"/>
              </w:rPr>
              <w:t>P</w:t>
            </w:r>
            <w:r w:rsidRPr="007F560B">
              <w:rPr>
                <w:rFonts w:eastAsiaTheme="minorEastAsia" w:cs="宋体"/>
                <w:b/>
                <w:color w:val="000000"/>
                <w:sz w:val="24"/>
                <w:szCs w:val="24"/>
              </w:rPr>
              <w:t xml:space="preserve"> </w:t>
            </w:r>
            <w:r w:rsidRPr="007F560B">
              <w:rPr>
                <w:rFonts w:cs="宋体"/>
                <w:b/>
                <w:color w:val="000000"/>
                <w:sz w:val="24"/>
                <w:szCs w:val="24"/>
              </w:rPr>
              <w:t>value</w:t>
            </w:r>
          </w:p>
        </w:tc>
      </w:tr>
      <w:tr w:rsidR="002A46C9" w:rsidRPr="007F560B" w14:paraId="6D5DCBDF" w14:textId="77777777" w:rsidTr="002A46C9">
        <w:trPr>
          <w:jc w:val="center"/>
        </w:trPr>
        <w:tc>
          <w:tcPr>
            <w:tcW w:w="2694" w:type="dxa"/>
            <w:tcBorders>
              <w:top w:val="single" w:sz="4" w:space="0" w:color="auto"/>
            </w:tcBorders>
            <w:vAlign w:val="center"/>
          </w:tcPr>
          <w:p w14:paraId="0B25B4DB" w14:textId="77777777" w:rsidR="002A46C9" w:rsidRPr="007F560B" w:rsidRDefault="002A46C9" w:rsidP="007F560B">
            <w:pPr>
              <w:snapToGrid w:val="0"/>
              <w:spacing w:line="360" w:lineRule="auto"/>
              <w:jc w:val="both"/>
              <w:rPr>
                <w:rFonts w:eastAsiaTheme="minorEastAsia"/>
                <w:sz w:val="24"/>
                <w:szCs w:val="24"/>
                <w:lang w:val="en-US"/>
              </w:rPr>
            </w:pPr>
            <w:r w:rsidRPr="007F560B">
              <w:rPr>
                <w:rFonts w:cs="宋体"/>
                <w:color w:val="000000"/>
                <w:sz w:val="24"/>
                <w:szCs w:val="24"/>
              </w:rPr>
              <w:t>Age (yr)</w:t>
            </w:r>
          </w:p>
        </w:tc>
        <w:tc>
          <w:tcPr>
            <w:tcW w:w="2126" w:type="dxa"/>
            <w:tcBorders>
              <w:top w:val="single" w:sz="4" w:space="0" w:color="auto"/>
            </w:tcBorders>
            <w:vAlign w:val="center"/>
          </w:tcPr>
          <w:p w14:paraId="4097DB66" w14:textId="77777777" w:rsidR="002A46C9" w:rsidRPr="007F560B" w:rsidRDefault="002A46C9" w:rsidP="007F560B">
            <w:pPr>
              <w:snapToGrid w:val="0"/>
              <w:spacing w:line="360" w:lineRule="auto"/>
              <w:jc w:val="both"/>
              <w:rPr>
                <w:rFonts w:cs="Arial"/>
                <w:sz w:val="24"/>
                <w:szCs w:val="24"/>
              </w:rPr>
            </w:pPr>
            <w:r w:rsidRPr="007F560B">
              <w:rPr>
                <w:rFonts w:cs="Arial"/>
                <w:sz w:val="24"/>
                <w:szCs w:val="24"/>
              </w:rPr>
              <w:t>28.8</w:t>
            </w:r>
            <w:r w:rsidRPr="007F560B">
              <w:rPr>
                <w:rFonts w:eastAsiaTheme="minorEastAsia" w:cs="Arial"/>
                <w:sz w:val="24"/>
                <w:szCs w:val="24"/>
              </w:rPr>
              <w:t xml:space="preserve"> </w:t>
            </w:r>
            <w:r w:rsidRPr="007F560B">
              <w:rPr>
                <w:rFonts w:cs="Arial"/>
                <w:sz w:val="24"/>
                <w:szCs w:val="24"/>
              </w:rPr>
              <w:t>±</w:t>
            </w:r>
            <w:r w:rsidRPr="007F560B">
              <w:rPr>
                <w:rFonts w:eastAsiaTheme="minorEastAsia" w:cs="Arial"/>
                <w:sz w:val="24"/>
                <w:szCs w:val="24"/>
              </w:rPr>
              <w:t xml:space="preserve"> </w:t>
            </w:r>
            <w:r w:rsidRPr="007F560B">
              <w:rPr>
                <w:rFonts w:cs="Arial"/>
                <w:sz w:val="24"/>
                <w:szCs w:val="24"/>
              </w:rPr>
              <w:t>4.161</w:t>
            </w:r>
          </w:p>
        </w:tc>
        <w:tc>
          <w:tcPr>
            <w:tcW w:w="1985" w:type="dxa"/>
            <w:tcBorders>
              <w:top w:val="single" w:sz="4" w:space="0" w:color="auto"/>
            </w:tcBorders>
            <w:vAlign w:val="center"/>
          </w:tcPr>
          <w:p w14:paraId="1CC8A77B" w14:textId="77777777" w:rsidR="002A46C9" w:rsidRPr="007F560B" w:rsidRDefault="002A46C9" w:rsidP="007F560B">
            <w:pPr>
              <w:snapToGrid w:val="0"/>
              <w:spacing w:line="360" w:lineRule="auto"/>
              <w:jc w:val="both"/>
              <w:rPr>
                <w:rFonts w:cs="Arial"/>
                <w:sz w:val="24"/>
                <w:szCs w:val="24"/>
              </w:rPr>
            </w:pPr>
            <w:r w:rsidRPr="007F560B">
              <w:rPr>
                <w:rFonts w:cs="Arial"/>
                <w:sz w:val="24"/>
                <w:szCs w:val="24"/>
              </w:rPr>
              <w:t>27.82</w:t>
            </w:r>
            <w:r w:rsidRPr="007F560B">
              <w:rPr>
                <w:rFonts w:eastAsiaTheme="minorEastAsia" w:cs="Arial"/>
                <w:sz w:val="24"/>
                <w:szCs w:val="24"/>
              </w:rPr>
              <w:t xml:space="preserve"> </w:t>
            </w:r>
            <w:r w:rsidRPr="007F560B">
              <w:rPr>
                <w:rFonts w:cs="Arial"/>
                <w:sz w:val="24"/>
                <w:szCs w:val="24"/>
              </w:rPr>
              <w:t>±</w:t>
            </w:r>
            <w:r w:rsidRPr="007F560B">
              <w:rPr>
                <w:rFonts w:eastAsiaTheme="minorEastAsia" w:cs="Arial"/>
                <w:sz w:val="24"/>
                <w:szCs w:val="24"/>
              </w:rPr>
              <w:t xml:space="preserve"> </w:t>
            </w:r>
            <w:r w:rsidRPr="007F560B">
              <w:rPr>
                <w:rFonts w:cs="Arial"/>
                <w:sz w:val="24"/>
                <w:szCs w:val="24"/>
              </w:rPr>
              <w:t>4.446</w:t>
            </w:r>
          </w:p>
        </w:tc>
        <w:tc>
          <w:tcPr>
            <w:tcW w:w="1417" w:type="dxa"/>
            <w:tcBorders>
              <w:top w:val="single" w:sz="4" w:space="0" w:color="auto"/>
            </w:tcBorders>
            <w:vAlign w:val="center"/>
          </w:tcPr>
          <w:p w14:paraId="58CDE1D7" w14:textId="77777777" w:rsidR="002A46C9" w:rsidRPr="007F560B" w:rsidRDefault="002A46C9" w:rsidP="007F560B">
            <w:pPr>
              <w:snapToGrid w:val="0"/>
              <w:spacing w:line="360" w:lineRule="auto"/>
              <w:jc w:val="both"/>
              <w:rPr>
                <w:rFonts w:eastAsiaTheme="minorEastAsia"/>
                <w:sz w:val="24"/>
                <w:szCs w:val="24"/>
                <w:lang w:val="en-US"/>
              </w:rPr>
            </w:pPr>
            <w:r w:rsidRPr="007F560B">
              <w:rPr>
                <w:rFonts w:cs="宋体"/>
                <w:color w:val="000000"/>
                <w:sz w:val="24"/>
                <w:szCs w:val="24"/>
              </w:rPr>
              <w:t>0.57</w:t>
            </w:r>
          </w:p>
        </w:tc>
      </w:tr>
      <w:tr w:rsidR="002A46C9" w:rsidRPr="007F560B" w14:paraId="0695DC16" w14:textId="77777777" w:rsidTr="002A46C9">
        <w:trPr>
          <w:jc w:val="center"/>
        </w:trPr>
        <w:tc>
          <w:tcPr>
            <w:tcW w:w="2694" w:type="dxa"/>
            <w:vAlign w:val="center"/>
          </w:tcPr>
          <w:p w14:paraId="426310E3" w14:textId="77777777" w:rsidR="002A46C9" w:rsidRPr="007F560B" w:rsidRDefault="002A46C9" w:rsidP="007F560B">
            <w:pPr>
              <w:snapToGrid w:val="0"/>
              <w:spacing w:line="360" w:lineRule="auto"/>
              <w:jc w:val="both"/>
              <w:rPr>
                <w:rFonts w:eastAsiaTheme="minorEastAsia"/>
                <w:sz w:val="24"/>
                <w:szCs w:val="24"/>
                <w:lang w:val="en-US"/>
              </w:rPr>
            </w:pPr>
            <w:r w:rsidRPr="007F560B">
              <w:rPr>
                <w:rFonts w:cs="宋体"/>
                <w:color w:val="000000"/>
                <w:sz w:val="24"/>
                <w:szCs w:val="24"/>
              </w:rPr>
              <w:t>Gender (</w:t>
            </w:r>
            <w:r w:rsidRPr="007F560B">
              <w:rPr>
                <w:rFonts w:cs="宋体"/>
                <w:i/>
                <w:color w:val="000000"/>
                <w:sz w:val="24"/>
                <w:szCs w:val="24"/>
              </w:rPr>
              <w:t>n</w:t>
            </w:r>
            <w:r w:rsidRPr="007F560B">
              <w:rPr>
                <w:rFonts w:cs="宋体"/>
                <w:color w:val="000000"/>
                <w:sz w:val="24"/>
                <w:szCs w:val="24"/>
              </w:rPr>
              <w:t xml:space="preserve"> of male, %)</w:t>
            </w:r>
          </w:p>
        </w:tc>
        <w:tc>
          <w:tcPr>
            <w:tcW w:w="2126" w:type="dxa"/>
            <w:vAlign w:val="center"/>
          </w:tcPr>
          <w:p w14:paraId="6D8BBD70" w14:textId="77777777" w:rsidR="002A46C9" w:rsidRPr="007F560B" w:rsidRDefault="002A46C9" w:rsidP="007F560B">
            <w:pPr>
              <w:snapToGrid w:val="0"/>
              <w:spacing w:line="360" w:lineRule="auto"/>
              <w:jc w:val="both"/>
              <w:rPr>
                <w:rFonts w:cs="宋体"/>
                <w:color w:val="000000"/>
                <w:sz w:val="24"/>
                <w:szCs w:val="24"/>
              </w:rPr>
            </w:pPr>
            <w:r w:rsidRPr="007F560B">
              <w:rPr>
                <w:rFonts w:cs="宋体"/>
                <w:color w:val="000000"/>
                <w:sz w:val="24"/>
                <w:szCs w:val="24"/>
              </w:rPr>
              <w:t>10 (67)</w:t>
            </w:r>
          </w:p>
        </w:tc>
        <w:tc>
          <w:tcPr>
            <w:tcW w:w="1985" w:type="dxa"/>
            <w:vAlign w:val="center"/>
          </w:tcPr>
          <w:p w14:paraId="24EF5DE3" w14:textId="77777777" w:rsidR="002A46C9" w:rsidRPr="007F560B" w:rsidRDefault="002A46C9" w:rsidP="007F560B">
            <w:pPr>
              <w:snapToGrid w:val="0"/>
              <w:spacing w:line="360" w:lineRule="auto"/>
              <w:jc w:val="both"/>
              <w:rPr>
                <w:rFonts w:cs="宋体"/>
                <w:color w:val="000000"/>
                <w:sz w:val="24"/>
                <w:szCs w:val="24"/>
              </w:rPr>
            </w:pPr>
            <w:r w:rsidRPr="007F560B">
              <w:rPr>
                <w:rFonts w:cs="宋体"/>
                <w:color w:val="000000"/>
                <w:sz w:val="24"/>
                <w:szCs w:val="24"/>
              </w:rPr>
              <w:t>7 (64)</w:t>
            </w:r>
          </w:p>
        </w:tc>
        <w:tc>
          <w:tcPr>
            <w:tcW w:w="1417" w:type="dxa"/>
            <w:vAlign w:val="center"/>
          </w:tcPr>
          <w:p w14:paraId="0DF18C09" w14:textId="77777777" w:rsidR="002A46C9" w:rsidRPr="007F560B" w:rsidRDefault="002A46C9" w:rsidP="007F560B">
            <w:pPr>
              <w:snapToGrid w:val="0"/>
              <w:spacing w:line="360" w:lineRule="auto"/>
              <w:jc w:val="both"/>
              <w:rPr>
                <w:rFonts w:eastAsiaTheme="minorEastAsia"/>
                <w:sz w:val="24"/>
                <w:szCs w:val="24"/>
                <w:lang w:val="en-US"/>
              </w:rPr>
            </w:pPr>
            <w:r w:rsidRPr="007F560B">
              <w:rPr>
                <w:rFonts w:cs="宋体"/>
                <w:color w:val="000000"/>
                <w:sz w:val="24"/>
                <w:szCs w:val="24"/>
              </w:rPr>
              <w:t>1</w:t>
            </w:r>
          </w:p>
        </w:tc>
      </w:tr>
      <w:tr w:rsidR="002A46C9" w:rsidRPr="007F560B" w14:paraId="43626651" w14:textId="77777777" w:rsidTr="002A46C9">
        <w:trPr>
          <w:jc w:val="center"/>
        </w:trPr>
        <w:tc>
          <w:tcPr>
            <w:tcW w:w="8222" w:type="dxa"/>
            <w:gridSpan w:val="4"/>
            <w:vAlign w:val="center"/>
          </w:tcPr>
          <w:p w14:paraId="3E28EEEA" w14:textId="77777777" w:rsidR="002A46C9" w:rsidRPr="007F560B" w:rsidRDefault="002A46C9" w:rsidP="007F560B">
            <w:pPr>
              <w:snapToGrid w:val="0"/>
              <w:spacing w:line="360" w:lineRule="auto"/>
              <w:jc w:val="both"/>
              <w:rPr>
                <w:rFonts w:eastAsiaTheme="minorEastAsia"/>
                <w:sz w:val="24"/>
                <w:szCs w:val="24"/>
                <w:lang w:val="en-US"/>
              </w:rPr>
            </w:pPr>
            <w:r w:rsidRPr="007F560B">
              <w:rPr>
                <w:rFonts w:cs="宋体"/>
                <w:bCs/>
                <w:color w:val="000000"/>
                <w:sz w:val="24"/>
                <w:szCs w:val="24"/>
              </w:rPr>
              <w:t>ALT (IU/L)</w:t>
            </w:r>
          </w:p>
        </w:tc>
      </w:tr>
      <w:tr w:rsidR="002A46C9" w:rsidRPr="007F560B" w14:paraId="10360E13" w14:textId="77777777" w:rsidTr="002A46C9">
        <w:trPr>
          <w:jc w:val="center"/>
        </w:trPr>
        <w:tc>
          <w:tcPr>
            <w:tcW w:w="2694" w:type="dxa"/>
            <w:vAlign w:val="center"/>
          </w:tcPr>
          <w:p w14:paraId="30FC0D10" w14:textId="77777777" w:rsidR="002A46C9" w:rsidRPr="007F560B" w:rsidRDefault="002A46C9" w:rsidP="001E152D">
            <w:pPr>
              <w:snapToGrid w:val="0"/>
              <w:spacing w:line="360" w:lineRule="auto"/>
              <w:ind w:firstLineChars="100" w:firstLine="240"/>
              <w:jc w:val="both"/>
              <w:rPr>
                <w:rFonts w:eastAsiaTheme="minorEastAsia"/>
                <w:sz w:val="24"/>
                <w:szCs w:val="24"/>
                <w:lang w:val="en-US"/>
              </w:rPr>
            </w:pPr>
            <w:r w:rsidRPr="007F560B">
              <w:rPr>
                <w:rFonts w:cs="宋体"/>
                <w:color w:val="000000"/>
                <w:sz w:val="24"/>
                <w:szCs w:val="24"/>
              </w:rPr>
              <w:t>Baseline</w:t>
            </w:r>
          </w:p>
        </w:tc>
        <w:tc>
          <w:tcPr>
            <w:tcW w:w="2126" w:type="dxa"/>
            <w:vAlign w:val="center"/>
          </w:tcPr>
          <w:p w14:paraId="508DFE45" w14:textId="77777777" w:rsidR="002A46C9" w:rsidRPr="007F560B" w:rsidRDefault="002A46C9" w:rsidP="007F560B">
            <w:pPr>
              <w:snapToGrid w:val="0"/>
              <w:spacing w:line="360" w:lineRule="auto"/>
              <w:jc w:val="both"/>
              <w:rPr>
                <w:rFonts w:cs="宋体"/>
                <w:color w:val="000000"/>
                <w:sz w:val="24"/>
                <w:szCs w:val="24"/>
              </w:rPr>
            </w:pPr>
            <w:r w:rsidRPr="007F560B">
              <w:rPr>
                <w:rFonts w:cs="宋体"/>
                <w:color w:val="000000"/>
                <w:sz w:val="24"/>
                <w:szCs w:val="24"/>
              </w:rPr>
              <w:t>237.5</w:t>
            </w:r>
            <w:r w:rsidRPr="007F560B">
              <w:rPr>
                <w:rFonts w:eastAsiaTheme="minorEastAsia" w:cs="宋体"/>
                <w:color w:val="000000"/>
                <w:sz w:val="24"/>
                <w:szCs w:val="24"/>
              </w:rPr>
              <w:t xml:space="preserve"> </w:t>
            </w:r>
            <w:r w:rsidRPr="007F560B">
              <w:rPr>
                <w:rFonts w:cs="宋体"/>
                <w:color w:val="000000"/>
                <w:sz w:val="24"/>
                <w:szCs w:val="24"/>
              </w:rPr>
              <w:t>±</w:t>
            </w:r>
            <w:r w:rsidRPr="007F560B">
              <w:rPr>
                <w:rFonts w:eastAsiaTheme="minorEastAsia" w:cs="宋体"/>
                <w:color w:val="000000"/>
                <w:sz w:val="24"/>
                <w:szCs w:val="24"/>
              </w:rPr>
              <w:t xml:space="preserve"> </w:t>
            </w:r>
            <w:r w:rsidRPr="007F560B">
              <w:rPr>
                <w:rFonts w:cs="宋体"/>
                <w:color w:val="000000"/>
                <w:sz w:val="24"/>
                <w:szCs w:val="24"/>
              </w:rPr>
              <w:t>89.36</w:t>
            </w:r>
          </w:p>
        </w:tc>
        <w:tc>
          <w:tcPr>
            <w:tcW w:w="1985" w:type="dxa"/>
            <w:vAlign w:val="center"/>
          </w:tcPr>
          <w:p w14:paraId="726086A3" w14:textId="77777777" w:rsidR="002A46C9" w:rsidRPr="007F560B" w:rsidRDefault="002A46C9" w:rsidP="007F560B">
            <w:pPr>
              <w:snapToGrid w:val="0"/>
              <w:spacing w:line="360" w:lineRule="auto"/>
              <w:jc w:val="both"/>
              <w:rPr>
                <w:rFonts w:cs="宋体"/>
                <w:color w:val="000000"/>
                <w:sz w:val="24"/>
                <w:szCs w:val="24"/>
              </w:rPr>
            </w:pPr>
            <w:r w:rsidRPr="007F560B">
              <w:rPr>
                <w:rFonts w:cs="宋体"/>
                <w:color w:val="000000"/>
                <w:sz w:val="24"/>
                <w:szCs w:val="24"/>
              </w:rPr>
              <w:t>204.5</w:t>
            </w:r>
            <w:r w:rsidRPr="007F560B">
              <w:rPr>
                <w:rFonts w:eastAsiaTheme="minorEastAsia" w:cs="宋体"/>
                <w:color w:val="000000"/>
                <w:sz w:val="24"/>
                <w:szCs w:val="24"/>
              </w:rPr>
              <w:t xml:space="preserve"> </w:t>
            </w:r>
            <w:r w:rsidRPr="007F560B">
              <w:rPr>
                <w:rFonts w:cs="宋体"/>
                <w:color w:val="000000"/>
                <w:sz w:val="24"/>
                <w:szCs w:val="24"/>
              </w:rPr>
              <w:t>±</w:t>
            </w:r>
            <w:r w:rsidRPr="007F560B">
              <w:rPr>
                <w:rFonts w:eastAsiaTheme="minorEastAsia" w:cs="宋体"/>
                <w:color w:val="000000"/>
                <w:sz w:val="24"/>
                <w:szCs w:val="24"/>
              </w:rPr>
              <w:t xml:space="preserve"> </w:t>
            </w:r>
            <w:r w:rsidRPr="007F560B">
              <w:rPr>
                <w:rFonts w:cs="宋体"/>
                <w:color w:val="000000"/>
                <w:sz w:val="24"/>
                <w:szCs w:val="24"/>
              </w:rPr>
              <w:t>74.36</w:t>
            </w:r>
          </w:p>
        </w:tc>
        <w:tc>
          <w:tcPr>
            <w:tcW w:w="1417" w:type="dxa"/>
            <w:vAlign w:val="center"/>
          </w:tcPr>
          <w:p w14:paraId="7C1A18CB" w14:textId="77777777" w:rsidR="002A46C9" w:rsidRPr="007F560B" w:rsidRDefault="002A46C9" w:rsidP="007F560B">
            <w:pPr>
              <w:snapToGrid w:val="0"/>
              <w:spacing w:line="360" w:lineRule="auto"/>
              <w:jc w:val="both"/>
              <w:rPr>
                <w:rFonts w:cs="宋体"/>
                <w:color w:val="000000"/>
                <w:sz w:val="24"/>
                <w:szCs w:val="24"/>
              </w:rPr>
            </w:pPr>
            <w:r w:rsidRPr="007F560B">
              <w:rPr>
                <w:rFonts w:cs="宋体"/>
                <w:color w:val="000000"/>
                <w:sz w:val="24"/>
                <w:szCs w:val="24"/>
              </w:rPr>
              <w:t>0.3292</w:t>
            </w:r>
          </w:p>
        </w:tc>
      </w:tr>
      <w:tr w:rsidR="002A46C9" w:rsidRPr="007F560B" w14:paraId="360837A9" w14:textId="77777777" w:rsidTr="002A46C9">
        <w:trPr>
          <w:jc w:val="center"/>
        </w:trPr>
        <w:tc>
          <w:tcPr>
            <w:tcW w:w="2694" w:type="dxa"/>
            <w:vAlign w:val="center"/>
          </w:tcPr>
          <w:p w14:paraId="04C698CB" w14:textId="77777777" w:rsidR="002A46C9" w:rsidRPr="007F560B" w:rsidRDefault="002A46C9" w:rsidP="001E152D">
            <w:pPr>
              <w:snapToGrid w:val="0"/>
              <w:spacing w:line="360" w:lineRule="auto"/>
              <w:ind w:firstLineChars="100" w:firstLine="240"/>
              <w:jc w:val="both"/>
              <w:rPr>
                <w:rFonts w:eastAsiaTheme="minorEastAsia"/>
                <w:sz w:val="24"/>
                <w:szCs w:val="24"/>
                <w:lang w:val="en-US"/>
              </w:rPr>
            </w:pPr>
            <w:r w:rsidRPr="007F560B">
              <w:rPr>
                <w:rFonts w:cs="宋体"/>
                <w:color w:val="000000"/>
                <w:sz w:val="24"/>
                <w:szCs w:val="24"/>
              </w:rPr>
              <w:t>T</w:t>
            </w:r>
            <w:r w:rsidRPr="007F560B">
              <w:rPr>
                <w:rFonts w:cs="宋体"/>
                <w:color w:val="000000"/>
                <w:sz w:val="24"/>
                <w:szCs w:val="24"/>
                <w:vertAlign w:val="subscript"/>
              </w:rPr>
              <w:t>24</w:t>
            </w:r>
          </w:p>
        </w:tc>
        <w:tc>
          <w:tcPr>
            <w:tcW w:w="2126" w:type="dxa"/>
            <w:vAlign w:val="center"/>
          </w:tcPr>
          <w:p w14:paraId="51E04577" w14:textId="77777777" w:rsidR="002A46C9" w:rsidRPr="007F560B" w:rsidRDefault="002A46C9" w:rsidP="007F560B">
            <w:pPr>
              <w:snapToGrid w:val="0"/>
              <w:spacing w:line="360" w:lineRule="auto"/>
              <w:jc w:val="both"/>
              <w:rPr>
                <w:rFonts w:cs="宋体"/>
                <w:color w:val="000000"/>
                <w:sz w:val="24"/>
                <w:szCs w:val="24"/>
              </w:rPr>
            </w:pPr>
            <w:r w:rsidRPr="007F560B">
              <w:rPr>
                <w:rFonts w:cs="宋体"/>
                <w:color w:val="000000"/>
                <w:sz w:val="24"/>
                <w:szCs w:val="24"/>
              </w:rPr>
              <w:t>43</w:t>
            </w:r>
            <w:r w:rsidRPr="007F560B">
              <w:rPr>
                <w:rFonts w:eastAsiaTheme="minorEastAsia" w:cs="宋体"/>
                <w:color w:val="000000"/>
                <w:sz w:val="24"/>
                <w:szCs w:val="24"/>
              </w:rPr>
              <w:t xml:space="preserve"> </w:t>
            </w:r>
            <w:r w:rsidRPr="007F560B">
              <w:rPr>
                <w:rFonts w:cs="宋体"/>
                <w:color w:val="000000"/>
                <w:sz w:val="24"/>
                <w:szCs w:val="24"/>
              </w:rPr>
              <w:t>±</w:t>
            </w:r>
            <w:r w:rsidRPr="007F560B">
              <w:rPr>
                <w:rFonts w:eastAsiaTheme="minorEastAsia" w:cs="宋体"/>
                <w:color w:val="000000"/>
                <w:sz w:val="24"/>
                <w:szCs w:val="24"/>
              </w:rPr>
              <w:t xml:space="preserve"> </w:t>
            </w:r>
            <w:r w:rsidRPr="007F560B">
              <w:rPr>
                <w:rFonts w:cs="宋体"/>
                <w:color w:val="000000"/>
                <w:sz w:val="24"/>
                <w:szCs w:val="24"/>
              </w:rPr>
              <w:t>15</w:t>
            </w:r>
          </w:p>
        </w:tc>
        <w:tc>
          <w:tcPr>
            <w:tcW w:w="1985" w:type="dxa"/>
            <w:vAlign w:val="center"/>
          </w:tcPr>
          <w:p w14:paraId="23D5B608" w14:textId="77777777" w:rsidR="002A46C9" w:rsidRPr="007F560B" w:rsidRDefault="002A46C9" w:rsidP="007F560B">
            <w:pPr>
              <w:snapToGrid w:val="0"/>
              <w:spacing w:line="360" w:lineRule="auto"/>
              <w:jc w:val="both"/>
              <w:rPr>
                <w:rFonts w:cs="宋体"/>
                <w:color w:val="000000"/>
                <w:sz w:val="24"/>
                <w:szCs w:val="24"/>
              </w:rPr>
            </w:pPr>
            <w:r w:rsidRPr="007F560B">
              <w:rPr>
                <w:rFonts w:cs="宋体"/>
                <w:color w:val="000000"/>
                <w:sz w:val="24"/>
                <w:szCs w:val="24"/>
              </w:rPr>
              <w:t>102.8</w:t>
            </w:r>
            <w:r w:rsidRPr="007F560B">
              <w:rPr>
                <w:rFonts w:eastAsiaTheme="minorEastAsia" w:cs="宋体"/>
                <w:color w:val="000000"/>
                <w:sz w:val="24"/>
                <w:szCs w:val="24"/>
              </w:rPr>
              <w:t xml:space="preserve"> </w:t>
            </w:r>
            <w:r w:rsidRPr="007F560B">
              <w:rPr>
                <w:rFonts w:cs="宋体"/>
                <w:color w:val="000000"/>
                <w:sz w:val="24"/>
                <w:szCs w:val="24"/>
              </w:rPr>
              <w:t>±</w:t>
            </w:r>
            <w:r w:rsidRPr="007F560B">
              <w:rPr>
                <w:rFonts w:eastAsiaTheme="minorEastAsia" w:cs="宋体"/>
                <w:color w:val="000000"/>
                <w:sz w:val="24"/>
                <w:szCs w:val="24"/>
              </w:rPr>
              <w:t xml:space="preserve"> </w:t>
            </w:r>
            <w:r w:rsidRPr="007F560B">
              <w:rPr>
                <w:rFonts w:cs="宋体"/>
                <w:color w:val="000000"/>
                <w:sz w:val="24"/>
                <w:szCs w:val="24"/>
              </w:rPr>
              <w:t>61.70</w:t>
            </w:r>
          </w:p>
        </w:tc>
        <w:tc>
          <w:tcPr>
            <w:tcW w:w="1417" w:type="dxa"/>
            <w:vAlign w:val="center"/>
          </w:tcPr>
          <w:p w14:paraId="58B5158A" w14:textId="77777777" w:rsidR="002A46C9" w:rsidRPr="007F560B" w:rsidRDefault="002A46C9" w:rsidP="007F560B">
            <w:pPr>
              <w:snapToGrid w:val="0"/>
              <w:spacing w:line="360" w:lineRule="auto"/>
              <w:jc w:val="both"/>
              <w:rPr>
                <w:rFonts w:cs="宋体"/>
                <w:color w:val="000000"/>
                <w:sz w:val="24"/>
                <w:szCs w:val="24"/>
              </w:rPr>
            </w:pPr>
            <w:r w:rsidRPr="007F560B">
              <w:rPr>
                <w:rFonts w:cs="宋体"/>
                <w:color w:val="000000"/>
                <w:sz w:val="24"/>
                <w:szCs w:val="24"/>
              </w:rPr>
              <w:t>0.0013</w:t>
            </w:r>
          </w:p>
        </w:tc>
      </w:tr>
      <w:tr w:rsidR="002A46C9" w:rsidRPr="007F560B" w14:paraId="4FD06314" w14:textId="77777777" w:rsidTr="002A46C9">
        <w:trPr>
          <w:jc w:val="center"/>
        </w:trPr>
        <w:tc>
          <w:tcPr>
            <w:tcW w:w="2694" w:type="dxa"/>
            <w:vAlign w:val="center"/>
          </w:tcPr>
          <w:p w14:paraId="744C10C7" w14:textId="77777777" w:rsidR="002A46C9" w:rsidRPr="007F560B" w:rsidRDefault="002A46C9" w:rsidP="001E152D">
            <w:pPr>
              <w:snapToGrid w:val="0"/>
              <w:spacing w:line="360" w:lineRule="auto"/>
              <w:ind w:firstLineChars="100" w:firstLine="240"/>
              <w:jc w:val="both"/>
              <w:rPr>
                <w:rFonts w:eastAsiaTheme="minorEastAsia"/>
                <w:sz w:val="24"/>
                <w:szCs w:val="24"/>
                <w:lang w:val="en-US"/>
              </w:rPr>
            </w:pPr>
            <w:r w:rsidRPr="007F560B">
              <w:rPr>
                <w:rFonts w:cs="宋体"/>
                <w:color w:val="000000"/>
                <w:sz w:val="24"/>
                <w:szCs w:val="24"/>
              </w:rPr>
              <w:t>T</w:t>
            </w:r>
            <w:r w:rsidRPr="007F560B">
              <w:rPr>
                <w:rFonts w:cs="宋体"/>
                <w:color w:val="000000"/>
                <w:sz w:val="24"/>
                <w:szCs w:val="24"/>
                <w:vertAlign w:val="subscript"/>
              </w:rPr>
              <w:t>48</w:t>
            </w:r>
          </w:p>
        </w:tc>
        <w:tc>
          <w:tcPr>
            <w:tcW w:w="2126" w:type="dxa"/>
            <w:vAlign w:val="center"/>
          </w:tcPr>
          <w:p w14:paraId="252C9FF3" w14:textId="77777777" w:rsidR="002A46C9" w:rsidRPr="007F560B" w:rsidRDefault="002A46C9" w:rsidP="007F560B">
            <w:pPr>
              <w:snapToGrid w:val="0"/>
              <w:spacing w:line="360" w:lineRule="auto"/>
              <w:jc w:val="both"/>
              <w:rPr>
                <w:rFonts w:cs="宋体"/>
                <w:color w:val="000000"/>
                <w:sz w:val="24"/>
                <w:szCs w:val="24"/>
              </w:rPr>
            </w:pPr>
            <w:r w:rsidRPr="007F560B">
              <w:rPr>
                <w:rFonts w:cs="宋体"/>
                <w:color w:val="000000"/>
                <w:sz w:val="24"/>
                <w:szCs w:val="24"/>
              </w:rPr>
              <w:t>29.07</w:t>
            </w:r>
            <w:r w:rsidRPr="007F560B">
              <w:rPr>
                <w:rFonts w:eastAsiaTheme="minorEastAsia" w:cs="宋体"/>
                <w:color w:val="000000"/>
                <w:sz w:val="24"/>
                <w:szCs w:val="24"/>
              </w:rPr>
              <w:t xml:space="preserve"> </w:t>
            </w:r>
            <w:r w:rsidRPr="007F560B">
              <w:rPr>
                <w:rFonts w:cs="宋体"/>
                <w:color w:val="000000"/>
                <w:sz w:val="24"/>
                <w:szCs w:val="24"/>
              </w:rPr>
              <w:t>±</w:t>
            </w:r>
            <w:r w:rsidRPr="007F560B">
              <w:rPr>
                <w:rFonts w:eastAsiaTheme="minorEastAsia" w:cs="宋体"/>
                <w:color w:val="000000"/>
                <w:sz w:val="24"/>
                <w:szCs w:val="24"/>
              </w:rPr>
              <w:t xml:space="preserve"> </w:t>
            </w:r>
            <w:r w:rsidRPr="007F560B">
              <w:rPr>
                <w:rFonts w:cs="宋体"/>
                <w:color w:val="000000"/>
                <w:sz w:val="24"/>
                <w:szCs w:val="24"/>
              </w:rPr>
              <w:t>10.30</w:t>
            </w:r>
          </w:p>
        </w:tc>
        <w:tc>
          <w:tcPr>
            <w:tcW w:w="1985" w:type="dxa"/>
            <w:vAlign w:val="center"/>
          </w:tcPr>
          <w:p w14:paraId="3C00F848" w14:textId="77777777" w:rsidR="002A46C9" w:rsidRPr="007F560B" w:rsidRDefault="002A46C9" w:rsidP="007F560B">
            <w:pPr>
              <w:snapToGrid w:val="0"/>
              <w:spacing w:line="360" w:lineRule="auto"/>
              <w:jc w:val="both"/>
              <w:rPr>
                <w:rFonts w:cs="宋体"/>
                <w:color w:val="000000"/>
                <w:sz w:val="24"/>
                <w:szCs w:val="24"/>
              </w:rPr>
            </w:pPr>
            <w:r w:rsidRPr="007F560B">
              <w:rPr>
                <w:rFonts w:cs="宋体"/>
                <w:color w:val="000000"/>
                <w:sz w:val="24"/>
                <w:szCs w:val="24"/>
              </w:rPr>
              <w:t>130.3</w:t>
            </w:r>
            <w:r w:rsidRPr="007F560B">
              <w:rPr>
                <w:rFonts w:eastAsiaTheme="minorEastAsia" w:cs="宋体"/>
                <w:color w:val="000000"/>
                <w:sz w:val="24"/>
                <w:szCs w:val="24"/>
              </w:rPr>
              <w:t xml:space="preserve"> </w:t>
            </w:r>
            <w:r w:rsidRPr="007F560B">
              <w:rPr>
                <w:rFonts w:cs="宋体"/>
                <w:color w:val="000000"/>
                <w:sz w:val="24"/>
                <w:szCs w:val="24"/>
              </w:rPr>
              <w:t>±</w:t>
            </w:r>
            <w:r w:rsidRPr="007F560B">
              <w:rPr>
                <w:rFonts w:eastAsiaTheme="minorEastAsia" w:cs="宋体"/>
                <w:color w:val="000000"/>
                <w:sz w:val="24"/>
                <w:szCs w:val="24"/>
              </w:rPr>
              <w:t xml:space="preserve"> </w:t>
            </w:r>
            <w:r w:rsidRPr="007F560B">
              <w:rPr>
                <w:rFonts w:cs="宋体"/>
                <w:color w:val="000000"/>
                <w:sz w:val="24"/>
                <w:szCs w:val="24"/>
              </w:rPr>
              <w:t>117.1</w:t>
            </w:r>
          </w:p>
        </w:tc>
        <w:tc>
          <w:tcPr>
            <w:tcW w:w="1417" w:type="dxa"/>
            <w:vAlign w:val="center"/>
          </w:tcPr>
          <w:p w14:paraId="0C41B52E" w14:textId="77777777" w:rsidR="002A46C9" w:rsidRPr="007F560B" w:rsidRDefault="002A46C9" w:rsidP="007F560B">
            <w:pPr>
              <w:snapToGrid w:val="0"/>
              <w:spacing w:line="360" w:lineRule="auto"/>
              <w:jc w:val="both"/>
              <w:rPr>
                <w:rFonts w:cs="宋体"/>
                <w:color w:val="000000"/>
                <w:sz w:val="24"/>
                <w:szCs w:val="24"/>
              </w:rPr>
            </w:pPr>
            <w:r w:rsidRPr="007F560B">
              <w:rPr>
                <w:rFonts w:cs="宋体"/>
                <w:color w:val="000000"/>
                <w:sz w:val="24"/>
                <w:szCs w:val="24"/>
              </w:rPr>
              <w:t>0.0026</w:t>
            </w:r>
          </w:p>
        </w:tc>
      </w:tr>
      <w:tr w:rsidR="002A46C9" w:rsidRPr="007F560B" w14:paraId="29619D21" w14:textId="77777777" w:rsidTr="002A46C9">
        <w:trPr>
          <w:jc w:val="center"/>
        </w:trPr>
        <w:tc>
          <w:tcPr>
            <w:tcW w:w="8222" w:type="dxa"/>
            <w:gridSpan w:val="4"/>
            <w:vAlign w:val="center"/>
          </w:tcPr>
          <w:p w14:paraId="0875C70B" w14:textId="77777777" w:rsidR="002A46C9" w:rsidRPr="007F560B" w:rsidRDefault="002A46C9" w:rsidP="007F560B">
            <w:pPr>
              <w:snapToGrid w:val="0"/>
              <w:spacing w:line="360" w:lineRule="auto"/>
              <w:jc w:val="both"/>
              <w:rPr>
                <w:rFonts w:eastAsiaTheme="minorEastAsia"/>
                <w:sz w:val="24"/>
                <w:szCs w:val="24"/>
                <w:lang w:val="en-US"/>
              </w:rPr>
            </w:pPr>
            <w:r w:rsidRPr="007F560B">
              <w:rPr>
                <w:rFonts w:cs="宋体"/>
                <w:bCs/>
                <w:color w:val="000000"/>
                <w:sz w:val="24"/>
                <w:szCs w:val="24"/>
              </w:rPr>
              <w:t>AST (IU/L)</w:t>
            </w:r>
          </w:p>
        </w:tc>
      </w:tr>
      <w:tr w:rsidR="002A46C9" w:rsidRPr="007F560B" w14:paraId="2DA27832" w14:textId="77777777" w:rsidTr="002A46C9">
        <w:trPr>
          <w:jc w:val="center"/>
        </w:trPr>
        <w:tc>
          <w:tcPr>
            <w:tcW w:w="2694" w:type="dxa"/>
            <w:vAlign w:val="center"/>
          </w:tcPr>
          <w:p w14:paraId="20D5D44E" w14:textId="77777777" w:rsidR="002A46C9" w:rsidRPr="007F560B" w:rsidRDefault="002A46C9" w:rsidP="001E152D">
            <w:pPr>
              <w:snapToGrid w:val="0"/>
              <w:spacing w:line="360" w:lineRule="auto"/>
              <w:ind w:firstLineChars="100" w:firstLine="240"/>
              <w:jc w:val="both"/>
              <w:rPr>
                <w:rFonts w:eastAsiaTheme="minorEastAsia"/>
                <w:sz w:val="24"/>
                <w:szCs w:val="24"/>
                <w:lang w:val="en-US"/>
              </w:rPr>
            </w:pPr>
            <w:r w:rsidRPr="007F560B">
              <w:rPr>
                <w:rFonts w:cs="宋体"/>
                <w:color w:val="000000"/>
                <w:sz w:val="24"/>
                <w:szCs w:val="24"/>
              </w:rPr>
              <w:t>Baseline</w:t>
            </w:r>
          </w:p>
        </w:tc>
        <w:tc>
          <w:tcPr>
            <w:tcW w:w="2126" w:type="dxa"/>
            <w:vAlign w:val="center"/>
          </w:tcPr>
          <w:p w14:paraId="463E7B98" w14:textId="77777777" w:rsidR="002A46C9" w:rsidRPr="007F560B" w:rsidRDefault="002A46C9" w:rsidP="007F560B">
            <w:pPr>
              <w:snapToGrid w:val="0"/>
              <w:spacing w:line="360" w:lineRule="auto"/>
              <w:jc w:val="both"/>
              <w:rPr>
                <w:rFonts w:cs="宋体"/>
                <w:color w:val="000000"/>
                <w:sz w:val="24"/>
                <w:szCs w:val="24"/>
              </w:rPr>
            </w:pPr>
            <w:r w:rsidRPr="007F560B">
              <w:rPr>
                <w:rFonts w:cs="宋体"/>
                <w:color w:val="000000"/>
                <w:sz w:val="24"/>
                <w:szCs w:val="24"/>
              </w:rPr>
              <w:t>108.9</w:t>
            </w:r>
            <w:r w:rsidRPr="007F560B">
              <w:rPr>
                <w:rFonts w:eastAsiaTheme="minorEastAsia" w:cs="宋体"/>
                <w:color w:val="000000"/>
                <w:sz w:val="24"/>
                <w:szCs w:val="24"/>
              </w:rPr>
              <w:t xml:space="preserve"> </w:t>
            </w:r>
            <w:r w:rsidRPr="007F560B">
              <w:rPr>
                <w:rFonts w:cs="宋体"/>
                <w:color w:val="000000"/>
                <w:sz w:val="24"/>
                <w:szCs w:val="24"/>
              </w:rPr>
              <w:t>±</w:t>
            </w:r>
            <w:r w:rsidRPr="007F560B">
              <w:rPr>
                <w:rFonts w:eastAsiaTheme="minorEastAsia" w:cs="宋体"/>
                <w:color w:val="000000"/>
                <w:sz w:val="24"/>
                <w:szCs w:val="24"/>
              </w:rPr>
              <w:t xml:space="preserve"> </w:t>
            </w:r>
            <w:r w:rsidRPr="007F560B">
              <w:rPr>
                <w:rFonts w:cs="宋体"/>
                <w:color w:val="000000"/>
                <w:sz w:val="24"/>
                <w:szCs w:val="24"/>
              </w:rPr>
              <w:t>42.60</w:t>
            </w:r>
          </w:p>
        </w:tc>
        <w:tc>
          <w:tcPr>
            <w:tcW w:w="1985" w:type="dxa"/>
            <w:vAlign w:val="center"/>
          </w:tcPr>
          <w:p w14:paraId="66184617" w14:textId="77777777" w:rsidR="002A46C9" w:rsidRPr="007F560B" w:rsidRDefault="002A46C9" w:rsidP="007F560B">
            <w:pPr>
              <w:snapToGrid w:val="0"/>
              <w:spacing w:line="360" w:lineRule="auto"/>
              <w:jc w:val="both"/>
              <w:rPr>
                <w:rFonts w:cs="宋体"/>
                <w:color w:val="000000"/>
                <w:sz w:val="24"/>
                <w:szCs w:val="24"/>
              </w:rPr>
            </w:pPr>
            <w:r w:rsidRPr="007F560B">
              <w:rPr>
                <w:rFonts w:cs="宋体"/>
                <w:color w:val="000000"/>
                <w:sz w:val="24"/>
                <w:szCs w:val="24"/>
              </w:rPr>
              <w:t>94.64</w:t>
            </w:r>
            <w:r w:rsidRPr="007F560B">
              <w:rPr>
                <w:rFonts w:eastAsiaTheme="minorEastAsia" w:cs="宋体"/>
                <w:color w:val="000000"/>
                <w:sz w:val="24"/>
                <w:szCs w:val="24"/>
              </w:rPr>
              <w:t xml:space="preserve"> </w:t>
            </w:r>
            <w:r w:rsidRPr="007F560B">
              <w:rPr>
                <w:rFonts w:cs="宋体"/>
                <w:color w:val="000000"/>
                <w:sz w:val="24"/>
                <w:szCs w:val="24"/>
              </w:rPr>
              <w:t>±</w:t>
            </w:r>
            <w:r w:rsidRPr="007F560B">
              <w:rPr>
                <w:rFonts w:eastAsiaTheme="minorEastAsia" w:cs="宋体"/>
                <w:color w:val="000000"/>
                <w:sz w:val="24"/>
                <w:szCs w:val="24"/>
              </w:rPr>
              <w:t xml:space="preserve"> </w:t>
            </w:r>
            <w:r w:rsidRPr="007F560B">
              <w:rPr>
                <w:rFonts w:cs="宋体"/>
                <w:color w:val="000000"/>
                <w:sz w:val="24"/>
                <w:szCs w:val="24"/>
              </w:rPr>
              <w:t>47.99</w:t>
            </w:r>
          </w:p>
        </w:tc>
        <w:tc>
          <w:tcPr>
            <w:tcW w:w="1417" w:type="dxa"/>
            <w:vAlign w:val="center"/>
          </w:tcPr>
          <w:p w14:paraId="4C45D252" w14:textId="77777777" w:rsidR="002A46C9" w:rsidRPr="007F560B" w:rsidRDefault="002A46C9" w:rsidP="007F560B">
            <w:pPr>
              <w:snapToGrid w:val="0"/>
              <w:spacing w:line="360" w:lineRule="auto"/>
              <w:jc w:val="both"/>
              <w:rPr>
                <w:rFonts w:cs="宋体"/>
                <w:color w:val="000000"/>
                <w:sz w:val="24"/>
                <w:szCs w:val="24"/>
              </w:rPr>
            </w:pPr>
            <w:r w:rsidRPr="007F560B">
              <w:rPr>
                <w:rFonts w:cs="宋体"/>
                <w:color w:val="000000"/>
                <w:sz w:val="24"/>
                <w:szCs w:val="24"/>
              </w:rPr>
              <w:t>0.43</w:t>
            </w:r>
          </w:p>
        </w:tc>
      </w:tr>
      <w:tr w:rsidR="002A46C9" w:rsidRPr="007F560B" w14:paraId="29FE88DE" w14:textId="77777777" w:rsidTr="002A46C9">
        <w:trPr>
          <w:jc w:val="center"/>
        </w:trPr>
        <w:tc>
          <w:tcPr>
            <w:tcW w:w="2694" w:type="dxa"/>
            <w:vAlign w:val="center"/>
          </w:tcPr>
          <w:p w14:paraId="4CE9D8ED" w14:textId="77777777" w:rsidR="002A46C9" w:rsidRPr="007F560B" w:rsidRDefault="002A46C9" w:rsidP="001E152D">
            <w:pPr>
              <w:snapToGrid w:val="0"/>
              <w:spacing w:line="360" w:lineRule="auto"/>
              <w:ind w:firstLineChars="100" w:firstLine="240"/>
              <w:jc w:val="both"/>
              <w:rPr>
                <w:rFonts w:eastAsiaTheme="minorEastAsia"/>
                <w:sz w:val="24"/>
                <w:szCs w:val="24"/>
                <w:lang w:val="en-US"/>
              </w:rPr>
            </w:pPr>
            <w:r w:rsidRPr="007F560B">
              <w:rPr>
                <w:rFonts w:cs="宋体"/>
                <w:color w:val="000000"/>
                <w:sz w:val="24"/>
                <w:szCs w:val="24"/>
              </w:rPr>
              <w:t>T</w:t>
            </w:r>
            <w:r w:rsidRPr="007F560B">
              <w:rPr>
                <w:rFonts w:cs="宋体"/>
                <w:color w:val="000000"/>
                <w:sz w:val="24"/>
                <w:szCs w:val="24"/>
                <w:vertAlign w:val="subscript"/>
              </w:rPr>
              <w:t>24</w:t>
            </w:r>
          </w:p>
        </w:tc>
        <w:tc>
          <w:tcPr>
            <w:tcW w:w="2126" w:type="dxa"/>
            <w:vAlign w:val="center"/>
          </w:tcPr>
          <w:p w14:paraId="4233CFDE" w14:textId="77777777" w:rsidR="002A46C9" w:rsidRPr="007F560B" w:rsidRDefault="002A46C9" w:rsidP="007F560B">
            <w:pPr>
              <w:snapToGrid w:val="0"/>
              <w:spacing w:line="360" w:lineRule="auto"/>
              <w:jc w:val="both"/>
              <w:rPr>
                <w:rFonts w:cs="Arial"/>
                <w:sz w:val="24"/>
                <w:szCs w:val="24"/>
              </w:rPr>
            </w:pPr>
            <w:r w:rsidRPr="007F560B">
              <w:rPr>
                <w:rFonts w:cs="Arial"/>
                <w:sz w:val="24"/>
                <w:szCs w:val="24"/>
              </w:rPr>
              <w:t>36.33</w:t>
            </w:r>
            <w:r w:rsidRPr="007F560B">
              <w:rPr>
                <w:rFonts w:eastAsiaTheme="minorEastAsia" w:cs="Arial"/>
                <w:sz w:val="24"/>
                <w:szCs w:val="24"/>
              </w:rPr>
              <w:t xml:space="preserve"> </w:t>
            </w:r>
            <w:r w:rsidRPr="007F560B">
              <w:rPr>
                <w:rFonts w:cs="Arial"/>
                <w:sz w:val="24"/>
                <w:szCs w:val="24"/>
              </w:rPr>
              <w:t>±</w:t>
            </w:r>
            <w:r w:rsidRPr="007F560B">
              <w:rPr>
                <w:rFonts w:eastAsiaTheme="minorEastAsia" w:cs="Arial"/>
                <w:sz w:val="24"/>
                <w:szCs w:val="24"/>
              </w:rPr>
              <w:t xml:space="preserve"> </w:t>
            </w:r>
            <w:r w:rsidRPr="007F560B">
              <w:rPr>
                <w:rFonts w:cs="Arial"/>
                <w:sz w:val="24"/>
                <w:szCs w:val="24"/>
              </w:rPr>
              <w:t>8.541</w:t>
            </w:r>
          </w:p>
        </w:tc>
        <w:tc>
          <w:tcPr>
            <w:tcW w:w="1985" w:type="dxa"/>
            <w:vAlign w:val="center"/>
          </w:tcPr>
          <w:p w14:paraId="58BA5455" w14:textId="77777777" w:rsidR="002A46C9" w:rsidRPr="007F560B" w:rsidRDefault="002A46C9" w:rsidP="007F560B">
            <w:pPr>
              <w:snapToGrid w:val="0"/>
              <w:spacing w:line="360" w:lineRule="auto"/>
              <w:jc w:val="both"/>
              <w:rPr>
                <w:rFonts w:cs="宋体"/>
                <w:color w:val="000000"/>
                <w:sz w:val="24"/>
                <w:szCs w:val="24"/>
              </w:rPr>
            </w:pPr>
            <w:r w:rsidRPr="007F560B">
              <w:rPr>
                <w:rFonts w:cs="宋体"/>
                <w:color w:val="000000"/>
                <w:sz w:val="24"/>
                <w:szCs w:val="24"/>
              </w:rPr>
              <w:t>76.64</w:t>
            </w:r>
            <w:r w:rsidRPr="007F560B">
              <w:rPr>
                <w:rFonts w:eastAsiaTheme="minorEastAsia" w:cs="宋体"/>
                <w:color w:val="000000"/>
                <w:sz w:val="24"/>
                <w:szCs w:val="24"/>
              </w:rPr>
              <w:t xml:space="preserve"> </w:t>
            </w:r>
            <w:r w:rsidRPr="007F560B">
              <w:rPr>
                <w:rFonts w:cs="宋体"/>
                <w:color w:val="000000"/>
                <w:sz w:val="24"/>
                <w:szCs w:val="24"/>
              </w:rPr>
              <w:t>±</w:t>
            </w:r>
            <w:r w:rsidRPr="007F560B">
              <w:rPr>
                <w:rFonts w:eastAsiaTheme="minorEastAsia" w:cs="宋体"/>
                <w:color w:val="000000"/>
                <w:sz w:val="24"/>
                <w:szCs w:val="24"/>
              </w:rPr>
              <w:t xml:space="preserve"> </w:t>
            </w:r>
            <w:r w:rsidRPr="007F560B">
              <w:rPr>
                <w:rFonts w:cs="宋体"/>
                <w:color w:val="000000"/>
                <w:sz w:val="24"/>
                <w:szCs w:val="24"/>
              </w:rPr>
              <w:t>59.67</w:t>
            </w:r>
          </w:p>
        </w:tc>
        <w:tc>
          <w:tcPr>
            <w:tcW w:w="1417" w:type="dxa"/>
            <w:vAlign w:val="center"/>
          </w:tcPr>
          <w:p w14:paraId="7F42352A" w14:textId="77777777" w:rsidR="002A46C9" w:rsidRPr="007F560B" w:rsidRDefault="002A46C9" w:rsidP="007F560B">
            <w:pPr>
              <w:snapToGrid w:val="0"/>
              <w:spacing w:line="360" w:lineRule="auto"/>
              <w:jc w:val="both"/>
              <w:rPr>
                <w:rFonts w:cs="宋体"/>
                <w:color w:val="000000"/>
                <w:sz w:val="24"/>
                <w:szCs w:val="24"/>
              </w:rPr>
            </w:pPr>
            <w:r w:rsidRPr="007F560B">
              <w:rPr>
                <w:rFonts w:cs="宋体"/>
                <w:color w:val="000000"/>
                <w:sz w:val="24"/>
                <w:szCs w:val="24"/>
              </w:rPr>
              <w:t>0.0157</w:t>
            </w:r>
          </w:p>
        </w:tc>
      </w:tr>
      <w:tr w:rsidR="002A46C9" w:rsidRPr="007F560B" w14:paraId="0ED2F21C" w14:textId="77777777" w:rsidTr="002A46C9">
        <w:trPr>
          <w:jc w:val="center"/>
        </w:trPr>
        <w:tc>
          <w:tcPr>
            <w:tcW w:w="2694" w:type="dxa"/>
            <w:vAlign w:val="center"/>
          </w:tcPr>
          <w:p w14:paraId="24D562D3" w14:textId="77777777" w:rsidR="002A46C9" w:rsidRPr="007F560B" w:rsidRDefault="002A46C9" w:rsidP="001E152D">
            <w:pPr>
              <w:snapToGrid w:val="0"/>
              <w:spacing w:line="360" w:lineRule="auto"/>
              <w:ind w:firstLineChars="100" w:firstLine="240"/>
              <w:jc w:val="both"/>
              <w:rPr>
                <w:rFonts w:eastAsiaTheme="minorEastAsia"/>
                <w:sz w:val="24"/>
                <w:szCs w:val="24"/>
                <w:lang w:val="en-US"/>
              </w:rPr>
            </w:pPr>
            <w:r w:rsidRPr="007F560B">
              <w:rPr>
                <w:rFonts w:cs="宋体"/>
                <w:color w:val="000000"/>
                <w:sz w:val="24"/>
                <w:szCs w:val="24"/>
              </w:rPr>
              <w:t>T</w:t>
            </w:r>
            <w:r w:rsidRPr="007F560B">
              <w:rPr>
                <w:rFonts w:cs="宋体"/>
                <w:color w:val="000000"/>
                <w:sz w:val="24"/>
                <w:szCs w:val="24"/>
                <w:vertAlign w:val="subscript"/>
              </w:rPr>
              <w:t>48</w:t>
            </w:r>
          </w:p>
        </w:tc>
        <w:tc>
          <w:tcPr>
            <w:tcW w:w="2126" w:type="dxa"/>
            <w:vAlign w:val="center"/>
          </w:tcPr>
          <w:p w14:paraId="293CF8A5" w14:textId="77777777" w:rsidR="002A46C9" w:rsidRPr="007F560B" w:rsidRDefault="002A46C9" w:rsidP="007F560B">
            <w:pPr>
              <w:snapToGrid w:val="0"/>
              <w:spacing w:line="360" w:lineRule="auto"/>
              <w:jc w:val="both"/>
              <w:rPr>
                <w:rFonts w:cs="Arial"/>
                <w:sz w:val="24"/>
                <w:szCs w:val="24"/>
              </w:rPr>
            </w:pPr>
            <w:r w:rsidRPr="007F560B">
              <w:rPr>
                <w:rFonts w:cs="Arial"/>
                <w:sz w:val="24"/>
                <w:szCs w:val="24"/>
              </w:rPr>
              <w:t>29.4</w:t>
            </w:r>
            <w:r w:rsidRPr="007F560B">
              <w:rPr>
                <w:rFonts w:eastAsiaTheme="minorEastAsia" w:cs="Arial"/>
                <w:sz w:val="24"/>
                <w:szCs w:val="24"/>
              </w:rPr>
              <w:t xml:space="preserve"> </w:t>
            </w:r>
            <w:r w:rsidRPr="007F560B">
              <w:rPr>
                <w:rFonts w:cs="Arial"/>
                <w:sz w:val="24"/>
                <w:szCs w:val="24"/>
              </w:rPr>
              <w:t>±</w:t>
            </w:r>
            <w:r w:rsidRPr="007F560B">
              <w:rPr>
                <w:rFonts w:eastAsiaTheme="minorEastAsia" w:cs="Arial"/>
                <w:sz w:val="24"/>
                <w:szCs w:val="24"/>
              </w:rPr>
              <w:t xml:space="preserve"> </w:t>
            </w:r>
            <w:r w:rsidRPr="007F560B">
              <w:rPr>
                <w:rFonts w:cs="Arial"/>
                <w:sz w:val="24"/>
                <w:szCs w:val="24"/>
              </w:rPr>
              <w:t>7.039</w:t>
            </w:r>
          </w:p>
        </w:tc>
        <w:tc>
          <w:tcPr>
            <w:tcW w:w="1985" w:type="dxa"/>
            <w:vAlign w:val="center"/>
          </w:tcPr>
          <w:p w14:paraId="231B8A11" w14:textId="77777777" w:rsidR="002A46C9" w:rsidRPr="007F560B" w:rsidRDefault="002A46C9" w:rsidP="007F560B">
            <w:pPr>
              <w:snapToGrid w:val="0"/>
              <w:spacing w:line="360" w:lineRule="auto"/>
              <w:jc w:val="both"/>
              <w:rPr>
                <w:rFonts w:cs="Arial"/>
                <w:sz w:val="24"/>
                <w:szCs w:val="24"/>
              </w:rPr>
            </w:pPr>
            <w:r w:rsidRPr="007F560B">
              <w:rPr>
                <w:rFonts w:cs="Arial"/>
                <w:sz w:val="24"/>
                <w:szCs w:val="24"/>
              </w:rPr>
              <w:t>87</w:t>
            </w:r>
            <w:r w:rsidRPr="007F560B">
              <w:rPr>
                <w:rFonts w:eastAsiaTheme="minorEastAsia" w:cs="Arial"/>
                <w:sz w:val="24"/>
                <w:szCs w:val="24"/>
              </w:rPr>
              <w:t xml:space="preserve"> </w:t>
            </w:r>
            <w:r w:rsidRPr="007F560B">
              <w:rPr>
                <w:rFonts w:cs="Arial"/>
                <w:sz w:val="24"/>
                <w:szCs w:val="24"/>
              </w:rPr>
              <w:t>±</w:t>
            </w:r>
            <w:r w:rsidRPr="007F560B">
              <w:rPr>
                <w:rFonts w:eastAsiaTheme="minorEastAsia" w:cs="Arial"/>
                <w:sz w:val="24"/>
                <w:szCs w:val="24"/>
              </w:rPr>
              <w:t xml:space="preserve"> </w:t>
            </w:r>
            <w:r w:rsidRPr="007F560B">
              <w:rPr>
                <w:rFonts w:cs="Arial"/>
                <w:sz w:val="24"/>
                <w:szCs w:val="24"/>
              </w:rPr>
              <w:t>89.2</w:t>
            </w:r>
          </w:p>
        </w:tc>
        <w:tc>
          <w:tcPr>
            <w:tcW w:w="1417" w:type="dxa"/>
            <w:vAlign w:val="center"/>
          </w:tcPr>
          <w:p w14:paraId="728C6386" w14:textId="77777777" w:rsidR="002A46C9" w:rsidRPr="007F560B" w:rsidRDefault="002A46C9" w:rsidP="007F560B">
            <w:pPr>
              <w:snapToGrid w:val="0"/>
              <w:spacing w:line="360" w:lineRule="auto"/>
              <w:jc w:val="both"/>
              <w:rPr>
                <w:rFonts w:cs="宋体"/>
                <w:color w:val="000000"/>
                <w:sz w:val="24"/>
                <w:szCs w:val="24"/>
              </w:rPr>
            </w:pPr>
            <w:r w:rsidRPr="007F560B">
              <w:rPr>
                <w:rFonts w:cs="宋体"/>
                <w:color w:val="000000"/>
                <w:sz w:val="24"/>
                <w:szCs w:val="24"/>
              </w:rPr>
              <w:t>0.0193</w:t>
            </w:r>
          </w:p>
        </w:tc>
      </w:tr>
      <w:tr w:rsidR="002A46C9" w:rsidRPr="00BC5044" w14:paraId="625150CD" w14:textId="77777777" w:rsidTr="002A46C9">
        <w:trPr>
          <w:jc w:val="center"/>
        </w:trPr>
        <w:tc>
          <w:tcPr>
            <w:tcW w:w="8222" w:type="dxa"/>
            <w:gridSpan w:val="4"/>
            <w:vAlign w:val="center"/>
          </w:tcPr>
          <w:p w14:paraId="4D9EDB56" w14:textId="77777777" w:rsidR="002A46C9" w:rsidRPr="007F560B" w:rsidRDefault="002A46C9" w:rsidP="007F560B">
            <w:pPr>
              <w:snapToGrid w:val="0"/>
              <w:spacing w:line="360" w:lineRule="auto"/>
              <w:jc w:val="both"/>
              <w:rPr>
                <w:rFonts w:cs="宋体"/>
                <w:bCs/>
                <w:color w:val="000000"/>
                <w:sz w:val="24"/>
                <w:szCs w:val="24"/>
                <w:lang w:val="en-US"/>
              </w:rPr>
            </w:pPr>
            <w:r w:rsidRPr="007F560B">
              <w:rPr>
                <w:rFonts w:cs="宋体"/>
                <w:bCs/>
                <w:color w:val="000000"/>
                <w:sz w:val="24"/>
                <w:szCs w:val="24"/>
                <w:lang w:val="en-US"/>
              </w:rPr>
              <w:t>Serum HBV</w:t>
            </w:r>
            <w:r w:rsidRPr="007F560B">
              <w:rPr>
                <w:rFonts w:eastAsiaTheme="minorEastAsia" w:cs="宋体"/>
                <w:bCs/>
                <w:color w:val="000000"/>
                <w:sz w:val="24"/>
                <w:szCs w:val="24"/>
                <w:lang w:val="en-US"/>
              </w:rPr>
              <w:t xml:space="preserve"> </w:t>
            </w:r>
            <w:r w:rsidRPr="007F560B">
              <w:rPr>
                <w:rFonts w:cs="宋体"/>
                <w:bCs/>
                <w:color w:val="000000"/>
                <w:sz w:val="24"/>
                <w:szCs w:val="24"/>
                <w:lang w:val="en-US"/>
              </w:rPr>
              <w:t>DNA</w:t>
            </w:r>
            <w:r w:rsidRPr="007F560B">
              <w:rPr>
                <w:rFonts w:eastAsiaTheme="minorEastAsia" w:cs="宋体"/>
                <w:bCs/>
                <w:color w:val="000000"/>
                <w:sz w:val="24"/>
                <w:szCs w:val="24"/>
                <w:lang w:val="en-US"/>
              </w:rPr>
              <w:t xml:space="preserve"> </w:t>
            </w:r>
            <w:r w:rsidRPr="007F560B">
              <w:rPr>
                <w:rFonts w:cs="宋体"/>
                <w:bCs/>
                <w:color w:val="000000"/>
                <w:sz w:val="24"/>
                <w:szCs w:val="24"/>
                <w:lang w:val="en-US"/>
              </w:rPr>
              <w:t>log</w:t>
            </w:r>
            <w:r w:rsidRPr="007F560B">
              <w:rPr>
                <w:rFonts w:cs="宋体"/>
                <w:bCs/>
                <w:color w:val="000000"/>
                <w:sz w:val="24"/>
                <w:szCs w:val="24"/>
                <w:vertAlign w:val="subscript"/>
                <w:lang w:val="en-US"/>
              </w:rPr>
              <w:t>10</w:t>
            </w:r>
            <w:r w:rsidRPr="007F560B">
              <w:rPr>
                <w:rFonts w:cs="宋体"/>
                <w:bCs/>
                <w:color w:val="000000"/>
                <w:sz w:val="24"/>
                <w:szCs w:val="24"/>
                <w:lang w:val="en-US"/>
              </w:rPr>
              <w:t xml:space="preserve"> (copies/mL)</w:t>
            </w:r>
          </w:p>
        </w:tc>
      </w:tr>
      <w:tr w:rsidR="002A46C9" w:rsidRPr="007F560B" w14:paraId="72EF478D" w14:textId="77777777" w:rsidTr="002A46C9">
        <w:trPr>
          <w:jc w:val="center"/>
        </w:trPr>
        <w:tc>
          <w:tcPr>
            <w:tcW w:w="2694" w:type="dxa"/>
            <w:vAlign w:val="center"/>
          </w:tcPr>
          <w:p w14:paraId="6495AB27" w14:textId="77777777" w:rsidR="002A46C9" w:rsidRPr="007F560B" w:rsidRDefault="002A46C9" w:rsidP="001E152D">
            <w:pPr>
              <w:snapToGrid w:val="0"/>
              <w:spacing w:line="360" w:lineRule="auto"/>
              <w:ind w:firstLineChars="100" w:firstLine="240"/>
              <w:jc w:val="both"/>
              <w:rPr>
                <w:rFonts w:eastAsiaTheme="minorEastAsia"/>
                <w:sz w:val="24"/>
                <w:szCs w:val="24"/>
                <w:lang w:val="en-US"/>
              </w:rPr>
            </w:pPr>
            <w:r w:rsidRPr="007F560B">
              <w:rPr>
                <w:rFonts w:cs="宋体"/>
                <w:color w:val="000000"/>
                <w:sz w:val="24"/>
                <w:szCs w:val="24"/>
              </w:rPr>
              <w:t>Baseline</w:t>
            </w:r>
          </w:p>
        </w:tc>
        <w:tc>
          <w:tcPr>
            <w:tcW w:w="2126" w:type="dxa"/>
            <w:vAlign w:val="center"/>
          </w:tcPr>
          <w:p w14:paraId="5CD3D979" w14:textId="77777777" w:rsidR="002A46C9" w:rsidRPr="007F560B" w:rsidRDefault="002A46C9" w:rsidP="007F560B">
            <w:pPr>
              <w:snapToGrid w:val="0"/>
              <w:spacing w:line="360" w:lineRule="auto"/>
              <w:jc w:val="both"/>
              <w:rPr>
                <w:rFonts w:cs="宋体"/>
                <w:color w:val="000000"/>
                <w:sz w:val="24"/>
                <w:szCs w:val="24"/>
              </w:rPr>
            </w:pPr>
            <w:r w:rsidRPr="007F560B">
              <w:rPr>
                <w:rFonts w:cs="宋体"/>
                <w:color w:val="000000"/>
                <w:sz w:val="24"/>
                <w:szCs w:val="24"/>
              </w:rPr>
              <w:t>6.518</w:t>
            </w:r>
            <w:r w:rsidRPr="007F560B">
              <w:rPr>
                <w:rFonts w:eastAsiaTheme="minorEastAsia" w:cs="宋体"/>
                <w:color w:val="000000"/>
                <w:sz w:val="24"/>
                <w:szCs w:val="24"/>
              </w:rPr>
              <w:t xml:space="preserve"> </w:t>
            </w:r>
            <w:r w:rsidRPr="007F560B">
              <w:rPr>
                <w:rFonts w:cs="宋体"/>
                <w:color w:val="000000"/>
                <w:sz w:val="24"/>
                <w:szCs w:val="24"/>
              </w:rPr>
              <w:t>±</w:t>
            </w:r>
            <w:r w:rsidRPr="007F560B">
              <w:rPr>
                <w:rFonts w:eastAsiaTheme="minorEastAsia" w:cs="宋体"/>
                <w:color w:val="000000"/>
                <w:sz w:val="24"/>
                <w:szCs w:val="24"/>
              </w:rPr>
              <w:t xml:space="preserve"> </w:t>
            </w:r>
            <w:r w:rsidRPr="007F560B">
              <w:rPr>
                <w:rFonts w:cs="宋体"/>
                <w:color w:val="000000"/>
                <w:sz w:val="24"/>
                <w:szCs w:val="24"/>
              </w:rPr>
              <w:t>0.7267</w:t>
            </w:r>
          </w:p>
        </w:tc>
        <w:tc>
          <w:tcPr>
            <w:tcW w:w="1985" w:type="dxa"/>
            <w:vAlign w:val="center"/>
          </w:tcPr>
          <w:p w14:paraId="464ADCC9" w14:textId="77777777" w:rsidR="002A46C9" w:rsidRPr="007F560B" w:rsidRDefault="002A46C9" w:rsidP="007F560B">
            <w:pPr>
              <w:snapToGrid w:val="0"/>
              <w:spacing w:line="360" w:lineRule="auto"/>
              <w:jc w:val="both"/>
              <w:rPr>
                <w:rFonts w:cs="宋体"/>
                <w:color w:val="000000"/>
                <w:sz w:val="24"/>
                <w:szCs w:val="24"/>
              </w:rPr>
            </w:pPr>
            <w:r w:rsidRPr="007F560B">
              <w:rPr>
                <w:rFonts w:cs="宋体"/>
                <w:color w:val="000000"/>
                <w:sz w:val="24"/>
                <w:szCs w:val="24"/>
              </w:rPr>
              <w:t>7.477</w:t>
            </w:r>
            <w:r w:rsidRPr="007F560B">
              <w:rPr>
                <w:rFonts w:eastAsiaTheme="minorEastAsia" w:cs="宋体"/>
                <w:color w:val="000000"/>
                <w:sz w:val="24"/>
                <w:szCs w:val="24"/>
              </w:rPr>
              <w:t xml:space="preserve"> </w:t>
            </w:r>
            <w:r w:rsidRPr="007F560B">
              <w:rPr>
                <w:rFonts w:cs="宋体"/>
                <w:color w:val="000000"/>
                <w:sz w:val="24"/>
                <w:szCs w:val="24"/>
              </w:rPr>
              <w:t>±</w:t>
            </w:r>
            <w:r w:rsidRPr="007F560B">
              <w:rPr>
                <w:rFonts w:eastAsiaTheme="minorEastAsia" w:cs="宋体"/>
                <w:color w:val="000000"/>
                <w:sz w:val="24"/>
                <w:szCs w:val="24"/>
              </w:rPr>
              <w:t xml:space="preserve"> </w:t>
            </w:r>
            <w:r w:rsidRPr="007F560B">
              <w:rPr>
                <w:rFonts w:cs="宋体"/>
                <w:color w:val="000000"/>
                <w:sz w:val="24"/>
                <w:szCs w:val="24"/>
              </w:rPr>
              <w:t>0.3533</w:t>
            </w:r>
          </w:p>
        </w:tc>
        <w:tc>
          <w:tcPr>
            <w:tcW w:w="1417" w:type="dxa"/>
            <w:vAlign w:val="center"/>
          </w:tcPr>
          <w:p w14:paraId="4104DF17" w14:textId="77777777" w:rsidR="002A46C9" w:rsidRPr="007F560B" w:rsidRDefault="002A46C9" w:rsidP="007F560B">
            <w:pPr>
              <w:snapToGrid w:val="0"/>
              <w:spacing w:line="360" w:lineRule="auto"/>
              <w:jc w:val="both"/>
              <w:rPr>
                <w:rFonts w:cs="宋体"/>
                <w:color w:val="000000"/>
                <w:sz w:val="24"/>
                <w:szCs w:val="24"/>
              </w:rPr>
            </w:pPr>
            <w:r w:rsidRPr="007F560B">
              <w:rPr>
                <w:rFonts w:cs="宋体"/>
                <w:color w:val="000000"/>
                <w:sz w:val="24"/>
                <w:szCs w:val="24"/>
              </w:rPr>
              <w:t>0.005</w:t>
            </w:r>
          </w:p>
        </w:tc>
      </w:tr>
      <w:tr w:rsidR="002A46C9" w:rsidRPr="007F560B" w14:paraId="304E55D7" w14:textId="77777777" w:rsidTr="002A46C9">
        <w:trPr>
          <w:jc w:val="center"/>
        </w:trPr>
        <w:tc>
          <w:tcPr>
            <w:tcW w:w="2694" w:type="dxa"/>
            <w:vAlign w:val="center"/>
          </w:tcPr>
          <w:p w14:paraId="6098D007" w14:textId="77777777" w:rsidR="002A46C9" w:rsidRPr="007F560B" w:rsidRDefault="002A46C9" w:rsidP="001E152D">
            <w:pPr>
              <w:snapToGrid w:val="0"/>
              <w:spacing w:line="360" w:lineRule="auto"/>
              <w:ind w:firstLineChars="100" w:firstLine="240"/>
              <w:jc w:val="both"/>
              <w:rPr>
                <w:rFonts w:eastAsiaTheme="minorEastAsia"/>
                <w:sz w:val="24"/>
                <w:szCs w:val="24"/>
                <w:lang w:val="en-US"/>
              </w:rPr>
            </w:pPr>
            <w:r w:rsidRPr="007F560B">
              <w:rPr>
                <w:rFonts w:cs="宋体"/>
                <w:color w:val="000000"/>
                <w:sz w:val="24"/>
                <w:szCs w:val="24"/>
              </w:rPr>
              <w:t>T</w:t>
            </w:r>
            <w:r w:rsidRPr="007F560B">
              <w:rPr>
                <w:rFonts w:cs="宋体"/>
                <w:color w:val="000000"/>
                <w:sz w:val="24"/>
                <w:szCs w:val="24"/>
                <w:vertAlign w:val="subscript"/>
              </w:rPr>
              <w:t>24</w:t>
            </w:r>
          </w:p>
        </w:tc>
        <w:tc>
          <w:tcPr>
            <w:tcW w:w="2126" w:type="dxa"/>
            <w:vAlign w:val="center"/>
          </w:tcPr>
          <w:p w14:paraId="61717448" w14:textId="77777777" w:rsidR="002A46C9" w:rsidRPr="007F560B" w:rsidRDefault="002A46C9" w:rsidP="007F560B">
            <w:pPr>
              <w:snapToGrid w:val="0"/>
              <w:spacing w:line="360" w:lineRule="auto"/>
              <w:jc w:val="both"/>
              <w:rPr>
                <w:rFonts w:cs="Arial"/>
                <w:sz w:val="24"/>
                <w:szCs w:val="24"/>
              </w:rPr>
            </w:pPr>
            <w:r w:rsidRPr="007F560B">
              <w:rPr>
                <w:rFonts w:cs="Arial"/>
                <w:sz w:val="24"/>
                <w:szCs w:val="24"/>
              </w:rPr>
              <w:t>1.193</w:t>
            </w:r>
            <w:r w:rsidRPr="007F560B">
              <w:rPr>
                <w:rFonts w:eastAsiaTheme="minorEastAsia" w:cs="Arial"/>
                <w:sz w:val="24"/>
                <w:szCs w:val="24"/>
              </w:rPr>
              <w:t xml:space="preserve"> </w:t>
            </w:r>
            <w:r w:rsidRPr="007F560B">
              <w:rPr>
                <w:rFonts w:cs="Arial"/>
                <w:sz w:val="24"/>
                <w:szCs w:val="24"/>
              </w:rPr>
              <w:t>±</w:t>
            </w:r>
            <w:r w:rsidRPr="007F560B">
              <w:rPr>
                <w:rFonts w:eastAsiaTheme="minorEastAsia" w:cs="Arial"/>
                <w:sz w:val="24"/>
                <w:szCs w:val="24"/>
              </w:rPr>
              <w:t xml:space="preserve"> </w:t>
            </w:r>
            <w:r w:rsidRPr="007F560B">
              <w:rPr>
                <w:rFonts w:cs="Arial"/>
                <w:sz w:val="24"/>
                <w:szCs w:val="24"/>
              </w:rPr>
              <w:t>1.282</w:t>
            </w:r>
          </w:p>
        </w:tc>
        <w:tc>
          <w:tcPr>
            <w:tcW w:w="1985" w:type="dxa"/>
            <w:vAlign w:val="center"/>
          </w:tcPr>
          <w:p w14:paraId="5886E2E5" w14:textId="77777777" w:rsidR="002A46C9" w:rsidRPr="007F560B" w:rsidRDefault="002A46C9" w:rsidP="007F560B">
            <w:pPr>
              <w:snapToGrid w:val="0"/>
              <w:spacing w:line="360" w:lineRule="auto"/>
              <w:jc w:val="both"/>
              <w:rPr>
                <w:rFonts w:cs="宋体"/>
                <w:color w:val="000000"/>
                <w:sz w:val="24"/>
                <w:szCs w:val="24"/>
              </w:rPr>
            </w:pPr>
            <w:r w:rsidRPr="007F560B">
              <w:rPr>
                <w:rFonts w:cs="宋体"/>
                <w:color w:val="000000"/>
                <w:sz w:val="24"/>
                <w:szCs w:val="24"/>
              </w:rPr>
              <w:t>7.2</w:t>
            </w:r>
            <w:r w:rsidRPr="007F560B">
              <w:rPr>
                <w:rFonts w:eastAsiaTheme="minorEastAsia" w:cs="宋体"/>
                <w:color w:val="000000"/>
                <w:sz w:val="24"/>
                <w:szCs w:val="24"/>
              </w:rPr>
              <w:t xml:space="preserve"> </w:t>
            </w:r>
            <w:r w:rsidRPr="007F560B">
              <w:rPr>
                <w:rFonts w:cs="宋体"/>
                <w:color w:val="000000"/>
                <w:sz w:val="24"/>
                <w:szCs w:val="24"/>
              </w:rPr>
              <w:t>±</w:t>
            </w:r>
            <w:r w:rsidRPr="007F560B">
              <w:rPr>
                <w:rFonts w:eastAsiaTheme="minorEastAsia" w:cs="宋体"/>
                <w:color w:val="000000"/>
                <w:sz w:val="24"/>
                <w:szCs w:val="24"/>
              </w:rPr>
              <w:t xml:space="preserve"> </w:t>
            </w:r>
            <w:r w:rsidRPr="007F560B">
              <w:rPr>
                <w:rFonts w:cs="宋体"/>
                <w:color w:val="000000"/>
                <w:sz w:val="24"/>
                <w:szCs w:val="24"/>
              </w:rPr>
              <w:t>0.3550</w:t>
            </w:r>
          </w:p>
        </w:tc>
        <w:tc>
          <w:tcPr>
            <w:tcW w:w="1417" w:type="dxa"/>
            <w:vAlign w:val="center"/>
          </w:tcPr>
          <w:p w14:paraId="49BB44E1" w14:textId="77777777" w:rsidR="002A46C9" w:rsidRPr="007F560B" w:rsidRDefault="002A46C9" w:rsidP="007F560B">
            <w:pPr>
              <w:snapToGrid w:val="0"/>
              <w:spacing w:line="360" w:lineRule="auto"/>
              <w:jc w:val="both"/>
              <w:rPr>
                <w:rFonts w:cs="宋体"/>
                <w:color w:val="000000"/>
                <w:sz w:val="24"/>
                <w:szCs w:val="24"/>
              </w:rPr>
            </w:pPr>
            <w:r w:rsidRPr="007F560B">
              <w:rPr>
                <w:rFonts w:cs="宋体"/>
                <w:color w:val="000000"/>
                <w:sz w:val="24"/>
                <w:szCs w:val="24"/>
              </w:rPr>
              <w:t>&lt; 0.0001</w:t>
            </w:r>
          </w:p>
        </w:tc>
      </w:tr>
      <w:tr w:rsidR="002A46C9" w:rsidRPr="007F560B" w14:paraId="4E31C5B8" w14:textId="77777777" w:rsidTr="002A46C9">
        <w:trPr>
          <w:jc w:val="center"/>
        </w:trPr>
        <w:tc>
          <w:tcPr>
            <w:tcW w:w="2694" w:type="dxa"/>
            <w:vAlign w:val="center"/>
          </w:tcPr>
          <w:p w14:paraId="483FD460" w14:textId="77777777" w:rsidR="002A46C9" w:rsidRPr="007F560B" w:rsidRDefault="002A46C9" w:rsidP="001E152D">
            <w:pPr>
              <w:snapToGrid w:val="0"/>
              <w:spacing w:line="360" w:lineRule="auto"/>
              <w:ind w:firstLineChars="100" w:firstLine="240"/>
              <w:jc w:val="both"/>
              <w:rPr>
                <w:rFonts w:eastAsiaTheme="minorEastAsia"/>
                <w:sz w:val="24"/>
                <w:szCs w:val="24"/>
                <w:lang w:val="en-US"/>
              </w:rPr>
            </w:pPr>
            <w:r w:rsidRPr="007F560B">
              <w:rPr>
                <w:rFonts w:cs="宋体"/>
                <w:color w:val="000000"/>
                <w:sz w:val="24"/>
                <w:szCs w:val="24"/>
              </w:rPr>
              <w:t>T</w:t>
            </w:r>
            <w:r w:rsidRPr="007F560B">
              <w:rPr>
                <w:rFonts w:cs="宋体"/>
                <w:color w:val="000000"/>
                <w:sz w:val="24"/>
                <w:szCs w:val="24"/>
                <w:vertAlign w:val="subscript"/>
              </w:rPr>
              <w:t>48</w:t>
            </w:r>
          </w:p>
        </w:tc>
        <w:tc>
          <w:tcPr>
            <w:tcW w:w="2126" w:type="dxa"/>
            <w:vAlign w:val="center"/>
          </w:tcPr>
          <w:p w14:paraId="53C3345A" w14:textId="77777777" w:rsidR="002A46C9" w:rsidRPr="007F560B" w:rsidRDefault="002A46C9" w:rsidP="007F560B">
            <w:pPr>
              <w:snapToGrid w:val="0"/>
              <w:spacing w:line="360" w:lineRule="auto"/>
              <w:jc w:val="both"/>
              <w:rPr>
                <w:rFonts w:cs="Arial"/>
                <w:sz w:val="24"/>
                <w:szCs w:val="24"/>
              </w:rPr>
            </w:pPr>
            <w:r w:rsidRPr="007F560B">
              <w:rPr>
                <w:rFonts w:cs="Arial"/>
                <w:sz w:val="24"/>
                <w:szCs w:val="24"/>
              </w:rPr>
              <w:t>0.4867</w:t>
            </w:r>
            <w:r w:rsidRPr="007F560B">
              <w:rPr>
                <w:rFonts w:eastAsiaTheme="minorEastAsia" w:cs="Arial"/>
                <w:sz w:val="24"/>
                <w:szCs w:val="24"/>
              </w:rPr>
              <w:t xml:space="preserve"> </w:t>
            </w:r>
            <w:r w:rsidRPr="007F560B">
              <w:rPr>
                <w:rFonts w:cs="Arial"/>
                <w:sz w:val="24"/>
                <w:szCs w:val="24"/>
              </w:rPr>
              <w:t>±</w:t>
            </w:r>
            <w:r w:rsidRPr="007F560B">
              <w:rPr>
                <w:rFonts w:eastAsiaTheme="minorEastAsia" w:cs="Arial"/>
                <w:sz w:val="24"/>
                <w:szCs w:val="24"/>
              </w:rPr>
              <w:t xml:space="preserve"> </w:t>
            </w:r>
            <w:r w:rsidRPr="007F560B">
              <w:rPr>
                <w:rFonts w:cs="Arial"/>
                <w:sz w:val="24"/>
                <w:szCs w:val="24"/>
              </w:rPr>
              <w:t>0.7605</w:t>
            </w:r>
          </w:p>
        </w:tc>
        <w:tc>
          <w:tcPr>
            <w:tcW w:w="1985" w:type="dxa"/>
            <w:vAlign w:val="center"/>
          </w:tcPr>
          <w:p w14:paraId="02BC337F" w14:textId="77777777" w:rsidR="002A46C9" w:rsidRPr="007F560B" w:rsidRDefault="002A46C9" w:rsidP="007F560B">
            <w:pPr>
              <w:snapToGrid w:val="0"/>
              <w:spacing w:line="360" w:lineRule="auto"/>
              <w:jc w:val="both"/>
              <w:rPr>
                <w:rFonts w:cs="宋体"/>
                <w:color w:val="000000"/>
                <w:sz w:val="24"/>
                <w:szCs w:val="24"/>
              </w:rPr>
            </w:pPr>
            <w:r w:rsidRPr="007F560B">
              <w:rPr>
                <w:rFonts w:cs="宋体"/>
                <w:color w:val="000000"/>
                <w:sz w:val="24"/>
                <w:szCs w:val="24"/>
              </w:rPr>
              <w:t>7.055</w:t>
            </w:r>
            <w:r w:rsidRPr="007F560B">
              <w:rPr>
                <w:rFonts w:eastAsiaTheme="minorEastAsia" w:cs="宋体"/>
                <w:color w:val="000000"/>
                <w:sz w:val="24"/>
                <w:szCs w:val="24"/>
              </w:rPr>
              <w:t xml:space="preserve"> </w:t>
            </w:r>
            <w:r w:rsidRPr="007F560B">
              <w:rPr>
                <w:rFonts w:cs="宋体"/>
                <w:color w:val="000000"/>
                <w:sz w:val="24"/>
                <w:szCs w:val="24"/>
              </w:rPr>
              <w:t>±</w:t>
            </w:r>
            <w:r w:rsidRPr="007F560B">
              <w:rPr>
                <w:rFonts w:eastAsiaTheme="minorEastAsia" w:cs="宋体"/>
                <w:color w:val="000000"/>
                <w:sz w:val="24"/>
                <w:szCs w:val="24"/>
              </w:rPr>
              <w:t xml:space="preserve"> </w:t>
            </w:r>
            <w:r w:rsidRPr="007F560B">
              <w:rPr>
                <w:rFonts w:cs="宋体"/>
                <w:color w:val="000000"/>
                <w:sz w:val="24"/>
                <w:szCs w:val="24"/>
              </w:rPr>
              <w:t>0.6056</w:t>
            </w:r>
          </w:p>
        </w:tc>
        <w:tc>
          <w:tcPr>
            <w:tcW w:w="1417" w:type="dxa"/>
            <w:vAlign w:val="center"/>
          </w:tcPr>
          <w:p w14:paraId="0910379A" w14:textId="77777777" w:rsidR="002A46C9" w:rsidRPr="007F560B" w:rsidRDefault="002A46C9" w:rsidP="007F560B">
            <w:pPr>
              <w:snapToGrid w:val="0"/>
              <w:spacing w:line="360" w:lineRule="auto"/>
              <w:jc w:val="both"/>
              <w:rPr>
                <w:rFonts w:cs="宋体"/>
                <w:color w:val="000000"/>
                <w:sz w:val="24"/>
                <w:szCs w:val="24"/>
              </w:rPr>
            </w:pPr>
            <w:r w:rsidRPr="007F560B">
              <w:rPr>
                <w:rFonts w:cs="宋体"/>
                <w:color w:val="000000"/>
                <w:sz w:val="24"/>
                <w:szCs w:val="24"/>
              </w:rPr>
              <w:t>&lt; 0.0001</w:t>
            </w:r>
          </w:p>
        </w:tc>
      </w:tr>
      <w:tr w:rsidR="002A46C9" w:rsidRPr="007F560B" w14:paraId="70015028" w14:textId="77777777" w:rsidTr="002A46C9">
        <w:trPr>
          <w:jc w:val="center"/>
        </w:trPr>
        <w:tc>
          <w:tcPr>
            <w:tcW w:w="2694" w:type="dxa"/>
            <w:vAlign w:val="center"/>
          </w:tcPr>
          <w:p w14:paraId="667B0C35" w14:textId="77777777" w:rsidR="002A46C9" w:rsidRPr="007F560B" w:rsidRDefault="002A46C9" w:rsidP="007F560B">
            <w:pPr>
              <w:snapToGrid w:val="0"/>
              <w:spacing w:line="360" w:lineRule="auto"/>
              <w:jc w:val="both"/>
              <w:rPr>
                <w:rFonts w:eastAsiaTheme="minorEastAsia"/>
                <w:sz w:val="24"/>
                <w:szCs w:val="24"/>
                <w:lang w:val="en-US"/>
              </w:rPr>
            </w:pPr>
            <w:proofErr w:type="spellStart"/>
            <w:r w:rsidRPr="007F560B">
              <w:rPr>
                <w:rFonts w:cs="宋体"/>
                <w:color w:val="000000"/>
                <w:sz w:val="24"/>
                <w:szCs w:val="24"/>
                <w:lang w:val="en-US"/>
              </w:rPr>
              <w:t>HBeAg</w:t>
            </w:r>
            <w:proofErr w:type="spellEnd"/>
            <w:r w:rsidRPr="007F560B">
              <w:rPr>
                <w:rFonts w:cs="宋体"/>
                <w:color w:val="000000"/>
                <w:sz w:val="24"/>
                <w:szCs w:val="24"/>
                <w:lang w:val="en-US"/>
              </w:rPr>
              <w:t xml:space="preserve"> seroconversion during or after Tx</w:t>
            </w:r>
            <w:r w:rsidRPr="007F560B">
              <w:rPr>
                <w:rFonts w:cs="宋体"/>
                <w:bCs/>
                <w:color w:val="000000"/>
                <w:sz w:val="24"/>
                <w:szCs w:val="24"/>
                <w:lang w:val="en-US"/>
              </w:rPr>
              <w:t xml:space="preserve"> (</w:t>
            </w:r>
            <w:r w:rsidRPr="007F560B">
              <w:rPr>
                <w:rFonts w:cs="宋体"/>
                <w:bCs/>
                <w:i/>
                <w:color w:val="000000"/>
                <w:sz w:val="24"/>
                <w:szCs w:val="24"/>
                <w:lang w:val="en-US"/>
              </w:rPr>
              <w:t>n</w:t>
            </w:r>
            <w:r w:rsidRPr="007F560B">
              <w:rPr>
                <w:rFonts w:cs="宋体"/>
                <w:bCs/>
                <w:color w:val="000000"/>
                <w:sz w:val="24"/>
                <w:szCs w:val="24"/>
                <w:lang w:val="en-US"/>
              </w:rPr>
              <w:t>, %)</w:t>
            </w:r>
          </w:p>
        </w:tc>
        <w:tc>
          <w:tcPr>
            <w:tcW w:w="2126" w:type="dxa"/>
            <w:vAlign w:val="center"/>
          </w:tcPr>
          <w:p w14:paraId="19903F26" w14:textId="77777777" w:rsidR="002A46C9" w:rsidRPr="007F560B" w:rsidRDefault="002A46C9" w:rsidP="007F560B">
            <w:pPr>
              <w:snapToGrid w:val="0"/>
              <w:spacing w:line="360" w:lineRule="auto"/>
              <w:jc w:val="both"/>
              <w:rPr>
                <w:rFonts w:cs="宋体"/>
                <w:color w:val="000000"/>
                <w:sz w:val="24"/>
                <w:szCs w:val="24"/>
              </w:rPr>
            </w:pPr>
            <w:r w:rsidRPr="007F560B">
              <w:rPr>
                <w:rFonts w:cs="宋体"/>
                <w:color w:val="000000"/>
                <w:sz w:val="24"/>
                <w:szCs w:val="24"/>
              </w:rPr>
              <w:t>10</w:t>
            </w:r>
            <w:r w:rsidRPr="007F560B">
              <w:rPr>
                <w:rFonts w:eastAsiaTheme="minorEastAsia" w:cs="宋体"/>
                <w:color w:val="000000"/>
                <w:sz w:val="24"/>
                <w:szCs w:val="24"/>
              </w:rPr>
              <w:t xml:space="preserve"> </w:t>
            </w:r>
            <w:r w:rsidRPr="007F560B">
              <w:rPr>
                <w:rFonts w:cs="宋体"/>
                <w:color w:val="000000"/>
                <w:sz w:val="24"/>
                <w:szCs w:val="24"/>
              </w:rPr>
              <w:t>(66.7)</w:t>
            </w:r>
          </w:p>
        </w:tc>
        <w:tc>
          <w:tcPr>
            <w:tcW w:w="1985" w:type="dxa"/>
            <w:vAlign w:val="center"/>
          </w:tcPr>
          <w:p w14:paraId="4DD34BE0" w14:textId="77777777" w:rsidR="002A46C9" w:rsidRPr="007F560B" w:rsidRDefault="002A46C9" w:rsidP="007F560B">
            <w:pPr>
              <w:snapToGrid w:val="0"/>
              <w:spacing w:line="360" w:lineRule="auto"/>
              <w:jc w:val="both"/>
              <w:rPr>
                <w:rFonts w:cs="宋体"/>
                <w:color w:val="000000"/>
                <w:sz w:val="24"/>
                <w:szCs w:val="24"/>
              </w:rPr>
            </w:pPr>
            <w:r w:rsidRPr="007F560B">
              <w:rPr>
                <w:rFonts w:cs="宋体"/>
                <w:color w:val="000000"/>
                <w:sz w:val="24"/>
                <w:szCs w:val="24"/>
              </w:rPr>
              <w:t>0</w:t>
            </w:r>
          </w:p>
        </w:tc>
        <w:tc>
          <w:tcPr>
            <w:tcW w:w="1417" w:type="dxa"/>
            <w:vAlign w:val="center"/>
          </w:tcPr>
          <w:p w14:paraId="3E12BD9F" w14:textId="77777777" w:rsidR="002A46C9" w:rsidRPr="007F560B" w:rsidRDefault="002A46C9" w:rsidP="007F560B">
            <w:pPr>
              <w:snapToGrid w:val="0"/>
              <w:spacing w:line="360" w:lineRule="auto"/>
              <w:jc w:val="both"/>
              <w:rPr>
                <w:rFonts w:eastAsiaTheme="minorEastAsia"/>
                <w:sz w:val="24"/>
                <w:szCs w:val="24"/>
                <w:lang w:val="en-US"/>
              </w:rPr>
            </w:pPr>
            <w:r w:rsidRPr="007F560B">
              <w:rPr>
                <w:rFonts w:eastAsiaTheme="minorEastAsia"/>
                <w:sz w:val="24"/>
                <w:szCs w:val="24"/>
                <w:lang w:val="en-US"/>
              </w:rPr>
              <w:t>-</w:t>
            </w:r>
          </w:p>
        </w:tc>
      </w:tr>
    </w:tbl>
    <w:p w14:paraId="7D6CEEBC" w14:textId="77777777" w:rsidR="002A46C9" w:rsidRPr="007F560B" w:rsidRDefault="002A46C9" w:rsidP="007F560B">
      <w:pPr>
        <w:snapToGrid w:val="0"/>
        <w:spacing w:line="360" w:lineRule="auto"/>
        <w:jc w:val="both"/>
        <w:rPr>
          <w:rFonts w:eastAsia="TimesNewRoman" w:cs="TimesNewRoman"/>
          <w:sz w:val="24"/>
          <w:szCs w:val="24"/>
          <w:lang w:val="en-US"/>
        </w:rPr>
        <w:sectPr w:rsidR="002A46C9" w:rsidRPr="007F560B">
          <w:pgSz w:w="11906" w:h="16838"/>
          <w:pgMar w:top="1440" w:right="1800" w:bottom="1440" w:left="1800" w:header="851" w:footer="992" w:gutter="0"/>
          <w:cols w:space="425"/>
          <w:docGrid w:type="lines" w:linePitch="312"/>
        </w:sectPr>
      </w:pPr>
      <w:proofErr w:type="spellStart"/>
      <w:r w:rsidRPr="007F560B">
        <w:rPr>
          <w:rFonts w:eastAsia="TimesNewRoman" w:cs="TimesNewRoman"/>
          <w:sz w:val="24"/>
          <w:szCs w:val="24"/>
          <w:lang w:val="en-US"/>
        </w:rPr>
        <w:t>HBeAg</w:t>
      </w:r>
      <w:proofErr w:type="spellEnd"/>
      <w:r w:rsidRPr="007F560B">
        <w:rPr>
          <w:rFonts w:eastAsia="TimesNewRoman" w:cs="TimesNewRoman"/>
          <w:sz w:val="24"/>
          <w:szCs w:val="24"/>
          <w:lang w:val="en-US"/>
        </w:rPr>
        <w:t>: Hepatitis B e antigen; HBV: Hepatitis B virus; ALT: Alanine aminotransferase; AST: Aspartate aminotransferase.</w:t>
      </w:r>
    </w:p>
    <w:p w14:paraId="570FAB31" w14:textId="77777777" w:rsidR="002A46C9" w:rsidRPr="007F560B" w:rsidRDefault="002A46C9" w:rsidP="007F560B">
      <w:pPr>
        <w:widowControl/>
        <w:autoSpaceDE/>
        <w:autoSpaceDN/>
        <w:snapToGrid w:val="0"/>
        <w:spacing w:line="360" w:lineRule="auto"/>
        <w:jc w:val="both"/>
        <w:rPr>
          <w:rFonts w:eastAsia="TimesNewRoman" w:cs="TimesNewRoman"/>
          <w:b/>
          <w:sz w:val="24"/>
          <w:szCs w:val="24"/>
          <w:lang w:val="en-US"/>
        </w:rPr>
      </w:pPr>
      <w:r w:rsidRPr="007F560B">
        <w:rPr>
          <w:rFonts w:eastAsia="TimesNewRoman" w:cs="TimesNewRoman"/>
          <w:b/>
          <w:sz w:val="24"/>
          <w:szCs w:val="24"/>
          <w:lang w:val="en-US"/>
        </w:rPr>
        <w:lastRenderedPageBreak/>
        <w:t xml:space="preserve">Table 2 Serum levels of 46 cytokines in the phases of peginterferon therapy in the </w:t>
      </w:r>
      <w:proofErr w:type="spellStart"/>
      <w:r w:rsidRPr="007F560B">
        <w:rPr>
          <w:rFonts w:eastAsia="TimesNewRoman" w:cs="TimesNewRoman"/>
          <w:b/>
          <w:sz w:val="24"/>
          <w:szCs w:val="24"/>
          <w:lang w:val="en-US"/>
        </w:rPr>
        <w:t>virological</w:t>
      </w:r>
      <w:proofErr w:type="spellEnd"/>
      <w:r w:rsidRPr="007F560B">
        <w:rPr>
          <w:rFonts w:eastAsia="TimesNewRoman" w:cs="TimesNewRoman"/>
          <w:b/>
          <w:sz w:val="24"/>
          <w:szCs w:val="24"/>
          <w:lang w:val="en-US"/>
        </w:rPr>
        <w:t xml:space="preserve"> responders and non-</w:t>
      </w:r>
      <w:proofErr w:type="spellStart"/>
      <w:r w:rsidRPr="007F560B">
        <w:rPr>
          <w:rFonts w:eastAsia="TimesNewRoman" w:cs="TimesNewRoman"/>
          <w:b/>
          <w:sz w:val="24"/>
          <w:szCs w:val="24"/>
          <w:lang w:val="en-US"/>
        </w:rPr>
        <w:t>virological</w:t>
      </w:r>
      <w:proofErr w:type="spellEnd"/>
      <w:r w:rsidRPr="007F560B">
        <w:rPr>
          <w:rFonts w:eastAsia="TimesNewRoman" w:cs="TimesNewRoman"/>
          <w:b/>
          <w:sz w:val="24"/>
          <w:szCs w:val="24"/>
          <w:lang w:val="en-US"/>
        </w:rPr>
        <w:t xml:space="preserve"> responders group</w:t>
      </w:r>
    </w:p>
    <w:tbl>
      <w:tblPr>
        <w:tblW w:w="5000" w:type="pct"/>
        <w:jc w:val="center"/>
        <w:tblBorders>
          <w:top w:val="single" w:sz="4" w:space="0" w:color="auto"/>
          <w:bottom w:val="single" w:sz="4" w:space="0" w:color="auto"/>
        </w:tblBorders>
        <w:tblLayout w:type="fixed"/>
        <w:tblLook w:val="04A0" w:firstRow="1" w:lastRow="0" w:firstColumn="1" w:lastColumn="0" w:noHBand="0" w:noVBand="1"/>
      </w:tblPr>
      <w:tblGrid>
        <w:gridCol w:w="1358"/>
        <w:gridCol w:w="2242"/>
        <w:gridCol w:w="2169"/>
        <w:gridCol w:w="853"/>
        <w:gridCol w:w="2166"/>
        <w:gridCol w:w="2296"/>
        <w:gridCol w:w="1009"/>
        <w:gridCol w:w="1151"/>
        <w:gridCol w:w="930"/>
      </w:tblGrid>
      <w:tr w:rsidR="002A46C9" w:rsidRPr="007F560B" w14:paraId="12A76048" w14:textId="77777777" w:rsidTr="007F560B">
        <w:trPr>
          <w:trHeight w:val="377"/>
          <w:jc w:val="center"/>
        </w:trPr>
        <w:tc>
          <w:tcPr>
            <w:tcW w:w="479" w:type="pct"/>
            <w:vMerge w:val="restart"/>
            <w:tcBorders>
              <w:top w:val="single" w:sz="4" w:space="0" w:color="auto"/>
              <w:bottom w:val="nil"/>
            </w:tcBorders>
            <w:vAlign w:val="center"/>
          </w:tcPr>
          <w:p w14:paraId="0F274B40" w14:textId="54FE56AD" w:rsidR="002A46C9" w:rsidRPr="007F560B" w:rsidRDefault="002A46C9" w:rsidP="007F560B">
            <w:pPr>
              <w:snapToGrid w:val="0"/>
              <w:spacing w:line="360" w:lineRule="auto"/>
              <w:jc w:val="both"/>
              <w:rPr>
                <w:b/>
                <w:sz w:val="24"/>
                <w:szCs w:val="24"/>
              </w:rPr>
            </w:pPr>
            <w:r w:rsidRPr="007F560B">
              <w:rPr>
                <w:b/>
                <w:sz w:val="24"/>
                <w:szCs w:val="24"/>
              </w:rPr>
              <w:t>Cytokine</w:t>
            </w:r>
            <w:r w:rsidRPr="007F560B">
              <w:rPr>
                <w:rFonts w:eastAsiaTheme="minorEastAsia"/>
                <w:b/>
                <w:sz w:val="24"/>
                <w:szCs w:val="24"/>
              </w:rPr>
              <w:t xml:space="preserve"> </w:t>
            </w:r>
            <w:r w:rsidRPr="007F560B">
              <w:rPr>
                <w:b/>
                <w:sz w:val="24"/>
                <w:szCs w:val="24"/>
              </w:rPr>
              <w:t>(pg/mL)</w:t>
            </w:r>
          </w:p>
        </w:tc>
        <w:tc>
          <w:tcPr>
            <w:tcW w:w="1857" w:type="pct"/>
            <w:gridSpan w:val="3"/>
            <w:tcBorders>
              <w:top w:val="single" w:sz="4" w:space="0" w:color="auto"/>
              <w:bottom w:val="single" w:sz="4" w:space="0" w:color="auto"/>
            </w:tcBorders>
            <w:vAlign w:val="center"/>
          </w:tcPr>
          <w:p w14:paraId="717E7E8F" w14:textId="77777777" w:rsidR="002A46C9" w:rsidRPr="007F560B" w:rsidRDefault="002A46C9" w:rsidP="007F560B">
            <w:pPr>
              <w:snapToGrid w:val="0"/>
              <w:spacing w:line="360" w:lineRule="auto"/>
              <w:jc w:val="both"/>
              <w:rPr>
                <w:b/>
                <w:bCs/>
                <w:color w:val="000000"/>
                <w:sz w:val="24"/>
                <w:szCs w:val="24"/>
              </w:rPr>
            </w:pPr>
            <w:r w:rsidRPr="007F560B">
              <w:rPr>
                <w:b/>
                <w:bCs/>
                <w:color w:val="000000"/>
                <w:sz w:val="24"/>
                <w:szCs w:val="24"/>
              </w:rPr>
              <w:t>Virological responders (</w:t>
            </w:r>
            <w:r w:rsidRPr="007F560B">
              <w:rPr>
                <w:b/>
                <w:bCs/>
                <w:i/>
                <w:color w:val="000000"/>
                <w:sz w:val="24"/>
                <w:szCs w:val="24"/>
              </w:rPr>
              <w:t>n</w:t>
            </w:r>
            <w:r w:rsidRPr="007F560B">
              <w:rPr>
                <w:rFonts w:eastAsiaTheme="minorEastAsia"/>
                <w:b/>
                <w:bCs/>
                <w:color w:val="000000"/>
                <w:sz w:val="24"/>
                <w:szCs w:val="24"/>
              </w:rPr>
              <w:t xml:space="preserve"> </w:t>
            </w:r>
            <w:r w:rsidRPr="007F560B">
              <w:rPr>
                <w:b/>
                <w:bCs/>
                <w:color w:val="000000"/>
                <w:sz w:val="24"/>
                <w:szCs w:val="24"/>
              </w:rPr>
              <w:t>=</w:t>
            </w:r>
            <w:r w:rsidRPr="007F560B">
              <w:rPr>
                <w:rFonts w:eastAsiaTheme="minorEastAsia"/>
                <w:b/>
                <w:bCs/>
                <w:color w:val="000000"/>
                <w:sz w:val="24"/>
                <w:szCs w:val="24"/>
              </w:rPr>
              <w:t xml:space="preserve"> </w:t>
            </w:r>
            <w:r w:rsidRPr="007F560B">
              <w:rPr>
                <w:b/>
                <w:bCs/>
                <w:color w:val="000000"/>
                <w:sz w:val="24"/>
                <w:szCs w:val="24"/>
              </w:rPr>
              <w:t>15)</w:t>
            </w:r>
          </w:p>
        </w:tc>
        <w:tc>
          <w:tcPr>
            <w:tcW w:w="2664" w:type="pct"/>
            <w:gridSpan w:val="5"/>
            <w:tcBorders>
              <w:top w:val="single" w:sz="4" w:space="0" w:color="auto"/>
              <w:bottom w:val="single" w:sz="4" w:space="0" w:color="auto"/>
            </w:tcBorders>
            <w:vAlign w:val="center"/>
          </w:tcPr>
          <w:p w14:paraId="1CCA2984" w14:textId="77777777" w:rsidR="002A46C9" w:rsidRPr="007F560B" w:rsidRDefault="002A46C9" w:rsidP="007F560B">
            <w:pPr>
              <w:snapToGrid w:val="0"/>
              <w:spacing w:line="360" w:lineRule="auto"/>
              <w:jc w:val="both"/>
              <w:rPr>
                <w:b/>
                <w:sz w:val="24"/>
                <w:szCs w:val="24"/>
              </w:rPr>
            </w:pPr>
            <w:r w:rsidRPr="007F560B">
              <w:rPr>
                <w:b/>
                <w:bCs/>
                <w:color w:val="000000"/>
                <w:sz w:val="24"/>
                <w:szCs w:val="24"/>
              </w:rPr>
              <w:t>Virological non-responders (</w:t>
            </w:r>
            <w:r w:rsidRPr="007F560B">
              <w:rPr>
                <w:b/>
                <w:bCs/>
                <w:i/>
                <w:color w:val="000000"/>
                <w:sz w:val="24"/>
                <w:szCs w:val="24"/>
              </w:rPr>
              <w:t>n</w:t>
            </w:r>
            <w:r w:rsidRPr="007F560B">
              <w:rPr>
                <w:rFonts w:eastAsiaTheme="minorEastAsia"/>
                <w:b/>
                <w:bCs/>
                <w:color w:val="000000"/>
                <w:sz w:val="24"/>
                <w:szCs w:val="24"/>
              </w:rPr>
              <w:t xml:space="preserve"> </w:t>
            </w:r>
            <w:r w:rsidRPr="007F560B">
              <w:rPr>
                <w:b/>
                <w:bCs/>
                <w:color w:val="000000"/>
                <w:sz w:val="24"/>
                <w:szCs w:val="24"/>
              </w:rPr>
              <w:t>=</w:t>
            </w:r>
            <w:r w:rsidRPr="007F560B">
              <w:rPr>
                <w:rFonts w:eastAsiaTheme="minorEastAsia"/>
                <w:b/>
                <w:bCs/>
                <w:color w:val="000000"/>
                <w:sz w:val="24"/>
                <w:szCs w:val="24"/>
              </w:rPr>
              <w:t xml:space="preserve"> </w:t>
            </w:r>
            <w:r w:rsidRPr="007F560B">
              <w:rPr>
                <w:b/>
                <w:bCs/>
                <w:color w:val="000000"/>
                <w:sz w:val="24"/>
                <w:szCs w:val="24"/>
              </w:rPr>
              <w:t>11)</w:t>
            </w:r>
          </w:p>
        </w:tc>
      </w:tr>
      <w:tr w:rsidR="007F560B" w:rsidRPr="007F560B" w14:paraId="7C07E024" w14:textId="77777777" w:rsidTr="007F560B">
        <w:trPr>
          <w:trHeight w:val="377"/>
          <w:jc w:val="center"/>
        </w:trPr>
        <w:tc>
          <w:tcPr>
            <w:tcW w:w="479" w:type="pct"/>
            <w:vMerge/>
            <w:tcBorders>
              <w:top w:val="nil"/>
              <w:bottom w:val="single" w:sz="4" w:space="0" w:color="auto"/>
            </w:tcBorders>
            <w:vAlign w:val="center"/>
          </w:tcPr>
          <w:p w14:paraId="3A256DE4" w14:textId="77777777" w:rsidR="002A46C9" w:rsidRPr="007F560B" w:rsidRDefault="002A46C9" w:rsidP="007F560B">
            <w:pPr>
              <w:snapToGrid w:val="0"/>
              <w:spacing w:line="360" w:lineRule="auto"/>
              <w:jc w:val="both"/>
              <w:rPr>
                <w:b/>
                <w:sz w:val="24"/>
                <w:szCs w:val="24"/>
              </w:rPr>
            </w:pPr>
          </w:p>
        </w:tc>
        <w:tc>
          <w:tcPr>
            <w:tcW w:w="791" w:type="pct"/>
            <w:tcBorders>
              <w:top w:val="single" w:sz="4" w:space="0" w:color="auto"/>
              <w:bottom w:val="single" w:sz="4" w:space="0" w:color="auto"/>
            </w:tcBorders>
            <w:vAlign w:val="center"/>
          </w:tcPr>
          <w:p w14:paraId="48F5A576" w14:textId="77777777" w:rsidR="002A46C9" w:rsidRPr="007F560B" w:rsidRDefault="002A46C9" w:rsidP="007F560B">
            <w:pPr>
              <w:snapToGrid w:val="0"/>
              <w:spacing w:line="360" w:lineRule="auto"/>
              <w:jc w:val="both"/>
              <w:rPr>
                <w:b/>
                <w:sz w:val="24"/>
                <w:szCs w:val="24"/>
              </w:rPr>
            </w:pPr>
            <w:r w:rsidRPr="000C4CE6">
              <w:rPr>
                <w:b/>
                <w:caps/>
                <w:color w:val="000000"/>
                <w:sz w:val="24"/>
                <w:szCs w:val="24"/>
              </w:rPr>
              <w:t>b</w:t>
            </w:r>
            <w:r w:rsidRPr="007F560B">
              <w:rPr>
                <w:b/>
                <w:color w:val="000000"/>
                <w:sz w:val="24"/>
                <w:szCs w:val="24"/>
              </w:rPr>
              <w:t>aseline</w:t>
            </w:r>
            <w:r w:rsidRPr="007F560B">
              <w:rPr>
                <w:b/>
                <w:sz w:val="24"/>
                <w:szCs w:val="24"/>
              </w:rPr>
              <w:t xml:space="preserve"> (</w:t>
            </w:r>
            <w:r w:rsidRPr="007F560B">
              <w:rPr>
                <w:b/>
                <w:i/>
                <w:sz w:val="24"/>
                <w:szCs w:val="24"/>
              </w:rPr>
              <w:t>n</w:t>
            </w:r>
            <w:r w:rsidRPr="007F560B">
              <w:rPr>
                <w:rFonts w:eastAsiaTheme="minorEastAsia"/>
                <w:b/>
                <w:sz w:val="24"/>
                <w:szCs w:val="24"/>
              </w:rPr>
              <w:t xml:space="preserve"> </w:t>
            </w:r>
            <w:r w:rsidRPr="007F560B">
              <w:rPr>
                <w:b/>
                <w:sz w:val="24"/>
                <w:szCs w:val="24"/>
              </w:rPr>
              <w:t>=</w:t>
            </w:r>
            <w:r w:rsidRPr="007F560B">
              <w:rPr>
                <w:rFonts w:eastAsiaTheme="minorEastAsia"/>
                <w:b/>
                <w:sz w:val="24"/>
                <w:szCs w:val="24"/>
              </w:rPr>
              <w:t xml:space="preserve"> </w:t>
            </w:r>
            <w:r w:rsidRPr="007F560B">
              <w:rPr>
                <w:b/>
                <w:sz w:val="24"/>
                <w:szCs w:val="24"/>
              </w:rPr>
              <w:t>15)</w:t>
            </w:r>
          </w:p>
        </w:tc>
        <w:tc>
          <w:tcPr>
            <w:tcW w:w="765" w:type="pct"/>
            <w:tcBorders>
              <w:top w:val="single" w:sz="4" w:space="0" w:color="auto"/>
              <w:bottom w:val="single" w:sz="4" w:space="0" w:color="auto"/>
            </w:tcBorders>
            <w:vAlign w:val="center"/>
          </w:tcPr>
          <w:p w14:paraId="12D96D59" w14:textId="77777777" w:rsidR="002A46C9" w:rsidRPr="007F560B" w:rsidRDefault="002A46C9" w:rsidP="007F560B">
            <w:pPr>
              <w:snapToGrid w:val="0"/>
              <w:spacing w:line="360" w:lineRule="auto"/>
              <w:jc w:val="both"/>
              <w:rPr>
                <w:b/>
                <w:sz w:val="24"/>
                <w:szCs w:val="24"/>
              </w:rPr>
            </w:pPr>
            <w:r w:rsidRPr="007F560B">
              <w:rPr>
                <w:b/>
                <w:color w:val="000000"/>
                <w:sz w:val="24"/>
                <w:szCs w:val="24"/>
              </w:rPr>
              <w:t>T</w:t>
            </w:r>
            <w:r w:rsidRPr="007F560B">
              <w:rPr>
                <w:b/>
                <w:color w:val="000000"/>
                <w:sz w:val="24"/>
                <w:szCs w:val="24"/>
                <w:vertAlign w:val="subscript"/>
              </w:rPr>
              <w:t>24</w:t>
            </w:r>
            <w:r w:rsidRPr="007F560B">
              <w:rPr>
                <w:b/>
                <w:sz w:val="24"/>
                <w:szCs w:val="24"/>
              </w:rPr>
              <w:t xml:space="preserve"> (</w:t>
            </w:r>
            <w:r w:rsidRPr="007F560B">
              <w:rPr>
                <w:b/>
                <w:i/>
                <w:sz w:val="24"/>
                <w:szCs w:val="24"/>
              </w:rPr>
              <w:t>n</w:t>
            </w:r>
            <w:r w:rsidRPr="007F560B">
              <w:rPr>
                <w:rFonts w:eastAsiaTheme="minorEastAsia"/>
                <w:b/>
                <w:sz w:val="24"/>
                <w:szCs w:val="24"/>
              </w:rPr>
              <w:t xml:space="preserve"> </w:t>
            </w:r>
            <w:r w:rsidRPr="007F560B">
              <w:rPr>
                <w:b/>
                <w:sz w:val="24"/>
                <w:szCs w:val="24"/>
              </w:rPr>
              <w:t>=</w:t>
            </w:r>
            <w:r w:rsidRPr="007F560B">
              <w:rPr>
                <w:rFonts w:eastAsiaTheme="minorEastAsia"/>
                <w:b/>
                <w:sz w:val="24"/>
                <w:szCs w:val="24"/>
              </w:rPr>
              <w:t xml:space="preserve"> </w:t>
            </w:r>
            <w:r w:rsidRPr="007F560B">
              <w:rPr>
                <w:b/>
                <w:sz w:val="24"/>
                <w:szCs w:val="24"/>
              </w:rPr>
              <w:t>15)</w:t>
            </w:r>
          </w:p>
        </w:tc>
        <w:tc>
          <w:tcPr>
            <w:tcW w:w="301" w:type="pct"/>
            <w:tcBorders>
              <w:top w:val="single" w:sz="4" w:space="0" w:color="auto"/>
              <w:bottom w:val="single" w:sz="4" w:space="0" w:color="auto"/>
            </w:tcBorders>
            <w:vAlign w:val="center"/>
          </w:tcPr>
          <w:p w14:paraId="3A449BC4" w14:textId="77777777" w:rsidR="002A46C9" w:rsidRPr="007F560B" w:rsidRDefault="002A46C9" w:rsidP="007F560B">
            <w:pPr>
              <w:snapToGrid w:val="0"/>
              <w:spacing w:line="360" w:lineRule="auto"/>
              <w:jc w:val="both"/>
              <w:rPr>
                <w:b/>
                <w:sz w:val="24"/>
                <w:szCs w:val="24"/>
              </w:rPr>
            </w:pPr>
            <w:r w:rsidRPr="007F560B">
              <w:rPr>
                <w:b/>
                <w:bCs/>
                <w:i/>
                <w:color w:val="000000"/>
                <w:sz w:val="24"/>
                <w:szCs w:val="24"/>
              </w:rPr>
              <w:t>P</w:t>
            </w:r>
            <w:r w:rsidRPr="007F560B">
              <w:rPr>
                <w:b/>
                <w:bCs/>
                <w:color w:val="000000"/>
                <w:sz w:val="24"/>
                <w:szCs w:val="24"/>
              </w:rPr>
              <w:t xml:space="preserve"> value</w:t>
            </w:r>
          </w:p>
        </w:tc>
        <w:tc>
          <w:tcPr>
            <w:tcW w:w="764" w:type="pct"/>
            <w:tcBorders>
              <w:top w:val="single" w:sz="4" w:space="0" w:color="auto"/>
              <w:bottom w:val="single" w:sz="4" w:space="0" w:color="auto"/>
            </w:tcBorders>
            <w:vAlign w:val="center"/>
          </w:tcPr>
          <w:p w14:paraId="75187D06" w14:textId="77777777" w:rsidR="002A46C9" w:rsidRPr="007F560B" w:rsidRDefault="002A46C9" w:rsidP="007F560B">
            <w:pPr>
              <w:snapToGrid w:val="0"/>
              <w:spacing w:line="360" w:lineRule="auto"/>
              <w:jc w:val="both"/>
              <w:rPr>
                <w:b/>
                <w:sz w:val="24"/>
                <w:szCs w:val="24"/>
              </w:rPr>
            </w:pPr>
            <w:r w:rsidRPr="000C4CE6">
              <w:rPr>
                <w:b/>
                <w:caps/>
                <w:color w:val="000000"/>
                <w:sz w:val="24"/>
                <w:szCs w:val="24"/>
              </w:rPr>
              <w:t>b</w:t>
            </w:r>
            <w:r w:rsidRPr="007F560B">
              <w:rPr>
                <w:b/>
                <w:color w:val="000000"/>
                <w:sz w:val="24"/>
                <w:szCs w:val="24"/>
              </w:rPr>
              <w:t>aseline</w:t>
            </w:r>
            <w:r w:rsidRPr="007F560B">
              <w:rPr>
                <w:b/>
                <w:sz w:val="24"/>
                <w:szCs w:val="24"/>
              </w:rPr>
              <w:t xml:space="preserve"> (</w:t>
            </w:r>
            <w:r w:rsidRPr="007F560B">
              <w:rPr>
                <w:b/>
                <w:i/>
                <w:sz w:val="24"/>
                <w:szCs w:val="24"/>
              </w:rPr>
              <w:t>n</w:t>
            </w:r>
            <w:r w:rsidRPr="007F560B">
              <w:rPr>
                <w:rFonts w:eastAsiaTheme="minorEastAsia"/>
                <w:b/>
                <w:sz w:val="24"/>
                <w:szCs w:val="24"/>
              </w:rPr>
              <w:t xml:space="preserve"> </w:t>
            </w:r>
            <w:r w:rsidRPr="007F560B">
              <w:rPr>
                <w:b/>
                <w:sz w:val="24"/>
                <w:szCs w:val="24"/>
              </w:rPr>
              <w:t>=</w:t>
            </w:r>
            <w:r w:rsidRPr="007F560B">
              <w:rPr>
                <w:rFonts w:eastAsiaTheme="minorEastAsia"/>
                <w:b/>
                <w:sz w:val="24"/>
                <w:szCs w:val="24"/>
              </w:rPr>
              <w:t xml:space="preserve"> </w:t>
            </w:r>
            <w:r w:rsidRPr="007F560B">
              <w:rPr>
                <w:b/>
                <w:sz w:val="24"/>
                <w:szCs w:val="24"/>
              </w:rPr>
              <w:t>11)</w:t>
            </w:r>
          </w:p>
        </w:tc>
        <w:tc>
          <w:tcPr>
            <w:tcW w:w="810" w:type="pct"/>
            <w:tcBorders>
              <w:top w:val="single" w:sz="4" w:space="0" w:color="auto"/>
              <w:bottom w:val="single" w:sz="4" w:space="0" w:color="auto"/>
            </w:tcBorders>
            <w:vAlign w:val="center"/>
          </w:tcPr>
          <w:p w14:paraId="478152AE" w14:textId="77777777" w:rsidR="002A46C9" w:rsidRPr="007F560B" w:rsidRDefault="002A46C9" w:rsidP="007F560B">
            <w:pPr>
              <w:snapToGrid w:val="0"/>
              <w:spacing w:line="360" w:lineRule="auto"/>
              <w:jc w:val="both"/>
              <w:rPr>
                <w:b/>
                <w:sz w:val="24"/>
                <w:szCs w:val="24"/>
              </w:rPr>
            </w:pPr>
            <w:r w:rsidRPr="007F560B">
              <w:rPr>
                <w:b/>
                <w:color w:val="000000"/>
                <w:sz w:val="24"/>
                <w:szCs w:val="24"/>
              </w:rPr>
              <w:t>T</w:t>
            </w:r>
            <w:r w:rsidRPr="007F560B">
              <w:rPr>
                <w:b/>
                <w:color w:val="000000"/>
                <w:sz w:val="24"/>
                <w:szCs w:val="24"/>
                <w:vertAlign w:val="subscript"/>
              </w:rPr>
              <w:t>24</w:t>
            </w:r>
            <w:r w:rsidRPr="007F560B">
              <w:rPr>
                <w:b/>
                <w:sz w:val="24"/>
                <w:szCs w:val="24"/>
              </w:rPr>
              <w:t xml:space="preserve"> (</w:t>
            </w:r>
            <w:r w:rsidRPr="007F560B">
              <w:rPr>
                <w:b/>
                <w:i/>
                <w:sz w:val="24"/>
                <w:szCs w:val="24"/>
              </w:rPr>
              <w:t>n</w:t>
            </w:r>
            <w:r w:rsidRPr="007F560B">
              <w:rPr>
                <w:rFonts w:eastAsiaTheme="minorEastAsia"/>
                <w:b/>
                <w:sz w:val="24"/>
                <w:szCs w:val="24"/>
              </w:rPr>
              <w:t xml:space="preserve"> </w:t>
            </w:r>
            <w:r w:rsidRPr="007F560B">
              <w:rPr>
                <w:b/>
                <w:sz w:val="24"/>
                <w:szCs w:val="24"/>
              </w:rPr>
              <w:t>=</w:t>
            </w:r>
            <w:r w:rsidRPr="007F560B">
              <w:rPr>
                <w:rFonts w:eastAsiaTheme="minorEastAsia"/>
                <w:b/>
                <w:sz w:val="24"/>
                <w:szCs w:val="24"/>
              </w:rPr>
              <w:t xml:space="preserve"> </w:t>
            </w:r>
            <w:r w:rsidRPr="007F560B">
              <w:rPr>
                <w:b/>
                <w:sz w:val="24"/>
                <w:szCs w:val="24"/>
              </w:rPr>
              <w:t>11)</w:t>
            </w:r>
          </w:p>
        </w:tc>
        <w:tc>
          <w:tcPr>
            <w:tcW w:w="356" w:type="pct"/>
            <w:tcBorders>
              <w:top w:val="single" w:sz="4" w:space="0" w:color="auto"/>
              <w:bottom w:val="single" w:sz="4" w:space="0" w:color="auto"/>
            </w:tcBorders>
            <w:vAlign w:val="center"/>
          </w:tcPr>
          <w:p w14:paraId="474DAEA8" w14:textId="77777777" w:rsidR="002A46C9" w:rsidRPr="007F560B" w:rsidRDefault="002A46C9" w:rsidP="007F560B">
            <w:pPr>
              <w:snapToGrid w:val="0"/>
              <w:spacing w:line="360" w:lineRule="auto"/>
              <w:jc w:val="both"/>
              <w:rPr>
                <w:rFonts w:eastAsiaTheme="minorEastAsia"/>
                <w:b/>
                <w:bCs/>
                <w:color w:val="000000"/>
                <w:sz w:val="24"/>
                <w:szCs w:val="24"/>
              </w:rPr>
            </w:pPr>
            <w:r w:rsidRPr="007F560B">
              <w:rPr>
                <w:b/>
                <w:bCs/>
                <w:i/>
                <w:color w:val="000000"/>
                <w:sz w:val="24"/>
                <w:szCs w:val="24"/>
              </w:rPr>
              <w:t>P</w:t>
            </w:r>
            <w:r w:rsidRPr="007F560B">
              <w:rPr>
                <w:b/>
                <w:bCs/>
                <w:color w:val="000000"/>
                <w:sz w:val="24"/>
                <w:szCs w:val="24"/>
              </w:rPr>
              <w:t xml:space="preserve"> value</w:t>
            </w:r>
          </w:p>
        </w:tc>
        <w:tc>
          <w:tcPr>
            <w:tcW w:w="406" w:type="pct"/>
            <w:tcBorders>
              <w:top w:val="single" w:sz="4" w:space="0" w:color="auto"/>
              <w:bottom w:val="single" w:sz="4" w:space="0" w:color="auto"/>
            </w:tcBorders>
            <w:vAlign w:val="center"/>
          </w:tcPr>
          <w:p w14:paraId="0A324DE2" w14:textId="77777777" w:rsidR="002A46C9" w:rsidRPr="007F560B" w:rsidRDefault="002A46C9" w:rsidP="007F560B">
            <w:pPr>
              <w:snapToGrid w:val="0"/>
              <w:spacing w:line="360" w:lineRule="auto"/>
              <w:jc w:val="both"/>
              <w:rPr>
                <w:b/>
                <w:sz w:val="24"/>
                <w:szCs w:val="24"/>
              </w:rPr>
            </w:pPr>
            <w:r w:rsidRPr="007F560B">
              <w:rPr>
                <w:b/>
                <w:i/>
                <w:sz w:val="24"/>
                <w:szCs w:val="24"/>
              </w:rPr>
              <w:t>P1</w:t>
            </w:r>
            <w:r w:rsidRPr="007F560B">
              <w:rPr>
                <w:rFonts w:eastAsiaTheme="minorEastAsia"/>
                <w:b/>
                <w:i/>
                <w:sz w:val="24"/>
                <w:szCs w:val="24"/>
              </w:rPr>
              <w:t xml:space="preserve"> </w:t>
            </w:r>
            <w:r w:rsidRPr="007F560B">
              <w:rPr>
                <w:b/>
                <w:sz w:val="24"/>
                <w:szCs w:val="24"/>
              </w:rPr>
              <w:t>value</w:t>
            </w:r>
          </w:p>
        </w:tc>
        <w:tc>
          <w:tcPr>
            <w:tcW w:w="328" w:type="pct"/>
            <w:tcBorders>
              <w:top w:val="single" w:sz="4" w:space="0" w:color="auto"/>
              <w:bottom w:val="single" w:sz="4" w:space="0" w:color="auto"/>
            </w:tcBorders>
            <w:vAlign w:val="center"/>
          </w:tcPr>
          <w:p w14:paraId="46E28B54" w14:textId="77777777" w:rsidR="002A46C9" w:rsidRPr="007F560B" w:rsidRDefault="002A46C9" w:rsidP="007F560B">
            <w:pPr>
              <w:snapToGrid w:val="0"/>
              <w:spacing w:line="360" w:lineRule="auto"/>
              <w:jc w:val="both"/>
              <w:rPr>
                <w:b/>
                <w:sz w:val="24"/>
                <w:szCs w:val="24"/>
              </w:rPr>
            </w:pPr>
            <w:r w:rsidRPr="007F560B">
              <w:rPr>
                <w:b/>
                <w:i/>
                <w:sz w:val="24"/>
                <w:szCs w:val="24"/>
              </w:rPr>
              <w:t>P2</w:t>
            </w:r>
            <w:r w:rsidRPr="007F560B">
              <w:rPr>
                <w:rFonts w:eastAsiaTheme="minorEastAsia"/>
                <w:b/>
                <w:i/>
                <w:sz w:val="24"/>
                <w:szCs w:val="24"/>
              </w:rPr>
              <w:t xml:space="preserve"> </w:t>
            </w:r>
            <w:r w:rsidRPr="007F560B">
              <w:rPr>
                <w:b/>
                <w:sz w:val="24"/>
                <w:szCs w:val="24"/>
              </w:rPr>
              <w:t>value</w:t>
            </w:r>
          </w:p>
        </w:tc>
      </w:tr>
      <w:tr w:rsidR="007F560B" w:rsidRPr="007F560B" w14:paraId="67EEAA05" w14:textId="77777777" w:rsidTr="007F560B">
        <w:trPr>
          <w:trHeight w:val="357"/>
          <w:jc w:val="center"/>
        </w:trPr>
        <w:tc>
          <w:tcPr>
            <w:tcW w:w="479" w:type="pct"/>
            <w:tcBorders>
              <w:top w:val="single" w:sz="4" w:space="0" w:color="auto"/>
            </w:tcBorders>
            <w:vAlign w:val="center"/>
          </w:tcPr>
          <w:p w14:paraId="552EC1FC" w14:textId="5A6D1DAA" w:rsidR="002A46C9" w:rsidRPr="007F560B" w:rsidRDefault="009C5FEF" w:rsidP="007F560B">
            <w:pPr>
              <w:snapToGrid w:val="0"/>
              <w:spacing w:line="360" w:lineRule="auto"/>
              <w:jc w:val="both"/>
              <w:rPr>
                <w:color w:val="000000"/>
                <w:sz w:val="24"/>
                <w:szCs w:val="24"/>
              </w:rPr>
            </w:pPr>
            <w:r w:rsidRPr="009C5FEF">
              <w:rPr>
                <w:color w:val="000000"/>
                <w:sz w:val="24"/>
                <w:szCs w:val="24"/>
              </w:rPr>
              <w:t>6Ckine</w:t>
            </w:r>
          </w:p>
        </w:tc>
        <w:tc>
          <w:tcPr>
            <w:tcW w:w="791" w:type="pct"/>
            <w:tcBorders>
              <w:top w:val="single" w:sz="4" w:space="0" w:color="auto"/>
            </w:tcBorders>
            <w:vAlign w:val="center"/>
          </w:tcPr>
          <w:p w14:paraId="7DD4B297"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144</w:t>
            </w:r>
            <w:r w:rsidRPr="007F560B">
              <w:rPr>
                <w:rFonts w:eastAsiaTheme="minorEastAsia"/>
                <w:color w:val="000000"/>
                <w:sz w:val="24"/>
                <w:szCs w:val="24"/>
              </w:rPr>
              <w:t xml:space="preserve"> </w:t>
            </w:r>
            <w:r w:rsidRPr="007F560B">
              <w:rPr>
                <w:rFonts w:eastAsia="宋体" w:cs="宋体"/>
                <w:color w:val="000000"/>
                <w:sz w:val="24"/>
                <w:szCs w:val="24"/>
              </w:rPr>
              <w:t>(</w:t>
            </w:r>
            <w:r w:rsidRPr="007F560B">
              <w:rPr>
                <w:color w:val="000000"/>
                <w:sz w:val="24"/>
                <w:szCs w:val="24"/>
              </w:rPr>
              <w:t>41.26-277</w:t>
            </w:r>
            <w:r w:rsidRPr="007F560B">
              <w:rPr>
                <w:rFonts w:eastAsia="宋体" w:cs="宋体"/>
                <w:color w:val="000000"/>
                <w:sz w:val="24"/>
                <w:szCs w:val="24"/>
              </w:rPr>
              <w:t>)</w:t>
            </w:r>
          </w:p>
        </w:tc>
        <w:tc>
          <w:tcPr>
            <w:tcW w:w="765" w:type="pct"/>
            <w:tcBorders>
              <w:top w:val="single" w:sz="4" w:space="0" w:color="auto"/>
            </w:tcBorders>
            <w:vAlign w:val="center"/>
          </w:tcPr>
          <w:p w14:paraId="63D44716"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41.26</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19.74-239</w:t>
            </w:r>
            <w:r w:rsidRPr="007F560B">
              <w:rPr>
                <w:rFonts w:eastAsia="宋体" w:cs="宋体"/>
                <w:sz w:val="24"/>
                <w:szCs w:val="24"/>
              </w:rPr>
              <w:t>)</w:t>
            </w:r>
          </w:p>
        </w:tc>
        <w:tc>
          <w:tcPr>
            <w:tcW w:w="301" w:type="pct"/>
            <w:tcBorders>
              <w:top w:val="single" w:sz="4" w:space="0" w:color="auto"/>
            </w:tcBorders>
            <w:vAlign w:val="center"/>
          </w:tcPr>
          <w:p w14:paraId="61B7F720"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0.826</w:t>
            </w:r>
          </w:p>
        </w:tc>
        <w:tc>
          <w:tcPr>
            <w:tcW w:w="764" w:type="pct"/>
            <w:tcBorders>
              <w:top w:val="single" w:sz="4" w:space="0" w:color="auto"/>
            </w:tcBorders>
            <w:vAlign w:val="center"/>
          </w:tcPr>
          <w:p w14:paraId="6990622F"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100</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7.25-185.</w:t>
            </w:r>
            <w:r w:rsidRPr="007F560B">
              <w:rPr>
                <w:rFonts w:eastAsia="宋体" w:cs="宋体"/>
                <w:color w:val="000000"/>
                <w:sz w:val="24"/>
                <w:szCs w:val="24"/>
              </w:rPr>
              <w:t>)</w:t>
            </w:r>
          </w:p>
        </w:tc>
        <w:tc>
          <w:tcPr>
            <w:tcW w:w="810" w:type="pct"/>
            <w:tcBorders>
              <w:top w:val="single" w:sz="4" w:space="0" w:color="auto"/>
            </w:tcBorders>
            <w:vAlign w:val="center"/>
          </w:tcPr>
          <w:p w14:paraId="6313A3ED"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129</w:t>
            </w:r>
            <w:r w:rsidRPr="007F560B">
              <w:rPr>
                <w:rFonts w:eastAsiaTheme="minorEastAsia"/>
                <w:color w:val="000000"/>
                <w:sz w:val="24"/>
                <w:szCs w:val="24"/>
              </w:rPr>
              <w:t xml:space="preserve"> </w:t>
            </w:r>
            <w:r w:rsidR="002A46C9" w:rsidRPr="007F560B">
              <w:rPr>
                <w:color w:val="000000"/>
                <w:sz w:val="24"/>
                <w:szCs w:val="24"/>
              </w:rPr>
              <w:t>(12.92-277)</w:t>
            </w:r>
          </w:p>
        </w:tc>
        <w:tc>
          <w:tcPr>
            <w:tcW w:w="356" w:type="pct"/>
            <w:tcBorders>
              <w:top w:val="single" w:sz="4" w:space="0" w:color="auto"/>
            </w:tcBorders>
            <w:vAlign w:val="center"/>
          </w:tcPr>
          <w:p w14:paraId="0384A8CC"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0.11</w:t>
            </w:r>
          </w:p>
        </w:tc>
        <w:tc>
          <w:tcPr>
            <w:tcW w:w="406" w:type="pct"/>
            <w:tcBorders>
              <w:top w:val="single" w:sz="4" w:space="0" w:color="auto"/>
            </w:tcBorders>
            <w:vAlign w:val="center"/>
          </w:tcPr>
          <w:p w14:paraId="134C4A97"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0.563</w:t>
            </w:r>
          </w:p>
        </w:tc>
        <w:tc>
          <w:tcPr>
            <w:tcW w:w="328" w:type="pct"/>
            <w:tcBorders>
              <w:top w:val="single" w:sz="4" w:space="0" w:color="auto"/>
            </w:tcBorders>
            <w:vAlign w:val="center"/>
          </w:tcPr>
          <w:p w14:paraId="70D64A56"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0.696</w:t>
            </w:r>
          </w:p>
        </w:tc>
      </w:tr>
      <w:tr w:rsidR="007F560B" w:rsidRPr="007F560B" w14:paraId="752008D2" w14:textId="77777777" w:rsidTr="007F560B">
        <w:trPr>
          <w:trHeight w:val="377"/>
          <w:jc w:val="center"/>
        </w:trPr>
        <w:tc>
          <w:tcPr>
            <w:tcW w:w="479" w:type="pct"/>
            <w:vAlign w:val="center"/>
          </w:tcPr>
          <w:p w14:paraId="49FD677E"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BCA-1</w:t>
            </w:r>
          </w:p>
        </w:tc>
        <w:tc>
          <w:tcPr>
            <w:tcW w:w="791" w:type="pct"/>
            <w:vAlign w:val="center"/>
          </w:tcPr>
          <w:p w14:paraId="19783946"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33.2</w:t>
            </w:r>
            <w:r w:rsidRPr="007F560B">
              <w:rPr>
                <w:rFonts w:eastAsiaTheme="minorEastAsia"/>
                <w:color w:val="000000"/>
                <w:sz w:val="24"/>
                <w:szCs w:val="24"/>
              </w:rPr>
              <w:t xml:space="preserve"> (</w:t>
            </w:r>
            <w:r w:rsidRPr="007F560B">
              <w:rPr>
                <w:color w:val="000000"/>
                <w:sz w:val="24"/>
                <w:szCs w:val="24"/>
              </w:rPr>
              <w:t>24.4-53.03</w:t>
            </w:r>
            <w:r w:rsidRPr="007F560B">
              <w:rPr>
                <w:rFonts w:eastAsia="宋体" w:cs="宋体"/>
                <w:color w:val="000000"/>
                <w:sz w:val="24"/>
                <w:szCs w:val="24"/>
              </w:rPr>
              <w:t>)</w:t>
            </w:r>
          </w:p>
        </w:tc>
        <w:tc>
          <w:tcPr>
            <w:tcW w:w="765" w:type="pct"/>
            <w:vAlign w:val="center"/>
          </w:tcPr>
          <w:p w14:paraId="3439E682"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34.75</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26.4-50.39</w:t>
            </w:r>
            <w:r w:rsidRPr="007F560B">
              <w:rPr>
                <w:rFonts w:eastAsia="宋体" w:cs="宋体"/>
                <w:sz w:val="24"/>
                <w:szCs w:val="24"/>
              </w:rPr>
              <w:t>)</w:t>
            </w:r>
          </w:p>
        </w:tc>
        <w:tc>
          <w:tcPr>
            <w:tcW w:w="301" w:type="pct"/>
            <w:vAlign w:val="center"/>
          </w:tcPr>
          <w:p w14:paraId="2C4CC5EC"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0.394</w:t>
            </w:r>
          </w:p>
        </w:tc>
        <w:tc>
          <w:tcPr>
            <w:tcW w:w="764" w:type="pct"/>
            <w:vAlign w:val="center"/>
          </w:tcPr>
          <w:p w14:paraId="1851A728"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33.97</w:t>
            </w:r>
            <w:r w:rsidRPr="007F560B">
              <w:rPr>
                <w:rFonts w:eastAsiaTheme="minorEastAsia"/>
                <w:color w:val="000000"/>
                <w:sz w:val="24"/>
                <w:szCs w:val="24"/>
              </w:rPr>
              <w:t xml:space="preserve"> </w:t>
            </w:r>
            <w:r w:rsidR="002A46C9" w:rsidRPr="007F560B">
              <w:rPr>
                <w:color w:val="000000"/>
                <w:sz w:val="24"/>
                <w:szCs w:val="24"/>
              </w:rPr>
              <w:t>(13.38-46.63)</w:t>
            </w:r>
          </w:p>
        </w:tc>
        <w:tc>
          <w:tcPr>
            <w:tcW w:w="810" w:type="pct"/>
            <w:vAlign w:val="center"/>
          </w:tcPr>
          <w:p w14:paraId="0F867AC2"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47.73</w:t>
            </w:r>
            <w:r w:rsidRPr="007F560B">
              <w:rPr>
                <w:rFonts w:eastAsiaTheme="minorEastAsia"/>
                <w:color w:val="000000"/>
                <w:sz w:val="24"/>
                <w:szCs w:val="24"/>
              </w:rPr>
              <w:t xml:space="preserve"> </w:t>
            </w:r>
            <w:r w:rsidR="002A46C9" w:rsidRPr="007F560B">
              <w:rPr>
                <w:color w:val="000000"/>
                <w:sz w:val="24"/>
                <w:szCs w:val="24"/>
              </w:rPr>
              <w:t>(33.89-94.67)</w:t>
            </w:r>
          </w:p>
        </w:tc>
        <w:tc>
          <w:tcPr>
            <w:tcW w:w="356" w:type="pct"/>
            <w:vAlign w:val="center"/>
          </w:tcPr>
          <w:p w14:paraId="3520140F" w14:textId="77777777" w:rsidR="002A46C9" w:rsidRPr="007F560B" w:rsidRDefault="002A46C9" w:rsidP="007F560B">
            <w:pPr>
              <w:snapToGrid w:val="0"/>
              <w:spacing w:line="360" w:lineRule="auto"/>
              <w:jc w:val="both"/>
              <w:rPr>
                <w:bCs/>
                <w:color w:val="000000"/>
                <w:sz w:val="24"/>
                <w:szCs w:val="24"/>
              </w:rPr>
            </w:pPr>
            <w:r w:rsidRPr="007F560B">
              <w:rPr>
                <w:bCs/>
                <w:color w:val="000000"/>
                <w:sz w:val="24"/>
                <w:szCs w:val="24"/>
              </w:rPr>
              <w:t>0.01</w:t>
            </w:r>
          </w:p>
        </w:tc>
        <w:tc>
          <w:tcPr>
            <w:tcW w:w="406" w:type="pct"/>
            <w:vAlign w:val="center"/>
          </w:tcPr>
          <w:p w14:paraId="2AAE440A"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0.384</w:t>
            </w:r>
          </w:p>
        </w:tc>
        <w:tc>
          <w:tcPr>
            <w:tcW w:w="328" w:type="pct"/>
            <w:vAlign w:val="center"/>
          </w:tcPr>
          <w:p w14:paraId="7A74FD22"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0.264</w:t>
            </w:r>
          </w:p>
        </w:tc>
      </w:tr>
      <w:tr w:rsidR="007F560B" w:rsidRPr="007F560B" w14:paraId="295F5779" w14:textId="77777777" w:rsidTr="007F560B">
        <w:trPr>
          <w:trHeight w:val="357"/>
          <w:jc w:val="center"/>
        </w:trPr>
        <w:tc>
          <w:tcPr>
            <w:tcW w:w="479" w:type="pct"/>
            <w:vAlign w:val="center"/>
          </w:tcPr>
          <w:p w14:paraId="68FF49B6"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CTACK</w:t>
            </w:r>
          </w:p>
        </w:tc>
        <w:tc>
          <w:tcPr>
            <w:tcW w:w="791" w:type="pct"/>
            <w:vAlign w:val="center"/>
          </w:tcPr>
          <w:p w14:paraId="24BBBAD6"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463</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396-541</w:t>
            </w:r>
            <w:r w:rsidR="002A46C9" w:rsidRPr="007F560B">
              <w:rPr>
                <w:rFonts w:eastAsia="宋体" w:cs="宋体"/>
                <w:color w:val="000000"/>
                <w:sz w:val="24"/>
                <w:szCs w:val="24"/>
              </w:rPr>
              <w:t>)</w:t>
            </w:r>
          </w:p>
        </w:tc>
        <w:tc>
          <w:tcPr>
            <w:tcW w:w="765" w:type="pct"/>
            <w:vAlign w:val="center"/>
          </w:tcPr>
          <w:p w14:paraId="50FB76E9"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575</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465-729</w:t>
            </w:r>
            <w:r w:rsidRPr="007F560B">
              <w:rPr>
                <w:rFonts w:eastAsia="宋体" w:cs="宋体"/>
                <w:sz w:val="24"/>
                <w:szCs w:val="24"/>
              </w:rPr>
              <w:t>)</w:t>
            </w:r>
          </w:p>
        </w:tc>
        <w:tc>
          <w:tcPr>
            <w:tcW w:w="301" w:type="pct"/>
            <w:vAlign w:val="center"/>
          </w:tcPr>
          <w:p w14:paraId="5A0DBA4F"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0.268</w:t>
            </w:r>
          </w:p>
        </w:tc>
        <w:tc>
          <w:tcPr>
            <w:tcW w:w="764" w:type="pct"/>
            <w:vAlign w:val="center"/>
          </w:tcPr>
          <w:p w14:paraId="5BB15797"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387</w:t>
            </w:r>
            <w:r w:rsidRPr="007F560B">
              <w:rPr>
                <w:rFonts w:eastAsiaTheme="minorEastAsia"/>
                <w:color w:val="000000"/>
                <w:sz w:val="24"/>
                <w:szCs w:val="24"/>
              </w:rPr>
              <w:t xml:space="preserve"> </w:t>
            </w:r>
            <w:r w:rsidR="002A46C9" w:rsidRPr="007F560B">
              <w:rPr>
                <w:color w:val="000000"/>
                <w:sz w:val="24"/>
                <w:szCs w:val="24"/>
              </w:rPr>
              <w:t>(235-479)</w:t>
            </w:r>
          </w:p>
        </w:tc>
        <w:tc>
          <w:tcPr>
            <w:tcW w:w="810" w:type="pct"/>
            <w:vAlign w:val="center"/>
          </w:tcPr>
          <w:p w14:paraId="3D7A3577"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430</w:t>
            </w:r>
            <w:r w:rsidRPr="007F560B">
              <w:rPr>
                <w:rFonts w:eastAsiaTheme="minorEastAsia"/>
                <w:color w:val="000000"/>
                <w:sz w:val="24"/>
                <w:szCs w:val="24"/>
              </w:rPr>
              <w:t xml:space="preserve"> </w:t>
            </w:r>
            <w:r w:rsidR="002A46C9" w:rsidRPr="007F560B">
              <w:rPr>
                <w:color w:val="000000"/>
                <w:sz w:val="24"/>
                <w:szCs w:val="24"/>
              </w:rPr>
              <w:t>(301-587)</w:t>
            </w:r>
          </w:p>
        </w:tc>
        <w:tc>
          <w:tcPr>
            <w:tcW w:w="356" w:type="pct"/>
            <w:vAlign w:val="center"/>
          </w:tcPr>
          <w:p w14:paraId="1461E881" w14:textId="77777777" w:rsidR="002A46C9" w:rsidRPr="007F560B" w:rsidRDefault="002A46C9" w:rsidP="007F560B">
            <w:pPr>
              <w:snapToGrid w:val="0"/>
              <w:spacing w:line="360" w:lineRule="auto"/>
              <w:jc w:val="both"/>
              <w:rPr>
                <w:bCs/>
                <w:color w:val="000000"/>
                <w:sz w:val="24"/>
                <w:szCs w:val="24"/>
              </w:rPr>
            </w:pPr>
            <w:r w:rsidRPr="007F560B">
              <w:rPr>
                <w:bCs/>
                <w:color w:val="000000"/>
                <w:sz w:val="24"/>
                <w:szCs w:val="24"/>
              </w:rPr>
              <w:t>0.026</w:t>
            </w:r>
          </w:p>
        </w:tc>
        <w:tc>
          <w:tcPr>
            <w:tcW w:w="406" w:type="pct"/>
            <w:vAlign w:val="center"/>
          </w:tcPr>
          <w:p w14:paraId="0B216147"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0.109</w:t>
            </w:r>
          </w:p>
        </w:tc>
        <w:tc>
          <w:tcPr>
            <w:tcW w:w="328" w:type="pct"/>
            <w:vAlign w:val="center"/>
          </w:tcPr>
          <w:p w14:paraId="1A9D8E0D"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0.164</w:t>
            </w:r>
          </w:p>
        </w:tc>
      </w:tr>
      <w:tr w:rsidR="007F560B" w:rsidRPr="007F560B" w14:paraId="2E946B4A" w14:textId="77777777" w:rsidTr="007F560B">
        <w:trPr>
          <w:trHeight w:val="357"/>
          <w:jc w:val="center"/>
        </w:trPr>
        <w:tc>
          <w:tcPr>
            <w:tcW w:w="479" w:type="pct"/>
            <w:vAlign w:val="center"/>
          </w:tcPr>
          <w:p w14:paraId="49AB9320"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ENA-78</w:t>
            </w:r>
          </w:p>
        </w:tc>
        <w:tc>
          <w:tcPr>
            <w:tcW w:w="791" w:type="pct"/>
            <w:vAlign w:val="center"/>
          </w:tcPr>
          <w:p w14:paraId="5638081E"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219</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166-232</w:t>
            </w:r>
            <w:r w:rsidR="002A46C9" w:rsidRPr="007F560B">
              <w:rPr>
                <w:rFonts w:eastAsia="宋体" w:cs="宋体"/>
                <w:color w:val="000000"/>
                <w:sz w:val="24"/>
                <w:szCs w:val="24"/>
              </w:rPr>
              <w:t>)</w:t>
            </w:r>
          </w:p>
        </w:tc>
        <w:tc>
          <w:tcPr>
            <w:tcW w:w="765" w:type="pct"/>
            <w:vAlign w:val="center"/>
          </w:tcPr>
          <w:p w14:paraId="3E9C4A67"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159</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81.01-217</w:t>
            </w:r>
            <w:r w:rsidRPr="007F560B">
              <w:rPr>
                <w:rFonts w:eastAsia="宋体" w:cs="宋体"/>
                <w:sz w:val="24"/>
                <w:szCs w:val="24"/>
              </w:rPr>
              <w:t>)</w:t>
            </w:r>
          </w:p>
        </w:tc>
        <w:tc>
          <w:tcPr>
            <w:tcW w:w="301" w:type="pct"/>
            <w:vAlign w:val="center"/>
          </w:tcPr>
          <w:p w14:paraId="0CDF33A7"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0.065</w:t>
            </w:r>
          </w:p>
        </w:tc>
        <w:tc>
          <w:tcPr>
            <w:tcW w:w="764" w:type="pct"/>
            <w:vAlign w:val="center"/>
          </w:tcPr>
          <w:p w14:paraId="69CD4629"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232</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162-260</w:t>
            </w:r>
            <w:r w:rsidRPr="007F560B">
              <w:rPr>
                <w:rFonts w:eastAsia="宋体" w:cs="宋体"/>
                <w:color w:val="000000"/>
                <w:sz w:val="24"/>
                <w:szCs w:val="24"/>
              </w:rPr>
              <w:t>)</w:t>
            </w:r>
          </w:p>
        </w:tc>
        <w:tc>
          <w:tcPr>
            <w:tcW w:w="810" w:type="pct"/>
            <w:vAlign w:val="center"/>
          </w:tcPr>
          <w:p w14:paraId="03099174"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123</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94.48-196</w:t>
            </w:r>
            <w:r w:rsidRPr="007F560B">
              <w:rPr>
                <w:rFonts w:eastAsia="宋体" w:cs="宋体"/>
                <w:color w:val="000000"/>
                <w:sz w:val="24"/>
                <w:szCs w:val="24"/>
              </w:rPr>
              <w:t>)</w:t>
            </w:r>
          </w:p>
        </w:tc>
        <w:tc>
          <w:tcPr>
            <w:tcW w:w="356" w:type="pct"/>
            <w:vAlign w:val="center"/>
          </w:tcPr>
          <w:p w14:paraId="211DBA9A" w14:textId="77777777" w:rsidR="002A46C9" w:rsidRPr="007F560B" w:rsidRDefault="002A46C9" w:rsidP="007F560B">
            <w:pPr>
              <w:snapToGrid w:val="0"/>
              <w:spacing w:line="360" w:lineRule="auto"/>
              <w:jc w:val="both"/>
              <w:rPr>
                <w:bCs/>
                <w:color w:val="000000"/>
                <w:sz w:val="24"/>
                <w:szCs w:val="24"/>
              </w:rPr>
            </w:pPr>
            <w:r w:rsidRPr="007F560B">
              <w:rPr>
                <w:bCs/>
                <w:color w:val="000000"/>
                <w:sz w:val="24"/>
                <w:szCs w:val="24"/>
              </w:rPr>
              <w:t>0.023</w:t>
            </w:r>
          </w:p>
        </w:tc>
        <w:tc>
          <w:tcPr>
            <w:tcW w:w="406" w:type="pct"/>
            <w:vAlign w:val="center"/>
          </w:tcPr>
          <w:p w14:paraId="0C8C66EA"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0.363</w:t>
            </w:r>
          </w:p>
        </w:tc>
        <w:tc>
          <w:tcPr>
            <w:tcW w:w="328" w:type="pct"/>
            <w:vAlign w:val="center"/>
          </w:tcPr>
          <w:p w14:paraId="0154D5A2"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0.474</w:t>
            </w:r>
          </w:p>
        </w:tc>
      </w:tr>
      <w:tr w:rsidR="007F560B" w:rsidRPr="007F560B" w14:paraId="0F5B238A" w14:textId="77777777" w:rsidTr="007F560B">
        <w:trPr>
          <w:trHeight w:val="377"/>
          <w:jc w:val="center"/>
        </w:trPr>
        <w:tc>
          <w:tcPr>
            <w:tcW w:w="479" w:type="pct"/>
            <w:vAlign w:val="center"/>
          </w:tcPr>
          <w:p w14:paraId="0EE4BBA5"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Eotoxin-2</w:t>
            </w:r>
          </w:p>
        </w:tc>
        <w:tc>
          <w:tcPr>
            <w:tcW w:w="791" w:type="pct"/>
            <w:vAlign w:val="center"/>
          </w:tcPr>
          <w:p w14:paraId="77FF6C09"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221</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202-482</w:t>
            </w:r>
            <w:r w:rsidR="002A46C9" w:rsidRPr="007F560B">
              <w:rPr>
                <w:rFonts w:eastAsia="宋体" w:cs="宋体"/>
                <w:color w:val="000000"/>
                <w:sz w:val="24"/>
                <w:szCs w:val="24"/>
              </w:rPr>
              <w:t>)</w:t>
            </w:r>
          </w:p>
        </w:tc>
        <w:tc>
          <w:tcPr>
            <w:tcW w:w="765" w:type="pct"/>
            <w:vAlign w:val="center"/>
          </w:tcPr>
          <w:p w14:paraId="1CE09B95"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118</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60.96-226</w:t>
            </w:r>
            <w:r w:rsidRPr="007F560B">
              <w:rPr>
                <w:rFonts w:eastAsia="宋体" w:cs="宋体"/>
                <w:sz w:val="24"/>
                <w:szCs w:val="24"/>
              </w:rPr>
              <w:t>)</w:t>
            </w:r>
          </w:p>
        </w:tc>
        <w:tc>
          <w:tcPr>
            <w:tcW w:w="301" w:type="pct"/>
            <w:vAlign w:val="center"/>
          </w:tcPr>
          <w:p w14:paraId="6FBD5A33" w14:textId="77777777" w:rsidR="002A46C9" w:rsidRPr="007F560B" w:rsidRDefault="002A46C9" w:rsidP="007F560B">
            <w:pPr>
              <w:snapToGrid w:val="0"/>
              <w:spacing w:line="360" w:lineRule="auto"/>
              <w:jc w:val="both"/>
              <w:rPr>
                <w:bCs/>
                <w:color w:val="000000"/>
                <w:sz w:val="24"/>
                <w:szCs w:val="24"/>
              </w:rPr>
            </w:pPr>
            <w:r w:rsidRPr="007F560B">
              <w:rPr>
                <w:bCs/>
                <w:color w:val="000000"/>
                <w:sz w:val="24"/>
                <w:szCs w:val="24"/>
              </w:rPr>
              <w:t>0.018</w:t>
            </w:r>
          </w:p>
        </w:tc>
        <w:tc>
          <w:tcPr>
            <w:tcW w:w="764" w:type="pct"/>
            <w:vAlign w:val="center"/>
          </w:tcPr>
          <w:p w14:paraId="4E3A43C6"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302</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74.73-441</w:t>
            </w:r>
            <w:r w:rsidRPr="007F560B">
              <w:rPr>
                <w:rFonts w:eastAsia="宋体" w:cs="宋体"/>
                <w:color w:val="000000"/>
                <w:sz w:val="24"/>
                <w:szCs w:val="24"/>
              </w:rPr>
              <w:t>)</w:t>
            </w:r>
          </w:p>
        </w:tc>
        <w:tc>
          <w:tcPr>
            <w:tcW w:w="810" w:type="pct"/>
            <w:vAlign w:val="center"/>
          </w:tcPr>
          <w:p w14:paraId="2C46D67A"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99.53</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68.48-203</w:t>
            </w:r>
            <w:r w:rsidRPr="007F560B">
              <w:rPr>
                <w:rFonts w:eastAsia="宋体" w:cs="宋体"/>
                <w:color w:val="000000"/>
                <w:sz w:val="24"/>
                <w:szCs w:val="24"/>
              </w:rPr>
              <w:t>)</w:t>
            </w:r>
          </w:p>
        </w:tc>
        <w:tc>
          <w:tcPr>
            <w:tcW w:w="356" w:type="pct"/>
            <w:vAlign w:val="center"/>
          </w:tcPr>
          <w:p w14:paraId="349ECE1A"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0.091</w:t>
            </w:r>
          </w:p>
        </w:tc>
        <w:tc>
          <w:tcPr>
            <w:tcW w:w="406" w:type="pct"/>
            <w:vAlign w:val="center"/>
          </w:tcPr>
          <w:p w14:paraId="4B5595BC"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0.574</w:t>
            </w:r>
          </w:p>
        </w:tc>
        <w:tc>
          <w:tcPr>
            <w:tcW w:w="328" w:type="pct"/>
            <w:vAlign w:val="center"/>
          </w:tcPr>
          <w:p w14:paraId="2D5E226B"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0.721</w:t>
            </w:r>
          </w:p>
        </w:tc>
      </w:tr>
      <w:tr w:rsidR="007F560B" w:rsidRPr="007F560B" w14:paraId="765B216B" w14:textId="77777777" w:rsidTr="007F560B">
        <w:trPr>
          <w:trHeight w:val="377"/>
          <w:jc w:val="center"/>
        </w:trPr>
        <w:tc>
          <w:tcPr>
            <w:tcW w:w="479" w:type="pct"/>
            <w:vAlign w:val="center"/>
          </w:tcPr>
          <w:p w14:paraId="366F0F3E"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Eotoxin-3</w:t>
            </w:r>
          </w:p>
        </w:tc>
        <w:tc>
          <w:tcPr>
            <w:tcW w:w="791" w:type="pct"/>
            <w:vAlign w:val="center"/>
          </w:tcPr>
          <w:p w14:paraId="5DA89A82"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177</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106-236</w:t>
            </w:r>
            <w:r w:rsidR="002A46C9" w:rsidRPr="007F560B">
              <w:rPr>
                <w:rFonts w:eastAsia="宋体" w:cs="宋体"/>
                <w:color w:val="000000"/>
                <w:sz w:val="24"/>
                <w:szCs w:val="24"/>
              </w:rPr>
              <w:t>)</w:t>
            </w:r>
          </w:p>
        </w:tc>
        <w:tc>
          <w:tcPr>
            <w:tcW w:w="765" w:type="pct"/>
            <w:vAlign w:val="center"/>
          </w:tcPr>
          <w:p w14:paraId="283C5707"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136</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77.37-256</w:t>
            </w:r>
            <w:r w:rsidRPr="007F560B">
              <w:rPr>
                <w:rFonts w:eastAsia="宋体" w:cs="宋体"/>
                <w:sz w:val="24"/>
                <w:szCs w:val="24"/>
              </w:rPr>
              <w:t>)</w:t>
            </w:r>
          </w:p>
        </w:tc>
        <w:tc>
          <w:tcPr>
            <w:tcW w:w="301" w:type="pct"/>
            <w:vAlign w:val="center"/>
          </w:tcPr>
          <w:p w14:paraId="2DE36D4D"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0.551</w:t>
            </w:r>
          </w:p>
        </w:tc>
        <w:tc>
          <w:tcPr>
            <w:tcW w:w="764" w:type="pct"/>
            <w:vAlign w:val="center"/>
          </w:tcPr>
          <w:p w14:paraId="08E500F0"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225</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69.83-247</w:t>
            </w:r>
            <w:r w:rsidRPr="007F560B">
              <w:rPr>
                <w:rFonts w:eastAsia="宋体" w:cs="宋体"/>
                <w:color w:val="000000"/>
                <w:sz w:val="24"/>
                <w:szCs w:val="24"/>
              </w:rPr>
              <w:t>)</w:t>
            </w:r>
          </w:p>
        </w:tc>
        <w:tc>
          <w:tcPr>
            <w:tcW w:w="810" w:type="pct"/>
            <w:vAlign w:val="center"/>
          </w:tcPr>
          <w:p w14:paraId="5461A21F"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112</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74.37-255</w:t>
            </w:r>
            <w:r w:rsidRPr="007F560B">
              <w:rPr>
                <w:rFonts w:eastAsia="宋体" w:cs="宋体"/>
                <w:color w:val="000000"/>
                <w:sz w:val="24"/>
                <w:szCs w:val="24"/>
              </w:rPr>
              <w:t>)</w:t>
            </w:r>
          </w:p>
        </w:tc>
        <w:tc>
          <w:tcPr>
            <w:tcW w:w="356" w:type="pct"/>
            <w:vAlign w:val="center"/>
          </w:tcPr>
          <w:p w14:paraId="40955C2C"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0.477</w:t>
            </w:r>
          </w:p>
        </w:tc>
        <w:tc>
          <w:tcPr>
            <w:tcW w:w="406" w:type="pct"/>
            <w:vAlign w:val="center"/>
          </w:tcPr>
          <w:p w14:paraId="3CFDE6D1"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0.929</w:t>
            </w:r>
          </w:p>
        </w:tc>
        <w:tc>
          <w:tcPr>
            <w:tcW w:w="328" w:type="pct"/>
            <w:vAlign w:val="center"/>
          </w:tcPr>
          <w:p w14:paraId="738CA9CD"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0.809</w:t>
            </w:r>
          </w:p>
        </w:tc>
      </w:tr>
      <w:tr w:rsidR="007F560B" w:rsidRPr="007F560B" w14:paraId="622CDCA6" w14:textId="77777777" w:rsidTr="007F560B">
        <w:trPr>
          <w:trHeight w:val="377"/>
          <w:jc w:val="center"/>
        </w:trPr>
        <w:tc>
          <w:tcPr>
            <w:tcW w:w="479" w:type="pct"/>
            <w:vAlign w:val="center"/>
          </w:tcPr>
          <w:p w14:paraId="211E0121" w14:textId="77777777" w:rsidR="002A46C9" w:rsidRPr="007F560B" w:rsidRDefault="002A46C9" w:rsidP="007F560B">
            <w:pPr>
              <w:snapToGrid w:val="0"/>
              <w:spacing w:line="360" w:lineRule="auto"/>
              <w:jc w:val="both"/>
              <w:rPr>
                <w:rFonts w:eastAsiaTheme="minorEastAsia"/>
                <w:color w:val="000000"/>
                <w:sz w:val="24"/>
                <w:szCs w:val="24"/>
              </w:rPr>
            </w:pPr>
            <w:r w:rsidRPr="007F560B">
              <w:rPr>
                <w:rFonts w:eastAsiaTheme="minorEastAsia"/>
                <w:color w:val="000000"/>
                <w:sz w:val="24"/>
                <w:szCs w:val="24"/>
              </w:rPr>
              <w:t>CCL1</w:t>
            </w:r>
          </w:p>
        </w:tc>
        <w:tc>
          <w:tcPr>
            <w:tcW w:w="791" w:type="pct"/>
            <w:vAlign w:val="center"/>
          </w:tcPr>
          <w:p w14:paraId="171E2130"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1.82</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1.62-3.12</w:t>
            </w:r>
            <w:r w:rsidR="002A46C9" w:rsidRPr="007F560B">
              <w:rPr>
                <w:rFonts w:eastAsia="宋体" w:cs="宋体"/>
                <w:color w:val="000000"/>
                <w:sz w:val="24"/>
                <w:szCs w:val="24"/>
              </w:rPr>
              <w:t>)</w:t>
            </w:r>
          </w:p>
        </w:tc>
        <w:tc>
          <w:tcPr>
            <w:tcW w:w="765" w:type="pct"/>
            <w:vAlign w:val="center"/>
          </w:tcPr>
          <w:p w14:paraId="79EBEBE0"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1.56</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1.01-2.22</w:t>
            </w:r>
            <w:r w:rsidRPr="007F560B">
              <w:rPr>
                <w:rFonts w:eastAsia="宋体" w:cs="宋体"/>
                <w:sz w:val="24"/>
                <w:szCs w:val="24"/>
              </w:rPr>
              <w:t>)</w:t>
            </w:r>
          </w:p>
        </w:tc>
        <w:tc>
          <w:tcPr>
            <w:tcW w:w="301" w:type="pct"/>
            <w:vAlign w:val="center"/>
          </w:tcPr>
          <w:p w14:paraId="6AC4EE7A"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0.426</w:t>
            </w:r>
          </w:p>
        </w:tc>
        <w:tc>
          <w:tcPr>
            <w:tcW w:w="764" w:type="pct"/>
            <w:vAlign w:val="center"/>
          </w:tcPr>
          <w:p w14:paraId="1FFDB323"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1.42</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1.01-2.48</w:t>
            </w:r>
            <w:r w:rsidRPr="007F560B">
              <w:rPr>
                <w:rFonts w:eastAsia="宋体" w:cs="宋体"/>
                <w:color w:val="000000"/>
                <w:sz w:val="24"/>
                <w:szCs w:val="24"/>
              </w:rPr>
              <w:t>)</w:t>
            </w:r>
          </w:p>
        </w:tc>
        <w:tc>
          <w:tcPr>
            <w:tcW w:w="810" w:type="pct"/>
            <w:vAlign w:val="center"/>
          </w:tcPr>
          <w:p w14:paraId="62CE0015"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1.56</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1.01-2.22</w:t>
            </w:r>
            <w:r w:rsidRPr="007F560B">
              <w:rPr>
                <w:rFonts w:eastAsia="宋体" w:cs="宋体"/>
                <w:color w:val="000000"/>
                <w:sz w:val="24"/>
                <w:szCs w:val="24"/>
              </w:rPr>
              <w:t>)</w:t>
            </w:r>
          </w:p>
        </w:tc>
        <w:tc>
          <w:tcPr>
            <w:tcW w:w="356" w:type="pct"/>
            <w:vAlign w:val="center"/>
          </w:tcPr>
          <w:p w14:paraId="13E61294"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0.798</w:t>
            </w:r>
          </w:p>
        </w:tc>
        <w:tc>
          <w:tcPr>
            <w:tcW w:w="406" w:type="pct"/>
            <w:vAlign w:val="center"/>
          </w:tcPr>
          <w:p w14:paraId="7C636F49"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0.11</w:t>
            </w:r>
          </w:p>
        </w:tc>
        <w:tc>
          <w:tcPr>
            <w:tcW w:w="328" w:type="pct"/>
            <w:vAlign w:val="center"/>
          </w:tcPr>
          <w:p w14:paraId="0DB13437"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0.949</w:t>
            </w:r>
          </w:p>
        </w:tc>
      </w:tr>
      <w:tr w:rsidR="007F560B" w:rsidRPr="007F560B" w14:paraId="7CB45E3A" w14:textId="77777777" w:rsidTr="007F560B">
        <w:trPr>
          <w:trHeight w:val="377"/>
          <w:jc w:val="center"/>
        </w:trPr>
        <w:tc>
          <w:tcPr>
            <w:tcW w:w="479" w:type="pct"/>
            <w:vAlign w:val="center"/>
          </w:tcPr>
          <w:p w14:paraId="6E19AEC2"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IL-23</w:t>
            </w:r>
          </w:p>
        </w:tc>
        <w:tc>
          <w:tcPr>
            <w:tcW w:w="791" w:type="pct"/>
            <w:vAlign w:val="center"/>
          </w:tcPr>
          <w:p w14:paraId="6A523C3D"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6.45</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4.37-51.49</w:t>
            </w:r>
            <w:r w:rsidR="002A46C9" w:rsidRPr="007F560B">
              <w:rPr>
                <w:rFonts w:eastAsia="宋体" w:cs="宋体"/>
                <w:color w:val="000000"/>
                <w:sz w:val="24"/>
                <w:szCs w:val="24"/>
              </w:rPr>
              <w:t>)</w:t>
            </w:r>
          </w:p>
        </w:tc>
        <w:tc>
          <w:tcPr>
            <w:tcW w:w="765" w:type="pct"/>
            <w:vAlign w:val="center"/>
          </w:tcPr>
          <w:p w14:paraId="6FDDE26C"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4.37</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4.37-69.89</w:t>
            </w:r>
            <w:r w:rsidRPr="007F560B">
              <w:rPr>
                <w:rFonts w:eastAsia="宋体" w:cs="宋体"/>
                <w:sz w:val="24"/>
                <w:szCs w:val="24"/>
              </w:rPr>
              <w:t>)</w:t>
            </w:r>
          </w:p>
        </w:tc>
        <w:tc>
          <w:tcPr>
            <w:tcW w:w="301" w:type="pct"/>
            <w:vAlign w:val="center"/>
          </w:tcPr>
          <w:p w14:paraId="2E444983"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0.799</w:t>
            </w:r>
          </w:p>
        </w:tc>
        <w:tc>
          <w:tcPr>
            <w:tcW w:w="764" w:type="pct"/>
            <w:vAlign w:val="center"/>
          </w:tcPr>
          <w:p w14:paraId="0CC4FF3C"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63.29</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4.37-373</w:t>
            </w:r>
            <w:r w:rsidRPr="007F560B">
              <w:rPr>
                <w:rFonts w:eastAsia="宋体" w:cs="宋体"/>
                <w:color w:val="000000"/>
                <w:sz w:val="24"/>
                <w:szCs w:val="24"/>
              </w:rPr>
              <w:t>)</w:t>
            </w:r>
          </w:p>
        </w:tc>
        <w:tc>
          <w:tcPr>
            <w:tcW w:w="810" w:type="pct"/>
            <w:vAlign w:val="center"/>
          </w:tcPr>
          <w:p w14:paraId="7C804FB3"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30.43</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4.37-535</w:t>
            </w:r>
            <w:r w:rsidRPr="007F560B">
              <w:rPr>
                <w:rFonts w:eastAsia="宋体" w:cs="宋体"/>
                <w:color w:val="000000"/>
                <w:sz w:val="24"/>
                <w:szCs w:val="24"/>
              </w:rPr>
              <w:t>)</w:t>
            </w:r>
          </w:p>
        </w:tc>
        <w:tc>
          <w:tcPr>
            <w:tcW w:w="356" w:type="pct"/>
            <w:vAlign w:val="center"/>
          </w:tcPr>
          <w:p w14:paraId="617E7AFD"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0.674</w:t>
            </w:r>
          </w:p>
        </w:tc>
        <w:tc>
          <w:tcPr>
            <w:tcW w:w="406" w:type="pct"/>
            <w:vAlign w:val="center"/>
          </w:tcPr>
          <w:p w14:paraId="4C412A94"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0.18</w:t>
            </w:r>
          </w:p>
        </w:tc>
        <w:tc>
          <w:tcPr>
            <w:tcW w:w="328" w:type="pct"/>
            <w:vAlign w:val="center"/>
          </w:tcPr>
          <w:p w14:paraId="7B0B5477"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0.249</w:t>
            </w:r>
          </w:p>
        </w:tc>
      </w:tr>
      <w:tr w:rsidR="007F560B" w:rsidRPr="007F560B" w14:paraId="2F774908" w14:textId="77777777" w:rsidTr="007F560B">
        <w:trPr>
          <w:trHeight w:val="377"/>
          <w:jc w:val="center"/>
        </w:trPr>
        <w:tc>
          <w:tcPr>
            <w:tcW w:w="479" w:type="pct"/>
            <w:vAlign w:val="center"/>
          </w:tcPr>
          <w:p w14:paraId="2E8FC0CC"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IL-16</w:t>
            </w:r>
          </w:p>
        </w:tc>
        <w:tc>
          <w:tcPr>
            <w:tcW w:w="791" w:type="pct"/>
            <w:vAlign w:val="center"/>
          </w:tcPr>
          <w:p w14:paraId="5BE410F9"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37.38</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3.98-82.47</w:t>
            </w:r>
            <w:r w:rsidR="002A46C9" w:rsidRPr="007F560B">
              <w:rPr>
                <w:rFonts w:eastAsia="宋体" w:cs="宋体"/>
                <w:color w:val="000000"/>
                <w:sz w:val="24"/>
                <w:szCs w:val="24"/>
              </w:rPr>
              <w:t>)</w:t>
            </w:r>
          </w:p>
        </w:tc>
        <w:tc>
          <w:tcPr>
            <w:tcW w:w="765" w:type="pct"/>
            <w:vAlign w:val="center"/>
          </w:tcPr>
          <w:p w14:paraId="576C0981"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30.45</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19.15-56.61</w:t>
            </w:r>
            <w:r w:rsidRPr="007F560B">
              <w:rPr>
                <w:rFonts w:eastAsia="宋体" w:cs="宋体"/>
                <w:sz w:val="24"/>
                <w:szCs w:val="24"/>
              </w:rPr>
              <w:t>)</w:t>
            </w:r>
          </w:p>
        </w:tc>
        <w:tc>
          <w:tcPr>
            <w:tcW w:w="301" w:type="pct"/>
            <w:vAlign w:val="center"/>
          </w:tcPr>
          <w:p w14:paraId="66B58D07"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0.331</w:t>
            </w:r>
          </w:p>
        </w:tc>
        <w:tc>
          <w:tcPr>
            <w:tcW w:w="764" w:type="pct"/>
            <w:vAlign w:val="center"/>
          </w:tcPr>
          <w:p w14:paraId="5DF02659"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58.74</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2.7-116</w:t>
            </w:r>
            <w:r w:rsidRPr="007F560B">
              <w:rPr>
                <w:rFonts w:eastAsia="宋体" w:cs="宋体"/>
                <w:color w:val="000000"/>
                <w:sz w:val="24"/>
                <w:szCs w:val="24"/>
              </w:rPr>
              <w:t>)</w:t>
            </w:r>
          </w:p>
        </w:tc>
        <w:tc>
          <w:tcPr>
            <w:tcW w:w="810" w:type="pct"/>
            <w:vAlign w:val="center"/>
          </w:tcPr>
          <w:p w14:paraId="60FC183F"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20.01</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2.7-50.66</w:t>
            </w:r>
            <w:r w:rsidRPr="007F560B">
              <w:rPr>
                <w:rFonts w:eastAsia="宋体" w:cs="宋体"/>
                <w:color w:val="000000"/>
                <w:sz w:val="24"/>
                <w:szCs w:val="24"/>
              </w:rPr>
              <w:t>)</w:t>
            </w:r>
          </w:p>
        </w:tc>
        <w:tc>
          <w:tcPr>
            <w:tcW w:w="356" w:type="pct"/>
            <w:vAlign w:val="center"/>
          </w:tcPr>
          <w:p w14:paraId="423B02A7"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0.26</w:t>
            </w:r>
          </w:p>
        </w:tc>
        <w:tc>
          <w:tcPr>
            <w:tcW w:w="406" w:type="pct"/>
            <w:vAlign w:val="center"/>
          </w:tcPr>
          <w:p w14:paraId="6CE18B5E"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0.969</w:t>
            </w:r>
          </w:p>
        </w:tc>
        <w:tc>
          <w:tcPr>
            <w:tcW w:w="328" w:type="pct"/>
            <w:vAlign w:val="center"/>
          </w:tcPr>
          <w:p w14:paraId="23AC9906"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0.296</w:t>
            </w:r>
          </w:p>
        </w:tc>
      </w:tr>
      <w:tr w:rsidR="007F560B" w:rsidRPr="007F560B" w14:paraId="282C27C7" w14:textId="77777777" w:rsidTr="007F560B">
        <w:trPr>
          <w:trHeight w:val="377"/>
          <w:jc w:val="center"/>
        </w:trPr>
        <w:tc>
          <w:tcPr>
            <w:tcW w:w="479" w:type="pct"/>
            <w:vAlign w:val="center"/>
          </w:tcPr>
          <w:p w14:paraId="0E39872F"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IL-20</w:t>
            </w:r>
          </w:p>
        </w:tc>
        <w:tc>
          <w:tcPr>
            <w:tcW w:w="791" w:type="pct"/>
            <w:vAlign w:val="center"/>
          </w:tcPr>
          <w:p w14:paraId="5003D04B"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23.84</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23.84-23.84</w:t>
            </w:r>
            <w:r w:rsidR="002A46C9" w:rsidRPr="007F560B">
              <w:rPr>
                <w:rFonts w:eastAsia="宋体" w:cs="宋体"/>
                <w:color w:val="000000"/>
                <w:sz w:val="24"/>
                <w:szCs w:val="24"/>
              </w:rPr>
              <w:t>)</w:t>
            </w:r>
          </w:p>
        </w:tc>
        <w:tc>
          <w:tcPr>
            <w:tcW w:w="765" w:type="pct"/>
            <w:vAlign w:val="center"/>
          </w:tcPr>
          <w:p w14:paraId="3D5AAC41"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23.84</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23.84-23.84</w:t>
            </w:r>
            <w:r w:rsidRPr="007F560B">
              <w:rPr>
                <w:rFonts w:eastAsia="宋体" w:cs="宋体"/>
                <w:color w:val="000000"/>
                <w:sz w:val="24"/>
                <w:szCs w:val="24"/>
              </w:rPr>
              <w:t>)</w:t>
            </w:r>
          </w:p>
        </w:tc>
        <w:tc>
          <w:tcPr>
            <w:tcW w:w="301" w:type="pct"/>
            <w:vAlign w:val="center"/>
          </w:tcPr>
          <w:p w14:paraId="5A8F1FBD"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0.197</w:t>
            </w:r>
          </w:p>
        </w:tc>
        <w:tc>
          <w:tcPr>
            <w:tcW w:w="764" w:type="pct"/>
            <w:vAlign w:val="center"/>
          </w:tcPr>
          <w:p w14:paraId="3FC1859A"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23.84</w:t>
            </w:r>
            <w:r w:rsidRPr="007F560B">
              <w:rPr>
                <w:rFonts w:eastAsiaTheme="minorEastAsia"/>
                <w:color w:val="000000"/>
                <w:sz w:val="24"/>
                <w:szCs w:val="24"/>
              </w:rPr>
              <w:t xml:space="preserve"> </w:t>
            </w:r>
            <w:r w:rsidRPr="007F560B">
              <w:rPr>
                <w:rFonts w:eastAsia="宋体" w:cs="宋体"/>
                <w:color w:val="000000"/>
                <w:sz w:val="24"/>
                <w:szCs w:val="24"/>
              </w:rPr>
              <w:t>(</w:t>
            </w:r>
            <w:r w:rsidRPr="007F560B">
              <w:rPr>
                <w:color w:val="000000"/>
                <w:sz w:val="24"/>
                <w:szCs w:val="24"/>
              </w:rPr>
              <w:t>23.84-3</w:t>
            </w:r>
            <w:r w:rsidR="002A46C9" w:rsidRPr="007F560B">
              <w:rPr>
                <w:color w:val="000000"/>
                <w:sz w:val="24"/>
                <w:szCs w:val="24"/>
              </w:rPr>
              <w:t>8</w:t>
            </w:r>
            <w:r w:rsidRPr="007F560B">
              <w:rPr>
                <w:rFonts w:eastAsiaTheme="minorEastAsia"/>
                <w:color w:val="000000"/>
                <w:sz w:val="24"/>
                <w:szCs w:val="24"/>
              </w:rPr>
              <w:t>.</w:t>
            </w:r>
            <w:r w:rsidR="002A46C9" w:rsidRPr="007F560B">
              <w:rPr>
                <w:color w:val="000000"/>
                <w:sz w:val="24"/>
                <w:szCs w:val="24"/>
              </w:rPr>
              <w:t>4</w:t>
            </w:r>
            <w:r w:rsidRPr="007F560B">
              <w:rPr>
                <w:rFonts w:eastAsia="宋体" w:cs="宋体"/>
                <w:color w:val="000000"/>
                <w:sz w:val="24"/>
                <w:szCs w:val="24"/>
              </w:rPr>
              <w:t>)</w:t>
            </w:r>
          </w:p>
        </w:tc>
        <w:tc>
          <w:tcPr>
            <w:tcW w:w="810" w:type="pct"/>
            <w:vAlign w:val="center"/>
          </w:tcPr>
          <w:p w14:paraId="7E2F4D04"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23.84</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23.84-23.84</w:t>
            </w:r>
            <w:r w:rsidRPr="007F560B">
              <w:rPr>
                <w:rFonts w:eastAsia="宋体" w:cs="宋体"/>
                <w:color w:val="000000"/>
                <w:sz w:val="24"/>
                <w:szCs w:val="24"/>
              </w:rPr>
              <w:t>)</w:t>
            </w:r>
          </w:p>
        </w:tc>
        <w:tc>
          <w:tcPr>
            <w:tcW w:w="356" w:type="pct"/>
            <w:vAlign w:val="center"/>
          </w:tcPr>
          <w:p w14:paraId="77AA9E1E"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0.655</w:t>
            </w:r>
          </w:p>
        </w:tc>
        <w:tc>
          <w:tcPr>
            <w:tcW w:w="406" w:type="pct"/>
            <w:vAlign w:val="center"/>
          </w:tcPr>
          <w:p w14:paraId="6780D4EA"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0.678</w:t>
            </w:r>
          </w:p>
        </w:tc>
        <w:tc>
          <w:tcPr>
            <w:tcW w:w="328" w:type="pct"/>
            <w:vAlign w:val="center"/>
          </w:tcPr>
          <w:p w14:paraId="54750420"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1</w:t>
            </w:r>
          </w:p>
        </w:tc>
      </w:tr>
      <w:tr w:rsidR="007F560B" w:rsidRPr="007F560B" w14:paraId="21DD19D2" w14:textId="77777777" w:rsidTr="007F560B">
        <w:trPr>
          <w:trHeight w:val="377"/>
          <w:jc w:val="center"/>
        </w:trPr>
        <w:tc>
          <w:tcPr>
            <w:tcW w:w="479" w:type="pct"/>
            <w:vAlign w:val="center"/>
          </w:tcPr>
          <w:p w14:paraId="40FEC334"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IL-21</w:t>
            </w:r>
          </w:p>
        </w:tc>
        <w:tc>
          <w:tcPr>
            <w:tcW w:w="791" w:type="pct"/>
            <w:vAlign w:val="center"/>
          </w:tcPr>
          <w:p w14:paraId="0893676E"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2.63</w:t>
            </w:r>
            <w:r w:rsidR="003D4E45" w:rsidRPr="007F560B">
              <w:rPr>
                <w:rFonts w:eastAsiaTheme="minorEastAsia"/>
                <w:color w:val="000000"/>
                <w:sz w:val="24"/>
                <w:szCs w:val="24"/>
              </w:rPr>
              <w:t xml:space="preserve"> </w:t>
            </w:r>
            <w:r w:rsidR="003D4E45" w:rsidRPr="007F560B">
              <w:rPr>
                <w:rFonts w:eastAsia="宋体" w:cs="宋体"/>
                <w:color w:val="000000"/>
                <w:sz w:val="24"/>
                <w:szCs w:val="24"/>
              </w:rPr>
              <w:t>(</w:t>
            </w:r>
            <w:r w:rsidRPr="007F560B">
              <w:rPr>
                <w:color w:val="000000"/>
                <w:sz w:val="24"/>
                <w:szCs w:val="24"/>
              </w:rPr>
              <w:t>2.63-2.63</w:t>
            </w:r>
            <w:r w:rsidRPr="007F560B">
              <w:rPr>
                <w:rFonts w:eastAsia="宋体" w:cs="宋体"/>
                <w:color w:val="000000"/>
                <w:sz w:val="24"/>
                <w:szCs w:val="24"/>
              </w:rPr>
              <w:t>)</w:t>
            </w:r>
          </w:p>
        </w:tc>
        <w:tc>
          <w:tcPr>
            <w:tcW w:w="765" w:type="pct"/>
            <w:vAlign w:val="center"/>
          </w:tcPr>
          <w:p w14:paraId="19F389A8"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2.63</w:t>
            </w:r>
            <w:r w:rsidR="003D4E45" w:rsidRPr="007F560B">
              <w:rPr>
                <w:rFonts w:eastAsiaTheme="minorEastAsia"/>
                <w:color w:val="000000"/>
                <w:sz w:val="24"/>
                <w:szCs w:val="24"/>
              </w:rPr>
              <w:t xml:space="preserve"> </w:t>
            </w:r>
            <w:r w:rsidR="003D4E45" w:rsidRPr="007F560B">
              <w:rPr>
                <w:rFonts w:eastAsia="宋体" w:cs="宋体"/>
                <w:color w:val="000000"/>
                <w:sz w:val="24"/>
                <w:szCs w:val="24"/>
              </w:rPr>
              <w:t>(</w:t>
            </w:r>
            <w:r w:rsidRPr="007F560B">
              <w:rPr>
                <w:color w:val="000000"/>
                <w:sz w:val="24"/>
                <w:szCs w:val="24"/>
              </w:rPr>
              <w:t>2.63-2.63</w:t>
            </w:r>
            <w:r w:rsidR="003D4E45" w:rsidRPr="007F560B">
              <w:rPr>
                <w:rFonts w:eastAsia="宋体" w:cs="宋体"/>
                <w:color w:val="000000"/>
                <w:sz w:val="24"/>
                <w:szCs w:val="24"/>
              </w:rPr>
              <w:t>)</w:t>
            </w:r>
          </w:p>
        </w:tc>
        <w:tc>
          <w:tcPr>
            <w:tcW w:w="301" w:type="pct"/>
            <w:vAlign w:val="center"/>
          </w:tcPr>
          <w:p w14:paraId="2EF4A954"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0.317</w:t>
            </w:r>
          </w:p>
        </w:tc>
        <w:tc>
          <w:tcPr>
            <w:tcW w:w="764" w:type="pct"/>
            <w:vAlign w:val="center"/>
          </w:tcPr>
          <w:p w14:paraId="7B10D74D"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2.63</w:t>
            </w:r>
            <w:r w:rsidR="003D4E45" w:rsidRPr="007F560B">
              <w:rPr>
                <w:rFonts w:eastAsiaTheme="minorEastAsia"/>
                <w:color w:val="000000"/>
                <w:sz w:val="24"/>
                <w:szCs w:val="24"/>
              </w:rPr>
              <w:t xml:space="preserve"> </w:t>
            </w:r>
            <w:r w:rsidR="003D4E45" w:rsidRPr="007F560B">
              <w:rPr>
                <w:rFonts w:eastAsia="宋体" w:cs="宋体"/>
                <w:color w:val="000000"/>
                <w:sz w:val="24"/>
                <w:szCs w:val="24"/>
              </w:rPr>
              <w:t>(</w:t>
            </w:r>
            <w:r w:rsidRPr="007F560B">
              <w:rPr>
                <w:color w:val="000000"/>
                <w:sz w:val="24"/>
                <w:szCs w:val="24"/>
              </w:rPr>
              <w:t>2.63-2.63</w:t>
            </w:r>
            <w:r w:rsidR="003D4E45" w:rsidRPr="007F560B">
              <w:rPr>
                <w:rFonts w:eastAsia="宋体" w:cs="宋体"/>
                <w:color w:val="000000"/>
                <w:sz w:val="24"/>
                <w:szCs w:val="24"/>
              </w:rPr>
              <w:t>)</w:t>
            </w:r>
          </w:p>
        </w:tc>
        <w:tc>
          <w:tcPr>
            <w:tcW w:w="810" w:type="pct"/>
            <w:vAlign w:val="center"/>
          </w:tcPr>
          <w:p w14:paraId="5020925E"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2.63</w:t>
            </w:r>
            <w:r w:rsidR="003D4E45" w:rsidRPr="007F560B">
              <w:rPr>
                <w:rFonts w:eastAsiaTheme="minorEastAsia"/>
                <w:color w:val="000000"/>
                <w:sz w:val="24"/>
                <w:szCs w:val="24"/>
              </w:rPr>
              <w:t xml:space="preserve"> </w:t>
            </w:r>
            <w:r w:rsidR="003D4E45" w:rsidRPr="007F560B">
              <w:rPr>
                <w:rFonts w:eastAsia="宋体" w:cs="宋体"/>
                <w:color w:val="000000"/>
                <w:sz w:val="24"/>
                <w:szCs w:val="24"/>
              </w:rPr>
              <w:t>(</w:t>
            </w:r>
            <w:r w:rsidRPr="007F560B">
              <w:rPr>
                <w:color w:val="000000"/>
                <w:sz w:val="24"/>
                <w:szCs w:val="24"/>
              </w:rPr>
              <w:t>2.63-2.63</w:t>
            </w:r>
            <w:r w:rsidR="003D4E45" w:rsidRPr="007F560B">
              <w:rPr>
                <w:rFonts w:eastAsia="宋体" w:cs="宋体"/>
                <w:color w:val="000000"/>
                <w:sz w:val="24"/>
                <w:szCs w:val="24"/>
              </w:rPr>
              <w:t>)</w:t>
            </w:r>
          </w:p>
        </w:tc>
        <w:tc>
          <w:tcPr>
            <w:tcW w:w="356" w:type="pct"/>
            <w:vAlign w:val="center"/>
          </w:tcPr>
          <w:p w14:paraId="0C9C017C"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0.317</w:t>
            </w:r>
          </w:p>
        </w:tc>
        <w:tc>
          <w:tcPr>
            <w:tcW w:w="406" w:type="pct"/>
            <w:vAlign w:val="center"/>
          </w:tcPr>
          <w:p w14:paraId="57F1A3A6"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0.423</w:t>
            </w:r>
          </w:p>
        </w:tc>
        <w:tc>
          <w:tcPr>
            <w:tcW w:w="328" w:type="pct"/>
            <w:vAlign w:val="center"/>
          </w:tcPr>
          <w:p w14:paraId="6C1FFA95"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0.746</w:t>
            </w:r>
          </w:p>
        </w:tc>
      </w:tr>
      <w:tr w:rsidR="007F560B" w:rsidRPr="007F560B" w14:paraId="1EB3A2AD" w14:textId="77777777" w:rsidTr="007F560B">
        <w:trPr>
          <w:trHeight w:val="377"/>
          <w:jc w:val="center"/>
        </w:trPr>
        <w:tc>
          <w:tcPr>
            <w:tcW w:w="479" w:type="pct"/>
            <w:vAlign w:val="center"/>
          </w:tcPr>
          <w:p w14:paraId="3A345226"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IL-28a</w:t>
            </w:r>
          </w:p>
        </w:tc>
        <w:tc>
          <w:tcPr>
            <w:tcW w:w="791" w:type="pct"/>
            <w:vAlign w:val="center"/>
          </w:tcPr>
          <w:p w14:paraId="044052E0"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0.99</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0.99-3.14</w:t>
            </w:r>
            <w:r w:rsidR="002A46C9" w:rsidRPr="007F560B">
              <w:rPr>
                <w:rFonts w:eastAsia="宋体" w:cs="宋体"/>
                <w:color w:val="000000"/>
                <w:sz w:val="24"/>
                <w:szCs w:val="24"/>
              </w:rPr>
              <w:t>)</w:t>
            </w:r>
          </w:p>
        </w:tc>
        <w:tc>
          <w:tcPr>
            <w:tcW w:w="765" w:type="pct"/>
            <w:vAlign w:val="center"/>
          </w:tcPr>
          <w:p w14:paraId="32B81166"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0.99</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0.99-4.48</w:t>
            </w:r>
            <w:r w:rsidRPr="007F560B">
              <w:rPr>
                <w:rFonts w:eastAsia="宋体" w:cs="宋体"/>
                <w:sz w:val="24"/>
                <w:szCs w:val="24"/>
              </w:rPr>
              <w:t>)</w:t>
            </w:r>
          </w:p>
        </w:tc>
        <w:tc>
          <w:tcPr>
            <w:tcW w:w="301" w:type="pct"/>
            <w:vAlign w:val="center"/>
          </w:tcPr>
          <w:p w14:paraId="5A804E78"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0.753</w:t>
            </w:r>
          </w:p>
        </w:tc>
        <w:tc>
          <w:tcPr>
            <w:tcW w:w="764" w:type="pct"/>
            <w:vAlign w:val="center"/>
          </w:tcPr>
          <w:p w14:paraId="074F3853"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0.99</w:t>
            </w:r>
            <w:r w:rsidRPr="007F560B">
              <w:rPr>
                <w:rFonts w:eastAsiaTheme="minorEastAsia"/>
                <w:color w:val="000000"/>
                <w:sz w:val="24"/>
                <w:szCs w:val="24"/>
              </w:rPr>
              <w:t xml:space="preserve"> </w:t>
            </w:r>
            <w:r w:rsidRPr="007F560B">
              <w:rPr>
                <w:rFonts w:eastAsia="宋体" w:cs="宋体"/>
                <w:color w:val="000000"/>
                <w:sz w:val="24"/>
                <w:szCs w:val="24"/>
              </w:rPr>
              <w:t>(</w:t>
            </w:r>
            <w:r w:rsidRPr="007F560B">
              <w:rPr>
                <w:color w:val="000000"/>
                <w:sz w:val="24"/>
                <w:szCs w:val="24"/>
              </w:rPr>
              <w:t>0</w:t>
            </w:r>
            <w:r w:rsidRPr="007F560B">
              <w:rPr>
                <w:rFonts w:eastAsiaTheme="minorEastAsia"/>
                <w:color w:val="000000"/>
                <w:sz w:val="24"/>
                <w:szCs w:val="24"/>
              </w:rPr>
              <w:t>.</w:t>
            </w:r>
            <w:r w:rsidR="002A46C9" w:rsidRPr="007F560B">
              <w:rPr>
                <w:color w:val="000000"/>
                <w:sz w:val="24"/>
                <w:szCs w:val="24"/>
              </w:rPr>
              <w:t>99-16.49</w:t>
            </w:r>
            <w:r w:rsidRPr="007F560B">
              <w:rPr>
                <w:rFonts w:eastAsia="宋体" w:cs="宋体"/>
                <w:color w:val="000000"/>
                <w:sz w:val="24"/>
                <w:szCs w:val="24"/>
              </w:rPr>
              <w:t>)</w:t>
            </w:r>
          </w:p>
        </w:tc>
        <w:tc>
          <w:tcPr>
            <w:tcW w:w="810" w:type="pct"/>
            <w:vAlign w:val="center"/>
          </w:tcPr>
          <w:p w14:paraId="05307CC2"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0.99</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0.99-5.95</w:t>
            </w:r>
            <w:r w:rsidRPr="007F560B">
              <w:rPr>
                <w:rFonts w:eastAsia="宋体" w:cs="宋体"/>
                <w:color w:val="000000"/>
                <w:sz w:val="24"/>
                <w:szCs w:val="24"/>
              </w:rPr>
              <w:t>)</w:t>
            </w:r>
          </w:p>
        </w:tc>
        <w:tc>
          <w:tcPr>
            <w:tcW w:w="356" w:type="pct"/>
            <w:vAlign w:val="center"/>
          </w:tcPr>
          <w:p w14:paraId="302EBF39"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0.686</w:t>
            </w:r>
          </w:p>
        </w:tc>
        <w:tc>
          <w:tcPr>
            <w:tcW w:w="406" w:type="pct"/>
            <w:vAlign w:val="center"/>
          </w:tcPr>
          <w:p w14:paraId="0C6AAFA6"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0.47</w:t>
            </w:r>
          </w:p>
        </w:tc>
        <w:tc>
          <w:tcPr>
            <w:tcW w:w="328" w:type="pct"/>
            <w:vAlign w:val="center"/>
          </w:tcPr>
          <w:p w14:paraId="73E120C9"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0.99</w:t>
            </w:r>
          </w:p>
        </w:tc>
      </w:tr>
      <w:tr w:rsidR="007F560B" w:rsidRPr="007F560B" w14:paraId="62234FAC" w14:textId="77777777" w:rsidTr="007F560B">
        <w:trPr>
          <w:trHeight w:val="377"/>
          <w:jc w:val="center"/>
        </w:trPr>
        <w:tc>
          <w:tcPr>
            <w:tcW w:w="479" w:type="pct"/>
            <w:vAlign w:val="center"/>
          </w:tcPr>
          <w:p w14:paraId="6C7490CD"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IL-33</w:t>
            </w:r>
          </w:p>
        </w:tc>
        <w:tc>
          <w:tcPr>
            <w:tcW w:w="791" w:type="pct"/>
            <w:vAlign w:val="center"/>
          </w:tcPr>
          <w:p w14:paraId="4EE3ED07"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5.78</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5.78-11.23</w:t>
            </w:r>
            <w:r w:rsidR="002A46C9" w:rsidRPr="007F560B">
              <w:rPr>
                <w:rFonts w:eastAsia="宋体" w:cs="宋体"/>
                <w:color w:val="000000"/>
                <w:sz w:val="24"/>
                <w:szCs w:val="24"/>
              </w:rPr>
              <w:t>)</w:t>
            </w:r>
          </w:p>
        </w:tc>
        <w:tc>
          <w:tcPr>
            <w:tcW w:w="765" w:type="pct"/>
            <w:vAlign w:val="center"/>
          </w:tcPr>
          <w:p w14:paraId="1908F665"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5.78</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5.78-7.26</w:t>
            </w:r>
            <w:r w:rsidRPr="007F560B">
              <w:rPr>
                <w:rFonts w:eastAsia="宋体" w:cs="宋体"/>
                <w:sz w:val="24"/>
                <w:szCs w:val="24"/>
              </w:rPr>
              <w:t>)</w:t>
            </w:r>
          </w:p>
        </w:tc>
        <w:tc>
          <w:tcPr>
            <w:tcW w:w="301" w:type="pct"/>
            <w:vAlign w:val="center"/>
          </w:tcPr>
          <w:p w14:paraId="07E133CC"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0.686</w:t>
            </w:r>
          </w:p>
        </w:tc>
        <w:tc>
          <w:tcPr>
            <w:tcW w:w="764" w:type="pct"/>
            <w:vAlign w:val="center"/>
          </w:tcPr>
          <w:p w14:paraId="658CC7F0"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5.78</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5.78-46.66</w:t>
            </w:r>
            <w:r w:rsidRPr="007F560B">
              <w:rPr>
                <w:rFonts w:eastAsia="宋体" w:cs="宋体"/>
                <w:color w:val="000000"/>
                <w:sz w:val="24"/>
                <w:szCs w:val="24"/>
              </w:rPr>
              <w:t>)</w:t>
            </w:r>
          </w:p>
        </w:tc>
        <w:tc>
          <w:tcPr>
            <w:tcW w:w="810" w:type="pct"/>
            <w:vAlign w:val="center"/>
          </w:tcPr>
          <w:p w14:paraId="64DF302E"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5.78</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5.78-69.88</w:t>
            </w:r>
            <w:r w:rsidRPr="007F560B">
              <w:rPr>
                <w:rFonts w:eastAsia="宋体" w:cs="宋体"/>
                <w:color w:val="000000"/>
                <w:sz w:val="24"/>
                <w:szCs w:val="24"/>
              </w:rPr>
              <w:t>)</w:t>
            </w:r>
          </w:p>
        </w:tc>
        <w:tc>
          <w:tcPr>
            <w:tcW w:w="356" w:type="pct"/>
            <w:vAlign w:val="center"/>
          </w:tcPr>
          <w:p w14:paraId="6148476D"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0.686</w:t>
            </w:r>
          </w:p>
        </w:tc>
        <w:tc>
          <w:tcPr>
            <w:tcW w:w="406" w:type="pct"/>
            <w:vAlign w:val="center"/>
          </w:tcPr>
          <w:p w14:paraId="2CE8FDF6"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0.3</w:t>
            </w:r>
          </w:p>
        </w:tc>
        <w:tc>
          <w:tcPr>
            <w:tcW w:w="328" w:type="pct"/>
            <w:vAlign w:val="center"/>
          </w:tcPr>
          <w:p w14:paraId="01638649"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0.476</w:t>
            </w:r>
          </w:p>
        </w:tc>
      </w:tr>
      <w:tr w:rsidR="007F560B" w:rsidRPr="007F560B" w14:paraId="4886BC0A" w14:textId="77777777" w:rsidTr="007F560B">
        <w:trPr>
          <w:trHeight w:val="377"/>
          <w:jc w:val="center"/>
        </w:trPr>
        <w:tc>
          <w:tcPr>
            <w:tcW w:w="479" w:type="pct"/>
            <w:vAlign w:val="center"/>
          </w:tcPr>
          <w:p w14:paraId="7FB45951"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lastRenderedPageBreak/>
              <w:t>LIF</w:t>
            </w:r>
          </w:p>
        </w:tc>
        <w:tc>
          <w:tcPr>
            <w:tcW w:w="791" w:type="pct"/>
            <w:vAlign w:val="center"/>
          </w:tcPr>
          <w:p w14:paraId="44D369F1"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3.12</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1.66-4.29</w:t>
            </w:r>
            <w:r w:rsidR="002A46C9" w:rsidRPr="007F560B">
              <w:rPr>
                <w:rFonts w:eastAsia="宋体" w:cs="宋体"/>
                <w:color w:val="000000"/>
                <w:sz w:val="24"/>
                <w:szCs w:val="24"/>
              </w:rPr>
              <w:t>)</w:t>
            </w:r>
          </w:p>
        </w:tc>
        <w:tc>
          <w:tcPr>
            <w:tcW w:w="765" w:type="pct"/>
            <w:vAlign w:val="center"/>
          </w:tcPr>
          <w:p w14:paraId="7D942394"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2.77</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1.6-3.26</w:t>
            </w:r>
            <w:r w:rsidRPr="007F560B">
              <w:rPr>
                <w:rFonts w:eastAsia="宋体" w:cs="宋体"/>
                <w:sz w:val="24"/>
                <w:szCs w:val="24"/>
              </w:rPr>
              <w:t>)</w:t>
            </w:r>
          </w:p>
        </w:tc>
        <w:tc>
          <w:tcPr>
            <w:tcW w:w="301" w:type="pct"/>
            <w:vAlign w:val="center"/>
          </w:tcPr>
          <w:p w14:paraId="3725ED96"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0.691</w:t>
            </w:r>
          </w:p>
        </w:tc>
        <w:tc>
          <w:tcPr>
            <w:tcW w:w="764" w:type="pct"/>
            <w:vAlign w:val="center"/>
          </w:tcPr>
          <w:p w14:paraId="4518610B"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1.91</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0.98-4.66</w:t>
            </w:r>
            <w:r w:rsidRPr="007F560B">
              <w:rPr>
                <w:rFonts w:eastAsia="宋体" w:cs="宋体"/>
                <w:color w:val="000000"/>
                <w:sz w:val="24"/>
                <w:szCs w:val="24"/>
              </w:rPr>
              <w:t>)</w:t>
            </w:r>
          </w:p>
        </w:tc>
        <w:tc>
          <w:tcPr>
            <w:tcW w:w="810" w:type="pct"/>
            <w:vAlign w:val="center"/>
          </w:tcPr>
          <w:p w14:paraId="534FBCC2"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2.3</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1.31-3.69</w:t>
            </w:r>
            <w:r w:rsidRPr="007F560B">
              <w:rPr>
                <w:rFonts w:eastAsia="宋体" w:cs="宋体"/>
                <w:color w:val="000000"/>
                <w:sz w:val="24"/>
                <w:szCs w:val="24"/>
              </w:rPr>
              <w:t>)</w:t>
            </w:r>
          </w:p>
        </w:tc>
        <w:tc>
          <w:tcPr>
            <w:tcW w:w="356" w:type="pct"/>
            <w:vAlign w:val="center"/>
          </w:tcPr>
          <w:p w14:paraId="35094F8B"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0.441</w:t>
            </w:r>
          </w:p>
        </w:tc>
        <w:tc>
          <w:tcPr>
            <w:tcW w:w="406" w:type="pct"/>
            <w:vAlign w:val="center"/>
          </w:tcPr>
          <w:p w14:paraId="413D6502"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0.263</w:t>
            </w:r>
          </w:p>
        </w:tc>
        <w:tc>
          <w:tcPr>
            <w:tcW w:w="328" w:type="pct"/>
            <w:vAlign w:val="center"/>
          </w:tcPr>
          <w:p w14:paraId="6B58CB93"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0.711</w:t>
            </w:r>
          </w:p>
        </w:tc>
      </w:tr>
      <w:tr w:rsidR="007F560B" w:rsidRPr="007F560B" w14:paraId="0A06CE58" w14:textId="77777777" w:rsidTr="007F560B">
        <w:trPr>
          <w:trHeight w:val="377"/>
          <w:jc w:val="center"/>
        </w:trPr>
        <w:tc>
          <w:tcPr>
            <w:tcW w:w="479" w:type="pct"/>
            <w:vAlign w:val="center"/>
          </w:tcPr>
          <w:p w14:paraId="73E8AC5D"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MCP-2</w:t>
            </w:r>
          </w:p>
        </w:tc>
        <w:tc>
          <w:tcPr>
            <w:tcW w:w="791" w:type="pct"/>
            <w:vAlign w:val="center"/>
          </w:tcPr>
          <w:p w14:paraId="402958BB"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14.99</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9.58-26.36</w:t>
            </w:r>
            <w:r w:rsidR="002A46C9" w:rsidRPr="007F560B">
              <w:rPr>
                <w:rFonts w:eastAsia="宋体" w:cs="宋体"/>
                <w:color w:val="000000"/>
                <w:sz w:val="24"/>
                <w:szCs w:val="24"/>
              </w:rPr>
              <w:t>)</w:t>
            </w:r>
          </w:p>
        </w:tc>
        <w:tc>
          <w:tcPr>
            <w:tcW w:w="765" w:type="pct"/>
            <w:vAlign w:val="center"/>
          </w:tcPr>
          <w:p w14:paraId="0D3DDBF9"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14.52</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11.04-29.02</w:t>
            </w:r>
            <w:r w:rsidRPr="007F560B">
              <w:rPr>
                <w:rFonts w:eastAsia="宋体" w:cs="宋体"/>
                <w:sz w:val="24"/>
                <w:szCs w:val="24"/>
              </w:rPr>
              <w:t>)</w:t>
            </w:r>
          </w:p>
        </w:tc>
        <w:tc>
          <w:tcPr>
            <w:tcW w:w="301" w:type="pct"/>
            <w:vAlign w:val="center"/>
          </w:tcPr>
          <w:p w14:paraId="192C915D"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0.427</w:t>
            </w:r>
          </w:p>
        </w:tc>
        <w:tc>
          <w:tcPr>
            <w:tcW w:w="764" w:type="pct"/>
            <w:vAlign w:val="center"/>
          </w:tcPr>
          <w:p w14:paraId="5DD14F36"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8.72</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6.74-21.44</w:t>
            </w:r>
            <w:r w:rsidRPr="007F560B">
              <w:rPr>
                <w:rFonts w:eastAsia="宋体" w:cs="宋体"/>
                <w:color w:val="000000"/>
                <w:sz w:val="24"/>
                <w:szCs w:val="24"/>
              </w:rPr>
              <w:t>)</w:t>
            </w:r>
          </w:p>
        </w:tc>
        <w:tc>
          <w:tcPr>
            <w:tcW w:w="810" w:type="pct"/>
            <w:vAlign w:val="center"/>
          </w:tcPr>
          <w:p w14:paraId="41D8ADD3"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18.27</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10.62-26.93</w:t>
            </w:r>
            <w:r w:rsidRPr="007F560B">
              <w:rPr>
                <w:rFonts w:eastAsia="宋体" w:cs="宋体"/>
                <w:color w:val="000000"/>
                <w:sz w:val="24"/>
                <w:szCs w:val="24"/>
              </w:rPr>
              <w:t>)</w:t>
            </w:r>
          </w:p>
        </w:tc>
        <w:tc>
          <w:tcPr>
            <w:tcW w:w="356" w:type="pct"/>
            <w:vAlign w:val="center"/>
          </w:tcPr>
          <w:p w14:paraId="30913E03"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0.328</w:t>
            </w:r>
          </w:p>
        </w:tc>
        <w:tc>
          <w:tcPr>
            <w:tcW w:w="406" w:type="pct"/>
            <w:vAlign w:val="center"/>
          </w:tcPr>
          <w:p w14:paraId="4F04C212"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0.232</w:t>
            </w:r>
          </w:p>
        </w:tc>
        <w:tc>
          <w:tcPr>
            <w:tcW w:w="328" w:type="pct"/>
            <w:vAlign w:val="center"/>
          </w:tcPr>
          <w:p w14:paraId="0496033C"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0.848</w:t>
            </w:r>
          </w:p>
        </w:tc>
      </w:tr>
      <w:tr w:rsidR="007F560B" w:rsidRPr="007F560B" w14:paraId="39341558" w14:textId="77777777" w:rsidTr="007F560B">
        <w:trPr>
          <w:trHeight w:val="377"/>
          <w:jc w:val="center"/>
        </w:trPr>
        <w:tc>
          <w:tcPr>
            <w:tcW w:w="479" w:type="pct"/>
            <w:vAlign w:val="center"/>
          </w:tcPr>
          <w:p w14:paraId="4226CCA0"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MCP-4</w:t>
            </w:r>
          </w:p>
        </w:tc>
        <w:tc>
          <w:tcPr>
            <w:tcW w:w="791" w:type="pct"/>
            <w:vAlign w:val="center"/>
          </w:tcPr>
          <w:p w14:paraId="6584FAFA"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22.38</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14.89-33.87</w:t>
            </w:r>
            <w:r w:rsidR="002A46C9" w:rsidRPr="007F560B">
              <w:rPr>
                <w:rFonts w:eastAsia="宋体" w:cs="宋体"/>
                <w:color w:val="000000"/>
                <w:sz w:val="24"/>
                <w:szCs w:val="24"/>
              </w:rPr>
              <w:t>)</w:t>
            </w:r>
          </w:p>
        </w:tc>
        <w:tc>
          <w:tcPr>
            <w:tcW w:w="765" w:type="pct"/>
            <w:vAlign w:val="center"/>
          </w:tcPr>
          <w:p w14:paraId="399D3564"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22.14</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14.07-32.12</w:t>
            </w:r>
            <w:r w:rsidRPr="007F560B">
              <w:rPr>
                <w:rFonts w:eastAsia="宋体" w:cs="宋体"/>
                <w:sz w:val="24"/>
                <w:szCs w:val="24"/>
              </w:rPr>
              <w:t>)</w:t>
            </w:r>
          </w:p>
        </w:tc>
        <w:tc>
          <w:tcPr>
            <w:tcW w:w="301" w:type="pct"/>
            <w:vAlign w:val="center"/>
          </w:tcPr>
          <w:p w14:paraId="5F161EBC"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0.955</w:t>
            </w:r>
          </w:p>
        </w:tc>
        <w:tc>
          <w:tcPr>
            <w:tcW w:w="764" w:type="pct"/>
            <w:vAlign w:val="center"/>
          </w:tcPr>
          <w:p w14:paraId="6EA5F13A"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16.78</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9.47-25.28</w:t>
            </w:r>
            <w:r w:rsidRPr="007F560B">
              <w:rPr>
                <w:rFonts w:eastAsia="宋体" w:cs="宋体"/>
                <w:color w:val="000000"/>
                <w:sz w:val="24"/>
                <w:szCs w:val="24"/>
              </w:rPr>
              <w:t>)</w:t>
            </w:r>
          </w:p>
        </w:tc>
        <w:tc>
          <w:tcPr>
            <w:tcW w:w="810" w:type="pct"/>
            <w:vAlign w:val="center"/>
          </w:tcPr>
          <w:p w14:paraId="6F244397"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19.38</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10.36-34.95</w:t>
            </w:r>
            <w:r w:rsidRPr="007F560B">
              <w:rPr>
                <w:rFonts w:eastAsia="宋体" w:cs="宋体"/>
                <w:color w:val="000000"/>
                <w:sz w:val="24"/>
                <w:szCs w:val="24"/>
              </w:rPr>
              <w:t>)</w:t>
            </w:r>
          </w:p>
        </w:tc>
        <w:tc>
          <w:tcPr>
            <w:tcW w:w="356" w:type="pct"/>
            <w:vAlign w:val="center"/>
          </w:tcPr>
          <w:p w14:paraId="5D41EC11"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0.093</w:t>
            </w:r>
          </w:p>
        </w:tc>
        <w:tc>
          <w:tcPr>
            <w:tcW w:w="406" w:type="pct"/>
            <w:vAlign w:val="center"/>
          </w:tcPr>
          <w:p w14:paraId="450A3DE3"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0.124</w:t>
            </w:r>
          </w:p>
        </w:tc>
        <w:tc>
          <w:tcPr>
            <w:tcW w:w="328" w:type="pct"/>
            <w:vAlign w:val="center"/>
          </w:tcPr>
          <w:p w14:paraId="34F51504"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0.769</w:t>
            </w:r>
          </w:p>
        </w:tc>
      </w:tr>
      <w:tr w:rsidR="007F560B" w:rsidRPr="007F560B" w14:paraId="1099ACB0" w14:textId="77777777" w:rsidTr="007F560B">
        <w:trPr>
          <w:trHeight w:val="377"/>
          <w:jc w:val="center"/>
        </w:trPr>
        <w:tc>
          <w:tcPr>
            <w:tcW w:w="479" w:type="pct"/>
            <w:vAlign w:val="center"/>
          </w:tcPr>
          <w:p w14:paraId="1E23911C"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MIP-1d</w:t>
            </w:r>
          </w:p>
        </w:tc>
        <w:tc>
          <w:tcPr>
            <w:tcW w:w="791" w:type="pct"/>
            <w:vAlign w:val="center"/>
          </w:tcPr>
          <w:p w14:paraId="5582A53B"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2230</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834-2998</w:t>
            </w:r>
            <w:r w:rsidR="002A46C9" w:rsidRPr="007F560B">
              <w:rPr>
                <w:rFonts w:eastAsia="宋体" w:cs="宋体"/>
                <w:color w:val="000000"/>
                <w:sz w:val="24"/>
                <w:szCs w:val="24"/>
              </w:rPr>
              <w:t>)</w:t>
            </w:r>
          </w:p>
        </w:tc>
        <w:tc>
          <w:tcPr>
            <w:tcW w:w="765" w:type="pct"/>
            <w:vAlign w:val="center"/>
          </w:tcPr>
          <w:p w14:paraId="10099BE8"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1682</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1005-2639</w:t>
            </w:r>
            <w:r w:rsidRPr="007F560B">
              <w:rPr>
                <w:rFonts w:eastAsia="宋体" w:cs="宋体"/>
                <w:sz w:val="24"/>
                <w:szCs w:val="24"/>
              </w:rPr>
              <w:t>)</w:t>
            </w:r>
          </w:p>
        </w:tc>
        <w:tc>
          <w:tcPr>
            <w:tcW w:w="301" w:type="pct"/>
            <w:vAlign w:val="center"/>
          </w:tcPr>
          <w:p w14:paraId="5BAED418"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0.496</w:t>
            </w:r>
          </w:p>
        </w:tc>
        <w:tc>
          <w:tcPr>
            <w:tcW w:w="764" w:type="pct"/>
            <w:vAlign w:val="center"/>
          </w:tcPr>
          <w:p w14:paraId="5D0B7B20"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1131</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331-1462</w:t>
            </w:r>
            <w:r w:rsidRPr="007F560B">
              <w:rPr>
                <w:rFonts w:eastAsia="宋体" w:cs="宋体"/>
                <w:color w:val="000000"/>
                <w:sz w:val="24"/>
                <w:szCs w:val="24"/>
              </w:rPr>
              <w:t>)</w:t>
            </w:r>
          </w:p>
        </w:tc>
        <w:tc>
          <w:tcPr>
            <w:tcW w:w="810" w:type="pct"/>
            <w:vAlign w:val="center"/>
          </w:tcPr>
          <w:p w14:paraId="1C7F75BC"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1051</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851-1550</w:t>
            </w:r>
            <w:r w:rsidRPr="007F560B">
              <w:rPr>
                <w:rFonts w:eastAsia="宋体" w:cs="宋体"/>
                <w:color w:val="000000"/>
                <w:sz w:val="24"/>
                <w:szCs w:val="24"/>
              </w:rPr>
              <w:t>)</w:t>
            </w:r>
          </w:p>
        </w:tc>
        <w:tc>
          <w:tcPr>
            <w:tcW w:w="356" w:type="pct"/>
            <w:vAlign w:val="center"/>
          </w:tcPr>
          <w:p w14:paraId="60D4717B"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0.248</w:t>
            </w:r>
          </w:p>
        </w:tc>
        <w:tc>
          <w:tcPr>
            <w:tcW w:w="406" w:type="pct"/>
            <w:vAlign w:val="center"/>
          </w:tcPr>
          <w:p w14:paraId="511260C3" w14:textId="77777777" w:rsidR="002A46C9" w:rsidRPr="007F560B" w:rsidRDefault="002A46C9" w:rsidP="007F560B">
            <w:pPr>
              <w:snapToGrid w:val="0"/>
              <w:spacing w:line="360" w:lineRule="auto"/>
              <w:jc w:val="both"/>
              <w:rPr>
                <w:bCs/>
                <w:color w:val="000000"/>
                <w:sz w:val="24"/>
                <w:szCs w:val="24"/>
              </w:rPr>
            </w:pPr>
            <w:r w:rsidRPr="007F560B">
              <w:rPr>
                <w:bCs/>
                <w:color w:val="000000"/>
                <w:sz w:val="24"/>
                <w:szCs w:val="24"/>
              </w:rPr>
              <w:t>0.036</w:t>
            </w:r>
          </w:p>
        </w:tc>
        <w:tc>
          <w:tcPr>
            <w:tcW w:w="328" w:type="pct"/>
            <w:vAlign w:val="center"/>
          </w:tcPr>
          <w:p w14:paraId="4916F3F4"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0.041</w:t>
            </w:r>
          </w:p>
        </w:tc>
      </w:tr>
      <w:tr w:rsidR="007F560B" w:rsidRPr="007F560B" w14:paraId="5B6643D0" w14:textId="77777777" w:rsidTr="007F560B">
        <w:trPr>
          <w:trHeight w:val="377"/>
          <w:jc w:val="center"/>
        </w:trPr>
        <w:tc>
          <w:tcPr>
            <w:tcW w:w="479" w:type="pct"/>
            <w:vAlign w:val="center"/>
          </w:tcPr>
          <w:p w14:paraId="728295A1"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SCF</w:t>
            </w:r>
          </w:p>
        </w:tc>
        <w:tc>
          <w:tcPr>
            <w:tcW w:w="791" w:type="pct"/>
            <w:vAlign w:val="center"/>
          </w:tcPr>
          <w:p w14:paraId="16B33C73"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1.86</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1.86-3.28</w:t>
            </w:r>
            <w:r w:rsidR="002A46C9" w:rsidRPr="007F560B">
              <w:rPr>
                <w:rFonts w:eastAsia="宋体" w:cs="宋体"/>
                <w:color w:val="000000"/>
                <w:sz w:val="24"/>
                <w:szCs w:val="24"/>
              </w:rPr>
              <w:t>)</w:t>
            </w:r>
          </w:p>
        </w:tc>
        <w:tc>
          <w:tcPr>
            <w:tcW w:w="765" w:type="pct"/>
            <w:vAlign w:val="center"/>
          </w:tcPr>
          <w:p w14:paraId="7522BE19"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1.86</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1.86-7.51</w:t>
            </w:r>
            <w:r w:rsidRPr="007F560B">
              <w:rPr>
                <w:rFonts w:eastAsia="宋体" w:cs="宋体"/>
                <w:sz w:val="24"/>
                <w:szCs w:val="24"/>
              </w:rPr>
              <w:t>)</w:t>
            </w:r>
          </w:p>
        </w:tc>
        <w:tc>
          <w:tcPr>
            <w:tcW w:w="301" w:type="pct"/>
            <w:vAlign w:val="center"/>
          </w:tcPr>
          <w:p w14:paraId="50E3B95F"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0.575</w:t>
            </w:r>
          </w:p>
        </w:tc>
        <w:tc>
          <w:tcPr>
            <w:tcW w:w="764" w:type="pct"/>
            <w:vAlign w:val="center"/>
          </w:tcPr>
          <w:p w14:paraId="4B4B47C1"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1.86</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1.86-3.05</w:t>
            </w:r>
            <w:r w:rsidRPr="007F560B">
              <w:rPr>
                <w:rFonts w:eastAsia="宋体" w:cs="宋体"/>
                <w:color w:val="000000"/>
                <w:sz w:val="24"/>
                <w:szCs w:val="24"/>
              </w:rPr>
              <w:t>)</w:t>
            </w:r>
          </w:p>
        </w:tc>
        <w:tc>
          <w:tcPr>
            <w:tcW w:w="810" w:type="pct"/>
            <w:vAlign w:val="center"/>
          </w:tcPr>
          <w:p w14:paraId="220C9394"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1.86</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1.86-7.32</w:t>
            </w:r>
            <w:r w:rsidRPr="007F560B">
              <w:rPr>
                <w:rFonts w:eastAsia="宋体" w:cs="宋体"/>
                <w:color w:val="000000"/>
                <w:sz w:val="24"/>
                <w:szCs w:val="24"/>
              </w:rPr>
              <w:t>)</w:t>
            </w:r>
          </w:p>
        </w:tc>
        <w:tc>
          <w:tcPr>
            <w:tcW w:w="356" w:type="pct"/>
            <w:vAlign w:val="center"/>
          </w:tcPr>
          <w:p w14:paraId="57864DC9"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0.144</w:t>
            </w:r>
          </w:p>
        </w:tc>
        <w:tc>
          <w:tcPr>
            <w:tcW w:w="406" w:type="pct"/>
            <w:vAlign w:val="center"/>
          </w:tcPr>
          <w:p w14:paraId="5662FAA0"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0.771</w:t>
            </w:r>
          </w:p>
        </w:tc>
        <w:tc>
          <w:tcPr>
            <w:tcW w:w="328" w:type="pct"/>
            <w:vAlign w:val="center"/>
          </w:tcPr>
          <w:p w14:paraId="2E35A777"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0.779</w:t>
            </w:r>
          </w:p>
        </w:tc>
      </w:tr>
      <w:tr w:rsidR="007F560B" w:rsidRPr="007F560B" w14:paraId="5F3B0F78" w14:textId="77777777" w:rsidTr="007F560B">
        <w:trPr>
          <w:trHeight w:val="377"/>
          <w:jc w:val="center"/>
        </w:trPr>
        <w:tc>
          <w:tcPr>
            <w:tcW w:w="479" w:type="pct"/>
            <w:vAlign w:val="center"/>
          </w:tcPr>
          <w:p w14:paraId="7D447C9E"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SDF-1a</w:t>
            </w:r>
          </w:p>
        </w:tc>
        <w:tc>
          <w:tcPr>
            <w:tcW w:w="791" w:type="pct"/>
            <w:vAlign w:val="center"/>
          </w:tcPr>
          <w:p w14:paraId="476DB57B"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332</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252-765</w:t>
            </w:r>
            <w:r w:rsidR="002A46C9" w:rsidRPr="007F560B">
              <w:rPr>
                <w:rFonts w:eastAsia="宋体" w:cs="宋体"/>
                <w:color w:val="000000"/>
                <w:sz w:val="24"/>
                <w:szCs w:val="24"/>
              </w:rPr>
              <w:t>)</w:t>
            </w:r>
          </w:p>
        </w:tc>
        <w:tc>
          <w:tcPr>
            <w:tcW w:w="765" w:type="pct"/>
            <w:vAlign w:val="center"/>
          </w:tcPr>
          <w:p w14:paraId="56D801BB"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767</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287-985</w:t>
            </w:r>
            <w:r w:rsidRPr="007F560B">
              <w:rPr>
                <w:rFonts w:eastAsia="宋体" w:cs="宋体"/>
                <w:sz w:val="24"/>
                <w:szCs w:val="24"/>
              </w:rPr>
              <w:t>)</w:t>
            </w:r>
          </w:p>
        </w:tc>
        <w:tc>
          <w:tcPr>
            <w:tcW w:w="301" w:type="pct"/>
            <w:vAlign w:val="center"/>
          </w:tcPr>
          <w:p w14:paraId="37C738CD" w14:textId="77777777" w:rsidR="002A46C9" w:rsidRPr="007F560B" w:rsidRDefault="002A46C9" w:rsidP="007F560B">
            <w:pPr>
              <w:snapToGrid w:val="0"/>
              <w:spacing w:line="360" w:lineRule="auto"/>
              <w:jc w:val="both"/>
              <w:rPr>
                <w:bCs/>
                <w:color w:val="000000"/>
                <w:sz w:val="24"/>
                <w:szCs w:val="24"/>
              </w:rPr>
            </w:pPr>
            <w:r w:rsidRPr="007F560B">
              <w:rPr>
                <w:bCs/>
                <w:color w:val="000000"/>
                <w:sz w:val="24"/>
                <w:szCs w:val="24"/>
              </w:rPr>
              <w:t>0.05</w:t>
            </w:r>
          </w:p>
        </w:tc>
        <w:tc>
          <w:tcPr>
            <w:tcW w:w="764" w:type="pct"/>
            <w:vAlign w:val="center"/>
          </w:tcPr>
          <w:p w14:paraId="70DAF074"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702</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394-1166.2</w:t>
            </w:r>
            <w:r w:rsidRPr="007F560B">
              <w:rPr>
                <w:rFonts w:eastAsia="宋体" w:cs="宋体"/>
                <w:color w:val="000000"/>
                <w:sz w:val="24"/>
                <w:szCs w:val="24"/>
              </w:rPr>
              <w:t>)</w:t>
            </w:r>
          </w:p>
        </w:tc>
        <w:tc>
          <w:tcPr>
            <w:tcW w:w="810" w:type="pct"/>
            <w:vAlign w:val="center"/>
          </w:tcPr>
          <w:p w14:paraId="1A478622"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1261</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1016-1659</w:t>
            </w:r>
            <w:r w:rsidRPr="007F560B">
              <w:rPr>
                <w:rFonts w:eastAsia="宋体" w:cs="宋体"/>
                <w:color w:val="000000"/>
                <w:sz w:val="24"/>
                <w:szCs w:val="24"/>
              </w:rPr>
              <w:t>)</w:t>
            </w:r>
          </w:p>
        </w:tc>
        <w:tc>
          <w:tcPr>
            <w:tcW w:w="356" w:type="pct"/>
            <w:vAlign w:val="center"/>
          </w:tcPr>
          <w:p w14:paraId="44F180B9" w14:textId="77777777" w:rsidR="002A46C9" w:rsidRPr="007F560B" w:rsidRDefault="002A46C9" w:rsidP="007F560B">
            <w:pPr>
              <w:snapToGrid w:val="0"/>
              <w:spacing w:line="360" w:lineRule="auto"/>
              <w:jc w:val="both"/>
              <w:rPr>
                <w:bCs/>
                <w:color w:val="000000"/>
                <w:sz w:val="24"/>
                <w:szCs w:val="24"/>
              </w:rPr>
            </w:pPr>
            <w:r w:rsidRPr="007F560B">
              <w:rPr>
                <w:bCs/>
                <w:color w:val="000000"/>
                <w:sz w:val="24"/>
                <w:szCs w:val="24"/>
              </w:rPr>
              <w:t>0.009</w:t>
            </w:r>
          </w:p>
        </w:tc>
        <w:tc>
          <w:tcPr>
            <w:tcW w:w="406" w:type="pct"/>
            <w:vAlign w:val="center"/>
          </w:tcPr>
          <w:p w14:paraId="7FE3FFC9"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0.196</w:t>
            </w:r>
          </w:p>
        </w:tc>
        <w:tc>
          <w:tcPr>
            <w:tcW w:w="328" w:type="pct"/>
            <w:vAlign w:val="center"/>
          </w:tcPr>
          <w:p w14:paraId="68D8C644" w14:textId="77777777" w:rsidR="002A46C9" w:rsidRPr="007F560B" w:rsidRDefault="002A46C9" w:rsidP="007F560B">
            <w:pPr>
              <w:snapToGrid w:val="0"/>
              <w:spacing w:line="360" w:lineRule="auto"/>
              <w:jc w:val="both"/>
              <w:rPr>
                <w:bCs/>
                <w:color w:val="000000"/>
                <w:sz w:val="24"/>
                <w:szCs w:val="24"/>
              </w:rPr>
            </w:pPr>
            <w:r w:rsidRPr="007F560B">
              <w:rPr>
                <w:bCs/>
                <w:color w:val="000000"/>
                <w:sz w:val="24"/>
                <w:szCs w:val="24"/>
              </w:rPr>
              <w:t>0.032</w:t>
            </w:r>
          </w:p>
        </w:tc>
      </w:tr>
      <w:tr w:rsidR="007F560B" w:rsidRPr="007F560B" w14:paraId="7BB73DA6" w14:textId="77777777" w:rsidTr="007F560B">
        <w:trPr>
          <w:trHeight w:val="377"/>
          <w:jc w:val="center"/>
        </w:trPr>
        <w:tc>
          <w:tcPr>
            <w:tcW w:w="479" w:type="pct"/>
            <w:vAlign w:val="center"/>
          </w:tcPr>
          <w:p w14:paraId="77CD5697"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TARC</w:t>
            </w:r>
          </w:p>
        </w:tc>
        <w:tc>
          <w:tcPr>
            <w:tcW w:w="791" w:type="pct"/>
            <w:vAlign w:val="center"/>
          </w:tcPr>
          <w:p w14:paraId="1B7FE38E"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20.14</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15.32-28.82</w:t>
            </w:r>
            <w:r w:rsidR="002A46C9" w:rsidRPr="007F560B">
              <w:rPr>
                <w:rFonts w:eastAsia="宋体" w:cs="宋体"/>
                <w:color w:val="000000"/>
                <w:sz w:val="24"/>
                <w:szCs w:val="24"/>
              </w:rPr>
              <w:t>)</w:t>
            </w:r>
          </w:p>
        </w:tc>
        <w:tc>
          <w:tcPr>
            <w:tcW w:w="765" w:type="pct"/>
            <w:vAlign w:val="center"/>
          </w:tcPr>
          <w:p w14:paraId="14498C70"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14.03</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10.3-21.46</w:t>
            </w:r>
            <w:r w:rsidRPr="007F560B">
              <w:rPr>
                <w:rFonts w:eastAsia="宋体" w:cs="宋体"/>
                <w:sz w:val="24"/>
                <w:szCs w:val="24"/>
              </w:rPr>
              <w:t>)</w:t>
            </w:r>
          </w:p>
        </w:tc>
        <w:tc>
          <w:tcPr>
            <w:tcW w:w="301" w:type="pct"/>
            <w:vAlign w:val="center"/>
          </w:tcPr>
          <w:p w14:paraId="649D73F6" w14:textId="77777777" w:rsidR="002A46C9" w:rsidRPr="007F560B" w:rsidRDefault="002A46C9" w:rsidP="007F560B">
            <w:pPr>
              <w:snapToGrid w:val="0"/>
              <w:spacing w:line="360" w:lineRule="auto"/>
              <w:jc w:val="both"/>
              <w:rPr>
                <w:bCs/>
                <w:color w:val="000000"/>
                <w:sz w:val="24"/>
                <w:szCs w:val="24"/>
              </w:rPr>
            </w:pPr>
            <w:r w:rsidRPr="007F560B">
              <w:rPr>
                <w:bCs/>
                <w:color w:val="000000"/>
                <w:sz w:val="24"/>
                <w:szCs w:val="24"/>
              </w:rPr>
              <w:t>0.006</w:t>
            </w:r>
          </w:p>
        </w:tc>
        <w:tc>
          <w:tcPr>
            <w:tcW w:w="764" w:type="pct"/>
            <w:vAlign w:val="center"/>
          </w:tcPr>
          <w:p w14:paraId="077684F4"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30.97</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20.41-46.4</w:t>
            </w:r>
            <w:r w:rsidRPr="007F560B">
              <w:rPr>
                <w:rFonts w:eastAsia="宋体" w:cs="宋体"/>
                <w:color w:val="000000"/>
                <w:sz w:val="24"/>
                <w:szCs w:val="24"/>
              </w:rPr>
              <w:t>)</w:t>
            </w:r>
          </w:p>
        </w:tc>
        <w:tc>
          <w:tcPr>
            <w:tcW w:w="810" w:type="pct"/>
            <w:vAlign w:val="center"/>
          </w:tcPr>
          <w:p w14:paraId="68D73D49"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18.97</w:t>
            </w:r>
            <w:r w:rsidR="003D4E45" w:rsidRPr="007F560B">
              <w:rPr>
                <w:rFonts w:eastAsia="宋体" w:cs="宋体"/>
                <w:color w:val="000000"/>
                <w:sz w:val="24"/>
                <w:szCs w:val="24"/>
              </w:rPr>
              <w:t>(</w:t>
            </w:r>
            <w:r w:rsidRPr="007F560B">
              <w:rPr>
                <w:color w:val="000000"/>
                <w:sz w:val="24"/>
                <w:szCs w:val="24"/>
              </w:rPr>
              <w:t>10.97-32.62</w:t>
            </w:r>
            <w:r w:rsidR="003D4E45" w:rsidRPr="007F560B">
              <w:rPr>
                <w:rFonts w:eastAsia="宋体" w:cs="宋体"/>
                <w:color w:val="000000"/>
                <w:sz w:val="24"/>
                <w:szCs w:val="24"/>
              </w:rPr>
              <w:t>)</w:t>
            </w:r>
          </w:p>
        </w:tc>
        <w:tc>
          <w:tcPr>
            <w:tcW w:w="356" w:type="pct"/>
            <w:vAlign w:val="center"/>
          </w:tcPr>
          <w:p w14:paraId="2456FFA6" w14:textId="77777777" w:rsidR="002A46C9" w:rsidRPr="007F560B" w:rsidRDefault="002A46C9" w:rsidP="007F560B">
            <w:pPr>
              <w:snapToGrid w:val="0"/>
              <w:spacing w:line="360" w:lineRule="auto"/>
              <w:jc w:val="both"/>
              <w:rPr>
                <w:bCs/>
                <w:color w:val="000000"/>
                <w:sz w:val="24"/>
                <w:szCs w:val="24"/>
              </w:rPr>
            </w:pPr>
            <w:r w:rsidRPr="007F560B">
              <w:rPr>
                <w:bCs/>
                <w:color w:val="000000"/>
                <w:sz w:val="24"/>
                <w:szCs w:val="24"/>
              </w:rPr>
              <w:t>0.033</w:t>
            </w:r>
          </w:p>
        </w:tc>
        <w:tc>
          <w:tcPr>
            <w:tcW w:w="406" w:type="pct"/>
            <w:vAlign w:val="center"/>
          </w:tcPr>
          <w:p w14:paraId="389A4CE3" w14:textId="77777777" w:rsidR="002A46C9" w:rsidRPr="007F560B" w:rsidRDefault="002A46C9" w:rsidP="007F560B">
            <w:pPr>
              <w:snapToGrid w:val="0"/>
              <w:spacing w:line="360" w:lineRule="auto"/>
              <w:jc w:val="both"/>
              <w:rPr>
                <w:bCs/>
                <w:color w:val="000000"/>
                <w:sz w:val="24"/>
                <w:szCs w:val="24"/>
              </w:rPr>
            </w:pPr>
            <w:r w:rsidRPr="007F560B">
              <w:rPr>
                <w:bCs/>
                <w:color w:val="000000"/>
                <w:sz w:val="24"/>
                <w:szCs w:val="24"/>
              </w:rPr>
              <w:t>0.016</w:t>
            </w:r>
          </w:p>
        </w:tc>
        <w:tc>
          <w:tcPr>
            <w:tcW w:w="328" w:type="pct"/>
            <w:vAlign w:val="center"/>
          </w:tcPr>
          <w:p w14:paraId="1284622E"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0.021</w:t>
            </w:r>
          </w:p>
        </w:tc>
      </w:tr>
      <w:tr w:rsidR="007F560B" w:rsidRPr="007F560B" w14:paraId="7499C489" w14:textId="77777777" w:rsidTr="007F560B">
        <w:trPr>
          <w:trHeight w:val="377"/>
          <w:jc w:val="center"/>
        </w:trPr>
        <w:tc>
          <w:tcPr>
            <w:tcW w:w="479" w:type="pct"/>
            <w:vAlign w:val="center"/>
          </w:tcPr>
          <w:p w14:paraId="3FC4F953"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TPO</w:t>
            </w:r>
          </w:p>
        </w:tc>
        <w:tc>
          <w:tcPr>
            <w:tcW w:w="791" w:type="pct"/>
            <w:vAlign w:val="center"/>
          </w:tcPr>
          <w:p w14:paraId="029DADE9"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188</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142-257</w:t>
            </w:r>
            <w:r w:rsidR="002A46C9" w:rsidRPr="007F560B">
              <w:rPr>
                <w:rFonts w:eastAsia="宋体" w:cs="宋体"/>
                <w:color w:val="000000"/>
                <w:sz w:val="24"/>
                <w:szCs w:val="24"/>
              </w:rPr>
              <w:t>)</w:t>
            </w:r>
          </w:p>
        </w:tc>
        <w:tc>
          <w:tcPr>
            <w:tcW w:w="765" w:type="pct"/>
            <w:vAlign w:val="center"/>
          </w:tcPr>
          <w:p w14:paraId="7625856E"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265</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179-312</w:t>
            </w:r>
            <w:r w:rsidRPr="007F560B">
              <w:rPr>
                <w:rFonts w:eastAsia="宋体" w:cs="宋体"/>
                <w:sz w:val="24"/>
                <w:szCs w:val="24"/>
              </w:rPr>
              <w:t>)</w:t>
            </w:r>
          </w:p>
        </w:tc>
        <w:tc>
          <w:tcPr>
            <w:tcW w:w="301" w:type="pct"/>
            <w:vAlign w:val="center"/>
          </w:tcPr>
          <w:p w14:paraId="187CB93D"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0.173</w:t>
            </w:r>
          </w:p>
        </w:tc>
        <w:tc>
          <w:tcPr>
            <w:tcW w:w="764" w:type="pct"/>
            <w:vAlign w:val="center"/>
          </w:tcPr>
          <w:p w14:paraId="03DB0F56"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190</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145-453</w:t>
            </w:r>
            <w:r w:rsidRPr="007F560B">
              <w:rPr>
                <w:rFonts w:eastAsia="宋体" w:cs="宋体"/>
                <w:color w:val="000000"/>
                <w:sz w:val="24"/>
                <w:szCs w:val="24"/>
              </w:rPr>
              <w:t>)</w:t>
            </w:r>
          </w:p>
        </w:tc>
        <w:tc>
          <w:tcPr>
            <w:tcW w:w="810" w:type="pct"/>
            <w:vAlign w:val="center"/>
          </w:tcPr>
          <w:p w14:paraId="05E8163C"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235</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131-786</w:t>
            </w:r>
            <w:r w:rsidRPr="007F560B">
              <w:rPr>
                <w:rFonts w:eastAsia="宋体" w:cs="宋体"/>
                <w:color w:val="000000"/>
                <w:sz w:val="24"/>
                <w:szCs w:val="24"/>
              </w:rPr>
              <w:t>)</w:t>
            </w:r>
          </w:p>
        </w:tc>
        <w:tc>
          <w:tcPr>
            <w:tcW w:w="356" w:type="pct"/>
            <w:vAlign w:val="center"/>
          </w:tcPr>
          <w:p w14:paraId="33A9B3EB"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0.374</w:t>
            </w:r>
          </w:p>
        </w:tc>
        <w:tc>
          <w:tcPr>
            <w:tcW w:w="406" w:type="pct"/>
            <w:vAlign w:val="center"/>
          </w:tcPr>
          <w:p w14:paraId="10681A16"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0.566</w:t>
            </w:r>
          </w:p>
        </w:tc>
        <w:tc>
          <w:tcPr>
            <w:tcW w:w="328" w:type="pct"/>
            <w:vAlign w:val="center"/>
          </w:tcPr>
          <w:p w14:paraId="04BD7E0F"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0.655</w:t>
            </w:r>
          </w:p>
        </w:tc>
      </w:tr>
      <w:tr w:rsidR="007F560B" w:rsidRPr="007F560B" w14:paraId="17F7AA64" w14:textId="77777777" w:rsidTr="007F560B">
        <w:trPr>
          <w:trHeight w:val="377"/>
          <w:jc w:val="center"/>
        </w:trPr>
        <w:tc>
          <w:tcPr>
            <w:tcW w:w="479" w:type="pct"/>
            <w:vAlign w:val="center"/>
          </w:tcPr>
          <w:p w14:paraId="4A15B9B9"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TRAIL</w:t>
            </w:r>
          </w:p>
        </w:tc>
        <w:tc>
          <w:tcPr>
            <w:tcW w:w="791" w:type="pct"/>
            <w:vAlign w:val="center"/>
          </w:tcPr>
          <w:p w14:paraId="3E82D516"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2.9</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2.9-2.9</w:t>
            </w:r>
            <w:r w:rsidR="002A46C9" w:rsidRPr="007F560B">
              <w:rPr>
                <w:rFonts w:eastAsia="宋体" w:cs="宋体"/>
                <w:color w:val="000000"/>
                <w:sz w:val="24"/>
                <w:szCs w:val="24"/>
              </w:rPr>
              <w:t>)</w:t>
            </w:r>
          </w:p>
        </w:tc>
        <w:tc>
          <w:tcPr>
            <w:tcW w:w="765" w:type="pct"/>
            <w:vAlign w:val="center"/>
          </w:tcPr>
          <w:p w14:paraId="3C356F87"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2.9</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2.9-5.51</w:t>
            </w:r>
            <w:r w:rsidRPr="007F560B">
              <w:rPr>
                <w:rFonts w:eastAsia="宋体" w:cs="宋体"/>
                <w:sz w:val="24"/>
                <w:szCs w:val="24"/>
              </w:rPr>
              <w:t>)</w:t>
            </w:r>
          </w:p>
        </w:tc>
        <w:tc>
          <w:tcPr>
            <w:tcW w:w="301" w:type="pct"/>
            <w:vAlign w:val="center"/>
          </w:tcPr>
          <w:p w14:paraId="69047345" w14:textId="77777777" w:rsidR="002A46C9" w:rsidRPr="007F560B" w:rsidRDefault="002A46C9" w:rsidP="007F560B">
            <w:pPr>
              <w:snapToGrid w:val="0"/>
              <w:spacing w:line="360" w:lineRule="auto"/>
              <w:jc w:val="both"/>
              <w:rPr>
                <w:bCs/>
                <w:color w:val="000000"/>
                <w:sz w:val="24"/>
                <w:szCs w:val="24"/>
              </w:rPr>
            </w:pPr>
            <w:r w:rsidRPr="007F560B">
              <w:rPr>
                <w:bCs/>
                <w:color w:val="000000"/>
                <w:sz w:val="24"/>
                <w:szCs w:val="24"/>
              </w:rPr>
              <w:t>0.028</w:t>
            </w:r>
          </w:p>
        </w:tc>
        <w:tc>
          <w:tcPr>
            <w:tcW w:w="764" w:type="pct"/>
            <w:vAlign w:val="center"/>
          </w:tcPr>
          <w:p w14:paraId="6AC7071D"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2.9</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2.9-2.9</w:t>
            </w:r>
            <w:r w:rsidRPr="007F560B">
              <w:rPr>
                <w:rFonts w:eastAsia="宋体" w:cs="宋体"/>
                <w:color w:val="000000"/>
                <w:sz w:val="24"/>
                <w:szCs w:val="24"/>
              </w:rPr>
              <w:t>)</w:t>
            </w:r>
          </w:p>
        </w:tc>
        <w:tc>
          <w:tcPr>
            <w:tcW w:w="810" w:type="pct"/>
            <w:vAlign w:val="center"/>
          </w:tcPr>
          <w:p w14:paraId="7068D6B3"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2.9</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2.9-31.96</w:t>
            </w:r>
            <w:r w:rsidRPr="007F560B">
              <w:rPr>
                <w:rFonts w:eastAsia="宋体" w:cs="宋体"/>
                <w:color w:val="000000"/>
                <w:sz w:val="24"/>
                <w:szCs w:val="24"/>
              </w:rPr>
              <w:t>)</w:t>
            </w:r>
          </w:p>
        </w:tc>
        <w:tc>
          <w:tcPr>
            <w:tcW w:w="356" w:type="pct"/>
            <w:vAlign w:val="center"/>
          </w:tcPr>
          <w:p w14:paraId="010171EA" w14:textId="77777777" w:rsidR="002A46C9" w:rsidRPr="007F560B" w:rsidRDefault="002A46C9" w:rsidP="007F560B">
            <w:pPr>
              <w:snapToGrid w:val="0"/>
              <w:spacing w:line="360" w:lineRule="auto"/>
              <w:jc w:val="both"/>
              <w:rPr>
                <w:bCs/>
                <w:color w:val="000000"/>
                <w:sz w:val="24"/>
                <w:szCs w:val="24"/>
              </w:rPr>
            </w:pPr>
            <w:r w:rsidRPr="007F560B">
              <w:rPr>
                <w:bCs/>
                <w:color w:val="000000"/>
                <w:sz w:val="24"/>
                <w:szCs w:val="24"/>
              </w:rPr>
              <w:t>0.046</w:t>
            </w:r>
          </w:p>
        </w:tc>
        <w:tc>
          <w:tcPr>
            <w:tcW w:w="406" w:type="pct"/>
            <w:vAlign w:val="center"/>
          </w:tcPr>
          <w:p w14:paraId="2F7BCC3D"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0.746</w:t>
            </w:r>
          </w:p>
        </w:tc>
        <w:tc>
          <w:tcPr>
            <w:tcW w:w="328" w:type="pct"/>
            <w:vAlign w:val="center"/>
          </w:tcPr>
          <w:p w14:paraId="3B571CC6"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0.457</w:t>
            </w:r>
          </w:p>
        </w:tc>
      </w:tr>
      <w:tr w:rsidR="007F560B" w:rsidRPr="007F560B" w14:paraId="6EE9AAF8" w14:textId="77777777" w:rsidTr="007F560B">
        <w:trPr>
          <w:trHeight w:val="377"/>
          <w:jc w:val="center"/>
        </w:trPr>
        <w:tc>
          <w:tcPr>
            <w:tcW w:w="479" w:type="pct"/>
            <w:vAlign w:val="center"/>
          </w:tcPr>
          <w:p w14:paraId="13508104"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TSLP</w:t>
            </w:r>
          </w:p>
        </w:tc>
        <w:tc>
          <w:tcPr>
            <w:tcW w:w="791" w:type="pct"/>
            <w:vAlign w:val="center"/>
          </w:tcPr>
          <w:p w14:paraId="12724342"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4.68</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4.68-4.68</w:t>
            </w:r>
            <w:r w:rsidR="002A46C9" w:rsidRPr="007F560B">
              <w:rPr>
                <w:rFonts w:eastAsia="宋体" w:cs="宋体"/>
                <w:color w:val="000000"/>
                <w:sz w:val="24"/>
                <w:szCs w:val="24"/>
              </w:rPr>
              <w:t>)</w:t>
            </w:r>
          </w:p>
        </w:tc>
        <w:tc>
          <w:tcPr>
            <w:tcW w:w="765" w:type="pct"/>
            <w:vAlign w:val="center"/>
          </w:tcPr>
          <w:p w14:paraId="448AF56C"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4.68</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4.68-4.68</w:t>
            </w:r>
            <w:r w:rsidR="002A46C9" w:rsidRPr="007F560B">
              <w:rPr>
                <w:rFonts w:eastAsia="宋体" w:cs="宋体"/>
                <w:color w:val="000000"/>
                <w:sz w:val="24"/>
                <w:szCs w:val="24"/>
              </w:rPr>
              <w:t>)</w:t>
            </w:r>
          </w:p>
        </w:tc>
        <w:tc>
          <w:tcPr>
            <w:tcW w:w="301" w:type="pct"/>
            <w:vAlign w:val="center"/>
          </w:tcPr>
          <w:p w14:paraId="21F5FDCA"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0.317</w:t>
            </w:r>
          </w:p>
        </w:tc>
        <w:tc>
          <w:tcPr>
            <w:tcW w:w="764" w:type="pct"/>
            <w:vAlign w:val="center"/>
          </w:tcPr>
          <w:p w14:paraId="7515E1C8"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4.68</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4.68-6.3</w:t>
            </w:r>
            <w:r w:rsidRPr="007F560B">
              <w:rPr>
                <w:rFonts w:eastAsia="宋体" w:cs="宋体"/>
                <w:color w:val="000000"/>
                <w:sz w:val="24"/>
                <w:szCs w:val="24"/>
              </w:rPr>
              <w:t>)</w:t>
            </w:r>
          </w:p>
        </w:tc>
        <w:tc>
          <w:tcPr>
            <w:tcW w:w="810" w:type="pct"/>
            <w:vAlign w:val="center"/>
          </w:tcPr>
          <w:p w14:paraId="6383A6B9"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4.68</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4.68-6.85</w:t>
            </w:r>
            <w:r w:rsidRPr="007F560B">
              <w:rPr>
                <w:rFonts w:eastAsia="宋体" w:cs="宋体"/>
                <w:color w:val="000000"/>
                <w:sz w:val="24"/>
                <w:szCs w:val="24"/>
              </w:rPr>
              <w:t>)</w:t>
            </w:r>
          </w:p>
        </w:tc>
        <w:tc>
          <w:tcPr>
            <w:tcW w:w="356" w:type="pct"/>
            <w:vAlign w:val="center"/>
          </w:tcPr>
          <w:p w14:paraId="4C9FE4CB"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0.345</w:t>
            </w:r>
          </w:p>
        </w:tc>
        <w:tc>
          <w:tcPr>
            <w:tcW w:w="406" w:type="pct"/>
            <w:vAlign w:val="center"/>
          </w:tcPr>
          <w:p w14:paraId="2D191491" w14:textId="77777777" w:rsidR="002A46C9" w:rsidRPr="007F560B" w:rsidRDefault="002A46C9" w:rsidP="007F560B">
            <w:pPr>
              <w:snapToGrid w:val="0"/>
              <w:spacing w:line="360" w:lineRule="auto"/>
              <w:jc w:val="both"/>
              <w:rPr>
                <w:bCs/>
                <w:color w:val="000000"/>
                <w:sz w:val="24"/>
                <w:szCs w:val="24"/>
              </w:rPr>
            </w:pPr>
            <w:r w:rsidRPr="007F560B">
              <w:rPr>
                <w:bCs/>
                <w:color w:val="000000"/>
                <w:sz w:val="24"/>
                <w:szCs w:val="24"/>
              </w:rPr>
              <w:t>0.049</w:t>
            </w:r>
          </w:p>
        </w:tc>
        <w:tc>
          <w:tcPr>
            <w:tcW w:w="328" w:type="pct"/>
            <w:vAlign w:val="center"/>
          </w:tcPr>
          <w:p w14:paraId="3636C9D4"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0.116</w:t>
            </w:r>
          </w:p>
        </w:tc>
      </w:tr>
      <w:tr w:rsidR="007F560B" w:rsidRPr="007F560B" w14:paraId="10F77C4B" w14:textId="77777777" w:rsidTr="007F560B">
        <w:trPr>
          <w:trHeight w:val="377"/>
          <w:jc w:val="center"/>
        </w:trPr>
        <w:tc>
          <w:tcPr>
            <w:tcW w:w="479" w:type="pct"/>
            <w:vAlign w:val="center"/>
          </w:tcPr>
          <w:p w14:paraId="1550EDF3"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CCL19</w:t>
            </w:r>
          </w:p>
        </w:tc>
        <w:tc>
          <w:tcPr>
            <w:tcW w:w="791" w:type="pct"/>
            <w:vAlign w:val="center"/>
          </w:tcPr>
          <w:p w14:paraId="5CC52E82"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155</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116-183</w:t>
            </w:r>
            <w:r w:rsidR="002A46C9" w:rsidRPr="007F560B">
              <w:rPr>
                <w:rFonts w:eastAsia="宋体" w:cs="宋体"/>
                <w:color w:val="000000"/>
                <w:sz w:val="24"/>
                <w:szCs w:val="24"/>
              </w:rPr>
              <w:t>)</w:t>
            </w:r>
          </w:p>
        </w:tc>
        <w:tc>
          <w:tcPr>
            <w:tcW w:w="765" w:type="pct"/>
            <w:vAlign w:val="center"/>
          </w:tcPr>
          <w:p w14:paraId="13962A04"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191</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164-242</w:t>
            </w:r>
            <w:r w:rsidR="002A46C9" w:rsidRPr="007F560B">
              <w:rPr>
                <w:rFonts w:eastAsia="宋体" w:cs="宋体"/>
                <w:color w:val="000000"/>
                <w:sz w:val="24"/>
                <w:szCs w:val="24"/>
              </w:rPr>
              <w:t>)</w:t>
            </w:r>
          </w:p>
        </w:tc>
        <w:tc>
          <w:tcPr>
            <w:tcW w:w="301" w:type="pct"/>
            <w:vAlign w:val="center"/>
          </w:tcPr>
          <w:p w14:paraId="02D68771" w14:textId="77777777" w:rsidR="002A46C9" w:rsidRPr="007F560B" w:rsidRDefault="002A46C9" w:rsidP="007F560B">
            <w:pPr>
              <w:snapToGrid w:val="0"/>
              <w:spacing w:line="360" w:lineRule="auto"/>
              <w:jc w:val="both"/>
              <w:rPr>
                <w:bCs/>
                <w:color w:val="000000"/>
                <w:sz w:val="24"/>
                <w:szCs w:val="24"/>
              </w:rPr>
            </w:pPr>
            <w:r w:rsidRPr="007F560B">
              <w:rPr>
                <w:bCs/>
                <w:color w:val="000000"/>
                <w:sz w:val="24"/>
                <w:szCs w:val="24"/>
              </w:rPr>
              <w:t>0.009</w:t>
            </w:r>
          </w:p>
        </w:tc>
        <w:tc>
          <w:tcPr>
            <w:tcW w:w="764" w:type="pct"/>
            <w:vAlign w:val="center"/>
          </w:tcPr>
          <w:p w14:paraId="7B169F10"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122</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75.74-164</w:t>
            </w:r>
            <w:r w:rsidRPr="007F560B">
              <w:rPr>
                <w:rFonts w:eastAsia="宋体" w:cs="宋体"/>
                <w:color w:val="000000"/>
                <w:sz w:val="24"/>
                <w:szCs w:val="24"/>
              </w:rPr>
              <w:t>)</w:t>
            </w:r>
          </w:p>
        </w:tc>
        <w:tc>
          <w:tcPr>
            <w:tcW w:w="810" w:type="pct"/>
            <w:vAlign w:val="center"/>
          </w:tcPr>
          <w:p w14:paraId="2DE11EAE"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200</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91.01-299</w:t>
            </w:r>
            <w:r w:rsidRPr="007F560B">
              <w:rPr>
                <w:rFonts w:eastAsia="宋体" w:cs="宋体"/>
                <w:color w:val="000000"/>
                <w:sz w:val="24"/>
                <w:szCs w:val="24"/>
              </w:rPr>
              <w:t>)</w:t>
            </w:r>
          </w:p>
        </w:tc>
        <w:tc>
          <w:tcPr>
            <w:tcW w:w="356" w:type="pct"/>
            <w:vAlign w:val="center"/>
          </w:tcPr>
          <w:p w14:paraId="3062B8FA" w14:textId="77777777" w:rsidR="002A46C9" w:rsidRPr="007F560B" w:rsidRDefault="002A46C9" w:rsidP="007F560B">
            <w:pPr>
              <w:snapToGrid w:val="0"/>
              <w:spacing w:line="360" w:lineRule="auto"/>
              <w:jc w:val="both"/>
              <w:rPr>
                <w:bCs/>
                <w:color w:val="000000"/>
                <w:sz w:val="24"/>
                <w:szCs w:val="24"/>
              </w:rPr>
            </w:pPr>
            <w:r w:rsidRPr="007F560B">
              <w:rPr>
                <w:bCs/>
                <w:color w:val="000000"/>
                <w:sz w:val="24"/>
                <w:szCs w:val="24"/>
              </w:rPr>
              <w:t>0.013</w:t>
            </w:r>
          </w:p>
        </w:tc>
        <w:tc>
          <w:tcPr>
            <w:tcW w:w="406" w:type="pct"/>
            <w:vAlign w:val="center"/>
          </w:tcPr>
          <w:p w14:paraId="565F1866"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0.33</w:t>
            </w:r>
          </w:p>
        </w:tc>
        <w:tc>
          <w:tcPr>
            <w:tcW w:w="328" w:type="pct"/>
            <w:vAlign w:val="center"/>
          </w:tcPr>
          <w:p w14:paraId="1937E922"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0.929</w:t>
            </w:r>
          </w:p>
        </w:tc>
      </w:tr>
      <w:tr w:rsidR="007F560B" w:rsidRPr="007F560B" w14:paraId="528815FC" w14:textId="77777777" w:rsidTr="007F560B">
        <w:trPr>
          <w:trHeight w:val="377"/>
          <w:jc w:val="center"/>
        </w:trPr>
        <w:tc>
          <w:tcPr>
            <w:tcW w:w="479" w:type="pct"/>
            <w:vAlign w:val="center"/>
          </w:tcPr>
          <w:p w14:paraId="016812E8"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CCL20</w:t>
            </w:r>
          </w:p>
        </w:tc>
        <w:tc>
          <w:tcPr>
            <w:tcW w:w="791" w:type="pct"/>
            <w:vAlign w:val="center"/>
          </w:tcPr>
          <w:p w14:paraId="10A9F09A"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26.96</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9.69-75.43</w:t>
            </w:r>
            <w:r w:rsidR="002A46C9" w:rsidRPr="007F560B">
              <w:rPr>
                <w:rFonts w:eastAsia="宋体" w:cs="宋体"/>
                <w:color w:val="000000"/>
                <w:sz w:val="24"/>
                <w:szCs w:val="24"/>
              </w:rPr>
              <w:t>)</w:t>
            </w:r>
          </w:p>
        </w:tc>
        <w:tc>
          <w:tcPr>
            <w:tcW w:w="765" w:type="pct"/>
            <w:vAlign w:val="center"/>
          </w:tcPr>
          <w:p w14:paraId="627FFEC3"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13.99</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10.8-29.42</w:t>
            </w:r>
            <w:r w:rsidR="002A46C9" w:rsidRPr="007F560B">
              <w:rPr>
                <w:rFonts w:eastAsia="宋体" w:cs="宋体"/>
                <w:color w:val="000000"/>
                <w:sz w:val="24"/>
                <w:szCs w:val="24"/>
              </w:rPr>
              <w:t>)</w:t>
            </w:r>
          </w:p>
        </w:tc>
        <w:tc>
          <w:tcPr>
            <w:tcW w:w="301" w:type="pct"/>
            <w:vAlign w:val="center"/>
          </w:tcPr>
          <w:p w14:paraId="635D7ABB"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0.247</w:t>
            </w:r>
          </w:p>
        </w:tc>
        <w:tc>
          <w:tcPr>
            <w:tcW w:w="764" w:type="pct"/>
            <w:vAlign w:val="center"/>
          </w:tcPr>
          <w:p w14:paraId="143A5212"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13.99</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6.86-27.79</w:t>
            </w:r>
            <w:r w:rsidRPr="007F560B">
              <w:rPr>
                <w:rFonts w:eastAsia="宋体" w:cs="宋体"/>
                <w:color w:val="000000"/>
                <w:sz w:val="24"/>
                <w:szCs w:val="24"/>
              </w:rPr>
              <w:t>)</w:t>
            </w:r>
          </w:p>
        </w:tc>
        <w:tc>
          <w:tcPr>
            <w:tcW w:w="810" w:type="pct"/>
            <w:vAlign w:val="center"/>
          </w:tcPr>
          <w:p w14:paraId="1C6B32DD"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12.95</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6.86-15.02</w:t>
            </w:r>
            <w:r w:rsidRPr="007F560B">
              <w:rPr>
                <w:rFonts w:eastAsia="宋体" w:cs="宋体"/>
                <w:color w:val="000000"/>
                <w:sz w:val="24"/>
                <w:szCs w:val="24"/>
              </w:rPr>
              <w:t>)</w:t>
            </w:r>
          </w:p>
        </w:tc>
        <w:tc>
          <w:tcPr>
            <w:tcW w:w="356" w:type="pct"/>
            <w:vAlign w:val="center"/>
          </w:tcPr>
          <w:p w14:paraId="578B1636"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0.441</w:t>
            </w:r>
          </w:p>
        </w:tc>
        <w:tc>
          <w:tcPr>
            <w:tcW w:w="406" w:type="pct"/>
            <w:vAlign w:val="center"/>
          </w:tcPr>
          <w:p w14:paraId="0DDFEBDD"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0.19</w:t>
            </w:r>
          </w:p>
        </w:tc>
        <w:tc>
          <w:tcPr>
            <w:tcW w:w="328" w:type="pct"/>
            <w:vAlign w:val="center"/>
          </w:tcPr>
          <w:p w14:paraId="62683362"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0.158</w:t>
            </w:r>
          </w:p>
        </w:tc>
      </w:tr>
      <w:tr w:rsidR="007F560B" w:rsidRPr="007F560B" w14:paraId="3672D727" w14:textId="77777777" w:rsidTr="007F560B">
        <w:trPr>
          <w:trHeight w:val="377"/>
          <w:jc w:val="center"/>
        </w:trPr>
        <w:tc>
          <w:tcPr>
            <w:tcW w:w="479" w:type="pct"/>
            <w:vAlign w:val="center"/>
          </w:tcPr>
          <w:p w14:paraId="49C04727"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CXCL9</w:t>
            </w:r>
          </w:p>
        </w:tc>
        <w:tc>
          <w:tcPr>
            <w:tcW w:w="791" w:type="pct"/>
            <w:vAlign w:val="center"/>
          </w:tcPr>
          <w:p w14:paraId="70767E81"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3177</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2719-3474</w:t>
            </w:r>
            <w:r w:rsidR="002A46C9" w:rsidRPr="007F560B">
              <w:rPr>
                <w:rFonts w:eastAsia="宋体" w:cs="宋体"/>
                <w:color w:val="000000"/>
                <w:sz w:val="24"/>
                <w:szCs w:val="24"/>
              </w:rPr>
              <w:t>)</w:t>
            </w:r>
          </w:p>
        </w:tc>
        <w:tc>
          <w:tcPr>
            <w:tcW w:w="765" w:type="pct"/>
            <w:vAlign w:val="center"/>
          </w:tcPr>
          <w:p w14:paraId="0CE004D1"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1348</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1032-1951</w:t>
            </w:r>
            <w:r w:rsidR="002A46C9" w:rsidRPr="007F560B">
              <w:rPr>
                <w:rFonts w:eastAsia="宋体" w:cs="宋体"/>
                <w:color w:val="000000"/>
                <w:sz w:val="24"/>
                <w:szCs w:val="24"/>
              </w:rPr>
              <w:t>)</w:t>
            </w:r>
          </w:p>
        </w:tc>
        <w:tc>
          <w:tcPr>
            <w:tcW w:w="301" w:type="pct"/>
            <w:vAlign w:val="center"/>
          </w:tcPr>
          <w:p w14:paraId="09257369" w14:textId="77777777" w:rsidR="002A46C9" w:rsidRPr="007F560B" w:rsidRDefault="002A46C9" w:rsidP="007F560B">
            <w:pPr>
              <w:snapToGrid w:val="0"/>
              <w:spacing w:line="360" w:lineRule="auto"/>
              <w:jc w:val="both"/>
              <w:rPr>
                <w:bCs/>
                <w:color w:val="000000"/>
                <w:sz w:val="24"/>
                <w:szCs w:val="24"/>
              </w:rPr>
            </w:pPr>
            <w:r w:rsidRPr="007F560B">
              <w:rPr>
                <w:bCs/>
                <w:color w:val="000000"/>
                <w:sz w:val="24"/>
                <w:szCs w:val="24"/>
              </w:rPr>
              <w:t>0.005</w:t>
            </w:r>
          </w:p>
        </w:tc>
        <w:tc>
          <w:tcPr>
            <w:tcW w:w="764" w:type="pct"/>
            <w:vAlign w:val="center"/>
          </w:tcPr>
          <w:p w14:paraId="7CC9406F"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2523</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1966-2911</w:t>
            </w:r>
            <w:r w:rsidRPr="007F560B">
              <w:rPr>
                <w:rFonts w:eastAsia="宋体" w:cs="宋体"/>
                <w:color w:val="000000"/>
                <w:sz w:val="24"/>
                <w:szCs w:val="24"/>
              </w:rPr>
              <w:t>)</w:t>
            </w:r>
          </w:p>
        </w:tc>
        <w:tc>
          <w:tcPr>
            <w:tcW w:w="810" w:type="pct"/>
            <w:vAlign w:val="center"/>
          </w:tcPr>
          <w:p w14:paraId="4FB9D27E"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1930</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984-3788</w:t>
            </w:r>
            <w:r w:rsidRPr="007F560B">
              <w:rPr>
                <w:rFonts w:eastAsia="宋体" w:cs="宋体"/>
                <w:color w:val="000000"/>
                <w:sz w:val="24"/>
                <w:szCs w:val="24"/>
              </w:rPr>
              <w:t>)</w:t>
            </w:r>
          </w:p>
        </w:tc>
        <w:tc>
          <w:tcPr>
            <w:tcW w:w="356" w:type="pct"/>
            <w:vAlign w:val="center"/>
          </w:tcPr>
          <w:p w14:paraId="26CD0278"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0.374</w:t>
            </w:r>
          </w:p>
        </w:tc>
        <w:tc>
          <w:tcPr>
            <w:tcW w:w="406" w:type="pct"/>
            <w:vAlign w:val="center"/>
          </w:tcPr>
          <w:p w14:paraId="21E46F24" w14:textId="77777777" w:rsidR="002A46C9" w:rsidRPr="007F560B" w:rsidRDefault="002A46C9" w:rsidP="007F560B">
            <w:pPr>
              <w:snapToGrid w:val="0"/>
              <w:spacing w:line="360" w:lineRule="auto"/>
              <w:jc w:val="both"/>
              <w:rPr>
                <w:bCs/>
                <w:color w:val="000000"/>
                <w:sz w:val="24"/>
                <w:szCs w:val="24"/>
              </w:rPr>
            </w:pPr>
            <w:r w:rsidRPr="007F560B">
              <w:rPr>
                <w:bCs/>
                <w:color w:val="000000"/>
                <w:sz w:val="24"/>
                <w:szCs w:val="24"/>
              </w:rPr>
              <w:t>0.041</w:t>
            </w:r>
          </w:p>
        </w:tc>
        <w:tc>
          <w:tcPr>
            <w:tcW w:w="328" w:type="pct"/>
            <w:vAlign w:val="center"/>
          </w:tcPr>
          <w:p w14:paraId="53887EBC"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0.413</w:t>
            </w:r>
          </w:p>
        </w:tc>
      </w:tr>
      <w:tr w:rsidR="007F560B" w:rsidRPr="007F560B" w14:paraId="6C633176" w14:textId="77777777" w:rsidTr="007F560B">
        <w:trPr>
          <w:trHeight w:val="377"/>
          <w:jc w:val="center"/>
        </w:trPr>
        <w:tc>
          <w:tcPr>
            <w:tcW w:w="479" w:type="pct"/>
            <w:vAlign w:val="center"/>
          </w:tcPr>
          <w:p w14:paraId="6EB4B960"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CXCL6</w:t>
            </w:r>
          </w:p>
        </w:tc>
        <w:tc>
          <w:tcPr>
            <w:tcW w:w="791" w:type="pct"/>
            <w:vAlign w:val="center"/>
          </w:tcPr>
          <w:p w14:paraId="26387949"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160</w:t>
            </w:r>
            <w:r w:rsidR="003D4E45" w:rsidRPr="007F560B">
              <w:rPr>
                <w:rFonts w:eastAsiaTheme="minorEastAsia"/>
                <w:color w:val="000000"/>
                <w:sz w:val="24"/>
                <w:szCs w:val="24"/>
              </w:rPr>
              <w:t xml:space="preserve"> </w:t>
            </w:r>
            <w:r w:rsidR="003D4E45" w:rsidRPr="007F560B">
              <w:rPr>
                <w:rFonts w:eastAsia="宋体" w:cs="宋体"/>
                <w:color w:val="000000"/>
                <w:sz w:val="24"/>
                <w:szCs w:val="24"/>
              </w:rPr>
              <w:t>(</w:t>
            </w:r>
            <w:r w:rsidRPr="007F560B">
              <w:rPr>
                <w:color w:val="000000"/>
                <w:sz w:val="24"/>
                <w:szCs w:val="24"/>
              </w:rPr>
              <w:t>112-182</w:t>
            </w:r>
            <w:r w:rsidRPr="007F560B">
              <w:rPr>
                <w:rFonts w:eastAsia="宋体" w:cs="宋体"/>
                <w:color w:val="000000"/>
                <w:sz w:val="24"/>
                <w:szCs w:val="24"/>
              </w:rPr>
              <w:t>)</w:t>
            </w:r>
          </w:p>
        </w:tc>
        <w:tc>
          <w:tcPr>
            <w:tcW w:w="765" w:type="pct"/>
            <w:vAlign w:val="center"/>
          </w:tcPr>
          <w:p w14:paraId="5F919E17"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138</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101-172</w:t>
            </w:r>
            <w:r w:rsidR="002A46C9" w:rsidRPr="007F560B">
              <w:rPr>
                <w:rFonts w:eastAsia="宋体" w:cs="宋体"/>
                <w:color w:val="000000"/>
                <w:sz w:val="24"/>
                <w:szCs w:val="24"/>
              </w:rPr>
              <w:t>)</w:t>
            </w:r>
          </w:p>
        </w:tc>
        <w:tc>
          <w:tcPr>
            <w:tcW w:w="301" w:type="pct"/>
            <w:vAlign w:val="center"/>
          </w:tcPr>
          <w:p w14:paraId="706AB783"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0.426</w:t>
            </w:r>
          </w:p>
        </w:tc>
        <w:tc>
          <w:tcPr>
            <w:tcW w:w="764" w:type="pct"/>
            <w:vAlign w:val="center"/>
          </w:tcPr>
          <w:p w14:paraId="490F10A7"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110</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74.38-141</w:t>
            </w:r>
            <w:r w:rsidRPr="007F560B">
              <w:rPr>
                <w:rFonts w:eastAsia="宋体" w:cs="宋体"/>
                <w:color w:val="000000"/>
                <w:sz w:val="24"/>
                <w:szCs w:val="24"/>
              </w:rPr>
              <w:t>)</w:t>
            </w:r>
          </w:p>
        </w:tc>
        <w:tc>
          <w:tcPr>
            <w:tcW w:w="810" w:type="pct"/>
            <w:vAlign w:val="center"/>
          </w:tcPr>
          <w:p w14:paraId="61FEBE71"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93.95</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70.2-123</w:t>
            </w:r>
            <w:r w:rsidRPr="007F560B">
              <w:rPr>
                <w:rFonts w:eastAsia="宋体" w:cs="宋体"/>
                <w:color w:val="000000"/>
                <w:sz w:val="24"/>
                <w:szCs w:val="24"/>
              </w:rPr>
              <w:t>)</w:t>
            </w:r>
          </w:p>
        </w:tc>
        <w:tc>
          <w:tcPr>
            <w:tcW w:w="356" w:type="pct"/>
            <w:vAlign w:val="center"/>
          </w:tcPr>
          <w:p w14:paraId="04DCE4D9"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0.657</w:t>
            </w:r>
          </w:p>
        </w:tc>
        <w:tc>
          <w:tcPr>
            <w:tcW w:w="406" w:type="pct"/>
            <w:vAlign w:val="center"/>
          </w:tcPr>
          <w:p w14:paraId="29440C9C"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0.059</w:t>
            </w:r>
          </w:p>
        </w:tc>
        <w:tc>
          <w:tcPr>
            <w:tcW w:w="328" w:type="pct"/>
            <w:vAlign w:val="center"/>
          </w:tcPr>
          <w:p w14:paraId="32A483DB" w14:textId="77777777" w:rsidR="002A46C9" w:rsidRPr="007F560B" w:rsidRDefault="002A46C9" w:rsidP="007F560B">
            <w:pPr>
              <w:snapToGrid w:val="0"/>
              <w:spacing w:line="360" w:lineRule="auto"/>
              <w:jc w:val="both"/>
              <w:rPr>
                <w:bCs/>
                <w:color w:val="000000"/>
                <w:sz w:val="24"/>
                <w:szCs w:val="24"/>
              </w:rPr>
            </w:pPr>
            <w:r w:rsidRPr="007F560B">
              <w:rPr>
                <w:bCs/>
                <w:color w:val="000000"/>
                <w:sz w:val="24"/>
                <w:szCs w:val="24"/>
              </w:rPr>
              <w:t>0.012</w:t>
            </w:r>
          </w:p>
        </w:tc>
      </w:tr>
      <w:tr w:rsidR="007F560B" w:rsidRPr="007F560B" w14:paraId="449BC549" w14:textId="77777777" w:rsidTr="007F560B">
        <w:trPr>
          <w:trHeight w:val="377"/>
          <w:jc w:val="center"/>
        </w:trPr>
        <w:tc>
          <w:tcPr>
            <w:tcW w:w="479" w:type="pct"/>
            <w:vAlign w:val="center"/>
          </w:tcPr>
          <w:p w14:paraId="346D71F5"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CXCL11</w:t>
            </w:r>
          </w:p>
        </w:tc>
        <w:tc>
          <w:tcPr>
            <w:tcW w:w="791" w:type="pct"/>
            <w:vAlign w:val="center"/>
          </w:tcPr>
          <w:p w14:paraId="65B981AB"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1847</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892-10539</w:t>
            </w:r>
            <w:r w:rsidR="002A46C9" w:rsidRPr="007F560B">
              <w:rPr>
                <w:rFonts w:eastAsia="宋体" w:cs="宋体"/>
                <w:color w:val="000000"/>
                <w:sz w:val="24"/>
                <w:szCs w:val="24"/>
              </w:rPr>
              <w:t>)</w:t>
            </w:r>
          </w:p>
        </w:tc>
        <w:tc>
          <w:tcPr>
            <w:tcW w:w="765" w:type="pct"/>
            <w:vAlign w:val="center"/>
          </w:tcPr>
          <w:p w14:paraId="18B069C5"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1056</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576-2020</w:t>
            </w:r>
            <w:r w:rsidR="002A46C9" w:rsidRPr="007F560B">
              <w:rPr>
                <w:rFonts w:eastAsia="宋体" w:cs="宋体"/>
                <w:color w:val="000000"/>
                <w:sz w:val="24"/>
                <w:szCs w:val="24"/>
              </w:rPr>
              <w:t>)</w:t>
            </w:r>
          </w:p>
        </w:tc>
        <w:tc>
          <w:tcPr>
            <w:tcW w:w="301" w:type="pct"/>
            <w:vAlign w:val="center"/>
          </w:tcPr>
          <w:p w14:paraId="42D66C94"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0.245</w:t>
            </w:r>
          </w:p>
        </w:tc>
        <w:tc>
          <w:tcPr>
            <w:tcW w:w="764" w:type="pct"/>
            <w:vAlign w:val="center"/>
          </w:tcPr>
          <w:p w14:paraId="37104494"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823</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596-2010</w:t>
            </w:r>
            <w:r w:rsidRPr="007F560B">
              <w:rPr>
                <w:rFonts w:eastAsia="宋体" w:cs="宋体"/>
                <w:color w:val="000000"/>
                <w:sz w:val="24"/>
                <w:szCs w:val="24"/>
              </w:rPr>
              <w:t>)</w:t>
            </w:r>
          </w:p>
        </w:tc>
        <w:tc>
          <w:tcPr>
            <w:tcW w:w="810" w:type="pct"/>
            <w:vAlign w:val="center"/>
          </w:tcPr>
          <w:p w14:paraId="0623C14E"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2322</w:t>
            </w:r>
            <w:r w:rsidR="003D4E45" w:rsidRPr="007F560B">
              <w:rPr>
                <w:rFonts w:eastAsiaTheme="minorEastAsia"/>
                <w:color w:val="000000"/>
                <w:sz w:val="24"/>
                <w:szCs w:val="24"/>
              </w:rPr>
              <w:t xml:space="preserve"> </w:t>
            </w:r>
            <w:r w:rsidR="003D4E45" w:rsidRPr="007F560B">
              <w:rPr>
                <w:rFonts w:eastAsia="宋体" w:cs="宋体"/>
                <w:color w:val="000000"/>
                <w:sz w:val="24"/>
                <w:szCs w:val="24"/>
              </w:rPr>
              <w:t>(</w:t>
            </w:r>
            <w:r w:rsidRPr="007F560B">
              <w:rPr>
                <w:color w:val="000000"/>
                <w:sz w:val="24"/>
                <w:szCs w:val="24"/>
              </w:rPr>
              <w:t>843-2714</w:t>
            </w:r>
            <w:r w:rsidR="003D4E45" w:rsidRPr="007F560B">
              <w:rPr>
                <w:rFonts w:eastAsia="宋体" w:cs="宋体"/>
                <w:color w:val="000000"/>
                <w:sz w:val="24"/>
                <w:szCs w:val="24"/>
              </w:rPr>
              <w:t>)</w:t>
            </w:r>
          </w:p>
        </w:tc>
        <w:tc>
          <w:tcPr>
            <w:tcW w:w="356" w:type="pct"/>
            <w:vAlign w:val="center"/>
          </w:tcPr>
          <w:p w14:paraId="24BB7127"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0.114</w:t>
            </w:r>
          </w:p>
        </w:tc>
        <w:tc>
          <w:tcPr>
            <w:tcW w:w="406" w:type="pct"/>
            <w:vAlign w:val="center"/>
          </w:tcPr>
          <w:p w14:paraId="45F0B843"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0.13</w:t>
            </w:r>
          </w:p>
        </w:tc>
        <w:tc>
          <w:tcPr>
            <w:tcW w:w="328" w:type="pct"/>
            <w:vAlign w:val="center"/>
          </w:tcPr>
          <w:p w14:paraId="3ED9CD0A"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0.134</w:t>
            </w:r>
          </w:p>
        </w:tc>
      </w:tr>
      <w:tr w:rsidR="007F560B" w:rsidRPr="007F560B" w14:paraId="6CE04862" w14:textId="77777777" w:rsidTr="007F560B">
        <w:trPr>
          <w:trHeight w:val="377"/>
          <w:jc w:val="center"/>
        </w:trPr>
        <w:tc>
          <w:tcPr>
            <w:tcW w:w="479" w:type="pct"/>
            <w:vAlign w:val="center"/>
          </w:tcPr>
          <w:p w14:paraId="26EC5464"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IL29</w:t>
            </w:r>
          </w:p>
        </w:tc>
        <w:tc>
          <w:tcPr>
            <w:tcW w:w="791" w:type="pct"/>
            <w:vAlign w:val="center"/>
          </w:tcPr>
          <w:p w14:paraId="536E561F"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174</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153-195</w:t>
            </w:r>
            <w:r w:rsidR="002A46C9" w:rsidRPr="007F560B">
              <w:rPr>
                <w:rFonts w:eastAsia="宋体" w:cs="宋体"/>
                <w:color w:val="000000"/>
                <w:sz w:val="24"/>
                <w:szCs w:val="24"/>
              </w:rPr>
              <w:t>)</w:t>
            </w:r>
          </w:p>
        </w:tc>
        <w:tc>
          <w:tcPr>
            <w:tcW w:w="765" w:type="pct"/>
            <w:vAlign w:val="center"/>
          </w:tcPr>
          <w:p w14:paraId="4AEABC47"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153</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149.76-174</w:t>
            </w:r>
            <w:r w:rsidR="002A46C9" w:rsidRPr="007F560B">
              <w:rPr>
                <w:rFonts w:eastAsia="宋体" w:cs="宋体"/>
                <w:color w:val="000000"/>
                <w:sz w:val="24"/>
                <w:szCs w:val="24"/>
              </w:rPr>
              <w:t>)</w:t>
            </w:r>
          </w:p>
        </w:tc>
        <w:tc>
          <w:tcPr>
            <w:tcW w:w="301" w:type="pct"/>
            <w:vAlign w:val="center"/>
          </w:tcPr>
          <w:p w14:paraId="2A45C18B"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0.582</w:t>
            </w:r>
          </w:p>
        </w:tc>
        <w:tc>
          <w:tcPr>
            <w:tcW w:w="764" w:type="pct"/>
            <w:vAlign w:val="center"/>
          </w:tcPr>
          <w:p w14:paraId="511EAB7D"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153</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149.76-195</w:t>
            </w:r>
            <w:r w:rsidRPr="007F560B">
              <w:rPr>
                <w:rFonts w:eastAsia="宋体" w:cs="宋体"/>
                <w:color w:val="000000"/>
                <w:sz w:val="24"/>
                <w:szCs w:val="24"/>
              </w:rPr>
              <w:t>)</w:t>
            </w:r>
          </w:p>
        </w:tc>
        <w:tc>
          <w:tcPr>
            <w:tcW w:w="810" w:type="pct"/>
            <w:vAlign w:val="center"/>
          </w:tcPr>
          <w:p w14:paraId="20A5CAE1"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153</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149.76-195</w:t>
            </w:r>
            <w:r w:rsidRPr="007F560B">
              <w:rPr>
                <w:rFonts w:eastAsia="宋体" w:cs="宋体"/>
                <w:color w:val="000000"/>
                <w:sz w:val="24"/>
                <w:szCs w:val="24"/>
              </w:rPr>
              <w:t>)</w:t>
            </w:r>
          </w:p>
        </w:tc>
        <w:tc>
          <w:tcPr>
            <w:tcW w:w="356" w:type="pct"/>
            <w:vAlign w:val="center"/>
          </w:tcPr>
          <w:p w14:paraId="1364E5DE"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0.416</w:t>
            </w:r>
          </w:p>
        </w:tc>
        <w:tc>
          <w:tcPr>
            <w:tcW w:w="406" w:type="pct"/>
            <w:vAlign w:val="center"/>
          </w:tcPr>
          <w:p w14:paraId="20D33E1B"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0.558</w:t>
            </w:r>
          </w:p>
        </w:tc>
        <w:tc>
          <w:tcPr>
            <w:tcW w:w="328" w:type="pct"/>
            <w:vAlign w:val="center"/>
          </w:tcPr>
          <w:p w14:paraId="63025E15"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0.662</w:t>
            </w:r>
          </w:p>
        </w:tc>
      </w:tr>
      <w:tr w:rsidR="007F560B" w:rsidRPr="007F560B" w14:paraId="7FD86A69" w14:textId="77777777" w:rsidTr="007F560B">
        <w:trPr>
          <w:trHeight w:val="377"/>
          <w:jc w:val="center"/>
        </w:trPr>
        <w:tc>
          <w:tcPr>
            <w:tcW w:w="479" w:type="pct"/>
            <w:vAlign w:val="center"/>
          </w:tcPr>
          <w:p w14:paraId="7345C1FF"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M-CSF</w:t>
            </w:r>
          </w:p>
        </w:tc>
        <w:tc>
          <w:tcPr>
            <w:tcW w:w="791" w:type="pct"/>
            <w:vAlign w:val="center"/>
          </w:tcPr>
          <w:p w14:paraId="56305124"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79</w:t>
            </w:r>
            <w:r w:rsidR="003D4E45" w:rsidRPr="007F560B">
              <w:rPr>
                <w:color w:val="000000"/>
                <w:sz w:val="24"/>
                <w:szCs w:val="24"/>
              </w:rPr>
              <w:t>.39</w:t>
            </w:r>
            <w:r w:rsidR="003D4E45" w:rsidRPr="007F560B">
              <w:rPr>
                <w:rFonts w:eastAsiaTheme="minorEastAsia"/>
                <w:color w:val="000000"/>
                <w:sz w:val="24"/>
                <w:szCs w:val="24"/>
              </w:rPr>
              <w:t xml:space="preserve"> </w:t>
            </w:r>
            <w:r w:rsidR="003D4E45" w:rsidRPr="007F560B">
              <w:rPr>
                <w:rFonts w:eastAsia="宋体" w:cs="宋体"/>
                <w:color w:val="000000"/>
                <w:sz w:val="24"/>
                <w:szCs w:val="24"/>
              </w:rPr>
              <w:t>(</w:t>
            </w:r>
            <w:r w:rsidRPr="007F560B">
              <w:rPr>
                <w:color w:val="000000"/>
                <w:sz w:val="24"/>
                <w:szCs w:val="24"/>
              </w:rPr>
              <w:t>79.39-79.39</w:t>
            </w:r>
            <w:r w:rsidRPr="007F560B">
              <w:rPr>
                <w:rFonts w:eastAsia="宋体" w:cs="宋体"/>
                <w:color w:val="000000"/>
                <w:sz w:val="24"/>
                <w:szCs w:val="24"/>
              </w:rPr>
              <w:t>)</w:t>
            </w:r>
          </w:p>
        </w:tc>
        <w:tc>
          <w:tcPr>
            <w:tcW w:w="765" w:type="pct"/>
            <w:vAlign w:val="center"/>
          </w:tcPr>
          <w:p w14:paraId="16A5B583"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79.39</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79.39-79.39</w:t>
            </w:r>
            <w:r w:rsidR="002A46C9" w:rsidRPr="007F560B">
              <w:rPr>
                <w:rFonts w:eastAsia="宋体" w:cs="宋体"/>
                <w:color w:val="000000"/>
                <w:sz w:val="24"/>
                <w:szCs w:val="24"/>
              </w:rPr>
              <w:t>)</w:t>
            </w:r>
          </w:p>
        </w:tc>
        <w:tc>
          <w:tcPr>
            <w:tcW w:w="301" w:type="pct"/>
            <w:vAlign w:val="center"/>
          </w:tcPr>
          <w:p w14:paraId="6E31177D"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1</w:t>
            </w:r>
          </w:p>
        </w:tc>
        <w:tc>
          <w:tcPr>
            <w:tcW w:w="764" w:type="pct"/>
            <w:vAlign w:val="center"/>
          </w:tcPr>
          <w:p w14:paraId="6C5EF963"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79.39</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79.39-9.39</w:t>
            </w:r>
            <w:r w:rsidRPr="007F560B">
              <w:rPr>
                <w:rFonts w:eastAsia="宋体" w:cs="宋体"/>
                <w:color w:val="000000"/>
                <w:sz w:val="24"/>
                <w:szCs w:val="24"/>
              </w:rPr>
              <w:t>)</w:t>
            </w:r>
          </w:p>
        </w:tc>
        <w:tc>
          <w:tcPr>
            <w:tcW w:w="810" w:type="pct"/>
            <w:vAlign w:val="center"/>
          </w:tcPr>
          <w:p w14:paraId="12924939"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79.39</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79.39-79.39</w:t>
            </w:r>
            <w:r w:rsidRPr="007F560B">
              <w:rPr>
                <w:rFonts w:eastAsia="宋体" w:cs="宋体"/>
                <w:color w:val="000000"/>
                <w:sz w:val="24"/>
                <w:szCs w:val="24"/>
              </w:rPr>
              <w:t>)</w:t>
            </w:r>
          </w:p>
        </w:tc>
        <w:tc>
          <w:tcPr>
            <w:tcW w:w="356" w:type="pct"/>
            <w:vAlign w:val="center"/>
          </w:tcPr>
          <w:p w14:paraId="110FC5BC"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1</w:t>
            </w:r>
          </w:p>
        </w:tc>
        <w:tc>
          <w:tcPr>
            <w:tcW w:w="406" w:type="pct"/>
            <w:vAlign w:val="center"/>
          </w:tcPr>
          <w:p w14:paraId="25216F5A"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1</w:t>
            </w:r>
          </w:p>
        </w:tc>
        <w:tc>
          <w:tcPr>
            <w:tcW w:w="328" w:type="pct"/>
            <w:vAlign w:val="center"/>
          </w:tcPr>
          <w:p w14:paraId="0EB99010"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1</w:t>
            </w:r>
          </w:p>
        </w:tc>
      </w:tr>
      <w:tr w:rsidR="007F560B" w:rsidRPr="007F560B" w14:paraId="06A6D515" w14:textId="77777777" w:rsidTr="007F560B">
        <w:trPr>
          <w:trHeight w:val="377"/>
          <w:jc w:val="center"/>
        </w:trPr>
        <w:tc>
          <w:tcPr>
            <w:tcW w:w="479" w:type="pct"/>
            <w:vAlign w:val="center"/>
          </w:tcPr>
          <w:p w14:paraId="2C772B9E"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XC11</w:t>
            </w:r>
          </w:p>
        </w:tc>
        <w:tc>
          <w:tcPr>
            <w:tcW w:w="791" w:type="pct"/>
            <w:vAlign w:val="center"/>
          </w:tcPr>
          <w:p w14:paraId="72D10E68"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19.72</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88.62-32.98</w:t>
            </w:r>
            <w:r w:rsidR="002A46C9" w:rsidRPr="007F560B">
              <w:rPr>
                <w:rFonts w:eastAsia="宋体" w:cs="宋体"/>
                <w:color w:val="000000"/>
                <w:sz w:val="24"/>
                <w:szCs w:val="24"/>
              </w:rPr>
              <w:t>)</w:t>
            </w:r>
          </w:p>
        </w:tc>
        <w:tc>
          <w:tcPr>
            <w:tcW w:w="765" w:type="pct"/>
            <w:vAlign w:val="center"/>
          </w:tcPr>
          <w:p w14:paraId="5922ACF5"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32.98</w:t>
            </w:r>
            <w:r w:rsidR="003D4E45" w:rsidRPr="007F560B">
              <w:rPr>
                <w:rFonts w:eastAsiaTheme="minorEastAsia"/>
                <w:color w:val="000000"/>
                <w:sz w:val="24"/>
                <w:szCs w:val="24"/>
              </w:rPr>
              <w:t xml:space="preserve"> </w:t>
            </w:r>
            <w:r w:rsidR="003D4E45" w:rsidRPr="007F560B">
              <w:rPr>
                <w:rFonts w:eastAsia="宋体" w:cs="宋体"/>
                <w:sz w:val="24"/>
                <w:szCs w:val="24"/>
              </w:rPr>
              <w:t>(</w:t>
            </w:r>
            <w:r w:rsidRPr="007F560B">
              <w:rPr>
                <w:sz w:val="24"/>
                <w:szCs w:val="24"/>
              </w:rPr>
              <w:t>8.62-45.45</w:t>
            </w:r>
            <w:r w:rsidRPr="007F560B">
              <w:rPr>
                <w:rFonts w:eastAsia="宋体" w:cs="宋体"/>
                <w:color w:val="000000"/>
                <w:sz w:val="24"/>
                <w:szCs w:val="24"/>
              </w:rPr>
              <w:t>)</w:t>
            </w:r>
          </w:p>
        </w:tc>
        <w:tc>
          <w:tcPr>
            <w:tcW w:w="301" w:type="pct"/>
            <w:vAlign w:val="center"/>
          </w:tcPr>
          <w:p w14:paraId="2252128A"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0.411</w:t>
            </w:r>
          </w:p>
        </w:tc>
        <w:tc>
          <w:tcPr>
            <w:tcW w:w="764" w:type="pct"/>
            <w:vAlign w:val="center"/>
          </w:tcPr>
          <w:p w14:paraId="419E0250"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8.62</w:t>
            </w:r>
            <w:r w:rsidR="003D4E45" w:rsidRPr="007F560B">
              <w:rPr>
                <w:rFonts w:eastAsia="宋体" w:cs="宋体"/>
                <w:color w:val="000000"/>
                <w:sz w:val="24"/>
                <w:szCs w:val="24"/>
              </w:rPr>
              <w:t>(</w:t>
            </w:r>
            <w:r w:rsidRPr="007F560B">
              <w:rPr>
                <w:color w:val="000000"/>
                <w:sz w:val="24"/>
                <w:szCs w:val="24"/>
              </w:rPr>
              <w:t>8.62-79.25</w:t>
            </w:r>
            <w:r w:rsidR="003D4E45" w:rsidRPr="007F560B">
              <w:rPr>
                <w:rFonts w:eastAsia="宋体" w:cs="宋体"/>
                <w:color w:val="000000"/>
                <w:sz w:val="24"/>
                <w:szCs w:val="24"/>
              </w:rPr>
              <w:t>)</w:t>
            </w:r>
          </w:p>
        </w:tc>
        <w:tc>
          <w:tcPr>
            <w:tcW w:w="810" w:type="pct"/>
            <w:vAlign w:val="center"/>
          </w:tcPr>
          <w:p w14:paraId="65CB8A28"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8.62</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8.62-144</w:t>
            </w:r>
            <w:r w:rsidRPr="007F560B">
              <w:rPr>
                <w:rFonts w:eastAsia="宋体" w:cs="宋体"/>
                <w:color w:val="000000"/>
                <w:sz w:val="24"/>
                <w:szCs w:val="24"/>
              </w:rPr>
              <w:t>)</w:t>
            </w:r>
          </w:p>
        </w:tc>
        <w:tc>
          <w:tcPr>
            <w:tcW w:w="356" w:type="pct"/>
            <w:vAlign w:val="center"/>
          </w:tcPr>
          <w:p w14:paraId="4C800B3B"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0.293</w:t>
            </w:r>
          </w:p>
        </w:tc>
        <w:tc>
          <w:tcPr>
            <w:tcW w:w="406" w:type="pct"/>
            <w:vAlign w:val="center"/>
          </w:tcPr>
          <w:p w14:paraId="673BA315"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0.95</w:t>
            </w:r>
          </w:p>
        </w:tc>
        <w:tc>
          <w:tcPr>
            <w:tcW w:w="328" w:type="pct"/>
            <w:vAlign w:val="center"/>
          </w:tcPr>
          <w:p w14:paraId="75EC55DC"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0.965</w:t>
            </w:r>
          </w:p>
        </w:tc>
      </w:tr>
      <w:tr w:rsidR="007F560B" w:rsidRPr="007F560B" w14:paraId="492A699F" w14:textId="77777777" w:rsidTr="007F560B">
        <w:trPr>
          <w:trHeight w:val="377"/>
          <w:jc w:val="center"/>
        </w:trPr>
        <w:tc>
          <w:tcPr>
            <w:tcW w:w="479" w:type="pct"/>
            <w:vAlign w:val="center"/>
          </w:tcPr>
          <w:p w14:paraId="4949395B"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lastRenderedPageBreak/>
              <w:t>EGF</w:t>
            </w:r>
          </w:p>
        </w:tc>
        <w:tc>
          <w:tcPr>
            <w:tcW w:w="791" w:type="pct"/>
            <w:vAlign w:val="center"/>
          </w:tcPr>
          <w:p w14:paraId="192A30C7"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54.78</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2.6-92.2</w:t>
            </w:r>
            <w:r w:rsidR="002A46C9" w:rsidRPr="007F560B">
              <w:rPr>
                <w:rFonts w:eastAsia="宋体" w:cs="宋体"/>
                <w:color w:val="000000"/>
                <w:sz w:val="24"/>
                <w:szCs w:val="24"/>
              </w:rPr>
              <w:t>)</w:t>
            </w:r>
          </w:p>
        </w:tc>
        <w:tc>
          <w:tcPr>
            <w:tcW w:w="765" w:type="pct"/>
            <w:vAlign w:val="center"/>
          </w:tcPr>
          <w:p w14:paraId="029DF82C"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9.47</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2.6-52.23</w:t>
            </w:r>
            <w:r w:rsidR="002A46C9" w:rsidRPr="007F560B">
              <w:rPr>
                <w:rFonts w:eastAsia="宋体" w:cs="宋体"/>
                <w:color w:val="000000"/>
                <w:sz w:val="24"/>
                <w:szCs w:val="24"/>
              </w:rPr>
              <w:t>)</w:t>
            </w:r>
          </w:p>
        </w:tc>
        <w:tc>
          <w:tcPr>
            <w:tcW w:w="301" w:type="pct"/>
            <w:vAlign w:val="center"/>
          </w:tcPr>
          <w:p w14:paraId="0146541B"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0.221</w:t>
            </w:r>
          </w:p>
        </w:tc>
        <w:tc>
          <w:tcPr>
            <w:tcW w:w="764" w:type="pct"/>
            <w:vAlign w:val="center"/>
          </w:tcPr>
          <w:p w14:paraId="0215320F"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31.4</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13.8-99.06</w:t>
            </w:r>
            <w:r w:rsidRPr="007F560B">
              <w:rPr>
                <w:rFonts w:eastAsia="宋体" w:cs="宋体"/>
                <w:color w:val="000000"/>
                <w:sz w:val="24"/>
                <w:szCs w:val="24"/>
              </w:rPr>
              <w:t>)</w:t>
            </w:r>
          </w:p>
        </w:tc>
        <w:tc>
          <w:tcPr>
            <w:tcW w:w="810" w:type="pct"/>
            <w:vAlign w:val="center"/>
          </w:tcPr>
          <w:p w14:paraId="022E0DF0"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10.11</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2.6-22.01</w:t>
            </w:r>
            <w:r w:rsidRPr="007F560B">
              <w:rPr>
                <w:rFonts w:eastAsia="宋体" w:cs="宋体"/>
                <w:color w:val="000000"/>
                <w:sz w:val="24"/>
                <w:szCs w:val="24"/>
              </w:rPr>
              <w:t>)</w:t>
            </w:r>
          </w:p>
        </w:tc>
        <w:tc>
          <w:tcPr>
            <w:tcW w:w="356" w:type="pct"/>
            <w:vAlign w:val="center"/>
          </w:tcPr>
          <w:p w14:paraId="3BD96226" w14:textId="77777777" w:rsidR="002A46C9" w:rsidRPr="007F560B" w:rsidRDefault="002A46C9" w:rsidP="007F560B">
            <w:pPr>
              <w:snapToGrid w:val="0"/>
              <w:spacing w:line="360" w:lineRule="auto"/>
              <w:jc w:val="both"/>
              <w:rPr>
                <w:bCs/>
                <w:color w:val="000000"/>
                <w:sz w:val="24"/>
                <w:szCs w:val="24"/>
              </w:rPr>
            </w:pPr>
            <w:r w:rsidRPr="007F560B">
              <w:rPr>
                <w:bCs/>
                <w:color w:val="000000"/>
                <w:sz w:val="24"/>
                <w:szCs w:val="24"/>
              </w:rPr>
              <w:t>0.037</w:t>
            </w:r>
          </w:p>
        </w:tc>
        <w:tc>
          <w:tcPr>
            <w:tcW w:w="406" w:type="pct"/>
            <w:vAlign w:val="center"/>
          </w:tcPr>
          <w:p w14:paraId="1D97240D"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1</w:t>
            </w:r>
          </w:p>
        </w:tc>
        <w:tc>
          <w:tcPr>
            <w:tcW w:w="328" w:type="pct"/>
            <w:vAlign w:val="center"/>
          </w:tcPr>
          <w:p w14:paraId="4A4EB960"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0.638</w:t>
            </w:r>
          </w:p>
        </w:tc>
      </w:tr>
      <w:tr w:rsidR="007F560B" w:rsidRPr="007F560B" w14:paraId="12AD006F" w14:textId="77777777" w:rsidTr="007F560B">
        <w:trPr>
          <w:trHeight w:val="377"/>
          <w:jc w:val="center"/>
        </w:trPr>
        <w:tc>
          <w:tcPr>
            <w:tcW w:w="479" w:type="pct"/>
            <w:vAlign w:val="center"/>
          </w:tcPr>
          <w:p w14:paraId="7B22D91E"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FGF-2</w:t>
            </w:r>
          </w:p>
        </w:tc>
        <w:tc>
          <w:tcPr>
            <w:tcW w:w="791" w:type="pct"/>
            <w:vAlign w:val="center"/>
          </w:tcPr>
          <w:p w14:paraId="02F0445F"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16.6</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3.07-45.69</w:t>
            </w:r>
            <w:r w:rsidR="002A46C9" w:rsidRPr="007F560B">
              <w:rPr>
                <w:rFonts w:eastAsia="宋体" w:cs="宋体"/>
                <w:color w:val="000000"/>
                <w:sz w:val="24"/>
                <w:szCs w:val="24"/>
              </w:rPr>
              <w:t>)</w:t>
            </w:r>
          </w:p>
        </w:tc>
        <w:tc>
          <w:tcPr>
            <w:tcW w:w="765" w:type="pct"/>
            <w:vAlign w:val="center"/>
          </w:tcPr>
          <w:p w14:paraId="567B9659"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3.07</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3.07-40.73</w:t>
            </w:r>
            <w:r w:rsidR="002A46C9" w:rsidRPr="007F560B">
              <w:rPr>
                <w:rFonts w:eastAsia="宋体" w:cs="宋体"/>
                <w:color w:val="000000"/>
                <w:sz w:val="24"/>
                <w:szCs w:val="24"/>
              </w:rPr>
              <w:t>)</w:t>
            </w:r>
          </w:p>
        </w:tc>
        <w:tc>
          <w:tcPr>
            <w:tcW w:w="301" w:type="pct"/>
            <w:vAlign w:val="center"/>
          </w:tcPr>
          <w:p w14:paraId="5E43CA1F"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0.241</w:t>
            </w:r>
          </w:p>
        </w:tc>
        <w:tc>
          <w:tcPr>
            <w:tcW w:w="764" w:type="pct"/>
            <w:vAlign w:val="center"/>
          </w:tcPr>
          <w:p w14:paraId="69ADE66B"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3.07</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3.07-8.44</w:t>
            </w:r>
            <w:r w:rsidRPr="007F560B">
              <w:rPr>
                <w:rFonts w:eastAsia="宋体" w:cs="宋体"/>
                <w:color w:val="000000"/>
                <w:sz w:val="24"/>
                <w:szCs w:val="24"/>
              </w:rPr>
              <w:t>)</w:t>
            </w:r>
          </w:p>
        </w:tc>
        <w:tc>
          <w:tcPr>
            <w:tcW w:w="810" w:type="pct"/>
            <w:vAlign w:val="center"/>
          </w:tcPr>
          <w:p w14:paraId="4F6D8AEF"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3.07</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3.07-29.74</w:t>
            </w:r>
            <w:r w:rsidRPr="007F560B">
              <w:rPr>
                <w:rFonts w:eastAsia="宋体" w:cs="宋体"/>
                <w:color w:val="000000"/>
                <w:sz w:val="24"/>
                <w:szCs w:val="24"/>
              </w:rPr>
              <w:t>)</w:t>
            </w:r>
          </w:p>
        </w:tc>
        <w:tc>
          <w:tcPr>
            <w:tcW w:w="356" w:type="pct"/>
            <w:vAlign w:val="center"/>
          </w:tcPr>
          <w:p w14:paraId="3877DA87"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0.715</w:t>
            </w:r>
          </w:p>
        </w:tc>
        <w:tc>
          <w:tcPr>
            <w:tcW w:w="406" w:type="pct"/>
            <w:vAlign w:val="center"/>
          </w:tcPr>
          <w:p w14:paraId="69072F81"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0.17</w:t>
            </w:r>
          </w:p>
        </w:tc>
        <w:tc>
          <w:tcPr>
            <w:tcW w:w="328" w:type="pct"/>
            <w:vAlign w:val="center"/>
          </w:tcPr>
          <w:p w14:paraId="53B6461F"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1</w:t>
            </w:r>
          </w:p>
        </w:tc>
      </w:tr>
      <w:tr w:rsidR="007F560B" w:rsidRPr="007F560B" w14:paraId="665CBFDD" w14:textId="77777777" w:rsidTr="007F560B">
        <w:trPr>
          <w:trHeight w:val="377"/>
          <w:jc w:val="center"/>
        </w:trPr>
        <w:tc>
          <w:tcPr>
            <w:tcW w:w="479" w:type="pct"/>
            <w:vAlign w:val="center"/>
          </w:tcPr>
          <w:p w14:paraId="11F66EC1"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EOTAXIN</w:t>
            </w:r>
          </w:p>
        </w:tc>
        <w:tc>
          <w:tcPr>
            <w:tcW w:w="791" w:type="pct"/>
            <w:vAlign w:val="center"/>
          </w:tcPr>
          <w:p w14:paraId="3603A014"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389</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182-530</w:t>
            </w:r>
            <w:r w:rsidR="002A46C9" w:rsidRPr="007F560B">
              <w:rPr>
                <w:rFonts w:eastAsia="宋体" w:cs="宋体"/>
                <w:color w:val="000000"/>
                <w:sz w:val="24"/>
                <w:szCs w:val="24"/>
              </w:rPr>
              <w:t>)</w:t>
            </w:r>
          </w:p>
        </w:tc>
        <w:tc>
          <w:tcPr>
            <w:tcW w:w="765" w:type="pct"/>
            <w:vAlign w:val="center"/>
          </w:tcPr>
          <w:p w14:paraId="4421016C"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436</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278-620</w:t>
            </w:r>
            <w:r w:rsidR="002A46C9" w:rsidRPr="007F560B">
              <w:rPr>
                <w:rFonts w:eastAsia="宋体" w:cs="宋体"/>
                <w:color w:val="000000"/>
                <w:sz w:val="24"/>
                <w:szCs w:val="24"/>
              </w:rPr>
              <w:t>)</w:t>
            </w:r>
          </w:p>
        </w:tc>
        <w:tc>
          <w:tcPr>
            <w:tcW w:w="301" w:type="pct"/>
            <w:vAlign w:val="center"/>
          </w:tcPr>
          <w:p w14:paraId="41406420"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0.394</w:t>
            </w:r>
          </w:p>
        </w:tc>
        <w:tc>
          <w:tcPr>
            <w:tcW w:w="764" w:type="pct"/>
            <w:vAlign w:val="center"/>
          </w:tcPr>
          <w:p w14:paraId="5E4DFBEF"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262</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138-397</w:t>
            </w:r>
            <w:r w:rsidRPr="007F560B">
              <w:rPr>
                <w:rFonts w:eastAsia="宋体" w:cs="宋体"/>
                <w:color w:val="000000"/>
                <w:sz w:val="24"/>
                <w:szCs w:val="24"/>
              </w:rPr>
              <w:t>)</w:t>
            </w:r>
          </w:p>
        </w:tc>
        <w:tc>
          <w:tcPr>
            <w:tcW w:w="810" w:type="pct"/>
            <w:vAlign w:val="center"/>
          </w:tcPr>
          <w:p w14:paraId="70C6F7A2"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236</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118-315</w:t>
            </w:r>
            <w:r w:rsidRPr="007F560B">
              <w:rPr>
                <w:rFonts w:eastAsia="宋体" w:cs="宋体"/>
                <w:color w:val="000000"/>
                <w:sz w:val="24"/>
                <w:szCs w:val="24"/>
              </w:rPr>
              <w:t>)</w:t>
            </w:r>
          </w:p>
        </w:tc>
        <w:tc>
          <w:tcPr>
            <w:tcW w:w="356" w:type="pct"/>
            <w:vAlign w:val="center"/>
          </w:tcPr>
          <w:p w14:paraId="1C16ECB4"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0.374</w:t>
            </w:r>
          </w:p>
        </w:tc>
        <w:tc>
          <w:tcPr>
            <w:tcW w:w="406" w:type="pct"/>
            <w:vAlign w:val="center"/>
          </w:tcPr>
          <w:p w14:paraId="368369C4"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0.148</w:t>
            </w:r>
          </w:p>
        </w:tc>
        <w:tc>
          <w:tcPr>
            <w:tcW w:w="328" w:type="pct"/>
            <w:vAlign w:val="center"/>
          </w:tcPr>
          <w:p w14:paraId="6A7D5CC4" w14:textId="77777777" w:rsidR="002A46C9" w:rsidRPr="007F560B" w:rsidRDefault="002A46C9" w:rsidP="007F560B">
            <w:pPr>
              <w:snapToGrid w:val="0"/>
              <w:spacing w:line="360" w:lineRule="auto"/>
              <w:jc w:val="both"/>
              <w:rPr>
                <w:bCs/>
                <w:color w:val="000000"/>
                <w:sz w:val="24"/>
                <w:szCs w:val="24"/>
              </w:rPr>
            </w:pPr>
            <w:r w:rsidRPr="007F560B">
              <w:rPr>
                <w:bCs/>
                <w:color w:val="000000"/>
                <w:sz w:val="24"/>
                <w:szCs w:val="24"/>
              </w:rPr>
              <w:t>0.015</w:t>
            </w:r>
          </w:p>
        </w:tc>
      </w:tr>
      <w:tr w:rsidR="007F560B" w:rsidRPr="007F560B" w14:paraId="76A2E58B" w14:textId="77777777" w:rsidTr="007F560B">
        <w:trPr>
          <w:trHeight w:val="377"/>
          <w:jc w:val="center"/>
        </w:trPr>
        <w:tc>
          <w:tcPr>
            <w:tcW w:w="479" w:type="pct"/>
            <w:vAlign w:val="center"/>
          </w:tcPr>
          <w:p w14:paraId="0F397A5F"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TGF-a</w:t>
            </w:r>
          </w:p>
        </w:tc>
        <w:tc>
          <w:tcPr>
            <w:tcW w:w="791" w:type="pct"/>
            <w:vAlign w:val="center"/>
          </w:tcPr>
          <w:p w14:paraId="2B18565F"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2.28</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2.28-4.23</w:t>
            </w:r>
            <w:r w:rsidR="002A46C9" w:rsidRPr="007F560B">
              <w:rPr>
                <w:rFonts w:eastAsia="宋体" w:cs="宋体"/>
                <w:color w:val="000000"/>
                <w:sz w:val="24"/>
                <w:szCs w:val="24"/>
              </w:rPr>
              <w:t>)</w:t>
            </w:r>
          </w:p>
        </w:tc>
        <w:tc>
          <w:tcPr>
            <w:tcW w:w="765" w:type="pct"/>
            <w:vAlign w:val="center"/>
          </w:tcPr>
          <w:p w14:paraId="5FB63567"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2.28</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2.28-2.28</w:t>
            </w:r>
            <w:r w:rsidR="002A46C9" w:rsidRPr="007F560B">
              <w:rPr>
                <w:rFonts w:eastAsia="宋体" w:cs="宋体"/>
                <w:color w:val="000000"/>
                <w:sz w:val="24"/>
                <w:szCs w:val="24"/>
              </w:rPr>
              <w:t>)</w:t>
            </w:r>
          </w:p>
        </w:tc>
        <w:tc>
          <w:tcPr>
            <w:tcW w:w="301" w:type="pct"/>
            <w:vAlign w:val="center"/>
          </w:tcPr>
          <w:p w14:paraId="6C2BA7C7"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0.128</w:t>
            </w:r>
          </w:p>
        </w:tc>
        <w:tc>
          <w:tcPr>
            <w:tcW w:w="764" w:type="pct"/>
            <w:vAlign w:val="center"/>
          </w:tcPr>
          <w:p w14:paraId="61D064B1"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2.28</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2.28-2.28</w:t>
            </w:r>
            <w:r w:rsidRPr="007F560B">
              <w:rPr>
                <w:rFonts w:eastAsia="宋体" w:cs="宋体"/>
                <w:color w:val="000000"/>
                <w:sz w:val="24"/>
                <w:szCs w:val="24"/>
              </w:rPr>
              <w:t>)</w:t>
            </w:r>
          </w:p>
        </w:tc>
        <w:tc>
          <w:tcPr>
            <w:tcW w:w="810" w:type="pct"/>
            <w:vAlign w:val="center"/>
          </w:tcPr>
          <w:p w14:paraId="12B3CD9E"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2.28</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2.28-2.28</w:t>
            </w:r>
            <w:r w:rsidRPr="007F560B">
              <w:rPr>
                <w:rFonts w:eastAsia="宋体" w:cs="宋体"/>
                <w:color w:val="000000"/>
                <w:sz w:val="24"/>
                <w:szCs w:val="24"/>
              </w:rPr>
              <w:t>)</w:t>
            </w:r>
          </w:p>
        </w:tc>
        <w:tc>
          <w:tcPr>
            <w:tcW w:w="356" w:type="pct"/>
            <w:vAlign w:val="center"/>
          </w:tcPr>
          <w:p w14:paraId="16E3EEC8"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0.317</w:t>
            </w:r>
          </w:p>
        </w:tc>
        <w:tc>
          <w:tcPr>
            <w:tcW w:w="406" w:type="pct"/>
            <w:vAlign w:val="center"/>
          </w:tcPr>
          <w:p w14:paraId="414C33F7"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0.308</w:t>
            </w:r>
          </w:p>
        </w:tc>
        <w:tc>
          <w:tcPr>
            <w:tcW w:w="328" w:type="pct"/>
            <w:vAlign w:val="center"/>
          </w:tcPr>
          <w:p w14:paraId="2372653F"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0.614</w:t>
            </w:r>
          </w:p>
        </w:tc>
      </w:tr>
      <w:tr w:rsidR="007F560B" w:rsidRPr="007F560B" w14:paraId="60C5CDAF" w14:textId="77777777" w:rsidTr="007F560B">
        <w:trPr>
          <w:trHeight w:val="377"/>
          <w:jc w:val="center"/>
        </w:trPr>
        <w:tc>
          <w:tcPr>
            <w:tcW w:w="479" w:type="pct"/>
            <w:vAlign w:val="center"/>
          </w:tcPr>
          <w:p w14:paraId="624D0685"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G-CSF</w:t>
            </w:r>
          </w:p>
        </w:tc>
        <w:tc>
          <w:tcPr>
            <w:tcW w:w="791" w:type="pct"/>
            <w:vAlign w:val="center"/>
          </w:tcPr>
          <w:p w14:paraId="4000146D"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2.6</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2.6-29.5</w:t>
            </w:r>
            <w:r w:rsidR="002A46C9" w:rsidRPr="007F560B">
              <w:rPr>
                <w:rFonts w:eastAsia="宋体" w:cs="宋体"/>
                <w:color w:val="000000"/>
                <w:sz w:val="24"/>
                <w:szCs w:val="24"/>
              </w:rPr>
              <w:t>)</w:t>
            </w:r>
          </w:p>
        </w:tc>
        <w:tc>
          <w:tcPr>
            <w:tcW w:w="765" w:type="pct"/>
            <w:vAlign w:val="center"/>
          </w:tcPr>
          <w:p w14:paraId="5E1C79F4"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2.6</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2.6-7.78</w:t>
            </w:r>
            <w:r w:rsidR="002A46C9" w:rsidRPr="007F560B">
              <w:rPr>
                <w:rFonts w:eastAsia="宋体" w:cs="宋体"/>
                <w:color w:val="000000"/>
                <w:sz w:val="24"/>
                <w:szCs w:val="24"/>
              </w:rPr>
              <w:t>)</w:t>
            </w:r>
          </w:p>
        </w:tc>
        <w:tc>
          <w:tcPr>
            <w:tcW w:w="301" w:type="pct"/>
            <w:vAlign w:val="center"/>
          </w:tcPr>
          <w:p w14:paraId="057F761D"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0.345</w:t>
            </w:r>
          </w:p>
        </w:tc>
        <w:tc>
          <w:tcPr>
            <w:tcW w:w="764" w:type="pct"/>
            <w:vAlign w:val="center"/>
          </w:tcPr>
          <w:p w14:paraId="05E2DC4E"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2.6</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2.6-2.6</w:t>
            </w:r>
            <w:r w:rsidRPr="007F560B">
              <w:rPr>
                <w:rFonts w:eastAsia="宋体" w:cs="宋体"/>
                <w:color w:val="000000"/>
                <w:sz w:val="24"/>
                <w:szCs w:val="24"/>
              </w:rPr>
              <w:t>)</w:t>
            </w:r>
          </w:p>
        </w:tc>
        <w:tc>
          <w:tcPr>
            <w:tcW w:w="810" w:type="pct"/>
            <w:vAlign w:val="center"/>
          </w:tcPr>
          <w:p w14:paraId="6B2A3E6D"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2.6</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2.6-2.6</w:t>
            </w:r>
            <w:r w:rsidRPr="007F560B">
              <w:rPr>
                <w:rFonts w:eastAsia="宋体" w:cs="宋体"/>
                <w:color w:val="000000"/>
                <w:sz w:val="24"/>
                <w:szCs w:val="24"/>
              </w:rPr>
              <w:t>)</w:t>
            </w:r>
          </w:p>
        </w:tc>
        <w:tc>
          <w:tcPr>
            <w:tcW w:w="356" w:type="pct"/>
            <w:vAlign w:val="center"/>
          </w:tcPr>
          <w:p w14:paraId="4EA9CE3D"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0.18</w:t>
            </w:r>
          </w:p>
        </w:tc>
        <w:tc>
          <w:tcPr>
            <w:tcW w:w="406" w:type="pct"/>
            <w:vAlign w:val="center"/>
          </w:tcPr>
          <w:p w14:paraId="6359D0B3"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0.293</w:t>
            </w:r>
          </w:p>
        </w:tc>
        <w:tc>
          <w:tcPr>
            <w:tcW w:w="328" w:type="pct"/>
            <w:vAlign w:val="center"/>
          </w:tcPr>
          <w:p w14:paraId="07A85B5E"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0.113</w:t>
            </w:r>
          </w:p>
        </w:tc>
      </w:tr>
      <w:tr w:rsidR="007F560B" w:rsidRPr="007F560B" w14:paraId="46868479" w14:textId="77777777" w:rsidTr="007F560B">
        <w:trPr>
          <w:trHeight w:val="377"/>
          <w:jc w:val="center"/>
        </w:trPr>
        <w:tc>
          <w:tcPr>
            <w:tcW w:w="479" w:type="pct"/>
            <w:vAlign w:val="center"/>
          </w:tcPr>
          <w:p w14:paraId="1F7096AE"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GRO</w:t>
            </w:r>
          </w:p>
        </w:tc>
        <w:tc>
          <w:tcPr>
            <w:tcW w:w="791" w:type="pct"/>
            <w:vAlign w:val="center"/>
          </w:tcPr>
          <w:p w14:paraId="3D515E76"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579</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226-1378</w:t>
            </w:r>
            <w:r w:rsidR="002A46C9" w:rsidRPr="007F560B">
              <w:rPr>
                <w:rFonts w:eastAsia="宋体" w:cs="宋体"/>
                <w:color w:val="000000"/>
                <w:sz w:val="24"/>
                <w:szCs w:val="24"/>
              </w:rPr>
              <w:t>)</w:t>
            </w:r>
          </w:p>
        </w:tc>
        <w:tc>
          <w:tcPr>
            <w:tcW w:w="765" w:type="pct"/>
            <w:vAlign w:val="center"/>
          </w:tcPr>
          <w:p w14:paraId="75A1B91E"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469</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208-725</w:t>
            </w:r>
            <w:r w:rsidR="002A46C9" w:rsidRPr="007F560B">
              <w:rPr>
                <w:rFonts w:eastAsia="宋体" w:cs="宋体"/>
                <w:color w:val="000000"/>
                <w:sz w:val="24"/>
                <w:szCs w:val="24"/>
              </w:rPr>
              <w:t>)</w:t>
            </w:r>
          </w:p>
        </w:tc>
        <w:tc>
          <w:tcPr>
            <w:tcW w:w="301" w:type="pct"/>
            <w:vAlign w:val="center"/>
          </w:tcPr>
          <w:p w14:paraId="5847B573"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0.281</w:t>
            </w:r>
          </w:p>
        </w:tc>
        <w:tc>
          <w:tcPr>
            <w:tcW w:w="764" w:type="pct"/>
            <w:vAlign w:val="center"/>
          </w:tcPr>
          <w:p w14:paraId="5208D8DD"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243</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143-541</w:t>
            </w:r>
            <w:r w:rsidRPr="007F560B">
              <w:rPr>
                <w:rFonts w:eastAsia="宋体" w:cs="宋体"/>
                <w:color w:val="000000"/>
                <w:sz w:val="24"/>
                <w:szCs w:val="24"/>
              </w:rPr>
              <w:t>)</w:t>
            </w:r>
          </w:p>
        </w:tc>
        <w:tc>
          <w:tcPr>
            <w:tcW w:w="810" w:type="pct"/>
            <w:vAlign w:val="center"/>
          </w:tcPr>
          <w:p w14:paraId="38747931"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85.57</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3.73-199</w:t>
            </w:r>
            <w:r w:rsidRPr="007F560B">
              <w:rPr>
                <w:rFonts w:eastAsia="宋体" w:cs="宋体"/>
                <w:color w:val="000000"/>
                <w:sz w:val="24"/>
                <w:szCs w:val="24"/>
              </w:rPr>
              <w:t>)</w:t>
            </w:r>
          </w:p>
        </w:tc>
        <w:tc>
          <w:tcPr>
            <w:tcW w:w="356" w:type="pct"/>
            <w:vAlign w:val="center"/>
          </w:tcPr>
          <w:p w14:paraId="675A1DA5"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0.059</w:t>
            </w:r>
          </w:p>
        </w:tc>
        <w:tc>
          <w:tcPr>
            <w:tcW w:w="406" w:type="pct"/>
            <w:vAlign w:val="center"/>
          </w:tcPr>
          <w:p w14:paraId="073042C6"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0.148</w:t>
            </w:r>
          </w:p>
        </w:tc>
        <w:tc>
          <w:tcPr>
            <w:tcW w:w="328" w:type="pct"/>
            <w:vAlign w:val="center"/>
          </w:tcPr>
          <w:p w14:paraId="617E54C2" w14:textId="77777777" w:rsidR="002A46C9" w:rsidRPr="007F560B" w:rsidRDefault="002A46C9" w:rsidP="007F560B">
            <w:pPr>
              <w:snapToGrid w:val="0"/>
              <w:spacing w:line="360" w:lineRule="auto"/>
              <w:jc w:val="both"/>
              <w:rPr>
                <w:bCs/>
                <w:color w:val="000000"/>
                <w:sz w:val="24"/>
                <w:szCs w:val="24"/>
              </w:rPr>
            </w:pPr>
            <w:r w:rsidRPr="007F560B">
              <w:rPr>
                <w:bCs/>
                <w:color w:val="000000"/>
                <w:sz w:val="24"/>
                <w:szCs w:val="24"/>
              </w:rPr>
              <w:t>0.009</w:t>
            </w:r>
          </w:p>
        </w:tc>
      </w:tr>
      <w:tr w:rsidR="007F560B" w:rsidRPr="007F560B" w14:paraId="2E70C5B6" w14:textId="77777777" w:rsidTr="007F560B">
        <w:trPr>
          <w:trHeight w:val="377"/>
          <w:jc w:val="center"/>
        </w:trPr>
        <w:tc>
          <w:tcPr>
            <w:tcW w:w="479" w:type="pct"/>
            <w:vAlign w:val="center"/>
          </w:tcPr>
          <w:p w14:paraId="3194E24F"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IL-10</w:t>
            </w:r>
          </w:p>
        </w:tc>
        <w:tc>
          <w:tcPr>
            <w:tcW w:w="791" w:type="pct"/>
            <w:vAlign w:val="center"/>
          </w:tcPr>
          <w:p w14:paraId="37BACE10"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3.21</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3.21-3.21</w:t>
            </w:r>
            <w:r w:rsidR="002A46C9" w:rsidRPr="007F560B">
              <w:rPr>
                <w:rFonts w:eastAsia="宋体" w:cs="宋体"/>
                <w:color w:val="000000"/>
                <w:sz w:val="24"/>
                <w:szCs w:val="24"/>
              </w:rPr>
              <w:t>)</w:t>
            </w:r>
          </w:p>
        </w:tc>
        <w:tc>
          <w:tcPr>
            <w:tcW w:w="765" w:type="pct"/>
            <w:vAlign w:val="center"/>
          </w:tcPr>
          <w:p w14:paraId="147FFBBB"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3.</w:t>
            </w:r>
            <w:r w:rsidR="003D4E45" w:rsidRPr="007F560B">
              <w:rPr>
                <w:color w:val="000000"/>
                <w:sz w:val="24"/>
                <w:szCs w:val="24"/>
              </w:rPr>
              <w:t>21</w:t>
            </w:r>
            <w:r w:rsidR="003D4E45" w:rsidRPr="007F560B">
              <w:rPr>
                <w:rFonts w:eastAsiaTheme="minorEastAsia"/>
                <w:color w:val="000000"/>
                <w:sz w:val="24"/>
                <w:szCs w:val="24"/>
              </w:rPr>
              <w:t xml:space="preserve"> </w:t>
            </w:r>
            <w:r w:rsidR="003D4E45" w:rsidRPr="007F560B">
              <w:rPr>
                <w:rFonts w:eastAsia="宋体" w:cs="宋体"/>
                <w:color w:val="000000"/>
                <w:sz w:val="24"/>
                <w:szCs w:val="24"/>
              </w:rPr>
              <w:t>(</w:t>
            </w:r>
            <w:r w:rsidRPr="007F560B">
              <w:rPr>
                <w:color w:val="000000"/>
                <w:sz w:val="24"/>
                <w:szCs w:val="24"/>
              </w:rPr>
              <w:t>3.21-3.21</w:t>
            </w:r>
            <w:r w:rsidRPr="007F560B">
              <w:rPr>
                <w:rFonts w:eastAsia="宋体" w:cs="宋体"/>
                <w:color w:val="000000"/>
                <w:sz w:val="24"/>
                <w:szCs w:val="24"/>
              </w:rPr>
              <w:t>)</w:t>
            </w:r>
          </w:p>
        </w:tc>
        <w:tc>
          <w:tcPr>
            <w:tcW w:w="301" w:type="pct"/>
            <w:vAlign w:val="center"/>
          </w:tcPr>
          <w:p w14:paraId="0CE8E617"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0.18</w:t>
            </w:r>
          </w:p>
        </w:tc>
        <w:tc>
          <w:tcPr>
            <w:tcW w:w="764" w:type="pct"/>
            <w:vAlign w:val="center"/>
          </w:tcPr>
          <w:p w14:paraId="5DCFB9D3"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3.21</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3.21-3.21</w:t>
            </w:r>
            <w:r w:rsidRPr="007F560B">
              <w:rPr>
                <w:rFonts w:eastAsia="宋体" w:cs="宋体"/>
                <w:color w:val="000000"/>
                <w:sz w:val="24"/>
                <w:szCs w:val="24"/>
              </w:rPr>
              <w:t>)</w:t>
            </w:r>
          </w:p>
        </w:tc>
        <w:tc>
          <w:tcPr>
            <w:tcW w:w="810" w:type="pct"/>
            <w:vAlign w:val="center"/>
          </w:tcPr>
          <w:p w14:paraId="0518B9B5"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3.21</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3.21-3.21</w:t>
            </w:r>
            <w:r w:rsidRPr="007F560B">
              <w:rPr>
                <w:rFonts w:eastAsia="宋体" w:cs="宋体"/>
                <w:color w:val="000000"/>
                <w:sz w:val="24"/>
                <w:szCs w:val="24"/>
              </w:rPr>
              <w:t>)</w:t>
            </w:r>
          </w:p>
        </w:tc>
        <w:tc>
          <w:tcPr>
            <w:tcW w:w="356" w:type="pct"/>
            <w:vAlign w:val="center"/>
          </w:tcPr>
          <w:p w14:paraId="2099175E"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0.317</w:t>
            </w:r>
          </w:p>
        </w:tc>
        <w:tc>
          <w:tcPr>
            <w:tcW w:w="406" w:type="pct"/>
            <w:vAlign w:val="center"/>
          </w:tcPr>
          <w:p w14:paraId="2C2236FC"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0.492</w:t>
            </w:r>
          </w:p>
        </w:tc>
        <w:tc>
          <w:tcPr>
            <w:tcW w:w="328" w:type="pct"/>
            <w:vAlign w:val="center"/>
          </w:tcPr>
          <w:p w14:paraId="37A4201D"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0.423</w:t>
            </w:r>
          </w:p>
        </w:tc>
      </w:tr>
      <w:tr w:rsidR="007F560B" w:rsidRPr="007F560B" w14:paraId="16FE3BF1" w14:textId="77777777" w:rsidTr="007F560B">
        <w:trPr>
          <w:trHeight w:val="377"/>
          <w:jc w:val="center"/>
        </w:trPr>
        <w:tc>
          <w:tcPr>
            <w:tcW w:w="479" w:type="pct"/>
            <w:vAlign w:val="center"/>
          </w:tcPr>
          <w:p w14:paraId="375DB467"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MDC</w:t>
            </w:r>
          </w:p>
        </w:tc>
        <w:tc>
          <w:tcPr>
            <w:tcW w:w="791" w:type="pct"/>
            <w:vAlign w:val="center"/>
          </w:tcPr>
          <w:p w14:paraId="20DEB2BB"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627</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184-877</w:t>
            </w:r>
            <w:r w:rsidR="002A46C9" w:rsidRPr="007F560B">
              <w:rPr>
                <w:rFonts w:eastAsia="宋体" w:cs="宋体"/>
                <w:color w:val="000000"/>
                <w:sz w:val="24"/>
                <w:szCs w:val="24"/>
              </w:rPr>
              <w:t>)</w:t>
            </w:r>
          </w:p>
        </w:tc>
        <w:tc>
          <w:tcPr>
            <w:tcW w:w="765" w:type="pct"/>
            <w:vAlign w:val="center"/>
          </w:tcPr>
          <w:p w14:paraId="1A7B6536"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365</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248-827</w:t>
            </w:r>
            <w:r w:rsidR="002A46C9" w:rsidRPr="007F560B">
              <w:rPr>
                <w:rFonts w:eastAsia="宋体" w:cs="宋体"/>
                <w:color w:val="000000"/>
                <w:sz w:val="24"/>
                <w:szCs w:val="24"/>
              </w:rPr>
              <w:t>)</w:t>
            </w:r>
          </w:p>
        </w:tc>
        <w:tc>
          <w:tcPr>
            <w:tcW w:w="301" w:type="pct"/>
            <w:vAlign w:val="center"/>
          </w:tcPr>
          <w:p w14:paraId="0AE681B7"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0.776</w:t>
            </w:r>
          </w:p>
        </w:tc>
        <w:tc>
          <w:tcPr>
            <w:tcW w:w="764" w:type="pct"/>
            <w:vAlign w:val="center"/>
          </w:tcPr>
          <w:p w14:paraId="480B0CB1"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294</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192-454</w:t>
            </w:r>
            <w:r w:rsidRPr="007F560B">
              <w:rPr>
                <w:rFonts w:eastAsia="宋体" w:cs="宋体"/>
                <w:color w:val="000000"/>
                <w:sz w:val="24"/>
                <w:szCs w:val="24"/>
              </w:rPr>
              <w:t>)</w:t>
            </w:r>
          </w:p>
        </w:tc>
        <w:tc>
          <w:tcPr>
            <w:tcW w:w="810" w:type="pct"/>
            <w:vAlign w:val="center"/>
          </w:tcPr>
          <w:p w14:paraId="6AF2B984"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158</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119-443</w:t>
            </w:r>
            <w:r w:rsidRPr="007F560B">
              <w:rPr>
                <w:rFonts w:eastAsia="宋体" w:cs="宋体"/>
                <w:color w:val="000000"/>
                <w:sz w:val="24"/>
                <w:szCs w:val="24"/>
              </w:rPr>
              <w:t>)</w:t>
            </w:r>
          </w:p>
        </w:tc>
        <w:tc>
          <w:tcPr>
            <w:tcW w:w="356" w:type="pct"/>
            <w:vAlign w:val="center"/>
          </w:tcPr>
          <w:p w14:paraId="7CC3E746"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0.657</w:t>
            </w:r>
          </w:p>
        </w:tc>
        <w:tc>
          <w:tcPr>
            <w:tcW w:w="406" w:type="pct"/>
            <w:vAlign w:val="center"/>
          </w:tcPr>
          <w:p w14:paraId="028C5F0C"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0.164</w:t>
            </w:r>
          </w:p>
        </w:tc>
        <w:tc>
          <w:tcPr>
            <w:tcW w:w="328" w:type="pct"/>
            <w:vAlign w:val="center"/>
          </w:tcPr>
          <w:p w14:paraId="5E26F127"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0.54</w:t>
            </w:r>
          </w:p>
        </w:tc>
      </w:tr>
      <w:tr w:rsidR="007F560B" w:rsidRPr="007F560B" w14:paraId="27707DAB" w14:textId="77777777" w:rsidTr="007F560B">
        <w:trPr>
          <w:trHeight w:val="377"/>
          <w:jc w:val="center"/>
        </w:trPr>
        <w:tc>
          <w:tcPr>
            <w:tcW w:w="479" w:type="pct"/>
            <w:vAlign w:val="center"/>
          </w:tcPr>
          <w:p w14:paraId="324E3DB4"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sCD40L</w:t>
            </w:r>
          </w:p>
        </w:tc>
        <w:tc>
          <w:tcPr>
            <w:tcW w:w="791" w:type="pct"/>
            <w:vAlign w:val="center"/>
          </w:tcPr>
          <w:p w14:paraId="7EA20238"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1116</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192-2402</w:t>
            </w:r>
            <w:r w:rsidR="002A46C9" w:rsidRPr="007F560B">
              <w:rPr>
                <w:rFonts w:eastAsia="宋体" w:cs="宋体"/>
                <w:color w:val="000000"/>
                <w:sz w:val="24"/>
                <w:szCs w:val="24"/>
              </w:rPr>
              <w:t>)</w:t>
            </w:r>
          </w:p>
        </w:tc>
        <w:tc>
          <w:tcPr>
            <w:tcW w:w="765" w:type="pct"/>
            <w:vAlign w:val="center"/>
          </w:tcPr>
          <w:p w14:paraId="283C2AC3"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1510</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737-2905</w:t>
            </w:r>
            <w:r w:rsidR="002A46C9" w:rsidRPr="007F560B">
              <w:rPr>
                <w:rFonts w:eastAsia="宋体" w:cs="宋体"/>
                <w:color w:val="000000"/>
                <w:sz w:val="24"/>
                <w:szCs w:val="24"/>
              </w:rPr>
              <w:t>)</w:t>
            </w:r>
          </w:p>
        </w:tc>
        <w:tc>
          <w:tcPr>
            <w:tcW w:w="301" w:type="pct"/>
            <w:vAlign w:val="center"/>
          </w:tcPr>
          <w:p w14:paraId="27413D9A"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0.57</w:t>
            </w:r>
          </w:p>
        </w:tc>
        <w:tc>
          <w:tcPr>
            <w:tcW w:w="764" w:type="pct"/>
            <w:vAlign w:val="center"/>
          </w:tcPr>
          <w:p w14:paraId="0CE510B8"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848</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242-1342</w:t>
            </w:r>
            <w:r w:rsidRPr="007F560B">
              <w:rPr>
                <w:rFonts w:eastAsia="宋体" w:cs="宋体"/>
                <w:color w:val="000000"/>
                <w:sz w:val="24"/>
                <w:szCs w:val="24"/>
              </w:rPr>
              <w:t>)</w:t>
            </w:r>
          </w:p>
        </w:tc>
        <w:tc>
          <w:tcPr>
            <w:tcW w:w="810" w:type="pct"/>
            <w:vAlign w:val="center"/>
          </w:tcPr>
          <w:p w14:paraId="4ABF192B"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771</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442-1514</w:t>
            </w:r>
            <w:r w:rsidRPr="007F560B">
              <w:rPr>
                <w:rFonts w:eastAsia="宋体" w:cs="宋体"/>
                <w:color w:val="000000"/>
                <w:sz w:val="24"/>
                <w:szCs w:val="24"/>
              </w:rPr>
              <w:t>)</w:t>
            </w:r>
          </w:p>
        </w:tc>
        <w:tc>
          <w:tcPr>
            <w:tcW w:w="356" w:type="pct"/>
            <w:vAlign w:val="center"/>
          </w:tcPr>
          <w:p w14:paraId="2035548C"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0.477</w:t>
            </w:r>
          </w:p>
        </w:tc>
        <w:tc>
          <w:tcPr>
            <w:tcW w:w="406" w:type="pct"/>
            <w:vAlign w:val="center"/>
          </w:tcPr>
          <w:p w14:paraId="38F9551A"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0.405</w:t>
            </w:r>
          </w:p>
        </w:tc>
        <w:tc>
          <w:tcPr>
            <w:tcW w:w="328" w:type="pct"/>
            <w:vAlign w:val="center"/>
          </w:tcPr>
          <w:p w14:paraId="5042A2E8"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0.106</w:t>
            </w:r>
          </w:p>
        </w:tc>
      </w:tr>
      <w:tr w:rsidR="007F560B" w:rsidRPr="007F560B" w14:paraId="7C01B9D5" w14:textId="77777777" w:rsidTr="007F560B">
        <w:trPr>
          <w:trHeight w:val="377"/>
          <w:jc w:val="center"/>
        </w:trPr>
        <w:tc>
          <w:tcPr>
            <w:tcW w:w="479" w:type="pct"/>
            <w:vAlign w:val="center"/>
          </w:tcPr>
          <w:p w14:paraId="2191C55E"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IL-8</w:t>
            </w:r>
          </w:p>
        </w:tc>
        <w:tc>
          <w:tcPr>
            <w:tcW w:w="791" w:type="pct"/>
            <w:vAlign w:val="center"/>
          </w:tcPr>
          <w:p w14:paraId="704D5C1F"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4</w:t>
            </w:r>
            <w:r w:rsidR="009E3EF9" w:rsidRPr="007F560B">
              <w:rPr>
                <w:color w:val="000000"/>
                <w:sz w:val="24"/>
                <w:szCs w:val="24"/>
              </w:rPr>
              <w:t>5.31</w:t>
            </w:r>
            <w:r w:rsidR="009E3EF9" w:rsidRPr="007F560B">
              <w:rPr>
                <w:rFonts w:eastAsiaTheme="minorEastAsia"/>
                <w:color w:val="000000"/>
                <w:sz w:val="24"/>
                <w:szCs w:val="24"/>
              </w:rPr>
              <w:t xml:space="preserve"> </w:t>
            </w:r>
            <w:r w:rsidR="003D4E45" w:rsidRPr="007F560B">
              <w:rPr>
                <w:rFonts w:eastAsia="宋体" w:cs="宋体"/>
                <w:sz w:val="24"/>
                <w:szCs w:val="24"/>
              </w:rPr>
              <w:t>(</w:t>
            </w:r>
            <w:r w:rsidRPr="007F560B">
              <w:rPr>
                <w:sz w:val="24"/>
                <w:szCs w:val="24"/>
              </w:rPr>
              <w:t>2.11-153</w:t>
            </w:r>
            <w:r w:rsidRPr="007F560B">
              <w:rPr>
                <w:rFonts w:eastAsia="宋体" w:cs="宋体"/>
                <w:color w:val="000000"/>
                <w:sz w:val="24"/>
                <w:szCs w:val="24"/>
              </w:rPr>
              <w:t>)</w:t>
            </w:r>
          </w:p>
        </w:tc>
        <w:tc>
          <w:tcPr>
            <w:tcW w:w="765" w:type="pct"/>
            <w:vAlign w:val="center"/>
          </w:tcPr>
          <w:p w14:paraId="62D3FB35" w14:textId="77777777" w:rsidR="002A46C9" w:rsidRPr="007F560B" w:rsidRDefault="009E3EF9" w:rsidP="007F560B">
            <w:pPr>
              <w:snapToGrid w:val="0"/>
              <w:spacing w:line="360" w:lineRule="auto"/>
              <w:jc w:val="both"/>
              <w:rPr>
                <w:color w:val="000000"/>
                <w:sz w:val="24"/>
                <w:szCs w:val="24"/>
              </w:rPr>
            </w:pPr>
            <w:r w:rsidRPr="007F560B">
              <w:rPr>
                <w:color w:val="000000"/>
                <w:sz w:val="24"/>
                <w:szCs w:val="24"/>
              </w:rPr>
              <w:t>2.35</w:t>
            </w:r>
            <w:r w:rsidRPr="007F560B">
              <w:rPr>
                <w:rFonts w:eastAsiaTheme="minorEastAsia"/>
                <w:color w:val="000000"/>
                <w:sz w:val="24"/>
                <w:szCs w:val="24"/>
              </w:rPr>
              <w:t xml:space="preserve"> </w:t>
            </w:r>
            <w:r w:rsidR="003D4E45" w:rsidRPr="007F560B">
              <w:rPr>
                <w:rFonts w:eastAsia="宋体" w:cs="宋体"/>
                <w:sz w:val="24"/>
                <w:szCs w:val="24"/>
              </w:rPr>
              <w:t>(</w:t>
            </w:r>
            <w:r w:rsidR="002A46C9" w:rsidRPr="007F560B">
              <w:rPr>
                <w:sz w:val="24"/>
                <w:szCs w:val="24"/>
              </w:rPr>
              <w:t>1.65-13.3</w:t>
            </w:r>
            <w:r w:rsidR="002A46C9" w:rsidRPr="007F560B">
              <w:rPr>
                <w:rFonts w:eastAsia="宋体" w:cs="宋体"/>
                <w:color w:val="000000"/>
                <w:sz w:val="24"/>
                <w:szCs w:val="24"/>
              </w:rPr>
              <w:t>)</w:t>
            </w:r>
          </w:p>
        </w:tc>
        <w:tc>
          <w:tcPr>
            <w:tcW w:w="301" w:type="pct"/>
            <w:vAlign w:val="center"/>
          </w:tcPr>
          <w:p w14:paraId="79591A75"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0.177</w:t>
            </w:r>
          </w:p>
        </w:tc>
        <w:tc>
          <w:tcPr>
            <w:tcW w:w="764" w:type="pct"/>
            <w:vAlign w:val="center"/>
          </w:tcPr>
          <w:p w14:paraId="6A590485" w14:textId="77777777" w:rsidR="002A46C9" w:rsidRPr="007F560B" w:rsidRDefault="009E3EF9" w:rsidP="007F560B">
            <w:pPr>
              <w:snapToGrid w:val="0"/>
              <w:spacing w:line="360" w:lineRule="auto"/>
              <w:jc w:val="both"/>
              <w:rPr>
                <w:color w:val="000000"/>
                <w:sz w:val="24"/>
                <w:szCs w:val="24"/>
              </w:rPr>
            </w:pPr>
            <w:r w:rsidRPr="007F560B">
              <w:rPr>
                <w:color w:val="000000"/>
                <w:sz w:val="24"/>
                <w:szCs w:val="24"/>
              </w:rPr>
              <w:t>55.29</w:t>
            </w:r>
            <w:r w:rsidRPr="007F560B">
              <w:rPr>
                <w:rFonts w:eastAsiaTheme="minorEastAsia"/>
                <w:color w:val="000000"/>
                <w:sz w:val="24"/>
                <w:szCs w:val="24"/>
              </w:rPr>
              <w:t xml:space="preserve"> </w:t>
            </w:r>
            <w:r w:rsidR="003D4E45" w:rsidRPr="007F560B">
              <w:rPr>
                <w:rFonts w:eastAsia="宋体" w:cs="宋体"/>
                <w:color w:val="000000"/>
                <w:sz w:val="24"/>
                <w:szCs w:val="24"/>
              </w:rPr>
              <w:t>(</w:t>
            </w:r>
            <w:r w:rsidR="002A46C9" w:rsidRPr="007F560B">
              <w:rPr>
                <w:color w:val="000000"/>
                <w:sz w:val="24"/>
                <w:szCs w:val="24"/>
              </w:rPr>
              <w:t>1.65-104</w:t>
            </w:r>
            <w:r w:rsidR="003D4E45" w:rsidRPr="007F560B">
              <w:rPr>
                <w:rFonts w:eastAsia="宋体" w:cs="宋体"/>
                <w:color w:val="000000"/>
                <w:sz w:val="24"/>
                <w:szCs w:val="24"/>
              </w:rPr>
              <w:t>)</w:t>
            </w:r>
          </w:p>
        </w:tc>
        <w:tc>
          <w:tcPr>
            <w:tcW w:w="810" w:type="pct"/>
            <w:vAlign w:val="center"/>
          </w:tcPr>
          <w:p w14:paraId="740F52A2" w14:textId="77777777" w:rsidR="002A46C9" w:rsidRPr="007F560B" w:rsidRDefault="009E3EF9" w:rsidP="007F560B">
            <w:pPr>
              <w:snapToGrid w:val="0"/>
              <w:spacing w:line="360" w:lineRule="auto"/>
              <w:jc w:val="both"/>
              <w:rPr>
                <w:color w:val="000000"/>
                <w:sz w:val="24"/>
                <w:szCs w:val="24"/>
              </w:rPr>
            </w:pPr>
            <w:r w:rsidRPr="007F560B">
              <w:rPr>
                <w:color w:val="000000"/>
                <w:sz w:val="24"/>
                <w:szCs w:val="24"/>
              </w:rPr>
              <w:t>1.65</w:t>
            </w:r>
            <w:r w:rsidRPr="007F560B">
              <w:rPr>
                <w:rFonts w:eastAsiaTheme="minorEastAsia"/>
                <w:color w:val="000000"/>
                <w:sz w:val="24"/>
                <w:szCs w:val="24"/>
              </w:rPr>
              <w:t xml:space="preserve"> </w:t>
            </w:r>
            <w:r w:rsidR="003D4E45" w:rsidRPr="007F560B">
              <w:rPr>
                <w:rFonts w:eastAsia="宋体" w:cs="宋体"/>
                <w:color w:val="000000"/>
                <w:sz w:val="24"/>
                <w:szCs w:val="24"/>
              </w:rPr>
              <w:t>(</w:t>
            </w:r>
            <w:r w:rsidR="002A46C9" w:rsidRPr="007F560B">
              <w:rPr>
                <w:color w:val="000000"/>
                <w:sz w:val="24"/>
                <w:szCs w:val="24"/>
              </w:rPr>
              <w:t>1.65-5.02</w:t>
            </w:r>
            <w:r w:rsidR="003D4E45" w:rsidRPr="007F560B">
              <w:rPr>
                <w:rFonts w:eastAsia="宋体" w:cs="宋体"/>
                <w:color w:val="000000"/>
                <w:sz w:val="24"/>
                <w:szCs w:val="24"/>
              </w:rPr>
              <w:t>)</w:t>
            </w:r>
          </w:p>
        </w:tc>
        <w:tc>
          <w:tcPr>
            <w:tcW w:w="356" w:type="pct"/>
            <w:vAlign w:val="center"/>
          </w:tcPr>
          <w:p w14:paraId="0AE1F569" w14:textId="77777777" w:rsidR="002A46C9" w:rsidRPr="007F560B" w:rsidRDefault="002A46C9" w:rsidP="007F560B">
            <w:pPr>
              <w:snapToGrid w:val="0"/>
              <w:spacing w:line="360" w:lineRule="auto"/>
              <w:jc w:val="both"/>
              <w:rPr>
                <w:bCs/>
                <w:color w:val="000000"/>
                <w:sz w:val="24"/>
                <w:szCs w:val="24"/>
              </w:rPr>
            </w:pPr>
            <w:r w:rsidRPr="007F560B">
              <w:rPr>
                <w:bCs/>
                <w:color w:val="000000"/>
                <w:sz w:val="24"/>
                <w:szCs w:val="24"/>
              </w:rPr>
              <w:t>0.011</w:t>
            </w:r>
          </w:p>
        </w:tc>
        <w:tc>
          <w:tcPr>
            <w:tcW w:w="406" w:type="pct"/>
            <w:vAlign w:val="center"/>
          </w:tcPr>
          <w:p w14:paraId="199067A2"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0.929</w:t>
            </w:r>
          </w:p>
        </w:tc>
        <w:tc>
          <w:tcPr>
            <w:tcW w:w="328" w:type="pct"/>
            <w:vAlign w:val="center"/>
          </w:tcPr>
          <w:p w14:paraId="53E464F4"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0.186</w:t>
            </w:r>
          </w:p>
        </w:tc>
      </w:tr>
      <w:tr w:rsidR="007F560B" w:rsidRPr="007F560B" w14:paraId="68C19DE7" w14:textId="77777777" w:rsidTr="007F560B">
        <w:trPr>
          <w:trHeight w:val="377"/>
          <w:jc w:val="center"/>
        </w:trPr>
        <w:tc>
          <w:tcPr>
            <w:tcW w:w="479" w:type="pct"/>
            <w:vAlign w:val="center"/>
          </w:tcPr>
          <w:p w14:paraId="69430E5F"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IP-10</w:t>
            </w:r>
          </w:p>
        </w:tc>
        <w:tc>
          <w:tcPr>
            <w:tcW w:w="791" w:type="pct"/>
            <w:vAlign w:val="center"/>
          </w:tcPr>
          <w:p w14:paraId="4C8B453A" w14:textId="77777777" w:rsidR="002A46C9" w:rsidRPr="007F560B" w:rsidRDefault="009E3EF9" w:rsidP="007F560B">
            <w:pPr>
              <w:snapToGrid w:val="0"/>
              <w:spacing w:line="360" w:lineRule="auto"/>
              <w:jc w:val="both"/>
              <w:rPr>
                <w:color w:val="000000"/>
                <w:sz w:val="24"/>
                <w:szCs w:val="24"/>
              </w:rPr>
            </w:pPr>
            <w:r w:rsidRPr="007F560B">
              <w:rPr>
                <w:color w:val="000000"/>
                <w:sz w:val="24"/>
                <w:szCs w:val="24"/>
              </w:rPr>
              <w:t>1154</w:t>
            </w:r>
            <w:r w:rsidRPr="007F560B">
              <w:rPr>
                <w:rFonts w:eastAsiaTheme="minorEastAsia"/>
                <w:color w:val="000000"/>
                <w:sz w:val="24"/>
                <w:szCs w:val="24"/>
              </w:rPr>
              <w:t xml:space="preserve"> </w:t>
            </w:r>
            <w:r w:rsidR="003D4E45" w:rsidRPr="007F560B">
              <w:rPr>
                <w:rFonts w:eastAsia="宋体" w:cs="宋体"/>
                <w:sz w:val="24"/>
                <w:szCs w:val="24"/>
              </w:rPr>
              <w:t>(</w:t>
            </w:r>
            <w:r w:rsidR="002A46C9" w:rsidRPr="007F560B">
              <w:rPr>
                <w:sz w:val="24"/>
                <w:szCs w:val="24"/>
              </w:rPr>
              <w:t>777-2668</w:t>
            </w:r>
            <w:r w:rsidR="002A46C9" w:rsidRPr="007F560B">
              <w:rPr>
                <w:rFonts w:eastAsia="宋体" w:cs="宋体"/>
                <w:color w:val="000000"/>
                <w:sz w:val="24"/>
                <w:szCs w:val="24"/>
              </w:rPr>
              <w:t>)</w:t>
            </w:r>
          </w:p>
        </w:tc>
        <w:tc>
          <w:tcPr>
            <w:tcW w:w="765" w:type="pct"/>
            <w:vAlign w:val="center"/>
          </w:tcPr>
          <w:p w14:paraId="15EB9F6F" w14:textId="77777777" w:rsidR="002A46C9" w:rsidRPr="007F560B" w:rsidRDefault="009E3EF9" w:rsidP="007F560B">
            <w:pPr>
              <w:snapToGrid w:val="0"/>
              <w:spacing w:line="360" w:lineRule="auto"/>
              <w:jc w:val="both"/>
              <w:rPr>
                <w:color w:val="000000"/>
                <w:sz w:val="24"/>
                <w:szCs w:val="24"/>
              </w:rPr>
            </w:pPr>
            <w:r w:rsidRPr="007F560B">
              <w:rPr>
                <w:color w:val="000000"/>
                <w:sz w:val="24"/>
                <w:szCs w:val="24"/>
              </w:rPr>
              <w:t>605</w:t>
            </w:r>
            <w:r w:rsidRPr="007F560B">
              <w:rPr>
                <w:rFonts w:eastAsiaTheme="minorEastAsia"/>
                <w:color w:val="000000"/>
                <w:sz w:val="24"/>
                <w:szCs w:val="24"/>
              </w:rPr>
              <w:t xml:space="preserve"> </w:t>
            </w:r>
            <w:r w:rsidR="003D4E45" w:rsidRPr="007F560B">
              <w:rPr>
                <w:rFonts w:eastAsia="宋体" w:cs="宋体"/>
                <w:sz w:val="24"/>
                <w:szCs w:val="24"/>
              </w:rPr>
              <w:t>(</w:t>
            </w:r>
            <w:r w:rsidR="002A46C9" w:rsidRPr="007F560B">
              <w:rPr>
                <w:sz w:val="24"/>
                <w:szCs w:val="24"/>
              </w:rPr>
              <w:t>362-1282</w:t>
            </w:r>
            <w:r w:rsidR="002A46C9" w:rsidRPr="007F560B">
              <w:rPr>
                <w:rFonts w:eastAsia="宋体" w:cs="宋体"/>
                <w:color w:val="000000"/>
                <w:sz w:val="24"/>
                <w:szCs w:val="24"/>
              </w:rPr>
              <w:t>)</w:t>
            </w:r>
          </w:p>
        </w:tc>
        <w:tc>
          <w:tcPr>
            <w:tcW w:w="301" w:type="pct"/>
            <w:vAlign w:val="center"/>
          </w:tcPr>
          <w:p w14:paraId="0B50253E"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0.006</w:t>
            </w:r>
          </w:p>
        </w:tc>
        <w:tc>
          <w:tcPr>
            <w:tcW w:w="764" w:type="pct"/>
            <w:vAlign w:val="center"/>
          </w:tcPr>
          <w:p w14:paraId="1CB16CAE" w14:textId="77777777" w:rsidR="002A46C9" w:rsidRPr="007F560B" w:rsidRDefault="009E3EF9" w:rsidP="007F560B">
            <w:pPr>
              <w:snapToGrid w:val="0"/>
              <w:spacing w:line="360" w:lineRule="auto"/>
              <w:jc w:val="both"/>
              <w:rPr>
                <w:color w:val="000000"/>
                <w:sz w:val="24"/>
                <w:szCs w:val="24"/>
              </w:rPr>
            </w:pPr>
            <w:r w:rsidRPr="007F560B">
              <w:rPr>
                <w:color w:val="000000"/>
                <w:sz w:val="24"/>
                <w:szCs w:val="24"/>
              </w:rPr>
              <w:t>679</w:t>
            </w:r>
            <w:r w:rsidRPr="007F560B">
              <w:rPr>
                <w:rFonts w:eastAsiaTheme="minorEastAsia"/>
                <w:color w:val="000000"/>
                <w:sz w:val="24"/>
                <w:szCs w:val="24"/>
              </w:rPr>
              <w:t xml:space="preserve"> </w:t>
            </w:r>
            <w:r w:rsidR="003D4E45" w:rsidRPr="007F560B">
              <w:rPr>
                <w:rFonts w:eastAsia="宋体" w:cs="宋体"/>
                <w:color w:val="000000"/>
                <w:sz w:val="24"/>
                <w:szCs w:val="24"/>
              </w:rPr>
              <w:t>(</w:t>
            </w:r>
            <w:r w:rsidR="002A46C9" w:rsidRPr="007F560B">
              <w:rPr>
                <w:color w:val="000000"/>
                <w:sz w:val="24"/>
                <w:szCs w:val="24"/>
              </w:rPr>
              <w:t>323-1086</w:t>
            </w:r>
            <w:r w:rsidR="003D4E45" w:rsidRPr="007F560B">
              <w:rPr>
                <w:rFonts w:eastAsia="宋体" w:cs="宋体"/>
                <w:color w:val="000000"/>
                <w:sz w:val="24"/>
                <w:szCs w:val="24"/>
              </w:rPr>
              <w:t>)</w:t>
            </w:r>
          </w:p>
        </w:tc>
        <w:tc>
          <w:tcPr>
            <w:tcW w:w="810" w:type="pct"/>
            <w:vAlign w:val="center"/>
          </w:tcPr>
          <w:p w14:paraId="5DA308AE" w14:textId="77777777" w:rsidR="002A46C9" w:rsidRPr="007F560B" w:rsidRDefault="009E3EF9" w:rsidP="007F560B">
            <w:pPr>
              <w:snapToGrid w:val="0"/>
              <w:spacing w:line="360" w:lineRule="auto"/>
              <w:jc w:val="both"/>
              <w:rPr>
                <w:color w:val="000000"/>
                <w:sz w:val="24"/>
                <w:szCs w:val="24"/>
              </w:rPr>
            </w:pPr>
            <w:r w:rsidRPr="007F560B">
              <w:rPr>
                <w:color w:val="000000"/>
                <w:sz w:val="24"/>
                <w:szCs w:val="24"/>
              </w:rPr>
              <w:t>549</w:t>
            </w:r>
            <w:r w:rsidRPr="007F560B">
              <w:rPr>
                <w:rFonts w:eastAsiaTheme="minorEastAsia"/>
                <w:color w:val="000000"/>
                <w:sz w:val="24"/>
                <w:szCs w:val="24"/>
              </w:rPr>
              <w:t xml:space="preserve"> </w:t>
            </w:r>
            <w:r w:rsidR="003D4E45" w:rsidRPr="007F560B">
              <w:rPr>
                <w:rFonts w:eastAsia="宋体" w:cs="宋体"/>
                <w:color w:val="000000"/>
                <w:sz w:val="24"/>
                <w:szCs w:val="24"/>
              </w:rPr>
              <w:t>(</w:t>
            </w:r>
            <w:r w:rsidR="002A46C9" w:rsidRPr="007F560B">
              <w:rPr>
                <w:color w:val="000000"/>
                <w:sz w:val="24"/>
                <w:szCs w:val="24"/>
              </w:rPr>
              <w:t>365-1386</w:t>
            </w:r>
            <w:r w:rsidR="003D4E45" w:rsidRPr="007F560B">
              <w:rPr>
                <w:rFonts w:eastAsia="宋体" w:cs="宋体"/>
                <w:color w:val="000000"/>
                <w:sz w:val="24"/>
                <w:szCs w:val="24"/>
              </w:rPr>
              <w:t>)</w:t>
            </w:r>
          </w:p>
        </w:tc>
        <w:tc>
          <w:tcPr>
            <w:tcW w:w="356" w:type="pct"/>
            <w:vAlign w:val="center"/>
          </w:tcPr>
          <w:p w14:paraId="5290E143"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0.859</w:t>
            </w:r>
          </w:p>
        </w:tc>
        <w:tc>
          <w:tcPr>
            <w:tcW w:w="406" w:type="pct"/>
            <w:vAlign w:val="center"/>
          </w:tcPr>
          <w:p w14:paraId="1B1EB051" w14:textId="77777777" w:rsidR="002A46C9" w:rsidRPr="007F560B" w:rsidRDefault="002A46C9" w:rsidP="007F560B">
            <w:pPr>
              <w:snapToGrid w:val="0"/>
              <w:spacing w:line="360" w:lineRule="auto"/>
              <w:jc w:val="both"/>
              <w:rPr>
                <w:bCs/>
                <w:color w:val="000000"/>
                <w:sz w:val="24"/>
                <w:szCs w:val="24"/>
              </w:rPr>
            </w:pPr>
            <w:r w:rsidRPr="007F560B">
              <w:rPr>
                <w:bCs/>
                <w:color w:val="000000"/>
                <w:sz w:val="24"/>
                <w:szCs w:val="24"/>
              </w:rPr>
              <w:t>0.027</w:t>
            </w:r>
          </w:p>
        </w:tc>
        <w:tc>
          <w:tcPr>
            <w:tcW w:w="328" w:type="pct"/>
            <w:vAlign w:val="center"/>
          </w:tcPr>
          <w:p w14:paraId="035ED943"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0.574</w:t>
            </w:r>
          </w:p>
        </w:tc>
      </w:tr>
      <w:tr w:rsidR="007F560B" w:rsidRPr="007F560B" w14:paraId="4F2F3A57" w14:textId="77777777" w:rsidTr="007F560B">
        <w:trPr>
          <w:trHeight w:val="377"/>
          <w:jc w:val="center"/>
        </w:trPr>
        <w:tc>
          <w:tcPr>
            <w:tcW w:w="479" w:type="pct"/>
            <w:vAlign w:val="center"/>
          </w:tcPr>
          <w:p w14:paraId="66D39A75"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MCP-1</w:t>
            </w:r>
          </w:p>
        </w:tc>
        <w:tc>
          <w:tcPr>
            <w:tcW w:w="791" w:type="pct"/>
            <w:vAlign w:val="center"/>
          </w:tcPr>
          <w:p w14:paraId="5ED957CA" w14:textId="77777777" w:rsidR="002A46C9" w:rsidRPr="007F560B" w:rsidRDefault="009E3EF9" w:rsidP="007F560B">
            <w:pPr>
              <w:snapToGrid w:val="0"/>
              <w:spacing w:line="360" w:lineRule="auto"/>
              <w:jc w:val="both"/>
              <w:rPr>
                <w:color w:val="000000"/>
                <w:sz w:val="24"/>
                <w:szCs w:val="24"/>
              </w:rPr>
            </w:pPr>
            <w:r w:rsidRPr="007F560B">
              <w:rPr>
                <w:color w:val="000000"/>
                <w:sz w:val="24"/>
                <w:szCs w:val="24"/>
              </w:rPr>
              <w:t>298</w:t>
            </w:r>
            <w:r w:rsidRPr="007F560B">
              <w:rPr>
                <w:rFonts w:eastAsiaTheme="minorEastAsia"/>
                <w:color w:val="000000"/>
                <w:sz w:val="24"/>
                <w:szCs w:val="24"/>
              </w:rPr>
              <w:t xml:space="preserve"> </w:t>
            </w:r>
            <w:r w:rsidR="003D4E45" w:rsidRPr="007F560B">
              <w:rPr>
                <w:rFonts w:eastAsia="宋体" w:cs="宋体"/>
                <w:sz w:val="24"/>
                <w:szCs w:val="24"/>
              </w:rPr>
              <w:t>(</w:t>
            </w:r>
            <w:r w:rsidR="002A46C9" w:rsidRPr="007F560B">
              <w:rPr>
                <w:sz w:val="24"/>
                <w:szCs w:val="24"/>
              </w:rPr>
              <w:t>116-477</w:t>
            </w:r>
            <w:r w:rsidR="002A46C9" w:rsidRPr="007F560B">
              <w:rPr>
                <w:rFonts w:eastAsia="宋体" w:cs="宋体"/>
                <w:color w:val="000000"/>
                <w:sz w:val="24"/>
                <w:szCs w:val="24"/>
              </w:rPr>
              <w:t>)</w:t>
            </w:r>
          </w:p>
        </w:tc>
        <w:tc>
          <w:tcPr>
            <w:tcW w:w="765" w:type="pct"/>
            <w:vAlign w:val="center"/>
          </w:tcPr>
          <w:p w14:paraId="5309BFB1" w14:textId="77777777" w:rsidR="002A46C9" w:rsidRPr="007F560B" w:rsidRDefault="009E3EF9" w:rsidP="007F560B">
            <w:pPr>
              <w:snapToGrid w:val="0"/>
              <w:spacing w:line="360" w:lineRule="auto"/>
              <w:jc w:val="both"/>
              <w:rPr>
                <w:color w:val="000000"/>
                <w:sz w:val="24"/>
                <w:szCs w:val="24"/>
              </w:rPr>
            </w:pPr>
            <w:r w:rsidRPr="007F560B">
              <w:rPr>
                <w:color w:val="000000"/>
                <w:sz w:val="24"/>
                <w:szCs w:val="24"/>
              </w:rPr>
              <w:t>215</w:t>
            </w:r>
            <w:r w:rsidRPr="007F560B">
              <w:rPr>
                <w:rFonts w:eastAsiaTheme="minorEastAsia"/>
                <w:color w:val="000000"/>
                <w:sz w:val="24"/>
                <w:szCs w:val="24"/>
              </w:rPr>
              <w:t xml:space="preserve"> </w:t>
            </w:r>
            <w:r w:rsidR="003D4E45" w:rsidRPr="007F560B">
              <w:rPr>
                <w:rFonts w:eastAsia="宋体" w:cs="宋体"/>
                <w:sz w:val="24"/>
                <w:szCs w:val="24"/>
              </w:rPr>
              <w:t>(</w:t>
            </w:r>
            <w:r w:rsidR="002A46C9" w:rsidRPr="007F560B">
              <w:rPr>
                <w:sz w:val="24"/>
                <w:szCs w:val="24"/>
              </w:rPr>
              <w:t>102-520</w:t>
            </w:r>
            <w:r w:rsidR="002A46C9" w:rsidRPr="007F560B">
              <w:rPr>
                <w:rFonts w:eastAsia="宋体" w:cs="宋体"/>
                <w:color w:val="000000"/>
                <w:sz w:val="24"/>
                <w:szCs w:val="24"/>
              </w:rPr>
              <w:t>)</w:t>
            </w:r>
          </w:p>
        </w:tc>
        <w:tc>
          <w:tcPr>
            <w:tcW w:w="301" w:type="pct"/>
            <w:vAlign w:val="center"/>
          </w:tcPr>
          <w:p w14:paraId="380BC4F0"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0.478</w:t>
            </w:r>
          </w:p>
        </w:tc>
        <w:tc>
          <w:tcPr>
            <w:tcW w:w="764" w:type="pct"/>
            <w:vAlign w:val="center"/>
          </w:tcPr>
          <w:p w14:paraId="368F0AA6" w14:textId="77777777" w:rsidR="002A46C9" w:rsidRPr="007F560B" w:rsidRDefault="009E3EF9" w:rsidP="007F560B">
            <w:pPr>
              <w:snapToGrid w:val="0"/>
              <w:spacing w:line="360" w:lineRule="auto"/>
              <w:jc w:val="both"/>
              <w:rPr>
                <w:color w:val="000000"/>
                <w:sz w:val="24"/>
                <w:szCs w:val="24"/>
              </w:rPr>
            </w:pPr>
            <w:r w:rsidRPr="007F560B">
              <w:rPr>
                <w:color w:val="000000"/>
                <w:sz w:val="24"/>
                <w:szCs w:val="24"/>
              </w:rPr>
              <w:t>184</w:t>
            </w:r>
            <w:r w:rsidRPr="007F560B">
              <w:rPr>
                <w:rFonts w:eastAsiaTheme="minorEastAsia"/>
                <w:color w:val="000000"/>
                <w:sz w:val="24"/>
                <w:szCs w:val="24"/>
              </w:rPr>
              <w:t xml:space="preserve"> </w:t>
            </w:r>
            <w:r w:rsidR="003D4E45" w:rsidRPr="007F560B">
              <w:rPr>
                <w:rFonts w:eastAsia="宋体" w:cs="宋体"/>
                <w:color w:val="000000"/>
                <w:sz w:val="24"/>
                <w:szCs w:val="24"/>
              </w:rPr>
              <w:t>(</w:t>
            </w:r>
            <w:r w:rsidR="002A46C9" w:rsidRPr="007F560B">
              <w:rPr>
                <w:color w:val="000000"/>
                <w:sz w:val="24"/>
                <w:szCs w:val="24"/>
              </w:rPr>
              <w:t>76.17-267</w:t>
            </w:r>
            <w:r w:rsidR="003D4E45" w:rsidRPr="007F560B">
              <w:rPr>
                <w:rFonts w:eastAsia="宋体" w:cs="宋体"/>
                <w:color w:val="000000"/>
                <w:sz w:val="24"/>
                <w:szCs w:val="24"/>
              </w:rPr>
              <w:t>)</w:t>
            </w:r>
          </w:p>
        </w:tc>
        <w:tc>
          <w:tcPr>
            <w:tcW w:w="810" w:type="pct"/>
            <w:vAlign w:val="center"/>
          </w:tcPr>
          <w:p w14:paraId="28984584" w14:textId="77777777" w:rsidR="002A46C9" w:rsidRPr="007F560B" w:rsidRDefault="009E3EF9" w:rsidP="007F560B">
            <w:pPr>
              <w:snapToGrid w:val="0"/>
              <w:spacing w:line="360" w:lineRule="auto"/>
              <w:jc w:val="both"/>
              <w:rPr>
                <w:color w:val="000000"/>
                <w:sz w:val="24"/>
                <w:szCs w:val="24"/>
              </w:rPr>
            </w:pPr>
            <w:r w:rsidRPr="007F560B">
              <w:rPr>
                <w:color w:val="000000"/>
                <w:sz w:val="24"/>
                <w:szCs w:val="24"/>
              </w:rPr>
              <w:t>118</w:t>
            </w:r>
            <w:r w:rsidRPr="007F560B">
              <w:rPr>
                <w:rFonts w:eastAsiaTheme="minorEastAsia"/>
                <w:color w:val="000000"/>
                <w:sz w:val="24"/>
                <w:szCs w:val="24"/>
              </w:rPr>
              <w:t xml:space="preserve"> </w:t>
            </w:r>
            <w:r w:rsidR="003D4E45" w:rsidRPr="007F560B">
              <w:rPr>
                <w:rFonts w:eastAsia="宋体" w:cs="宋体"/>
                <w:color w:val="000000"/>
                <w:sz w:val="24"/>
                <w:szCs w:val="24"/>
              </w:rPr>
              <w:t>(</w:t>
            </w:r>
            <w:r w:rsidR="002A46C9" w:rsidRPr="007F560B">
              <w:rPr>
                <w:color w:val="000000"/>
                <w:sz w:val="24"/>
                <w:szCs w:val="24"/>
              </w:rPr>
              <w:t>54.96-186</w:t>
            </w:r>
            <w:r w:rsidR="003D4E45" w:rsidRPr="007F560B">
              <w:rPr>
                <w:rFonts w:eastAsia="宋体" w:cs="宋体"/>
                <w:color w:val="000000"/>
                <w:sz w:val="24"/>
                <w:szCs w:val="24"/>
              </w:rPr>
              <w:t>)</w:t>
            </w:r>
          </w:p>
        </w:tc>
        <w:tc>
          <w:tcPr>
            <w:tcW w:w="356" w:type="pct"/>
            <w:vAlign w:val="center"/>
          </w:tcPr>
          <w:p w14:paraId="74AFB02B"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0.374</w:t>
            </w:r>
          </w:p>
        </w:tc>
        <w:tc>
          <w:tcPr>
            <w:tcW w:w="406" w:type="pct"/>
            <w:vAlign w:val="center"/>
          </w:tcPr>
          <w:p w14:paraId="13064BF3"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0.107</w:t>
            </w:r>
          </w:p>
        </w:tc>
        <w:tc>
          <w:tcPr>
            <w:tcW w:w="328" w:type="pct"/>
            <w:vAlign w:val="center"/>
          </w:tcPr>
          <w:p w14:paraId="739C5329"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0.097</w:t>
            </w:r>
          </w:p>
        </w:tc>
      </w:tr>
      <w:tr w:rsidR="007F560B" w:rsidRPr="007F560B" w14:paraId="2F6397BB" w14:textId="77777777" w:rsidTr="007F560B">
        <w:trPr>
          <w:trHeight w:val="377"/>
          <w:jc w:val="center"/>
        </w:trPr>
        <w:tc>
          <w:tcPr>
            <w:tcW w:w="479" w:type="pct"/>
            <w:vAlign w:val="center"/>
          </w:tcPr>
          <w:p w14:paraId="61DDEB8D"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MIP-1a</w:t>
            </w:r>
          </w:p>
        </w:tc>
        <w:tc>
          <w:tcPr>
            <w:tcW w:w="791" w:type="pct"/>
            <w:vAlign w:val="center"/>
          </w:tcPr>
          <w:p w14:paraId="19A27929"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2.51</w:t>
            </w:r>
            <w:r w:rsidR="009E3EF9" w:rsidRPr="007F560B">
              <w:rPr>
                <w:rFonts w:eastAsiaTheme="minorEastAsia"/>
                <w:color w:val="000000"/>
                <w:sz w:val="24"/>
                <w:szCs w:val="24"/>
              </w:rPr>
              <w:t xml:space="preserve"> </w:t>
            </w:r>
            <w:r w:rsidR="003D4E45" w:rsidRPr="007F560B">
              <w:rPr>
                <w:rFonts w:eastAsia="宋体" w:cs="宋体"/>
                <w:sz w:val="24"/>
                <w:szCs w:val="24"/>
              </w:rPr>
              <w:t>(</w:t>
            </w:r>
            <w:r w:rsidRPr="007F560B">
              <w:rPr>
                <w:sz w:val="24"/>
                <w:szCs w:val="24"/>
              </w:rPr>
              <w:t>2.51-34.54</w:t>
            </w:r>
            <w:r w:rsidRPr="007F560B">
              <w:rPr>
                <w:rFonts w:eastAsia="宋体" w:cs="宋体"/>
                <w:color w:val="000000"/>
                <w:sz w:val="24"/>
                <w:szCs w:val="24"/>
              </w:rPr>
              <w:t>)</w:t>
            </w:r>
          </w:p>
        </w:tc>
        <w:tc>
          <w:tcPr>
            <w:tcW w:w="765" w:type="pct"/>
            <w:vAlign w:val="center"/>
          </w:tcPr>
          <w:p w14:paraId="090ED3D1"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2.51</w:t>
            </w:r>
            <w:r w:rsidR="009E3EF9" w:rsidRPr="007F560B">
              <w:rPr>
                <w:rFonts w:eastAsiaTheme="minorEastAsia"/>
                <w:color w:val="000000"/>
                <w:sz w:val="24"/>
                <w:szCs w:val="24"/>
              </w:rPr>
              <w:t xml:space="preserve"> </w:t>
            </w:r>
            <w:r w:rsidR="003D4E45" w:rsidRPr="007F560B">
              <w:rPr>
                <w:rFonts w:eastAsia="宋体" w:cs="宋体"/>
                <w:sz w:val="24"/>
                <w:szCs w:val="24"/>
              </w:rPr>
              <w:t>(</w:t>
            </w:r>
            <w:r w:rsidRPr="007F560B">
              <w:rPr>
                <w:sz w:val="24"/>
                <w:szCs w:val="24"/>
              </w:rPr>
              <w:t>2.51-11.46</w:t>
            </w:r>
            <w:r w:rsidRPr="007F560B">
              <w:rPr>
                <w:rFonts w:eastAsia="宋体" w:cs="宋体"/>
                <w:color w:val="000000"/>
                <w:sz w:val="24"/>
                <w:szCs w:val="24"/>
              </w:rPr>
              <w:t>)</w:t>
            </w:r>
          </w:p>
        </w:tc>
        <w:tc>
          <w:tcPr>
            <w:tcW w:w="301" w:type="pct"/>
            <w:vAlign w:val="center"/>
          </w:tcPr>
          <w:p w14:paraId="18E0BC10"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0.779</w:t>
            </w:r>
          </w:p>
        </w:tc>
        <w:tc>
          <w:tcPr>
            <w:tcW w:w="764" w:type="pct"/>
            <w:vAlign w:val="center"/>
          </w:tcPr>
          <w:p w14:paraId="009B8211"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12.02</w:t>
            </w:r>
            <w:r w:rsidR="009E3EF9" w:rsidRPr="007F560B">
              <w:rPr>
                <w:rFonts w:eastAsiaTheme="minorEastAsia"/>
                <w:color w:val="000000"/>
                <w:sz w:val="24"/>
                <w:szCs w:val="24"/>
              </w:rPr>
              <w:t xml:space="preserve"> </w:t>
            </w:r>
            <w:r w:rsidR="003D4E45" w:rsidRPr="007F560B">
              <w:rPr>
                <w:rFonts w:eastAsia="宋体" w:cs="宋体"/>
                <w:color w:val="000000"/>
                <w:sz w:val="24"/>
                <w:szCs w:val="24"/>
              </w:rPr>
              <w:t>(</w:t>
            </w:r>
            <w:r w:rsidRPr="007F560B">
              <w:rPr>
                <w:color w:val="000000"/>
                <w:sz w:val="24"/>
                <w:szCs w:val="24"/>
              </w:rPr>
              <w:t>2.51-35.01</w:t>
            </w:r>
            <w:r w:rsidR="003D4E45" w:rsidRPr="007F560B">
              <w:rPr>
                <w:rFonts w:eastAsia="宋体" w:cs="宋体"/>
                <w:color w:val="000000"/>
                <w:sz w:val="24"/>
                <w:szCs w:val="24"/>
              </w:rPr>
              <w:t>)</w:t>
            </w:r>
          </w:p>
        </w:tc>
        <w:tc>
          <w:tcPr>
            <w:tcW w:w="810" w:type="pct"/>
            <w:vAlign w:val="center"/>
          </w:tcPr>
          <w:p w14:paraId="68D967E4"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2.51</w:t>
            </w:r>
            <w:r w:rsidR="009E3EF9" w:rsidRPr="007F560B">
              <w:rPr>
                <w:rFonts w:eastAsiaTheme="minorEastAsia"/>
                <w:color w:val="000000"/>
                <w:sz w:val="24"/>
                <w:szCs w:val="24"/>
              </w:rPr>
              <w:t xml:space="preserve"> </w:t>
            </w:r>
            <w:r w:rsidR="003D4E45" w:rsidRPr="007F560B">
              <w:rPr>
                <w:rFonts w:eastAsia="宋体" w:cs="宋体"/>
                <w:color w:val="000000"/>
                <w:sz w:val="24"/>
                <w:szCs w:val="24"/>
              </w:rPr>
              <w:t>(</w:t>
            </w:r>
            <w:r w:rsidRPr="007F560B">
              <w:rPr>
                <w:color w:val="000000"/>
                <w:sz w:val="24"/>
                <w:szCs w:val="24"/>
              </w:rPr>
              <w:t>2.51-2.51</w:t>
            </w:r>
            <w:r w:rsidR="003D4E45" w:rsidRPr="007F560B">
              <w:rPr>
                <w:rFonts w:eastAsia="宋体" w:cs="宋体"/>
                <w:color w:val="000000"/>
                <w:sz w:val="24"/>
                <w:szCs w:val="24"/>
              </w:rPr>
              <w:t>)</w:t>
            </w:r>
          </w:p>
        </w:tc>
        <w:tc>
          <w:tcPr>
            <w:tcW w:w="356" w:type="pct"/>
            <w:vAlign w:val="center"/>
          </w:tcPr>
          <w:p w14:paraId="77738BFD"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0.091</w:t>
            </w:r>
          </w:p>
        </w:tc>
        <w:tc>
          <w:tcPr>
            <w:tcW w:w="406" w:type="pct"/>
            <w:vAlign w:val="center"/>
          </w:tcPr>
          <w:p w14:paraId="26CE5F60"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0.705</w:t>
            </w:r>
          </w:p>
        </w:tc>
        <w:tc>
          <w:tcPr>
            <w:tcW w:w="328" w:type="pct"/>
            <w:vAlign w:val="center"/>
          </w:tcPr>
          <w:p w14:paraId="562DA018"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0.416</w:t>
            </w:r>
          </w:p>
        </w:tc>
      </w:tr>
      <w:tr w:rsidR="007F560B" w:rsidRPr="007F560B" w14:paraId="62D224F9" w14:textId="77777777" w:rsidTr="007F560B">
        <w:trPr>
          <w:trHeight w:val="377"/>
          <w:jc w:val="center"/>
        </w:trPr>
        <w:tc>
          <w:tcPr>
            <w:tcW w:w="479" w:type="pct"/>
            <w:vAlign w:val="center"/>
          </w:tcPr>
          <w:p w14:paraId="1AC0A0B3"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MIP-1b</w:t>
            </w:r>
          </w:p>
        </w:tc>
        <w:tc>
          <w:tcPr>
            <w:tcW w:w="791" w:type="pct"/>
            <w:vAlign w:val="center"/>
          </w:tcPr>
          <w:p w14:paraId="6AE1BC9B" w14:textId="77777777" w:rsidR="002A46C9" w:rsidRPr="007F560B" w:rsidRDefault="009E3EF9" w:rsidP="007F560B">
            <w:pPr>
              <w:snapToGrid w:val="0"/>
              <w:spacing w:line="360" w:lineRule="auto"/>
              <w:jc w:val="both"/>
              <w:rPr>
                <w:color w:val="000000"/>
                <w:sz w:val="24"/>
                <w:szCs w:val="24"/>
              </w:rPr>
            </w:pPr>
            <w:r w:rsidRPr="007F560B">
              <w:rPr>
                <w:color w:val="000000"/>
                <w:sz w:val="24"/>
                <w:szCs w:val="24"/>
              </w:rPr>
              <w:t>31.43</w:t>
            </w:r>
            <w:r w:rsidRPr="007F560B">
              <w:rPr>
                <w:rFonts w:eastAsiaTheme="minorEastAsia"/>
                <w:color w:val="000000"/>
                <w:sz w:val="24"/>
                <w:szCs w:val="24"/>
              </w:rPr>
              <w:t xml:space="preserve"> </w:t>
            </w:r>
            <w:r w:rsidR="003D4E45" w:rsidRPr="007F560B">
              <w:rPr>
                <w:rFonts w:eastAsia="宋体" w:cs="宋体"/>
                <w:sz w:val="24"/>
                <w:szCs w:val="24"/>
              </w:rPr>
              <w:t>(</w:t>
            </w:r>
            <w:r w:rsidR="002A46C9" w:rsidRPr="007F560B">
              <w:rPr>
                <w:sz w:val="24"/>
                <w:szCs w:val="24"/>
              </w:rPr>
              <w:t>1.54-174</w:t>
            </w:r>
            <w:r w:rsidR="002A46C9" w:rsidRPr="007F560B">
              <w:rPr>
                <w:rFonts w:eastAsia="宋体" w:cs="宋体"/>
                <w:color w:val="000000"/>
                <w:sz w:val="24"/>
                <w:szCs w:val="24"/>
              </w:rPr>
              <w:t>)</w:t>
            </w:r>
          </w:p>
        </w:tc>
        <w:tc>
          <w:tcPr>
            <w:tcW w:w="765" w:type="pct"/>
            <w:vAlign w:val="center"/>
          </w:tcPr>
          <w:p w14:paraId="710D6E62" w14:textId="77777777" w:rsidR="002A46C9" w:rsidRPr="007F560B" w:rsidRDefault="009E3EF9" w:rsidP="007F560B">
            <w:pPr>
              <w:snapToGrid w:val="0"/>
              <w:spacing w:line="360" w:lineRule="auto"/>
              <w:jc w:val="both"/>
              <w:rPr>
                <w:color w:val="000000"/>
                <w:sz w:val="24"/>
                <w:szCs w:val="24"/>
              </w:rPr>
            </w:pPr>
            <w:r w:rsidRPr="007F560B">
              <w:rPr>
                <w:color w:val="000000"/>
                <w:sz w:val="24"/>
                <w:szCs w:val="24"/>
              </w:rPr>
              <w:t>1.54</w:t>
            </w:r>
            <w:r w:rsidRPr="007F560B">
              <w:rPr>
                <w:rFonts w:eastAsiaTheme="minorEastAsia"/>
                <w:color w:val="000000"/>
                <w:sz w:val="24"/>
                <w:szCs w:val="24"/>
              </w:rPr>
              <w:t xml:space="preserve"> </w:t>
            </w:r>
            <w:r w:rsidR="003D4E45" w:rsidRPr="007F560B">
              <w:rPr>
                <w:rFonts w:eastAsia="宋体" w:cs="宋体"/>
                <w:sz w:val="24"/>
                <w:szCs w:val="24"/>
              </w:rPr>
              <w:t>(</w:t>
            </w:r>
            <w:r w:rsidR="002A46C9" w:rsidRPr="007F560B">
              <w:rPr>
                <w:sz w:val="24"/>
                <w:szCs w:val="24"/>
              </w:rPr>
              <w:t>1.54-28.75</w:t>
            </w:r>
            <w:r w:rsidR="002A46C9" w:rsidRPr="007F560B">
              <w:rPr>
                <w:rFonts w:eastAsia="宋体" w:cs="宋体"/>
                <w:color w:val="000000"/>
                <w:sz w:val="24"/>
                <w:szCs w:val="24"/>
              </w:rPr>
              <w:t>)</w:t>
            </w:r>
          </w:p>
        </w:tc>
        <w:tc>
          <w:tcPr>
            <w:tcW w:w="301" w:type="pct"/>
            <w:vAlign w:val="center"/>
          </w:tcPr>
          <w:p w14:paraId="2B508AFB" w14:textId="77777777" w:rsidR="002A46C9" w:rsidRPr="007F560B" w:rsidRDefault="002A46C9" w:rsidP="007F560B">
            <w:pPr>
              <w:snapToGrid w:val="0"/>
              <w:spacing w:line="360" w:lineRule="auto"/>
              <w:jc w:val="both"/>
              <w:rPr>
                <w:bCs/>
                <w:color w:val="000000"/>
                <w:sz w:val="24"/>
                <w:szCs w:val="24"/>
              </w:rPr>
            </w:pPr>
            <w:r w:rsidRPr="007F560B">
              <w:rPr>
                <w:bCs/>
                <w:color w:val="000000"/>
                <w:sz w:val="24"/>
                <w:szCs w:val="24"/>
              </w:rPr>
              <w:t>0.028</w:t>
            </w:r>
          </w:p>
        </w:tc>
        <w:tc>
          <w:tcPr>
            <w:tcW w:w="764" w:type="pct"/>
            <w:vAlign w:val="center"/>
          </w:tcPr>
          <w:p w14:paraId="4BF08FE2" w14:textId="77777777" w:rsidR="002A46C9" w:rsidRPr="007F560B" w:rsidRDefault="009E3EF9" w:rsidP="007F560B">
            <w:pPr>
              <w:snapToGrid w:val="0"/>
              <w:spacing w:line="360" w:lineRule="auto"/>
              <w:jc w:val="both"/>
              <w:rPr>
                <w:color w:val="000000"/>
                <w:sz w:val="24"/>
                <w:szCs w:val="24"/>
              </w:rPr>
            </w:pPr>
            <w:r w:rsidRPr="007F560B">
              <w:rPr>
                <w:color w:val="000000"/>
                <w:sz w:val="24"/>
                <w:szCs w:val="24"/>
              </w:rPr>
              <w:t>1.54</w:t>
            </w:r>
            <w:r w:rsidRPr="007F560B">
              <w:rPr>
                <w:rFonts w:eastAsiaTheme="minorEastAsia"/>
                <w:color w:val="000000"/>
                <w:sz w:val="24"/>
                <w:szCs w:val="24"/>
              </w:rPr>
              <w:t xml:space="preserve"> </w:t>
            </w:r>
            <w:r w:rsidR="003D4E45" w:rsidRPr="007F560B">
              <w:rPr>
                <w:rFonts w:eastAsia="宋体" w:cs="宋体"/>
                <w:color w:val="000000"/>
                <w:sz w:val="24"/>
                <w:szCs w:val="24"/>
              </w:rPr>
              <w:t>(</w:t>
            </w:r>
            <w:r w:rsidR="002A46C9" w:rsidRPr="007F560B">
              <w:rPr>
                <w:color w:val="000000"/>
                <w:sz w:val="24"/>
                <w:szCs w:val="24"/>
              </w:rPr>
              <w:t>1.54-48.57</w:t>
            </w:r>
            <w:r w:rsidR="003D4E45" w:rsidRPr="007F560B">
              <w:rPr>
                <w:rFonts w:eastAsia="宋体" w:cs="宋体"/>
                <w:color w:val="000000"/>
                <w:sz w:val="24"/>
                <w:szCs w:val="24"/>
              </w:rPr>
              <w:t>)</w:t>
            </w:r>
          </w:p>
        </w:tc>
        <w:tc>
          <w:tcPr>
            <w:tcW w:w="810" w:type="pct"/>
            <w:vAlign w:val="center"/>
          </w:tcPr>
          <w:p w14:paraId="66CC9CA1" w14:textId="77777777" w:rsidR="002A46C9" w:rsidRPr="007F560B" w:rsidRDefault="009E3EF9" w:rsidP="007F560B">
            <w:pPr>
              <w:snapToGrid w:val="0"/>
              <w:spacing w:line="360" w:lineRule="auto"/>
              <w:jc w:val="both"/>
              <w:rPr>
                <w:color w:val="000000"/>
                <w:sz w:val="24"/>
                <w:szCs w:val="24"/>
              </w:rPr>
            </w:pPr>
            <w:r w:rsidRPr="007F560B">
              <w:rPr>
                <w:color w:val="000000"/>
                <w:sz w:val="24"/>
                <w:szCs w:val="24"/>
              </w:rPr>
              <w:t>1.54</w:t>
            </w:r>
            <w:r w:rsidRPr="007F560B">
              <w:rPr>
                <w:rFonts w:eastAsiaTheme="minorEastAsia"/>
                <w:color w:val="000000"/>
                <w:sz w:val="24"/>
                <w:szCs w:val="24"/>
              </w:rPr>
              <w:t xml:space="preserve"> </w:t>
            </w:r>
            <w:r w:rsidR="003D4E45" w:rsidRPr="007F560B">
              <w:rPr>
                <w:rFonts w:eastAsia="宋体" w:cs="宋体"/>
                <w:color w:val="000000"/>
                <w:sz w:val="24"/>
                <w:szCs w:val="24"/>
              </w:rPr>
              <w:t>(</w:t>
            </w:r>
            <w:r w:rsidR="002A46C9" w:rsidRPr="007F560B">
              <w:rPr>
                <w:color w:val="000000"/>
                <w:sz w:val="24"/>
                <w:szCs w:val="24"/>
              </w:rPr>
              <w:t>1.54-11.12</w:t>
            </w:r>
            <w:r w:rsidR="003D4E45" w:rsidRPr="007F560B">
              <w:rPr>
                <w:rFonts w:eastAsia="宋体" w:cs="宋体"/>
                <w:color w:val="000000"/>
                <w:sz w:val="24"/>
                <w:szCs w:val="24"/>
              </w:rPr>
              <w:t>)</w:t>
            </w:r>
          </w:p>
        </w:tc>
        <w:tc>
          <w:tcPr>
            <w:tcW w:w="356" w:type="pct"/>
            <w:vAlign w:val="center"/>
          </w:tcPr>
          <w:p w14:paraId="52A1A9EC"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0.345</w:t>
            </w:r>
          </w:p>
        </w:tc>
        <w:tc>
          <w:tcPr>
            <w:tcW w:w="406" w:type="pct"/>
            <w:vAlign w:val="center"/>
          </w:tcPr>
          <w:p w14:paraId="1F00AFFB"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0.148</w:t>
            </w:r>
          </w:p>
        </w:tc>
        <w:tc>
          <w:tcPr>
            <w:tcW w:w="328" w:type="pct"/>
            <w:vAlign w:val="center"/>
          </w:tcPr>
          <w:p w14:paraId="786C0393"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0.649</w:t>
            </w:r>
          </w:p>
        </w:tc>
      </w:tr>
      <w:tr w:rsidR="007F560B" w:rsidRPr="007F560B" w14:paraId="47D5CD37" w14:textId="77777777" w:rsidTr="007F560B">
        <w:trPr>
          <w:trHeight w:val="377"/>
          <w:jc w:val="center"/>
        </w:trPr>
        <w:tc>
          <w:tcPr>
            <w:tcW w:w="479" w:type="pct"/>
            <w:vAlign w:val="center"/>
          </w:tcPr>
          <w:p w14:paraId="32E146FD"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VEGF</w:t>
            </w:r>
          </w:p>
        </w:tc>
        <w:tc>
          <w:tcPr>
            <w:tcW w:w="791" w:type="pct"/>
            <w:vAlign w:val="center"/>
          </w:tcPr>
          <w:p w14:paraId="076D2C48" w14:textId="77777777" w:rsidR="002A46C9" w:rsidRPr="007F560B" w:rsidRDefault="009E3EF9" w:rsidP="007F560B">
            <w:pPr>
              <w:snapToGrid w:val="0"/>
              <w:spacing w:line="360" w:lineRule="auto"/>
              <w:jc w:val="both"/>
              <w:rPr>
                <w:color w:val="000000"/>
                <w:sz w:val="24"/>
                <w:szCs w:val="24"/>
              </w:rPr>
            </w:pPr>
            <w:r w:rsidRPr="007F560B">
              <w:rPr>
                <w:color w:val="000000"/>
                <w:sz w:val="24"/>
                <w:szCs w:val="24"/>
              </w:rPr>
              <w:t>42.87</w:t>
            </w:r>
            <w:r w:rsidRPr="007F560B">
              <w:rPr>
                <w:rFonts w:eastAsiaTheme="minorEastAsia"/>
                <w:color w:val="000000"/>
                <w:sz w:val="24"/>
                <w:szCs w:val="24"/>
              </w:rPr>
              <w:t xml:space="preserve"> </w:t>
            </w:r>
            <w:r w:rsidR="003D4E45" w:rsidRPr="007F560B">
              <w:rPr>
                <w:rFonts w:eastAsia="宋体" w:cs="宋体"/>
                <w:sz w:val="24"/>
                <w:szCs w:val="24"/>
              </w:rPr>
              <w:t>(</w:t>
            </w:r>
            <w:r w:rsidR="002A46C9" w:rsidRPr="007F560B">
              <w:rPr>
                <w:sz w:val="24"/>
                <w:szCs w:val="24"/>
              </w:rPr>
              <w:t>5.8-225</w:t>
            </w:r>
            <w:r w:rsidR="002A46C9" w:rsidRPr="007F560B">
              <w:rPr>
                <w:rFonts w:eastAsia="宋体" w:cs="宋体"/>
                <w:color w:val="000000"/>
                <w:sz w:val="24"/>
                <w:szCs w:val="24"/>
              </w:rPr>
              <w:t>)</w:t>
            </w:r>
          </w:p>
        </w:tc>
        <w:tc>
          <w:tcPr>
            <w:tcW w:w="765" w:type="pct"/>
            <w:vAlign w:val="center"/>
          </w:tcPr>
          <w:p w14:paraId="02488DDE" w14:textId="77777777" w:rsidR="002A46C9" w:rsidRPr="007F560B" w:rsidRDefault="009E3EF9" w:rsidP="007F560B">
            <w:pPr>
              <w:snapToGrid w:val="0"/>
              <w:spacing w:line="360" w:lineRule="auto"/>
              <w:jc w:val="both"/>
              <w:rPr>
                <w:color w:val="000000"/>
                <w:sz w:val="24"/>
                <w:szCs w:val="24"/>
              </w:rPr>
            </w:pPr>
            <w:r w:rsidRPr="007F560B">
              <w:rPr>
                <w:color w:val="000000"/>
                <w:sz w:val="24"/>
                <w:szCs w:val="24"/>
              </w:rPr>
              <w:t>5.8</w:t>
            </w:r>
            <w:r w:rsidRPr="007F560B">
              <w:rPr>
                <w:rFonts w:eastAsiaTheme="minorEastAsia"/>
                <w:color w:val="000000"/>
                <w:sz w:val="24"/>
                <w:szCs w:val="24"/>
              </w:rPr>
              <w:t xml:space="preserve"> </w:t>
            </w:r>
            <w:r w:rsidR="003D4E45" w:rsidRPr="007F560B">
              <w:rPr>
                <w:rFonts w:eastAsia="宋体" w:cs="宋体"/>
                <w:sz w:val="24"/>
                <w:szCs w:val="24"/>
              </w:rPr>
              <w:t>(</w:t>
            </w:r>
            <w:r w:rsidR="002A46C9" w:rsidRPr="007F560B">
              <w:rPr>
                <w:sz w:val="24"/>
                <w:szCs w:val="24"/>
              </w:rPr>
              <w:t>5.8-19.43</w:t>
            </w:r>
            <w:r w:rsidR="002A46C9" w:rsidRPr="007F560B">
              <w:rPr>
                <w:rFonts w:eastAsia="宋体" w:cs="宋体"/>
                <w:color w:val="000000"/>
                <w:sz w:val="24"/>
                <w:szCs w:val="24"/>
              </w:rPr>
              <w:t>)</w:t>
            </w:r>
          </w:p>
        </w:tc>
        <w:tc>
          <w:tcPr>
            <w:tcW w:w="301" w:type="pct"/>
            <w:vAlign w:val="center"/>
          </w:tcPr>
          <w:p w14:paraId="34772A9B"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0.074</w:t>
            </w:r>
          </w:p>
        </w:tc>
        <w:tc>
          <w:tcPr>
            <w:tcW w:w="764" w:type="pct"/>
            <w:vAlign w:val="center"/>
          </w:tcPr>
          <w:p w14:paraId="5AAA558D" w14:textId="77777777" w:rsidR="002A46C9" w:rsidRPr="007F560B" w:rsidRDefault="009E3EF9" w:rsidP="007F560B">
            <w:pPr>
              <w:snapToGrid w:val="0"/>
              <w:spacing w:line="360" w:lineRule="auto"/>
              <w:jc w:val="both"/>
              <w:rPr>
                <w:color w:val="000000"/>
                <w:sz w:val="24"/>
                <w:szCs w:val="24"/>
              </w:rPr>
            </w:pPr>
            <w:r w:rsidRPr="007F560B">
              <w:rPr>
                <w:color w:val="000000"/>
                <w:sz w:val="24"/>
                <w:szCs w:val="24"/>
              </w:rPr>
              <w:t>5.8</w:t>
            </w:r>
            <w:r w:rsidRPr="007F560B">
              <w:rPr>
                <w:rFonts w:eastAsiaTheme="minorEastAsia"/>
                <w:color w:val="000000"/>
                <w:sz w:val="24"/>
                <w:szCs w:val="24"/>
              </w:rPr>
              <w:t xml:space="preserve"> </w:t>
            </w:r>
            <w:r w:rsidR="003D4E45" w:rsidRPr="007F560B">
              <w:rPr>
                <w:rFonts w:eastAsia="宋体" w:cs="宋体"/>
                <w:color w:val="000000"/>
                <w:sz w:val="24"/>
                <w:szCs w:val="24"/>
              </w:rPr>
              <w:t>(</w:t>
            </w:r>
            <w:r w:rsidR="002A46C9" w:rsidRPr="007F560B">
              <w:rPr>
                <w:color w:val="000000"/>
                <w:sz w:val="24"/>
                <w:szCs w:val="24"/>
              </w:rPr>
              <w:t>5.8-81.56</w:t>
            </w:r>
            <w:r w:rsidR="003D4E45" w:rsidRPr="007F560B">
              <w:rPr>
                <w:rFonts w:eastAsia="宋体" w:cs="宋体"/>
                <w:color w:val="000000"/>
                <w:sz w:val="24"/>
                <w:szCs w:val="24"/>
              </w:rPr>
              <w:t>)</w:t>
            </w:r>
          </w:p>
        </w:tc>
        <w:tc>
          <w:tcPr>
            <w:tcW w:w="810" w:type="pct"/>
            <w:vAlign w:val="center"/>
          </w:tcPr>
          <w:p w14:paraId="53A0D983" w14:textId="77777777" w:rsidR="002A46C9" w:rsidRPr="007F560B" w:rsidRDefault="009E3EF9" w:rsidP="007F560B">
            <w:pPr>
              <w:snapToGrid w:val="0"/>
              <w:spacing w:line="360" w:lineRule="auto"/>
              <w:jc w:val="both"/>
              <w:rPr>
                <w:color w:val="000000"/>
                <w:sz w:val="24"/>
                <w:szCs w:val="24"/>
              </w:rPr>
            </w:pPr>
            <w:r w:rsidRPr="007F560B">
              <w:rPr>
                <w:color w:val="000000"/>
                <w:sz w:val="24"/>
                <w:szCs w:val="24"/>
              </w:rPr>
              <w:t>5.8</w:t>
            </w:r>
            <w:r w:rsidRPr="007F560B">
              <w:rPr>
                <w:rFonts w:eastAsiaTheme="minorEastAsia"/>
                <w:color w:val="000000"/>
                <w:sz w:val="24"/>
                <w:szCs w:val="24"/>
              </w:rPr>
              <w:t xml:space="preserve"> </w:t>
            </w:r>
            <w:r w:rsidR="003D4E45" w:rsidRPr="007F560B">
              <w:rPr>
                <w:rFonts w:eastAsia="宋体" w:cs="宋体"/>
                <w:color w:val="000000"/>
                <w:sz w:val="24"/>
                <w:szCs w:val="24"/>
              </w:rPr>
              <w:t>(</w:t>
            </w:r>
            <w:r w:rsidR="002A46C9" w:rsidRPr="007F560B">
              <w:rPr>
                <w:color w:val="000000"/>
                <w:sz w:val="24"/>
                <w:szCs w:val="24"/>
              </w:rPr>
              <w:t>5.8-22.63</w:t>
            </w:r>
            <w:r w:rsidR="003D4E45" w:rsidRPr="007F560B">
              <w:rPr>
                <w:rFonts w:eastAsia="宋体" w:cs="宋体"/>
                <w:color w:val="000000"/>
                <w:sz w:val="24"/>
                <w:szCs w:val="24"/>
              </w:rPr>
              <w:t>)</w:t>
            </w:r>
          </w:p>
        </w:tc>
        <w:tc>
          <w:tcPr>
            <w:tcW w:w="356" w:type="pct"/>
            <w:vAlign w:val="center"/>
          </w:tcPr>
          <w:p w14:paraId="5CC567E1"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0.144</w:t>
            </w:r>
          </w:p>
        </w:tc>
        <w:tc>
          <w:tcPr>
            <w:tcW w:w="406" w:type="pct"/>
            <w:vAlign w:val="center"/>
          </w:tcPr>
          <w:p w14:paraId="1C2F1528"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0.307</w:t>
            </w:r>
          </w:p>
        </w:tc>
        <w:tc>
          <w:tcPr>
            <w:tcW w:w="328" w:type="pct"/>
            <w:vAlign w:val="center"/>
          </w:tcPr>
          <w:p w14:paraId="554B6105"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0.631</w:t>
            </w:r>
          </w:p>
        </w:tc>
      </w:tr>
    </w:tbl>
    <w:p w14:paraId="702E8CFF" w14:textId="77777777" w:rsidR="001073E6" w:rsidRPr="007F560B" w:rsidRDefault="007F560B" w:rsidP="007F560B">
      <w:pPr>
        <w:snapToGrid w:val="0"/>
        <w:spacing w:line="360" w:lineRule="auto"/>
        <w:jc w:val="both"/>
        <w:rPr>
          <w:rFonts w:eastAsiaTheme="minorEastAsia"/>
          <w:sz w:val="24"/>
          <w:szCs w:val="24"/>
          <w:lang w:val="en-US"/>
        </w:rPr>
      </w:pPr>
      <w:r w:rsidRPr="007F560B">
        <w:rPr>
          <w:color w:val="000000"/>
          <w:sz w:val="24"/>
          <w:szCs w:val="24"/>
          <w:lang w:val="en-US"/>
        </w:rPr>
        <w:t>IL</w:t>
      </w:r>
      <w:r w:rsidRPr="007F560B">
        <w:rPr>
          <w:rFonts w:eastAsiaTheme="minorEastAsia"/>
          <w:color w:val="000000"/>
          <w:sz w:val="24"/>
          <w:szCs w:val="24"/>
          <w:lang w:val="en-US"/>
        </w:rPr>
        <w:t xml:space="preserve">: Interleukin; </w:t>
      </w:r>
      <w:r w:rsidRPr="007F560B">
        <w:rPr>
          <w:rFonts w:eastAsia="TimesNewRoman" w:cs="TimesNewRoman"/>
          <w:sz w:val="24"/>
          <w:szCs w:val="24"/>
          <w:lang w:val="en-US"/>
        </w:rPr>
        <w:t xml:space="preserve">TARC: Thymus and activation-regulated chemokine; </w:t>
      </w:r>
      <w:r w:rsidRPr="007F560B">
        <w:rPr>
          <w:rFonts w:eastAsiaTheme="minorEastAsia" w:cs="Times New Roman"/>
          <w:bCs/>
          <w:color w:val="000000"/>
          <w:sz w:val="24"/>
          <w:szCs w:val="24"/>
          <w:lang w:val="en-US"/>
        </w:rPr>
        <w:t xml:space="preserve">CXCL9: CXC-chemokine ligand 9; IP10: Interferon gamma-induced protein 10; MIP: </w:t>
      </w:r>
      <w:r w:rsidRPr="007F560B">
        <w:rPr>
          <w:rFonts w:eastAsia="TimesNewRoman" w:cs="TimesNewRoman"/>
          <w:sz w:val="24"/>
          <w:szCs w:val="24"/>
          <w:lang w:val="en-US"/>
        </w:rPr>
        <w:t>Macrophage inflammatory protein; VEGF: Vascular endothelial growth factor</w:t>
      </w:r>
      <w:r>
        <w:rPr>
          <w:rFonts w:eastAsia="TimesNewRoman" w:cs="TimesNewRoman"/>
          <w:sz w:val="24"/>
          <w:szCs w:val="24"/>
          <w:lang w:val="en-US"/>
        </w:rPr>
        <w:t>.</w:t>
      </w:r>
    </w:p>
    <w:sectPr w:rsidR="001073E6" w:rsidRPr="007F560B" w:rsidSect="00684D2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A5A6B" w14:textId="77777777" w:rsidR="00F63090" w:rsidRDefault="00F63090" w:rsidP="00EE5649">
      <w:r>
        <w:separator/>
      </w:r>
    </w:p>
  </w:endnote>
  <w:endnote w:type="continuationSeparator" w:id="0">
    <w:p w14:paraId="106B1E10" w14:textId="77777777" w:rsidR="00F63090" w:rsidRDefault="00F63090" w:rsidP="00EE5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imesNewRoman">
    <w:altName w:val="MS Gothic"/>
    <w:panose1 w:val="00000000000000000000"/>
    <w:charset w:val="00"/>
    <w:family w:val="roman"/>
    <w:notTrueType/>
    <w:pitch w:val="default"/>
    <w:sig w:usb0="00000003" w:usb1="080E0000" w:usb2="00000010" w:usb3="00000000" w:csb0="00040001" w:csb1="00000000"/>
  </w:font>
  <w:font w:name="Minion-Regular">
    <w:altName w:val="Segoe Print"/>
    <w:charset w:val="00"/>
    <w:family w:val="auto"/>
    <w:pitch w:val="default"/>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CF188" w14:textId="77777777" w:rsidR="00F63090" w:rsidRDefault="00F63090" w:rsidP="00EE5649">
      <w:r>
        <w:separator/>
      </w:r>
    </w:p>
  </w:footnote>
  <w:footnote w:type="continuationSeparator" w:id="0">
    <w:p w14:paraId="1FE181E5" w14:textId="77777777" w:rsidR="00F63090" w:rsidRDefault="00F63090" w:rsidP="00EE56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A1MjIwMTU3MLE0MzBV0lEKTi0uzszPAykwNK0FAGCJEnEtAAAA"/>
    <w:docVar w:name="EN.InstantFormat" w:val="&lt;ENInstantFormat&gt;&lt;Enabled&gt;1&lt;/Enabled&gt;&lt;ScanUnformatted&gt;1&lt;/ScanUnformatted&gt;&lt;ScanChanges&gt;1&lt;/ScanChanges&gt;&lt;Suspended&gt;1&lt;/Suspended&gt;&lt;/ENInstantFormat&gt;"/>
    <w:docVar w:name="EN.Layout" w:val="&lt;ENLayout&gt;&lt;Style&gt;Vancouver Copy&lt;/Style&gt;&lt;LeftDelim&gt;{&lt;/LeftDelim&gt;&lt;RightDelim&gt;}&lt;/RightDelim&gt;&lt;FontName&gt;Book Antiqu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at9e2025d2rp9epwrwvwz03900xxxw9wfxt&quot;&gt;My EndNote Library&lt;record-ids&gt;&lt;item&gt;1&lt;/item&gt;&lt;item&gt;2&lt;/item&gt;&lt;item&gt;3&lt;/item&gt;&lt;item&gt;4&lt;/item&gt;&lt;item&gt;5&lt;/item&gt;&lt;item&gt;6&lt;/item&gt;&lt;item&gt;7&lt;/item&gt;&lt;item&gt;8&lt;/item&gt;&lt;item&gt;9&lt;/item&gt;&lt;item&gt;10&lt;/item&gt;&lt;item&gt;12&lt;/item&gt;&lt;item&gt;13&lt;/item&gt;&lt;item&gt;14&lt;/item&gt;&lt;item&gt;15&lt;/item&gt;&lt;item&gt;16&lt;/item&gt;&lt;item&gt;17&lt;/item&gt;&lt;item&gt;18&lt;/item&gt;&lt;item&gt;19&lt;/item&gt;&lt;item&gt;20&lt;/item&gt;&lt;item&gt;21&lt;/item&gt;&lt;item&gt;22&lt;/item&gt;&lt;item&gt;23&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record-ids&gt;&lt;/item&gt;&lt;/Libraries&gt;"/>
  </w:docVars>
  <w:rsids>
    <w:rsidRoot w:val="00A8261B"/>
    <w:rsid w:val="000028C3"/>
    <w:rsid w:val="00003CDC"/>
    <w:rsid w:val="00030685"/>
    <w:rsid w:val="00030CA9"/>
    <w:rsid w:val="00042B1D"/>
    <w:rsid w:val="0004330D"/>
    <w:rsid w:val="000A2C8F"/>
    <w:rsid w:val="000C4CE6"/>
    <w:rsid w:val="000E33AA"/>
    <w:rsid w:val="001073E6"/>
    <w:rsid w:val="0011576D"/>
    <w:rsid w:val="001177BA"/>
    <w:rsid w:val="00132BC3"/>
    <w:rsid w:val="001362AE"/>
    <w:rsid w:val="00157B81"/>
    <w:rsid w:val="00163381"/>
    <w:rsid w:val="00165074"/>
    <w:rsid w:val="00167BDE"/>
    <w:rsid w:val="00177B85"/>
    <w:rsid w:val="001A151D"/>
    <w:rsid w:val="001D68E5"/>
    <w:rsid w:val="001E152D"/>
    <w:rsid w:val="001F211E"/>
    <w:rsid w:val="00203332"/>
    <w:rsid w:val="002126FB"/>
    <w:rsid w:val="00234422"/>
    <w:rsid w:val="00257F44"/>
    <w:rsid w:val="00264D6D"/>
    <w:rsid w:val="00265BAD"/>
    <w:rsid w:val="00271E90"/>
    <w:rsid w:val="00274096"/>
    <w:rsid w:val="00277242"/>
    <w:rsid w:val="0028594F"/>
    <w:rsid w:val="00295B86"/>
    <w:rsid w:val="002A46C9"/>
    <w:rsid w:val="002B380F"/>
    <w:rsid w:val="002B6992"/>
    <w:rsid w:val="002E532F"/>
    <w:rsid w:val="00321CD9"/>
    <w:rsid w:val="0033464D"/>
    <w:rsid w:val="00336026"/>
    <w:rsid w:val="003370EF"/>
    <w:rsid w:val="003371E4"/>
    <w:rsid w:val="003455AD"/>
    <w:rsid w:val="003531A0"/>
    <w:rsid w:val="003771E2"/>
    <w:rsid w:val="003A3F22"/>
    <w:rsid w:val="003B7DCA"/>
    <w:rsid w:val="003C2FD5"/>
    <w:rsid w:val="003D4E45"/>
    <w:rsid w:val="003E4931"/>
    <w:rsid w:val="004043B4"/>
    <w:rsid w:val="0042397C"/>
    <w:rsid w:val="00427671"/>
    <w:rsid w:val="00430798"/>
    <w:rsid w:val="00432C1E"/>
    <w:rsid w:val="0044119E"/>
    <w:rsid w:val="0045680F"/>
    <w:rsid w:val="00467B7D"/>
    <w:rsid w:val="0048754E"/>
    <w:rsid w:val="004912CB"/>
    <w:rsid w:val="00493551"/>
    <w:rsid w:val="004A4D50"/>
    <w:rsid w:val="004D5368"/>
    <w:rsid w:val="005025C9"/>
    <w:rsid w:val="005028FD"/>
    <w:rsid w:val="00510A03"/>
    <w:rsid w:val="00510A21"/>
    <w:rsid w:val="00532325"/>
    <w:rsid w:val="00554037"/>
    <w:rsid w:val="00572655"/>
    <w:rsid w:val="00572B12"/>
    <w:rsid w:val="005B6940"/>
    <w:rsid w:val="005C2C6A"/>
    <w:rsid w:val="005E555B"/>
    <w:rsid w:val="005F366D"/>
    <w:rsid w:val="00661D92"/>
    <w:rsid w:val="0066699C"/>
    <w:rsid w:val="0067664D"/>
    <w:rsid w:val="00684D25"/>
    <w:rsid w:val="00692805"/>
    <w:rsid w:val="00693B3A"/>
    <w:rsid w:val="00697E2C"/>
    <w:rsid w:val="006C0915"/>
    <w:rsid w:val="006E69D4"/>
    <w:rsid w:val="00710588"/>
    <w:rsid w:val="00720896"/>
    <w:rsid w:val="00746724"/>
    <w:rsid w:val="00773D6E"/>
    <w:rsid w:val="007930FC"/>
    <w:rsid w:val="007C07DF"/>
    <w:rsid w:val="007C15A6"/>
    <w:rsid w:val="007E353F"/>
    <w:rsid w:val="007E73A5"/>
    <w:rsid w:val="007F560B"/>
    <w:rsid w:val="00806B35"/>
    <w:rsid w:val="0082451F"/>
    <w:rsid w:val="008264A1"/>
    <w:rsid w:val="008676C5"/>
    <w:rsid w:val="00880687"/>
    <w:rsid w:val="008A1799"/>
    <w:rsid w:val="008A1D0C"/>
    <w:rsid w:val="008A2576"/>
    <w:rsid w:val="008A6074"/>
    <w:rsid w:val="008B6CD0"/>
    <w:rsid w:val="008B7F76"/>
    <w:rsid w:val="008C0D94"/>
    <w:rsid w:val="008C4E62"/>
    <w:rsid w:val="008C5DD1"/>
    <w:rsid w:val="008C7B5E"/>
    <w:rsid w:val="008F5966"/>
    <w:rsid w:val="009125F7"/>
    <w:rsid w:val="0097043F"/>
    <w:rsid w:val="0097781E"/>
    <w:rsid w:val="009A5EFF"/>
    <w:rsid w:val="009B3816"/>
    <w:rsid w:val="009B4273"/>
    <w:rsid w:val="009C5FEF"/>
    <w:rsid w:val="009C739D"/>
    <w:rsid w:val="009E3EF9"/>
    <w:rsid w:val="00A0234B"/>
    <w:rsid w:val="00A066EA"/>
    <w:rsid w:val="00A111CB"/>
    <w:rsid w:val="00A17C76"/>
    <w:rsid w:val="00A23C7F"/>
    <w:rsid w:val="00A2697F"/>
    <w:rsid w:val="00A33373"/>
    <w:rsid w:val="00A346D6"/>
    <w:rsid w:val="00A362A4"/>
    <w:rsid w:val="00A50D4C"/>
    <w:rsid w:val="00A5552A"/>
    <w:rsid w:val="00A801ED"/>
    <w:rsid w:val="00A80E6F"/>
    <w:rsid w:val="00A8261B"/>
    <w:rsid w:val="00A85EFA"/>
    <w:rsid w:val="00A867BD"/>
    <w:rsid w:val="00A91A3D"/>
    <w:rsid w:val="00AC7B82"/>
    <w:rsid w:val="00AF71EE"/>
    <w:rsid w:val="00B06887"/>
    <w:rsid w:val="00B35A18"/>
    <w:rsid w:val="00B447EA"/>
    <w:rsid w:val="00B55815"/>
    <w:rsid w:val="00B66A21"/>
    <w:rsid w:val="00B7575B"/>
    <w:rsid w:val="00B90F54"/>
    <w:rsid w:val="00BC5044"/>
    <w:rsid w:val="00BD3AE8"/>
    <w:rsid w:val="00BD6174"/>
    <w:rsid w:val="00BE1C90"/>
    <w:rsid w:val="00C2256D"/>
    <w:rsid w:val="00C2353D"/>
    <w:rsid w:val="00C75710"/>
    <w:rsid w:val="00C84411"/>
    <w:rsid w:val="00CB2FEF"/>
    <w:rsid w:val="00CB43B6"/>
    <w:rsid w:val="00CB57AA"/>
    <w:rsid w:val="00CC35F9"/>
    <w:rsid w:val="00CE1F15"/>
    <w:rsid w:val="00CF3C7D"/>
    <w:rsid w:val="00D05A70"/>
    <w:rsid w:val="00D146AA"/>
    <w:rsid w:val="00D16482"/>
    <w:rsid w:val="00D22C3F"/>
    <w:rsid w:val="00D35F27"/>
    <w:rsid w:val="00D612CB"/>
    <w:rsid w:val="00D94262"/>
    <w:rsid w:val="00DB5413"/>
    <w:rsid w:val="00DB73C5"/>
    <w:rsid w:val="00DD07E7"/>
    <w:rsid w:val="00E130C9"/>
    <w:rsid w:val="00E2361D"/>
    <w:rsid w:val="00E27E20"/>
    <w:rsid w:val="00E36463"/>
    <w:rsid w:val="00E51770"/>
    <w:rsid w:val="00E60F21"/>
    <w:rsid w:val="00E76101"/>
    <w:rsid w:val="00E96D09"/>
    <w:rsid w:val="00EA7DC7"/>
    <w:rsid w:val="00EB4833"/>
    <w:rsid w:val="00EB569D"/>
    <w:rsid w:val="00EE5649"/>
    <w:rsid w:val="00EE7761"/>
    <w:rsid w:val="00EF1378"/>
    <w:rsid w:val="00F05FD0"/>
    <w:rsid w:val="00F32E37"/>
    <w:rsid w:val="00F63090"/>
    <w:rsid w:val="00F825AF"/>
    <w:rsid w:val="00FB1231"/>
    <w:rsid w:val="00FC470C"/>
    <w:rsid w:val="00FF49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6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8261B"/>
    <w:pPr>
      <w:widowControl w:val="0"/>
      <w:autoSpaceDE w:val="0"/>
      <w:autoSpaceDN w:val="0"/>
    </w:pPr>
    <w:rPr>
      <w:rFonts w:ascii="Book Antiqua" w:eastAsia="Book Antiqua" w:hAnsi="Book Antiqua" w:cs="Book Antiqua"/>
      <w:kern w:val="0"/>
      <w:sz w:val="22"/>
      <w:lang w:val="zh-CN" w:bidi="zh-CN"/>
    </w:rPr>
  </w:style>
  <w:style w:type="paragraph" w:styleId="1">
    <w:name w:val="heading 1"/>
    <w:basedOn w:val="a"/>
    <w:link w:val="1Char"/>
    <w:uiPriority w:val="1"/>
    <w:qFormat/>
    <w:rsid w:val="00A8261B"/>
    <w:pPr>
      <w:spacing w:before="81"/>
      <w:ind w:left="118"/>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A8261B"/>
    <w:rPr>
      <w:rFonts w:ascii="Book Antiqua" w:eastAsia="Book Antiqua" w:hAnsi="Book Antiqua" w:cs="Book Antiqua"/>
      <w:b/>
      <w:bCs/>
      <w:kern w:val="0"/>
      <w:sz w:val="24"/>
      <w:szCs w:val="24"/>
      <w:lang w:val="zh-CN" w:bidi="zh-CN"/>
    </w:rPr>
  </w:style>
  <w:style w:type="paragraph" w:styleId="a3">
    <w:name w:val="Body Text"/>
    <w:basedOn w:val="a"/>
    <w:link w:val="Char"/>
    <w:uiPriority w:val="1"/>
    <w:qFormat/>
    <w:rsid w:val="00A8261B"/>
    <w:pPr>
      <w:ind w:left="118"/>
    </w:pPr>
    <w:rPr>
      <w:sz w:val="24"/>
      <w:szCs w:val="24"/>
    </w:rPr>
  </w:style>
  <w:style w:type="character" w:customStyle="1" w:styleId="Char">
    <w:name w:val="正文文本 Char"/>
    <w:basedOn w:val="a0"/>
    <w:link w:val="a3"/>
    <w:uiPriority w:val="1"/>
    <w:rsid w:val="00A8261B"/>
    <w:rPr>
      <w:rFonts w:ascii="Book Antiqua" w:eastAsia="Book Antiqua" w:hAnsi="Book Antiqua" w:cs="Book Antiqua"/>
      <w:kern w:val="0"/>
      <w:sz w:val="24"/>
      <w:szCs w:val="24"/>
      <w:lang w:val="zh-CN" w:bidi="zh-CN"/>
    </w:rPr>
  </w:style>
  <w:style w:type="character" w:styleId="a4">
    <w:name w:val="Hyperlink"/>
    <w:basedOn w:val="a0"/>
    <w:uiPriority w:val="99"/>
    <w:unhideWhenUsed/>
    <w:qFormat/>
    <w:rsid w:val="00A8261B"/>
    <w:rPr>
      <w:color w:val="0563C1" w:themeColor="hyperlink"/>
      <w:u w:val="single"/>
    </w:rPr>
  </w:style>
  <w:style w:type="paragraph" w:customStyle="1" w:styleId="EndNoteBibliography">
    <w:name w:val="EndNote Bibliography"/>
    <w:basedOn w:val="a"/>
    <w:link w:val="EndNoteBibliographyChar"/>
    <w:rsid w:val="00A8261B"/>
    <w:rPr>
      <w:noProof/>
    </w:rPr>
  </w:style>
  <w:style w:type="character" w:customStyle="1" w:styleId="EndNoteBibliographyChar">
    <w:name w:val="EndNote Bibliography Char"/>
    <w:basedOn w:val="a0"/>
    <w:link w:val="EndNoteBibliography"/>
    <w:rsid w:val="00A8261B"/>
    <w:rPr>
      <w:rFonts w:ascii="Book Antiqua" w:eastAsia="Book Antiqua" w:hAnsi="Book Antiqua" w:cs="Book Antiqua"/>
      <w:noProof/>
      <w:kern w:val="0"/>
      <w:sz w:val="22"/>
      <w:lang w:val="zh-CN" w:bidi="zh-CN"/>
    </w:rPr>
  </w:style>
  <w:style w:type="paragraph" w:styleId="a5">
    <w:name w:val="caption"/>
    <w:basedOn w:val="a"/>
    <w:next w:val="a"/>
    <w:uiPriority w:val="35"/>
    <w:unhideWhenUsed/>
    <w:qFormat/>
    <w:rsid w:val="00A8261B"/>
    <w:pPr>
      <w:autoSpaceDE/>
      <w:autoSpaceDN/>
      <w:jc w:val="both"/>
    </w:pPr>
    <w:rPr>
      <w:rFonts w:asciiTheme="majorHAnsi" w:eastAsia="黑体" w:hAnsiTheme="majorHAnsi" w:cstheme="majorBidi"/>
      <w:kern w:val="2"/>
      <w:sz w:val="20"/>
      <w:szCs w:val="20"/>
      <w:lang w:val="en-US" w:bidi="ar-SA"/>
    </w:rPr>
  </w:style>
  <w:style w:type="paragraph" w:customStyle="1" w:styleId="EndNoteBibliographyTitle">
    <w:name w:val="EndNote Bibliography Title"/>
    <w:basedOn w:val="a"/>
    <w:link w:val="EndNoteBibliographyTitleChar"/>
    <w:rsid w:val="00E76101"/>
    <w:pPr>
      <w:jc w:val="center"/>
    </w:pPr>
    <w:rPr>
      <w:noProof/>
    </w:rPr>
  </w:style>
  <w:style w:type="character" w:customStyle="1" w:styleId="EndNoteBibliographyTitleChar">
    <w:name w:val="EndNote Bibliography Title Char"/>
    <w:basedOn w:val="1Char"/>
    <w:link w:val="EndNoteBibliographyTitle"/>
    <w:rsid w:val="00E76101"/>
    <w:rPr>
      <w:rFonts w:ascii="Book Antiqua" w:eastAsia="Book Antiqua" w:hAnsi="Book Antiqua" w:cs="Book Antiqua"/>
      <w:b w:val="0"/>
      <w:bCs w:val="0"/>
      <w:noProof/>
      <w:kern w:val="0"/>
      <w:sz w:val="22"/>
      <w:szCs w:val="24"/>
      <w:lang w:val="zh-CN" w:bidi="zh-CN"/>
    </w:rPr>
  </w:style>
  <w:style w:type="table" w:styleId="a6">
    <w:name w:val="Table Grid"/>
    <w:basedOn w:val="a1"/>
    <w:uiPriority w:val="39"/>
    <w:rsid w:val="003E4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0"/>
    <w:uiPriority w:val="99"/>
    <w:semiHidden/>
    <w:unhideWhenUsed/>
    <w:rsid w:val="00710588"/>
    <w:rPr>
      <w:sz w:val="18"/>
      <w:szCs w:val="18"/>
    </w:rPr>
  </w:style>
  <w:style w:type="character" w:customStyle="1" w:styleId="Char0">
    <w:name w:val="批注框文本 Char"/>
    <w:basedOn w:val="a0"/>
    <w:link w:val="a7"/>
    <w:uiPriority w:val="99"/>
    <w:semiHidden/>
    <w:rsid w:val="00710588"/>
    <w:rPr>
      <w:rFonts w:ascii="Book Antiqua" w:eastAsia="Book Antiqua" w:hAnsi="Book Antiqua" w:cs="Book Antiqua"/>
      <w:kern w:val="0"/>
      <w:sz w:val="18"/>
      <w:szCs w:val="18"/>
      <w:lang w:val="zh-CN" w:bidi="zh-CN"/>
    </w:rPr>
  </w:style>
  <w:style w:type="paragraph" w:styleId="a8">
    <w:name w:val="header"/>
    <w:basedOn w:val="a"/>
    <w:link w:val="Char1"/>
    <w:uiPriority w:val="99"/>
    <w:unhideWhenUsed/>
    <w:rsid w:val="00EE564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EE5649"/>
    <w:rPr>
      <w:rFonts w:ascii="Book Antiqua" w:eastAsia="Book Antiqua" w:hAnsi="Book Antiqua" w:cs="Book Antiqua"/>
      <w:kern w:val="0"/>
      <w:sz w:val="18"/>
      <w:szCs w:val="18"/>
      <w:lang w:val="zh-CN" w:bidi="zh-CN"/>
    </w:rPr>
  </w:style>
  <w:style w:type="paragraph" w:styleId="a9">
    <w:name w:val="footer"/>
    <w:basedOn w:val="a"/>
    <w:link w:val="Char2"/>
    <w:uiPriority w:val="99"/>
    <w:unhideWhenUsed/>
    <w:rsid w:val="00EE5649"/>
    <w:pPr>
      <w:tabs>
        <w:tab w:val="center" w:pos="4153"/>
        <w:tab w:val="right" w:pos="8306"/>
      </w:tabs>
      <w:snapToGrid w:val="0"/>
    </w:pPr>
    <w:rPr>
      <w:sz w:val="18"/>
      <w:szCs w:val="18"/>
    </w:rPr>
  </w:style>
  <w:style w:type="character" w:customStyle="1" w:styleId="Char2">
    <w:name w:val="页脚 Char"/>
    <w:basedOn w:val="a0"/>
    <w:link w:val="a9"/>
    <w:uiPriority w:val="99"/>
    <w:rsid w:val="00EE5649"/>
    <w:rPr>
      <w:rFonts w:ascii="Book Antiqua" w:eastAsia="Book Antiqua" w:hAnsi="Book Antiqua" w:cs="Book Antiqua"/>
      <w:kern w:val="0"/>
      <w:sz w:val="18"/>
      <w:szCs w:val="18"/>
      <w:lang w:val="zh-CN" w:bidi="zh-CN"/>
    </w:rPr>
  </w:style>
  <w:style w:type="character" w:styleId="aa">
    <w:name w:val="annotation reference"/>
    <w:basedOn w:val="a0"/>
    <w:uiPriority w:val="99"/>
    <w:semiHidden/>
    <w:unhideWhenUsed/>
    <w:rsid w:val="00A111CB"/>
    <w:rPr>
      <w:sz w:val="21"/>
      <w:szCs w:val="21"/>
    </w:rPr>
  </w:style>
  <w:style w:type="paragraph" w:styleId="ab">
    <w:name w:val="annotation text"/>
    <w:basedOn w:val="a"/>
    <w:link w:val="Char3"/>
    <w:uiPriority w:val="99"/>
    <w:semiHidden/>
    <w:unhideWhenUsed/>
    <w:rsid w:val="00A111CB"/>
  </w:style>
  <w:style w:type="character" w:customStyle="1" w:styleId="Char3">
    <w:name w:val="批注文字 Char"/>
    <w:basedOn w:val="a0"/>
    <w:link w:val="ab"/>
    <w:uiPriority w:val="99"/>
    <w:semiHidden/>
    <w:rsid w:val="00A111CB"/>
    <w:rPr>
      <w:rFonts w:ascii="Book Antiqua" w:eastAsia="Book Antiqua" w:hAnsi="Book Antiqua" w:cs="Book Antiqua"/>
      <w:kern w:val="0"/>
      <w:sz w:val="22"/>
      <w:lang w:val="zh-CN" w:bidi="zh-CN"/>
    </w:rPr>
  </w:style>
  <w:style w:type="paragraph" w:styleId="ac">
    <w:name w:val="annotation subject"/>
    <w:basedOn w:val="ab"/>
    <w:next w:val="ab"/>
    <w:link w:val="Char4"/>
    <w:uiPriority w:val="99"/>
    <w:semiHidden/>
    <w:unhideWhenUsed/>
    <w:rsid w:val="00A111CB"/>
    <w:rPr>
      <w:b/>
      <w:bCs/>
    </w:rPr>
  </w:style>
  <w:style w:type="character" w:customStyle="1" w:styleId="Char4">
    <w:name w:val="批注主题 Char"/>
    <w:basedOn w:val="Char3"/>
    <w:link w:val="ac"/>
    <w:uiPriority w:val="99"/>
    <w:semiHidden/>
    <w:rsid w:val="00A111CB"/>
    <w:rPr>
      <w:rFonts w:ascii="Book Antiqua" w:eastAsia="Book Antiqua" w:hAnsi="Book Antiqua" w:cs="Book Antiqua"/>
      <w:b/>
      <w:bCs/>
      <w:kern w:val="0"/>
      <w:sz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8261B"/>
    <w:pPr>
      <w:widowControl w:val="0"/>
      <w:autoSpaceDE w:val="0"/>
      <w:autoSpaceDN w:val="0"/>
    </w:pPr>
    <w:rPr>
      <w:rFonts w:ascii="Book Antiqua" w:eastAsia="Book Antiqua" w:hAnsi="Book Antiqua" w:cs="Book Antiqua"/>
      <w:kern w:val="0"/>
      <w:sz w:val="22"/>
      <w:lang w:val="zh-CN" w:bidi="zh-CN"/>
    </w:rPr>
  </w:style>
  <w:style w:type="paragraph" w:styleId="1">
    <w:name w:val="heading 1"/>
    <w:basedOn w:val="a"/>
    <w:link w:val="1Char"/>
    <w:uiPriority w:val="1"/>
    <w:qFormat/>
    <w:rsid w:val="00A8261B"/>
    <w:pPr>
      <w:spacing w:before="81"/>
      <w:ind w:left="118"/>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A8261B"/>
    <w:rPr>
      <w:rFonts w:ascii="Book Antiqua" w:eastAsia="Book Antiqua" w:hAnsi="Book Antiqua" w:cs="Book Antiqua"/>
      <w:b/>
      <w:bCs/>
      <w:kern w:val="0"/>
      <w:sz w:val="24"/>
      <w:szCs w:val="24"/>
      <w:lang w:val="zh-CN" w:bidi="zh-CN"/>
    </w:rPr>
  </w:style>
  <w:style w:type="paragraph" w:styleId="a3">
    <w:name w:val="Body Text"/>
    <w:basedOn w:val="a"/>
    <w:link w:val="Char"/>
    <w:uiPriority w:val="1"/>
    <w:qFormat/>
    <w:rsid w:val="00A8261B"/>
    <w:pPr>
      <w:ind w:left="118"/>
    </w:pPr>
    <w:rPr>
      <w:sz w:val="24"/>
      <w:szCs w:val="24"/>
    </w:rPr>
  </w:style>
  <w:style w:type="character" w:customStyle="1" w:styleId="Char">
    <w:name w:val="正文文本 Char"/>
    <w:basedOn w:val="a0"/>
    <w:link w:val="a3"/>
    <w:uiPriority w:val="1"/>
    <w:rsid w:val="00A8261B"/>
    <w:rPr>
      <w:rFonts w:ascii="Book Antiqua" w:eastAsia="Book Antiqua" w:hAnsi="Book Antiqua" w:cs="Book Antiqua"/>
      <w:kern w:val="0"/>
      <w:sz w:val="24"/>
      <w:szCs w:val="24"/>
      <w:lang w:val="zh-CN" w:bidi="zh-CN"/>
    </w:rPr>
  </w:style>
  <w:style w:type="character" w:styleId="a4">
    <w:name w:val="Hyperlink"/>
    <w:basedOn w:val="a0"/>
    <w:uiPriority w:val="99"/>
    <w:unhideWhenUsed/>
    <w:qFormat/>
    <w:rsid w:val="00A8261B"/>
    <w:rPr>
      <w:color w:val="0563C1" w:themeColor="hyperlink"/>
      <w:u w:val="single"/>
    </w:rPr>
  </w:style>
  <w:style w:type="paragraph" w:customStyle="1" w:styleId="EndNoteBibliography">
    <w:name w:val="EndNote Bibliography"/>
    <w:basedOn w:val="a"/>
    <w:link w:val="EndNoteBibliographyChar"/>
    <w:rsid w:val="00A8261B"/>
    <w:rPr>
      <w:noProof/>
    </w:rPr>
  </w:style>
  <w:style w:type="character" w:customStyle="1" w:styleId="EndNoteBibliographyChar">
    <w:name w:val="EndNote Bibliography Char"/>
    <w:basedOn w:val="a0"/>
    <w:link w:val="EndNoteBibliography"/>
    <w:rsid w:val="00A8261B"/>
    <w:rPr>
      <w:rFonts w:ascii="Book Antiqua" w:eastAsia="Book Antiqua" w:hAnsi="Book Antiqua" w:cs="Book Antiqua"/>
      <w:noProof/>
      <w:kern w:val="0"/>
      <w:sz w:val="22"/>
      <w:lang w:val="zh-CN" w:bidi="zh-CN"/>
    </w:rPr>
  </w:style>
  <w:style w:type="paragraph" w:styleId="a5">
    <w:name w:val="caption"/>
    <w:basedOn w:val="a"/>
    <w:next w:val="a"/>
    <w:uiPriority w:val="35"/>
    <w:unhideWhenUsed/>
    <w:qFormat/>
    <w:rsid w:val="00A8261B"/>
    <w:pPr>
      <w:autoSpaceDE/>
      <w:autoSpaceDN/>
      <w:jc w:val="both"/>
    </w:pPr>
    <w:rPr>
      <w:rFonts w:asciiTheme="majorHAnsi" w:eastAsia="黑体" w:hAnsiTheme="majorHAnsi" w:cstheme="majorBidi"/>
      <w:kern w:val="2"/>
      <w:sz w:val="20"/>
      <w:szCs w:val="20"/>
      <w:lang w:val="en-US" w:bidi="ar-SA"/>
    </w:rPr>
  </w:style>
  <w:style w:type="paragraph" w:customStyle="1" w:styleId="EndNoteBibliographyTitle">
    <w:name w:val="EndNote Bibliography Title"/>
    <w:basedOn w:val="a"/>
    <w:link w:val="EndNoteBibliographyTitleChar"/>
    <w:rsid w:val="00E76101"/>
    <w:pPr>
      <w:jc w:val="center"/>
    </w:pPr>
    <w:rPr>
      <w:noProof/>
    </w:rPr>
  </w:style>
  <w:style w:type="character" w:customStyle="1" w:styleId="EndNoteBibliographyTitleChar">
    <w:name w:val="EndNote Bibliography Title Char"/>
    <w:basedOn w:val="1Char"/>
    <w:link w:val="EndNoteBibliographyTitle"/>
    <w:rsid w:val="00E76101"/>
    <w:rPr>
      <w:rFonts w:ascii="Book Antiqua" w:eastAsia="Book Antiqua" w:hAnsi="Book Antiqua" w:cs="Book Antiqua"/>
      <w:b w:val="0"/>
      <w:bCs w:val="0"/>
      <w:noProof/>
      <w:kern w:val="0"/>
      <w:sz w:val="22"/>
      <w:szCs w:val="24"/>
      <w:lang w:val="zh-CN" w:bidi="zh-CN"/>
    </w:rPr>
  </w:style>
  <w:style w:type="table" w:styleId="a6">
    <w:name w:val="Table Grid"/>
    <w:basedOn w:val="a1"/>
    <w:uiPriority w:val="39"/>
    <w:rsid w:val="003E4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0"/>
    <w:uiPriority w:val="99"/>
    <w:semiHidden/>
    <w:unhideWhenUsed/>
    <w:rsid w:val="00710588"/>
    <w:rPr>
      <w:sz w:val="18"/>
      <w:szCs w:val="18"/>
    </w:rPr>
  </w:style>
  <w:style w:type="character" w:customStyle="1" w:styleId="Char0">
    <w:name w:val="批注框文本 Char"/>
    <w:basedOn w:val="a0"/>
    <w:link w:val="a7"/>
    <w:uiPriority w:val="99"/>
    <w:semiHidden/>
    <w:rsid w:val="00710588"/>
    <w:rPr>
      <w:rFonts w:ascii="Book Antiqua" w:eastAsia="Book Antiqua" w:hAnsi="Book Antiqua" w:cs="Book Antiqua"/>
      <w:kern w:val="0"/>
      <w:sz w:val="18"/>
      <w:szCs w:val="18"/>
      <w:lang w:val="zh-CN" w:bidi="zh-CN"/>
    </w:rPr>
  </w:style>
  <w:style w:type="paragraph" w:styleId="a8">
    <w:name w:val="header"/>
    <w:basedOn w:val="a"/>
    <w:link w:val="Char1"/>
    <w:uiPriority w:val="99"/>
    <w:unhideWhenUsed/>
    <w:rsid w:val="00EE564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EE5649"/>
    <w:rPr>
      <w:rFonts w:ascii="Book Antiqua" w:eastAsia="Book Antiqua" w:hAnsi="Book Antiqua" w:cs="Book Antiqua"/>
      <w:kern w:val="0"/>
      <w:sz w:val="18"/>
      <w:szCs w:val="18"/>
      <w:lang w:val="zh-CN" w:bidi="zh-CN"/>
    </w:rPr>
  </w:style>
  <w:style w:type="paragraph" w:styleId="a9">
    <w:name w:val="footer"/>
    <w:basedOn w:val="a"/>
    <w:link w:val="Char2"/>
    <w:uiPriority w:val="99"/>
    <w:unhideWhenUsed/>
    <w:rsid w:val="00EE5649"/>
    <w:pPr>
      <w:tabs>
        <w:tab w:val="center" w:pos="4153"/>
        <w:tab w:val="right" w:pos="8306"/>
      </w:tabs>
      <w:snapToGrid w:val="0"/>
    </w:pPr>
    <w:rPr>
      <w:sz w:val="18"/>
      <w:szCs w:val="18"/>
    </w:rPr>
  </w:style>
  <w:style w:type="character" w:customStyle="1" w:styleId="Char2">
    <w:name w:val="页脚 Char"/>
    <w:basedOn w:val="a0"/>
    <w:link w:val="a9"/>
    <w:uiPriority w:val="99"/>
    <w:rsid w:val="00EE5649"/>
    <w:rPr>
      <w:rFonts w:ascii="Book Antiqua" w:eastAsia="Book Antiqua" w:hAnsi="Book Antiqua" w:cs="Book Antiqua"/>
      <w:kern w:val="0"/>
      <w:sz w:val="18"/>
      <w:szCs w:val="18"/>
      <w:lang w:val="zh-CN" w:bidi="zh-CN"/>
    </w:rPr>
  </w:style>
  <w:style w:type="character" w:styleId="aa">
    <w:name w:val="annotation reference"/>
    <w:basedOn w:val="a0"/>
    <w:uiPriority w:val="99"/>
    <w:semiHidden/>
    <w:unhideWhenUsed/>
    <w:rsid w:val="00A111CB"/>
    <w:rPr>
      <w:sz w:val="21"/>
      <w:szCs w:val="21"/>
    </w:rPr>
  </w:style>
  <w:style w:type="paragraph" w:styleId="ab">
    <w:name w:val="annotation text"/>
    <w:basedOn w:val="a"/>
    <w:link w:val="Char3"/>
    <w:uiPriority w:val="99"/>
    <w:semiHidden/>
    <w:unhideWhenUsed/>
    <w:rsid w:val="00A111CB"/>
  </w:style>
  <w:style w:type="character" w:customStyle="1" w:styleId="Char3">
    <w:name w:val="批注文字 Char"/>
    <w:basedOn w:val="a0"/>
    <w:link w:val="ab"/>
    <w:uiPriority w:val="99"/>
    <w:semiHidden/>
    <w:rsid w:val="00A111CB"/>
    <w:rPr>
      <w:rFonts w:ascii="Book Antiqua" w:eastAsia="Book Antiqua" w:hAnsi="Book Antiqua" w:cs="Book Antiqua"/>
      <w:kern w:val="0"/>
      <w:sz w:val="22"/>
      <w:lang w:val="zh-CN" w:bidi="zh-CN"/>
    </w:rPr>
  </w:style>
  <w:style w:type="paragraph" w:styleId="ac">
    <w:name w:val="annotation subject"/>
    <w:basedOn w:val="ab"/>
    <w:next w:val="ab"/>
    <w:link w:val="Char4"/>
    <w:uiPriority w:val="99"/>
    <w:semiHidden/>
    <w:unhideWhenUsed/>
    <w:rsid w:val="00A111CB"/>
    <w:rPr>
      <w:b/>
      <w:bCs/>
    </w:rPr>
  </w:style>
  <w:style w:type="character" w:customStyle="1" w:styleId="Char4">
    <w:name w:val="批注主题 Char"/>
    <w:basedOn w:val="Char3"/>
    <w:link w:val="ac"/>
    <w:uiPriority w:val="99"/>
    <w:semiHidden/>
    <w:rsid w:val="00A111CB"/>
    <w:rPr>
      <w:rFonts w:ascii="Book Antiqua" w:eastAsia="Book Antiqua" w:hAnsi="Book Antiqua" w:cs="Book Antiqua"/>
      <w:b/>
      <w:bCs/>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wjgnet.com/2307-8960/full/v8/i11/2255.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29</Pages>
  <Words>7191</Words>
  <Characters>40992</Characters>
  <Application>Microsoft Office Word</Application>
  <DocSecurity>0</DocSecurity>
  <Lines>341</Lines>
  <Paragraphs>96</Paragraphs>
  <ScaleCrop>false</ScaleCrop>
  <Company>微软中国</Company>
  <LinksUpToDate>false</LinksUpToDate>
  <CharactersWithSpaces>48087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邢燕霞</cp:lastModifiedBy>
  <cp:revision>4</cp:revision>
  <dcterms:created xsi:type="dcterms:W3CDTF">2020-05-02T12:58:00Z</dcterms:created>
  <dcterms:modified xsi:type="dcterms:W3CDTF">2020-06-04T02:47:00Z</dcterms:modified>
</cp:coreProperties>
</file>