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AAC57" w14:textId="77777777" w:rsidR="00582B37" w:rsidRPr="001A403F" w:rsidRDefault="00582B37" w:rsidP="002E7076">
      <w:pPr>
        <w:adjustRightInd w:val="0"/>
        <w:snapToGrid w:val="0"/>
        <w:spacing w:after="0" w:line="360" w:lineRule="auto"/>
        <w:jc w:val="both"/>
        <w:rPr>
          <w:rFonts w:ascii="Book Antiqua" w:hAnsi="Book Antiqua"/>
          <w:i/>
          <w:sz w:val="24"/>
          <w:szCs w:val="24"/>
        </w:rPr>
      </w:pPr>
      <w:r w:rsidRPr="001A403F">
        <w:rPr>
          <w:rFonts w:ascii="Book Antiqua" w:hAnsi="Book Antiqua"/>
          <w:b/>
          <w:sz w:val="24"/>
          <w:szCs w:val="24"/>
        </w:rPr>
        <w:t xml:space="preserve">Name of </w:t>
      </w:r>
      <w:r w:rsidRPr="00A43B5A">
        <w:rPr>
          <w:rFonts w:ascii="Book Antiqua" w:hAnsi="Book Antiqua"/>
          <w:b/>
          <w:caps/>
          <w:sz w:val="24"/>
          <w:szCs w:val="24"/>
        </w:rPr>
        <w:t>j</w:t>
      </w:r>
      <w:r w:rsidRPr="001A403F">
        <w:rPr>
          <w:rFonts w:ascii="Book Antiqua" w:hAnsi="Book Antiqua"/>
          <w:b/>
          <w:sz w:val="24"/>
          <w:szCs w:val="24"/>
        </w:rPr>
        <w:t>ournal:</w:t>
      </w:r>
      <w:r w:rsidRPr="001A403F">
        <w:rPr>
          <w:rFonts w:ascii="Book Antiqua" w:hAnsi="Book Antiqua"/>
          <w:sz w:val="24"/>
          <w:szCs w:val="24"/>
        </w:rPr>
        <w:t xml:space="preserve"> </w:t>
      </w:r>
      <w:bookmarkStart w:id="0" w:name="_Hlk38549223"/>
      <w:r w:rsidRPr="001A403F">
        <w:rPr>
          <w:rFonts w:ascii="Book Antiqua" w:hAnsi="Book Antiqua"/>
          <w:i/>
          <w:sz w:val="24"/>
          <w:szCs w:val="24"/>
        </w:rPr>
        <w:t>World Journal of Hepatology</w:t>
      </w:r>
      <w:bookmarkEnd w:id="0"/>
    </w:p>
    <w:p w14:paraId="4A226524" w14:textId="77777777" w:rsidR="00582B37" w:rsidRPr="001A403F" w:rsidRDefault="00582B37" w:rsidP="002E7076">
      <w:pPr>
        <w:adjustRightInd w:val="0"/>
        <w:snapToGrid w:val="0"/>
        <w:spacing w:after="0" w:line="360" w:lineRule="auto"/>
        <w:jc w:val="both"/>
        <w:rPr>
          <w:rFonts w:ascii="Book Antiqua" w:hAnsi="Book Antiqua"/>
          <w:b/>
          <w:sz w:val="24"/>
          <w:szCs w:val="24"/>
        </w:rPr>
      </w:pPr>
      <w:r w:rsidRPr="001A403F">
        <w:rPr>
          <w:rFonts w:ascii="Book Antiqua" w:hAnsi="Book Antiqua"/>
          <w:b/>
          <w:sz w:val="24"/>
          <w:szCs w:val="24"/>
        </w:rPr>
        <w:t>Manuscript NO:</w:t>
      </w:r>
      <w:bookmarkStart w:id="1" w:name="_Hlk38549232"/>
      <w:r w:rsidRPr="001A403F">
        <w:rPr>
          <w:rFonts w:ascii="Book Antiqua" w:hAnsi="Book Antiqua"/>
          <w:b/>
          <w:sz w:val="24"/>
          <w:szCs w:val="24"/>
        </w:rPr>
        <w:t xml:space="preserve"> </w:t>
      </w:r>
      <w:r w:rsidRPr="001A403F">
        <w:rPr>
          <w:rFonts w:ascii="Book Antiqua" w:hAnsi="Book Antiqua"/>
          <w:sz w:val="24"/>
          <w:szCs w:val="24"/>
        </w:rPr>
        <w:t>53709</w:t>
      </w:r>
      <w:bookmarkEnd w:id="1"/>
    </w:p>
    <w:p w14:paraId="248EE042" w14:textId="4ADAAFF7"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b/>
          <w:sz w:val="24"/>
          <w:szCs w:val="24"/>
        </w:rPr>
        <w:t>Manuscript Type:</w:t>
      </w:r>
      <w:r w:rsidRPr="001A403F">
        <w:rPr>
          <w:rFonts w:ascii="Book Antiqua" w:hAnsi="Book Antiqua"/>
          <w:sz w:val="24"/>
          <w:szCs w:val="24"/>
        </w:rPr>
        <w:t xml:space="preserve"> </w:t>
      </w:r>
      <w:r w:rsidR="00662849" w:rsidRPr="001A403F">
        <w:rPr>
          <w:rFonts w:ascii="Book Antiqua" w:hAnsi="Book Antiqua"/>
          <w:sz w:val="24"/>
          <w:szCs w:val="24"/>
          <w:lang w:val="it-IT"/>
        </w:rPr>
        <w:t>ORIGINAL ARTICLE</w:t>
      </w:r>
    </w:p>
    <w:p w14:paraId="183E1713"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2107F83D" w14:textId="77777777" w:rsidR="00582B37" w:rsidRPr="001A403F" w:rsidRDefault="00582B37" w:rsidP="002E7076">
      <w:pPr>
        <w:adjustRightInd w:val="0"/>
        <w:snapToGrid w:val="0"/>
        <w:spacing w:after="0" w:line="360" w:lineRule="auto"/>
        <w:jc w:val="both"/>
        <w:rPr>
          <w:rFonts w:ascii="Book Antiqua" w:hAnsi="Book Antiqua"/>
          <w:b/>
          <w:i/>
          <w:sz w:val="24"/>
          <w:szCs w:val="24"/>
        </w:rPr>
      </w:pPr>
      <w:r w:rsidRPr="001A403F">
        <w:rPr>
          <w:rFonts w:ascii="Book Antiqua" w:hAnsi="Book Antiqua"/>
          <w:b/>
          <w:i/>
          <w:sz w:val="24"/>
          <w:szCs w:val="24"/>
        </w:rPr>
        <w:t>Retrospective Cohort Study</w:t>
      </w:r>
    </w:p>
    <w:p w14:paraId="6FA50B9E" w14:textId="2D0EF69F" w:rsidR="00463D8D" w:rsidRPr="001A403F" w:rsidRDefault="009A244C" w:rsidP="00463D8D">
      <w:pPr>
        <w:adjustRightInd w:val="0"/>
        <w:snapToGrid w:val="0"/>
        <w:spacing w:after="0" w:line="360" w:lineRule="auto"/>
        <w:jc w:val="both"/>
        <w:rPr>
          <w:rFonts w:ascii="Book Antiqua" w:hAnsi="Book Antiqua"/>
          <w:b/>
          <w:sz w:val="24"/>
          <w:szCs w:val="24"/>
        </w:rPr>
      </w:pPr>
      <w:bookmarkStart w:id="2" w:name="_Hlk38549265"/>
      <w:bookmarkStart w:id="3" w:name="OLE_LINK473"/>
      <w:bookmarkStart w:id="4" w:name="_Hlk40446045"/>
      <w:r w:rsidRPr="001A403F">
        <w:rPr>
          <w:rFonts w:ascii="Book Antiqua" w:hAnsi="Book Antiqua"/>
          <w:b/>
          <w:sz w:val="24"/>
          <w:szCs w:val="24"/>
        </w:rPr>
        <w:t>LIV-4</w:t>
      </w:r>
      <w:r w:rsidR="00463D8D" w:rsidRPr="001A403F">
        <w:rPr>
          <w:rFonts w:ascii="Book Antiqua" w:hAnsi="Book Antiqua"/>
          <w:b/>
          <w:sz w:val="24"/>
          <w:szCs w:val="24"/>
        </w:rPr>
        <w:t>: A novel model for predicting transpla</w:t>
      </w:r>
      <w:r w:rsidR="00E308B5" w:rsidRPr="001A403F">
        <w:rPr>
          <w:rFonts w:ascii="Book Antiqua" w:hAnsi="Book Antiqua"/>
          <w:b/>
          <w:sz w:val="24"/>
          <w:szCs w:val="24"/>
        </w:rPr>
        <w:t>nt-free survival in critically i</w:t>
      </w:r>
      <w:r w:rsidR="00463D8D" w:rsidRPr="001A403F">
        <w:rPr>
          <w:rFonts w:ascii="Book Antiqua" w:hAnsi="Book Antiqua"/>
          <w:b/>
          <w:sz w:val="24"/>
          <w:szCs w:val="24"/>
        </w:rPr>
        <w:t xml:space="preserve">ll </w:t>
      </w:r>
      <w:bookmarkEnd w:id="2"/>
      <w:bookmarkEnd w:id="3"/>
      <w:proofErr w:type="spellStart"/>
      <w:r w:rsidRPr="001A403F">
        <w:rPr>
          <w:rFonts w:ascii="Book Antiqua" w:hAnsi="Book Antiqua"/>
          <w:b/>
          <w:sz w:val="24"/>
          <w:szCs w:val="24"/>
        </w:rPr>
        <w:t>cirrhotics</w:t>
      </w:r>
      <w:bookmarkEnd w:id="4"/>
      <w:proofErr w:type="spellEnd"/>
    </w:p>
    <w:p w14:paraId="574181CF" w14:textId="77777777" w:rsidR="002E7076" w:rsidRPr="001A403F" w:rsidRDefault="002E7076" w:rsidP="002E7076">
      <w:pPr>
        <w:adjustRightInd w:val="0"/>
        <w:snapToGrid w:val="0"/>
        <w:spacing w:after="0" w:line="360" w:lineRule="auto"/>
        <w:jc w:val="both"/>
        <w:rPr>
          <w:rFonts w:ascii="Book Antiqua" w:hAnsi="Book Antiqua"/>
          <w:b/>
          <w:sz w:val="24"/>
          <w:szCs w:val="24"/>
        </w:rPr>
      </w:pPr>
    </w:p>
    <w:p w14:paraId="4F1E061E" w14:textId="17FAA9ED" w:rsidR="00582B37" w:rsidRPr="001A403F" w:rsidRDefault="00582B37" w:rsidP="002E7076">
      <w:pPr>
        <w:pStyle w:val="1"/>
        <w:adjustRightInd w:val="0"/>
        <w:snapToGrid w:val="0"/>
        <w:spacing w:line="360" w:lineRule="auto"/>
        <w:jc w:val="both"/>
        <w:rPr>
          <w:rFonts w:ascii="Book Antiqua" w:hAnsi="Book Antiqua" w:cs="Times New Roman"/>
          <w:color w:val="auto"/>
          <w:sz w:val="24"/>
          <w:szCs w:val="24"/>
          <w:lang w:val="en-US" w:eastAsia="zh-CN"/>
        </w:rPr>
      </w:pPr>
      <w:bookmarkStart w:id="5" w:name="OLE_LINK478"/>
      <w:bookmarkStart w:id="6" w:name="OLE_LINK481"/>
      <w:r w:rsidRPr="001A403F">
        <w:rPr>
          <w:rFonts w:ascii="Book Antiqua" w:hAnsi="Book Antiqua" w:cs="Times New Roman"/>
          <w:color w:val="auto"/>
          <w:sz w:val="24"/>
          <w:szCs w:val="24"/>
          <w:lang w:val="en-US" w:eastAsia="zh-CN"/>
        </w:rPr>
        <w:t xml:space="preserve">Lindenmeyer CC </w:t>
      </w:r>
      <w:r w:rsidRPr="001A403F">
        <w:rPr>
          <w:rFonts w:ascii="Book Antiqua" w:hAnsi="Book Antiqua" w:cs="Times New Roman"/>
          <w:i/>
          <w:color w:val="auto"/>
          <w:sz w:val="24"/>
          <w:szCs w:val="24"/>
          <w:lang w:val="en-US" w:eastAsia="zh-CN"/>
        </w:rPr>
        <w:t>et al</w:t>
      </w:r>
      <w:r w:rsidRPr="001A403F">
        <w:rPr>
          <w:rFonts w:ascii="Book Antiqua" w:hAnsi="Book Antiqua" w:cs="Times New Roman"/>
          <w:color w:val="auto"/>
          <w:sz w:val="24"/>
          <w:szCs w:val="24"/>
          <w:lang w:val="en-US" w:eastAsia="zh-CN"/>
        </w:rPr>
        <w:t xml:space="preserve">. </w:t>
      </w:r>
      <w:bookmarkStart w:id="7" w:name="OLE_LINK1"/>
      <w:bookmarkStart w:id="8" w:name="OLE_LINK2"/>
      <w:r w:rsidRPr="001A403F">
        <w:rPr>
          <w:rFonts w:ascii="Book Antiqua" w:hAnsi="Book Antiqua" w:cs="Times New Roman"/>
          <w:color w:val="auto"/>
          <w:sz w:val="24"/>
          <w:szCs w:val="24"/>
          <w:lang w:val="en-US" w:eastAsia="zh-CN"/>
        </w:rPr>
        <w:t xml:space="preserve">Predicting </w:t>
      </w:r>
      <w:r w:rsidR="003B61CB" w:rsidRPr="001A403F">
        <w:rPr>
          <w:rFonts w:ascii="Book Antiqua" w:hAnsi="Book Antiqua" w:cs="Times New Roman"/>
          <w:color w:val="auto"/>
          <w:sz w:val="24"/>
          <w:szCs w:val="24"/>
          <w:lang w:val="en-US" w:eastAsia="zh-CN"/>
        </w:rPr>
        <w:t>s</w:t>
      </w:r>
      <w:r w:rsidRPr="001A403F">
        <w:rPr>
          <w:rFonts w:ascii="Book Antiqua" w:hAnsi="Book Antiqua" w:cs="Times New Roman"/>
          <w:color w:val="auto"/>
          <w:sz w:val="24"/>
          <w:szCs w:val="24"/>
          <w:lang w:val="en-US" w:eastAsia="zh-CN"/>
        </w:rPr>
        <w:t xml:space="preserve">urvival in </w:t>
      </w:r>
      <w:r w:rsidR="003B61CB" w:rsidRPr="001A403F">
        <w:rPr>
          <w:rFonts w:ascii="Book Antiqua" w:hAnsi="Book Antiqua" w:cs="Times New Roman"/>
          <w:color w:val="auto"/>
          <w:sz w:val="24"/>
          <w:szCs w:val="24"/>
          <w:lang w:val="en-US" w:eastAsia="zh-CN"/>
        </w:rPr>
        <w:t>c</w:t>
      </w:r>
      <w:r w:rsidR="002E7076" w:rsidRPr="001A403F">
        <w:rPr>
          <w:rFonts w:ascii="Book Antiqua" w:hAnsi="Book Antiqua" w:cs="Times New Roman"/>
          <w:color w:val="auto"/>
          <w:sz w:val="24"/>
          <w:szCs w:val="24"/>
          <w:lang w:val="en-US" w:eastAsia="zh-CN"/>
        </w:rPr>
        <w:t>ritically il</w:t>
      </w:r>
      <w:r w:rsidRPr="001A403F">
        <w:rPr>
          <w:rFonts w:ascii="Book Antiqua" w:hAnsi="Book Antiqua" w:cs="Times New Roman"/>
          <w:color w:val="auto"/>
          <w:sz w:val="24"/>
          <w:szCs w:val="24"/>
          <w:lang w:val="en-US" w:eastAsia="zh-CN"/>
        </w:rPr>
        <w:t xml:space="preserve">l </w:t>
      </w:r>
      <w:proofErr w:type="spellStart"/>
      <w:r w:rsidR="003B61CB" w:rsidRPr="001A403F">
        <w:rPr>
          <w:rFonts w:ascii="Book Antiqua" w:hAnsi="Book Antiqua" w:cs="Times New Roman"/>
          <w:color w:val="auto"/>
          <w:sz w:val="24"/>
          <w:szCs w:val="24"/>
          <w:lang w:val="en-US" w:eastAsia="zh-CN"/>
        </w:rPr>
        <w:t>c</w:t>
      </w:r>
      <w:r w:rsidRPr="001A403F">
        <w:rPr>
          <w:rFonts w:ascii="Book Antiqua" w:hAnsi="Book Antiqua" w:cs="Times New Roman"/>
          <w:color w:val="auto"/>
          <w:sz w:val="24"/>
          <w:szCs w:val="24"/>
          <w:lang w:val="en-US" w:eastAsia="zh-CN"/>
        </w:rPr>
        <w:t>irrhotics</w:t>
      </w:r>
      <w:bookmarkEnd w:id="7"/>
      <w:bookmarkEnd w:id="8"/>
      <w:proofErr w:type="spellEnd"/>
    </w:p>
    <w:bookmarkEnd w:id="5"/>
    <w:bookmarkEnd w:id="6"/>
    <w:p w14:paraId="4DDD85EA" w14:textId="77777777" w:rsidR="00582B37" w:rsidRPr="001A403F" w:rsidRDefault="00582B37" w:rsidP="002E7076">
      <w:pPr>
        <w:adjustRightInd w:val="0"/>
        <w:snapToGrid w:val="0"/>
        <w:spacing w:after="0" w:line="360" w:lineRule="auto"/>
        <w:jc w:val="both"/>
        <w:rPr>
          <w:rFonts w:ascii="Book Antiqua" w:hAnsi="Book Antiqua"/>
          <w:b/>
          <w:sz w:val="24"/>
          <w:szCs w:val="24"/>
        </w:rPr>
      </w:pPr>
    </w:p>
    <w:p w14:paraId="466733C1" w14:textId="12749440" w:rsidR="00582B37" w:rsidRPr="001A403F" w:rsidRDefault="00582B37" w:rsidP="002E7076">
      <w:pPr>
        <w:adjustRightInd w:val="0"/>
        <w:snapToGrid w:val="0"/>
        <w:spacing w:after="0" w:line="360" w:lineRule="auto"/>
        <w:jc w:val="both"/>
        <w:rPr>
          <w:rFonts w:ascii="Book Antiqua" w:hAnsi="Book Antiqua"/>
          <w:sz w:val="24"/>
          <w:szCs w:val="24"/>
        </w:rPr>
      </w:pPr>
      <w:bookmarkStart w:id="9" w:name="_Hlk38550017"/>
      <w:r w:rsidRPr="001A403F">
        <w:rPr>
          <w:rFonts w:ascii="Book Antiqua" w:hAnsi="Book Antiqua"/>
          <w:sz w:val="24"/>
          <w:szCs w:val="24"/>
        </w:rPr>
        <w:t xml:space="preserve">Christina C Lindenmeyer, </w:t>
      </w:r>
      <w:bookmarkStart w:id="10" w:name="OLE_LINK670"/>
      <w:r w:rsidRPr="001A403F">
        <w:rPr>
          <w:rFonts w:ascii="Book Antiqua" w:hAnsi="Book Antiqua"/>
          <w:sz w:val="24"/>
          <w:szCs w:val="24"/>
        </w:rPr>
        <w:t>Gianina Flocco</w:t>
      </w:r>
      <w:bookmarkEnd w:id="10"/>
      <w:r w:rsidRPr="001A403F">
        <w:rPr>
          <w:rFonts w:ascii="Book Antiqua" w:hAnsi="Book Antiqua"/>
          <w:sz w:val="24"/>
          <w:szCs w:val="24"/>
        </w:rPr>
        <w:t xml:space="preserve">, </w:t>
      </w:r>
      <w:bookmarkStart w:id="11" w:name="OLE_LINK671"/>
      <w:r w:rsidRPr="001A403F">
        <w:rPr>
          <w:rFonts w:ascii="Book Antiqua" w:hAnsi="Book Antiqua"/>
          <w:sz w:val="24"/>
          <w:szCs w:val="24"/>
        </w:rPr>
        <w:t>Vedha Sanghi</w:t>
      </w:r>
      <w:bookmarkEnd w:id="11"/>
      <w:r w:rsidRPr="001A403F">
        <w:rPr>
          <w:rFonts w:ascii="Book Antiqua" w:hAnsi="Book Antiqua"/>
          <w:sz w:val="24"/>
          <w:szCs w:val="24"/>
        </w:rPr>
        <w:t xml:space="preserve">, </w:t>
      </w:r>
      <w:bookmarkStart w:id="12" w:name="OLE_LINK672"/>
      <w:r w:rsidRPr="001A403F">
        <w:rPr>
          <w:rFonts w:ascii="Book Antiqua" w:hAnsi="Book Antiqua"/>
          <w:sz w:val="24"/>
          <w:szCs w:val="24"/>
        </w:rPr>
        <w:t>Rocio Lopez</w:t>
      </w:r>
      <w:bookmarkEnd w:id="12"/>
      <w:r w:rsidRPr="001A403F">
        <w:rPr>
          <w:rFonts w:ascii="Book Antiqua" w:hAnsi="Book Antiqua"/>
          <w:sz w:val="24"/>
          <w:szCs w:val="24"/>
        </w:rPr>
        <w:t xml:space="preserve">, </w:t>
      </w:r>
      <w:bookmarkStart w:id="13" w:name="OLE_LINK673"/>
      <w:bookmarkStart w:id="14" w:name="OLE_LINK674"/>
      <w:bookmarkStart w:id="15" w:name="OLE_LINK675"/>
      <w:bookmarkStart w:id="16" w:name="OLE_LINK683"/>
      <w:r w:rsidRPr="001A403F">
        <w:rPr>
          <w:rFonts w:ascii="Book Antiqua" w:hAnsi="Book Antiqua"/>
          <w:sz w:val="24"/>
          <w:szCs w:val="24"/>
        </w:rPr>
        <w:t xml:space="preserve">Ahyoung </w:t>
      </w:r>
      <w:r w:rsidR="00867D3F" w:rsidRPr="001A403F">
        <w:rPr>
          <w:rFonts w:ascii="Book Antiqua" w:hAnsi="Book Antiqua"/>
          <w:sz w:val="24"/>
          <w:szCs w:val="24"/>
        </w:rPr>
        <w:t xml:space="preserve">J </w:t>
      </w:r>
      <w:r w:rsidRPr="001A403F">
        <w:rPr>
          <w:rFonts w:ascii="Book Antiqua" w:hAnsi="Book Antiqua"/>
          <w:sz w:val="24"/>
          <w:szCs w:val="24"/>
        </w:rPr>
        <w:t>Kim</w:t>
      </w:r>
      <w:bookmarkEnd w:id="13"/>
      <w:bookmarkEnd w:id="14"/>
      <w:bookmarkEnd w:id="15"/>
      <w:bookmarkEnd w:id="16"/>
      <w:r w:rsidRPr="001A403F">
        <w:rPr>
          <w:rFonts w:ascii="Book Antiqua" w:hAnsi="Book Antiqua"/>
          <w:sz w:val="24"/>
          <w:szCs w:val="24"/>
        </w:rPr>
        <w:t xml:space="preserve">, </w:t>
      </w:r>
      <w:bookmarkStart w:id="17" w:name="OLE_LINK676"/>
      <w:r w:rsidRPr="001A403F">
        <w:rPr>
          <w:rFonts w:ascii="Book Antiqua" w:hAnsi="Book Antiqua"/>
          <w:sz w:val="24"/>
          <w:szCs w:val="24"/>
        </w:rPr>
        <w:t>Fadi Niyazi</w:t>
      </w:r>
      <w:bookmarkEnd w:id="17"/>
      <w:r w:rsidRPr="001A403F">
        <w:rPr>
          <w:rFonts w:ascii="Book Antiqua" w:hAnsi="Book Antiqua"/>
          <w:sz w:val="24"/>
          <w:szCs w:val="24"/>
        </w:rPr>
        <w:t>,</w:t>
      </w:r>
      <w:bookmarkStart w:id="18" w:name="OLE_LINK677"/>
      <w:r w:rsidRPr="001A403F">
        <w:rPr>
          <w:rFonts w:ascii="Book Antiqua" w:hAnsi="Book Antiqua"/>
          <w:sz w:val="24"/>
          <w:szCs w:val="24"/>
        </w:rPr>
        <w:t xml:space="preserve"> Aanchal Ka</w:t>
      </w:r>
      <w:bookmarkEnd w:id="18"/>
      <w:r w:rsidRPr="001A403F">
        <w:rPr>
          <w:rFonts w:ascii="Book Antiqua" w:hAnsi="Book Antiqua"/>
          <w:sz w:val="24"/>
          <w:szCs w:val="24"/>
        </w:rPr>
        <w:t xml:space="preserve">poor, </w:t>
      </w:r>
      <w:bookmarkStart w:id="19" w:name="OLE_LINK678"/>
      <w:r w:rsidRPr="001A403F">
        <w:rPr>
          <w:rFonts w:ascii="Book Antiqua" w:hAnsi="Book Antiqua"/>
          <w:sz w:val="24"/>
          <w:szCs w:val="24"/>
        </w:rPr>
        <w:t>William D Carey</w:t>
      </w:r>
      <w:bookmarkEnd w:id="19"/>
      <w:r w:rsidRPr="001A403F">
        <w:rPr>
          <w:rFonts w:ascii="Book Antiqua" w:hAnsi="Book Antiqua"/>
          <w:sz w:val="24"/>
          <w:szCs w:val="24"/>
        </w:rPr>
        <w:t xml:space="preserve">, </w:t>
      </w:r>
      <w:bookmarkStart w:id="20" w:name="OLE_LINK679"/>
      <w:bookmarkStart w:id="21" w:name="OLE_LINK680"/>
      <w:r w:rsidRPr="001A403F">
        <w:rPr>
          <w:rFonts w:ascii="Book Antiqua" w:hAnsi="Book Antiqua"/>
          <w:sz w:val="24"/>
          <w:szCs w:val="24"/>
        </w:rPr>
        <w:t>Eduardo Mireles-Cabodevila</w:t>
      </w:r>
      <w:bookmarkEnd w:id="20"/>
      <w:bookmarkEnd w:id="21"/>
      <w:r w:rsidRPr="001A403F">
        <w:rPr>
          <w:rFonts w:ascii="Book Antiqua" w:hAnsi="Book Antiqua"/>
          <w:sz w:val="24"/>
          <w:szCs w:val="24"/>
        </w:rPr>
        <w:t xml:space="preserve">, </w:t>
      </w:r>
      <w:bookmarkStart w:id="22" w:name="OLE_LINK681"/>
      <w:bookmarkStart w:id="23" w:name="OLE_LINK682"/>
      <w:r w:rsidRPr="001A403F">
        <w:rPr>
          <w:rFonts w:ascii="Book Antiqua" w:hAnsi="Book Antiqua"/>
          <w:sz w:val="24"/>
          <w:szCs w:val="24"/>
        </w:rPr>
        <w:t>Carlos Romero-Marrero</w:t>
      </w:r>
      <w:bookmarkEnd w:id="9"/>
      <w:bookmarkEnd w:id="22"/>
      <w:bookmarkEnd w:id="23"/>
    </w:p>
    <w:p w14:paraId="0039537A"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32441310" w14:textId="7A9CCA31"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b/>
          <w:sz w:val="24"/>
          <w:szCs w:val="24"/>
        </w:rPr>
        <w:t>Christina C Lindenme</w:t>
      </w:r>
      <w:r w:rsidR="002E7076" w:rsidRPr="001A403F">
        <w:rPr>
          <w:rFonts w:ascii="Book Antiqua" w:hAnsi="Book Antiqua"/>
          <w:b/>
          <w:sz w:val="24"/>
          <w:szCs w:val="24"/>
        </w:rPr>
        <w:t>yer</w:t>
      </w:r>
      <w:r w:rsidRPr="001A403F">
        <w:rPr>
          <w:rFonts w:ascii="Book Antiqua" w:hAnsi="Book Antiqua"/>
          <w:b/>
          <w:sz w:val="24"/>
          <w:szCs w:val="24"/>
        </w:rPr>
        <w:t xml:space="preserve">, Gianina Flocco, Neal </w:t>
      </w:r>
      <w:r w:rsidR="00AE3AB0" w:rsidRPr="001A403F">
        <w:rPr>
          <w:rFonts w:ascii="Book Antiqua" w:hAnsi="Book Antiqua"/>
          <w:b/>
          <w:sz w:val="24"/>
          <w:szCs w:val="24"/>
        </w:rPr>
        <w:t xml:space="preserve">A </w:t>
      </w:r>
      <w:r w:rsidRPr="001A403F">
        <w:rPr>
          <w:rFonts w:ascii="Book Antiqua" w:hAnsi="Book Antiqua"/>
          <w:b/>
          <w:sz w:val="24"/>
          <w:szCs w:val="24"/>
        </w:rPr>
        <w:t>Mehta, William D Carey, Carlos Romero-Marrero,</w:t>
      </w:r>
      <w:r w:rsidRPr="001A403F">
        <w:rPr>
          <w:rFonts w:ascii="Book Antiqua" w:hAnsi="Book Antiqua"/>
          <w:sz w:val="24"/>
          <w:szCs w:val="24"/>
        </w:rPr>
        <w:t xml:space="preserve"> Department of Gastroenterology, Hepatology and Nutrition, Cleveland Clinic, Cleveland, O</w:t>
      </w:r>
      <w:r w:rsidR="00867D3F" w:rsidRPr="001A403F">
        <w:rPr>
          <w:rFonts w:ascii="Book Antiqua" w:hAnsi="Book Antiqua"/>
          <w:sz w:val="24"/>
          <w:szCs w:val="24"/>
        </w:rPr>
        <w:t>H</w:t>
      </w:r>
      <w:r w:rsidRPr="001A403F">
        <w:rPr>
          <w:rFonts w:ascii="Book Antiqua" w:hAnsi="Book Antiqua"/>
          <w:sz w:val="24"/>
          <w:szCs w:val="24"/>
        </w:rPr>
        <w:t xml:space="preserve"> 44195, United States </w:t>
      </w:r>
    </w:p>
    <w:p w14:paraId="789C18F0"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1775AC65" w14:textId="432DC2A1"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b/>
          <w:sz w:val="24"/>
          <w:szCs w:val="24"/>
        </w:rPr>
        <w:t xml:space="preserve">Vedha Sanghi, </w:t>
      </w:r>
      <w:r w:rsidR="00867D3F" w:rsidRPr="001A403F">
        <w:rPr>
          <w:rFonts w:ascii="Book Antiqua" w:hAnsi="Book Antiqua"/>
          <w:b/>
          <w:sz w:val="24"/>
          <w:szCs w:val="24"/>
        </w:rPr>
        <w:t>Ahyoung J Kim</w:t>
      </w:r>
      <w:r w:rsidRPr="001A403F">
        <w:rPr>
          <w:rFonts w:ascii="Book Antiqua" w:hAnsi="Book Antiqua"/>
          <w:b/>
          <w:sz w:val="24"/>
          <w:szCs w:val="24"/>
        </w:rPr>
        <w:t>, Fadi Niyazi</w:t>
      </w:r>
      <w:r w:rsidRPr="001A403F">
        <w:rPr>
          <w:rFonts w:ascii="Book Antiqua" w:hAnsi="Book Antiqua"/>
          <w:sz w:val="24"/>
          <w:szCs w:val="24"/>
        </w:rPr>
        <w:t>, Department of Internal Medicine, Cleveland Clinic, Cleveland, O</w:t>
      </w:r>
      <w:r w:rsidR="00867D3F" w:rsidRPr="001A403F">
        <w:rPr>
          <w:rFonts w:ascii="Book Antiqua" w:hAnsi="Book Antiqua"/>
          <w:sz w:val="24"/>
          <w:szCs w:val="24"/>
        </w:rPr>
        <w:t>H</w:t>
      </w:r>
      <w:r w:rsidRPr="001A403F">
        <w:rPr>
          <w:rFonts w:ascii="Book Antiqua" w:hAnsi="Book Antiqua"/>
          <w:sz w:val="24"/>
          <w:szCs w:val="24"/>
        </w:rPr>
        <w:t xml:space="preserve"> 44195, United States </w:t>
      </w:r>
    </w:p>
    <w:p w14:paraId="18636640"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38566AA2" w14:textId="15EF1D7E"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b/>
          <w:sz w:val="24"/>
          <w:szCs w:val="24"/>
        </w:rPr>
        <w:t>Rocio Lopez,</w:t>
      </w:r>
      <w:r w:rsidRPr="001A403F">
        <w:rPr>
          <w:rFonts w:ascii="Book Antiqua" w:hAnsi="Book Antiqua"/>
          <w:sz w:val="24"/>
          <w:szCs w:val="24"/>
        </w:rPr>
        <w:t xml:space="preserve"> Department of Quantitative Health Sciences, Cleveland Clinic, Cleveland, O</w:t>
      </w:r>
      <w:r w:rsidR="00867D3F" w:rsidRPr="001A403F">
        <w:rPr>
          <w:rFonts w:ascii="Book Antiqua" w:hAnsi="Book Antiqua"/>
          <w:sz w:val="24"/>
          <w:szCs w:val="24"/>
        </w:rPr>
        <w:t>H</w:t>
      </w:r>
      <w:r w:rsidRPr="001A403F">
        <w:rPr>
          <w:rFonts w:ascii="Book Antiqua" w:hAnsi="Book Antiqua"/>
          <w:sz w:val="24"/>
          <w:szCs w:val="24"/>
        </w:rPr>
        <w:t xml:space="preserve"> 44106, United States</w:t>
      </w:r>
    </w:p>
    <w:p w14:paraId="1700847A" w14:textId="77777777" w:rsidR="00867D3F" w:rsidRPr="001A403F" w:rsidRDefault="00867D3F" w:rsidP="002E7076">
      <w:pPr>
        <w:adjustRightInd w:val="0"/>
        <w:snapToGrid w:val="0"/>
        <w:spacing w:after="0" w:line="360" w:lineRule="auto"/>
        <w:jc w:val="both"/>
        <w:rPr>
          <w:rFonts w:ascii="Book Antiqua" w:hAnsi="Book Antiqua"/>
          <w:sz w:val="24"/>
          <w:szCs w:val="24"/>
        </w:rPr>
      </w:pPr>
    </w:p>
    <w:p w14:paraId="6645AA55" w14:textId="3AE375DF"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b/>
          <w:sz w:val="24"/>
          <w:szCs w:val="24"/>
        </w:rPr>
        <w:t>Aanchal Kapoor, Eduardo Mireles-Cabodevila,</w:t>
      </w:r>
      <w:r w:rsidRPr="001A403F">
        <w:rPr>
          <w:rFonts w:ascii="Book Antiqua" w:hAnsi="Book Antiqua"/>
          <w:sz w:val="24"/>
          <w:szCs w:val="24"/>
        </w:rPr>
        <w:t xml:space="preserve"> Department of Critical Care Medicine, Cleveland Clinic, Cleveland, O</w:t>
      </w:r>
      <w:r w:rsidR="00867D3F" w:rsidRPr="001A403F">
        <w:rPr>
          <w:rFonts w:ascii="Book Antiqua" w:hAnsi="Book Antiqua"/>
          <w:sz w:val="24"/>
          <w:szCs w:val="24"/>
        </w:rPr>
        <w:t>H</w:t>
      </w:r>
      <w:r w:rsidRPr="001A403F">
        <w:rPr>
          <w:rFonts w:ascii="Book Antiqua" w:hAnsi="Book Antiqua"/>
          <w:sz w:val="24"/>
          <w:szCs w:val="24"/>
        </w:rPr>
        <w:t xml:space="preserve"> 44195, United States</w:t>
      </w:r>
    </w:p>
    <w:p w14:paraId="19A464C9"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52BB27B1" w14:textId="5FCEFB1F" w:rsidR="00582B37" w:rsidRPr="001A403F" w:rsidRDefault="00867D3F" w:rsidP="002E7076">
      <w:pPr>
        <w:adjustRightInd w:val="0"/>
        <w:snapToGrid w:val="0"/>
        <w:spacing w:after="0" w:line="360" w:lineRule="auto"/>
        <w:jc w:val="both"/>
        <w:rPr>
          <w:rFonts w:ascii="Book Antiqua" w:hAnsi="Book Antiqua"/>
          <w:b/>
          <w:sz w:val="24"/>
          <w:szCs w:val="24"/>
        </w:rPr>
      </w:pPr>
      <w:r w:rsidRPr="001A403F">
        <w:rPr>
          <w:rFonts w:ascii="Book Antiqua" w:hAnsi="Book Antiqua"/>
          <w:b/>
          <w:sz w:val="24"/>
          <w:szCs w:val="24"/>
        </w:rPr>
        <w:t xml:space="preserve">Author contributions: </w:t>
      </w:r>
      <w:r w:rsidR="000F5408" w:rsidRPr="001A403F">
        <w:rPr>
          <w:rFonts w:ascii="Book Antiqua" w:hAnsi="Book Antiqua" w:cs="Times New Roman"/>
          <w:bCs/>
          <w:color w:val="222222"/>
          <w:sz w:val="24"/>
          <w:szCs w:val="24"/>
        </w:rPr>
        <w:t xml:space="preserve">Lindenmeyer CC designed the study and drafted the article; </w:t>
      </w:r>
      <w:r w:rsidRPr="001A403F">
        <w:rPr>
          <w:rFonts w:ascii="Book Antiqua" w:hAnsi="Book Antiqua" w:cs="Times New Roman"/>
          <w:bCs/>
          <w:color w:val="222222"/>
          <w:sz w:val="24"/>
          <w:szCs w:val="24"/>
        </w:rPr>
        <w:t>Lindenmeyer CC, Flocco G, Sanghi V, Kim A</w:t>
      </w:r>
      <w:r w:rsidR="000F5408" w:rsidRPr="001A403F">
        <w:rPr>
          <w:rFonts w:ascii="Book Antiqua" w:hAnsi="Book Antiqua" w:cs="Times New Roman"/>
          <w:bCs/>
          <w:color w:val="222222"/>
          <w:sz w:val="24"/>
          <w:szCs w:val="24"/>
        </w:rPr>
        <w:t>J</w:t>
      </w:r>
      <w:r w:rsidRPr="001A403F">
        <w:rPr>
          <w:rFonts w:ascii="Book Antiqua" w:hAnsi="Book Antiqua" w:cs="Times New Roman"/>
          <w:bCs/>
          <w:color w:val="222222"/>
          <w:sz w:val="24"/>
          <w:szCs w:val="24"/>
        </w:rPr>
        <w:t xml:space="preserve">, Niyazi F and Mehta NA acquired data; </w:t>
      </w:r>
      <w:r w:rsidR="000F5408" w:rsidRPr="001A403F">
        <w:rPr>
          <w:rFonts w:ascii="Book Antiqua" w:hAnsi="Book Antiqua" w:cs="Times New Roman"/>
          <w:bCs/>
          <w:color w:val="222222"/>
          <w:sz w:val="24"/>
          <w:szCs w:val="24"/>
        </w:rPr>
        <w:t>Lindenmeyer CC, Lopez R, Kapoor A, Carey WD, Mireles-Cabodevila E and Romero-</w:t>
      </w:r>
      <w:r w:rsidR="000F5408" w:rsidRPr="001A403F">
        <w:rPr>
          <w:rFonts w:ascii="Book Antiqua" w:hAnsi="Book Antiqua" w:cs="Times New Roman"/>
          <w:bCs/>
          <w:color w:val="222222"/>
          <w:sz w:val="24"/>
          <w:szCs w:val="24"/>
        </w:rPr>
        <w:lastRenderedPageBreak/>
        <w:t xml:space="preserve">Marrero C analyzed and interpreted data; all of the authors made critical revision for important intellectual content and final approval. </w:t>
      </w:r>
    </w:p>
    <w:p w14:paraId="6A81BB73" w14:textId="3098D730" w:rsidR="00582B37" w:rsidRPr="001A403F" w:rsidRDefault="00582B37" w:rsidP="002E7076">
      <w:pPr>
        <w:autoSpaceDE w:val="0"/>
        <w:autoSpaceDN w:val="0"/>
        <w:adjustRightInd w:val="0"/>
        <w:snapToGrid w:val="0"/>
        <w:spacing w:after="0" w:line="360" w:lineRule="auto"/>
        <w:jc w:val="both"/>
        <w:rPr>
          <w:rFonts w:ascii="Book Antiqua" w:hAnsi="Book Antiqua" w:cs="Times New Roman"/>
          <w:b/>
          <w:color w:val="222222"/>
          <w:sz w:val="24"/>
          <w:szCs w:val="24"/>
        </w:rPr>
      </w:pPr>
    </w:p>
    <w:p w14:paraId="07669084" w14:textId="35837625" w:rsidR="00582B37" w:rsidRPr="001A403F" w:rsidRDefault="00CB00D1" w:rsidP="002E7076">
      <w:pPr>
        <w:autoSpaceDE w:val="0"/>
        <w:autoSpaceDN w:val="0"/>
        <w:adjustRightInd w:val="0"/>
        <w:snapToGrid w:val="0"/>
        <w:spacing w:after="0" w:line="360" w:lineRule="auto"/>
        <w:jc w:val="both"/>
        <w:rPr>
          <w:rFonts w:ascii="Book Antiqua" w:hAnsi="Book Antiqua"/>
          <w:sz w:val="24"/>
          <w:szCs w:val="24"/>
        </w:rPr>
      </w:pPr>
      <w:bookmarkStart w:id="24" w:name="OLE_LINK628"/>
      <w:bookmarkStart w:id="25" w:name="OLE_LINK629"/>
      <w:r w:rsidRPr="001A403F">
        <w:rPr>
          <w:rFonts w:ascii="Book Antiqua" w:hAnsi="Book Antiqua"/>
          <w:b/>
          <w:sz w:val="24"/>
          <w:szCs w:val="24"/>
        </w:rPr>
        <w:t>Corresponding author:</w:t>
      </w:r>
      <w:bookmarkEnd w:id="24"/>
      <w:bookmarkEnd w:id="25"/>
      <w:r w:rsidR="00582B37" w:rsidRPr="001A403F">
        <w:rPr>
          <w:rFonts w:ascii="Book Antiqua" w:hAnsi="Book Antiqua"/>
          <w:b/>
          <w:sz w:val="24"/>
          <w:szCs w:val="24"/>
        </w:rPr>
        <w:t xml:space="preserve"> </w:t>
      </w:r>
      <w:r w:rsidRPr="001A403F">
        <w:rPr>
          <w:rFonts w:ascii="Book Antiqua" w:hAnsi="Book Antiqua"/>
          <w:b/>
          <w:sz w:val="24"/>
          <w:szCs w:val="24"/>
        </w:rPr>
        <w:t xml:space="preserve">Christina C Lindenmeyer, MD, Staff Physician, Assistant Professor of Medicine, </w:t>
      </w:r>
      <w:r w:rsidRPr="001A403F">
        <w:rPr>
          <w:rFonts w:ascii="Book Antiqua" w:hAnsi="Book Antiqua"/>
          <w:bCs/>
          <w:sz w:val="24"/>
          <w:szCs w:val="24"/>
        </w:rPr>
        <w:t>Department of Gastroenterology, Hepatology and Nutrition, Cleveland Clinic, 9500 Euclid Avenue, Mail Code A51, Cleveland, OH</w:t>
      </w:r>
      <w:r w:rsidR="00F95F39" w:rsidRPr="001A403F">
        <w:rPr>
          <w:rFonts w:ascii="Book Antiqua" w:hAnsi="Book Antiqua"/>
          <w:bCs/>
          <w:sz w:val="24"/>
          <w:szCs w:val="24"/>
        </w:rPr>
        <w:t xml:space="preserve"> </w:t>
      </w:r>
      <w:r w:rsidRPr="001A403F">
        <w:rPr>
          <w:rFonts w:ascii="Book Antiqua" w:hAnsi="Book Antiqua"/>
          <w:bCs/>
          <w:sz w:val="24"/>
          <w:szCs w:val="24"/>
        </w:rPr>
        <w:t>44195, United States. lindenc@ccf.org</w:t>
      </w:r>
    </w:p>
    <w:p w14:paraId="04C2C73D" w14:textId="77777777" w:rsidR="00582B37" w:rsidRPr="001A403F" w:rsidRDefault="00582B37" w:rsidP="002E7076">
      <w:pPr>
        <w:autoSpaceDE w:val="0"/>
        <w:autoSpaceDN w:val="0"/>
        <w:adjustRightInd w:val="0"/>
        <w:snapToGrid w:val="0"/>
        <w:spacing w:after="0" w:line="360" w:lineRule="auto"/>
        <w:jc w:val="both"/>
        <w:rPr>
          <w:rFonts w:ascii="Book Antiqua" w:hAnsi="Book Antiqua"/>
          <w:b/>
          <w:sz w:val="24"/>
          <w:szCs w:val="24"/>
        </w:rPr>
      </w:pPr>
    </w:p>
    <w:p w14:paraId="3349C1A4" w14:textId="5D3A4F20" w:rsidR="00F95F39" w:rsidRPr="001A403F" w:rsidRDefault="00F95F39" w:rsidP="002E7076">
      <w:pPr>
        <w:adjustRightInd w:val="0"/>
        <w:snapToGrid w:val="0"/>
        <w:spacing w:after="0" w:line="360" w:lineRule="auto"/>
        <w:rPr>
          <w:rFonts w:ascii="Book Antiqua" w:hAnsi="Book Antiqua"/>
          <w:sz w:val="24"/>
          <w:szCs w:val="24"/>
        </w:rPr>
      </w:pPr>
      <w:bookmarkStart w:id="26" w:name="OLE_LINK75"/>
      <w:bookmarkStart w:id="27" w:name="OLE_LINK76"/>
      <w:bookmarkStart w:id="28" w:name="OLE_LINK269"/>
      <w:bookmarkStart w:id="29" w:name="OLE_LINK239"/>
      <w:r w:rsidRPr="001A403F">
        <w:rPr>
          <w:rFonts w:ascii="Book Antiqua" w:hAnsi="Book Antiqua"/>
          <w:b/>
          <w:sz w:val="24"/>
          <w:szCs w:val="24"/>
        </w:rPr>
        <w:t xml:space="preserve">Received: </w:t>
      </w:r>
      <w:r w:rsidRPr="001A403F">
        <w:rPr>
          <w:rFonts w:ascii="Book Antiqua" w:hAnsi="Book Antiqua"/>
          <w:sz w:val="24"/>
          <w:szCs w:val="24"/>
        </w:rPr>
        <w:t>January 26, 2020</w:t>
      </w:r>
    </w:p>
    <w:p w14:paraId="2F967ECE" w14:textId="638AFF42" w:rsidR="00F95F39" w:rsidRPr="001A403F" w:rsidRDefault="00F95F39" w:rsidP="002E7076">
      <w:pPr>
        <w:adjustRightInd w:val="0"/>
        <w:snapToGrid w:val="0"/>
        <w:spacing w:after="0" w:line="360" w:lineRule="auto"/>
        <w:rPr>
          <w:rFonts w:ascii="Book Antiqua" w:hAnsi="Book Antiqua"/>
          <w:b/>
          <w:sz w:val="24"/>
          <w:szCs w:val="24"/>
        </w:rPr>
      </w:pPr>
      <w:r w:rsidRPr="001A403F">
        <w:rPr>
          <w:rFonts w:ascii="Book Antiqua" w:hAnsi="Book Antiqua"/>
          <w:b/>
          <w:sz w:val="24"/>
          <w:szCs w:val="24"/>
        </w:rPr>
        <w:t xml:space="preserve">Revised: </w:t>
      </w:r>
      <w:r w:rsidR="00017857" w:rsidRPr="001A403F">
        <w:rPr>
          <w:rFonts w:ascii="Book Antiqua" w:hAnsi="Book Antiqua"/>
          <w:sz w:val="24"/>
          <w:szCs w:val="24"/>
        </w:rPr>
        <w:t>May</w:t>
      </w:r>
      <w:r w:rsidRPr="001A403F">
        <w:rPr>
          <w:rFonts w:ascii="Book Antiqua" w:hAnsi="Book Antiqua"/>
          <w:sz w:val="24"/>
          <w:szCs w:val="24"/>
        </w:rPr>
        <w:t xml:space="preserve"> </w:t>
      </w:r>
      <w:r w:rsidR="00017857" w:rsidRPr="001A403F">
        <w:rPr>
          <w:rFonts w:ascii="Book Antiqua" w:hAnsi="Book Antiqua"/>
          <w:sz w:val="24"/>
          <w:szCs w:val="24"/>
        </w:rPr>
        <w:t>15</w:t>
      </w:r>
      <w:r w:rsidRPr="001A403F">
        <w:rPr>
          <w:rFonts w:ascii="Book Antiqua" w:hAnsi="Book Antiqua"/>
          <w:sz w:val="24"/>
          <w:szCs w:val="24"/>
        </w:rPr>
        <w:t>, 2020</w:t>
      </w:r>
    </w:p>
    <w:p w14:paraId="3B8B7097" w14:textId="32157AC6" w:rsidR="00F95F39" w:rsidRPr="001A403F" w:rsidRDefault="00F95F39" w:rsidP="002E7076">
      <w:pPr>
        <w:adjustRightInd w:val="0"/>
        <w:snapToGrid w:val="0"/>
        <w:spacing w:after="0" w:line="360" w:lineRule="auto"/>
        <w:rPr>
          <w:rFonts w:ascii="Book Antiqua" w:hAnsi="Book Antiqua"/>
          <w:color w:val="000000"/>
          <w:sz w:val="24"/>
          <w:szCs w:val="24"/>
        </w:rPr>
      </w:pPr>
      <w:r w:rsidRPr="001A403F">
        <w:rPr>
          <w:rFonts w:ascii="Book Antiqua" w:hAnsi="Book Antiqua"/>
          <w:b/>
          <w:sz w:val="24"/>
          <w:szCs w:val="24"/>
        </w:rPr>
        <w:t>Accepted:</w:t>
      </w:r>
      <w:r w:rsidRPr="001A403F">
        <w:rPr>
          <w:rFonts w:ascii="Book Antiqua" w:hAnsi="Book Antiqua"/>
          <w:sz w:val="24"/>
          <w:szCs w:val="24"/>
        </w:rPr>
        <w:t xml:space="preserve"> </w:t>
      </w:r>
      <w:r w:rsidR="006001A2">
        <w:rPr>
          <w:rFonts w:ascii="Book Antiqua" w:hAnsi="Book Antiqua"/>
          <w:sz w:val="24"/>
          <w:szCs w:val="24"/>
          <w:lang w:eastAsia="zh-CN"/>
        </w:rPr>
        <w:t>May 19, 2020</w:t>
      </w:r>
    </w:p>
    <w:p w14:paraId="3F6213E0" w14:textId="6F6B1CD5" w:rsidR="00582B37" w:rsidRPr="001A403F" w:rsidRDefault="00F95F39" w:rsidP="002E7076">
      <w:pPr>
        <w:autoSpaceDE w:val="0"/>
        <w:autoSpaceDN w:val="0"/>
        <w:adjustRightInd w:val="0"/>
        <w:snapToGrid w:val="0"/>
        <w:spacing w:after="0" w:line="360" w:lineRule="auto"/>
        <w:jc w:val="both"/>
        <w:rPr>
          <w:rFonts w:ascii="Book Antiqua" w:hAnsi="Book Antiqua"/>
          <w:b/>
          <w:sz w:val="24"/>
          <w:szCs w:val="24"/>
        </w:rPr>
      </w:pPr>
      <w:r w:rsidRPr="001A403F">
        <w:rPr>
          <w:rFonts w:ascii="Book Antiqua" w:hAnsi="Book Antiqua"/>
          <w:b/>
          <w:sz w:val="24"/>
          <w:szCs w:val="24"/>
        </w:rPr>
        <w:t>Published online:</w:t>
      </w:r>
      <w:bookmarkEnd w:id="26"/>
      <w:bookmarkEnd w:id="27"/>
      <w:bookmarkEnd w:id="28"/>
      <w:bookmarkEnd w:id="29"/>
    </w:p>
    <w:p w14:paraId="30A1525D" w14:textId="77777777" w:rsidR="00582B37" w:rsidRPr="001A403F" w:rsidRDefault="00582B37" w:rsidP="002E7076">
      <w:pPr>
        <w:autoSpaceDE w:val="0"/>
        <w:autoSpaceDN w:val="0"/>
        <w:adjustRightInd w:val="0"/>
        <w:snapToGrid w:val="0"/>
        <w:spacing w:after="0" w:line="360" w:lineRule="auto"/>
        <w:jc w:val="both"/>
        <w:rPr>
          <w:rFonts w:ascii="Book Antiqua" w:hAnsi="Book Antiqua"/>
          <w:b/>
          <w:sz w:val="24"/>
          <w:szCs w:val="24"/>
        </w:rPr>
      </w:pPr>
    </w:p>
    <w:p w14:paraId="37E19965" w14:textId="7840088B" w:rsidR="00F95F39" w:rsidRPr="001A403F" w:rsidRDefault="00F95F39" w:rsidP="002E7076">
      <w:pPr>
        <w:rPr>
          <w:rFonts w:ascii="Book Antiqua" w:hAnsi="Book Antiqua"/>
          <w:b/>
          <w:sz w:val="24"/>
          <w:szCs w:val="24"/>
        </w:rPr>
      </w:pPr>
      <w:r w:rsidRPr="001A403F">
        <w:rPr>
          <w:rFonts w:ascii="Book Antiqua" w:hAnsi="Book Antiqua"/>
          <w:b/>
          <w:sz w:val="24"/>
          <w:szCs w:val="24"/>
        </w:rPr>
        <w:br w:type="page"/>
      </w:r>
    </w:p>
    <w:p w14:paraId="3F541D6A" w14:textId="310A1A7C" w:rsidR="00582B37" w:rsidRPr="001A403F" w:rsidRDefault="00F95F39" w:rsidP="002E7076">
      <w:pPr>
        <w:autoSpaceDE w:val="0"/>
        <w:autoSpaceDN w:val="0"/>
        <w:adjustRightInd w:val="0"/>
        <w:snapToGrid w:val="0"/>
        <w:spacing w:after="0" w:line="360" w:lineRule="auto"/>
        <w:jc w:val="both"/>
        <w:rPr>
          <w:rFonts w:ascii="Book Antiqua" w:hAnsi="Book Antiqua"/>
          <w:sz w:val="24"/>
          <w:szCs w:val="24"/>
        </w:rPr>
      </w:pPr>
      <w:bookmarkStart w:id="30" w:name="_Hlk38818008"/>
      <w:r w:rsidRPr="001A403F">
        <w:rPr>
          <w:rFonts w:ascii="Book Antiqua" w:hAnsi="Book Antiqua"/>
          <w:b/>
          <w:sz w:val="24"/>
          <w:szCs w:val="24"/>
        </w:rPr>
        <w:lastRenderedPageBreak/>
        <w:t>Abstract</w:t>
      </w:r>
      <w:bookmarkEnd w:id="30"/>
    </w:p>
    <w:p w14:paraId="18F94D84" w14:textId="2E0EBA2C" w:rsidR="00582B37" w:rsidRPr="001A403F" w:rsidRDefault="00F95F39" w:rsidP="002E7076">
      <w:pPr>
        <w:adjustRightInd w:val="0"/>
        <w:snapToGrid w:val="0"/>
        <w:spacing w:after="0" w:line="360" w:lineRule="auto"/>
        <w:jc w:val="both"/>
        <w:rPr>
          <w:rFonts w:ascii="Book Antiqua" w:hAnsi="Book Antiqua"/>
          <w:sz w:val="24"/>
          <w:szCs w:val="24"/>
        </w:rPr>
      </w:pPr>
      <w:r w:rsidRPr="001A403F">
        <w:rPr>
          <w:rFonts w:ascii="Book Antiqua" w:hAnsi="Book Antiqua"/>
          <w:sz w:val="24"/>
          <w:szCs w:val="24"/>
          <w:lang w:val="it-IT"/>
        </w:rPr>
        <w:t>BACKGROUND</w:t>
      </w:r>
    </w:p>
    <w:p w14:paraId="2F1F8AE9" w14:textId="77777777" w:rsidR="00582B37" w:rsidRPr="001A403F" w:rsidRDefault="00582B37"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Critically ill patients with cirrhosis, particularly those with acute decompensation, have higher mortality rates in the intensive care unit (ICU) than patients without chronic liver disease. Prognostication of short-term mortality is important in order to identify patients at highest risk of death. None of the currently available prognostic models have been widely accepted for use in cirrhotic patients in the ICU, perhaps due to complexity of calculation, or lack of universal variables readily available for these patients. We believe a survival model meeting these requirements can be developed, to guide therapeutic decision-making and contribute to cost-effective healthcare resource utilization. </w:t>
      </w:r>
    </w:p>
    <w:p w14:paraId="6820CAD5"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4D124471" w14:textId="1E512BC4" w:rsidR="00582B37" w:rsidRPr="001A403F" w:rsidRDefault="00F95F39" w:rsidP="002E7076">
      <w:pPr>
        <w:adjustRightInd w:val="0"/>
        <w:snapToGrid w:val="0"/>
        <w:spacing w:after="0" w:line="360" w:lineRule="auto"/>
        <w:jc w:val="both"/>
        <w:rPr>
          <w:rFonts w:ascii="Book Antiqua" w:hAnsi="Book Antiqua"/>
          <w:sz w:val="24"/>
          <w:szCs w:val="24"/>
        </w:rPr>
      </w:pPr>
      <w:bookmarkStart w:id="31" w:name="_Hlk38818117"/>
      <w:r w:rsidRPr="001A403F">
        <w:rPr>
          <w:rFonts w:ascii="Book Antiqua" w:hAnsi="Book Antiqua"/>
          <w:sz w:val="24"/>
          <w:szCs w:val="24"/>
          <w:lang w:val="it-IT"/>
        </w:rPr>
        <w:t>AIM</w:t>
      </w:r>
      <w:bookmarkEnd w:id="31"/>
    </w:p>
    <w:p w14:paraId="50D86E94" w14:textId="65F41236" w:rsidR="00582B37" w:rsidRPr="001A403F" w:rsidRDefault="005233B4"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T</w:t>
      </w:r>
      <w:r w:rsidR="00582B37" w:rsidRPr="001A403F">
        <w:rPr>
          <w:rFonts w:ascii="Book Antiqua" w:eastAsia="Times New Roman" w:hAnsi="Book Antiqua" w:cs="Times New Roman"/>
          <w:sz w:val="24"/>
          <w:szCs w:val="24"/>
        </w:rPr>
        <w:t>o identify markers that best identify likelihood of survival and to determine the performance of existing survival models.</w:t>
      </w:r>
    </w:p>
    <w:p w14:paraId="1A170134"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7F95EEC5" w14:textId="22F543FE" w:rsidR="00582B37" w:rsidRPr="001A403F" w:rsidRDefault="00621DE4" w:rsidP="002E7076">
      <w:pPr>
        <w:adjustRightInd w:val="0"/>
        <w:snapToGrid w:val="0"/>
        <w:spacing w:after="0" w:line="360" w:lineRule="auto"/>
        <w:jc w:val="both"/>
        <w:rPr>
          <w:rFonts w:ascii="Book Antiqua" w:hAnsi="Book Antiqua"/>
          <w:sz w:val="24"/>
          <w:szCs w:val="24"/>
        </w:rPr>
      </w:pPr>
      <w:bookmarkStart w:id="32" w:name="_Hlk38818134"/>
      <w:r w:rsidRPr="001A403F">
        <w:rPr>
          <w:rFonts w:ascii="Book Antiqua" w:hAnsi="Book Antiqua"/>
          <w:sz w:val="24"/>
          <w:szCs w:val="24"/>
          <w:lang w:val="it-IT"/>
        </w:rPr>
        <w:t>METHODS</w:t>
      </w:r>
      <w:bookmarkEnd w:id="32"/>
    </w:p>
    <w:p w14:paraId="35F5F553" w14:textId="45C0791B" w:rsidR="00582B37" w:rsidRPr="001A403F" w:rsidRDefault="00582B37"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Consecutive cirrhotic patients a</w:t>
      </w:r>
      <w:r w:rsidR="0010673A" w:rsidRPr="001A403F">
        <w:rPr>
          <w:rFonts w:ascii="Book Antiqua" w:eastAsia="Times New Roman" w:hAnsi="Book Antiqua" w:cs="Times New Roman"/>
          <w:sz w:val="24"/>
          <w:szCs w:val="24"/>
        </w:rPr>
        <w:t>dmitted to a United States quatern</w:t>
      </w:r>
      <w:r w:rsidRPr="001A403F">
        <w:rPr>
          <w:rFonts w:ascii="Book Antiqua" w:eastAsia="Times New Roman" w:hAnsi="Book Antiqua" w:cs="Times New Roman"/>
          <w:sz w:val="24"/>
          <w:szCs w:val="24"/>
        </w:rPr>
        <w:t>ary care center ICU between 2008-2014 were included and comprised the training cohort. Demographic data and clinical laboratory test collected on admission to ICU were analyzed. Area under the curve receiv</w:t>
      </w:r>
      <w:r w:rsidR="005D47E4" w:rsidRPr="001A403F">
        <w:rPr>
          <w:rFonts w:ascii="Book Antiqua" w:eastAsia="Times New Roman" w:hAnsi="Book Antiqua" w:cs="Times New Roman"/>
          <w:sz w:val="24"/>
          <w:szCs w:val="24"/>
        </w:rPr>
        <w:t>er operator characteristics (AU</w:t>
      </w:r>
      <w:r w:rsidRPr="001A403F">
        <w:rPr>
          <w:rFonts w:ascii="Book Antiqua" w:eastAsia="Times New Roman" w:hAnsi="Book Antiqua" w:cs="Times New Roman"/>
          <w:sz w:val="24"/>
          <w:szCs w:val="24"/>
        </w:rPr>
        <w:t>ROC) analysis was performed to assess the value of various scores in predicting in-hospital mortality. A new predictive model</w:t>
      </w:r>
      <w:r w:rsidR="00511DA3" w:rsidRPr="001A403F">
        <w:rPr>
          <w:rFonts w:ascii="Book Antiqua" w:eastAsia="Times New Roman" w:hAnsi="Book Antiqua" w:cs="Times New Roman"/>
          <w:sz w:val="24"/>
          <w:szCs w:val="24"/>
        </w:rPr>
        <w:t xml:space="preserve">: The </w:t>
      </w:r>
      <w:r w:rsidRPr="001A403F">
        <w:rPr>
          <w:rFonts w:ascii="Book Antiqua" w:eastAsia="Times New Roman" w:hAnsi="Book Antiqua" w:cs="Times New Roman"/>
          <w:sz w:val="24"/>
          <w:szCs w:val="24"/>
        </w:rPr>
        <w:t>LIV-4 score was developed using logistic regression analysis and validated in a cohort of patients admitted to the same institution between 2015-2017.</w:t>
      </w:r>
    </w:p>
    <w:p w14:paraId="22AF86E7"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42D71413" w14:textId="684B667D" w:rsidR="00582B37" w:rsidRPr="001A403F" w:rsidRDefault="00511DA3" w:rsidP="002E7076">
      <w:pPr>
        <w:adjustRightInd w:val="0"/>
        <w:snapToGrid w:val="0"/>
        <w:spacing w:after="0" w:line="360" w:lineRule="auto"/>
        <w:jc w:val="both"/>
        <w:rPr>
          <w:rFonts w:ascii="Book Antiqua" w:hAnsi="Book Antiqua"/>
          <w:sz w:val="24"/>
          <w:szCs w:val="24"/>
        </w:rPr>
      </w:pPr>
      <w:r w:rsidRPr="001A403F">
        <w:rPr>
          <w:rFonts w:ascii="Book Antiqua" w:hAnsi="Book Antiqua"/>
          <w:sz w:val="24"/>
          <w:szCs w:val="24"/>
          <w:lang w:val="it-IT"/>
        </w:rPr>
        <w:t>RESULTS</w:t>
      </w:r>
    </w:p>
    <w:p w14:paraId="5029F3AB" w14:textId="7FF09624" w:rsidR="00582B37" w:rsidRPr="001A403F" w:rsidRDefault="00582B37"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Of 436 patients, 119 (27.3%) died in the hospital. In multivariate analysis, a combination of the natural logarithm of the bilirubin, prothrombin time, white blood cell count, and mean arterial pressure was found to most accurately predict in-hospital mortality. </w:t>
      </w:r>
      <w:r w:rsidR="003D5B03" w:rsidRPr="001A403F">
        <w:rPr>
          <w:rFonts w:ascii="Book Antiqua" w:eastAsia="Times New Roman" w:hAnsi="Book Antiqua" w:cs="Times New Roman"/>
          <w:sz w:val="24"/>
          <w:szCs w:val="24"/>
        </w:rPr>
        <w:t>Derived from</w:t>
      </w:r>
      <w:r w:rsidRPr="001A403F">
        <w:rPr>
          <w:rFonts w:ascii="Book Antiqua" w:eastAsia="Times New Roman" w:hAnsi="Book Antiqua" w:cs="Times New Roman"/>
          <w:sz w:val="24"/>
          <w:szCs w:val="24"/>
        </w:rPr>
        <w:t xml:space="preserve"> the regression coefficients of the independent variables, a novel model to </w:t>
      </w:r>
      <w:r w:rsidRPr="001A403F">
        <w:rPr>
          <w:rFonts w:ascii="Book Antiqua" w:eastAsia="Times New Roman" w:hAnsi="Book Antiqua" w:cs="Times New Roman"/>
          <w:sz w:val="24"/>
          <w:szCs w:val="24"/>
        </w:rPr>
        <w:lastRenderedPageBreak/>
        <w:t xml:space="preserve">predict </w:t>
      </w:r>
      <w:r w:rsidR="00B55ECF" w:rsidRPr="001A403F">
        <w:rPr>
          <w:rFonts w:ascii="Book Antiqua" w:eastAsia="Times New Roman" w:hAnsi="Book Antiqua" w:cs="Times New Roman"/>
          <w:sz w:val="24"/>
          <w:szCs w:val="24"/>
        </w:rPr>
        <w:t>inpatient</w:t>
      </w:r>
      <w:r w:rsidRPr="001A403F">
        <w:rPr>
          <w:rFonts w:ascii="Book Antiqua" w:eastAsia="Times New Roman" w:hAnsi="Book Antiqua" w:cs="Times New Roman"/>
          <w:sz w:val="24"/>
          <w:szCs w:val="24"/>
        </w:rPr>
        <w:t xml:space="preserve"> mortality was developed </w:t>
      </w:r>
      <w:r w:rsidR="00B55ECF" w:rsidRPr="001A403F">
        <w:rPr>
          <w:rFonts w:ascii="Book Antiqua" w:eastAsia="Times New Roman" w:hAnsi="Book Antiqua" w:cs="Times New Roman"/>
          <w:sz w:val="24"/>
          <w:szCs w:val="24"/>
        </w:rPr>
        <w:t xml:space="preserve">(the LIV-4 score) </w:t>
      </w:r>
      <w:r w:rsidR="000520D0" w:rsidRPr="001A403F">
        <w:rPr>
          <w:rFonts w:ascii="Book Antiqua" w:eastAsia="Times New Roman" w:hAnsi="Book Antiqua" w:cs="Times New Roman"/>
          <w:sz w:val="24"/>
          <w:szCs w:val="24"/>
        </w:rPr>
        <w:t>and performed with an AU</w:t>
      </w:r>
      <w:r w:rsidRPr="001A403F">
        <w:rPr>
          <w:rFonts w:ascii="Book Antiqua" w:eastAsia="Times New Roman" w:hAnsi="Book Antiqua" w:cs="Times New Roman"/>
          <w:sz w:val="24"/>
          <w:szCs w:val="24"/>
        </w:rPr>
        <w:t xml:space="preserve">ROC of 0.86, compared to the </w:t>
      </w:r>
      <w:r w:rsidR="00B55ECF" w:rsidRPr="001A403F">
        <w:rPr>
          <w:rFonts w:ascii="Book Antiqua" w:eastAsia="Times New Roman" w:hAnsi="Book Antiqua" w:cs="Times New Roman"/>
          <w:sz w:val="24"/>
          <w:szCs w:val="24"/>
        </w:rPr>
        <w:t xml:space="preserve">Model for End-Stage Liver Disease, </w:t>
      </w:r>
      <w:r w:rsidRPr="001A403F">
        <w:rPr>
          <w:rFonts w:ascii="Book Antiqua" w:eastAsia="Times New Roman" w:hAnsi="Book Antiqua" w:cs="Times New Roman"/>
          <w:sz w:val="24"/>
          <w:szCs w:val="24"/>
        </w:rPr>
        <w:t>Chronic Liver Failure-Sequential Organ Failure Assessment, and Royal Free Hospital Score, whic</w:t>
      </w:r>
      <w:r w:rsidR="000520D0" w:rsidRPr="001A403F">
        <w:rPr>
          <w:rFonts w:ascii="Book Antiqua" w:eastAsia="Times New Roman" w:hAnsi="Book Antiqua" w:cs="Times New Roman"/>
          <w:sz w:val="24"/>
          <w:szCs w:val="24"/>
        </w:rPr>
        <w:t>h performed with AU</w:t>
      </w:r>
      <w:r w:rsidR="00B55ECF" w:rsidRPr="001A403F">
        <w:rPr>
          <w:rFonts w:ascii="Book Antiqua" w:eastAsia="Times New Roman" w:hAnsi="Book Antiqua" w:cs="Times New Roman"/>
          <w:sz w:val="24"/>
          <w:szCs w:val="24"/>
        </w:rPr>
        <w:t>ROCs of 0.81, 0.80</w:t>
      </w:r>
      <w:r w:rsidRPr="001A403F">
        <w:rPr>
          <w:rFonts w:ascii="Book Antiqua" w:eastAsia="Times New Roman" w:hAnsi="Book Antiqua" w:cs="Times New Roman"/>
          <w:sz w:val="24"/>
          <w:szCs w:val="24"/>
        </w:rPr>
        <w:t xml:space="preserve">, and 0.77, respectively. Patients in the internal validation cohort were substantially sicker, as evidenced by higher </w:t>
      </w:r>
      <w:r w:rsidR="005233B4" w:rsidRPr="001A403F">
        <w:rPr>
          <w:rFonts w:ascii="Book Antiqua" w:eastAsia="Times New Roman" w:hAnsi="Book Antiqua" w:cs="Times New Roman"/>
          <w:sz w:val="24"/>
          <w:szCs w:val="24"/>
        </w:rPr>
        <w:t>Model for End-Stage Liver Disease</w:t>
      </w:r>
      <w:r w:rsidRPr="001A403F">
        <w:rPr>
          <w:rFonts w:ascii="Book Antiqua" w:eastAsia="Times New Roman" w:hAnsi="Book Antiqua" w:cs="Times New Roman"/>
          <w:sz w:val="24"/>
          <w:szCs w:val="24"/>
        </w:rPr>
        <w:t xml:space="preserve">, </w:t>
      </w:r>
      <w:r w:rsidR="005233B4" w:rsidRPr="001A403F">
        <w:rPr>
          <w:rFonts w:ascii="Book Antiqua" w:eastAsia="Times New Roman" w:hAnsi="Book Antiqua" w:cs="Times New Roman"/>
          <w:sz w:val="24"/>
          <w:szCs w:val="24"/>
        </w:rPr>
        <w:t>Model for End-Stage Liver Disease</w:t>
      </w:r>
      <w:r w:rsidRPr="001A403F">
        <w:rPr>
          <w:rFonts w:ascii="Book Antiqua" w:eastAsia="Times New Roman" w:hAnsi="Book Antiqua" w:cs="Times New Roman"/>
          <w:sz w:val="24"/>
          <w:szCs w:val="24"/>
        </w:rPr>
        <w:t>-</w:t>
      </w:r>
      <w:r w:rsidR="005233B4" w:rsidRPr="001A403F">
        <w:rPr>
          <w:rFonts w:ascii="Book Antiqua" w:eastAsia="Times New Roman" w:hAnsi="Book Antiqua" w:cs="Times New Roman"/>
          <w:sz w:val="24"/>
          <w:szCs w:val="24"/>
        </w:rPr>
        <w:t>Sodium</w:t>
      </w:r>
      <w:r w:rsidRPr="001A403F">
        <w:rPr>
          <w:rFonts w:ascii="Book Antiqua" w:eastAsia="Times New Roman" w:hAnsi="Book Antiqua" w:cs="Times New Roman"/>
          <w:sz w:val="24"/>
          <w:szCs w:val="24"/>
        </w:rPr>
        <w:t xml:space="preserve">, </w:t>
      </w:r>
      <w:r w:rsidR="005233B4" w:rsidRPr="001A403F">
        <w:rPr>
          <w:rFonts w:ascii="Book Antiqua" w:hAnsi="Book Antiqua" w:cs="Times New Roman"/>
          <w:sz w:val="24"/>
          <w:szCs w:val="24"/>
        </w:rPr>
        <w:t>the Acute Physiology and Chronic Health Evaluation</w:t>
      </w:r>
      <w:r w:rsidRPr="001A403F">
        <w:rPr>
          <w:rFonts w:ascii="Book Antiqua" w:eastAsia="Times New Roman" w:hAnsi="Book Antiqua" w:cs="Times New Roman"/>
          <w:sz w:val="24"/>
          <w:szCs w:val="24"/>
        </w:rPr>
        <w:t xml:space="preserve"> III, SOFA and LIV-4 scores. Despite these differences, the LIV-4 score remained significantly higher in subjects who expired during the hospital stay and exhibited good prognostic values in t</w:t>
      </w:r>
      <w:r w:rsidR="000520D0" w:rsidRPr="001A403F">
        <w:rPr>
          <w:rFonts w:ascii="Book Antiqua" w:eastAsia="Times New Roman" w:hAnsi="Book Antiqua" w:cs="Times New Roman"/>
          <w:sz w:val="24"/>
          <w:szCs w:val="24"/>
        </w:rPr>
        <w:t>he validation cohort with an AU</w:t>
      </w:r>
      <w:r w:rsidRPr="001A403F">
        <w:rPr>
          <w:rFonts w:ascii="Book Antiqua" w:eastAsia="Times New Roman" w:hAnsi="Book Antiqua" w:cs="Times New Roman"/>
          <w:sz w:val="24"/>
          <w:szCs w:val="24"/>
        </w:rPr>
        <w:t>ROC of 0.80.</w:t>
      </w:r>
    </w:p>
    <w:p w14:paraId="7475CDFF"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666C9889" w14:textId="77777777"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sz w:val="24"/>
          <w:szCs w:val="24"/>
        </w:rPr>
        <w:t>CONCLUSION</w:t>
      </w:r>
    </w:p>
    <w:p w14:paraId="6F24A4FF" w14:textId="2588577A" w:rsidR="00582B37" w:rsidRPr="001A403F" w:rsidRDefault="00570E82"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LIV-4, a</w:t>
      </w:r>
      <w:r w:rsidR="00582B37" w:rsidRPr="001A403F">
        <w:rPr>
          <w:rFonts w:ascii="Book Antiqua" w:eastAsia="Times New Roman" w:hAnsi="Book Antiqua" w:cs="Times New Roman"/>
          <w:sz w:val="24"/>
          <w:szCs w:val="24"/>
        </w:rPr>
        <w:t xml:space="preserve"> validated model for predicting mortality in cirrhotic patients on admission to the ICU performs better than </w:t>
      </w:r>
      <w:r w:rsidR="003D5B03" w:rsidRPr="001A403F">
        <w:rPr>
          <w:rFonts w:ascii="Book Antiqua" w:eastAsia="Times New Roman" w:hAnsi="Book Antiqua" w:cs="Times New Roman"/>
          <w:sz w:val="24"/>
          <w:szCs w:val="24"/>
        </w:rPr>
        <w:t xml:space="preserve">alternative </w:t>
      </w:r>
      <w:r w:rsidR="00582B37" w:rsidRPr="001A403F">
        <w:rPr>
          <w:rFonts w:ascii="Book Antiqua" w:eastAsia="Times New Roman" w:hAnsi="Book Antiqua" w:cs="Times New Roman"/>
          <w:sz w:val="24"/>
          <w:szCs w:val="24"/>
        </w:rPr>
        <w:t xml:space="preserve">liver and ICU-specific </w:t>
      </w:r>
      <w:r w:rsidR="003D5B03" w:rsidRPr="001A403F">
        <w:rPr>
          <w:rFonts w:ascii="Book Antiqua" w:eastAsia="Times New Roman" w:hAnsi="Book Antiqua" w:cs="Times New Roman"/>
          <w:sz w:val="24"/>
          <w:szCs w:val="24"/>
        </w:rPr>
        <w:t xml:space="preserve">survival </w:t>
      </w:r>
      <w:r w:rsidR="00582B37" w:rsidRPr="001A403F">
        <w:rPr>
          <w:rFonts w:ascii="Book Antiqua" w:eastAsia="Times New Roman" w:hAnsi="Book Antiqua" w:cs="Times New Roman"/>
          <w:sz w:val="24"/>
          <w:szCs w:val="24"/>
        </w:rPr>
        <w:t>scores.</w:t>
      </w:r>
    </w:p>
    <w:p w14:paraId="6BDAB3AF"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402C33E4" w14:textId="4818009C" w:rsidR="00582B37" w:rsidRPr="001A403F" w:rsidRDefault="00511DA3" w:rsidP="002E7076">
      <w:pPr>
        <w:pStyle w:val="NormalWeb"/>
        <w:shd w:val="clear" w:color="auto" w:fill="FFFFFF"/>
        <w:adjustRightInd w:val="0"/>
        <w:snapToGrid w:val="0"/>
        <w:spacing w:before="0" w:beforeAutospacing="0" w:after="0" w:afterAutospacing="0" w:line="360" w:lineRule="auto"/>
        <w:jc w:val="both"/>
        <w:rPr>
          <w:rFonts w:ascii="Book Antiqua" w:eastAsia="Times New Roman" w:hAnsi="Book Antiqua"/>
          <w:sz w:val="24"/>
          <w:szCs w:val="24"/>
        </w:rPr>
      </w:pPr>
      <w:bookmarkStart w:id="33" w:name="_Hlk38818327"/>
      <w:r w:rsidRPr="001A403F">
        <w:rPr>
          <w:rFonts w:ascii="Book Antiqua" w:hAnsi="Book Antiqua"/>
          <w:b/>
          <w:sz w:val="24"/>
          <w:szCs w:val="24"/>
        </w:rPr>
        <w:t>Key words:</w:t>
      </w:r>
      <w:bookmarkEnd w:id="33"/>
      <w:r w:rsidR="00582B37" w:rsidRPr="001A403F">
        <w:rPr>
          <w:rFonts w:ascii="Book Antiqua" w:hAnsi="Book Antiqua"/>
          <w:sz w:val="24"/>
          <w:szCs w:val="24"/>
        </w:rPr>
        <w:t xml:space="preserve"> </w:t>
      </w:r>
      <w:r w:rsidR="00582B37" w:rsidRPr="001A403F">
        <w:rPr>
          <w:rFonts w:ascii="Book Antiqua" w:eastAsia="Times New Roman" w:hAnsi="Book Antiqua"/>
          <w:sz w:val="24"/>
          <w:szCs w:val="24"/>
        </w:rPr>
        <w:t xml:space="preserve">Risk stratification; </w:t>
      </w:r>
      <w:bookmarkStart w:id="34" w:name="OLE_LINK5"/>
      <w:bookmarkStart w:id="35" w:name="OLE_LINK6"/>
      <w:r w:rsidR="00582B37" w:rsidRPr="001A403F">
        <w:rPr>
          <w:rFonts w:ascii="Book Antiqua" w:eastAsia="Times New Roman" w:hAnsi="Book Antiqua"/>
          <w:sz w:val="24"/>
          <w:szCs w:val="24"/>
        </w:rPr>
        <w:t>Resource allocation</w:t>
      </w:r>
      <w:bookmarkEnd w:id="34"/>
      <w:bookmarkEnd w:id="35"/>
      <w:r w:rsidR="00582B37" w:rsidRPr="001A403F">
        <w:rPr>
          <w:rFonts w:ascii="Book Antiqua" w:eastAsia="Times New Roman" w:hAnsi="Book Antiqua"/>
          <w:sz w:val="24"/>
          <w:szCs w:val="24"/>
        </w:rPr>
        <w:t xml:space="preserve">; </w:t>
      </w:r>
      <w:bookmarkStart w:id="36" w:name="OLE_LINK7"/>
      <w:bookmarkStart w:id="37" w:name="OLE_LINK8"/>
      <w:r w:rsidR="00582B37" w:rsidRPr="001A403F">
        <w:rPr>
          <w:rFonts w:ascii="Book Antiqua" w:eastAsia="Times New Roman" w:hAnsi="Book Antiqua"/>
          <w:sz w:val="24"/>
          <w:szCs w:val="24"/>
        </w:rPr>
        <w:t>Intensive care unit</w:t>
      </w:r>
      <w:bookmarkEnd w:id="36"/>
      <w:bookmarkEnd w:id="37"/>
      <w:r w:rsidR="00582B37" w:rsidRPr="001A403F">
        <w:rPr>
          <w:rFonts w:ascii="Book Antiqua" w:eastAsia="Times New Roman" w:hAnsi="Book Antiqua"/>
          <w:sz w:val="24"/>
          <w:szCs w:val="24"/>
        </w:rPr>
        <w:t>; Acute-on-chronic liver failure; Modeling; Mortality</w:t>
      </w:r>
    </w:p>
    <w:p w14:paraId="7ACF7A48" w14:textId="0CBB843F" w:rsidR="00582B37" w:rsidRPr="001A403F" w:rsidRDefault="00582B37" w:rsidP="002E7076">
      <w:pPr>
        <w:adjustRightInd w:val="0"/>
        <w:snapToGrid w:val="0"/>
        <w:spacing w:after="0" w:line="360" w:lineRule="auto"/>
        <w:jc w:val="both"/>
        <w:rPr>
          <w:rFonts w:ascii="Book Antiqua" w:hAnsi="Book Antiqua"/>
          <w:sz w:val="24"/>
          <w:szCs w:val="24"/>
        </w:rPr>
      </w:pPr>
    </w:p>
    <w:p w14:paraId="1B6610D6" w14:textId="2FDA8238" w:rsidR="00511DA3" w:rsidRPr="001A403F" w:rsidRDefault="00511DA3" w:rsidP="002E7076">
      <w:pPr>
        <w:adjustRightInd w:val="0"/>
        <w:snapToGrid w:val="0"/>
        <w:spacing w:after="0" w:line="360" w:lineRule="auto"/>
        <w:jc w:val="both"/>
        <w:rPr>
          <w:rFonts w:ascii="Book Antiqua" w:hAnsi="Book Antiqua"/>
          <w:sz w:val="24"/>
          <w:szCs w:val="24"/>
        </w:rPr>
      </w:pPr>
      <w:proofErr w:type="spellStart"/>
      <w:r w:rsidRPr="001A403F">
        <w:rPr>
          <w:rFonts w:ascii="Book Antiqua" w:hAnsi="Book Antiqua"/>
          <w:sz w:val="24"/>
          <w:szCs w:val="24"/>
        </w:rPr>
        <w:t>Lindenmeyer</w:t>
      </w:r>
      <w:proofErr w:type="spellEnd"/>
      <w:r w:rsidR="00EF068C">
        <w:rPr>
          <w:rFonts w:ascii="Book Antiqua" w:hAnsi="Book Antiqua"/>
          <w:sz w:val="24"/>
          <w:szCs w:val="24"/>
        </w:rPr>
        <w:t xml:space="preserve"> CC</w:t>
      </w:r>
      <w:r w:rsidRPr="001A403F">
        <w:rPr>
          <w:rFonts w:ascii="Book Antiqua" w:hAnsi="Book Antiqua"/>
          <w:sz w:val="24"/>
          <w:szCs w:val="24"/>
        </w:rPr>
        <w:t xml:space="preserve">, </w:t>
      </w:r>
      <w:proofErr w:type="spellStart"/>
      <w:r w:rsidRPr="001A403F">
        <w:rPr>
          <w:rFonts w:ascii="Book Antiqua" w:hAnsi="Book Antiqua"/>
          <w:sz w:val="24"/>
          <w:szCs w:val="24"/>
        </w:rPr>
        <w:t>Flocco</w:t>
      </w:r>
      <w:proofErr w:type="spellEnd"/>
      <w:r w:rsidR="00EF068C">
        <w:rPr>
          <w:rFonts w:ascii="Book Antiqua" w:hAnsi="Book Antiqua"/>
          <w:sz w:val="24"/>
          <w:szCs w:val="24"/>
        </w:rPr>
        <w:t xml:space="preserve"> G</w:t>
      </w:r>
      <w:r w:rsidRPr="001A403F">
        <w:rPr>
          <w:rFonts w:ascii="Book Antiqua" w:hAnsi="Book Antiqua"/>
          <w:sz w:val="24"/>
          <w:szCs w:val="24"/>
        </w:rPr>
        <w:t xml:space="preserve">, </w:t>
      </w:r>
      <w:proofErr w:type="spellStart"/>
      <w:r w:rsidRPr="001A403F">
        <w:rPr>
          <w:rFonts w:ascii="Book Antiqua" w:hAnsi="Book Antiqua"/>
          <w:sz w:val="24"/>
          <w:szCs w:val="24"/>
        </w:rPr>
        <w:t>Sanghi</w:t>
      </w:r>
      <w:proofErr w:type="spellEnd"/>
      <w:r w:rsidR="00EF068C">
        <w:rPr>
          <w:rFonts w:ascii="Book Antiqua" w:hAnsi="Book Antiqua"/>
          <w:sz w:val="24"/>
          <w:szCs w:val="24"/>
        </w:rPr>
        <w:t xml:space="preserve"> V</w:t>
      </w:r>
      <w:r w:rsidRPr="001A403F">
        <w:rPr>
          <w:rFonts w:ascii="Book Antiqua" w:hAnsi="Book Antiqua"/>
          <w:sz w:val="24"/>
          <w:szCs w:val="24"/>
        </w:rPr>
        <w:t>, Lopez</w:t>
      </w:r>
      <w:r w:rsidR="00EF068C">
        <w:rPr>
          <w:rFonts w:ascii="Book Antiqua" w:hAnsi="Book Antiqua"/>
          <w:sz w:val="24"/>
          <w:szCs w:val="24"/>
        </w:rPr>
        <w:t xml:space="preserve"> R</w:t>
      </w:r>
      <w:r w:rsidRPr="001A403F">
        <w:rPr>
          <w:rFonts w:ascii="Book Antiqua" w:hAnsi="Book Antiqua"/>
          <w:sz w:val="24"/>
          <w:szCs w:val="24"/>
        </w:rPr>
        <w:t>, Kim</w:t>
      </w:r>
      <w:r w:rsidR="00EF068C">
        <w:rPr>
          <w:rFonts w:ascii="Book Antiqua" w:hAnsi="Book Antiqua"/>
          <w:sz w:val="24"/>
          <w:szCs w:val="24"/>
        </w:rPr>
        <w:t xml:space="preserve"> AJ</w:t>
      </w:r>
      <w:r w:rsidRPr="001A403F">
        <w:rPr>
          <w:rFonts w:ascii="Book Antiqua" w:hAnsi="Book Antiqua"/>
          <w:sz w:val="24"/>
          <w:szCs w:val="24"/>
        </w:rPr>
        <w:t xml:space="preserve">, </w:t>
      </w:r>
      <w:proofErr w:type="spellStart"/>
      <w:r w:rsidRPr="001A403F">
        <w:rPr>
          <w:rFonts w:ascii="Book Antiqua" w:hAnsi="Book Antiqua"/>
          <w:sz w:val="24"/>
          <w:szCs w:val="24"/>
        </w:rPr>
        <w:t>Niyazi</w:t>
      </w:r>
      <w:proofErr w:type="spellEnd"/>
      <w:r w:rsidR="00EF068C">
        <w:rPr>
          <w:rFonts w:ascii="Book Antiqua" w:hAnsi="Book Antiqua"/>
          <w:sz w:val="24"/>
          <w:szCs w:val="24"/>
        </w:rPr>
        <w:t xml:space="preserve"> F</w:t>
      </w:r>
      <w:r w:rsidRPr="001A403F">
        <w:rPr>
          <w:rFonts w:ascii="Book Antiqua" w:hAnsi="Book Antiqua"/>
          <w:sz w:val="24"/>
          <w:szCs w:val="24"/>
        </w:rPr>
        <w:t>, Kapoor</w:t>
      </w:r>
      <w:r w:rsidR="00EF068C">
        <w:rPr>
          <w:rFonts w:ascii="Book Antiqua" w:hAnsi="Book Antiqua"/>
          <w:sz w:val="24"/>
          <w:szCs w:val="24"/>
        </w:rPr>
        <w:t xml:space="preserve"> A</w:t>
      </w:r>
      <w:r w:rsidRPr="001A403F">
        <w:rPr>
          <w:rFonts w:ascii="Book Antiqua" w:hAnsi="Book Antiqua"/>
          <w:sz w:val="24"/>
          <w:szCs w:val="24"/>
        </w:rPr>
        <w:t>, Carey</w:t>
      </w:r>
      <w:r w:rsidR="00EF068C">
        <w:rPr>
          <w:rFonts w:ascii="Book Antiqua" w:hAnsi="Book Antiqua"/>
          <w:sz w:val="24"/>
          <w:szCs w:val="24"/>
        </w:rPr>
        <w:t xml:space="preserve"> WD</w:t>
      </w:r>
      <w:r w:rsidRPr="001A403F">
        <w:rPr>
          <w:rFonts w:ascii="Book Antiqua" w:hAnsi="Book Antiqua"/>
          <w:sz w:val="24"/>
          <w:szCs w:val="24"/>
        </w:rPr>
        <w:t>, Mireles-</w:t>
      </w:r>
      <w:proofErr w:type="spellStart"/>
      <w:r w:rsidRPr="001A403F">
        <w:rPr>
          <w:rFonts w:ascii="Book Antiqua" w:hAnsi="Book Antiqua"/>
          <w:sz w:val="24"/>
          <w:szCs w:val="24"/>
        </w:rPr>
        <w:t>Cabodevila</w:t>
      </w:r>
      <w:proofErr w:type="spellEnd"/>
      <w:r w:rsidR="00EF068C">
        <w:rPr>
          <w:rFonts w:ascii="Book Antiqua" w:hAnsi="Book Antiqua"/>
          <w:sz w:val="24"/>
          <w:szCs w:val="24"/>
        </w:rPr>
        <w:t xml:space="preserve"> E</w:t>
      </w:r>
      <w:r w:rsidRPr="001A403F">
        <w:rPr>
          <w:rFonts w:ascii="Book Antiqua" w:hAnsi="Book Antiqua"/>
          <w:sz w:val="24"/>
          <w:szCs w:val="24"/>
        </w:rPr>
        <w:t>, Romero-Marrero</w:t>
      </w:r>
      <w:r w:rsidR="00EF068C">
        <w:rPr>
          <w:rFonts w:ascii="Book Antiqua" w:hAnsi="Book Antiqua"/>
          <w:sz w:val="24"/>
          <w:szCs w:val="24"/>
        </w:rPr>
        <w:t xml:space="preserve"> C</w:t>
      </w:r>
      <w:r w:rsidRPr="001A403F">
        <w:rPr>
          <w:rFonts w:ascii="Book Antiqua" w:hAnsi="Book Antiqua"/>
          <w:sz w:val="24"/>
          <w:szCs w:val="24"/>
        </w:rPr>
        <w:t xml:space="preserve">. </w:t>
      </w:r>
      <w:r w:rsidR="00EF068C" w:rsidRPr="00EF068C">
        <w:rPr>
          <w:rFonts w:ascii="Book Antiqua" w:hAnsi="Book Antiqua"/>
          <w:sz w:val="24"/>
          <w:szCs w:val="24"/>
        </w:rPr>
        <w:t xml:space="preserve">LIV-4: A novel model for predicting transplant-free survival in critically ill </w:t>
      </w:r>
      <w:proofErr w:type="spellStart"/>
      <w:r w:rsidR="00EF068C" w:rsidRPr="00EF068C">
        <w:rPr>
          <w:rFonts w:ascii="Book Antiqua" w:hAnsi="Book Antiqua"/>
          <w:sz w:val="24"/>
          <w:szCs w:val="24"/>
        </w:rPr>
        <w:t>cirrhotics</w:t>
      </w:r>
      <w:proofErr w:type="spellEnd"/>
      <w:r w:rsidRPr="001A403F">
        <w:rPr>
          <w:rFonts w:ascii="Book Antiqua" w:hAnsi="Book Antiqua"/>
          <w:sz w:val="24"/>
          <w:szCs w:val="24"/>
        </w:rPr>
        <w:t xml:space="preserve">. </w:t>
      </w:r>
      <w:r w:rsidRPr="001A403F">
        <w:rPr>
          <w:rFonts w:ascii="Book Antiqua" w:hAnsi="Book Antiqua"/>
          <w:i/>
          <w:iCs/>
          <w:sz w:val="24"/>
          <w:szCs w:val="24"/>
        </w:rPr>
        <w:t xml:space="preserve">World J Hepatol </w:t>
      </w:r>
      <w:r w:rsidRPr="001A403F">
        <w:rPr>
          <w:rFonts w:ascii="Book Antiqua" w:hAnsi="Book Antiqua"/>
          <w:bCs/>
          <w:sz w:val="24"/>
          <w:szCs w:val="24"/>
        </w:rPr>
        <w:t>2020; In press</w:t>
      </w:r>
    </w:p>
    <w:p w14:paraId="321F3C29" w14:textId="77777777" w:rsidR="00511DA3" w:rsidRPr="001A403F" w:rsidRDefault="00511DA3" w:rsidP="002E7076">
      <w:pPr>
        <w:adjustRightInd w:val="0"/>
        <w:snapToGrid w:val="0"/>
        <w:spacing w:after="0" w:line="360" w:lineRule="auto"/>
        <w:jc w:val="both"/>
        <w:rPr>
          <w:rFonts w:ascii="Book Antiqua" w:hAnsi="Book Antiqua"/>
          <w:sz w:val="24"/>
          <w:szCs w:val="24"/>
        </w:rPr>
      </w:pPr>
    </w:p>
    <w:p w14:paraId="18AB7EA7" w14:textId="2F30287D" w:rsidR="00582B37" w:rsidRPr="001A403F" w:rsidRDefault="00FC3521" w:rsidP="002E7076">
      <w:pPr>
        <w:pStyle w:val="1"/>
        <w:adjustRightInd w:val="0"/>
        <w:snapToGrid w:val="0"/>
        <w:spacing w:line="360" w:lineRule="auto"/>
        <w:jc w:val="both"/>
        <w:rPr>
          <w:rFonts w:ascii="Book Antiqua" w:hAnsi="Book Antiqua" w:cs="Times New Roman"/>
          <w:b/>
          <w:color w:val="auto"/>
          <w:sz w:val="24"/>
          <w:szCs w:val="24"/>
          <w:lang w:val="en-US" w:eastAsia="zh-CN"/>
        </w:rPr>
      </w:pPr>
      <w:bookmarkStart w:id="38" w:name="_Hlk38818352"/>
      <w:r w:rsidRPr="001A403F">
        <w:rPr>
          <w:rFonts w:ascii="Book Antiqua" w:hAnsi="Book Antiqua" w:cs="Times New Roman"/>
          <w:b/>
          <w:color w:val="auto"/>
          <w:sz w:val="24"/>
          <w:szCs w:val="24"/>
          <w:lang w:val="en-US" w:eastAsia="zh-CN"/>
        </w:rPr>
        <w:t>Core tip:</w:t>
      </w:r>
      <w:bookmarkEnd w:id="38"/>
      <w:r w:rsidRPr="001A403F">
        <w:rPr>
          <w:rFonts w:ascii="Book Antiqua" w:hAnsi="Book Antiqua" w:cs="Times New Roman"/>
          <w:b/>
          <w:color w:val="auto"/>
          <w:sz w:val="24"/>
          <w:szCs w:val="24"/>
          <w:lang w:val="en-US" w:eastAsia="zh-CN"/>
        </w:rPr>
        <w:t xml:space="preserve"> </w:t>
      </w:r>
      <w:r w:rsidR="00582B37" w:rsidRPr="001A403F">
        <w:rPr>
          <w:rFonts w:ascii="Book Antiqua" w:hAnsi="Book Antiqua" w:cs="Times New Roman"/>
          <w:color w:val="auto"/>
          <w:sz w:val="24"/>
          <w:szCs w:val="24"/>
          <w:lang w:val="en-US" w:eastAsia="zh-CN"/>
        </w:rPr>
        <w:t xml:space="preserve">Critically ill patients with cirrhosis have higher mortality rates in the intensive care unit (ICU) than patients without chronic liver disease. None of the currently available prognostic models have been widely accepted for use in cirrhotic patients in the ICU, perhaps due to complexity of calculation. We believe survival modeling can guide therapeutic decision-making and contribute to cost-effective healthcare resource utilization. We describe the development of a novel model to predict in-hospital mortality in critically ill patients with cirrhosis. Our validated model for predicting </w:t>
      </w:r>
      <w:r w:rsidR="00582B37" w:rsidRPr="001A403F">
        <w:rPr>
          <w:rFonts w:ascii="Book Antiqua" w:hAnsi="Book Antiqua" w:cs="Times New Roman"/>
          <w:color w:val="auto"/>
          <w:sz w:val="24"/>
          <w:szCs w:val="24"/>
          <w:lang w:val="en-US" w:eastAsia="zh-CN"/>
        </w:rPr>
        <w:lastRenderedPageBreak/>
        <w:t>mortality on admission to the ICU performs better than previously published liver and ICU-specific scores.</w:t>
      </w:r>
    </w:p>
    <w:p w14:paraId="12A0C87B" w14:textId="77777777" w:rsidR="00582B37" w:rsidRPr="001A403F" w:rsidRDefault="00582B37" w:rsidP="002E7076">
      <w:pPr>
        <w:adjustRightInd w:val="0"/>
        <w:snapToGrid w:val="0"/>
        <w:spacing w:after="0" w:line="360" w:lineRule="auto"/>
        <w:jc w:val="both"/>
        <w:rPr>
          <w:rFonts w:ascii="Book Antiqua" w:hAnsi="Book Antiqua" w:cs="Times New Roman"/>
          <w:b/>
          <w:sz w:val="24"/>
          <w:szCs w:val="24"/>
        </w:rPr>
      </w:pPr>
    </w:p>
    <w:p w14:paraId="18FE4ABF" w14:textId="76530321" w:rsidR="0005272F" w:rsidRPr="001A403F" w:rsidRDefault="0005272F" w:rsidP="002E7076">
      <w:pPr>
        <w:rPr>
          <w:rFonts w:ascii="Book Antiqua" w:hAnsi="Book Antiqua" w:cs="Times New Roman"/>
          <w:b/>
          <w:sz w:val="24"/>
          <w:szCs w:val="24"/>
        </w:rPr>
      </w:pPr>
      <w:r w:rsidRPr="001A403F">
        <w:rPr>
          <w:rFonts w:ascii="Book Antiqua" w:hAnsi="Book Antiqua" w:cs="Times New Roman"/>
          <w:b/>
          <w:sz w:val="24"/>
          <w:szCs w:val="24"/>
        </w:rPr>
        <w:br w:type="page"/>
      </w:r>
    </w:p>
    <w:p w14:paraId="5B5C2A71" w14:textId="22C8AA5B" w:rsidR="003D150B" w:rsidRPr="001A403F" w:rsidRDefault="0005272F" w:rsidP="002E7076">
      <w:pPr>
        <w:adjustRightInd w:val="0"/>
        <w:snapToGrid w:val="0"/>
        <w:spacing w:after="0" w:line="360" w:lineRule="auto"/>
        <w:jc w:val="both"/>
        <w:rPr>
          <w:rFonts w:ascii="Book Antiqua" w:hAnsi="Book Antiqua" w:cs="Times New Roman"/>
          <w:b/>
          <w:sz w:val="24"/>
          <w:szCs w:val="24"/>
        </w:rPr>
      </w:pPr>
      <w:bookmarkStart w:id="39" w:name="_Hlk38819385"/>
      <w:r w:rsidRPr="001A403F">
        <w:rPr>
          <w:rFonts w:ascii="Book Antiqua" w:hAnsi="Book Antiqua" w:cs="Times New Roman"/>
          <w:b/>
          <w:sz w:val="24"/>
          <w:szCs w:val="24"/>
          <w:u w:val="single"/>
        </w:rPr>
        <w:lastRenderedPageBreak/>
        <w:t>INTRODUCTION</w:t>
      </w:r>
      <w:bookmarkEnd w:id="39"/>
    </w:p>
    <w:p w14:paraId="79D516E0" w14:textId="6482B093" w:rsidR="003D150B" w:rsidRPr="001A403F" w:rsidRDefault="003D150B" w:rsidP="002E7076">
      <w:pPr>
        <w:adjustRightInd w:val="0"/>
        <w:snapToGrid w:val="0"/>
        <w:spacing w:after="0" w:line="360" w:lineRule="auto"/>
        <w:jc w:val="both"/>
        <w:rPr>
          <w:rFonts w:ascii="Book Antiqua" w:hAnsi="Book Antiqua" w:cs="Times New Roman"/>
          <w:b/>
          <w:sz w:val="24"/>
          <w:szCs w:val="24"/>
        </w:rPr>
      </w:pPr>
      <w:r w:rsidRPr="001A403F">
        <w:rPr>
          <w:rFonts w:ascii="Book Antiqua" w:hAnsi="Book Antiqua" w:cs="Times New Roman"/>
          <w:sz w:val="24"/>
          <w:szCs w:val="24"/>
        </w:rPr>
        <w:t xml:space="preserve">Patients with cirrhosis, particularly those with acute decompensation </w:t>
      </w:r>
      <w:r w:rsidR="00570E82" w:rsidRPr="001A403F">
        <w:rPr>
          <w:rFonts w:ascii="Book Antiqua" w:hAnsi="Book Antiqua" w:cs="Times New Roman"/>
          <w:sz w:val="24"/>
          <w:szCs w:val="24"/>
        </w:rPr>
        <w:t xml:space="preserve">necessitating </w:t>
      </w:r>
      <w:r w:rsidRPr="001A403F">
        <w:rPr>
          <w:rFonts w:ascii="Book Antiqua" w:hAnsi="Book Antiqua" w:cs="Times New Roman"/>
          <w:sz w:val="24"/>
          <w:szCs w:val="24"/>
        </w:rPr>
        <w:t>intensive care unit (ICU) admission, are at elevated risk for short-term mortality</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vertAlign w:val="superscript"/>
        </w:rPr>
        <w:t>1-3</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Acute-on-chronic liver failure, as defined by sequential organ failure in patients with cirrhosis, portends a poorer prognosis, with 28-day mortality </w:t>
      </w:r>
      <w:r w:rsidR="00F14B24" w:rsidRPr="001A403F">
        <w:rPr>
          <w:rFonts w:ascii="Book Antiqua" w:hAnsi="Book Antiqua" w:cs="Times New Roman"/>
          <w:sz w:val="24"/>
          <w:szCs w:val="24"/>
        </w:rPr>
        <w:t>approaching 80%</w:t>
      </w:r>
      <w:r w:rsidRPr="001A403F">
        <w:rPr>
          <w:rFonts w:ascii="Book Antiqua" w:hAnsi="Book Antiqua" w:cs="Times New Roman"/>
          <w:sz w:val="24"/>
          <w:szCs w:val="24"/>
        </w:rPr>
        <w:t xml:space="preserve"> in patients with 3 or more organ failures</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vertAlign w:val="superscript"/>
        </w:rPr>
        <w:t>1</w:t>
      </w:r>
      <w:r w:rsidR="00F14B24" w:rsidRPr="001A403F">
        <w:rPr>
          <w:rFonts w:ascii="Book Antiqua" w:hAnsi="Book Antiqua" w:cs="Times New Roman"/>
          <w:sz w:val="24"/>
          <w:szCs w:val="24"/>
          <w:vertAlign w:val="superscript"/>
        </w:rPr>
        <w:t>,4-</w:t>
      </w:r>
      <w:r w:rsidR="00E63664" w:rsidRPr="001A403F">
        <w:rPr>
          <w:rFonts w:ascii="Book Antiqua" w:hAnsi="Book Antiqua" w:cs="Times New Roman"/>
          <w:sz w:val="24"/>
          <w:szCs w:val="24"/>
          <w:vertAlign w:val="superscript"/>
        </w:rPr>
        <w:t>7]</w:t>
      </w:r>
      <w:r w:rsidRPr="001A403F">
        <w:rPr>
          <w:rFonts w:ascii="Book Antiqua" w:hAnsi="Book Antiqua" w:cs="Times New Roman"/>
          <w:sz w:val="24"/>
          <w:szCs w:val="24"/>
        </w:rPr>
        <w:t>. The most recent data from the nationwide inpatient sample in the United States estimates that more than 26000 patients with cirrhosis are admitted to ICUs annually, of which less than half (</w:t>
      </w:r>
      <w:r w:rsidR="005233B4" w:rsidRPr="001A403F">
        <w:rPr>
          <w:rFonts w:ascii="Book Antiqua" w:hAnsi="Book Antiqua" w:cs="Times New Roman"/>
          <w:sz w:val="24"/>
          <w:szCs w:val="24"/>
        </w:rPr>
        <w:t xml:space="preserve">about </w:t>
      </w:r>
      <w:r w:rsidRPr="001A403F">
        <w:rPr>
          <w:rFonts w:ascii="Book Antiqua" w:hAnsi="Book Antiqua" w:cs="Times New Roman"/>
          <w:sz w:val="24"/>
          <w:szCs w:val="24"/>
        </w:rPr>
        <w:t>47%) survive hospitalization</w:t>
      </w:r>
      <w:r w:rsidR="00386A45" w:rsidRPr="001A403F">
        <w:rPr>
          <w:rFonts w:ascii="Book Antiqua" w:hAnsi="Book Antiqua" w:cs="Times New Roman"/>
          <w:sz w:val="24"/>
          <w:szCs w:val="24"/>
          <w:vertAlign w:val="superscript"/>
        </w:rPr>
        <w:t>[</w:t>
      </w:r>
      <w:r w:rsidR="00F17449" w:rsidRPr="001A403F">
        <w:rPr>
          <w:rFonts w:ascii="Book Antiqua" w:hAnsi="Book Antiqua" w:cs="Times New Roman"/>
          <w:sz w:val="24"/>
          <w:szCs w:val="24"/>
          <w:vertAlign w:val="superscript"/>
        </w:rPr>
        <w:t>7,8</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Critical care for patients with cirrhosis is estimated to cost upwards of </w:t>
      </w:r>
      <w:r w:rsidR="005233B4" w:rsidRPr="001A403F">
        <w:rPr>
          <w:rFonts w:ascii="Book Antiqua" w:hAnsi="Book Antiqua" w:cs="Times New Roman"/>
          <w:sz w:val="24"/>
          <w:szCs w:val="24"/>
        </w:rPr>
        <w:t>United States</w:t>
      </w:r>
      <w:r w:rsidRPr="001A403F">
        <w:rPr>
          <w:rFonts w:ascii="Book Antiqua" w:hAnsi="Book Antiqua" w:cs="Times New Roman"/>
          <w:sz w:val="24"/>
          <w:szCs w:val="24"/>
        </w:rPr>
        <w:t xml:space="preserve"> $3 billion annually, with each admission totaling on average </w:t>
      </w:r>
      <w:r w:rsidR="005233B4" w:rsidRPr="001A403F">
        <w:rPr>
          <w:rFonts w:ascii="Book Antiqua" w:hAnsi="Book Antiqua" w:cs="Times New Roman"/>
          <w:sz w:val="24"/>
          <w:szCs w:val="24"/>
        </w:rPr>
        <w:t>United States</w:t>
      </w:r>
      <w:r w:rsidRPr="001A403F">
        <w:rPr>
          <w:rFonts w:ascii="Book Antiqua" w:hAnsi="Book Antiqua" w:cs="Times New Roman"/>
          <w:sz w:val="24"/>
          <w:szCs w:val="24"/>
        </w:rPr>
        <w:t xml:space="preserve"> $116200</w:t>
      </w:r>
      <w:r w:rsidR="00386A45" w:rsidRPr="001A403F">
        <w:rPr>
          <w:rFonts w:ascii="Book Antiqua" w:hAnsi="Book Antiqua" w:cs="Times New Roman"/>
          <w:sz w:val="24"/>
          <w:szCs w:val="24"/>
          <w:vertAlign w:val="superscript"/>
        </w:rPr>
        <w:t>[</w:t>
      </w:r>
      <w:r w:rsidR="00F17449" w:rsidRPr="001A403F">
        <w:rPr>
          <w:rFonts w:ascii="Book Antiqua" w:hAnsi="Book Antiqua" w:cs="Times New Roman"/>
          <w:sz w:val="24"/>
          <w:szCs w:val="24"/>
          <w:vertAlign w:val="superscript"/>
        </w:rPr>
        <w:t>8</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Survival analysis tools aid in the early identification of critically ill patients, which, when applied as part of therapeutic decision-making, can help guide goals of critical care discussions with patients and their families, and may contribute to cost-effective healthcare resource utilization</w:t>
      </w:r>
      <w:r w:rsidR="00386A45" w:rsidRPr="001A403F">
        <w:rPr>
          <w:rFonts w:ascii="Book Antiqua" w:hAnsi="Book Antiqua" w:cs="Times New Roman"/>
          <w:sz w:val="24"/>
          <w:szCs w:val="24"/>
          <w:vertAlign w:val="superscript"/>
        </w:rPr>
        <w:t>[</w:t>
      </w:r>
      <w:r w:rsidR="00F17449" w:rsidRPr="001A403F">
        <w:rPr>
          <w:rFonts w:ascii="Book Antiqua" w:hAnsi="Book Antiqua" w:cs="Times New Roman"/>
          <w:sz w:val="24"/>
          <w:szCs w:val="24"/>
          <w:vertAlign w:val="superscript"/>
        </w:rPr>
        <w:t>9</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w:t>
      </w:r>
    </w:p>
    <w:p w14:paraId="617C724F" w14:textId="526C6221" w:rsidR="003D150B"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To this end, the Acute Physiology and Chronic Health Evaluation (APACHE) methodology</w:t>
      </w:r>
      <w:r w:rsidR="00386A45" w:rsidRPr="001A403F">
        <w:rPr>
          <w:rFonts w:ascii="Book Antiqua" w:hAnsi="Book Antiqua" w:cs="Times New Roman"/>
          <w:sz w:val="24"/>
          <w:szCs w:val="24"/>
          <w:vertAlign w:val="superscript"/>
        </w:rPr>
        <w:t>[</w:t>
      </w:r>
      <w:r w:rsidR="00381298" w:rsidRPr="001A403F">
        <w:rPr>
          <w:rFonts w:ascii="Book Antiqua" w:hAnsi="Book Antiqua" w:cs="Times New Roman"/>
          <w:sz w:val="24"/>
          <w:szCs w:val="24"/>
          <w:vertAlign w:val="superscript"/>
        </w:rPr>
        <w:t>10</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and the Simplified Acute Physiology Score (APS)</w:t>
      </w:r>
      <w:r w:rsidR="00386A45" w:rsidRPr="001A403F">
        <w:rPr>
          <w:rFonts w:ascii="Book Antiqua" w:hAnsi="Book Antiqua" w:cs="Times New Roman"/>
          <w:sz w:val="24"/>
          <w:szCs w:val="24"/>
          <w:vertAlign w:val="superscript"/>
        </w:rPr>
        <w:t>[</w:t>
      </w:r>
      <w:r w:rsidR="00381298" w:rsidRPr="001A403F">
        <w:rPr>
          <w:rFonts w:ascii="Book Antiqua" w:hAnsi="Book Antiqua" w:cs="Times New Roman"/>
          <w:sz w:val="24"/>
          <w:szCs w:val="24"/>
          <w:vertAlign w:val="superscript"/>
        </w:rPr>
        <w:t>11</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are widely</w:t>
      </w:r>
      <w:r w:rsidR="00570E82" w:rsidRPr="001A403F">
        <w:rPr>
          <w:rFonts w:ascii="Book Antiqua" w:hAnsi="Book Antiqua" w:cs="Times New Roman"/>
          <w:sz w:val="24"/>
          <w:szCs w:val="24"/>
        </w:rPr>
        <w:t xml:space="preserve"> applied</w:t>
      </w:r>
      <w:r w:rsidRPr="001A403F">
        <w:rPr>
          <w:rFonts w:ascii="Book Antiqua" w:hAnsi="Book Antiqua" w:cs="Times New Roman"/>
          <w:sz w:val="24"/>
          <w:szCs w:val="24"/>
        </w:rPr>
        <w:t xml:space="preserve"> to </w:t>
      </w:r>
      <w:r w:rsidR="0022363A" w:rsidRPr="001A403F">
        <w:rPr>
          <w:rFonts w:ascii="Book Antiqua" w:hAnsi="Book Antiqua" w:cs="Times New Roman"/>
          <w:sz w:val="24"/>
          <w:szCs w:val="24"/>
        </w:rPr>
        <w:t>estimate the</w:t>
      </w:r>
      <w:r w:rsidRPr="001A403F">
        <w:rPr>
          <w:rFonts w:ascii="Book Antiqua" w:hAnsi="Book Antiqua" w:cs="Times New Roman"/>
          <w:sz w:val="24"/>
          <w:szCs w:val="24"/>
        </w:rPr>
        <w:t xml:space="preserve"> risk of </w:t>
      </w:r>
      <w:r w:rsidR="00520D4B" w:rsidRPr="001A403F">
        <w:rPr>
          <w:rFonts w:ascii="Book Antiqua" w:hAnsi="Book Antiqua" w:cs="Times New Roman"/>
          <w:sz w:val="24"/>
          <w:szCs w:val="24"/>
        </w:rPr>
        <w:t xml:space="preserve">inpatient mortality based on values </w:t>
      </w:r>
      <w:r w:rsidR="0022363A" w:rsidRPr="001A403F">
        <w:rPr>
          <w:rFonts w:ascii="Book Antiqua" w:hAnsi="Book Antiqua" w:cs="Times New Roman"/>
          <w:sz w:val="24"/>
          <w:szCs w:val="24"/>
        </w:rPr>
        <w:t>collected</w:t>
      </w:r>
      <w:r w:rsidRPr="001A403F">
        <w:rPr>
          <w:rFonts w:ascii="Book Antiqua" w:hAnsi="Book Antiqua" w:cs="Times New Roman"/>
          <w:sz w:val="24"/>
          <w:szCs w:val="24"/>
        </w:rPr>
        <w:t xml:space="preserve"> </w:t>
      </w:r>
      <w:r w:rsidR="0022363A" w:rsidRPr="001A403F">
        <w:rPr>
          <w:rFonts w:ascii="Book Antiqua" w:hAnsi="Book Antiqua" w:cs="Times New Roman"/>
          <w:sz w:val="24"/>
          <w:szCs w:val="24"/>
        </w:rPr>
        <w:t xml:space="preserve">from </w:t>
      </w:r>
      <w:r w:rsidRPr="001A403F">
        <w:rPr>
          <w:rFonts w:ascii="Book Antiqua" w:hAnsi="Book Antiqua" w:cs="Times New Roman"/>
          <w:sz w:val="24"/>
          <w:szCs w:val="24"/>
        </w:rPr>
        <w:t xml:space="preserve">within the first 24 hours of </w:t>
      </w:r>
      <w:r w:rsidR="0022363A" w:rsidRPr="001A403F">
        <w:rPr>
          <w:rFonts w:ascii="Book Antiqua" w:hAnsi="Book Antiqua" w:cs="Times New Roman"/>
          <w:sz w:val="24"/>
          <w:szCs w:val="24"/>
        </w:rPr>
        <w:t>critical care admission</w:t>
      </w:r>
      <w:r w:rsidRPr="001A403F">
        <w:rPr>
          <w:rFonts w:ascii="Book Antiqua" w:hAnsi="Book Antiqua" w:cs="Times New Roman"/>
          <w:sz w:val="24"/>
          <w:szCs w:val="24"/>
        </w:rPr>
        <w:t xml:space="preserve">. Similarly, the Sequential (or Sepsis-Related) Organ Failure Assessment (SOFA) is </w:t>
      </w:r>
      <w:r w:rsidR="00CF11F8" w:rsidRPr="001A403F">
        <w:rPr>
          <w:rFonts w:ascii="Book Antiqua" w:hAnsi="Book Antiqua" w:cs="Times New Roman"/>
          <w:sz w:val="24"/>
          <w:szCs w:val="24"/>
        </w:rPr>
        <w:t xml:space="preserve">commonly </w:t>
      </w:r>
      <w:r w:rsidRPr="001A403F">
        <w:rPr>
          <w:rFonts w:ascii="Book Antiqua" w:hAnsi="Book Antiqua" w:cs="Times New Roman"/>
          <w:sz w:val="24"/>
          <w:szCs w:val="24"/>
        </w:rPr>
        <w:t>used to describe, compare, and track a patient's clinical course in the ICU</w:t>
      </w:r>
      <w:r w:rsidR="00386A45" w:rsidRPr="001A403F">
        <w:rPr>
          <w:rFonts w:ascii="Book Antiqua" w:hAnsi="Book Antiqua" w:cs="Times New Roman"/>
          <w:sz w:val="24"/>
          <w:szCs w:val="24"/>
          <w:vertAlign w:val="superscript"/>
        </w:rPr>
        <w:t>[</w:t>
      </w:r>
      <w:r w:rsidR="00381298" w:rsidRPr="001A403F">
        <w:rPr>
          <w:rFonts w:ascii="Book Antiqua" w:hAnsi="Book Antiqua" w:cs="Times New Roman"/>
          <w:sz w:val="24"/>
          <w:szCs w:val="24"/>
          <w:vertAlign w:val="superscript"/>
        </w:rPr>
        <w:t>9]</w:t>
      </w:r>
      <w:r w:rsidRPr="001A403F">
        <w:rPr>
          <w:rFonts w:ascii="Book Antiqua" w:hAnsi="Book Antiqua" w:cs="Times New Roman"/>
          <w:sz w:val="24"/>
          <w:szCs w:val="24"/>
        </w:rPr>
        <w:t xml:space="preserve">. </w:t>
      </w:r>
      <w:r w:rsidR="002644D4" w:rsidRPr="001A403F">
        <w:rPr>
          <w:rFonts w:ascii="Book Antiqua" w:eastAsia="Times New Roman" w:hAnsi="Book Antiqua" w:cs="Times New Roman"/>
          <w:sz w:val="24"/>
          <w:szCs w:val="24"/>
        </w:rPr>
        <w:t xml:space="preserve">On the other hand, liver-specific scores, such as the Child-Pugh Score, Model for End-Stage Liver Disease (MELD), MELD-Sodium (MELD-Na) and Chronic Liver Failure-SOFA (CLIF-SOFA) are </w:t>
      </w:r>
      <w:r w:rsidR="00A9135C" w:rsidRPr="001A403F">
        <w:rPr>
          <w:rFonts w:ascii="Book Antiqua" w:eastAsia="Times New Roman" w:hAnsi="Book Antiqua" w:cs="Times New Roman"/>
          <w:sz w:val="24"/>
          <w:szCs w:val="24"/>
        </w:rPr>
        <w:t xml:space="preserve">broadly </w:t>
      </w:r>
      <w:r w:rsidR="00672B07" w:rsidRPr="001A403F">
        <w:rPr>
          <w:rFonts w:ascii="Book Antiqua" w:eastAsia="Times New Roman" w:hAnsi="Book Antiqua" w:cs="Times New Roman"/>
          <w:sz w:val="24"/>
          <w:szCs w:val="24"/>
        </w:rPr>
        <w:t>applied in patients with liver disease</w:t>
      </w:r>
      <w:r w:rsidR="002644D4" w:rsidRPr="001A403F">
        <w:rPr>
          <w:rFonts w:ascii="Book Antiqua" w:eastAsia="Times New Roman" w:hAnsi="Book Antiqua" w:cs="Times New Roman"/>
          <w:sz w:val="24"/>
          <w:szCs w:val="24"/>
        </w:rPr>
        <w:t xml:space="preserve"> to predict 90-day mortality, allocate </w:t>
      </w:r>
      <w:r w:rsidR="00CF11F8" w:rsidRPr="001A403F">
        <w:rPr>
          <w:rFonts w:ascii="Book Antiqua" w:eastAsia="Times New Roman" w:hAnsi="Book Antiqua" w:cs="Times New Roman"/>
          <w:sz w:val="24"/>
          <w:szCs w:val="24"/>
        </w:rPr>
        <w:t xml:space="preserve">donor </w:t>
      </w:r>
      <w:r w:rsidR="002644D4" w:rsidRPr="001A403F">
        <w:rPr>
          <w:rFonts w:ascii="Book Antiqua" w:eastAsia="Times New Roman" w:hAnsi="Book Antiqua" w:cs="Times New Roman"/>
          <w:sz w:val="24"/>
          <w:szCs w:val="24"/>
        </w:rPr>
        <w:t xml:space="preserve">organs for </w:t>
      </w:r>
      <w:r w:rsidR="00CF11F8" w:rsidRPr="001A403F">
        <w:rPr>
          <w:rFonts w:ascii="Book Antiqua" w:eastAsia="Times New Roman" w:hAnsi="Book Antiqua" w:cs="Times New Roman"/>
          <w:sz w:val="24"/>
          <w:szCs w:val="24"/>
        </w:rPr>
        <w:t>liver t</w:t>
      </w:r>
      <w:r w:rsidR="002644D4" w:rsidRPr="001A403F">
        <w:rPr>
          <w:rFonts w:ascii="Book Antiqua" w:eastAsia="Times New Roman" w:hAnsi="Book Antiqua" w:cs="Times New Roman"/>
          <w:sz w:val="24"/>
          <w:szCs w:val="24"/>
        </w:rPr>
        <w:t xml:space="preserve">ransplantation, and </w:t>
      </w:r>
      <w:r w:rsidR="00CF11F8" w:rsidRPr="001A403F">
        <w:rPr>
          <w:rFonts w:ascii="Book Antiqua" w:eastAsia="Times New Roman" w:hAnsi="Book Antiqua" w:cs="Times New Roman"/>
          <w:sz w:val="24"/>
          <w:szCs w:val="24"/>
        </w:rPr>
        <w:t xml:space="preserve">to </w:t>
      </w:r>
      <w:r w:rsidR="002644D4" w:rsidRPr="001A403F">
        <w:rPr>
          <w:rFonts w:ascii="Book Antiqua" w:eastAsia="Times New Roman" w:hAnsi="Book Antiqua" w:cs="Times New Roman"/>
          <w:sz w:val="24"/>
          <w:szCs w:val="24"/>
        </w:rPr>
        <w:t xml:space="preserve">define </w:t>
      </w:r>
      <w:r w:rsidR="00672B07" w:rsidRPr="001A403F">
        <w:rPr>
          <w:rFonts w:ascii="Book Antiqua" w:eastAsia="Times New Roman" w:hAnsi="Book Antiqua" w:cs="Times New Roman"/>
          <w:sz w:val="24"/>
          <w:szCs w:val="24"/>
        </w:rPr>
        <w:t>hepatic decompensation as well as acute-on-chronic liver failure</w:t>
      </w:r>
      <w:r w:rsidR="00672B07" w:rsidRPr="001A403F">
        <w:rPr>
          <w:rFonts w:ascii="Book Antiqua" w:eastAsia="Times New Roman" w:hAnsi="Book Antiqua" w:cs="Times New Roman"/>
          <w:sz w:val="24"/>
          <w:szCs w:val="24"/>
          <w:vertAlign w:val="superscript"/>
        </w:rPr>
        <w:t>[</w:t>
      </w:r>
      <w:r w:rsidR="000D1B4D" w:rsidRPr="001A403F">
        <w:rPr>
          <w:rFonts w:ascii="Book Antiqua" w:eastAsia="Times New Roman" w:hAnsi="Book Antiqua" w:cs="Times New Roman"/>
          <w:sz w:val="24"/>
          <w:szCs w:val="24"/>
          <w:vertAlign w:val="superscript"/>
        </w:rPr>
        <w:t>1,</w:t>
      </w:r>
      <w:r w:rsidR="00381298" w:rsidRPr="001A403F">
        <w:rPr>
          <w:rFonts w:ascii="Book Antiqua" w:eastAsia="Times New Roman" w:hAnsi="Book Antiqua" w:cs="Times New Roman"/>
          <w:sz w:val="24"/>
          <w:szCs w:val="24"/>
          <w:vertAlign w:val="superscript"/>
        </w:rPr>
        <w:t>12-16</w:t>
      </w:r>
      <w:r w:rsidR="00CD570F" w:rsidRPr="001A403F">
        <w:rPr>
          <w:rFonts w:ascii="Book Antiqua" w:eastAsia="Times New Roman" w:hAnsi="Book Antiqua" w:cs="Times New Roman"/>
          <w:sz w:val="24"/>
          <w:szCs w:val="24"/>
          <w:vertAlign w:val="superscript"/>
        </w:rPr>
        <w:t>]</w:t>
      </w:r>
      <w:r w:rsidR="002644D4" w:rsidRPr="001A403F">
        <w:rPr>
          <w:rFonts w:ascii="Book Antiqua" w:eastAsia="Times New Roman" w:hAnsi="Book Antiqua" w:cs="Times New Roman"/>
          <w:sz w:val="24"/>
          <w:szCs w:val="24"/>
        </w:rPr>
        <w:t xml:space="preserve">. </w:t>
      </w:r>
      <w:r w:rsidRPr="001A403F">
        <w:rPr>
          <w:rFonts w:ascii="Book Antiqua" w:hAnsi="Book Antiqua" w:cs="Times New Roman"/>
          <w:sz w:val="24"/>
          <w:szCs w:val="24"/>
        </w:rPr>
        <w:t xml:space="preserve">Critical care scoring systems that include the assessment of organ dysfunction have generally performed as well, or better, in patients with cirrhosis than </w:t>
      </w:r>
      <w:r w:rsidR="00672B07" w:rsidRPr="001A403F">
        <w:rPr>
          <w:rFonts w:ascii="Book Antiqua" w:hAnsi="Book Antiqua" w:cs="Times New Roman"/>
          <w:sz w:val="24"/>
          <w:szCs w:val="24"/>
        </w:rPr>
        <w:t xml:space="preserve">these </w:t>
      </w:r>
      <w:r w:rsidRPr="001A403F">
        <w:rPr>
          <w:rFonts w:ascii="Book Antiqua" w:hAnsi="Book Antiqua" w:cs="Times New Roman"/>
          <w:sz w:val="24"/>
          <w:szCs w:val="24"/>
        </w:rPr>
        <w:t>liver-specific models for short-term mortality</w:t>
      </w:r>
      <w:r w:rsidR="00386A45" w:rsidRPr="001A403F">
        <w:rPr>
          <w:rFonts w:ascii="Book Antiqua" w:hAnsi="Book Antiqua" w:cs="Times New Roman"/>
          <w:sz w:val="24"/>
          <w:szCs w:val="24"/>
          <w:vertAlign w:val="superscript"/>
        </w:rPr>
        <w:t>[</w:t>
      </w:r>
      <w:r w:rsidR="00922428" w:rsidRPr="001A403F">
        <w:rPr>
          <w:rFonts w:ascii="Book Antiqua" w:hAnsi="Book Antiqua" w:cs="Times New Roman"/>
          <w:sz w:val="24"/>
          <w:szCs w:val="24"/>
          <w:vertAlign w:val="superscript"/>
        </w:rPr>
        <w:t>1,</w:t>
      </w:r>
      <w:r w:rsidR="00381298" w:rsidRPr="001A403F">
        <w:rPr>
          <w:rFonts w:ascii="Book Antiqua" w:hAnsi="Book Antiqua" w:cs="Times New Roman"/>
          <w:sz w:val="24"/>
          <w:szCs w:val="24"/>
          <w:vertAlign w:val="superscript"/>
        </w:rPr>
        <w:t>17-28</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However, none of these prognostic models have been widely accepted for use in clinical practice, perhaps due to complexity of calculation, or lack of universal variables readily available for cirrhotic patients in the ICU. </w:t>
      </w:r>
      <w:r w:rsidR="003850FF" w:rsidRPr="001A403F">
        <w:rPr>
          <w:rFonts w:ascii="Book Antiqua" w:hAnsi="Book Antiqua" w:cs="Times New Roman"/>
          <w:sz w:val="24"/>
          <w:szCs w:val="24"/>
        </w:rPr>
        <w:t xml:space="preserve">We aimed to identify markers that best identify likelihood of </w:t>
      </w:r>
      <w:r w:rsidR="00C965AE" w:rsidRPr="001A403F">
        <w:rPr>
          <w:rFonts w:ascii="Book Antiqua" w:hAnsi="Book Antiqua" w:cs="Times New Roman"/>
          <w:sz w:val="24"/>
          <w:szCs w:val="24"/>
        </w:rPr>
        <w:t xml:space="preserve">transplant-free </w:t>
      </w:r>
      <w:r w:rsidR="003850FF" w:rsidRPr="001A403F">
        <w:rPr>
          <w:rFonts w:ascii="Book Antiqua" w:hAnsi="Book Antiqua" w:cs="Times New Roman"/>
          <w:sz w:val="24"/>
          <w:szCs w:val="24"/>
        </w:rPr>
        <w:lastRenderedPageBreak/>
        <w:t xml:space="preserve">survival </w:t>
      </w:r>
      <w:r w:rsidR="00C965AE" w:rsidRPr="001A403F">
        <w:rPr>
          <w:rFonts w:ascii="Book Antiqua" w:hAnsi="Book Antiqua" w:cs="Times New Roman"/>
          <w:sz w:val="24"/>
          <w:szCs w:val="24"/>
        </w:rPr>
        <w:t xml:space="preserve">in critically ill patients with cirrhosis </w:t>
      </w:r>
      <w:r w:rsidR="003850FF" w:rsidRPr="001A403F">
        <w:rPr>
          <w:rFonts w:ascii="Book Antiqua" w:hAnsi="Book Antiqua" w:cs="Times New Roman"/>
          <w:sz w:val="24"/>
          <w:szCs w:val="24"/>
        </w:rPr>
        <w:t>and to determine the performan</w:t>
      </w:r>
      <w:r w:rsidR="00C965AE" w:rsidRPr="001A403F">
        <w:rPr>
          <w:rFonts w:ascii="Book Antiqua" w:hAnsi="Book Antiqua" w:cs="Times New Roman"/>
          <w:sz w:val="24"/>
          <w:szCs w:val="24"/>
        </w:rPr>
        <w:t>ce of existing survival models.</w:t>
      </w:r>
    </w:p>
    <w:p w14:paraId="1B575569" w14:textId="77777777" w:rsidR="003D150B" w:rsidRPr="001A403F" w:rsidRDefault="003D150B" w:rsidP="002E7076">
      <w:pPr>
        <w:adjustRightInd w:val="0"/>
        <w:snapToGrid w:val="0"/>
        <w:spacing w:after="0" w:line="360" w:lineRule="auto"/>
        <w:jc w:val="both"/>
        <w:rPr>
          <w:rFonts w:ascii="Book Antiqua" w:hAnsi="Book Antiqua" w:cs="Times New Roman"/>
          <w:b/>
          <w:sz w:val="24"/>
          <w:szCs w:val="24"/>
        </w:rPr>
      </w:pPr>
    </w:p>
    <w:p w14:paraId="0074703F" w14:textId="1C188E7D" w:rsidR="003D150B" w:rsidRPr="001A403F" w:rsidRDefault="005233B4" w:rsidP="002E7076">
      <w:pPr>
        <w:adjustRightInd w:val="0"/>
        <w:snapToGrid w:val="0"/>
        <w:spacing w:after="0" w:line="360" w:lineRule="auto"/>
        <w:jc w:val="both"/>
        <w:rPr>
          <w:rFonts w:ascii="Book Antiqua" w:hAnsi="Book Antiqua" w:cs="Times New Roman"/>
          <w:b/>
          <w:sz w:val="24"/>
          <w:szCs w:val="24"/>
        </w:rPr>
      </w:pPr>
      <w:bookmarkStart w:id="40" w:name="_Hlk38819464"/>
      <w:r w:rsidRPr="001A403F">
        <w:rPr>
          <w:rFonts w:ascii="Book Antiqua" w:hAnsi="Book Antiqua" w:cs="Times New Roman"/>
          <w:b/>
          <w:sz w:val="24"/>
          <w:szCs w:val="24"/>
          <w:u w:val="single"/>
        </w:rPr>
        <w:t>MATERIALS AND METHODS</w:t>
      </w:r>
      <w:bookmarkEnd w:id="40"/>
    </w:p>
    <w:p w14:paraId="38C97255" w14:textId="7B779E87" w:rsidR="003850FF" w:rsidRPr="001A403F" w:rsidRDefault="003850FF" w:rsidP="002E7076">
      <w:pPr>
        <w:adjustRightInd w:val="0"/>
        <w:snapToGrid w:val="0"/>
        <w:spacing w:after="0" w:line="360" w:lineRule="auto"/>
        <w:jc w:val="both"/>
        <w:rPr>
          <w:rFonts w:ascii="Book Antiqua" w:hAnsi="Book Antiqua" w:cs="Times New Roman"/>
          <w:b/>
          <w:i/>
          <w:sz w:val="24"/>
          <w:szCs w:val="24"/>
        </w:rPr>
      </w:pPr>
      <w:r w:rsidRPr="001A403F">
        <w:rPr>
          <w:rFonts w:ascii="Book Antiqua" w:hAnsi="Book Antiqua" w:cs="Times New Roman"/>
          <w:b/>
          <w:i/>
          <w:sz w:val="24"/>
          <w:szCs w:val="24"/>
        </w:rPr>
        <w:t xml:space="preserve">Study </w:t>
      </w:r>
      <w:r w:rsidR="005233B4" w:rsidRPr="001A403F">
        <w:rPr>
          <w:rFonts w:ascii="Book Antiqua" w:hAnsi="Book Antiqua" w:cs="Times New Roman"/>
          <w:b/>
          <w:i/>
          <w:sz w:val="24"/>
          <w:szCs w:val="24"/>
        </w:rPr>
        <w:t>a</w:t>
      </w:r>
      <w:r w:rsidRPr="001A403F">
        <w:rPr>
          <w:rFonts w:ascii="Book Antiqua" w:hAnsi="Book Antiqua" w:cs="Times New Roman"/>
          <w:b/>
          <w:i/>
          <w:sz w:val="24"/>
          <w:szCs w:val="24"/>
        </w:rPr>
        <w:t>ims</w:t>
      </w:r>
    </w:p>
    <w:p w14:paraId="2333EE70" w14:textId="24C76512" w:rsidR="003850FF" w:rsidRPr="001A403F" w:rsidRDefault="003850FF"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The aims of this study are to: (1) </w:t>
      </w:r>
      <w:r w:rsidR="005233B4" w:rsidRPr="001A403F">
        <w:rPr>
          <w:rFonts w:ascii="Book Antiqua" w:hAnsi="Book Antiqua" w:cs="Times New Roman"/>
          <w:sz w:val="24"/>
          <w:szCs w:val="24"/>
        </w:rPr>
        <w:t>I</w:t>
      </w:r>
      <w:r w:rsidRPr="001A403F">
        <w:rPr>
          <w:rFonts w:ascii="Book Antiqua" w:hAnsi="Book Antiqua" w:cs="Times New Roman"/>
          <w:sz w:val="24"/>
          <w:szCs w:val="24"/>
        </w:rPr>
        <w:t>dentify clinical and laboratory markers universally available at the time of ICU admission that best identify the likelihood of survival</w:t>
      </w:r>
      <w:r w:rsidR="00B76356">
        <w:rPr>
          <w:rFonts w:ascii="Book Antiqua" w:hAnsi="Book Antiqua" w:cs="Times New Roman"/>
          <w:sz w:val="24"/>
          <w:szCs w:val="24"/>
        </w:rPr>
        <w:t>;</w:t>
      </w:r>
      <w:r w:rsidRPr="001A403F">
        <w:rPr>
          <w:rFonts w:ascii="Book Antiqua" w:hAnsi="Book Antiqua" w:cs="Times New Roman"/>
          <w:sz w:val="24"/>
          <w:szCs w:val="24"/>
        </w:rPr>
        <w:t xml:space="preserve"> and (2) </w:t>
      </w:r>
      <w:r w:rsidR="005233B4" w:rsidRPr="001A403F">
        <w:rPr>
          <w:rFonts w:ascii="Book Antiqua" w:hAnsi="Book Antiqua" w:cs="Times New Roman"/>
          <w:sz w:val="24"/>
          <w:szCs w:val="24"/>
        </w:rPr>
        <w:t>T</w:t>
      </w:r>
      <w:r w:rsidRPr="001A403F">
        <w:rPr>
          <w:rFonts w:ascii="Book Antiqua" w:hAnsi="Book Antiqua" w:cs="Times New Roman"/>
          <w:sz w:val="24"/>
          <w:szCs w:val="24"/>
        </w:rPr>
        <w:t xml:space="preserve">o compare this model to existing survival models. </w:t>
      </w:r>
    </w:p>
    <w:p w14:paraId="5ABA06C0" w14:textId="77777777" w:rsidR="00C965AE" w:rsidRPr="001A403F" w:rsidRDefault="00C965AE" w:rsidP="002E7076">
      <w:pPr>
        <w:adjustRightInd w:val="0"/>
        <w:snapToGrid w:val="0"/>
        <w:spacing w:after="0" w:line="360" w:lineRule="auto"/>
        <w:jc w:val="both"/>
        <w:rPr>
          <w:rFonts w:ascii="Book Antiqua" w:hAnsi="Book Antiqua" w:cs="Times New Roman"/>
          <w:sz w:val="24"/>
          <w:szCs w:val="24"/>
        </w:rPr>
      </w:pPr>
    </w:p>
    <w:p w14:paraId="0B3D8CC8" w14:textId="73EE4EFA" w:rsidR="003850FF" w:rsidRPr="001A403F" w:rsidRDefault="003850FF" w:rsidP="002E7076">
      <w:pPr>
        <w:adjustRightInd w:val="0"/>
        <w:snapToGrid w:val="0"/>
        <w:spacing w:after="0" w:line="360" w:lineRule="auto"/>
        <w:jc w:val="both"/>
        <w:rPr>
          <w:rFonts w:ascii="Book Antiqua" w:hAnsi="Book Antiqua" w:cs="Times New Roman"/>
          <w:b/>
          <w:i/>
          <w:sz w:val="24"/>
          <w:szCs w:val="24"/>
        </w:rPr>
      </w:pPr>
      <w:r w:rsidRPr="001A403F">
        <w:rPr>
          <w:rFonts w:ascii="Book Antiqua" w:hAnsi="Book Antiqua" w:cs="Times New Roman"/>
          <w:b/>
          <w:i/>
          <w:sz w:val="24"/>
          <w:szCs w:val="24"/>
        </w:rPr>
        <w:t xml:space="preserve">Study </w:t>
      </w:r>
      <w:r w:rsidR="005233B4" w:rsidRPr="001A403F">
        <w:rPr>
          <w:rFonts w:ascii="Book Antiqua" w:hAnsi="Book Antiqua" w:cs="Times New Roman"/>
          <w:b/>
          <w:i/>
          <w:sz w:val="24"/>
          <w:szCs w:val="24"/>
        </w:rPr>
        <w:t>d</w:t>
      </w:r>
      <w:r w:rsidRPr="001A403F">
        <w:rPr>
          <w:rFonts w:ascii="Book Antiqua" w:hAnsi="Book Antiqua" w:cs="Times New Roman"/>
          <w:b/>
          <w:i/>
          <w:sz w:val="24"/>
          <w:szCs w:val="24"/>
        </w:rPr>
        <w:t>esign</w:t>
      </w:r>
    </w:p>
    <w:p w14:paraId="0E02BEDD" w14:textId="4FD9C172"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Patients over the age of 18 with a diagnosis of cirrhosis admitted </w:t>
      </w:r>
      <w:r w:rsidR="003850FF" w:rsidRPr="001A403F">
        <w:rPr>
          <w:rFonts w:ascii="Book Antiqua" w:hAnsi="Book Antiqua" w:cs="Times New Roman"/>
          <w:sz w:val="24"/>
          <w:szCs w:val="24"/>
        </w:rPr>
        <w:t xml:space="preserve">between 2008-2014 </w:t>
      </w:r>
      <w:r w:rsidRPr="001A403F">
        <w:rPr>
          <w:rFonts w:ascii="Book Antiqua" w:hAnsi="Book Antiqua" w:cs="Times New Roman"/>
          <w:sz w:val="24"/>
          <w:szCs w:val="24"/>
        </w:rPr>
        <w:t>to an ICU at a major quaternary referral and liver transplantation center in the United States</w:t>
      </w:r>
      <w:r w:rsidR="003850FF" w:rsidRPr="001A403F">
        <w:rPr>
          <w:rFonts w:ascii="Book Antiqua" w:hAnsi="Book Antiqua" w:cs="Times New Roman"/>
          <w:sz w:val="24"/>
          <w:szCs w:val="24"/>
        </w:rPr>
        <w:t xml:space="preserve"> </w:t>
      </w:r>
      <w:r w:rsidRPr="001A403F">
        <w:rPr>
          <w:rFonts w:ascii="Book Antiqua" w:hAnsi="Book Antiqua" w:cs="Times New Roman"/>
          <w:sz w:val="24"/>
          <w:szCs w:val="24"/>
        </w:rPr>
        <w:t xml:space="preserve">comprised the </w:t>
      </w:r>
      <w:r w:rsidR="003850FF" w:rsidRPr="001A403F">
        <w:rPr>
          <w:rFonts w:ascii="Book Antiqua" w:hAnsi="Book Antiqua" w:cs="Times New Roman"/>
          <w:sz w:val="24"/>
          <w:szCs w:val="24"/>
        </w:rPr>
        <w:t>training cohort. Patients from the APACHE IVb</w:t>
      </w:r>
      <w:r w:rsidRPr="001A403F">
        <w:rPr>
          <w:rFonts w:ascii="Book Antiqua" w:hAnsi="Book Antiqua" w:cs="Times New Roman"/>
          <w:sz w:val="24"/>
          <w:szCs w:val="24"/>
        </w:rPr>
        <w:t xml:space="preserve"> </w:t>
      </w:r>
      <w:r w:rsidR="003850FF" w:rsidRPr="001A403F">
        <w:rPr>
          <w:rFonts w:ascii="Book Antiqua" w:hAnsi="Book Antiqua" w:cs="Times New Roman"/>
          <w:sz w:val="24"/>
          <w:szCs w:val="24"/>
        </w:rPr>
        <w:t xml:space="preserve">database (a </w:t>
      </w:r>
      <w:r w:rsidRPr="001A403F">
        <w:rPr>
          <w:rFonts w:ascii="Book Antiqua" w:hAnsi="Book Antiqua" w:cs="Times New Roman"/>
          <w:sz w:val="24"/>
          <w:szCs w:val="24"/>
        </w:rPr>
        <w:t>prospective database of consecutiv</w:t>
      </w:r>
      <w:r w:rsidR="003850FF" w:rsidRPr="001A403F">
        <w:rPr>
          <w:rFonts w:ascii="Book Antiqua" w:hAnsi="Book Antiqua" w:cs="Times New Roman"/>
          <w:sz w:val="24"/>
          <w:szCs w:val="24"/>
        </w:rPr>
        <w:t xml:space="preserve">e patients admitted to the ICU) </w:t>
      </w:r>
      <w:r w:rsidRPr="001A403F">
        <w:rPr>
          <w:rFonts w:ascii="Book Antiqua" w:hAnsi="Book Antiqua" w:cs="Times New Roman"/>
          <w:sz w:val="24"/>
          <w:szCs w:val="24"/>
        </w:rPr>
        <w:t xml:space="preserve">were identified retrospectively by searching the database for </w:t>
      </w:r>
      <w:r w:rsidR="003850FF" w:rsidRPr="001A403F">
        <w:rPr>
          <w:rFonts w:ascii="Book Antiqua" w:hAnsi="Book Antiqua" w:cs="Times New Roman"/>
          <w:sz w:val="24"/>
          <w:szCs w:val="24"/>
        </w:rPr>
        <w:t xml:space="preserve">the </w:t>
      </w:r>
      <w:r w:rsidRPr="001A403F">
        <w:rPr>
          <w:rFonts w:ascii="Book Antiqua" w:hAnsi="Book Antiqua" w:cs="Times New Roman"/>
          <w:sz w:val="24"/>
          <w:szCs w:val="24"/>
        </w:rPr>
        <w:t xml:space="preserve">APACHE chronic health items </w:t>
      </w:r>
      <w:r w:rsidR="005233B4" w:rsidRPr="001A403F">
        <w:rPr>
          <w:rFonts w:ascii="Book Antiqua" w:hAnsi="Book Antiqua" w:cs="Times New Roman"/>
          <w:sz w:val="24"/>
          <w:szCs w:val="24"/>
        </w:rPr>
        <w:t>(</w:t>
      </w:r>
      <w:r w:rsidRPr="001A403F">
        <w:rPr>
          <w:rFonts w:ascii="Book Antiqua" w:hAnsi="Book Antiqua" w:cs="Times New Roman"/>
          <w:sz w:val="24"/>
          <w:szCs w:val="24"/>
        </w:rPr>
        <w:t xml:space="preserve">1) hepatic failure and </w:t>
      </w:r>
      <w:r w:rsidR="005233B4" w:rsidRPr="001A403F">
        <w:rPr>
          <w:rFonts w:ascii="Book Antiqua" w:hAnsi="Book Antiqua" w:cs="Times New Roman"/>
          <w:sz w:val="24"/>
          <w:szCs w:val="24"/>
        </w:rPr>
        <w:t>(</w:t>
      </w:r>
      <w:r w:rsidRPr="001A403F">
        <w:rPr>
          <w:rFonts w:ascii="Book Antiqua" w:hAnsi="Book Antiqua" w:cs="Times New Roman"/>
          <w:sz w:val="24"/>
          <w:szCs w:val="24"/>
        </w:rPr>
        <w:t xml:space="preserve">2) cirrhosis. The diagnosis of cirrhosis was </w:t>
      </w:r>
      <w:r w:rsidR="003850FF" w:rsidRPr="001A403F">
        <w:rPr>
          <w:rFonts w:ascii="Book Antiqua" w:hAnsi="Book Antiqua" w:cs="Times New Roman"/>
          <w:sz w:val="24"/>
          <w:szCs w:val="24"/>
        </w:rPr>
        <w:t xml:space="preserve">subsequently </w:t>
      </w:r>
      <w:r w:rsidRPr="001A403F">
        <w:rPr>
          <w:rFonts w:ascii="Book Antiqua" w:hAnsi="Book Antiqua" w:cs="Times New Roman"/>
          <w:sz w:val="24"/>
          <w:szCs w:val="24"/>
        </w:rPr>
        <w:t>confi</w:t>
      </w:r>
      <w:r w:rsidR="003850FF" w:rsidRPr="001A403F">
        <w:rPr>
          <w:rFonts w:ascii="Book Antiqua" w:hAnsi="Book Antiqua" w:cs="Times New Roman"/>
          <w:sz w:val="24"/>
          <w:szCs w:val="24"/>
        </w:rPr>
        <w:t xml:space="preserve">rmed either </w:t>
      </w:r>
      <w:r w:rsidR="005233B4" w:rsidRPr="001A403F">
        <w:rPr>
          <w:rFonts w:ascii="Book Antiqua" w:hAnsi="Book Antiqua" w:cs="Times New Roman"/>
          <w:sz w:val="24"/>
          <w:szCs w:val="24"/>
        </w:rPr>
        <w:t>(</w:t>
      </w:r>
      <w:r w:rsidR="003850FF" w:rsidRPr="001A403F">
        <w:rPr>
          <w:rFonts w:ascii="Book Antiqua" w:hAnsi="Book Antiqua" w:cs="Times New Roman"/>
          <w:sz w:val="24"/>
          <w:szCs w:val="24"/>
        </w:rPr>
        <w:t>1) radiographically,</w:t>
      </w:r>
      <w:r w:rsidRPr="001A403F">
        <w:rPr>
          <w:rFonts w:ascii="Book Antiqua" w:hAnsi="Book Antiqua" w:cs="Times New Roman"/>
          <w:sz w:val="24"/>
          <w:szCs w:val="24"/>
        </w:rPr>
        <w:t xml:space="preserve"> based on imaging evidence of cirrhosis or portal hypertension</w:t>
      </w:r>
      <w:r w:rsidR="005233B4" w:rsidRPr="001A403F">
        <w:rPr>
          <w:rFonts w:ascii="Book Antiqua" w:hAnsi="Book Antiqua" w:cs="Times New Roman"/>
          <w:sz w:val="24"/>
          <w:szCs w:val="24"/>
        </w:rPr>
        <w:t>;</w:t>
      </w:r>
      <w:r w:rsidRPr="001A403F">
        <w:rPr>
          <w:rFonts w:ascii="Book Antiqua" w:hAnsi="Book Antiqua" w:cs="Times New Roman"/>
          <w:sz w:val="24"/>
          <w:szCs w:val="24"/>
        </w:rPr>
        <w:t xml:space="preserve"> </w:t>
      </w:r>
      <w:r w:rsidR="005233B4" w:rsidRPr="001A403F">
        <w:rPr>
          <w:rFonts w:ascii="Book Antiqua" w:hAnsi="Book Antiqua" w:cs="Times New Roman"/>
          <w:sz w:val="24"/>
          <w:szCs w:val="24"/>
        </w:rPr>
        <w:t>(</w:t>
      </w:r>
      <w:r w:rsidRPr="001A403F">
        <w:rPr>
          <w:rFonts w:ascii="Book Antiqua" w:hAnsi="Book Antiqua" w:cs="Times New Roman"/>
          <w:sz w:val="24"/>
          <w:szCs w:val="24"/>
        </w:rPr>
        <w:t xml:space="preserve">2) histologically by liver biopsy, if performed, and/or </w:t>
      </w:r>
      <w:r w:rsidR="005233B4" w:rsidRPr="001A403F">
        <w:rPr>
          <w:rFonts w:ascii="Book Antiqua" w:hAnsi="Book Antiqua" w:cs="Times New Roman"/>
          <w:sz w:val="24"/>
          <w:szCs w:val="24"/>
        </w:rPr>
        <w:t>(</w:t>
      </w:r>
      <w:r w:rsidRPr="001A403F">
        <w:rPr>
          <w:rFonts w:ascii="Book Antiqua" w:hAnsi="Book Antiqua" w:cs="Times New Roman"/>
          <w:sz w:val="24"/>
          <w:szCs w:val="24"/>
        </w:rPr>
        <w:t xml:space="preserve">3) by evidence of hepatic decompensation, including hepatic encephalopathy, variceal bleeding, or ascites. Patients with acute liver failure, history of liver transplantation, or who underwent liver transplantation during the contemporaneous hospital admission were excluded from the analysis. </w:t>
      </w:r>
    </w:p>
    <w:p w14:paraId="12831E02" w14:textId="77777777" w:rsidR="00C965AE" w:rsidRPr="001A403F" w:rsidRDefault="00C965AE" w:rsidP="002E7076">
      <w:pPr>
        <w:adjustRightInd w:val="0"/>
        <w:snapToGrid w:val="0"/>
        <w:spacing w:after="0" w:line="360" w:lineRule="auto"/>
        <w:jc w:val="both"/>
        <w:rPr>
          <w:rFonts w:ascii="Book Antiqua" w:hAnsi="Book Antiqua" w:cs="Times New Roman"/>
          <w:sz w:val="24"/>
          <w:szCs w:val="24"/>
        </w:rPr>
      </w:pPr>
    </w:p>
    <w:p w14:paraId="1A60CA94" w14:textId="596D5C3A" w:rsidR="003D150B" w:rsidRPr="001A403F" w:rsidRDefault="003850FF" w:rsidP="002E7076">
      <w:pPr>
        <w:adjustRightInd w:val="0"/>
        <w:snapToGrid w:val="0"/>
        <w:spacing w:after="0" w:line="360" w:lineRule="auto"/>
        <w:jc w:val="both"/>
        <w:rPr>
          <w:rFonts w:ascii="Book Antiqua" w:hAnsi="Book Antiqua" w:cs="Times New Roman"/>
          <w:b/>
          <w:i/>
          <w:sz w:val="24"/>
          <w:szCs w:val="24"/>
        </w:rPr>
      </w:pPr>
      <w:r w:rsidRPr="001A403F">
        <w:rPr>
          <w:rFonts w:ascii="Book Antiqua" w:hAnsi="Book Antiqua" w:cs="Times New Roman"/>
          <w:b/>
          <w:i/>
          <w:sz w:val="24"/>
          <w:szCs w:val="24"/>
        </w:rPr>
        <w:t xml:space="preserve">Patient </w:t>
      </w:r>
      <w:r w:rsidR="005233B4" w:rsidRPr="001A403F">
        <w:rPr>
          <w:rFonts w:ascii="Book Antiqua" w:hAnsi="Book Antiqua" w:cs="Times New Roman"/>
          <w:b/>
          <w:i/>
          <w:sz w:val="24"/>
          <w:szCs w:val="24"/>
        </w:rPr>
        <w:t>p</w:t>
      </w:r>
      <w:r w:rsidRPr="001A403F">
        <w:rPr>
          <w:rFonts w:ascii="Book Antiqua" w:hAnsi="Book Antiqua" w:cs="Times New Roman"/>
          <w:b/>
          <w:i/>
          <w:sz w:val="24"/>
          <w:szCs w:val="24"/>
        </w:rPr>
        <w:t>opulation</w:t>
      </w:r>
    </w:p>
    <w:p w14:paraId="0E4847C7" w14:textId="02BBF1E9"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Demographic patient data consisting of age, gender, co-morbidities, etiology of chronic liver disease, and vital signs on admission to ICU were recorded</w:t>
      </w:r>
      <w:r w:rsidR="00722C36" w:rsidRPr="001A403F">
        <w:rPr>
          <w:rFonts w:ascii="Book Antiqua" w:hAnsi="Book Antiqua" w:cs="Times New Roman"/>
          <w:sz w:val="24"/>
          <w:szCs w:val="24"/>
        </w:rPr>
        <w:t xml:space="preserve"> from the electronic medical record</w:t>
      </w:r>
      <w:r w:rsidRPr="001A403F">
        <w:rPr>
          <w:rFonts w:ascii="Book Antiqua" w:hAnsi="Book Antiqua" w:cs="Times New Roman"/>
          <w:sz w:val="24"/>
          <w:szCs w:val="24"/>
        </w:rPr>
        <w:t xml:space="preserve">. Clinical laboratory tests collected on admission to ICU included platelet count, prothrombin time (PT), </w:t>
      </w:r>
      <w:r w:rsidR="005233B4" w:rsidRPr="001A403F">
        <w:rPr>
          <w:rFonts w:ascii="Book Antiqua" w:hAnsi="Book Antiqua" w:cs="Times New Roman"/>
          <w:sz w:val="24"/>
          <w:szCs w:val="24"/>
        </w:rPr>
        <w:t>International normalized ratio</w:t>
      </w:r>
      <w:r w:rsidRPr="001A403F">
        <w:rPr>
          <w:rFonts w:ascii="Book Antiqua" w:hAnsi="Book Antiqua" w:cs="Times New Roman"/>
          <w:sz w:val="24"/>
          <w:szCs w:val="24"/>
        </w:rPr>
        <w:t>, lactate, arterial blood gas, pH, partial arterial pressure of carbon dioxide and oxygen, inspired oxygen concentration (FiO</w:t>
      </w:r>
      <w:r w:rsidRPr="001A403F">
        <w:rPr>
          <w:rFonts w:ascii="Book Antiqua" w:hAnsi="Book Antiqua" w:cs="Times New Roman"/>
          <w:sz w:val="24"/>
          <w:szCs w:val="24"/>
          <w:vertAlign w:val="subscript"/>
        </w:rPr>
        <w:t>2</w:t>
      </w:r>
      <w:r w:rsidRPr="001A403F">
        <w:rPr>
          <w:rFonts w:ascii="Book Antiqua" w:hAnsi="Book Antiqua" w:cs="Times New Roman"/>
          <w:sz w:val="24"/>
          <w:szCs w:val="24"/>
        </w:rPr>
        <w:t xml:space="preserve">), </w:t>
      </w:r>
      <w:r w:rsidR="005233B4" w:rsidRPr="001A403F">
        <w:rPr>
          <w:rFonts w:ascii="Book Antiqua" w:hAnsi="Book Antiqua" w:cs="Times New Roman"/>
          <w:sz w:val="24"/>
          <w:szCs w:val="24"/>
        </w:rPr>
        <w:t>oxygen</w:t>
      </w:r>
      <w:r w:rsidR="00100BA7" w:rsidRPr="001A403F">
        <w:rPr>
          <w:rFonts w:ascii="Book Antiqua" w:hAnsi="Book Antiqua" w:cs="Times New Roman"/>
          <w:sz w:val="24"/>
          <w:szCs w:val="24"/>
        </w:rPr>
        <w:t>/</w:t>
      </w:r>
      <w:r w:rsidRPr="001A403F">
        <w:rPr>
          <w:rFonts w:ascii="Book Antiqua" w:hAnsi="Book Antiqua" w:cs="Times New Roman"/>
          <w:sz w:val="24"/>
          <w:szCs w:val="24"/>
        </w:rPr>
        <w:t>FiO</w:t>
      </w:r>
      <w:r w:rsidRPr="001A403F">
        <w:rPr>
          <w:rFonts w:ascii="Book Antiqua" w:hAnsi="Book Antiqua" w:cs="Times New Roman"/>
          <w:sz w:val="24"/>
          <w:szCs w:val="24"/>
          <w:vertAlign w:val="subscript"/>
        </w:rPr>
        <w:t>2</w:t>
      </w:r>
      <w:r w:rsidRPr="001A403F">
        <w:rPr>
          <w:rFonts w:ascii="Book Antiqua" w:hAnsi="Book Antiqua" w:cs="Times New Roman"/>
          <w:sz w:val="24"/>
          <w:szCs w:val="24"/>
        </w:rPr>
        <w:t xml:space="preserve">, alveolar-arterial partial pressure oxygen gradient </w:t>
      </w:r>
      <w:r w:rsidRPr="001A403F">
        <w:rPr>
          <w:rFonts w:ascii="Book Antiqua" w:hAnsi="Book Antiqua" w:cs="Times New Roman"/>
          <w:sz w:val="24"/>
          <w:szCs w:val="24"/>
        </w:rPr>
        <w:lastRenderedPageBreak/>
        <w:t>(A-a gradient), hematocrit, white blood cell count (WBC), potassium, blood urea nitrogen, albumin, sodium (Na), creatinine, bilirubin, bicarbonate, and glucose. Additional clinical parameters, including 24-hour urine output, need for mechanical ventilation, need for dialysis, variceal hemorrhage, Glascow coma scale, vasopressor dose, and degree of ascites and encephalopathy were recorded. This information was used to grade the severity of liver disease and prognosticate ICU mortality based on the calculation of previously validated liver-specific and ICU prognostic scores, including the</w:t>
      </w:r>
      <w:r w:rsidR="00E84EB1" w:rsidRPr="001A403F">
        <w:rPr>
          <w:rFonts w:ascii="Book Antiqua" w:hAnsi="Book Antiqua" w:cs="Times New Roman"/>
          <w:sz w:val="24"/>
          <w:szCs w:val="24"/>
        </w:rPr>
        <w:t xml:space="preserve"> </w:t>
      </w:r>
      <w:r w:rsidR="002644D4" w:rsidRPr="001A403F">
        <w:rPr>
          <w:rFonts w:ascii="Book Antiqua" w:eastAsia="Times New Roman" w:hAnsi="Book Antiqua" w:cs="Times New Roman"/>
          <w:sz w:val="24"/>
          <w:szCs w:val="24"/>
        </w:rPr>
        <w:t>MELD</w:t>
      </w:r>
      <w:r w:rsidR="002644D4" w:rsidRPr="001A403F">
        <w:rPr>
          <w:rFonts w:ascii="Book Antiqua" w:hAnsi="Book Antiqua" w:cs="Times New Roman"/>
          <w:sz w:val="24"/>
          <w:szCs w:val="24"/>
        </w:rPr>
        <w:t xml:space="preserve">, </w:t>
      </w:r>
      <w:r w:rsidRPr="001A403F">
        <w:rPr>
          <w:rFonts w:ascii="Book Antiqua" w:hAnsi="Book Antiqua" w:cs="Times New Roman"/>
          <w:sz w:val="24"/>
          <w:szCs w:val="24"/>
        </w:rPr>
        <w:t xml:space="preserve">MELD-Na, </w:t>
      </w:r>
      <w:r w:rsidR="00922428" w:rsidRPr="001A403F">
        <w:rPr>
          <w:rFonts w:ascii="Book Antiqua" w:hAnsi="Book Antiqua" w:cs="Times New Roman"/>
          <w:sz w:val="24"/>
          <w:szCs w:val="24"/>
        </w:rPr>
        <w:t xml:space="preserve">Child-Pugh, </w:t>
      </w:r>
      <w:r w:rsidRPr="001A403F">
        <w:rPr>
          <w:rFonts w:ascii="Book Antiqua" w:hAnsi="Book Antiqua" w:cs="Times New Roman"/>
          <w:sz w:val="24"/>
          <w:szCs w:val="24"/>
        </w:rPr>
        <w:t xml:space="preserve">SOFA, CLIF-SOFA, </w:t>
      </w:r>
      <w:r w:rsidR="00E84EB1" w:rsidRPr="001A403F">
        <w:rPr>
          <w:rFonts w:ascii="Book Antiqua" w:hAnsi="Book Antiqua" w:cs="Times New Roman"/>
          <w:sz w:val="24"/>
          <w:szCs w:val="24"/>
        </w:rPr>
        <w:t>Royal Free Hospital (RFH)</w:t>
      </w:r>
      <w:r w:rsidRPr="001A403F">
        <w:rPr>
          <w:rFonts w:ascii="Book Antiqua" w:hAnsi="Book Antiqua" w:cs="Times New Roman"/>
          <w:sz w:val="24"/>
          <w:szCs w:val="24"/>
        </w:rPr>
        <w:t xml:space="preserve">, </w:t>
      </w:r>
      <w:r w:rsidR="00E84EB1" w:rsidRPr="001A403F">
        <w:rPr>
          <w:rFonts w:ascii="Book Antiqua" w:hAnsi="Book Antiqua" w:cs="Times New Roman"/>
          <w:sz w:val="24"/>
          <w:szCs w:val="24"/>
        </w:rPr>
        <w:t>APS</w:t>
      </w:r>
      <w:r w:rsidRPr="001A403F">
        <w:rPr>
          <w:rFonts w:ascii="Book Antiqua" w:hAnsi="Book Antiqua" w:cs="Times New Roman"/>
          <w:sz w:val="24"/>
          <w:szCs w:val="24"/>
        </w:rPr>
        <w:t xml:space="preserve"> and APACHE III scores. Subjects were followed from admission to hospital discharge or death. </w:t>
      </w:r>
    </w:p>
    <w:p w14:paraId="6C6AB24B" w14:textId="0323CF10" w:rsidR="006E1863"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The internal validation cohort was comprised of prospectively enrolled patients over the age of 18 with a diagnosis of cirrhosis admitted to the same institution as the training cohort between 2015-2017</w:t>
      </w:r>
      <w:r w:rsidR="004A1625" w:rsidRPr="001A403F">
        <w:rPr>
          <w:rFonts w:ascii="Book Antiqua" w:hAnsi="Book Antiqua" w:cs="Times New Roman"/>
          <w:sz w:val="24"/>
          <w:szCs w:val="24"/>
        </w:rPr>
        <w:t xml:space="preserve"> and were subject to identical exclusion criteria</w:t>
      </w:r>
      <w:r w:rsidRPr="001A403F">
        <w:rPr>
          <w:rFonts w:ascii="Book Antiqua" w:hAnsi="Book Antiqua" w:cs="Times New Roman"/>
          <w:sz w:val="24"/>
          <w:szCs w:val="24"/>
        </w:rPr>
        <w:t>.</w:t>
      </w:r>
      <w:r w:rsidR="004314E0" w:rsidRPr="001A403F">
        <w:rPr>
          <w:rFonts w:ascii="Book Antiqua" w:hAnsi="Book Antiqua" w:cs="Times New Roman"/>
          <w:sz w:val="24"/>
          <w:szCs w:val="24"/>
          <w:lang w:eastAsia="zh-CN"/>
        </w:rPr>
        <w:t xml:space="preserve"> </w:t>
      </w:r>
      <w:r w:rsidR="00111FC7" w:rsidRPr="001A403F">
        <w:rPr>
          <w:rFonts w:ascii="Book Antiqua" w:hAnsi="Book Antiqua" w:cs="Times New Roman"/>
          <w:sz w:val="24"/>
          <w:szCs w:val="24"/>
        </w:rPr>
        <w:t>All patients that met the inclusion criteri</w:t>
      </w:r>
      <w:r w:rsidR="00550A56" w:rsidRPr="001A403F">
        <w:rPr>
          <w:rFonts w:ascii="Book Antiqua" w:hAnsi="Book Antiqua" w:cs="Times New Roman"/>
          <w:sz w:val="24"/>
          <w:szCs w:val="24"/>
        </w:rPr>
        <w:t>a were included in the analysis;</w:t>
      </w:r>
      <w:r w:rsidR="00111FC7" w:rsidRPr="001A403F">
        <w:rPr>
          <w:rFonts w:ascii="Book Antiqua" w:hAnsi="Book Antiqua" w:cs="Times New Roman"/>
          <w:sz w:val="24"/>
          <w:szCs w:val="24"/>
        </w:rPr>
        <w:t xml:space="preserve"> no formal sample size calculations were done.</w:t>
      </w:r>
      <w:r w:rsidR="004314E0" w:rsidRPr="001A403F">
        <w:rPr>
          <w:rFonts w:ascii="Book Antiqua" w:hAnsi="Book Antiqua" w:cs="Times New Roman"/>
          <w:sz w:val="24"/>
          <w:szCs w:val="24"/>
          <w:lang w:eastAsia="zh-CN"/>
        </w:rPr>
        <w:t xml:space="preserve"> </w:t>
      </w:r>
      <w:r w:rsidRPr="001A403F">
        <w:rPr>
          <w:rFonts w:ascii="Book Antiqua" w:hAnsi="Book Antiqua" w:cs="Times New Roman"/>
          <w:sz w:val="24"/>
          <w:szCs w:val="24"/>
        </w:rPr>
        <w:t>The Institutional Review Board of the Cleveland Clinic Foundation reviewed and approved this study. On behalf of all authors, the corresponding author states that there is no conflict of interest.</w:t>
      </w:r>
    </w:p>
    <w:p w14:paraId="5D9C4AA5" w14:textId="77777777" w:rsidR="00111FC7" w:rsidRPr="001A403F" w:rsidRDefault="00111FC7" w:rsidP="002E7076">
      <w:pPr>
        <w:adjustRightInd w:val="0"/>
        <w:snapToGrid w:val="0"/>
        <w:spacing w:after="0" w:line="360" w:lineRule="auto"/>
        <w:jc w:val="both"/>
        <w:rPr>
          <w:rFonts w:ascii="Book Antiqua" w:hAnsi="Book Antiqua" w:cs="Times New Roman"/>
          <w:sz w:val="24"/>
          <w:szCs w:val="24"/>
        </w:rPr>
      </w:pPr>
    </w:p>
    <w:p w14:paraId="6DC1F013" w14:textId="3DB467D9" w:rsidR="003D150B" w:rsidRPr="001A403F" w:rsidRDefault="004314E0" w:rsidP="002E7076">
      <w:pPr>
        <w:adjustRightInd w:val="0"/>
        <w:snapToGrid w:val="0"/>
        <w:spacing w:after="0" w:line="360" w:lineRule="auto"/>
        <w:jc w:val="both"/>
        <w:rPr>
          <w:rFonts w:ascii="Book Antiqua" w:hAnsi="Book Antiqua" w:cs="Times New Roman"/>
          <w:b/>
          <w:i/>
          <w:sz w:val="24"/>
          <w:szCs w:val="24"/>
        </w:rPr>
      </w:pPr>
      <w:bookmarkStart w:id="41" w:name="_Hlk38819618"/>
      <w:r w:rsidRPr="001A403F">
        <w:rPr>
          <w:rFonts w:ascii="Book Antiqua" w:hAnsi="Book Antiqua" w:cs="Times New Roman"/>
          <w:b/>
          <w:i/>
          <w:sz w:val="24"/>
          <w:szCs w:val="24"/>
        </w:rPr>
        <w:t>Statistical analysis</w:t>
      </w:r>
      <w:bookmarkEnd w:id="41"/>
    </w:p>
    <w:p w14:paraId="44240C2D" w14:textId="5C6F0391"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A univariate and then multivariate analysis was performed to assess factors associated with in-hospital mortality. </w:t>
      </w:r>
      <w:r w:rsidR="00C965AE" w:rsidRPr="001A403F">
        <w:rPr>
          <w:rFonts w:ascii="Book Antiqua" w:hAnsi="Book Antiqua" w:cs="Times New Roman"/>
          <w:sz w:val="24"/>
          <w:szCs w:val="24"/>
        </w:rPr>
        <w:t xml:space="preserve">Data are presented as mean ± standard deviation, median </w:t>
      </w:r>
      <w:r w:rsidR="004314E0" w:rsidRPr="001A403F">
        <w:rPr>
          <w:rFonts w:ascii="Book Antiqua" w:hAnsi="Book Antiqua" w:cs="Times New Roman"/>
          <w:sz w:val="24"/>
          <w:szCs w:val="24"/>
        </w:rPr>
        <w:t>(</w:t>
      </w:r>
      <w:r w:rsidR="00C965AE" w:rsidRPr="001A403F">
        <w:rPr>
          <w:rFonts w:ascii="Book Antiqua" w:hAnsi="Book Antiqua" w:cs="Times New Roman"/>
          <w:sz w:val="24"/>
          <w:szCs w:val="24"/>
        </w:rPr>
        <w:t>25</w:t>
      </w:r>
      <w:r w:rsidR="00C965AE" w:rsidRPr="001A403F">
        <w:rPr>
          <w:rFonts w:ascii="Book Antiqua" w:hAnsi="Book Antiqua" w:cs="Times New Roman"/>
          <w:sz w:val="24"/>
          <w:szCs w:val="24"/>
          <w:vertAlign w:val="superscript"/>
        </w:rPr>
        <w:t>th</w:t>
      </w:r>
      <w:r w:rsidR="00C965AE" w:rsidRPr="001A403F">
        <w:rPr>
          <w:rFonts w:ascii="Book Antiqua" w:hAnsi="Book Antiqua" w:cs="Times New Roman"/>
          <w:sz w:val="24"/>
          <w:szCs w:val="24"/>
        </w:rPr>
        <w:t>, 75</w:t>
      </w:r>
      <w:r w:rsidR="00C965AE" w:rsidRPr="001A403F">
        <w:rPr>
          <w:rFonts w:ascii="Book Antiqua" w:hAnsi="Book Antiqua" w:cs="Times New Roman"/>
          <w:sz w:val="24"/>
          <w:szCs w:val="24"/>
          <w:vertAlign w:val="superscript"/>
        </w:rPr>
        <w:t>th</w:t>
      </w:r>
      <w:r w:rsidR="00C965AE" w:rsidRPr="001A403F">
        <w:rPr>
          <w:rFonts w:ascii="Book Antiqua" w:hAnsi="Book Antiqua" w:cs="Times New Roman"/>
          <w:sz w:val="24"/>
          <w:szCs w:val="24"/>
        </w:rPr>
        <w:t xml:space="preserve"> percentiles</w:t>
      </w:r>
      <w:r w:rsidR="004314E0" w:rsidRPr="001A403F">
        <w:rPr>
          <w:rFonts w:ascii="Book Antiqua" w:hAnsi="Book Antiqua" w:cs="Times New Roman"/>
          <w:sz w:val="24"/>
          <w:szCs w:val="24"/>
        </w:rPr>
        <w:t>)</w:t>
      </w:r>
      <w:r w:rsidR="00C965AE" w:rsidRPr="001A403F">
        <w:rPr>
          <w:rFonts w:ascii="Book Antiqua" w:hAnsi="Book Antiqua" w:cs="Times New Roman"/>
          <w:sz w:val="24"/>
          <w:szCs w:val="24"/>
        </w:rPr>
        <w:t xml:space="preserve"> or </w:t>
      </w:r>
      <w:r w:rsidR="004314E0" w:rsidRPr="001A403F">
        <w:rPr>
          <w:rFonts w:ascii="Book Antiqua" w:hAnsi="Book Antiqua" w:cs="Times New Roman"/>
          <w:i/>
          <w:iCs/>
          <w:sz w:val="24"/>
          <w:szCs w:val="24"/>
        </w:rPr>
        <w:t>n</w:t>
      </w:r>
      <w:r w:rsidR="00C965AE" w:rsidRPr="001A403F">
        <w:rPr>
          <w:rFonts w:ascii="Book Antiqua" w:hAnsi="Book Antiqua" w:cs="Times New Roman"/>
          <w:sz w:val="24"/>
          <w:szCs w:val="24"/>
        </w:rPr>
        <w:t xml:space="preserve"> (%). </w:t>
      </w:r>
      <w:r w:rsidRPr="001A403F">
        <w:rPr>
          <w:rFonts w:ascii="Book Antiqua" w:hAnsi="Book Antiqua" w:cs="Times New Roman"/>
          <w:sz w:val="24"/>
          <w:szCs w:val="24"/>
        </w:rPr>
        <w:t xml:space="preserve">Analysis of variance or the non-parametric Kruskal-Wallis tests were used for continuous or ordinal variables and Pearson’s chi-square tests were used for categorical factors. In addition, Spearman correlations coefficients were used to assess correlation between </w:t>
      </w:r>
      <w:r w:rsidR="00C965AE" w:rsidRPr="001A403F">
        <w:rPr>
          <w:rFonts w:ascii="Book Antiqua" w:hAnsi="Book Antiqua" w:cs="Times New Roman"/>
          <w:sz w:val="24"/>
          <w:szCs w:val="24"/>
        </w:rPr>
        <w:t>length of stay</w:t>
      </w:r>
      <w:r w:rsidRPr="001A403F">
        <w:rPr>
          <w:rFonts w:ascii="Book Antiqua" w:hAnsi="Book Antiqua" w:cs="Times New Roman"/>
          <w:sz w:val="24"/>
          <w:szCs w:val="24"/>
        </w:rPr>
        <w:t xml:space="preserve"> and the different scores.</w:t>
      </w:r>
    </w:p>
    <w:p w14:paraId="35F3FD2E"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p>
    <w:p w14:paraId="6C449796" w14:textId="5D4C5E54"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Receiver Operating Characteristics (ROC) analysis was performed to assess the value of various scores in predicting in-hospital mortality;</w:t>
      </w:r>
      <w:r w:rsidR="001129D4" w:rsidRPr="001A403F">
        <w:rPr>
          <w:rFonts w:ascii="Book Antiqua" w:hAnsi="Book Antiqua" w:cs="Times New Roman"/>
          <w:sz w:val="24"/>
          <w:szCs w:val="24"/>
        </w:rPr>
        <w:t xml:space="preserve"> areas under the ROC curves (AUROC</w:t>
      </w:r>
      <w:r w:rsidRPr="001A403F">
        <w:rPr>
          <w:rFonts w:ascii="Book Antiqua" w:hAnsi="Book Antiqua" w:cs="Times New Roman"/>
          <w:sz w:val="24"/>
          <w:szCs w:val="24"/>
        </w:rPr>
        <w:t xml:space="preserve">) and corresponding 95% confidence intervals are presented. </w:t>
      </w:r>
    </w:p>
    <w:p w14:paraId="0A0C18F3" w14:textId="02EB9DD7" w:rsidR="003D150B"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lastRenderedPageBreak/>
        <w:t xml:space="preserve">A predictive model was developed using logistic regression analysis. An automated stepwise variable selection method performed on 1000 bootstrap samples was used to choose the final model. All variables known at time of ICU </w:t>
      </w:r>
      <w:r w:rsidR="006001D0" w:rsidRPr="001A403F">
        <w:rPr>
          <w:rFonts w:ascii="Book Antiqua" w:hAnsi="Book Antiqua" w:cs="Times New Roman"/>
          <w:sz w:val="24"/>
          <w:szCs w:val="24"/>
        </w:rPr>
        <w:t>admission were</w:t>
      </w:r>
      <w:r w:rsidRPr="001A403F">
        <w:rPr>
          <w:rFonts w:ascii="Book Antiqua" w:hAnsi="Book Antiqua" w:cs="Times New Roman"/>
          <w:sz w:val="24"/>
          <w:szCs w:val="24"/>
        </w:rPr>
        <w:t xml:space="preserve"> considered for inclusion. Variables with inclusion rates of at least 50% were further assessed and the most par</w:t>
      </w:r>
      <w:r w:rsidR="001129D4" w:rsidRPr="001A403F">
        <w:rPr>
          <w:rFonts w:ascii="Book Antiqua" w:hAnsi="Book Antiqua" w:cs="Times New Roman"/>
          <w:sz w:val="24"/>
          <w:szCs w:val="24"/>
        </w:rPr>
        <w:t>simonious model with highest AUROC</w:t>
      </w:r>
      <w:r w:rsidRPr="001A403F">
        <w:rPr>
          <w:rFonts w:ascii="Book Antiqua" w:hAnsi="Book Antiqua" w:cs="Times New Roman"/>
          <w:sz w:val="24"/>
          <w:szCs w:val="24"/>
        </w:rPr>
        <w:t xml:space="preserve"> is reported. Variable transformations were assessed to account for any possible non-linearity.</w:t>
      </w:r>
      <w:r w:rsidR="006001D0" w:rsidRPr="001A403F">
        <w:rPr>
          <w:rFonts w:ascii="Book Antiqua" w:hAnsi="Book Antiqua" w:cs="Times New Roman"/>
          <w:sz w:val="24"/>
          <w:szCs w:val="24"/>
        </w:rPr>
        <w:t xml:space="preserve"> Observations with missing values were not included when building models.</w:t>
      </w:r>
    </w:p>
    <w:p w14:paraId="790343AB" w14:textId="77488198" w:rsidR="008912B6"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After choosing the final model, the method described by Harrell</w:t>
      </w:r>
      <w:r w:rsidR="002A4396" w:rsidRPr="001A403F">
        <w:rPr>
          <w:rFonts w:ascii="Book Antiqua" w:hAnsi="Book Antiqua" w:cs="Times New Roman"/>
          <w:sz w:val="24"/>
          <w:szCs w:val="24"/>
          <w:vertAlign w:val="superscript"/>
        </w:rPr>
        <w:t>[</w:t>
      </w:r>
      <w:r w:rsidR="00381298" w:rsidRPr="001A403F">
        <w:rPr>
          <w:rFonts w:ascii="Book Antiqua" w:hAnsi="Book Antiqua" w:cs="Times New Roman"/>
          <w:sz w:val="24"/>
          <w:szCs w:val="24"/>
          <w:vertAlign w:val="superscript"/>
        </w:rPr>
        <w:t>29</w:t>
      </w:r>
      <w:r w:rsidR="002A4396" w:rsidRPr="001A403F">
        <w:rPr>
          <w:rFonts w:ascii="Book Antiqua" w:hAnsi="Book Antiqua" w:cs="Times New Roman"/>
          <w:sz w:val="24"/>
          <w:szCs w:val="24"/>
          <w:vertAlign w:val="superscript"/>
        </w:rPr>
        <w:t>]</w:t>
      </w:r>
      <w:r w:rsidRPr="001A403F">
        <w:rPr>
          <w:rFonts w:ascii="Book Antiqua" w:hAnsi="Book Antiqua" w:cs="Times New Roman"/>
          <w:b/>
          <w:color w:val="FF0000"/>
          <w:sz w:val="24"/>
          <w:szCs w:val="24"/>
        </w:rPr>
        <w:t xml:space="preserve"> </w:t>
      </w:r>
      <w:r w:rsidRPr="001A403F">
        <w:rPr>
          <w:rFonts w:ascii="Book Antiqua" w:hAnsi="Book Antiqua" w:cs="Times New Roman"/>
          <w:sz w:val="24"/>
          <w:szCs w:val="24"/>
        </w:rPr>
        <w:t>was used to compute the validation metric with over-fitting bias correction through bootstrap resampling. A thousand bootstrap samples (B</w:t>
      </w:r>
      <w:r w:rsidR="004314E0"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4314E0" w:rsidRPr="001A403F">
        <w:rPr>
          <w:rFonts w:ascii="Book Antiqua" w:hAnsi="Book Antiqua" w:cs="Times New Roman"/>
          <w:sz w:val="24"/>
          <w:szCs w:val="24"/>
        </w:rPr>
        <w:t xml:space="preserve"> </w:t>
      </w:r>
      <w:r w:rsidRPr="001A403F">
        <w:rPr>
          <w:rFonts w:ascii="Book Antiqua" w:hAnsi="Book Antiqua" w:cs="Times New Roman"/>
          <w:sz w:val="24"/>
          <w:szCs w:val="24"/>
        </w:rPr>
        <w:t>1000) were drawn from the original data set and a new model with the same model settings was built on each bootstrap resample. Prediction on patients that were not chosen in the resample was calculated. An optimism factor was calculated over the 1000 new models and the bias-corrected validation metric was obtained by subtracting this optimism value from the AU</w:t>
      </w:r>
      <w:r w:rsidR="001129D4" w:rsidRPr="001A403F">
        <w:rPr>
          <w:rFonts w:ascii="Book Antiqua" w:hAnsi="Book Antiqua" w:cs="Times New Roman"/>
          <w:sz w:val="24"/>
          <w:szCs w:val="24"/>
        </w:rPr>
        <w:t>RO</w:t>
      </w:r>
      <w:r w:rsidRPr="001A403F">
        <w:rPr>
          <w:rFonts w:ascii="Book Antiqua" w:hAnsi="Book Antiqua" w:cs="Times New Roman"/>
          <w:sz w:val="24"/>
          <w:szCs w:val="24"/>
        </w:rPr>
        <w:t xml:space="preserve">C directly measured from the original model. In addition, the Hosmer-Lemeshow goodness-of-fit </w:t>
      </w:r>
      <w:bookmarkStart w:id="42" w:name="_Hlk39912832"/>
      <w:r w:rsidR="002E7076" w:rsidRPr="001A403F">
        <w:rPr>
          <w:rFonts w:ascii="Book Antiqua" w:hAnsi="Book Antiqua" w:cs="Times New Roman"/>
          <w:sz w:val="24"/>
          <w:szCs w:val="24"/>
        </w:rPr>
        <w:t>X</w:t>
      </w:r>
      <w:r w:rsidRPr="001A403F">
        <w:rPr>
          <w:rFonts w:ascii="Book Antiqua" w:hAnsi="Book Antiqua" w:cs="Times New Roman"/>
          <w:sz w:val="24"/>
          <w:szCs w:val="24"/>
          <w:vertAlign w:val="superscript"/>
        </w:rPr>
        <w:t>2</w:t>
      </w:r>
      <w:bookmarkEnd w:id="42"/>
      <w:r w:rsidRPr="001A403F">
        <w:rPr>
          <w:rFonts w:ascii="Book Antiqua" w:hAnsi="Book Antiqua" w:cs="Times New Roman"/>
          <w:sz w:val="24"/>
          <w:szCs w:val="24"/>
        </w:rPr>
        <w:t xml:space="preserve"> test and calibration plots were used to assess calibration of the models. DeLong’s method was used to compare predictive ability of LIV-4 to that of the various scores by comparing AU</w:t>
      </w:r>
      <w:r w:rsidR="001129D4" w:rsidRPr="001A403F">
        <w:rPr>
          <w:rFonts w:ascii="Book Antiqua" w:hAnsi="Book Antiqua" w:cs="Times New Roman"/>
          <w:sz w:val="24"/>
          <w:szCs w:val="24"/>
        </w:rPr>
        <w:t>RO</w:t>
      </w:r>
      <w:r w:rsidRPr="001A403F">
        <w:rPr>
          <w:rFonts w:ascii="Book Antiqua" w:hAnsi="Book Antiqua" w:cs="Times New Roman"/>
          <w:sz w:val="24"/>
          <w:szCs w:val="24"/>
        </w:rPr>
        <w:t>Cs</w:t>
      </w:r>
      <w:r w:rsidR="002A4396" w:rsidRPr="001A403F">
        <w:rPr>
          <w:rFonts w:ascii="Book Antiqua" w:hAnsi="Book Antiqua" w:cs="Times New Roman"/>
          <w:sz w:val="24"/>
          <w:szCs w:val="24"/>
          <w:vertAlign w:val="superscript"/>
        </w:rPr>
        <w:t>[</w:t>
      </w:r>
      <w:r w:rsidR="00381298" w:rsidRPr="001A403F">
        <w:rPr>
          <w:rFonts w:ascii="Book Antiqua" w:hAnsi="Book Antiqua" w:cs="Times New Roman"/>
          <w:sz w:val="24"/>
          <w:szCs w:val="24"/>
          <w:vertAlign w:val="superscript"/>
        </w:rPr>
        <w:t>30</w:t>
      </w:r>
      <w:r w:rsidR="002A4396" w:rsidRPr="001A403F">
        <w:rPr>
          <w:rFonts w:ascii="Book Antiqua" w:hAnsi="Book Antiqua" w:cs="Times New Roman"/>
          <w:sz w:val="24"/>
          <w:szCs w:val="24"/>
          <w:vertAlign w:val="superscript"/>
        </w:rPr>
        <w:t>]</w:t>
      </w:r>
      <w:r w:rsidRPr="00DF2A9D">
        <w:rPr>
          <w:rFonts w:ascii="Book Antiqua" w:hAnsi="Book Antiqua" w:cs="Times New Roman"/>
          <w:sz w:val="24"/>
          <w:szCs w:val="24"/>
        </w:rPr>
        <w:t>.</w:t>
      </w:r>
      <w:r w:rsidRPr="001A403F">
        <w:rPr>
          <w:rFonts w:ascii="Book Antiqua" w:hAnsi="Book Antiqua" w:cs="Times New Roman"/>
          <w:sz w:val="24"/>
          <w:szCs w:val="24"/>
        </w:rPr>
        <w:t xml:space="preserve"> A univariable analysis was performed to assess differences between the training and validation cohorts. SAS (version 9.4, The SAS Institute, Cary, NC</w:t>
      </w:r>
      <w:r w:rsidR="004314E0" w:rsidRPr="001A403F">
        <w:rPr>
          <w:rFonts w:ascii="Book Antiqua" w:hAnsi="Book Antiqua" w:cs="Times New Roman"/>
          <w:sz w:val="24"/>
          <w:szCs w:val="24"/>
        </w:rPr>
        <w:t>, United States</w:t>
      </w:r>
      <w:r w:rsidRPr="001A403F">
        <w:rPr>
          <w:rFonts w:ascii="Book Antiqua" w:hAnsi="Book Antiqua" w:cs="Times New Roman"/>
          <w:sz w:val="24"/>
          <w:szCs w:val="24"/>
        </w:rPr>
        <w:t xml:space="preserve">) was used for all analyses and a </w:t>
      </w:r>
      <w:r w:rsidR="004314E0" w:rsidRPr="001A403F">
        <w:rPr>
          <w:rFonts w:ascii="Book Antiqua" w:hAnsi="Book Antiqua" w:cs="Times New Roman"/>
          <w:i/>
          <w:iCs/>
          <w:sz w:val="24"/>
          <w:szCs w:val="24"/>
        </w:rPr>
        <w:t>P</w:t>
      </w:r>
      <w:r w:rsidRPr="001A403F">
        <w:rPr>
          <w:rFonts w:ascii="Book Antiqua" w:hAnsi="Book Antiqua" w:cs="Times New Roman"/>
          <w:sz w:val="24"/>
          <w:szCs w:val="24"/>
        </w:rPr>
        <w:t xml:space="preserve"> &lt; 0.05 was considered statistically significant. </w:t>
      </w:r>
      <w:r w:rsidR="008912B6" w:rsidRPr="001A403F">
        <w:rPr>
          <w:rFonts w:ascii="Book Antiqua" w:hAnsi="Book Antiqua" w:cs="Times New Roman"/>
          <w:sz w:val="24"/>
          <w:szCs w:val="24"/>
        </w:rPr>
        <w:t xml:space="preserve">The statistical review was performed by a biomedical statistician. </w:t>
      </w:r>
    </w:p>
    <w:p w14:paraId="0D47EBA3" w14:textId="77777777" w:rsidR="003D150B" w:rsidRPr="001A403F" w:rsidRDefault="003D150B" w:rsidP="002E7076">
      <w:pPr>
        <w:adjustRightInd w:val="0"/>
        <w:snapToGrid w:val="0"/>
        <w:spacing w:after="0" w:line="360" w:lineRule="auto"/>
        <w:jc w:val="both"/>
        <w:rPr>
          <w:rFonts w:ascii="Book Antiqua" w:hAnsi="Book Antiqua" w:cs="Times New Roman"/>
          <w:b/>
          <w:sz w:val="24"/>
          <w:szCs w:val="24"/>
        </w:rPr>
      </w:pPr>
    </w:p>
    <w:p w14:paraId="2A29094F" w14:textId="77777777" w:rsidR="00A15CED" w:rsidRPr="001A403F" w:rsidRDefault="00850414" w:rsidP="002E7076">
      <w:pPr>
        <w:adjustRightInd w:val="0"/>
        <w:snapToGrid w:val="0"/>
        <w:spacing w:after="0" w:line="360" w:lineRule="auto"/>
        <w:jc w:val="both"/>
        <w:rPr>
          <w:rFonts w:ascii="Book Antiqua" w:hAnsi="Book Antiqua" w:cs="Times New Roman"/>
          <w:b/>
          <w:sz w:val="24"/>
          <w:szCs w:val="24"/>
        </w:rPr>
      </w:pPr>
      <w:bookmarkStart w:id="43" w:name="_Hlk38822111"/>
      <w:r w:rsidRPr="001A403F">
        <w:rPr>
          <w:rFonts w:ascii="Book Antiqua" w:hAnsi="Book Antiqua" w:cs="Times New Roman"/>
          <w:b/>
          <w:sz w:val="24"/>
          <w:szCs w:val="24"/>
          <w:u w:val="single"/>
        </w:rPr>
        <w:t>RESULTS</w:t>
      </w:r>
      <w:bookmarkEnd w:id="43"/>
    </w:p>
    <w:p w14:paraId="57F55CF8" w14:textId="0AAF8E61" w:rsidR="003D150B" w:rsidRPr="001A403F" w:rsidRDefault="003D150B" w:rsidP="002E7076">
      <w:pPr>
        <w:adjustRightInd w:val="0"/>
        <w:snapToGrid w:val="0"/>
        <w:spacing w:after="0" w:line="360" w:lineRule="auto"/>
        <w:jc w:val="both"/>
        <w:rPr>
          <w:rFonts w:ascii="Book Antiqua" w:hAnsi="Book Antiqua" w:cs="Times New Roman"/>
          <w:b/>
          <w:sz w:val="24"/>
          <w:szCs w:val="24"/>
        </w:rPr>
      </w:pPr>
      <w:r w:rsidRPr="001A403F">
        <w:rPr>
          <w:rFonts w:ascii="Book Antiqua" w:hAnsi="Book Antiqua" w:cs="Times New Roman"/>
          <w:b/>
          <w:bCs/>
          <w:i/>
          <w:iCs/>
          <w:sz w:val="24"/>
          <w:szCs w:val="24"/>
        </w:rPr>
        <w:t xml:space="preserve">Training </w:t>
      </w:r>
      <w:r w:rsidR="00A15CED" w:rsidRPr="001A403F">
        <w:rPr>
          <w:rFonts w:ascii="Book Antiqua" w:hAnsi="Book Antiqua" w:cs="Times New Roman"/>
          <w:b/>
          <w:bCs/>
          <w:i/>
          <w:iCs/>
          <w:sz w:val="24"/>
          <w:szCs w:val="24"/>
        </w:rPr>
        <w:t>c</w:t>
      </w:r>
      <w:r w:rsidRPr="001A403F">
        <w:rPr>
          <w:rFonts w:ascii="Book Antiqua" w:hAnsi="Book Antiqua" w:cs="Times New Roman"/>
          <w:b/>
          <w:bCs/>
          <w:i/>
          <w:iCs/>
          <w:sz w:val="24"/>
          <w:szCs w:val="24"/>
        </w:rPr>
        <w:t>ohort</w:t>
      </w:r>
    </w:p>
    <w:p w14:paraId="41C0B119" w14:textId="2F60A725"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
          <w:bCs/>
          <w:sz w:val="24"/>
          <w:szCs w:val="24"/>
        </w:rPr>
        <w:t xml:space="preserve">Patient </w:t>
      </w:r>
      <w:r w:rsidR="00B76356" w:rsidRPr="001A403F">
        <w:rPr>
          <w:rFonts w:ascii="Book Antiqua" w:hAnsi="Book Antiqua" w:cs="Times New Roman"/>
          <w:b/>
          <w:bCs/>
          <w:sz w:val="24"/>
          <w:szCs w:val="24"/>
        </w:rPr>
        <w:t>c</w:t>
      </w:r>
      <w:r w:rsidRPr="001A403F">
        <w:rPr>
          <w:rFonts w:ascii="Book Antiqua" w:hAnsi="Book Antiqua" w:cs="Times New Roman"/>
          <w:b/>
          <w:bCs/>
          <w:sz w:val="24"/>
          <w:szCs w:val="24"/>
        </w:rPr>
        <w:t>haracteristics:</w:t>
      </w:r>
      <w:r w:rsidRPr="001A403F">
        <w:rPr>
          <w:rFonts w:ascii="Book Antiqua" w:hAnsi="Book Antiqua" w:cs="Times New Roman"/>
          <w:sz w:val="24"/>
          <w:szCs w:val="24"/>
        </w:rPr>
        <w:t xml:space="preserve"> Training Cohort</w:t>
      </w:r>
      <w:r w:rsidR="00A15CED" w:rsidRPr="001A403F">
        <w:rPr>
          <w:rFonts w:ascii="Book Antiqua" w:hAnsi="Book Antiqua" w:cs="Times New Roman"/>
          <w:sz w:val="24"/>
          <w:szCs w:val="24"/>
          <w:lang w:eastAsia="zh-CN"/>
        </w:rPr>
        <w:t xml:space="preserve">. </w:t>
      </w:r>
      <w:r w:rsidR="0022363A" w:rsidRPr="001A403F">
        <w:rPr>
          <w:rFonts w:ascii="Book Antiqua" w:hAnsi="Book Antiqua" w:cs="Times New Roman"/>
          <w:sz w:val="24"/>
          <w:szCs w:val="24"/>
        </w:rPr>
        <w:t>In total,</w:t>
      </w:r>
      <w:r w:rsidRPr="001A403F">
        <w:rPr>
          <w:rFonts w:ascii="Book Antiqua" w:hAnsi="Book Antiqua" w:cs="Times New Roman"/>
          <w:sz w:val="24"/>
          <w:szCs w:val="24"/>
        </w:rPr>
        <w:t xml:space="preserve"> 436 patients </w:t>
      </w:r>
      <w:r w:rsidR="0022363A" w:rsidRPr="001A403F">
        <w:rPr>
          <w:rFonts w:ascii="Book Antiqua" w:hAnsi="Book Antiqua" w:cs="Times New Roman"/>
          <w:sz w:val="24"/>
          <w:szCs w:val="24"/>
        </w:rPr>
        <w:t>cirrhotic patients</w:t>
      </w:r>
      <w:r w:rsidRPr="001A403F">
        <w:rPr>
          <w:rFonts w:ascii="Book Antiqua" w:hAnsi="Book Antiqua" w:cs="Times New Roman"/>
          <w:sz w:val="24"/>
          <w:szCs w:val="24"/>
        </w:rPr>
        <w:t>, aged 57 ± 10.6 years, 65.4% males, mostly with alcoholic liver disease</w:t>
      </w:r>
      <w:r w:rsidR="00DF2A9D">
        <w:rPr>
          <w:rFonts w:ascii="Book Antiqua" w:hAnsi="Book Antiqua" w:cs="Times New Roman"/>
          <w:sz w:val="24"/>
          <w:szCs w:val="24"/>
        </w:rPr>
        <w:t xml:space="preserve"> </w:t>
      </w:r>
      <w:r w:rsidRPr="001A403F">
        <w:rPr>
          <w:rFonts w:ascii="Book Antiqua" w:hAnsi="Book Antiqua" w:cs="Times New Roman"/>
          <w:sz w:val="24"/>
          <w:szCs w:val="24"/>
        </w:rPr>
        <w:t>-(45.2%), Hepatitis C Virus</w:t>
      </w:r>
      <w:r w:rsidR="00DF2A9D">
        <w:rPr>
          <w:rFonts w:ascii="Book Antiqua" w:hAnsi="Book Antiqua" w:cs="Times New Roman"/>
          <w:sz w:val="24"/>
          <w:szCs w:val="24"/>
        </w:rPr>
        <w:t xml:space="preserve"> </w:t>
      </w:r>
      <w:r w:rsidRPr="001A403F">
        <w:rPr>
          <w:rFonts w:ascii="Book Antiqua" w:hAnsi="Book Antiqua" w:cs="Times New Roman"/>
          <w:sz w:val="24"/>
          <w:szCs w:val="24"/>
        </w:rPr>
        <w:t>-(33.7%) and Non-alcoholic steatohepatitis</w:t>
      </w:r>
      <w:r w:rsidR="00DF2A9D">
        <w:rPr>
          <w:rFonts w:ascii="Book Antiqua" w:hAnsi="Book Antiqua" w:cs="Times New Roman"/>
          <w:sz w:val="24"/>
          <w:szCs w:val="24"/>
        </w:rPr>
        <w:t xml:space="preserve"> </w:t>
      </w:r>
      <w:r w:rsidRPr="001A403F">
        <w:rPr>
          <w:rFonts w:ascii="Book Antiqua" w:hAnsi="Book Antiqua" w:cs="Times New Roman"/>
          <w:sz w:val="24"/>
          <w:szCs w:val="24"/>
        </w:rPr>
        <w:t xml:space="preserve">-(22%) related cirrhosis were included in the training cohort (Table 1). The majority of patients presented with severely decompensated liver disease, evidenced by the presence of moderate/severe </w:t>
      </w:r>
      <w:r w:rsidRPr="001A403F">
        <w:rPr>
          <w:rFonts w:ascii="Book Antiqua" w:hAnsi="Book Antiqua" w:cs="Times New Roman"/>
          <w:sz w:val="24"/>
          <w:szCs w:val="24"/>
        </w:rPr>
        <w:lastRenderedPageBreak/>
        <w:t>encephalopathy (47.5%), moderate/severe ascites (44.3%), or variceal bleeding (25.7%) on admission, with median MELD s</w:t>
      </w:r>
      <w:r w:rsidR="00E84EB1" w:rsidRPr="001A403F">
        <w:rPr>
          <w:rFonts w:ascii="Book Antiqua" w:hAnsi="Book Antiqua" w:cs="Times New Roman"/>
          <w:sz w:val="24"/>
          <w:szCs w:val="24"/>
        </w:rPr>
        <w:t>cores of 23.3 and Child-Pugh Score of 10.2 (C</w:t>
      </w:r>
      <w:r w:rsidRPr="001A403F">
        <w:rPr>
          <w:rFonts w:ascii="Book Antiqua" w:hAnsi="Book Antiqua" w:cs="Times New Roman"/>
          <w:sz w:val="24"/>
          <w:szCs w:val="24"/>
        </w:rPr>
        <w:t xml:space="preserve">). 119 (27.3%) died in the hospital. The median ICU </w:t>
      </w:r>
      <w:r w:rsidR="00E84EB1" w:rsidRPr="001A403F">
        <w:rPr>
          <w:rFonts w:ascii="Book Antiqua" w:hAnsi="Book Antiqua" w:cs="Times New Roman"/>
          <w:sz w:val="24"/>
          <w:szCs w:val="24"/>
        </w:rPr>
        <w:t>length of stay</w:t>
      </w:r>
      <w:r w:rsidRPr="001A403F">
        <w:rPr>
          <w:rFonts w:ascii="Book Antiqua" w:hAnsi="Book Antiqua" w:cs="Times New Roman"/>
          <w:sz w:val="24"/>
          <w:szCs w:val="24"/>
        </w:rPr>
        <w:t xml:space="preserve"> was 2.6 (25</w:t>
      </w:r>
      <w:r w:rsidRPr="001A403F">
        <w:rPr>
          <w:rFonts w:ascii="Book Antiqua" w:hAnsi="Book Antiqua" w:cs="Times New Roman"/>
          <w:sz w:val="24"/>
          <w:szCs w:val="24"/>
          <w:vertAlign w:val="superscript"/>
        </w:rPr>
        <w:t>th</w:t>
      </w:r>
      <w:r w:rsidRPr="001A403F">
        <w:rPr>
          <w:rFonts w:ascii="Book Antiqua" w:hAnsi="Book Antiqua" w:cs="Times New Roman"/>
          <w:sz w:val="24"/>
          <w:szCs w:val="24"/>
        </w:rPr>
        <w:t>, 75</w:t>
      </w:r>
      <w:r w:rsidRPr="001A403F">
        <w:rPr>
          <w:rFonts w:ascii="Book Antiqua" w:hAnsi="Book Antiqua" w:cs="Times New Roman"/>
          <w:sz w:val="24"/>
          <w:szCs w:val="24"/>
          <w:vertAlign w:val="superscript"/>
        </w:rPr>
        <w:t>th</w:t>
      </w:r>
      <w:r w:rsidRPr="001A403F">
        <w:rPr>
          <w:rFonts w:ascii="Book Antiqua" w:hAnsi="Book Antiqua" w:cs="Times New Roman"/>
          <w:sz w:val="24"/>
          <w:szCs w:val="24"/>
        </w:rPr>
        <w:t xml:space="preserve"> percentiles: 1.4, 5.2) d and the median hospital </w:t>
      </w:r>
      <w:r w:rsidR="00E84EB1" w:rsidRPr="001A403F">
        <w:rPr>
          <w:rFonts w:ascii="Book Antiqua" w:hAnsi="Book Antiqua" w:cs="Times New Roman"/>
          <w:sz w:val="24"/>
          <w:szCs w:val="24"/>
        </w:rPr>
        <w:t>length of stay</w:t>
      </w:r>
      <w:r w:rsidRPr="001A403F">
        <w:rPr>
          <w:rFonts w:ascii="Book Antiqua" w:hAnsi="Book Antiqua" w:cs="Times New Roman"/>
          <w:sz w:val="24"/>
          <w:szCs w:val="24"/>
        </w:rPr>
        <w:t xml:space="preserve"> was 8.7 (4.7, 16.8) d.</w:t>
      </w:r>
    </w:p>
    <w:p w14:paraId="1856F2D0"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u w:val="single"/>
        </w:rPr>
      </w:pPr>
    </w:p>
    <w:p w14:paraId="5AADCA29" w14:textId="188A8B7B" w:rsidR="003D150B" w:rsidRPr="001A403F" w:rsidRDefault="00CC5E52" w:rsidP="002E7076">
      <w:pPr>
        <w:adjustRightInd w:val="0"/>
        <w:snapToGrid w:val="0"/>
        <w:spacing w:after="0" w:line="360" w:lineRule="auto"/>
        <w:jc w:val="both"/>
        <w:rPr>
          <w:rFonts w:ascii="Book Antiqua" w:hAnsi="Book Antiqua" w:cs="Times New Roman"/>
          <w:b/>
          <w:bCs/>
          <w:i/>
          <w:iCs/>
          <w:sz w:val="24"/>
          <w:szCs w:val="24"/>
        </w:rPr>
      </w:pPr>
      <w:r w:rsidRPr="001A403F">
        <w:rPr>
          <w:rFonts w:ascii="Book Antiqua" w:hAnsi="Book Antiqua" w:cs="Times New Roman"/>
          <w:b/>
          <w:bCs/>
          <w:i/>
          <w:iCs/>
          <w:sz w:val="24"/>
          <w:szCs w:val="24"/>
        </w:rPr>
        <w:t xml:space="preserve">Factors </w:t>
      </w:r>
      <w:r w:rsidR="00A15CED" w:rsidRPr="001A403F">
        <w:rPr>
          <w:rFonts w:ascii="Book Antiqua" w:hAnsi="Book Antiqua" w:cs="Times New Roman"/>
          <w:b/>
          <w:bCs/>
          <w:i/>
          <w:iCs/>
          <w:sz w:val="24"/>
          <w:szCs w:val="24"/>
        </w:rPr>
        <w:t>associated with in-hospital mortality</w:t>
      </w:r>
    </w:p>
    <w:p w14:paraId="5831745D" w14:textId="7F586573"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Table 1 </w:t>
      </w:r>
      <w:r w:rsidR="0022363A" w:rsidRPr="001A403F">
        <w:rPr>
          <w:rFonts w:ascii="Book Antiqua" w:hAnsi="Book Antiqua" w:cs="Times New Roman"/>
          <w:sz w:val="24"/>
          <w:szCs w:val="24"/>
        </w:rPr>
        <w:t>summarizes univariable</w:t>
      </w:r>
      <w:r w:rsidRPr="001A403F">
        <w:rPr>
          <w:rFonts w:ascii="Book Antiqua" w:hAnsi="Book Antiqua" w:cs="Times New Roman"/>
          <w:sz w:val="24"/>
          <w:szCs w:val="24"/>
        </w:rPr>
        <w:t xml:space="preserve"> comparisons of subjects who died and those who were discharged alive. There was no significant difference in patient age, gender, ethnicity, etiology of liver disease or co-morbidities between survivors and non-survivors. Survivors had lower MELD (20.3 </w:t>
      </w:r>
      <w:r w:rsidRPr="00DF2A9D">
        <w:rPr>
          <w:rFonts w:ascii="Book Antiqua" w:hAnsi="Book Antiqua" w:cs="Times New Roman"/>
          <w:i/>
          <w:iCs/>
          <w:sz w:val="24"/>
          <w:szCs w:val="24"/>
        </w:rPr>
        <w:t>v</w:t>
      </w:r>
      <w:r w:rsidR="00DF2A9D" w:rsidRPr="00DF2A9D">
        <w:rPr>
          <w:rFonts w:ascii="Book Antiqua" w:hAnsi="Book Antiqua" w:cs="Times New Roman"/>
          <w:i/>
          <w:iCs/>
          <w:sz w:val="24"/>
          <w:szCs w:val="24"/>
        </w:rPr>
        <w:t>s</w:t>
      </w:r>
      <w:r w:rsidRPr="001A403F">
        <w:rPr>
          <w:rFonts w:ascii="Book Antiqua" w:hAnsi="Book Antiqua" w:cs="Times New Roman"/>
          <w:sz w:val="24"/>
          <w:szCs w:val="24"/>
        </w:rPr>
        <w:t xml:space="preserve"> 31.1) and Child-Pugh (10.3 </w:t>
      </w:r>
      <w:r w:rsidRPr="001A403F">
        <w:rPr>
          <w:rFonts w:ascii="Book Antiqua" w:hAnsi="Book Antiqua" w:cs="Times New Roman"/>
          <w:i/>
          <w:iCs/>
          <w:sz w:val="24"/>
          <w:szCs w:val="24"/>
        </w:rPr>
        <w:t>v</w:t>
      </w:r>
      <w:r w:rsidR="00A15CED" w:rsidRPr="001A403F">
        <w:rPr>
          <w:rFonts w:ascii="Book Antiqua" w:hAnsi="Book Antiqua" w:cs="Times New Roman"/>
          <w:i/>
          <w:iCs/>
          <w:sz w:val="24"/>
          <w:szCs w:val="24"/>
        </w:rPr>
        <w:t>s</w:t>
      </w:r>
      <w:r w:rsidRPr="001A403F">
        <w:rPr>
          <w:rFonts w:ascii="Book Antiqua" w:hAnsi="Book Antiqua" w:cs="Times New Roman"/>
          <w:sz w:val="24"/>
          <w:szCs w:val="24"/>
        </w:rPr>
        <w:t xml:space="preserve"> 11.9) scores. Variceal hemorrhage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0.26), presence/grade of hepatic encephalopathy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0.43), and presence/degree of ascites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 xml:space="preserve">0.85) were not predictive of in-hospital mortality. </w:t>
      </w:r>
    </w:p>
    <w:p w14:paraId="3D58ABD6" w14:textId="040F3CC0" w:rsidR="003D150B"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 xml:space="preserve">Patients who died in the hospital were more likely to require mechanical ventilation (49.6% </w:t>
      </w:r>
      <w:r w:rsidRPr="001A403F">
        <w:rPr>
          <w:rFonts w:ascii="Book Antiqua" w:hAnsi="Book Antiqua" w:cs="Times New Roman"/>
          <w:i/>
          <w:iCs/>
          <w:sz w:val="24"/>
          <w:szCs w:val="24"/>
        </w:rPr>
        <w:t>v</w:t>
      </w:r>
      <w:r w:rsidR="00A15CED" w:rsidRPr="001A403F">
        <w:rPr>
          <w:rFonts w:ascii="Book Antiqua" w:hAnsi="Book Antiqua" w:cs="Times New Roman"/>
          <w:i/>
          <w:iCs/>
          <w:sz w:val="24"/>
          <w:szCs w:val="24"/>
        </w:rPr>
        <w:t>s</w:t>
      </w:r>
      <w:r w:rsidRPr="001A403F">
        <w:rPr>
          <w:rFonts w:ascii="Book Antiqua" w:hAnsi="Book Antiqua" w:cs="Times New Roman"/>
          <w:sz w:val="24"/>
          <w:szCs w:val="24"/>
        </w:rPr>
        <w:t xml:space="preserve"> 35%,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 xml:space="preserve">0.005) and dialysis (12.6% </w:t>
      </w:r>
      <w:r w:rsidRPr="001A403F">
        <w:rPr>
          <w:rFonts w:ascii="Book Antiqua" w:hAnsi="Book Antiqua" w:cs="Times New Roman"/>
          <w:i/>
          <w:iCs/>
          <w:sz w:val="24"/>
          <w:szCs w:val="24"/>
        </w:rPr>
        <w:t>v</w:t>
      </w:r>
      <w:r w:rsidR="00A15CED" w:rsidRPr="001A403F">
        <w:rPr>
          <w:rFonts w:ascii="Book Antiqua" w:hAnsi="Book Antiqua" w:cs="Times New Roman"/>
          <w:i/>
          <w:iCs/>
          <w:sz w:val="24"/>
          <w:szCs w:val="24"/>
        </w:rPr>
        <w:t>s</w:t>
      </w:r>
      <w:r w:rsidRPr="001A403F">
        <w:rPr>
          <w:rFonts w:ascii="Book Antiqua" w:hAnsi="Book Antiqua" w:cs="Times New Roman"/>
          <w:sz w:val="24"/>
          <w:szCs w:val="24"/>
        </w:rPr>
        <w:t xml:space="preserve"> 6.3%,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0.031) on admission to the ICU than patients who survived. Patients who did not survive hospitalization had significantly lower mean arterial pressure (MAP), temperature and Glasgow coma scale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&lt;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0.001). Additionally, non-survivors were more likely to have lower hematocrit and bicarbonate, as well as higher WBC, A-a gradient, lactate, PT/</w:t>
      </w:r>
      <w:r w:rsidR="005233B4" w:rsidRPr="001A403F">
        <w:rPr>
          <w:rFonts w:ascii="Book Antiqua" w:hAnsi="Book Antiqua" w:cs="Times New Roman"/>
          <w:sz w:val="24"/>
          <w:szCs w:val="24"/>
        </w:rPr>
        <w:t>International normalized ratio</w:t>
      </w:r>
      <w:r w:rsidRPr="001A403F">
        <w:rPr>
          <w:rFonts w:ascii="Book Antiqua" w:hAnsi="Book Antiqua" w:cs="Times New Roman"/>
          <w:sz w:val="24"/>
          <w:szCs w:val="24"/>
        </w:rPr>
        <w:t>, potassium, blood urea nitrogen, creatinine, and bilirubin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&lt;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0.001). There was no significant difference in serum sodium or albumin levels between survivors and non-survivors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0.81 and 0.57, respectively).</w:t>
      </w:r>
    </w:p>
    <w:p w14:paraId="7ABA3D8D" w14:textId="2A327BC5" w:rsidR="003D150B"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 xml:space="preserve">In multivariate analysis, a combination of the natural logarithm </w:t>
      </w:r>
      <w:r w:rsidR="00C83A51" w:rsidRPr="001A403F">
        <w:rPr>
          <w:rFonts w:ascii="Book Antiqua" w:hAnsi="Book Antiqua" w:cs="Times New Roman"/>
          <w:sz w:val="24"/>
          <w:szCs w:val="24"/>
        </w:rPr>
        <w:t xml:space="preserve">(ln) </w:t>
      </w:r>
      <w:r w:rsidR="006E1863" w:rsidRPr="001A403F">
        <w:rPr>
          <w:rFonts w:ascii="Book Antiqua" w:hAnsi="Book Antiqua" w:cs="Times New Roman"/>
          <w:sz w:val="24"/>
          <w:szCs w:val="24"/>
        </w:rPr>
        <w:t xml:space="preserve">of the </w:t>
      </w:r>
      <w:r w:rsidRPr="001A403F">
        <w:rPr>
          <w:rFonts w:ascii="Book Antiqua" w:hAnsi="Book Antiqua" w:cs="Times New Roman"/>
          <w:sz w:val="24"/>
          <w:szCs w:val="24"/>
        </w:rPr>
        <w:t>bilirubin, PT, WBC, and MAP was found to most accurately predict in-hospital mortality. Based on the regression coefficients of the independent variables (Table 2), a n</w:t>
      </w:r>
      <w:r w:rsidR="0022363A" w:rsidRPr="001A403F">
        <w:rPr>
          <w:rFonts w:ascii="Book Antiqua" w:hAnsi="Book Antiqua" w:cs="Times New Roman"/>
          <w:sz w:val="24"/>
          <w:szCs w:val="24"/>
        </w:rPr>
        <w:t>ovel</w:t>
      </w:r>
      <w:r w:rsidRPr="001A403F">
        <w:rPr>
          <w:rFonts w:ascii="Book Antiqua" w:hAnsi="Book Antiqua" w:cs="Times New Roman"/>
          <w:sz w:val="24"/>
          <w:szCs w:val="24"/>
        </w:rPr>
        <w:t xml:space="preserve"> model to predict in</w:t>
      </w:r>
      <w:r w:rsidR="00C83A51" w:rsidRPr="001A403F">
        <w:rPr>
          <w:rFonts w:ascii="Book Antiqua" w:hAnsi="Book Antiqua" w:cs="Times New Roman"/>
          <w:sz w:val="24"/>
          <w:szCs w:val="24"/>
        </w:rPr>
        <w:t>patient</w:t>
      </w:r>
      <w:r w:rsidRPr="001A403F">
        <w:rPr>
          <w:rFonts w:ascii="Book Antiqua" w:hAnsi="Book Antiqua" w:cs="Times New Roman"/>
          <w:sz w:val="24"/>
          <w:szCs w:val="24"/>
        </w:rPr>
        <w:t xml:space="preserve"> mortality was </w:t>
      </w:r>
      <w:r w:rsidR="00C83A51" w:rsidRPr="001A403F">
        <w:rPr>
          <w:rFonts w:ascii="Book Antiqua" w:hAnsi="Book Antiqua" w:cs="Times New Roman"/>
          <w:sz w:val="24"/>
          <w:szCs w:val="24"/>
        </w:rPr>
        <w:t>established</w:t>
      </w:r>
      <w:r w:rsidRPr="001A403F">
        <w:rPr>
          <w:rFonts w:ascii="Book Antiqua" w:hAnsi="Book Antiqua" w:cs="Times New Roman"/>
          <w:sz w:val="24"/>
          <w:szCs w:val="24"/>
        </w:rPr>
        <w:t>.</w:t>
      </w:r>
      <w:r w:rsidR="001F466C" w:rsidRPr="001A403F">
        <w:rPr>
          <w:rFonts w:ascii="Book Antiqua" w:hAnsi="Book Antiqua" w:cs="Times New Roman"/>
          <w:sz w:val="24"/>
          <w:szCs w:val="24"/>
          <w:lang w:eastAsia="zh-CN"/>
        </w:rPr>
        <w:t xml:space="preserve"> </w:t>
      </w:r>
      <w:r w:rsidRPr="001A403F">
        <w:rPr>
          <w:rFonts w:ascii="Book Antiqua" w:hAnsi="Book Antiqua" w:cs="Times New Roman"/>
          <w:sz w:val="24"/>
          <w:szCs w:val="24"/>
        </w:rPr>
        <w:t>The final proposed model was defined as:</w:t>
      </w:r>
      <w:r w:rsidR="00A15CED" w:rsidRPr="001A403F">
        <w:rPr>
          <w:rFonts w:ascii="Book Antiqua" w:hAnsi="Book Antiqua" w:cs="Times New Roman"/>
          <w:sz w:val="24"/>
          <w:szCs w:val="24"/>
        </w:rPr>
        <w:t xml:space="preserve"> </w:t>
      </w:r>
      <w:r w:rsidR="001F466C" w:rsidRPr="001A403F">
        <w:rPr>
          <w:rFonts w:ascii="Book Antiqua" w:hAnsi="Book Antiqua" w:cs="Times New Roman"/>
          <w:i/>
          <w:iCs/>
          <w:sz w:val="24"/>
          <w:szCs w:val="24"/>
        </w:rPr>
        <w:t>z</w:t>
      </w:r>
      <w:r w:rsidR="001F466C" w:rsidRPr="001A403F">
        <w:rPr>
          <w:rFonts w:ascii="Book Antiqua" w:hAnsi="Book Antiqua" w:cs="Times New Roman"/>
          <w:sz w:val="24"/>
          <w:szCs w:val="24"/>
        </w:rPr>
        <w:t xml:space="preserve"> = 1.19330 + [0.6137 × ln (</w:t>
      </w:r>
      <w:r w:rsidR="001F466C" w:rsidRPr="001A403F">
        <w:rPr>
          <w:rFonts w:ascii="Book Antiqua" w:hAnsi="Book Antiqua" w:cs="Times New Roman"/>
          <w:i/>
          <w:iCs/>
          <w:sz w:val="24"/>
          <w:szCs w:val="24"/>
        </w:rPr>
        <w:t>bilirubin</w:t>
      </w:r>
      <w:r w:rsidR="001F466C" w:rsidRPr="001A403F">
        <w:rPr>
          <w:rFonts w:ascii="Book Antiqua" w:hAnsi="Book Antiqua" w:cs="Times New Roman"/>
          <w:sz w:val="24"/>
          <w:szCs w:val="24"/>
        </w:rPr>
        <w:t>)] – (47.203/</w:t>
      </w:r>
      <w:r w:rsidR="001F466C" w:rsidRPr="001A403F">
        <w:rPr>
          <w:rFonts w:ascii="Book Antiqua" w:hAnsi="Book Antiqua" w:cs="Times New Roman"/>
          <w:i/>
          <w:iCs/>
          <w:sz w:val="24"/>
          <w:szCs w:val="24"/>
        </w:rPr>
        <w:t>PT</w:t>
      </w:r>
      <w:r w:rsidR="001F466C" w:rsidRPr="001A403F">
        <w:rPr>
          <w:rFonts w:ascii="Book Antiqua" w:hAnsi="Book Antiqua" w:cs="Times New Roman"/>
          <w:sz w:val="24"/>
          <w:szCs w:val="24"/>
        </w:rPr>
        <w:t xml:space="preserve">) + (0.0715 × </w:t>
      </w:r>
      <w:r w:rsidR="001F466C" w:rsidRPr="001A403F">
        <w:rPr>
          <w:rFonts w:ascii="Book Antiqua" w:hAnsi="Book Antiqua" w:cs="Times New Roman"/>
          <w:i/>
          <w:iCs/>
          <w:sz w:val="24"/>
          <w:szCs w:val="24"/>
        </w:rPr>
        <w:t>WBC</w:t>
      </w:r>
      <w:r w:rsidR="001F466C" w:rsidRPr="001A403F">
        <w:rPr>
          <w:rFonts w:ascii="Book Antiqua" w:hAnsi="Book Antiqua" w:cs="Times New Roman"/>
          <w:sz w:val="24"/>
          <w:szCs w:val="24"/>
        </w:rPr>
        <w:t xml:space="preserve">) – (0.0198 × </w:t>
      </w:r>
      <w:r w:rsidR="001F466C" w:rsidRPr="001A403F">
        <w:rPr>
          <w:rFonts w:ascii="Book Antiqua" w:hAnsi="Book Antiqua" w:cs="Times New Roman"/>
          <w:i/>
          <w:iCs/>
          <w:sz w:val="24"/>
          <w:szCs w:val="24"/>
        </w:rPr>
        <w:t>MAP</w:t>
      </w:r>
      <w:r w:rsidR="001F466C" w:rsidRPr="001A403F">
        <w:rPr>
          <w:rFonts w:ascii="Book Antiqua" w:hAnsi="Book Antiqua" w:cs="Times New Roman"/>
          <w:sz w:val="24"/>
          <w:szCs w:val="24"/>
        </w:rPr>
        <w:t>)</w:t>
      </w:r>
      <w:r w:rsidR="001F466C" w:rsidRPr="001A403F">
        <w:rPr>
          <w:rFonts w:ascii="Book Antiqua" w:hAnsi="Book Antiqua" w:cs="Times New Roman"/>
          <w:sz w:val="24"/>
          <w:szCs w:val="24"/>
          <w:lang w:eastAsia="zh-CN"/>
        </w:rPr>
        <w:t xml:space="preserve">. </w:t>
      </w:r>
      <w:r w:rsidR="00C83A51" w:rsidRPr="001A403F">
        <w:rPr>
          <w:rFonts w:ascii="Book Antiqua" w:hAnsi="Book Antiqua" w:cs="Times New Roman"/>
          <w:sz w:val="24"/>
          <w:szCs w:val="24"/>
        </w:rPr>
        <w:t xml:space="preserve">The </w:t>
      </w:r>
      <w:r w:rsidR="00C83A51" w:rsidRPr="001A403F">
        <w:rPr>
          <w:rFonts w:ascii="Book Antiqua" w:hAnsi="Book Antiqua" w:cs="Times New Roman"/>
          <w:i/>
          <w:iCs/>
          <w:sz w:val="24"/>
          <w:szCs w:val="24"/>
        </w:rPr>
        <w:t>z</w:t>
      </w:r>
      <w:r w:rsidR="00C83A51" w:rsidRPr="001A403F">
        <w:rPr>
          <w:rFonts w:ascii="Book Antiqua" w:hAnsi="Book Antiqua" w:cs="Times New Roman"/>
          <w:sz w:val="24"/>
          <w:szCs w:val="24"/>
        </w:rPr>
        <w:t xml:space="preserve"> value is subsequently</w:t>
      </w:r>
      <w:r w:rsidRPr="001A403F">
        <w:rPr>
          <w:rFonts w:ascii="Book Antiqua" w:hAnsi="Book Antiqua" w:cs="Times New Roman"/>
          <w:sz w:val="24"/>
          <w:szCs w:val="24"/>
        </w:rPr>
        <w:t xml:space="preserve"> converted into a risk score to calculate probability of mortality </w:t>
      </w:r>
      <w:r w:rsidR="00C83A51" w:rsidRPr="001A403F">
        <w:rPr>
          <w:rFonts w:ascii="Book Antiqua" w:hAnsi="Book Antiqua" w:cs="Times New Roman"/>
          <w:sz w:val="24"/>
          <w:szCs w:val="24"/>
        </w:rPr>
        <w:t>utilizing</w:t>
      </w:r>
      <w:r w:rsidRPr="001A403F">
        <w:rPr>
          <w:rFonts w:ascii="Book Antiqua" w:hAnsi="Book Antiqua" w:cs="Times New Roman"/>
          <w:sz w:val="24"/>
          <w:szCs w:val="24"/>
        </w:rPr>
        <w:t xml:space="preserve"> the formula: </w:t>
      </w:r>
      <w:r w:rsidR="001F466C" w:rsidRPr="001A403F">
        <w:rPr>
          <w:rFonts w:ascii="Book Antiqua" w:hAnsi="Book Antiqua" w:cs="Times New Roman"/>
          <w:sz w:val="24"/>
          <w:szCs w:val="24"/>
        </w:rPr>
        <w:t>LIV-4 = Probability of death (%) = [</w:t>
      </w:r>
      <w:proofErr w:type="spellStart"/>
      <w:r w:rsidR="001F466C" w:rsidRPr="001A403F">
        <w:rPr>
          <w:rFonts w:ascii="Book Antiqua" w:hAnsi="Book Antiqua" w:cs="Times New Roman"/>
          <w:i/>
          <w:iCs/>
          <w:sz w:val="24"/>
          <w:szCs w:val="24"/>
        </w:rPr>
        <w:t>e</w:t>
      </w:r>
      <w:r w:rsidR="001F466C" w:rsidRPr="001A403F">
        <w:rPr>
          <w:rFonts w:ascii="Book Antiqua" w:hAnsi="Book Antiqua" w:cs="Times New Roman"/>
          <w:i/>
          <w:iCs/>
          <w:sz w:val="24"/>
          <w:szCs w:val="24"/>
          <w:vertAlign w:val="superscript"/>
        </w:rPr>
        <w:t>z</w:t>
      </w:r>
      <w:proofErr w:type="spellEnd"/>
      <w:r w:rsidR="001F466C" w:rsidRPr="001A403F">
        <w:rPr>
          <w:rFonts w:ascii="Book Antiqua" w:hAnsi="Book Antiqua" w:cs="Times New Roman"/>
          <w:sz w:val="24"/>
          <w:szCs w:val="24"/>
        </w:rPr>
        <w:t xml:space="preserve">/(1 + </w:t>
      </w:r>
      <w:proofErr w:type="spellStart"/>
      <w:r w:rsidR="001F466C" w:rsidRPr="001A403F">
        <w:rPr>
          <w:rFonts w:ascii="Book Antiqua" w:hAnsi="Book Antiqua" w:cs="Times New Roman"/>
          <w:i/>
          <w:iCs/>
          <w:sz w:val="24"/>
          <w:szCs w:val="24"/>
        </w:rPr>
        <w:t>e</w:t>
      </w:r>
      <w:r w:rsidR="001F466C" w:rsidRPr="001A403F">
        <w:rPr>
          <w:rFonts w:ascii="Book Antiqua" w:hAnsi="Book Antiqua" w:cs="Times New Roman"/>
          <w:i/>
          <w:iCs/>
          <w:sz w:val="24"/>
          <w:szCs w:val="24"/>
          <w:vertAlign w:val="superscript"/>
        </w:rPr>
        <w:t>z</w:t>
      </w:r>
      <w:proofErr w:type="spellEnd"/>
      <w:r w:rsidR="001F466C" w:rsidRPr="001A403F">
        <w:rPr>
          <w:rFonts w:ascii="Book Antiqua" w:hAnsi="Book Antiqua" w:cs="Times New Roman"/>
          <w:sz w:val="24"/>
          <w:szCs w:val="24"/>
        </w:rPr>
        <w:t xml:space="preserve">)] × 100. </w:t>
      </w:r>
      <w:r w:rsidR="00C83A51" w:rsidRPr="001A403F">
        <w:rPr>
          <w:rFonts w:ascii="Book Antiqua" w:hAnsi="Book Antiqua"/>
          <w:sz w:val="24"/>
          <w:szCs w:val="24"/>
        </w:rPr>
        <w:t>Percentage values range from 0 to 100.</w:t>
      </w:r>
    </w:p>
    <w:p w14:paraId="55D838AA" w14:textId="7C7D2C26" w:rsidR="003D150B"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lastRenderedPageBreak/>
        <w:t xml:space="preserve">The Hosmer-Lemeshow goodness-of-fit </w:t>
      </w:r>
      <w:r w:rsidR="002E7076" w:rsidRPr="00E5343F">
        <w:rPr>
          <w:rFonts w:ascii="Book Antiqua" w:hAnsi="Book Antiqua" w:cs="Times New Roman"/>
          <w:i/>
          <w:sz w:val="24"/>
          <w:szCs w:val="24"/>
        </w:rPr>
        <w:t>X</w:t>
      </w:r>
      <w:r w:rsidR="001F466C" w:rsidRPr="00E5343F">
        <w:rPr>
          <w:rFonts w:ascii="Book Antiqua" w:hAnsi="Book Antiqua" w:cs="Times New Roman"/>
          <w:i/>
          <w:sz w:val="24"/>
          <w:szCs w:val="24"/>
          <w:vertAlign w:val="superscript"/>
        </w:rPr>
        <w:t>2</w:t>
      </w:r>
      <w:r w:rsidRPr="001A403F">
        <w:rPr>
          <w:rFonts w:ascii="Book Antiqua" w:hAnsi="Book Antiqua" w:cs="Times New Roman"/>
          <w:sz w:val="24"/>
          <w:szCs w:val="24"/>
          <w:vertAlign w:val="superscript"/>
        </w:rPr>
        <w:t xml:space="preserve"> </w:t>
      </w:r>
      <w:r w:rsidRPr="001A403F">
        <w:rPr>
          <w:rFonts w:ascii="Book Antiqua" w:hAnsi="Book Antiqua" w:cs="Times New Roman"/>
          <w:sz w:val="24"/>
          <w:szCs w:val="24"/>
        </w:rPr>
        <w:t>test was 5.4 (</w:t>
      </w:r>
      <w:r w:rsidR="001F466C" w:rsidRPr="001A403F">
        <w:rPr>
          <w:rFonts w:ascii="Book Antiqua" w:hAnsi="Book Antiqua" w:cs="Times New Roman"/>
          <w:i/>
          <w:iCs/>
          <w:sz w:val="24"/>
          <w:szCs w:val="24"/>
        </w:rPr>
        <w:t>P</w:t>
      </w:r>
      <w:r w:rsidR="001F466C"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1F466C" w:rsidRPr="001A403F">
        <w:rPr>
          <w:rFonts w:ascii="Book Antiqua" w:hAnsi="Book Antiqua" w:cs="Times New Roman"/>
          <w:sz w:val="24"/>
          <w:szCs w:val="24"/>
        </w:rPr>
        <w:t xml:space="preserve"> </w:t>
      </w:r>
      <w:r w:rsidRPr="001A403F">
        <w:rPr>
          <w:rFonts w:ascii="Book Antiqua" w:hAnsi="Book Antiqua" w:cs="Times New Roman"/>
          <w:sz w:val="24"/>
          <w:szCs w:val="24"/>
        </w:rPr>
        <w:t xml:space="preserve">0.72) and the AUROC for this model </w:t>
      </w:r>
      <w:r w:rsidR="00570E82" w:rsidRPr="001A403F">
        <w:rPr>
          <w:rFonts w:ascii="Book Antiqua" w:hAnsi="Book Antiqua" w:cs="Times New Roman"/>
          <w:sz w:val="24"/>
          <w:szCs w:val="24"/>
        </w:rPr>
        <w:t>was 0.86 (95%CI: 0.82</w:t>
      </w:r>
      <w:r w:rsidR="001F466C" w:rsidRPr="001A403F">
        <w:rPr>
          <w:rFonts w:ascii="Book Antiqua" w:hAnsi="Book Antiqua" w:cs="Times New Roman"/>
          <w:sz w:val="24"/>
          <w:szCs w:val="24"/>
        </w:rPr>
        <w:t>-</w:t>
      </w:r>
      <w:r w:rsidR="00570E82" w:rsidRPr="001A403F">
        <w:rPr>
          <w:rFonts w:ascii="Book Antiqua" w:hAnsi="Book Antiqua" w:cs="Times New Roman"/>
          <w:sz w:val="24"/>
          <w:szCs w:val="24"/>
        </w:rPr>
        <w:t>0.90). Using bootstrap resampling, i</w:t>
      </w:r>
      <w:r w:rsidRPr="001A403F">
        <w:rPr>
          <w:rFonts w:ascii="Book Antiqua" w:hAnsi="Book Antiqua" w:cs="Times New Roman"/>
          <w:sz w:val="24"/>
          <w:szCs w:val="24"/>
        </w:rPr>
        <w:t xml:space="preserve">nternal validation of the model </w:t>
      </w:r>
      <w:r w:rsidR="00570E82" w:rsidRPr="001A403F">
        <w:rPr>
          <w:rFonts w:ascii="Book Antiqua" w:hAnsi="Book Antiqua" w:cs="Times New Roman"/>
          <w:sz w:val="24"/>
          <w:szCs w:val="24"/>
        </w:rPr>
        <w:t>was undertaken and produced</w:t>
      </w:r>
      <w:r w:rsidRPr="001A403F">
        <w:rPr>
          <w:rFonts w:ascii="Book Antiqua" w:hAnsi="Book Antiqua" w:cs="Times New Roman"/>
          <w:sz w:val="24"/>
          <w:szCs w:val="24"/>
        </w:rPr>
        <w:t xml:space="preserve"> an AUROC of 0.85. </w:t>
      </w:r>
      <w:r w:rsidR="00570E82" w:rsidRPr="001A403F">
        <w:rPr>
          <w:rFonts w:ascii="Book Antiqua" w:hAnsi="Book Antiqua" w:cs="Times New Roman"/>
          <w:sz w:val="24"/>
          <w:szCs w:val="24"/>
        </w:rPr>
        <w:t xml:space="preserve">Based on </w:t>
      </w:r>
      <w:r w:rsidRPr="001A403F">
        <w:rPr>
          <w:rFonts w:ascii="Book Antiqua" w:hAnsi="Book Antiqua" w:cs="Times New Roman"/>
          <w:sz w:val="24"/>
          <w:szCs w:val="24"/>
        </w:rPr>
        <w:t>Youden's index</w:t>
      </w:r>
      <w:r w:rsidR="002A4396" w:rsidRPr="001A403F">
        <w:rPr>
          <w:rFonts w:ascii="Book Antiqua" w:hAnsi="Book Antiqua" w:cs="Times New Roman"/>
          <w:sz w:val="24"/>
          <w:szCs w:val="24"/>
          <w:vertAlign w:val="superscript"/>
        </w:rPr>
        <w:t>[</w:t>
      </w:r>
      <w:r w:rsidR="00381298" w:rsidRPr="001A403F">
        <w:rPr>
          <w:rFonts w:ascii="Book Antiqua" w:hAnsi="Book Antiqua" w:cs="Times New Roman"/>
          <w:sz w:val="24"/>
          <w:szCs w:val="24"/>
          <w:vertAlign w:val="superscript"/>
        </w:rPr>
        <w:t>31</w:t>
      </w:r>
      <w:r w:rsidR="002A4396"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and using a cutoff</w:t>
      </w:r>
      <w:r w:rsidR="00570E82" w:rsidRPr="001A403F">
        <w:rPr>
          <w:rFonts w:ascii="Book Antiqua" w:hAnsi="Book Antiqua" w:cs="Times New Roman"/>
          <w:sz w:val="24"/>
          <w:szCs w:val="24"/>
        </w:rPr>
        <w:t xml:space="preserve"> of 26.5, the new score performed</w:t>
      </w:r>
      <w:r w:rsidRPr="001A403F">
        <w:rPr>
          <w:rFonts w:ascii="Book Antiqua" w:hAnsi="Book Antiqua" w:cs="Times New Roman"/>
          <w:sz w:val="24"/>
          <w:szCs w:val="24"/>
        </w:rPr>
        <w:t xml:space="preserve"> with a sensitivity of 8</w:t>
      </w:r>
      <w:r w:rsidR="00855B24" w:rsidRPr="001A403F">
        <w:rPr>
          <w:rFonts w:ascii="Book Antiqua" w:hAnsi="Book Antiqua" w:cs="Times New Roman"/>
          <w:sz w:val="24"/>
          <w:szCs w:val="24"/>
        </w:rPr>
        <w:t>1</w:t>
      </w:r>
      <w:r w:rsidRPr="001A403F">
        <w:rPr>
          <w:rFonts w:ascii="Book Antiqua" w:hAnsi="Book Antiqua" w:cs="Times New Roman"/>
          <w:sz w:val="24"/>
          <w:szCs w:val="24"/>
        </w:rPr>
        <w:t>%, specificity of 76%, Positive Predictive Value of 58%, and Negative Predictive Value of 92%. Alternatively, a cutof</w:t>
      </w:r>
      <w:r w:rsidR="00570E82" w:rsidRPr="001A403F">
        <w:rPr>
          <w:rFonts w:ascii="Book Antiqua" w:hAnsi="Book Antiqua" w:cs="Times New Roman"/>
          <w:sz w:val="24"/>
          <w:szCs w:val="24"/>
        </w:rPr>
        <w:t>f of 45.8 yields</w:t>
      </w:r>
      <w:r w:rsidRPr="001A403F">
        <w:rPr>
          <w:rFonts w:ascii="Book Antiqua" w:hAnsi="Book Antiqua" w:cs="Times New Roman"/>
          <w:sz w:val="24"/>
          <w:szCs w:val="24"/>
        </w:rPr>
        <w:t xml:space="preserve"> a sensitivity of 61% and specificity of 90%. </w:t>
      </w:r>
    </w:p>
    <w:p w14:paraId="6302C811"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p>
    <w:p w14:paraId="7CC22D1B" w14:textId="331EE48A" w:rsidR="003D150B" w:rsidRPr="001A403F" w:rsidRDefault="003D150B" w:rsidP="002E7076">
      <w:pPr>
        <w:adjustRightInd w:val="0"/>
        <w:snapToGrid w:val="0"/>
        <w:spacing w:after="0" w:line="360" w:lineRule="auto"/>
        <w:jc w:val="both"/>
        <w:rPr>
          <w:rFonts w:ascii="Book Antiqua" w:hAnsi="Book Antiqua" w:cs="Times New Roman"/>
          <w:b/>
          <w:bCs/>
          <w:i/>
          <w:iCs/>
          <w:sz w:val="24"/>
          <w:szCs w:val="24"/>
        </w:rPr>
      </w:pPr>
      <w:r w:rsidRPr="001A403F">
        <w:rPr>
          <w:rFonts w:ascii="Book Antiqua" w:hAnsi="Book Antiqua" w:cs="Times New Roman"/>
          <w:b/>
          <w:bCs/>
          <w:i/>
          <w:iCs/>
          <w:sz w:val="24"/>
          <w:szCs w:val="24"/>
        </w:rPr>
        <w:t xml:space="preserve">Comparison of </w:t>
      </w:r>
      <w:r w:rsidR="001F466C" w:rsidRPr="001A403F">
        <w:rPr>
          <w:rFonts w:ascii="Book Antiqua" w:hAnsi="Book Antiqua" w:cs="Times New Roman"/>
          <w:b/>
          <w:bCs/>
          <w:i/>
          <w:iCs/>
          <w:sz w:val="24"/>
          <w:szCs w:val="24"/>
        </w:rPr>
        <w:t>p</w:t>
      </w:r>
      <w:r w:rsidRPr="001A403F">
        <w:rPr>
          <w:rFonts w:ascii="Book Antiqua" w:hAnsi="Book Antiqua" w:cs="Times New Roman"/>
          <w:b/>
          <w:bCs/>
          <w:i/>
          <w:iCs/>
          <w:sz w:val="24"/>
          <w:szCs w:val="24"/>
        </w:rPr>
        <w:t xml:space="preserve">rognostic </w:t>
      </w:r>
      <w:r w:rsidR="001F466C" w:rsidRPr="001A403F">
        <w:rPr>
          <w:rFonts w:ascii="Book Antiqua" w:hAnsi="Book Antiqua" w:cs="Times New Roman"/>
          <w:b/>
          <w:bCs/>
          <w:i/>
          <w:iCs/>
          <w:sz w:val="24"/>
          <w:szCs w:val="24"/>
        </w:rPr>
        <w:t>m</w:t>
      </w:r>
      <w:r w:rsidRPr="001A403F">
        <w:rPr>
          <w:rFonts w:ascii="Book Antiqua" w:hAnsi="Book Antiqua" w:cs="Times New Roman"/>
          <w:b/>
          <w:bCs/>
          <w:i/>
          <w:iCs/>
          <w:sz w:val="24"/>
          <w:szCs w:val="24"/>
        </w:rPr>
        <w:t>odels</w:t>
      </w:r>
    </w:p>
    <w:p w14:paraId="76EF85B2" w14:textId="33B52A1B"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Several scores demonstrated excellent accuracy for prediction of in-hospital mortality. </w:t>
      </w:r>
      <w:r w:rsidR="009C422C" w:rsidRPr="001A403F">
        <w:rPr>
          <w:rFonts w:ascii="Book Antiqua" w:hAnsi="Book Antiqua" w:cs="Times New Roman"/>
          <w:sz w:val="24"/>
          <w:szCs w:val="24"/>
        </w:rPr>
        <w:t>The</w:t>
      </w:r>
      <w:r w:rsidRPr="001A403F">
        <w:rPr>
          <w:rFonts w:ascii="Book Antiqua" w:hAnsi="Book Antiqua" w:cs="Times New Roman"/>
          <w:sz w:val="24"/>
          <w:szCs w:val="24"/>
        </w:rPr>
        <w:t xml:space="preserve"> CLIF-SOFA and MELD</w:t>
      </w:r>
      <w:r w:rsidR="009C422C" w:rsidRPr="001A403F">
        <w:rPr>
          <w:rFonts w:ascii="Book Antiqua" w:hAnsi="Book Antiqua" w:cs="Times New Roman"/>
          <w:sz w:val="24"/>
          <w:szCs w:val="24"/>
        </w:rPr>
        <w:t xml:space="preserve"> scores, both liver-specific models,</w:t>
      </w:r>
      <w:r w:rsidRPr="001A403F">
        <w:rPr>
          <w:rFonts w:ascii="Book Antiqua" w:hAnsi="Book Antiqua" w:cs="Times New Roman"/>
          <w:sz w:val="24"/>
          <w:szCs w:val="24"/>
        </w:rPr>
        <w:t xml:space="preserve"> performed the best in the cohort with AU</w:t>
      </w:r>
      <w:r w:rsidR="001129D4" w:rsidRPr="001A403F">
        <w:rPr>
          <w:rFonts w:ascii="Book Antiqua" w:hAnsi="Book Antiqua" w:cs="Times New Roman"/>
          <w:sz w:val="24"/>
          <w:szCs w:val="24"/>
        </w:rPr>
        <w:t>RO</w:t>
      </w:r>
      <w:r w:rsidRPr="001A403F">
        <w:rPr>
          <w:rFonts w:ascii="Book Antiqua" w:hAnsi="Book Antiqua" w:cs="Times New Roman"/>
          <w:sz w:val="24"/>
          <w:szCs w:val="24"/>
        </w:rPr>
        <w:t>Cs of 0.81. The RFH score performed with an AU</w:t>
      </w:r>
      <w:r w:rsidR="001129D4" w:rsidRPr="001A403F">
        <w:rPr>
          <w:rFonts w:ascii="Book Antiqua" w:hAnsi="Book Antiqua" w:cs="Times New Roman"/>
          <w:sz w:val="24"/>
          <w:szCs w:val="24"/>
        </w:rPr>
        <w:t>RO</w:t>
      </w:r>
      <w:r w:rsidRPr="001A403F">
        <w:rPr>
          <w:rFonts w:ascii="Book Antiqua" w:hAnsi="Book Antiqua" w:cs="Times New Roman"/>
          <w:sz w:val="24"/>
          <w:szCs w:val="24"/>
        </w:rPr>
        <w:t xml:space="preserve">C of 0.77. By comparison, ICU-specific scores, including </w:t>
      </w:r>
      <w:r w:rsidR="006E1863" w:rsidRPr="001A403F">
        <w:rPr>
          <w:rFonts w:ascii="Book Antiqua" w:hAnsi="Book Antiqua" w:cs="Times New Roman"/>
          <w:sz w:val="24"/>
          <w:szCs w:val="24"/>
        </w:rPr>
        <w:t xml:space="preserve">the </w:t>
      </w:r>
      <w:r w:rsidRPr="001A403F">
        <w:rPr>
          <w:rFonts w:ascii="Book Antiqua" w:hAnsi="Book Antiqua" w:cs="Times New Roman"/>
          <w:sz w:val="24"/>
          <w:szCs w:val="24"/>
        </w:rPr>
        <w:t>SOFA, APS and APACHE III performed with AU</w:t>
      </w:r>
      <w:r w:rsidR="001129D4" w:rsidRPr="001A403F">
        <w:rPr>
          <w:rFonts w:ascii="Book Antiqua" w:hAnsi="Book Antiqua" w:cs="Times New Roman"/>
          <w:sz w:val="24"/>
          <w:szCs w:val="24"/>
        </w:rPr>
        <w:t>RO</w:t>
      </w:r>
      <w:r w:rsidRPr="001A403F">
        <w:rPr>
          <w:rFonts w:ascii="Book Antiqua" w:hAnsi="Book Antiqua" w:cs="Times New Roman"/>
          <w:sz w:val="24"/>
          <w:szCs w:val="24"/>
        </w:rPr>
        <w:t xml:space="preserve">Cs of 0.79, 0.76, and 0.76, respectively. </w:t>
      </w:r>
      <w:r w:rsidR="00511DA3" w:rsidRPr="001A403F">
        <w:rPr>
          <w:rFonts w:ascii="Book Antiqua" w:hAnsi="Book Antiqua" w:cs="Times New Roman"/>
          <w:sz w:val="24"/>
          <w:szCs w:val="24"/>
        </w:rPr>
        <w:t xml:space="preserve">The </w:t>
      </w:r>
      <w:r w:rsidR="00511DA3" w:rsidRPr="001A403F">
        <w:rPr>
          <w:rFonts w:ascii="Book Antiqua" w:eastAsia="Times New Roman" w:hAnsi="Book Antiqua" w:cs="Times New Roman"/>
          <w:sz w:val="24"/>
          <w:szCs w:val="24"/>
        </w:rPr>
        <w:t>liver intensive care unit variable-4 score (the LIV-4 score)</w:t>
      </w:r>
      <w:r w:rsidR="00583007" w:rsidRPr="001A403F">
        <w:rPr>
          <w:rFonts w:ascii="Book Antiqua" w:hAnsi="Book Antiqua" w:cs="Times New Roman"/>
          <w:sz w:val="24"/>
          <w:szCs w:val="24"/>
        </w:rPr>
        <w:t xml:space="preserve"> performed</w:t>
      </w:r>
      <w:r w:rsidRPr="001A403F">
        <w:rPr>
          <w:rFonts w:ascii="Book Antiqua" w:hAnsi="Book Antiqua" w:cs="Times New Roman"/>
          <w:sz w:val="24"/>
          <w:szCs w:val="24"/>
        </w:rPr>
        <w:t xml:space="preserve"> </w:t>
      </w:r>
      <w:r w:rsidR="009C422C" w:rsidRPr="001A403F">
        <w:rPr>
          <w:rFonts w:ascii="Book Antiqua" w:hAnsi="Book Antiqua" w:cs="Times New Roman"/>
          <w:sz w:val="24"/>
          <w:szCs w:val="24"/>
        </w:rPr>
        <w:t>higher</w:t>
      </w:r>
      <w:r w:rsidRPr="001A403F">
        <w:rPr>
          <w:rFonts w:ascii="Book Antiqua" w:hAnsi="Book Antiqua" w:cs="Times New Roman"/>
          <w:sz w:val="24"/>
          <w:szCs w:val="24"/>
        </w:rPr>
        <w:t xml:space="preserve"> than all </w:t>
      </w:r>
      <w:r w:rsidR="009C422C" w:rsidRPr="001A403F">
        <w:rPr>
          <w:rFonts w:ascii="Book Antiqua" w:hAnsi="Book Antiqua" w:cs="Times New Roman"/>
          <w:sz w:val="24"/>
          <w:szCs w:val="24"/>
        </w:rPr>
        <w:t>other models</w:t>
      </w:r>
      <w:r w:rsidRPr="001A403F">
        <w:rPr>
          <w:rFonts w:ascii="Book Antiqua" w:hAnsi="Book Antiqua" w:cs="Times New Roman"/>
          <w:sz w:val="24"/>
          <w:szCs w:val="24"/>
        </w:rPr>
        <w:t>, with an AU</w:t>
      </w:r>
      <w:r w:rsidR="001129D4" w:rsidRPr="001A403F">
        <w:rPr>
          <w:rFonts w:ascii="Book Antiqua" w:hAnsi="Book Antiqua" w:cs="Times New Roman"/>
          <w:sz w:val="24"/>
          <w:szCs w:val="24"/>
        </w:rPr>
        <w:t>RO</w:t>
      </w:r>
      <w:r w:rsidRPr="001A403F">
        <w:rPr>
          <w:rFonts w:ascii="Book Antiqua" w:hAnsi="Book Antiqua" w:cs="Times New Roman"/>
          <w:sz w:val="24"/>
          <w:szCs w:val="24"/>
        </w:rPr>
        <w:t>C of 0.86</w:t>
      </w:r>
      <w:r w:rsidRPr="00DF2A9D">
        <w:rPr>
          <w:rFonts w:ascii="Book Antiqua" w:hAnsi="Book Antiqua" w:cs="Times New Roman"/>
          <w:bCs/>
          <w:sz w:val="24"/>
          <w:szCs w:val="24"/>
        </w:rPr>
        <w:t>.</w:t>
      </w:r>
      <w:r w:rsidRPr="001A403F">
        <w:rPr>
          <w:rFonts w:ascii="Book Antiqua" w:hAnsi="Book Antiqua" w:cs="Times New Roman"/>
          <w:b/>
          <w:sz w:val="24"/>
          <w:szCs w:val="24"/>
        </w:rPr>
        <w:t xml:space="preserve"> </w:t>
      </w:r>
      <w:r w:rsidRPr="001A403F">
        <w:rPr>
          <w:rFonts w:ascii="Book Antiqua" w:hAnsi="Book Antiqua" w:cs="Times New Roman"/>
          <w:sz w:val="24"/>
          <w:szCs w:val="24"/>
        </w:rPr>
        <w:t>Figure 1 displays AU</w:t>
      </w:r>
      <w:r w:rsidR="001129D4" w:rsidRPr="001A403F">
        <w:rPr>
          <w:rFonts w:ascii="Book Antiqua" w:hAnsi="Book Antiqua" w:cs="Times New Roman"/>
          <w:sz w:val="24"/>
          <w:szCs w:val="24"/>
        </w:rPr>
        <w:t>RO</w:t>
      </w:r>
      <w:r w:rsidRPr="001A403F">
        <w:rPr>
          <w:rFonts w:ascii="Book Antiqua" w:hAnsi="Book Antiqua" w:cs="Times New Roman"/>
          <w:sz w:val="24"/>
          <w:szCs w:val="24"/>
        </w:rPr>
        <w:t>Cs of the top-performing scores. DeLong</w:t>
      </w:r>
      <w:r w:rsidR="001F466C" w:rsidRPr="001A403F">
        <w:rPr>
          <w:rFonts w:ascii="Book Antiqua" w:hAnsi="Book Antiqua" w:cs="Times New Roman"/>
          <w:sz w:val="24"/>
          <w:szCs w:val="24"/>
        </w:rPr>
        <w:t xml:space="preserve"> </w:t>
      </w:r>
      <w:r w:rsidR="001F466C" w:rsidRPr="001A403F">
        <w:rPr>
          <w:rFonts w:ascii="Book Antiqua" w:hAnsi="Book Antiqua" w:cs="Times New Roman"/>
          <w:i/>
          <w:iCs/>
          <w:sz w:val="24"/>
          <w:szCs w:val="24"/>
        </w:rPr>
        <w:t>et al</w:t>
      </w:r>
      <w:r w:rsidR="001F466C" w:rsidRPr="001A403F">
        <w:rPr>
          <w:rFonts w:ascii="Book Antiqua" w:hAnsi="Book Antiqua" w:cs="Times New Roman"/>
          <w:sz w:val="24"/>
          <w:szCs w:val="24"/>
          <w:vertAlign w:val="superscript"/>
        </w:rPr>
        <w:t>[30]’</w:t>
      </w:r>
      <w:r w:rsidR="001F466C" w:rsidRPr="001A403F">
        <w:rPr>
          <w:rFonts w:ascii="Book Antiqua" w:hAnsi="Book Antiqua" w:cs="Times New Roman"/>
          <w:sz w:val="24"/>
          <w:szCs w:val="24"/>
        </w:rPr>
        <w:t>s</w:t>
      </w:r>
      <w:r w:rsidRPr="001A403F">
        <w:rPr>
          <w:rFonts w:ascii="Book Antiqua" w:hAnsi="Book Antiqua" w:cs="Times New Roman"/>
          <w:sz w:val="24"/>
          <w:szCs w:val="24"/>
        </w:rPr>
        <w:t xml:space="preserve"> method was </w:t>
      </w:r>
      <w:r w:rsidR="009C422C" w:rsidRPr="001A403F">
        <w:rPr>
          <w:rFonts w:ascii="Book Antiqua" w:hAnsi="Book Antiqua" w:cs="Times New Roman"/>
          <w:sz w:val="24"/>
          <w:szCs w:val="24"/>
        </w:rPr>
        <w:t>employed</w:t>
      </w:r>
      <w:r w:rsidRPr="001A403F">
        <w:rPr>
          <w:rFonts w:ascii="Book Antiqua" w:hAnsi="Book Antiqua" w:cs="Times New Roman"/>
          <w:sz w:val="24"/>
          <w:szCs w:val="24"/>
        </w:rPr>
        <w:t xml:space="preserve"> to compare the predictive ability of the </w:t>
      </w:r>
      <w:r w:rsidR="00583007" w:rsidRPr="001A403F">
        <w:rPr>
          <w:rFonts w:ascii="Book Antiqua" w:hAnsi="Book Antiqua" w:cs="Times New Roman"/>
          <w:sz w:val="24"/>
          <w:szCs w:val="24"/>
        </w:rPr>
        <w:t xml:space="preserve">new model </w:t>
      </w:r>
      <w:r w:rsidRPr="001A403F">
        <w:rPr>
          <w:rFonts w:ascii="Book Antiqua" w:hAnsi="Book Antiqua" w:cs="Times New Roman"/>
          <w:sz w:val="24"/>
          <w:szCs w:val="24"/>
        </w:rPr>
        <w:t xml:space="preserve">to that of the other scores. The LIV-4 score performed significantly better than the MELD, MELD-Na, </w:t>
      </w:r>
      <w:r w:rsidR="00FF166F" w:rsidRPr="001A403F">
        <w:rPr>
          <w:rFonts w:ascii="Book Antiqua" w:hAnsi="Book Antiqua" w:cs="Times New Roman"/>
          <w:sz w:val="24"/>
          <w:szCs w:val="24"/>
        </w:rPr>
        <w:t>Child-Pugh Score</w:t>
      </w:r>
      <w:r w:rsidR="00960E88" w:rsidRPr="001A403F">
        <w:rPr>
          <w:rFonts w:ascii="Book Antiqua" w:hAnsi="Book Antiqua" w:cs="Times New Roman"/>
          <w:sz w:val="24"/>
          <w:szCs w:val="24"/>
        </w:rPr>
        <w:t xml:space="preserve">, RFH and APACHE III scores </w:t>
      </w:r>
      <w:r w:rsidRPr="001A403F">
        <w:rPr>
          <w:rFonts w:ascii="Book Antiqua" w:hAnsi="Book Antiqua" w:cs="Times New Roman"/>
          <w:sz w:val="24"/>
          <w:szCs w:val="24"/>
        </w:rPr>
        <w:t>(Table 3).</w:t>
      </w:r>
    </w:p>
    <w:p w14:paraId="5DE8E7FC"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p>
    <w:p w14:paraId="4B18A528" w14:textId="2D9C2985" w:rsidR="003D150B" w:rsidRPr="001A403F" w:rsidRDefault="003D150B" w:rsidP="002E7076">
      <w:pPr>
        <w:adjustRightInd w:val="0"/>
        <w:snapToGrid w:val="0"/>
        <w:spacing w:after="0" w:line="360" w:lineRule="auto"/>
        <w:jc w:val="both"/>
        <w:rPr>
          <w:rFonts w:ascii="Book Antiqua" w:hAnsi="Book Antiqua" w:cs="Times New Roman"/>
          <w:b/>
          <w:bCs/>
          <w:i/>
          <w:iCs/>
          <w:sz w:val="24"/>
          <w:szCs w:val="24"/>
        </w:rPr>
      </w:pPr>
      <w:r w:rsidRPr="001A403F">
        <w:rPr>
          <w:rFonts w:ascii="Book Antiqua" w:hAnsi="Book Antiqua" w:cs="Times New Roman"/>
          <w:b/>
          <w:bCs/>
          <w:i/>
          <w:iCs/>
          <w:sz w:val="24"/>
          <w:szCs w:val="24"/>
        </w:rPr>
        <w:t xml:space="preserve">Validation </w:t>
      </w:r>
      <w:r w:rsidR="001F466C" w:rsidRPr="001A403F">
        <w:rPr>
          <w:rFonts w:ascii="Book Antiqua" w:hAnsi="Book Antiqua" w:cs="Times New Roman"/>
          <w:b/>
          <w:bCs/>
          <w:i/>
          <w:iCs/>
          <w:sz w:val="24"/>
          <w:szCs w:val="24"/>
        </w:rPr>
        <w:t>c</w:t>
      </w:r>
      <w:r w:rsidRPr="001A403F">
        <w:rPr>
          <w:rFonts w:ascii="Book Antiqua" w:hAnsi="Book Antiqua" w:cs="Times New Roman"/>
          <w:b/>
          <w:bCs/>
          <w:i/>
          <w:iCs/>
          <w:sz w:val="24"/>
          <w:szCs w:val="24"/>
        </w:rPr>
        <w:t>ohort</w:t>
      </w:r>
    </w:p>
    <w:p w14:paraId="03448F9F" w14:textId="33A0AAF1"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Table 4 presents a comparison of the training and validation cohort characteristics. A total of 336 cirrhotic patients were admitted between 2015-2017, of whom 107 (31.8%) died. Patients in the internal validation cohort were substantially sicker, as evidenced by higher MELD, MELD-Na, APACHE III, SOFA and LIV-4 scores.</w:t>
      </w:r>
      <w:r w:rsidR="001F466C" w:rsidRPr="001A403F">
        <w:rPr>
          <w:rFonts w:ascii="Book Antiqua" w:hAnsi="Book Antiqua" w:cs="Times New Roman"/>
          <w:sz w:val="24"/>
          <w:szCs w:val="24"/>
          <w:lang w:eastAsia="zh-CN"/>
        </w:rPr>
        <w:t xml:space="preserve"> </w:t>
      </w:r>
      <w:r w:rsidRPr="001A403F">
        <w:rPr>
          <w:rFonts w:ascii="Book Antiqua" w:hAnsi="Book Antiqua" w:cs="Times New Roman"/>
          <w:sz w:val="24"/>
          <w:szCs w:val="24"/>
        </w:rPr>
        <w:t>Despite differences between the cohorts, the LIV-4 score remained significantly higher in subjects who expired during the hospi</w:t>
      </w:r>
      <w:r w:rsidR="00583007" w:rsidRPr="001A403F">
        <w:rPr>
          <w:rFonts w:ascii="Book Antiqua" w:hAnsi="Book Antiqua" w:cs="Times New Roman"/>
          <w:sz w:val="24"/>
          <w:szCs w:val="24"/>
        </w:rPr>
        <w:t>tal stay (Figure 2) and exhibited</w:t>
      </w:r>
      <w:r w:rsidRPr="001A403F">
        <w:rPr>
          <w:rFonts w:ascii="Book Antiqua" w:hAnsi="Book Antiqua" w:cs="Times New Roman"/>
          <w:sz w:val="24"/>
          <w:szCs w:val="24"/>
        </w:rPr>
        <w:t xml:space="preserve"> good prognostic values in the validation cohort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 xml:space="preserve">C of 0.80 (Figure 3). There was no statistically significant difference between the </w:t>
      </w:r>
      <w:r w:rsidR="00583007" w:rsidRPr="001A403F">
        <w:rPr>
          <w:rFonts w:ascii="Book Antiqua" w:hAnsi="Book Antiqua" w:cs="Times New Roman"/>
          <w:sz w:val="24"/>
          <w:szCs w:val="24"/>
        </w:rPr>
        <w:t>LIV-4 score's AU</w:t>
      </w:r>
      <w:r w:rsidR="005F0AC7" w:rsidRPr="001A403F">
        <w:rPr>
          <w:rFonts w:ascii="Book Antiqua" w:hAnsi="Book Antiqua" w:cs="Times New Roman"/>
          <w:sz w:val="24"/>
          <w:szCs w:val="24"/>
        </w:rPr>
        <w:t>RO</w:t>
      </w:r>
      <w:r w:rsidR="00583007" w:rsidRPr="001A403F">
        <w:rPr>
          <w:rFonts w:ascii="Book Antiqua" w:hAnsi="Book Antiqua" w:cs="Times New Roman"/>
          <w:sz w:val="24"/>
          <w:szCs w:val="24"/>
        </w:rPr>
        <w:t>C</w:t>
      </w:r>
      <w:r w:rsidRPr="001A403F">
        <w:rPr>
          <w:rFonts w:ascii="Book Antiqua" w:hAnsi="Book Antiqua" w:cs="Times New Roman"/>
          <w:sz w:val="24"/>
          <w:szCs w:val="24"/>
        </w:rPr>
        <w:t xml:space="preserve"> </w:t>
      </w:r>
      <w:r w:rsidR="00583007" w:rsidRPr="001A403F">
        <w:rPr>
          <w:rFonts w:ascii="Book Antiqua" w:hAnsi="Book Antiqua" w:cs="Times New Roman"/>
          <w:sz w:val="24"/>
          <w:szCs w:val="24"/>
        </w:rPr>
        <w:t>from the</w:t>
      </w:r>
      <w:r w:rsidRPr="001A403F">
        <w:rPr>
          <w:rFonts w:ascii="Book Antiqua" w:hAnsi="Book Antiqua" w:cs="Times New Roman"/>
          <w:sz w:val="24"/>
          <w:szCs w:val="24"/>
        </w:rPr>
        <w:t xml:space="preserve"> training </w:t>
      </w:r>
      <w:r w:rsidR="00583007" w:rsidRPr="001A403F">
        <w:rPr>
          <w:rFonts w:ascii="Book Antiqua" w:hAnsi="Book Antiqua" w:cs="Times New Roman"/>
          <w:sz w:val="24"/>
          <w:szCs w:val="24"/>
        </w:rPr>
        <w:t>cohort and the validation cohort</w:t>
      </w:r>
      <w:r w:rsidRPr="001A403F">
        <w:rPr>
          <w:rFonts w:ascii="Book Antiqua" w:hAnsi="Book Antiqua" w:cs="Times New Roman"/>
          <w:sz w:val="24"/>
          <w:szCs w:val="24"/>
        </w:rPr>
        <w:t xml:space="preserve"> (</w:t>
      </w:r>
      <w:r w:rsidR="001F466C" w:rsidRPr="001A403F">
        <w:rPr>
          <w:rFonts w:ascii="Book Antiqua" w:hAnsi="Book Antiqua" w:cs="Times New Roman"/>
          <w:i/>
          <w:iCs/>
          <w:sz w:val="24"/>
          <w:szCs w:val="24"/>
        </w:rPr>
        <w:t>P</w:t>
      </w:r>
      <w:r w:rsidR="001F466C"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1F466C" w:rsidRPr="001A403F">
        <w:rPr>
          <w:rFonts w:ascii="Book Antiqua" w:hAnsi="Book Antiqua" w:cs="Times New Roman"/>
          <w:sz w:val="24"/>
          <w:szCs w:val="24"/>
        </w:rPr>
        <w:t xml:space="preserve"> </w:t>
      </w:r>
      <w:r w:rsidRPr="001A403F">
        <w:rPr>
          <w:rFonts w:ascii="Book Antiqua" w:hAnsi="Book Antiqua" w:cs="Times New Roman"/>
          <w:sz w:val="24"/>
          <w:szCs w:val="24"/>
        </w:rPr>
        <w:t>0.11). In the va</w:t>
      </w:r>
      <w:r w:rsidR="006E1863" w:rsidRPr="001A403F">
        <w:rPr>
          <w:rFonts w:ascii="Book Antiqua" w:hAnsi="Book Antiqua" w:cs="Times New Roman"/>
          <w:sz w:val="24"/>
          <w:szCs w:val="24"/>
        </w:rPr>
        <w:t>lidation cohort, the SOFA score</w:t>
      </w:r>
      <w:r w:rsidRPr="001A403F">
        <w:rPr>
          <w:rFonts w:ascii="Book Antiqua" w:hAnsi="Book Antiqua" w:cs="Times New Roman"/>
          <w:sz w:val="24"/>
          <w:szCs w:val="24"/>
        </w:rPr>
        <w:t xml:space="preserve"> performed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C of 0.78, the APACHE III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 xml:space="preserve">C of 0.74, the MELD score with </w:t>
      </w:r>
      <w:r w:rsidRPr="001A403F">
        <w:rPr>
          <w:rFonts w:ascii="Book Antiqua" w:hAnsi="Book Antiqua" w:cs="Times New Roman"/>
          <w:sz w:val="24"/>
          <w:szCs w:val="24"/>
        </w:rPr>
        <w:lastRenderedPageBreak/>
        <w:t>an AU</w:t>
      </w:r>
      <w:r w:rsidR="005F0AC7" w:rsidRPr="001A403F">
        <w:rPr>
          <w:rFonts w:ascii="Book Antiqua" w:hAnsi="Book Antiqua" w:cs="Times New Roman"/>
          <w:sz w:val="24"/>
          <w:szCs w:val="24"/>
        </w:rPr>
        <w:t>RO</w:t>
      </w:r>
      <w:r w:rsidRPr="001A403F">
        <w:rPr>
          <w:rFonts w:ascii="Book Antiqua" w:hAnsi="Book Antiqua" w:cs="Times New Roman"/>
          <w:sz w:val="24"/>
          <w:szCs w:val="24"/>
        </w:rPr>
        <w:t>C of 0.80, the MELD-Na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C of 0.79, the CLIF-SOFA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C of 0.83, and the RFH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 xml:space="preserve">C of 0.64. </w:t>
      </w:r>
      <w:r w:rsidRPr="001A403F">
        <w:rPr>
          <w:rFonts w:ascii="Book Antiqua" w:hAnsi="Book Antiqua" w:cs="Times New Roman"/>
          <w:iCs/>
          <w:sz w:val="24"/>
          <w:szCs w:val="24"/>
        </w:rPr>
        <w:t xml:space="preserve">The LIV-4 model performed </w:t>
      </w:r>
      <w:r w:rsidR="00583007" w:rsidRPr="001A403F">
        <w:rPr>
          <w:rFonts w:ascii="Book Antiqua" w:hAnsi="Book Antiqua" w:cs="Times New Roman"/>
          <w:iCs/>
          <w:sz w:val="24"/>
          <w:szCs w:val="24"/>
        </w:rPr>
        <w:t xml:space="preserve">with a </w:t>
      </w:r>
      <w:r w:rsidRPr="001A403F">
        <w:rPr>
          <w:rFonts w:ascii="Book Antiqua" w:hAnsi="Book Antiqua" w:cs="Times New Roman"/>
          <w:iCs/>
          <w:sz w:val="24"/>
          <w:szCs w:val="24"/>
        </w:rPr>
        <w:t xml:space="preserve">significantly </w:t>
      </w:r>
      <w:r w:rsidR="00583007" w:rsidRPr="001A403F">
        <w:rPr>
          <w:rFonts w:ascii="Book Antiqua" w:hAnsi="Book Antiqua" w:cs="Times New Roman"/>
          <w:iCs/>
          <w:sz w:val="24"/>
          <w:szCs w:val="24"/>
        </w:rPr>
        <w:t>higher AU</w:t>
      </w:r>
      <w:r w:rsidR="001129D4" w:rsidRPr="001A403F">
        <w:rPr>
          <w:rFonts w:ascii="Book Antiqua" w:hAnsi="Book Antiqua" w:cs="Times New Roman"/>
          <w:iCs/>
          <w:sz w:val="24"/>
          <w:szCs w:val="24"/>
        </w:rPr>
        <w:t>RO</w:t>
      </w:r>
      <w:r w:rsidR="00583007" w:rsidRPr="001A403F">
        <w:rPr>
          <w:rFonts w:ascii="Book Antiqua" w:hAnsi="Book Antiqua" w:cs="Times New Roman"/>
          <w:iCs/>
          <w:sz w:val="24"/>
          <w:szCs w:val="24"/>
        </w:rPr>
        <w:t>C</w:t>
      </w:r>
      <w:r w:rsidRPr="001A403F">
        <w:rPr>
          <w:rFonts w:ascii="Book Antiqua" w:hAnsi="Book Antiqua" w:cs="Times New Roman"/>
          <w:iCs/>
          <w:sz w:val="24"/>
          <w:szCs w:val="24"/>
        </w:rPr>
        <w:t xml:space="preserve"> than the RFH [AU</w:t>
      </w:r>
      <w:r w:rsidR="005F0AC7" w:rsidRPr="001A403F">
        <w:rPr>
          <w:rFonts w:ascii="Book Antiqua" w:hAnsi="Book Antiqua" w:cs="Times New Roman"/>
          <w:iCs/>
          <w:sz w:val="24"/>
          <w:szCs w:val="24"/>
        </w:rPr>
        <w:t>RO</w:t>
      </w:r>
      <w:r w:rsidRPr="001A403F">
        <w:rPr>
          <w:rFonts w:ascii="Book Antiqua" w:hAnsi="Book Antiqua" w:cs="Times New Roman"/>
          <w:iCs/>
          <w:sz w:val="24"/>
          <w:szCs w:val="24"/>
        </w:rPr>
        <w:t>C</w:t>
      </w:r>
      <w:r w:rsidR="00BF6134" w:rsidRPr="001A403F">
        <w:rPr>
          <w:rFonts w:ascii="Book Antiqua" w:hAnsi="Book Antiqua" w:cs="Times New Roman"/>
          <w:iCs/>
          <w:sz w:val="24"/>
          <w:szCs w:val="24"/>
        </w:rPr>
        <w:t>:</w:t>
      </w:r>
      <w:r w:rsidRPr="001A403F">
        <w:rPr>
          <w:rFonts w:ascii="Book Antiqua" w:hAnsi="Book Antiqua" w:cs="Times New Roman"/>
          <w:iCs/>
          <w:sz w:val="24"/>
          <w:szCs w:val="24"/>
        </w:rPr>
        <w:t xml:space="preserve"> 0.64 (0.56, 0.72)], and was non-inferior to other ICU- and liver-specific</w:t>
      </w:r>
      <w:r w:rsidR="007A6325" w:rsidRPr="001A403F">
        <w:rPr>
          <w:rFonts w:ascii="Book Antiqua" w:hAnsi="Book Antiqua" w:cs="Times New Roman"/>
          <w:iCs/>
          <w:sz w:val="24"/>
          <w:szCs w:val="24"/>
        </w:rPr>
        <w:t xml:space="preserve"> scores (Table 5). Using a cut</w:t>
      </w:r>
      <w:r w:rsidRPr="001A403F">
        <w:rPr>
          <w:rFonts w:ascii="Book Antiqua" w:hAnsi="Book Antiqua" w:cs="Times New Roman"/>
          <w:iCs/>
          <w:sz w:val="24"/>
          <w:szCs w:val="24"/>
        </w:rPr>
        <w:t xml:space="preserve">off of 26.5, LIV-4 continued to perform with a high negative predictive value of 89.1 (84.6, 93.6) </w:t>
      </w:r>
      <w:r w:rsidRPr="001A403F">
        <w:rPr>
          <w:rFonts w:ascii="Book Antiqua" w:hAnsi="Book Antiqua" w:cs="Times New Roman"/>
          <w:sz w:val="24"/>
          <w:szCs w:val="24"/>
        </w:rPr>
        <w:t xml:space="preserve">(Table 6). </w:t>
      </w:r>
    </w:p>
    <w:p w14:paraId="78468B65"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p>
    <w:p w14:paraId="455E8A38" w14:textId="40479CA1" w:rsidR="003D150B" w:rsidRPr="001A403F" w:rsidRDefault="00BF6134" w:rsidP="002E7076">
      <w:pPr>
        <w:adjustRightInd w:val="0"/>
        <w:snapToGrid w:val="0"/>
        <w:spacing w:after="0" w:line="360" w:lineRule="auto"/>
        <w:jc w:val="both"/>
        <w:rPr>
          <w:rFonts w:ascii="Book Antiqua" w:eastAsia="Times New Roman" w:hAnsi="Book Antiqua" w:cs="Times New Roman"/>
          <w:b/>
          <w:sz w:val="24"/>
          <w:szCs w:val="24"/>
        </w:rPr>
      </w:pPr>
      <w:bookmarkStart w:id="44" w:name="_Hlk38828406"/>
      <w:r w:rsidRPr="001A403F">
        <w:rPr>
          <w:rFonts w:ascii="Book Antiqua" w:hAnsi="Book Antiqua"/>
          <w:b/>
          <w:sz w:val="24"/>
          <w:szCs w:val="24"/>
          <w:u w:val="single"/>
        </w:rPr>
        <w:t>DISCUSSION</w:t>
      </w:r>
      <w:bookmarkEnd w:id="44"/>
    </w:p>
    <w:p w14:paraId="777E496E" w14:textId="02AAC23D" w:rsidR="003D150B" w:rsidRPr="001A403F" w:rsidRDefault="00583007" w:rsidP="002E7076">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Our new model, t</w:t>
      </w:r>
      <w:r w:rsidR="003D150B" w:rsidRPr="001A403F">
        <w:rPr>
          <w:rFonts w:ascii="Book Antiqua" w:eastAsia="Times New Roman" w:hAnsi="Book Antiqua" w:cs="Times New Roman"/>
          <w:sz w:val="24"/>
          <w:szCs w:val="24"/>
        </w:rPr>
        <w:t>he LIV-4 score</w:t>
      </w:r>
      <w:r w:rsidRPr="001A403F">
        <w:rPr>
          <w:rFonts w:ascii="Book Antiqua" w:eastAsia="Times New Roman" w:hAnsi="Book Antiqua" w:cs="Times New Roman"/>
          <w:sz w:val="24"/>
          <w:szCs w:val="24"/>
        </w:rPr>
        <w:t>,</w:t>
      </w:r>
      <w:r w:rsidR="003D150B" w:rsidRPr="001A403F">
        <w:rPr>
          <w:rFonts w:ascii="Book Antiqua" w:eastAsia="Times New Roman" w:hAnsi="Book Antiqua" w:cs="Times New Roman"/>
          <w:sz w:val="24"/>
          <w:szCs w:val="24"/>
        </w:rPr>
        <w:t xml:space="preserve"> is calculated based on objective variables typically available at the time of ICU admission in patients with liver disease: the MAP, WBC, bilirubin, and PT. This combination of variables reflects hepatic and extra-hepatic (circulatory and immune) dysfunction-validated risk factors for mortality in patients with cirrhosis</w:t>
      </w:r>
      <w:r w:rsidR="002A4396" w:rsidRPr="001A403F">
        <w:rPr>
          <w:rFonts w:ascii="Book Antiqua" w:eastAsia="Times New Roman" w:hAnsi="Book Antiqua" w:cs="Times New Roman"/>
          <w:sz w:val="24"/>
          <w:szCs w:val="24"/>
          <w:vertAlign w:val="superscript"/>
        </w:rPr>
        <w:t>[</w:t>
      </w:r>
      <w:r w:rsidR="00381298" w:rsidRPr="001A403F">
        <w:rPr>
          <w:rFonts w:ascii="Book Antiqua" w:eastAsia="Times New Roman" w:hAnsi="Book Antiqua" w:cs="Times New Roman"/>
          <w:sz w:val="24"/>
          <w:szCs w:val="24"/>
          <w:vertAlign w:val="superscript"/>
        </w:rPr>
        <w:t>32-34</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xml:space="preserve">. This score performed better in our training cohort as a predictor for short-term mortality than other ICU- and liver-specific models, including the SOFA, CLIF-SOFA, and RFH scores, with excellent discriminative ability and calibration. In our validation cohort, it performed better than the RFH and was non-inferior to all others. </w:t>
      </w:r>
      <w:r w:rsidR="00F16EDB" w:rsidRPr="001A403F">
        <w:rPr>
          <w:rFonts w:ascii="Book Antiqua" w:eastAsia="Times New Roman" w:hAnsi="Book Antiqua" w:cs="Times New Roman"/>
          <w:sz w:val="24"/>
          <w:szCs w:val="24"/>
        </w:rPr>
        <w:t xml:space="preserve">In addition, the </w:t>
      </w:r>
      <w:r w:rsidR="003D150B" w:rsidRPr="001A403F">
        <w:rPr>
          <w:rFonts w:ascii="Book Antiqua" w:eastAsia="Times New Roman" w:hAnsi="Book Antiqua" w:cs="Times New Roman"/>
          <w:sz w:val="24"/>
          <w:szCs w:val="24"/>
        </w:rPr>
        <w:t>LIV-4 provides a survival probability score. This survival probability calculation may be useful for critical care, hepatology and surgical specialists when addressing goals and expectations of critical care with patients and their families. The APACHE methodology, APS, and SOFA were developed to assess the clinical course and predict survival of all-comers admitted to the ICU</w:t>
      </w:r>
      <w:r w:rsidR="002A4396" w:rsidRPr="001A403F">
        <w:rPr>
          <w:rFonts w:ascii="Book Antiqua" w:eastAsia="Times New Roman" w:hAnsi="Book Antiqua" w:cs="Times New Roman"/>
          <w:sz w:val="24"/>
          <w:szCs w:val="24"/>
          <w:vertAlign w:val="superscript"/>
        </w:rPr>
        <w:t>[</w:t>
      </w:r>
      <w:r w:rsidR="00381298" w:rsidRPr="001A403F">
        <w:rPr>
          <w:rFonts w:ascii="Book Antiqua" w:eastAsia="Times New Roman" w:hAnsi="Book Antiqua" w:cs="Times New Roman"/>
          <w:sz w:val="24"/>
          <w:szCs w:val="24"/>
          <w:vertAlign w:val="superscript"/>
        </w:rPr>
        <w:t>9-11</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Liver-specific sc</w:t>
      </w:r>
      <w:r w:rsidR="00F16EDB" w:rsidRPr="001A403F">
        <w:rPr>
          <w:rFonts w:ascii="Book Antiqua" w:eastAsia="Times New Roman" w:hAnsi="Book Antiqua" w:cs="Times New Roman"/>
          <w:sz w:val="24"/>
          <w:szCs w:val="24"/>
        </w:rPr>
        <w:t xml:space="preserve">ores, such as the </w:t>
      </w:r>
      <w:r w:rsidR="00FF166F" w:rsidRPr="001A403F">
        <w:rPr>
          <w:rFonts w:ascii="Book Antiqua" w:eastAsia="Times New Roman" w:hAnsi="Book Antiqua" w:cs="Times New Roman"/>
          <w:sz w:val="24"/>
          <w:szCs w:val="24"/>
        </w:rPr>
        <w:t>Child-Pugh Score</w:t>
      </w:r>
      <w:r w:rsidR="00F16EDB" w:rsidRPr="001A403F">
        <w:rPr>
          <w:rFonts w:ascii="Book Antiqua" w:eastAsia="Times New Roman" w:hAnsi="Book Antiqua" w:cs="Times New Roman"/>
          <w:sz w:val="24"/>
          <w:szCs w:val="24"/>
        </w:rPr>
        <w:t>, MELD,</w:t>
      </w:r>
      <w:r w:rsidR="003D150B" w:rsidRPr="001A403F">
        <w:rPr>
          <w:rFonts w:ascii="Book Antiqua" w:eastAsia="Times New Roman" w:hAnsi="Book Antiqua" w:cs="Times New Roman"/>
          <w:sz w:val="24"/>
          <w:szCs w:val="24"/>
        </w:rPr>
        <w:t xml:space="preserve"> MELD-Na and CLIF-SOFA are used to grade severity of liver disease, predict 90-day mortality, allocate organs for transplantation, and define </w:t>
      </w:r>
      <w:r w:rsidR="00F16EDB" w:rsidRPr="001A403F">
        <w:rPr>
          <w:rFonts w:ascii="Book Antiqua" w:eastAsia="Times New Roman" w:hAnsi="Book Antiqua" w:cs="Times New Roman"/>
          <w:sz w:val="24"/>
          <w:szCs w:val="24"/>
        </w:rPr>
        <w:t>acute-on-chronic liver failure</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vertAlign w:val="superscript"/>
        </w:rPr>
        <w:t>1,</w:t>
      </w:r>
      <w:r w:rsidR="00381298" w:rsidRPr="001A403F">
        <w:rPr>
          <w:rFonts w:ascii="Book Antiqua" w:eastAsia="Times New Roman" w:hAnsi="Book Antiqua" w:cs="Times New Roman"/>
          <w:sz w:val="24"/>
          <w:szCs w:val="24"/>
          <w:vertAlign w:val="superscript"/>
        </w:rPr>
        <w:t>12-15</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Liver-specific scores have been extrapolated for use as predictive models for mortality in the ICU, but have not performed better than ICU-specific scores</w:t>
      </w:r>
      <w:r w:rsidR="002A4396" w:rsidRPr="001A403F">
        <w:rPr>
          <w:rFonts w:ascii="Book Antiqua" w:eastAsia="Times New Roman" w:hAnsi="Book Antiqua" w:cs="Times New Roman"/>
          <w:sz w:val="24"/>
          <w:szCs w:val="24"/>
          <w:vertAlign w:val="superscript"/>
        </w:rPr>
        <w:t>[</w:t>
      </w:r>
      <w:r w:rsidR="00381298" w:rsidRPr="001A403F">
        <w:rPr>
          <w:rFonts w:ascii="Book Antiqua" w:eastAsia="Times New Roman" w:hAnsi="Book Antiqua" w:cs="Times New Roman"/>
          <w:sz w:val="24"/>
          <w:szCs w:val="24"/>
          <w:vertAlign w:val="superscript"/>
        </w:rPr>
        <w:t>17-25</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In our study, the MELD and the CLIF-SOFA scores (</w:t>
      </w:r>
      <w:r w:rsidRPr="001A403F">
        <w:rPr>
          <w:rFonts w:ascii="Book Antiqua" w:eastAsia="Times New Roman" w:hAnsi="Book Antiqua" w:cs="Times New Roman"/>
          <w:sz w:val="24"/>
          <w:szCs w:val="24"/>
        </w:rPr>
        <w:t xml:space="preserve">both liver-specific scores and </w:t>
      </w:r>
      <w:r w:rsidR="003D150B" w:rsidRPr="001A403F">
        <w:rPr>
          <w:rFonts w:ascii="Book Antiqua" w:eastAsia="Times New Roman" w:hAnsi="Book Antiqua" w:cs="Times New Roman"/>
          <w:sz w:val="24"/>
          <w:szCs w:val="24"/>
        </w:rPr>
        <w:t>both with AU</w:t>
      </w:r>
      <w:r w:rsidR="006D195B" w:rsidRPr="001A403F">
        <w:rPr>
          <w:rFonts w:ascii="Book Antiqua" w:eastAsia="Times New Roman" w:hAnsi="Book Antiqua" w:cs="Times New Roman"/>
          <w:sz w:val="24"/>
          <w:szCs w:val="24"/>
        </w:rPr>
        <w:t>RO</w:t>
      </w:r>
      <w:r w:rsidR="003D150B" w:rsidRPr="001A403F">
        <w:rPr>
          <w:rFonts w:ascii="Book Antiqua" w:eastAsia="Times New Roman" w:hAnsi="Book Antiqua" w:cs="Times New Roman"/>
          <w:sz w:val="24"/>
          <w:szCs w:val="24"/>
        </w:rPr>
        <w:t>Cs of 0.81), performed better than ICU-specific scores, including the SOFA, APACHE III, and APS scores (AU</w:t>
      </w:r>
      <w:r w:rsidR="006D195B" w:rsidRPr="001A403F">
        <w:rPr>
          <w:rFonts w:ascii="Book Antiqua" w:eastAsia="Times New Roman" w:hAnsi="Book Antiqua" w:cs="Times New Roman"/>
          <w:sz w:val="24"/>
          <w:szCs w:val="24"/>
        </w:rPr>
        <w:t>RO</w:t>
      </w:r>
      <w:r w:rsidR="003D150B" w:rsidRPr="001A403F">
        <w:rPr>
          <w:rFonts w:ascii="Book Antiqua" w:eastAsia="Times New Roman" w:hAnsi="Book Antiqua" w:cs="Times New Roman"/>
          <w:sz w:val="24"/>
          <w:szCs w:val="24"/>
        </w:rPr>
        <w:t xml:space="preserve">Cs of 0.79, 0.76, 0.76, respectively). We postulate that the differences in our observations relate to critical care trends over time, with associated improved survival and lower event-deaths in more recent years. Our model was formulated in a </w:t>
      </w:r>
      <w:r w:rsidR="003D150B" w:rsidRPr="001A403F">
        <w:rPr>
          <w:rFonts w:ascii="Book Antiqua" w:eastAsia="Times New Roman" w:hAnsi="Book Antiqua" w:cs="Times New Roman"/>
          <w:sz w:val="24"/>
          <w:szCs w:val="24"/>
        </w:rPr>
        <w:lastRenderedPageBreak/>
        <w:t xml:space="preserve">more contemporary cohort than previous models and </w:t>
      </w:r>
      <w:r w:rsidR="00F16EDB" w:rsidRPr="001A403F">
        <w:rPr>
          <w:rFonts w:ascii="Book Antiqua" w:eastAsia="Times New Roman" w:hAnsi="Book Antiqua" w:cs="Times New Roman"/>
          <w:sz w:val="24"/>
          <w:szCs w:val="24"/>
        </w:rPr>
        <w:t xml:space="preserve">was </w:t>
      </w:r>
      <w:r w:rsidR="003D150B" w:rsidRPr="001A403F">
        <w:rPr>
          <w:rFonts w:ascii="Book Antiqua" w:eastAsia="Times New Roman" w:hAnsi="Book Antiqua" w:cs="Times New Roman"/>
          <w:sz w:val="24"/>
          <w:szCs w:val="24"/>
        </w:rPr>
        <w:t>subsequently prospectively validated, with objective variables that more accurately reflect current critical care challenges in the approach to the cirrhotic patient-most notably circulatory/adrenocortical dysfunction and infection/</w:t>
      </w:r>
      <w:r w:rsidR="003748AC" w:rsidRPr="001A403F">
        <w:rPr>
          <w:rFonts w:ascii="Book Antiqua" w:eastAsia="Times New Roman" w:hAnsi="Book Antiqua" w:cs="Times New Roman"/>
          <w:sz w:val="24"/>
          <w:szCs w:val="24"/>
        </w:rPr>
        <w:t>inflammation</w:t>
      </w:r>
      <w:r w:rsidR="003748AC" w:rsidRPr="001A403F">
        <w:rPr>
          <w:rFonts w:ascii="Book Antiqua" w:eastAsia="Times New Roman" w:hAnsi="Book Antiqua" w:cs="Times New Roman"/>
          <w:sz w:val="24"/>
          <w:szCs w:val="24"/>
          <w:vertAlign w:val="superscript"/>
        </w:rPr>
        <w:t>[</w:t>
      </w:r>
      <w:r w:rsidR="00381298" w:rsidRPr="001A403F">
        <w:rPr>
          <w:rFonts w:ascii="Book Antiqua" w:eastAsia="Times New Roman" w:hAnsi="Book Antiqua" w:cs="Times New Roman"/>
          <w:sz w:val="24"/>
          <w:szCs w:val="24"/>
          <w:vertAlign w:val="superscript"/>
        </w:rPr>
        <w:t>32-35</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xml:space="preserve">. Variable mortality trends with time were also observed in the development of the updated RFH </w:t>
      </w:r>
      <w:r w:rsidR="003748AC" w:rsidRPr="001A403F">
        <w:rPr>
          <w:rFonts w:ascii="Book Antiqua" w:eastAsia="Times New Roman" w:hAnsi="Book Antiqua" w:cs="Times New Roman"/>
          <w:sz w:val="24"/>
          <w:szCs w:val="24"/>
        </w:rPr>
        <w:t>score</w:t>
      </w:r>
      <w:r w:rsidR="003748AC" w:rsidRPr="001A403F">
        <w:rPr>
          <w:rFonts w:ascii="Book Antiqua" w:eastAsia="Times New Roman" w:hAnsi="Book Antiqua" w:cs="Times New Roman"/>
          <w:sz w:val="24"/>
          <w:szCs w:val="24"/>
          <w:vertAlign w:val="superscript"/>
        </w:rPr>
        <w:t>[</w:t>
      </w:r>
      <w:r w:rsidR="00381298" w:rsidRPr="001A403F">
        <w:rPr>
          <w:rFonts w:ascii="Book Antiqua" w:eastAsia="Times New Roman" w:hAnsi="Book Antiqua" w:cs="Times New Roman"/>
          <w:sz w:val="24"/>
          <w:szCs w:val="24"/>
          <w:vertAlign w:val="superscript"/>
        </w:rPr>
        <w:t>19</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Our mortality rates of 27.3% between 2008-2014 and 31.8% between 2015-2017 are similar to that of a comparable cohort from the Royal Free Hospital (2009-2012; 35.4%)</w:t>
      </w:r>
      <w:r w:rsidR="002A4396" w:rsidRPr="001A403F">
        <w:rPr>
          <w:rFonts w:ascii="Book Antiqua" w:eastAsia="Times New Roman" w:hAnsi="Book Antiqua" w:cs="Times New Roman"/>
          <w:sz w:val="24"/>
          <w:szCs w:val="24"/>
          <w:vertAlign w:val="superscript"/>
        </w:rPr>
        <w:t>[</w:t>
      </w:r>
      <w:r w:rsidR="00381298" w:rsidRPr="001A403F">
        <w:rPr>
          <w:rFonts w:ascii="Book Antiqua" w:eastAsia="Times New Roman" w:hAnsi="Book Antiqua" w:cs="Times New Roman"/>
          <w:sz w:val="24"/>
          <w:szCs w:val="24"/>
          <w:vertAlign w:val="superscript"/>
        </w:rPr>
        <w:t>19</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as well as the cohort of patients described in the development of the CLIF-SOFA score (2</w:t>
      </w:r>
      <w:r w:rsidR="00F16EDB" w:rsidRPr="001A403F">
        <w:rPr>
          <w:rFonts w:ascii="Book Antiqua" w:eastAsia="Times New Roman" w:hAnsi="Book Antiqua" w:cs="Times New Roman"/>
          <w:sz w:val="24"/>
          <w:szCs w:val="24"/>
        </w:rPr>
        <w:t>011; 29.7% in patients with acute-on-chronic liver failure</w:t>
      </w:r>
      <w:r w:rsidR="003D150B" w:rsidRPr="001A403F">
        <w:rPr>
          <w:rFonts w:ascii="Book Antiqua" w:eastAsia="Times New Roman" w:hAnsi="Book Antiqua" w:cs="Times New Roman"/>
          <w:sz w:val="24"/>
          <w:szCs w:val="24"/>
        </w:rPr>
        <w:t>)</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vertAlign w:val="superscript"/>
        </w:rPr>
        <w:t>1</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xml:space="preserve">. </w:t>
      </w:r>
    </w:p>
    <w:p w14:paraId="5829B201" w14:textId="03F2E6DD" w:rsidR="003D150B" w:rsidRPr="001A403F" w:rsidRDefault="003D150B" w:rsidP="002E7076">
      <w:pPr>
        <w:adjustRightInd w:val="0"/>
        <w:snapToGrid w:val="0"/>
        <w:spacing w:after="0" w:line="360" w:lineRule="auto"/>
        <w:ind w:firstLineChars="100" w:firstLine="240"/>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The RFH score is a liver-specific ICU score that has been previously externally validated in several centers in Scotland</w:t>
      </w:r>
      <w:r w:rsidR="002A4396" w:rsidRPr="001A403F">
        <w:rPr>
          <w:rFonts w:ascii="Book Antiqua" w:eastAsia="Times New Roman" w:hAnsi="Book Antiqua" w:cs="Times New Roman"/>
          <w:sz w:val="24"/>
          <w:szCs w:val="24"/>
          <w:vertAlign w:val="superscript"/>
        </w:rPr>
        <w:t>[</w:t>
      </w:r>
      <w:r w:rsidR="00381298" w:rsidRPr="001A403F">
        <w:rPr>
          <w:rFonts w:ascii="Book Antiqua" w:eastAsia="Times New Roman" w:hAnsi="Book Antiqua" w:cs="Times New Roman"/>
          <w:sz w:val="24"/>
          <w:szCs w:val="24"/>
          <w:vertAlign w:val="superscript"/>
        </w:rPr>
        <w:t>26</w:t>
      </w:r>
      <w:r w:rsidR="002A4396" w:rsidRPr="001A403F">
        <w:rPr>
          <w:rFonts w:ascii="Book Antiqua" w:eastAsia="Times New Roman" w:hAnsi="Book Antiqua" w:cs="Times New Roman"/>
          <w:sz w:val="24"/>
          <w:szCs w:val="24"/>
          <w:vertAlign w:val="superscript"/>
        </w:rPr>
        <w:t>]</w:t>
      </w:r>
      <w:r w:rsidRPr="001A403F">
        <w:rPr>
          <w:rFonts w:ascii="Book Antiqua" w:eastAsia="Times New Roman" w:hAnsi="Book Antiqua" w:cs="Times New Roman"/>
          <w:sz w:val="24"/>
          <w:szCs w:val="24"/>
        </w:rPr>
        <w:t>.</w:t>
      </w:r>
      <w:r w:rsidRPr="001A403F">
        <w:rPr>
          <w:rFonts w:ascii="Book Antiqua" w:eastAsia="Times New Roman" w:hAnsi="Book Antiqua" w:cs="Times New Roman"/>
          <w:sz w:val="24"/>
          <w:szCs w:val="24"/>
          <w:vertAlign w:val="superscript"/>
        </w:rPr>
        <w:t xml:space="preserve"> </w:t>
      </w:r>
      <w:r w:rsidRPr="001A403F">
        <w:rPr>
          <w:rFonts w:ascii="Book Antiqua" w:eastAsia="Times New Roman" w:hAnsi="Book Antiqua" w:cs="Times New Roman"/>
          <w:sz w:val="24"/>
          <w:szCs w:val="24"/>
        </w:rPr>
        <w:t>Our study is the first in the United States to validate the updated RFH score, which performed in our cohort with an AU</w:t>
      </w:r>
      <w:r w:rsidR="008F2C0A" w:rsidRPr="001A403F">
        <w:rPr>
          <w:rFonts w:ascii="Book Antiqua" w:eastAsia="Times New Roman" w:hAnsi="Book Antiqua" w:cs="Times New Roman"/>
          <w:sz w:val="24"/>
          <w:szCs w:val="24"/>
        </w:rPr>
        <w:t>RO</w:t>
      </w:r>
      <w:r w:rsidRPr="001A403F">
        <w:rPr>
          <w:rFonts w:ascii="Book Antiqua" w:eastAsia="Times New Roman" w:hAnsi="Book Antiqua" w:cs="Times New Roman"/>
          <w:sz w:val="24"/>
          <w:szCs w:val="24"/>
        </w:rPr>
        <w:t xml:space="preserve">C of 0.77. However, we found that the RFH score was limited in its generalizability as lactate and A-a gradient were not universally available on admission in our cohort. </w:t>
      </w:r>
      <w:r w:rsidRPr="001A403F">
        <w:rPr>
          <w:rFonts w:ascii="Book Antiqua" w:hAnsi="Book Antiqua" w:cs="Times New Roman"/>
          <w:sz w:val="24"/>
          <w:szCs w:val="24"/>
        </w:rPr>
        <w:t>Lactate has been shown to be an independent predictor of mortality in cirrhotic patients</w:t>
      </w:r>
      <w:r w:rsidR="002A4396" w:rsidRPr="001A403F">
        <w:rPr>
          <w:rFonts w:ascii="Book Antiqua" w:hAnsi="Book Antiqua" w:cs="Times New Roman"/>
          <w:sz w:val="24"/>
          <w:szCs w:val="24"/>
          <w:vertAlign w:val="superscript"/>
        </w:rPr>
        <w:t>[</w:t>
      </w:r>
      <w:r w:rsidR="00381298" w:rsidRPr="001A403F">
        <w:rPr>
          <w:rFonts w:ascii="Book Antiqua" w:hAnsi="Book Antiqua" w:cs="Times New Roman"/>
          <w:sz w:val="24"/>
          <w:szCs w:val="24"/>
          <w:vertAlign w:val="superscript"/>
        </w:rPr>
        <w:t>18,19,26,27,36,37</w:t>
      </w:r>
      <w:r w:rsidR="002A4396"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and </w:t>
      </w:r>
      <w:r w:rsidR="00F16EDB" w:rsidRPr="001A403F">
        <w:rPr>
          <w:rFonts w:ascii="Book Antiqua" w:hAnsi="Book Antiqua" w:cs="Times New Roman"/>
          <w:sz w:val="24"/>
          <w:szCs w:val="24"/>
        </w:rPr>
        <w:t xml:space="preserve">in </w:t>
      </w:r>
      <w:r w:rsidRPr="001A403F">
        <w:rPr>
          <w:rFonts w:ascii="Book Antiqua" w:hAnsi="Book Antiqua" w:cs="Times New Roman"/>
          <w:sz w:val="24"/>
          <w:szCs w:val="24"/>
        </w:rPr>
        <w:t>patients with acute liver failure</w:t>
      </w:r>
      <w:r w:rsidR="002A4396" w:rsidRPr="001A403F">
        <w:rPr>
          <w:rFonts w:ascii="Book Antiqua" w:hAnsi="Book Antiqua" w:cs="Times New Roman"/>
          <w:sz w:val="24"/>
          <w:szCs w:val="24"/>
          <w:vertAlign w:val="superscript"/>
        </w:rPr>
        <w:t>[</w:t>
      </w:r>
      <w:r w:rsidR="00381298" w:rsidRPr="001A403F">
        <w:rPr>
          <w:rFonts w:ascii="Book Antiqua" w:hAnsi="Book Antiqua" w:cs="Times New Roman"/>
          <w:sz w:val="24"/>
          <w:szCs w:val="24"/>
          <w:vertAlign w:val="superscript"/>
        </w:rPr>
        <w:t>38</w:t>
      </w:r>
      <w:r w:rsidR="002A4396"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admitted to the ICU. </w:t>
      </w:r>
      <w:r w:rsidRPr="001A403F">
        <w:rPr>
          <w:rFonts w:ascii="Book Antiqua" w:eastAsia="Times New Roman" w:hAnsi="Book Antiqua" w:cs="Times New Roman"/>
          <w:sz w:val="24"/>
          <w:szCs w:val="24"/>
        </w:rPr>
        <w:t>However, lactate clearance has also been shown to be impaired by liver and extra-hepatic organ dysfunction, as evidenced by decreased clearance with increasing L-SOFA score</w:t>
      </w:r>
      <w:r w:rsidR="002A4396" w:rsidRPr="001A403F">
        <w:rPr>
          <w:rFonts w:ascii="Book Antiqua" w:eastAsia="Times New Roman" w:hAnsi="Book Antiqua" w:cs="Times New Roman"/>
          <w:sz w:val="24"/>
          <w:szCs w:val="24"/>
          <w:vertAlign w:val="superscript"/>
        </w:rPr>
        <w:t>[</w:t>
      </w:r>
      <w:r w:rsidR="00381298" w:rsidRPr="001A403F">
        <w:rPr>
          <w:rFonts w:ascii="Book Antiqua" w:eastAsia="Times New Roman" w:hAnsi="Book Antiqua" w:cs="Times New Roman"/>
          <w:sz w:val="24"/>
          <w:szCs w:val="24"/>
          <w:vertAlign w:val="superscript"/>
        </w:rPr>
        <w:t>39</w:t>
      </w:r>
      <w:r w:rsidR="002A4396" w:rsidRPr="001A403F">
        <w:rPr>
          <w:rFonts w:ascii="Book Antiqua" w:eastAsia="Times New Roman" w:hAnsi="Book Antiqua" w:cs="Times New Roman"/>
          <w:sz w:val="24"/>
          <w:szCs w:val="24"/>
          <w:vertAlign w:val="superscript"/>
        </w:rPr>
        <w:t>]</w:t>
      </w:r>
      <w:r w:rsidRPr="001A403F">
        <w:rPr>
          <w:rFonts w:ascii="Book Antiqua" w:eastAsia="Times New Roman" w:hAnsi="Book Antiqua" w:cs="Times New Roman"/>
          <w:sz w:val="24"/>
          <w:szCs w:val="24"/>
        </w:rPr>
        <w:t xml:space="preserve">, which suggests that lactate levels may not be reliable in cirrhotic patients. Similarly, arterial blood gas analysis and calculation of the A-a gradient is more likely to be collected in patients with respiratory failure necessitating mechanical ventilation, and is not </w:t>
      </w:r>
      <w:r w:rsidR="00F16EDB" w:rsidRPr="001A403F">
        <w:rPr>
          <w:rFonts w:ascii="Book Antiqua" w:eastAsia="Times New Roman" w:hAnsi="Book Antiqua" w:cs="Times New Roman"/>
          <w:sz w:val="24"/>
          <w:szCs w:val="24"/>
        </w:rPr>
        <w:t>universally</w:t>
      </w:r>
      <w:r w:rsidRPr="001A403F">
        <w:rPr>
          <w:rFonts w:ascii="Book Antiqua" w:eastAsia="Times New Roman" w:hAnsi="Book Antiqua" w:cs="Times New Roman"/>
          <w:sz w:val="24"/>
          <w:szCs w:val="24"/>
        </w:rPr>
        <w:t xml:space="preserve"> available in patients admitted to the ICU as the precise FiO</w:t>
      </w:r>
      <w:r w:rsidRPr="001A403F">
        <w:rPr>
          <w:rFonts w:ascii="Book Antiqua" w:eastAsia="Times New Roman" w:hAnsi="Book Antiqua" w:cs="Times New Roman"/>
          <w:sz w:val="24"/>
          <w:szCs w:val="24"/>
          <w:vertAlign w:val="subscript"/>
        </w:rPr>
        <w:t>2</w:t>
      </w:r>
      <w:r w:rsidRPr="001A403F">
        <w:rPr>
          <w:rFonts w:ascii="Book Antiqua" w:eastAsia="Times New Roman" w:hAnsi="Book Antiqua" w:cs="Times New Roman"/>
          <w:sz w:val="24"/>
          <w:szCs w:val="24"/>
        </w:rPr>
        <w:t xml:space="preserve"> is often unknown. </w:t>
      </w:r>
      <w:r w:rsidRPr="001A403F">
        <w:rPr>
          <w:rFonts w:ascii="Book Antiqua" w:hAnsi="Book Antiqua" w:cs="Times New Roman"/>
          <w:sz w:val="24"/>
          <w:szCs w:val="24"/>
        </w:rPr>
        <w:t xml:space="preserve">Finally, variceal hemorrhage as a reason for admission to the ICU was not an independent predictor of in-hospital mortality in our cohort. </w:t>
      </w:r>
      <w:r w:rsidRPr="001A403F">
        <w:rPr>
          <w:rFonts w:ascii="Book Antiqua" w:eastAsia="Times New Roman" w:hAnsi="Book Antiqua" w:cs="Times New Roman"/>
          <w:sz w:val="24"/>
          <w:szCs w:val="24"/>
        </w:rPr>
        <w:t xml:space="preserve">For these reasons, in an effort to create a widely applicable score for all cirrhotic patients admitted to the ICU, we did not include lactate, arterial blood gas analysis, or variceal hemorrhage in our new prognostic model. The LIV-4 performs with better discrimination and calibration in all patients with cirrhosis admitted to our ICU, independent of variceal hemorrhage, presence/grade of encephalopathy, and presence/degree of ascites. </w:t>
      </w:r>
    </w:p>
    <w:p w14:paraId="2D3EEFB1" w14:textId="3705DC3D" w:rsidR="003D150B" w:rsidRPr="001A403F" w:rsidRDefault="003D150B" w:rsidP="002E7076">
      <w:pPr>
        <w:adjustRightInd w:val="0"/>
        <w:snapToGrid w:val="0"/>
        <w:spacing w:after="0" w:line="360" w:lineRule="auto"/>
        <w:ind w:firstLineChars="100" w:firstLine="240"/>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lastRenderedPageBreak/>
        <w:t xml:space="preserve">In terms of limitations, patients were identified from </w:t>
      </w:r>
      <w:r w:rsidR="003477CC" w:rsidRPr="001A403F">
        <w:rPr>
          <w:rFonts w:ascii="Book Antiqua" w:eastAsia="Times New Roman" w:hAnsi="Book Antiqua" w:cs="Times New Roman"/>
          <w:sz w:val="24"/>
          <w:szCs w:val="24"/>
        </w:rPr>
        <w:t>the</w:t>
      </w:r>
      <w:r w:rsidRPr="001A403F">
        <w:rPr>
          <w:rFonts w:ascii="Book Antiqua" w:eastAsia="Times New Roman" w:hAnsi="Book Antiqua" w:cs="Times New Roman"/>
          <w:sz w:val="24"/>
          <w:szCs w:val="24"/>
        </w:rPr>
        <w:t xml:space="preserve"> prospectively developed ICU APACHE </w:t>
      </w:r>
      <w:r w:rsidR="003477CC" w:rsidRPr="001A403F">
        <w:rPr>
          <w:rFonts w:ascii="Book Antiqua" w:eastAsia="Times New Roman" w:hAnsi="Book Antiqua" w:cs="Times New Roman"/>
          <w:sz w:val="24"/>
          <w:szCs w:val="24"/>
        </w:rPr>
        <w:t xml:space="preserve">IVb </w:t>
      </w:r>
      <w:r w:rsidRPr="001A403F">
        <w:rPr>
          <w:rFonts w:ascii="Book Antiqua" w:eastAsia="Times New Roman" w:hAnsi="Book Antiqua" w:cs="Times New Roman"/>
          <w:sz w:val="24"/>
          <w:szCs w:val="24"/>
        </w:rPr>
        <w:t xml:space="preserve">database and data was collected retrospectively. It is possible that all consecutive patients with cirrhosis were not captured with our retrospective methodology as a consequence of coding error, or if cirrhosis was not recognized as a pre-existing chronic health condition on admission to ICU. While internal prospective validation </w:t>
      </w:r>
      <w:r w:rsidR="00DB7609" w:rsidRPr="001A403F">
        <w:rPr>
          <w:rFonts w:ascii="Book Antiqua" w:eastAsia="Times New Roman" w:hAnsi="Book Antiqua" w:cs="Times New Roman"/>
          <w:sz w:val="24"/>
          <w:szCs w:val="24"/>
        </w:rPr>
        <w:t xml:space="preserve">at our center </w:t>
      </w:r>
      <w:r w:rsidRPr="001A403F">
        <w:rPr>
          <w:rFonts w:ascii="Book Antiqua" w:eastAsia="Times New Roman" w:hAnsi="Book Antiqua" w:cs="Times New Roman"/>
          <w:sz w:val="24"/>
          <w:szCs w:val="24"/>
        </w:rPr>
        <w:t xml:space="preserve">suggests that the LIV-4 score will be widely applicable, </w:t>
      </w:r>
      <w:r w:rsidR="00DB7609" w:rsidRPr="001A403F">
        <w:rPr>
          <w:rFonts w:ascii="Book Antiqua" w:eastAsia="Times New Roman" w:hAnsi="Book Antiqua" w:cs="Times New Roman"/>
          <w:sz w:val="24"/>
          <w:szCs w:val="24"/>
        </w:rPr>
        <w:t xml:space="preserve">we advocate for </w:t>
      </w:r>
      <w:r w:rsidRPr="001A403F">
        <w:rPr>
          <w:rFonts w:ascii="Book Antiqua" w:eastAsia="Times New Roman" w:hAnsi="Book Antiqua" w:cs="Times New Roman"/>
          <w:sz w:val="24"/>
          <w:szCs w:val="24"/>
        </w:rPr>
        <w:t xml:space="preserve">external, prospective analyses </w:t>
      </w:r>
      <w:r w:rsidR="00DB7609" w:rsidRPr="001A403F">
        <w:rPr>
          <w:rFonts w:ascii="Book Antiqua" w:eastAsia="Times New Roman" w:hAnsi="Book Antiqua" w:cs="Times New Roman"/>
          <w:sz w:val="24"/>
          <w:szCs w:val="24"/>
        </w:rPr>
        <w:t>to</w:t>
      </w:r>
      <w:r w:rsidRPr="001A403F">
        <w:rPr>
          <w:rFonts w:ascii="Book Antiqua" w:eastAsia="Times New Roman" w:hAnsi="Book Antiqua" w:cs="Times New Roman"/>
          <w:sz w:val="24"/>
          <w:szCs w:val="24"/>
        </w:rPr>
        <w:t xml:space="preserve"> be undertaken </w:t>
      </w:r>
      <w:r w:rsidR="009C422C" w:rsidRPr="001A403F">
        <w:rPr>
          <w:rFonts w:ascii="Book Antiqua" w:eastAsia="Times New Roman" w:hAnsi="Book Antiqua" w:cs="Times New Roman"/>
          <w:sz w:val="24"/>
          <w:szCs w:val="24"/>
        </w:rPr>
        <w:t>across diverse</w:t>
      </w:r>
      <w:r w:rsidRPr="001A403F">
        <w:rPr>
          <w:rFonts w:ascii="Book Antiqua" w:eastAsia="Times New Roman" w:hAnsi="Book Antiqua" w:cs="Times New Roman"/>
          <w:sz w:val="24"/>
          <w:szCs w:val="24"/>
        </w:rPr>
        <w:t xml:space="preserve"> ICU settings </w:t>
      </w:r>
      <w:r w:rsidR="009C422C" w:rsidRPr="001A403F">
        <w:rPr>
          <w:rFonts w:ascii="Book Antiqua" w:eastAsia="Times New Roman" w:hAnsi="Book Antiqua" w:cs="Times New Roman"/>
          <w:sz w:val="24"/>
          <w:szCs w:val="24"/>
        </w:rPr>
        <w:t xml:space="preserve">in an effort </w:t>
      </w:r>
      <w:r w:rsidRPr="001A403F">
        <w:rPr>
          <w:rFonts w:ascii="Book Antiqua" w:eastAsia="Times New Roman" w:hAnsi="Book Antiqua" w:cs="Times New Roman"/>
          <w:sz w:val="24"/>
          <w:szCs w:val="24"/>
        </w:rPr>
        <w:t xml:space="preserve">to validate the </w:t>
      </w:r>
      <w:r w:rsidR="009C422C" w:rsidRPr="001A403F">
        <w:rPr>
          <w:rFonts w:ascii="Book Antiqua" w:eastAsia="Times New Roman" w:hAnsi="Book Antiqua" w:cs="Times New Roman"/>
          <w:sz w:val="24"/>
          <w:szCs w:val="24"/>
        </w:rPr>
        <w:t>clinical applicability</w:t>
      </w:r>
      <w:r w:rsidRPr="001A403F">
        <w:rPr>
          <w:rFonts w:ascii="Book Antiqua" w:eastAsia="Times New Roman" w:hAnsi="Book Antiqua" w:cs="Times New Roman"/>
          <w:sz w:val="24"/>
          <w:szCs w:val="24"/>
        </w:rPr>
        <w:t xml:space="preserve"> of the score. Finally, it is important to recognize that, much as the APACHE scoring system has evolved to reflect progressive trends in the practice of critical care medicine, temporal study for re-calibration of LIV-4 will be necessary. </w:t>
      </w:r>
    </w:p>
    <w:p w14:paraId="1C6335F0" w14:textId="5D8580BB" w:rsidR="003D150B" w:rsidRPr="001A403F" w:rsidRDefault="003D150B" w:rsidP="002E7076">
      <w:pPr>
        <w:adjustRightInd w:val="0"/>
        <w:snapToGrid w:val="0"/>
        <w:spacing w:after="0" w:line="360" w:lineRule="auto"/>
        <w:ind w:firstLineChars="100" w:firstLine="240"/>
        <w:jc w:val="both"/>
        <w:rPr>
          <w:rFonts w:ascii="Book Antiqua" w:eastAsia="Times New Roman" w:hAnsi="Book Antiqua" w:cs="Times New Roman"/>
          <w:iCs/>
          <w:sz w:val="24"/>
          <w:szCs w:val="24"/>
        </w:rPr>
      </w:pPr>
      <w:r w:rsidRPr="001A403F">
        <w:rPr>
          <w:rFonts w:ascii="Book Antiqua" w:eastAsia="Times New Roman" w:hAnsi="Book Antiqua" w:cs="Times New Roman"/>
          <w:sz w:val="24"/>
          <w:szCs w:val="24"/>
        </w:rPr>
        <w:t>Patients with cirrhosis admitted to the ICU present unique clinical challenges for the clinician, and are best managed by a multidisciplinary team, comprised of specialists in both critical care and hepatology</w:t>
      </w:r>
      <w:r w:rsidR="002A4396" w:rsidRPr="001A403F">
        <w:rPr>
          <w:rFonts w:ascii="Book Antiqua" w:eastAsia="Times New Roman" w:hAnsi="Book Antiqua" w:cs="Times New Roman"/>
          <w:sz w:val="24"/>
          <w:szCs w:val="24"/>
          <w:vertAlign w:val="superscript"/>
        </w:rPr>
        <w:t>[</w:t>
      </w:r>
      <w:r w:rsidR="00381298" w:rsidRPr="001A403F">
        <w:rPr>
          <w:rFonts w:ascii="Book Antiqua" w:eastAsia="Times New Roman" w:hAnsi="Book Antiqua" w:cs="Times New Roman"/>
          <w:sz w:val="24"/>
          <w:szCs w:val="24"/>
          <w:vertAlign w:val="superscript"/>
        </w:rPr>
        <w:t>8</w:t>
      </w:r>
      <w:r w:rsidR="002A4396" w:rsidRPr="001A403F">
        <w:rPr>
          <w:rFonts w:ascii="Book Antiqua" w:eastAsia="Times New Roman" w:hAnsi="Book Antiqua" w:cs="Times New Roman"/>
          <w:sz w:val="24"/>
          <w:szCs w:val="24"/>
          <w:vertAlign w:val="superscript"/>
        </w:rPr>
        <w:t>]</w:t>
      </w:r>
      <w:r w:rsidRPr="001A403F">
        <w:rPr>
          <w:rFonts w:ascii="Book Antiqua" w:eastAsia="Times New Roman" w:hAnsi="Book Antiqua" w:cs="Times New Roman"/>
          <w:sz w:val="24"/>
          <w:szCs w:val="24"/>
        </w:rPr>
        <w:t xml:space="preserve">. Prognostication of short-term survival is important in order to identify patients at highest risk for mortality </w:t>
      </w:r>
      <w:r w:rsidR="00583007" w:rsidRPr="001A403F">
        <w:rPr>
          <w:rFonts w:ascii="Book Antiqua" w:eastAsia="Times New Roman" w:hAnsi="Book Antiqua" w:cs="Times New Roman"/>
          <w:sz w:val="24"/>
          <w:szCs w:val="24"/>
        </w:rPr>
        <w:t>in terms of</w:t>
      </w:r>
      <w:r w:rsidRPr="001A403F">
        <w:rPr>
          <w:rFonts w:ascii="Book Antiqua" w:eastAsia="Times New Roman" w:hAnsi="Book Antiqua" w:cs="Times New Roman"/>
          <w:sz w:val="24"/>
          <w:szCs w:val="24"/>
        </w:rPr>
        <w:t xml:space="preserve"> allocation of resources, studies and interventions. We report the development and </w:t>
      </w:r>
      <w:r w:rsidR="00583007" w:rsidRPr="001A403F">
        <w:rPr>
          <w:rFonts w:ascii="Book Antiqua" w:eastAsia="Times New Roman" w:hAnsi="Book Antiqua" w:cs="Times New Roman"/>
          <w:sz w:val="24"/>
          <w:szCs w:val="24"/>
        </w:rPr>
        <w:t xml:space="preserve">prospective </w:t>
      </w:r>
      <w:r w:rsidRPr="001A403F">
        <w:rPr>
          <w:rFonts w:ascii="Book Antiqua" w:eastAsia="Times New Roman" w:hAnsi="Book Antiqua" w:cs="Times New Roman"/>
          <w:sz w:val="24"/>
          <w:szCs w:val="24"/>
        </w:rPr>
        <w:t xml:space="preserve">validation of a </w:t>
      </w:r>
      <w:r w:rsidR="00583007" w:rsidRPr="001A403F">
        <w:rPr>
          <w:rFonts w:ascii="Book Antiqua" w:eastAsia="Times New Roman" w:hAnsi="Book Antiqua" w:cs="Times New Roman"/>
          <w:sz w:val="24"/>
          <w:szCs w:val="24"/>
        </w:rPr>
        <w:t>new</w:t>
      </w:r>
      <w:r w:rsidRPr="001A403F">
        <w:rPr>
          <w:rFonts w:ascii="Book Antiqua" w:eastAsia="Times New Roman" w:hAnsi="Book Antiqua" w:cs="Times New Roman"/>
          <w:sz w:val="24"/>
          <w:szCs w:val="24"/>
        </w:rPr>
        <w:t xml:space="preserve"> prognostic model for the prediction of </w:t>
      </w:r>
      <w:r w:rsidR="00583007" w:rsidRPr="001A403F">
        <w:rPr>
          <w:rFonts w:ascii="Book Antiqua" w:eastAsia="Times New Roman" w:hAnsi="Book Antiqua" w:cs="Times New Roman"/>
          <w:sz w:val="24"/>
          <w:szCs w:val="24"/>
        </w:rPr>
        <w:t>inpatient transplant-free survival</w:t>
      </w:r>
      <w:r w:rsidRPr="001A403F">
        <w:rPr>
          <w:rFonts w:ascii="Book Antiqua" w:eastAsia="Times New Roman" w:hAnsi="Book Antiqua" w:cs="Times New Roman"/>
          <w:sz w:val="24"/>
          <w:szCs w:val="24"/>
        </w:rPr>
        <w:t xml:space="preserve"> in a contemporary cohort of </w:t>
      </w:r>
      <w:r w:rsidR="00583007" w:rsidRPr="001A403F">
        <w:rPr>
          <w:rFonts w:ascii="Book Antiqua" w:eastAsia="Times New Roman" w:hAnsi="Book Antiqua" w:cs="Times New Roman"/>
          <w:sz w:val="24"/>
          <w:szCs w:val="24"/>
        </w:rPr>
        <w:t>cirrhotic patients</w:t>
      </w:r>
      <w:r w:rsidRPr="001A403F">
        <w:rPr>
          <w:rFonts w:ascii="Book Antiqua" w:eastAsia="Times New Roman" w:hAnsi="Book Antiqua" w:cs="Times New Roman"/>
          <w:sz w:val="24"/>
          <w:szCs w:val="24"/>
        </w:rPr>
        <w:t xml:space="preserve"> admitted to the ICU. This tool can be easily accessed online at http://riskcalc.org:3838/LIV-4/. </w:t>
      </w:r>
      <w:r w:rsidRPr="001A403F">
        <w:rPr>
          <w:rFonts w:ascii="Book Antiqua" w:eastAsia="Times New Roman" w:hAnsi="Book Antiqua" w:cs="Times New Roman"/>
          <w:iCs/>
          <w:sz w:val="24"/>
          <w:szCs w:val="24"/>
        </w:rPr>
        <w:t xml:space="preserve">If external validation is undertaken, </w:t>
      </w:r>
      <w:r w:rsidR="00583007" w:rsidRPr="001A403F">
        <w:rPr>
          <w:rFonts w:ascii="Book Antiqua" w:eastAsia="Times New Roman" w:hAnsi="Book Antiqua" w:cs="Times New Roman"/>
          <w:iCs/>
          <w:sz w:val="24"/>
          <w:szCs w:val="24"/>
        </w:rPr>
        <w:t xml:space="preserve">the </w:t>
      </w:r>
      <w:r w:rsidRPr="001A403F">
        <w:rPr>
          <w:rFonts w:ascii="Book Antiqua" w:eastAsia="Times New Roman" w:hAnsi="Book Antiqua" w:cs="Times New Roman"/>
          <w:iCs/>
          <w:sz w:val="24"/>
          <w:szCs w:val="24"/>
        </w:rPr>
        <w:t xml:space="preserve">LIV-4 </w:t>
      </w:r>
      <w:r w:rsidR="00583007" w:rsidRPr="001A403F">
        <w:rPr>
          <w:rFonts w:ascii="Book Antiqua" w:eastAsia="Times New Roman" w:hAnsi="Book Antiqua" w:cs="Times New Roman"/>
          <w:iCs/>
          <w:sz w:val="24"/>
          <w:szCs w:val="24"/>
        </w:rPr>
        <w:t xml:space="preserve">score </w:t>
      </w:r>
      <w:r w:rsidRPr="001A403F">
        <w:rPr>
          <w:rFonts w:ascii="Book Antiqua" w:eastAsia="Times New Roman" w:hAnsi="Book Antiqua" w:cs="Times New Roman"/>
          <w:iCs/>
          <w:sz w:val="24"/>
          <w:szCs w:val="24"/>
        </w:rPr>
        <w:t xml:space="preserve">could become a standard clinical tool in the ICU and </w:t>
      </w:r>
      <w:r w:rsidR="00583007" w:rsidRPr="001A403F">
        <w:rPr>
          <w:rFonts w:ascii="Book Antiqua" w:eastAsia="Times New Roman" w:hAnsi="Book Antiqua" w:cs="Times New Roman"/>
          <w:iCs/>
          <w:sz w:val="24"/>
          <w:szCs w:val="24"/>
        </w:rPr>
        <w:t>may</w:t>
      </w:r>
      <w:r w:rsidRPr="001A403F">
        <w:rPr>
          <w:rFonts w:ascii="Book Antiqua" w:eastAsia="Times New Roman" w:hAnsi="Book Antiqua" w:cs="Times New Roman"/>
          <w:iCs/>
          <w:sz w:val="24"/>
          <w:szCs w:val="24"/>
        </w:rPr>
        <w:t xml:space="preserve">be used as a means of stratifying </w:t>
      </w:r>
      <w:r w:rsidR="00DB7609" w:rsidRPr="001A403F">
        <w:rPr>
          <w:rFonts w:ascii="Book Antiqua" w:eastAsia="Times New Roman" w:hAnsi="Book Antiqua" w:cs="Times New Roman"/>
          <w:iCs/>
          <w:sz w:val="24"/>
          <w:szCs w:val="24"/>
        </w:rPr>
        <w:t xml:space="preserve">critically ill </w:t>
      </w:r>
      <w:r w:rsidR="00583007" w:rsidRPr="001A403F">
        <w:rPr>
          <w:rFonts w:ascii="Book Antiqua" w:eastAsia="Times New Roman" w:hAnsi="Book Antiqua" w:cs="Times New Roman"/>
          <w:iCs/>
          <w:sz w:val="24"/>
          <w:szCs w:val="24"/>
        </w:rPr>
        <w:t>patients with cirrhosis</w:t>
      </w:r>
      <w:r w:rsidRPr="001A403F">
        <w:rPr>
          <w:rFonts w:ascii="Book Antiqua" w:eastAsia="Times New Roman" w:hAnsi="Book Antiqua" w:cs="Times New Roman"/>
          <w:iCs/>
          <w:sz w:val="24"/>
          <w:szCs w:val="24"/>
        </w:rPr>
        <w:t xml:space="preserve"> in clinical </w:t>
      </w:r>
      <w:r w:rsidR="00583007" w:rsidRPr="001A403F">
        <w:rPr>
          <w:rFonts w:ascii="Book Antiqua" w:eastAsia="Times New Roman" w:hAnsi="Book Antiqua" w:cs="Times New Roman"/>
          <w:iCs/>
          <w:sz w:val="24"/>
          <w:szCs w:val="24"/>
        </w:rPr>
        <w:t xml:space="preserve">and translational </w:t>
      </w:r>
      <w:r w:rsidRPr="001A403F">
        <w:rPr>
          <w:rFonts w:ascii="Book Antiqua" w:eastAsia="Times New Roman" w:hAnsi="Book Antiqua" w:cs="Times New Roman"/>
          <w:iCs/>
          <w:sz w:val="24"/>
          <w:szCs w:val="24"/>
        </w:rPr>
        <w:t>research studies.</w:t>
      </w:r>
      <w:r w:rsidR="002A7105" w:rsidRPr="001A403F">
        <w:rPr>
          <w:rFonts w:ascii="Book Antiqua" w:eastAsia="Times New Roman" w:hAnsi="Book Antiqua" w:cs="Times New Roman"/>
          <w:iCs/>
          <w:sz w:val="24"/>
          <w:szCs w:val="24"/>
        </w:rPr>
        <w:t xml:space="preserve"> </w:t>
      </w:r>
    </w:p>
    <w:p w14:paraId="53AF17CE" w14:textId="77777777" w:rsidR="0019065B" w:rsidRPr="001A403F" w:rsidRDefault="0019065B" w:rsidP="002E7076">
      <w:pPr>
        <w:adjustRightInd w:val="0"/>
        <w:snapToGrid w:val="0"/>
        <w:spacing w:after="0" w:line="360" w:lineRule="auto"/>
        <w:jc w:val="both"/>
        <w:rPr>
          <w:rFonts w:ascii="Book Antiqua" w:eastAsia="Times New Roman" w:hAnsi="Book Antiqua" w:cs="Times New Roman"/>
          <w:iCs/>
          <w:sz w:val="24"/>
          <w:szCs w:val="24"/>
        </w:rPr>
      </w:pPr>
    </w:p>
    <w:p w14:paraId="0E126B7C" w14:textId="35CAA9CE" w:rsidR="0019065B" w:rsidRPr="001A403F" w:rsidRDefault="00F76E65" w:rsidP="002E7076">
      <w:pPr>
        <w:adjustRightInd w:val="0"/>
        <w:snapToGrid w:val="0"/>
        <w:spacing w:after="0" w:line="360" w:lineRule="auto"/>
        <w:jc w:val="both"/>
        <w:rPr>
          <w:rFonts w:ascii="Book Antiqua" w:eastAsia="Times New Roman" w:hAnsi="Book Antiqua" w:cs="Times New Roman"/>
          <w:b/>
          <w:sz w:val="24"/>
          <w:szCs w:val="24"/>
        </w:rPr>
      </w:pPr>
      <w:bookmarkStart w:id="45" w:name="_Hlk38828686"/>
      <w:r w:rsidRPr="001A403F">
        <w:rPr>
          <w:rFonts w:ascii="Book Antiqua" w:eastAsia="Times New Roman" w:hAnsi="Book Antiqua" w:cs="Times New Roman"/>
          <w:b/>
          <w:sz w:val="24"/>
          <w:szCs w:val="24"/>
          <w:u w:val="single"/>
          <w:lang w:val="it-IT"/>
        </w:rPr>
        <w:t>ARTICLE HIGHLIGHTS</w:t>
      </w:r>
      <w:bookmarkEnd w:id="45"/>
      <w:r w:rsidR="0019065B" w:rsidRPr="001A403F">
        <w:rPr>
          <w:rFonts w:ascii="Book Antiqua" w:eastAsia="Times New Roman" w:hAnsi="Book Antiqua" w:cs="Times New Roman"/>
          <w:b/>
          <w:sz w:val="24"/>
          <w:szCs w:val="24"/>
        </w:rPr>
        <w:t xml:space="preserve"> </w:t>
      </w:r>
    </w:p>
    <w:p w14:paraId="73B22187" w14:textId="10E70EB4"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46" w:name="_Hlk38828707"/>
      <w:r w:rsidRPr="001A403F">
        <w:rPr>
          <w:rFonts w:ascii="Book Antiqua" w:hAnsi="Book Antiqua"/>
          <w:b/>
          <w:i/>
          <w:color w:val="000000"/>
          <w:sz w:val="24"/>
          <w:szCs w:val="24"/>
        </w:rPr>
        <w:t>Research background</w:t>
      </w:r>
      <w:bookmarkEnd w:id="46"/>
    </w:p>
    <w:p w14:paraId="1D1E757A" w14:textId="73380348" w:rsidR="0019065B" w:rsidRPr="001A403F" w:rsidRDefault="0019065B"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Critically ill patients with cirrhosis have higher mortality rates in the intensive care unit (ICU) than patients without chronic liver disease. Prognostication of short-term mortality is important in order to identify patients at highest risk of death. None of the currently available prognostic models have been widely accepted for use in cirrhotic </w:t>
      </w:r>
      <w:r w:rsidRPr="001A403F">
        <w:rPr>
          <w:rFonts w:ascii="Book Antiqua" w:eastAsia="Times New Roman" w:hAnsi="Book Antiqua" w:cs="Times New Roman"/>
          <w:sz w:val="24"/>
          <w:szCs w:val="24"/>
        </w:rPr>
        <w:lastRenderedPageBreak/>
        <w:t xml:space="preserve">patients in the ICU, perhaps due to complexity of calculation, or lack of universal variables readily available for these patients. </w:t>
      </w:r>
    </w:p>
    <w:p w14:paraId="13BD1BB3" w14:textId="42F5E97C"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p>
    <w:p w14:paraId="58DC6BFB" w14:textId="512640DA"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47" w:name="_Hlk38828720"/>
      <w:r w:rsidRPr="001A403F">
        <w:rPr>
          <w:rFonts w:ascii="Book Antiqua" w:hAnsi="Book Antiqua"/>
          <w:b/>
          <w:i/>
          <w:color w:val="000000"/>
          <w:sz w:val="24"/>
          <w:szCs w:val="24"/>
        </w:rPr>
        <w:t>Research motivation</w:t>
      </w:r>
      <w:bookmarkEnd w:id="47"/>
    </w:p>
    <w:p w14:paraId="63DBF674" w14:textId="5FB821BA"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We believe a </w:t>
      </w:r>
      <w:r w:rsidR="00951345" w:rsidRPr="001A403F">
        <w:rPr>
          <w:rFonts w:ascii="Book Antiqua" w:eastAsia="Times New Roman" w:hAnsi="Book Antiqua" w:cs="Times New Roman"/>
          <w:sz w:val="24"/>
          <w:szCs w:val="24"/>
        </w:rPr>
        <w:t xml:space="preserve">simple and widely applicable </w:t>
      </w:r>
      <w:r w:rsidRPr="001A403F">
        <w:rPr>
          <w:rFonts w:ascii="Book Antiqua" w:eastAsia="Times New Roman" w:hAnsi="Book Antiqua" w:cs="Times New Roman"/>
          <w:sz w:val="24"/>
          <w:szCs w:val="24"/>
        </w:rPr>
        <w:t>survival model can be developed, to guide therapeutic decision-making and contribute to cost-effective healthcare resource utilization.</w:t>
      </w:r>
    </w:p>
    <w:p w14:paraId="1B2760BD" w14:textId="77777777"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p>
    <w:p w14:paraId="50B7035B" w14:textId="38615B95"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48" w:name="_Hlk38828734"/>
      <w:r w:rsidRPr="001A403F">
        <w:rPr>
          <w:rFonts w:ascii="Book Antiqua" w:hAnsi="Book Antiqua"/>
          <w:b/>
          <w:i/>
          <w:color w:val="000000"/>
          <w:sz w:val="24"/>
          <w:szCs w:val="24"/>
        </w:rPr>
        <w:t>Research objectives</w:t>
      </w:r>
      <w:bookmarkEnd w:id="48"/>
    </w:p>
    <w:p w14:paraId="33020F65" w14:textId="2D3589F0" w:rsidR="0019065B" w:rsidRPr="001A403F" w:rsidRDefault="0019065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To identify clinical and laboratory markers universally available at the time of ICU admission that best identify the likelihood of </w:t>
      </w:r>
      <w:r w:rsidR="00951345" w:rsidRPr="001A403F">
        <w:rPr>
          <w:rFonts w:ascii="Book Antiqua" w:hAnsi="Book Antiqua" w:cs="Times New Roman"/>
          <w:sz w:val="24"/>
          <w:szCs w:val="24"/>
        </w:rPr>
        <w:t xml:space="preserve">transplant-free </w:t>
      </w:r>
      <w:r w:rsidRPr="001A403F">
        <w:rPr>
          <w:rFonts w:ascii="Book Antiqua" w:hAnsi="Book Antiqua" w:cs="Times New Roman"/>
          <w:sz w:val="24"/>
          <w:szCs w:val="24"/>
        </w:rPr>
        <w:t>survival</w:t>
      </w:r>
      <w:r w:rsidR="00951345" w:rsidRPr="001A403F">
        <w:rPr>
          <w:rFonts w:ascii="Book Antiqua" w:hAnsi="Book Antiqua" w:cs="Times New Roman"/>
          <w:sz w:val="24"/>
          <w:szCs w:val="24"/>
        </w:rPr>
        <w:t xml:space="preserve"> in critically ill patients with cirrhosis.</w:t>
      </w:r>
      <w:r w:rsidRPr="001A403F">
        <w:rPr>
          <w:rFonts w:ascii="Book Antiqua" w:hAnsi="Book Antiqua" w:cs="Times New Roman"/>
          <w:sz w:val="24"/>
          <w:szCs w:val="24"/>
        </w:rPr>
        <w:t xml:space="preserve"> </w:t>
      </w:r>
    </w:p>
    <w:p w14:paraId="1808ABF4" w14:textId="77777777"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p>
    <w:p w14:paraId="1FB966B7" w14:textId="707191FD"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49" w:name="_Hlk38828748"/>
      <w:r w:rsidRPr="001A403F">
        <w:rPr>
          <w:rFonts w:ascii="Book Antiqua" w:hAnsi="Book Antiqua"/>
          <w:b/>
          <w:i/>
          <w:color w:val="000000"/>
          <w:sz w:val="24"/>
          <w:szCs w:val="24"/>
        </w:rPr>
        <w:t>Research methods</w:t>
      </w:r>
      <w:bookmarkEnd w:id="49"/>
    </w:p>
    <w:p w14:paraId="6222D903" w14:textId="2BC1F275" w:rsidR="0019065B" w:rsidRPr="001A403F" w:rsidRDefault="0019065B"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A new predictive model (the LIV-4 score) was developed </w:t>
      </w:r>
      <w:r w:rsidR="00951345" w:rsidRPr="001A403F">
        <w:rPr>
          <w:rFonts w:ascii="Book Antiqua" w:eastAsia="Times New Roman" w:hAnsi="Book Antiqua" w:cs="Times New Roman"/>
          <w:sz w:val="24"/>
          <w:szCs w:val="24"/>
        </w:rPr>
        <w:t xml:space="preserve">retrospectively </w:t>
      </w:r>
      <w:r w:rsidRPr="001A403F">
        <w:rPr>
          <w:rFonts w:ascii="Book Antiqua" w:eastAsia="Times New Roman" w:hAnsi="Book Antiqua" w:cs="Times New Roman"/>
          <w:sz w:val="24"/>
          <w:szCs w:val="24"/>
        </w:rPr>
        <w:t xml:space="preserve">using logistic regression analysis from a large cohort of critically ill patients with cirrhosis admitted to a </w:t>
      </w:r>
      <w:r w:rsidR="0074504F" w:rsidRPr="001A403F">
        <w:rPr>
          <w:rFonts w:ascii="Book Antiqua" w:eastAsia="Times New Roman" w:hAnsi="Book Antiqua" w:cs="Times New Roman"/>
          <w:sz w:val="24"/>
          <w:szCs w:val="24"/>
        </w:rPr>
        <w:t>quaternary</w:t>
      </w:r>
      <w:r w:rsidRPr="001A403F">
        <w:rPr>
          <w:rFonts w:ascii="Book Antiqua" w:eastAsia="Times New Roman" w:hAnsi="Book Antiqua" w:cs="Times New Roman"/>
          <w:sz w:val="24"/>
          <w:szCs w:val="24"/>
        </w:rPr>
        <w:t xml:space="preserve"> care liver transplant center ICU and was prospectively validated in a cohort of patients admitted to the same institution.</w:t>
      </w:r>
    </w:p>
    <w:p w14:paraId="26A6415D" w14:textId="77777777"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p>
    <w:p w14:paraId="5326602E" w14:textId="165D7BA0"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50" w:name="_Hlk38828776"/>
      <w:r w:rsidRPr="001A403F">
        <w:rPr>
          <w:rFonts w:ascii="Book Antiqua" w:hAnsi="Book Antiqua"/>
          <w:b/>
          <w:i/>
          <w:color w:val="000000"/>
          <w:sz w:val="24"/>
          <w:szCs w:val="24"/>
        </w:rPr>
        <w:t>Research results</w:t>
      </w:r>
      <w:bookmarkEnd w:id="50"/>
    </w:p>
    <w:p w14:paraId="325A95B0" w14:textId="77777777" w:rsidR="00951345" w:rsidRPr="001A403F" w:rsidRDefault="00951345"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Our validated model for predicting mortality in cirrhotic patients on admission to the ICU performs better than previously published liver and ICU-specific scores.</w:t>
      </w:r>
    </w:p>
    <w:p w14:paraId="0244A4EC" w14:textId="77777777"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p>
    <w:p w14:paraId="1E77ADE7" w14:textId="5938CCE1"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51" w:name="_Hlk38828793"/>
      <w:r w:rsidRPr="001A403F">
        <w:rPr>
          <w:rFonts w:ascii="Book Antiqua" w:hAnsi="Book Antiqua"/>
          <w:b/>
          <w:i/>
          <w:color w:val="000000"/>
          <w:sz w:val="24"/>
          <w:szCs w:val="24"/>
        </w:rPr>
        <w:t>Research conclusions</w:t>
      </w:r>
      <w:bookmarkEnd w:id="51"/>
    </w:p>
    <w:p w14:paraId="7F3111E0" w14:textId="498C5B95" w:rsidR="0019065B" w:rsidRPr="001A403F" w:rsidRDefault="00951345" w:rsidP="002E7076">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iCs/>
          <w:sz w:val="24"/>
          <w:szCs w:val="24"/>
        </w:rPr>
        <w:t>LIV-4 could become a standard clinical tool for patients with advanced liver disease in the ICU and could be used as a means of stratifying critically ill cirrhotic patients in clinical research studies.</w:t>
      </w:r>
    </w:p>
    <w:p w14:paraId="2518EE96" w14:textId="77777777" w:rsidR="003D150B" w:rsidRPr="001A403F" w:rsidRDefault="003D150B" w:rsidP="002E7076">
      <w:pPr>
        <w:adjustRightInd w:val="0"/>
        <w:snapToGrid w:val="0"/>
        <w:spacing w:after="0" w:line="360" w:lineRule="auto"/>
        <w:jc w:val="both"/>
        <w:rPr>
          <w:rFonts w:ascii="Book Antiqua" w:eastAsia="Times New Roman" w:hAnsi="Book Antiqua" w:cs="Times New Roman"/>
          <w:sz w:val="24"/>
          <w:szCs w:val="24"/>
        </w:rPr>
      </w:pPr>
    </w:p>
    <w:p w14:paraId="320BBD0D" w14:textId="77777777" w:rsidR="00784230" w:rsidRPr="001A403F" w:rsidRDefault="00FA5D72" w:rsidP="00784230">
      <w:pPr>
        <w:adjustRightInd w:val="0"/>
        <w:snapToGrid w:val="0"/>
        <w:spacing w:after="0" w:line="360" w:lineRule="auto"/>
        <w:jc w:val="both"/>
        <w:rPr>
          <w:rFonts w:ascii="Book Antiqua" w:eastAsia="Times New Roman" w:hAnsi="Book Antiqua" w:cs="Times New Roman"/>
          <w:sz w:val="24"/>
          <w:szCs w:val="24"/>
        </w:rPr>
      </w:pPr>
      <w:bookmarkStart w:id="52" w:name="_Hlk38828806"/>
      <w:r w:rsidRPr="001A403F">
        <w:rPr>
          <w:rFonts w:ascii="Book Antiqua" w:hAnsi="Book Antiqua"/>
          <w:b/>
          <w:i/>
          <w:color w:val="000000"/>
          <w:sz w:val="24"/>
          <w:szCs w:val="24"/>
        </w:rPr>
        <w:t>Research perspectives</w:t>
      </w:r>
      <w:bookmarkEnd w:id="52"/>
    </w:p>
    <w:p w14:paraId="16DF131F" w14:textId="69C6AB7A" w:rsidR="00784230" w:rsidRPr="001A403F" w:rsidRDefault="009A244C" w:rsidP="00784230">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lastRenderedPageBreak/>
        <w:t xml:space="preserve">Survival modeling is an important tool </w:t>
      </w:r>
      <w:r w:rsidR="00784230" w:rsidRPr="001A403F">
        <w:rPr>
          <w:rFonts w:ascii="Book Antiqua" w:eastAsia="Times New Roman" w:hAnsi="Book Antiqua" w:cs="Times New Roman"/>
          <w:sz w:val="24"/>
          <w:szCs w:val="24"/>
        </w:rPr>
        <w:t>for</w:t>
      </w:r>
      <w:r w:rsidRPr="001A403F">
        <w:rPr>
          <w:rFonts w:ascii="Book Antiqua" w:eastAsia="Times New Roman" w:hAnsi="Book Antiqua" w:cs="Times New Roman"/>
          <w:sz w:val="24"/>
          <w:szCs w:val="24"/>
        </w:rPr>
        <w:t xml:space="preserve"> therapeutic decision-making</w:t>
      </w:r>
      <w:r w:rsidR="00784230" w:rsidRPr="001A403F">
        <w:rPr>
          <w:rFonts w:ascii="Book Antiqua" w:eastAsia="Times New Roman" w:hAnsi="Book Antiqua" w:cs="Times New Roman"/>
          <w:sz w:val="24"/>
          <w:szCs w:val="24"/>
        </w:rPr>
        <w:t xml:space="preserve"> as well as </w:t>
      </w:r>
      <w:r w:rsidR="006D55AA" w:rsidRPr="001A403F">
        <w:rPr>
          <w:rFonts w:ascii="Book Antiqua" w:eastAsia="Times New Roman" w:hAnsi="Book Antiqua" w:cs="Times New Roman"/>
          <w:sz w:val="24"/>
          <w:szCs w:val="24"/>
        </w:rPr>
        <w:t xml:space="preserve">for </w:t>
      </w:r>
      <w:r w:rsidR="00784230" w:rsidRPr="001A403F">
        <w:rPr>
          <w:rFonts w:ascii="Book Antiqua" w:eastAsia="Times New Roman" w:hAnsi="Book Antiqua" w:cs="Times New Roman"/>
          <w:sz w:val="24"/>
          <w:szCs w:val="24"/>
        </w:rPr>
        <w:t>research study design. The LIV-4 score was designed and validated prospectively in a single-center cohort. External, prospective validation is needed to determine widespread applicab</w:t>
      </w:r>
      <w:r w:rsidR="006D55AA" w:rsidRPr="001A403F">
        <w:rPr>
          <w:rFonts w:ascii="Book Antiqua" w:eastAsia="Times New Roman" w:hAnsi="Book Antiqua" w:cs="Times New Roman"/>
          <w:sz w:val="24"/>
          <w:szCs w:val="24"/>
        </w:rPr>
        <w:t>ility and utility of the model.</w:t>
      </w:r>
    </w:p>
    <w:p w14:paraId="4560D6D6" w14:textId="188F6EE6" w:rsidR="00784230" w:rsidRPr="001A403F" w:rsidRDefault="00784230" w:rsidP="002E7076">
      <w:pPr>
        <w:adjustRightInd w:val="0"/>
        <w:snapToGrid w:val="0"/>
        <w:spacing w:after="0" w:line="360" w:lineRule="auto"/>
        <w:jc w:val="both"/>
        <w:rPr>
          <w:rFonts w:ascii="Book Antiqua" w:eastAsia="Times New Roman" w:hAnsi="Book Antiqua" w:cs="Times New Roman"/>
          <w:sz w:val="24"/>
          <w:szCs w:val="24"/>
        </w:rPr>
      </w:pPr>
    </w:p>
    <w:p w14:paraId="0796686C" w14:textId="4493B814" w:rsidR="003D150B" w:rsidRPr="001A403F" w:rsidRDefault="0002675F" w:rsidP="002E7076">
      <w:pPr>
        <w:adjustRightInd w:val="0"/>
        <w:snapToGrid w:val="0"/>
        <w:spacing w:after="0" w:line="360" w:lineRule="auto"/>
        <w:jc w:val="both"/>
        <w:rPr>
          <w:rFonts w:ascii="Book Antiqua" w:eastAsia="Times New Roman" w:hAnsi="Book Antiqua" w:cs="Times New Roman"/>
          <w:sz w:val="24"/>
          <w:szCs w:val="24"/>
          <w:lang w:val="fr-SN"/>
        </w:rPr>
      </w:pPr>
      <w:bookmarkStart w:id="53" w:name="_Hlk38828822"/>
      <w:r w:rsidRPr="001A403F">
        <w:rPr>
          <w:rFonts w:ascii="Book Antiqua" w:eastAsia="Times New Roman" w:hAnsi="Book Antiqua" w:cs="Times New Roman"/>
          <w:b/>
          <w:sz w:val="24"/>
          <w:szCs w:val="24"/>
          <w:lang w:val="en-GB"/>
        </w:rPr>
        <w:t>REFERENCES</w:t>
      </w:r>
      <w:bookmarkEnd w:id="53"/>
    </w:p>
    <w:p w14:paraId="352B19BF"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bookmarkStart w:id="54" w:name="OLE_LINK464"/>
      <w:bookmarkStart w:id="55" w:name="OLE_LINK465"/>
      <w:r w:rsidRPr="001A403F">
        <w:rPr>
          <w:rFonts w:ascii="Book Antiqua" w:eastAsia="Times New Roman" w:hAnsi="Book Antiqua" w:cs="Arial"/>
          <w:sz w:val="24"/>
          <w:szCs w:val="24"/>
          <w:lang w:val="en"/>
        </w:rPr>
        <w:t xml:space="preserve">1 </w:t>
      </w:r>
      <w:r w:rsidRPr="001A403F">
        <w:rPr>
          <w:rFonts w:ascii="Book Antiqua" w:eastAsia="Times New Roman" w:hAnsi="Book Antiqua" w:cs="Arial"/>
          <w:b/>
          <w:sz w:val="24"/>
          <w:szCs w:val="24"/>
          <w:lang w:val="en"/>
        </w:rPr>
        <w:t>Moreau R</w:t>
      </w:r>
      <w:r w:rsidRPr="001A403F">
        <w:rPr>
          <w:rFonts w:ascii="Book Antiqua" w:eastAsia="Times New Roman" w:hAnsi="Book Antiqua" w:cs="Arial"/>
          <w:sz w:val="24"/>
          <w:szCs w:val="24"/>
          <w:lang w:val="en"/>
        </w:rPr>
        <w:t xml:space="preserve">, Jalan R, Gines P, Pavesi M, Angeli P, Cordoba J, Durand F, Gustot T, Saliba F, Domenicali M, Gerbes A, Wendon J, Alessandria C, Laleman W, Zeuzem S, Trebicka J, Bernardi M, Arroyo V; CANONIC Study Investigators of the EASL–CLIF Consortium. Acute-on-chronic liver failure is a distinct syndrome that develops in patients with acute decompensation of cirrhosis. </w:t>
      </w:r>
      <w:r w:rsidRPr="001A403F">
        <w:rPr>
          <w:rFonts w:ascii="Book Antiqua" w:eastAsia="Times New Roman" w:hAnsi="Book Antiqua" w:cs="Arial"/>
          <w:i/>
          <w:sz w:val="24"/>
          <w:szCs w:val="24"/>
          <w:lang w:val="en"/>
        </w:rPr>
        <w:t>Gastroenterology</w:t>
      </w:r>
      <w:r w:rsidRPr="001A403F">
        <w:rPr>
          <w:rFonts w:ascii="Book Antiqua" w:eastAsia="Times New Roman" w:hAnsi="Book Antiqua" w:cs="Arial"/>
          <w:sz w:val="24"/>
          <w:szCs w:val="24"/>
          <w:lang w:val="en"/>
        </w:rPr>
        <w:t xml:space="preserve"> 2013; </w:t>
      </w:r>
      <w:r w:rsidRPr="001A403F">
        <w:rPr>
          <w:rFonts w:ascii="Book Antiqua" w:eastAsia="Times New Roman" w:hAnsi="Book Antiqua" w:cs="Arial"/>
          <w:b/>
          <w:sz w:val="24"/>
          <w:szCs w:val="24"/>
          <w:lang w:val="en"/>
        </w:rPr>
        <w:t>144</w:t>
      </w:r>
      <w:r w:rsidRPr="001A403F">
        <w:rPr>
          <w:rFonts w:ascii="Book Antiqua" w:eastAsia="Times New Roman" w:hAnsi="Book Antiqua" w:cs="Arial"/>
          <w:sz w:val="24"/>
          <w:szCs w:val="24"/>
          <w:lang w:val="en"/>
        </w:rPr>
        <w:t>: 1426-1437, 1437.e1-1437.e9 [PMID: 23474284 DOI: 10.1053/j.gastro.2013.02.042]</w:t>
      </w:r>
    </w:p>
    <w:p w14:paraId="5187793F"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 </w:t>
      </w:r>
      <w:r w:rsidRPr="001A403F">
        <w:rPr>
          <w:rFonts w:ascii="Book Antiqua" w:eastAsia="Times New Roman" w:hAnsi="Book Antiqua" w:cs="Arial"/>
          <w:b/>
          <w:sz w:val="24"/>
          <w:szCs w:val="24"/>
          <w:lang w:val="en"/>
        </w:rPr>
        <w:t>O'Brien AJ</w:t>
      </w:r>
      <w:r w:rsidRPr="001A403F">
        <w:rPr>
          <w:rFonts w:ascii="Book Antiqua" w:eastAsia="Times New Roman" w:hAnsi="Book Antiqua" w:cs="Arial"/>
          <w:sz w:val="24"/>
          <w:szCs w:val="24"/>
          <w:lang w:val="en"/>
        </w:rPr>
        <w:t xml:space="preserve">, Welch CA, Singer M, Harrison DA. Prevalence and outcome of cirrhosis patients admitted to UK intensive care: a comparison against dialysis-dependent chronic renal failure patients. </w:t>
      </w:r>
      <w:r w:rsidRPr="001A403F">
        <w:rPr>
          <w:rFonts w:ascii="Book Antiqua" w:eastAsia="Times New Roman" w:hAnsi="Book Antiqua" w:cs="Arial"/>
          <w:i/>
          <w:sz w:val="24"/>
          <w:szCs w:val="24"/>
          <w:lang w:val="en"/>
        </w:rPr>
        <w:t>Intensive Care Med</w:t>
      </w:r>
      <w:r w:rsidRPr="001A403F">
        <w:rPr>
          <w:rFonts w:ascii="Book Antiqua" w:eastAsia="Times New Roman" w:hAnsi="Book Antiqua" w:cs="Arial"/>
          <w:sz w:val="24"/>
          <w:szCs w:val="24"/>
          <w:lang w:val="en"/>
        </w:rPr>
        <w:t xml:space="preserve"> 2012; </w:t>
      </w:r>
      <w:r w:rsidRPr="001A403F">
        <w:rPr>
          <w:rFonts w:ascii="Book Antiqua" w:eastAsia="Times New Roman" w:hAnsi="Book Antiqua" w:cs="Arial"/>
          <w:b/>
          <w:sz w:val="24"/>
          <w:szCs w:val="24"/>
          <w:lang w:val="en"/>
        </w:rPr>
        <w:t>38</w:t>
      </w:r>
      <w:r w:rsidRPr="001A403F">
        <w:rPr>
          <w:rFonts w:ascii="Book Antiqua" w:eastAsia="Times New Roman" w:hAnsi="Book Antiqua" w:cs="Arial"/>
          <w:sz w:val="24"/>
          <w:szCs w:val="24"/>
          <w:lang w:val="en"/>
        </w:rPr>
        <w:t>: 991-1000 [PMID: 22456768 DOI: 10.1007/s00134-012-2523-2]</w:t>
      </w:r>
    </w:p>
    <w:p w14:paraId="554353F5"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 </w:t>
      </w:r>
      <w:r w:rsidRPr="001A403F">
        <w:rPr>
          <w:rFonts w:ascii="Book Antiqua" w:eastAsia="Times New Roman" w:hAnsi="Book Antiqua" w:cs="Arial"/>
          <w:b/>
          <w:sz w:val="24"/>
          <w:szCs w:val="24"/>
          <w:lang w:val="en"/>
        </w:rPr>
        <w:t>Nadim MK</w:t>
      </w:r>
      <w:r w:rsidRPr="001A403F">
        <w:rPr>
          <w:rFonts w:ascii="Book Antiqua" w:eastAsia="Times New Roman" w:hAnsi="Book Antiqua" w:cs="Arial"/>
          <w:sz w:val="24"/>
          <w:szCs w:val="24"/>
          <w:lang w:val="en"/>
        </w:rPr>
        <w:t xml:space="preserve">, Durand F, Kellum JA, Levitsky J, O'Leary JG, Karvellas CJ, Bajaj JS, Davenport A, Jalan R, Angeli P, Caldwell SH, Fernández J, Francoz C, Garcia-Tsao G, Ginès P, Ison MG, Kramer DJ, Mehta RL, Moreau R, Mulligan D, Olson JC, Pomfret EA, Senzolo M, Steadman RH, Subramanian RM, Vincent JL, Genyk YS. Management of the critically ill patient with cirrhosis: A multidisciplinary perspective. </w:t>
      </w:r>
      <w:r w:rsidRPr="001A403F">
        <w:rPr>
          <w:rFonts w:ascii="Book Antiqua" w:eastAsia="Times New Roman" w:hAnsi="Book Antiqua" w:cs="Arial"/>
          <w:i/>
          <w:sz w:val="24"/>
          <w:szCs w:val="24"/>
          <w:lang w:val="en"/>
        </w:rPr>
        <w:t>J Hepatol</w:t>
      </w:r>
      <w:r w:rsidRPr="001A403F">
        <w:rPr>
          <w:rFonts w:ascii="Book Antiqua" w:eastAsia="Times New Roman" w:hAnsi="Book Antiqua" w:cs="Arial"/>
          <w:sz w:val="24"/>
          <w:szCs w:val="24"/>
          <w:lang w:val="en"/>
        </w:rPr>
        <w:t xml:space="preserve"> 2016; </w:t>
      </w:r>
      <w:r w:rsidRPr="001A403F">
        <w:rPr>
          <w:rFonts w:ascii="Book Antiqua" w:eastAsia="Times New Roman" w:hAnsi="Book Antiqua" w:cs="Arial"/>
          <w:b/>
          <w:sz w:val="24"/>
          <w:szCs w:val="24"/>
          <w:lang w:val="en"/>
        </w:rPr>
        <w:t>64</w:t>
      </w:r>
      <w:r w:rsidRPr="001A403F">
        <w:rPr>
          <w:rFonts w:ascii="Book Antiqua" w:eastAsia="Times New Roman" w:hAnsi="Book Antiqua" w:cs="Arial"/>
          <w:sz w:val="24"/>
          <w:szCs w:val="24"/>
          <w:lang w:val="en"/>
        </w:rPr>
        <w:t>: 717-735 [PMID: 26519602 DOI: 10.1016/j.jhep.2015.10.019]</w:t>
      </w:r>
    </w:p>
    <w:p w14:paraId="12F8B154"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4 </w:t>
      </w:r>
      <w:r w:rsidRPr="001A403F">
        <w:rPr>
          <w:rFonts w:ascii="Book Antiqua" w:eastAsia="Times New Roman" w:hAnsi="Book Antiqua" w:cs="Arial"/>
          <w:b/>
          <w:sz w:val="24"/>
          <w:szCs w:val="24"/>
          <w:lang w:val="en"/>
        </w:rPr>
        <w:t>Arroyo V</w:t>
      </w:r>
      <w:r w:rsidRPr="001A403F">
        <w:rPr>
          <w:rFonts w:ascii="Book Antiqua" w:eastAsia="Times New Roman" w:hAnsi="Book Antiqua" w:cs="Arial"/>
          <w:sz w:val="24"/>
          <w:szCs w:val="24"/>
          <w:lang w:val="en"/>
        </w:rPr>
        <w:t xml:space="preserve">, Moreau R, Jalan R, Ginès P; EASL-CLIF Consortium CANONIC Study. Acute-on-chronic liver failure: A new syndrome that will re-classify cirrhosis. </w:t>
      </w:r>
      <w:r w:rsidRPr="001A403F">
        <w:rPr>
          <w:rFonts w:ascii="Book Antiqua" w:eastAsia="Times New Roman" w:hAnsi="Book Antiqua" w:cs="Arial"/>
          <w:i/>
          <w:sz w:val="24"/>
          <w:szCs w:val="24"/>
          <w:lang w:val="en"/>
        </w:rPr>
        <w:t>J Hepatol</w:t>
      </w:r>
      <w:r w:rsidRPr="001A403F">
        <w:rPr>
          <w:rFonts w:ascii="Book Antiqua" w:eastAsia="Times New Roman" w:hAnsi="Book Antiqua" w:cs="Arial"/>
          <w:sz w:val="24"/>
          <w:szCs w:val="24"/>
          <w:lang w:val="en"/>
        </w:rPr>
        <w:t xml:space="preserve"> 2015; </w:t>
      </w:r>
      <w:r w:rsidRPr="001A403F">
        <w:rPr>
          <w:rFonts w:ascii="Book Antiqua" w:eastAsia="Times New Roman" w:hAnsi="Book Antiqua" w:cs="Arial"/>
          <w:b/>
          <w:sz w:val="24"/>
          <w:szCs w:val="24"/>
          <w:lang w:val="en"/>
        </w:rPr>
        <w:t>62</w:t>
      </w:r>
      <w:r w:rsidRPr="001A403F">
        <w:rPr>
          <w:rFonts w:ascii="Book Antiqua" w:eastAsia="Times New Roman" w:hAnsi="Book Antiqua" w:cs="Arial"/>
          <w:sz w:val="24"/>
          <w:szCs w:val="24"/>
          <w:lang w:val="en"/>
        </w:rPr>
        <w:t>: S131-S143 [PMID: 25920082 DOI: 10.1016/j.jhep.2014.11.045]</w:t>
      </w:r>
    </w:p>
    <w:p w14:paraId="69B79664"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5 </w:t>
      </w:r>
      <w:r w:rsidRPr="001A403F">
        <w:rPr>
          <w:rFonts w:ascii="Book Antiqua" w:eastAsia="Times New Roman" w:hAnsi="Book Antiqua" w:cs="Arial"/>
          <w:b/>
          <w:sz w:val="24"/>
          <w:szCs w:val="24"/>
          <w:lang w:val="en"/>
        </w:rPr>
        <w:t>Arroyo V</w:t>
      </w:r>
      <w:r w:rsidRPr="001A403F">
        <w:rPr>
          <w:rFonts w:ascii="Book Antiqua" w:eastAsia="Times New Roman" w:hAnsi="Book Antiqua" w:cs="Arial"/>
          <w:sz w:val="24"/>
          <w:szCs w:val="24"/>
          <w:lang w:val="en"/>
        </w:rPr>
        <w:t xml:space="preserve">, Moreau R, Kamath PS, Jalan R, Ginès P, Nevens F, Fernández J, To U, García-Tsao G, Schnabl B. Acute-on-chronic liver failure in cirrhosis. </w:t>
      </w:r>
      <w:r w:rsidRPr="001A403F">
        <w:rPr>
          <w:rFonts w:ascii="Book Antiqua" w:eastAsia="Times New Roman" w:hAnsi="Book Antiqua" w:cs="Arial"/>
          <w:i/>
          <w:sz w:val="24"/>
          <w:szCs w:val="24"/>
          <w:lang w:val="en"/>
        </w:rPr>
        <w:t>Nat Rev Dis Primers</w:t>
      </w:r>
      <w:r w:rsidRPr="001A403F">
        <w:rPr>
          <w:rFonts w:ascii="Book Antiqua" w:eastAsia="Times New Roman" w:hAnsi="Book Antiqua" w:cs="Arial"/>
          <w:sz w:val="24"/>
          <w:szCs w:val="24"/>
          <w:lang w:val="en"/>
        </w:rPr>
        <w:t xml:space="preserve"> 2016; </w:t>
      </w:r>
      <w:r w:rsidRPr="001A403F">
        <w:rPr>
          <w:rFonts w:ascii="Book Antiqua" w:eastAsia="Times New Roman" w:hAnsi="Book Antiqua" w:cs="Arial"/>
          <w:b/>
          <w:sz w:val="24"/>
          <w:szCs w:val="24"/>
          <w:lang w:val="en"/>
        </w:rPr>
        <w:t>2</w:t>
      </w:r>
      <w:r w:rsidRPr="001A403F">
        <w:rPr>
          <w:rFonts w:ascii="Book Antiqua" w:eastAsia="Times New Roman" w:hAnsi="Book Antiqua" w:cs="Arial"/>
          <w:sz w:val="24"/>
          <w:szCs w:val="24"/>
          <w:lang w:val="en"/>
        </w:rPr>
        <w:t>: 16041 [PMID: 27277335 DOI: 10.1038/nrdp.2016.41]</w:t>
      </w:r>
    </w:p>
    <w:p w14:paraId="431160FB"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6 </w:t>
      </w:r>
      <w:r w:rsidRPr="001A403F">
        <w:rPr>
          <w:rFonts w:ascii="Book Antiqua" w:eastAsia="Times New Roman" w:hAnsi="Book Antiqua" w:cs="Arial"/>
          <w:b/>
          <w:sz w:val="24"/>
          <w:szCs w:val="24"/>
          <w:lang w:val="en"/>
        </w:rPr>
        <w:t>Jalan R</w:t>
      </w:r>
      <w:r w:rsidRPr="001A403F">
        <w:rPr>
          <w:rFonts w:ascii="Book Antiqua" w:eastAsia="Times New Roman" w:hAnsi="Book Antiqua" w:cs="Arial"/>
          <w:sz w:val="24"/>
          <w:szCs w:val="24"/>
          <w:lang w:val="en"/>
        </w:rPr>
        <w:t xml:space="preserve">, Saliba F, Pavesi M, Amoros A, Moreau R, Ginès P, Levesque E, Durand F, Angeli P, Caraceni P, Hopf C, Alessandria C, Rodriguez E, Solis-Muñoz P, Laleman W, </w:t>
      </w:r>
      <w:r w:rsidRPr="001A403F">
        <w:rPr>
          <w:rFonts w:ascii="Book Antiqua" w:eastAsia="Times New Roman" w:hAnsi="Book Antiqua" w:cs="Arial"/>
          <w:sz w:val="24"/>
          <w:szCs w:val="24"/>
          <w:lang w:val="en"/>
        </w:rPr>
        <w:lastRenderedPageBreak/>
        <w:t xml:space="preserve">Trebicka J, Zeuzem S, Gustot T, Mookerjee R, Elkrief L, Soriano G, Cordoba J, Morando F, Gerbes A, Agarwal B, Samuel D, Bernardi M, Arroyo V; CANONIC study investigators of the EASL-CLIF Consortium. Development and validation of a prognostic score to predict mortality in patients with acute-on-chronic liver failure. </w:t>
      </w:r>
      <w:r w:rsidRPr="001A403F">
        <w:rPr>
          <w:rFonts w:ascii="Book Antiqua" w:eastAsia="Times New Roman" w:hAnsi="Book Antiqua" w:cs="Arial"/>
          <w:i/>
          <w:sz w:val="24"/>
          <w:szCs w:val="24"/>
          <w:lang w:val="en"/>
        </w:rPr>
        <w:t>J Hepatol</w:t>
      </w:r>
      <w:r w:rsidRPr="001A403F">
        <w:rPr>
          <w:rFonts w:ascii="Book Antiqua" w:eastAsia="Times New Roman" w:hAnsi="Book Antiqua" w:cs="Arial"/>
          <w:sz w:val="24"/>
          <w:szCs w:val="24"/>
          <w:lang w:val="en"/>
        </w:rPr>
        <w:t xml:space="preserve"> 2014; </w:t>
      </w:r>
      <w:r w:rsidRPr="001A403F">
        <w:rPr>
          <w:rFonts w:ascii="Book Antiqua" w:eastAsia="Times New Roman" w:hAnsi="Book Antiqua" w:cs="Arial"/>
          <w:b/>
          <w:sz w:val="24"/>
          <w:szCs w:val="24"/>
          <w:lang w:val="en"/>
        </w:rPr>
        <w:t>61</w:t>
      </w:r>
      <w:r w:rsidRPr="001A403F">
        <w:rPr>
          <w:rFonts w:ascii="Book Antiqua" w:eastAsia="Times New Roman" w:hAnsi="Book Antiqua" w:cs="Arial"/>
          <w:sz w:val="24"/>
          <w:szCs w:val="24"/>
          <w:lang w:val="en"/>
        </w:rPr>
        <w:t>: 1038-1047 [PMID: 24950482 DOI: 10.1016/j.jhep.2014.06.012]</w:t>
      </w:r>
    </w:p>
    <w:p w14:paraId="0CC2512F"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7 </w:t>
      </w:r>
      <w:r w:rsidRPr="001A403F">
        <w:rPr>
          <w:rFonts w:ascii="Book Antiqua" w:eastAsia="Times New Roman" w:hAnsi="Book Antiqua" w:cs="Arial"/>
          <w:b/>
          <w:sz w:val="24"/>
          <w:szCs w:val="24"/>
          <w:lang w:val="en"/>
        </w:rPr>
        <w:t>Jalan R</w:t>
      </w:r>
      <w:r w:rsidRPr="001A403F">
        <w:rPr>
          <w:rFonts w:ascii="Book Antiqua" w:eastAsia="Times New Roman" w:hAnsi="Book Antiqua" w:cs="Arial"/>
          <w:sz w:val="24"/>
          <w:szCs w:val="24"/>
          <w:lang w:val="en"/>
        </w:rPr>
        <w:t xml:space="preserve">, Gines P, Olson JC, Mookerjee RP, Moreau R, Garcia-Tsao G, Arroyo V, Kamath PS. Acute-on chronic liver failure. </w:t>
      </w:r>
      <w:r w:rsidRPr="001A403F">
        <w:rPr>
          <w:rFonts w:ascii="Book Antiqua" w:eastAsia="Times New Roman" w:hAnsi="Book Antiqua" w:cs="Arial"/>
          <w:i/>
          <w:sz w:val="24"/>
          <w:szCs w:val="24"/>
          <w:lang w:val="en"/>
        </w:rPr>
        <w:t>J Hepatol</w:t>
      </w:r>
      <w:r w:rsidRPr="001A403F">
        <w:rPr>
          <w:rFonts w:ascii="Book Antiqua" w:eastAsia="Times New Roman" w:hAnsi="Book Antiqua" w:cs="Arial"/>
          <w:sz w:val="24"/>
          <w:szCs w:val="24"/>
          <w:lang w:val="en"/>
        </w:rPr>
        <w:t xml:space="preserve"> 2012; </w:t>
      </w:r>
      <w:r w:rsidRPr="001A403F">
        <w:rPr>
          <w:rFonts w:ascii="Book Antiqua" w:eastAsia="Times New Roman" w:hAnsi="Book Antiqua" w:cs="Arial"/>
          <w:b/>
          <w:sz w:val="24"/>
          <w:szCs w:val="24"/>
          <w:lang w:val="en"/>
        </w:rPr>
        <w:t>57</w:t>
      </w:r>
      <w:r w:rsidRPr="001A403F">
        <w:rPr>
          <w:rFonts w:ascii="Book Antiqua" w:eastAsia="Times New Roman" w:hAnsi="Book Antiqua" w:cs="Arial"/>
          <w:sz w:val="24"/>
          <w:szCs w:val="24"/>
          <w:lang w:val="en"/>
        </w:rPr>
        <w:t>: 1336-1348 [PMID: 22750750 DOI: 10.1016/j.jhep.2012.06.026]</w:t>
      </w:r>
    </w:p>
    <w:p w14:paraId="15B11CF1"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8 </w:t>
      </w:r>
      <w:r w:rsidRPr="001A403F">
        <w:rPr>
          <w:rFonts w:ascii="Book Antiqua" w:eastAsia="Times New Roman" w:hAnsi="Book Antiqua" w:cs="Arial"/>
          <w:b/>
          <w:sz w:val="24"/>
          <w:szCs w:val="24"/>
          <w:lang w:val="en"/>
        </w:rPr>
        <w:t>Olson JC</w:t>
      </w:r>
      <w:r w:rsidRPr="001A403F">
        <w:rPr>
          <w:rFonts w:ascii="Book Antiqua" w:eastAsia="Times New Roman" w:hAnsi="Book Antiqua" w:cs="Arial"/>
          <w:sz w:val="24"/>
          <w:szCs w:val="24"/>
          <w:lang w:val="en"/>
        </w:rPr>
        <w:t xml:space="preserve">, Wendon JA, Kramer DJ, Arroyo V, Jalan R, Garcia-Tsao G, Kamath PS. Intensive care of the patient with cirrhosis.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2011; </w:t>
      </w:r>
      <w:r w:rsidRPr="001A403F">
        <w:rPr>
          <w:rFonts w:ascii="Book Antiqua" w:eastAsia="Times New Roman" w:hAnsi="Book Antiqua" w:cs="Arial"/>
          <w:b/>
          <w:sz w:val="24"/>
          <w:szCs w:val="24"/>
          <w:lang w:val="en"/>
        </w:rPr>
        <w:t>54</w:t>
      </w:r>
      <w:r w:rsidRPr="001A403F">
        <w:rPr>
          <w:rFonts w:ascii="Book Antiqua" w:eastAsia="Times New Roman" w:hAnsi="Book Antiqua" w:cs="Arial"/>
          <w:sz w:val="24"/>
          <w:szCs w:val="24"/>
          <w:lang w:val="en"/>
        </w:rPr>
        <w:t>: 1864-1872 [PMID: 21898477 DOI: 10.1002/hep.24622]</w:t>
      </w:r>
    </w:p>
    <w:p w14:paraId="46B00B1D"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9 </w:t>
      </w:r>
      <w:r w:rsidRPr="001A403F">
        <w:rPr>
          <w:rFonts w:ascii="Book Antiqua" w:eastAsia="Times New Roman" w:hAnsi="Book Antiqua" w:cs="Arial"/>
          <w:b/>
          <w:sz w:val="24"/>
          <w:szCs w:val="24"/>
          <w:lang w:val="en"/>
        </w:rPr>
        <w:t>Vincent JL</w:t>
      </w:r>
      <w:r w:rsidRPr="001A403F">
        <w:rPr>
          <w:rFonts w:ascii="Book Antiqua" w:eastAsia="Times New Roman" w:hAnsi="Book Antiqua" w:cs="Arial"/>
          <w:sz w:val="24"/>
          <w:szCs w:val="24"/>
          <w:lang w:val="en"/>
        </w:rPr>
        <w:t xml:space="preserve">, de Mendonça A, Cantraine F, Moreno R, Takala J, Suter PM, Sprung CL, Colardyn F, Blecher S. Use of the SOFA score to assess the incidence of organ dysfunction/failure in intensive care units: results of a multicenter, prospective study. Working group on "sepsis-related problems" of the European Society of Intensive Care Medicine. </w:t>
      </w:r>
      <w:r w:rsidRPr="001A403F">
        <w:rPr>
          <w:rFonts w:ascii="Book Antiqua" w:eastAsia="Times New Roman" w:hAnsi="Book Antiqua" w:cs="Arial"/>
          <w:i/>
          <w:sz w:val="24"/>
          <w:szCs w:val="24"/>
          <w:lang w:val="en"/>
        </w:rPr>
        <w:t>Crit Care Med</w:t>
      </w:r>
      <w:r w:rsidRPr="001A403F">
        <w:rPr>
          <w:rFonts w:ascii="Book Antiqua" w:eastAsia="Times New Roman" w:hAnsi="Book Antiqua" w:cs="Arial"/>
          <w:sz w:val="24"/>
          <w:szCs w:val="24"/>
          <w:lang w:val="en"/>
        </w:rPr>
        <w:t xml:space="preserve"> 1998; </w:t>
      </w:r>
      <w:r w:rsidRPr="001A403F">
        <w:rPr>
          <w:rFonts w:ascii="Book Antiqua" w:eastAsia="Times New Roman" w:hAnsi="Book Antiqua" w:cs="Arial"/>
          <w:b/>
          <w:sz w:val="24"/>
          <w:szCs w:val="24"/>
          <w:lang w:val="en"/>
        </w:rPr>
        <w:t>26</w:t>
      </w:r>
      <w:r w:rsidRPr="001A403F">
        <w:rPr>
          <w:rFonts w:ascii="Book Antiqua" w:eastAsia="Times New Roman" w:hAnsi="Book Antiqua" w:cs="Arial"/>
          <w:sz w:val="24"/>
          <w:szCs w:val="24"/>
          <w:lang w:val="en"/>
        </w:rPr>
        <w:t>: 1793-1800 [PMID: 9824069 DOI: 10.1097/00003246-199811000-00016]</w:t>
      </w:r>
    </w:p>
    <w:p w14:paraId="6AA72EE6"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10 </w:t>
      </w:r>
      <w:r w:rsidRPr="001A403F">
        <w:rPr>
          <w:rFonts w:ascii="Book Antiqua" w:eastAsia="Times New Roman" w:hAnsi="Book Antiqua" w:cs="Arial"/>
          <w:b/>
          <w:sz w:val="24"/>
          <w:szCs w:val="24"/>
          <w:lang w:val="en"/>
        </w:rPr>
        <w:t>Knaus WA</w:t>
      </w:r>
      <w:r w:rsidRPr="001A403F">
        <w:rPr>
          <w:rFonts w:ascii="Book Antiqua" w:eastAsia="Times New Roman" w:hAnsi="Book Antiqua" w:cs="Arial"/>
          <w:sz w:val="24"/>
          <w:szCs w:val="24"/>
          <w:lang w:val="en"/>
        </w:rPr>
        <w:t xml:space="preserve">, Wagner DP, Draper EA, Zimmerman JE, Bergner M, Bastos PG, Sirio CA, Murphy DJ, Lotring T, Damiano A. The APACHE III prognostic system. Risk prediction of hospital mortality for critically ill hospitalized adults. </w:t>
      </w:r>
      <w:r w:rsidRPr="001A403F">
        <w:rPr>
          <w:rFonts w:ascii="Book Antiqua" w:eastAsia="Times New Roman" w:hAnsi="Book Antiqua" w:cs="Arial"/>
          <w:i/>
          <w:sz w:val="24"/>
          <w:szCs w:val="24"/>
          <w:lang w:val="en"/>
        </w:rPr>
        <w:t>Chest</w:t>
      </w:r>
      <w:r w:rsidRPr="001A403F">
        <w:rPr>
          <w:rFonts w:ascii="Book Antiqua" w:eastAsia="Times New Roman" w:hAnsi="Book Antiqua" w:cs="Arial"/>
          <w:sz w:val="24"/>
          <w:szCs w:val="24"/>
          <w:lang w:val="en"/>
        </w:rPr>
        <w:t xml:space="preserve"> 1991; </w:t>
      </w:r>
      <w:r w:rsidRPr="001A403F">
        <w:rPr>
          <w:rFonts w:ascii="Book Antiqua" w:eastAsia="Times New Roman" w:hAnsi="Book Antiqua" w:cs="Arial"/>
          <w:b/>
          <w:sz w:val="24"/>
          <w:szCs w:val="24"/>
          <w:lang w:val="en"/>
        </w:rPr>
        <w:t>100</w:t>
      </w:r>
      <w:r w:rsidRPr="001A403F">
        <w:rPr>
          <w:rFonts w:ascii="Book Antiqua" w:eastAsia="Times New Roman" w:hAnsi="Book Antiqua" w:cs="Arial"/>
          <w:sz w:val="24"/>
          <w:szCs w:val="24"/>
          <w:lang w:val="en"/>
        </w:rPr>
        <w:t>: 1619-1636 [PMID: 1959406 DOI: 10.1378/chest.100.6.1619]</w:t>
      </w:r>
    </w:p>
    <w:p w14:paraId="2ABF25D1"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11 </w:t>
      </w:r>
      <w:r w:rsidRPr="001A403F">
        <w:rPr>
          <w:rFonts w:ascii="Book Antiqua" w:eastAsia="Times New Roman" w:hAnsi="Book Antiqua" w:cs="Arial"/>
          <w:b/>
          <w:sz w:val="24"/>
          <w:szCs w:val="24"/>
          <w:lang w:val="en"/>
        </w:rPr>
        <w:t>Le Gall JR</w:t>
      </w:r>
      <w:r w:rsidRPr="001A403F">
        <w:rPr>
          <w:rFonts w:ascii="Book Antiqua" w:eastAsia="Times New Roman" w:hAnsi="Book Antiqua" w:cs="Arial"/>
          <w:sz w:val="24"/>
          <w:szCs w:val="24"/>
          <w:lang w:val="en"/>
        </w:rPr>
        <w:t xml:space="preserve">, Lemeshow S, Saulnier F. A new Simplified Acute Physiology Score (SAPS II) based on a European/North American multicenter study. </w:t>
      </w:r>
      <w:r w:rsidRPr="001A403F">
        <w:rPr>
          <w:rFonts w:ascii="Book Antiqua" w:eastAsia="Times New Roman" w:hAnsi="Book Antiqua" w:cs="Arial"/>
          <w:i/>
          <w:sz w:val="24"/>
          <w:szCs w:val="24"/>
          <w:lang w:val="en"/>
        </w:rPr>
        <w:t>JAMA</w:t>
      </w:r>
      <w:r w:rsidRPr="001A403F">
        <w:rPr>
          <w:rFonts w:ascii="Book Antiqua" w:eastAsia="Times New Roman" w:hAnsi="Book Antiqua" w:cs="Arial"/>
          <w:sz w:val="24"/>
          <w:szCs w:val="24"/>
          <w:lang w:val="en"/>
        </w:rPr>
        <w:t xml:space="preserve"> 1993; </w:t>
      </w:r>
      <w:r w:rsidRPr="001A403F">
        <w:rPr>
          <w:rFonts w:ascii="Book Antiqua" w:eastAsia="Times New Roman" w:hAnsi="Book Antiqua" w:cs="Arial"/>
          <w:b/>
          <w:sz w:val="24"/>
          <w:szCs w:val="24"/>
          <w:lang w:val="en"/>
        </w:rPr>
        <w:t>270</w:t>
      </w:r>
      <w:r w:rsidRPr="001A403F">
        <w:rPr>
          <w:rFonts w:ascii="Book Antiqua" w:eastAsia="Times New Roman" w:hAnsi="Book Antiqua" w:cs="Arial"/>
          <w:sz w:val="24"/>
          <w:szCs w:val="24"/>
          <w:lang w:val="en"/>
        </w:rPr>
        <w:t>: 2957-2963 [PMID: 8254858 DOI: 10.1001/jama.270.24.2957]</w:t>
      </w:r>
    </w:p>
    <w:p w14:paraId="021A8ADC"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12 </w:t>
      </w:r>
      <w:r w:rsidRPr="001A403F">
        <w:rPr>
          <w:rFonts w:ascii="Book Antiqua" w:eastAsia="Times New Roman" w:hAnsi="Book Antiqua" w:cs="Arial"/>
          <w:b/>
          <w:sz w:val="24"/>
          <w:szCs w:val="24"/>
          <w:lang w:val="en"/>
        </w:rPr>
        <w:t>Pugh RN</w:t>
      </w:r>
      <w:r w:rsidRPr="001A403F">
        <w:rPr>
          <w:rFonts w:ascii="Book Antiqua" w:eastAsia="Times New Roman" w:hAnsi="Book Antiqua" w:cs="Arial"/>
          <w:sz w:val="24"/>
          <w:szCs w:val="24"/>
          <w:lang w:val="en"/>
        </w:rPr>
        <w:t xml:space="preserve">, Murray-Lyon IM, Dawson JL, Pietroni MC, Williams R. Transection of the oesophagus for bleeding oesophageal varices. </w:t>
      </w:r>
      <w:r w:rsidRPr="001A403F">
        <w:rPr>
          <w:rFonts w:ascii="Book Antiqua" w:eastAsia="Times New Roman" w:hAnsi="Book Antiqua" w:cs="Arial"/>
          <w:i/>
          <w:sz w:val="24"/>
          <w:szCs w:val="24"/>
          <w:lang w:val="en"/>
        </w:rPr>
        <w:t>Br J Surg</w:t>
      </w:r>
      <w:r w:rsidRPr="001A403F">
        <w:rPr>
          <w:rFonts w:ascii="Book Antiqua" w:eastAsia="Times New Roman" w:hAnsi="Book Antiqua" w:cs="Arial"/>
          <w:sz w:val="24"/>
          <w:szCs w:val="24"/>
          <w:lang w:val="en"/>
        </w:rPr>
        <w:t xml:space="preserve"> 1973; </w:t>
      </w:r>
      <w:r w:rsidRPr="001A403F">
        <w:rPr>
          <w:rFonts w:ascii="Book Antiqua" w:eastAsia="Times New Roman" w:hAnsi="Book Antiqua" w:cs="Arial"/>
          <w:b/>
          <w:sz w:val="24"/>
          <w:szCs w:val="24"/>
          <w:lang w:val="en"/>
        </w:rPr>
        <w:t>60</w:t>
      </w:r>
      <w:r w:rsidRPr="001A403F">
        <w:rPr>
          <w:rFonts w:ascii="Book Antiqua" w:eastAsia="Times New Roman" w:hAnsi="Book Antiqua" w:cs="Arial"/>
          <w:sz w:val="24"/>
          <w:szCs w:val="24"/>
          <w:lang w:val="en"/>
        </w:rPr>
        <w:t>: 646-649 [PMID: 4541913 DOI: 10.1002/bjs.1800600817]</w:t>
      </w:r>
    </w:p>
    <w:p w14:paraId="4F4DDBC9"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13 </w:t>
      </w:r>
      <w:r w:rsidRPr="001A403F">
        <w:rPr>
          <w:rFonts w:ascii="Book Antiqua" w:eastAsia="Times New Roman" w:hAnsi="Book Antiqua" w:cs="Arial"/>
          <w:b/>
          <w:sz w:val="24"/>
          <w:szCs w:val="24"/>
          <w:lang w:val="en"/>
        </w:rPr>
        <w:t>Wiesner R</w:t>
      </w:r>
      <w:r w:rsidRPr="001A403F">
        <w:rPr>
          <w:rFonts w:ascii="Book Antiqua" w:eastAsia="Times New Roman" w:hAnsi="Book Antiqua" w:cs="Arial"/>
          <w:sz w:val="24"/>
          <w:szCs w:val="24"/>
          <w:lang w:val="en"/>
        </w:rPr>
        <w:t xml:space="preserve">, Edwards E, Freeman R, Harper A, Kim R, Kamath P, Kremers W, Lake J, Howard T, Merion RM, Wolfe RA, Krom R; United Network for Organ Sharing Liver Disease Severity Score Committee. Model for end-stage liver disease (MELD) and </w:t>
      </w:r>
      <w:r w:rsidRPr="001A403F">
        <w:rPr>
          <w:rFonts w:ascii="Book Antiqua" w:eastAsia="Times New Roman" w:hAnsi="Book Antiqua" w:cs="Arial"/>
          <w:sz w:val="24"/>
          <w:szCs w:val="24"/>
          <w:lang w:val="en"/>
        </w:rPr>
        <w:lastRenderedPageBreak/>
        <w:t xml:space="preserve">allocation of donor livers. </w:t>
      </w:r>
      <w:r w:rsidRPr="001A403F">
        <w:rPr>
          <w:rFonts w:ascii="Book Antiqua" w:eastAsia="Times New Roman" w:hAnsi="Book Antiqua" w:cs="Arial"/>
          <w:i/>
          <w:sz w:val="24"/>
          <w:szCs w:val="24"/>
          <w:lang w:val="en"/>
        </w:rPr>
        <w:t>Gastroenterology</w:t>
      </w:r>
      <w:r w:rsidRPr="001A403F">
        <w:rPr>
          <w:rFonts w:ascii="Book Antiqua" w:eastAsia="Times New Roman" w:hAnsi="Book Antiqua" w:cs="Arial"/>
          <w:sz w:val="24"/>
          <w:szCs w:val="24"/>
          <w:lang w:val="en"/>
        </w:rPr>
        <w:t xml:space="preserve"> 2003; </w:t>
      </w:r>
      <w:r w:rsidRPr="001A403F">
        <w:rPr>
          <w:rFonts w:ascii="Book Antiqua" w:eastAsia="Times New Roman" w:hAnsi="Book Antiqua" w:cs="Arial"/>
          <w:b/>
          <w:sz w:val="24"/>
          <w:szCs w:val="24"/>
          <w:lang w:val="en"/>
        </w:rPr>
        <w:t>124</w:t>
      </w:r>
      <w:r w:rsidRPr="001A403F">
        <w:rPr>
          <w:rFonts w:ascii="Book Antiqua" w:eastAsia="Times New Roman" w:hAnsi="Book Antiqua" w:cs="Arial"/>
          <w:sz w:val="24"/>
          <w:szCs w:val="24"/>
          <w:lang w:val="en"/>
        </w:rPr>
        <w:t>: 91-96 [PMID: 12512033 DOI: 10.1053/gast.2003.50016]</w:t>
      </w:r>
    </w:p>
    <w:p w14:paraId="78F57AE5"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14 </w:t>
      </w:r>
      <w:r w:rsidRPr="001A403F">
        <w:rPr>
          <w:rFonts w:ascii="Book Antiqua" w:eastAsia="Times New Roman" w:hAnsi="Book Antiqua" w:cs="Arial"/>
          <w:b/>
          <w:sz w:val="24"/>
          <w:szCs w:val="24"/>
          <w:lang w:val="en"/>
        </w:rPr>
        <w:t>Kamath PS</w:t>
      </w:r>
      <w:r w:rsidRPr="001A403F">
        <w:rPr>
          <w:rFonts w:ascii="Book Antiqua" w:eastAsia="Times New Roman" w:hAnsi="Book Antiqua" w:cs="Arial"/>
          <w:sz w:val="24"/>
          <w:szCs w:val="24"/>
          <w:lang w:val="en"/>
        </w:rPr>
        <w:t xml:space="preserve">, Kim WR; Advanced Liver Disease Study Group. The model for end-stage liver disease (MELD).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2007; </w:t>
      </w:r>
      <w:r w:rsidRPr="001A403F">
        <w:rPr>
          <w:rFonts w:ascii="Book Antiqua" w:eastAsia="Times New Roman" w:hAnsi="Book Antiqua" w:cs="Arial"/>
          <w:b/>
          <w:sz w:val="24"/>
          <w:szCs w:val="24"/>
          <w:lang w:val="en"/>
        </w:rPr>
        <w:t>45</w:t>
      </w:r>
      <w:r w:rsidRPr="001A403F">
        <w:rPr>
          <w:rFonts w:ascii="Book Antiqua" w:eastAsia="Times New Roman" w:hAnsi="Book Antiqua" w:cs="Arial"/>
          <w:sz w:val="24"/>
          <w:szCs w:val="24"/>
          <w:lang w:val="en"/>
        </w:rPr>
        <w:t>: 797-805 [PMID: 17326206 DOI: 10.1002/hep.21563]</w:t>
      </w:r>
    </w:p>
    <w:p w14:paraId="7C78A1F7"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15 </w:t>
      </w:r>
      <w:r w:rsidRPr="001A403F">
        <w:rPr>
          <w:rFonts w:ascii="Book Antiqua" w:eastAsia="Times New Roman" w:hAnsi="Book Antiqua" w:cs="Arial"/>
          <w:b/>
          <w:sz w:val="24"/>
          <w:szCs w:val="24"/>
          <w:lang w:val="en"/>
        </w:rPr>
        <w:t>Kim WR</w:t>
      </w:r>
      <w:r w:rsidRPr="001A403F">
        <w:rPr>
          <w:rFonts w:ascii="Book Antiqua" w:eastAsia="Times New Roman" w:hAnsi="Book Antiqua" w:cs="Arial"/>
          <w:sz w:val="24"/>
          <w:szCs w:val="24"/>
          <w:lang w:val="en"/>
        </w:rPr>
        <w:t xml:space="preserve">, Biggins SW, Kremers WK, Wiesner RH, Kamath PS, Benson JT, Edwards E, Therneau TM. Hyponatremia and mortality among patients on the liver-transplant waiting list. </w:t>
      </w:r>
      <w:r w:rsidRPr="001A403F">
        <w:rPr>
          <w:rFonts w:ascii="Book Antiqua" w:eastAsia="Times New Roman" w:hAnsi="Book Antiqua" w:cs="Arial"/>
          <w:i/>
          <w:sz w:val="24"/>
          <w:szCs w:val="24"/>
          <w:lang w:val="en"/>
        </w:rPr>
        <w:t>N Engl J Med</w:t>
      </w:r>
      <w:r w:rsidRPr="001A403F">
        <w:rPr>
          <w:rFonts w:ascii="Book Antiqua" w:eastAsia="Times New Roman" w:hAnsi="Book Antiqua" w:cs="Arial"/>
          <w:sz w:val="24"/>
          <w:szCs w:val="24"/>
          <w:lang w:val="en"/>
        </w:rPr>
        <w:t xml:space="preserve"> 2008; </w:t>
      </w:r>
      <w:r w:rsidRPr="001A403F">
        <w:rPr>
          <w:rFonts w:ascii="Book Antiqua" w:eastAsia="Times New Roman" w:hAnsi="Book Antiqua" w:cs="Arial"/>
          <w:b/>
          <w:sz w:val="24"/>
          <w:szCs w:val="24"/>
          <w:lang w:val="en"/>
        </w:rPr>
        <w:t>359</w:t>
      </w:r>
      <w:r w:rsidRPr="001A403F">
        <w:rPr>
          <w:rFonts w:ascii="Book Antiqua" w:eastAsia="Times New Roman" w:hAnsi="Book Antiqua" w:cs="Arial"/>
          <w:sz w:val="24"/>
          <w:szCs w:val="24"/>
          <w:lang w:val="en"/>
        </w:rPr>
        <w:t>: 1018-1026 [PMID: 18768945 DOI: 10.1056/NEJMoa0801209]</w:t>
      </w:r>
    </w:p>
    <w:p w14:paraId="3AEA8DD2"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16 </w:t>
      </w:r>
      <w:r w:rsidRPr="001A403F">
        <w:rPr>
          <w:rFonts w:ascii="Book Antiqua" w:eastAsia="Times New Roman" w:hAnsi="Book Antiqua" w:cs="Arial"/>
          <w:b/>
          <w:sz w:val="24"/>
          <w:szCs w:val="24"/>
          <w:lang w:val="en"/>
        </w:rPr>
        <w:t>Leise MD</w:t>
      </w:r>
      <w:r w:rsidRPr="001A403F">
        <w:rPr>
          <w:rFonts w:ascii="Book Antiqua" w:eastAsia="Times New Roman" w:hAnsi="Book Antiqua" w:cs="Arial"/>
          <w:sz w:val="24"/>
          <w:szCs w:val="24"/>
          <w:lang w:val="en"/>
        </w:rPr>
        <w:t xml:space="preserve">, Kim WR, Kremers WK, Larson JJ, Benson JT, Therneau TM. A revised model for end-stage liver disease optimizes prediction of mortality among patients awaiting liver transplantation. </w:t>
      </w:r>
      <w:r w:rsidRPr="001A403F">
        <w:rPr>
          <w:rFonts w:ascii="Book Antiqua" w:eastAsia="Times New Roman" w:hAnsi="Book Antiqua" w:cs="Arial"/>
          <w:i/>
          <w:sz w:val="24"/>
          <w:szCs w:val="24"/>
          <w:lang w:val="en"/>
        </w:rPr>
        <w:t>Gastroenterology</w:t>
      </w:r>
      <w:r w:rsidRPr="001A403F">
        <w:rPr>
          <w:rFonts w:ascii="Book Antiqua" w:eastAsia="Times New Roman" w:hAnsi="Book Antiqua" w:cs="Arial"/>
          <w:sz w:val="24"/>
          <w:szCs w:val="24"/>
          <w:lang w:val="en"/>
        </w:rPr>
        <w:t xml:space="preserve"> 2011; </w:t>
      </w:r>
      <w:r w:rsidRPr="001A403F">
        <w:rPr>
          <w:rFonts w:ascii="Book Antiqua" w:eastAsia="Times New Roman" w:hAnsi="Book Antiqua" w:cs="Arial"/>
          <w:b/>
          <w:sz w:val="24"/>
          <w:szCs w:val="24"/>
          <w:lang w:val="en"/>
        </w:rPr>
        <w:t>140</w:t>
      </w:r>
      <w:r w:rsidRPr="001A403F">
        <w:rPr>
          <w:rFonts w:ascii="Book Antiqua" w:eastAsia="Times New Roman" w:hAnsi="Book Antiqua" w:cs="Arial"/>
          <w:sz w:val="24"/>
          <w:szCs w:val="24"/>
          <w:lang w:val="en"/>
        </w:rPr>
        <w:t>: 1952-1960 [PMID: 21334338 DOI: 10.1053/j.gastro.2011.02.017]</w:t>
      </w:r>
    </w:p>
    <w:p w14:paraId="534F8C53"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17 </w:t>
      </w:r>
      <w:r w:rsidRPr="001A403F">
        <w:rPr>
          <w:rFonts w:ascii="Book Antiqua" w:eastAsia="Times New Roman" w:hAnsi="Book Antiqua" w:cs="Arial"/>
          <w:b/>
          <w:sz w:val="24"/>
          <w:szCs w:val="24"/>
          <w:lang w:val="en"/>
        </w:rPr>
        <w:t>Chen YC</w:t>
      </w:r>
      <w:r w:rsidRPr="001A403F">
        <w:rPr>
          <w:rFonts w:ascii="Book Antiqua" w:eastAsia="Times New Roman" w:hAnsi="Book Antiqua" w:cs="Arial"/>
          <w:sz w:val="24"/>
          <w:szCs w:val="24"/>
          <w:lang w:val="en"/>
        </w:rPr>
        <w:t xml:space="preserve">, Tian YC, Liu NJ, Ho YP, Yang C, Chu YY, Chen PC, Fang JT, Hsu CW, Yang CW, Tsai MH. Prospective cohort study comparing sequential organ failure assessment and acute physiology, age, chronic health evaluation III scoring systems for hospital mortality prediction in critically ill cirrhotic patients. </w:t>
      </w:r>
      <w:r w:rsidRPr="001A403F">
        <w:rPr>
          <w:rFonts w:ascii="Book Antiqua" w:eastAsia="Times New Roman" w:hAnsi="Book Antiqua" w:cs="Arial"/>
          <w:i/>
          <w:sz w:val="24"/>
          <w:szCs w:val="24"/>
          <w:lang w:val="en"/>
        </w:rPr>
        <w:t>Int J Clin Pract</w:t>
      </w:r>
      <w:r w:rsidRPr="001A403F">
        <w:rPr>
          <w:rFonts w:ascii="Book Antiqua" w:eastAsia="Times New Roman" w:hAnsi="Book Antiqua" w:cs="Arial"/>
          <w:sz w:val="24"/>
          <w:szCs w:val="24"/>
          <w:lang w:val="en"/>
        </w:rPr>
        <w:t xml:space="preserve"> 2006; </w:t>
      </w:r>
      <w:r w:rsidRPr="001A403F">
        <w:rPr>
          <w:rFonts w:ascii="Book Antiqua" w:eastAsia="Times New Roman" w:hAnsi="Book Antiqua" w:cs="Arial"/>
          <w:b/>
          <w:sz w:val="24"/>
          <w:szCs w:val="24"/>
          <w:lang w:val="en"/>
        </w:rPr>
        <w:t>60</w:t>
      </w:r>
      <w:r w:rsidRPr="001A403F">
        <w:rPr>
          <w:rFonts w:ascii="Book Antiqua" w:eastAsia="Times New Roman" w:hAnsi="Book Antiqua" w:cs="Arial"/>
          <w:sz w:val="24"/>
          <w:szCs w:val="24"/>
          <w:lang w:val="en"/>
        </w:rPr>
        <w:t>: 160-166 [PMID: 16451287 DOI: 10.1111/j.1742-1241.2005.00634.x]</w:t>
      </w:r>
    </w:p>
    <w:p w14:paraId="2DC74098"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18 </w:t>
      </w:r>
      <w:r w:rsidRPr="001A403F">
        <w:rPr>
          <w:rFonts w:ascii="Book Antiqua" w:eastAsia="Times New Roman" w:hAnsi="Book Antiqua" w:cs="Arial"/>
          <w:b/>
          <w:sz w:val="24"/>
          <w:szCs w:val="24"/>
          <w:lang w:val="en"/>
        </w:rPr>
        <w:t>Cholongitas E</w:t>
      </w:r>
      <w:r w:rsidRPr="001A403F">
        <w:rPr>
          <w:rFonts w:ascii="Book Antiqua" w:eastAsia="Times New Roman" w:hAnsi="Book Antiqua" w:cs="Arial"/>
          <w:sz w:val="24"/>
          <w:szCs w:val="24"/>
          <w:lang w:val="en"/>
        </w:rPr>
        <w:t xml:space="preserve">, Senzolo M, Patch D, Kwong K, Nikolopoulou V, Leandro G, Shaw S, Burroughs AK. Risk factors, sequential organ failure assessment and model for end-stage liver disease scores for predicting short term mortality in cirrhotic patients admitted to intensive care unit. </w:t>
      </w:r>
      <w:r w:rsidRPr="001A403F">
        <w:rPr>
          <w:rFonts w:ascii="Book Antiqua" w:eastAsia="Times New Roman" w:hAnsi="Book Antiqua" w:cs="Arial"/>
          <w:i/>
          <w:sz w:val="24"/>
          <w:szCs w:val="24"/>
          <w:lang w:val="en"/>
        </w:rPr>
        <w:t>Aliment Pharmacol Ther</w:t>
      </w:r>
      <w:r w:rsidRPr="001A403F">
        <w:rPr>
          <w:rFonts w:ascii="Book Antiqua" w:eastAsia="Times New Roman" w:hAnsi="Book Antiqua" w:cs="Arial"/>
          <w:sz w:val="24"/>
          <w:szCs w:val="24"/>
          <w:lang w:val="en"/>
        </w:rPr>
        <w:t xml:space="preserve"> 2006; </w:t>
      </w:r>
      <w:r w:rsidRPr="001A403F">
        <w:rPr>
          <w:rFonts w:ascii="Book Antiqua" w:eastAsia="Times New Roman" w:hAnsi="Book Antiqua" w:cs="Arial"/>
          <w:b/>
          <w:sz w:val="24"/>
          <w:szCs w:val="24"/>
          <w:lang w:val="en"/>
        </w:rPr>
        <w:t>23</w:t>
      </w:r>
      <w:r w:rsidRPr="001A403F">
        <w:rPr>
          <w:rFonts w:ascii="Book Antiqua" w:eastAsia="Times New Roman" w:hAnsi="Book Antiqua" w:cs="Arial"/>
          <w:sz w:val="24"/>
          <w:szCs w:val="24"/>
          <w:lang w:val="en"/>
        </w:rPr>
        <w:t>: 883-893 [PMID: 16573791 DOI: 10.1111/j.1365-2036.2006.02842.x]</w:t>
      </w:r>
    </w:p>
    <w:p w14:paraId="5005C509"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19 </w:t>
      </w:r>
      <w:r w:rsidRPr="001A403F">
        <w:rPr>
          <w:rFonts w:ascii="Book Antiqua" w:eastAsia="Times New Roman" w:hAnsi="Book Antiqua" w:cs="Arial"/>
          <w:b/>
          <w:sz w:val="24"/>
          <w:szCs w:val="24"/>
          <w:lang w:val="en"/>
        </w:rPr>
        <w:t>Theocharidou E</w:t>
      </w:r>
      <w:r w:rsidRPr="001A403F">
        <w:rPr>
          <w:rFonts w:ascii="Book Antiqua" w:eastAsia="Times New Roman" w:hAnsi="Book Antiqua" w:cs="Arial"/>
          <w:sz w:val="24"/>
          <w:szCs w:val="24"/>
          <w:lang w:val="en"/>
        </w:rPr>
        <w:t xml:space="preserve">, Pieri G, Mohammad AO, Cheung M, Cholongitas E, Agarwal B, Burroughs AK. The Royal Free Hospital score: a calibrated prognostic model for patients with cirrhosis admitted to intensive care unit. Comparison with current models and CLIF-SOFA score. </w:t>
      </w:r>
      <w:r w:rsidRPr="001A403F">
        <w:rPr>
          <w:rFonts w:ascii="Book Antiqua" w:eastAsia="Times New Roman" w:hAnsi="Book Antiqua" w:cs="Arial"/>
          <w:i/>
          <w:sz w:val="24"/>
          <w:szCs w:val="24"/>
          <w:lang w:val="en"/>
        </w:rPr>
        <w:t>Am J Gastroenterol</w:t>
      </w:r>
      <w:r w:rsidRPr="001A403F">
        <w:rPr>
          <w:rFonts w:ascii="Book Antiqua" w:eastAsia="Times New Roman" w:hAnsi="Book Antiqua" w:cs="Arial"/>
          <w:sz w:val="24"/>
          <w:szCs w:val="24"/>
          <w:lang w:val="en"/>
        </w:rPr>
        <w:t xml:space="preserve"> 2014; </w:t>
      </w:r>
      <w:r w:rsidRPr="001A403F">
        <w:rPr>
          <w:rFonts w:ascii="Book Antiqua" w:eastAsia="Times New Roman" w:hAnsi="Book Antiqua" w:cs="Arial"/>
          <w:b/>
          <w:sz w:val="24"/>
          <w:szCs w:val="24"/>
          <w:lang w:val="en"/>
        </w:rPr>
        <w:t>109</w:t>
      </w:r>
      <w:r w:rsidRPr="001A403F">
        <w:rPr>
          <w:rFonts w:ascii="Book Antiqua" w:eastAsia="Times New Roman" w:hAnsi="Book Antiqua" w:cs="Arial"/>
          <w:sz w:val="24"/>
          <w:szCs w:val="24"/>
          <w:lang w:val="en"/>
        </w:rPr>
        <w:t>: 554-562 [PMID: 24492755 DOI: 10.1038/ajg.2013.466]</w:t>
      </w:r>
    </w:p>
    <w:p w14:paraId="0864BE7E"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20 </w:t>
      </w:r>
      <w:r w:rsidRPr="001A403F">
        <w:rPr>
          <w:rFonts w:ascii="Book Antiqua" w:eastAsia="Times New Roman" w:hAnsi="Book Antiqua" w:cs="Arial"/>
          <w:b/>
          <w:sz w:val="24"/>
          <w:szCs w:val="24"/>
          <w:lang w:val="en"/>
        </w:rPr>
        <w:t>Filloux B</w:t>
      </w:r>
      <w:r w:rsidRPr="001A403F">
        <w:rPr>
          <w:rFonts w:ascii="Book Antiqua" w:eastAsia="Times New Roman" w:hAnsi="Book Antiqua" w:cs="Arial"/>
          <w:sz w:val="24"/>
          <w:szCs w:val="24"/>
          <w:lang w:val="en"/>
        </w:rPr>
        <w:t xml:space="preserve">, Chagneau-Derrode C, Ragot S, Voultoury J, Beauchant M, Silvain C, Robert R. Short-term and long-term vital outcomes of cirrhotic patients admitted to an </w:t>
      </w:r>
      <w:r w:rsidRPr="001A403F">
        <w:rPr>
          <w:rFonts w:ascii="Book Antiqua" w:eastAsia="Times New Roman" w:hAnsi="Book Antiqua" w:cs="Arial"/>
          <w:sz w:val="24"/>
          <w:szCs w:val="24"/>
          <w:lang w:val="en"/>
        </w:rPr>
        <w:lastRenderedPageBreak/>
        <w:t xml:space="preserve">intensive care unit. </w:t>
      </w:r>
      <w:r w:rsidRPr="001A403F">
        <w:rPr>
          <w:rFonts w:ascii="Book Antiqua" w:eastAsia="Times New Roman" w:hAnsi="Book Antiqua" w:cs="Arial"/>
          <w:i/>
          <w:sz w:val="24"/>
          <w:szCs w:val="24"/>
          <w:lang w:val="en"/>
        </w:rPr>
        <w:t>Eur J Gastroenterol Hepatol</w:t>
      </w:r>
      <w:r w:rsidRPr="001A403F">
        <w:rPr>
          <w:rFonts w:ascii="Book Antiqua" w:eastAsia="Times New Roman" w:hAnsi="Book Antiqua" w:cs="Arial"/>
          <w:sz w:val="24"/>
          <w:szCs w:val="24"/>
          <w:lang w:val="en"/>
        </w:rPr>
        <w:t xml:space="preserve"> 2010; </w:t>
      </w:r>
      <w:r w:rsidRPr="001A403F">
        <w:rPr>
          <w:rFonts w:ascii="Book Antiqua" w:eastAsia="Times New Roman" w:hAnsi="Book Antiqua" w:cs="Arial"/>
          <w:b/>
          <w:sz w:val="24"/>
          <w:szCs w:val="24"/>
          <w:lang w:val="en"/>
        </w:rPr>
        <w:t>22</w:t>
      </w:r>
      <w:r w:rsidRPr="001A403F">
        <w:rPr>
          <w:rFonts w:ascii="Book Antiqua" w:eastAsia="Times New Roman" w:hAnsi="Book Antiqua" w:cs="Arial"/>
          <w:sz w:val="24"/>
          <w:szCs w:val="24"/>
          <w:lang w:val="en"/>
        </w:rPr>
        <w:t>: 1474-1480 [PMID: 21389797 DOI: 10.1097/MEG.0b013e32834059cd]</w:t>
      </w:r>
    </w:p>
    <w:p w14:paraId="1BECA18C"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21 </w:t>
      </w:r>
      <w:r w:rsidRPr="001A403F">
        <w:rPr>
          <w:rFonts w:ascii="Book Antiqua" w:eastAsia="Times New Roman" w:hAnsi="Book Antiqua" w:cs="Arial"/>
          <w:b/>
          <w:sz w:val="24"/>
          <w:szCs w:val="24"/>
          <w:lang w:val="en"/>
        </w:rPr>
        <w:t>Juneja D</w:t>
      </w:r>
      <w:r w:rsidRPr="001A403F">
        <w:rPr>
          <w:rFonts w:ascii="Book Antiqua" w:eastAsia="Times New Roman" w:hAnsi="Book Antiqua" w:cs="Arial"/>
          <w:sz w:val="24"/>
          <w:szCs w:val="24"/>
          <w:lang w:val="en"/>
        </w:rPr>
        <w:t xml:space="preserve">, Gopal PB, Kapoor D, Raya R, Sathyanarayanan M, Malhotra P. Outcome of patients with liver cirrhosis admitted to a specialty liver intensive care unit in India. </w:t>
      </w:r>
      <w:r w:rsidRPr="001A403F">
        <w:rPr>
          <w:rFonts w:ascii="Book Antiqua" w:eastAsia="Times New Roman" w:hAnsi="Book Antiqua" w:cs="Arial"/>
          <w:i/>
          <w:sz w:val="24"/>
          <w:szCs w:val="24"/>
          <w:lang w:val="en"/>
        </w:rPr>
        <w:t>J Crit Care</w:t>
      </w:r>
      <w:r w:rsidRPr="001A403F">
        <w:rPr>
          <w:rFonts w:ascii="Book Antiqua" w:eastAsia="Times New Roman" w:hAnsi="Book Antiqua" w:cs="Arial"/>
          <w:sz w:val="24"/>
          <w:szCs w:val="24"/>
          <w:lang w:val="en"/>
        </w:rPr>
        <w:t xml:space="preserve"> 2009; </w:t>
      </w:r>
      <w:r w:rsidRPr="001A403F">
        <w:rPr>
          <w:rFonts w:ascii="Book Antiqua" w:eastAsia="Times New Roman" w:hAnsi="Book Antiqua" w:cs="Arial"/>
          <w:b/>
          <w:sz w:val="24"/>
          <w:szCs w:val="24"/>
          <w:lang w:val="en"/>
        </w:rPr>
        <w:t>24</w:t>
      </w:r>
      <w:r w:rsidRPr="001A403F">
        <w:rPr>
          <w:rFonts w:ascii="Book Antiqua" w:eastAsia="Times New Roman" w:hAnsi="Book Antiqua" w:cs="Arial"/>
          <w:sz w:val="24"/>
          <w:szCs w:val="24"/>
          <w:lang w:val="en"/>
        </w:rPr>
        <w:t>: 387-393 [PMID: 19327335 DOI: 10.1016/j.jcrc.2008.12.013]</w:t>
      </w:r>
    </w:p>
    <w:p w14:paraId="5FFE2D0F"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22 </w:t>
      </w:r>
      <w:r w:rsidRPr="001A403F">
        <w:rPr>
          <w:rFonts w:ascii="Book Antiqua" w:eastAsia="Times New Roman" w:hAnsi="Book Antiqua" w:cs="Arial"/>
          <w:b/>
          <w:sz w:val="24"/>
          <w:szCs w:val="24"/>
          <w:lang w:val="en"/>
        </w:rPr>
        <w:t>Singh N</w:t>
      </w:r>
      <w:r w:rsidRPr="001A403F">
        <w:rPr>
          <w:rFonts w:ascii="Book Antiqua" w:eastAsia="Times New Roman" w:hAnsi="Book Antiqua" w:cs="Arial"/>
          <w:sz w:val="24"/>
          <w:szCs w:val="24"/>
          <w:lang w:val="en"/>
        </w:rPr>
        <w:t xml:space="preserve">, Gayowski T, Wagener MM, Marino IR. Outcome of patients with cirrhosis requiring intensive care unit support: prospective assessment of predictors of mortality. </w:t>
      </w:r>
      <w:r w:rsidRPr="001A403F">
        <w:rPr>
          <w:rFonts w:ascii="Book Antiqua" w:eastAsia="Times New Roman" w:hAnsi="Book Antiqua" w:cs="Arial"/>
          <w:i/>
          <w:sz w:val="24"/>
          <w:szCs w:val="24"/>
          <w:lang w:val="en"/>
        </w:rPr>
        <w:t>J Gastroenterol</w:t>
      </w:r>
      <w:r w:rsidRPr="001A403F">
        <w:rPr>
          <w:rFonts w:ascii="Book Antiqua" w:eastAsia="Times New Roman" w:hAnsi="Book Antiqua" w:cs="Arial"/>
          <w:sz w:val="24"/>
          <w:szCs w:val="24"/>
          <w:lang w:val="en"/>
        </w:rPr>
        <w:t xml:space="preserve"> 1998; </w:t>
      </w:r>
      <w:r w:rsidRPr="001A403F">
        <w:rPr>
          <w:rFonts w:ascii="Book Antiqua" w:eastAsia="Times New Roman" w:hAnsi="Book Antiqua" w:cs="Arial"/>
          <w:b/>
          <w:sz w:val="24"/>
          <w:szCs w:val="24"/>
          <w:lang w:val="en"/>
        </w:rPr>
        <w:t>33</w:t>
      </w:r>
      <w:r w:rsidRPr="001A403F">
        <w:rPr>
          <w:rFonts w:ascii="Book Antiqua" w:eastAsia="Times New Roman" w:hAnsi="Book Antiqua" w:cs="Arial"/>
          <w:sz w:val="24"/>
          <w:szCs w:val="24"/>
          <w:lang w:val="en"/>
        </w:rPr>
        <w:t>: 73-79 [PMID: 9497225 DOI: 10.1007/s005350050047]</w:t>
      </w:r>
    </w:p>
    <w:p w14:paraId="351370F1"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23 </w:t>
      </w:r>
      <w:r w:rsidRPr="001A403F">
        <w:rPr>
          <w:rFonts w:ascii="Book Antiqua" w:eastAsia="Times New Roman" w:hAnsi="Book Antiqua" w:cs="Arial"/>
          <w:b/>
          <w:sz w:val="24"/>
          <w:szCs w:val="24"/>
          <w:lang w:val="en"/>
        </w:rPr>
        <w:t>Tsai MH</w:t>
      </w:r>
      <w:r w:rsidRPr="001A403F">
        <w:rPr>
          <w:rFonts w:ascii="Book Antiqua" w:eastAsia="Times New Roman" w:hAnsi="Book Antiqua" w:cs="Arial"/>
          <w:sz w:val="24"/>
          <w:szCs w:val="24"/>
          <w:lang w:val="en"/>
        </w:rPr>
        <w:t xml:space="preserve">, Peng YS, Lien JM, Weng HH, Ho YP, Yang C, Chu YY, Chen YC, Fang JT, Chiu CT, Chen PC. Multiple organ system failure in critically ill cirrhotic patients. A comparison of two multiple organ dysfunction/failure scoring systems. </w:t>
      </w:r>
      <w:r w:rsidRPr="001A403F">
        <w:rPr>
          <w:rFonts w:ascii="Book Antiqua" w:eastAsia="Times New Roman" w:hAnsi="Book Antiqua" w:cs="Arial"/>
          <w:i/>
          <w:sz w:val="24"/>
          <w:szCs w:val="24"/>
          <w:lang w:val="en"/>
        </w:rPr>
        <w:t>Digestion</w:t>
      </w:r>
      <w:r w:rsidRPr="001A403F">
        <w:rPr>
          <w:rFonts w:ascii="Book Antiqua" w:eastAsia="Times New Roman" w:hAnsi="Book Antiqua" w:cs="Arial"/>
          <w:sz w:val="24"/>
          <w:szCs w:val="24"/>
          <w:lang w:val="en"/>
        </w:rPr>
        <w:t xml:space="preserve"> 2004; </w:t>
      </w:r>
      <w:r w:rsidRPr="001A403F">
        <w:rPr>
          <w:rFonts w:ascii="Book Antiqua" w:eastAsia="Times New Roman" w:hAnsi="Book Antiqua" w:cs="Arial"/>
          <w:b/>
          <w:sz w:val="24"/>
          <w:szCs w:val="24"/>
          <w:lang w:val="en"/>
        </w:rPr>
        <w:t>69</w:t>
      </w:r>
      <w:r w:rsidRPr="001A403F">
        <w:rPr>
          <w:rFonts w:ascii="Book Antiqua" w:eastAsia="Times New Roman" w:hAnsi="Book Antiqua" w:cs="Arial"/>
          <w:sz w:val="24"/>
          <w:szCs w:val="24"/>
          <w:lang w:val="en"/>
        </w:rPr>
        <w:t>: 190-200 [PMID: 15178929 DOI: 10.1159/000078789]</w:t>
      </w:r>
    </w:p>
    <w:p w14:paraId="45E094E2"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24 </w:t>
      </w:r>
      <w:r w:rsidRPr="001A403F">
        <w:rPr>
          <w:rFonts w:ascii="Book Antiqua" w:eastAsia="Times New Roman" w:hAnsi="Book Antiqua" w:cs="Arial"/>
          <w:b/>
          <w:sz w:val="24"/>
          <w:szCs w:val="24"/>
          <w:lang w:val="en"/>
        </w:rPr>
        <w:t>Wehler M</w:t>
      </w:r>
      <w:r w:rsidRPr="001A403F">
        <w:rPr>
          <w:rFonts w:ascii="Book Antiqua" w:eastAsia="Times New Roman" w:hAnsi="Book Antiqua" w:cs="Arial"/>
          <w:sz w:val="24"/>
          <w:szCs w:val="24"/>
          <w:lang w:val="en"/>
        </w:rPr>
        <w:t xml:space="preserve">, Kokoska J, Reulbach U, Hahn EG, Strauss R. Short-term prognosis in critically ill patients with cirrhosis assessed by prognostic scoring systems.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2001; </w:t>
      </w:r>
      <w:r w:rsidRPr="001A403F">
        <w:rPr>
          <w:rFonts w:ascii="Book Antiqua" w:eastAsia="Times New Roman" w:hAnsi="Book Antiqua" w:cs="Arial"/>
          <w:b/>
          <w:sz w:val="24"/>
          <w:szCs w:val="24"/>
          <w:lang w:val="en"/>
        </w:rPr>
        <w:t>34</w:t>
      </w:r>
      <w:r w:rsidRPr="001A403F">
        <w:rPr>
          <w:rFonts w:ascii="Book Antiqua" w:eastAsia="Times New Roman" w:hAnsi="Book Antiqua" w:cs="Arial"/>
          <w:sz w:val="24"/>
          <w:szCs w:val="24"/>
          <w:lang w:val="en"/>
        </w:rPr>
        <w:t>: 255-261 [PMID: 11481609 DOI: 10.1053/jhep.2001.26522]</w:t>
      </w:r>
    </w:p>
    <w:p w14:paraId="53BC78F1"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25 </w:t>
      </w:r>
      <w:r w:rsidRPr="001A403F">
        <w:rPr>
          <w:rFonts w:ascii="Book Antiqua" w:eastAsia="Times New Roman" w:hAnsi="Book Antiqua" w:cs="Arial"/>
          <w:b/>
          <w:sz w:val="24"/>
          <w:szCs w:val="24"/>
          <w:lang w:val="en"/>
        </w:rPr>
        <w:t>Zimmerman JE</w:t>
      </w:r>
      <w:r w:rsidRPr="001A403F">
        <w:rPr>
          <w:rFonts w:ascii="Book Antiqua" w:eastAsia="Times New Roman" w:hAnsi="Book Antiqua" w:cs="Arial"/>
          <w:sz w:val="24"/>
          <w:szCs w:val="24"/>
          <w:lang w:val="en"/>
        </w:rPr>
        <w:t xml:space="preserve">, Wagner DP, Seneff MG, Becker RB, Sun X, Knaus WA. Intensive care unit admissions with cirrhosis: risk-stratifying patient groups and predicting individual survival.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1996; </w:t>
      </w:r>
      <w:r w:rsidRPr="001A403F">
        <w:rPr>
          <w:rFonts w:ascii="Book Antiqua" w:eastAsia="Times New Roman" w:hAnsi="Book Antiqua" w:cs="Arial"/>
          <w:b/>
          <w:sz w:val="24"/>
          <w:szCs w:val="24"/>
          <w:lang w:val="en"/>
        </w:rPr>
        <w:t>23</w:t>
      </w:r>
      <w:r w:rsidRPr="001A403F">
        <w:rPr>
          <w:rFonts w:ascii="Book Antiqua" w:eastAsia="Times New Roman" w:hAnsi="Book Antiqua" w:cs="Arial"/>
          <w:sz w:val="24"/>
          <w:szCs w:val="24"/>
          <w:lang w:val="en"/>
        </w:rPr>
        <w:t>: 1393-1401 [PMID: 8675156 DOI: 10.1002/hep.510230615]</w:t>
      </w:r>
    </w:p>
    <w:p w14:paraId="0078A366"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26 </w:t>
      </w:r>
      <w:r w:rsidRPr="001A403F">
        <w:rPr>
          <w:rFonts w:ascii="Book Antiqua" w:eastAsia="Times New Roman" w:hAnsi="Book Antiqua" w:cs="Arial"/>
          <w:b/>
          <w:sz w:val="24"/>
          <w:szCs w:val="24"/>
          <w:lang w:val="en"/>
        </w:rPr>
        <w:t>Campbell J</w:t>
      </w:r>
      <w:r w:rsidRPr="001A403F">
        <w:rPr>
          <w:rFonts w:ascii="Book Antiqua" w:eastAsia="Times New Roman" w:hAnsi="Book Antiqua" w:cs="Arial"/>
          <w:sz w:val="24"/>
          <w:szCs w:val="24"/>
          <w:lang w:val="en"/>
        </w:rPr>
        <w:t xml:space="preserve">, McPeake J, Shaw M, Puxty A, Forrest E, Soulsby C, Emerson P, Thomson SJ, Rahman TM, Quasim T, Kinsella J. Validation and analysis of prognostic scoring systems for critically ill patients with cirrhosis admitted to ICU. </w:t>
      </w:r>
      <w:r w:rsidRPr="001A403F">
        <w:rPr>
          <w:rFonts w:ascii="Book Antiqua" w:eastAsia="Times New Roman" w:hAnsi="Book Antiqua" w:cs="Arial"/>
          <w:i/>
          <w:sz w:val="24"/>
          <w:szCs w:val="24"/>
          <w:lang w:val="en"/>
        </w:rPr>
        <w:t>Crit Care</w:t>
      </w:r>
      <w:r w:rsidRPr="001A403F">
        <w:rPr>
          <w:rFonts w:ascii="Book Antiqua" w:eastAsia="Times New Roman" w:hAnsi="Book Antiqua" w:cs="Arial"/>
          <w:sz w:val="24"/>
          <w:szCs w:val="24"/>
          <w:lang w:val="en"/>
        </w:rPr>
        <w:t xml:space="preserve"> 2015; </w:t>
      </w:r>
      <w:r w:rsidRPr="001A403F">
        <w:rPr>
          <w:rFonts w:ascii="Book Antiqua" w:eastAsia="Times New Roman" w:hAnsi="Book Antiqua" w:cs="Arial"/>
          <w:b/>
          <w:sz w:val="24"/>
          <w:szCs w:val="24"/>
          <w:lang w:val="en"/>
        </w:rPr>
        <w:t>19</w:t>
      </w:r>
      <w:r w:rsidRPr="001A403F">
        <w:rPr>
          <w:rFonts w:ascii="Book Antiqua" w:eastAsia="Times New Roman" w:hAnsi="Book Antiqua" w:cs="Arial"/>
          <w:sz w:val="24"/>
          <w:szCs w:val="24"/>
          <w:lang w:val="en"/>
        </w:rPr>
        <w:t>: 364 [PMID: 26462911 DOI: 10.1186/s13054-015-1070-y]</w:t>
      </w:r>
    </w:p>
    <w:p w14:paraId="2F213E79"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27 </w:t>
      </w:r>
      <w:r w:rsidRPr="001A403F">
        <w:rPr>
          <w:rFonts w:ascii="Book Antiqua" w:eastAsia="Times New Roman" w:hAnsi="Book Antiqua" w:cs="Arial"/>
          <w:b/>
          <w:sz w:val="24"/>
          <w:szCs w:val="24"/>
          <w:lang w:val="en"/>
        </w:rPr>
        <w:t>Zauner C</w:t>
      </w:r>
      <w:r w:rsidRPr="001A403F">
        <w:rPr>
          <w:rFonts w:ascii="Book Antiqua" w:eastAsia="Times New Roman" w:hAnsi="Book Antiqua" w:cs="Arial"/>
          <w:sz w:val="24"/>
          <w:szCs w:val="24"/>
          <w:lang w:val="en"/>
        </w:rPr>
        <w:t xml:space="preserve">, Schneeweiss B, Schneider B, Madl C, Klos H, Kranz A, Ratheiser K, Kramer L, Lenz K. Short-term prognosis in critically ill patients with liver cirrhosis: an evaluation of a new scoring system. </w:t>
      </w:r>
      <w:r w:rsidRPr="001A403F">
        <w:rPr>
          <w:rFonts w:ascii="Book Antiqua" w:eastAsia="Times New Roman" w:hAnsi="Book Antiqua" w:cs="Arial"/>
          <w:i/>
          <w:sz w:val="24"/>
          <w:szCs w:val="24"/>
          <w:lang w:val="en"/>
        </w:rPr>
        <w:t>Eur J Gastroenterol Hepatol</w:t>
      </w:r>
      <w:r w:rsidRPr="001A403F">
        <w:rPr>
          <w:rFonts w:ascii="Book Antiqua" w:eastAsia="Times New Roman" w:hAnsi="Book Antiqua" w:cs="Arial"/>
          <w:sz w:val="24"/>
          <w:szCs w:val="24"/>
          <w:lang w:val="en"/>
        </w:rPr>
        <w:t xml:space="preserve"> 2000; </w:t>
      </w:r>
      <w:r w:rsidRPr="001A403F">
        <w:rPr>
          <w:rFonts w:ascii="Book Antiqua" w:eastAsia="Times New Roman" w:hAnsi="Book Antiqua" w:cs="Arial"/>
          <w:b/>
          <w:sz w:val="24"/>
          <w:szCs w:val="24"/>
          <w:lang w:val="en"/>
        </w:rPr>
        <w:t>12</w:t>
      </w:r>
      <w:r w:rsidRPr="001A403F">
        <w:rPr>
          <w:rFonts w:ascii="Book Antiqua" w:eastAsia="Times New Roman" w:hAnsi="Book Antiqua" w:cs="Arial"/>
          <w:sz w:val="24"/>
          <w:szCs w:val="24"/>
          <w:lang w:val="en"/>
        </w:rPr>
        <w:t>: 517-522 [PMID: 10833094 DOI: 10.1097/00042737-200012050-00007]</w:t>
      </w:r>
    </w:p>
    <w:p w14:paraId="29666733"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28 </w:t>
      </w:r>
      <w:r w:rsidRPr="001A403F">
        <w:rPr>
          <w:rFonts w:ascii="Book Antiqua" w:eastAsia="Times New Roman" w:hAnsi="Book Antiqua" w:cs="Arial"/>
          <w:b/>
          <w:sz w:val="24"/>
          <w:szCs w:val="24"/>
          <w:lang w:val="en"/>
        </w:rPr>
        <w:t>Fang JT</w:t>
      </w:r>
      <w:r w:rsidRPr="001A403F">
        <w:rPr>
          <w:rFonts w:ascii="Book Antiqua" w:eastAsia="Times New Roman" w:hAnsi="Book Antiqua" w:cs="Arial"/>
          <w:sz w:val="24"/>
          <w:szCs w:val="24"/>
          <w:lang w:val="en"/>
        </w:rPr>
        <w:t xml:space="preserve">, Tsai MH, Tian YC, Jenq CC, Lin CY, Chen YC, Lien JM, Chen PC, Yang CW. Outcome predictors and new score of critically ill cirrhotic patients with acute renal </w:t>
      </w:r>
      <w:r w:rsidRPr="001A403F">
        <w:rPr>
          <w:rFonts w:ascii="Book Antiqua" w:eastAsia="Times New Roman" w:hAnsi="Book Antiqua" w:cs="Arial"/>
          <w:sz w:val="24"/>
          <w:szCs w:val="24"/>
          <w:lang w:val="en"/>
        </w:rPr>
        <w:lastRenderedPageBreak/>
        <w:t xml:space="preserve">failure. </w:t>
      </w:r>
      <w:r w:rsidRPr="001A403F">
        <w:rPr>
          <w:rFonts w:ascii="Book Antiqua" w:eastAsia="Times New Roman" w:hAnsi="Book Antiqua" w:cs="Arial"/>
          <w:i/>
          <w:sz w:val="24"/>
          <w:szCs w:val="24"/>
          <w:lang w:val="en"/>
        </w:rPr>
        <w:t>Nephrol Dial Transplant</w:t>
      </w:r>
      <w:r w:rsidRPr="001A403F">
        <w:rPr>
          <w:rFonts w:ascii="Book Antiqua" w:eastAsia="Times New Roman" w:hAnsi="Book Antiqua" w:cs="Arial"/>
          <w:sz w:val="24"/>
          <w:szCs w:val="24"/>
          <w:lang w:val="en"/>
        </w:rPr>
        <w:t xml:space="preserve"> 2008; </w:t>
      </w:r>
      <w:r w:rsidRPr="001A403F">
        <w:rPr>
          <w:rFonts w:ascii="Book Antiqua" w:eastAsia="Times New Roman" w:hAnsi="Book Antiqua" w:cs="Arial"/>
          <w:b/>
          <w:sz w:val="24"/>
          <w:szCs w:val="24"/>
          <w:lang w:val="en"/>
        </w:rPr>
        <w:t>23</w:t>
      </w:r>
      <w:r w:rsidRPr="001A403F">
        <w:rPr>
          <w:rFonts w:ascii="Book Antiqua" w:eastAsia="Times New Roman" w:hAnsi="Book Antiqua" w:cs="Arial"/>
          <w:sz w:val="24"/>
          <w:szCs w:val="24"/>
          <w:lang w:val="en"/>
        </w:rPr>
        <w:t>: 1961-1969 [PMID: 18187499 DOI: 10.1093/ndt/gfm914]</w:t>
      </w:r>
    </w:p>
    <w:p w14:paraId="5891DA31"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29 </w:t>
      </w:r>
      <w:r w:rsidRPr="001A403F">
        <w:rPr>
          <w:rFonts w:ascii="Book Antiqua" w:eastAsia="Times New Roman" w:hAnsi="Book Antiqua" w:cs="Arial"/>
          <w:b/>
          <w:sz w:val="24"/>
          <w:szCs w:val="24"/>
          <w:lang w:val="en"/>
        </w:rPr>
        <w:t>Harrell FE Jr</w:t>
      </w:r>
      <w:r w:rsidRPr="001A403F">
        <w:rPr>
          <w:rFonts w:ascii="Book Antiqua" w:eastAsia="Times New Roman" w:hAnsi="Book Antiqua" w:cs="Arial"/>
          <w:sz w:val="24"/>
          <w:szCs w:val="24"/>
          <w:lang w:val="en"/>
        </w:rPr>
        <w:t xml:space="preserve">, Califf RM, Pryor DB, Lee KL, Rosati RA. Evaluating the yield of medical tests. </w:t>
      </w:r>
      <w:r w:rsidRPr="001A403F">
        <w:rPr>
          <w:rFonts w:ascii="Book Antiqua" w:eastAsia="Times New Roman" w:hAnsi="Book Antiqua" w:cs="Arial"/>
          <w:i/>
          <w:sz w:val="24"/>
          <w:szCs w:val="24"/>
          <w:lang w:val="en"/>
        </w:rPr>
        <w:t>JAMA</w:t>
      </w:r>
      <w:r w:rsidRPr="001A403F">
        <w:rPr>
          <w:rFonts w:ascii="Book Antiqua" w:eastAsia="Times New Roman" w:hAnsi="Book Antiqua" w:cs="Arial"/>
          <w:sz w:val="24"/>
          <w:szCs w:val="24"/>
          <w:lang w:val="en"/>
        </w:rPr>
        <w:t xml:space="preserve"> 1982; </w:t>
      </w:r>
      <w:r w:rsidRPr="001A403F">
        <w:rPr>
          <w:rFonts w:ascii="Book Antiqua" w:eastAsia="Times New Roman" w:hAnsi="Book Antiqua" w:cs="Arial"/>
          <w:b/>
          <w:sz w:val="24"/>
          <w:szCs w:val="24"/>
          <w:lang w:val="en"/>
        </w:rPr>
        <w:t>247</w:t>
      </w:r>
      <w:r w:rsidRPr="001A403F">
        <w:rPr>
          <w:rFonts w:ascii="Book Antiqua" w:eastAsia="Times New Roman" w:hAnsi="Book Antiqua" w:cs="Arial"/>
          <w:sz w:val="24"/>
          <w:szCs w:val="24"/>
          <w:lang w:val="en"/>
        </w:rPr>
        <w:t>: 2543-2546 [PMID: 7069920 DOI: 10.1001/jama.1982.03320430047030]</w:t>
      </w:r>
    </w:p>
    <w:p w14:paraId="6E6C7702"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30 </w:t>
      </w:r>
      <w:r w:rsidRPr="001A403F">
        <w:rPr>
          <w:rFonts w:ascii="Book Antiqua" w:eastAsia="Times New Roman" w:hAnsi="Book Antiqua" w:cs="Arial"/>
          <w:b/>
          <w:sz w:val="24"/>
          <w:szCs w:val="24"/>
          <w:lang w:val="en"/>
        </w:rPr>
        <w:t>DeLong ER</w:t>
      </w:r>
      <w:r w:rsidRPr="001A403F">
        <w:rPr>
          <w:rFonts w:ascii="Book Antiqua" w:eastAsia="Times New Roman" w:hAnsi="Book Antiqua" w:cs="Arial"/>
          <w:sz w:val="24"/>
          <w:szCs w:val="24"/>
          <w:lang w:val="en"/>
        </w:rPr>
        <w:t xml:space="preserve">, DeLong DM, Clarke-Pearson DL. Comparing the areas under two or more correlated receiver operating characteristic curves: a nonparametric approach. </w:t>
      </w:r>
      <w:r w:rsidRPr="001A403F">
        <w:rPr>
          <w:rFonts w:ascii="Book Antiqua" w:eastAsia="Times New Roman" w:hAnsi="Book Antiqua" w:cs="Arial"/>
          <w:i/>
          <w:sz w:val="24"/>
          <w:szCs w:val="24"/>
          <w:lang w:val="en"/>
        </w:rPr>
        <w:t>Biometrics</w:t>
      </w:r>
      <w:r w:rsidRPr="001A403F">
        <w:rPr>
          <w:rFonts w:ascii="Book Antiqua" w:eastAsia="Times New Roman" w:hAnsi="Book Antiqua" w:cs="Arial"/>
          <w:sz w:val="24"/>
          <w:szCs w:val="24"/>
          <w:lang w:val="en"/>
        </w:rPr>
        <w:t xml:space="preserve"> 1988; </w:t>
      </w:r>
      <w:r w:rsidRPr="001A403F">
        <w:rPr>
          <w:rFonts w:ascii="Book Antiqua" w:eastAsia="Times New Roman" w:hAnsi="Book Antiqua" w:cs="Arial"/>
          <w:b/>
          <w:sz w:val="24"/>
          <w:szCs w:val="24"/>
          <w:lang w:val="en"/>
        </w:rPr>
        <w:t>44</w:t>
      </w:r>
      <w:r w:rsidRPr="001A403F">
        <w:rPr>
          <w:rFonts w:ascii="Book Antiqua" w:eastAsia="Times New Roman" w:hAnsi="Book Antiqua" w:cs="Arial"/>
          <w:sz w:val="24"/>
          <w:szCs w:val="24"/>
          <w:lang w:val="en"/>
        </w:rPr>
        <w:t>: 837-845 [PMID: 3203132 DOI: 10.2307/2531595]</w:t>
      </w:r>
    </w:p>
    <w:p w14:paraId="521E6AC8" w14:textId="79897D8B"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31 </w:t>
      </w:r>
      <w:r w:rsidR="006001A2">
        <w:rPr>
          <w:rFonts w:ascii="Book Antiqua" w:eastAsia="Times New Roman" w:hAnsi="Book Antiqua" w:cs="Arial"/>
          <w:b/>
          <w:sz w:val="24"/>
          <w:szCs w:val="24"/>
          <w:lang w:val="en"/>
        </w:rPr>
        <w:t>Y</w:t>
      </w:r>
      <w:r w:rsidR="006001A2" w:rsidRPr="001A403F">
        <w:rPr>
          <w:rFonts w:ascii="Book Antiqua" w:eastAsia="Times New Roman" w:hAnsi="Book Antiqua" w:cs="Arial"/>
          <w:b/>
          <w:sz w:val="24"/>
          <w:szCs w:val="24"/>
          <w:lang w:val="en"/>
        </w:rPr>
        <w:t xml:space="preserve">ouden </w:t>
      </w:r>
      <w:r w:rsidRPr="001A403F">
        <w:rPr>
          <w:rFonts w:ascii="Book Antiqua" w:eastAsia="Times New Roman" w:hAnsi="Book Antiqua" w:cs="Arial"/>
          <w:b/>
          <w:sz w:val="24"/>
          <w:szCs w:val="24"/>
          <w:lang w:val="en"/>
        </w:rPr>
        <w:t>WJ</w:t>
      </w:r>
      <w:r w:rsidRPr="001A403F">
        <w:rPr>
          <w:rFonts w:ascii="Book Antiqua" w:eastAsia="Times New Roman" w:hAnsi="Book Antiqua" w:cs="Arial"/>
          <w:sz w:val="24"/>
          <w:szCs w:val="24"/>
          <w:lang w:val="en"/>
        </w:rPr>
        <w:t xml:space="preserve">. Index for rating diagnostic tests. </w:t>
      </w:r>
      <w:r w:rsidRPr="001A403F">
        <w:rPr>
          <w:rFonts w:ascii="Book Antiqua" w:eastAsia="Times New Roman" w:hAnsi="Book Antiqua" w:cs="Arial"/>
          <w:i/>
          <w:sz w:val="24"/>
          <w:szCs w:val="24"/>
          <w:lang w:val="en"/>
        </w:rPr>
        <w:t>Cancer</w:t>
      </w:r>
      <w:r w:rsidRPr="001A403F">
        <w:rPr>
          <w:rFonts w:ascii="Book Antiqua" w:eastAsia="Times New Roman" w:hAnsi="Book Antiqua" w:cs="Arial"/>
          <w:sz w:val="24"/>
          <w:szCs w:val="24"/>
          <w:lang w:val="en"/>
        </w:rPr>
        <w:t xml:space="preserve"> 1950; </w:t>
      </w:r>
      <w:r w:rsidRPr="001A403F">
        <w:rPr>
          <w:rFonts w:ascii="Book Antiqua" w:eastAsia="Times New Roman" w:hAnsi="Book Antiqua" w:cs="Arial"/>
          <w:b/>
          <w:sz w:val="24"/>
          <w:szCs w:val="24"/>
          <w:lang w:val="en"/>
        </w:rPr>
        <w:t>3</w:t>
      </w:r>
      <w:r w:rsidRPr="001A403F">
        <w:rPr>
          <w:rFonts w:ascii="Book Antiqua" w:eastAsia="Times New Roman" w:hAnsi="Book Antiqua" w:cs="Arial"/>
          <w:sz w:val="24"/>
          <w:szCs w:val="24"/>
          <w:lang w:val="en"/>
        </w:rPr>
        <w:t>: 32-35 [PMID: 15405679 DOI: 10.1002/1097-0142(1950)3:1&lt;32::aid-cncr2820030106&gt;3.0.co;2-3]</w:t>
      </w:r>
    </w:p>
    <w:p w14:paraId="73F35996"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32 </w:t>
      </w:r>
      <w:r w:rsidRPr="001A403F">
        <w:rPr>
          <w:rFonts w:ascii="Book Antiqua" w:eastAsia="Times New Roman" w:hAnsi="Book Antiqua" w:cs="Arial"/>
          <w:b/>
          <w:sz w:val="24"/>
          <w:szCs w:val="24"/>
          <w:lang w:val="en"/>
        </w:rPr>
        <w:t>Bajaj JS</w:t>
      </w:r>
      <w:r w:rsidRPr="001A403F">
        <w:rPr>
          <w:rFonts w:ascii="Book Antiqua" w:eastAsia="Times New Roman" w:hAnsi="Book Antiqua" w:cs="Arial"/>
          <w:sz w:val="24"/>
          <w:szCs w:val="24"/>
          <w:lang w:val="en"/>
        </w:rPr>
        <w:t xml:space="preserve">, O'Leary JG, Reddy KR, Wong F, Biggins SW, Patton H, Fallon MB, Garcia-Tsao G, Maliakkal B, Malik R, Subramanian RM, Thacker LR, Kamath PS; North American Consortium For The Study Of End-Stage Liver Disease (NACSELD). Survival in infection-related acute-on-chronic liver failure is defined by extrahepatic organ failures.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2014; </w:t>
      </w:r>
      <w:r w:rsidRPr="001A403F">
        <w:rPr>
          <w:rFonts w:ascii="Book Antiqua" w:eastAsia="Times New Roman" w:hAnsi="Book Antiqua" w:cs="Arial"/>
          <w:b/>
          <w:sz w:val="24"/>
          <w:szCs w:val="24"/>
          <w:lang w:val="en"/>
        </w:rPr>
        <w:t>60</w:t>
      </w:r>
      <w:r w:rsidRPr="001A403F">
        <w:rPr>
          <w:rFonts w:ascii="Book Antiqua" w:eastAsia="Times New Roman" w:hAnsi="Book Antiqua" w:cs="Arial"/>
          <w:sz w:val="24"/>
          <w:szCs w:val="24"/>
          <w:lang w:val="en"/>
        </w:rPr>
        <w:t>: 250-256 [PMID: 24677131 DOI: 10.1002/hep.27077]</w:t>
      </w:r>
    </w:p>
    <w:p w14:paraId="59C0D503"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33 </w:t>
      </w:r>
      <w:r w:rsidRPr="001A403F">
        <w:rPr>
          <w:rFonts w:ascii="Book Antiqua" w:eastAsia="Times New Roman" w:hAnsi="Book Antiqua" w:cs="Arial"/>
          <w:b/>
          <w:sz w:val="24"/>
          <w:szCs w:val="24"/>
          <w:lang w:val="en"/>
        </w:rPr>
        <w:t>Bajaj JS</w:t>
      </w:r>
      <w:r w:rsidRPr="001A403F">
        <w:rPr>
          <w:rFonts w:ascii="Book Antiqua" w:eastAsia="Times New Roman" w:hAnsi="Book Antiqua" w:cs="Arial"/>
          <w:sz w:val="24"/>
          <w:szCs w:val="24"/>
          <w:lang w:val="en"/>
        </w:rPr>
        <w:t xml:space="preserve">, O'Leary JG, Reddy KR, Wong F, Olson JC, Subramanian RM, Brown G, Noble NA, Thacker LR, Kamath PS; NACSELD. Second infections independently increase mortality in hospitalized patients with cirrhosis: the North American consortium for the study of end-stage liver disease (NACSELD) experience.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2012; </w:t>
      </w:r>
      <w:r w:rsidRPr="001A403F">
        <w:rPr>
          <w:rFonts w:ascii="Book Antiqua" w:eastAsia="Times New Roman" w:hAnsi="Book Antiqua" w:cs="Arial"/>
          <w:b/>
          <w:sz w:val="24"/>
          <w:szCs w:val="24"/>
          <w:lang w:val="en"/>
        </w:rPr>
        <w:t>56</w:t>
      </w:r>
      <w:r w:rsidRPr="001A403F">
        <w:rPr>
          <w:rFonts w:ascii="Book Antiqua" w:eastAsia="Times New Roman" w:hAnsi="Book Antiqua" w:cs="Arial"/>
          <w:sz w:val="24"/>
          <w:szCs w:val="24"/>
          <w:lang w:val="en"/>
        </w:rPr>
        <w:t>: 2328-2335 [PMID: 22806618 DOI: 10.1002/hep.25947]</w:t>
      </w:r>
    </w:p>
    <w:p w14:paraId="55B8C84D"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34 </w:t>
      </w:r>
      <w:r w:rsidRPr="001A403F">
        <w:rPr>
          <w:rFonts w:ascii="Book Antiqua" w:eastAsia="Times New Roman" w:hAnsi="Book Antiqua" w:cs="Arial"/>
          <w:b/>
          <w:sz w:val="24"/>
          <w:szCs w:val="24"/>
          <w:lang w:val="en"/>
        </w:rPr>
        <w:t>Clària J</w:t>
      </w:r>
      <w:r w:rsidRPr="001A403F">
        <w:rPr>
          <w:rFonts w:ascii="Book Antiqua" w:eastAsia="Times New Roman" w:hAnsi="Book Antiqua" w:cs="Arial"/>
          <w:sz w:val="24"/>
          <w:szCs w:val="24"/>
          <w:lang w:val="en"/>
        </w:rPr>
        <w:t xml:space="preserve">, Stauber RE, Coenraad MJ, Moreau R, Jalan R, Pavesi M, Amorós À, Titos E, Alcaraz-Quiles J, Oettl K, Morales-Ruiz M, Angeli P, Domenicali M, Alessandria C, Gerbes A, Wendon J, Nevens F, Trebicka J, Laleman W, Saliba F, Welzel TM, Albillos A, Gustot T, Benten D, Durand F, Ginès P, Bernardi M, Arroyo V; CANONIC Study Investigators of the EASL-CLIF Consortium and the European Foundation for the Study of Chronic Liver Failure (EF-CLIF). Systemic inflammation in decompensated cirrhosis: Characterization and role in acute-on-chronic liver failure.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2016; </w:t>
      </w:r>
      <w:r w:rsidRPr="001A403F">
        <w:rPr>
          <w:rFonts w:ascii="Book Antiqua" w:eastAsia="Times New Roman" w:hAnsi="Book Antiqua" w:cs="Arial"/>
          <w:b/>
          <w:sz w:val="24"/>
          <w:szCs w:val="24"/>
          <w:lang w:val="en"/>
        </w:rPr>
        <w:t>64</w:t>
      </w:r>
      <w:r w:rsidRPr="001A403F">
        <w:rPr>
          <w:rFonts w:ascii="Book Antiqua" w:eastAsia="Times New Roman" w:hAnsi="Book Antiqua" w:cs="Arial"/>
          <w:sz w:val="24"/>
          <w:szCs w:val="24"/>
          <w:lang w:val="en"/>
        </w:rPr>
        <w:t>: 1249-1264 [PMID: 27483394 DOI: 10.1002/hep.28740]</w:t>
      </w:r>
    </w:p>
    <w:p w14:paraId="2CE9279D"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35 </w:t>
      </w:r>
      <w:r w:rsidRPr="001A403F">
        <w:rPr>
          <w:rFonts w:ascii="Book Antiqua" w:eastAsia="Times New Roman" w:hAnsi="Book Antiqua" w:cs="Arial"/>
          <w:b/>
          <w:sz w:val="24"/>
          <w:szCs w:val="24"/>
          <w:lang w:val="en"/>
        </w:rPr>
        <w:t>Fernández J</w:t>
      </w:r>
      <w:r w:rsidRPr="001A403F">
        <w:rPr>
          <w:rFonts w:ascii="Book Antiqua" w:eastAsia="Times New Roman" w:hAnsi="Book Antiqua" w:cs="Arial"/>
          <w:sz w:val="24"/>
          <w:szCs w:val="24"/>
          <w:lang w:val="en"/>
        </w:rPr>
        <w:t xml:space="preserve">, Escorsell A, Zabalza M, Felipe V, Navasa M, Mas A, Lacy AM, Ginès P, Arroyo V. Adrenal insufficiency in patients with cirrhosis and septic shock: Effect of </w:t>
      </w:r>
      <w:r w:rsidRPr="001A403F">
        <w:rPr>
          <w:rFonts w:ascii="Book Antiqua" w:eastAsia="Times New Roman" w:hAnsi="Book Antiqua" w:cs="Arial"/>
          <w:sz w:val="24"/>
          <w:szCs w:val="24"/>
          <w:lang w:val="en"/>
        </w:rPr>
        <w:lastRenderedPageBreak/>
        <w:t xml:space="preserve">treatment with hydrocortisone on survival.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2006; </w:t>
      </w:r>
      <w:r w:rsidRPr="001A403F">
        <w:rPr>
          <w:rFonts w:ascii="Book Antiqua" w:eastAsia="Times New Roman" w:hAnsi="Book Antiqua" w:cs="Arial"/>
          <w:b/>
          <w:sz w:val="24"/>
          <w:szCs w:val="24"/>
          <w:lang w:val="en"/>
        </w:rPr>
        <w:t>44</w:t>
      </w:r>
      <w:r w:rsidRPr="001A403F">
        <w:rPr>
          <w:rFonts w:ascii="Book Antiqua" w:eastAsia="Times New Roman" w:hAnsi="Book Antiqua" w:cs="Arial"/>
          <w:sz w:val="24"/>
          <w:szCs w:val="24"/>
          <w:lang w:val="en"/>
        </w:rPr>
        <w:t>: 1288-1295 [PMID: 17058239 DOI: 10.1002/hep.21352]</w:t>
      </w:r>
    </w:p>
    <w:p w14:paraId="07A16C42"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36 </w:t>
      </w:r>
      <w:r w:rsidRPr="001A403F">
        <w:rPr>
          <w:rFonts w:ascii="Book Antiqua" w:eastAsia="Times New Roman" w:hAnsi="Book Antiqua" w:cs="Arial"/>
          <w:b/>
          <w:sz w:val="24"/>
          <w:szCs w:val="24"/>
          <w:lang w:val="en"/>
        </w:rPr>
        <w:t>Tas A</w:t>
      </w:r>
      <w:r w:rsidRPr="001A403F">
        <w:rPr>
          <w:rFonts w:ascii="Book Antiqua" w:eastAsia="Times New Roman" w:hAnsi="Book Antiqua" w:cs="Arial"/>
          <w:sz w:val="24"/>
          <w:szCs w:val="24"/>
          <w:lang w:val="en"/>
        </w:rPr>
        <w:t xml:space="preserve">, Akbal E, Beyazit Y, Kocak E. Serum lactate level predict mortality in elderly patients with cirrhosis. </w:t>
      </w:r>
      <w:r w:rsidRPr="001A403F">
        <w:rPr>
          <w:rFonts w:ascii="Book Antiqua" w:eastAsia="Times New Roman" w:hAnsi="Book Antiqua" w:cs="Arial"/>
          <w:i/>
          <w:sz w:val="24"/>
          <w:szCs w:val="24"/>
          <w:lang w:val="en"/>
        </w:rPr>
        <w:t>Wien Klin Wochenschr</w:t>
      </w:r>
      <w:r w:rsidRPr="001A403F">
        <w:rPr>
          <w:rFonts w:ascii="Book Antiqua" w:eastAsia="Times New Roman" w:hAnsi="Book Antiqua" w:cs="Arial"/>
          <w:sz w:val="24"/>
          <w:szCs w:val="24"/>
          <w:lang w:val="en"/>
        </w:rPr>
        <w:t xml:space="preserve"> 2012; </w:t>
      </w:r>
      <w:r w:rsidRPr="001A403F">
        <w:rPr>
          <w:rFonts w:ascii="Book Antiqua" w:eastAsia="Times New Roman" w:hAnsi="Book Antiqua" w:cs="Arial"/>
          <w:b/>
          <w:sz w:val="24"/>
          <w:szCs w:val="24"/>
          <w:lang w:val="en"/>
        </w:rPr>
        <w:t>124</w:t>
      </w:r>
      <w:r w:rsidRPr="001A403F">
        <w:rPr>
          <w:rFonts w:ascii="Book Antiqua" w:eastAsia="Times New Roman" w:hAnsi="Book Antiqua" w:cs="Arial"/>
          <w:sz w:val="24"/>
          <w:szCs w:val="24"/>
          <w:lang w:val="en"/>
        </w:rPr>
        <w:t>: 520-525 [PMID: 22810366 DOI: 10.1007/s00508-012-0208-z]</w:t>
      </w:r>
    </w:p>
    <w:p w14:paraId="56C2D89F"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37 </w:t>
      </w:r>
      <w:r w:rsidRPr="001A403F">
        <w:rPr>
          <w:rFonts w:ascii="Book Antiqua" w:eastAsia="Times New Roman" w:hAnsi="Book Antiqua" w:cs="Arial"/>
          <w:b/>
          <w:sz w:val="24"/>
          <w:szCs w:val="24"/>
          <w:lang w:val="en"/>
        </w:rPr>
        <w:t>Funk GC</w:t>
      </w:r>
      <w:r w:rsidRPr="001A403F">
        <w:rPr>
          <w:rFonts w:ascii="Book Antiqua" w:eastAsia="Times New Roman" w:hAnsi="Book Antiqua" w:cs="Arial"/>
          <w:sz w:val="24"/>
          <w:szCs w:val="24"/>
          <w:lang w:val="en"/>
        </w:rPr>
        <w:t xml:space="preserve">, Doberer D, Kneidinger N, Lindner G, Holzinger U, Schneeweiss B. Acid-base disturbances in critically ill patients with cirrhosis. </w:t>
      </w:r>
      <w:r w:rsidRPr="001A403F">
        <w:rPr>
          <w:rFonts w:ascii="Book Antiqua" w:eastAsia="Times New Roman" w:hAnsi="Book Antiqua" w:cs="Arial"/>
          <w:i/>
          <w:sz w:val="24"/>
          <w:szCs w:val="24"/>
          <w:lang w:val="en"/>
        </w:rPr>
        <w:t>Liver Int</w:t>
      </w:r>
      <w:r w:rsidRPr="001A403F">
        <w:rPr>
          <w:rFonts w:ascii="Book Antiqua" w:eastAsia="Times New Roman" w:hAnsi="Book Antiqua" w:cs="Arial"/>
          <w:sz w:val="24"/>
          <w:szCs w:val="24"/>
          <w:lang w:val="en"/>
        </w:rPr>
        <w:t xml:space="preserve"> 2007; </w:t>
      </w:r>
      <w:r w:rsidRPr="001A403F">
        <w:rPr>
          <w:rFonts w:ascii="Book Antiqua" w:eastAsia="Times New Roman" w:hAnsi="Book Antiqua" w:cs="Arial"/>
          <w:b/>
          <w:sz w:val="24"/>
          <w:szCs w:val="24"/>
          <w:lang w:val="en"/>
        </w:rPr>
        <w:t>27</w:t>
      </w:r>
      <w:r w:rsidRPr="001A403F">
        <w:rPr>
          <w:rFonts w:ascii="Book Antiqua" w:eastAsia="Times New Roman" w:hAnsi="Book Antiqua" w:cs="Arial"/>
          <w:sz w:val="24"/>
          <w:szCs w:val="24"/>
          <w:lang w:val="en"/>
        </w:rPr>
        <w:t>: 901-909 [PMID: 17696928 DOI: 10.1111/j.1478-3231.2007.01510.x]</w:t>
      </w:r>
    </w:p>
    <w:p w14:paraId="0BFD31E4"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38 </w:t>
      </w:r>
      <w:r w:rsidRPr="001A403F">
        <w:rPr>
          <w:rFonts w:ascii="Book Antiqua" w:eastAsia="Times New Roman" w:hAnsi="Book Antiqua" w:cs="Arial"/>
          <w:b/>
          <w:sz w:val="24"/>
          <w:szCs w:val="24"/>
          <w:lang w:val="en"/>
        </w:rPr>
        <w:t>Cholongitas E</w:t>
      </w:r>
      <w:r w:rsidRPr="001A403F">
        <w:rPr>
          <w:rFonts w:ascii="Book Antiqua" w:eastAsia="Times New Roman" w:hAnsi="Book Antiqua" w:cs="Arial"/>
          <w:sz w:val="24"/>
          <w:szCs w:val="24"/>
          <w:lang w:val="en"/>
        </w:rPr>
        <w:t xml:space="preserve">, O'Beirne J, Betrossian A, Senzolo M, Shaw S, Patch D, Burroughs AK. Prognostic impact of lactate in acute liver failure. </w:t>
      </w:r>
      <w:r w:rsidRPr="001A403F">
        <w:rPr>
          <w:rFonts w:ascii="Book Antiqua" w:eastAsia="Times New Roman" w:hAnsi="Book Antiqua" w:cs="Arial"/>
          <w:i/>
          <w:sz w:val="24"/>
          <w:szCs w:val="24"/>
          <w:lang w:val="en"/>
        </w:rPr>
        <w:t>Liver Transpl</w:t>
      </w:r>
      <w:r w:rsidRPr="001A403F">
        <w:rPr>
          <w:rFonts w:ascii="Book Antiqua" w:eastAsia="Times New Roman" w:hAnsi="Book Antiqua" w:cs="Arial"/>
          <w:sz w:val="24"/>
          <w:szCs w:val="24"/>
          <w:lang w:val="en"/>
        </w:rPr>
        <w:t xml:space="preserve"> 2008; </w:t>
      </w:r>
      <w:r w:rsidRPr="001A403F">
        <w:rPr>
          <w:rFonts w:ascii="Book Antiqua" w:eastAsia="Times New Roman" w:hAnsi="Book Antiqua" w:cs="Arial"/>
          <w:b/>
          <w:sz w:val="24"/>
          <w:szCs w:val="24"/>
          <w:lang w:val="en"/>
        </w:rPr>
        <w:t>14</w:t>
      </w:r>
      <w:r w:rsidRPr="001A403F">
        <w:rPr>
          <w:rFonts w:ascii="Book Antiqua" w:eastAsia="Times New Roman" w:hAnsi="Book Antiqua" w:cs="Arial"/>
          <w:sz w:val="24"/>
          <w:szCs w:val="24"/>
          <w:lang w:val="en"/>
        </w:rPr>
        <w:t>: 121-2; author reply 123 [PMID: 18161767 DOI: 10.1002/lt.21383]</w:t>
      </w:r>
    </w:p>
    <w:p w14:paraId="0B6FC169"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39 </w:t>
      </w:r>
      <w:r w:rsidRPr="001A403F">
        <w:rPr>
          <w:rFonts w:ascii="Book Antiqua" w:eastAsia="Times New Roman" w:hAnsi="Book Antiqua" w:cs="Arial"/>
          <w:b/>
          <w:sz w:val="24"/>
          <w:szCs w:val="24"/>
          <w:lang w:val="en"/>
        </w:rPr>
        <w:t>Sterling SA</w:t>
      </w:r>
      <w:r w:rsidRPr="001A403F">
        <w:rPr>
          <w:rFonts w:ascii="Book Antiqua" w:eastAsia="Times New Roman" w:hAnsi="Book Antiqua" w:cs="Arial"/>
          <w:sz w:val="24"/>
          <w:szCs w:val="24"/>
          <w:lang w:val="en"/>
        </w:rPr>
        <w:t xml:space="preserve">, Puskarich MA, Jones AE. The effect of liver disease on lactate normalization in severe sepsis and septic shock: a cohort study. </w:t>
      </w:r>
      <w:r w:rsidRPr="001A403F">
        <w:rPr>
          <w:rFonts w:ascii="Book Antiqua" w:eastAsia="Times New Roman" w:hAnsi="Book Antiqua" w:cs="Arial"/>
          <w:i/>
          <w:sz w:val="24"/>
          <w:szCs w:val="24"/>
          <w:lang w:val="en"/>
        </w:rPr>
        <w:t>Clin Exp Emerg Med</w:t>
      </w:r>
      <w:r w:rsidRPr="001A403F">
        <w:rPr>
          <w:rFonts w:ascii="Book Antiqua" w:eastAsia="Times New Roman" w:hAnsi="Book Antiqua" w:cs="Arial"/>
          <w:sz w:val="24"/>
          <w:szCs w:val="24"/>
          <w:lang w:val="en"/>
        </w:rPr>
        <w:t xml:space="preserve"> 2015; </w:t>
      </w:r>
      <w:r w:rsidRPr="001A403F">
        <w:rPr>
          <w:rFonts w:ascii="Book Antiqua" w:eastAsia="Times New Roman" w:hAnsi="Book Antiqua" w:cs="Arial"/>
          <w:b/>
          <w:sz w:val="24"/>
          <w:szCs w:val="24"/>
          <w:lang w:val="en"/>
        </w:rPr>
        <w:t>2</w:t>
      </w:r>
      <w:r w:rsidRPr="001A403F">
        <w:rPr>
          <w:rFonts w:ascii="Book Antiqua" w:eastAsia="Times New Roman" w:hAnsi="Book Antiqua" w:cs="Arial"/>
          <w:sz w:val="24"/>
          <w:szCs w:val="24"/>
          <w:lang w:val="en"/>
        </w:rPr>
        <w:t>: 197-202 [PMID: 27752598 DOI: 10.15441/ceem.15.025]</w:t>
      </w:r>
    </w:p>
    <w:p w14:paraId="1EB9C744" w14:textId="72CDF19A" w:rsidR="000645F9" w:rsidRPr="001A403F" w:rsidRDefault="000645F9"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p>
    <w:bookmarkEnd w:id="54"/>
    <w:bookmarkEnd w:id="55"/>
    <w:p w14:paraId="1572044F" w14:textId="2EEA4CC3" w:rsidR="00C876BB" w:rsidRPr="001A403F" w:rsidRDefault="00C876BB" w:rsidP="002E7076">
      <w:pPr>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br w:type="page"/>
      </w:r>
    </w:p>
    <w:p w14:paraId="6D8FA217" w14:textId="4E2A4AD2" w:rsidR="00DB7609" w:rsidRPr="001A403F" w:rsidRDefault="00173248"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hAnsi="Book Antiqua"/>
          <w:b/>
          <w:sz w:val="24"/>
          <w:szCs w:val="24"/>
          <w:lang w:val="it-IT"/>
        </w:rPr>
        <w:lastRenderedPageBreak/>
        <w:t>Footnotes</w:t>
      </w:r>
    </w:p>
    <w:p w14:paraId="19CFD50B" w14:textId="0B51701E" w:rsidR="00DB7609" w:rsidRPr="001A403F" w:rsidRDefault="00173248" w:rsidP="002E7076">
      <w:pPr>
        <w:shd w:val="clear" w:color="auto" w:fill="FFFFFF"/>
        <w:adjustRightInd w:val="0"/>
        <w:snapToGrid w:val="0"/>
        <w:spacing w:after="0" w:line="360" w:lineRule="auto"/>
        <w:jc w:val="both"/>
        <w:rPr>
          <w:rFonts w:ascii="Book Antiqua" w:hAnsi="Book Antiqua"/>
          <w:bCs/>
          <w:iCs/>
          <w:color w:val="000000"/>
          <w:sz w:val="24"/>
          <w:szCs w:val="24"/>
        </w:rPr>
      </w:pPr>
      <w:r w:rsidRPr="001A403F">
        <w:rPr>
          <w:rFonts w:ascii="Book Antiqua" w:hAnsi="Book Antiqua"/>
          <w:b/>
          <w:color w:val="000000"/>
          <w:sz w:val="24"/>
          <w:szCs w:val="24"/>
          <w:lang w:val="it-IT"/>
        </w:rPr>
        <w:t>Institutional review board statement</w:t>
      </w:r>
      <w:r w:rsidRPr="001A403F">
        <w:rPr>
          <w:rFonts w:ascii="Book Antiqua" w:hAnsi="Book Antiqua"/>
          <w:b/>
          <w:bCs/>
          <w:iCs/>
          <w:color w:val="000000"/>
          <w:sz w:val="24"/>
          <w:szCs w:val="24"/>
          <w:lang w:val="it-IT"/>
        </w:rPr>
        <w:t>:</w:t>
      </w:r>
      <w:r w:rsidRPr="001A403F">
        <w:rPr>
          <w:rFonts w:ascii="Book Antiqua" w:hAnsi="Book Antiqua"/>
          <w:b/>
          <w:bCs/>
          <w:iCs/>
          <w:color w:val="000000"/>
          <w:sz w:val="24"/>
          <w:szCs w:val="24"/>
          <w:lang w:eastAsia="zh-CN"/>
        </w:rPr>
        <w:t xml:space="preserve"> </w:t>
      </w:r>
      <w:r w:rsidR="00864035" w:rsidRPr="001A403F">
        <w:rPr>
          <w:rFonts w:ascii="Book Antiqua" w:hAnsi="Book Antiqua"/>
          <w:bCs/>
          <w:iCs/>
          <w:color w:val="000000"/>
          <w:sz w:val="24"/>
          <w:szCs w:val="24"/>
        </w:rPr>
        <w:t>The study was reviewed and approved by the Cleveland Clinic Foundation Institutional Review Board.</w:t>
      </w:r>
    </w:p>
    <w:p w14:paraId="4E46EAC4" w14:textId="77777777" w:rsidR="00173248" w:rsidRPr="001A403F" w:rsidRDefault="00173248" w:rsidP="002E7076">
      <w:pPr>
        <w:shd w:val="clear" w:color="auto" w:fill="FFFFFF"/>
        <w:adjustRightInd w:val="0"/>
        <w:snapToGrid w:val="0"/>
        <w:spacing w:after="0" w:line="360" w:lineRule="auto"/>
        <w:jc w:val="both"/>
        <w:rPr>
          <w:rFonts w:ascii="Book Antiqua" w:hAnsi="Book Antiqua"/>
          <w:b/>
          <w:bCs/>
          <w:iCs/>
          <w:color w:val="000000"/>
          <w:sz w:val="24"/>
          <w:szCs w:val="24"/>
        </w:rPr>
      </w:pPr>
    </w:p>
    <w:p w14:paraId="33673E30" w14:textId="3FB799F3" w:rsidR="00DB7609" w:rsidRPr="001A403F" w:rsidRDefault="00173248" w:rsidP="002E7076">
      <w:pPr>
        <w:shd w:val="clear" w:color="auto" w:fill="FFFFFF"/>
        <w:adjustRightInd w:val="0"/>
        <w:snapToGrid w:val="0"/>
        <w:spacing w:after="0" w:line="360" w:lineRule="auto"/>
        <w:jc w:val="both"/>
        <w:rPr>
          <w:rFonts w:ascii="Book Antiqua" w:hAnsi="Book Antiqua" w:cs="Arial"/>
          <w:sz w:val="24"/>
          <w:szCs w:val="24"/>
        </w:rPr>
      </w:pPr>
      <w:r w:rsidRPr="001A403F">
        <w:rPr>
          <w:rFonts w:ascii="Book Antiqua" w:hAnsi="Book Antiqua"/>
          <w:b/>
          <w:color w:val="000000"/>
          <w:sz w:val="24"/>
          <w:szCs w:val="24"/>
          <w:lang w:val="it-IT"/>
        </w:rPr>
        <w:t>Informed consent statement</w:t>
      </w:r>
      <w:r w:rsidRPr="001A403F">
        <w:rPr>
          <w:rFonts w:ascii="Book Antiqua" w:hAnsi="Book Antiqua"/>
          <w:b/>
          <w:bCs/>
          <w:iCs/>
          <w:color w:val="000000"/>
          <w:sz w:val="24"/>
          <w:szCs w:val="24"/>
          <w:lang w:val="it-IT"/>
        </w:rPr>
        <w:t>:</w:t>
      </w:r>
      <w:r w:rsidR="00C876BB" w:rsidRPr="001A403F">
        <w:rPr>
          <w:rFonts w:ascii="Book Antiqua" w:hAnsi="Book Antiqua"/>
          <w:b/>
          <w:bCs/>
          <w:iCs/>
          <w:color w:val="000000"/>
          <w:sz w:val="24"/>
          <w:szCs w:val="24"/>
          <w:lang w:eastAsia="zh-CN"/>
        </w:rPr>
        <w:t xml:space="preserve"> </w:t>
      </w:r>
      <w:r w:rsidR="00902829" w:rsidRPr="001A403F">
        <w:rPr>
          <w:rFonts w:ascii="Book Antiqua" w:hAnsi="Book Antiqua" w:cs="Arial"/>
          <w:sz w:val="24"/>
          <w:szCs w:val="24"/>
        </w:rPr>
        <w:t xml:space="preserve">The Cleveland Clinic Foundation Institutional Review Board waives the written consent for all retrospective medical record review done for research purposed (as the one done for this study) if the investigators can ensure there are adequate protections to maintain the data in a secure manner </w:t>
      </w:r>
      <w:r w:rsidR="00864035" w:rsidRPr="001A403F">
        <w:rPr>
          <w:rFonts w:ascii="Book Antiqua" w:hAnsi="Book Antiqua" w:cs="Arial"/>
          <w:sz w:val="24"/>
          <w:szCs w:val="24"/>
        </w:rPr>
        <w:t>with access limited to the study team and sharing or releasing identifiable data to any outside person or entity will not occur</w:t>
      </w:r>
      <w:r w:rsidR="00DB1732" w:rsidRPr="001A403F">
        <w:rPr>
          <w:rFonts w:ascii="Book Antiqua" w:hAnsi="Book Antiqua" w:cs="Arial"/>
          <w:sz w:val="24"/>
          <w:szCs w:val="24"/>
        </w:rPr>
        <w:t>.</w:t>
      </w:r>
      <w:r w:rsidR="00902829" w:rsidRPr="001A403F">
        <w:rPr>
          <w:rFonts w:ascii="Book Antiqua" w:hAnsi="Book Antiqua" w:cs="Arial"/>
          <w:sz w:val="24"/>
          <w:szCs w:val="24"/>
        </w:rPr>
        <w:t xml:space="preserve"> For this reason, no Informed Consent Form was used for this study.</w:t>
      </w:r>
    </w:p>
    <w:p w14:paraId="0199D6B9" w14:textId="77777777" w:rsidR="00173248" w:rsidRPr="001A403F" w:rsidRDefault="00173248" w:rsidP="002E7076">
      <w:pPr>
        <w:shd w:val="clear" w:color="auto" w:fill="FFFFFF"/>
        <w:adjustRightInd w:val="0"/>
        <w:snapToGrid w:val="0"/>
        <w:spacing w:after="0" w:line="360" w:lineRule="auto"/>
        <w:jc w:val="both"/>
        <w:rPr>
          <w:rFonts w:ascii="Book Antiqua" w:hAnsi="Book Antiqua"/>
          <w:b/>
          <w:bCs/>
          <w:iCs/>
          <w:color w:val="000000"/>
          <w:sz w:val="24"/>
          <w:szCs w:val="24"/>
          <w:lang w:eastAsia="zh-CN"/>
        </w:rPr>
      </w:pPr>
    </w:p>
    <w:p w14:paraId="1515BF38" w14:textId="794F4410" w:rsidR="00902829" w:rsidRPr="001A403F" w:rsidRDefault="00173248" w:rsidP="002E7076">
      <w:pPr>
        <w:shd w:val="clear" w:color="auto" w:fill="FFFFFF"/>
        <w:adjustRightInd w:val="0"/>
        <w:snapToGrid w:val="0"/>
        <w:spacing w:after="0" w:line="360" w:lineRule="auto"/>
        <w:jc w:val="both"/>
        <w:rPr>
          <w:rFonts w:ascii="Book Antiqua" w:hAnsi="Book Antiqua" w:cs="Arial"/>
          <w:sz w:val="24"/>
          <w:szCs w:val="24"/>
        </w:rPr>
      </w:pPr>
      <w:r w:rsidRPr="001A403F">
        <w:rPr>
          <w:rFonts w:ascii="Book Antiqua" w:hAnsi="Book Antiqua"/>
          <w:b/>
          <w:color w:val="000000"/>
          <w:sz w:val="24"/>
          <w:szCs w:val="24"/>
          <w:lang w:val="it-IT"/>
        </w:rPr>
        <w:t>Conflict-of-interest statement</w:t>
      </w:r>
      <w:r w:rsidRPr="001A403F">
        <w:rPr>
          <w:rFonts w:ascii="Book Antiqua" w:hAnsi="Book Antiqua"/>
          <w:b/>
          <w:bCs/>
          <w:iCs/>
          <w:color w:val="000000"/>
          <w:sz w:val="24"/>
          <w:szCs w:val="24"/>
          <w:lang w:val="it-IT"/>
        </w:rPr>
        <w:t>:</w:t>
      </w:r>
      <w:r w:rsidRPr="001A403F">
        <w:rPr>
          <w:rFonts w:ascii="Book Antiqua" w:hAnsi="Book Antiqua" w:cs="TimesNewRomanPS-BoldItalicMT"/>
          <w:b/>
          <w:bCs/>
          <w:iCs/>
          <w:color w:val="000000"/>
          <w:sz w:val="24"/>
          <w:szCs w:val="24"/>
          <w:lang w:eastAsia="zh-CN"/>
        </w:rPr>
        <w:t xml:space="preserve"> </w:t>
      </w:r>
      <w:r w:rsidR="00902829" w:rsidRPr="001A403F">
        <w:rPr>
          <w:rFonts w:ascii="Book Antiqua" w:hAnsi="Book Antiqua" w:cs="Arial"/>
          <w:sz w:val="24"/>
          <w:szCs w:val="24"/>
        </w:rPr>
        <w:t>There is no conflict of interest associated with any of the senior author or other coauthors contributed their efforts in this manuscript.</w:t>
      </w:r>
      <w:r w:rsidRPr="001A403F">
        <w:rPr>
          <w:rFonts w:ascii="Book Antiqua" w:hAnsi="Book Antiqua" w:cs="Arial"/>
          <w:sz w:val="24"/>
          <w:szCs w:val="24"/>
        </w:rPr>
        <w:t xml:space="preserve"> </w:t>
      </w:r>
      <w:r w:rsidR="002C51F3" w:rsidRPr="001A403F">
        <w:rPr>
          <w:rFonts w:ascii="Book Antiqua" w:hAnsi="Book Antiqua" w:cs="Arial"/>
          <w:sz w:val="24"/>
          <w:szCs w:val="24"/>
        </w:rPr>
        <w:t>All the a</w:t>
      </w:r>
      <w:r w:rsidR="00902829" w:rsidRPr="001A403F">
        <w:rPr>
          <w:rFonts w:ascii="Book Antiqua" w:hAnsi="Book Antiqua" w:cs="Arial"/>
          <w:sz w:val="24"/>
          <w:szCs w:val="24"/>
        </w:rPr>
        <w:t>uthors have no conflict of interest related to the manuscript.</w:t>
      </w:r>
    </w:p>
    <w:p w14:paraId="70F30E19" w14:textId="77777777" w:rsidR="00173248" w:rsidRPr="001A403F" w:rsidRDefault="00173248" w:rsidP="002E7076">
      <w:pPr>
        <w:shd w:val="clear" w:color="auto" w:fill="FFFFFF"/>
        <w:adjustRightInd w:val="0"/>
        <w:snapToGrid w:val="0"/>
        <w:spacing w:after="0" w:line="360" w:lineRule="auto"/>
        <w:jc w:val="both"/>
        <w:rPr>
          <w:rFonts w:ascii="Book Antiqua" w:hAnsi="Book Antiqua" w:cs="TimesNewRomanPS-BoldItalicMT"/>
          <w:b/>
          <w:bCs/>
          <w:iCs/>
          <w:color w:val="000000"/>
          <w:sz w:val="24"/>
          <w:szCs w:val="24"/>
          <w:lang w:eastAsia="zh-CN"/>
        </w:rPr>
      </w:pPr>
    </w:p>
    <w:p w14:paraId="64307226" w14:textId="66F9FE39" w:rsidR="00902829" w:rsidRPr="001A403F" w:rsidRDefault="00173248" w:rsidP="002E7076">
      <w:pPr>
        <w:shd w:val="clear" w:color="auto" w:fill="FFFFFF"/>
        <w:adjustRightInd w:val="0"/>
        <w:snapToGrid w:val="0"/>
        <w:spacing w:after="0" w:line="360" w:lineRule="auto"/>
        <w:jc w:val="both"/>
        <w:rPr>
          <w:rFonts w:ascii="Book Antiqua" w:hAnsi="Book Antiqua" w:cs="Arial"/>
          <w:sz w:val="24"/>
          <w:szCs w:val="24"/>
        </w:rPr>
      </w:pPr>
      <w:r w:rsidRPr="001A403F">
        <w:rPr>
          <w:rFonts w:ascii="Book Antiqua" w:hAnsi="Book Antiqua" w:cs="TimesNewRomanPS-BoldItalicMT"/>
          <w:b/>
          <w:bCs/>
          <w:iCs/>
          <w:color w:val="000000"/>
          <w:sz w:val="24"/>
          <w:szCs w:val="24"/>
          <w:lang w:val="it-IT"/>
        </w:rPr>
        <w:t>Data sharing statement:</w:t>
      </w:r>
      <w:r w:rsidRPr="001A403F">
        <w:rPr>
          <w:rFonts w:ascii="Book Antiqua" w:hAnsi="Book Antiqua" w:cs="TimesNewRomanPS-BoldItalicMT"/>
          <w:b/>
          <w:bCs/>
          <w:iCs/>
          <w:color w:val="000000"/>
          <w:sz w:val="24"/>
          <w:szCs w:val="24"/>
          <w:lang w:eastAsia="zh-CN"/>
        </w:rPr>
        <w:t xml:space="preserve"> </w:t>
      </w:r>
      <w:r w:rsidR="00902829" w:rsidRPr="001A403F">
        <w:rPr>
          <w:rFonts w:ascii="Book Antiqua" w:hAnsi="Book Antiqua" w:cs="Arial"/>
          <w:sz w:val="24"/>
          <w:szCs w:val="24"/>
        </w:rPr>
        <w:t xml:space="preserve">No additional data are available. </w:t>
      </w:r>
    </w:p>
    <w:p w14:paraId="1F9ABC62" w14:textId="77777777" w:rsidR="00173248" w:rsidRPr="001A403F" w:rsidRDefault="00173248" w:rsidP="002E7076">
      <w:pPr>
        <w:shd w:val="clear" w:color="auto" w:fill="FFFFFF"/>
        <w:adjustRightInd w:val="0"/>
        <w:snapToGrid w:val="0"/>
        <w:spacing w:after="0" w:line="360" w:lineRule="auto"/>
        <w:jc w:val="both"/>
        <w:rPr>
          <w:rFonts w:ascii="Book Antiqua" w:hAnsi="Book Antiqua" w:cs="TimesNewRomanPS-BoldItalicMT"/>
          <w:b/>
          <w:bCs/>
          <w:iCs/>
          <w:color w:val="000000"/>
          <w:sz w:val="24"/>
          <w:szCs w:val="24"/>
          <w:lang w:eastAsia="zh-CN"/>
        </w:rPr>
      </w:pPr>
    </w:p>
    <w:p w14:paraId="4AB2B0E4" w14:textId="4C3B3973" w:rsidR="002C51F3" w:rsidRPr="001A403F" w:rsidRDefault="00173248" w:rsidP="002E7076">
      <w:pPr>
        <w:shd w:val="clear" w:color="auto" w:fill="FFFFFF"/>
        <w:adjustRightInd w:val="0"/>
        <w:snapToGrid w:val="0"/>
        <w:spacing w:after="0" w:line="360" w:lineRule="auto"/>
        <w:jc w:val="both"/>
        <w:rPr>
          <w:rFonts w:ascii="Book Antiqua" w:hAnsi="Book Antiqua" w:cs="Times New Roman"/>
          <w:b/>
          <w:sz w:val="24"/>
          <w:szCs w:val="24"/>
        </w:rPr>
      </w:pPr>
      <w:r w:rsidRPr="001A403F">
        <w:rPr>
          <w:rFonts w:ascii="Book Antiqua" w:hAnsi="Book Antiqua" w:cs="Times New Roman"/>
          <w:b/>
          <w:sz w:val="24"/>
          <w:szCs w:val="24"/>
          <w:lang w:val="it-IT"/>
        </w:rPr>
        <w:t>STROBE statement:</w:t>
      </w:r>
      <w:r w:rsidR="00C876BB" w:rsidRPr="001A403F">
        <w:rPr>
          <w:rStyle w:val="Strong"/>
          <w:rFonts w:ascii="Book Antiqua" w:hAnsi="Book Antiqua"/>
          <w:sz w:val="24"/>
          <w:szCs w:val="24"/>
        </w:rPr>
        <w:t xml:space="preserve"> </w:t>
      </w:r>
      <w:r w:rsidR="002C51F3" w:rsidRPr="001A403F">
        <w:rPr>
          <w:rFonts w:ascii="Book Antiqua" w:hAnsi="Book Antiqua" w:cs="TimesNewRomanPS-BoldItalicMT"/>
          <w:bCs/>
          <w:iCs/>
          <w:color w:val="000000"/>
          <w:sz w:val="24"/>
          <w:szCs w:val="24"/>
          <w:lang w:eastAsia="zh-CN"/>
        </w:rPr>
        <w:t>The authors have read the STROBE Statement—checklist of items, and the manuscript was prepared and revised according to the STROBE Statement—checklist of items.</w:t>
      </w:r>
    </w:p>
    <w:p w14:paraId="16AEBDBE" w14:textId="1717D7F5" w:rsidR="00C876BB" w:rsidRPr="001A403F" w:rsidRDefault="00C876BB" w:rsidP="002E7076">
      <w:pPr>
        <w:shd w:val="clear" w:color="auto" w:fill="FFFFFF"/>
        <w:adjustRightInd w:val="0"/>
        <w:snapToGrid w:val="0"/>
        <w:spacing w:after="0" w:line="360" w:lineRule="auto"/>
        <w:jc w:val="both"/>
        <w:rPr>
          <w:rFonts w:ascii="Book Antiqua" w:hAnsi="Book Antiqua" w:cs="TimesNewRomanPS-BoldItalicMT"/>
          <w:b/>
          <w:bCs/>
          <w:iCs/>
          <w:color w:val="000000"/>
          <w:sz w:val="24"/>
          <w:szCs w:val="24"/>
          <w:lang w:eastAsia="zh-CN"/>
        </w:rPr>
      </w:pPr>
    </w:p>
    <w:p w14:paraId="3ADC3083" w14:textId="77777777" w:rsidR="00173248" w:rsidRPr="001A403F" w:rsidRDefault="00173248" w:rsidP="002E7076">
      <w:pPr>
        <w:adjustRightInd w:val="0"/>
        <w:snapToGrid w:val="0"/>
        <w:spacing w:after="0" w:line="360" w:lineRule="auto"/>
        <w:jc w:val="both"/>
        <w:rPr>
          <w:rFonts w:ascii="Book Antiqua" w:hAnsi="Book Antiqua"/>
          <w:sz w:val="24"/>
          <w:szCs w:val="24"/>
        </w:rPr>
      </w:pPr>
      <w:bookmarkStart w:id="56" w:name="_Hlk25573505"/>
      <w:bookmarkStart w:id="57" w:name="OLE_LINK561"/>
      <w:bookmarkStart w:id="58" w:name="_Hlk26521719"/>
      <w:bookmarkStart w:id="59" w:name="OLE_LINK265"/>
      <w:bookmarkStart w:id="60" w:name="OLE_LINK268"/>
      <w:bookmarkStart w:id="61" w:name="OLE_LINK345"/>
      <w:bookmarkStart w:id="62" w:name="OLE_LINK372"/>
      <w:bookmarkStart w:id="63" w:name="OLE_LINK421"/>
      <w:bookmarkStart w:id="64" w:name="OLE_LINK426"/>
      <w:bookmarkStart w:id="65" w:name="OLE_LINK157"/>
      <w:bookmarkStart w:id="66" w:name="OLE_LINK457"/>
      <w:bookmarkStart w:id="67" w:name="OLE_LINK456"/>
      <w:bookmarkStart w:id="68" w:name="OLE_LINK467"/>
      <w:bookmarkStart w:id="69" w:name="OLE_LINK515"/>
      <w:bookmarkStart w:id="70" w:name="OLE_LINK517"/>
      <w:bookmarkStart w:id="71" w:name="OLE_LINK521"/>
      <w:bookmarkStart w:id="72" w:name="OLE_LINK522"/>
      <w:bookmarkStart w:id="73" w:name="OLE_LINK563"/>
      <w:bookmarkStart w:id="74" w:name="OLE_LINK570"/>
      <w:bookmarkStart w:id="75" w:name="OLE_LINK573"/>
      <w:bookmarkStart w:id="76" w:name="OLE_LINK610"/>
      <w:bookmarkStart w:id="77" w:name="OLE_LINK633"/>
      <w:bookmarkStart w:id="78" w:name="OLE_LINK647"/>
      <w:bookmarkStart w:id="79" w:name="OLE_LINK455"/>
      <w:bookmarkStart w:id="80" w:name="OLE_LINK614"/>
      <w:bookmarkStart w:id="81" w:name="OLE_LINK644"/>
      <w:bookmarkStart w:id="82" w:name="OLE_LINK662"/>
      <w:bookmarkStart w:id="83" w:name="OLE_LINK657"/>
      <w:bookmarkStart w:id="84" w:name="OLE_LINK625"/>
      <w:bookmarkStart w:id="85" w:name="OLE_LINK663"/>
      <w:bookmarkStart w:id="86" w:name="OLE_LINK652"/>
      <w:r w:rsidRPr="001A403F">
        <w:rPr>
          <w:rFonts w:ascii="Book Antiqua" w:hAnsi="Book Antiqua"/>
          <w:b/>
          <w:sz w:val="24"/>
          <w:szCs w:val="24"/>
        </w:rPr>
        <w:t xml:space="preserve">Open-Access: </w:t>
      </w:r>
      <w:bookmarkStart w:id="87" w:name="OLE_LINK524"/>
      <w:bookmarkStart w:id="88" w:name="OLE_LINK653"/>
      <w:r w:rsidRPr="001A403F">
        <w:rPr>
          <w:rFonts w:ascii="Book Antiqua" w:hAnsi="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1A403F">
        <w:rPr>
          <w:rFonts w:ascii="Book Antiqua" w:hAnsi="Book Antiqua"/>
          <w:bCs/>
          <w:sz w:val="24"/>
          <w:szCs w:val="24"/>
        </w:rPr>
        <w:t>NonCommercial</w:t>
      </w:r>
      <w:proofErr w:type="spellEnd"/>
      <w:r w:rsidRPr="001A403F">
        <w:rPr>
          <w:rFonts w:ascii="Book Antiqua" w:hAnsi="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7"/>
      <w:bookmarkEnd w:id="88"/>
    </w:p>
    <w:p w14:paraId="2C3DF146" w14:textId="77777777" w:rsidR="00173248" w:rsidRPr="001A403F" w:rsidRDefault="00173248" w:rsidP="002E7076">
      <w:pPr>
        <w:adjustRightInd w:val="0"/>
        <w:snapToGrid w:val="0"/>
        <w:spacing w:after="0" w:line="360" w:lineRule="auto"/>
        <w:jc w:val="both"/>
        <w:rPr>
          <w:rFonts w:ascii="Book Antiqua" w:eastAsia="DengXian" w:hAnsi="Book Antiqua"/>
          <w:b/>
          <w:sz w:val="24"/>
          <w:szCs w:val="24"/>
        </w:rPr>
      </w:pPr>
    </w:p>
    <w:p w14:paraId="5F5DE28B" w14:textId="04D9934E" w:rsidR="00173248" w:rsidRPr="001A403F" w:rsidRDefault="00173248" w:rsidP="002E7076">
      <w:pPr>
        <w:adjustRightInd w:val="0"/>
        <w:snapToGrid w:val="0"/>
        <w:spacing w:after="0" w:line="360" w:lineRule="auto"/>
        <w:jc w:val="both"/>
        <w:rPr>
          <w:rFonts w:ascii="Book Antiqua" w:eastAsia="DengXian" w:hAnsi="Book Antiqua"/>
          <w:sz w:val="24"/>
          <w:szCs w:val="24"/>
        </w:rPr>
      </w:pPr>
      <w:bookmarkStart w:id="89" w:name="OLE_LINK1102"/>
      <w:bookmarkStart w:id="90" w:name="OLE_LINK1103"/>
      <w:bookmarkStart w:id="91" w:name="OLE_LINK172"/>
      <w:bookmarkStart w:id="92" w:name="OLE_LINK176"/>
      <w:r w:rsidRPr="001A403F">
        <w:rPr>
          <w:rFonts w:ascii="Book Antiqua" w:eastAsia="DengXian" w:hAnsi="Book Antiqua"/>
          <w:b/>
          <w:sz w:val="24"/>
          <w:szCs w:val="24"/>
        </w:rPr>
        <w:t>Manuscript source:</w:t>
      </w:r>
      <w:bookmarkEnd w:id="89"/>
      <w:bookmarkEnd w:id="90"/>
      <w:r w:rsidRPr="001A403F">
        <w:rPr>
          <w:rFonts w:ascii="Book Antiqua" w:eastAsia="DengXian" w:hAnsi="Book Antiqua"/>
          <w:b/>
          <w:sz w:val="24"/>
          <w:szCs w:val="24"/>
        </w:rPr>
        <w:t xml:space="preserve"> </w:t>
      </w:r>
      <w:r w:rsidRPr="001A403F">
        <w:rPr>
          <w:rFonts w:ascii="Book Antiqua" w:eastAsia="DengXian" w:hAnsi="Book Antiqua"/>
          <w:sz w:val="24"/>
          <w:szCs w:val="24"/>
        </w:rPr>
        <w:t>Unsolicited manuscript</w:t>
      </w:r>
      <w:bookmarkEnd w:id="56"/>
      <w:bookmarkEnd w:id="57"/>
    </w:p>
    <w:bookmarkEnd w:id="91"/>
    <w:bookmarkEnd w:id="92"/>
    <w:p w14:paraId="2FC8DFB7" w14:textId="77777777" w:rsidR="00173248" w:rsidRPr="001A403F" w:rsidRDefault="00173248" w:rsidP="002E7076">
      <w:pPr>
        <w:adjustRightInd w:val="0"/>
        <w:snapToGrid w:val="0"/>
        <w:spacing w:after="0" w:line="360" w:lineRule="auto"/>
        <w:jc w:val="both"/>
        <w:rPr>
          <w:rFonts w:ascii="Book Antiqua" w:hAnsi="Book Antiqua" w:cs="SimSun"/>
          <w:sz w:val="24"/>
          <w:szCs w:val="24"/>
        </w:rPr>
      </w:pPr>
    </w:p>
    <w:p w14:paraId="483B3490" w14:textId="74B7E107" w:rsidR="00173248" w:rsidRPr="001A403F" w:rsidRDefault="00173248" w:rsidP="002E7076">
      <w:pPr>
        <w:adjustRightInd w:val="0"/>
        <w:snapToGrid w:val="0"/>
        <w:spacing w:after="0" w:line="360" w:lineRule="auto"/>
        <w:jc w:val="both"/>
        <w:rPr>
          <w:rFonts w:ascii="Book Antiqua" w:eastAsia="DengXian" w:hAnsi="Book Antiqua"/>
          <w:b/>
          <w:bCs/>
          <w:color w:val="000000"/>
          <w:sz w:val="24"/>
          <w:szCs w:val="24"/>
        </w:rPr>
      </w:pPr>
      <w:r w:rsidRPr="001A403F">
        <w:rPr>
          <w:rFonts w:ascii="Book Antiqua" w:eastAsia="DengXian" w:hAnsi="Book Antiqua"/>
          <w:b/>
          <w:bCs/>
          <w:color w:val="000000"/>
          <w:sz w:val="24"/>
          <w:szCs w:val="24"/>
        </w:rPr>
        <w:t xml:space="preserve">Corresponding Author's Membership in Professional Societies: </w:t>
      </w:r>
      <w:bookmarkStart w:id="93" w:name="OLE_LINK3"/>
      <w:bookmarkStart w:id="94" w:name="OLE_LINK4"/>
      <w:r w:rsidRPr="00DF2A9D">
        <w:rPr>
          <w:rFonts w:ascii="Book Antiqua" w:eastAsia="DengXian" w:hAnsi="Book Antiqua"/>
          <w:color w:val="000000"/>
          <w:sz w:val="24"/>
          <w:szCs w:val="24"/>
        </w:rPr>
        <w:t>American Association for the Study of Liver Diseases</w:t>
      </w:r>
      <w:bookmarkEnd w:id="93"/>
      <w:bookmarkEnd w:id="94"/>
      <w:r w:rsidRPr="00DF2A9D">
        <w:rPr>
          <w:rFonts w:ascii="Book Antiqua" w:eastAsia="DengXian" w:hAnsi="Book Antiqua"/>
          <w:color w:val="000000"/>
          <w:sz w:val="24"/>
          <w:szCs w:val="24"/>
        </w:rPr>
        <w:t xml:space="preserve"> and American College of Gastroenterology</w:t>
      </w:r>
      <w:r w:rsidR="00DF2A9D">
        <w:rPr>
          <w:rFonts w:ascii="Book Antiqua" w:eastAsia="DengXian" w:hAnsi="Book Antiqua"/>
          <w:color w:val="000000"/>
          <w:sz w:val="24"/>
          <w:szCs w:val="24"/>
        </w:rPr>
        <w:t>.</w:t>
      </w:r>
      <w:r w:rsidRPr="001A403F">
        <w:rPr>
          <w:rFonts w:ascii="Book Antiqua" w:eastAsia="DengXian" w:hAnsi="Book Antiqua"/>
          <w:b/>
          <w:bCs/>
          <w:color w:val="000000"/>
          <w:sz w:val="24"/>
          <w:szCs w:val="24"/>
        </w:rPr>
        <w:t xml:space="preserve"> </w:t>
      </w:r>
    </w:p>
    <w:p w14:paraId="225C6449" w14:textId="77777777" w:rsidR="00173248" w:rsidRPr="001A403F" w:rsidRDefault="00173248" w:rsidP="002E7076">
      <w:pPr>
        <w:adjustRightInd w:val="0"/>
        <w:snapToGrid w:val="0"/>
        <w:spacing w:after="0" w:line="360" w:lineRule="auto"/>
        <w:jc w:val="both"/>
        <w:rPr>
          <w:rFonts w:ascii="Book Antiqua" w:eastAsia="DengXian" w:hAnsi="Book Antiqua"/>
          <w:b/>
          <w:bCs/>
          <w:color w:val="000000"/>
          <w:sz w:val="24"/>
          <w:szCs w:val="24"/>
        </w:rPr>
      </w:pPr>
    </w:p>
    <w:p w14:paraId="4D80148B" w14:textId="4985ABE7" w:rsidR="00173248" w:rsidRPr="001A403F" w:rsidRDefault="00173248" w:rsidP="002E7076">
      <w:pPr>
        <w:adjustRightInd w:val="0"/>
        <w:snapToGrid w:val="0"/>
        <w:spacing w:after="0" w:line="360" w:lineRule="auto"/>
        <w:jc w:val="both"/>
        <w:rPr>
          <w:rFonts w:ascii="Book Antiqua" w:hAnsi="Book Antiqua"/>
          <w:b/>
          <w:sz w:val="24"/>
          <w:szCs w:val="24"/>
        </w:rPr>
      </w:pPr>
      <w:bookmarkStart w:id="95" w:name="_Hlk26890791"/>
      <w:bookmarkStart w:id="96" w:name="_Hlk26802702"/>
      <w:bookmarkStart w:id="97" w:name="OLE_LINK198"/>
      <w:bookmarkStart w:id="98" w:name="OLE_LINK255"/>
      <w:r w:rsidRPr="001A403F">
        <w:rPr>
          <w:rFonts w:ascii="Book Antiqua" w:hAnsi="Book Antiqua"/>
          <w:b/>
          <w:sz w:val="24"/>
          <w:szCs w:val="24"/>
        </w:rPr>
        <w:t xml:space="preserve">Peer-review started: </w:t>
      </w:r>
      <w:r w:rsidRPr="001A403F">
        <w:rPr>
          <w:rFonts w:ascii="Book Antiqua" w:hAnsi="Book Antiqua"/>
          <w:sz w:val="24"/>
          <w:szCs w:val="24"/>
        </w:rPr>
        <w:t>January 26, 2020</w:t>
      </w:r>
    </w:p>
    <w:p w14:paraId="45A0F209" w14:textId="5CE133B4" w:rsidR="00173248" w:rsidRPr="001A403F" w:rsidRDefault="00173248" w:rsidP="002E7076">
      <w:pPr>
        <w:adjustRightInd w:val="0"/>
        <w:snapToGrid w:val="0"/>
        <w:spacing w:after="0" w:line="360" w:lineRule="auto"/>
        <w:jc w:val="both"/>
        <w:rPr>
          <w:rFonts w:ascii="Book Antiqua" w:hAnsi="Book Antiqua"/>
          <w:b/>
          <w:sz w:val="24"/>
          <w:szCs w:val="24"/>
        </w:rPr>
      </w:pPr>
      <w:r w:rsidRPr="001A403F">
        <w:rPr>
          <w:rFonts w:ascii="Book Antiqua" w:hAnsi="Book Antiqua"/>
          <w:b/>
          <w:sz w:val="24"/>
          <w:szCs w:val="24"/>
        </w:rPr>
        <w:t xml:space="preserve">First decision: </w:t>
      </w:r>
      <w:r w:rsidRPr="001A403F">
        <w:rPr>
          <w:rFonts w:ascii="Book Antiqua" w:hAnsi="Book Antiqua"/>
          <w:sz w:val="24"/>
          <w:szCs w:val="24"/>
        </w:rPr>
        <w:t>March 15, 2020</w:t>
      </w:r>
    </w:p>
    <w:p w14:paraId="4A721F6E" w14:textId="77777777" w:rsidR="00173248" w:rsidRPr="001A403F" w:rsidRDefault="00173248" w:rsidP="002E7076">
      <w:pPr>
        <w:adjustRightInd w:val="0"/>
        <w:snapToGrid w:val="0"/>
        <w:spacing w:after="0" w:line="360" w:lineRule="auto"/>
        <w:jc w:val="both"/>
        <w:rPr>
          <w:rFonts w:ascii="Book Antiqua" w:hAnsi="Book Antiqua"/>
          <w:b/>
          <w:sz w:val="24"/>
          <w:szCs w:val="24"/>
        </w:rPr>
      </w:pPr>
      <w:r w:rsidRPr="001A403F">
        <w:rPr>
          <w:rFonts w:ascii="Book Antiqua" w:hAnsi="Book Antiqua"/>
          <w:b/>
          <w:sz w:val="24"/>
          <w:szCs w:val="24"/>
        </w:rPr>
        <w:t>Article in press:</w:t>
      </w:r>
      <w:bookmarkEnd w:id="58"/>
      <w:bookmarkEnd w:id="95"/>
    </w:p>
    <w:bookmarkEnd w:id="96"/>
    <w:p w14:paraId="2577636F" w14:textId="77777777" w:rsidR="00173248" w:rsidRPr="001A403F" w:rsidRDefault="00173248" w:rsidP="002E7076">
      <w:pPr>
        <w:adjustRightInd w:val="0"/>
        <w:snapToGrid w:val="0"/>
        <w:spacing w:after="0" w:line="360" w:lineRule="auto"/>
        <w:jc w:val="both"/>
        <w:rPr>
          <w:rFonts w:ascii="Book Antiqua" w:hAnsi="Book Antiqua" w:cstheme="minorHAnsi"/>
          <w:b/>
          <w:sz w:val="24"/>
          <w:szCs w:val="24"/>
          <w:lang w:val="hu-HU"/>
        </w:rPr>
      </w:pPr>
    </w:p>
    <w:p w14:paraId="702E6AFE" w14:textId="77777777" w:rsidR="00173248" w:rsidRPr="001A403F" w:rsidRDefault="00173248" w:rsidP="002E7076">
      <w:pPr>
        <w:adjustRightInd w:val="0"/>
        <w:snapToGrid w:val="0"/>
        <w:spacing w:after="0" w:line="360" w:lineRule="auto"/>
        <w:jc w:val="both"/>
        <w:rPr>
          <w:rFonts w:ascii="Book Antiqua" w:eastAsia="Microsoft YaHei" w:hAnsi="Book Antiqua" w:cs="SimSun"/>
          <w:sz w:val="24"/>
          <w:szCs w:val="24"/>
        </w:rPr>
      </w:pPr>
      <w:bookmarkStart w:id="99" w:name="_Hlk26541524"/>
      <w:bookmarkStart w:id="100" w:name="OLE_LINK95"/>
      <w:r w:rsidRPr="001A403F">
        <w:rPr>
          <w:rFonts w:ascii="Book Antiqua" w:hAnsi="Book Antiqua" w:cs="SimSun"/>
          <w:b/>
          <w:sz w:val="24"/>
          <w:szCs w:val="24"/>
        </w:rPr>
        <w:t xml:space="preserve">Specialty type: </w:t>
      </w:r>
      <w:r w:rsidRPr="001A403F">
        <w:rPr>
          <w:rFonts w:ascii="Book Antiqua" w:eastAsia="Microsoft YaHei" w:hAnsi="Book Antiqua" w:cs="SimSun"/>
          <w:sz w:val="24"/>
          <w:szCs w:val="24"/>
        </w:rPr>
        <w:t>Gastroenterology and hepatology</w:t>
      </w:r>
    </w:p>
    <w:p w14:paraId="3FCB9207" w14:textId="4CDDA022" w:rsidR="00173248" w:rsidRPr="001A403F" w:rsidRDefault="00173248" w:rsidP="002E7076">
      <w:pPr>
        <w:adjustRightInd w:val="0"/>
        <w:snapToGrid w:val="0"/>
        <w:spacing w:after="0" w:line="360" w:lineRule="auto"/>
        <w:jc w:val="both"/>
        <w:rPr>
          <w:rFonts w:ascii="Book Antiqua" w:hAnsi="Book Antiqua" w:cs="SimSun"/>
          <w:sz w:val="24"/>
          <w:szCs w:val="24"/>
        </w:rPr>
      </w:pPr>
      <w:r w:rsidRPr="001A403F">
        <w:rPr>
          <w:rFonts w:ascii="Book Antiqua" w:hAnsi="Book Antiqua" w:cs="SimSun"/>
          <w:b/>
          <w:sz w:val="24"/>
          <w:szCs w:val="24"/>
        </w:rPr>
        <w:t xml:space="preserve">Country/Territory of origin: </w:t>
      </w:r>
      <w:r w:rsidR="00A065E4" w:rsidRPr="001A403F">
        <w:rPr>
          <w:rFonts w:ascii="Book Antiqua" w:hAnsi="Book Antiqua" w:cs="SimSun"/>
          <w:sz w:val="24"/>
          <w:szCs w:val="24"/>
        </w:rPr>
        <w:t>United States</w:t>
      </w:r>
    </w:p>
    <w:p w14:paraId="7FADE4D7" w14:textId="77777777" w:rsidR="00173248" w:rsidRPr="001A403F" w:rsidRDefault="00173248" w:rsidP="002E7076">
      <w:pPr>
        <w:adjustRightInd w:val="0"/>
        <w:snapToGrid w:val="0"/>
        <w:spacing w:after="0" w:line="360" w:lineRule="auto"/>
        <w:jc w:val="both"/>
        <w:rPr>
          <w:rFonts w:ascii="Book Antiqua" w:hAnsi="Book Antiqua" w:cs="SimSun"/>
          <w:b/>
          <w:sz w:val="24"/>
          <w:szCs w:val="24"/>
        </w:rPr>
      </w:pPr>
      <w:bookmarkStart w:id="101" w:name="OLE_LINK463"/>
      <w:bookmarkStart w:id="102" w:name="OLE_LINK487"/>
      <w:bookmarkStart w:id="103" w:name="_Hlk33631519"/>
      <w:bookmarkStart w:id="104" w:name="OLE_LINK425"/>
      <w:r w:rsidRPr="001A403F">
        <w:rPr>
          <w:rFonts w:ascii="Book Antiqua" w:hAnsi="Book Antiqua" w:cs="SimSun"/>
          <w:b/>
          <w:sz w:val="24"/>
          <w:szCs w:val="24"/>
        </w:rPr>
        <w:t>Peer-review report’s scientific quality classification</w:t>
      </w:r>
      <w:bookmarkEnd w:id="101"/>
      <w:bookmarkEnd w:id="102"/>
    </w:p>
    <w:p w14:paraId="4D310530" w14:textId="77777777" w:rsidR="00173248" w:rsidRPr="001A403F" w:rsidRDefault="00173248" w:rsidP="002E7076">
      <w:pPr>
        <w:adjustRightInd w:val="0"/>
        <w:snapToGrid w:val="0"/>
        <w:spacing w:after="0" w:line="360" w:lineRule="auto"/>
        <w:jc w:val="both"/>
        <w:rPr>
          <w:rFonts w:ascii="Book Antiqua" w:hAnsi="Book Antiqua" w:cs="SimSun"/>
          <w:sz w:val="24"/>
          <w:szCs w:val="24"/>
        </w:rPr>
      </w:pPr>
      <w:r w:rsidRPr="001A403F">
        <w:rPr>
          <w:rFonts w:ascii="Book Antiqua" w:hAnsi="Book Antiqua" w:cs="SimSun"/>
          <w:sz w:val="24"/>
          <w:szCs w:val="24"/>
        </w:rPr>
        <w:t>Grade A (Excellent): A</w:t>
      </w:r>
    </w:p>
    <w:p w14:paraId="6CA0F0A8" w14:textId="77777777" w:rsidR="00173248" w:rsidRPr="001A403F" w:rsidRDefault="00173248" w:rsidP="002E7076">
      <w:pPr>
        <w:adjustRightInd w:val="0"/>
        <w:snapToGrid w:val="0"/>
        <w:spacing w:after="0" w:line="360" w:lineRule="auto"/>
        <w:jc w:val="both"/>
        <w:rPr>
          <w:rFonts w:ascii="Book Antiqua" w:hAnsi="Book Antiqua" w:cs="SimSun"/>
          <w:sz w:val="24"/>
          <w:szCs w:val="24"/>
        </w:rPr>
      </w:pPr>
      <w:r w:rsidRPr="001A403F">
        <w:rPr>
          <w:rFonts w:ascii="Book Antiqua" w:hAnsi="Book Antiqua" w:cs="SimSun"/>
          <w:sz w:val="24"/>
          <w:szCs w:val="24"/>
        </w:rPr>
        <w:t>Grade B (Very good): 0</w:t>
      </w:r>
    </w:p>
    <w:p w14:paraId="753D3E49" w14:textId="77777777" w:rsidR="00173248" w:rsidRPr="001A403F" w:rsidRDefault="00173248" w:rsidP="002E7076">
      <w:pPr>
        <w:adjustRightInd w:val="0"/>
        <w:snapToGrid w:val="0"/>
        <w:spacing w:after="0" w:line="360" w:lineRule="auto"/>
        <w:jc w:val="both"/>
        <w:rPr>
          <w:rFonts w:ascii="Book Antiqua" w:hAnsi="Book Antiqua" w:cs="SimSun"/>
          <w:sz w:val="24"/>
          <w:szCs w:val="24"/>
        </w:rPr>
      </w:pPr>
      <w:r w:rsidRPr="001A403F">
        <w:rPr>
          <w:rFonts w:ascii="Book Antiqua" w:hAnsi="Book Antiqua" w:cs="SimSun"/>
          <w:sz w:val="24"/>
          <w:szCs w:val="24"/>
        </w:rPr>
        <w:t>Grade C (Good): C</w:t>
      </w:r>
    </w:p>
    <w:p w14:paraId="498B6E08" w14:textId="77777777" w:rsidR="00173248" w:rsidRPr="001A403F" w:rsidRDefault="00173248" w:rsidP="002E7076">
      <w:pPr>
        <w:adjustRightInd w:val="0"/>
        <w:snapToGrid w:val="0"/>
        <w:spacing w:after="0" w:line="360" w:lineRule="auto"/>
        <w:jc w:val="both"/>
        <w:rPr>
          <w:rFonts w:ascii="Book Antiqua" w:hAnsi="Book Antiqua" w:cs="SimSun"/>
          <w:sz w:val="24"/>
          <w:szCs w:val="24"/>
        </w:rPr>
      </w:pPr>
      <w:r w:rsidRPr="001A403F">
        <w:rPr>
          <w:rFonts w:ascii="Book Antiqua" w:hAnsi="Book Antiqua" w:cs="SimSun"/>
          <w:sz w:val="24"/>
          <w:szCs w:val="24"/>
        </w:rPr>
        <w:t>Grade D (Fair): 0</w:t>
      </w:r>
    </w:p>
    <w:p w14:paraId="0508F7F6" w14:textId="72DB9CA7" w:rsidR="00173248" w:rsidRPr="001A403F" w:rsidRDefault="00173248" w:rsidP="002E7076">
      <w:pPr>
        <w:adjustRightInd w:val="0"/>
        <w:snapToGrid w:val="0"/>
        <w:spacing w:after="0" w:line="360" w:lineRule="auto"/>
        <w:jc w:val="both"/>
        <w:rPr>
          <w:rFonts w:ascii="Book Antiqua" w:eastAsia="DengXian" w:hAnsi="Book Antiqua"/>
          <w:sz w:val="24"/>
          <w:szCs w:val="24"/>
          <w:lang w:val="hu-HU"/>
        </w:rPr>
      </w:pPr>
      <w:r w:rsidRPr="001A403F">
        <w:rPr>
          <w:rFonts w:ascii="Book Antiqua" w:hAnsi="Book Antiqua" w:cs="SimSun"/>
          <w:sz w:val="24"/>
          <w:szCs w:val="24"/>
        </w:rPr>
        <w:t xml:space="preserve">Grade E (Poor): </w:t>
      </w:r>
      <w:r w:rsidR="00A065E4" w:rsidRPr="001A403F">
        <w:rPr>
          <w:rFonts w:ascii="Book Antiqua" w:hAnsi="Book Antiqua" w:cs="SimSun"/>
          <w:sz w:val="24"/>
          <w:szCs w:val="24"/>
        </w:rPr>
        <w:t>E</w:t>
      </w:r>
    </w:p>
    <w:p w14:paraId="441D3DAE" w14:textId="77777777" w:rsidR="00173248" w:rsidRPr="001A403F" w:rsidRDefault="00173248" w:rsidP="002E7076">
      <w:pPr>
        <w:adjustRightInd w:val="0"/>
        <w:snapToGrid w:val="0"/>
        <w:spacing w:after="0" w:line="360" w:lineRule="auto"/>
        <w:jc w:val="both"/>
        <w:rPr>
          <w:rFonts w:ascii="Book Antiqua" w:eastAsia="DengXian" w:hAnsi="Book Antiqua"/>
          <w:sz w:val="24"/>
          <w:szCs w:val="24"/>
        </w:rPr>
      </w:pPr>
    </w:p>
    <w:p w14:paraId="08C48A0E" w14:textId="21AE0E77" w:rsidR="00173248" w:rsidRPr="001A403F" w:rsidRDefault="00173248" w:rsidP="002E7076">
      <w:pPr>
        <w:shd w:val="clear" w:color="auto" w:fill="FFFFFF"/>
        <w:adjustRightInd w:val="0"/>
        <w:snapToGrid w:val="0"/>
        <w:spacing w:after="0" w:line="360" w:lineRule="auto"/>
        <w:jc w:val="both"/>
        <w:rPr>
          <w:rFonts w:ascii="Book Antiqua" w:hAnsi="Book Antiqua" w:cs="TimesNewRomanPS-BoldItalicMT"/>
          <w:b/>
          <w:bCs/>
          <w:iCs/>
          <w:color w:val="000000"/>
          <w:sz w:val="24"/>
          <w:szCs w:val="24"/>
          <w:lang w:eastAsia="zh-CN"/>
        </w:rPr>
      </w:pPr>
      <w:bookmarkStart w:id="105" w:name="_Hlk26541535"/>
      <w:bookmarkStart w:id="106" w:name="OLE_LINK357"/>
      <w:bookmarkEnd w:id="99"/>
      <w:r w:rsidRPr="001A403F">
        <w:rPr>
          <w:rFonts w:ascii="Book Antiqua" w:hAnsi="Book Antiqua"/>
          <w:b/>
          <w:bCs/>
          <w:color w:val="000000"/>
          <w:sz w:val="24"/>
          <w:szCs w:val="24"/>
        </w:rPr>
        <w:t>P-Reviewer:</w:t>
      </w:r>
      <w:r w:rsidRPr="001A403F">
        <w:rPr>
          <w:rFonts w:ascii="Book Antiqua" w:hAnsi="Book Antiqua"/>
          <w:bCs/>
          <w:color w:val="000000"/>
          <w:sz w:val="24"/>
          <w:szCs w:val="24"/>
        </w:rPr>
        <w:t xml:space="preserve"> </w:t>
      </w:r>
      <w:r w:rsidR="00A065E4" w:rsidRPr="001A403F">
        <w:rPr>
          <w:rFonts w:ascii="Book Antiqua" w:hAnsi="Book Antiqua"/>
          <w:bCs/>
          <w:color w:val="000000"/>
          <w:sz w:val="24"/>
          <w:szCs w:val="24"/>
        </w:rPr>
        <w:t xml:space="preserve">de </w:t>
      </w:r>
      <w:proofErr w:type="spellStart"/>
      <w:r w:rsidR="00A065E4" w:rsidRPr="001A403F">
        <w:rPr>
          <w:rFonts w:ascii="Book Antiqua" w:hAnsi="Book Antiqua"/>
          <w:bCs/>
          <w:color w:val="000000"/>
          <w:sz w:val="24"/>
          <w:szCs w:val="24"/>
        </w:rPr>
        <w:t>Mattos</w:t>
      </w:r>
      <w:proofErr w:type="spellEnd"/>
      <w:r w:rsidRPr="001A403F">
        <w:rPr>
          <w:rFonts w:ascii="Book Antiqua" w:hAnsi="Book Antiqua"/>
          <w:bCs/>
          <w:color w:val="000000"/>
          <w:sz w:val="24"/>
          <w:szCs w:val="24"/>
        </w:rPr>
        <w:t xml:space="preserve"> </w:t>
      </w:r>
      <w:r w:rsidR="00A065E4" w:rsidRPr="001A403F">
        <w:rPr>
          <w:rFonts w:ascii="Book Antiqua" w:hAnsi="Book Antiqua"/>
          <w:bCs/>
          <w:color w:val="000000"/>
          <w:sz w:val="24"/>
          <w:szCs w:val="24"/>
        </w:rPr>
        <w:t>A</w:t>
      </w:r>
      <w:r w:rsidRPr="001A403F">
        <w:rPr>
          <w:rFonts w:ascii="Book Antiqua" w:hAnsi="Book Antiqua"/>
          <w:bCs/>
          <w:color w:val="000000"/>
          <w:sz w:val="24"/>
          <w:szCs w:val="24"/>
        </w:rPr>
        <w:t xml:space="preserve">, </w:t>
      </w:r>
      <w:proofErr w:type="spellStart"/>
      <w:r w:rsidR="00A065E4" w:rsidRPr="001A403F">
        <w:rPr>
          <w:rFonts w:ascii="Book Antiqua" w:hAnsi="Book Antiqua"/>
          <w:bCs/>
          <w:color w:val="000000"/>
          <w:sz w:val="24"/>
          <w:szCs w:val="24"/>
        </w:rPr>
        <w:t>Iyngkaran</w:t>
      </w:r>
      <w:proofErr w:type="spellEnd"/>
      <w:r w:rsidRPr="001A403F">
        <w:rPr>
          <w:rFonts w:ascii="Book Antiqua" w:hAnsi="Book Antiqua"/>
          <w:bCs/>
          <w:color w:val="000000"/>
          <w:sz w:val="24"/>
          <w:szCs w:val="24"/>
        </w:rPr>
        <w:t xml:space="preserve"> </w:t>
      </w:r>
      <w:r w:rsidR="00A065E4" w:rsidRPr="001A403F">
        <w:rPr>
          <w:rFonts w:ascii="Book Antiqua" w:hAnsi="Book Antiqua"/>
          <w:bCs/>
          <w:color w:val="000000"/>
          <w:sz w:val="24"/>
          <w:szCs w:val="24"/>
        </w:rPr>
        <w:t>P, Qi</w:t>
      </w:r>
      <w:r w:rsidRPr="001A403F">
        <w:rPr>
          <w:rFonts w:ascii="Book Antiqua" w:hAnsi="Book Antiqua"/>
          <w:bCs/>
          <w:color w:val="000000"/>
          <w:sz w:val="24"/>
          <w:szCs w:val="24"/>
        </w:rPr>
        <w:t xml:space="preserve"> </w:t>
      </w:r>
      <w:r w:rsidR="00A065E4" w:rsidRPr="001A403F">
        <w:rPr>
          <w:rFonts w:ascii="Book Antiqua" w:hAnsi="Book Antiqua"/>
          <w:bCs/>
          <w:color w:val="000000"/>
          <w:sz w:val="24"/>
          <w:szCs w:val="24"/>
        </w:rPr>
        <w:t xml:space="preserve">XS </w:t>
      </w:r>
      <w:r w:rsidRPr="001A403F">
        <w:rPr>
          <w:rFonts w:ascii="Book Antiqua" w:hAnsi="Book Antiqua"/>
          <w:b/>
          <w:bCs/>
          <w:color w:val="000000"/>
          <w:sz w:val="24"/>
          <w:szCs w:val="24"/>
        </w:rPr>
        <w:t>S-Editor:</w:t>
      </w:r>
      <w:r w:rsidRPr="001A403F">
        <w:rPr>
          <w:rFonts w:ascii="Book Antiqua" w:hAnsi="Book Antiqua"/>
          <w:color w:val="000000"/>
          <w:sz w:val="24"/>
          <w:szCs w:val="24"/>
        </w:rPr>
        <w:t xml:space="preserve"> Wang J </w:t>
      </w:r>
      <w:r w:rsidRPr="001A403F">
        <w:rPr>
          <w:rFonts w:ascii="Book Antiqua" w:hAnsi="Book Antiqua"/>
          <w:b/>
          <w:bCs/>
          <w:color w:val="000000"/>
          <w:sz w:val="24"/>
          <w:szCs w:val="24"/>
        </w:rPr>
        <w:t>L-Editor:</w:t>
      </w:r>
      <w:r w:rsidRPr="001A403F">
        <w:rPr>
          <w:rFonts w:ascii="Book Antiqua" w:hAnsi="Book Antiqua"/>
          <w:color w:val="000000"/>
          <w:sz w:val="24"/>
          <w:szCs w:val="24"/>
        </w:rPr>
        <w:t xml:space="preserve"> </w:t>
      </w:r>
      <w:r w:rsidRPr="001A403F">
        <w:rPr>
          <w:rFonts w:ascii="Book Antiqua" w:hAnsi="Book Antiqua"/>
          <w:b/>
          <w:bCs/>
          <w:color w:val="000000"/>
          <w:sz w:val="24"/>
          <w:szCs w:val="24"/>
        </w:rPr>
        <w:t>E-Editor:</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97"/>
      <w:bookmarkEnd w:id="98"/>
      <w:bookmarkEnd w:id="100"/>
      <w:bookmarkEnd w:id="103"/>
      <w:bookmarkEnd w:id="104"/>
      <w:bookmarkEnd w:id="105"/>
      <w:bookmarkEnd w:id="106"/>
    </w:p>
    <w:p w14:paraId="133964C8" w14:textId="77777777" w:rsidR="00173248" w:rsidRPr="001A403F" w:rsidRDefault="00173248" w:rsidP="002E7076">
      <w:pPr>
        <w:shd w:val="clear" w:color="auto" w:fill="FFFFFF"/>
        <w:adjustRightInd w:val="0"/>
        <w:snapToGrid w:val="0"/>
        <w:spacing w:after="0" w:line="360" w:lineRule="auto"/>
        <w:jc w:val="both"/>
        <w:rPr>
          <w:rFonts w:ascii="Book Antiqua" w:hAnsi="Book Antiqua" w:cs="TimesNewRomanPS-BoldItalicMT"/>
          <w:b/>
          <w:bCs/>
          <w:iCs/>
          <w:color w:val="000000"/>
          <w:sz w:val="24"/>
          <w:szCs w:val="24"/>
          <w:lang w:eastAsia="zh-CN"/>
        </w:rPr>
      </w:pPr>
    </w:p>
    <w:p w14:paraId="68360E3B" w14:textId="7CCCE76A" w:rsidR="00C876BB" w:rsidRPr="001A403F" w:rsidRDefault="00C876BB" w:rsidP="002E7076">
      <w:pPr>
        <w:adjustRightInd w:val="0"/>
        <w:snapToGrid w:val="0"/>
        <w:spacing w:after="0" w:line="360" w:lineRule="auto"/>
        <w:jc w:val="both"/>
        <w:rPr>
          <w:rFonts w:ascii="Book Antiqua" w:hAnsi="Book Antiqua" w:cs="TimesNewRomanPS-BoldItalicMT"/>
          <w:b/>
          <w:bCs/>
          <w:iCs/>
          <w:color w:val="000000"/>
          <w:sz w:val="24"/>
          <w:szCs w:val="24"/>
          <w:lang w:eastAsia="zh-CN"/>
        </w:rPr>
      </w:pPr>
      <w:r w:rsidRPr="001A403F">
        <w:rPr>
          <w:rFonts w:ascii="Book Antiqua" w:hAnsi="Book Antiqua" w:cs="TimesNewRomanPS-BoldItalicMT"/>
          <w:b/>
          <w:bCs/>
          <w:iCs/>
          <w:color w:val="000000"/>
          <w:sz w:val="24"/>
          <w:szCs w:val="24"/>
          <w:lang w:eastAsia="zh-CN"/>
        </w:rPr>
        <w:br w:type="page"/>
      </w:r>
    </w:p>
    <w:p w14:paraId="581E48E1" w14:textId="7F1B355E" w:rsidR="003D150B" w:rsidRPr="001A403F" w:rsidRDefault="00FD6C85" w:rsidP="00FD6C85">
      <w:pPr>
        <w:shd w:val="clear" w:color="auto" w:fill="FFFFFF"/>
        <w:adjustRightInd w:val="0"/>
        <w:snapToGrid w:val="0"/>
        <w:spacing w:after="0" w:line="360" w:lineRule="auto"/>
        <w:jc w:val="both"/>
        <w:rPr>
          <w:rFonts w:ascii="Book Antiqua" w:hAnsi="Book Antiqua"/>
          <w:b/>
          <w:sz w:val="24"/>
          <w:szCs w:val="24"/>
        </w:rPr>
      </w:pPr>
      <w:bookmarkStart w:id="107" w:name="_Hlk39915099"/>
      <w:r w:rsidRPr="001A403F">
        <w:rPr>
          <w:rFonts w:ascii="Book Antiqua" w:hAnsi="Book Antiqua"/>
          <w:b/>
          <w:sz w:val="24"/>
          <w:szCs w:val="24"/>
        </w:rPr>
        <w:lastRenderedPageBreak/>
        <w:t>Figure Legends</w:t>
      </w:r>
      <w:bookmarkEnd w:id="107"/>
    </w:p>
    <w:p w14:paraId="51DB436B" w14:textId="55E62471" w:rsidR="00FD6C85" w:rsidRPr="001A403F" w:rsidRDefault="00FD6C85" w:rsidP="00FD6C85">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hAnsi="Book Antiqua" w:cs="Times New Roman"/>
          <w:b/>
          <w:noProof/>
          <w:sz w:val="24"/>
          <w:szCs w:val="24"/>
          <w:lang w:eastAsia="zh-CN"/>
        </w:rPr>
        <w:drawing>
          <wp:inline distT="0" distB="0" distL="0" distR="0" wp14:anchorId="5CF85D39" wp14:editId="7328AE35">
            <wp:extent cx="4150581" cy="4150581"/>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2575" cy="4152575"/>
                    </a:xfrm>
                    <a:prstGeom prst="rect">
                      <a:avLst/>
                    </a:prstGeom>
                  </pic:spPr>
                </pic:pic>
              </a:graphicData>
            </a:graphic>
          </wp:inline>
        </w:drawing>
      </w:r>
    </w:p>
    <w:p w14:paraId="7910F05E" w14:textId="5DDD92FA" w:rsidR="00FD6C85" w:rsidRPr="001A403F" w:rsidRDefault="00FD6C85" w:rsidP="00FD6C85">
      <w:pPr>
        <w:shd w:val="clear" w:color="auto" w:fill="FFFFFF"/>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
          <w:sz w:val="24"/>
          <w:szCs w:val="24"/>
        </w:rPr>
        <w:t xml:space="preserve">Figure 1 Training </w:t>
      </w:r>
      <w:r w:rsidR="004E264E" w:rsidRPr="001A403F">
        <w:rPr>
          <w:rFonts w:ascii="Book Antiqua" w:hAnsi="Book Antiqua" w:cs="Times New Roman"/>
          <w:b/>
          <w:sz w:val="24"/>
          <w:szCs w:val="24"/>
        </w:rPr>
        <w:t>c</w:t>
      </w:r>
      <w:r w:rsidRPr="001A403F">
        <w:rPr>
          <w:rFonts w:ascii="Book Antiqua" w:hAnsi="Book Antiqua" w:cs="Times New Roman"/>
          <w:b/>
          <w:sz w:val="24"/>
          <w:szCs w:val="24"/>
        </w:rPr>
        <w:t xml:space="preserve">ohort: Predictive </w:t>
      </w:r>
      <w:r w:rsidR="004E264E" w:rsidRPr="001A403F">
        <w:rPr>
          <w:rFonts w:ascii="Book Antiqua" w:hAnsi="Book Antiqua" w:cs="Times New Roman"/>
          <w:b/>
          <w:sz w:val="24"/>
          <w:szCs w:val="24"/>
        </w:rPr>
        <w:t>s</w:t>
      </w:r>
      <w:r w:rsidRPr="001A403F">
        <w:rPr>
          <w:rFonts w:ascii="Book Antiqua" w:hAnsi="Book Antiqua" w:cs="Times New Roman"/>
          <w:b/>
          <w:sz w:val="24"/>
          <w:szCs w:val="24"/>
        </w:rPr>
        <w:t xml:space="preserve">cores for In-Hospital </w:t>
      </w:r>
      <w:r w:rsidR="004E264E" w:rsidRPr="001A403F">
        <w:rPr>
          <w:rFonts w:ascii="Book Antiqua" w:hAnsi="Book Antiqua" w:cs="Times New Roman"/>
          <w:b/>
          <w:sz w:val="24"/>
          <w:szCs w:val="24"/>
        </w:rPr>
        <w:t>m</w:t>
      </w:r>
      <w:r w:rsidRPr="001A403F">
        <w:rPr>
          <w:rFonts w:ascii="Book Antiqua" w:hAnsi="Book Antiqua" w:cs="Times New Roman"/>
          <w:b/>
          <w:sz w:val="24"/>
          <w:szCs w:val="24"/>
        </w:rPr>
        <w:t>ortality in cirrhotic patients.</w:t>
      </w:r>
      <w:r w:rsidRPr="001A403F">
        <w:rPr>
          <w:rFonts w:ascii="Book Antiqua" w:hAnsi="Book Antiqua" w:cs="Times New Roman"/>
          <w:sz w:val="24"/>
          <w:szCs w:val="24"/>
          <w:lang w:eastAsia="zh-CN"/>
        </w:rPr>
        <w:t xml:space="preserve"> </w:t>
      </w:r>
      <w:r w:rsidRPr="001A403F">
        <w:rPr>
          <w:rFonts w:ascii="Book Antiqua" w:hAnsi="Book Antiqua" w:cs="Times New Roman"/>
          <w:sz w:val="24"/>
          <w:szCs w:val="24"/>
        </w:rPr>
        <w:t>LIV-4:</w:t>
      </w:r>
      <w:r w:rsidR="004E264E">
        <w:rPr>
          <w:rFonts w:ascii="Book Antiqua" w:hAnsi="Book Antiqua" w:cs="Times New Roman"/>
          <w:sz w:val="24"/>
          <w:szCs w:val="24"/>
        </w:rPr>
        <w:t xml:space="preserve"> </w:t>
      </w:r>
      <w:r w:rsidR="004E264E" w:rsidRPr="001A403F">
        <w:rPr>
          <w:rFonts w:ascii="Book Antiqua" w:hAnsi="Book Antiqua" w:cs="Times New Roman"/>
          <w:sz w:val="24"/>
          <w:szCs w:val="24"/>
        </w:rPr>
        <w:t>LIV-4</w:t>
      </w:r>
      <w:r w:rsidR="004E264E">
        <w:rPr>
          <w:rFonts w:ascii="Book Antiqua" w:hAnsi="Book Antiqua" w:cs="Times New Roman"/>
          <w:sz w:val="24"/>
          <w:szCs w:val="24"/>
        </w:rPr>
        <w:t xml:space="preserve"> </w:t>
      </w:r>
      <w:r w:rsidR="004E264E">
        <w:rPr>
          <w:rFonts w:ascii="Book Antiqua" w:hAnsi="Book Antiqua" w:cs="Times New Roman" w:hint="eastAsia"/>
          <w:sz w:val="24"/>
          <w:szCs w:val="24"/>
          <w:lang w:eastAsia="zh-CN"/>
        </w:rPr>
        <w:t>sc</w:t>
      </w:r>
      <w:r w:rsidR="004E264E">
        <w:rPr>
          <w:rFonts w:ascii="Book Antiqua" w:hAnsi="Book Antiqua" w:cs="Times New Roman"/>
          <w:sz w:val="24"/>
          <w:szCs w:val="24"/>
        </w:rPr>
        <w:t>ore</w:t>
      </w:r>
      <w:r w:rsidRPr="001A403F">
        <w:rPr>
          <w:rFonts w:ascii="Book Antiqua" w:hAnsi="Book Antiqua" w:cs="Times New Roman"/>
          <w:sz w:val="24"/>
          <w:szCs w:val="24"/>
        </w:rPr>
        <w:t>; MELD: Model for end-stage liver disease; MELD-Na: Model for end-stage liver disease-Sodium; CLIF-SOFA: Chronic liver failure-sequential organ failure assessment.</w:t>
      </w:r>
    </w:p>
    <w:p w14:paraId="69FB6717" w14:textId="15134D3B" w:rsidR="00FD6C85" w:rsidRPr="001A403F" w:rsidRDefault="004E264E" w:rsidP="004E264E">
      <w:pPr>
        <w:rPr>
          <w:rFonts w:ascii="Book Antiqua" w:eastAsia="Times New Roman" w:hAnsi="Book Antiqua" w:cs="Arial"/>
          <w:sz w:val="24"/>
          <w:szCs w:val="24"/>
          <w:lang w:val="en"/>
        </w:rPr>
      </w:pPr>
      <w:r>
        <w:rPr>
          <w:rFonts w:ascii="Book Antiqua" w:eastAsia="Times New Roman" w:hAnsi="Book Antiqua" w:cs="Arial"/>
          <w:sz w:val="24"/>
          <w:szCs w:val="24"/>
          <w:lang w:val="en"/>
        </w:rPr>
        <w:br w:type="page"/>
      </w:r>
    </w:p>
    <w:p w14:paraId="0739A99C" w14:textId="6B13530B" w:rsidR="00FD6C85" w:rsidRPr="004E264E" w:rsidRDefault="004E264E" w:rsidP="00FD6C85">
      <w:pPr>
        <w:shd w:val="clear" w:color="auto" w:fill="FFFFFF"/>
        <w:adjustRightInd w:val="0"/>
        <w:snapToGrid w:val="0"/>
        <w:spacing w:after="0" w:line="360" w:lineRule="auto"/>
        <w:jc w:val="both"/>
        <w:rPr>
          <w:rFonts w:ascii="Book Antiqua" w:eastAsia="Times New Roman" w:hAnsi="Book Antiqua" w:cs="Arial"/>
          <w:sz w:val="24"/>
          <w:szCs w:val="24"/>
          <w:lang w:val="en"/>
        </w:rPr>
      </w:pPr>
      <w:r>
        <w:rPr>
          <w:noProof/>
          <w:lang w:eastAsia="zh-CN"/>
        </w:rPr>
        <w:lastRenderedPageBreak/>
        <w:drawing>
          <wp:inline distT="0" distB="0" distL="0" distR="0" wp14:anchorId="5F65CE65" wp14:editId="776AB7D8">
            <wp:extent cx="5290646" cy="3538330"/>
            <wp:effectExtent l="0" t="0" r="571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4199" cy="3547394"/>
                    </a:xfrm>
                    <a:prstGeom prst="rect">
                      <a:avLst/>
                    </a:prstGeom>
                  </pic:spPr>
                </pic:pic>
              </a:graphicData>
            </a:graphic>
          </wp:inline>
        </w:drawing>
      </w:r>
    </w:p>
    <w:p w14:paraId="22DB495A" w14:textId="541BBE9F" w:rsidR="00644A35" w:rsidRDefault="00FD6C85" w:rsidP="00644A35">
      <w:pPr>
        <w:adjustRightInd w:val="0"/>
        <w:snapToGrid w:val="0"/>
        <w:spacing w:after="0" w:line="360" w:lineRule="auto"/>
        <w:jc w:val="both"/>
        <w:rPr>
          <w:rFonts w:ascii="Book Antiqua" w:hAnsi="Book Antiqua" w:cs="Times New Roman"/>
          <w:sz w:val="24"/>
          <w:szCs w:val="24"/>
        </w:rPr>
      </w:pPr>
      <w:r w:rsidRPr="004E264E">
        <w:rPr>
          <w:rFonts w:ascii="Book Antiqua" w:hAnsi="Book Antiqua" w:cs="Times New Roman"/>
          <w:b/>
          <w:sz w:val="24"/>
          <w:szCs w:val="24"/>
        </w:rPr>
        <w:t>Figure 2 LIV-4 score is higher in subjects who expire during the hospital admission</w:t>
      </w:r>
      <w:r w:rsidR="004E264E">
        <w:rPr>
          <w:rFonts w:ascii="Book Antiqua" w:hAnsi="Book Antiqua" w:cs="Times New Roman"/>
          <w:b/>
          <w:sz w:val="24"/>
          <w:szCs w:val="24"/>
        </w:rPr>
        <w:t>.</w:t>
      </w:r>
      <w:r w:rsidR="00644A35">
        <w:rPr>
          <w:rFonts w:ascii="Book Antiqua" w:hAnsi="Book Antiqua" w:cs="Times New Roman" w:hint="eastAsia"/>
          <w:b/>
          <w:sz w:val="24"/>
          <w:szCs w:val="24"/>
          <w:lang w:eastAsia="zh-CN"/>
        </w:rPr>
        <w:t xml:space="preserve"> </w:t>
      </w:r>
      <w:r w:rsidRPr="001A403F">
        <w:rPr>
          <w:rFonts w:ascii="Book Antiqua" w:hAnsi="Book Antiqua" w:cs="Times New Roman"/>
          <w:sz w:val="24"/>
          <w:szCs w:val="24"/>
        </w:rPr>
        <w:t>The box-and-whisker plot is represented by the lower boundary of the box indicating the 25</w:t>
      </w:r>
      <w:r w:rsidRPr="004E264E">
        <w:rPr>
          <w:rFonts w:ascii="Book Antiqua" w:hAnsi="Book Antiqua" w:cs="Times New Roman"/>
          <w:sz w:val="24"/>
          <w:szCs w:val="24"/>
          <w:vertAlign w:val="superscript"/>
        </w:rPr>
        <w:t>th</w:t>
      </w:r>
      <w:r w:rsidRPr="001A403F">
        <w:rPr>
          <w:rFonts w:ascii="Book Antiqua" w:hAnsi="Book Antiqua" w:cs="Times New Roman"/>
          <w:sz w:val="24"/>
          <w:szCs w:val="24"/>
        </w:rPr>
        <w:t xml:space="preserve"> percentile, the line within the box indicating the median value, the upper boundary of the box indicating the 75</w:t>
      </w:r>
      <w:r w:rsidRPr="004E264E">
        <w:rPr>
          <w:rFonts w:ascii="Book Antiqua" w:hAnsi="Book Antiqua" w:cs="Times New Roman"/>
          <w:sz w:val="24"/>
          <w:szCs w:val="24"/>
          <w:vertAlign w:val="superscript"/>
        </w:rPr>
        <w:t>th</w:t>
      </w:r>
      <w:r w:rsidRPr="001A403F">
        <w:rPr>
          <w:rFonts w:ascii="Book Antiqua" w:hAnsi="Book Antiqua" w:cs="Times New Roman"/>
          <w:sz w:val="24"/>
          <w:szCs w:val="24"/>
        </w:rPr>
        <w:t xml:space="preserve"> percentile. The whiskers extend to the most extreme data point, which is no more than 1.5 times the </w:t>
      </w:r>
      <w:r w:rsidR="004E264E" w:rsidRPr="001A403F">
        <w:rPr>
          <w:rFonts w:ascii="Book Antiqua" w:hAnsi="Book Antiqua" w:cs="Times New Roman"/>
          <w:sz w:val="24"/>
          <w:szCs w:val="24"/>
        </w:rPr>
        <w:t>interquartile range</w:t>
      </w:r>
      <w:r w:rsidRPr="001A403F">
        <w:rPr>
          <w:rFonts w:ascii="Book Antiqua" w:hAnsi="Book Antiqua" w:cs="Times New Roman"/>
          <w:sz w:val="24"/>
          <w:szCs w:val="24"/>
        </w:rPr>
        <w:t xml:space="preserve"> from the box, and the circles are outliers (values &gt; 1.5 </w:t>
      </w:r>
      <w:r w:rsidR="004E264E" w:rsidRPr="001A403F">
        <w:rPr>
          <w:rFonts w:ascii="Book Antiqua" w:hAnsi="Book Antiqua" w:cs="Times New Roman"/>
          <w:sz w:val="24"/>
          <w:szCs w:val="24"/>
        </w:rPr>
        <w:t>interquartile range</w:t>
      </w:r>
      <w:r w:rsidRPr="001A403F">
        <w:rPr>
          <w:rFonts w:ascii="Book Antiqua" w:hAnsi="Book Antiqua" w:cs="Times New Roman"/>
          <w:sz w:val="24"/>
          <w:szCs w:val="24"/>
        </w:rPr>
        <w:t xml:space="preserve">). </w:t>
      </w:r>
    </w:p>
    <w:p w14:paraId="1786B4D4" w14:textId="5828A77C" w:rsidR="00FD6C85" w:rsidRPr="00644A35" w:rsidRDefault="00644A35" w:rsidP="00644A35">
      <w:pPr>
        <w:rPr>
          <w:rFonts w:ascii="Book Antiqua" w:hAnsi="Book Antiqua" w:cs="Times New Roman"/>
          <w:sz w:val="24"/>
          <w:szCs w:val="24"/>
        </w:rPr>
      </w:pPr>
      <w:r>
        <w:rPr>
          <w:rFonts w:ascii="Book Antiqua" w:hAnsi="Book Antiqua" w:cs="Times New Roman"/>
          <w:sz w:val="24"/>
          <w:szCs w:val="24"/>
        </w:rPr>
        <w:br w:type="page"/>
      </w:r>
    </w:p>
    <w:p w14:paraId="05597D41" w14:textId="35F57C94" w:rsidR="00FD6C85" w:rsidRPr="001A403F" w:rsidRDefault="00FD6C85" w:rsidP="00FD6C85">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hAnsi="Book Antiqua" w:cs="Times New Roman"/>
          <w:noProof/>
          <w:sz w:val="24"/>
          <w:szCs w:val="24"/>
          <w:lang w:eastAsia="zh-CN"/>
        </w:rPr>
        <w:lastRenderedPageBreak/>
        <w:drawing>
          <wp:inline distT="0" distB="0" distL="0" distR="0" wp14:anchorId="2C255E83" wp14:editId="60AC6346">
            <wp:extent cx="3930334" cy="337135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f"/>
                    <pic:cNvPicPr/>
                  </pic:nvPicPr>
                  <pic:blipFill>
                    <a:blip r:embed="rId9">
                      <a:extLst>
                        <a:ext uri="{28A0092B-C50C-407E-A947-70E740481C1C}">
                          <a14:useLocalDpi xmlns:a14="http://schemas.microsoft.com/office/drawing/2010/main" val="0"/>
                        </a:ext>
                      </a:extLst>
                    </a:blip>
                    <a:stretch>
                      <a:fillRect/>
                    </a:stretch>
                  </pic:blipFill>
                  <pic:spPr>
                    <a:xfrm>
                      <a:off x="0" y="0"/>
                      <a:ext cx="3953589" cy="3391301"/>
                    </a:xfrm>
                    <a:prstGeom prst="rect">
                      <a:avLst/>
                    </a:prstGeom>
                  </pic:spPr>
                </pic:pic>
              </a:graphicData>
            </a:graphic>
          </wp:inline>
        </w:drawing>
      </w:r>
    </w:p>
    <w:p w14:paraId="25B90D8A" w14:textId="2ACAA3D1" w:rsidR="00FD6C85" w:rsidRPr="001A403F" w:rsidRDefault="00FD6C85" w:rsidP="00FD6C85">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
          <w:sz w:val="24"/>
          <w:szCs w:val="24"/>
        </w:rPr>
        <w:t xml:space="preserve">Figure 3 </w:t>
      </w:r>
      <w:r w:rsidRPr="001A403F">
        <w:rPr>
          <w:rFonts w:ascii="Book Antiqua" w:hAnsi="Book Antiqua" w:cs="Times New Roman"/>
          <w:sz w:val="24"/>
          <w:szCs w:val="24"/>
        </w:rPr>
        <w:t xml:space="preserve">Validation </w:t>
      </w:r>
      <w:r w:rsidR="00644A35" w:rsidRPr="001A403F">
        <w:rPr>
          <w:rFonts w:ascii="Book Antiqua" w:hAnsi="Book Antiqua" w:cs="Times New Roman"/>
          <w:sz w:val="24"/>
          <w:szCs w:val="24"/>
        </w:rPr>
        <w:t>c</w:t>
      </w:r>
      <w:r w:rsidRPr="001A403F">
        <w:rPr>
          <w:rFonts w:ascii="Book Antiqua" w:hAnsi="Book Antiqua" w:cs="Times New Roman"/>
          <w:sz w:val="24"/>
          <w:szCs w:val="24"/>
        </w:rPr>
        <w:t xml:space="preserve">ohort: Predictive </w:t>
      </w:r>
      <w:r w:rsidR="00644A35" w:rsidRPr="001A403F">
        <w:rPr>
          <w:rFonts w:ascii="Book Antiqua" w:hAnsi="Book Antiqua" w:cs="Times New Roman"/>
          <w:sz w:val="24"/>
          <w:szCs w:val="24"/>
        </w:rPr>
        <w:t>s</w:t>
      </w:r>
      <w:r w:rsidRPr="001A403F">
        <w:rPr>
          <w:rFonts w:ascii="Book Antiqua" w:hAnsi="Book Antiqua" w:cs="Times New Roman"/>
          <w:sz w:val="24"/>
          <w:szCs w:val="24"/>
        </w:rPr>
        <w:t xml:space="preserve">cores for In-Hospital </w:t>
      </w:r>
      <w:r w:rsidR="00644A35" w:rsidRPr="001A403F">
        <w:rPr>
          <w:rFonts w:ascii="Book Antiqua" w:hAnsi="Book Antiqua" w:cs="Times New Roman"/>
          <w:sz w:val="24"/>
          <w:szCs w:val="24"/>
        </w:rPr>
        <w:t>m</w:t>
      </w:r>
      <w:r w:rsidRPr="001A403F">
        <w:rPr>
          <w:rFonts w:ascii="Book Antiqua" w:hAnsi="Book Antiqua" w:cs="Times New Roman"/>
          <w:sz w:val="24"/>
          <w:szCs w:val="24"/>
        </w:rPr>
        <w:t xml:space="preserve">ortality in </w:t>
      </w:r>
      <w:r w:rsidR="00644A35" w:rsidRPr="001A403F">
        <w:rPr>
          <w:rFonts w:ascii="Book Antiqua" w:hAnsi="Book Antiqua" w:cs="Times New Roman"/>
          <w:sz w:val="24"/>
          <w:szCs w:val="24"/>
        </w:rPr>
        <w:t>c</w:t>
      </w:r>
      <w:r w:rsidRPr="001A403F">
        <w:rPr>
          <w:rFonts w:ascii="Book Antiqua" w:hAnsi="Book Antiqua" w:cs="Times New Roman"/>
          <w:sz w:val="24"/>
          <w:szCs w:val="24"/>
        </w:rPr>
        <w:t xml:space="preserve">irrhotic </w:t>
      </w:r>
      <w:r w:rsidR="00644A35" w:rsidRPr="001A403F">
        <w:rPr>
          <w:rFonts w:ascii="Book Antiqua" w:hAnsi="Book Antiqua" w:cs="Times New Roman"/>
          <w:sz w:val="24"/>
          <w:szCs w:val="24"/>
        </w:rPr>
        <w:t>p</w:t>
      </w:r>
      <w:r w:rsidRPr="001A403F">
        <w:rPr>
          <w:rFonts w:ascii="Book Antiqua" w:hAnsi="Book Antiqua" w:cs="Times New Roman"/>
          <w:sz w:val="24"/>
          <w:szCs w:val="24"/>
        </w:rPr>
        <w:t>atients</w:t>
      </w:r>
      <w:r w:rsidRPr="001A403F">
        <w:rPr>
          <w:rFonts w:ascii="Book Antiqua" w:hAnsi="Book Antiqua" w:cs="Times New Roman"/>
          <w:sz w:val="24"/>
          <w:szCs w:val="24"/>
          <w:lang w:eastAsia="zh-CN"/>
        </w:rPr>
        <w:t xml:space="preserve">. </w:t>
      </w:r>
      <w:r w:rsidR="00644A35" w:rsidRPr="001A403F">
        <w:rPr>
          <w:rFonts w:ascii="Book Antiqua" w:hAnsi="Book Antiqua" w:cs="Times New Roman"/>
          <w:sz w:val="24"/>
          <w:szCs w:val="24"/>
        </w:rPr>
        <w:t>LIV-4:</w:t>
      </w:r>
      <w:r w:rsidR="00644A35">
        <w:rPr>
          <w:rFonts w:ascii="Book Antiqua" w:hAnsi="Book Antiqua" w:cs="Times New Roman"/>
          <w:sz w:val="24"/>
          <w:szCs w:val="24"/>
        </w:rPr>
        <w:t xml:space="preserve"> </w:t>
      </w:r>
      <w:r w:rsidR="00644A35" w:rsidRPr="001A403F">
        <w:rPr>
          <w:rFonts w:ascii="Book Antiqua" w:hAnsi="Book Antiqua" w:cs="Times New Roman"/>
          <w:sz w:val="24"/>
          <w:szCs w:val="24"/>
        </w:rPr>
        <w:t>LIV-4</w:t>
      </w:r>
      <w:r w:rsidR="00644A35">
        <w:rPr>
          <w:rFonts w:ascii="Book Antiqua" w:hAnsi="Book Antiqua" w:cs="Times New Roman"/>
          <w:sz w:val="24"/>
          <w:szCs w:val="24"/>
        </w:rPr>
        <w:t xml:space="preserve"> </w:t>
      </w:r>
      <w:r w:rsidR="00644A35">
        <w:rPr>
          <w:rFonts w:ascii="Book Antiqua" w:hAnsi="Book Antiqua" w:cs="Times New Roman" w:hint="eastAsia"/>
          <w:sz w:val="24"/>
          <w:szCs w:val="24"/>
          <w:lang w:eastAsia="zh-CN"/>
        </w:rPr>
        <w:t>sc</w:t>
      </w:r>
      <w:r w:rsidR="00644A35">
        <w:rPr>
          <w:rFonts w:ascii="Book Antiqua" w:hAnsi="Book Antiqua" w:cs="Times New Roman"/>
          <w:sz w:val="24"/>
          <w:szCs w:val="24"/>
        </w:rPr>
        <w:t>ore</w:t>
      </w:r>
      <w:r w:rsidR="00644A35" w:rsidRPr="001A403F">
        <w:rPr>
          <w:rFonts w:ascii="Book Antiqua" w:hAnsi="Book Antiqua" w:cs="Times New Roman"/>
          <w:sz w:val="24"/>
          <w:szCs w:val="24"/>
        </w:rPr>
        <w:t>; MELD: Model for end-stage liver disease; MELD-Na: Model for end-stage liver disease-Sodium; CLIF-SOFA: Chronic liver failure-sequential organ failure assessment.</w:t>
      </w:r>
    </w:p>
    <w:p w14:paraId="07C82125" w14:textId="77777777" w:rsidR="00414275" w:rsidRPr="001A403F" w:rsidRDefault="00FD6C85">
      <w:pPr>
        <w:rPr>
          <w:rFonts w:ascii="Book Antiqua" w:hAnsi="Book Antiqua" w:cs="Times New Roman"/>
          <w:sz w:val="24"/>
          <w:szCs w:val="24"/>
        </w:rPr>
        <w:sectPr w:rsidR="00414275" w:rsidRPr="001A403F" w:rsidSect="005C0AD2">
          <w:footerReference w:type="default" r:id="rId10"/>
          <w:pgSz w:w="12240" w:h="15840"/>
          <w:pgMar w:top="1440" w:right="1440" w:bottom="1440" w:left="1440" w:header="720" w:footer="720" w:gutter="0"/>
          <w:cols w:space="720"/>
          <w:docGrid w:linePitch="360"/>
        </w:sectPr>
      </w:pPr>
      <w:r w:rsidRPr="001A403F">
        <w:rPr>
          <w:rFonts w:ascii="Book Antiqua" w:hAnsi="Book Antiqua" w:cs="Times New Roman"/>
          <w:sz w:val="24"/>
          <w:szCs w:val="24"/>
        </w:rPr>
        <w:br w:type="page"/>
      </w:r>
    </w:p>
    <w:p w14:paraId="2CBBBE8A" w14:textId="385FB3BC" w:rsidR="00FD6C85" w:rsidRPr="001A403F" w:rsidRDefault="00FD6C85" w:rsidP="00FD6C85">
      <w:pPr>
        <w:adjustRightInd w:val="0"/>
        <w:snapToGrid w:val="0"/>
        <w:spacing w:after="0" w:line="360" w:lineRule="auto"/>
        <w:jc w:val="both"/>
        <w:rPr>
          <w:rFonts w:ascii="Book Antiqua" w:hAnsi="Book Antiqua" w:cs="Times New Roman"/>
          <w:sz w:val="24"/>
          <w:szCs w:val="24"/>
        </w:rPr>
      </w:pPr>
      <w:r w:rsidRPr="001A403F">
        <w:rPr>
          <w:rFonts w:ascii="Book Antiqua" w:eastAsia="Times New Roman" w:hAnsi="Book Antiqua" w:cs="Times"/>
          <w:b/>
          <w:bCs/>
          <w:color w:val="000000"/>
          <w:sz w:val="24"/>
          <w:szCs w:val="24"/>
        </w:rPr>
        <w:lastRenderedPageBreak/>
        <w:t xml:space="preserve">Table 1 Training </w:t>
      </w:r>
      <w:r w:rsidR="00414275" w:rsidRPr="001A403F">
        <w:rPr>
          <w:rFonts w:ascii="Book Antiqua" w:eastAsia="Times New Roman" w:hAnsi="Book Antiqua" w:cs="Times"/>
          <w:b/>
          <w:bCs/>
          <w:color w:val="000000"/>
          <w:sz w:val="24"/>
          <w:szCs w:val="24"/>
        </w:rPr>
        <w:t>c</w:t>
      </w:r>
      <w:r w:rsidRPr="001A403F">
        <w:rPr>
          <w:rFonts w:ascii="Book Antiqua" w:eastAsia="Times New Roman" w:hAnsi="Book Antiqua" w:cs="Times"/>
          <w:b/>
          <w:bCs/>
          <w:color w:val="000000"/>
          <w:sz w:val="24"/>
          <w:szCs w:val="24"/>
        </w:rPr>
        <w:t xml:space="preserve">ohort: </w:t>
      </w:r>
      <w:r w:rsidR="000B1B45" w:rsidRPr="001A403F">
        <w:rPr>
          <w:rFonts w:ascii="Book Antiqua" w:eastAsia="Times New Roman" w:hAnsi="Book Antiqua" w:cs="Times"/>
          <w:b/>
          <w:bCs/>
          <w:color w:val="000000"/>
          <w:sz w:val="24"/>
          <w:szCs w:val="24"/>
        </w:rPr>
        <w:t>P</w:t>
      </w:r>
      <w:r w:rsidRPr="001A403F">
        <w:rPr>
          <w:rFonts w:ascii="Book Antiqua" w:eastAsia="Times New Roman" w:hAnsi="Book Antiqua" w:cs="Times"/>
          <w:b/>
          <w:bCs/>
          <w:color w:val="000000"/>
          <w:sz w:val="24"/>
          <w:szCs w:val="24"/>
        </w:rPr>
        <w:t xml:space="preserve">atient </w:t>
      </w:r>
      <w:r w:rsidR="00414275" w:rsidRPr="001A403F">
        <w:rPr>
          <w:rFonts w:ascii="Book Antiqua" w:eastAsia="Times New Roman" w:hAnsi="Book Antiqua" w:cs="Times"/>
          <w:b/>
          <w:bCs/>
          <w:color w:val="000000"/>
          <w:sz w:val="24"/>
          <w:szCs w:val="24"/>
        </w:rPr>
        <w:t>c</w:t>
      </w:r>
      <w:r w:rsidRPr="001A403F">
        <w:rPr>
          <w:rFonts w:ascii="Book Antiqua" w:eastAsia="Times New Roman" w:hAnsi="Book Antiqua" w:cs="Times"/>
          <w:b/>
          <w:bCs/>
          <w:color w:val="000000"/>
          <w:sz w:val="24"/>
          <w:szCs w:val="24"/>
        </w:rPr>
        <w:t xml:space="preserve">haracteristics and </w:t>
      </w:r>
      <w:r w:rsidR="00414275" w:rsidRPr="001A403F">
        <w:rPr>
          <w:rFonts w:ascii="Book Antiqua" w:eastAsia="Times New Roman" w:hAnsi="Book Antiqua" w:cs="Times"/>
          <w:b/>
          <w:bCs/>
          <w:color w:val="000000"/>
          <w:sz w:val="24"/>
          <w:szCs w:val="24"/>
        </w:rPr>
        <w:t>u</w:t>
      </w:r>
      <w:r w:rsidRPr="001A403F">
        <w:rPr>
          <w:rFonts w:ascii="Book Antiqua" w:eastAsia="Times New Roman" w:hAnsi="Book Antiqua" w:cs="Times"/>
          <w:b/>
          <w:bCs/>
          <w:color w:val="000000"/>
          <w:sz w:val="24"/>
          <w:szCs w:val="24"/>
        </w:rPr>
        <w:t xml:space="preserve">nivariate </w:t>
      </w:r>
      <w:r w:rsidR="00414275" w:rsidRPr="001A403F">
        <w:rPr>
          <w:rFonts w:ascii="Book Antiqua" w:eastAsia="Times New Roman" w:hAnsi="Book Antiqua" w:cs="Times"/>
          <w:b/>
          <w:bCs/>
          <w:color w:val="000000"/>
          <w:sz w:val="24"/>
          <w:szCs w:val="24"/>
        </w:rPr>
        <w:t>a</w:t>
      </w:r>
      <w:r w:rsidRPr="001A403F">
        <w:rPr>
          <w:rFonts w:ascii="Book Antiqua" w:eastAsia="Times New Roman" w:hAnsi="Book Antiqua" w:cs="Times"/>
          <w:b/>
          <w:bCs/>
          <w:color w:val="000000"/>
          <w:sz w:val="24"/>
          <w:szCs w:val="24"/>
        </w:rPr>
        <w:t xml:space="preserve">nalysis of </w:t>
      </w:r>
      <w:r w:rsidR="00414275" w:rsidRPr="001A403F">
        <w:rPr>
          <w:rFonts w:ascii="Book Antiqua" w:eastAsia="Times New Roman" w:hAnsi="Book Antiqua" w:cs="Times"/>
          <w:b/>
          <w:bCs/>
          <w:color w:val="000000"/>
          <w:sz w:val="24"/>
          <w:szCs w:val="24"/>
        </w:rPr>
        <w:t>f</w:t>
      </w:r>
      <w:r w:rsidRPr="001A403F">
        <w:rPr>
          <w:rFonts w:ascii="Book Antiqua" w:eastAsia="Times New Roman" w:hAnsi="Book Antiqua" w:cs="Times"/>
          <w:b/>
          <w:bCs/>
          <w:color w:val="000000"/>
          <w:sz w:val="24"/>
          <w:szCs w:val="24"/>
        </w:rPr>
        <w:t xml:space="preserve">actors </w:t>
      </w:r>
      <w:r w:rsidR="00414275" w:rsidRPr="001A403F">
        <w:rPr>
          <w:rFonts w:ascii="Book Antiqua" w:eastAsia="Times New Roman" w:hAnsi="Book Antiqua" w:cs="Times"/>
          <w:b/>
          <w:bCs/>
          <w:color w:val="000000"/>
          <w:sz w:val="24"/>
          <w:szCs w:val="24"/>
        </w:rPr>
        <w:t>a</w:t>
      </w:r>
      <w:r w:rsidRPr="001A403F">
        <w:rPr>
          <w:rFonts w:ascii="Book Antiqua" w:eastAsia="Times New Roman" w:hAnsi="Book Antiqua" w:cs="Times"/>
          <w:b/>
          <w:bCs/>
          <w:color w:val="000000"/>
          <w:sz w:val="24"/>
          <w:szCs w:val="24"/>
        </w:rPr>
        <w:t xml:space="preserve">ssociated with In-hospital </w:t>
      </w:r>
      <w:r w:rsidR="00414275" w:rsidRPr="001A403F">
        <w:rPr>
          <w:rFonts w:ascii="Book Antiqua" w:eastAsia="Times New Roman" w:hAnsi="Book Antiqua" w:cs="Times"/>
          <w:b/>
          <w:bCs/>
          <w:color w:val="000000"/>
          <w:sz w:val="24"/>
          <w:szCs w:val="24"/>
        </w:rPr>
        <w:t>m</w:t>
      </w:r>
      <w:r w:rsidRPr="001A403F">
        <w:rPr>
          <w:rFonts w:ascii="Book Antiqua" w:eastAsia="Times New Roman" w:hAnsi="Book Antiqua" w:cs="Times"/>
          <w:b/>
          <w:bCs/>
          <w:color w:val="000000"/>
          <w:sz w:val="24"/>
          <w:szCs w:val="24"/>
        </w:rPr>
        <w:t>ortality</w:t>
      </w:r>
    </w:p>
    <w:tbl>
      <w:tblPr>
        <w:tblW w:w="14885" w:type="dxa"/>
        <w:tblInd w:w="-885" w:type="dxa"/>
        <w:tblLayout w:type="fixed"/>
        <w:tblLook w:val="04A0" w:firstRow="1" w:lastRow="0" w:firstColumn="1" w:lastColumn="0" w:noHBand="0" w:noVBand="1"/>
      </w:tblPr>
      <w:tblGrid>
        <w:gridCol w:w="3120"/>
        <w:gridCol w:w="850"/>
        <w:gridCol w:w="2552"/>
        <w:gridCol w:w="992"/>
        <w:gridCol w:w="2551"/>
        <w:gridCol w:w="1134"/>
        <w:gridCol w:w="2410"/>
        <w:gridCol w:w="1276"/>
      </w:tblGrid>
      <w:tr w:rsidR="00414275" w:rsidRPr="001A403F" w14:paraId="5B33F9DF" w14:textId="77777777" w:rsidTr="00F67FDA">
        <w:trPr>
          <w:trHeight w:val="615"/>
        </w:trPr>
        <w:tc>
          <w:tcPr>
            <w:tcW w:w="3120" w:type="dxa"/>
            <w:vMerge w:val="restart"/>
            <w:tcBorders>
              <w:top w:val="single" w:sz="4" w:space="0" w:color="auto"/>
              <w:bottom w:val="single" w:sz="4" w:space="0" w:color="auto"/>
            </w:tcBorders>
            <w:shd w:val="clear" w:color="000000" w:fill="FFFFFF"/>
            <w:vAlign w:val="center"/>
            <w:hideMark/>
          </w:tcPr>
          <w:p w14:paraId="5495BFD5" w14:textId="6F2A728A"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Factor</w:t>
            </w:r>
          </w:p>
        </w:tc>
        <w:tc>
          <w:tcPr>
            <w:tcW w:w="3402" w:type="dxa"/>
            <w:gridSpan w:val="2"/>
            <w:tcBorders>
              <w:top w:val="single" w:sz="4" w:space="0" w:color="auto"/>
              <w:bottom w:val="single" w:sz="4" w:space="0" w:color="auto"/>
            </w:tcBorders>
            <w:shd w:val="clear" w:color="000000" w:fill="FFFFFF"/>
            <w:vAlign w:val="center"/>
            <w:hideMark/>
          </w:tcPr>
          <w:p w14:paraId="0FED2B25" w14:textId="5D0545C3"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Total (</w:t>
            </w:r>
            <w:r w:rsidRPr="001A403F">
              <w:rPr>
                <w:rFonts w:ascii="Book Antiqua" w:eastAsia="Times New Roman" w:hAnsi="Book Antiqua" w:cs="Times"/>
                <w:b/>
                <w:bCs/>
                <w:i/>
                <w:iCs/>
                <w:color w:val="000000"/>
                <w:sz w:val="24"/>
                <w:szCs w:val="24"/>
              </w:rPr>
              <w:t>n</w:t>
            </w:r>
            <w:r w:rsidRPr="001A403F">
              <w:rPr>
                <w:rFonts w:ascii="Book Antiqua" w:eastAsia="Times New Roman" w:hAnsi="Book Antiqua" w:cs="Times"/>
                <w:b/>
                <w:bCs/>
                <w:color w:val="000000"/>
                <w:sz w:val="24"/>
                <w:szCs w:val="24"/>
              </w:rPr>
              <w:t xml:space="preserve"> = 436)</w:t>
            </w:r>
          </w:p>
        </w:tc>
        <w:tc>
          <w:tcPr>
            <w:tcW w:w="3543" w:type="dxa"/>
            <w:gridSpan w:val="2"/>
            <w:tcBorders>
              <w:top w:val="single" w:sz="4" w:space="0" w:color="auto"/>
              <w:bottom w:val="single" w:sz="4" w:space="0" w:color="auto"/>
            </w:tcBorders>
            <w:shd w:val="clear" w:color="000000" w:fill="FFFFFF"/>
            <w:vAlign w:val="center"/>
            <w:hideMark/>
          </w:tcPr>
          <w:p w14:paraId="543C9A94" w14:textId="752963E5"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Discharged alive (</w:t>
            </w:r>
            <w:r w:rsidRPr="001A403F">
              <w:rPr>
                <w:rFonts w:ascii="Book Antiqua" w:eastAsia="Times New Roman" w:hAnsi="Book Antiqua" w:cs="Times"/>
                <w:b/>
                <w:bCs/>
                <w:i/>
                <w:iCs/>
                <w:color w:val="000000"/>
                <w:sz w:val="24"/>
                <w:szCs w:val="24"/>
              </w:rPr>
              <w:t>n</w:t>
            </w:r>
            <w:r w:rsidRPr="001A403F">
              <w:rPr>
                <w:rFonts w:ascii="Book Antiqua" w:eastAsia="Times New Roman" w:hAnsi="Book Antiqua" w:cs="Times"/>
                <w:b/>
                <w:bCs/>
                <w:color w:val="000000"/>
                <w:sz w:val="24"/>
                <w:szCs w:val="24"/>
              </w:rPr>
              <w:t xml:space="preserve"> = 317)</w:t>
            </w:r>
          </w:p>
        </w:tc>
        <w:tc>
          <w:tcPr>
            <w:tcW w:w="3544" w:type="dxa"/>
            <w:gridSpan w:val="2"/>
            <w:tcBorders>
              <w:top w:val="single" w:sz="4" w:space="0" w:color="auto"/>
              <w:bottom w:val="single" w:sz="4" w:space="0" w:color="auto"/>
            </w:tcBorders>
            <w:shd w:val="clear" w:color="000000" w:fill="FFFFFF"/>
            <w:vAlign w:val="center"/>
            <w:hideMark/>
          </w:tcPr>
          <w:p w14:paraId="71A17BCE" w14:textId="3D44518C"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In-hospital death (</w:t>
            </w:r>
            <w:r w:rsidRPr="001A403F">
              <w:rPr>
                <w:rFonts w:ascii="Book Antiqua" w:eastAsia="Times New Roman" w:hAnsi="Book Antiqua" w:cs="Times"/>
                <w:b/>
                <w:bCs/>
                <w:i/>
                <w:iCs/>
                <w:color w:val="000000"/>
                <w:sz w:val="24"/>
                <w:szCs w:val="24"/>
              </w:rPr>
              <w:t>n</w:t>
            </w:r>
            <w:r w:rsidRPr="001A403F">
              <w:rPr>
                <w:rFonts w:ascii="Book Antiqua" w:eastAsia="Times New Roman" w:hAnsi="Book Antiqua" w:cs="Times"/>
                <w:b/>
                <w:bCs/>
                <w:color w:val="000000"/>
                <w:sz w:val="24"/>
                <w:szCs w:val="24"/>
              </w:rPr>
              <w:t xml:space="preserve"> = 119)</w:t>
            </w:r>
          </w:p>
        </w:tc>
        <w:tc>
          <w:tcPr>
            <w:tcW w:w="1276" w:type="dxa"/>
            <w:vMerge w:val="restart"/>
            <w:tcBorders>
              <w:top w:val="single" w:sz="4" w:space="0" w:color="auto"/>
              <w:bottom w:val="single" w:sz="4" w:space="0" w:color="auto"/>
            </w:tcBorders>
            <w:shd w:val="clear" w:color="000000" w:fill="FFFFFF"/>
            <w:vAlign w:val="center"/>
            <w:hideMark/>
          </w:tcPr>
          <w:p w14:paraId="2FEABBD0" w14:textId="779F0BEF"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i/>
                <w:iCs/>
                <w:color w:val="000000"/>
                <w:sz w:val="24"/>
                <w:szCs w:val="24"/>
              </w:rPr>
              <w:t>P</w:t>
            </w:r>
            <w:r w:rsidRPr="001A403F">
              <w:rPr>
                <w:rFonts w:ascii="Book Antiqua" w:eastAsia="Times New Roman" w:hAnsi="Book Antiqua" w:cs="Times"/>
                <w:b/>
                <w:bCs/>
                <w:color w:val="000000"/>
                <w:sz w:val="24"/>
                <w:szCs w:val="24"/>
              </w:rPr>
              <w:t xml:space="preserve"> value</w:t>
            </w:r>
          </w:p>
        </w:tc>
      </w:tr>
      <w:tr w:rsidR="002947C4" w:rsidRPr="001A403F" w14:paraId="044DA7A5" w14:textId="77777777" w:rsidTr="00F67FDA">
        <w:trPr>
          <w:trHeight w:val="360"/>
        </w:trPr>
        <w:tc>
          <w:tcPr>
            <w:tcW w:w="3120" w:type="dxa"/>
            <w:vMerge/>
            <w:tcBorders>
              <w:top w:val="single" w:sz="4" w:space="0" w:color="auto"/>
              <w:bottom w:val="single" w:sz="4" w:space="0" w:color="auto"/>
            </w:tcBorders>
            <w:shd w:val="clear" w:color="000000" w:fill="FFFFFF"/>
            <w:vAlign w:val="center"/>
            <w:hideMark/>
          </w:tcPr>
          <w:p w14:paraId="7405BBA5" w14:textId="5B1C2239"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p>
        </w:tc>
        <w:tc>
          <w:tcPr>
            <w:tcW w:w="850" w:type="dxa"/>
            <w:tcBorders>
              <w:top w:val="single" w:sz="4" w:space="0" w:color="auto"/>
              <w:bottom w:val="single" w:sz="4" w:space="0" w:color="auto"/>
            </w:tcBorders>
            <w:shd w:val="clear" w:color="000000" w:fill="FFFFFF"/>
            <w:vAlign w:val="center"/>
            <w:hideMark/>
          </w:tcPr>
          <w:p w14:paraId="1AFCAEC4"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b/>
                <w:bCs/>
                <w:i/>
                <w:iCs/>
                <w:color w:val="000000"/>
                <w:sz w:val="24"/>
                <w:szCs w:val="24"/>
              </w:rPr>
              <w:t>n</w:t>
            </w:r>
          </w:p>
        </w:tc>
        <w:tc>
          <w:tcPr>
            <w:tcW w:w="2552" w:type="dxa"/>
            <w:tcBorders>
              <w:top w:val="single" w:sz="4" w:space="0" w:color="auto"/>
              <w:bottom w:val="single" w:sz="4" w:space="0" w:color="auto"/>
            </w:tcBorders>
            <w:shd w:val="clear" w:color="000000" w:fill="FFFFFF"/>
            <w:vAlign w:val="center"/>
            <w:hideMark/>
          </w:tcPr>
          <w:p w14:paraId="6AC95890"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Summary</w:t>
            </w:r>
          </w:p>
        </w:tc>
        <w:tc>
          <w:tcPr>
            <w:tcW w:w="992" w:type="dxa"/>
            <w:tcBorders>
              <w:top w:val="single" w:sz="4" w:space="0" w:color="auto"/>
              <w:bottom w:val="single" w:sz="4" w:space="0" w:color="auto"/>
            </w:tcBorders>
            <w:shd w:val="clear" w:color="000000" w:fill="FFFFFF"/>
            <w:vAlign w:val="center"/>
            <w:hideMark/>
          </w:tcPr>
          <w:p w14:paraId="3AA8C476"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b/>
                <w:bCs/>
                <w:i/>
                <w:iCs/>
                <w:color w:val="000000"/>
                <w:sz w:val="24"/>
                <w:szCs w:val="24"/>
              </w:rPr>
              <w:t>n</w:t>
            </w:r>
          </w:p>
        </w:tc>
        <w:tc>
          <w:tcPr>
            <w:tcW w:w="2551" w:type="dxa"/>
            <w:tcBorders>
              <w:top w:val="single" w:sz="4" w:space="0" w:color="auto"/>
              <w:bottom w:val="single" w:sz="4" w:space="0" w:color="auto"/>
            </w:tcBorders>
            <w:shd w:val="clear" w:color="000000" w:fill="FFFFFF"/>
            <w:vAlign w:val="center"/>
            <w:hideMark/>
          </w:tcPr>
          <w:p w14:paraId="7785C1B9"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Summary</w:t>
            </w:r>
          </w:p>
        </w:tc>
        <w:tc>
          <w:tcPr>
            <w:tcW w:w="1134" w:type="dxa"/>
            <w:tcBorders>
              <w:top w:val="single" w:sz="4" w:space="0" w:color="auto"/>
              <w:bottom w:val="single" w:sz="4" w:space="0" w:color="auto"/>
            </w:tcBorders>
            <w:shd w:val="clear" w:color="000000" w:fill="FFFFFF"/>
            <w:vAlign w:val="center"/>
            <w:hideMark/>
          </w:tcPr>
          <w:p w14:paraId="1AA00EBD"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b/>
                <w:bCs/>
                <w:i/>
                <w:iCs/>
                <w:color w:val="000000"/>
                <w:sz w:val="24"/>
                <w:szCs w:val="24"/>
              </w:rPr>
              <w:t>n</w:t>
            </w:r>
          </w:p>
        </w:tc>
        <w:tc>
          <w:tcPr>
            <w:tcW w:w="2410" w:type="dxa"/>
            <w:tcBorders>
              <w:top w:val="single" w:sz="4" w:space="0" w:color="auto"/>
              <w:bottom w:val="single" w:sz="4" w:space="0" w:color="auto"/>
            </w:tcBorders>
            <w:shd w:val="clear" w:color="000000" w:fill="FFFFFF"/>
            <w:vAlign w:val="center"/>
            <w:hideMark/>
          </w:tcPr>
          <w:p w14:paraId="09623098"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Summary</w:t>
            </w:r>
          </w:p>
        </w:tc>
        <w:tc>
          <w:tcPr>
            <w:tcW w:w="1276" w:type="dxa"/>
            <w:vMerge/>
            <w:tcBorders>
              <w:top w:val="single" w:sz="4" w:space="0" w:color="auto"/>
              <w:bottom w:val="single" w:sz="4" w:space="0" w:color="auto"/>
            </w:tcBorders>
            <w:shd w:val="clear" w:color="000000" w:fill="FFFFFF"/>
            <w:vAlign w:val="center"/>
            <w:hideMark/>
          </w:tcPr>
          <w:p w14:paraId="68D66781" w14:textId="1A40B039"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p>
        </w:tc>
      </w:tr>
      <w:tr w:rsidR="002947C4" w:rsidRPr="001A403F" w14:paraId="58FB4B55" w14:textId="77777777" w:rsidTr="00F67FDA">
        <w:trPr>
          <w:trHeight w:val="319"/>
        </w:trPr>
        <w:tc>
          <w:tcPr>
            <w:tcW w:w="3120" w:type="dxa"/>
            <w:tcBorders>
              <w:top w:val="single" w:sz="4" w:space="0" w:color="auto"/>
            </w:tcBorders>
            <w:shd w:val="clear" w:color="000000" w:fill="FFFFFF"/>
            <w:vAlign w:val="center"/>
            <w:hideMark/>
          </w:tcPr>
          <w:p w14:paraId="32250802" w14:textId="28CDA12B"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Age (</w:t>
            </w:r>
            <w:proofErr w:type="spellStart"/>
            <w:r w:rsidRPr="001A403F">
              <w:rPr>
                <w:rFonts w:ascii="Book Antiqua" w:eastAsia="Times New Roman" w:hAnsi="Book Antiqua" w:cs="Times"/>
                <w:color w:val="000000"/>
                <w:sz w:val="24"/>
                <w:szCs w:val="24"/>
              </w:rPr>
              <w:t>yr</w:t>
            </w:r>
            <w:proofErr w:type="spellEnd"/>
            <w:r w:rsidRPr="001A403F">
              <w:rPr>
                <w:rFonts w:ascii="Book Antiqua" w:eastAsia="Times New Roman" w:hAnsi="Book Antiqua" w:cs="Times"/>
                <w:color w:val="000000"/>
                <w:sz w:val="24"/>
                <w:szCs w:val="24"/>
              </w:rPr>
              <w:t>)</w:t>
            </w:r>
          </w:p>
        </w:tc>
        <w:tc>
          <w:tcPr>
            <w:tcW w:w="850" w:type="dxa"/>
            <w:tcBorders>
              <w:top w:val="single" w:sz="4" w:space="0" w:color="auto"/>
            </w:tcBorders>
            <w:shd w:val="clear" w:color="000000" w:fill="FFFFFF"/>
            <w:vAlign w:val="center"/>
            <w:hideMark/>
          </w:tcPr>
          <w:p w14:paraId="51B10ED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tcBorders>
              <w:top w:val="single" w:sz="4" w:space="0" w:color="auto"/>
            </w:tcBorders>
            <w:shd w:val="clear" w:color="000000" w:fill="FFFFFF"/>
            <w:vAlign w:val="center"/>
            <w:hideMark/>
          </w:tcPr>
          <w:p w14:paraId="109421D5" w14:textId="41AC70F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57.0 ± 10.6</w:t>
            </w:r>
          </w:p>
        </w:tc>
        <w:tc>
          <w:tcPr>
            <w:tcW w:w="992" w:type="dxa"/>
            <w:tcBorders>
              <w:top w:val="single" w:sz="4" w:space="0" w:color="auto"/>
            </w:tcBorders>
            <w:shd w:val="clear" w:color="000000" w:fill="FFFFFF"/>
            <w:vAlign w:val="center"/>
            <w:hideMark/>
          </w:tcPr>
          <w:p w14:paraId="1CB80D3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tcBorders>
              <w:top w:val="single" w:sz="4" w:space="0" w:color="auto"/>
            </w:tcBorders>
            <w:shd w:val="clear" w:color="000000" w:fill="FFFFFF"/>
            <w:vAlign w:val="center"/>
            <w:hideMark/>
          </w:tcPr>
          <w:p w14:paraId="5BE0E78D" w14:textId="162B885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57.5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10.3</w:t>
            </w:r>
          </w:p>
        </w:tc>
        <w:tc>
          <w:tcPr>
            <w:tcW w:w="1134" w:type="dxa"/>
            <w:tcBorders>
              <w:top w:val="single" w:sz="4" w:space="0" w:color="auto"/>
            </w:tcBorders>
            <w:shd w:val="clear" w:color="000000" w:fill="FFFFFF"/>
            <w:vAlign w:val="center"/>
            <w:hideMark/>
          </w:tcPr>
          <w:p w14:paraId="0B9B450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tcBorders>
              <w:top w:val="single" w:sz="4" w:space="0" w:color="auto"/>
            </w:tcBorders>
            <w:shd w:val="clear" w:color="000000" w:fill="FFFFFF"/>
            <w:vAlign w:val="center"/>
            <w:hideMark/>
          </w:tcPr>
          <w:p w14:paraId="5EB3D1FE" w14:textId="103E190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55.5 ± 11.3</w:t>
            </w:r>
          </w:p>
        </w:tc>
        <w:tc>
          <w:tcPr>
            <w:tcW w:w="1276" w:type="dxa"/>
            <w:tcBorders>
              <w:top w:val="single" w:sz="4" w:space="0" w:color="auto"/>
            </w:tcBorders>
            <w:shd w:val="clear" w:color="000000" w:fill="FFFFFF"/>
            <w:vAlign w:val="center"/>
            <w:hideMark/>
          </w:tcPr>
          <w:p w14:paraId="17A2BB62" w14:textId="3F6D9B82"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 xml:space="preserve"> &lt; 0.081</w:t>
            </w:r>
            <w:r w:rsidR="00F67FDA">
              <w:rPr>
                <w:rFonts w:ascii="Book Antiqua" w:eastAsia="Times New Roman" w:hAnsi="Book Antiqua" w:cs="Times"/>
                <w:sz w:val="24"/>
                <w:szCs w:val="24"/>
                <w:vertAlign w:val="superscript"/>
              </w:rPr>
              <w:t>1</w:t>
            </w:r>
          </w:p>
        </w:tc>
      </w:tr>
      <w:tr w:rsidR="002947C4" w:rsidRPr="001A403F" w14:paraId="34009755" w14:textId="77777777" w:rsidTr="00F67FDA">
        <w:trPr>
          <w:trHeight w:val="319"/>
        </w:trPr>
        <w:tc>
          <w:tcPr>
            <w:tcW w:w="3120" w:type="dxa"/>
            <w:shd w:val="clear" w:color="000000" w:fill="FFFFFF"/>
            <w:vAlign w:val="center"/>
            <w:hideMark/>
          </w:tcPr>
          <w:p w14:paraId="3B85E694"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Gender</w:t>
            </w:r>
          </w:p>
        </w:tc>
        <w:tc>
          <w:tcPr>
            <w:tcW w:w="850" w:type="dxa"/>
            <w:shd w:val="clear" w:color="000000" w:fill="FFFFFF"/>
            <w:vAlign w:val="center"/>
            <w:hideMark/>
          </w:tcPr>
          <w:p w14:paraId="1AEB886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8DD43B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shd w:val="clear" w:color="000000" w:fill="FFFFFF"/>
            <w:vAlign w:val="center"/>
            <w:hideMark/>
          </w:tcPr>
          <w:p w14:paraId="37F21BF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5E26BE4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shd w:val="clear" w:color="000000" w:fill="FFFFFF"/>
            <w:vAlign w:val="center"/>
            <w:hideMark/>
          </w:tcPr>
          <w:p w14:paraId="55A5793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482765A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shd w:val="clear" w:color="000000" w:fill="FFFFFF"/>
            <w:vAlign w:val="center"/>
            <w:hideMark/>
          </w:tcPr>
          <w:p w14:paraId="31C6D5B0" w14:textId="0CBAACEC"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0.62</w:t>
            </w:r>
            <w:r w:rsidR="00F67FDA">
              <w:rPr>
                <w:rFonts w:ascii="Book Antiqua" w:eastAsia="Times New Roman" w:hAnsi="Book Antiqua" w:cs="Times"/>
                <w:sz w:val="24"/>
                <w:szCs w:val="24"/>
                <w:vertAlign w:val="superscript"/>
              </w:rPr>
              <w:t>3</w:t>
            </w:r>
          </w:p>
        </w:tc>
      </w:tr>
      <w:tr w:rsidR="002947C4" w:rsidRPr="001A403F" w14:paraId="24D63B9F" w14:textId="77777777" w:rsidTr="00F67FDA">
        <w:trPr>
          <w:trHeight w:val="319"/>
        </w:trPr>
        <w:tc>
          <w:tcPr>
            <w:tcW w:w="3120" w:type="dxa"/>
            <w:shd w:val="clear" w:color="000000" w:fill="FFFFFF"/>
            <w:vAlign w:val="center"/>
            <w:hideMark/>
          </w:tcPr>
          <w:p w14:paraId="15BA5BEB" w14:textId="65EE50AD" w:rsidR="00414275" w:rsidRPr="001A403F" w:rsidRDefault="00414275" w:rsidP="00414275">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Female</w:t>
            </w:r>
          </w:p>
        </w:tc>
        <w:tc>
          <w:tcPr>
            <w:tcW w:w="850" w:type="dxa"/>
            <w:shd w:val="clear" w:color="000000" w:fill="FFFFFF"/>
            <w:vAlign w:val="center"/>
            <w:hideMark/>
          </w:tcPr>
          <w:p w14:paraId="2964F72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216A5029" w14:textId="4D22220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151 (34.6)</w:t>
            </w:r>
          </w:p>
        </w:tc>
        <w:tc>
          <w:tcPr>
            <w:tcW w:w="992" w:type="dxa"/>
            <w:shd w:val="clear" w:color="000000" w:fill="FFFFFF"/>
            <w:vAlign w:val="center"/>
            <w:hideMark/>
          </w:tcPr>
          <w:p w14:paraId="2B775D8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1D4C4E94" w14:textId="0E705EC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112</w:t>
            </w:r>
            <w:r w:rsid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(35.3)</w:t>
            </w:r>
          </w:p>
        </w:tc>
        <w:tc>
          <w:tcPr>
            <w:tcW w:w="1134" w:type="dxa"/>
            <w:shd w:val="clear" w:color="000000" w:fill="FFFFFF"/>
            <w:vAlign w:val="center"/>
            <w:hideMark/>
          </w:tcPr>
          <w:p w14:paraId="2C81B8E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079E51FB" w14:textId="1F1A065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(32.8)</w:t>
            </w:r>
          </w:p>
        </w:tc>
        <w:tc>
          <w:tcPr>
            <w:tcW w:w="1276" w:type="dxa"/>
            <w:shd w:val="clear" w:color="000000" w:fill="FFFFFF"/>
            <w:vAlign w:val="center"/>
            <w:hideMark/>
          </w:tcPr>
          <w:p w14:paraId="3DEF6A85"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3671F66D" w14:textId="77777777" w:rsidTr="00F67FDA">
        <w:trPr>
          <w:trHeight w:val="319"/>
        </w:trPr>
        <w:tc>
          <w:tcPr>
            <w:tcW w:w="3120" w:type="dxa"/>
            <w:shd w:val="clear" w:color="000000" w:fill="FFFFFF"/>
            <w:vAlign w:val="center"/>
            <w:hideMark/>
          </w:tcPr>
          <w:p w14:paraId="49BA0B4B" w14:textId="00AD1AF4" w:rsidR="00414275" w:rsidRPr="001A403F" w:rsidRDefault="00414275" w:rsidP="00414275">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Male</w:t>
            </w:r>
          </w:p>
        </w:tc>
        <w:tc>
          <w:tcPr>
            <w:tcW w:w="850" w:type="dxa"/>
            <w:shd w:val="clear" w:color="000000" w:fill="FFFFFF"/>
            <w:vAlign w:val="center"/>
            <w:hideMark/>
          </w:tcPr>
          <w:p w14:paraId="01500F7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776F270B" w14:textId="18ECBD2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285 (65.4)</w:t>
            </w:r>
          </w:p>
        </w:tc>
        <w:tc>
          <w:tcPr>
            <w:tcW w:w="992" w:type="dxa"/>
            <w:shd w:val="clear" w:color="000000" w:fill="FFFFFF"/>
            <w:vAlign w:val="center"/>
            <w:hideMark/>
          </w:tcPr>
          <w:p w14:paraId="07E553C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03CCB438" w14:textId="26D1344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(64.7)</w:t>
            </w:r>
          </w:p>
        </w:tc>
        <w:tc>
          <w:tcPr>
            <w:tcW w:w="1134" w:type="dxa"/>
            <w:shd w:val="clear" w:color="000000" w:fill="FFFFFF"/>
            <w:vAlign w:val="center"/>
            <w:hideMark/>
          </w:tcPr>
          <w:p w14:paraId="7E5DFC1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769E0C5F" w14:textId="4472F45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(67.2)</w:t>
            </w:r>
          </w:p>
        </w:tc>
        <w:tc>
          <w:tcPr>
            <w:tcW w:w="1276" w:type="dxa"/>
            <w:shd w:val="clear" w:color="000000" w:fill="FFFFFF"/>
            <w:vAlign w:val="center"/>
            <w:hideMark/>
          </w:tcPr>
          <w:p w14:paraId="43307E81"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28865CD4" w14:textId="77777777" w:rsidTr="00F67FDA">
        <w:trPr>
          <w:trHeight w:val="319"/>
        </w:trPr>
        <w:tc>
          <w:tcPr>
            <w:tcW w:w="3120" w:type="dxa"/>
            <w:shd w:val="clear" w:color="000000" w:fill="FFFFFF"/>
            <w:vAlign w:val="center"/>
            <w:hideMark/>
          </w:tcPr>
          <w:p w14:paraId="4D078C16"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Ethnicity</w:t>
            </w:r>
          </w:p>
        </w:tc>
        <w:tc>
          <w:tcPr>
            <w:tcW w:w="850" w:type="dxa"/>
            <w:shd w:val="clear" w:color="000000" w:fill="FFFFFF"/>
            <w:vAlign w:val="center"/>
            <w:hideMark/>
          </w:tcPr>
          <w:p w14:paraId="359615B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420</w:t>
            </w:r>
          </w:p>
        </w:tc>
        <w:tc>
          <w:tcPr>
            <w:tcW w:w="2552" w:type="dxa"/>
            <w:shd w:val="clear" w:color="000000" w:fill="FFFFFF"/>
            <w:vAlign w:val="center"/>
            <w:hideMark/>
          </w:tcPr>
          <w:p w14:paraId="59CAD7C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shd w:val="clear" w:color="000000" w:fill="FFFFFF"/>
            <w:vAlign w:val="center"/>
            <w:hideMark/>
          </w:tcPr>
          <w:p w14:paraId="7C17B27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308</w:t>
            </w:r>
          </w:p>
        </w:tc>
        <w:tc>
          <w:tcPr>
            <w:tcW w:w="2551" w:type="dxa"/>
            <w:shd w:val="clear" w:color="000000" w:fill="FFFFFF"/>
            <w:vAlign w:val="center"/>
            <w:hideMark/>
          </w:tcPr>
          <w:p w14:paraId="3427716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shd w:val="clear" w:color="000000" w:fill="FFFFFF"/>
            <w:vAlign w:val="center"/>
            <w:hideMark/>
          </w:tcPr>
          <w:p w14:paraId="611A2EF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112</w:t>
            </w:r>
          </w:p>
        </w:tc>
        <w:tc>
          <w:tcPr>
            <w:tcW w:w="2410" w:type="dxa"/>
            <w:shd w:val="clear" w:color="000000" w:fill="FFFFFF"/>
            <w:vAlign w:val="center"/>
            <w:hideMark/>
          </w:tcPr>
          <w:p w14:paraId="44890F8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shd w:val="clear" w:color="000000" w:fill="FFFFFF"/>
            <w:vAlign w:val="center"/>
            <w:hideMark/>
          </w:tcPr>
          <w:p w14:paraId="68E15BA9" w14:textId="73B53DCA"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 xml:space="preserve"> &lt; 0.41</w:t>
            </w:r>
            <w:r w:rsidR="00F67FDA">
              <w:rPr>
                <w:rFonts w:ascii="Book Antiqua" w:eastAsia="Times New Roman" w:hAnsi="Book Antiqua" w:cs="Times"/>
                <w:sz w:val="24"/>
                <w:szCs w:val="24"/>
                <w:vertAlign w:val="superscript"/>
              </w:rPr>
              <w:t>3</w:t>
            </w:r>
          </w:p>
        </w:tc>
      </w:tr>
      <w:tr w:rsidR="002947C4" w:rsidRPr="001A403F" w14:paraId="50EFE703" w14:textId="77777777" w:rsidTr="00F67FDA">
        <w:trPr>
          <w:trHeight w:val="319"/>
        </w:trPr>
        <w:tc>
          <w:tcPr>
            <w:tcW w:w="3120" w:type="dxa"/>
            <w:shd w:val="clear" w:color="000000" w:fill="FFFFFF"/>
            <w:vAlign w:val="center"/>
            <w:hideMark/>
          </w:tcPr>
          <w:p w14:paraId="45A40336" w14:textId="1789CA90" w:rsidR="00414275" w:rsidRPr="001A403F" w:rsidRDefault="00414275" w:rsidP="00414275">
            <w:pPr>
              <w:adjustRightInd w:val="0"/>
              <w:snapToGrid w:val="0"/>
              <w:spacing w:after="0" w:line="360" w:lineRule="auto"/>
              <w:ind w:firstLineChars="50" w:firstLine="12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White/Caucasian</w:t>
            </w:r>
          </w:p>
        </w:tc>
        <w:tc>
          <w:tcPr>
            <w:tcW w:w="850" w:type="dxa"/>
            <w:shd w:val="clear" w:color="000000" w:fill="FFFFFF"/>
            <w:vAlign w:val="center"/>
            <w:hideMark/>
          </w:tcPr>
          <w:p w14:paraId="401C126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0FFB90FB" w14:textId="489EDE3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340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(81.0)</w:t>
            </w:r>
          </w:p>
        </w:tc>
        <w:tc>
          <w:tcPr>
            <w:tcW w:w="992" w:type="dxa"/>
            <w:shd w:val="clear" w:color="000000" w:fill="FFFFFF"/>
            <w:vAlign w:val="center"/>
            <w:hideMark/>
          </w:tcPr>
          <w:p w14:paraId="286978D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714E2D4B" w14:textId="42CE301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254</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(82.5)</w:t>
            </w:r>
          </w:p>
        </w:tc>
        <w:tc>
          <w:tcPr>
            <w:tcW w:w="1134" w:type="dxa"/>
            <w:shd w:val="clear" w:color="000000" w:fill="FFFFFF"/>
            <w:vAlign w:val="center"/>
            <w:hideMark/>
          </w:tcPr>
          <w:p w14:paraId="47FFC04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3980B0A6" w14:textId="09140C7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(76.8)</w:t>
            </w:r>
          </w:p>
        </w:tc>
        <w:tc>
          <w:tcPr>
            <w:tcW w:w="1276" w:type="dxa"/>
            <w:shd w:val="clear" w:color="000000" w:fill="FFFFFF"/>
            <w:vAlign w:val="center"/>
            <w:hideMark/>
          </w:tcPr>
          <w:p w14:paraId="0718793E"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32636C3B" w14:textId="77777777" w:rsidTr="00F67FDA">
        <w:trPr>
          <w:trHeight w:val="319"/>
        </w:trPr>
        <w:tc>
          <w:tcPr>
            <w:tcW w:w="3120" w:type="dxa"/>
            <w:shd w:val="clear" w:color="000000" w:fill="FFFFFF"/>
            <w:vAlign w:val="center"/>
            <w:hideMark/>
          </w:tcPr>
          <w:p w14:paraId="1E7E2D5E" w14:textId="7C31F13F"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Black/African/Haitian</w:t>
            </w:r>
          </w:p>
        </w:tc>
        <w:tc>
          <w:tcPr>
            <w:tcW w:w="850" w:type="dxa"/>
            <w:shd w:val="clear" w:color="000000" w:fill="FFFFFF"/>
            <w:vAlign w:val="center"/>
            <w:hideMark/>
          </w:tcPr>
          <w:p w14:paraId="699F295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1A02DA29" w14:textId="11BFBA0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(14.3)</w:t>
            </w:r>
          </w:p>
        </w:tc>
        <w:tc>
          <w:tcPr>
            <w:tcW w:w="992" w:type="dxa"/>
            <w:shd w:val="clear" w:color="000000" w:fill="FFFFFF"/>
            <w:vAlign w:val="center"/>
            <w:hideMark/>
          </w:tcPr>
          <w:p w14:paraId="6C0A1AF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5AB9AAAE" w14:textId="7B1724E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(13.3)</w:t>
            </w:r>
          </w:p>
        </w:tc>
        <w:tc>
          <w:tcPr>
            <w:tcW w:w="1134" w:type="dxa"/>
            <w:shd w:val="clear" w:color="000000" w:fill="FFFFFF"/>
            <w:vAlign w:val="center"/>
            <w:hideMark/>
          </w:tcPr>
          <w:p w14:paraId="677AAB6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680F39E7" w14:textId="612FE64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(17.0)</w:t>
            </w:r>
          </w:p>
        </w:tc>
        <w:tc>
          <w:tcPr>
            <w:tcW w:w="1276" w:type="dxa"/>
            <w:shd w:val="clear" w:color="000000" w:fill="FFFFFF"/>
            <w:vAlign w:val="center"/>
            <w:hideMark/>
          </w:tcPr>
          <w:p w14:paraId="04F47CC6"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65783FB9" w14:textId="77777777" w:rsidTr="00F67FDA">
        <w:trPr>
          <w:trHeight w:val="319"/>
        </w:trPr>
        <w:tc>
          <w:tcPr>
            <w:tcW w:w="3120" w:type="dxa"/>
            <w:shd w:val="clear" w:color="000000" w:fill="FFFFFF"/>
            <w:vAlign w:val="center"/>
            <w:hideMark/>
          </w:tcPr>
          <w:p w14:paraId="2B3BE508" w14:textId="1AD0DA4F" w:rsidR="00414275" w:rsidRPr="001A403F" w:rsidRDefault="00414275" w:rsidP="00414275">
            <w:pPr>
              <w:adjustRightInd w:val="0"/>
              <w:snapToGrid w:val="0"/>
              <w:spacing w:after="0" w:line="360" w:lineRule="auto"/>
              <w:ind w:firstLineChars="50" w:firstLine="12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Other</w:t>
            </w:r>
          </w:p>
        </w:tc>
        <w:tc>
          <w:tcPr>
            <w:tcW w:w="850" w:type="dxa"/>
            <w:shd w:val="clear" w:color="000000" w:fill="FFFFFF"/>
            <w:vAlign w:val="center"/>
            <w:hideMark/>
          </w:tcPr>
          <w:p w14:paraId="33CE365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090706DE" w14:textId="4B18DFB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(4.8)</w:t>
            </w:r>
          </w:p>
        </w:tc>
        <w:tc>
          <w:tcPr>
            <w:tcW w:w="992" w:type="dxa"/>
            <w:shd w:val="clear" w:color="000000" w:fill="FFFFFF"/>
            <w:vAlign w:val="center"/>
            <w:hideMark/>
          </w:tcPr>
          <w:p w14:paraId="0B5BA44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55B9472D" w14:textId="41F000F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(4.2)</w:t>
            </w:r>
          </w:p>
        </w:tc>
        <w:tc>
          <w:tcPr>
            <w:tcW w:w="1134" w:type="dxa"/>
            <w:shd w:val="clear" w:color="000000" w:fill="FFFFFF"/>
            <w:vAlign w:val="center"/>
            <w:hideMark/>
          </w:tcPr>
          <w:p w14:paraId="6A9D5A7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31A59FE4" w14:textId="05A348C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(6.3)</w:t>
            </w:r>
          </w:p>
        </w:tc>
        <w:tc>
          <w:tcPr>
            <w:tcW w:w="1276" w:type="dxa"/>
            <w:shd w:val="clear" w:color="000000" w:fill="FFFFFF"/>
            <w:vAlign w:val="center"/>
            <w:hideMark/>
          </w:tcPr>
          <w:p w14:paraId="565712C7"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0550FE5E" w14:textId="77777777" w:rsidTr="00F67FDA">
        <w:trPr>
          <w:trHeight w:val="495"/>
        </w:trPr>
        <w:tc>
          <w:tcPr>
            <w:tcW w:w="3120" w:type="dxa"/>
            <w:shd w:val="clear" w:color="000000" w:fill="FFFFFF"/>
            <w:vAlign w:val="center"/>
            <w:hideMark/>
          </w:tcPr>
          <w:p w14:paraId="51317778" w14:textId="650241BA"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Any previous ICU stay during same admission</w:t>
            </w:r>
          </w:p>
        </w:tc>
        <w:tc>
          <w:tcPr>
            <w:tcW w:w="850" w:type="dxa"/>
            <w:shd w:val="clear" w:color="000000" w:fill="FFFFFF"/>
            <w:vAlign w:val="center"/>
            <w:hideMark/>
          </w:tcPr>
          <w:p w14:paraId="71C1199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17FEF439" w14:textId="3AAAF22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(3.0)</w:t>
            </w:r>
          </w:p>
        </w:tc>
        <w:tc>
          <w:tcPr>
            <w:tcW w:w="992" w:type="dxa"/>
            <w:shd w:val="clear" w:color="000000" w:fill="FFFFFF"/>
            <w:vAlign w:val="center"/>
            <w:hideMark/>
          </w:tcPr>
          <w:p w14:paraId="35A47E8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02960557" w14:textId="2F6118F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(1.9)</w:t>
            </w:r>
          </w:p>
        </w:tc>
        <w:tc>
          <w:tcPr>
            <w:tcW w:w="1134" w:type="dxa"/>
            <w:shd w:val="clear" w:color="000000" w:fill="FFFFFF"/>
            <w:vAlign w:val="center"/>
            <w:hideMark/>
          </w:tcPr>
          <w:p w14:paraId="4A9665E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6D14723" w14:textId="642CD41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(5.9)</w:t>
            </w:r>
          </w:p>
        </w:tc>
        <w:tc>
          <w:tcPr>
            <w:tcW w:w="1276" w:type="dxa"/>
            <w:shd w:val="clear" w:color="000000" w:fill="FFFFFF"/>
            <w:vAlign w:val="center"/>
            <w:hideMark/>
          </w:tcPr>
          <w:p w14:paraId="6F5AB14E" w14:textId="3B1C8F4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&lt; 0.029</w:t>
            </w:r>
            <w:r w:rsidR="00F67FDA">
              <w:rPr>
                <w:rFonts w:ascii="Book Antiqua" w:eastAsia="Times New Roman" w:hAnsi="Book Antiqua" w:cs="Times"/>
                <w:color w:val="000000"/>
                <w:sz w:val="24"/>
                <w:szCs w:val="24"/>
                <w:vertAlign w:val="superscript"/>
              </w:rPr>
              <w:t>3</w:t>
            </w:r>
          </w:p>
        </w:tc>
      </w:tr>
      <w:tr w:rsidR="001A403F" w:rsidRPr="001A403F" w14:paraId="53F9A736" w14:textId="77777777" w:rsidTr="00F67FDA">
        <w:trPr>
          <w:trHeight w:val="319"/>
        </w:trPr>
        <w:tc>
          <w:tcPr>
            <w:tcW w:w="14885" w:type="dxa"/>
            <w:gridSpan w:val="8"/>
            <w:shd w:val="clear" w:color="000000" w:fill="FFFFFF"/>
            <w:vAlign w:val="center"/>
            <w:hideMark/>
          </w:tcPr>
          <w:p w14:paraId="490806CC" w14:textId="56DC10F4" w:rsidR="001A403F" w:rsidRPr="001A403F" w:rsidRDefault="001A403F"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color w:val="000000"/>
                <w:sz w:val="24"/>
                <w:szCs w:val="24"/>
              </w:rPr>
              <w:t>Comorbidities</w:t>
            </w:r>
          </w:p>
        </w:tc>
      </w:tr>
      <w:tr w:rsidR="002947C4" w:rsidRPr="001A403F" w14:paraId="48DEA52F" w14:textId="77777777" w:rsidTr="00F67FDA">
        <w:trPr>
          <w:trHeight w:val="319"/>
        </w:trPr>
        <w:tc>
          <w:tcPr>
            <w:tcW w:w="3120" w:type="dxa"/>
            <w:shd w:val="clear" w:color="000000" w:fill="FFFFFF"/>
            <w:vAlign w:val="center"/>
            <w:hideMark/>
          </w:tcPr>
          <w:p w14:paraId="2B909A0F"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Diabetes</w:t>
            </w:r>
          </w:p>
        </w:tc>
        <w:tc>
          <w:tcPr>
            <w:tcW w:w="850" w:type="dxa"/>
            <w:shd w:val="clear" w:color="000000" w:fill="FFFFFF"/>
            <w:vAlign w:val="center"/>
            <w:hideMark/>
          </w:tcPr>
          <w:p w14:paraId="65730A5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095F893D" w14:textId="144C557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(29.6)</w:t>
            </w:r>
          </w:p>
        </w:tc>
        <w:tc>
          <w:tcPr>
            <w:tcW w:w="992" w:type="dxa"/>
            <w:shd w:val="clear" w:color="000000" w:fill="FFFFFF"/>
            <w:vAlign w:val="center"/>
            <w:hideMark/>
          </w:tcPr>
          <w:p w14:paraId="4D5C316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64E05C50" w14:textId="3B074F1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(31.5)</w:t>
            </w:r>
          </w:p>
        </w:tc>
        <w:tc>
          <w:tcPr>
            <w:tcW w:w="1134" w:type="dxa"/>
            <w:shd w:val="clear" w:color="000000" w:fill="FFFFFF"/>
            <w:vAlign w:val="center"/>
            <w:hideMark/>
          </w:tcPr>
          <w:p w14:paraId="229F807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5C102879" w14:textId="6A0068A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(24.4)</w:t>
            </w:r>
          </w:p>
        </w:tc>
        <w:tc>
          <w:tcPr>
            <w:tcW w:w="1276" w:type="dxa"/>
            <w:shd w:val="clear" w:color="000000" w:fill="FFFFFF"/>
            <w:vAlign w:val="center"/>
            <w:hideMark/>
          </w:tcPr>
          <w:p w14:paraId="218365A1" w14:textId="794F5DA2"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 xml:space="preserve"> &lt; 0.14</w:t>
            </w:r>
            <w:r w:rsidR="00F67FDA">
              <w:rPr>
                <w:rFonts w:ascii="Book Antiqua" w:eastAsia="Times New Roman" w:hAnsi="Book Antiqua" w:cs="Times"/>
                <w:sz w:val="24"/>
                <w:szCs w:val="24"/>
                <w:vertAlign w:val="superscript"/>
              </w:rPr>
              <w:t>3</w:t>
            </w:r>
          </w:p>
        </w:tc>
      </w:tr>
      <w:tr w:rsidR="002947C4" w:rsidRPr="001A403F" w14:paraId="593A86A0" w14:textId="77777777" w:rsidTr="00F67FDA">
        <w:trPr>
          <w:trHeight w:val="319"/>
        </w:trPr>
        <w:tc>
          <w:tcPr>
            <w:tcW w:w="3120" w:type="dxa"/>
            <w:shd w:val="clear" w:color="000000" w:fill="FFFFFF"/>
            <w:vAlign w:val="center"/>
            <w:hideMark/>
          </w:tcPr>
          <w:p w14:paraId="2073D1CB"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COPD</w:t>
            </w:r>
          </w:p>
        </w:tc>
        <w:tc>
          <w:tcPr>
            <w:tcW w:w="850" w:type="dxa"/>
            <w:shd w:val="clear" w:color="000000" w:fill="FFFFFF"/>
            <w:vAlign w:val="center"/>
            <w:hideMark/>
          </w:tcPr>
          <w:p w14:paraId="16442AC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02A839D" w14:textId="4F78719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(14.0)</w:t>
            </w:r>
          </w:p>
        </w:tc>
        <w:tc>
          <w:tcPr>
            <w:tcW w:w="992" w:type="dxa"/>
            <w:shd w:val="clear" w:color="000000" w:fill="FFFFFF"/>
            <w:vAlign w:val="center"/>
            <w:hideMark/>
          </w:tcPr>
          <w:p w14:paraId="6FA8D37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AC476C9" w14:textId="2270ED6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(15.5)</w:t>
            </w:r>
          </w:p>
        </w:tc>
        <w:tc>
          <w:tcPr>
            <w:tcW w:w="1134" w:type="dxa"/>
            <w:shd w:val="clear" w:color="000000" w:fill="FFFFFF"/>
            <w:vAlign w:val="center"/>
            <w:hideMark/>
          </w:tcPr>
          <w:p w14:paraId="1118A8B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A0CC798" w14:textId="2CBB82A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(10.1)</w:t>
            </w:r>
          </w:p>
        </w:tc>
        <w:tc>
          <w:tcPr>
            <w:tcW w:w="1276" w:type="dxa"/>
            <w:shd w:val="clear" w:color="000000" w:fill="FFFFFF"/>
            <w:vAlign w:val="center"/>
            <w:hideMark/>
          </w:tcPr>
          <w:p w14:paraId="03BBDDD9" w14:textId="053144DD"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0.15</w:t>
            </w:r>
            <w:r w:rsidR="00F67FDA">
              <w:rPr>
                <w:rFonts w:ascii="Book Antiqua" w:eastAsia="Times New Roman" w:hAnsi="Book Antiqua" w:cs="Times"/>
                <w:sz w:val="24"/>
                <w:szCs w:val="24"/>
                <w:vertAlign w:val="superscript"/>
              </w:rPr>
              <w:t>3</w:t>
            </w:r>
          </w:p>
        </w:tc>
      </w:tr>
      <w:tr w:rsidR="002947C4" w:rsidRPr="001A403F" w14:paraId="7B810DC0" w14:textId="77777777" w:rsidTr="00F67FDA">
        <w:trPr>
          <w:trHeight w:val="319"/>
        </w:trPr>
        <w:tc>
          <w:tcPr>
            <w:tcW w:w="3120" w:type="dxa"/>
            <w:shd w:val="clear" w:color="000000" w:fill="FFFFFF"/>
            <w:vAlign w:val="center"/>
            <w:hideMark/>
          </w:tcPr>
          <w:p w14:paraId="354B9C31"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Severe COPD</w:t>
            </w:r>
          </w:p>
        </w:tc>
        <w:tc>
          <w:tcPr>
            <w:tcW w:w="850" w:type="dxa"/>
            <w:shd w:val="clear" w:color="000000" w:fill="FFFFFF"/>
            <w:vAlign w:val="center"/>
            <w:hideMark/>
          </w:tcPr>
          <w:p w14:paraId="30B3C52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7B9EB889" w14:textId="5AAB0EF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w:t>
            </w:r>
          </w:p>
        </w:tc>
        <w:tc>
          <w:tcPr>
            <w:tcW w:w="992" w:type="dxa"/>
            <w:shd w:val="clear" w:color="000000" w:fill="FFFFFF"/>
            <w:vAlign w:val="center"/>
            <w:hideMark/>
          </w:tcPr>
          <w:p w14:paraId="768A3DA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06BE3AB" w14:textId="61508B6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w:t>
            </w:r>
          </w:p>
        </w:tc>
        <w:tc>
          <w:tcPr>
            <w:tcW w:w="1134" w:type="dxa"/>
            <w:shd w:val="clear" w:color="000000" w:fill="FFFFFF"/>
            <w:vAlign w:val="center"/>
            <w:hideMark/>
          </w:tcPr>
          <w:p w14:paraId="36C9DAE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8DF9885" w14:textId="3090B63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w:t>
            </w:r>
          </w:p>
        </w:tc>
        <w:tc>
          <w:tcPr>
            <w:tcW w:w="1276" w:type="dxa"/>
            <w:shd w:val="clear" w:color="000000" w:fill="FFFFFF"/>
            <w:vAlign w:val="center"/>
            <w:hideMark/>
          </w:tcPr>
          <w:p w14:paraId="3C3FED58" w14:textId="6FCEB084"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0.40</w:t>
            </w:r>
            <w:r w:rsidR="00F67FDA">
              <w:rPr>
                <w:rFonts w:ascii="Book Antiqua" w:eastAsia="Times New Roman" w:hAnsi="Book Antiqua" w:cs="Times"/>
                <w:sz w:val="24"/>
                <w:szCs w:val="24"/>
                <w:vertAlign w:val="superscript"/>
              </w:rPr>
              <w:t>3</w:t>
            </w:r>
          </w:p>
        </w:tc>
      </w:tr>
      <w:tr w:rsidR="002947C4" w:rsidRPr="001A403F" w14:paraId="4A547438" w14:textId="77777777" w:rsidTr="00F67FDA">
        <w:trPr>
          <w:trHeight w:val="495"/>
        </w:trPr>
        <w:tc>
          <w:tcPr>
            <w:tcW w:w="3120" w:type="dxa"/>
            <w:shd w:val="clear" w:color="000000" w:fill="FFFFFF"/>
            <w:vAlign w:val="center"/>
            <w:hideMark/>
          </w:tcPr>
          <w:p w14:paraId="20F97537"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Solid tumor</w:t>
            </w:r>
          </w:p>
          <w:p w14:paraId="1D127934"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with metastasis</w:t>
            </w:r>
          </w:p>
        </w:tc>
        <w:tc>
          <w:tcPr>
            <w:tcW w:w="850" w:type="dxa"/>
            <w:shd w:val="clear" w:color="000000" w:fill="FFFFFF"/>
            <w:vAlign w:val="center"/>
            <w:hideMark/>
          </w:tcPr>
          <w:p w14:paraId="68C0788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3ADD05E6" w14:textId="6F68FFE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(0.69)</w:t>
            </w:r>
          </w:p>
        </w:tc>
        <w:tc>
          <w:tcPr>
            <w:tcW w:w="992" w:type="dxa"/>
            <w:shd w:val="clear" w:color="000000" w:fill="FFFFFF"/>
            <w:vAlign w:val="center"/>
            <w:hideMark/>
          </w:tcPr>
          <w:p w14:paraId="1E1C8A6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7F75CE7" w14:textId="2A2E1E4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(0.32)</w:t>
            </w:r>
          </w:p>
        </w:tc>
        <w:tc>
          <w:tcPr>
            <w:tcW w:w="1134" w:type="dxa"/>
            <w:shd w:val="clear" w:color="000000" w:fill="FFFFFF"/>
            <w:vAlign w:val="center"/>
            <w:hideMark/>
          </w:tcPr>
          <w:p w14:paraId="48C8771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4D8D41F6" w14:textId="464C703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w:t>
            </w:r>
          </w:p>
        </w:tc>
        <w:tc>
          <w:tcPr>
            <w:tcW w:w="1276" w:type="dxa"/>
            <w:shd w:val="clear" w:color="000000" w:fill="FFFFFF"/>
            <w:vAlign w:val="center"/>
            <w:hideMark/>
          </w:tcPr>
          <w:p w14:paraId="08EB6A2A" w14:textId="189F870D"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0.18</w:t>
            </w:r>
            <w:r w:rsidR="00F67FDA">
              <w:rPr>
                <w:rFonts w:ascii="Book Antiqua" w:eastAsia="Times New Roman" w:hAnsi="Book Antiqua" w:cs="Times"/>
                <w:sz w:val="24"/>
                <w:szCs w:val="24"/>
                <w:vertAlign w:val="superscript"/>
              </w:rPr>
              <w:t>2</w:t>
            </w:r>
          </w:p>
        </w:tc>
      </w:tr>
      <w:tr w:rsidR="002947C4" w:rsidRPr="001A403F" w14:paraId="78111A1E" w14:textId="77777777" w:rsidTr="00F67FDA">
        <w:trPr>
          <w:trHeight w:val="319"/>
        </w:trPr>
        <w:tc>
          <w:tcPr>
            <w:tcW w:w="3120" w:type="dxa"/>
            <w:shd w:val="clear" w:color="000000" w:fill="FFFFFF"/>
            <w:vAlign w:val="center"/>
            <w:hideMark/>
          </w:tcPr>
          <w:p w14:paraId="24FB7391"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Immune suppression</w:t>
            </w:r>
          </w:p>
        </w:tc>
        <w:tc>
          <w:tcPr>
            <w:tcW w:w="850" w:type="dxa"/>
            <w:shd w:val="clear" w:color="000000" w:fill="FFFFFF"/>
            <w:vAlign w:val="center"/>
            <w:hideMark/>
          </w:tcPr>
          <w:p w14:paraId="5D8D58B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12924D6A" w14:textId="0F9809D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(4.8)</w:t>
            </w:r>
          </w:p>
        </w:tc>
        <w:tc>
          <w:tcPr>
            <w:tcW w:w="992" w:type="dxa"/>
            <w:shd w:val="clear" w:color="000000" w:fill="FFFFFF"/>
            <w:vAlign w:val="center"/>
            <w:hideMark/>
          </w:tcPr>
          <w:p w14:paraId="3D338DA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7DCF00CF" w14:textId="7D79F9C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(5.0)</w:t>
            </w:r>
          </w:p>
        </w:tc>
        <w:tc>
          <w:tcPr>
            <w:tcW w:w="1134" w:type="dxa"/>
            <w:shd w:val="clear" w:color="000000" w:fill="FFFFFF"/>
            <w:vAlign w:val="center"/>
            <w:hideMark/>
          </w:tcPr>
          <w:p w14:paraId="1A90728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32854CF3" w14:textId="1ED52E4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(4.2)</w:t>
            </w:r>
          </w:p>
        </w:tc>
        <w:tc>
          <w:tcPr>
            <w:tcW w:w="1276" w:type="dxa"/>
            <w:shd w:val="clear" w:color="000000" w:fill="FFFFFF"/>
            <w:vAlign w:val="center"/>
            <w:hideMark/>
          </w:tcPr>
          <w:p w14:paraId="14AE26BF" w14:textId="41418AD0"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0.71</w:t>
            </w:r>
            <w:r w:rsidR="00F67FDA">
              <w:rPr>
                <w:rFonts w:ascii="Book Antiqua" w:eastAsia="Times New Roman" w:hAnsi="Book Antiqua" w:cs="Times"/>
                <w:sz w:val="24"/>
                <w:szCs w:val="24"/>
                <w:vertAlign w:val="superscript"/>
              </w:rPr>
              <w:t>3</w:t>
            </w:r>
          </w:p>
        </w:tc>
      </w:tr>
      <w:tr w:rsidR="002947C4" w:rsidRPr="001A403F" w14:paraId="067A6042" w14:textId="77777777" w:rsidTr="00F67FDA">
        <w:trPr>
          <w:trHeight w:val="319"/>
        </w:trPr>
        <w:tc>
          <w:tcPr>
            <w:tcW w:w="3120" w:type="dxa"/>
            <w:shd w:val="clear" w:color="000000" w:fill="FFFFFF"/>
            <w:vAlign w:val="center"/>
            <w:hideMark/>
          </w:tcPr>
          <w:p w14:paraId="4323DB99" w14:textId="449B5589"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Mechanical </w:t>
            </w:r>
            <w:r w:rsidR="002947C4" w:rsidRPr="001A403F">
              <w:rPr>
                <w:rFonts w:ascii="Book Antiqua" w:eastAsia="Times New Roman" w:hAnsi="Book Antiqua" w:cs="Times"/>
                <w:color w:val="000000"/>
                <w:sz w:val="24"/>
                <w:szCs w:val="24"/>
              </w:rPr>
              <w:t>v</w:t>
            </w:r>
            <w:r w:rsidRPr="001A403F">
              <w:rPr>
                <w:rFonts w:ascii="Book Antiqua" w:eastAsia="Times New Roman" w:hAnsi="Book Antiqua" w:cs="Times"/>
                <w:color w:val="000000"/>
                <w:sz w:val="24"/>
                <w:szCs w:val="24"/>
              </w:rPr>
              <w:t>entilation</w:t>
            </w:r>
          </w:p>
        </w:tc>
        <w:tc>
          <w:tcPr>
            <w:tcW w:w="850" w:type="dxa"/>
            <w:shd w:val="clear" w:color="000000" w:fill="FFFFFF"/>
            <w:vAlign w:val="center"/>
            <w:hideMark/>
          </w:tcPr>
          <w:p w14:paraId="51AC493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98255AB" w14:textId="441C5FE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(39.0)</w:t>
            </w:r>
          </w:p>
        </w:tc>
        <w:tc>
          <w:tcPr>
            <w:tcW w:w="992" w:type="dxa"/>
            <w:shd w:val="clear" w:color="000000" w:fill="FFFFFF"/>
            <w:vAlign w:val="center"/>
            <w:hideMark/>
          </w:tcPr>
          <w:p w14:paraId="189C280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9B83FED" w14:textId="4B70DEB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(35.0)</w:t>
            </w:r>
          </w:p>
        </w:tc>
        <w:tc>
          <w:tcPr>
            <w:tcW w:w="1134" w:type="dxa"/>
            <w:shd w:val="clear" w:color="000000" w:fill="FFFFFF"/>
            <w:vAlign w:val="center"/>
            <w:hideMark/>
          </w:tcPr>
          <w:p w14:paraId="03B71D9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22F7B5E0" w14:textId="3CDDAA2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(49.6)</w:t>
            </w:r>
          </w:p>
        </w:tc>
        <w:tc>
          <w:tcPr>
            <w:tcW w:w="1276" w:type="dxa"/>
            <w:shd w:val="clear" w:color="000000" w:fill="FFFFFF"/>
            <w:noWrap/>
            <w:vAlign w:val="center"/>
            <w:hideMark/>
          </w:tcPr>
          <w:p w14:paraId="3D627DA1" w14:textId="7344891A"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0.005</w:t>
            </w:r>
            <w:r w:rsidR="00F67FDA">
              <w:rPr>
                <w:rFonts w:ascii="Book Antiqua" w:eastAsia="Times New Roman" w:hAnsi="Book Antiqua" w:cs="Times"/>
                <w:sz w:val="24"/>
                <w:szCs w:val="24"/>
                <w:vertAlign w:val="superscript"/>
              </w:rPr>
              <w:t>3</w:t>
            </w:r>
          </w:p>
        </w:tc>
      </w:tr>
      <w:tr w:rsidR="002947C4" w:rsidRPr="001A403F" w14:paraId="5F8A3865" w14:textId="77777777" w:rsidTr="00F67FDA">
        <w:trPr>
          <w:trHeight w:val="319"/>
        </w:trPr>
        <w:tc>
          <w:tcPr>
            <w:tcW w:w="3120" w:type="dxa"/>
            <w:shd w:val="clear" w:color="000000" w:fill="FFFFFF"/>
            <w:vAlign w:val="center"/>
            <w:hideMark/>
          </w:tcPr>
          <w:p w14:paraId="1FCB847E" w14:textId="2F7D043D"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lastRenderedPageBreak/>
              <w:t>Dialysis &gt;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 times in 7 d</w:t>
            </w:r>
          </w:p>
        </w:tc>
        <w:tc>
          <w:tcPr>
            <w:tcW w:w="850" w:type="dxa"/>
            <w:shd w:val="clear" w:color="000000" w:fill="FFFFFF"/>
            <w:vAlign w:val="center"/>
            <w:hideMark/>
          </w:tcPr>
          <w:p w14:paraId="5DA6984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B2DF3ED" w14:textId="56BD7C2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(8.0)</w:t>
            </w:r>
          </w:p>
        </w:tc>
        <w:tc>
          <w:tcPr>
            <w:tcW w:w="992" w:type="dxa"/>
            <w:shd w:val="clear" w:color="000000" w:fill="FFFFFF"/>
            <w:vAlign w:val="center"/>
            <w:hideMark/>
          </w:tcPr>
          <w:p w14:paraId="7C52E29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12CC351E" w14:textId="3E50CD3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(6.3)</w:t>
            </w:r>
          </w:p>
        </w:tc>
        <w:tc>
          <w:tcPr>
            <w:tcW w:w="1134" w:type="dxa"/>
            <w:shd w:val="clear" w:color="000000" w:fill="FFFFFF"/>
            <w:vAlign w:val="center"/>
            <w:hideMark/>
          </w:tcPr>
          <w:p w14:paraId="12254E8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3C42F533" w14:textId="735C1AC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(12.6)</w:t>
            </w:r>
          </w:p>
        </w:tc>
        <w:tc>
          <w:tcPr>
            <w:tcW w:w="1276" w:type="dxa"/>
            <w:shd w:val="clear" w:color="000000" w:fill="FFFFFF"/>
            <w:noWrap/>
            <w:vAlign w:val="center"/>
            <w:hideMark/>
          </w:tcPr>
          <w:p w14:paraId="0740E47D" w14:textId="21480130"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0.031</w:t>
            </w:r>
            <w:r w:rsidR="00F67FDA">
              <w:rPr>
                <w:rFonts w:ascii="Book Antiqua" w:eastAsia="Times New Roman" w:hAnsi="Book Antiqua" w:cs="Times"/>
                <w:sz w:val="24"/>
                <w:szCs w:val="24"/>
                <w:vertAlign w:val="superscript"/>
              </w:rPr>
              <w:t>3</w:t>
            </w:r>
          </w:p>
        </w:tc>
      </w:tr>
      <w:tr w:rsidR="002947C4" w:rsidRPr="001A403F" w14:paraId="7AE18410" w14:textId="77777777" w:rsidTr="00F67FDA">
        <w:trPr>
          <w:trHeight w:val="319"/>
        </w:trPr>
        <w:tc>
          <w:tcPr>
            <w:tcW w:w="14885" w:type="dxa"/>
            <w:gridSpan w:val="8"/>
            <w:shd w:val="clear" w:color="000000" w:fill="FFFFFF"/>
            <w:vAlign w:val="center"/>
            <w:hideMark/>
          </w:tcPr>
          <w:p w14:paraId="17E9AEBF" w14:textId="76A00B5A" w:rsidR="002947C4" w:rsidRPr="001A403F" w:rsidRDefault="002947C4"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color w:val="000000"/>
                <w:sz w:val="24"/>
                <w:szCs w:val="24"/>
              </w:rPr>
              <w:t>Liver disease etiology</w:t>
            </w:r>
          </w:p>
        </w:tc>
      </w:tr>
      <w:tr w:rsidR="002947C4" w:rsidRPr="001A403F" w14:paraId="03019139" w14:textId="77777777" w:rsidTr="00F67FDA">
        <w:trPr>
          <w:trHeight w:val="319"/>
        </w:trPr>
        <w:tc>
          <w:tcPr>
            <w:tcW w:w="3120" w:type="dxa"/>
            <w:shd w:val="clear" w:color="000000" w:fill="FFFFFF"/>
            <w:vAlign w:val="center"/>
            <w:hideMark/>
          </w:tcPr>
          <w:p w14:paraId="3894603C"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AIAT</w:t>
            </w:r>
          </w:p>
        </w:tc>
        <w:tc>
          <w:tcPr>
            <w:tcW w:w="850" w:type="dxa"/>
            <w:shd w:val="clear" w:color="000000" w:fill="FFFFFF"/>
            <w:vAlign w:val="center"/>
            <w:hideMark/>
          </w:tcPr>
          <w:p w14:paraId="2F3CB28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469A42AE" w14:textId="74E06ED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p>
        </w:tc>
        <w:tc>
          <w:tcPr>
            <w:tcW w:w="992" w:type="dxa"/>
            <w:shd w:val="clear" w:color="000000" w:fill="FFFFFF"/>
            <w:vAlign w:val="center"/>
            <w:hideMark/>
          </w:tcPr>
          <w:p w14:paraId="50E7DBF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69EF9AAE" w14:textId="504F896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w:t>
            </w:r>
          </w:p>
        </w:tc>
        <w:tc>
          <w:tcPr>
            <w:tcW w:w="1134" w:type="dxa"/>
            <w:shd w:val="clear" w:color="000000" w:fill="FFFFFF"/>
            <w:vAlign w:val="center"/>
            <w:hideMark/>
          </w:tcPr>
          <w:p w14:paraId="38215CA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2EC9C01" w14:textId="4D73575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(0.84)</w:t>
            </w:r>
          </w:p>
        </w:tc>
        <w:tc>
          <w:tcPr>
            <w:tcW w:w="1276" w:type="dxa"/>
            <w:shd w:val="clear" w:color="000000" w:fill="FFFFFF"/>
            <w:vAlign w:val="center"/>
            <w:hideMark/>
          </w:tcPr>
          <w:p w14:paraId="2EAB7704" w14:textId="4A32A4D5"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0.27</w:t>
            </w:r>
            <w:r w:rsidR="00F67FDA">
              <w:rPr>
                <w:rFonts w:ascii="Book Antiqua" w:eastAsia="Times New Roman" w:hAnsi="Book Antiqua" w:cs="Times"/>
                <w:sz w:val="24"/>
                <w:szCs w:val="24"/>
                <w:vertAlign w:val="superscript"/>
              </w:rPr>
              <w:t>3</w:t>
            </w:r>
          </w:p>
        </w:tc>
      </w:tr>
      <w:tr w:rsidR="002947C4" w:rsidRPr="001A403F" w14:paraId="683475F2" w14:textId="77777777" w:rsidTr="00F67FDA">
        <w:trPr>
          <w:trHeight w:val="319"/>
        </w:trPr>
        <w:tc>
          <w:tcPr>
            <w:tcW w:w="3120" w:type="dxa"/>
            <w:shd w:val="clear" w:color="000000" w:fill="FFFFFF"/>
            <w:vAlign w:val="center"/>
            <w:hideMark/>
          </w:tcPr>
          <w:p w14:paraId="6E2CF718"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AIH</w:t>
            </w:r>
          </w:p>
        </w:tc>
        <w:tc>
          <w:tcPr>
            <w:tcW w:w="850" w:type="dxa"/>
            <w:shd w:val="clear" w:color="000000" w:fill="FFFFFF"/>
            <w:vAlign w:val="center"/>
            <w:hideMark/>
          </w:tcPr>
          <w:p w14:paraId="4E10472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187C365" w14:textId="6109CEC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(3.9)</w:t>
            </w:r>
          </w:p>
        </w:tc>
        <w:tc>
          <w:tcPr>
            <w:tcW w:w="992" w:type="dxa"/>
            <w:shd w:val="clear" w:color="000000" w:fill="FFFFFF"/>
            <w:vAlign w:val="center"/>
            <w:hideMark/>
          </w:tcPr>
          <w:p w14:paraId="6756F92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0EA1EFE5" w14:textId="16581D9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w:t>
            </w:r>
          </w:p>
        </w:tc>
        <w:tc>
          <w:tcPr>
            <w:tcW w:w="1134" w:type="dxa"/>
            <w:shd w:val="clear" w:color="000000" w:fill="FFFFFF"/>
            <w:vAlign w:val="center"/>
            <w:hideMark/>
          </w:tcPr>
          <w:p w14:paraId="50119C5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4EA67E68" w14:textId="5CEB3EC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(5.0)</w:t>
            </w:r>
          </w:p>
        </w:tc>
        <w:tc>
          <w:tcPr>
            <w:tcW w:w="1276" w:type="dxa"/>
            <w:shd w:val="clear" w:color="000000" w:fill="FFFFFF"/>
            <w:vAlign w:val="center"/>
            <w:hideMark/>
          </w:tcPr>
          <w:p w14:paraId="5A0E0DCE" w14:textId="2245D47E"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0.45</w:t>
            </w:r>
            <w:r w:rsidR="00F67FDA">
              <w:rPr>
                <w:rFonts w:ascii="Book Antiqua" w:eastAsia="Times New Roman" w:hAnsi="Book Antiqua" w:cs="Times"/>
                <w:sz w:val="24"/>
                <w:szCs w:val="24"/>
                <w:vertAlign w:val="superscript"/>
              </w:rPr>
              <w:t>3</w:t>
            </w:r>
          </w:p>
        </w:tc>
      </w:tr>
      <w:tr w:rsidR="002947C4" w:rsidRPr="001A403F" w14:paraId="70A1E716" w14:textId="77777777" w:rsidTr="00F67FDA">
        <w:trPr>
          <w:trHeight w:val="319"/>
        </w:trPr>
        <w:tc>
          <w:tcPr>
            <w:tcW w:w="3120" w:type="dxa"/>
            <w:shd w:val="clear" w:color="000000" w:fill="FFFFFF"/>
            <w:vAlign w:val="center"/>
            <w:hideMark/>
          </w:tcPr>
          <w:p w14:paraId="3F9DA426"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ALD</w:t>
            </w:r>
          </w:p>
        </w:tc>
        <w:tc>
          <w:tcPr>
            <w:tcW w:w="850" w:type="dxa"/>
            <w:shd w:val="clear" w:color="000000" w:fill="FFFFFF"/>
            <w:vAlign w:val="center"/>
            <w:hideMark/>
          </w:tcPr>
          <w:p w14:paraId="1DAF1A7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1977789" w14:textId="7BB8FC5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197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(45.2)</w:t>
            </w:r>
          </w:p>
        </w:tc>
        <w:tc>
          <w:tcPr>
            <w:tcW w:w="992" w:type="dxa"/>
            <w:shd w:val="clear" w:color="000000" w:fill="FFFFFF"/>
            <w:vAlign w:val="center"/>
            <w:hideMark/>
          </w:tcPr>
          <w:p w14:paraId="28BF23D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7CE7AF2" w14:textId="3E69CBB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(43.5)</w:t>
            </w:r>
          </w:p>
        </w:tc>
        <w:tc>
          <w:tcPr>
            <w:tcW w:w="1134" w:type="dxa"/>
            <w:shd w:val="clear" w:color="000000" w:fill="FFFFFF"/>
            <w:vAlign w:val="center"/>
            <w:hideMark/>
          </w:tcPr>
          <w:p w14:paraId="1BC464B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5858153F" w14:textId="47D4811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(49.6)</w:t>
            </w:r>
          </w:p>
        </w:tc>
        <w:tc>
          <w:tcPr>
            <w:tcW w:w="1276" w:type="dxa"/>
            <w:shd w:val="clear" w:color="000000" w:fill="FFFFFF"/>
            <w:vAlign w:val="center"/>
            <w:hideMark/>
          </w:tcPr>
          <w:p w14:paraId="5203A370" w14:textId="20396F66"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0.26</w:t>
            </w:r>
            <w:r w:rsidR="00F67FDA">
              <w:rPr>
                <w:rFonts w:ascii="Book Antiqua" w:eastAsia="Times New Roman" w:hAnsi="Book Antiqua" w:cs="Times"/>
                <w:sz w:val="24"/>
                <w:szCs w:val="24"/>
                <w:vertAlign w:val="superscript"/>
              </w:rPr>
              <w:t>3</w:t>
            </w:r>
          </w:p>
        </w:tc>
      </w:tr>
      <w:tr w:rsidR="002947C4" w:rsidRPr="001A403F" w14:paraId="3F2A71F3" w14:textId="77777777" w:rsidTr="00F67FDA">
        <w:trPr>
          <w:trHeight w:val="319"/>
        </w:trPr>
        <w:tc>
          <w:tcPr>
            <w:tcW w:w="3120" w:type="dxa"/>
            <w:shd w:val="clear" w:color="000000" w:fill="FFFFFF"/>
            <w:vAlign w:val="center"/>
            <w:hideMark/>
          </w:tcPr>
          <w:p w14:paraId="0E2B2A4F"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Cryptogenic</w:t>
            </w:r>
          </w:p>
        </w:tc>
        <w:tc>
          <w:tcPr>
            <w:tcW w:w="850" w:type="dxa"/>
            <w:shd w:val="clear" w:color="000000" w:fill="FFFFFF"/>
            <w:vAlign w:val="center"/>
            <w:hideMark/>
          </w:tcPr>
          <w:p w14:paraId="2902E12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E8487CE" w14:textId="02B4FBF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(5.7)</w:t>
            </w:r>
          </w:p>
        </w:tc>
        <w:tc>
          <w:tcPr>
            <w:tcW w:w="992" w:type="dxa"/>
            <w:shd w:val="clear" w:color="000000" w:fill="FFFFFF"/>
            <w:vAlign w:val="center"/>
            <w:hideMark/>
          </w:tcPr>
          <w:p w14:paraId="534D195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FD189B3" w14:textId="7433A18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(6.6)</w:t>
            </w:r>
          </w:p>
        </w:tc>
        <w:tc>
          <w:tcPr>
            <w:tcW w:w="1134" w:type="dxa"/>
            <w:shd w:val="clear" w:color="000000" w:fill="FFFFFF"/>
            <w:vAlign w:val="center"/>
            <w:hideMark/>
          </w:tcPr>
          <w:p w14:paraId="72A36DF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2BF1A24" w14:textId="7BC88D9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w:t>
            </w:r>
          </w:p>
        </w:tc>
        <w:tc>
          <w:tcPr>
            <w:tcW w:w="1276" w:type="dxa"/>
            <w:shd w:val="clear" w:color="000000" w:fill="FFFFFF"/>
            <w:vAlign w:val="center"/>
            <w:hideMark/>
          </w:tcPr>
          <w:p w14:paraId="464E2691" w14:textId="2FC9ECCE"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0.19</w:t>
            </w:r>
            <w:r w:rsidR="00F67FDA">
              <w:rPr>
                <w:rFonts w:ascii="Book Antiqua" w:eastAsia="Times New Roman" w:hAnsi="Book Antiqua" w:cs="Times"/>
                <w:sz w:val="24"/>
                <w:szCs w:val="24"/>
                <w:vertAlign w:val="superscript"/>
              </w:rPr>
              <w:t>3</w:t>
            </w:r>
          </w:p>
        </w:tc>
      </w:tr>
      <w:tr w:rsidR="002947C4" w:rsidRPr="001A403F" w14:paraId="28608100" w14:textId="77777777" w:rsidTr="00F67FDA">
        <w:trPr>
          <w:trHeight w:val="319"/>
        </w:trPr>
        <w:tc>
          <w:tcPr>
            <w:tcW w:w="3120" w:type="dxa"/>
            <w:shd w:val="clear" w:color="000000" w:fill="FFFFFF"/>
            <w:vAlign w:val="center"/>
            <w:hideMark/>
          </w:tcPr>
          <w:p w14:paraId="5A6258FC"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HCV</w:t>
            </w:r>
          </w:p>
        </w:tc>
        <w:tc>
          <w:tcPr>
            <w:tcW w:w="850" w:type="dxa"/>
            <w:shd w:val="clear" w:color="000000" w:fill="FFFFFF"/>
            <w:vAlign w:val="center"/>
            <w:hideMark/>
          </w:tcPr>
          <w:p w14:paraId="09FC8FF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392CD1F3" w14:textId="39130FA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147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(33.7)</w:t>
            </w:r>
          </w:p>
        </w:tc>
        <w:tc>
          <w:tcPr>
            <w:tcW w:w="992" w:type="dxa"/>
            <w:shd w:val="clear" w:color="000000" w:fill="FFFFFF"/>
            <w:vAlign w:val="center"/>
            <w:hideMark/>
          </w:tcPr>
          <w:p w14:paraId="33F3EFF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04886F5" w14:textId="5168B5C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(32.2)</w:t>
            </w:r>
          </w:p>
        </w:tc>
        <w:tc>
          <w:tcPr>
            <w:tcW w:w="1134" w:type="dxa"/>
            <w:shd w:val="clear" w:color="000000" w:fill="FFFFFF"/>
            <w:vAlign w:val="center"/>
            <w:hideMark/>
          </w:tcPr>
          <w:p w14:paraId="417703C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DD95911" w14:textId="57ED9B3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(37.8)</w:t>
            </w:r>
          </w:p>
        </w:tc>
        <w:tc>
          <w:tcPr>
            <w:tcW w:w="1276" w:type="dxa"/>
            <w:shd w:val="clear" w:color="000000" w:fill="FFFFFF"/>
            <w:vAlign w:val="center"/>
            <w:hideMark/>
          </w:tcPr>
          <w:p w14:paraId="71D58BC9" w14:textId="2EEBA6D1"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0.27</w:t>
            </w:r>
            <w:r w:rsidR="00F67FDA">
              <w:rPr>
                <w:rFonts w:ascii="Book Antiqua" w:eastAsia="Times New Roman" w:hAnsi="Book Antiqua" w:cs="Times"/>
                <w:sz w:val="24"/>
                <w:szCs w:val="24"/>
                <w:vertAlign w:val="superscript"/>
              </w:rPr>
              <w:t>3</w:t>
            </w:r>
          </w:p>
        </w:tc>
      </w:tr>
      <w:tr w:rsidR="002947C4" w:rsidRPr="001A403F" w14:paraId="36626D11" w14:textId="77777777" w:rsidTr="00F67FDA">
        <w:trPr>
          <w:trHeight w:val="319"/>
        </w:trPr>
        <w:tc>
          <w:tcPr>
            <w:tcW w:w="3120" w:type="dxa"/>
            <w:shd w:val="clear" w:color="000000" w:fill="FFFFFF"/>
            <w:vAlign w:val="center"/>
            <w:hideMark/>
          </w:tcPr>
          <w:p w14:paraId="1941B4E5"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HBV</w:t>
            </w:r>
          </w:p>
        </w:tc>
        <w:tc>
          <w:tcPr>
            <w:tcW w:w="850" w:type="dxa"/>
            <w:shd w:val="clear" w:color="000000" w:fill="FFFFFF"/>
            <w:vAlign w:val="center"/>
            <w:hideMark/>
          </w:tcPr>
          <w:p w14:paraId="08C56B2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18AC1587" w14:textId="2B4C4A8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p>
        </w:tc>
        <w:tc>
          <w:tcPr>
            <w:tcW w:w="992" w:type="dxa"/>
            <w:shd w:val="clear" w:color="000000" w:fill="FFFFFF"/>
            <w:vAlign w:val="center"/>
            <w:hideMark/>
          </w:tcPr>
          <w:p w14:paraId="719535A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0437527C" w14:textId="3048D4C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(1.6)</w:t>
            </w:r>
          </w:p>
        </w:tc>
        <w:tc>
          <w:tcPr>
            <w:tcW w:w="1134" w:type="dxa"/>
            <w:shd w:val="clear" w:color="000000" w:fill="FFFFFF"/>
            <w:vAlign w:val="center"/>
            <w:hideMark/>
          </w:tcPr>
          <w:p w14:paraId="6EA8F60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62F3D2E5" w14:textId="769EBDB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w:t>
            </w:r>
          </w:p>
        </w:tc>
        <w:tc>
          <w:tcPr>
            <w:tcW w:w="1276" w:type="dxa"/>
            <w:shd w:val="clear" w:color="000000" w:fill="FFFFFF"/>
            <w:vAlign w:val="center"/>
            <w:hideMark/>
          </w:tcPr>
          <w:p w14:paraId="5E9933BB" w14:textId="7888C17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0.24</w:t>
            </w:r>
            <w:r w:rsidR="00F67FDA">
              <w:rPr>
                <w:rFonts w:ascii="Book Antiqua" w:eastAsia="Times New Roman" w:hAnsi="Book Antiqua" w:cs="Times"/>
                <w:sz w:val="24"/>
                <w:szCs w:val="24"/>
                <w:vertAlign w:val="superscript"/>
              </w:rPr>
              <w:t>3</w:t>
            </w:r>
          </w:p>
        </w:tc>
      </w:tr>
      <w:tr w:rsidR="002947C4" w:rsidRPr="001A403F" w14:paraId="55B4D3E5" w14:textId="77777777" w:rsidTr="00F67FDA">
        <w:trPr>
          <w:trHeight w:val="319"/>
        </w:trPr>
        <w:tc>
          <w:tcPr>
            <w:tcW w:w="3120" w:type="dxa"/>
            <w:shd w:val="clear" w:color="000000" w:fill="FFFFFF"/>
            <w:vAlign w:val="center"/>
            <w:hideMark/>
          </w:tcPr>
          <w:p w14:paraId="78FF00BC"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NASH</w:t>
            </w:r>
          </w:p>
        </w:tc>
        <w:tc>
          <w:tcPr>
            <w:tcW w:w="850" w:type="dxa"/>
            <w:shd w:val="clear" w:color="000000" w:fill="FFFFFF"/>
            <w:vAlign w:val="center"/>
            <w:hideMark/>
          </w:tcPr>
          <w:p w14:paraId="69CC2B2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8A03E93" w14:textId="28D3836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(22.0)</w:t>
            </w:r>
          </w:p>
        </w:tc>
        <w:tc>
          <w:tcPr>
            <w:tcW w:w="992" w:type="dxa"/>
            <w:shd w:val="clear" w:color="000000" w:fill="FFFFFF"/>
            <w:vAlign w:val="center"/>
            <w:hideMark/>
          </w:tcPr>
          <w:p w14:paraId="4A56E05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01E94EC3" w14:textId="5565751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(23.7)</w:t>
            </w:r>
          </w:p>
        </w:tc>
        <w:tc>
          <w:tcPr>
            <w:tcW w:w="1134" w:type="dxa"/>
            <w:shd w:val="clear" w:color="000000" w:fill="FFFFFF"/>
            <w:vAlign w:val="center"/>
            <w:hideMark/>
          </w:tcPr>
          <w:p w14:paraId="245C20E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D660285" w14:textId="42E05BB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(17.6)</w:t>
            </w:r>
          </w:p>
        </w:tc>
        <w:tc>
          <w:tcPr>
            <w:tcW w:w="1276" w:type="dxa"/>
            <w:shd w:val="clear" w:color="000000" w:fill="FFFFFF"/>
            <w:vAlign w:val="center"/>
            <w:hideMark/>
          </w:tcPr>
          <w:p w14:paraId="1A5BFAE5" w14:textId="29F89B5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0.18</w:t>
            </w:r>
            <w:r w:rsidR="00F67FDA">
              <w:rPr>
                <w:rFonts w:ascii="Book Antiqua" w:eastAsia="Times New Roman" w:hAnsi="Book Antiqua" w:cs="Times"/>
                <w:sz w:val="24"/>
                <w:szCs w:val="24"/>
                <w:vertAlign w:val="superscript"/>
              </w:rPr>
              <w:t>3</w:t>
            </w:r>
          </w:p>
        </w:tc>
      </w:tr>
      <w:tr w:rsidR="002947C4" w:rsidRPr="001A403F" w14:paraId="3AC26AAA" w14:textId="77777777" w:rsidTr="00F67FDA">
        <w:trPr>
          <w:trHeight w:val="319"/>
        </w:trPr>
        <w:tc>
          <w:tcPr>
            <w:tcW w:w="3120" w:type="dxa"/>
            <w:shd w:val="clear" w:color="000000" w:fill="FFFFFF"/>
            <w:vAlign w:val="center"/>
            <w:hideMark/>
          </w:tcPr>
          <w:p w14:paraId="1531D495"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PBC</w:t>
            </w:r>
          </w:p>
        </w:tc>
        <w:tc>
          <w:tcPr>
            <w:tcW w:w="850" w:type="dxa"/>
            <w:shd w:val="clear" w:color="000000" w:fill="FFFFFF"/>
            <w:vAlign w:val="center"/>
            <w:hideMark/>
          </w:tcPr>
          <w:p w14:paraId="33B50A2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43546D70" w14:textId="34D503E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w:t>
            </w:r>
          </w:p>
        </w:tc>
        <w:tc>
          <w:tcPr>
            <w:tcW w:w="992" w:type="dxa"/>
            <w:shd w:val="clear" w:color="000000" w:fill="FFFFFF"/>
            <w:vAlign w:val="center"/>
            <w:hideMark/>
          </w:tcPr>
          <w:p w14:paraId="5FDE99C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79BE293A" w14:textId="7F14A9F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(1.6)</w:t>
            </w:r>
          </w:p>
        </w:tc>
        <w:tc>
          <w:tcPr>
            <w:tcW w:w="1134" w:type="dxa"/>
            <w:shd w:val="clear" w:color="000000" w:fill="FFFFFF"/>
            <w:vAlign w:val="center"/>
            <w:hideMark/>
          </w:tcPr>
          <w:p w14:paraId="3AEBD78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4B80075" w14:textId="342B2D4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(0.84)</w:t>
            </w:r>
          </w:p>
        </w:tc>
        <w:tc>
          <w:tcPr>
            <w:tcW w:w="1276" w:type="dxa"/>
            <w:shd w:val="clear" w:color="000000" w:fill="FFFFFF"/>
            <w:vAlign w:val="center"/>
            <w:hideMark/>
          </w:tcPr>
          <w:p w14:paraId="7D4E2A87" w14:textId="7757126B"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0.99</w:t>
            </w:r>
            <w:r w:rsidR="00F67FDA">
              <w:rPr>
                <w:rFonts w:ascii="Book Antiqua" w:eastAsia="Times New Roman" w:hAnsi="Book Antiqua" w:cs="Times"/>
                <w:sz w:val="24"/>
                <w:szCs w:val="24"/>
                <w:vertAlign w:val="superscript"/>
              </w:rPr>
              <w:t>4</w:t>
            </w:r>
          </w:p>
        </w:tc>
      </w:tr>
      <w:tr w:rsidR="002947C4" w:rsidRPr="001A403F" w14:paraId="1E078F96" w14:textId="77777777" w:rsidTr="00F67FDA">
        <w:trPr>
          <w:trHeight w:val="319"/>
        </w:trPr>
        <w:tc>
          <w:tcPr>
            <w:tcW w:w="3120" w:type="dxa"/>
            <w:shd w:val="clear" w:color="000000" w:fill="FFFFFF"/>
            <w:vAlign w:val="center"/>
            <w:hideMark/>
          </w:tcPr>
          <w:p w14:paraId="4F82CBB5"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PSC</w:t>
            </w:r>
          </w:p>
        </w:tc>
        <w:tc>
          <w:tcPr>
            <w:tcW w:w="850" w:type="dxa"/>
            <w:shd w:val="clear" w:color="000000" w:fill="FFFFFF"/>
            <w:vAlign w:val="center"/>
            <w:hideMark/>
          </w:tcPr>
          <w:p w14:paraId="67CDB15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9189D6F" w14:textId="56CA957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(0.46)</w:t>
            </w:r>
          </w:p>
        </w:tc>
        <w:tc>
          <w:tcPr>
            <w:tcW w:w="992" w:type="dxa"/>
            <w:shd w:val="clear" w:color="000000" w:fill="FFFFFF"/>
            <w:vAlign w:val="center"/>
            <w:hideMark/>
          </w:tcPr>
          <w:p w14:paraId="1AC632E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09B9000" w14:textId="052532A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(0.63)</w:t>
            </w:r>
          </w:p>
        </w:tc>
        <w:tc>
          <w:tcPr>
            <w:tcW w:w="1134" w:type="dxa"/>
            <w:shd w:val="clear" w:color="000000" w:fill="FFFFFF"/>
            <w:vAlign w:val="center"/>
            <w:hideMark/>
          </w:tcPr>
          <w:p w14:paraId="5900C01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CD6B456" w14:textId="7776018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(0.0)</w:t>
            </w:r>
          </w:p>
        </w:tc>
        <w:tc>
          <w:tcPr>
            <w:tcW w:w="1276" w:type="dxa"/>
            <w:shd w:val="clear" w:color="000000" w:fill="FFFFFF"/>
            <w:vAlign w:val="center"/>
            <w:hideMark/>
          </w:tcPr>
          <w:p w14:paraId="256B3CC8" w14:textId="0CB15995"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0.99</w:t>
            </w:r>
            <w:r w:rsidR="00F67FDA">
              <w:rPr>
                <w:rFonts w:ascii="Book Antiqua" w:eastAsia="Times New Roman" w:hAnsi="Book Antiqua" w:cs="Times"/>
                <w:sz w:val="24"/>
                <w:szCs w:val="24"/>
                <w:vertAlign w:val="superscript"/>
              </w:rPr>
              <w:t>4</w:t>
            </w:r>
          </w:p>
        </w:tc>
      </w:tr>
      <w:tr w:rsidR="002947C4" w:rsidRPr="001A403F" w14:paraId="300D3513" w14:textId="77777777" w:rsidTr="00F67FDA">
        <w:trPr>
          <w:trHeight w:val="319"/>
        </w:trPr>
        <w:tc>
          <w:tcPr>
            <w:tcW w:w="3120" w:type="dxa"/>
            <w:shd w:val="clear" w:color="000000" w:fill="FFFFFF"/>
            <w:vAlign w:val="center"/>
            <w:hideMark/>
          </w:tcPr>
          <w:p w14:paraId="231C398C" w14:textId="611899DE"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24-</w:t>
            </w:r>
            <w:r w:rsidR="00F67FDA" w:rsidRPr="001A403F">
              <w:rPr>
                <w:rFonts w:ascii="Book Antiqua" w:eastAsia="Times New Roman" w:hAnsi="Book Antiqua" w:cs="Times"/>
                <w:color w:val="000000"/>
                <w:sz w:val="24"/>
                <w:szCs w:val="24"/>
              </w:rPr>
              <w:t>h</w:t>
            </w:r>
            <w:r w:rsidRPr="001A403F">
              <w:rPr>
                <w:rFonts w:ascii="Book Antiqua" w:eastAsia="Times New Roman" w:hAnsi="Book Antiqua" w:cs="Times"/>
                <w:color w:val="000000"/>
                <w:sz w:val="24"/>
                <w:szCs w:val="24"/>
              </w:rPr>
              <w:t xml:space="preserve">our </w:t>
            </w:r>
            <w:r w:rsidR="00F67FDA" w:rsidRPr="001A403F">
              <w:rPr>
                <w:rFonts w:ascii="Book Antiqua" w:eastAsia="Times New Roman" w:hAnsi="Book Antiqua" w:cs="Times"/>
                <w:color w:val="000000"/>
                <w:sz w:val="24"/>
                <w:szCs w:val="24"/>
              </w:rPr>
              <w:t>u</w:t>
            </w:r>
            <w:r w:rsidRPr="001A403F">
              <w:rPr>
                <w:rFonts w:ascii="Book Antiqua" w:eastAsia="Times New Roman" w:hAnsi="Book Antiqua" w:cs="Times"/>
                <w:color w:val="000000"/>
                <w:sz w:val="24"/>
                <w:szCs w:val="24"/>
              </w:rPr>
              <w:t xml:space="preserve">rine </w:t>
            </w:r>
            <w:r w:rsidR="00F67FDA" w:rsidRPr="001A403F">
              <w:rPr>
                <w:rFonts w:ascii="Book Antiqua" w:eastAsia="Times New Roman" w:hAnsi="Book Antiqua" w:cs="Times"/>
                <w:color w:val="000000"/>
                <w:sz w:val="24"/>
                <w:szCs w:val="24"/>
              </w:rPr>
              <w:t>o</w:t>
            </w:r>
            <w:r w:rsidRPr="001A403F">
              <w:rPr>
                <w:rFonts w:ascii="Book Antiqua" w:eastAsia="Times New Roman" w:hAnsi="Book Antiqua" w:cs="Times"/>
                <w:color w:val="000000"/>
                <w:sz w:val="24"/>
                <w:szCs w:val="24"/>
              </w:rPr>
              <w:t>utput (cc)</w:t>
            </w:r>
          </w:p>
        </w:tc>
        <w:tc>
          <w:tcPr>
            <w:tcW w:w="850" w:type="dxa"/>
            <w:shd w:val="clear" w:color="000000" w:fill="FFFFFF"/>
            <w:vAlign w:val="center"/>
            <w:hideMark/>
          </w:tcPr>
          <w:p w14:paraId="0CD8715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400</w:t>
            </w:r>
          </w:p>
        </w:tc>
        <w:tc>
          <w:tcPr>
            <w:tcW w:w="2552" w:type="dxa"/>
            <w:shd w:val="clear" w:color="000000" w:fill="FFFFFF"/>
            <w:vAlign w:val="center"/>
            <w:hideMark/>
          </w:tcPr>
          <w:p w14:paraId="668133BA" w14:textId="57702BB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1005.2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454.8,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1589.8</w:t>
            </w:r>
            <w:r w:rsidR="002947C4"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74A2F23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295</w:t>
            </w:r>
          </w:p>
        </w:tc>
        <w:tc>
          <w:tcPr>
            <w:tcW w:w="2551" w:type="dxa"/>
            <w:shd w:val="clear" w:color="000000" w:fill="FFFFFF"/>
            <w:vAlign w:val="center"/>
            <w:hideMark/>
          </w:tcPr>
          <w:p w14:paraId="2A3253EA" w14:textId="00597C2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1090.0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633.3,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1726.6</w:t>
            </w:r>
            <w:r w:rsidR="002947C4"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4986B84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105</w:t>
            </w:r>
          </w:p>
        </w:tc>
        <w:tc>
          <w:tcPr>
            <w:tcW w:w="2410" w:type="dxa"/>
            <w:shd w:val="clear" w:color="000000" w:fill="FFFFFF"/>
            <w:vAlign w:val="center"/>
            <w:hideMark/>
          </w:tcPr>
          <w:p w14:paraId="505801DD" w14:textId="25EC3FC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563.8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105.6,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1210.9</w:t>
            </w:r>
            <w:r w:rsidR="002947C4" w:rsidRPr="001A403F">
              <w:rPr>
                <w:rFonts w:ascii="Book Antiqua" w:eastAsia="Times New Roman" w:hAnsi="Book Antiqua" w:cs="Times"/>
                <w:color w:val="000000"/>
                <w:sz w:val="24"/>
                <w:szCs w:val="24"/>
              </w:rPr>
              <w:t>)</w:t>
            </w:r>
          </w:p>
        </w:tc>
        <w:tc>
          <w:tcPr>
            <w:tcW w:w="1276" w:type="dxa"/>
            <w:shd w:val="clear" w:color="000000" w:fill="FFFFFF"/>
            <w:noWrap/>
            <w:vAlign w:val="center"/>
            <w:hideMark/>
          </w:tcPr>
          <w:p w14:paraId="18C3F14F" w14:textId="0E5A1A8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1029B5E3" w14:textId="77777777" w:rsidTr="00F67FDA">
        <w:trPr>
          <w:trHeight w:val="319"/>
        </w:trPr>
        <w:tc>
          <w:tcPr>
            <w:tcW w:w="3120" w:type="dxa"/>
            <w:shd w:val="clear" w:color="000000" w:fill="FFFFFF"/>
            <w:vAlign w:val="center"/>
            <w:hideMark/>
          </w:tcPr>
          <w:p w14:paraId="05B9D76C" w14:textId="1B0EC139"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Variceal </w:t>
            </w:r>
            <w:r w:rsidR="00F67FDA" w:rsidRPr="001A403F">
              <w:rPr>
                <w:rFonts w:ascii="Book Antiqua" w:eastAsia="Times New Roman" w:hAnsi="Book Antiqua" w:cs="Times"/>
                <w:color w:val="000000"/>
                <w:sz w:val="24"/>
                <w:szCs w:val="24"/>
              </w:rPr>
              <w:t>b</w:t>
            </w:r>
            <w:r w:rsidRPr="001A403F">
              <w:rPr>
                <w:rFonts w:ascii="Book Antiqua" w:eastAsia="Times New Roman" w:hAnsi="Book Antiqua" w:cs="Times"/>
                <w:color w:val="000000"/>
                <w:sz w:val="24"/>
                <w:szCs w:val="24"/>
              </w:rPr>
              <w:t>leed</w:t>
            </w:r>
          </w:p>
        </w:tc>
        <w:tc>
          <w:tcPr>
            <w:tcW w:w="850" w:type="dxa"/>
            <w:shd w:val="clear" w:color="000000" w:fill="FFFFFF"/>
            <w:vAlign w:val="center"/>
            <w:hideMark/>
          </w:tcPr>
          <w:p w14:paraId="458A029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A91D862" w14:textId="08BAB97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(25.7)</w:t>
            </w:r>
          </w:p>
        </w:tc>
        <w:tc>
          <w:tcPr>
            <w:tcW w:w="992" w:type="dxa"/>
            <w:shd w:val="clear" w:color="000000" w:fill="FFFFFF"/>
            <w:vAlign w:val="center"/>
            <w:hideMark/>
          </w:tcPr>
          <w:p w14:paraId="7B77BD5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BA75945" w14:textId="7E11B78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(27.1)</w:t>
            </w:r>
          </w:p>
        </w:tc>
        <w:tc>
          <w:tcPr>
            <w:tcW w:w="1134" w:type="dxa"/>
            <w:shd w:val="clear" w:color="000000" w:fill="FFFFFF"/>
            <w:vAlign w:val="center"/>
            <w:hideMark/>
          </w:tcPr>
          <w:p w14:paraId="2C43790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33880F57" w14:textId="1382054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(21.8)</w:t>
            </w:r>
          </w:p>
        </w:tc>
        <w:tc>
          <w:tcPr>
            <w:tcW w:w="1276" w:type="dxa"/>
            <w:shd w:val="clear" w:color="000000" w:fill="FFFFFF"/>
            <w:vAlign w:val="center"/>
            <w:hideMark/>
          </w:tcPr>
          <w:p w14:paraId="61443171" w14:textId="5256C038"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0.26</w:t>
            </w:r>
            <w:r w:rsidR="00F67FDA">
              <w:rPr>
                <w:rFonts w:ascii="Book Antiqua" w:eastAsia="Times New Roman" w:hAnsi="Book Antiqua" w:cs="Times"/>
                <w:sz w:val="24"/>
                <w:szCs w:val="24"/>
                <w:vertAlign w:val="superscript"/>
              </w:rPr>
              <w:t>3</w:t>
            </w:r>
          </w:p>
        </w:tc>
      </w:tr>
      <w:tr w:rsidR="002947C4" w:rsidRPr="001A403F" w14:paraId="2056F154" w14:textId="77777777" w:rsidTr="00F67FDA">
        <w:trPr>
          <w:trHeight w:val="495"/>
        </w:trPr>
        <w:tc>
          <w:tcPr>
            <w:tcW w:w="3120" w:type="dxa"/>
            <w:shd w:val="clear" w:color="000000" w:fill="FFFFFF"/>
            <w:vAlign w:val="center"/>
            <w:hideMark/>
          </w:tcPr>
          <w:p w14:paraId="2B338648"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Vasopressors on day of admission</w:t>
            </w:r>
          </w:p>
        </w:tc>
        <w:tc>
          <w:tcPr>
            <w:tcW w:w="850" w:type="dxa"/>
            <w:shd w:val="clear" w:color="000000" w:fill="FFFFFF"/>
            <w:vAlign w:val="center"/>
            <w:hideMark/>
          </w:tcPr>
          <w:p w14:paraId="72B3303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F4D0FA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shd w:val="clear" w:color="000000" w:fill="FFFFFF"/>
            <w:vAlign w:val="center"/>
            <w:hideMark/>
          </w:tcPr>
          <w:p w14:paraId="657BA20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5302D75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shd w:val="clear" w:color="000000" w:fill="FFFFFF"/>
            <w:vAlign w:val="center"/>
            <w:hideMark/>
          </w:tcPr>
          <w:p w14:paraId="10828BD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B3C36E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shd w:val="clear" w:color="000000" w:fill="FFFFFF"/>
            <w:noWrap/>
            <w:vAlign w:val="center"/>
            <w:hideMark/>
          </w:tcPr>
          <w:p w14:paraId="136838C7" w14:textId="3138AC8D"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700BA3C9" w14:textId="77777777" w:rsidTr="00F67FDA">
        <w:trPr>
          <w:trHeight w:val="319"/>
        </w:trPr>
        <w:tc>
          <w:tcPr>
            <w:tcW w:w="3120" w:type="dxa"/>
            <w:shd w:val="clear" w:color="000000" w:fill="FFFFFF"/>
            <w:vAlign w:val="center"/>
            <w:hideMark/>
          </w:tcPr>
          <w:p w14:paraId="4274DE7C" w14:textId="7145A911"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0</w:t>
            </w:r>
          </w:p>
        </w:tc>
        <w:tc>
          <w:tcPr>
            <w:tcW w:w="850" w:type="dxa"/>
            <w:shd w:val="clear" w:color="000000" w:fill="FFFFFF"/>
            <w:vAlign w:val="center"/>
            <w:hideMark/>
          </w:tcPr>
          <w:p w14:paraId="1888130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374E3D5F" w14:textId="7E69FB2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(47.7)</w:t>
            </w:r>
          </w:p>
        </w:tc>
        <w:tc>
          <w:tcPr>
            <w:tcW w:w="992" w:type="dxa"/>
            <w:shd w:val="clear" w:color="000000" w:fill="FFFFFF"/>
            <w:vAlign w:val="center"/>
            <w:hideMark/>
          </w:tcPr>
          <w:p w14:paraId="29CC26F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17FFA8CD" w14:textId="42D4B06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(53.6)</w:t>
            </w:r>
          </w:p>
        </w:tc>
        <w:tc>
          <w:tcPr>
            <w:tcW w:w="1134" w:type="dxa"/>
            <w:shd w:val="clear" w:color="000000" w:fill="FFFFFF"/>
            <w:vAlign w:val="center"/>
            <w:hideMark/>
          </w:tcPr>
          <w:p w14:paraId="5AFDBE8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53840DF3" w14:textId="747F4F7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(31.9)</w:t>
            </w:r>
          </w:p>
        </w:tc>
        <w:tc>
          <w:tcPr>
            <w:tcW w:w="1276" w:type="dxa"/>
            <w:shd w:val="clear" w:color="000000" w:fill="FFFFFF"/>
            <w:vAlign w:val="center"/>
            <w:hideMark/>
          </w:tcPr>
          <w:p w14:paraId="0F8157A2"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73F4E436" w14:textId="77777777" w:rsidTr="00F67FDA">
        <w:trPr>
          <w:trHeight w:val="319"/>
        </w:trPr>
        <w:tc>
          <w:tcPr>
            <w:tcW w:w="3120" w:type="dxa"/>
            <w:shd w:val="clear" w:color="000000" w:fill="FFFFFF"/>
            <w:vAlign w:val="center"/>
            <w:hideMark/>
          </w:tcPr>
          <w:p w14:paraId="0997503B" w14:textId="4BFC16C6"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w:t>
            </w:r>
          </w:p>
        </w:tc>
        <w:tc>
          <w:tcPr>
            <w:tcW w:w="850" w:type="dxa"/>
            <w:shd w:val="clear" w:color="000000" w:fill="FFFFFF"/>
            <w:vAlign w:val="center"/>
            <w:hideMark/>
          </w:tcPr>
          <w:p w14:paraId="0CEDA4C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13D81D40" w14:textId="60C430F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(40.1)</w:t>
            </w:r>
          </w:p>
        </w:tc>
        <w:tc>
          <w:tcPr>
            <w:tcW w:w="992" w:type="dxa"/>
            <w:shd w:val="clear" w:color="000000" w:fill="FFFFFF"/>
            <w:vAlign w:val="center"/>
            <w:hideMark/>
          </w:tcPr>
          <w:p w14:paraId="053BA4E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5C3292A0" w14:textId="00DAB0F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(39.7)</w:t>
            </w:r>
          </w:p>
        </w:tc>
        <w:tc>
          <w:tcPr>
            <w:tcW w:w="1134" w:type="dxa"/>
            <w:shd w:val="clear" w:color="000000" w:fill="FFFFFF"/>
            <w:vAlign w:val="center"/>
            <w:hideMark/>
          </w:tcPr>
          <w:p w14:paraId="1AA48D6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35D0F35F" w14:textId="5318FE2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(41.2)</w:t>
            </w:r>
          </w:p>
        </w:tc>
        <w:tc>
          <w:tcPr>
            <w:tcW w:w="1276" w:type="dxa"/>
            <w:shd w:val="clear" w:color="000000" w:fill="FFFFFF"/>
            <w:vAlign w:val="center"/>
            <w:hideMark/>
          </w:tcPr>
          <w:p w14:paraId="4735BF33"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26961D42" w14:textId="77777777" w:rsidTr="00F67FDA">
        <w:trPr>
          <w:trHeight w:val="319"/>
        </w:trPr>
        <w:tc>
          <w:tcPr>
            <w:tcW w:w="3120" w:type="dxa"/>
            <w:shd w:val="clear" w:color="000000" w:fill="FFFFFF"/>
            <w:vAlign w:val="center"/>
            <w:hideMark/>
          </w:tcPr>
          <w:p w14:paraId="14E3DFE9" w14:textId="0D6B75A5"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New Roman"/>
                <w:color w:val="000000"/>
                <w:sz w:val="24"/>
                <w:szCs w:val="24"/>
              </w:rPr>
              <w:t>≥</w:t>
            </w:r>
            <w:r w:rsidR="002947C4" w:rsidRPr="001A403F">
              <w:rPr>
                <w:rFonts w:ascii="Book Antiqua" w:eastAsia="Times New Roman" w:hAnsi="Book Antiqua" w:cs="Times New Roman"/>
                <w:color w:val="000000"/>
                <w:sz w:val="24"/>
                <w:szCs w:val="24"/>
              </w:rPr>
              <w:t xml:space="preserve"> </w:t>
            </w:r>
            <w:r w:rsidRPr="001A403F">
              <w:rPr>
                <w:rFonts w:ascii="Book Antiqua" w:eastAsia="Times New Roman" w:hAnsi="Book Antiqua" w:cs="Times"/>
                <w:color w:val="000000"/>
                <w:sz w:val="24"/>
                <w:szCs w:val="24"/>
              </w:rPr>
              <w:t>2</w:t>
            </w:r>
          </w:p>
        </w:tc>
        <w:tc>
          <w:tcPr>
            <w:tcW w:w="850" w:type="dxa"/>
            <w:shd w:val="clear" w:color="000000" w:fill="FFFFFF"/>
            <w:vAlign w:val="center"/>
            <w:hideMark/>
          </w:tcPr>
          <w:p w14:paraId="05119D8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0FD4FA25" w14:textId="6198A01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(12.12)</w:t>
            </w:r>
          </w:p>
        </w:tc>
        <w:tc>
          <w:tcPr>
            <w:tcW w:w="992" w:type="dxa"/>
            <w:shd w:val="clear" w:color="000000" w:fill="FFFFFF"/>
            <w:vAlign w:val="center"/>
            <w:hideMark/>
          </w:tcPr>
          <w:p w14:paraId="57A38F7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38C3F04C" w14:textId="3742AEE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(6.63)</w:t>
            </w:r>
          </w:p>
        </w:tc>
        <w:tc>
          <w:tcPr>
            <w:tcW w:w="1134" w:type="dxa"/>
            <w:shd w:val="clear" w:color="000000" w:fill="FFFFFF"/>
            <w:vAlign w:val="center"/>
            <w:hideMark/>
          </w:tcPr>
          <w:p w14:paraId="52ABECD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28AA89A4" w14:textId="143BD8B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(26.9)</w:t>
            </w:r>
          </w:p>
        </w:tc>
        <w:tc>
          <w:tcPr>
            <w:tcW w:w="1276" w:type="dxa"/>
            <w:shd w:val="clear" w:color="000000" w:fill="FFFFFF"/>
            <w:vAlign w:val="center"/>
            <w:hideMark/>
          </w:tcPr>
          <w:p w14:paraId="10C311FF"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3C1AAA95" w14:textId="77777777" w:rsidTr="00F67FDA">
        <w:trPr>
          <w:trHeight w:val="319"/>
        </w:trPr>
        <w:tc>
          <w:tcPr>
            <w:tcW w:w="3120" w:type="dxa"/>
            <w:shd w:val="clear" w:color="000000" w:fill="FFFFFF"/>
            <w:vAlign w:val="center"/>
            <w:hideMark/>
          </w:tcPr>
          <w:p w14:paraId="67ED3A9A"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Encephalopathy</w:t>
            </w:r>
          </w:p>
        </w:tc>
        <w:tc>
          <w:tcPr>
            <w:tcW w:w="850" w:type="dxa"/>
            <w:shd w:val="clear" w:color="000000" w:fill="FFFFFF"/>
            <w:vAlign w:val="center"/>
            <w:hideMark/>
          </w:tcPr>
          <w:p w14:paraId="12EE06A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08307C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shd w:val="clear" w:color="000000" w:fill="FFFFFF"/>
            <w:vAlign w:val="center"/>
            <w:hideMark/>
          </w:tcPr>
          <w:p w14:paraId="12C0152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6DF966B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shd w:val="clear" w:color="000000" w:fill="FFFFFF"/>
            <w:vAlign w:val="center"/>
            <w:hideMark/>
          </w:tcPr>
          <w:p w14:paraId="2FC6613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688D148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shd w:val="clear" w:color="000000" w:fill="FFFFFF"/>
            <w:vAlign w:val="center"/>
            <w:hideMark/>
          </w:tcPr>
          <w:p w14:paraId="3B2CADF7" w14:textId="017BF48C"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sz w:val="24"/>
                <w:szCs w:val="24"/>
              </w:rPr>
              <w:t xml:space="preserve"> &lt; 0.43</w:t>
            </w:r>
            <w:r w:rsidR="00F67FDA">
              <w:rPr>
                <w:rFonts w:ascii="Book Antiqua" w:eastAsia="Times New Roman" w:hAnsi="Book Antiqua" w:cs="Times"/>
                <w:sz w:val="24"/>
                <w:szCs w:val="24"/>
                <w:vertAlign w:val="superscript"/>
              </w:rPr>
              <w:t>2</w:t>
            </w:r>
          </w:p>
        </w:tc>
      </w:tr>
      <w:tr w:rsidR="002947C4" w:rsidRPr="001A403F" w14:paraId="70DA6075" w14:textId="77777777" w:rsidTr="00F67FDA">
        <w:trPr>
          <w:trHeight w:val="319"/>
        </w:trPr>
        <w:tc>
          <w:tcPr>
            <w:tcW w:w="3120" w:type="dxa"/>
            <w:shd w:val="clear" w:color="000000" w:fill="FFFFFF"/>
            <w:vAlign w:val="center"/>
            <w:hideMark/>
          </w:tcPr>
          <w:p w14:paraId="660EE567" w14:textId="6D6124A6"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None</w:t>
            </w:r>
          </w:p>
        </w:tc>
        <w:tc>
          <w:tcPr>
            <w:tcW w:w="850" w:type="dxa"/>
            <w:shd w:val="clear" w:color="000000" w:fill="FFFFFF"/>
            <w:vAlign w:val="center"/>
            <w:hideMark/>
          </w:tcPr>
          <w:p w14:paraId="6483810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23F8BC03" w14:textId="6705771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(24.3)</w:t>
            </w:r>
          </w:p>
        </w:tc>
        <w:tc>
          <w:tcPr>
            <w:tcW w:w="992" w:type="dxa"/>
            <w:shd w:val="clear" w:color="000000" w:fill="FFFFFF"/>
            <w:vAlign w:val="center"/>
            <w:hideMark/>
          </w:tcPr>
          <w:p w14:paraId="097C612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03A763CB" w14:textId="6D9ED95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81</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(25.6)</w:t>
            </w:r>
          </w:p>
        </w:tc>
        <w:tc>
          <w:tcPr>
            <w:tcW w:w="1134" w:type="dxa"/>
            <w:shd w:val="clear" w:color="000000" w:fill="FFFFFF"/>
            <w:vAlign w:val="center"/>
            <w:hideMark/>
          </w:tcPr>
          <w:p w14:paraId="3195269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41F65DE6" w14:textId="56CBB06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(21.0)</w:t>
            </w:r>
          </w:p>
        </w:tc>
        <w:tc>
          <w:tcPr>
            <w:tcW w:w="1276" w:type="dxa"/>
            <w:shd w:val="clear" w:color="000000" w:fill="FFFFFF"/>
            <w:vAlign w:val="center"/>
          </w:tcPr>
          <w:p w14:paraId="128419B1" w14:textId="7777777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p>
        </w:tc>
      </w:tr>
      <w:tr w:rsidR="002947C4" w:rsidRPr="001A403F" w14:paraId="4CE6DBC0" w14:textId="77777777" w:rsidTr="00F67FDA">
        <w:trPr>
          <w:trHeight w:val="319"/>
        </w:trPr>
        <w:tc>
          <w:tcPr>
            <w:tcW w:w="3120" w:type="dxa"/>
            <w:shd w:val="clear" w:color="000000" w:fill="FFFFFF"/>
            <w:vAlign w:val="center"/>
            <w:hideMark/>
          </w:tcPr>
          <w:p w14:paraId="04B35B73" w14:textId="5142A1E4"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Mild</w:t>
            </w:r>
          </w:p>
        </w:tc>
        <w:tc>
          <w:tcPr>
            <w:tcW w:w="850" w:type="dxa"/>
            <w:shd w:val="clear" w:color="000000" w:fill="FFFFFF"/>
            <w:vAlign w:val="center"/>
            <w:hideMark/>
          </w:tcPr>
          <w:p w14:paraId="6FC7F07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6460ED14" w14:textId="57B6DC0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(28.2)</w:t>
            </w:r>
          </w:p>
        </w:tc>
        <w:tc>
          <w:tcPr>
            <w:tcW w:w="992" w:type="dxa"/>
            <w:shd w:val="clear" w:color="000000" w:fill="FFFFFF"/>
            <w:vAlign w:val="center"/>
            <w:hideMark/>
          </w:tcPr>
          <w:p w14:paraId="0077154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737910CC" w14:textId="0205951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(27.8)</w:t>
            </w:r>
          </w:p>
        </w:tc>
        <w:tc>
          <w:tcPr>
            <w:tcW w:w="1134" w:type="dxa"/>
            <w:shd w:val="clear" w:color="000000" w:fill="FFFFFF"/>
            <w:vAlign w:val="center"/>
            <w:hideMark/>
          </w:tcPr>
          <w:p w14:paraId="6B991E3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6C29A030" w14:textId="5F3AA1F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(29.4)</w:t>
            </w:r>
          </w:p>
        </w:tc>
        <w:tc>
          <w:tcPr>
            <w:tcW w:w="1276" w:type="dxa"/>
            <w:shd w:val="clear" w:color="000000" w:fill="FFFFFF"/>
            <w:vAlign w:val="center"/>
          </w:tcPr>
          <w:p w14:paraId="7525F9A3"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094C2EA2" w14:textId="77777777" w:rsidTr="00F67FDA">
        <w:trPr>
          <w:trHeight w:val="319"/>
        </w:trPr>
        <w:tc>
          <w:tcPr>
            <w:tcW w:w="3120" w:type="dxa"/>
            <w:shd w:val="clear" w:color="000000" w:fill="FFFFFF"/>
            <w:vAlign w:val="center"/>
            <w:hideMark/>
          </w:tcPr>
          <w:p w14:paraId="4F892034" w14:textId="1A78F793"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lastRenderedPageBreak/>
              <w:t>Moderate/</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evere</w:t>
            </w:r>
          </w:p>
        </w:tc>
        <w:tc>
          <w:tcPr>
            <w:tcW w:w="850" w:type="dxa"/>
            <w:shd w:val="clear" w:color="000000" w:fill="FFFFFF"/>
            <w:vAlign w:val="center"/>
            <w:hideMark/>
          </w:tcPr>
          <w:p w14:paraId="5AA5415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10C9316E" w14:textId="1D23487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(47.5)</w:t>
            </w:r>
          </w:p>
        </w:tc>
        <w:tc>
          <w:tcPr>
            <w:tcW w:w="992" w:type="dxa"/>
            <w:shd w:val="clear" w:color="000000" w:fill="FFFFFF"/>
            <w:vAlign w:val="center"/>
            <w:hideMark/>
          </w:tcPr>
          <w:p w14:paraId="0ED0922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7282CCC2" w14:textId="2B36223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148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(46.7)</w:t>
            </w:r>
          </w:p>
        </w:tc>
        <w:tc>
          <w:tcPr>
            <w:tcW w:w="1134" w:type="dxa"/>
            <w:shd w:val="clear" w:color="000000" w:fill="FFFFFF"/>
            <w:vAlign w:val="center"/>
            <w:hideMark/>
          </w:tcPr>
          <w:p w14:paraId="644FE7A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68760013" w14:textId="6764CFC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59</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(49.6)</w:t>
            </w:r>
          </w:p>
        </w:tc>
        <w:tc>
          <w:tcPr>
            <w:tcW w:w="1276" w:type="dxa"/>
            <w:shd w:val="clear" w:color="000000" w:fill="FFFFFF"/>
            <w:vAlign w:val="center"/>
          </w:tcPr>
          <w:p w14:paraId="6A924ACB"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5A71E147" w14:textId="77777777" w:rsidTr="00F67FDA">
        <w:trPr>
          <w:trHeight w:val="319"/>
        </w:trPr>
        <w:tc>
          <w:tcPr>
            <w:tcW w:w="3120" w:type="dxa"/>
            <w:shd w:val="clear" w:color="000000" w:fill="FFFFFF"/>
            <w:vAlign w:val="center"/>
            <w:hideMark/>
          </w:tcPr>
          <w:p w14:paraId="4AA5AB02"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Ascites</w:t>
            </w:r>
          </w:p>
        </w:tc>
        <w:tc>
          <w:tcPr>
            <w:tcW w:w="850" w:type="dxa"/>
            <w:shd w:val="clear" w:color="000000" w:fill="FFFFFF"/>
            <w:vAlign w:val="center"/>
            <w:hideMark/>
          </w:tcPr>
          <w:p w14:paraId="509E415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23EA49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shd w:val="clear" w:color="000000" w:fill="FFFFFF"/>
            <w:vAlign w:val="center"/>
            <w:hideMark/>
          </w:tcPr>
          <w:p w14:paraId="796F541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EF9546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shd w:val="clear" w:color="000000" w:fill="FFFFFF"/>
            <w:vAlign w:val="center"/>
            <w:hideMark/>
          </w:tcPr>
          <w:p w14:paraId="679B7AA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52BC37A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shd w:val="clear" w:color="000000" w:fill="FFFFFF"/>
            <w:vAlign w:val="center"/>
          </w:tcPr>
          <w:p w14:paraId="02C85502" w14:textId="358EC1FF"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sz w:val="24"/>
                <w:szCs w:val="24"/>
              </w:rPr>
              <w:t>&lt; 0.085</w:t>
            </w:r>
            <w:r w:rsidR="00F67FDA">
              <w:rPr>
                <w:rFonts w:ascii="Book Antiqua" w:eastAsia="Times New Roman" w:hAnsi="Book Antiqua" w:cs="Times"/>
                <w:sz w:val="24"/>
                <w:szCs w:val="24"/>
                <w:vertAlign w:val="superscript"/>
              </w:rPr>
              <w:t>2</w:t>
            </w:r>
          </w:p>
        </w:tc>
      </w:tr>
      <w:tr w:rsidR="002947C4" w:rsidRPr="001A403F" w14:paraId="2DAA2AC7" w14:textId="77777777" w:rsidTr="00F67FDA">
        <w:trPr>
          <w:trHeight w:val="319"/>
        </w:trPr>
        <w:tc>
          <w:tcPr>
            <w:tcW w:w="3120" w:type="dxa"/>
            <w:shd w:val="clear" w:color="000000" w:fill="FFFFFF"/>
            <w:vAlign w:val="center"/>
            <w:hideMark/>
          </w:tcPr>
          <w:p w14:paraId="5DDC396F" w14:textId="18085C59"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None</w:t>
            </w:r>
          </w:p>
        </w:tc>
        <w:tc>
          <w:tcPr>
            <w:tcW w:w="850" w:type="dxa"/>
            <w:shd w:val="clear" w:color="000000" w:fill="FFFFFF"/>
            <w:vAlign w:val="center"/>
            <w:hideMark/>
          </w:tcPr>
          <w:p w14:paraId="6494439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26F20A1E" w14:textId="21831A7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(26.1)</w:t>
            </w:r>
          </w:p>
        </w:tc>
        <w:tc>
          <w:tcPr>
            <w:tcW w:w="992" w:type="dxa"/>
            <w:shd w:val="clear" w:color="000000" w:fill="FFFFFF"/>
            <w:vAlign w:val="center"/>
            <w:hideMark/>
          </w:tcPr>
          <w:p w14:paraId="3C6E134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65E74CC2" w14:textId="66750D9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(27.1)</w:t>
            </w:r>
          </w:p>
        </w:tc>
        <w:tc>
          <w:tcPr>
            <w:tcW w:w="1134" w:type="dxa"/>
            <w:shd w:val="clear" w:color="000000" w:fill="FFFFFF"/>
            <w:vAlign w:val="center"/>
            <w:hideMark/>
          </w:tcPr>
          <w:p w14:paraId="2F009B5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45545702" w14:textId="39C3C7D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(23.5)</w:t>
            </w:r>
          </w:p>
        </w:tc>
        <w:tc>
          <w:tcPr>
            <w:tcW w:w="1276" w:type="dxa"/>
            <w:shd w:val="clear" w:color="000000" w:fill="FFFFFF"/>
            <w:vAlign w:val="center"/>
          </w:tcPr>
          <w:p w14:paraId="01762D08" w14:textId="7777777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p>
        </w:tc>
      </w:tr>
      <w:tr w:rsidR="002947C4" w:rsidRPr="001A403F" w14:paraId="742391A9" w14:textId="77777777" w:rsidTr="00F67FDA">
        <w:trPr>
          <w:trHeight w:val="319"/>
        </w:trPr>
        <w:tc>
          <w:tcPr>
            <w:tcW w:w="3120" w:type="dxa"/>
            <w:shd w:val="clear" w:color="000000" w:fill="FFFFFF"/>
            <w:vAlign w:val="center"/>
            <w:hideMark/>
          </w:tcPr>
          <w:p w14:paraId="7437E7D6" w14:textId="216F3E56"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Mild</w:t>
            </w:r>
          </w:p>
        </w:tc>
        <w:tc>
          <w:tcPr>
            <w:tcW w:w="850" w:type="dxa"/>
            <w:shd w:val="clear" w:color="000000" w:fill="FFFFFF"/>
            <w:vAlign w:val="center"/>
            <w:hideMark/>
          </w:tcPr>
          <w:p w14:paraId="1FC5F66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088A1CF1" w14:textId="3D9A608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129</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(29.6)</w:t>
            </w:r>
          </w:p>
        </w:tc>
        <w:tc>
          <w:tcPr>
            <w:tcW w:w="992" w:type="dxa"/>
            <w:shd w:val="clear" w:color="000000" w:fill="FFFFFF"/>
            <w:vAlign w:val="center"/>
            <w:hideMark/>
          </w:tcPr>
          <w:p w14:paraId="4CAC078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7EA9B994" w14:textId="3396C30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(31.5)</w:t>
            </w:r>
          </w:p>
        </w:tc>
        <w:tc>
          <w:tcPr>
            <w:tcW w:w="1134" w:type="dxa"/>
            <w:shd w:val="clear" w:color="000000" w:fill="FFFFFF"/>
            <w:vAlign w:val="center"/>
            <w:hideMark/>
          </w:tcPr>
          <w:p w14:paraId="7802CFE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1EEE4070" w14:textId="26D6721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29</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(24.4)</w:t>
            </w:r>
          </w:p>
        </w:tc>
        <w:tc>
          <w:tcPr>
            <w:tcW w:w="1276" w:type="dxa"/>
            <w:shd w:val="clear" w:color="000000" w:fill="FFFFFF"/>
            <w:vAlign w:val="center"/>
          </w:tcPr>
          <w:p w14:paraId="43BAE658"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093C877B" w14:textId="77777777" w:rsidTr="00F67FDA">
        <w:trPr>
          <w:trHeight w:val="319"/>
        </w:trPr>
        <w:tc>
          <w:tcPr>
            <w:tcW w:w="3120" w:type="dxa"/>
            <w:shd w:val="clear" w:color="000000" w:fill="FFFFFF"/>
            <w:vAlign w:val="center"/>
            <w:hideMark/>
          </w:tcPr>
          <w:p w14:paraId="1397FC7B" w14:textId="1D336CAA"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Moderate/</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evere</w:t>
            </w:r>
          </w:p>
        </w:tc>
        <w:tc>
          <w:tcPr>
            <w:tcW w:w="850" w:type="dxa"/>
            <w:shd w:val="clear" w:color="000000" w:fill="FFFFFF"/>
            <w:vAlign w:val="center"/>
            <w:hideMark/>
          </w:tcPr>
          <w:p w14:paraId="48BDA65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2EA43A05" w14:textId="2680758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193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(44.3)</w:t>
            </w:r>
          </w:p>
        </w:tc>
        <w:tc>
          <w:tcPr>
            <w:tcW w:w="992" w:type="dxa"/>
            <w:shd w:val="clear" w:color="000000" w:fill="FFFFFF"/>
            <w:vAlign w:val="center"/>
            <w:hideMark/>
          </w:tcPr>
          <w:p w14:paraId="12BC155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548A7ECB" w14:textId="22E0D60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131</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(41.3)</w:t>
            </w:r>
          </w:p>
        </w:tc>
        <w:tc>
          <w:tcPr>
            <w:tcW w:w="1134" w:type="dxa"/>
            <w:shd w:val="clear" w:color="000000" w:fill="FFFFFF"/>
            <w:vAlign w:val="center"/>
            <w:hideMark/>
          </w:tcPr>
          <w:p w14:paraId="0AB94A3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015FDDC5" w14:textId="0BE31D1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(52.1)</w:t>
            </w:r>
          </w:p>
        </w:tc>
        <w:tc>
          <w:tcPr>
            <w:tcW w:w="1276" w:type="dxa"/>
            <w:shd w:val="clear" w:color="000000" w:fill="FFFFFF"/>
            <w:vAlign w:val="center"/>
          </w:tcPr>
          <w:p w14:paraId="7C5CA540"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4ACD0744" w14:textId="77777777" w:rsidTr="00F67FDA">
        <w:trPr>
          <w:trHeight w:val="319"/>
        </w:trPr>
        <w:tc>
          <w:tcPr>
            <w:tcW w:w="3120" w:type="dxa"/>
            <w:shd w:val="clear" w:color="000000" w:fill="FFFFFF"/>
            <w:vAlign w:val="center"/>
            <w:hideMark/>
          </w:tcPr>
          <w:p w14:paraId="72263DA4" w14:textId="6AFDC18E"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Labs </w:t>
            </w:r>
            <w:r w:rsidR="002947C4" w:rsidRPr="001A403F">
              <w:rPr>
                <w:rFonts w:ascii="Book Antiqua" w:eastAsia="Times New Roman" w:hAnsi="Book Antiqua" w:cs="Times"/>
                <w:color w:val="000000"/>
                <w:sz w:val="24"/>
                <w:szCs w:val="24"/>
              </w:rPr>
              <w:t>and</w:t>
            </w:r>
            <w:r w:rsidRPr="001A403F">
              <w:rPr>
                <w:rFonts w:ascii="Book Antiqua" w:eastAsia="Times New Roman" w:hAnsi="Book Antiqua" w:cs="Times"/>
                <w:color w:val="000000"/>
                <w:sz w:val="24"/>
                <w:szCs w:val="24"/>
              </w:rPr>
              <w:t xml:space="preserve"> </w:t>
            </w:r>
            <w:r w:rsidR="002947C4" w:rsidRPr="001A403F">
              <w:rPr>
                <w:rFonts w:ascii="Book Antiqua" w:eastAsia="Times New Roman" w:hAnsi="Book Antiqua" w:cs="Times"/>
                <w:color w:val="000000"/>
                <w:sz w:val="24"/>
                <w:szCs w:val="24"/>
              </w:rPr>
              <w:t>v</w:t>
            </w:r>
            <w:r w:rsidRPr="001A403F">
              <w:rPr>
                <w:rFonts w:ascii="Book Antiqua" w:eastAsia="Times New Roman" w:hAnsi="Book Antiqua" w:cs="Times"/>
                <w:color w:val="000000"/>
                <w:sz w:val="24"/>
                <w:szCs w:val="24"/>
              </w:rPr>
              <w:t>itals</w:t>
            </w:r>
          </w:p>
        </w:tc>
        <w:tc>
          <w:tcPr>
            <w:tcW w:w="850" w:type="dxa"/>
            <w:shd w:val="clear" w:color="000000" w:fill="FFFFFF"/>
            <w:vAlign w:val="center"/>
            <w:hideMark/>
          </w:tcPr>
          <w:p w14:paraId="4017B31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683F472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shd w:val="clear" w:color="000000" w:fill="FFFFFF"/>
            <w:vAlign w:val="center"/>
            <w:hideMark/>
          </w:tcPr>
          <w:p w14:paraId="4E10952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6D35FFC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shd w:val="clear" w:color="000000" w:fill="FFFFFF"/>
            <w:vAlign w:val="center"/>
            <w:hideMark/>
          </w:tcPr>
          <w:p w14:paraId="36C6A9B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7E6A9EE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shd w:val="clear" w:color="000000" w:fill="FFFFFF"/>
            <w:vAlign w:val="center"/>
          </w:tcPr>
          <w:p w14:paraId="6EA854E0"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177BADDB" w14:textId="77777777" w:rsidTr="00F67FDA">
        <w:trPr>
          <w:trHeight w:val="319"/>
        </w:trPr>
        <w:tc>
          <w:tcPr>
            <w:tcW w:w="3120" w:type="dxa"/>
            <w:shd w:val="clear" w:color="000000" w:fill="FFFFFF"/>
            <w:vAlign w:val="center"/>
            <w:hideMark/>
          </w:tcPr>
          <w:p w14:paraId="369C9924" w14:textId="798864B4" w:rsidR="00414275" w:rsidRPr="001A403F" w:rsidRDefault="00414275" w:rsidP="00122F9D">
            <w:pPr>
              <w:adjustRightInd w:val="0"/>
              <w:snapToGrid w:val="0"/>
              <w:spacing w:after="0" w:line="360" w:lineRule="auto"/>
              <w:rPr>
                <w:rFonts w:ascii="Book Antiqua" w:eastAsia="Times New Roman" w:hAnsi="Book Antiqua" w:cs="Times"/>
                <w:b/>
                <w:bCs/>
                <w:i/>
                <w:iCs/>
                <w:color w:val="000000"/>
                <w:sz w:val="24"/>
                <w:szCs w:val="24"/>
              </w:rPr>
            </w:pPr>
            <w:r w:rsidRPr="001A403F">
              <w:rPr>
                <w:rFonts w:ascii="Book Antiqua" w:eastAsia="Times New Roman" w:hAnsi="Book Antiqua" w:cs="Times"/>
                <w:color w:val="000000"/>
                <w:sz w:val="24"/>
                <w:szCs w:val="24"/>
              </w:rPr>
              <w:t>Platelets (k/</w:t>
            </w:r>
            <w:proofErr w:type="spellStart"/>
            <w:r w:rsidRPr="001A403F">
              <w:rPr>
                <w:rFonts w:ascii="Book Antiqua" w:eastAsia="Times New Roman" w:hAnsi="Book Antiqua" w:cs="Times New Roman"/>
                <w:color w:val="000000"/>
                <w:sz w:val="24"/>
                <w:szCs w:val="24"/>
              </w:rPr>
              <w:t>μ</w:t>
            </w:r>
            <w:r w:rsidRPr="001A403F">
              <w:rPr>
                <w:rFonts w:ascii="Book Antiqua" w:eastAsia="Times New Roman" w:hAnsi="Book Antiqua" w:cs="Times"/>
                <w:color w:val="000000"/>
                <w:sz w:val="24"/>
                <w:szCs w:val="24"/>
              </w:rPr>
              <w:t>L</w:t>
            </w:r>
            <w:proofErr w:type="spellEnd"/>
            <w:r w:rsidRPr="001A403F">
              <w:rPr>
                <w:rFonts w:ascii="Book Antiqua" w:eastAsia="Times New Roman" w:hAnsi="Book Antiqua" w:cs="Times"/>
                <w:color w:val="000000"/>
                <w:sz w:val="24"/>
                <w:szCs w:val="24"/>
              </w:rPr>
              <w:t>)</w:t>
            </w:r>
          </w:p>
        </w:tc>
        <w:tc>
          <w:tcPr>
            <w:tcW w:w="850" w:type="dxa"/>
            <w:shd w:val="clear" w:color="000000" w:fill="FFFFFF"/>
            <w:vAlign w:val="center"/>
            <w:hideMark/>
          </w:tcPr>
          <w:p w14:paraId="30ABC0F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481670C3" w14:textId="788CD1E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56.5,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117.5</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735DB3E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6CCB0632" w14:textId="2A94BBC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117.0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426482E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24FFE2CB" w14:textId="662B8E9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49.0,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119.0</w:t>
            </w:r>
            <w:r w:rsidR="001A403F" w:rsidRPr="001A403F">
              <w:rPr>
                <w:rFonts w:ascii="Book Antiqua" w:eastAsia="Times New Roman" w:hAnsi="Book Antiqua" w:cs="Times"/>
                <w:color w:val="000000"/>
                <w:sz w:val="24"/>
                <w:szCs w:val="24"/>
              </w:rPr>
              <w:t>)</w:t>
            </w:r>
          </w:p>
        </w:tc>
        <w:tc>
          <w:tcPr>
            <w:tcW w:w="1276" w:type="dxa"/>
            <w:shd w:val="clear" w:color="000000" w:fill="FFFFFF"/>
            <w:vAlign w:val="center"/>
          </w:tcPr>
          <w:p w14:paraId="76864115" w14:textId="05BDB4B4"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sz w:val="24"/>
                <w:szCs w:val="24"/>
              </w:rPr>
              <w:t>&lt; 0.21</w:t>
            </w:r>
            <w:r w:rsidR="00F67FDA">
              <w:rPr>
                <w:rFonts w:ascii="Book Antiqua" w:eastAsia="Times New Roman" w:hAnsi="Book Antiqua" w:cs="Times"/>
                <w:sz w:val="24"/>
                <w:szCs w:val="24"/>
                <w:vertAlign w:val="superscript"/>
              </w:rPr>
              <w:t>2</w:t>
            </w:r>
          </w:p>
        </w:tc>
      </w:tr>
      <w:tr w:rsidR="002947C4" w:rsidRPr="001A403F" w14:paraId="66194F96" w14:textId="77777777" w:rsidTr="00F67FDA">
        <w:trPr>
          <w:trHeight w:val="319"/>
        </w:trPr>
        <w:tc>
          <w:tcPr>
            <w:tcW w:w="3120" w:type="dxa"/>
            <w:shd w:val="clear" w:color="000000" w:fill="FFFFFF"/>
            <w:vAlign w:val="center"/>
            <w:hideMark/>
          </w:tcPr>
          <w:p w14:paraId="7EC95B55"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Prothrombin time (sec)</w:t>
            </w:r>
          </w:p>
        </w:tc>
        <w:tc>
          <w:tcPr>
            <w:tcW w:w="850" w:type="dxa"/>
            <w:shd w:val="clear" w:color="000000" w:fill="FFFFFF"/>
            <w:vAlign w:val="center"/>
            <w:hideMark/>
          </w:tcPr>
          <w:p w14:paraId="0DC1D59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02C2306" w14:textId="2BB45AE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20.7</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331E3D8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2A2BD71D" w14:textId="4D7F4C9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13.7,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18.0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C91DFB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6340AFD2" w14:textId="3882179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18.3,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27.8</w:t>
            </w:r>
            <w:r w:rsidR="001A403F" w:rsidRPr="001A403F">
              <w:rPr>
                <w:rFonts w:ascii="Book Antiqua" w:eastAsia="Times New Roman" w:hAnsi="Book Antiqua" w:cs="Times"/>
                <w:color w:val="000000"/>
                <w:sz w:val="24"/>
                <w:szCs w:val="24"/>
              </w:rPr>
              <w:t>)</w:t>
            </w:r>
          </w:p>
        </w:tc>
        <w:tc>
          <w:tcPr>
            <w:tcW w:w="1276" w:type="dxa"/>
            <w:shd w:val="clear" w:color="000000" w:fill="FFFFFF"/>
            <w:vAlign w:val="center"/>
          </w:tcPr>
          <w:p w14:paraId="4FE382AF" w14:textId="0766BC7C"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72274544" w14:textId="77777777" w:rsidTr="00F67FDA">
        <w:trPr>
          <w:trHeight w:val="319"/>
        </w:trPr>
        <w:tc>
          <w:tcPr>
            <w:tcW w:w="3120" w:type="dxa"/>
            <w:shd w:val="clear" w:color="000000" w:fill="FFFFFF"/>
            <w:vAlign w:val="center"/>
            <w:hideMark/>
          </w:tcPr>
          <w:p w14:paraId="740F096D"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INR</w:t>
            </w:r>
          </w:p>
        </w:tc>
        <w:tc>
          <w:tcPr>
            <w:tcW w:w="850" w:type="dxa"/>
            <w:shd w:val="clear" w:color="000000" w:fill="FFFFFF"/>
            <w:vAlign w:val="center"/>
            <w:hideMark/>
          </w:tcPr>
          <w:p w14:paraId="7FE995E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3F29A4B3" w14:textId="2AA174D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1.9</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0FD3C01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97C865F" w14:textId="18CD7DD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1.6</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1713496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59F3FE6F" w14:textId="43DA2BD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2.6</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1DA23065" w14:textId="29E3D5E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203447D1" w14:textId="77777777" w:rsidTr="00F67FDA">
        <w:trPr>
          <w:trHeight w:val="319"/>
        </w:trPr>
        <w:tc>
          <w:tcPr>
            <w:tcW w:w="3120" w:type="dxa"/>
            <w:shd w:val="clear" w:color="000000" w:fill="FFFFFF"/>
            <w:vAlign w:val="center"/>
            <w:hideMark/>
          </w:tcPr>
          <w:p w14:paraId="67993E58"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Lactate (mmol/L)</w:t>
            </w:r>
          </w:p>
        </w:tc>
        <w:tc>
          <w:tcPr>
            <w:tcW w:w="850" w:type="dxa"/>
            <w:shd w:val="clear" w:color="000000" w:fill="FFFFFF"/>
            <w:vAlign w:val="center"/>
            <w:hideMark/>
          </w:tcPr>
          <w:p w14:paraId="7CF9A92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341</w:t>
            </w:r>
          </w:p>
        </w:tc>
        <w:tc>
          <w:tcPr>
            <w:tcW w:w="2552" w:type="dxa"/>
            <w:shd w:val="clear" w:color="000000" w:fill="FFFFFF"/>
            <w:vAlign w:val="center"/>
            <w:hideMark/>
          </w:tcPr>
          <w:p w14:paraId="10DA5E2A" w14:textId="0ECFF82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55C5A72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230</w:t>
            </w:r>
          </w:p>
        </w:tc>
        <w:tc>
          <w:tcPr>
            <w:tcW w:w="2551" w:type="dxa"/>
            <w:shd w:val="clear" w:color="000000" w:fill="FFFFFF"/>
            <w:vAlign w:val="center"/>
            <w:hideMark/>
          </w:tcPr>
          <w:p w14:paraId="1AAB5A6B" w14:textId="539DE9A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0FAF7A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111</w:t>
            </w:r>
          </w:p>
        </w:tc>
        <w:tc>
          <w:tcPr>
            <w:tcW w:w="2410" w:type="dxa"/>
            <w:shd w:val="clear" w:color="000000" w:fill="FFFFFF"/>
            <w:vAlign w:val="center"/>
            <w:hideMark/>
          </w:tcPr>
          <w:p w14:paraId="46FC2A65" w14:textId="206D2DC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5.4</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59B56D70" w14:textId="2150796F"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79D99BD4" w14:textId="77777777" w:rsidTr="00F67FDA">
        <w:trPr>
          <w:trHeight w:val="319"/>
        </w:trPr>
        <w:tc>
          <w:tcPr>
            <w:tcW w:w="3120" w:type="dxa"/>
            <w:shd w:val="clear" w:color="000000" w:fill="FFFFFF"/>
            <w:vAlign w:val="center"/>
            <w:hideMark/>
          </w:tcPr>
          <w:p w14:paraId="10B3E682"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MAP (mmHg)</w:t>
            </w:r>
          </w:p>
        </w:tc>
        <w:tc>
          <w:tcPr>
            <w:tcW w:w="850" w:type="dxa"/>
            <w:shd w:val="clear" w:color="000000" w:fill="FFFFFF"/>
            <w:vAlign w:val="center"/>
            <w:hideMark/>
          </w:tcPr>
          <w:p w14:paraId="609ECAF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46DC3E7E" w14:textId="6048479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106.0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27B311A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1BB8A1C3" w14:textId="5128447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68.0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109.0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6790532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26D38B90" w14:textId="53AA377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58.0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68.0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6F891AE4" w14:textId="4A744E3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446A33EF" w14:textId="77777777" w:rsidTr="00F67FDA">
        <w:trPr>
          <w:trHeight w:val="319"/>
        </w:trPr>
        <w:tc>
          <w:tcPr>
            <w:tcW w:w="3120" w:type="dxa"/>
            <w:shd w:val="clear" w:color="000000" w:fill="FFFFFF"/>
            <w:vAlign w:val="center"/>
            <w:hideMark/>
          </w:tcPr>
          <w:p w14:paraId="2C3C0FB9"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ABG-pH</w:t>
            </w:r>
          </w:p>
        </w:tc>
        <w:tc>
          <w:tcPr>
            <w:tcW w:w="850" w:type="dxa"/>
            <w:shd w:val="clear" w:color="000000" w:fill="FFFFFF"/>
            <w:vAlign w:val="center"/>
            <w:hideMark/>
          </w:tcPr>
          <w:p w14:paraId="173401D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4137D346" w14:textId="27C0F35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0.10</w:t>
            </w:r>
          </w:p>
        </w:tc>
        <w:tc>
          <w:tcPr>
            <w:tcW w:w="992" w:type="dxa"/>
            <w:shd w:val="clear" w:color="000000" w:fill="FFFFFF"/>
            <w:vAlign w:val="center"/>
            <w:hideMark/>
          </w:tcPr>
          <w:p w14:paraId="421D2E7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748CF5D4" w14:textId="67536E2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0.08</w:t>
            </w:r>
          </w:p>
        </w:tc>
        <w:tc>
          <w:tcPr>
            <w:tcW w:w="1134" w:type="dxa"/>
            <w:shd w:val="clear" w:color="000000" w:fill="FFFFFF"/>
            <w:vAlign w:val="center"/>
            <w:hideMark/>
          </w:tcPr>
          <w:p w14:paraId="7C8356E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55AA4C70" w14:textId="0F517AD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0.12</w:t>
            </w:r>
          </w:p>
        </w:tc>
        <w:tc>
          <w:tcPr>
            <w:tcW w:w="1276" w:type="dxa"/>
            <w:shd w:val="clear" w:color="000000" w:fill="FFFFFF"/>
            <w:noWrap/>
            <w:vAlign w:val="center"/>
          </w:tcPr>
          <w:p w14:paraId="0C2A0E10" w14:textId="2B2E259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1</w:t>
            </w:r>
          </w:p>
        </w:tc>
      </w:tr>
      <w:tr w:rsidR="002947C4" w:rsidRPr="001A403F" w14:paraId="7FC23103" w14:textId="77777777" w:rsidTr="00F67FDA">
        <w:trPr>
          <w:trHeight w:val="319"/>
        </w:trPr>
        <w:tc>
          <w:tcPr>
            <w:tcW w:w="3120" w:type="dxa"/>
            <w:shd w:val="clear" w:color="000000" w:fill="FFFFFF"/>
            <w:vAlign w:val="center"/>
            <w:hideMark/>
          </w:tcPr>
          <w:p w14:paraId="39573F0A" w14:textId="4B6EFDBF"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ABG-PaCO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 xml:space="preserve"> (mmHg)</w:t>
            </w:r>
          </w:p>
        </w:tc>
        <w:tc>
          <w:tcPr>
            <w:tcW w:w="850" w:type="dxa"/>
            <w:shd w:val="clear" w:color="000000" w:fill="FFFFFF"/>
            <w:vAlign w:val="center"/>
            <w:hideMark/>
          </w:tcPr>
          <w:p w14:paraId="631A314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7EE272E5" w14:textId="7C095BA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38.0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5D3F43C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5F170280" w14:textId="1D36FD0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37.0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E4E690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0120D4CB" w14:textId="4BD6B6D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40.0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2BDAB0ED" w14:textId="5C9C1B09" w:rsidR="00414275" w:rsidRPr="001A403F" w:rsidRDefault="00414275" w:rsidP="002E7076">
            <w:pPr>
              <w:adjustRightInd w:val="0"/>
              <w:snapToGrid w:val="0"/>
              <w:spacing w:after="0" w:line="360" w:lineRule="auto"/>
              <w:jc w:val="both"/>
              <w:rPr>
                <w:rFonts w:ascii="Book Antiqua" w:eastAsia="Times New Roman" w:hAnsi="Book Antiqua" w:cs="Times"/>
                <w:b/>
                <w:bCs/>
                <w:i/>
                <w:iCs/>
                <w:sz w:val="24"/>
                <w:szCs w:val="24"/>
              </w:rPr>
            </w:pPr>
            <w:r w:rsidRPr="001A403F">
              <w:rPr>
                <w:rFonts w:ascii="Book Antiqua" w:eastAsia="Times New Roman" w:hAnsi="Book Antiqua" w:cs="Times"/>
                <w:sz w:val="24"/>
                <w:szCs w:val="24"/>
              </w:rPr>
              <w:t>&lt; 0.098</w:t>
            </w:r>
            <w:r w:rsidR="00F67FDA">
              <w:rPr>
                <w:rFonts w:ascii="Book Antiqua" w:eastAsia="Times New Roman" w:hAnsi="Book Antiqua" w:cs="Times"/>
                <w:sz w:val="24"/>
                <w:szCs w:val="24"/>
                <w:vertAlign w:val="superscript"/>
              </w:rPr>
              <w:t>2</w:t>
            </w:r>
          </w:p>
        </w:tc>
      </w:tr>
      <w:tr w:rsidR="002947C4" w:rsidRPr="001A403F" w14:paraId="521C335B" w14:textId="77777777" w:rsidTr="00F67FDA">
        <w:trPr>
          <w:trHeight w:val="319"/>
        </w:trPr>
        <w:tc>
          <w:tcPr>
            <w:tcW w:w="3120" w:type="dxa"/>
            <w:shd w:val="clear" w:color="000000" w:fill="FFFFFF"/>
            <w:vAlign w:val="center"/>
            <w:hideMark/>
          </w:tcPr>
          <w:p w14:paraId="57DF33C7"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ABG-PaO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 xml:space="preserve"> (mmHg)</w:t>
            </w:r>
          </w:p>
        </w:tc>
        <w:tc>
          <w:tcPr>
            <w:tcW w:w="850" w:type="dxa"/>
            <w:shd w:val="clear" w:color="000000" w:fill="FFFFFF"/>
            <w:vAlign w:val="center"/>
            <w:hideMark/>
          </w:tcPr>
          <w:p w14:paraId="28D2448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259B5306" w14:textId="29C9183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104.0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139.0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4697A4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2D85E910" w14:textId="243CD5A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147.0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255DCA6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i/>
                <w:color w:val="000000"/>
                <w:sz w:val="24"/>
                <w:szCs w:val="24"/>
              </w:rPr>
              <w:t>93</w:t>
            </w:r>
          </w:p>
        </w:tc>
        <w:tc>
          <w:tcPr>
            <w:tcW w:w="2410" w:type="dxa"/>
            <w:shd w:val="clear" w:color="000000" w:fill="FFFFFF"/>
            <w:vAlign w:val="center"/>
            <w:hideMark/>
          </w:tcPr>
          <w:p w14:paraId="1A2A935C" w14:textId="137122A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94.0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132.0</w:t>
            </w:r>
            <w:r w:rsidR="001A403F" w:rsidRPr="001A403F">
              <w:rPr>
                <w:rFonts w:ascii="Book Antiqua" w:eastAsia="Times New Roman" w:hAnsi="Book Antiqua" w:cs="Times"/>
                <w:color w:val="000000"/>
                <w:sz w:val="24"/>
                <w:szCs w:val="24"/>
              </w:rPr>
              <w:t>)</w:t>
            </w:r>
          </w:p>
        </w:tc>
        <w:tc>
          <w:tcPr>
            <w:tcW w:w="1276" w:type="dxa"/>
            <w:shd w:val="clear" w:color="000000" w:fill="FFFFFF"/>
            <w:vAlign w:val="center"/>
          </w:tcPr>
          <w:p w14:paraId="0844CA94" w14:textId="2FFA03E1"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0.019</w:t>
            </w:r>
            <w:r w:rsidR="00F67FDA">
              <w:rPr>
                <w:rFonts w:ascii="Book Antiqua" w:eastAsia="Times New Roman" w:hAnsi="Book Antiqua" w:cs="Times"/>
                <w:sz w:val="24"/>
                <w:szCs w:val="24"/>
                <w:vertAlign w:val="superscript"/>
              </w:rPr>
              <w:t>2</w:t>
            </w:r>
          </w:p>
        </w:tc>
      </w:tr>
      <w:tr w:rsidR="002947C4" w:rsidRPr="001A403F" w14:paraId="723121D5" w14:textId="77777777" w:rsidTr="00F67FDA">
        <w:trPr>
          <w:trHeight w:val="319"/>
        </w:trPr>
        <w:tc>
          <w:tcPr>
            <w:tcW w:w="3120" w:type="dxa"/>
            <w:shd w:val="clear" w:color="000000" w:fill="FFFFFF"/>
            <w:vAlign w:val="center"/>
            <w:hideMark/>
          </w:tcPr>
          <w:p w14:paraId="1EEB0E9D"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ABG-FiO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 xml:space="preserve"> (%)</w:t>
            </w:r>
          </w:p>
        </w:tc>
        <w:tc>
          <w:tcPr>
            <w:tcW w:w="850" w:type="dxa"/>
            <w:shd w:val="clear" w:color="000000" w:fill="FFFFFF"/>
            <w:vAlign w:val="center"/>
            <w:hideMark/>
          </w:tcPr>
          <w:p w14:paraId="3A9C6DB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1E2A90D4" w14:textId="1405A15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55.0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205C553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113ED88F" w14:textId="090027E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50.0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202D1147" w14:textId="77777777" w:rsidR="00414275" w:rsidRPr="001A403F" w:rsidRDefault="00414275" w:rsidP="002E7076">
            <w:pPr>
              <w:adjustRightInd w:val="0"/>
              <w:snapToGrid w:val="0"/>
              <w:spacing w:after="0" w:line="360" w:lineRule="auto"/>
              <w:jc w:val="both"/>
              <w:rPr>
                <w:rFonts w:ascii="Book Antiqua" w:eastAsia="Times New Roman" w:hAnsi="Book Antiqua" w:cs="Times"/>
                <w:i/>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7BFCA529" w14:textId="4B842F7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44.0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70.0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3FF9EE20" w14:textId="793C7615"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0.008</w:t>
            </w:r>
            <w:r w:rsidR="00F67FDA">
              <w:rPr>
                <w:rFonts w:ascii="Book Antiqua" w:eastAsia="Times New Roman" w:hAnsi="Book Antiqua" w:cs="Times"/>
                <w:sz w:val="24"/>
                <w:szCs w:val="24"/>
                <w:vertAlign w:val="superscript"/>
              </w:rPr>
              <w:t>2</w:t>
            </w:r>
          </w:p>
        </w:tc>
      </w:tr>
      <w:tr w:rsidR="002947C4" w:rsidRPr="001A403F" w14:paraId="005DBF42" w14:textId="77777777" w:rsidTr="00F67FDA">
        <w:trPr>
          <w:trHeight w:val="319"/>
        </w:trPr>
        <w:tc>
          <w:tcPr>
            <w:tcW w:w="3120" w:type="dxa"/>
            <w:shd w:val="clear" w:color="000000" w:fill="FFFFFF"/>
            <w:vAlign w:val="center"/>
            <w:hideMark/>
          </w:tcPr>
          <w:p w14:paraId="61EBCAE8"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PaO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/FIO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 xml:space="preserve"> ratio</w:t>
            </w:r>
          </w:p>
        </w:tc>
        <w:tc>
          <w:tcPr>
            <w:tcW w:w="850" w:type="dxa"/>
            <w:shd w:val="clear" w:color="000000" w:fill="FFFFFF"/>
            <w:vAlign w:val="center"/>
            <w:hideMark/>
          </w:tcPr>
          <w:p w14:paraId="2DD4211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3E063E08" w14:textId="66CE610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309.5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195.0,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390.5</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4204D6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36470B5E" w14:textId="676E7E2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337.5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226.0,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426.7</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35657F3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11CEF71E" w14:textId="061B40E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252.5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347.4</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10113CFF" w14:textId="47FAEFCA"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27E769D5" w14:textId="77777777" w:rsidTr="00F67FDA">
        <w:trPr>
          <w:trHeight w:val="319"/>
        </w:trPr>
        <w:tc>
          <w:tcPr>
            <w:tcW w:w="3120" w:type="dxa"/>
            <w:shd w:val="clear" w:color="000000" w:fill="FFFFFF"/>
            <w:vAlign w:val="center"/>
            <w:hideMark/>
          </w:tcPr>
          <w:p w14:paraId="277EF86E"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PAO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 xml:space="preserve"> (mmHg)</w:t>
            </w:r>
          </w:p>
        </w:tc>
        <w:tc>
          <w:tcPr>
            <w:tcW w:w="850" w:type="dxa"/>
            <w:shd w:val="clear" w:color="000000" w:fill="FFFFFF"/>
            <w:vAlign w:val="center"/>
            <w:hideMark/>
          </w:tcPr>
          <w:p w14:paraId="4D0D694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168DB94B" w14:textId="64201F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240.2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151.0,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346.2</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601C277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171</w:t>
            </w:r>
          </w:p>
        </w:tc>
        <w:tc>
          <w:tcPr>
            <w:tcW w:w="2551" w:type="dxa"/>
            <w:shd w:val="clear" w:color="000000" w:fill="FFFFFF"/>
            <w:vAlign w:val="center"/>
            <w:hideMark/>
          </w:tcPr>
          <w:p w14:paraId="33221ADB" w14:textId="14E98E4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231.5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143.3,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324.0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76AF760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4450087E" w14:textId="0CA0BEC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264.0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168.4,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471.6</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5B96166E" w14:textId="0E5EBF63"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0.008</w:t>
            </w:r>
            <w:r w:rsidR="00F67FDA">
              <w:rPr>
                <w:rFonts w:ascii="Book Antiqua" w:eastAsia="Times New Roman" w:hAnsi="Book Antiqua" w:cs="Times"/>
                <w:sz w:val="24"/>
                <w:szCs w:val="24"/>
                <w:vertAlign w:val="superscript"/>
              </w:rPr>
              <w:t>2</w:t>
            </w:r>
          </w:p>
        </w:tc>
      </w:tr>
      <w:tr w:rsidR="002947C4" w:rsidRPr="001A403F" w14:paraId="7AD89FAF" w14:textId="77777777" w:rsidTr="00F67FDA">
        <w:trPr>
          <w:trHeight w:val="319"/>
        </w:trPr>
        <w:tc>
          <w:tcPr>
            <w:tcW w:w="3120" w:type="dxa"/>
            <w:shd w:val="clear" w:color="000000" w:fill="FFFFFF"/>
            <w:vAlign w:val="center"/>
            <w:hideMark/>
          </w:tcPr>
          <w:p w14:paraId="73D3CB1F"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A-a gradient (mmHg)</w:t>
            </w:r>
          </w:p>
        </w:tc>
        <w:tc>
          <w:tcPr>
            <w:tcW w:w="850" w:type="dxa"/>
            <w:shd w:val="clear" w:color="000000" w:fill="FFFFFF"/>
            <w:vAlign w:val="center"/>
            <w:hideMark/>
          </w:tcPr>
          <w:p w14:paraId="1F244DB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4EC5224B" w14:textId="7BE6942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47.4,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233.9</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461C562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171</w:t>
            </w:r>
          </w:p>
        </w:tc>
        <w:tc>
          <w:tcPr>
            <w:tcW w:w="2551" w:type="dxa"/>
            <w:shd w:val="clear" w:color="000000" w:fill="FFFFFF"/>
            <w:vAlign w:val="center"/>
            <w:hideMark/>
          </w:tcPr>
          <w:p w14:paraId="4822C4F4" w14:textId="17733EC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100.2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38.6,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204.3</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BDD05B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4930DBFA" w14:textId="79A91E6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166.7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59.5,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319.6</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61EDCCDA" w14:textId="1A3FA03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2DF2CBF4" w14:textId="77777777" w:rsidTr="00F67FDA">
        <w:trPr>
          <w:trHeight w:val="319"/>
        </w:trPr>
        <w:tc>
          <w:tcPr>
            <w:tcW w:w="3120" w:type="dxa"/>
            <w:shd w:val="clear" w:color="000000" w:fill="FFFFFF"/>
            <w:vAlign w:val="center"/>
            <w:hideMark/>
          </w:tcPr>
          <w:p w14:paraId="6372EA44"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Temperature (°C)</w:t>
            </w:r>
          </w:p>
        </w:tc>
        <w:tc>
          <w:tcPr>
            <w:tcW w:w="850" w:type="dxa"/>
            <w:shd w:val="clear" w:color="000000" w:fill="FFFFFF"/>
            <w:vAlign w:val="center"/>
            <w:hideMark/>
          </w:tcPr>
          <w:p w14:paraId="4A922FE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544C520" w14:textId="1BEFD6D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36.5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36.8</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5418F20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5C098F58" w14:textId="01C069A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36.5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36.8</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4C07AB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730ED96" w14:textId="2B3B2C7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36.3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36.6</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3FA166D5" w14:textId="29C44931"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675271F8" w14:textId="77777777" w:rsidTr="00F67FDA">
        <w:trPr>
          <w:trHeight w:val="319"/>
        </w:trPr>
        <w:tc>
          <w:tcPr>
            <w:tcW w:w="3120" w:type="dxa"/>
            <w:shd w:val="clear" w:color="000000" w:fill="FFFFFF"/>
            <w:vAlign w:val="center"/>
            <w:hideMark/>
          </w:tcPr>
          <w:p w14:paraId="5687098F"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GCS</w:t>
            </w:r>
          </w:p>
        </w:tc>
        <w:tc>
          <w:tcPr>
            <w:tcW w:w="850" w:type="dxa"/>
            <w:shd w:val="clear" w:color="000000" w:fill="FFFFFF"/>
            <w:vAlign w:val="center"/>
            <w:hideMark/>
          </w:tcPr>
          <w:p w14:paraId="15869C7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82CB806" w14:textId="07F021C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13.0</w:t>
            </w:r>
            <w:r w:rsidR="001A403F">
              <w:rPr>
                <w:rFonts w:ascii="Book Antiqua" w:eastAsia="Times New Roman" w:hAnsi="Book Antiqua" w:cs="Times"/>
                <w:color w:val="000000"/>
                <w:sz w:val="24"/>
                <w:szCs w:val="24"/>
              </w:rPr>
              <w:t xml:space="preserve"> </w:t>
            </w:r>
            <w:r w:rsidR="001A403F" w:rsidRPr="001A403F">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8.0,14.0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39745E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2D6259BC" w14:textId="2E5FFE8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13.0</w:t>
            </w:r>
            <w:r w:rsidR="001A403F" w:rsidRPr="001A403F">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9.0,15.0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313DC84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2A383CE8" w14:textId="093020B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7908F2AB" w14:textId="324F8D6B"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02AB11BD" w14:textId="77777777" w:rsidTr="00F67FDA">
        <w:trPr>
          <w:trHeight w:val="319"/>
        </w:trPr>
        <w:tc>
          <w:tcPr>
            <w:tcW w:w="3120" w:type="dxa"/>
            <w:shd w:val="clear" w:color="000000" w:fill="FFFFFF"/>
            <w:vAlign w:val="center"/>
            <w:hideMark/>
          </w:tcPr>
          <w:p w14:paraId="60EB2E01" w14:textId="3C4971B0"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Respiratory </w:t>
            </w:r>
            <w:r w:rsidR="001A403F" w:rsidRPr="001A403F">
              <w:rPr>
                <w:rFonts w:ascii="Book Antiqua" w:eastAsia="Times New Roman" w:hAnsi="Book Antiqua" w:cs="Times"/>
                <w:color w:val="000000"/>
                <w:sz w:val="24"/>
                <w:szCs w:val="24"/>
              </w:rPr>
              <w:t>r</w:t>
            </w:r>
            <w:r w:rsidRPr="001A403F">
              <w:rPr>
                <w:rFonts w:ascii="Book Antiqua" w:eastAsia="Times New Roman" w:hAnsi="Book Antiqua" w:cs="Times"/>
                <w:color w:val="000000"/>
                <w:sz w:val="24"/>
                <w:szCs w:val="24"/>
              </w:rPr>
              <w:t>ate (rpm)</w:t>
            </w:r>
          </w:p>
        </w:tc>
        <w:tc>
          <w:tcPr>
            <w:tcW w:w="850" w:type="dxa"/>
            <w:shd w:val="clear" w:color="000000" w:fill="FFFFFF"/>
            <w:vAlign w:val="center"/>
            <w:hideMark/>
          </w:tcPr>
          <w:p w14:paraId="3950C05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9EEC91A" w14:textId="7B4BB46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40.0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5D33B5F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23D98DF8" w14:textId="4BC68E0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39.0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9B4682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90D5C4A" w14:textId="7D4EB26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43.0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0EDB0066" w14:textId="22970F6F"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0.052</w:t>
            </w:r>
            <w:r w:rsidR="00F67FDA">
              <w:rPr>
                <w:rFonts w:ascii="Book Antiqua" w:eastAsia="Times New Roman" w:hAnsi="Book Antiqua" w:cs="Times"/>
                <w:sz w:val="24"/>
                <w:szCs w:val="24"/>
                <w:vertAlign w:val="superscript"/>
              </w:rPr>
              <w:t>2</w:t>
            </w:r>
          </w:p>
        </w:tc>
      </w:tr>
      <w:tr w:rsidR="002947C4" w:rsidRPr="001A403F" w14:paraId="05FA1B4D" w14:textId="77777777" w:rsidTr="00F67FDA">
        <w:trPr>
          <w:trHeight w:val="319"/>
        </w:trPr>
        <w:tc>
          <w:tcPr>
            <w:tcW w:w="3120" w:type="dxa"/>
            <w:shd w:val="clear" w:color="000000" w:fill="FFFFFF"/>
            <w:vAlign w:val="center"/>
            <w:hideMark/>
          </w:tcPr>
          <w:p w14:paraId="77D43A7A" w14:textId="29F6BAF2"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lastRenderedPageBreak/>
              <w:t xml:space="preserve">Heart </w:t>
            </w:r>
            <w:r w:rsidR="001A403F" w:rsidRPr="001A403F">
              <w:rPr>
                <w:rFonts w:ascii="Book Antiqua" w:eastAsia="Times New Roman" w:hAnsi="Book Antiqua" w:cs="Times"/>
                <w:color w:val="000000"/>
                <w:sz w:val="24"/>
                <w:szCs w:val="24"/>
              </w:rPr>
              <w:t>r</w:t>
            </w:r>
            <w:r w:rsidRPr="001A403F">
              <w:rPr>
                <w:rFonts w:ascii="Book Antiqua" w:eastAsia="Times New Roman" w:hAnsi="Book Antiqua" w:cs="Times"/>
                <w:color w:val="000000"/>
                <w:sz w:val="24"/>
                <w:szCs w:val="24"/>
              </w:rPr>
              <w:t>ate (bpm)</w:t>
            </w:r>
          </w:p>
        </w:tc>
        <w:tc>
          <w:tcPr>
            <w:tcW w:w="850" w:type="dxa"/>
            <w:shd w:val="clear" w:color="000000" w:fill="FFFFFF"/>
            <w:vAlign w:val="center"/>
            <w:hideMark/>
          </w:tcPr>
          <w:p w14:paraId="23D44AB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22432AB8" w14:textId="3DEDD5A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92.8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28.1</w:t>
            </w:r>
          </w:p>
        </w:tc>
        <w:tc>
          <w:tcPr>
            <w:tcW w:w="992" w:type="dxa"/>
            <w:shd w:val="clear" w:color="000000" w:fill="FFFFFF"/>
            <w:vAlign w:val="center"/>
            <w:hideMark/>
          </w:tcPr>
          <w:p w14:paraId="494EFBC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761D1BB0" w14:textId="0D5AF68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91.8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25.7</w:t>
            </w:r>
          </w:p>
        </w:tc>
        <w:tc>
          <w:tcPr>
            <w:tcW w:w="1134" w:type="dxa"/>
            <w:shd w:val="clear" w:color="000000" w:fill="FFFFFF"/>
            <w:vAlign w:val="center"/>
            <w:hideMark/>
          </w:tcPr>
          <w:p w14:paraId="2DA8DE0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42597D11" w14:textId="65DEBEC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95.5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33.6</w:t>
            </w:r>
          </w:p>
        </w:tc>
        <w:tc>
          <w:tcPr>
            <w:tcW w:w="1276" w:type="dxa"/>
            <w:shd w:val="clear" w:color="000000" w:fill="FFFFFF"/>
            <w:vAlign w:val="center"/>
          </w:tcPr>
          <w:p w14:paraId="25B759BB" w14:textId="770AA56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0.21</w:t>
            </w:r>
            <w:r w:rsidR="00F67FDA">
              <w:rPr>
                <w:rFonts w:ascii="Book Antiqua" w:eastAsia="Times New Roman" w:hAnsi="Book Antiqua" w:cs="Times"/>
                <w:sz w:val="24"/>
                <w:szCs w:val="24"/>
                <w:vertAlign w:val="superscript"/>
              </w:rPr>
              <w:t>1</w:t>
            </w:r>
          </w:p>
        </w:tc>
      </w:tr>
      <w:tr w:rsidR="002947C4" w:rsidRPr="001A403F" w14:paraId="27974D3F" w14:textId="77777777" w:rsidTr="00F67FDA">
        <w:trPr>
          <w:trHeight w:val="319"/>
        </w:trPr>
        <w:tc>
          <w:tcPr>
            <w:tcW w:w="3120" w:type="dxa"/>
            <w:shd w:val="clear" w:color="000000" w:fill="FFFFFF"/>
            <w:vAlign w:val="center"/>
            <w:hideMark/>
          </w:tcPr>
          <w:p w14:paraId="66F60D92"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Hematocrit (%)</w:t>
            </w:r>
          </w:p>
        </w:tc>
        <w:tc>
          <w:tcPr>
            <w:tcW w:w="850" w:type="dxa"/>
            <w:shd w:val="clear" w:color="000000" w:fill="FFFFFF"/>
            <w:vAlign w:val="center"/>
            <w:hideMark/>
          </w:tcPr>
          <w:p w14:paraId="0873878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3226E87" w14:textId="0802086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5.9</w:t>
            </w:r>
          </w:p>
        </w:tc>
        <w:tc>
          <w:tcPr>
            <w:tcW w:w="992" w:type="dxa"/>
            <w:shd w:val="clear" w:color="000000" w:fill="FFFFFF"/>
            <w:vAlign w:val="center"/>
            <w:hideMark/>
          </w:tcPr>
          <w:p w14:paraId="21835C1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771DB37" w14:textId="44C4653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27.1</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5.7</w:t>
            </w:r>
          </w:p>
        </w:tc>
        <w:tc>
          <w:tcPr>
            <w:tcW w:w="1134" w:type="dxa"/>
            <w:shd w:val="clear" w:color="000000" w:fill="FFFFFF"/>
            <w:vAlign w:val="center"/>
            <w:hideMark/>
          </w:tcPr>
          <w:p w14:paraId="20EEA57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E4EB831" w14:textId="236B739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6.2</w:t>
            </w:r>
          </w:p>
        </w:tc>
        <w:tc>
          <w:tcPr>
            <w:tcW w:w="1276" w:type="dxa"/>
            <w:shd w:val="clear" w:color="000000" w:fill="FFFFFF"/>
            <w:vAlign w:val="center"/>
          </w:tcPr>
          <w:p w14:paraId="09BCB5CE" w14:textId="65E01701"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0.005</w:t>
            </w:r>
            <w:r w:rsidR="00F67FDA">
              <w:rPr>
                <w:rFonts w:ascii="Book Antiqua" w:eastAsia="Times New Roman" w:hAnsi="Book Antiqua" w:cs="Times"/>
                <w:sz w:val="24"/>
                <w:szCs w:val="24"/>
                <w:vertAlign w:val="superscript"/>
              </w:rPr>
              <w:t>1</w:t>
            </w:r>
          </w:p>
        </w:tc>
      </w:tr>
      <w:tr w:rsidR="002947C4" w:rsidRPr="001A403F" w14:paraId="3F8F470D" w14:textId="77777777" w:rsidTr="00F67FDA">
        <w:trPr>
          <w:trHeight w:val="319"/>
        </w:trPr>
        <w:tc>
          <w:tcPr>
            <w:tcW w:w="3120" w:type="dxa"/>
            <w:shd w:val="clear" w:color="000000" w:fill="FFFFFF"/>
            <w:vAlign w:val="center"/>
            <w:hideMark/>
          </w:tcPr>
          <w:p w14:paraId="727B2035" w14:textId="36B77940"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WBC (k/</w:t>
            </w:r>
            <w:proofErr w:type="spellStart"/>
            <w:r w:rsidRPr="001A403F">
              <w:rPr>
                <w:rFonts w:ascii="Book Antiqua" w:eastAsia="Times New Roman" w:hAnsi="Book Antiqua" w:cs="Times New Roman"/>
                <w:color w:val="000000"/>
                <w:sz w:val="24"/>
                <w:szCs w:val="24"/>
              </w:rPr>
              <w:t>μ</w:t>
            </w:r>
            <w:r w:rsidRPr="001A403F">
              <w:rPr>
                <w:rFonts w:ascii="Book Antiqua" w:eastAsia="Times New Roman" w:hAnsi="Book Antiqua" w:cs="Times"/>
                <w:color w:val="000000"/>
                <w:sz w:val="24"/>
                <w:szCs w:val="24"/>
              </w:rPr>
              <w:t>L</w:t>
            </w:r>
            <w:proofErr w:type="spellEnd"/>
            <w:r w:rsidRPr="001A403F">
              <w:rPr>
                <w:rFonts w:ascii="Book Antiqua" w:eastAsia="Times New Roman" w:hAnsi="Book Antiqua" w:cs="Times"/>
                <w:color w:val="000000"/>
                <w:sz w:val="24"/>
                <w:szCs w:val="24"/>
              </w:rPr>
              <w:t>)</w:t>
            </w:r>
          </w:p>
        </w:tc>
        <w:tc>
          <w:tcPr>
            <w:tcW w:w="850" w:type="dxa"/>
            <w:shd w:val="clear" w:color="000000" w:fill="FFFFFF"/>
            <w:vAlign w:val="center"/>
            <w:hideMark/>
          </w:tcPr>
          <w:p w14:paraId="788F858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3502FBBD" w14:textId="510A33C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11.4</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2DAA8A8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0290C871" w14:textId="731F549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9.8</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7A8DCB7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2CC42A22" w14:textId="31AF132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17.7</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65927B41" w14:textId="46235F6F"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320BEFA0" w14:textId="77777777" w:rsidTr="00F67FDA">
        <w:trPr>
          <w:trHeight w:val="319"/>
        </w:trPr>
        <w:tc>
          <w:tcPr>
            <w:tcW w:w="3120" w:type="dxa"/>
            <w:shd w:val="clear" w:color="000000" w:fill="FFFFFF"/>
            <w:vAlign w:val="center"/>
            <w:hideMark/>
          </w:tcPr>
          <w:p w14:paraId="76A5A0C6"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Potassium (mmol/L)</w:t>
            </w:r>
          </w:p>
        </w:tc>
        <w:tc>
          <w:tcPr>
            <w:tcW w:w="850" w:type="dxa"/>
            <w:shd w:val="clear" w:color="000000" w:fill="FFFFFF"/>
            <w:vAlign w:val="center"/>
            <w:hideMark/>
          </w:tcPr>
          <w:p w14:paraId="4B15D11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1F02BD91" w14:textId="6A96FE7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4.8</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750DDF8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0457B03" w14:textId="101674B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3.9</w:t>
            </w:r>
            <w:r w:rsidR="00F67FDA">
              <w:rPr>
                <w:rFonts w:ascii="Book Antiqua" w:eastAsia="Times New Roman" w:hAnsi="Book Antiqua" w:cs="Times"/>
                <w:color w:val="000000"/>
                <w:sz w:val="24"/>
                <w:szCs w:val="24"/>
              </w:rPr>
              <w:t xml:space="preserve"> </w:t>
            </w:r>
            <w:r w:rsidR="001A403F" w:rsidRPr="001A403F">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3.5,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4.6</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603F246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1649334" w14:textId="3657F1D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5.1</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7AC3511E" w14:textId="1AFAD124"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99526C">
              <w:rPr>
                <w:rFonts w:ascii="Book Antiqua" w:eastAsia="Times New Roman" w:hAnsi="Book Antiqua" w:cs="Times"/>
                <w:sz w:val="24"/>
                <w:szCs w:val="24"/>
                <w:vertAlign w:val="superscript"/>
              </w:rPr>
              <w:t>2</w:t>
            </w:r>
          </w:p>
        </w:tc>
      </w:tr>
      <w:tr w:rsidR="002947C4" w:rsidRPr="001A403F" w14:paraId="3ED454BA" w14:textId="77777777" w:rsidTr="00F67FDA">
        <w:trPr>
          <w:trHeight w:val="319"/>
        </w:trPr>
        <w:tc>
          <w:tcPr>
            <w:tcW w:w="3120" w:type="dxa"/>
            <w:shd w:val="clear" w:color="000000" w:fill="FFFFFF"/>
            <w:vAlign w:val="center"/>
            <w:hideMark/>
          </w:tcPr>
          <w:p w14:paraId="0EF48D31"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BUN (mg/dL)</w:t>
            </w:r>
          </w:p>
        </w:tc>
        <w:tc>
          <w:tcPr>
            <w:tcW w:w="850" w:type="dxa"/>
            <w:shd w:val="clear" w:color="000000" w:fill="FFFFFF"/>
            <w:vAlign w:val="center"/>
            <w:hideMark/>
          </w:tcPr>
          <w:p w14:paraId="56D94FE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9DAB56B" w14:textId="487D829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55.5</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5F7C986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9F003DB" w14:textId="72AE0C9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32.0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51.0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40F7BB1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AD2634F" w14:textId="65D7B8D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66.0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4020A12F" w14:textId="7AC43148"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4ADFB0A7" w14:textId="77777777" w:rsidTr="00F67FDA">
        <w:trPr>
          <w:trHeight w:val="319"/>
        </w:trPr>
        <w:tc>
          <w:tcPr>
            <w:tcW w:w="3120" w:type="dxa"/>
            <w:shd w:val="clear" w:color="000000" w:fill="FFFFFF"/>
            <w:vAlign w:val="center"/>
            <w:hideMark/>
          </w:tcPr>
          <w:p w14:paraId="72C33670"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Albumin (g/dL)</w:t>
            </w:r>
          </w:p>
        </w:tc>
        <w:tc>
          <w:tcPr>
            <w:tcW w:w="850" w:type="dxa"/>
            <w:shd w:val="clear" w:color="000000" w:fill="FFFFFF"/>
            <w:vAlign w:val="center"/>
            <w:hideMark/>
          </w:tcPr>
          <w:p w14:paraId="460C62D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438D18E" w14:textId="7EA0A26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EE6DCF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19B8ED31" w14:textId="06149D7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7B6278F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BC7909F" w14:textId="5A62A7D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3.3</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6A75F909" w14:textId="72389C22"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0.57</w:t>
            </w:r>
            <w:r w:rsidR="00F67FDA">
              <w:rPr>
                <w:rFonts w:ascii="Book Antiqua" w:eastAsia="Times New Roman" w:hAnsi="Book Antiqua" w:cs="Times"/>
                <w:sz w:val="24"/>
                <w:szCs w:val="24"/>
                <w:vertAlign w:val="superscript"/>
              </w:rPr>
              <w:t>2</w:t>
            </w:r>
          </w:p>
        </w:tc>
      </w:tr>
      <w:tr w:rsidR="002947C4" w:rsidRPr="001A403F" w14:paraId="552A06C2" w14:textId="77777777" w:rsidTr="00F67FDA">
        <w:trPr>
          <w:trHeight w:val="319"/>
        </w:trPr>
        <w:tc>
          <w:tcPr>
            <w:tcW w:w="3120" w:type="dxa"/>
            <w:shd w:val="clear" w:color="000000" w:fill="FFFFFF"/>
            <w:vAlign w:val="center"/>
            <w:hideMark/>
          </w:tcPr>
          <w:p w14:paraId="0288D41C"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Sodium (mmol/L)</w:t>
            </w:r>
          </w:p>
        </w:tc>
        <w:tc>
          <w:tcPr>
            <w:tcW w:w="850" w:type="dxa"/>
            <w:shd w:val="clear" w:color="000000" w:fill="FFFFFF"/>
            <w:vAlign w:val="center"/>
            <w:hideMark/>
          </w:tcPr>
          <w:p w14:paraId="563DD6B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1D6217B3" w14:textId="44D2944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136.6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6.8</w:t>
            </w:r>
          </w:p>
        </w:tc>
        <w:tc>
          <w:tcPr>
            <w:tcW w:w="992" w:type="dxa"/>
            <w:shd w:val="clear" w:color="000000" w:fill="FFFFFF"/>
            <w:vAlign w:val="center"/>
            <w:hideMark/>
          </w:tcPr>
          <w:p w14:paraId="00C5B0D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B1DFD4D" w14:textId="3AB0DA1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136.6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6.6</w:t>
            </w:r>
          </w:p>
        </w:tc>
        <w:tc>
          <w:tcPr>
            <w:tcW w:w="1134" w:type="dxa"/>
            <w:shd w:val="clear" w:color="000000" w:fill="FFFFFF"/>
            <w:vAlign w:val="center"/>
            <w:hideMark/>
          </w:tcPr>
          <w:p w14:paraId="6054241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16FAB4F9" w14:textId="136338A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136.4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7.3</w:t>
            </w:r>
          </w:p>
        </w:tc>
        <w:tc>
          <w:tcPr>
            <w:tcW w:w="1276" w:type="dxa"/>
            <w:shd w:val="clear" w:color="000000" w:fill="FFFFFF"/>
            <w:vAlign w:val="center"/>
          </w:tcPr>
          <w:p w14:paraId="55E534DE" w14:textId="135602DD"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0.81</w:t>
            </w:r>
            <w:r w:rsidR="00F67FDA">
              <w:rPr>
                <w:rFonts w:ascii="Book Antiqua" w:eastAsia="Times New Roman" w:hAnsi="Book Antiqua" w:cs="Times"/>
                <w:sz w:val="24"/>
                <w:szCs w:val="24"/>
                <w:vertAlign w:val="superscript"/>
              </w:rPr>
              <w:t>1</w:t>
            </w:r>
          </w:p>
        </w:tc>
      </w:tr>
      <w:tr w:rsidR="002947C4" w:rsidRPr="001A403F" w14:paraId="20EE2A25" w14:textId="77777777" w:rsidTr="00F67FDA">
        <w:trPr>
          <w:trHeight w:val="319"/>
        </w:trPr>
        <w:tc>
          <w:tcPr>
            <w:tcW w:w="3120" w:type="dxa"/>
            <w:shd w:val="clear" w:color="000000" w:fill="FFFFFF"/>
            <w:vAlign w:val="center"/>
            <w:hideMark/>
          </w:tcPr>
          <w:p w14:paraId="48521FB6"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Creatinine (mg/dL)</w:t>
            </w:r>
          </w:p>
        </w:tc>
        <w:tc>
          <w:tcPr>
            <w:tcW w:w="850" w:type="dxa"/>
            <w:shd w:val="clear" w:color="000000" w:fill="FFFFFF"/>
            <w:vAlign w:val="center"/>
            <w:hideMark/>
          </w:tcPr>
          <w:p w14:paraId="11975DC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76F5CB99" w14:textId="0122177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0.89,</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BCEF46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6D829F41" w14:textId="59D1BCB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0.80,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2.4</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CB3F79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F2E2AAD" w14:textId="77763EE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w:t>
            </w:r>
            <w:r w:rsidR="001A403F" w:rsidRPr="001A403F">
              <w:rPr>
                <w:rFonts w:ascii="Book Antiqua" w:eastAsia="Times New Roman" w:hAnsi="Book Antiqua" w:cs="Times"/>
                <w:color w:val="000000"/>
                <w:sz w:val="24"/>
                <w:szCs w:val="24"/>
              </w:rPr>
              <w:t>)</w:t>
            </w:r>
          </w:p>
        </w:tc>
        <w:tc>
          <w:tcPr>
            <w:tcW w:w="1276" w:type="dxa"/>
            <w:shd w:val="clear" w:color="000000" w:fill="FFFFFF"/>
            <w:vAlign w:val="center"/>
          </w:tcPr>
          <w:p w14:paraId="062051C8" w14:textId="000D9622"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63E62D3F" w14:textId="77777777" w:rsidTr="00F67FDA">
        <w:trPr>
          <w:trHeight w:val="319"/>
        </w:trPr>
        <w:tc>
          <w:tcPr>
            <w:tcW w:w="3120" w:type="dxa"/>
            <w:shd w:val="clear" w:color="000000" w:fill="FFFFFF"/>
            <w:vAlign w:val="center"/>
            <w:hideMark/>
          </w:tcPr>
          <w:p w14:paraId="6BD381AA"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Bilirubin (mg/dL)</w:t>
            </w:r>
          </w:p>
        </w:tc>
        <w:tc>
          <w:tcPr>
            <w:tcW w:w="850" w:type="dxa"/>
            <w:shd w:val="clear" w:color="000000" w:fill="FFFFFF"/>
            <w:vAlign w:val="center"/>
            <w:hideMark/>
          </w:tcPr>
          <w:p w14:paraId="2C2247C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shd w:val="clear" w:color="000000" w:fill="FFFFFF"/>
            <w:vAlign w:val="center"/>
            <w:hideMark/>
          </w:tcPr>
          <w:p w14:paraId="3A27674B" w14:textId="26465AA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10.4</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E07853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316</w:t>
            </w:r>
          </w:p>
        </w:tc>
        <w:tc>
          <w:tcPr>
            <w:tcW w:w="2551" w:type="dxa"/>
            <w:shd w:val="clear" w:color="000000" w:fill="FFFFFF"/>
            <w:vAlign w:val="center"/>
            <w:hideMark/>
          </w:tcPr>
          <w:p w14:paraId="218F7FA1" w14:textId="4E32B7A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6.2</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7E2F06E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6D291A31" w14:textId="22A0661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25.9</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6A4E963A" w14:textId="77A47D86"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2EA41AF2" w14:textId="77777777" w:rsidTr="00F67FDA">
        <w:trPr>
          <w:trHeight w:val="319"/>
        </w:trPr>
        <w:tc>
          <w:tcPr>
            <w:tcW w:w="3120" w:type="dxa"/>
            <w:shd w:val="clear" w:color="000000" w:fill="FFFFFF"/>
            <w:vAlign w:val="center"/>
            <w:hideMark/>
          </w:tcPr>
          <w:p w14:paraId="1062C599"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Bicarbonate (mmol/L)</w:t>
            </w:r>
          </w:p>
        </w:tc>
        <w:tc>
          <w:tcPr>
            <w:tcW w:w="850" w:type="dxa"/>
            <w:shd w:val="clear" w:color="000000" w:fill="FFFFFF"/>
            <w:vAlign w:val="center"/>
            <w:hideMark/>
          </w:tcPr>
          <w:p w14:paraId="38432DC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424</w:t>
            </w:r>
          </w:p>
        </w:tc>
        <w:tc>
          <w:tcPr>
            <w:tcW w:w="2552" w:type="dxa"/>
            <w:shd w:val="clear" w:color="000000" w:fill="FFFFFF"/>
            <w:vAlign w:val="center"/>
            <w:hideMark/>
          </w:tcPr>
          <w:p w14:paraId="0440627F" w14:textId="2332315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19.3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5.4</w:t>
            </w:r>
          </w:p>
        </w:tc>
        <w:tc>
          <w:tcPr>
            <w:tcW w:w="992" w:type="dxa"/>
            <w:shd w:val="clear" w:color="000000" w:fill="FFFFFF"/>
            <w:vAlign w:val="center"/>
            <w:hideMark/>
          </w:tcPr>
          <w:p w14:paraId="28F8125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310</w:t>
            </w:r>
          </w:p>
        </w:tc>
        <w:tc>
          <w:tcPr>
            <w:tcW w:w="2551" w:type="dxa"/>
            <w:shd w:val="clear" w:color="000000" w:fill="FFFFFF"/>
            <w:vAlign w:val="center"/>
            <w:hideMark/>
          </w:tcPr>
          <w:p w14:paraId="4FE441E9" w14:textId="341E27E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19.9</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4.9</w:t>
            </w:r>
          </w:p>
        </w:tc>
        <w:tc>
          <w:tcPr>
            <w:tcW w:w="1134" w:type="dxa"/>
            <w:shd w:val="clear" w:color="000000" w:fill="FFFFFF"/>
            <w:vAlign w:val="center"/>
            <w:hideMark/>
          </w:tcPr>
          <w:p w14:paraId="513B52E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114</w:t>
            </w:r>
          </w:p>
        </w:tc>
        <w:tc>
          <w:tcPr>
            <w:tcW w:w="2410" w:type="dxa"/>
            <w:shd w:val="clear" w:color="000000" w:fill="FFFFFF"/>
            <w:vAlign w:val="center"/>
            <w:hideMark/>
          </w:tcPr>
          <w:p w14:paraId="6BE86905" w14:textId="1A65A60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6.3</w:t>
            </w:r>
          </w:p>
        </w:tc>
        <w:tc>
          <w:tcPr>
            <w:tcW w:w="1276" w:type="dxa"/>
            <w:shd w:val="clear" w:color="000000" w:fill="FFFFFF"/>
            <w:noWrap/>
            <w:vAlign w:val="center"/>
          </w:tcPr>
          <w:p w14:paraId="1D0D9F47" w14:textId="1318E9AF"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03E0416D" w14:textId="77777777" w:rsidTr="00F67FDA">
        <w:trPr>
          <w:trHeight w:val="319"/>
        </w:trPr>
        <w:tc>
          <w:tcPr>
            <w:tcW w:w="3120" w:type="dxa"/>
            <w:shd w:val="clear" w:color="000000" w:fill="FFFFFF"/>
            <w:vAlign w:val="center"/>
            <w:hideMark/>
          </w:tcPr>
          <w:p w14:paraId="68AA7992"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Glucose (mg/dL)</w:t>
            </w:r>
          </w:p>
        </w:tc>
        <w:tc>
          <w:tcPr>
            <w:tcW w:w="850" w:type="dxa"/>
            <w:shd w:val="clear" w:color="000000" w:fill="FFFFFF"/>
            <w:vAlign w:val="center"/>
            <w:hideMark/>
          </w:tcPr>
          <w:p w14:paraId="6F06D71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430</w:t>
            </w:r>
          </w:p>
        </w:tc>
        <w:tc>
          <w:tcPr>
            <w:tcW w:w="2552" w:type="dxa"/>
            <w:shd w:val="clear" w:color="000000" w:fill="FFFFFF"/>
            <w:vAlign w:val="center"/>
            <w:hideMark/>
          </w:tcPr>
          <w:p w14:paraId="747578C5" w14:textId="249C3FA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152.6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90.3</w:t>
            </w:r>
          </w:p>
        </w:tc>
        <w:tc>
          <w:tcPr>
            <w:tcW w:w="992" w:type="dxa"/>
            <w:shd w:val="clear" w:color="000000" w:fill="FFFFFF"/>
            <w:vAlign w:val="center"/>
            <w:hideMark/>
          </w:tcPr>
          <w:p w14:paraId="7A142CF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314</w:t>
            </w:r>
          </w:p>
        </w:tc>
        <w:tc>
          <w:tcPr>
            <w:tcW w:w="2551" w:type="dxa"/>
            <w:shd w:val="clear" w:color="000000" w:fill="FFFFFF"/>
            <w:vAlign w:val="center"/>
            <w:hideMark/>
          </w:tcPr>
          <w:p w14:paraId="730EB422" w14:textId="33868A8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153.9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94.0</w:t>
            </w:r>
          </w:p>
        </w:tc>
        <w:tc>
          <w:tcPr>
            <w:tcW w:w="1134" w:type="dxa"/>
            <w:shd w:val="clear" w:color="000000" w:fill="FFFFFF"/>
            <w:vAlign w:val="center"/>
            <w:hideMark/>
          </w:tcPr>
          <w:p w14:paraId="1B97BDA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116</w:t>
            </w:r>
          </w:p>
        </w:tc>
        <w:tc>
          <w:tcPr>
            <w:tcW w:w="2410" w:type="dxa"/>
            <w:shd w:val="clear" w:color="000000" w:fill="FFFFFF"/>
            <w:vAlign w:val="center"/>
            <w:hideMark/>
          </w:tcPr>
          <w:p w14:paraId="27534ACB" w14:textId="3FCC04E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149.1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79.8</w:t>
            </w:r>
          </w:p>
        </w:tc>
        <w:tc>
          <w:tcPr>
            <w:tcW w:w="1276" w:type="dxa"/>
            <w:shd w:val="clear" w:color="000000" w:fill="FFFFFF"/>
            <w:noWrap/>
            <w:vAlign w:val="center"/>
          </w:tcPr>
          <w:p w14:paraId="78B64775" w14:textId="2890C4EB"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0.63</w:t>
            </w:r>
            <w:r w:rsidR="00F67FDA">
              <w:rPr>
                <w:rFonts w:ascii="Book Antiqua" w:eastAsia="Times New Roman" w:hAnsi="Book Antiqua" w:cs="Times"/>
                <w:sz w:val="24"/>
                <w:szCs w:val="24"/>
                <w:vertAlign w:val="superscript"/>
              </w:rPr>
              <w:t>1</w:t>
            </w:r>
          </w:p>
        </w:tc>
      </w:tr>
      <w:tr w:rsidR="002947C4" w:rsidRPr="001A403F" w14:paraId="6859777D" w14:textId="77777777" w:rsidTr="00F67FDA">
        <w:trPr>
          <w:trHeight w:val="319"/>
        </w:trPr>
        <w:tc>
          <w:tcPr>
            <w:tcW w:w="14885" w:type="dxa"/>
            <w:gridSpan w:val="8"/>
            <w:shd w:val="clear" w:color="000000" w:fill="FFFFFF"/>
            <w:vAlign w:val="center"/>
            <w:hideMark/>
          </w:tcPr>
          <w:p w14:paraId="6431DF89" w14:textId="1EE7E92C" w:rsidR="002947C4" w:rsidRPr="001A403F" w:rsidRDefault="002947C4"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color w:val="000000"/>
                <w:sz w:val="24"/>
                <w:szCs w:val="24"/>
              </w:rPr>
              <w:t>Scores</w:t>
            </w:r>
          </w:p>
        </w:tc>
      </w:tr>
      <w:tr w:rsidR="002947C4" w:rsidRPr="001A403F" w14:paraId="277C96A9" w14:textId="77777777" w:rsidTr="00F67FDA">
        <w:trPr>
          <w:trHeight w:val="319"/>
        </w:trPr>
        <w:tc>
          <w:tcPr>
            <w:tcW w:w="3120" w:type="dxa"/>
            <w:shd w:val="clear" w:color="000000" w:fill="FFFFFF"/>
            <w:vAlign w:val="center"/>
            <w:hideMark/>
          </w:tcPr>
          <w:p w14:paraId="4B49E5C1" w14:textId="09C0EE03" w:rsidR="00414275" w:rsidRPr="001A403F" w:rsidRDefault="00414275" w:rsidP="00122F9D">
            <w:pPr>
              <w:adjustRightInd w:val="0"/>
              <w:snapToGrid w:val="0"/>
              <w:spacing w:after="0" w:line="360" w:lineRule="auto"/>
              <w:rPr>
                <w:rFonts w:ascii="Book Antiqua" w:eastAsia="Times New Roman" w:hAnsi="Book Antiqua" w:cs="Times"/>
                <w:b/>
                <w:bCs/>
                <w:i/>
                <w:iCs/>
                <w:color w:val="000000"/>
                <w:sz w:val="24"/>
                <w:szCs w:val="24"/>
              </w:rPr>
            </w:pPr>
            <w:r w:rsidRPr="001A403F">
              <w:rPr>
                <w:rFonts w:ascii="Book Antiqua" w:eastAsia="Times New Roman" w:hAnsi="Book Antiqua" w:cs="Times"/>
                <w:color w:val="000000"/>
                <w:sz w:val="24"/>
                <w:szCs w:val="24"/>
              </w:rPr>
              <w:t xml:space="preserve">MELD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6CFFF3C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shd w:val="clear" w:color="000000" w:fill="FFFFFF"/>
            <w:vAlign w:val="center"/>
            <w:hideMark/>
          </w:tcPr>
          <w:p w14:paraId="323905BF" w14:textId="0F734AF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23.2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9.8</w:t>
            </w:r>
          </w:p>
        </w:tc>
        <w:tc>
          <w:tcPr>
            <w:tcW w:w="992" w:type="dxa"/>
            <w:shd w:val="clear" w:color="000000" w:fill="FFFFFF"/>
            <w:vAlign w:val="center"/>
            <w:hideMark/>
          </w:tcPr>
          <w:p w14:paraId="60B285D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316</w:t>
            </w:r>
          </w:p>
        </w:tc>
        <w:tc>
          <w:tcPr>
            <w:tcW w:w="2551" w:type="dxa"/>
            <w:shd w:val="clear" w:color="000000" w:fill="FFFFFF"/>
            <w:vAlign w:val="center"/>
            <w:hideMark/>
          </w:tcPr>
          <w:p w14:paraId="3BC5C267" w14:textId="64C2C51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8.3</w:t>
            </w:r>
          </w:p>
        </w:tc>
        <w:tc>
          <w:tcPr>
            <w:tcW w:w="1134" w:type="dxa"/>
            <w:shd w:val="clear" w:color="000000" w:fill="FFFFFF"/>
            <w:vAlign w:val="center"/>
            <w:hideMark/>
          </w:tcPr>
          <w:p w14:paraId="54D4DF9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5925CA8" w14:textId="72DAE1F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8.9</w:t>
            </w:r>
          </w:p>
        </w:tc>
        <w:tc>
          <w:tcPr>
            <w:tcW w:w="1276" w:type="dxa"/>
            <w:shd w:val="clear" w:color="000000" w:fill="FFFFFF"/>
            <w:vAlign w:val="center"/>
            <w:hideMark/>
          </w:tcPr>
          <w:p w14:paraId="27273DDA" w14:textId="4ABE85D3"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3EBF4E2B" w14:textId="77777777" w:rsidTr="00F67FDA">
        <w:trPr>
          <w:trHeight w:val="319"/>
        </w:trPr>
        <w:tc>
          <w:tcPr>
            <w:tcW w:w="3120" w:type="dxa"/>
            <w:shd w:val="clear" w:color="000000" w:fill="FFFFFF"/>
            <w:vAlign w:val="center"/>
            <w:hideMark/>
          </w:tcPr>
          <w:p w14:paraId="71AC894A" w14:textId="3A0039C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MELD-Na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031BC90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shd w:val="clear" w:color="000000" w:fill="FFFFFF"/>
            <w:vAlign w:val="center"/>
            <w:hideMark/>
          </w:tcPr>
          <w:p w14:paraId="5BFCEA96" w14:textId="09A57DD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24.8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9.2</w:t>
            </w:r>
          </w:p>
        </w:tc>
        <w:tc>
          <w:tcPr>
            <w:tcW w:w="992" w:type="dxa"/>
            <w:shd w:val="clear" w:color="000000" w:fill="FFFFFF"/>
            <w:vAlign w:val="center"/>
            <w:hideMark/>
          </w:tcPr>
          <w:p w14:paraId="405AA56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316</w:t>
            </w:r>
          </w:p>
        </w:tc>
        <w:tc>
          <w:tcPr>
            <w:tcW w:w="2551" w:type="dxa"/>
            <w:shd w:val="clear" w:color="000000" w:fill="FFFFFF"/>
            <w:vAlign w:val="center"/>
            <w:hideMark/>
          </w:tcPr>
          <w:p w14:paraId="7088EF6E" w14:textId="71C24C2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22.1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8.1</w:t>
            </w:r>
          </w:p>
        </w:tc>
        <w:tc>
          <w:tcPr>
            <w:tcW w:w="1134" w:type="dxa"/>
            <w:shd w:val="clear" w:color="000000" w:fill="FFFFFF"/>
            <w:vAlign w:val="center"/>
            <w:hideMark/>
          </w:tcPr>
          <w:p w14:paraId="1A1F305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398D792E" w14:textId="4650B0F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32.0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8.1</w:t>
            </w:r>
          </w:p>
        </w:tc>
        <w:tc>
          <w:tcPr>
            <w:tcW w:w="1276" w:type="dxa"/>
            <w:shd w:val="clear" w:color="000000" w:fill="FFFFFF"/>
            <w:noWrap/>
            <w:vAlign w:val="center"/>
          </w:tcPr>
          <w:p w14:paraId="47024FE1" w14:textId="48C3C62F"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25CE240E" w14:textId="77777777" w:rsidTr="00F67FDA">
        <w:trPr>
          <w:trHeight w:val="319"/>
        </w:trPr>
        <w:tc>
          <w:tcPr>
            <w:tcW w:w="3120" w:type="dxa"/>
            <w:shd w:val="clear" w:color="000000" w:fill="FFFFFF"/>
            <w:vAlign w:val="center"/>
            <w:hideMark/>
          </w:tcPr>
          <w:p w14:paraId="4C26A2E2" w14:textId="5BC67CD4"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Child-Pugh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01439B1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shd w:val="clear" w:color="000000" w:fill="FFFFFF"/>
            <w:vAlign w:val="center"/>
            <w:hideMark/>
          </w:tcPr>
          <w:p w14:paraId="19A14C73" w14:textId="0D9FBE2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p>
        </w:tc>
        <w:tc>
          <w:tcPr>
            <w:tcW w:w="992" w:type="dxa"/>
            <w:shd w:val="clear" w:color="000000" w:fill="FFFFFF"/>
            <w:vAlign w:val="center"/>
            <w:hideMark/>
          </w:tcPr>
          <w:p w14:paraId="4E84A18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316</w:t>
            </w:r>
          </w:p>
        </w:tc>
        <w:tc>
          <w:tcPr>
            <w:tcW w:w="2551" w:type="dxa"/>
            <w:shd w:val="clear" w:color="000000" w:fill="FFFFFF"/>
            <w:vAlign w:val="center"/>
            <w:hideMark/>
          </w:tcPr>
          <w:p w14:paraId="51364A94" w14:textId="2373B8A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p>
        </w:tc>
        <w:tc>
          <w:tcPr>
            <w:tcW w:w="1134" w:type="dxa"/>
            <w:shd w:val="clear" w:color="000000" w:fill="FFFFFF"/>
            <w:vAlign w:val="center"/>
            <w:hideMark/>
          </w:tcPr>
          <w:p w14:paraId="3B378DC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5D47E8D5" w14:textId="602D566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1.8</w:t>
            </w:r>
          </w:p>
        </w:tc>
        <w:tc>
          <w:tcPr>
            <w:tcW w:w="1276" w:type="dxa"/>
            <w:shd w:val="clear" w:color="000000" w:fill="FFFFFF"/>
            <w:noWrap/>
            <w:vAlign w:val="center"/>
          </w:tcPr>
          <w:p w14:paraId="0D5C379C" w14:textId="67CFDA6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08066B86" w14:textId="77777777" w:rsidTr="00F67FDA">
        <w:trPr>
          <w:trHeight w:val="319"/>
        </w:trPr>
        <w:tc>
          <w:tcPr>
            <w:tcW w:w="3120" w:type="dxa"/>
            <w:shd w:val="clear" w:color="000000" w:fill="FFFFFF"/>
            <w:vAlign w:val="center"/>
            <w:hideMark/>
          </w:tcPr>
          <w:p w14:paraId="7049F264" w14:textId="6EBA2DB4"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SOFA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5FE4E73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6B869FE9" w14:textId="3F4E4EF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w:t>
            </w:r>
          </w:p>
        </w:tc>
        <w:tc>
          <w:tcPr>
            <w:tcW w:w="992" w:type="dxa"/>
            <w:shd w:val="clear" w:color="000000" w:fill="FFFFFF"/>
            <w:vAlign w:val="center"/>
            <w:hideMark/>
          </w:tcPr>
          <w:p w14:paraId="0986CE3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13A28DCB" w14:textId="18148C4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2.9</w:t>
            </w:r>
          </w:p>
        </w:tc>
        <w:tc>
          <w:tcPr>
            <w:tcW w:w="1134" w:type="dxa"/>
            <w:shd w:val="clear" w:color="000000" w:fill="FFFFFF"/>
            <w:vAlign w:val="center"/>
            <w:hideMark/>
          </w:tcPr>
          <w:p w14:paraId="03776D5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17A9D19C" w14:textId="413E339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12.4</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w:t>
            </w:r>
          </w:p>
        </w:tc>
        <w:tc>
          <w:tcPr>
            <w:tcW w:w="1276" w:type="dxa"/>
            <w:shd w:val="clear" w:color="000000" w:fill="FFFFFF"/>
            <w:noWrap/>
            <w:vAlign w:val="center"/>
          </w:tcPr>
          <w:p w14:paraId="387F55AC" w14:textId="4410A57A"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727A9DBC" w14:textId="77777777" w:rsidTr="00F67FDA">
        <w:trPr>
          <w:trHeight w:val="319"/>
        </w:trPr>
        <w:tc>
          <w:tcPr>
            <w:tcW w:w="3120" w:type="dxa"/>
            <w:shd w:val="clear" w:color="000000" w:fill="FFFFFF"/>
            <w:vAlign w:val="center"/>
            <w:hideMark/>
          </w:tcPr>
          <w:p w14:paraId="7957A474" w14:textId="27C03ABE"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CLIF-SOFA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324CFFD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262</w:t>
            </w:r>
          </w:p>
        </w:tc>
        <w:tc>
          <w:tcPr>
            <w:tcW w:w="2552" w:type="dxa"/>
            <w:shd w:val="clear" w:color="000000" w:fill="FFFFFF"/>
            <w:vAlign w:val="center"/>
            <w:hideMark/>
          </w:tcPr>
          <w:p w14:paraId="4F006F5E" w14:textId="66E0BE8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w:t>
            </w:r>
          </w:p>
        </w:tc>
        <w:tc>
          <w:tcPr>
            <w:tcW w:w="992" w:type="dxa"/>
            <w:shd w:val="clear" w:color="000000" w:fill="FFFFFF"/>
            <w:vAlign w:val="center"/>
            <w:hideMark/>
          </w:tcPr>
          <w:p w14:paraId="1C1368D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169</w:t>
            </w:r>
          </w:p>
        </w:tc>
        <w:tc>
          <w:tcPr>
            <w:tcW w:w="2551" w:type="dxa"/>
            <w:shd w:val="clear" w:color="000000" w:fill="FFFFFF"/>
            <w:vAlign w:val="center"/>
            <w:hideMark/>
          </w:tcPr>
          <w:p w14:paraId="2FAA4CD0" w14:textId="1BDB61D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3.0</w:t>
            </w:r>
          </w:p>
        </w:tc>
        <w:tc>
          <w:tcPr>
            <w:tcW w:w="1134" w:type="dxa"/>
            <w:shd w:val="clear" w:color="000000" w:fill="FFFFFF"/>
            <w:vAlign w:val="center"/>
            <w:hideMark/>
          </w:tcPr>
          <w:p w14:paraId="594E704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3135D42B" w14:textId="64399A5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w:t>
            </w:r>
          </w:p>
        </w:tc>
        <w:tc>
          <w:tcPr>
            <w:tcW w:w="1276" w:type="dxa"/>
            <w:shd w:val="clear" w:color="000000" w:fill="FFFFFF"/>
            <w:noWrap/>
            <w:vAlign w:val="center"/>
          </w:tcPr>
          <w:p w14:paraId="5A83199E" w14:textId="3C480562"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5B9D3A25" w14:textId="77777777" w:rsidTr="00F67FDA">
        <w:trPr>
          <w:trHeight w:val="319"/>
        </w:trPr>
        <w:tc>
          <w:tcPr>
            <w:tcW w:w="3120" w:type="dxa"/>
            <w:shd w:val="clear" w:color="000000" w:fill="FFFFFF"/>
            <w:vAlign w:val="center"/>
            <w:hideMark/>
          </w:tcPr>
          <w:p w14:paraId="1D7587BC" w14:textId="498F26B3"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RFH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40E4F49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259</w:t>
            </w:r>
          </w:p>
        </w:tc>
        <w:tc>
          <w:tcPr>
            <w:tcW w:w="2552" w:type="dxa"/>
            <w:shd w:val="clear" w:color="000000" w:fill="FFFFFF"/>
            <w:vAlign w:val="center"/>
            <w:hideMark/>
          </w:tcPr>
          <w:p w14:paraId="2A880EA9" w14:textId="022B054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0.05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-0.77,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1.1</w:t>
            </w:r>
            <w:r w:rsidR="002947C4"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6B4F8C0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167</w:t>
            </w:r>
          </w:p>
        </w:tc>
        <w:tc>
          <w:tcPr>
            <w:tcW w:w="2551" w:type="dxa"/>
            <w:shd w:val="clear" w:color="000000" w:fill="FFFFFF"/>
            <w:vAlign w:val="center"/>
            <w:hideMark/>
          </w:tcPr>
          <w:p w14:paraId="65BBD9AF" w14:textId="64D5BF2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-0.30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-0.99,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0.59</w:t>
            </w:r>
            <w:r w:rsidR="002947C4"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3D70E98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92</w:t>
            </w:r>
          </w:p>
        </w:tc>
        <w:tc>
          <w:tcPr>
            <w:tcW w:w="2410" w:type="dxa"/>
            <w:shd w:val="clear" w:color="000000" w:fill="FFFFFF"/>
            <w:vAlign w:val="center"/>
            <w:hideMark/>
          </w:tcPr>
          <w:p w14:paraId="2FBCDA82" w14:textId="733A6C6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0.96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0.08,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r w:rsidR="002947C4"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4D94AC27" w14:textId="1EC35411"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591487C4" w14:textId="77777777" w:rsidTr="00F67FDA">
        <w:trPr>
          <w:trHeight w:val="495"/>
        </w:trPr>
        <w:tc>
          <w:tcPr>
            <w:tcW w:w="3120" w:type="dxa"/>
            <w:shd w:val="clear" w:color="000000" w:fill="FFFFFF"/>
            <w:vAlign w:val="center"/>
            <w:hideMark/>
          </w:tcPr>
          <w:p w14:paraId="754228BB" w14:textId="3FD547BF"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APS</w:t>
            </w:r>
          </w:p>
        </w:tc>
        <w:tc>
          <w:tcPr>
            <w:tcW w:w="850" w:type="dxa"/>
            <w:shd w:val="clear" w:color="000000" w:fill="FFFFFF"/>
            <w:vAlign w:val="center"/>
            <w:hideMark/>
          </w:tcPr>
          <w:p w14:paraId="0621727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shd w:val="clear" w:color="000000" w:fill="FFFFFF"/>
            <w:vAlign w:val="center"/>
            <w:hideMark/>
          </w:tcPr>
          <w:p w14:paraId="4C31F642" w14:textId="32E0A1F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65.6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28.4</w:t>
            </w:r>
          </w:p>
        </w:tc>
        <w:tc>
          <w:tcPr>
            <w:tcW w:w="992" w:type="dxa"/>
            <w:shd w:val="clear" w:color="000000" w:fill="FFFFFF"/>
            <w:vAlign w:val="center"/>
            <w:hideMark/>
          </w:tcPr>
          <w:p w14:paraId="1246933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88B9F85" w14:textId="26C561E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58.0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22.1</w:t>
            </w:r>
          </w:p>
        </w:tc>
        <w:tc>
          <w:tcPr>
            <w:tcW w:w="1134" w:type="dxa"/>
            <w:shd w:val="clear" w:color="000000" w:fill="FFFFFF"/>
            <w:vAlign w:val="center"/>
            <w:hideMark/>
          </w:tcPr>
          <w:p w14:paraId="6CA8E67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118</w:t>
            </w:r>
          </w:p>
        </w:tc>
        <w:tc>
          <w:tcPr>
            <w:tcW w:w="2410" w:type="dxa"/>
            <w:shd w:val="clear" w:color="000000" w:fill="FFFFFF"/>
            <w:vAlign w:val="center"/>
            <w:hideMark/>
          </w:tcPr>
          <w:p w14:paraId="269EE2F6" w14:textId="6B76FE5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86.2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32.8</w:t>
            </w:r>
          </w:p>
        </w:tc>
        <w:tc>
          <w:tcPr>
            <w:tcW w:w="1276" w:type="dxa"/>
            <w:shd w:val="clear" w:color="000000" w:fill="FFFFFF"/>
            <w:noWrap/>
            <w:vAlign w:val="center"/>
          </w:tcPr>
          <w:p w14:paraId="1A9173CF" w14:textId="3D9498D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4B8C4A9D" w14:textId="77777777" w:rsidTr="00F67FDA">
        <w:trPr>
          <w:trHeight w:val="495"/>
        </w:trPr>
        <w:tc>
          <w:tcPr>
            <w:tcW w:w="3120" w:type="dxa"/>
            <w:tcBorders>
              <w:bottom w:val="single" w:sz="4" w:space="0" w:color="auto"/>
            </w:tcBorders>
            <w:shd w:val="clear" w:color="000000" w:fill="FFFFFF"/>
            <w:vAlign w:val="center"/>
            <w:hideMark/>
          </w:tcPr>
          <w:p w14:paraId="03A9538E" w14:textId="006FF73B"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APACHE III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tcBorders>
              <w:bottom w:val="single" w:sz="4" w:space="0" w:color="auto"/>
            </w:tcBorders>
            <w:shd w:val="clear" w:color="000000" w:fill="FFFFFF"/>
            <w:vAlign w:val="center"/>
            <w:hideMark/>
          </w:tcPr>
          <w:p w14:paraId="11F730E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tcBorders>
              <w:bottom w:val="single" w:sz="4" w:space="0" w:color="auto"/>
            </w:tcBorders>
            <w:shd w:val="clear" w:color="000000" w:fill="FFFFFF"/>
            <w:vAlign w:val="center"/>
            <w:hideMark/>
          </w:tcPr>
          <w:p w14:paraId="531BB7E1" w14:textId="0F0E7B8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85.1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28.3</w:t>
            </w:r>
          </w:p>
        </w:tc>
        <w:tc>
          <w:tcPr>
            <w:tcW w:w="992" w:type="dxa"/>
            <w:tcBorders>
              <w:bottom w:val="single" w:sz="4" w:space="0" w:color="auto"/>
            </w:tcBorders>
            <w:shd w:val="clear" w:color="000000" w:fill="FFFFFF"/>
            <w:vAlign w:val="center"/>
            <w:hideMark/>
          </w:tcPr>
          <w:p w14:paraId="22D36E1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tcBorders>
              <w:bottom w:val="single" w:sz="4" w:space="0" w:color="auto"/>
            </w:tcBorders>
            <w:shd w:val="clear" w:color="000000" w:fill="FFFFFF"/>
            <w:vAlign w:val="center"/>
            <w:hideMark/>
          </w:tcPr>
          <w:p w14:paraId="243220D3" w14:textId="7AD6F7E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77.7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23.1</w:t>
            </w:r>
          </w:p>
        </w:tc>
        <w:tc>
          <w:tcPr>
            <w:tcW w:w="1134" w:type="dxa"/>
            <w:tcBorders>
              <w:bottom w:val="single" w:sz="4" w:space="0" w:color="auto"/>
            </w:tcBorders>
            <w:shd w:val="clear" w:color="000000" w:fill="FFFFFF"/>
            <w:vAlign w:val="center"/>
            <w:hideMark/>
          </w:tcPr>
          <w:p w14:paraId="5CFEFA6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118</w:t>
            </w:r>
          </w:p>
        </w:tc>
        <w:tc>
          <w:tcPr>
            <w:tcW w:w="2410" w:type="dxa"/>
            <w:tcBorders>
              <w:bottom w:val="single" w:sz="4" w:space="0" w:color="auto"/>
            </w:tcBorders>
            <w:shd w:val="clear" w:color="000000" w:fill="FFFFFF"/>
            <w:vAlign w:val="center"/>
            <w:hideMark/>
          </w:tcPr>
          <w:p w14:paraId="3CD8A77E" w14:textId="1171585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105.0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31.5</w:t>
            </w:r>
          </w:p>
        </w:tc>
        <w:tc>
          <w:tcPr>
            <w:tcW w:w="1276" w:type="dxa"/>
            <w:tcBorders>
              <w:bottom w:val="single" w:sz="4" w:space="0" w:color="auto"/>
            </w:tcBorders>
            <w:shd w:val="clear" w:color="000000" w:fill="FFFFFF"/>
            <w:noWrap/>
            <w:vAlign w:val="center"/>
          </w:tcPr>
          <w:p w14:paraId="7EB39C9E" w14:textId="4C8E265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bl>
    <w:p w14:paraId="525AC118" w14:textId="5069517D" w:rsidR="00FD6C85" w:rsidRPr="001A403F" w:rsidRDefault="00FD6C85" w:rsidP="002E7076">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w:color w:val="000000"/>
          <w:sz w:val="24"/>
          <w:szCs w:val="24"/>
        </w:rPr>
        <w:lastRenderedPageBreak/>
        <w:t xml:space="preserve">Values presented as Mean ± SD, Median </w:t>
      </w:r>
      <w:r w:rsidR="00F67FDA">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P25, P75</w:t>
      </w:r>
      <w:r w:rsidR="00F67FDA">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 or </w:t>
      </w:r>
      <w:r w:rsidR="00F67FDA" w:rsidRPr="00F67FDA">
        <w:rPr>
          <w:rFonts w:ascii="Book Antiqua" w:eastAsia="Times New Roman" w:hAnsi="Book Antiqua" w:cs="Times"/>
          <w:i/>
          <w:iCs/>
          <w:color w:val="000000"/>
          <w:sz w:val="24"/>
          <w:szCs w:val="24"/>
        </w:rPr>
        <w:t>n</w:t>
      </w:r>
      <w:r w:rsidRPr="001A403F">
        <w:rPr>
          <w:rFonts w:ascii="Book Antiqua" w:eastAsia="Times New Roman" w:hAnsi="Book Antiqua" w:cs="Times"/>
          <w:color w:val="000000"/>
          <w:sz w:val="24"/>
          <w:szCs w:val="24"/>
        </w:rPr>
        <w:t xml:space="preserve"> (column %). </w:t>
      </w:r>
      <w:r w:rsidRPr="000B1B45">
        <w:rPr>
          <w:rFonts w:ascii="Book Antiqua" w:eastAsia="Times New Roman" w:hAnsi="Book Antiqua" w:cs="Times"/>
          <w:i/>
          <w:iCs/>
          <w:color w:val="000000"/>
          <w:sz w:val="24"/>
          <w:szCs w:val="24"/>
        </w:rPr>
        <w:t>P</w:t>
      </w:r>
      <w:r w:rsidR="00F67FDA">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values: </w:t>
      </w:r>
      <w:r w:rsidR="00F67FDA">
        <w:rPr>
          <w:rFonts w:ascii="Book Antiqua" w:eastAsia="Times New Roman" w:hAnsi="Book Antiqua" w:cs="Times"/>
          <w:color w:val="000000"/>
          <w:sz w:val="24"/>
          <w:szCs w:val="24"/>
          <w:vertAlign w:val="superscript"/>
        </w:rPr>
        <w:t>1</w:t>
      </w:r>
      <w:r w:rsidRPr="001A403F">
        <w:rPr>
          <w:rFonts w:ascii="Book Antiqua" w:eastAsia="Times New Roman" w:hAnsi="Book Antiqua" w:cs="Times"/>
          <w:color w:val="000000"/>
          <w:sz w:val="24"/>
          <w:szCs w:val="24"/>
        </w:rPr>
        <w:t>ANOVA</w:t>
      </w:r>
      <w:r w:rsidR="000B1B45">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 </w:t>
      </w:r>
      <w:r w:rsidR="00F67FDA">
        <w:rPr>
          <w:rFonts w:ascii="Book Antiqua" w:eastAsia="Times New Roman" w:hAnsi="Book Antiqua" w:cs="Times"/>
          <w:color w:val="000000"/>
          <w:sz w:val="24"/>
          <w:szCs w:val="24"/>
          <w:vertAlign w:val="superscript"/>
        </w:rPr>
        <w:t>2</w:t>
      </w:r>
      <w:r w:rsidRPr="001A403F">
        <w:rPr>
          <w:rFonts w:ascii="Book Antiqua" w:eastAsia="Times New Roman" w:hAnsi="Book Antiqua" w:cs="Times"/>
          <w:color w:val="000000"/>
          <w:sz w:val="24"/>
          <w:szCs w:val="24"/>
        </w:rPr>
        <w:t>Kruskal-Wallis test</w:t>
      </w:r>
      <w:r w:rsidR="000B1B45">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 </w:t>
      </w:r>
      <w:r w:rsidR="00F67FDA">
        <w:rPr>
          <w:rFonts w:ascii="Book Antiqua" w:eastAsia="Times New Roman" w:hAnsi="Book Antiqua" w:cs="Times"/>
          <w:color w:val="000000"/>
          <w:sz w:val="24"/>
          <w:szCs w:val="24"/>
          <w:vertAlign w:val="superscript"/>
        </w:rPr>
        <w:t>3</w:t>
      </w:r>
      <w:r w:rsidRPr="001A403F">
        <w:rPr>
          <w:rFonts w:ascii="Book Antiqua" w:eastAsia="Times New Roman" w:hAnsi="Book Antiqua" w:cs="Times"/>
          <w:color w:val="000000"/>
          <w:sz w:val="24"/>
          <w:szCs w:val="24"/>
        </w:rPr>
        <w:t>Pearson</w:t>
      </w:r>
      <w:r w:rsidR="0099526C">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s </w:t>
      </w:r>
      <w:r w:rsidR="00F67FDA" w:rsidRPr="004314E0">
        <w:rPr>
          <w:rFonts w:ascii="Book Antiqua" w:hAnsi="Book Antiqua" w:cs="Times New Roman"/>
          <w:i/>
          <w:iCs/>
          <w:sz w:val="24"/>
          <w:szCs w:val="24"/>
        </w:rPr>
        <w:t>χ</w:t>
      </w:r>
      <w:r w:rsidR="00F67FDA" w:rsidRPr="00662849">
        <w:rPr>
          <w:rFonts w:ascii="Book Antiqua" w:hAnsi="Book Antiqua" w:cs="Times New Roman"/>
          <w:sz w:val="24"/>
          <w:szCs w:val="24"/>
          <w:vertAlign w:val="superscript"/>
        </w:rPr>
        <w:t>2</w:t>
      </w:r>
      <w:r w:rsidRPr="001A403F">
        <w:rPr>
          <w:rFonts w:ascii="Book Antiqua" w:eastAsia="Times New Roman" w:hAnsi="Book Antiqua" w:cs="Times"/>
          <w:color w:val="000000"/>
          <w:sz w:val="24"/>
          <w:szCs w:val="24"/>
        </w:rPr>
        <w:t xml:space="preserve"> test</w:t>
      </w:r>
      <w:r w:rsidR="000B1B45">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 </w:t>
      </w:r>
      <w:r w:rsidR="00F67FDA">
        <w:rPr>
          <w:rFonts w:ascii="Book Antiqua" w:eastAsia="Times New Roman" w:hAnsi="Book Antiqua" w:cs="Times"/>
          <w:color w:val="000000"/>
          <w:sz w:val="24"/>
          <w:szCs w:val="24"/>
          <w:vertAlign w:val="superscript"/>
        </w:rPr>
        <w:t>4</w:t>
      </w:r>
      <w:r w:rsidRPr="001A403F">
        <w:rPr>
          <w:rFonts w:ascii="Book Antiqua" w:eastAsia="Times New Roman" w:hAnsi="Book Antiqua" w:cs="Times"/>
          <w:color w:val="000000"/>
          <w:sz w:val="24"/>
          <w:szCs w:val="24"/>
        </w:rPr>
        <w:t>Fisher</w:t>
      </w:r>
      <w:r w:rsidR="0099526C">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s Exact test. </w:t>
      </w:r>
      <w:r w:rsidR="00F67FDA" w:rsidRPr="001A403F">
        <w:rPr>
          <w:rFonts w:ascii="Book Antiqua" w:eastAsia="Times New Roman" w:hAnsi="Book Antiqua" w:cs="Times"/>
          <w:color w:val="000000"/>
          <w:sz w:val="24"/>
          <w:szCs w:val="24"/>
        </w:rPr>
        <w:t>ICU</w:t>
      </w:r>
      <w:r w:rsidRPr="001A403F">
        <w:rPr>
          <w:rFonts w:ascii="Book Antiqua" w:eastAsia="Times New Roman" w:hAnsi="Book Antiqua" w:cs="Times"/>
          <w:color w:val="000000"/>
          <w:sz w:val="24"/>
          <w:szCs w:val="24"/>
        </w:rPr>
        <w:t xml:space="preserve">: Intensive care unit; </w:t>
      </w:r>
      <w:r w:rsidR="00F67FDA" w:rsidRPr="001A403F">
        <w:rPr>
          <w:rFonts w:ascii="Book Antiqua" w:eastAsia="Times New Roman" w:hAnsi="Book Antiqua" w:cs="Times"/>
          <w:color w:val="000000"/>
          <w:sz w:val="24"/>
          <w:szCs w:val="24"/>
        </w:rPr>
        <w:t>COPD</w:t>
      </w:r>
      <w:r w:rsidR="00F67FDA">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Chronic obstructive pulmonary disease; </w:t>
      </w:r>
      <w:r w:rsidR="00F67FDA" w:rsidRPr="001A403F">
        <w:rPr>
          <w:rFonts w:ascii="Book Antiqua" w:eastAsia="Times New Roman" w:hAnsi="Book Antiqua" w:cs="Times"/>
          <w:color w:val="000000"/>
          <w:sz w:val="24"/>
          <w:szCs w:val="24"/>
        </w:rPr>
        <w:t xml:space="preserve">A1AT: </w:t>
      </w:r>
      <w:r w:rsidRPr="001A403F">
        <w:rPr>
          <w:rFonts w:ascii="Book Antiqua" w:eastAsia="Times New Roman" w:hAnsi="Book Antiqua" w:cs="Times"/>
          <w:color w:val="000000"/>
          <w:sz w:val="24"/>
          <w:szCs w:val="24"/>
        </w:rPr>
        <w:t xml:space="preserve">Alpha 1 anti-trypsin deficiency; </w:t>
      </w:r>
      <w:r w:rsidR="00F67FDA" w:rsidRPr="001A403F">
        <w:rPr>
          <w:rFonts w:ascii="Book Antiqua" w:eastAsia="Times New Roman" w:hAnsi="Book Antiqua" w:cs="Times"/>
          <w:color w:val="000000"/>
          <w:sz w:val="24"/>
          <w:szCs w:val="24"/>
        </w:rPr>
        <w:t xml:space="preserve">AIH: </w:t>
      </w:r>
      <w:r w:rsidRPr="001A403F">
        <w:rPr>
          <w:rFonts w:ascii="Book Antiqua" w:eastAsia="Times New Roman" w:hAnsi="Book Antiqua" w:cs="Times"/>
          <w:color w:val="000000"/>
          <w:sz w:val="24"/>
          <w:szCs w:val="24"/>
        </w:rPr>
        <w:t xml:space="preserve">Autoimmune hepatitis; </w:t>
      </w:r>
      <w:r w:rsidR="00F67FDA" w:rsidRPr="001A403F">
        <w:rPr>
          <w:rFonts w:ascii="Book Antiqua" w:eastAsia="Times New Roman" w:hAnsi="Book Antiqua" w:cs="Times"/>
          <w:color w:val="000000"/>
          <w:sz w:val="24"/>
          <w:szCs w:val="24"/>
        </w:rPr>
        <w:t xml:space="preserve">ALD: </w:t>
      </w:r>
      <w:r w:rsidRPr="001A403F">
        <w:rPr>
          <w:rFonts w:ascii="Book Antiqua" w:eastAsia="Times New Roman" w:hAnsi="Book Antiqua" w:cs="Times"/>
          <w:color w:val="000000"/>
          <w:sz w:val="24"/>
          <w:szCs w:val="24"/>
        </w:rPr>
        <w:t xml:space="preserve">Alcoholic liver disease; </w:t>
      </w:r>
      <w:r w:rsidR="00F67FDA" w:rsidRPr="001A403F">
        <w:rPr>
          <w:rFonts w:ascii="Book Antiqua" w:eastAsia="Times New Roman" w:hAnsi="Book Antiqua" w:cs="Times"/>
          <w:color w:val="000000"/>
          <w:sz w:val="24"/>
          <w:szCs w:val="24"/>
        </w:rPr>
        <w:t xml:space="preserve">HCV: </w:t>
      </w:r>
      <w:r w:rsidRPr="001A403F">
        <w:rPr>
          <w:rFonts w:ascii="Book Antiqua" w:eastAsia="Times New Roman" w:hAnsi="Book Antiqua" w:cs="Times"/>
          <w:color w:val="000000"/>
          <w:sz w:val="24"/>
          <w:szCs w:val="24"/>
        </w:rPr>
        <w:t xml:space="preserve">Hepatitis C virus; </w:t>
      </w:r>
      <w:r w:rsidR="00F67FDA" w:rsidRPr="001A403F">
        <w:rPr>
          <w:rFonts w:ascii="Book Antiqua" w:eastAsia="Times New Roman" w:hAnsi="Book Antiqua" w:cs="Times"/>
          <w:color w:val="000000"/>
          <w:sz w:val="24"/>
          <w:szCs w:val="24"/>
        </w:rPr>
        <w:t xml:space="preserve">HBV: </w:t>
      </w:r>
      <w:r w:rsidRPr="001A403F">
        <w:rPr>
          <w:rFonts w:ascii="Book Antiqua" w:eastAsia="Times New Roman" w:hAnsi="Book Antiqua" w:cs="Times"/>
          <w:color w:val="000000"/>
          <w:sz w:val="24"/>
          <w:szCs w:val="24"/>
        </w:rPr>
        <w:t xml:space="preserve">Hepatitis B virus; </w:t>
      </w:r>
      <w:r w:rsidR="00F67FDA" w:rsidRPr="001A403F">
        <w:rPr>
          <w:rFonts w:ascii="Book Antiqua" w:eastAsia="Times New Roman" w:hAnsi="Book Antiqua" w:cs="Times"/>
          <w:color w:val="000000"/>
          <w:sz w:val="24"/>
          <w:szCs w:val="24"/>
        </w:rPr>
        <w:t xml:space="preserve">NASH: </w:t>
      </w:r>
      <w:r w:rsidRPr="001A403F">
        <w:rPr>
          <w:rFonts w:ascii="Book Antiqua" w:eastAsia="Times New Roman" w:hAnsi="Book Antiqua" w:cs="Times"/>
          <w:color w:val="000000"/>
          <w:sz w:val="24"/>
          <w:szCs w:val="24"/>
        </w:rPr>
        <w:t xml:space="preserve">Non-alcoholic steatohepatitis; </w:t>
      </w:r>
      <w:r w:rsidR="00F67FDA" w:rsidRPr="001A403F">
        <w:rPr>
          <w:rFonts w:ascii="Book Antiqua" w:eastAsia="Times New Roman" w:hAnsi="Book Antiqua" w:cs="Times"/>
          <w:color w:val="000000"/>
          <w:sz w:val="24"/>
          <w:szCs w:val="24"/>
        </w:rPr>
        <w:t xml:space="preserve">PBC: </w:t>
      </w:r>
      <w:r w:rsidRPr="001A403F">
        <w:rPr>
          <w:rFonts w:ascii="Book Antiqua" w:eastAsia="Times New Roman" w:hAnsi="Book Antiqua" w:cs="Times"/>
          <w:color w:val="000000"/>
          <w:sz w:val="24"/>
          <w:szCs w:val="24"/>
        </w:rPr>
        <w:t xml:space="preserve">Primary biliary cholangitis; </w:t>
      </w:r>
      <w:r w:rsidR="00F67FDA" w:rsidRPr="001A403F">
        <w:rPr>
          <w:rFonts w:ascii="Book Antiqua" w:eastAsia="Times New Roman" w:hAnsi="Book Antiqua" w:cs="Times"/>
          <w:color w:val="000000"/>
          <w:sz w:val="24"/>
          <w:szCs w:val="24"/>
        </w:rPr>
        <w:t xml:space="preserve">PSC: </w:t>
      </w:r>
      <w:r w:rsidRPr="001A403F">
        <w:rPr>
          <w:rFonts w:ascii="Book Antiqua" w:eastAsia="Times New Roman" w:hAnsi="Book Antiqua" w:cs="Times"/>
          <w:color w:val="000000"/>
          <w:sz w:val="24"/>
          <w:szCs w:val="24"/>
        </w:rPr>
        <w:t xml:space="preserve">Primary sclerosing cholangitis; </w:t>
      </w:r>
      <w:r w:rsidR="00F67FDA" w:rsidRPr="001A403F">
        <w:rPr>
          <w:rFonts w:ascii="Book Antiqua" w:eastAsia="Times New Roman" w:hAnsi="Book Antiqua" w:cs="Times"/>
          <w:color w:val="000000"/>
          <w:sz w:val="24"/>
          <w:szCs w:val="24"/>
        </w:rPr>
        <w:t xml:space="preserve">INR: </w:t>
      </w:r>
      <w:r w:rsidRPr="001A403F">
        <w:rPr>
          <w:rFonts w:ascii="Book Antiqua" w:eastAsia="Times New Roman" w:hAnsi="Book Antiqua" w:cs="Times"/>
          <w:color w:val="000000"/>
          <w:sz w:val="24"/>
          <w:szCs w:val="24"/>
        </w:rPr>
        <w:t xml:space="preserve">International normalized ratio; </w:t>
      </w:r>
      <w:r w:rsidR="00F67FDA" w:rsidRPr="001A403F">
        <w:rPr>
          <w:rFonts w:ascii="Book Antiqua" w:eastAsia="Times New Roman" w:hAnsi="Book Antiqua" w:cs="Times"/>
          <w:color w:val="000000"/>
          <w:sz w:val="24"/>
          <w:szCs w:val="24"/>
        </w:rPr>
        <w:t xml:space="preserve">MAP: </w:t>
      </w:r>
      <w:r w:rsidRPr="001A403F">
        <w:rPr>
          <w:rFonts w:ascii="Book Antiqua" w:eastAsia="Times New Roman" w:hAnsi="Book Antiqua" w:cs="Times"/>
          <w:color w:val="000000"/>
          <w:sz w:val="24"/>
          <w:szCs w:val="24"/>
        </w:rPr>
        <w:t xml:space="preserve">Mean arterial pressure; </w:t>
      </w:r>
      <w:r w:rsidR="00F67FDA" w:rsidRPr="001A403F">
        <w:rPr>
          <w:rFonts w:ascii="Book Antiqua" w:eastAsia="Times New Roman" w:hAnsi="Book Antiqua" w:cs="Times"/>
          <w:color w:val="000000"/>
          <w:sz w:val="24"/>
          <w:szCs w:val="24"/>
        </w:rPr>
        <w:t xml:space="preserve">ABG: </w:t>
      </w:r>
      <w:r w:rsidRPr="001A403F">
        <w:rPr>
          <w:rFonts w:ascii="Book Antiqua" w:eastAsia="Times New Roman" w:hAnsi="Book Antiqua" w:cs="Times"/>
          <w:color w:val="000000"/>
          <w:sz w:val="24"/>
          <w:szCs w:val="24"/>
        </w:rPr>
        <w:t xml:space="preserve">Arterial blood gas; </w:t>
      </w:r>
      <w:r w:rsidR="00F67FDA" w:rsidRPr="001A403F">
        <w:rPr>
          <w:rFonts w:ascii="Book Antiqua" w:eastAsia="Times New Roman" w:hAnsi="Book Antiqua" w:cs="Times"/>
          <w:color w:val="000000"/>
          <w:sz w:val="24"/>
          <w:szCs w:val="24"/>
        </w:rPr>
        <w:t>PaCO</w:t>
      </w:r>
      <w:r w:rsidR="00F67FDA" w:rsidRPr="001A403F">
        <w:rPr>
          <w:rFonts w:ascii="Book Antiqua" w:eastAsia="Times New Roman" w:hAnsi="Book Antiqua" w:cs="Times"/>
          <w:color w:val="000000"/>
          <w:sz w:val="24"/>
          <w:szCs w:val="24"/>
          <w:vertAlign w:val="subscript"/>
        </w:rPr>
        <w:t>2</w:t>
      </w:r>
      <w:r w:rsidR="00F67FDA" w:rsidRPr="001A403F">
        <w:rPr>
          <w:rFonts w:ascii="Book Antiqua" w:eastAsia="Times New Roman" w:hAnsi="Book Antiqua" w:cs="Times"/>
          <w:color w:val="000000"/>
          <w:sz w:val="24"/>
          <w:szCs w:val="24"/>
        </w:rPr>
        <w:t>:</w:t>
      </w:r>
      <w:r w:rsidR="00F67FDA">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Partial arterial pressure of carbon dioxide; </w:t>
      </w:r>
      <w:r w:rsidR="00F67FDA" w:rsidRPr="001A403F">
        <w:rPr>
          <w:rFonts w:ascii="Book Antiqua" w:eastAsia="Times New Roman" w:hAnsi="Book Antiqua" w:cs="Times"/>
          <w:color w:val="000000"/>
          <w:sz w:val="24"/>
          <w:szCs w:val="24"/>
        </w:rPr>
        <w:t>PaO</w:t>
      </w:r>
      <w:r w:rsidR="00F67FDA" w:rsidRPr="001A403F">
        <w:rPr>
          <w:rFonts w:ascii="Book Antiqua" w:eastAsia="Times New Roman" w:hAnsi="Book Antiqua" w:cs="Times"/>
          <w:color w:val="000000"/>
          <w:sz w:val="24"/>
          <w:szCs w:val="24"/>
          <w:vertAlign w:val="subscript"/>
        </w:rPr>
        <w:t>2</w:t>
      </w:r>
      <w:r w:rsidR="008160E0" w:rsidRPr="001A403F">
        <w:rPr>
          <w:rFonts w:ascii="Book Antiqua" w:eastAsia="Times New Roman" w:hAnsi="Book Antiqua" w:cs="Times"/>
          <w:color w:val="000000"/>
          <w:sz w:val="24"/>
          <w:szCs w:val="24"/>
        </w:rPr>
        <w:t>:</w:t>
      </w:r>
      <w:r w:rsidR="00F67FDA">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Oxygen; </w:t>
      </w:r>
      <w:r w:rsidR="00F67FDA" w:rsidRPr="001A403F">
        <w:rPr>
          <w:rFonts w:ascii="Book Antiqua" w:eastAsia="Times New Roman" w:hAnsi="Book Antiqua" w:cs="Times"/>
          <w:color w:val="000000"/>
          <w:sz w:val="24"/>
          <w:szCs w:val="24"/>
        </w:rPr>
        <w:t>FiO</w:t>
      </w:r>
      <w:r w:rsidR="00F67FDA" w:rsidRPr="001A403F">
        <w:rPr>
          <w:rFonts w:ascii="Book Antiqua" w:eastAsia="Times New Roman" w:hAnsi="Book Antiqua" w:cs="Times"/>
          <w:color w:val="000000"/>
          <w:sz w:val="24"/>
          <w:szCs w:val="24"/>
          <w:vertAlign w:val="subscript"/>
        </w:rPr>
        <w:t>2</w:t>
      </w:r>
      <w:r w:rsidR="008160E0" w:rsidRPr="001A403F">
        <w:rPr>
          <w:rFonts w:ascii="Book Antiqua" w:eastAsia="Times New Roman" w:hAnsi="Book Antiqua" w:cs="Times"/>
          <w:color w:val="000000"/>
          <w:sz w:val="24"/>
          <w:szCs w:val="24"/>
        </w:rPr>
        <w:t>:</w:t>
      </w:r>
      <w:r w:rsidR="00F67FDA">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Inspired oxygen concentration; </w:t>
      </w:r>
      <w:r w:rsidR="00F67FDA" w:rsidRPr="001A403F">
        <w:rPr>
          <w:rFonts w:ascii="Book Antiqua" w:eastAsia="Times New Roman" w:hAnsi="Book Antiqua" w:cs="Times"/>
          <w:color w:val="000000"/>
          <w:sz w:val="24"/>
          <w:szCs w:val="24"/>
        </w:rPr>
        <w:t>A-a gradient</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bookmarkStart w:id="108" w:name="_GoBack"/>
      <w:r w:rsidRPr="001A403F">
        <w:rPr>
          <w:rFonts w:ascii="Book Antiqua" w:eastAsia="Times New Roman" w:hAnsi="Book Antiqua" w:cs="Times"/>
          <w:color w:val="000000"/>
          <w:sz w:val="24"/>
          <w:szCs w:val="24"/>
        </w:rPr>
        <w:t xml:space="preserve">Alveolar arterial partial pressure oxygen gradient; </w:t>
      </w:r>
      <w:r w:rsidR="00F67FDA" w:rsidRPr="001A403F">
        <w:rPr>
          <w:rFonts w:ascii="Book Antiqua" w:eastAsia="Times New Roman" w:hAnsi="Book Antiqua" w:cs="Times"/>
          <w:color w:val="000000"/>
          <w:sz w:val="24"/>
          <w:szCs w:val="24"/>
        </w:rPr>
        <w:t>FiO</w:t>
      </w:r>
      <w:r w:rsidR="00F67FDA" w:rsidRPr="001A403F">
        <w:rPr>
          <w:rFonts w:ascii="Book Antiqua" w:eastAsia="Times New Roman" w:hAnsi="Book Antiqua" w:cs="Times"/>
          <w:color w:val="000000"/>
          <w:sz w:val="24"/>
          <w:szCs w:val="24"/>
          <w:vertAlign w:val="subscript"/>
        </w:rPr>
        <w:t>2</w:t>
      </w:r>
      <w:r w:rsidR="00F67FDA" w:rsidRPr="001A403F">
        <w:rPr>
          <w:rFonts w:ascii="Book Antiqua" w:eastAsia="Times New Roman" w:hAnsi="Book Antiqua" w:cs="Times"/>
          <w:color w:val="000000"/>
          <w:sz w:val="24"/>
          <w:szCs w:val="24"/>
        </w:rPr>
        <w:t>/PaO</w:t>
      </w:r>
      <w:r w:rsidR="00F67FDA" w:rsidRPr="001A403F">
        <w:rPr>
          <w:rFonts w:ascii="Book Antiqua" w:eastAsia="Times New Roman" w:hAnsi="Book Antiqua" w:cs="Times"/>
          <w:color w:val="000000"/>
          <w:sz w:val="24"/>
          <w:szCs w:val="24"/>
          <w:vertAlign w:val="subscript"/>
        </w:rPr>
        <w:t>2</w:t>
      </w:r>
      <w:r w:rsidR="008160E0" w:rsidRPr="001A403F">
        <w:rPr>
          <w:rFonts w:ascii="Book Antiqua" w:eastAsia="Times New Roman" w:hAnsi="Book Antiqua" w:cs="Times"/>
          <w:color w:val="000000"/>
          <w:sz w:val="24"/>
          <w:szCs w:val="24"/>
        </w:rPr>
        <w:t>:</w:t>
      </w:r>
      <w:r w:rsidR="00F67FDA">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Oxygenation index; </w:t>
      </w:r>
      <w:r w:rsidR="00F67FDA" w:rsidRPr="001A403F">
        <w:rPr>
          <w:rFonts w:ascii="Book Antiqua" w:eastAsia="Times New Roman" w:hAnsi="Book Antiqua" w:cs="Times"/>
          <w:color w:val="000000"/>
          <w:sz w:val="24"/>
          <w:szCs w:val="24"/>
        </w:rPr>
        <w:t>GCS</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proofErr w:type="spellStart"/>
      <w:r w:rsidRPr="001A403F">
        <w:rPr>
          <w:rFonts w:ascii="Book Antiqua" w:eastAsia="Times New Roman" w:hAnsi="Book Antiqua" w:cs="Times"/>
          <w:color w:val="000000"/>
          <w:sz w:val="24"/>
          <w:szCs w:val="24"/>
        </w:rPr>
        <w:t>Glascow</w:t>
      </w:r>
      <w:proofErr w:type="spellEnd"/>
      <w:r w:rsidRPr="001A403F">
        <w:rPr>
          <w:rFonts w:ascii="Book Antiqua" w:eastAsia="Times New Roman" w:hAnsi="Book Antiqua" w:cs="Times"/>
          <w:color w:val="000000"/>
          <w:sz w:val="24"/>
          <w:szCs w:val="24"/>
        </w:rPr>
        <w:t xml:space="preserve"> coma scale; </w:t>
      </w:r>
      <w:r w:rsidR="00F67FDA" w:rsidRPr="001A403F">
        <w:rPr>
          <w:rFonts w:ascii="Book Antiqua" w:eastAsia="Times New Roman" w:hAnsi="Book Antiqua" w:cs="Times"/>
          <w:color w:val="000000"/>
          <w:sz w:val="24"/>
          <w:szCs w:val="24"/>
        </w:rPr>
        <w:t>rpm</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Respiration</w:t>
      </w:r>
      <w:bookmarkEnd w:id="108"/>
      <w:r w:rsidRPr="001A403F">
        <w:rPr>
          <w:rFonts w:ascii="Book Antiqua" w:eastAsia="Times New Roman" w:hAnsi="Book Antiqua" w:cs="Times"/>
          <w:color w:val="000000"/>
          <w:sz w:val="24"/>
          <w:szCs w:val="24"/>
        </w:rPr>
        <w:t xml:space="preserve">s per minute; </w:t>
      </w:r>
      <w:r w:rsidR="00F67FDA" w:rsidRPr="001A403F">
        <w:rPr>
          <w:rFonts w:ascii="Book Antiqua" w:eastAsia="Times New Roman" w:hAnsi="Book Antiqua" w:cs="Times"/>
          <w:color w:val="000000"/>
          <w:sz w:val="24"/>
          <w:szCs w:val="24"/>
        </w:rPr>
        <w:t>bpm</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Beats per minute; </w:t>
      </w:r>
      <w:r w:rsidR="00F67FDA" w:rsidRPr="001A403F">
        <w:rPr>
          <w:rFonts w:ascii="Book Antiqua" w:eastAsia="Times New Roman" w:hAnsi="Book Antiqua" w:cs="Times"/>
          <w:color w:val="000000"/>
          <w:sz w:val="24"/>
          <w:szCs w:val="24"/>
        </w:rPr>
        <w:t>WBC</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White blood cell count; </w:t>
      </w:r>
      <w:r w:rsidR="00F67FDA" w:rsidRPr="001A403F">
        <w:rPr>
          <w:rFonts w:ascii="Book Antiqua" w:eastAsia="Times New Roman" w:hAnsi="Book Antiqua" w:cs="Times"/>
          <w:color w:val="000000"/>
          <w:sz w:val="24"/>
          <w:szCs w:val="24"/>
        </w:rPr>
        <w:t>BUN</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Blood urea nitrogen; </w:t>
      </w:r>
      <w:r w:rsidR="00F67FDA" w:rsidRPr="001A403F">
        <w:rPr>
          <w:rFonts w:ascii="Book Antiqua" w:eastAsia="Times New Roman" w:hAnsi="Book Antiqua" w:cs="Times"/>
          <w:color w:val="000000"/>
          <w:sz w:val="24"/>
          <w:szCs w:val="24"/>
        </w:rPr>
        <w:t>MELD</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Model for end-stage liver disease; </w:t>
      </w:r>
      <w:r w:rsidR="00F67FDA" w:rsidRPr="001A403F">
        <w:rPr>
          <w:rFonts w:ascii="Book Antiqua" w:eastAsia="Times New Roman" w:hAnsi="Book Antiqua" w:cs="Times"/>
          <w:color w:val="000000"/>
          <w:sz w:val="24"/>
          <w:szCs w:val="24"/>
        </w:rPr>
        <w:t>Na</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Sodium; </w:t>
      </w:r>
      <w:r w:rsidR="00F67FDA" w:rsidRPr="001A403F">
        <w:rPr>
          <w:rFonts w:ascii="Book Antiqua" w:eastAsia="Times New Roman" w:hAnsi="Book Antiqua" w:cs="Times"/>
          <w:color w:val="000000"/>
          <w:sz w:val="24"/>
          <w:szCs w:val="24"/>
        </w:rPr>
        <w:t>CPS</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Child-Pugh score; </w:t>
      </w:r>
      <w:r w:rsidR="00F67FDA" w:rsidRPr="001A403F">
        <w:rPr>
          <w:rFonts w:ascii="Book Antiqua" w:eastAsia="Times New Roman" w:hAnsi="Book Antiqua" w:cs="Times"/>
          <w:color w:val="000000"/>
          <w:sz w:val="24"/>
          <w:szCs w:val="24"/>
        </w:rPr>
        <w:t>SOFA</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Sequential (or sepsis-related) organ failure assessment; </w:t>
      </w:r>
      <w:r w:rsidR="00F67FDA" w:rsidRPr="001A403F">
        <w:rPr>
          <w:rFonts w:ascii="Book Antiqua" w:eastAsia="Times New Roman" w:hAnsi="Book Antiqua" w:cs="Times"/>
          <w:color w:val="000000"/>
          <w:sz w:val="24"/>
          <w:szCs w:val="24"/>
        </w:rPr>
        <w:t>CLIF-SOFA</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Chronic liver failure-sequential organ failure assessment; </w:t>
      </w:r>
      <w:r w:rsidR="00F67FDA" w:rsidRPr="001A403F">
        <w:rPr>
          <w:rFonts w:ascii="Book Antiqua" w:eastAsia="Times New Roman" w:hAnsi="Book Antiqua" w:cs="Times"/>
          <w:color w:val="000000"/>
          <w:sz w:val="24"/>
          <w:szCs w:val="24"/>
        </w:rPr>
        <w:t>RFH</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Royal free hospital; </w:t>
      </w:r>
      <w:r w:rsidR="00F67FDA" w:rsidRPr="001A403F">
        <w:rPr>
          <w:rFonts w:ascii="Book Antiqua" w:eastAsia="Times New Roman" w:hAnsi="Book Antiqua" w:cs="Times"/>
          <w:color w:val="000000"/>
          <w:sz w:val="24"/>
          <w:szCs w:val="24"/>
        </w:rPr>
        <w:t>APS</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A</w:t>
      </w:r>
      <w:r w:rsidRPr="001A403F">
        <w:rPr>
          <w:rFonts w:ascii="Book Antiqua" w:eastAsia="Times New Roman" w:hAnsi="Book Antiqua" w:cs="Times"/>
          <w:color w:val="000000"/>
          <w:sz w:val="24"/>
          <w:szCs w:val="24"/>
        </w:rPr>
        <w:t xml:space="preserve">cute physiology score; </w:t>
      </w:r>
      <w:r w:rsidR="00F67FDA" w:rsidRPr="001A403F">
        <w:rPr>
          <w:rFonts w:ascii="Book Antiqua" w:eastAsia="Times New Roman" w:hAnsi="Book Antiqua" w:cs="Times"/>
          <w:color w:val="000000"/>
          <w:sz w:val="24"/>
          <w:szCs w:val="24"/>
        </w:rPr>
        <w:t>APACHE</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Acute physiology and chronic health evaluation</w:t>
      </w:r>
      <w:r w:rsidR="008160E0">
        <w:rPr>
          <w:rFonts w:ascii="Book Antiqua" w:eastAsia="Times New Roman" w:hAnsi="Book Antiqua" w:cs="Times"/>
          <w:color w:val="000000"/>
          <w:sz w:val="24"/>
          <w:szCs w:val="24"/>
        </w:rPr>
        <w:t>.</w:t>
      </w:r>
    </w:p>
    <w:p w14:paraId="0AC8E6FC" w14:textId="5852114F" w:rsidR="00FD6C85" w:rsidRPr="001A403F" w:rsidRDefault="00FD6C85" w:rsidP="002E7076">
      <w:pPr>
        <w:adjustRightInd w:val="0"/>
        <w:snapToGrid w:val="0"/>
        <w:spacing w:after="0" w:line="360" w:lineRule="auto"/>
        <w:jc w:val="both"/>
        <w:rPr>
          <w:rFonts w:ascii="Book Antiqua" w:eastAsia="Times New Roman" w:hAnsi="Book Antiqua" w:cs="Times New Roman"/>
          <w:sz w:val="24"/>
          <w:szCs w:val="24"/>
        </w:rPr>
      </w:pPr>
    </w:p>
    <w:p w14:paraId="5F6EF3A4" w14:textId="3E3F3E1C" w:rsidR="00414275" w:rsidRPr="001A403F" w:rsidRDefault="00414275">
      <w:pPr>
        <w:rPr>
          <w:rFonts w:ascii="Book Antiqua" w:eastAsia="Times New Roman" w:hAnsi="Book Antiqua" w:cs="Times New Roman"/>
          <w:sz w:val="24"/>
          <w:szCs w:val="24"/>
        </w:rPr>
      </w:pPr>
      <w:r w:rsidRPr="001A403F">
        <w:rPr>
          <w:rFonts w:ascii="Book Antiqua" w:eastAsia="Times New Roman" w:hAnsi="Book Antiqua" w:cs="Times New Roman"/>
          <w:sz w:val="24"/>
          <w:szCs w:val="24"/>
        </w:rPr>
        <w:br w:type="page"/>
      </w:r>
    </w:p>
    <w:p w14:paraId="2C8965F9" w14:textId="77E70BB6" w:rsidR="00FD6C85" w:rsidRPr="001A403F" w:rsidRDefault="00FD6C85" w:rsidP="002E7076">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hAnsi="Book Antiqua" w:cs="Times New Roman"/>
          <w:b/>
          <w:bCs/>
          <w:color w:val="000000"/>
          <w:sz w:val="24"/>
          <w:szCs w:val="24"/>
        </w:rPr>
        <w:lastRenderedPageBreak/>
        <w:t xml:space="preserve">Table 2 Training </w:t>
      </w:r>
      <w:r w:rsidR="000B1B45" w:rsidRPr="001A403F">
        <w:rPr>
          <w:rFonts w:ascii="Book Antiqua" w:hAnsi="Book Antiqua" w:cs="Times New Roman"/>
          <w:b/>
          <w:bCs/>
          <w:color w:val="000000"/>
          <w:sz w:val="24"/>
          <w:szCs w:val="24"/>
        </w:rPr>
        <w:t>c</w:t>
      </w:r>
      <w:r w:rsidRPr="001A403F">
        <w:rPr>
          <w:rFonts w:ascii="Book Antiqua" w:hAnsi="Book Antiqua" w:cs="Times New Roman"/>
          <w:b/>
          <w:bCs/>
          <w:color w:val="000000"/>
          <w:sz w:val="24"/>
          <w:szCs w:val="24"/>
        </w:rPr>
        <w:t xml:space="preserve">ohort: </w:t>
      </w:r>
      <w:r w:rsidR="000B1B45" w:rsidRPr="001A403F">
        <w:rPr>
          <w:rFonts w:ascii="Book Antiqua" w:hAnsi="Book Antiqua" w:cs="Times New Roman"/>
          <w:b/>
          <w:bCs/>
          <w:color w:val="000000"/>
          <w:sz w:val="24"/>
          <w:szCs w:val="24"/>
        </w:rPr>
        <w:t>Factors associated with in-hospital mortality: multivariate logistic regression with variable transformations</w:t>
      </w:r>
    </w:p>
    <w:tbl>
      <w:tblPr>
        <w:tblW w:w="0" w:type="auto"/>
        <w:tblInd w:w="24" w:type="dxa"/>
        <w:tblLayout w:type="fixed"/>
        <w:tblCellMar>
          <w:left w:w="0" w:type="dxa"/>
          <w:right w:w="0" w:type="dxa"/>
        </w:tblCellMar>
        <w:tblLook w:val="0000" w:firstRow="0" w:lastRow="0" w:firstColumn="0" w:lastColumn="0" w:noHBand="0" w:noVBand="0"/>
      </w:tblPr>
      <w:tblGrid>
        <w:gridCol w:w="4017"/>
        <w:gridCol w:w="3943"/>
        <w:gridCol w:w="3339"/>
        <w:gridCol w:w="1436"/>
      </w:tblGrid>
      <w:tr w:rsidR="005A1A4A" w:rsidRPr="001A403F" w14:paraId="58BF1A8E" w14:textId="77777777" w:rsidTr="00F07D32">
        <w:trPr>
          <w:cantSplit/>
          <w:trHeight w:val="257"/>
          <w:tblHeader/>
        </w:trPr>
        <w:tc>
          <w:tcPr>
            <w:tcW w:w="4017" w:type="dxa"/>
            <w:tcBorders>
              <w:top w:val="single" w:sz="4" w:space="0" w:color="auto"/>
              <w:bottom w:val="single" w:sz="4" w:space="0" w:color="auto"/>
            </w:tcBorders>
            <w:shd w:val="clear" w:color="auto" w:fill="FFFFFF"/>
            <w:tcMar>
              <w:left w:w="29" w:type="dxa"/>
              <w:right w:w="29" w:type="dxa"/>
            </w:tcMar>
            <w:vAlign w:val="bottom"/>
          </w:tcPr>
          <w:p w14:paraId="1C6E3132" w14:textId="77777777" w:rsidR="003D150B" w:rsidRPr="001A403F" w:rsidRDefault="003D150B" w:rsidP="002E7076">
            <w:pPr>
              <w:keepNext/>
              <w:adjustRightInd w:val="0"/>
              <w:snapToGrid w:val="0"/>
              <w:spacing w:after="0" w:line="360" w:lineRule="auto"/>
              <w:jc w:val="both"/>
              <w:rPr>
                <w:rFonts w:ascii="Book Antiqua" w:hAnsi="Book Antiqua" w:cs="Times New Roman"/>
                <w:b/>
                <w:bCs/>
                <w:color w:val="000000"/>
                <w:sz w:val="24"/>
                <w:szCs w:val="24"/>
              </w:rPr>
            </w:pPr>
            <w:r w:rsidRPr="001A403F">
              <w:rPr>
                <w:rFonts w:ascii="Book Antiqua" w:hAnsi="Book Antiqua" w:cs="Times New Roman"/>
                <w:b/>
                <w:bCs/>
                <w:color w:val="000000"/>
                <w:sz w:val="24"/>
                <w:szCs w:val="24"/>
              </w:rPr>
              <w:t>Factor</w:t>
            </w:r>
          </w:p>
        </w:tc>
        <w:tc>
          <w:tcPr>
            <w:tcW w:w="3943" w:type="dxa"/>
            <w:tcBorders>
              <w:top w:val="single" w:sz="4" w:space="0" w:color="auto"/>
              <w:bottom w:val="single" w:sz="4" w:space="0" w:color="auto"/>
            </w:tcBorders>
            <w:shd w:val="clear" w:color="auto" w:fill="FFFFFF"/>
          </w:tcPr>
          <w:p w14:paraId="4A62186A" w14:textId="3311F1E7" w:rsidR="003D150B" w:rsidRPr="001A403F" w:rsidRDefault="003D150B" w:rsidP="002E7076">
            <w:pPr>
              <w:keepNext/>
              <w:adjustRightInd w:val="0"/>
              <w:snapToGrid w:val="0"/>
              <w:spacing w:after="0" w:line="360" w:lineRule="auto"/>
              <w:jc w:val="both"/>
              <w:rPr>
                <w:rFonts w:ascii="Book Antiqua" w:hAnsi="Book Antiqua" w:cs="Times New Roman"/>
                <w:b/>
                <w:bCs/>
                <w:color w:val="000000"/>
                <w:sz w:val="24"/>
                <w:szCs w:val="24"/>
              </w:rPr>
            </w:pPr>
            <w:r w:rsidRPr="001A403F">
              <w:rPr>
                <w:rFonts w:ascii="Book Antiqua" w:hAnsi="Book Antiqua" w:cs="Times New Roman"/>
                <w:b/>
                <w:bCs/>
                <w:color w:val="000000"/>
                <w:sz w:val="24"/>
                <w:szCs w:val="24"/>
              </w:rPr>
              <w:t>Estimate (95%CI)</w:t>
            </w:r>
          </w:p>
        </w:tc>
        <w:tc>
          <w:tcPr>
            <w:tcW w:w="3339" w:type="dxa"/>
            <w:tcBorders>
              <w:top w:val="single" w:sz="4" w:space="0" w:color="auto"/>
              <w:bottom w:val="single" w:sz="4" w:space="0" w:color="auto"/>
            </w:tcBorders>
            <w:shd w:val="clear" w:color="auto" w:fill="FFFFFF"/>
            <w:tcMar>
              <w:left w:w="29" w:type="dxa"/>
              <w:right w:w="29" w:type="dxa"/>
            </w:tcMar>
            <w:vAlign w:val="bottom"/>
          </w:tcPr>
          <w:p w14:paraId="304F7EC3" w14:textId="5279E762" w:rsidR="003D150B" w:rsidRPr="001A403F" w:rsidRDefault="003D150B" w:rsidP="002E7076">
            <w:pPr>
              <w:keepNext/>
              <w:adjustRightInd w:val="0"/>
              <w:snapToGrid w:val="0"/>
              <w:spacing w:after="0" w:line="360" w:lineRule="auto"/>
              <w:jc w:val="both"/>
              <w:rPr>
                <w:rFonts w:ascii="Book Antiqua" w:hAnsi="Book Antiqua" w:cs="Times New Roman"/>
                <w:b/>
                <w:bCs/>
                <w:color w:val="000000"/>
                <w:sz w:val="24"/>
                <w:szCs w:val="24"/>
              </w:rPr>
            </w:pPr>
            <w:r w:rsidRPr="001A403F">
              <w:rPr>
                <w:rFonts w:ascii="Book Antiqua" w:hAnsi="Book Antiqua" w:cs="Times New Roman"/>
                <w:b/>
                <w:bCs/>
                <w:color w:val="000000"/>
                <w:sz w:val="24"/>
                <w:szCs w:val="24"/>
              </w:rPr>
              <w:t>OR (95%CI)</w:t>
            </w:r>
          </w:p>
        </w:tc>
        <w:tc>
          <w:tcPr>
            <w:tcW w:w="1436" w:type="dxa"/>
            <w:tcBorders>
              <w:top w:val="single" w:sz="4" w:space="0" w:color="auto"/>
              <w:bottom w:val="single" w:sz="4" w:space="0" w:color="auto"/>
            </w:tcBorders>
            <w:shd w:val="clear" w:color="auto" w:fill="FFFFFF"/>
            <w:tcMar>
              <w:left w:w="29" w:type="dxa"/>
              <w:right w:w="29" w:type="dxa"/>
            </w:tcMar>
            <w:vAlign w:val="bottom"/>
          </w:tcPr>
          <w:p w14:paraId="74BEDA06" w14:textId="28115E0E" w:rsidR="003D150B" w:rsidRPr="001A403F" w:rsidRDefault="00CD07C3" w:rsidP="002E7076">
            <w:pPr>
              <w:keepNext/>
              <w:adjustRightInd w:val="0"/>
              <w:snapToGrid w:val="0"/>
              <w:spacing w:after="0" w:line="360" w:lineRule="auto"/>
              <w:jc w:val="both"/>
              <w:rPr>
                <w:rFonts w:ascii="Book Antiqua" w:hAnsi="Book Antiqua" w:cs="Times New Roman"/>
                <w:b/>
                <w:bCs/>
                <w:color w:val="000000"/>
                <w:sz w:val="24"/>
                <w:szCs w:val="24"/>
              </w:rPr>
            </w:pPr>
            <w:r w:rsidRPr="008160E0">
              <w:rPr>
                <w:rFonts w:ascii="Book Antiqua" w:hAnsi="Book Antiqua" w:cs="Times New Roman"/>
                <w:b/>
                <w:bCs/>
                <w:i/>
                <w:iCs/>
                <w:color w:val="000000"/>
                <w:sz w:val="24"/>
                <w:szCs w:val="24"/>
              </w:rPr>
              <w:t>P</w:t>
            </w:r>
            <w:r w:rsidR="008160E0">
              <w:rPr>
                <w:rFonts w:ascii="Book Antiqua" w:hAnsi="Book Antiqua" w:cs="Times New Roman"/>
                <w:b/>
                <w:bCs/>
                <w:color w:val="000000"/>
                <w:sz w:val="24"/>
                <w:szCs w:val="24"/>
              </w:rPr>
              <w:t xml:space="preserve"> </w:t>
            </w:r>
            <w:r w:rsidR="003D150B" w:rsidRPr="001A403F">
              <w:rPr>
                <w:rFonts w:ascii="Book Antiqua" w:hAnsi="Book Antiqua" w:cs="Times New Roman"/>
                <w:b/>
                <w:bCs/>
                <w:color w:val="000000"/>
                <w:sz w:val="24"/>
                <w:szCs w:val="24"/>
              </w:rPr>
              <w:t>value</w:t>
            </w:r>
          </w:p>
        </w:tc>
      </w:tr>
      <w:tr w:rsidR="005A1A4A" w:rsidRPr="001A403F" w14:paraId="045F1406" w14:textId="77777777" w:rsidTr="00F07D32">
        <w:trPr>
          <w:cantSplit/>
          <w:trHeight w:val="333"/>
        </w:trPr>
        <w:tc>
          <w:tcPr>
            <w:tcW w:w="4017" w:type="dxa"/>
            <w:tcBorders>
              <w:top w:val="single" w:sz="4" w:space="0" w:color="auto"/>
            </w:tcBorders>
            <w:shd w:val="clear" w:color="auto" w:fill="FFFFFF"/>
            <w:tcMar>
              <w:left w:w="29" w:type="dxa"/>
              <w:right w:w="29" w:type="dxa"/>
            </w:tcMar>
          </w:tcPr>
          <w:p w14:paraId="366A9586" w14:textId="591FDBC6" w:rsidR="003D150B" w:rsidRPr="001A403F" w:rsidRDefault="003D150B" w:rsidP="002E7076">
            <w:pPr>
              <w:keepNext/>
              <w:keepLines/>
              <w:adjustRightInd w:val="0"/>
              <w:snapToGrid w:val="0"/>
              <w:spacing w:after="0" w:line="360" w:lineRule="auto"/>
              <w:jc w:val="both"/>
              <w:outlineLvl w:val="2"/>
              <w:rPr>
                <w:rFonts w:ascii="Book Antiqua" w:hAnsi="Book Antiqua" w:cs="Times New Roman"/>
                <w:bCs/>
                <w:color w:val="000000"/>
                <w:sz w:val="24"/>
                <w:szCs w:val="24"/>
              </w:rPr>
            </w:pPr>
            <w:r w:rsidRPr="001A403F">
              <w:rPr>
                <w:rFonts w:ascii="Book Antiqua" w:hAnsi="Book Antiqua" w:cs="Times New Roman"/>
                <w:bCs/>
                <w:color w:val="000000"/>
                <w:sz w:val="24"/>
                <w:szCs w:val="24"/>
              </w:rPr>
              <w:t>Ln</w:t>
            </w:r>
            <w:r w:rsidR="008160E0">
              <w:rPr>
                <w:rFonts w:ascii="Book Antiqua" w:hAnsi="Book Antiqua" w:cs="Times New Roman"/>
                <w:bCs/>
                <w:color w:val="000000"/>
                <w:sz w:val="24"/>
                <w:szCs w:val="24"/>
              </w:rPr>
              <w:t xml:space="preserve"> </w:t>
            </w:r>
            <w:r w:rsidRPr="001A403F">
              <w:rPr>
                <w:rFonts w:ascii="Book Antiqua" w:hAnsi="Book Antiqua" w:cs="Times New Roman"/>
                <w:bCs/>
                <w:color w:val="000000"/>
                <w:sz w:val="24"/>
                <w:szCs w:val="24"/>
              </w:rPr>
              <w:t>(Bilirubin)</w:t>
            </w:r>
          </w:p>
        </w:tc>
        <w:tc>
          <w:tcPr>
            <w:tcW w:w="3943" w:type="dxa"/>
            <w:tcBorders>
              <w:top w:val="single" w:sz="4" w:space="0" w:color="auto"/>
            </w:tcBorders>
            <w:shd w:val="clear" w:color="auto" w:fill="FFFFFF"/>
          </w:tcPr>
          <w:p w14:paraId="31F70AA6" w14:textId="77777777"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0.61 (0.34, 0.89)</w:t>
            </w:r>
          </w:p>
        </w:tc>
        <w:tc>
          <w:tcPr>
            <w:tcW w:w="3339" w:type="dxa"/>
            <w:tcBorders>
              <w:top w:val="single" w:sz="4" w:space="0" w:color="auto"/>
            </w:tcBorders>
            <w:shd w:val="clear" w:color="auto" w:fill="FFFFFF"/>
            <w:tcMar>
              <w:left w:w="29" w:type="dxa"/>
              <w:right w:w="29" w:type="dxa"/>
            </w:tcMar>
          </w:tcPr>
          <w:p w14:paraId="6D605B64" w14:textId="77777777"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1.8 (1.4, 2.4)</w:t>
            </w:r>
          </w:p>
        </w:tc>
        <w:tc>
          <w:tcPr>
            <w:tcW w:w="1436" w:type="dxa"/>
            <w:tcBorders>
              <w:top w:val="single" w:sz="4" w:space="0" w:color="auto"/>
            </w:tcBorders>
            <w:shd w:val="clear" w:color="auto" w:fill="FFFFFF"/>
            <w:tcMar>
              <w:left w:w="29" w:type="dxa"/>
              <w:right w:w="29" w:type="dxa"/>
            </w:tcMar>
          </w:tcPr>
          <w:p w14:paraId="249F0A69" w14:textId="6F55D417" w:rsidR="003D150B" w:rsidRPr="008160E0" w:rsidRDefault="003D150B" w:rsidP="002E7076">
            <w:pPr>
              <w:adjustRightInd w:val="0"/>
              <w:snapToGrid w:val="0"/>
              <w:spacing w:after="0" w:line="360" w:lineRule="auto"/>
              <w:jc w:val="both"/>
              <w:rPr>
                <w:rFonts w:ascii="Book Antiqua" w:hAnsi="Book Antiqua" w:cs="Times New Roman"/>
                <w:color w:val="000000"/>
                <w:sz w:val="24"/>
                <w:szCs w:val="24"/>
              </w:rPr>
            </w:pPr>
            <w:r w:rsidRPr="008160E0">
              <w:rPr>
                <w:rFonts w:ascii="Book Antiqua" w:hAnsi="Book Antiqua" w:cs="Times New Roman"/>
                <w:color w:val="000000"/>
                <w:sz w:val="24"/>
                <w:szCs w:val="24"/>
              </w:rPr>
              <w:t>&lt;</w:t>
            </w:r>
            <w:r w:rsidR="008160E0">
              <w:rPr>
                <w:rFonts w:ascii="Book Antiqua" w:hAnsi="Book Antiqua" w:cs="Times New Roman"/>
                <w:color w:val="000000"/>
                <w:sz w:val="24"/>
                <w:szCs w:val="24"/>
              </w:rPr>
              <w:t xml:space="preserve"> </w:t>
            </w:r>
            <w:r w:rsidRPr="008160E0">
              <w:rPr>
                <w:rFonts w:ascii="Book Antiqua" w:hAnsi="Book Antiqua" w:cs="Times New Roman"/>
                <w:color w:val="000000"/>
                <w:sz w:val="24"/>
                <w:szCs w:val="24"/>
              </w:rPr>
              <w:t>0.001</w:t>
            </w:r>
          </w:p>
        </w:tc>
      </w:tr>
      <w:tr w:rsidR="005A1A4A" w:rsidRPr="001A403F" w14:paraId="202A6636" w14:textId="77777777" w:rsidTr="00F07D32">
        <w:trPr>
          <w:cantSplit/>
          <w:trHeight w:val="333"/>
        </w:trPr>
        <w:tc>
          <w:tcPr>
            <w:tcW w:w="4017" w:type="dxa"/>
            <w:shd w:val="clear" w:color="auto" w:fill="FFFFFF"/>
            <w:tcMar>
              <w:left w:w="29" w:type="dxa"/>
              <w:right w:w="29" w:type="dxa"/>
            </w:tcMar>
          </w:tcPr>
          <w:p w14:paraId="4E8FCE4B" w14:textId="77777777" w:rsidR="003D150B" w:rsidRPr="001A403F" w:rsidRDefault="003D150B" w:rsidP="002E7076">
            <w:pPr>
              <w:keepNext/>
              <w:keepLines/>
              <w:adjustRightInd w:val="0"/>
              <w:snapToGrid w:val="0"/>
              <w:spacing w:after="0" w:line="360" w:lineRule="auto"/>
              <w:jc w:val="both"/>
              <w:outlineLvl w:val="2"/>
              <w:rPr>
                <w:rFonts w:ascii="Book Antiqua" w:hAnsi="Book Antiqua" w:cs="Times New Roman"/>
                <w:bCs/>
                <w:color w:val="000000"/>
                <w:sz w:val="24"/>
                <w:szCs w:val="24"/>
              </w:rPr>
            </w:pPr>
            <w:r w:rsidRPr="001A403F">
              <w:rPr>
                <w:rFonts w:ascii="Book Antiqua" w:hAnsi="Book Antiqua" w:cs="Times New Roman"/>
                <w:bCs/>
                <w:color w:val="000000"/>
                <w:sz w:val="24"/>
                <w:szCs w:val="24"/>
              </w:rPr>
              <w:t xml:space="preserve">1/PT </w:t>
            </w:r>
          </w:p>
        </w:tc>
        <w:tc>
          <w:tcPr>
            <w:tcW w:w="3943" w:type="dxa"/>
            <w:shd w:val="clear" w:color="auto" w:fill="FFFFFF"/>
          </w:tcPr>
          <w:p w14:paraId="7DEA0236" w14:textId="77777777"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-47.2 (-67.3, -27.1)</w:t>
            </w:r>
          </w:p>
        </w:tc>
        <w:tc>
          <w:tcPr>
            <w:tcW w:w="3339" w:type="dxa"/>
            <w:shd w:val="clear" w:color="auto" w:fill="FFFFFF"/>
            <w:tcMar>
              <w:left w:w="29" w:type="dxa"/>
              <w:right w:w="29" w:type="dxa"/>
            </w:tcMar>
          </w:tcPr>
          <w:p w14:paraId="1563D232" w14:textId="67F5D5D5"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0.09 (0.03, 0.26)</w:t>
            </w:r>
            <w:r w:rsidR="008160E0">
              <w:rPr>
                <w:rFonts w:ascii="Book Antiqua" w:hAnsi="Book Antiqua" w:cs="Times New Roman"/>
                <w:color w:val="000000"/>
                <w:sz w:val="24"/>
                <w:szCs w:val="24"/>
                <w:vertAlign w:val="superscript"/>
              </w:rPr>
              <w:t>1</w:t>
            </w:r>
          </w:p>
        </w:tc>
        <w:tc>
          <w:tcPr>
            <w:tcW w:w="1436" w:type="dxa"/>
            <w:shd w:val="clear" w:color="auto" w:fill="FFFFFF"/>
            <w:tcMar>
              <w:left w:w="29" w:type="dxa"/>
              <w:right w:w="29" w:type="dxa"/>
            </w:tcMar>
          </w:tcPr>
          <w:p w14:paraId="31839651" w14:textId="641406CD" w:rsidR="003D150B" w:rsidRPr="008160E0" w:rsidRDefault="003D150B" w:rsidP="002E7076">
            <w:pPr>
              <w:adjustRightInd w:val="0"/>
              <w:snapToGrid w:val="0"/>
              <w:spacing w:after="0" w:line="360" w:lineRule="auto"/>
              <w:jc w:val="both"/>
              <w:rPr>
                <w:rFonts w:ascii="Book Antiqua" w:hAnsi="Book Antiqua" w:cs="Times New Roman"/>
                <w:color w:val="000000"/>
                <w:sz w:val="24"/>
                <w:szCs w:val="24"/>
              </w:rPr>
            </w:pPr>
            <w:r w:rsidRPr="008160E0">
              <w:rPr>
                <w:rFonts w:ascii="Book Antiqua" w:hAnsi="Book Antiqua" w:cs="Times New Roman"/>
                <w:color w:val="000000"/>
                <w:sz w:val="24"/>
                <w:szCs w:val="24"/>
              </w:rPr>
              <w:t>&lt;</w:t>
            </w:r>
            <w:r w:rsidR="008160E0">
              <w:rPr>
                <w:rFonts w:ascii="Book Antiqua" w:hAnsi="Book Antiqua" w:cs="Times New Roman"/>
                <w:color w:val="000000"/>
                <w:sz w:val="24"/>
                <w:szCs w:val="24"/>
              </w:rPr>
              <w:t xml:space="preserve"> </w:t>
            </w:r>
            <w:r w:rsidRPr="008160E0">
              <w:rPr>
                <w:rFonts w:ascii="Book Antiqua" w:hAnsi="Book Antiqua" w:cs="Times New Roman"/>
                <w:color w:val="000000"/>
                <w:sz w:val="24"/>
                <w:szCs w:val="24"/>
              </w:rPr>
              <w:t>0.001</w:t>
            </w:r>
          </w:p>
        </w:tc>
      </w:tr>
      <w:tr w:rsidR="005A1A4A" w:rsidRPr="001A403F" w14:paraId="6B2E923F" w14:textId="77777777" w:rsidTr="00F07D32">
        <w:trPr>
          <w:cantSplit/>
          <w:trHeight w:val="333"/>
        </w:trPr>
        <w:tc>
          <w:tcPr>
            <w:tcW w:w="4017" w:type="dxa"/>
            <w:shd w:val="clear" w:color="auto" w:fill="FFFFFF"/>
            <w:tcMar>
              <w:left w:w="29" w:type="dxa"/>
              <w:right w:w="29" w:type="dxa"/>
            </w:tcMar>
          </w:tcPr>
          <w:p w14:paraId="159FF5B8" w14:textId="77777777" w:rsidR="003D150B" w:rsidRPr="001A403F" w:rsidRDefault="003D150B" w:rsidP="002E7076">
            <w:pPr>
              <w:keepNext/>
              <w:keepLines/>
              <w:adjustRightInd w:val="0"/>
              <w:snapToGrid w:val="0"/>
              <w:spacing w:after="0" w:line="360" w:lineRule="auto"/>
              <w:jc w:val="both"/>
              <w:outlineLvl w:val="2"/>
              <w:rPr>
                <w:rFonts w:ascii="Book Antiqua" w:hAnsi="Book Antiqua" w:cs="Times New Roman"/>
                <w:bCs/>
                <w:color w:val="000000"/>
                <w:sz w:val="24"/>
                <w:szCs w:val="24"/>
              </w:rPr>
            </w:pPr>
            <w:r w:rsidRPr="001A403F">
              <w:rPr>
                <w:rFonts w:ascii="Book Antiqua" w:hAnsi="Book Antiqua" w:cs="Times New Roman"/>
                <w:bCs/>
                <w:color w:val="000000"/>
                <w:sz w:val="24"/>
                <w:szCs w:val="24"/>
              </w:rPr>
              <w:t>WBC</w:t>
            </w:r>
          </w:p>
        </w:tc>
        <w:tc>
          <w:tcPr>
            <w:tcW w:w="3943" w:type="dxa"/>
            <w:shd w:val="clear" w:color="auto" w:fill="FFFFFF"/>
          </w:tcPr>
          <w:p w14:paraId="34A24DFD" w14:textId="77777777"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0.07 (0.03, 0.11)</w:t>
            </w:r>
          </w:p>
        </w:tc>
        <w:tc>
          <w:tcPr>
            <w:tcW w:w="3339" w:type="dxa"/>
            <w:shd w:val="clear" w:color="auto" w:fill="FFFFFF"/>
            <w:tcMar>
              <w:left w:w="29" w:type="dxa"/>
              <w:right w:w="29" w:type="dxa"/>
            </w:tcMar>
          </w:tcPr>
          <w:p w14:paraId="5196BAF3" w14:textId="77777777"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1.07 (1.03, 1.1)</w:t>
            </w:r>
          </w:p>
        </w:tc>
        <w:tc>
          <w:tcPr>
            <w:tcW w:w="1436" w:type="dxa"/>
            <w:shd w:val="clear" w:color="auto" w:fill="FFFFFF"/>
            <w:tcMar>
              <w:left w:w="29" w:type="dxa"/>
              <w:right w:w="29" w:type="dxa"/>
            </w:tcMar>
          </w:tcPr>
          <w:p w14:paraId="1E8EE687" w14:textId="180071A2" w:rsidR="003D150B" w:rsidRPr="008160E0" w:rsidRDefault="003D150B" w:rsidP="002E7076">
            <w:pPr>
              <w:adjustRightInd w:val="0"/>
              <w:snapToGrid w:val="0"/>
              <w:spacing w:after="0" w:line="360" w:lineRule="auto"/>
              <w:jc w:val="both"/>
              <w:rPr>
                <w:rFonts w:ascii="Book Antiqua" w:hAnsi="Book Antiqua" w:cs="Times New Roman"/>
                <w:color w:val="000000"/>
                <w:sz w:val="24"/>
                <w:szCs w:val="24"/>
              </w:rPr>
            </w:pPr>
            <w:r w:rsidRPr="008160E0">
              <w:rPr>
                <w:rFonts w:ascii="Book Antiqua" w:hAnsi="Book Antiqua" w:cs="Times New Roman"/>
                <w:color w:val="000000"/>
                <w:sz w:val="24"/>
                <w:szCs w:val="24"/>
              </w:rPr>
              <w:t>&lt;</w:t>
            </w:r>
            <w:r w:rsidR="008160E0">
              <w:rPr>
                <w:rFonts w:ascii="Book Antiqua" w:hAnsi="Book Antiqua" w:cs="Times New Roman"/>
                <w:color w:val="000000"/>
                <w:sz w:val="24"/>
                <w:szCs w:val="24"/>
              </w:rPr>
              <w:t xml:space="preserve"> </w:t>
            </w:r>
            <w:r w:rsidRPr="008160E0">
              <w:rPr>
                <w:rFonts w:ascii="Book Antiqua" w:hAnsi="Book Antiqua" w:cs="Times New Roman"/>
                <w:color w:val="000000"/>
                <w:sz w:val="24"/>
                <w:szCs w:val="24"/>
              </w:rPr>
              <w:t>0.001</w:t>
            </w:r>
          </w:p>
        </w:tc>
      </w:tr>
      <w:tr w:rsidR="005A1A4A" w:rsidRPr="001A403F" w14:paraId="145B1CE5" w14:textId="77777777" w:rsidTr="00F07D32">
        <w:trPr>
          <w:cantSplit/>
          <w:trHeight w:val="333"/>
        </w:trPr>
        <w:tc>
          <w:tcPr>
            <w:tcW w:w="4017" w:type="dxa"/>
            <w:tcBorders>
              <w:bottom w:val="single" w:sz="4" w:space="0" w:color="auto"/>
            </w:tcBorders>
            <w:shd w:val="clear" w:color="auto" w:fill="FFFFFF"/>
            <w:tcMar>
              <w:left w:w="29" w:type="dxa"/>
              <w:right w:w="29" w:type="dxa"/>
            </w:tcMar>
          </w:tcPr>
          <w:p w14:paraId="74AD667B" w14:textId="77777777" w:rsidR="003D150B" w:rsidRPr="001A403F" w:rsidRDefault="003D150B" w:rsidP="002E7076">
            <w:pPr>
              <w:keepNext/>
              <w:keepLines/>
              <w:adjustRightInd w:val="0"/>
              <w:snapToGrid w:val="0"/>
              <w:spacing w:after="0" w:line="360" w:lineRule="auto"/>
              <w:jc w:val="both"/>
              <w:outlineLvl w:val="2"/>
              <w:rPr>
                <w:rFonts w:ascii="Book Antiqua" w:hAnsi="Book Antiqua" w:cs="Times New Roman"/>
                <w:bCs/>
                <w:color w:val="000000"/>
                <w:sz w:val="24"/>
                <w:szCs w:val="24"/>
              </w:rPr>
            </w:pPr>
            <w:r w:rsidRPr="001A403F">
              <w:rPr>
                <w:rFonts w:ascii="Book Antiqua" w:hAnsi="Book Antiqua" w:cs="Times New Roman"/>
                <w:bCs/>
                <w:color w:val="000000"/>
                <w:sz w:val="24"/>
                <w:szCs w:val="24"/>
              </w:rPr>
              <w:t xml:space="preserve">MAP </w:t>
            </w:r>
          </w:p>
        </w:tc>
        <w:tc>
          <w:tcPr>
            <w:tcW w:w="3943" w:type="dxa"/>
            <w:tcBorders>
              <w:bottom w:val="single" w:sz="4" w:space="0" w:color="auto"/>
            </w:tcBorders>
            <w:shd w:val="clear" w:color="auto" w:fill="FFFFFF"/>
          </w:tcPr>
          <w:p w14:paraId="3B417698" w14:textId="77777777" w:rsidR="003D150B" w:rsidRPr="001A403F" w:rsidRDefault="003D150B" w:rsidP="002E7076">
            <w:pPr>
              <w:keepNext/>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-0.02 (-0.03, -0.01)</w:t>
            </w:r>
          </w:p>
        </w:tc>
        <w:tc>
          <w:tcPr>
            <w:tcW w:w="3339" w:type="dxa"/>
            <w:tcBorders>
              <w:bottom w:val="single" w:sz="4" w:space="0" w:color="auto"/>
            </w:tcBorders>
            <w:shd w:val="clear" w:color="auto" w:fill="FFFFFF"/>
            <w:tcMar>
              <w:left w:w="29" w:type="dxa"/>
              <w:right w:w="29" w:type="dxa"/>
            </w:tcMar>
          </w:tcPr>
          <w:p w14:paraId="596F6D13" w14:textId="2C1ABEA4" w:rsidR="003D150B" w:rsidRPr="001A403F" w:rsidRDefault="003D150B" w:rsidP="002E7076">
            <w:pPr>
              <w:keepNext/>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0.91 (0.86, 0.96)</w:t>
            </w:r>
            <w:r w:rsidR="008160E0">
              <w:rPr>
                <w:rFonts w:ascii="Book Antiqua" w:hAnsi="Book Antiqua" w:cs="Times New Roman"/>
                <w:color w:val="000000"/>
                <w:sz w:val="24"/>
                <w:szCs w:val="24"/>
                <w:vertAlign w:val="superscript"/>
              </w:rPr>
              <w:t>2</w:t>
            </w:r>
          </w:p>
        </w:tc>
        <w:tc>
          <w:tcPr>
            <w:tcW w:w="1436" w:type="dxa"/>
            <w:tcBorders>
              <w:bottom w:val="single" w:sz="4" w:space="0" w:color="auto"/>
            </w:tcBorders>
            <w:shd w:val="clear" w:color="auto" w:fill="FFFFFF"/>
            <w:tcMar>
              <w:left w:w="29" w:type="dxa"/>
              <w:right w:w="29" w:type="dxa"/>
            </w:tcMar>
          </w:tcPr>
          <w:p w14:paraId="22B85329" w14:textId="4869A58A" w:rsidR="003D150B" w:rsidRPr="008160E0" w:rsidRDefault="003D150B" w:rsidP="002E7076">
            <w:pPr>
              <w:keepNext/>
              <w:adjustRightInd w:val="0"/>
              <w:snapToGrid w:val="0"/>
              <w:spacing w:after="0" w:line="360" w:lineRule="auto"/>
              <w:jc w:val="both"/>
              <w:rPr>
                <w:rFonts w:ascii="Book Antiqua" w:hAnsi="Book Antiqua" w:cs="Times New Roman"/>
                <w:color w:val="000000"/>
                <w:sz w:val="24"/>
                <w:szCs w:val="24"/>
              </w:rPr>
            </w:pPr>
            <w:r w:rsidRPr="008160E0">
              <w:rPr>
                <w:rFonts w:ascii="Book Antiqua" w:hAnsi="Book Antiqua" w:cs="Times New Roman"/>
                <w:color w:val="000000"/>
                <w:sz w:val="24"/>
                <w:szCs w:val="24"/>
              </w:rPr>
              <w:t>&lt;</w:t>
            </w:r>
            <w:r w:rsidR="008160E0">
              <w:rPr>
                <w:rFonts w:ascii="Book Antiqua" w:hAnsi="Book Antiqua" w:cs="Times New Roman"/>
                <w:color w:val="000000"/>
                <w:sz w:val="24"/>
                <w:szCs w:val="24"/>
              </w:rPr>
              <w:t xml:space="preserve"> </w:t>
            </w:r>
            <w:r w:rsidRPr="008160E0">
              <w:rPr>
                <w:rFonts w:ascii="Book Antiqua" w:hAnsi="Book Antiqua" w:cs="Times New Roman"/>
                <w:color w:val="000000"/>
                <w:sz w:val="24"/>
                <w:szCs w:val="24"/>
              </w:rPr>
              <w:t>0.001</w:t>
            </w:r>
          </w:p>
        </w:tc>
      </w:tr>
    </w:tbl>
    <w:p w14:paraId="408667F8" w14:textId="05BE3919" w:rsidR="005A1A4A" w:rsidRPr="00F07D32" w:rsidRDefault="008160E0" w:rsidP="002E7076">
      <w:pPr>
        <w:adjustRightInd w:val="0"/>
        <w:snapToGrid w:val="0"/>
        <w:spacing w:after="0" w:line="360" w:lineRule="auto"/>
        <w:jc w:val="both"/>
        <w:rPr>
          <w:rFonts w:ascii="Book Antiqua" w:hAnsi="Book Antiqua" w:cs="Times New Roman"/>
          <w:color w:val="000000"/>
          <w:sz w:val="24"/>
          <w:szCs w:val="24"/>
        </w:rPr>
      </w:pPr>
      <w:r>
        <w:rPr>
          <w:rFonts w:ascii="Book Antiqua" w:hAnsi="Book Antiqua" w:cs="Times New Roman"/>
          <w:color w:val="000000"/>
          <w:sz w:val="24"/>
          <w:szCs w:val="24"/>
          <w:vertAlign w:val="superscript"/>
        </w:rPr>
        <w:t>1</w:t>
      </w:r>
      <w:r w:rsidR="005A1A4A" w:rsidRPr="001A403F">
        <w:rPr>
          <w:rFonts w:ascii="Book Antiqua" w:hAnsi="Book Antiqua" w:cs="Times New Roman"/>
          <w:color w:val="000000"/>
          <w:sz w:val="24"/>
          <w:szCs w:val="24"/>
        </w:rPr>
        <w:t>OR corresponds to 0.05 increment in 1/PT</w:t>
      </w:r>
      <w:r>
        <w:rPr>
          <w:rFonts w:ascii="Book Antiqua" w:hAnsi="Book Antiqua" w:cs="Times New Roman"/>
          <w:color w:val="000000"/>
          <w:sz w:val="24"/>
          <w:szCs w:val="24"/>
        </w:rPr>
        <w:t>;</w:t>
      </w:r>
      <w:r>
        <w:rPr>
          <w:rFonts w:ascii="Book Antiqua" w:hAnsi="Book Antiqua" w:cs="Times New Roman" w:hint="eastAsia"/>
          <w:color w:val="000000"/>
          <w:sz w:val="24"/>
          <w:szCs w:val="24"/>
          <w:lang w:eastAsia="zh-CN"/>
        </w:rPr>
        <w:t xml:space="preserve"> </w:t>
      </w:r>
      <w:r>
        <w:rPr>
          <w:rFonts w:ascii="Book Antiqua" w:hAnsi="Book Antiqua" w:cs="Times New Roman"/>
          <w:color w:val="000000"/>
          <w:sz w:val="24"/>
          <w:szCs w:val="24"/>
          <w:vertAlign w:val="superscript"/>
        </w:rPr>
        <w:t>2</w:t>
      </w:r>
      <w:r w:rsidR="005A1A4A" w:rsidRPr="001A403F">
        <w:rPr>
          <w:rFonts w:ascii="Book Antiqua" w:hAnsi="Book Antiqua" w:cs="Times New Roman"/>
          <w:color w:val="000000"/>
          <w:sz w:val="24"/>
          <w:szCs w:val="24"/>
        </w:rPr>
        <w:t xml:space="preserve">OR corresponds to </w:t>
      </w:r>
      <w:r w:rsidR="0074504F" w:rsidRPr="001A403F">
        <w:rPr>
          <w:rFonts w:ascii="Book Antiqua" w:hAnsi="Book Antiqua" w:cs="Times New Roman"/>
          <w:color w:val="000000"/>
          <w:sz w:val="24"/>
          <w:szCs w:val="24"/>
        </w:rPr>
        <w:t>5-unit</w:t>
      </w:r>
      <w:r w:rsidR="005A1A4A" w:rsidRPr="001A403F">
        <w:rPr>
          <w:rFonts w:ascii="Book Antiqua" w:hAnsi="Book Antiqua" w:cs="Times New Roman"/>
          <w:color w:val="000000"/>
          <w:sz w:val="24"/>
          <w:szCs w:val="24"/>
        </w:rPr>
        <w:t xml:space="preserve"> increment in MAP</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Ln</w:t>
      </w:r>
      <w:r w:rsidR="008A1265" w:rsidRPr="001A403F">
        <w:rPr>
          <w:rFonts w:ascii="Book Antiqua" w:hAnsi="Book Antiqua" w:cs="Times New Roman"/>
          <w:color w:val="000000"/>
          <w:sz w:val="24"/>
          <w:szCs w:val="24"/>
        </w:rPr>
        <w:t xml:space="preserve">: Natural logarithm; </w:t>
      </w:r>
      <w:r w:rsidRPr="001A403F">
        <w:rPr>
          <w:rFonts w:ascii="Book Antiqua" w:hAnsi="Book Antiqua" w:cs="Times New Roman"/>
          <w:color w:val="000000"/>
          <w:sz w:val="24"/>
          <w:szCs w:val="24"/>
        </w:rPr>
        <w:t xml:space="preserve">OR: </w:t>
      </w:r>
      <w:r w:rsidR="008A1265" w:rsidRPr="001A403F">
        <w:rPr>
          <w:rFonts w:ascii="Book Antiqua" w:hAnsi="Book Antiqua" w:cs="Times New Roman"/>
          <w:color w:val="000000"/>
          <w:sz w:val="24"/>
          <w:szCs w:val="24"/>
        </w:rPr>
        <w:t>O</w:t>
      </w:r>
      <w:r w:rsidR="005A1A4A" w:rsidRPr="001A403F">
        <w:rPr>
          <w:rFonts w:ascii="Book Antiqua" w:hAnsi="Book Antiqua" w:cs="Times New Roman"/>
          <w:color w:val="000000"/>
          <w:sz w:val="24"/>
          <w:szCs w:val="24"/>
        </w:rPr>
        <w:t>dds ratio</w:t>
      </w:r>
      <w:r w:rsidR="008A1265" w:rsidRPr="001A403F">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 xml:space="preserve">CI: </w:t>
      </w:r>
      <w:r w:rsidR="008A1265" w:rsidRPr="001A403F">
        <w:rPr>
          <w:rFonts w:ascii="Book Antiqua" w:hAnsi="Book Antiqua" w:cs="Times New Roman"/>
          <w:color w:val="000000"/>
          <w:sz w:val="24"/>
          <w:szCs w:val="24"/>
        </w:rPr>
        <w:t>C</w:t>
      </w:r>
      <w:r w:rsidR="00CD07C3" w:rsidRPr="001A403F">
        <w:rPr>
          <w:rFonts w:ascii="Book Antiqua" w:hAnsi="Book Antiqua" w:cs="Times New Roman"/>
          <w:color w:val="000000"/>
          <w:sz w:val="24"/>
          <w:szCs w:val="24"/>
        </w:rPr>
        <w:t xml:space="preserve">onfidence interval; </w:t>
      </w:r>
      <w:r w:rsidRPr="001A403F">
        <w:rPr>
          <w:rFonts w:ascii="Book Antiqua" w:hAnsi="Book Antiqua" w:cs="Times New Roman"/>
          <w:color w:val="000000"/>
          <w:sz w:val="24"/>
          <w:szCs w:val="24"/>
        </w:rPr>
        <w:t xml:space="preserve">PT: </w:t>
      </w:r>
      <w:r w:rsidR="008A1265" w:rsidRPr="001A403F">
        <w:rPr>
          <w:rFonts w:ascii="Book Antiqua" w:hAnsi="Book Antiqua" w:cs="Times New Roman"/>
          <w:color w:val="000000"/>
          <w:sz w:val="24"/>
          <w:szCs w:val="24"/>
        </w:rPr>
        <w:t xml:space="preserve">Prothrombin time; </w:t>
      </w:r>
      <w:r w:rsidRPr="001A403F">
        <w:rPr>
          <w:rFonts w:ascii="Book Antiqua" w:hAnsi="Book Antiqua" w:cs="Times New Roman"/>
          <w:color w:val="000000"/>
          <w:sz w:val="24"/>
          <w:szCs w:val="24"/>
        </w:rPr>
        <w:t xml:space="preserve">WBC: </w:t>
      </w:r>
      <w:r w:rsidR="008A1265" w:rsidRPr="001A403F">
        <w:rPr>
          <w:rFonts w:ascii="Book Antiqua" w:hAnsi="Book Antiqua" w:cs="Times New Roman"/>
          <w:color w:val="000000"/>
          <w:sz w:val="24"/>
          <w:szCs w:val="24"/>
        </w:rPr>
        <w:t xml:space="preserve">White blood cell count; </w:t>
      </w:r>
      <w:r w:rsidRPr="001A403F">
        <w:rPr>
          <w:rFonts w:ascii="Book Antiqua" w:hAnsi="Book Antiqua" w:cs="Times New Roman"/>
          <w:color w:val="000000"/>
          <w:sz w:val="24"/>
          <w:szCs w:val="24"/>
        </w:rPr>
        <w:t xml:space="preserve">MAP: </w:t>
      </w:r>
      <w:r w:rsidR="008A1265" w:rsidRPr="001A403F">
        <w:rPr>
          <w:rFonts w:ascii="Book Antiqua" w:hAnsi="Book Antiqua" w:cs="Times New Roman"/>
          <w:color w:val="000000"/>
          <w:sz w:val="24"/>
          <w:szCs w:val="24"/>
        </w:rPr>
        <w:t>M</w:t>
      </w:r>
      <w:r w:rsidR="005A1A4A" w:rsidRPr="001A403F">
        <w:rPr>
          <w:rFonts w:ascii="Book Antiqua" w:hAnsi="Book Antiqua" w:cs="Times New Roman"/>
          <w:color w:val="000000"/>
          <w:sz w:val="24"/>
          <w:szCs w:val="24"/>
        </w:rPr>
        <w:t>ean arterial pressure</w:t>
      </w:r>
      <w:r>
        <w:rPr>
          <w:rFonts w:ascii="Book Antiqua" w:hAnsi="Book Antiqua" w:cs="Times New Roman"/>
          <w:color w:val="000000"/>
          <w:sz w:val="24"/>
          <w:szCs w:val="24"/>
        </w:rPr>
        <w:t>.</w:t>
      </w:r>
    </w:p>
    <w:p w14:paraId="7F4F5FB8" w14:textId="73F03D14" w:rsidR="006819A6" w:rsidRDefault="006819A6">
      <w:pPr>
        <w:rPr>
          <w:rFonts w:ascii="Book Antiqua" w:hAnsi="Book Antiqua" w:cs="Times New Roman"/>
          <w:b/>
          <w:sz w:val="24"/>
          <w:szCs w:val="24"/>
        </w:rPr>
      </w:pPr>
      <w:r>
        <w:rPr>
          <w:rFonts w:ascii="Book Antiqua" w:hAnsi="Book Antiqua" w:cs="Times New Roman"/>
          <w:b/>
          <w:sz w:val="24"/>
          <w:szCs w:val="24"/>
        </w:rPr>
        <w:br w:type="page"/>
      </w:r>
    </w:p>
    <w:p w14:paraId="4ABE3384" w14:textId="39CE9D34" w:rsidR="003D150B" w:rsidRPr="006819A6" w:rsidRDefault="003D150B" w:rsidP="002E7076">
      <w:pPr>
        <w:adjustRightInd w:val="0"/>
        <w:snapToGrid w:val="0"/>
        <w:spacing w:after="0" w:line="360" w:lineRule="auto"/>
        <w:jc w:val="both"/>
        <w:rPr>
          <w:rFonts w:ascii="Book Antiqua" w:hAnsi="Book Antiqua" w:cs="Times New Roman"/>
          <w:b/>
          <w:sz w:val="24"/>
          <w:szCs w:val="24"/>
        </w:rPr>
      </w:pPr>
      <w:r w:rsidRPr="001A403F">
        <w:rPr>
          <w:rFonts w:ascii="Book Antiqua" w:hAnsi="Book Antiqua" w:cs="Times New Roman"/>
          <w:b/>
          <w:sz w:val="24"/>
          <w:szCs w:val="24"/>
        </w:rPr>
        <w:lastRenderedPageBreak/>
        <w:t xml:space="preserve">Table 3 Training </w:t>
      </w:r>
      <w:r w:rsidR="006819A6" w:rsidRPr="001A403F">
        <w:rPr>
          <w:rFonts w:ascii="Book Antiqua" w:hAnsi="Book Antiqua" w:cs="Times New Roman"/>
          <w:b/>
          <w:sz w:val="24"/>
          <w:szCs w:val="24"/>
        </w:rPr>
        <w:t>c</w:t>
      </w:r>
      <w:r w:rsidRPr="001A403F">
        <w:rPr>
          <w:rFonts w:ascii="Book Antiqua" w:hAnsi="Book Antiqua" w:cs="Times New Roman"/>
          <w:b/>
          <w:sz w:val="24"/>
          <w:szCs w:val="24"/>
        </w:rPr>
        <w:t xml:space="preserve">ohort: Predictive </w:t>
      </w:r>
      <w:r w:rsidR="006819A6" w:rsidRPr="001A403F">
        <w:rPr>
          <w:rFonts w:ascii="Book Antiqua" w:hAnsi="Book Antiqua" w:cs="Times New Roman"/>
          <w:b/>
          <w:sz w:val="24"/>
          <w:szCs w:val="24"/>
        </w:rPr>
        <w:t>abilities of critical care and liver-specific scores compared to the</w:t>
      </w:r>
      <w:r w:rsidRPr="001A403F">
        <w:rPr>
          <w:rFonts w:ascii="Book Antiqua" w:hAnsi="Book Antiqua" w:cs="Times New Roman"/>
          <w:b/>
          <w:sz w:val="24"/>
          <w:szCs w:val="24"/>
        </w:rPr>
        <w:t xml:space="preserve"> LIV-4 </w:t>
      </w:r>
      <w:r w:rsidR="006819A6" w:rsidRPr="001A403F">
        <w:rPr>
          <w:rFonts w:ascii="Book Antiqua" w:hAnsi="Book Antiqua" w:cs="Times New Roman"/>
          <w:b/>
          <w:sz w:val="24"/>
          <w:szCs w:val="24"/>
        </w:rPr>
        <w:t>s</w:t>
      </w:r>
      <w:r w:rsidRPr="001A403F">
        <w:rPr>
          <w:rFonts w:ascii="Book Antiqua" w:hAnsi="Book Antiqua" w:cs="Times New Roman"/>
          <w:b/>
          <w:sz w:val="24"/>
          <w:szCs w:val="24"/>
        </w:rPr>
        <w:t>core</w:t>
      </w:r>
    </w:p>
    <w:tbl>
      <w:tblPr>
        <w:tblW w:w="5976" w:type="dxa"/>
        <w:tblInd w:w="288" w:type="dxa"/>
        <w:tblCellMar>
          <w:left w:w="0" w:type="dxa"/>
          <w:right w:w="0" w:type="dxa"/>
        </w:tblCellMar>
        <w:tblLook w:val="04A0" w:firstRow="1" w:lastRow="0" w:firstColumn="1" w:lastColumn="0" w:noHBand="0" w:noVBand="1"/>
      </w:tblPr>
      <w:tblGrid>
        <w:gridCol w:w="4353"/>
        <w:gridCol w:w="1623"/>
      </w:tblGrid>
      <w:tr w:rsidR="003D150B" w:rsidRPr="001A403F" w14:paraId="58AF8029" w14:textId="77777777" w:rsidTr="00497EE5">
        <w:trPr>
          <w:trHeight w:val="393"/>
        </w:trPr>
        <w:tc>
          <w:tcPr>
            <w:tcW w:w="4353" w:type="dxa"/>
            <w:tcBorders>
              <w:top w:val="single" w:sz="4" w:space="0" w:color="auto"/>
              <w:bottom w:val="single" w:sz="4" w:space="0" w:color="auto"/>
            </w:tcBorders>
            <w:noWrap/>
            <w:tcMar>
              <w:top w:w="0" w:type="dxa"/>
              <w:left w:w="108" w:type="dxa"/>
              <w:bottom w:w="0" w:type="dxa"/>
              <w:right w:w="108" w:type="dxa"/>
            </w:tcMar>
            <w:vAlign w:val="bottom"/>
            <w:hideMark/>
          </w:tcPr>
          <w:p w14:paraId="7DCB215F" w14:textId="797D8D31" w:rsidR="003D150B" w:rsidRPr="001A403F" w:rsidRDefault="003D150B" w:rsidP="002E7076">
            <w:pPr>
              <w:adjustRightInd w:val="0"/>
              <w:snapToGrid w:val="0"/>
              <w:spacing w:after="0" w:line="360" w:lineRule="auto"/>
              <w:jc w:val="both"/>
              <w:rPr>
                <w:rFonts w:ascii="Book Antiqua" w:hAnsi="Book Antiqua" w:cs="Times New Roman"/>
                <w:b/>
                <w:sz w:val="24"/>
                <w:szCs w:val="24"/>
              </w:rPr>
            </w:pPr>
            <w:r w:rsidRPr="001A403F">
              <w:rPr>
                <w:rFonts w:ascii="Book Antiqua" w:hAnsi="Book Antiqua" w:cs="Times New Roman"/>
                <w:b/>
                <w:sz w:val="24"/>
                <w:szCs w:val="24"/>
              </w:rPr>
              <w:t xml:space="preserve">Score </w:t>
            </w:r>
            <w:r w:rsidR="006819A6" w:rsidRPr="001A403F">
              <w:rPr>
                <w:rFonts w:ascii="Book Antiqua" w:hAnsi="Book Antiqua" w:cs="Times New Roman"/>
                <w:b/>
                <w:sz w:val="24"/>
                <w:szCs w:val="24"/>
              </w:rPr>
              <w:t>c</w:t>
            </w:r>
            <w:r w:rsidRPr="001A403F">
              <w:rPr>
                <w:rFonts w:ascii="Book Antiqua" w:hAnsi="Book Antiqua" w:cs="Times New Roman"/>
                <w:b/>
                <w:sz w:val="24"/>
                <w:szCs w:val="24"/>
              </w:rPr>
              <w:t>ompared to LIV-4</w:t>
            </w:r>
          </w:p>
        </w:tc>
        <w:tc>
          <w:tcPr>
            <w:tcW w:w="1623" w:type="dxa"/>
            <w:tcBorders>
              <w:top w:val="single" w:sz="4" w:space="0" w:color="auto"/>
              <w:bottom w:val="single" w:sz="4" w:space="0" w:color="auto"/>
            </w:tcBorders>
            <w:noWrap/>
            <w:tcMar>
              <w:top w:w="0" w:type="dxa"/>
              <w:left w:w="108" w:type="dxa"/>
              <w:bottom w:w="0" w:type="dxa"/>
              <w:right w:w="108" w:type="dxa"/>
            </w:tcMar>
            <w:vAlign w:val="bottom"/>
            <w:hideMark/>
          </w:tcPr>
          <w:p w14:paraId="74CC3238" w14:textId="3C1CBCE8" w:rsidR="003D150B" w:rsidRPr="001A403F" w:rsidRDefault="00846F34" w:rsidP="002E7076">
            <w:pPr>
              <w:adjustRightInd w:val="0"/>
              <w:snapToGrid w:val="0"/>
              <w:spacing w:after="0" w:line="360" w:lineRule="auto"/>
              <w:jc w:val="both"/>
              <w:rPr>
                <w:rFonts w:ascii="Book Antiqua" w:hAnsi="Book Antiqua" w:cs="Times New Roman"/>
                <w:b/>
                <w:sz w:val="24"/>
                <w:szCs w:val="24"/>
              </w:rPr>
            </w:pPr>
            <w:r w:rsidRPr="006819A6">
              <w:rPr>
                <w:rFonts w:ascii="Book Antiqua" w:hAnsi="Book Antiqua" w:cs="Times New Roman"/>
                <w:b/>
                <w:bCs/>
                <w:i/>
                <w:iCs/>
                <w:sz w:val="24"/>
                <w:szCs w:val="24"/>
              </w:rPr>
              <w:t>P</w:t>
            </w:r>
            <w:r w:rsidR="006819A6">
              <w:rPr>
                <w:rFonts w:ascii="Book Antiqua" w:hAnsi="Book Antiqua" w:cs="Times New Roman"/>
                <w:b/>
                <w:bCs/>
                <w:sz w:val="24"/>
                <w:szCs w:val="24"/>
              </w:rPr>
              <w:t xml:space="preserve"> </w:t>
            </w:r>
            <w:r w:rsidR="003D150B" w:rsidRPr="001A403F">
              <w:rPr>
                <w:rFonts w:ascii="Book Antiqua" w:hAnsi="Book Antiqua" w:cs="Times New Roman"/>
                <w:b/>
                <w:bCs/>
                <w:sz w:val="24"/>
                <w:szCs w:val="24"/>
              </w:rPr>
              <w:t>value</w:t>
            </w:r>
          </w:p>
        </w:tc>
      </w:tr>
      <w:tr w:rsidR="003D150B" w:rsidRPr="001A403F" w14:paraId="3B66A74B" w14:textId="77777777" w:rsidTr="00497EE5">
        <w:trPr>
          <w:trHeight w:val="393"/>
        </w:trPr>
        <w:tc>
          <w:tcPr>
            <w:tcW w:w="4353" w:type="dxa"/>
            <w:tcBorders>
              <w:top w:val="single" w:sz="4" w:space="0" w:color="auto"/>
            </w:tcBorders>
            <w:noWrap/>
            <w:tcMar>
              <w:top w:w="0" w:type="dxa"/>
              <w:left w:w="108" w:type="dxa"/>
              <w:bottom w:w="0" w:type="dxa"/>
              <w:right w:w="108" w:type="dxa"/>
            </w:tcMar>
            <w:vAlign w:val="bottom"/>
            <w:hideMark/>
          </w:tcPr>
          <w:p w14:paraId="5FD47B6F"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MELD</w:t>
            </w:r>
          </w:p>
        </w:tc>
        <w:tc>
          <w:tcPr>
            <w:tcW w:w="1623" w:type="dxa"/>
            <w:tcBorders>
              <w:top w:val="single" w:sz="4" w:space="0" w:color="auto"/>
            </w:tcBorders>
            <w:noWrap/>
            <w:tcMar>
              <w:top w:w="0" w:type="dxa"/>
              <w:left w:w="108" w:type="dxa"/>
              <w:bottom w:w="0" w:type="dxa"/>
              <w:right w:w="108" w:type="dxa"/>
            </w:tcMar>
            <w:vAlign w:val="bottom"/>
            <w:hideMark/>
          </w:tcPr>
          <w:p w14:paraId="759049A8"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0.009</w:t>
            </w:r>
          </w:p>
        </w:tc>
      </w:tr>
      <w:tr w:rsidR="003D150B" w:rsidRPr="001A403F" w14:paraId="7EA2430E" w14:textId="77777777" w:rsidTr="00497EE5">
        <w:trPr>
          <w:trHeight w:val="393"/>
        </w:trPr>
        <w:tc>
          <w:tcPr>
            <w:tcW w:w="4353" w:type="dxa"/>
            <w:noWrap/>
            <w:tcMar>
              <w:top w:w="0" w:type="dxa"/>
              <w:left w:w="108" w:type="dxa"/>
              <w:bottom w:w="0" w:type="dxa"/>
              <w:right w:w="108" w:type="dxa"/>
            </w:tcMar>
            <w:vAlign w:val="bottom"/>
            <w:hideMark/>
          </w:tcPr>
          <w:p w14:paraId="6C2CCC6C"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MELD-Na</w:t>
            </w:r>
          </w:p>
        </w:tc>
        <w:tc>
          <w:tcPr>
            <w:tcW w:w="1623" w:type="dxa"/>
            <w:noWrap/>
            <w:tcMar>
              <w:top w:w="0" w:type="dxa"/>
              <w:left w:w="108" w:type="dxa"/>
              <w:bottom w:w="0" w:type="dxa"/>
              <w:right w:w="108" w:type="dxa"/>
            </w:tcMar>
            <w:vAlign w:val="bottom"/>
            <w:hideMark/>
          </w:tcPr>
          <w:p w14:paraId="0DAB45D2"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0.002</w:t>
            </w:r>
          </w:p>
        </w:tc>
      </w:tr>
      <w:tr w:rsidR="003D150B" w:rsidRPr="001A403F" w14:paraId="696D9C33" w14:textId="77777777" w:rsidTr="00497EE5">
        <w:trPr>
          <w:trHeight w:val="393"/>
        </w:trPr>
        <w:tc>
          <w:tcPr>
            <w:tcW w:w="4353" w:type="dxa"/>
            <w:noWrap/>
            <w:tcMar>
              <w:top w:w="0" w:type="dxa"/>
              <w:left w:w="108" w:type="dxa"/>
              <w:bottom w:w="0" w:type="dxa"/>
              <w:right w:w="108" w:type="dxa"/>
            </w:tcMar>
            <w:vAlign w:val="bottom"/>
            <w:hideMark/>
          </w:tcPr>
          <w:p w14:paraId="31F37203" w14:textId="0E11FD05" w:rsidR="003D150B" w:rsidRPr="001A403F" w:rsidRDefault="00FF166F"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Child-Pugh Score</w:t>
            </w:r>
          </w:p>
        </w:tc>
        <w:tc>
          <w:tcPr>
            <w:tcW w:w="1623" w:type="dxa"/>
            <w:noWrap/>
            <w:tcMar>
              <w:top w:w="0" w:type="dxa"/>
              <w:left w:w="108" w:type="dxa"/>
              <w:bottom w:w="0" w:type="dxa"/>
              <w:right w:w="108" w:type="dxa"/>
            </w:tcMar>
            <w:vAlign w:val="bottom"/>
            <w:hideMark/>
          </w:tcPr>
          <w:p w14:paraId="6369B5BA" w14:textId="3587E7A6"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&lt;</w:t>
            </w:r>
            <w:r w:rsidR="006819A6">
              <w:rPr>
                <w:rFonts w:ascii="Book Antiqua" w:hAnsi="Book Antiqua" w:cs="Times New Roman"/>
                <w:bCs/>
                <w:iCs/>
                <w:sz w:val="24"/>
                <w:szCs w:val="24"/>
              </w:rPr>
              <w:t xml:space="preserve"> </w:t>
            </w:r>
            <w:r w:rsidRPr="001A403F">
              <w:rPr>
                <w:rFonts w:ascii="Book Antiqua" w:hAnsi="Book Antiqua" w:cs="Times New Roman"/>
                <w:bCs/>
                <w:iCs/>
                <w:sz w:val="24"/>
                <w:szCs w:val="24"/>
              </w:rPr>
              <w:t>0.001</w:t>
            </w:r>
          </w:p>
        </w:tc>
      </w:tr>
      <w:tr w:rsidR="003D150B" w:rsidRPr="001A403F" w14:paraId="0CEEF31A" w14:textId="77777777" w:rsidTr="00497EE5">
        <w:trPr>
          <w:trHeight w:val="393"/>
        </w:trPr>
        <w:tc>
          <w:tcPr>
            <w:tcW w:w="4353" w:type="dxa"/>
            <w:noWrap/>
            <w:tcMar>
              <w:top w:w="0" w:type="dxa"/>
              <w:left w:w="108" w:type="dxa"/>
              <w:bottom w:w="0" w:type="dxa"/>
              <w:right w:w="108" w:type="dxa"/>
            </w:tcMar>
            <w:vAlign w:val="bottom"/>
            <w:hideMark/>
          </w:tcPr>
          <w:p w14:paraId="2D0E457E"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SOFA</w:t>
            </w:r>
          </w:p>
        </w:tc>
        <w:tc>
          <w:tcPr>
            <w:tcW w:w="1623" w:type="dxa"/>
            <w:noWrap/>
            <w:tcMar>
              <w:top w:w="0" w:type="dxa"/>
              <w:left w:w="108" w:type="dxa"/>
              <w:bottom w:w="0" w:type="dxa"/>
              <w:right w:w="108" w:type="dxa"/>
            </w:tcMar>
            <w:vAlign w:val="bottom"/>
            <w:hideMark/>
          </w:tcPr>
          <w:p w14:paraId="178CBB02"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0.061</w:t>
            </w:r>
          </w:p>
        </w:tc>
      </w:tr>
      <w:tr w:rsidR="003D150B" w:rsidRPr="001A403F" w14:paraId="0514D22A" w14:textId="77777777" w:rsidTr="00497EE5">
        <w:trPr>
          <w:trHeight w:val="393"/>
        </w:trPr>
        <w:tc>
          <w:tcPr>
            <w:tcW w:w="4353" w:type="dxa"/>
            <w:noWrap/>
            <w:tcMar>
              <w:top w:w="0" w:type="dxa"/>
              <w:left w:w="108" w:type="dxa"/>
              <w:bottom w:w="0" w:type="dxa"/>
              <w:right w:w="108" w:type="dxa"/>
            </w:tcMar>
            <w:vAlign w:val="bottom"/>
            <w:hideMark/>
          </w:tcPr>
          <w:p w14:paraId="45F0E8D6"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CLIF-SOFA</w:t>
            </w:r>
          </w:p>
        </w:tc>
        <w:tc>
          <w:tcPr>
            <w:tcW w:w="1623" w:type="dxa"/>
            <w:noWrap/>
            <w:tcMar>
              <w:top w:w="0" w:type="dxa"/>
              <w:left w:w="108" w:type="dxa"/>
              <w:bottom w:w="0" w:type="dxa"/>
              <w:right w:w="108" w:type="dxa"/>
            </w:tcMar>
            <w:vAlign w:val="bottom"/>
            <w:hideMark/>
          </w:tcPr>
          <w:p w14:paraId="46214304"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0.091</w:t>
            </w:r>
          </w:p>
        </w:tc>
      </w:tr>
      <w:tr w:rsidR="003D150B" w:rsidRPr="001A403F" w14:paraId="47BDAC5B" w14:textId="77777777" w:rsidTr="00497EE5">
        <w:trPr>
          <w:trHeight w:val="393"/>
        </w:trPr>
        <w:tc>
          <w:tcPr>
            <w:tcW w:w="4353" w:type="dxa"/>
            <w:noWrap/>
            <w:tcMar>
              <w:top w:w="0" w:type="dxa"/>
              <w:left w:w="108" w:type="dxa"/>
              <w:bottom w:w="0" w:type="dxa"/>
              <w:right w:w="108" w:type="dxa"/>
            </w:tcMar>
            <w:vAlign w:val="bottom"/>
            <w:hideMark/>
          </w:tcPr>
          <w:p w14:paraId="0ACF4358"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RFH</w:t>
            </w:r>
          </w:p>
        </w:tc>
        <w:tc>
          <w:tcPr>
            <w:tcW w:w="1623" w:type="dxa"/>
            <w:noWrap/>
            <w:tcMar>
              <w:top w:w="0" w:type="dxa"/>
              <w:left w:w="108" w:type="dxa"/>
              <w:bottom w:w="0" w:type="dxa"/>
              <w:right w:w="108" w:type="dxa"/>
            </w:tcMar>
            <w:vAlign w:val="bottom"/>
            <w:hideMark/>
          </w:tcPr>
          <w:p w14:paraId="4C572F48"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0.04</w:t>
            </w:r>
          </w:p>
        </w:tc>
      </w:tr>
      <w:tr w:rsidR="003D150B" w:rsidRPr="001A403F" w14:paraId="67B189C9" w14:textId="77777777" w:rsidTr="00497EE5">
        <w:trPr>
          <w:trHeight w:val="393"/>
        </w:trPr>
        <w:tc>
          <w:tcPr>
            <w:tcW w:w="4353" w:type="dxa"/>
            <w:noWrap/>
            <w:tcMar>
              <w:top w:w="0" w:type="dxa"/>
              <w:left w:w="108" w:type="dxa"/>
              <w:bottom w:w="0" w:type="dxa"/>
              <w:right w:w="108" w:type="dxa"/>
            </w:tcMar>
            <w:vAlign w:val="bottom"/>
            <w:hideMark/>
          </w:tcPr>
          <w:p w14:paraId="5289F8AC"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APS</w:t>
            </w:r>
          </w:p>
        </w:tc>
        <w:tc>
          <w:tcPr>
            <w:tcW w:w="1623" w:type="dxa"/>
            <w:noWrap/>
            <w:tcMar>
              <w:top w:w="0" w:type="dxa"/>
              <w:left w:w="108" w:type="dxa"/>
              <w:bottom w:w="0" w:type="dxa"/>
              <w:right w:w="108" w:type="dxa"/>
            </w:tcMar>
            <w:vAlign w:val="bottom"/>
            <w:hideMark/>
          </w:tcPr>
          <w:p w14:paraId="1215C19E"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0.001</w:t>
            </w:r>
          </w:p>
        </w:tc>
      </w:tr>
      <w:tr w:rsidR="003D150B" w:rsidRPr="001A403F" w14:paraId="53018137" w14:textId="77777777" w:rsidTr="00497EE5">
        <w:trPr>
          <w:trHeight w:val="393"/>
        </w:trPr>
        <w:tc>
          <w:tcPr>
            <w:tcW w:w="4353" w:type="dxa"/>
            <w:tcBorders>
              <w:bottom w:val="single" w:sz="4" w:space="0" w:color="auto"/>
            </w:tcBorders>
            <w:noWrap/>
            <w:tcMar>
              <w:top w:w="0" w:type="dxa"/>
              <w:left w:w="108" w:type="dxa"/>
              <w:bottom w:w="0" w:type="dxa"/>
              <w:right w:w="108" w:type="dxa"/>
            </w:tcMar>
            <w:vAlign w:val="bottom"/>
            <w:hideMark/>
          </w:tcPr>
          <w:p w14:paraId="20FFD77C"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APACHE III</w:t>
            </w:r>
          </w:p>
        </w:tc>
        <w:tc>
          <w:tcPr>
            <w:tcW w:w="1623" w:type="dxa"/>
            <w:tcBorders>
              <w:bottom w:val="single" w:sz="4" w:space="0" w:color="auto"/>
            </w:tcBorders>
            <w:noWrap/>
            <w:tcMar>
              <w:top w:w="0" w:type="dxa"/>
              <w:left w:w="108" w:type="dxa"/>
              <w:bottom w:w="0" w:type="dxa"/>
              <w:right w:w="108" w:type="dxa"/>
            </w:tcMar>
            <w:vAlign w:val="bottom"/>
            <w:hideMark/>
          </w:tcPr>
          <w:p w14:paraId="11FA865E"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0.002</w:t>
            </w:r>
          </w:p>
        </w:tc>
      </w:tr>
    </w:tbl>
    <w:p w14:paraId="1AE18B82" w14:textId="73EEBA56" w:rsidR="003D150B" w:rsidRPr="001A403F" w:rsidRDefault="008A0A60"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MELD</w:t>
      </w:r>
      <w:r w:rsidR="003D150B" w:rsidRPr="001A403F">
        <w:rPr>
          <w:rFonts w:ascii="Book Antiqua" w:hAnsi="Book Antiqua" w:cs="Times New Roman"/>
          <w:sz w:val="24"/>
          <w:szCs w:val="24"/>
        </w:rPr>
        <w:t xml:space="preserve">: Model for </w:t>
      </w:r>
      <w:r w:rsidRPr="001A403F">
        <w:rPr>
          <w:rFonts w:ascii="Book Antiqua" w:hAnsi="Book Antiqua" w:cs="Times New Roman"/>
          <w:sz w:val="24"/>
          <w:szCs w:val="24"/>
        </w:rPr>
        <w:t>e</w:t>
      </w:r>
      <w:r w:rsidR="003D150B" w:rsidRPr="001A403F">
        <w:rPr>
          <w:rFonts w:ascii="Book Antiqua" w:hAnsi="Book Antiqua" w:cs="Times New Roman"/>
          <w:sz w:val="24"/>
          <w:szCs w:val="24"/>
        </w:rPr>
        <w:t>nd-</w:t>
      </w:r>
      <w:r w:rsidRPr="001A403F">
        <w:rPr>
          <w:rFonts w:ascii="Book Antiqua" w:hAnsi="Book Antiqua" w:cs="Times New Roman"/>
          <w:sz w:val="24"/>
          <w:szCs w:val="24"/>
        </w:rPr>
        <w:t>s</w:t>
      </w:r>
      <w:r w:rsidR="003D150B" w:rsidRPr="001A403F">
        <w:rPr>
          <w:rFonts w:ascii="Book Antiqua" w:hAnsi="Book Antiqua" w:cs="Times New Roman"/>
          <w:sz w:val="24"/>
          <w:szCs w:val="24"/>
        </w:rPr>
        <w:t xml:space="preserve">tage </w:t>
      </w:r>
      <w:r w:rsidRPr="001A403F">
        <w:rPr>
          <w:rFonts w:ascii="Book Antiqua" w:hAnsi="Book Antiqua" w:cs="Times New Roman"/>
          <w:sz w:val="24"/>
          <w:szCs w:val="24"/>
        </w:rPr>
        <w:t>l</w:t>
      </w:r>
      <w:r w:rsidR="003D150B" w:rsidRPr="001A403F">
        <w:rPr>
          <w:rFonts w:ascii="Book Antiqua" w:hAnsi="Book Antiqua" w:cs="Times New Roman"/>
          <w:sz w:val="24"/>
          <w:szCs w:val="24"/>
        </w:rPr>
        <w:t xml:space="preserve">iver </w:t>
      </w:r>
      <w:r w:rsidRPr="001A403F">
        <w:rPr>
          <w:rFonts w:ascii="Book Antiqua" w:hAnsi="Book Antiqua" w:cs="Times New Roman"/>
          <w:sz w:val="24"/>
          <w:szCs w:val="24"/>
        </w:rPr>
        <w:t>d</w:t>
      </w:r>
      <w:r w:rsidR="003D150B" w:rsidRPr="001A403F">
        <w:rPr>
          <w:rFonts w:ascii="Book Antiqua" w:hAnsi="Book Antiqua" w:cs="Times New Roman"/>
          <w:sz w:val="24"/>
          <w:szCs w:val="24"/>
        </w:rPr>
        <w:t xml:space="preserve">isease; </w:t>
      </w:r>
      <w:r w:rsidRPr="001A403F">
        <w:rPr>
          <w:rFonts w:ascii="Book Antiqua" w:hAnsi="Book Antiqua" w:cs="Times New Roman"/>
          <w:sz w:val="24"/>
          <w:szCs w:val="24"/>
        </w:rPr>
        <w:t>Na:</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Sodium; </w:t>
      </w:r>
      <w:r w:rsidRPr="001A403F">
        <w:rPr>
          <w:rFonts w:ascii="Book Antiqua" w:hAnsi="Book Antiqua" w:cs="Times New Roman"/>
          <w:sz w:val="24"/>
          <w:szCs w:val="24"/>
        </w:rPr>
        <w:t>SOFA:</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Sequential (or Sepsis-Related) </w:t>
      </w:r>
      <w:r w:rsidRPr="001A403F">
        <w:rPr>
          <w:rFonts w:ascii="Book Antiqua" w:hAnsi="Book Antiqua" w:cs="Times New Roman"/>
          <w:sz w:val="24"/>
          <w:szCs w:val="24"/>
        </w:rPr>
        <w:t>organ failure assessment</w:t>
      </w:r>
      <w:r w:rsidR="003D150B" w:rsidRPr="001A403F">
        <w:rPr>
          <w:rFonts w:ascii="Book Antiqua" w:hAnsi="Book Antiqua" w:cs="Times New Roman"/>
          <w:sz w:val="24"/>
          <w:szCs w:val="24"/>
        </w:rPr>
        <w:t xml:space="preserve">; </w:t>
      </w:r>
      <w:r w:rsidRPr="001A403F">
        <w:rPr>
          <w:rFonts w:ascii="Book Antiqua" w:hAnsi="Book Antiqua" w:cs="Times New Roman"/>
          <w:sz w:val="24"/>
          <w:szCs w:val="24"/>
        </w:rPr>
        <w:t>CLIF-SOFA:</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Chronic </w:t>
      </w:r>
      <w:r w:rsidRPr="001A403F">
        <w:rPr>
          <w:rFonts w:ascii="Book Antiqua" w:hAnsi="Book Antiqua" w:cs="Times New Roman"/>
          <w:sz w:val="24"/>
          <w:szCs w:val="24"/>
        </w:rPr>
        <w:t>liver failure-sequential organ failure assessment</w:t>
      </w:r>
      <w:r w:rsidR="003D150B" w:rsidRPr="001A403F">
        <w:rPr>
          <w:rFonts w:ascii="Book Antiqua" w:hAnsi="Book Antiqua" w:cs="Times New Roman"/>
          <w:sz w:val="24"/>
          <w:szCs w:val="24"/>
        </w:rPr>
        <w:t xml:space="preserve">; </w:t>
      </w:r>
      <w:r w:rsidRPr="001A403F">
        <w:rPr>
          <w:rFonts w:ascii="Book Antiqua" w:hAnsi="Book Antiqua" w:cs="Times New Roman"/>
          <w:sz w:val="24"/>
          <w:szCs w:val="24"/>
        </w:rPr>
        <w:t>RFH:</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Royal </w:t>
      </w:r>
      <w:r w:rsidRPr="001A403F">
        <w:rPr>
          <w:rFonts w:ascii="Book Antiqua" w:hAnsi="Book Antiqua" w:cs="Times New Roman"/>
          <w:sz w:val="24"/>
          <w:szCs w:val="24"/>
        </w:rPr>
        <w:t>free hospital</w:t>
      </w:r>
      <w:r w:rsidR="003D150B" w:rsidRPr="001A403F">
        <w:rPr>
          <w:rFonts w:ascii="Book Antiqua" w:hAnsi="Book Antiqua" w:cs="Times New Roman"/>
          <w:sz w:val="24"/>
          <w:szCs w:val="24"/>
        </w:rPr>
        <w:t xml:space="preserve">; </w:t>
      </w:r>
      <w:r w:rsidRPr="001A403F">
        <w:rPr>
          <w:rFonts w:ascii="Book Antiqua" w:hAnsi="Book Antiqua" w:cs="Times New Roman"/>
          <w:sz w:val="24"/>
          <w:szCs w:val="24"/>
        </w:rPr>
        <w:t>APS:</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Simplified </w:t>
      </w:r>
      <w:r w:rsidRPr="001A403F">
        <w:rPr>
          <w:rFonts w:ascii="Book Antiqua" w:hAnsi="Book Antiqua" w:cs="Times New Roman"/>
          <w:sz w:val="24"/>
          <w:szCs w:val="24"/>
        </w:rPr>
        <w:t>acute physiology score</w:t>
      </w:r>
      <w:r w:rsidR="003D150B" w:rsidRPr="001A403F">
        <w:rPr>
          <w:rFonts w:ascii="Book Antiqua" w:hAnsi="Book Antiqua" w:cs="Times New Roman"/>
          <w:sz w:val="24"/>
          <w:szCs w:val="24"/>
        </w:rPr>
        <w:t xml:space="preserve">; </w:t>
      </w:r>
      <w:r w:rsidRPr="001A403F">
        <w:rPr>
          <w:rFonts w:ascii="Book Antiqua" w:hAnsi="Book Antiqua" w:cs="Times New Roman"/>
          <w:sz w:val="24"/>
          <w:szCs w:val="24"/>
        </w:rPr>
        <w:t>APACHE:</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Acute </w:t>
      </w:r>
      <w:r w:rsidRPr="001A403F">
        <w:rPr>
          <w:rFonts w:ascii="Book Antiqua" w:hAnsi="Book Antiqua" w:cs="Times New Roman"/>
          <w:sz w:val="24"/>
          <w:szCs w:val="24"/>
        </w:rPr>
        <w:t>physiology and chronic health evaluation</w:t>
      </w:r>
      <w:r>
        <w:rPr>
          <w:rFonts w:ascii="Book Antiqua" w:hAnsi="Book Antiqua" w:cs="Times New Roman"/>
          <w:sz w:val="24"/>
          <w:szCs w:val="24"/>
        </w:rPr>
        <w:t>.</w:t>
      </w:r>
    </w:p>
    <w:p w14:paraId="19F1F5E2" w14:textId="77777777" w:rsidR="00A24724" w:rsidRPr="001A403F" w:rsidRDefault="00A24724" w:rsidP="002E7076">
      <w:pPr>
        <w:adjustRightInd w:val="0"/>
        <w:snapToGrid w:val="0"/>
        <w:spacing w:after="0" w:line="360" w:lineRule="auto"/>
        <w:jc w:val="both"/>
        <w:rPr>
          <w:rFonts w:ascii="Book Antiqua" w:hAnsi="Book Antiqua" w:cs="Times New Roman"/>
          <w:sz w:val="24"/>
          <w:szCs w:val="24"/>
        </w:rPr>
      </w:pPr>
    </w:p>
    <w:p w14:paraId="7272AFB9" w14:textId="4D3B8563" w:rsidR="008A0A60" w:rsidRDefault="008A0A60">
      <w:pPr>
        <w:rPr>
          <w:rFonts w:ascii="Book Antiqua" w:hAnsi="Book Antiqua" w:cs="Times New Roman"/>
          <w:sz w:val="24"/>
          <w:szCs w:val="24"/>
        </w:rPr>
      </w:pPr>
      <w:r>
        <w:rPr>
          <w:rFonts w:ascii="Book Antiqua" w:hAnsi="Book Antiqua" w:cs="Times New Roman"/>
          <w:sz w:val="24"/>
          <w:szCs w:val="24"/>
        </w:rPr>
        <w:br w:type="page"/>
      </w:r>
    </w:p>
    <w:p w14:paraId="7F79012D" w14:textId="602F0FDC" w:rsidR="008A0A60" w:rsidRDefault="008A0A60">
      <w:pPr>
        <w:rPr>
          <w:rFonts w:ascii="Book Antiqua" w:hAnsi="Book Antiqua" w:cs="Times New Roman"/>
          <w:sz w:val="24"/>
          <w:szCs w:val="24"/>
        </w:rPr>
      </w:pPr>
      <w:r w:rsidRPr="001A403F">
        <w:rPr>
          <w:rFonts w:ascii="Book Antiqua" w:hAnsi="Book Antiqua" w:cs="Times"/>
          <w:b/>
          <w:bCs/>
          <w:color w:val="000000"/>
          <w:sz w:val="24"/>
          <w:szCs w:val="24"/>
        </w:rPr>
        <w:lastRenderedPageBreak/>
        <w:t>Table</w:t>
      </w:r>
      <w:r>
        <w:rPr>
          <w:rFonts w:ascii="Book Antiqua" w:hAnsi="Book Antiqua" w:cs="Times"/>
          <w:b/>
          <w:bCs/>
          <w:color w:val="000000"/>
          <w:sz w:val="24"/>
          <w:szCs w:val="24"/>
        </w:rPr>
        <w:t xml:space="preserve"> </w:t>
      </w:r>
      <w:r w:rsidRPr="001A403F">
        <w:rPr>
          <w:rFonts w:ascii="Book Antiqua" w:hAnsi="Book Antiqua" w:cs="Times"/>
          <w:b/>
          <w:bCs/>
          <w:color w:val="000000"/>
          <w:sz w:val="24"/>
          <w:szCs w:val="24"/>
        </w:rPr>
        <w:t>4</w:t>
      </w:r>
      <w:r>
        <w:rPr>
          <w:rFonts w:ascii="Book Antiqua" w:hAnsi="Book Antiqua" w:cs="Times"/>
          <w:b/>
          <w:bCs/>
          <w:color w:val="000000"/>
          <w:sz w:val="24"/>
          <w:szCs w:val="24"/>
        </w:rPr>
        <w:t xml:space="preserve"> </w:t>
      </w:r>
      <w:r w:rsidRPr="001A403F">
        <w:rPr>
          <w:rFonts w:ascii="Book Antiqua" w:hAnsi="Book Antiqua" w:cs="Times"/>
          <w:b/>
          <w:bCs/>
          <w:color w:val="000000"/>
          <w:sz w:val="24"/>
          <w:szCs w:val="24"/>
        </w:rPr>
        <w:t>Validation cohort</w:t>
      </w:r>
      <w:r>
        <w:rPr>
          <w:rFonts w:ascii="Book Antiqua" w:hAnsi="Book Antiqua" w:cs="Times"/>
          <w:b/>
          <w:bCs/>
          <w:color w:val="000000"/>
          <w:sz w:val="24"/>
          <w:szCs w:val="24"/>
        </w:rPr>
        <w:t xml:space="preserve"> </w:t>
      </w:r>
      <w:r w:rsidRPr="001A403F">
        <w:rPr>
          <w:rFonts w:ascii="Book Antiqua" w:hAnsi="Book Antiqua" w:cs="Times"/>
          <w:b/>
          <w:bCs/>
          <w:color w:val="000000"/>
          <w:sz w:val="24"/>
          <w:szCs w:val="24"/>
        </w:rPr>
        <w:t>characteristics</w:t>
      </w:r>
    </w:p>
    <w:tbl>
      <w:tblPr>
        <w:tblW w:w="13343" w:type="dxa"/>
        <w:tblInd w:w="-421" w:type="dxa"/>
        <w:tblLayout w:type="fixed"/>
        <w:tblCellMar>
          <w:left w:w="0" w:type="dxa"/>
          <w:right w:w="0" w:type="dxa"/>
        </w:tblCellMar>
        <w:tblLook w:val="0000" w:firstRow="0" w:lastRow="0" w:firstColumn="0" w:lastColumn="0" w:noHBand="0" w:noVBand="0"/>
      </w:tblPr>
      <w:tblGrid>
        <w:gridCol w:w="3953"/>
        <w:gridCol w:w="1159"/>
        <w:gridCol w:w="2676"/>
        <w:gridCol w:w="1159"/>
        <w:gridCol w:w="2676"/>
        <w:gridCol w:w="1720"/>
      </w:tblGrid>
      <w:tr w:rsidR="00237CAB" w:rsidRPr="001A403F" w14:paraId="777D8C08" w14:textId="77777777" w:rsidTr="00497EE5">
        <w:trPr>
          <w:cantSplit/>
          <w:trHeight w:val="82"/>
        </w:trPr>
        <w:tc>
          <w:tcPr>
            <w:tcW w:w="3953" w:type="dxa"/>
            <w:vMerge w:val="restart"/>
            <w:tcBorders>
              <w:top w:val="single" w:sz="4" w:space="0" w:color="auto"/>
            </w:tcBorders>
            <w:shd w:val="clear" w:color="auto" w:fill="FFFFFF"/>
            <w:tcMar>
              <w:left w:w="29" w:type="dxa"/>
              <w:right w:w="29" w:type="dxa"/>
            </w:tcMar>
            <w:vAlign w:val="center"/>
          </w:tcPr>
          <w:p w14:paraId="59B9120B" w14:textId="27DE5173" w:rsidR="00237CAB" w:rsidRPr="001A403F" w:rsidRDefault="00237CAB" w:rsidP="002E7076">
            <w:pPr>
              <w:keepNext/>
              <w:adjustRightInd w:val="0"/>
              <w:snapToGrid w:val="0"/>
              <w:spacing w:after="0" w:line="360" w:lineRule="auto"/>
              <w:jc w:val="both"/>
              <w:rPr>
                <w:rFonts w:ascii="Book Antiqua" w:hAnsi="Book Antiqua" w:cs="Times"/>
                <w:b/>
                <w:bCs/>
                <w:color w:val="000000"/>
                <w:sz w:val="24"/>
                <w:szCs w:val="24"/>
              </w:rPr>
            </w:pPr>
            <w:r w:rsidRPr="001A403F">
              <w:rPr>
                <w:rFonts w:ascii="Book Antiqua" w:hAnsi="Book Antiqua" w:cs="Times"/>
                <w:b/>
                <w:bCs/>
                <w:color w:val="000000"/>
                <w:sz w:val="24"/>
                <w:szCs w:val="24"/>
              </w:rPr>
              <w:t>Factor</w:t>
            </w:r>
          </w:p>
        </w:tc>
        <w:tc>
          <w:tcPr>
            <w:tcW w:w="3835" w:type="dxa"/>
            <w:gridSpan w:val="2"/>
            <w:tcBorders>
              <w:top w:val="single" w:sz="4" w:space="0" w:color="auto"/>
              <w:bottom w:val="single" w:sz="4" w:space="0" w:color="auto"/>
            </w:tcBorders>
            <w:shd w:val="clear" w:color="auto" w:fill="FFFFFF"/>
            <w:tcMar>
              <w:left w:w="29" w:type="dxa"/>
              <w:right w:w="29" w:type="dxa"/>
            </w:tcMar>
            <w:vAlign w:val="center"/>
          </w:tcPr>
          <w:p w14:paraId="2BF61AD8" w14:textId="09C6D0F5" w:rsidR="00237CAB" w:rsidRPr="001A403F" w:rsidRDefault="00497EE5" w:rsidP="00260FB1">
            <w:pPr>
              <w:keepNext/>
              <w:adjustRightInd w:val="0"/>
              <w:snapToGrid w:val="0"/>
              <w:spacing w:after="0" w:line="360" w:lineRule="auto"/>
              <w:jc w:val="center"/>
              <w:rPr>
                <w:rFonts w:ascii="Book Antiqua" w:hAnsi="Book Antiqua" w:cs="Times"/>
                <w:b/>
                <w:bCs/>
                <w:color w:val="000000"/>
                <w:sz w:val="24"/>
                <w:szCs w:val="24"/>
              </w:rPr>
            </w:pPr>
            <w:r>
              <w:rPr>
                <w:rFonts w:ascii="Book Antiqua" w:hAnsi="Book Antiqua" w:cs="Times"/>
                <w:b/>
                <w:bCs/>
                <w:color w:val="000000"/>
                <w:sz w:val="24"/>
                <w:szCs w:val="24"/>
              </w:rPr>
              <w:t xml:space="preserve">Training cohort </w:t>
            </w:r>
            <w:r w:rsidR="00237CAB" w:rsidRPr="001A403F">
              <w:rPr>
                <w:rFonts w:ascii="Book Antiqua" w:hAnsi="Book Antiqua" w:cs="Times"/>
                <w:b/>
                <w:bCs/>
                <w:color w:val="000000"/>
                <w:sz w:val="24"/>
                <w:szCs w:val="24"/>
              </w:rPr>
              <w:t>(</w:t>
            </w:r>
            <w:r w:rsidR="00237CAB" w:rsidRPr="008A0A60">
              <w:rPr>
                <w:rFonts w:ascii="Book Antiqua" w:hAnsi="Book Antiqua" w:cs="Times"/>
                <w:b/>
                <w:bCs/>
                <w:i/>
                <w:iCs/>
                <w:color w:val="000000"/>
                <w:sz w:val="24"/>
                <w:szCs w:val="24"/>
              </w:rPr>
              <w:t>n</w:t>
            </w:r>
            <w:r w:rsidR="00237CAB">
              <w:rPr>
                <w:rFonts w:ascii="Book Antiqua" w:hAnsi="Book Antiqua" w:cs="Times"/>
                <w:b/>
                <w:bCs/>
                <w:color w:val="000000"/>
                <w:sz w:val="24"/>
                <w:szCs w:val="24"/>
              </w:rPr>
              <w:t xml:space="preserve"> </w:t>
            </w:r>
            <w:r w:rsidR="00237CAB" w:rsidRPr="001A403F">
              <w:rPr>
                <w:rFonts w:ascii="Book Antiqua" w:hAnsi="Book Antiqua" w:cs="Times"/>
                <w:b/>
                <w:bCs/>
                <w:color w:val="000000"/>
                <w:sz w:val="24"/>
                <w:szCs w:val="24"/>
              </w:rPr>
              <w:t>=</w:t>
            </w:r>
            <w:r w:rsidR="00237CAB">
              <w:rPr>
                <w:rFonts w:ascii="Book Antiqua" w:hAnsi="Book Antiqua" w:cs="Times"/>
                <w:b/>
                <w:bCs/>
                <w:color w:val="000000"/>
                <w:sz w:val="24"/>
                <w:szCs w:val="24"/>
              </w:rPr>
              <w:t xml:space="preserve"> </w:t>
            </w:r>
            <w:r w:rsidR="00237CAB" w:rsidRPr="001A403F">
              <w:rPr>
                <w:rFonts w:ascii="Book Antiqua" w:hAnsi="Book Antiqua" w:cs="Times"/>
                <w:b/>
                <w:bCs/>
                <w:color w:val="000000"/>
                <w:sz w:val="24"/>
                <w:szCs w:val="24"/>
              </w:rPr>
              <w:t>436)</w:t>
            </w:r>
          </w:p>
        </w:tc>
        <w:tc>
          <w:tcPr>
            <w:tcW w:w="3835" w:type="dxa"/>
            <w:gridSpan w:val="2"/>
            <w:tcBorders>
              <w:top w:val="single" w:sz="4" w:space="0" w:color="auto"/>
              <w:bottom w:val="single" w:sz="4" w:space="0" w:color="auto"/>
            </w:tcBorders>
            <w:shd w:val="clear" w:color="auto" w:fill="FFFFFF"/>
            <w:tcMar>
              <w:left w:w="29" w:type="dxa"/>
              <w:right w:w="29" w:type="dxa"/>
            </w:tcMar>
            <w:vAlign w:val="center"/>
          </w:tcPr>
          <w:p w14:paraId="4C5F2914" w14:textId="78861AB0" w:rsidR="00237CAB" w:rsidRPr="001A403F" w:rsidRDefault="00497EE5" w:rsidP="00260FB1">
            <w:pPr>
              <w:keepNext/>
              <w:adjustRightInd w:val="0"/>
              <w:snapToGrid w:val="0"/>
              <w:spacing w:after="0" w:line="360" w:lineRule="auto"/>
              <w:jc w:val="center"/>
              <w:rPr>
                <w:rFonts w:ascii="Book Antiqua" w:hAnsi="Book Antiqua" w:cs="Times"/>
                <w:b/>
                <w:bCs/>
                <w:color w:val="000000"/>
                <w:sz w:val="24"/>
                <w:szCs w:val="24"/>
              </w:rPr>
            </w:pPr>
            <w:r>
              <w:rPr>
                <w:rFonts w:ascii="Book Antiqua" w:hAnsi="Book Antiqua" w:cs="Times"/>
                <w:b/>
                <w:bCs/>
                <w:color w:val="000000"/>
                <w:sz w:val="24"/>
                <w:szCs w:val="24"/>
              </w:rPr>
              <w:t xml:space="preserve">Validation cohort A </w:t>
            </w:r>
            <w:r w:rsidR="00237CAB" w:rsidRPr="001A403F">
              <w:rPr>
                <w:rFonts w:ascii="Book Antiqua" w:hAnsi="Book Antiqua" w:cs="Times"/>
                <w:b/>
                <w:bCs/>
                <w:color w:val="000000"/>
                <w:sz w:val="24"/>
                <w:szCs w:val="24"/>
              </w:rPr>
              <w:t>(</w:t>
            </w:r>
            <w:r w:rsidR="00237CAB" w:rsidRPr="008A0A60">
              <w:rPr>
                <w:rFonts w:ascii="Book Antiqua" w:hAnsi="Book Antiqua" w:cs="Times"/>
                <w:b/>
                <w:bCs/>
                <w:i/>
                <w:iCs/>
                <w:color w:val="000000"/>
                <w:sz w:val="24"/>
                <w:szCs w:val="24"/>
              </w:rPr>
              <w:t>n</w:t>
            </w:r>
            <w:r w:rsidR="0099526C">
              <w:rPr>
                <w:rFonts w:ascii="Book Antiqua" w:hAnsi="Book Antiqua" w:cs="Times"/>
                <w:b/>
                <w:bCs/>
                <w:i/>
                <w:iCs/>
                <w:color w:val="000000"/>
                <w:sz w:val="24"/>
                <w:szCs w:val="24"/>
              </w:rPr>
              <w:t xml:space="preserve"> </w:t>
            </w:r>
            <w:r w:rsidR="00237CAB" w:rsidRPr="001A403F">
              <w:rPr>
                <w:rFonts w:ascii="Book Antiqua" w:hAnsi="Book Antiqua" w:cs="Times"/>
                <w:b/>
                <w:bCs/>
                <w:color w:val="000000"/>
                <w:sz w:val="24"/>
                <w:szCs w:val="24"/>
              </w:rPr>
              <w:t>=</w:t>
            </w:r>
            <w:r w:rsidR="0099526C">
              <w:rPr>
                <w:rFonts w:ascii="Book Antiqua" w:hAnsi="Book Antiqua" w:cs="Times"/>
                <w:b/>
                <w:bCs/>
                <w:color w:val="000000"/>
                <w:sz w:val="24"/>
                <w:szCs w:val="24"/>
              </w:rPr>
              <w:t xml:space="preserve"> </w:t>
            </w:r>
            <w:r w:rsidR="00237CAB" w:rsidRPr="001A403F">
              <w:rPr>
                <w:rFonts w:ascii="Book Antiqua" w:hAnsi="Book Antiqua" w:cs="Times"/>
                <w:b/>
                <w:bCs/>
                <w:color w:val="000000"/>
                <w:sz w:val="24"/>
                <w:szCs w:val="24"/>
              </w:rPr>
              <w:t>336)</w:t>
            </w:r>
          </w:p>
        </w:tc>
        <w:tc>
          <w:tcPr>
            <w:tcW w:w="1718" w:type="dxa"/>
            <w:vMerge w:val="restart"/>
            <w:tcBorders>
              <w:top w:val="single" w:sz="4" w:space="0" w:color="auto"/>
            </w:tcBorders>
            <w:shd w:val="clear" w:color="auto" w:fill="FFFFFF"/>
            <w:tcMar>
              <w:left w:w="29" w:type="dxa"/>
              <w:right w:w="29" w:type="dxa"/>
            </w:tcMar>
            <w:vAlign w:val="center"/>
          </w:tcPr>
          <w:p w14:paraId="1886692C" w14:textId="4A2C620D" w:rsidR="00237CAB" w:rsidRPr="001A403F" w:rsidRDefault="00237CAB" w:rsidP="00497EE5">
            <w:pPr>
              <w:keepNext/>
              <w:adjustRightInd w:val="0"/>
              <w:snapToGrid w:val="0"/>
              <w:spacing w:after="0" w:line="360" w:lineRule="auto"/>
              <w:jc w:val="center"/>
              <w:rPr>
                <w:rFonts w:ascii="Book Antiqua" w:hAnsi="Book Antiqua" w:cs="Times"/>
                <w:b/>
                <w:bCs/>
                <w:color w:val="000000"/>
                <w:sz w:val="24"/>
                <w:szCs w:val="24"/>
              </w:rPr>
            </w:pPr>
            <w:r w:rsidRPr="008A0A60">
              <w:rPr>
                <w:rFonts w:ascii="Book Antiqua" w:hAnsi="Book Antiqua" w:cs="Times"/>
                <w:b/>
                <w:bCs/>
                <w:i/>
                <w:iCs/>
                <w:color w:val="000000"/>
                <w:sz w:val="24"/>
                <w:szCs w:val="24"/>
              </w:rPr>
              <w:t>P</w:t>
            </w:r>
            <w:r>
              <w:rPr>
                <w:rFonts w:ascii="Book Antiqua" w:hAnsi="Book Antiqua" w:cs="Times"/>
                <w:b/>
                <w:bCs/>
                <w:color w:val="000000"/>
                <w:sz w:val="24"/>
                <w:szCs w:val="24"/>
              </w:rPr>
              <w:t xml:space="preserve"> </w:t>
            </w:r>
            <w:r w:rsidRPr="001A403F">
              <w:rPr>
                <w:rFonts w:ascii="Book Antiqua" w:hAnsi="Book Antiqua" w:cs="Times"/>
                <w:b/>
                <w:bCs/>
                <w:color w:val="000000"/>
                <w:sz w:val="24"/>
                <w:szCs w:val="24"/>
              </w:rPr>
              <w:t>value</w:t>
            </w:r>
          </w:p>
        </w:tc>
      </w:tr>
      <w:tr w:rsidR="00237CAB" w:rsidRPr="001A403F" w14:paraId="27981CFB" w14:textId="77777777" w:rsidTr="00497EE5">
        <w:trPr>
          <w:cantSplit/>
          <w:trHeight w:val="162"/>
        </w:trPr>
        <w:tc>
          <w:tcPr>
            <w:tcW w:w="3953" w:type="dxa"/>
            <w:vMerge/>
            <w:tcBorders>
              <w:bottom w:val="single" w:sz="4" w:space="0" w:color="auto"/>
            </w:tcBorders>
            <w:shd w:val="clear" w:color="auto" w:fill="FFFFFF"/>
            <w:tcMar>
              <w:left w:w="29" w:type="dxa"/>
              <w:right w:w="29" w:type="dxa"/>
            </w:tcMar>
            <w:vAlign w:val="center"/>
          </w:tcPr>
          <w:p w14:paraId="267200F3" w14:textId="405C16AA" w:rsidR="00237CAB" w:rsidRPr="001A403F" w:rsidRDefault="00237CAB" w:rsidP="002E7076">
            <w:pPr>
              <w:keepNext/>
              <w:adjustRightInd w:val="0"/>
              <w:snapToGrid w:val="0"/>
              <w:spacing w:after="0" w:line="360" w:lineRule="auto"/>
              <w:jc w:val="both"/>
              <w:rPr>
                <w:rFonts w:ascii="Book Antiqua" w:hAnsi="Book Antiqua" w:cs="Times"/>
                <w:b/>
                <w:bCs/>
                <w:color w:val="000000"/>
                <w:sz w:val="24"/>
                <w:szCs w:val="24"/>
              </w:rPr>
            </w:pPr>
          </w:p>
        </w:tc>
        <w:tc>
          <w:tcPr>
            <w:tcW w:w="1159" w:type="dxa"/>
            <w:tcBorders>
              <w:top w:val="single" w:sz="4" w:space="0" w:color="auto"/>
              <w:bottom w:val="single" w:sz="4" w:space="0" w:color="auto"/>
            </w:tcBorders>
            <w:shd w:val="clear" w:color="auto" w:fill="FFFFFF"/>
            <w:tcMar>
              <w:left w:w="29" w:type="dxa"/>
              <w:right w:w="29" w:type="dxa"/>
            </w:tcMar>
            <w:vAlign w:val="center"/>
          </w:tcPr>
          <w:p w14:paraId="7E9B2F6F" w14:textId="77777777" w:rsidR="00237CAB" w:rsidRPr="008A0A60" w:rsidRDefault="00237CAB" w:rsidP="002E7076">
            <w:pPr>
              <w:keepNext/>
              <w:adjustRightInd w:val="0"/>
              <w:snapToGrid w:val="0"/>
              <w:spacing w:after="0" w:line="360" w:lineRule="auto"/>
              <w:jc w:val="both"/>
              <w:rPr>
                <w:rFonts w:ascii="Book Antiqua" w:hAnsi="Book Antiqua" w:cs="Times"/>
                <w:b/>
                <w:bCs/>
                <w:i/>
                <w:iCs/>
                <w:color w:val="000000"/>
                <w:sz w:val="24"/>
                <w:szCs w:val="24"/>
              </w:rPr>
            </w:pPr>
            <w:r w:rsidRPr="008A0A60">
              <w:rPr>
                <w:rFonts w:ascii="Book Antiqua" w:hAnsi="Book Antiqua" w:cs="Times"/>
                <w:b/>
                <w:bCs/>
                <w:i/>
                <w:iCs/>
                <w:color w:val="000000"/>
                <w:sz w:val="24"/>
                <w:szCs w:val="24"/>
              </w:rPr>
              <w:t>n</w:t>
            </w:r>
          </w:p>
        </w:tc>
        <w:tc>
          <w:tcPr>
            <w:tcW w:w="2675" w:type="dxa"/>
            <w:tcBorders>
              <w:top w:val="single" w:sz="4" w:space="0" w:color="auto"/>
              <w:bottom w:val="single" w:sz="4" w:space="0" w:color="auto"/>
            </w:tcBorders>
            <w:shd w:val="clear" w:color="auto" w:fill="FFFFFF"/>
            <w:tcMar>
              <w:left w:w="29" w:type="dxa"/>
              <w:right w:w="29" w:type="dxa"/>
            </w:tcMar>
            <w:vAlign w:val="center"/>
          </w:tcPr>
          <w:p w14:paraId="2277A844" w14:textId="77777777" w:rsidR="00237CAB" w:rsidRPr="001A403F" w:rsidRDefault="00237CAB" w:rsidP="002E7076">
            <w:pPr>
              <w:keepNext/>
              <w:adjustRightInd w:val="0"/>
              <w:snapToGrid w:val="0"/>
              <w:spacing w:after="0" w:line="360" w:lineRule="auto"/>
              <w:jc w:val="both"/>
              <w:rPr>
                <w:rFonts w:ascii="Book Antiqua" w:hAnsi="Book Antiqua" w:cs="Times"/>
                <w:b/>
                <w:bCs/>
                <w:color w:val="000000"/>
                <w:sz w:val="24"/>
                <w:szCs w:val="24"/>
              </w:rPr>
            </w:pPr>
            <w:r w:rsidRPr="001A403F">
              <w:rPr>
                <w:rFonts w:ascii="Book Antiqua" w:hAnsi="Book Antiqua" w:cs="Times"/>
                <w:b/>
                <w:bCs/>
                <w:color w:val="000000"/>
                <w:sz w:val="24"/>
                <w:szCs w:val="24"/>
              </w:rPr>
              <w:t>Statistics</w:t>
            </w:r>
          </w:p>
        </w:tc>
        <w:tc>
          <w:tcPr>
            <w:tcW w:w="1159" w:type="dxa"/>
            <w:tcBorders>
              <w:top w:val="single" w:sz="4" w:space="0" w:color="auto"/>
              <w:bottom w:val="single" w:sz="4" w:space="0" w:color="auto"/>
            </w:tcBorders>
            <w:shd w:val="clear" w:color="auto" w:fill="FFFFFF"/>
            <w:tcMar>
              <w:left w:w="29" w:type="dxa"/>
              <w:right w:w="29" w:type="dxa"/>
            </w:tcMar>
            <w:vAlign w:val="center"/>
          </w:tcPr>
          <w:p w14:paraId="1AE647F7" w14:textId="77777777" w:rsidR="00237CAB" w:rsidRPr="008A0A60" w:rsidRDefault="00237CAB" w:rsidP="002E7076">
            <w:pPr>
              <w:keepNext/>
              <w:adjustRightInd w:val="0"/>
              <w:snapToGrid w:val="0"/>
              <w:spacing w:after="0" w:line="360" w:lineRule="auto"/>
              <w:jc w:val="both"/>
              <w:rPr>
                <w:rFonts w:ascii="Book Antiqua" w:hAnsi="Book Antiqua" w:cs="Times"/>
                <w:b/>
                <w:bCs/>
                <w:i/>
                <w:iCs/>
                <w:color w:val="000000"/>
                <w:sz w:val="24"/>
                <w:szCs w:val="24"/>
              </w:rPr>
            </w:pPr>
            <w:r w:rsidRPr="008A0A60">
              <w:rPr>
                <w:rFonts w:ascii="Book Antiqua" w:hAnsi="Book Antiqua" w:cs="Times"/>
                <w:b/>
                <w:bCs/>
                <w:i/>
                <w:iCs/>
                <w:color w:val="000000"/>
                <w:sz w:val="24"/>
                <w:szCs w:val="24"/>
              </w:rPr>
              <w:t>n</w:t>
            </w:r>
          </w:p>
        </w:tc>
        <w:tc>
          <w:tcPr>
            <w:tcW w:w="2675" w:type="dxa"/>
            <w:tcBorders>
              <w:top w:val="single" w:sz="4" w:space="0" w:color="auto"/>
              <w:bottom w:val="single" w:sz="4" w:space="0" w:color="auto"/>
            </w:tcBorders>
            <w:shd w:val="clear" w:color="auto" w:fill="FFFFFF"/>
            <w:tcMar>
              <w:left w:w="29" w:type="dxa"/>
              <w:right w:w="29" w:type="dxa"/>
            </w:tcMar>
            <w:vAlign w:val="center"/>
          </w:tcPr>
          <w:p w14:paraId="0F639F22" w14:textId="77777777" w:rsidR="00237CAB" w:rsidRPr="001A403F" w:rsidRDefault="00237CAB" w:rsidP="002E7076">
            <w:pPr>
              <w:keepNext/>
              <w:adjustRightInd w:val="0"/>
              <w:snapToGrid w:val="0"/>
              <w:spacing w:after="0" w:line="360" w:lineRule="auto"/>
              <w:jc w:val="both"/>
              <w:rPr>
                <w:rFonts w:ascii="Book Antiqua" w:hAnsi="Book Antiqua" w:cs="Times"/>
                <w:b/>
                <w:bCs/>
                <w:color w:val="000000"/>
                <w:sz w:val="24"/>
                <w:szCs w:val="24"/>
              </w:rPr>
            </w:pPr>
            <w:r w:rsidRPr="001A403F">
              <w:rPr>
                <w:rFonts w:ascii="Book Antiqua" w:hAnsi="Book Antiqua" w:cs="Times"/>
                <w:b/>
                <w:bCs/>
                <w:color w:val="000000"/>
                <w:sz w:val="24"/>
                <w:szCs w:val="24"/>
              </w:rPr>
              <w:t>Statistics</w:t>
            </w:r>
          </w:p>
        </w:tc>
        <w:tc>
          <w:tcPr>
            <w:tcW w:w="1718" w:type="dxa"/>
            <w:vMerge/>
            <w:tcBorders>
              <w:bottom w:val="single" w:sz="4" w:space="0" w:color="auto"/>
            </w:tcBorders>
            <w:shd w:val="clear" w:color="auto" w:fill="FFFFFF"/>
            <w:tcMar>
              <w:left w:w="29" w:type="dxa"/>
              <w:right w:w="29" w:type="dxa"/>
            </w:tcMar>
            <w:vAlign w:val="center"/>
          </w:tcPr>
          <w:p w14:paraId="56CD9348" w14:textId="71BBBC1C" w:rsidR="00237CAB" w:rsidRPr="001A403F" w:rsidRDefault="00237CAB" w:rsidP="002E7076">
            <w:pPr>
              <w:keepNext/>
              <w:adjustRightInd w:val="0"/>
              <w:snapToGrid w:val="0"/>
              <w:spacing w:after="0" w:line="360" w:lineRule="auto"/>
              <w:jc w:val="both"/>
              <w:rPr>
                <w:rFonts w:ascii="Book Antiqua" w:hAnsi="Book Antiqua" w:cs="Times"/>
                <w:b/>
                <w:bCs/>
                <w:color w:val="000000"/>
                <w:sz w:val="24"/>
                <w:szCs w:val="24"/>
              </w:rPr>
            </w:pPr>
          </w:p>
        </w:tc>
      </w:tr>
      <w:tr w:rsidR="008A0A60" w:rsidRPr="001A403F" w14:paraId="588D195B" w14:textId="77777777" w:rsidTr="00497EE5">
        <w:trPr>
          <w:cantSplit/>
          <w:trHeight w:val="469"/>
        </w:trPr>
        <w:tc>
          <w:tcPr>
            <w:tcW w:w="3953" w:type="dxa"/>
            <w:tcBorders>
              <w:top w:val="single" w:sz="4" w:space="0" w:color="auto"/>
            </w:tcBorders>
            <w:shd w:val="clear" w:color="auto" w:fill="FFFFFF"/>
            <w:tcMar>
              <w:left w:w="29" w:type="dxa"/>
              <w:right w:w="29" w:type="dxa"/>
            </w:tcMar>
            <w:vAlign w:val="center"/>
          </w:tcPr>
          <w:p w14:paraId="119C8B46"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Gender</w:t>
            </w:r>
          </w:p>
        </w:tc>
        <w:tc>
          <w:tcPr>
            <w:tcW w:w="1159" w:type="dxa"/>
            <w:tcBorders>
              <w:top w:val="single" w:sz="4" w:space="0" w:color="auto"/>
            </w:tcBorders>
            <w:shd w:val="clear" w:color="auto" w:fill="FFFFFF"/>
            <w:tcMar>
              <w:left w:w="29" w:type="dxa"/>
              <w:right w:w="29" w:type="dxa"/>
            </w:tcMar>
            <w:vAlign w:val="center"/>
          </w:tcPr>
          <w:p w14:paraId="3D97B7D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tcBorders>
              <w:top w:val="single" w:sz="4" w:space="0" w:color="auto"/>
            </w:tcBorders>
            <w:shd w:val="clear" w:color="auto" w:fill="FFFFFF"/>
            <w:tcMar>
              <w:left w:w="29" w:type="dxa"/>
              <w:right w:w="29" w:type="dxa"/>
            </w:tcMar>
            <w:vAlign w:val="center"/>
          </w:tcPr>
          <w:p w14:paraId="0074DB40"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1159" w:type="dxa"/>
            <w:tcBorders>
              <w:top w:val="single" w:sz="4" w:space="0" w:color="auto"/>
            </w:tcBorders>
            <w:shd w:val="clear" w:color="auto" w:fill="FFFFFF"/>
            <w:tcMar>
              <w:left w:w="29" w:type="dxa"/>
              <w:right w:w="29" w:type="dxa"/>
            </w:tcMar>
            <w:vAlign w:val="center"/>
          </w:tcPr>
          <w:p w14:paraId="456220A0"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tcBorders>
              <w:top w:val="single" w:sz="4" w:space="0" w:color="auto"/>
            </w:tcBorders>
            <w:shd w:val="clear" w:color="auto" w:fill="FFFFFF"/>
            <w:tcMar>
              <w:left w:w="29" w:type="dxa"/>
              <w:right w:w="29" w:type="dxa"/>
            </w:tcMar>
            <w:vAlign w:val="center"/>
          </w:tcPr>
          <w:p w14:paraId="608A7BB8"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1718" w:type="dxa"/>
            <w:tcBorders>
              <w:top w:val="single" w:sz="4" w:space="0" w:color="auto"/>
            </w:tcBorders>
            <w:shd w:val="clear" w:color="auto" w:fill="FFFFFF"/>
            <w:tcMar>
              <w:left w:w="29" w:type="dxa"/>
              <w:right w:w="29" w:type="dxa"/>
            </w:tcMar>
            <w:vAlign w:val="center"/>
          </w:tcPr>
          <w:p w14:paraId="47E9346D" w14:textId="37D0909C"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 0.030</w:t>
            </w:r>
            <w:r w:rsidR="00237CAB">
              <w:rPr>
                <w:rFonts w:ascii="Book Antiqua" w:hAnsi="Book Antiqua" w:cs="Times"/>
                <w:color w:val="000000"/>
                <w:sz w:val="24"/>
                <w:szCs w:val="24"/>
                <w:vertAlign w:val="superscript"/>
              </w:rPr>
              <w:t>2</w:t>
            </w:r>
          </w:p>
        </w:tc>
      </w:tr>
      <w:tr w:rsidR="008A0A60" w:rsidRPr="001A403F" w14:paraId="192F6C13" w14:textId="77777777" w:rsidTr="00497EE5">
        <w:trPr>
          <w:cantSplit/>
          <w:trHeight w:val="483"/>
        </w:trPr>
        <w:tc>
          <w:tcPr>
            <w:tcW w:w="3953" w:type="dxa"/>
            <w:shd w:val="clear" w:color="auto" w:fill="FFFFFF"/>
            <w:tcMar>
              <w:left w:w="29" w:type="dxa"/>
              <w:right w:w="29" w:type="dxa"/>
            </w:tcMar>
            <w:vAlign w:val="center"/>
          </w:tcPr>
          <w:p w14:paraId="38129725" w14:textId="60859680" w:rsidR="008A0A60" w:rsidRPr="001A403F" w:rsidRDefault="008A0A60" w:rsidP="00237CAB">
            <w:pPr>
              <w:adjustRightInd w:val="0"/>
              <w:snapToGrid w:val="0"/>
              <w:spacing w:after="0" w:line="360" w:lineRule="auto"/>
              <w:ind w:firstLineChars="50" w:firstLine="120"/>
              <w:jc w:val="both"/>
              <w:rPr>
                <w:rFonts w:ascii="Book Antiqua" w:hAnsi="Book Antiqua" w:cs="Times"/>
                <w:color w:val="000000"/>
                <w:sz w:val="24"/>
                <w:szCs w:val="24"/>
              </w:rPr>
            </w:pPr>
            <w:r w:rsidRPr="001A403F">
              <w:rPr>
                <w:rFonts w:ascii="Book Antiqua" w:hAnsi="Book Antiqua" w:cs="Times"/>
                <w:color w:val="000000"/>
                <w:sz w:val="24"/>
                <w:szCs w:val="24"/>
              </w:rPr>
              <w:t>Female</w:t>
            </w:r>
          </w:p>
        </w:tc>
        <w:tc>
          <w:tcPr>
            <w:tcW w:w="1159" w:type="dxa"/>
            <w:shd w:val="clear" w:color="auto" w:fill="FFFFFF"/>
            <w:tcMar>
              <w:left w:w="29" w:type="dxa"/>
              <w:right w:w="29" w:type="dxa"/>
            </w:tcMar>
            <w:vAlign w:val="center"/>
          </w:tcPr>
          <w:p w14:paraId="3C3D2D2D"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11FADCCF" w14:textId="1C4D50FB"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151</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(34.6)</w:t>
            </w:r>
          </w:p>
        </w:tc>
        <w:tc>
          <w:tcPr>
            <w:tcW w:w="1159" w:type="dxa"/>
            <w:shd w:val="clear" w:color="auto" w:fill="FFFFFF"/>
            <w:tcMar>
              <w:left w:w="29" w:type="dxa"/>
              <w:right w:w="29" w:type="dxa"/>
            </w:tcMar>
            <w:vAlign w:val="center"/>
          </w:tcPr>
          <w:p w14:paraId="6FEBD94C"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45FC3A63" w14:textId="1ABE9455"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142</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(42.3)</w:t>
            </w:r>
          </w:p>
        </w:tc>
        <w:tc>
          <w:tcPr>
            <w:tcW w:w="1718" w:type="dxa"/>
            <w:shd w:val="clear" w:color="auto" w:fill="FFFFFF"/>
            <w:tcMar>
              <w:left w:w="29" w:type="dxa"/>
              <w:right w:w="29" w:type="dxa"/>
            </w:tcMar>
            <w:vAlign w:val="center"/>
          </w:tcPr>
          <w:p w14:paraId="7DC567E3" w14:textId="77777777"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p>
        </w:tc>
      </w:tr>
      <w:tr w:rsidR="008A0A60" w:rsidRPr="001A403F" w14:paraId="2354F227" w14:textId="77777777" w:rsidTr="00497EE5">
        <w:trPr>
          <w:cantSplit/>
          <w:trHeight w:val="483"/>
        </w:trPr>
        <w:tc>
          <w:tcPr>
            <w:tcW w:w="3953" w:type="dxa"/>
            <w:shd w:val="clear" w:color="auto" w:fill="FFFFFF"/>
            <w:tcMar>
              <w:left w:w="29" w:type="dxa"/>
              <w:right w:w="29" w:type="dxa"/>
            </w:tcMar>
            <w:vAlign w:val="center"/>
          </w:tcPr>
          <w:p w14:paraId="4B51CB13" w14:textId="76BB9586" w:rsidR="008A0A60" w:rsidRPr="001A403F" w:rsidRDefault="008A0A60" w:rsidP="00237CAB">
            <w:pPr>
              <w:adjustRightInd w:val="0"/>
              <w:snapToGrid w:val="0"/>
              <w:spacing w:after="0" w:line="360" w:lineRule="auto"/>
              <w:ind w:firstLineChars="50" w:firstLine="120"/>
              <w:jc w:val="both"/>
              <w:rPr>
                <w:rFonts w:ascii="Book Antiqua" w:hAnsi="Book Antiqua" w:cs="Times"/>
                <w:color w:val="000000"/>
                <w:sz w:val="24"/>
                <w:szCs w:val="24"/>
              </w:rPr>
            </w:pPr>
            <w:r w:rsidRPr="001A403F">
              <w:rPr>
                <w:rFonts w:ascii="Book Antiqua" w:hAnsi="Book Antiqua" w:cs="Times"/>
                <w:color w:val="000000"/>
                <w:sz w:val="24"/>
                <w:szCs w:val="24"/>
              </w:rPr>
              <w:t>Male</w:t>
            </w:r>
          </w:p>
        </w:tc>
        <w:tc>
          <w:tcPr>
            <w:tcW w:w="1159" w:type="dxa"/>
            <w:shd w:val="clear" w:color="auto" w:fill="FFFFFF"/>
            <w:tcMar>
              <w:left w:w="29" w:type="dxa"/>
              <w:right w:w="29" w:type="dxa"/>
            </w:tcMar>
            <w:vAlign w:val="center"/>
          </w:tcPr>
          <w:p w14:paraId="1BE87E42"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41406219" w14:textId="7210D98E"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285</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(65.4)</w:t>
            </w:r>
          </w:p>
        </w:tc>
        <w:tc>
          <w:tcPr>
            <w:tcW w:w="1159" w:type="dxa"/>
            <w:shd w:val="clear" w:color="auto" w:fill="FFFFFF"/>
            <w:tcMar>
              <w:left w:w="29" w:type="dxa"/>
              <w:right w:w="29" w:type="dxa"/>
            </w:tcMar>
            <w:vAlign w:val="center"/>
          </w:tcPr>
          <w:p w14:paraId="48F6362C"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28891B70" w14:textId="5D286754"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194</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(57.7)</w:t>
            </w:r>
          </w:p>
        </w:tc>
        <w:tc>
          <w:tcPr>
            <w:tcW w:w="1718" w:type="dxa"/>
            <w:shd w:val="clear" w:color="auto" w:fill="FFFFFF"/>
            <w:tcMar>
              <w:left w:w="29" w:type="dxa"/>
              <w:right w:w="29" w:type="dxa"/>
            </w:tcMar>
            <w:vAlign w:val="center"/>
          </w:tcPr>
          <w:p w14:paraId="0C2FDD99" w14:textId="77777777"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p>
        </w:tc>
      </w:tr>
      <w:tr w:rsidR="008A0A60" w:rsidRPr="001A403F" w14:paraId="6B2CC958" w14:textId="77777777" w:rsidTr="00497EE5">
        <w:trPr>
          <w:cantSplit/>
          <w:trHeight w:val="469"/>
        </w:trPr>
        <w:tc>
          <w:tcPr>
            <w:tcW w:w="3953" w:type="dxa"/>
            <w:shd w:val="clear" w:color="auto" w:fill="FFFFFF"/>
            <w:tcMar>
              <w:left w:w="29" w:type="dxa"/>
              <w:right w:w="29" w:type="dxa"/>
            </w:tcMar>
            <w:vAlign w:val="center"/>
          </w:tcPr>
          <w:p w14:paraId="0CDA8528" w14:textId="3C6EDF26"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 xml:space="preserve">Serum </w:t>
            </w:r>
            <w:r w:rsidR="00237CAB" w:rsidRPr="001A403F">
              <w:rPr>
                <w:rFonts w:ascii="Book Antiqua" w:hAnsi="Book Antiqua" w:cs="Times"/>
                <w:color w:val="000000"/>
                <w:sz w:val="24"/>
                <w:szCs w:val="24"/>
              </w:rPr>
              <w:t>b</w:t>
            </w:r>
            <w:r w:rsidRPr="001A403F">
              <w:rPr>
                <w:rFonts w:ascii="Book Antiqua" w:hAnsi="Book Antiqua" w:cs="Times"/>
                <w:color w:val="000000"/>
                <w:sz w:val="24"/>
                <w:szCs w:val="24"/>
              </w:rPr>
              <w:t>ilirubin</w:t>
            </w:r>
          </w:p>
        </w:tc>
        <w:tc>
          <w:tcPr>
            <w:tcW w:w="1159" w:type="dxa"/>
            <w:shd w:val="clear" w:color="auto" w:fill="FFFFFF"/>
            <w:tcMar>
              <w:left w:w="29" w:type="dxa"/>
              <w:right w:w="29" w:type="dxa"/>
            </w:tcMar>
            <w:vAlign w:val="center"/>
          </w:tcPr>
          <w:p w14:paraId="363311D8"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435</w:t>
            </w:r>
          </w:p>
        </w:tc>
        <w:tc>
          <w:tcPr>
            <w:tcW w:w="2675" w:type="dxa"/>
            <w:shd w:val="clear" w:color="auto" w:fill="FFFFFF"/>
            <w:tcMar>
              <w:left w:w="29" w:type="dxa"/>
              <w:right w:w="29" w:type="dxa"/>
            </w:tcMar>
            <w:vAlign w:val="center"/>
          </w:tcPr>
          <w:p w14:paraId="60405BCA" w14:textId="03637CFC"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4.2</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2.0,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10.4</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5F31E2C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17D62465" w14:textId="704E0918"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5.0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2.0,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13.5</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43569206" w14:textId="47EFF6B8"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0.26</w:t>
            </w:r>
            <w:r w:rsidR="00237CAB">
              <w:rPr>
                <w:rFonts w:ascii="Book Antiqua" w:hAnsi="Book Antiqua" w:cs="Times"/>
                <w:color w:val="000000"/>
                <w:sz w:val="24"/>
                <w:szCs w:val="24"/>
                <w:vertAlign w:val="superscript"/>
              </w:rPr>
              <w:t>1</w:t>
            </w:r>
          </w:p>
        </w:tc>
      </w:tr>
      <w:tr w:rsidR="008A0A60" w:rsidRPr="001A403F" w14:paraId="723C6DD5" w14:textId="77777777" w:rsidTr="00497EE5">
        <w:trPr>
          <w:cantSplit/>
          <w:trHeight w:val="483"/>
        </w:trPr>
        <w:tc>
          <w:tcPr>
            <w:tcW w:w="3953" w:type="dxa"/>
            <w:shd w:val="clear" w:color="auto" w:fill="FFFFFF"/>
            <w:tcMar>
              <w:left w:w="29" w:type="dxa"/>
              <w:right w:w="29" w:type="dxa"/>
            </w:tcMar>
            <w:vAlign w:val="center"/>
          </w:tcPr>
          <w:p w14:paraId="303514A7"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PT</w:t>
            </w:r>
          </w:p>
        </w:tc>
        <w:tc>
          <w:tcPr>
            <w:tcW w:w="1159" w:type="dxa"/>
            <w:shd w:val="clear" w:color="auto" w:fill="FFFFFF"/>
            <w:tcMar>
              <w:left w:w="29" w:type="dxa"/>
              <w:right w:w="29" w:type="dxa"/>
            </w:tcMar>
            <w:vAlign w:val="center"/>
          </w:tcPr>
          <w:p w14:paraId="7F6622DB"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0C5423BF" w14:textId="73C1AD09"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16.8</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14.2,</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20.7</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06489DAF"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2AD5E8B7" w14:textId="66B1A410"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18.0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14.8,</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23.5</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1637B58C" w14:textId="7CB145D2"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0.003</w:t>
            </w:r>
            <w:r w:rsidR="00237CAB">
              <w:rPr>
                <w:rFonts w:ascii="Book Antiqua" w:hAnsi="Book Antiqua" w:cs="Times"/>
                <w:color w:val="000000"/>
                <w:sz w:val="24"/>
                <w:szCs w:val="24"/>
                <w:vertAlign w:val="superscript"/>
              </w:rPr>
              <w:t>1</w:t>
            </w:r>
          </w:p>
        </w:tc>
      </w:tr>
      <w:tr w:rsidR="008A0A60" w:rsidRPr="001A403F" w14:paraId="0FE12202" w14:textId="77777777" w:rsidTr="00497EE5">
        <w:trPr>
          <w:cantSplit/>
          <w:trHeight w:val="483"/>
        </w:trPr>
        <w:tc>
          <w:tcPr>
            <w:tcW w:w="3953" w:type="dxa"/>
            <w:shd w:val="clear" w:color="auto" w:fill="FFFFFF"/>
            <w:tcMar>
              <w:left w:w="29" w:type="dxa"/>
              <w:right w:w="29" w:type="dxa"/>
            </w:tcMar>
            <w:vAlign w:val="center"/>
          </w:tcPr>
          <w:p w14:paraId="134E8A81"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WBC</w:t>
            </w:r>
          </w:p>
        </w:tc>
        <w:tc>
          <w:tcPr>
            <w:tcW w:w="1159" w:type="dxa"/>
            <w:shd w:val="clear" w:color="auto" w:fill="FFFFFF"/>
            <w:tcMar>
              <w:left w:w="29" w:type="dxa"/>
              <w:right w:w="29" w:type="dxa"/>
            </w:tcMar>
            <w:vAlign w:val="center"/>
          </w:tcPr>
          <w:p w14:paraId="47242FBC"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524813F7" w14:textId="54AF615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7.5</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11.4</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622195E6"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3D80734B" w14:textId="77BB686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8.3</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14.0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71CAE5DC" w14:textId="57B99452"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0.040</w:t>
            </w:r>
            <w:r w:rsidR="00237CAB">
              <w:rPr>
                <w:rFonts w:ascii="Book Antiqua" w:hAnsi="Book Antiqua" w:cs="Times"/>
                <w:color w:val="000000"/>
                <w:sz w:val="24"/>
                <w:szCs w:val="24"/>
                <w:vertAlign w:val="superscript"/>
              </w:rPr>
              <w:t>1</w:t>
            </w:r>
          </w:p>
        </w:tc>
      </w:tr>
      <w:tr w:rsidR="008A0A60" w:rsidRPr="001A403F" w14:paraId="55AFCB1E" w14:textId="77777777" w:rsidTr="00497EE5">
        <w:trPr>
          <w:cantSplit/>
          <w:trHeight w:val="483"/>
        </w:trPr>
        <w:tc>
          <w:tcPr>
            <w:tcW w:w="3953" w:type="dxa"/>
            <w:shd w:val="clear" w:color="auto" w:fill="FFFFFF"/>
            <w:tcMar>
              <w:left w:w="29" w:type="dxa"/>
              <w:right w:w="29" w:type="dxa"/>
            </w:tcMar>
            <w:vAlign w:val="center"/>
          </w:tcPr>
          <w:p w14:paraId="4AE26E95"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MAP</w:t>
            </w:r>
          </w:p>
        </w:tc>
        <w:tc>
          <w:tcPr>
            <w:tcW w:w="1159" w:type="dxa"/>
            <w:shd w:val="clear" w:color="auto" w:fill="FFFFFF"/>
            <w:tcMar>
              <w:left w:w="29" w:type="dxa"/>
              <w:right w:w="29" w:type="dxa"/>
            </w:tcMar>
            <w:vAlign w:val="center"/>
          </w:tcPr>
          <w:p w14:paraId="6BB92B62"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39C245F7" w14:textId="673755B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65.0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56.0,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106.0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20D2936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496D2796" w14:textId="6BA26461"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64.0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56.0,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75.0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0DA03221" w14:textId="49EA3D87"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0.26</w:t>
            </w:r>
            <w:r w:rsidR="00237CAB">
              <w:rPr>
                <w:rFonts w:ascii="Book Antiqua" w:hAnsi="Book Antiqua" w:cs="Times"/>
                <w:color w:val="000000"/>
                <w:sz w:val="24"/>
                <w:szCs w:val="24"/>
                <w:vertAlign w:val="superscript"/>
              </w:rPr>
              <w:t>1</w:t>
            </w:r>
          </w:p>
        </w:tc>
      </w:tr>
      <w:tr w:rsidR="00237CAB" w:rsidRPr="001A403F" w14:paraId="4AB5F648" w14:textId="77777777" w:rsidTr="00497EE5">
        <w:trPr>
          <w:cantSplit/>
          <w:trHeight w:val="469"/>
        </w:trPr>
        <w:tc>
          <w:tcPr>
            <w:tcW w:w="13343" w:type="dxa"/>
            <w:gridSpan w:val="6"/>
            <w:shd w:val="clear" w:color="auto" w:fill="FFFFFF"/>
            <w:tcMar>
              <w:left w:w="29" w:type="dxa"/>
              <w:right w:w="29" w:type="dxa"/>
            </w:tcMar>
            <w:vAlign w:val="center"/>
          </w:tcPr>
          <w:p w14:paraId="2CFB95FE" w14:textId="6E2F76ED" w:rsidR="00237CAB" w:rsidRPr="008A0A60" w:rsidRDefault="00237CAB" w:rsidP="002E7076">
            <w:pPr>
              <w:adjustRightInd w:val="0"/>
              <w:snapToGrid w:val="0"/>
              <w:spacing w:after="0" w:line="360" w:lineRule="auto"/>
              <w:jc w:val="both"/>
              <w:rPr>
                <w:rFonts w:ascii="Book Antiqua" w:hAnsi="Book Antiqua" w:cs="Times"/>
                <w:color w:val="000000"/>
                <w:sz w:val="24"/>
                <w:szCs w:val="24"/>
              </w:rPr>
            </w:pPr>
            <w:r w:rsidRPr="00237CAB">
              <w:rPr>
                <w:rFonts w:ascii="Book Antiqua" w:hAnsi="Book Antiqua" w:cs="Times"/>
                <w:bCs/>
                <w:iCs/>
                <w:color w:val="000000"/>
                <w:sz w:val="24"/>
                <w:szCs w:val="24"/>
              </w:rPr>
              <w:t>Non-liver specific scores</w:t>
            </w:r>
          </w:p>
        </w:tc>
      </w:tr>
      <w:tr w:rsidR="008A0A60" w:rsidRPr="001A403F" w14:paraId="132C4C0A" w14:textId="77777777" w:rsidTr="00497EE5">
        <w:trPr>
          <w:cantSplit/>
          <w:trHeight w:val="483"/>
        </w:trPr>
        <w:tc>
          <w:tcPr>
            <w:tcW w:w="3953" w:type="dxa"/>
            <w:shd w:val="clear" w:color="auto" w:fill="FFFFFF"/>
            <w:tcMar>
              <w:left w:w="29" w:type="dxa"/>
              <w:right w:w="29" w:type="dxa"/>
            </w:tcMar>
            <w:vAlign w:val="center"/>
          </w:tcPr>
          <w:p w14:paraId="41B60D2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APACHE III</w:t>
            </w:r>
          </w:p>
        </w:tc>
        <w:tc>
          <w:tcPr>
            <w:tcW w:w="1159" w:type="dxa"/>
            <w:shd w:val="clear" w:color="auto" w:fill="FFFFFF"/>
            <w:tcMar>
              <w:left w:w="29" w:type="dxa"/>
              <w:right w:w="29" w:type="dxa"/>
            </w:tcMar>
            <w:vAlign w:val="center"/>
          </w:tcPr>
          <w:p w14:paraId="0023B20B"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435</w:t>
            </w:r>
          </w:p>
        </w:tc>
        <w:tc>
          <w:tcPr>
            <w:tcW w:w="2675" w:type="dxa"/>
            <w:shd w:val="clear" w:color="auto" w:fill="FFFFFF"/>
            <w:tcMar>
              <w:left w:w="29" w:type="dxa"/>
              <w:right w:w="29" w:type="dxa"/>
            </w:tcMar>
            <w:vAlign w:val="center"/>
          </w:tcPr>
          <w:p w14:paraId="747202CB" w14:textId="2EDEEFFD"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83.0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65.0,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102.0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03B6F15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333</w:t>
            </w:r>
          </w:p>
        </w:tc>
        <w:tc>
          <w:tcPr>
            <w:tcW w:w="2675" w:type="dxa"/>
            <w:shd w:val="clear" w:color="auto" w:fill="FFFFFF"/>
            <w:tcMar>
              <w:left w:w="29" w:type="dxa"/>
              <w:right w:w="29" w:type="dxa"/>
            </w:tcMar>
            <w:vAlign w:val="center"/>
          </w:tcPr>
          <w:p w14:paraId="1C54CA2E" w14:textId="281D5D1D"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88.0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70.0,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109.0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6BA424FF" w14:textId="18826626"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0.006</w:t>
            </w:r>
            <w:r w:rsidR="00237CAB">
              <w:rPr>
                <w:rFonts w:ascii="Book Antiqua" w:hAnsi="Book Antiqua" w:cs="Times"/>
                <w:color w:val="000000"/>
                <w:sz w:val="24"/>
                <w:szCs w:val="24"/>
                <w:vertAlign w:val="superscript"/>
              </w:rPr>
              <w:t>1</w:t>
            </w:r>
          </w:p>
        </w:tc>
      </w:tr>
      <w:tr w:rsidR="008A0A60" w:rsidRPr="001A403F" w14:paraId="68118543" w14:textId="77777777" w:rsidTr="00497EE5">
        <w:trPr>
          <w:cantSplit/>
          <w:trHeight w:val="483"/>
        </w:trPr>
        <w:tc>
          <w:tcPr>
            <w:tcW w:w="3953" w:type="dxa"/>
            <w:shd w:val="clear" w:color="auto" w:fill="FFFFFF"/>
            <w:tcMar>
              <w:left w:w="29" w:type="dxa"/>
              <w:right w:w="29" w:type="dxa"/>
            </w:tcMar>
            <w:vAlign w:val="center"/>
          </w:tcPr>
          <w:p w14:paraId="256DE9C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SOFA</w:t>
            </w:r>
          </w:p>
        </w:tc>
        <w:tc>
          <w:tcPr>
            <w:tcW w:w="1159" w:type="dxa"/>
            <w:shd w:val="clear" w:color="auto" w:fill="FFFFFF"/>
            <w:tcMar>
              <w:left w:w="29" w:type="dxa"/>
              <w:right w:w="29" w:type="dxa"/>
            </w:tcMar>
            <w:vAlign w:val="center"/>
          </w:tcPr>
          <w:p w14:paraId="04AE88CF"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263</w:t>
            </w:r>
          </w:p>
        </w:tc>
        <w:tc>
          <w:tcPr>
            <w:tcW w:w="2675" w:type="dxa"/>
            <w:shd w:val="clear" w:color="auto" w:fill="FFFFFF"/>
            <w:tcMar>
              <w:left w:w="29" w:type="dxa"/>
              <w:right w:w="29" w:type="dxa"/>
            </w:tcMar>
            <w:vAlign w:val="center"/>
          </w:tcPr>
          <w:p w14:paraId="36C316EF" w14:textId="63AB5EDB"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10.0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8.0,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12.0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267A27EC"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186</w:t>
            </w:r>
          </w:p>
        </w:tc>
        <w:tc>
          <w:tcPr>
            <w:tcW w:w="2675" w:type="dxa"/>
            <w:shd w:val="clear" w:color="auto" w:fill="FFFFFF"/>
            <w:tcMar>
              <w:left w:w="29" w:type="dxa"/>
              <w:right w:w="29" w:type="dxa"/>
            </w:tcMar>
            <w:vAlign w:val="center"/>
          </w:tcPr>
          <w:p w14:paraId="375A4CB2" w14:textId="0BCBE503"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11.0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8.0,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14.0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28EEB138" w14:textId="28B19C24"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0.003</w:t>
            </w:r>
            <w:r w:rsidR="00237CAB">
              <w:rPr>
                <w:rFonts w:ascii="Book Antiqua" w:hAnsi="Book Antiqua" w:cs="Times"/>
                <w:color w:val="000000"/>
                <w:sz w:val="24"/>
                <w:szCs w:val="24"/>
                <w:vertAlign w:val="superscript"/>
              </w:rPr>
              <w:t>1</w:t>
            </w:r>
          </w:p>
        </w:tc>
      </w:tr>
      <w:tr w:rsidR="00237CAB" w:rsidRPr="001A403F" w14:paraId="0A537CEC" w14:textId="77777777" w:rsidTr="00497EE5">
        <w:trPr>
          <w:cantSplit/>
          <w:trHeight w:val="483"/>
        </w:trPr>
        <w:tc>
          <w:tcPr>
            <w:tcW w:w="13343" w:type="dxa"/>
            <w:gridSpan w:val="6"/>
            <w:shd w:val="clear" w:color="auto" w:fill="FFFFFF"/>
            <w:tcMar>
              <w:left w:w="29" w:type="dxa"/>
              <w:right w:w="29" w:type="dxa"/>
            </w:tcMar>
            <w:vAlign w:val="center"/>
          </w:tcPr>
          <w:p w14:paraId="22A40B55" w14:textId="1362B4A5" w:rsidR="00237CAB" w:rsidRPr="008A0A60" w:rsidRDefault="00237CAB" w:rsidP="002E7076">
            <w:pPr>
              <w:adjustRightInd w:val="0"/>
              <w:snapToGrid w:val="0"/>
              <w:spacing w:after="0" w:line="360" w:lineRule="auto"/>
              <w:jc w:val="both"/>
              <w:rPr>
                <w:rFonts w:ascii="Book Antiqua" w:hAnsi="Book Antiqua" w:cs="Times"/>
                <w:color w:val="000000"/>
                <w:sz w:val="24"/>
                <w:szCs w:val="24"/>
              </w:rPr>
            </w:pPr>
            <w:r w:rsidRPr="00237CAB">
              <w:rPr>
                <w:rFonts w:ascii="Book Antiqua" w:hAnsi="Book Antiqua" w:cs="Times"/>
                <w:bCs/>
                <w:iCs/>
                <w:color w:val="000000"/>
                <w:sz w:val="24"/>
                <w:szCs w:val="24"/>
              </w:rPr>
              <w:t>Liver specific scores</w:t>
            </w:r>
          </w:p>
        </w:tc>
      </w:tr>
      <w:tr w:rsidR="008A0A60" w:rsidRPr="001A403F" w14:paraId="30D69E5D" w14:textId="77777777" w:rsidTr="00497EE5">
        <w:trPr>
          <w:cantSplit/>
          <w:trHeight w:val="469"/>
        </w:trPr>
        <w:tc>
          <w:tcPr>
            <w:tcW w:w="3953" w:type="dxa"/>
            <w:shd w:val="clear" w:color="auto" w:fill="FFFFFF"/>
            <w:tcMar>
              <w:left w:w="29" w:type="dxa"/>
              <w:right w:w="29" w:type="dxa"/>
            </w:tcMar>
            <w:vAlign w:val="center"/>
          </w:tcPr>
          <w:p w14:paraId="3FEC1053"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MELD</w:t>
            </w:r>
          </w:p>
        </w:tc>
        <w:tc>
          <w:tcPr>
            <w:tcW w:w="1159" w:type="dxa"/>
            <w:shd w:val="clear" w:color="auto" w:fill="FFFFFF"/>
            <w:tcMar>
              <w:left w:w="29" w:type="dxa"/>
              <w:right w:w="29" w:type="dxa"/>
            </w:tcMar>
            <w:vAlign w:val="center"/>
          </w:tcPr>
          <w:p w14:paraId="5E3B0888"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435</w:t>
            </w:r>
          </w:p>
        </w:tc>
        <w:tc>
          <w:tcPr>
            <w:tcW w:w="2675" w:type="dxa"/>
            <w:shd w:val="clear" w:color="auto" w:fill="FFFFFF"/>
            <w:tcMar>
              <w:left w:w="29" w:type="dxa"/>
              <w:right w:w="29" w:type="dxa"/>
            </w:tcMar>
            <w:vAlign w:val="center"/>
          </w:tcPr>
          <w:p w14:paraId="19C33515" w14:textId="5D76BD56"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22.0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16.0,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30.0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2D882E51"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5C65B42A" w14:textId="25FAC468"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25.0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17.0,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33.0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361077F4" w14:textId="74DC14B9"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0.004</w:t>
            </w:r>
            <w:r w:rsidR="00237CAB">
              <w:rPr>
                <w:rFonts w:ascii="Book Antiqua" w:hAnsi="Book Antiqua" w:cs="Times"/>
                <w:color w:val="000000"/>
                <w:sz w:val="24"/>
                <w:szCs w:val="24"/>
                <w:vertAlign w:val="superscript"/>
              </w:rPr>
              <w:t>1</w:t>
            </w:r>
          </w:p>
        </w:tc>
      </w:tr>
      <w:tr w:rsidR="008A0A60" w:rsidRPr="001A403F" w14:paraId="46264892" w14:textId="77777777" w:rsidTr="00497EE5">
        <w:trPr>
          <w:cantSplit/>
          <w:trHeight w:val="483"/>
        </w:trPr>
        <w:tc>
          <w:tcPr>
            <w:tcW w:w="3953" w:type="dxa"/>
            <w:shd w:val="clear" w:color="auto" w:fill="FFFFFF"/>
            <w:tcMar>
              <w:left w:w="29" w:type="dxa"/>
              <w:right w:w="29" w:type="dxa"/>
            </w:tcMar>
            <w:vAlign w:val="center"/>
          </w:tcPr>
          <w:p w14:paraId="34861DA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MELD-Na</w:t>
            </w:r>
          </w:p>
        </w:tc>
        <w:tc>
          <w:tcPr>
            <w:tcW w:w="1159" w:type="dxa"/>
            <w:shd w:val="clear" w:color="auto" w:fill="FFFFFF"/>
            <w:tcMar>
              <w:left w:w="29" w:type="dxa"/>
              <w:right w:w="29" w:type="dxa"/>
            </w:tcMar>
            <w:vAlign w:val="center"/>
          </w:tcPr>
          <w:p w14:paraId="182BFDD6"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435</w:t>
            </w:r>
          </w:p>
        </w:tc>
        <w:tc>
          <w:tcPr>
            <w:tcW w:w="2675" w:type="dxa"/>
            <w:shd w:val="clear" w:color="auto" w:fill="FFFFFF"/>
            <w:tcMar>
              <w:left w:w="29" w:type="dxa"/>
              <w:right w:w="29" w:type="dxa"/>
            </w:tcMar>
            <w:vAlign w:val="center"/>
          </w:tcPr>
          <w:p w14:paraId="6AB5CBBD" w14:textId="587C7449"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24.0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18.0,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31.0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0C40A7C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2770D296" w14:textId="129F67A4"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27.0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20.0,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34.0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22F257FD" w14:textId="19D42227"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0.006</w:t>
            </w:r>
            <w:r w:rsidR="00237CAB">
              <w:rPr>
                <w:rFonts w:ascii="Book Antiqua" w:hAnsi="Book Antiqua" w:cs="Times"/>
                <w:color w:val="000000"/>
                <w:sz w:val="24"/>
                <w:szCs w:val="24"/>
                <w:vertAlign w:val="superscript"/>
              </w:rPr>
              <w:t>1</w:t>
            </w:r>
          </w:p>
        </w:tc>
      </w:tr>
      <w:tr w:rsidR="008A0A60" w:rsidRPr="001A403F" w14:paraId="0665D6DC" w14:textId="77777777" w:rsidTr="00497EE5">
        <w:trPr>
          <w:cantSplit/>
          <w:trHeight w:val="483"/>
        </w:trPr>
        <w:tc>
          <w:tcPr>
            <w:tcW w:w="3953" w:type="dxa"/>
            <w:shd w:val="clear" w:color="auto" w:fill="FFFFFF"/>
            <w:tcMar>
              <w:left w:w="29" w:type="dxa"/>
              <w:right w:w="29" w:type="dxa"/>
            </w:tcMar>
            <w:vAlign w:val="center"/>
          </w:tcPr>
          <w:p w14:paraId="45BAE3B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CLIF-SOFA</w:t>
            </w:r>
          </w:p>
        </w:tc>
        <w:tc>
          <w:tcPr>
            <w:tcW w:w="1159" w:type="dxa"/>
            <w:shd w:val="clear" w:color="auto" w:fill="FFFFFF"/>
            <w:tcMar>
              <w:left w:w="29" w:type="dxa"/>
              <w:right w:w="29" w:type="dxa"/>
            </w:tcMar>
            <w:vAlign w:val="center"/>
          </w:tcPr>
          <w:p w14:paraId="2DBE41FD"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262</w:t>
            </w:r>
          </w:p>
        </w:tc>
        <w:tc>
          <w:tcPr>
            <w:tcW w:w="2675" w:type="dxa"/>
            <w:shd w:val="clear" w:color="auto" w:fill="FFFFFF"/>
            <w:tcMar>
              <w:left w:w="29" w:type="dxa"/>
              <w:right w:w="29" w:type="dxa"/>
            </w:tcMar>
            <w:vAlign w:val="center"/>
          </w:tcPr>
          <w:p w14:paraId="76F65954" w14:textId="1493B5D4"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11.0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9.0,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13.0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6CB95085"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1C52FB26" w14:textId="52E8317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11.0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9.0,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13.0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74C6B6F5" w14:textId="688571D8"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0.53</w:t>
            </w:r>
            <w:r w:rsidR="00237CAB">
              <w:rPr>
                <w:rFonts w:ascii="Book Antiqua" w:hAnsi="Book Antiqua" w:cs="Times"/>
                <w:color w:val="000000"/>
                <w:sz w:val="24"/>
                <w:szCs w:val="24"/>
                <w:vertAlign w:val="superscript"/>
              </w:rPr>
              <w:t>1</w:t>
            </w:r>
          </w:p>
        </w:tc>
      </w:tr>
      <w:tr w:rsidR="008A0A60" w:rsidRPr="001A403F" w14:paraId="5CF80E8C" w14:textId="77777777" w:rsidTr="00497EE5">
        <w:trPr>
          <w:cantSplit/>
          <w:trHeight w:val="469"/>
        </w:trPr>
        <w:tc>
          <w:tcPr>
            <w:tcW w:w="3953" w:type="dxa"/>
            <w:shd w:val="clear" w:color="auto" w:fill="FFFFFF"/>
            <w:tcMar>
              <w:left w:w="29" w:type="dxa"/>
              <w:right w:w="29" w:type="dxa"/>
            </w:tcMar>
            <w:vAlign w:val="center"/>
          </w:tcPr>
          <w:p w14:paraId="0BF0612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RFH</w:t>
            </w:r>
          </w:p>
        </w:tc>
        <w:tc>
          <w:tcPr>
            <w:tcW w:w="1159" w:type="dxa"/>
            <w:shd w:val="clear" w:color="auto" w:fill="FFFFFF"/>
            <w:tcMar>
              <w:left w:w="29" w:type="dxa"/>
              <w:right w:w="29" w:type="dxa"/>
            </w:tcMar>
            <w:vAlign w:val="center"/>
          </w:tcPr>
          <w:p w14:paraId="1FCC0DF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259</w:t>
            </w:r>
          </w:p>
        </w:tc>
        <w:tc>
          <w:tcPr>
            <w:tcW w:w="2675" w:type="dxa"/>
            <w:shd w:val="clear" w:color="auto" w:fill="FFFFFF"/>
            <w:tcMar>
              <w:left w:w="29" w:type="dxa"/>
              <w:right w:w="29" w:type="dxa"/>
            </w:tcMar>
            <w:vAlign w:val="center"/>
          </w:tcPr>
          <w:p w14:paraId="72401BFC" w14:textId="08D6571E"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0.05</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-0.77,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1.1</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30A5DA88"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184</w:t>
            </w:r>
          </w:p>
        </w:tc>
        <w:tc>
          <w:tcPr>
            <w:tcW w:w="2675" w:type="dxa"/>
            <w:shd w:val="clear" w:color="auto" w:fill="FFFFFF"/>
            <w:tcMar>
              <w:left w:w="29" w:type="dxa"/>
              <w:right w:w="29" w:type="dxa"/>
            </w:tcMar>
            <w:vAlign w:val="center"/>
          </w:tcPr>
          <w:p w14:paraId="65BD7077" w14:textId="4793F3D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0.83</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-0.18,</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2.1</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540B9FA3" w14:textId="64347405"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0.001</w:t>
            </w:r>
            <w:r w:rsidR="00237CAB">
              <w:rPr>
                <w:rFonts w:ascii="Book Antiqua" w:hAnsi="Book Antiqua" w:cs="Times"/>
                <w:color w:val="000000"/>
                <w:sz w:val="24"/>
                <w:szCs w:val="24"/>
                <w:vertAlign w:val="superscript"/>
              </w:rPr>
              <w:t>1</w:t>
            </w:r>
          </w:p>
        </w:tc>
      </w:tr>
      <w:tr w:rsidR="008A0A60" w:rsidRPr="001A403F" w14:paraId="4CB09B56" w14:textId="77777777" w:rsidTr="00497EE5">
        <w:trPr>
          <w:cantSplit/>
          <w:trHeight w:val="483"/>
        </w:trPr>
        <w:tc>
          <w:tcPr>
            <w:tcW w:w="3953" w:type="dxa"/>
            <w:shd w:val="clear" w:color="auto" w:fill="FFFFFF"/>
            <w:tcMar>
              <w:left w:w="29" w:type="dxa"/>
              <w:right w:w="29" w:type="dxa"/>
            </w:tcMar>
            <w:vAlign w:val="center"/>
          </w:tcPr>
          <w:p w14:paraId="33530500"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LIV-4</w:t>
            </w:r>
          </w:p>
        </w:tc>
        <w:tc>
          <w:tcPr>
            <w:tcW w:w="1159" w:type="dxa"/>
            <w:shd w:val="clear" w:color="auto" w:fill="FFFFFF"/>
            <w:tcMar>
              <w:left w:w="29" w:type="dxa"/>
              <w:right w:w="29" w:type="dxa"/>
            </w:tcMar>
            <w:vAlign w:val="center"/>
          </w:tcPr>
          <w:p w14:paraId="12F3994F"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435</w:t>
            </w:r>
          </w:p>
        </w:tc>
        <w:tc>
          <w:tcPr>
            <w:tcW w:w="2675" w:type="dxa"/>
            <w:shd w:val="clear" w:color="auto" w:fill="FFFFFF"/>
            <w:tcMar>
              <w:left w:w="29" w:type="dxa"/>
              <w:right w:w="29" w:type="dxa"/>
            </w:tcMar>
            <w:vAlign w:val="center"/>
          </w:tcPr>
          <w:p w14:paraId="264D2A0B" w14:textId="35D1345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16.8</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43.6</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71DB3A5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025A6D09" w14:textId="766E67C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23.0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7.1,</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57.7</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71B876C0" w14:textId="4F2B6621"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0.007</w:t>
            </w:r>
            <w:r w:rsidR="00237CAB">
              <w:rPr>
                <w:rFonts w:ascii="Book Antiqua" w:hAnsi="Book Antiqua" w:cs="Times"/>
                <w:color w:val="000000"/>
                <w:sz w:val="24"/>
                <w:szCs w:val="24"/>
                <w:vertAlign w:val="superscript"/>
              </w:rPr>
              <w:t>1</w:t>
            </w:r>
          </w:p>
        </w:tc>
      </w:tr>
      <w:tr w:rsidR="00237CAB" w:rsidRPr="001A403F" w14:paraId="12865994" w14:textId="77777777" w:rsidTr="00497EE5">
        <w:trPr>
          <w:cantSplit/>
          <w:trHeight w:val="483"/>
        </w:trPr>
        <w:tc>
          <w:tcPr>
            <w:tcW w:w="13343" w:type="dxa"/>
            <w:gridSpan w:val="6"/>
            <w:shd w:val="clear" w:color="auto" w:fill="FFFFFF"/>
            <w:tcMar>
              <w:left w:w="29" w:type="dxa"/>
              <w:right w:w="29" w:type="dxa"/>
            </w:tcMar>
            <w:vAlign w:val="center"/>
          </w:tcPr>
          <w:p w14:paraId="4566C452" w14:textId="4041A5CF" w:rsidR="00237CAB" w:rsidRPr="008A0A60" w:rsidRDefault="00237CAB" w:rsidP="002E7076">
            <w:pPr>
              <w:adjustRightInd w:val="0"/>
              <w:snapToGrid w:val="0"/>
              <w:spacing w:after="0" w:line="360" w:lineRule="auto"/>
              <w:jc w:val="both"/>
              <w:rPr>
                <w:rFonts w:ascii="Book Antiqua" w:hAnsi="Book Antiqua" w:cs="Times"/>
                <w:color w:val="000000"/>
                <w:sz w:val="24"/>
                <w:szCs w:val="24"/>
              </w:rPr>
            </w:pPr>
            <w:r w:rsidRPr="00237CAB">
              <w:rPr>
                <w:rFonts w:ascii="Book Antiqua" w:hAnsi="Book Antiqua" w:cs="Times"/>
                <w:bCs/>
                <w:iCs/>
                <w:color w:val="000000"/>
                <w:sz w:val="24"/>
                <w:szCs w:val="24"/>
              </w:rPr>
              <w:lastRenderedPageBreak/>
              <w:t>Admission outcomes</w:t>
            </w:r>
          </w:p>
        </w:tc>
      </w:tr>
      <w:tr w:rsidR="008A0A60" w:rsidRPr="001A403F" w14:paraId="6605C469" w14:textId="77777777" w:rsidTr="00497EE5">
        <w:trPr>
          <w:cantSplit/>
          <w:trHeight w:val="469"/>
        </w:trPr>
        <w:tc>
          <w:tcPr>
            <w:tcW w:w="3953" w:type="dxa"/>
            <w:shd w:val="clear" w:color="auto" w:fill="FFFFFF"/>
            <w:tcMar>
              <w:left w:w="29" w:type="dxa"/>
              <w:right w:w="29" w:type="dxa"/>
            </w:tcMar>
            <w:vAlign w:val="center"/>
          </w:tcPr>
          <w:p w14:paraId="472749CC" w14:textId="69AABD69"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ICU LOS (d)</w:t>
            </w:r>
          </w:p>
        </w:tc>
        <w:tc>
          <w:tcPr>
            <w:tcW w:w="1159" w:type="dxa"/>
            <w:shd w:val="clear" w:color="auto" w:fill="FFFFFF"/>
            <w:tcMar>
              <w:left w:w="29" w:type="dxa"/>
              <w:right w:w="29" w:type="dxa"/>
            </w:tcMar>
            <w:vAlign w:val="center"/>
          </w:tcPr>
          <w:p w14:paraId="4946F871"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42B5DF04" w14:textId="62DE1BDC"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2.6</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1.4,</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5.2</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76E61C9F"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74E4EAFB" w14:textId="049166E4"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3.7</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2.0,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7.6</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5DE2EF5E" w14:textId="6F0B7FF6"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Pr>
                <w:rFonts w:ascii="Book Antiqua" w:hAnsi="Book Antiqua" w:cs="Times"/>
                <w:color w:val="000000"/>
                <w:sz w:val="24"/>
                <w:szCs w:val="24"/>
              </w:rPr>
              <w:t xml:space="preserve"> </w:t>
            </w:r>
            <w:r w:rsidRPr="008A0A60">
              <w:rPr>
                <w:rFonts w:ascii="Book Antiqua" w:hAnsi="Book Antiqua" w:cs="Times"/>
                <w:color w:val="000000"/>
                <w:sz w:val="24"/>
                <w:szCs w:val="24"/>
              </w:rPr>
              <w:t>0.001</w:t>
            </w:r>
            <w:r w:rsidR="00237CAB">
              <w:rPr>
                <w:rFonts w:ascii="Book Antiqua" w:hAnsi="Book Antiqua" w:cs="Times"/>
                <w:color w:val="000000"/>
                <w:sz w:val="24"/>
                <w:szCs w:val="24"/>
                <w:vertAlign w:val="superscript"/>
              </w:rPr>
              <w:t>1</w:t>
            </w:r>
          </w:p>
        </w:tc>
      </w:tr>
      <w:tr w:rsidR="008A0A60" w:rsidRPr="001A403F" w14:paraId="07A3EF3F" w14:textId="77777777" w:rsidTr="00497EE5">
        <w:trPr>
          <w:cantSplit/>
          <w:trHeight w:val="483"/>
        </w:trPr>
        <w:tc>
          <w:tcPr>
            <w:tcW w:w="3953" w:type="dxa"/>
            <w:shd w:val="clear" w:color="auto" w:fill="FFFFFF"/>
            <w:tcMar>
              <w:left w:w="29" w:type="dxa"/>
              <w:right w:w="29" w:type="dxa"/>
            </w:tcMar>
            <w:vAlign w:val="center"/>
          </w:tcPr>
          <w:p w14:paraId="064CD321" w14:textId="56316785"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Hospital LOS (d)</w:t>
            </w:r>
          </w:p>
        </w:tc>
        <w:tc>
          <w:tcPr>
            <w:tcW w:w="1159" w:type="dxa"/>
            <w:shd w:val="clear" w:color="auto" w:fill="FFFFFF"/>
            <w:tcMar>
              <w:left w:w="29" w:type="dxa"/>
              <w:right w:w="29" w:type="dxa"/>
            </w:tcMar>
            <w:vAlign w:val="center"/>
          </w:tcPr>
          <w:p w14:paraId="4C4C4A71"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25D0A665" w14:textId="76EC50A1"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8.7</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4.7,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16.8</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30703C73"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5CCBE5E3" w14:textId="5924E183"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11.7</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22.0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3009EBB3" w14:textId="36BD6AA4"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Pr>
                <w:rFonts w:ascii="Book Antiqua" w:hAnsi="Book Antiqua" w:cs="Times"/>
                <w:color w:val="000000"/>
                <w:sz w:val="24"/>
                <w:szCs w:val="24"/>
              </w:rPr>
              <w:t xml:space="preserve"> </w:t>
            </w:r>
            <w:r w:rsidRPr="008A0A60">
              <w:rPr>
                <w:rFonts w:ascii="Book Antiqua" w:hAnsi="Book Antiqua" w:cs="Times"/>
                <w:color w:val="000000"/>
                <w:sz w:val="24"/>
                <w:szCs w:val="24"/>
              </w:rPr>
              <w:t>0.002</w:t>
            </w:r>
            <w:r w:rsidR="00237CAB">
              <w:rPr>
                <w:rFonts w:ascii="Book Antiqua" w:hAnsi="Book Antiqua" w:cs="Times"/>
                <w:color w:val="000000"/>
                <w:sz w:val="24"/>
                <w:szCs w:val="24"/>
                <w:vertAlign w:val="superscript"/>
              </w:rPr>
              <w:t>1</w:t>
            </w:r>
          </w:p>
        </w:tc>
      </w:tr>
      <w:tr w:rsidR="008A0A60" w:rsidRPr="001A403F" w14:paraId="2552D278" w14:textId="77777777" w:rsidTr="00497EE5">
        <w:trPr>
          <w:cantSplit/>
          <w:trHeight w:val="483"/>
        </w:trPr>
        <w:tc>
          <w:tcPr>
            <w:tcW w:w="3953" w:type="dxa"/>
            <w:shd w:val="clear" w:color="auto" w:fill="FFFFFF"/>
            <w:tcMar>
              <w:left w:w="29" w:type="dxa"/>
              <w:right w:w="29" w:type="dxa"/>
            </w:tcMar>
            <w:vAlign w:val="center"/>
          </w:tcPr>
          <w:p w14:paraId="371E06B9" w14:textId="67B203BA"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 xml:space="preserve">Hospital </w:t>
            </w:r>
            <w:r w:rsidR="00237CAB" w:rsidRPr="001A403F">
              <w:rPr>
                <w:rFonts w:ascii="Book Antiqua" w:hAnsi="Book Antiqua" w:cs="Times"/>
                <w:color w:val="000000"/>
                <w:sz w:val="24"/>
                <w:szCs w:val="24"/>
              </w:rPr>
              <w:t>d</w:t>
            </w:r>
            <w:r w:rsidRPr="001A403F">
              <w:rPr>
                <w:rFonts w:ascii="Book Antiqua" w:hAnsi="Book Antiqua" w:cs="Times"/>
                <w:color w:val="000000"/>
                <w:sz w:val="24"/>
                <w:szCs w:val="24"/>
              </w:rPr>
              <w:t xml:space="preserve">ischarge </w:t>
            </w:r>
            <w:r w:rsidR="00237CAB" w:rsidRPr="001A403F">
              <w:rPr>
                <w:rFonts w:ascii="Book Antiqua" w:hAnsi="Book Antiqua" w:cs="Times"/>
                <w:color w:val="000000"/>
                <w:sz w:val="24"/>
                <w:szCs w:val="24"/>
              </w:rPr>
              <w:t>s</w:t>
            </w:r>
            <w:r w:rsidRPr="001A403F">
              <w:rPr>
                <w:rFonts w:ascii="Book Antiqua" w:hAnsi="Book Antiqua" w:cs="Times"/>
                <w:color w:val="000000"/>
                <w:sz w:val="24"/>
                <w:szCs w:val="24"/>
              </w:rPr>
              <w:t>tatus</w:t>
            </w:r>
          </w:p>
        </w:tc>
        <w:tc>
          <w:tcPr>
            <w:tcW w:w="1159" w:type="dxa"/>
            <w:shd w:val="clear" w:color="auto" w:fill="FFFFFF"/>
            <w:tcMar>
              <w:left w:w="29" w:type="dxa"/>
              <w:right w:w="29" w:type="dxa"/>
            </w:tcMar>
            <w:vAlign w:val="center"/>
          </w:tcPr>
          <w:p w14:paraId="15F4C1F3"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69C1397A"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1159" w:type="dxa"/>
            <w:shd w:val="clear" w:color="auto" w:fill="FFFFFF"/>
            <w:tcMar>
              <w:left w:w="29" w:type="dxa"/>
              <w:right w:w="29" w:type="dxa"/>
            </w:tcMar>
            <w:vAlign w:val="center"/>
          </w:tcPr>
          <w:p w14:paraId="4F3E234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1DDBD5ED"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1718" w:type="dxa"/>
            <w:shd w:val="clear" w:color="auto" w:fill="FFFFFF"/>
            <w:tcMar>
              <w:left w:w="29" w:type="dxa"/>
              <w:right w:w="29" w:type="dxa"/>
            </w:tcMar>
            <w:vAlign w:val="center"/>
          </w:tcPr>
          <w:p w14:paraId="4DC8A445" w14:textId="21852DBA"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Pr>
                <w:rFonts w:ascii="Book Antiqua" w:hAnsi="Book Antiqua" w:cs="Times"/>
                <w:color w:val="000000"/>
                <w:sz w:val="24"/>
                <w:szCs w:val="24"/>
              </w:rPr>
              <w:t xml:space="preserve"> </w:t>
            </w:r>
            <w:r w:rsidRPr="008A0A60">
              <w:rPr>
                <w:rFonts w:ascii="Book Antiqua" w:hAnsi="Book Antiqua" w:cs="Times"/>
                <w:color w:val="000000"/>
                <w:sz w:val="24"/>
                <w:szCs w:val="24"/>
              </w:rPr>
              <w:t>0.17</w:t>
            </w:r>
            <w:r w:rsidR="00237CAB" w:rsidRPr="00237CAB">
              <w:rPr>
                <w:rFonts w:ascii="Book Antiqua" w:hAnsi="Book Antiqua" w:cs="Times"/>
                <w:color w:val="000000"/>
                <w:sz w:val="24"/>
                <w:szCs w:val="24"/>
                <w:vertAlign w:val="superscript"/>
              </w:rPr>
              <w:t>2</w:t>
            </w:r>
          </w:p>
        </w:tc>
      </w:tr>
      <w:tr w:rsidR="008A0A60" w:rsidRPr="001A403F" w14:paraId="28FB4C51" w14:textId="77777777" w:rsidTr="00497EE5">
        <w:trPr>
          <w:cantSplit/>
          <w:trHeight w:val="483"/>
        </w:trPr>
        <w:tc>
          <w:tcPr>
            <w:tcW w:w="3953" w:type="dxa"/>
            <w:shd w:val="clear" w:color="auto" w:fill="FFFFFF"/>
            <w:tcMar>
              <w:left w:w="29" w:type="dxa"/>
              <w:right w:w="29" w:type="dxa"/>
            </w:tcMar>
            <w:vAlign w:val="center"/>
          </w:tcPr>
          <w:p w14:paraId="7561128B" w14:textId="607998B0" w:rsidR="008A0A60" w:rsidRPr="001A403F" w:rsidRDefault="008A0A60" w:rsidP="00237CAB">
            <w:pPr>
              <w:adjustRightInd w:val="0"/>
              <w:snapToGrid w:val="0"/>
              <w:spacing w:after="0" w:line="360" w:lineRule="auto"/>
              <w:ind w:firstLineChars="100" w:firstLine="240"/>
              <w:jc w:val="both"/>
              <w:rPr>
                <w:rFonts w:ascii="Book Antiqua" w:hAnsi="Book Antiqua" w:cs="Times"/>
                <w:color w:val="000000"/>
                <w:sz w:val="24"/>
                <w:szCs w:val="24"/>
              </w:rPr>
            </w:pPr>
            <w:r w:rsidRPr="001A403F">
              <w:rPr>
                <w:rFonts w:ascii="Book Antiqua" w:hAnsi="Book Antiqua" w:cs="Times"/>
                <w:color w:val="000000"/>
                <w:sz w:val="24"/>
                <w:szCs w:val="24"/>
              </w:rPr>
              <w:t>Discharged alive</w:t>
            </w:r>
          </w:p>
        </w:tc>
        <w:tc>
          <w:tcPr>
            <w:tcW w:w="1159" w:type="dxa"/>
            <w:shd w:val="clear" w:color="auto" w:fill="FFFFFF"/>
            <w:tcMar>
              <w:left w:w="29" w:type="dxa"/>
              <w:right w:w="29" w:type="dxa"/>
            </w:tcMar>
            <w:vAlign w:val="center"/>
          </w:tcPr>
          <w:p w14:paraId="28114D3E"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3ACD08FC" w14:textId="7903B5D9"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317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(72.7)</w:t>
            </w:r>
          </w:p>
        </w:tc>
        <w:tc>
          <w:tcPr>
            <w:tcW w:w="1159" w:type="dxa"/>
            <w:shd w:val="clear" w:color="auto" w:fill="FFFFFF"/>
            <w:tcMar>
              <w:left w:w="29" w:type="dxa"/>
              <w:right w:w="29" w:type="dxa"/>
            </w:tcMar>
            <w:vAlign w:val="center"/>
          </w:tcPr>
          <w:p w14:paraId="7E20C1A1"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49B13F44" w14:textId="050299EC"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229</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(68.2)</w:t>
            </w:r>
          </w:p>
        </w:tc>
        <w:tc>
          <w:tcPr>
            <w:tcW w:w="1718" w:type="dxa"/>
            <w:shd w:val="clear" w:color="auto" w:fill="FFFFFF"/>
            <w:tcMar>
              <w:left w:w="29" w:type="dxa"/>
              <w:right w:w="29" w:type="dxa"/>
            </w:tcMar>
            <w:vAlign w:val="center"/>
          </w:tcPr>
          <w:p w14:paraId="145F598E" w14:textId="77777777"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p>
        </w:tc>
      </w:tr>
      <w:tr w:rsidR="008A0A60" w:rsidRPr="001A403F" w14:paraId="741FFCB7" w14:textId="77777777" w:rsidTr="00497EE5">
        <w:trPr>
          <w:cantSplit/>
          <w:trHeight w:val="483"/>
        </w:trPr>
        <w:tc>
          <w:tcPr>
            <w:tcW w:w="3953" w:type="dxa"/>
            <w:tcBorders>
              <w:bottom w:val="single" w:sz="4" w:space="0" w:color="auto"/>
            </w:tcBorders>
            <w:shd w:val="clear" w:color="auto" w:fill="FFFFFF"/>
            <w:tcMar>
              <w:left w:w="29" w:type="dxa"/>
              <w:right w:w="29" w:type="dxa"/>
            </w:tcMar>
            <w:vAlign w:val="center"/>
          </w:tcPr>
          <w:p w14:paraId="4BAB8DF3" w14:textId="17E2BC89" w:rsidR="008A0A60" w:rsidRPr="001A403F" w:rsidRDefault="008A0A60" w:rsidP="00237CAB">
            <w:pPr>
              <w:keepNext/>
              <w:adjustRightInd w:val="0"/>
              <w:snapToGrid w:val="0"/>
              <w:spacing w:after="0" w:line="360" w:lineRule="auto"/>
              <w:ind w:firstLineChars="100" w:firstLine="240"/>
              <w:jc w:val="both"/>
              <w:rPr>
                <w:rFonts w:ascii="Book Antiqua" w:hAnsi="Book Antiqua" w:cs="Times"/>
                <w:color w:val="000000"/>
                <w:sz w:val="24"/>
                <w:szCs w:val="24"/>
              </w:rPr>
            </w:pPr>
            <w:r w:rsidRPr="001A403F">
              <w:rPr>
                <w:rFonts w:ascii="Book Antiqua" w:hAnsi="Book Antiqua" w:cs="Times"/>
                <w:color w:val="000000"/>
                <w:sz w:val="24"/>
                <w:szCs w:val="24"/>
              </w:rPr>
              <w:t>In-hospital death</w:t>
            </w:r>
          </w:p>
        </w:tc>
        <w:tc>
          <w:tcPr>
            <w:tcW w:w="1159" w:type="dxa"/>
            <w:tcBorders>
              <w:bottom w:val="single" w:sz="4" w:space="0" w:color="auto"/>
            </w:tcBorders>
            <w:shd w:val="clear" w:color="auto" w:fill="FFFFFF"/>
            <w:tcMar>
              <w:left w:w="29" w:type="dxa"/>
              <w:right w:w="29" w:type="dxa"/>
            </w:tcMar>
            <w:vAlign w:val="center"/>
          </w:tcPr>
          <w:p w14:paraId="0F718AE8" w14:textId="77777777" w:rsidR="008A0A60" w:rsidRPr="001A403F" w:rsidRDefault="008A0A60" w:rsidP="002E7076">
            <w:pPr>
              <w:keepNext/>
              <w:adjustRightInd w:val="0"/>
              <w:snapToGrid w:val="0"/>
              <w:spacing w:after="0" w:line="360" w:lineRule="auto"/>
              <w:jc w:val="both"/>
              <w:rPr>
                <w:rFonts w:ascii="Book Antiqua" w:hAnsi="Book Antiqua" w:cs="Times"/>
                <w:color w:val="000000"/>
                <w:sz w:val="24"/>
                <w:szCs w:val="24"/>
              </w:rPr>
            </w:pPr>
          </w:p>
        </w:tc>
        <w:tc>
          <w:tcPr>
            <w:tcW w:w="2675" w:type="dxa"/>
            <w:tcBorders>
              <w:bottom w:val="single" w:sz="4" w:space="0" w:color="auto"/>
            </w:tcBorders>
            <w:shd w:val="clear" w:color="auto" w:fill="FFFFFF"/>
            <w:tcMar>
              <w:left w:w="29" w:type="dxa"/>
              <w:right w:w="29" w:type="dxa"/>
            </w:tcMar>
            <w:vAlign w:val="center"/>
          </w:tcPr>
          <w:p w14:paraId="11EAA1C7" w14:textId="1E6432EE" w:rsidR="008A0A60" w:rsidRPr="001A403F" w:rsidRDefault="008A0A60" w:rsidP="002E7076">
            <w:pPr>
              <w:keepNext/>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119</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(27.3)</w:t>
            </w:r>
          </w:p>
        </w:tc>
        <w:tc>
          <w:tcPr>
            <w:tcW w:w="1159" w:type="dxa"/>
            <w:tcBorders>
              <w:bottom w:val="single" w:sz="4" w:space="0" w:color="auto"/>
            </w:tcBorders>
            <w:shd w:val="clear" w:color="auto" w:fill="FFFFFF"/>
            <w:tcMar>
              <w:left w:w="29" w:type="dxa"/>
              <w:right w:w="29" w:type="dxa"/>
            </w:tcMar>
            <w:vAlign w:val="center"/>
          </w:tcPr>
          <w:p w14:paraId="33B7C27F" w14:textId="77777777" w:rsidR="008A0A60" w:rsidRPr="001A403F" w:rsidRDefault="008A0A60" w:rsidP="002E7076">
            <w:pPr>
              <w:keepNext/>
              <w:adjustRightInd w:val="0"/>
              <w:snapToGrid w:val="0"/>
              <w:spacing w:after="0" w:line="360" w:lineRule="auto"/>
              <w:jc w:val="both"/>
              <w:rPr>
                <w:rFonts w:ascii="Book Antiqua" w:hAnsi="Book Antiqua" w:cs="Times"/>
                <w:color w:val="000000"/>
                <w:sz w:val="24"/>
                <w:szCs w:val="24"/>
              </w:rPr>
            </w:pPr>
          </w:p>
        </w:tc>
        <w:tc>
          <w:tcPr>
            <w:tcW w:w="2675" w:type="dxa"/>
            <w:tcBorders>
              <w:bottom w:val="single" w:sz="4" w:space="0" w:color="auto"/>
            </w:tcBorders>
            <w:shd w:val="clear" w:color="auto" w:fill="FFFFFF"/>
            <w:tcMar>
              <w:left w:w="29" w:type="dxa"/>
              <w:right w:w="29" w:type="dxa"/>
            </w:tcMar>
            <w:vAlign w:val="center"/>
          </w:tcPr>
          <w:p w14:paraId="2BAD5216" w14:textId="4FD7B4D2" w:rsidR="008A0A60" w:rsidRPr="001A403F" w:rsidRDefault="008A0A60" w:rsidP="002E7076">
            <w:pPr>
              <w:keepNext/>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107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(31.8)</w:t>
            </w:r>
          </w:p>
        </w:tc>
        <w:tc>
          <w:tcPr>
            <w:tcW w:w="1718" w:type="dxa"/>
            <w:tcBorders>
              <w:bottom w:val="single" w:sz="4" w:space="0" w:color="auto"/>
            </w:tcBorders>
            <w:shd w:val="clear" w:color="auto" w:fill="FFFFFF"/>
            <w:tcMar>
              <w:left w:w="29" w:type="dxa"/>
              <w:right w:w="29" w:type="dxa"/>
            </w:tcMar>
            <w:vAlign w:val="center"/>
          </w:tcPr>
          <w:p w14:paraId="4310BC98" w14:textId="77777777" w:rsidR="008A0A60" w:rsidRPr="008A0A60" w:rsidRDefault="008A0A60" w:rsidP="002E7076">
            <w:pPr>
              <w:keepNext/>
              <w:adjustRightInd w:val="0"/>
              <w:snapToGrid w:val="0"/>
              <w:spacing w:after="0" w:line="360" w:lineRule="auto"/>
              <w:jc w:val="both"/>
              <w:rPr>
                <w:rFonts w:ascii="Book Antiqua" w:hAnsi="Book Antiqua" w:cs="Times"/>
                <w:color w:val="000000"/>
                <w:sz w:val="24"/>
                <w:szCs w:val="24"/>
              </w:rPr>
            </w:pPr>
          </w:p>
        </w:tc>
      </w:tr>
    </w:tbl>
    <w:p w14:paraId="44503C96" w14:textId="5223769F" w:rsidR="00122F9D" w:rsidRPr="00D1068D" w:rsidRDefault="00237CAB" w:rsidP="002E7076">
      <w:pPr>
        <w:adjustRightInd w:val="0"/>
        <w:snapToGrid w:val="0"/>
        <w:spacing w:after="0" w:line="360" w:lineRule="auto"/>
        <w:jc w:val="both"/>
        <w:rPr>
          <w:rFonts w:ascii="Book Antiqua" w:hAnsi="Book Antiqua" w:cs="Times New Roman"/>
          <w:sz w:val="24"/>
          <w:szCs w:val="24"/>
        </w:rPr>
      </w:pPr>
      <w:r w:rsidRPr="00237CAB">
        <w:rPr>
          <w:rFonts w:ascii="Book Antiqua" w:hAnsi="Book Antiqua" w:cs="Times"/>
          <w:color w:val="000000"/>
          <w:sz w:val="24"/>
          <w:szCs w:val="24"/>
          <w:vertAlign w:val="superscript"/>
        </w:rPr>
        <w:t>1</w:t>
      </w:r>
      <w:r w:rsidRPr="00237CAB">
        <w:rPr>
          <w:rFonts w:ascii="Book Antiqua" w:hAnsi="Book Antiqua" w:cs="Times"/>
          <w:color w:val="000000"/>
          <w:sz w:val="24"/>
          <w:szCs w:val="24"/>
        </w:rPr>
        <w:t>Kruskal-Wallis</w:t>
      </w:r>
      <w:r w:rsidR="0099526C">
        <w:rPr>
          <w:rFonts w:ascii="Book Antiqua" w:hAnsi="Book Antiqua" w:cs="Times"/>
          <w:color w:val="000000"/>
          <w:sz w:val="24"/>
          <w:szCs w:val="24"/>
        </w:rPr>
        <w:t xml:space="preserve"> </w:t>
      </w:r>
      <w:r w:rsidRPr="00237CAB">
        <w:rPr>
          <w:rFonts w:ascii="Book Antiqua" w:hAnsi="Book Antiqua" w:cs="Times"/>
          <w:color w:val="000000"/>
          <w:sz w:val="24"/>
          <w:szCs w:val="24"/>
        </w:rPr>
        <w:t>test</w:t>
      </w:r>
      <w:r w:rsidR="00280E1F">
        <w:rPr>
          <w:rFonts w:ascii="Book Antiqua" w:hAnsi="Book Antiqua" w:cs="Times"/>
          <w:color w:val="000000"/>
          <w:sz w:val="24"/>
          <w:szCs w:val="24"/>
        </w:rPr>
        <w:t>.</w:t>
      </w:r>
      <w:r w:rsidRPr="00237CAB">
        <w:rPr>
          <w:rFonts w:ascii="Book Antiqua" w:hAnsi="Book Antiqua" w:cs="Times"/>
          <w:color w:val="000000"/>
          <w:sz w:val="24"/>
          <w:szCs w:val="24"/>
        </w:rPr>
        <w:t xml:space="preserve"> </w:t>
      </w:r>
      <w:r w:rsidRPr="00237CAB">
        <w:rPr>
          <w:rFonts w:ascii="Book Antiqua" w:hAnsi="Book Antiqua" w:cs="Times"/>
          <w:color w:val="000000"/>
          <w:sz w:val="24"/>
          <w:szCs w:val="24"/>
          <w:vertAlign w:val="superscript"/>
        </w:rPr>
        <w:t>2</w:t>
      </w:r>
      <w:r w:rsidRPr="00237CAB">
        <w:rPr>
          <w:rFonts w:ascii="Book Antiqua" w:hAnsi="Book Antiqua" w:cs="Times"/>
          <w:color w:val="000000"/>
          <w:sz w:val="24"/>
          <w:szCs w:val="24"/>
        </w:rPr>
        <w:t>Pearson</w:t>
      </w:r>
      <w:r w:rsidRPr="00237CAB">
        <w:rPr>
          <w:rFonts w:ascii="Book Antiqua" w:hAnsi="Book Antiqua" w:cs="Times"/>
          <w:color w:val="000000"/>
          <w:sz w:val="24"/>
          <w:szCs w:val="24"/>
          <w:lang w:eastAsia="zh-CN"/>
        </w:rPr>
        <w:t>’</w:t>
      </w:r>
      <w:r w:rsidRPr="00237CAB">
        <w:rPr>
          <w:rFonts w:ascii="Book Antiqua" w:hAnsi="Book Antiqua" w:cs="Times"/>
          <w:color w:val="000000"/>
          <w:sz w:val="24"/>
          <w:szCs w:val="24"/>
        </w:rPr>
        <w:t>s</w:t>
      </w:r>
      <w:r w:rsidR="0099526C">
        <w:rPr>
          <w:rFonts w:ascii="Book Antiqua" w:hAnsi="Book Antiqua" w:cs="Times"/>
          <w:color w:val="000000"/>
          <w:sz w:val="24"/>
          <w:szCs w:val="24"/>
        </w:rPr>
        <w:t xml:space="preserve"> </w:t>
      </w:r>
      <w:r w:rsidRPr="00237CAB">
        <w:rPr>
          <w:rFonts w:ascii="Book Antiqua" w:hAnsi="Book Antiqua" w:cs="Times New Roman"/>
          <w:i/>
          <w:iCs/>
          <w:sz w:val="24"/>
          <w:szCs w:val="24"/>
        </w:rPr>
        <w:t>χ</w:t>
      </w:r>
      <w:r w:rsidRPr="00237CAB">
        <w:rPr>
          <w:rFonts w:ascii="Book Antiqua" w:hAnsi="Book Antiqua" w:cs="Times New Roman"/>
          <w:sz w:val="24"/>
          <w:szCs w:val="24"/>
          <w:vertAlign w:val="superscript"/>
        </w:rPr>
        <w:t>2</w:t>
      </w:r>
      <w:r w:rsidR="0099526C">
        <w:rPr>
          <w:rFonts w:ascii="Book Antiqua" w:hAnsi="Book Antiqua" w:cs="Times"/>
          <w:color w:val="000000"/>
          <w:sz w:val="24"/>
          <w:szCs w:val="24"/>
        </w:rPr>
        <w:t xml:space="preserve"> </w:t>
      </w:r>
      <w:r w:rsidRPr="00237CAB">
        <w:rPr>
          <w:rFonts w:ascii="Book Antiqua" w:hAnsi="Book Antiqua" w:cs="Times"/>
          <w:color w:val="000000"/>
          <w:sz w:val="24"/>
          <w:szCs w:val="24"/>
        </w:rPr>
        <w:t>test.</w:t>
      </w:r>
      <w:r>
        <w:rPr>
          <w:rFonts w:ascii="Book Antiqua" w:hAnsi="Book Antiqua" w:cs="Times New Roman" w:hint="eastAsia"/>
          <w:sz w:val="24"/>
          <w:szCs w:val="24"/>
          <w:lang w:eastAsia="zh-CN"/>
        </w:rPr>
        <w:t xml:space="preserve"> </w:t>
      </w:r>
      <w:r w:rsidR="000B1B45" w:rsidRPr="001A403F">
        <w:rPr>
          <w:rFonts w:ascii="Book Antiqua" w:hAnsi="Book Antiqua" w:cs="Times New Roman"/>
          <w:sz w:val="24"/>
          <w:szCs w:val="24"/>
        </w:rPr>
        <w:t>PT:</w:t>
      </w:r>
      <w:r w:rsidR="000B1B45">
        <w:rPr>
          <w:rFonts w:ascii="Book Antiqua" w:hAnsi="Book Antiqua" w:cs="Times New Roman"/>
          <w:sz w:val="24"/>
          <w:szCs w:val="24"/>
        </w:rPr>
        <w:t xml:space="preserve"> </w:t>
      </w:r>
      <w:r w:rsidR="007D7AB8" w:rsidRPr="001A403F">
        <w:rPr>
          <w:rFonts w:ascii="Book Antiqua" w:hAnsi="Book Antiqua" w:cs="Times New Roman"/>
          <w:sz w:val="24"/>
          <w:szCs w:val="24"/>
        </w:rPr>
        <w:t xml:space="preserve">Prothrombin time; </w:t>
      </w:r>
      <w:r w:rsidR="000B1B45" w:rsidRPr="001A403F">
        <w:rPr>
          <w:rFonts w:ascii="Book Antiqua" w:hAnsi="Book Antiqua" w:cs="Times New Roman"/>
          <w:sz w:val="24"/>
          <w:szCs w:val="24"/>
        </w:rPr>
        <w:t>WBC:</w:t>
      </w:r>
      <w:r w:rsidR="000B1B45">
        <w:rPr>
          <w:rFonts w:ascii="Book Antiqua" w:hAnsi="Book Antiqua" w:cs="Times New Roman"/>
          <w:sz w:val="24"/>
          <w:szCs w:val="24"/>
        </w:rPr>
        <w:t xml:space="preserve"> </w:t>
      </w:r>
      <w:r w:rsidR="00476AFE" w:rsidRPr="001A403F">
        <w:rPr>
          <w:rFonts w:ascii="Book Antiqua" w:hAnsi="Book Antiqua" w:cs="Times New Roman"/>
          <w:sz w:val="24"/>
          <w:szCs w:val="24"/>
        </w:rPr>
        <w:t xml:space="preserve">White blood cell count; </w:t>
      </w:r>
      <w:r w:rsidR="000B1B45" w:rsidRPr="001A403F">
        <w:rPr>
          <w:rFonts w:ascii="Book Antiqua" w:hAnsi="Book Antiqua" w:cs="Times New Roman"/>
          <w:sz w:val="24"/>
          <w:szCs w:val="24"/>
        </w:rPr>
        <w:t>MAP:</w:t>
      </w:r>
      <w:r w:rsidR="000B1B45">
        <w:rPr>
          <w:rFonts w:ascii="Book Antiqua" w:hAnsi="Book Antiqua" w:cs="Times New Roman"/>
          <w:sz w:val="24"/>
          <w:szCs w:val="24"/>
        </w:rPr>
        <w:t xml:space="preserve"> </w:t>
      </w:r>
      <w:r w:rsidR="00476AFE" w:rsidRPr="001A403F">
        <w:rPr>
          <w:rFonts w:ascii="Book Antiqua" w:hAnsi="Book Antiqua" w:cs="Times New Roman"/>
          <w:sz w:val="24"/>
          <w:szCs w:val="24"/>
        </w:rPr>
        <w:t xml:space="preserve">Mean Arterial Pressure; </w:t>
      </w:r>
      <w:r w:rsidR="002E2669" w:rsidRPr="001A403F">
        <w:rPr>
          <w:rFonts w:ascii="Book Antiqua" w:hAnsi="Book Antiqua" w:cs="Times New Roman"/>
          <w:sz w:val="24"/>
          <w:szCs w:val="24"/>
        </w:rPr>
        <w:t>APACHE:</w:t>
      </w:r>
      <w:r w:rsidR="002E2669">
        <w:rPr>
          <w:rFonts w:ascii="Book Antiqua" w:hAnsi="Book Antiqua" w:cs="Times New Roman"/>
          <w:sz w:val="24"/>
          <w:szCs w:val="24"/>
        </w:rPr>
        <w:t xml:space="preserve"> </w:t>
      </w:r>
      <w:r w:rsidR="003D150B" w:rsidRPr="001A403F">
        <w:rPr>
          <w:rFonts w:ascii="Book Antiqua" w:hAnsi="Book Antiqua" w:cs="Times New Roman"/>
          <w:sz w:val="24"/>
          <w:szCs w:val="24"/>
        </w:rPr>
        <w:t xml:space="preserve">Acute physiology and chronic health evaluation; </w:t>
      </w:r>
      <w:r w:rsidR="002E2669" w:rsidRPr="001A403F">
        <w:rPr>
          <w:rFonts w:ascii="Book Antiqua" w:hAnsi="Book Antiqua" w:cs="Times New Roman"/>
          <w:sz w:val="24"/>
          <w:szCs w:val="24"/>
        </w:rPr>
        <w:t>SOFA:</w:t>
      </w:r>
      <w:r w:rsidR="002E2669">
        <w:rPr>
          <w:rFonts w:ascii="Book Antiqua" w:hAnsi="Book Antiqua" w:cs="Times New Roman"/>
          <w:sz w:val="24"/>
          <w:szCs w:val="24"/>
        </w:rPr>
        <w:t xml:space="preserve"> </w:t>
      </w:r>
      <w:r w:rsidR="007D7AB8" w:rsidRPr="001A403F">
        <w:rPr>
          <w:rFonts w:ascii="Book Antiqua" w:hAnsi="Book Antiqua" w:cs="Times New Roman"/>
          <w:sz w:val="24"/>
          <w:szCs w:val="24"/>
        </w:rPr>
        <w:t xml:space="preserve">Sequential (or Sepsis-related) organ failure assessment; </w:t>
      </w:r>
      <w:r w:rsidR="002E2669" w:rsidRPr="001A403F">
        <w:rPr>
          <w:rFonts w:ascii="Book Antiqua" w:hAnsi="Book Antiqua" w:cs="Times New Roman"/>
          <w:sz w:val="24"/>
          <w:szCs w:val="24"/>
        </w:rPr>
        <w:t>MELD:</w:t>
      </w:r>
      <w:r w:rsidR="002E2669">
        <w:rPr>
          <w:rFonts w:ascii="Book Antiqua" w:hAnsi="Book Antiqua" w:cs="Times New Roman"/>
          <w:sz w:val="24"/>
          <w:szCs w:val="24"/>
        </w:rPr>
        <w:t xml:space="preserve"> </w:t>
      </w:r>
      <w:r w:rsidR="00476AFE" w:rsidRPr="001A403F">
        <w:rPr>
          <w:rFonts w:ascii="Book Antiqua" w:hAnsi="Book Antiqua" w:cs="Times New Roman"/>
          <w:sz w:val="24"/>
          <w:szCs w:val="24"/>
        </w:rPr>
        <w:t xml:space="preserve">Model for end-stage liver disease; </w:t>
      </w:r>
      <w:r w:rsidR="002E2669" w:rsidRPr="001A403F">
        <w:rPr>
          <w:rFonts w:ascii="Book Antiqua" w:hAnsi="Book Antiqua" w:cs="Times New Roman"/>
          <w:sz w:val="24"/>
          <w:szCs w:val="24"/>
        </w:rPr>
        <w:t>Na:</w:t>
      </w:r>
      <w:r w:rsidR="002E2669">
        <w:rPr>
          <w:rFonts w:ascii="Book Antiqua" w:hAnsi="Book Antiqua" w:cs="Times New Roman"/>
          <w:sz w:val="24"/>
          <w:szCs w:val="24"/>
        </w:rPr>
        <w:t xml:space="preserve"> </w:t>
      </w:r>
      <w:r w:rsidR="00476AFE" w:rsidRPr="001A403F">
        <w:rPr>
          <w:rFonts w:ascii="Book Antiqua" w:hAnsi="Book Antiqua" w:cs="Times New Roman"/>
          <w:sz w:val="24"/>
          <w:szCs w:val="24"/>
        </w:rPr>
        <w:t xml:space="preserve">Sodium; </w:t>
      </w:r>
      <w:r w:rsidR="002E2669" w:rsidRPr="001A403F">
        <w:rPr>
          <w:rFonts w:ascii="Book Antiqua" w:hAnsi="Book Antiqua" w:cs="Times New Roman"/>
          <w:sz w:val="24"/>
          <w:szCs w:val="24"/>
        </w:rPr>
        <w:t>CLIF-SOFA:</w:t>
      </w:r>
      <w:r w:rsidR="002E2669">
        <w:rPr>
          <w:rFonts w:ascii="Book Antiqua" w:hAnsi="Book Antiqua" w:cs="Times New Roman"/>
          <w:sz w:val="24"/>
          <w:szCs w:val="24"/>
        </w:rPr>
        <w:t xml:space="preserve"> </w:t>
      </w:r>
      <w:r w:rsidR="003D150B" w:rsidRPr="001A403F">
        <w:rPr>
          <w:rFonts w:ascii="Book Antiqua" w:hAnsi="Book Antiqua" w:cs="Times New Roman"/>
          <w:sz w:val="24"/>
          <w:szCs w:val="24"/>
        </w:rPr>
        <w:t xml:space="preserve">Chronic liver failure-sequential organ failure assessment; </w:t>
      </w:r>
      <w:r w:rsidR="002E2669" w:rsidRPr="001A403F">
        <w:rPr>
          <w:rFonts w:ascii="Book Antiqua" w:hAnsi="Book Antiqua" w:cs="Times New Roman"/>
          <w:sz w:val="24"/>
          <w:szCs w:val="24"/>
        </w:rPr>
        <w:t>RFH:</w:t>
      </w:r>
      <w:r w:rsidR="002E2669">
        <w:rPr>
          <w:rFonts w:ascii="Book Antiqua" w:hAnsi="Book Antiqua" w:cs="Times New Roman"/>
          <w:sz w:val="24"/>
          <w:szCs w:val="24"/>
        </w:rPr>
        <w:t xml:space="preserve"> </w:t>
      </w:r>
      <w:r w:rsidR="007D7AB8" w:rsidRPr="001A403F">
        <w:rPr>
          <w:rFonts w:ascii="Book Antiqua" w:hAnsi="Book Antiqua" w:cs="Times New Roman"/>
          <w:sz w:val="24"/>
          <w:szCs w:val="24"/>
        </w:rPr>
        <w:t>Royal Free Hospital;</w:t>
      </w:r>
      <w:r w:rsidR="002E2669">
        <w:rPr>
          <w:rFonts w:ascii="Book Antiqua" w:hAnsi="Book Antiqua" w:cs="Times New Roman"/>
          <w:sz w:val="24"/>
          <w:szCs w:val="24"/>
        </w:rPr>
        <w:t xml:space="preserve"> </w:t>
      </w:r>
      <w:r w:rsidR="002E2669" w:rsidRPr="001A403F">
        <w:rPr>
          <w:rFonts w:ascii="Book Antiqua" w:hAnsi="Book Antiqua" w:cs="Times New Roman"/>
          <w:sz w:val="24"/>
          <w:szCs w:val="24"/>
        </w:rPr>
        <w:t>LOS:</w:t>
      </w:r>
      <w:r w:rsidR="002E2669">
        <w:rPr>
          <w:rFonts w:ascii="Book Antiqua" w:hAnsi="Book Antiqua" w:cs="Times New Roman"/>
          <w:sz w:val="24"/>
          <w:szCs w:val="24"/>
        </w:rPr>
        <w:t xml:space="preserve"> </w:t>
      </w:r>
      <w:r w:rsidR="00685D86" w:rsidRPr="001A403F">
        <w:rPr>
          <w:rFonts w:ascii="Book Antiqua" w:hAnsi="Book Antiqua" w:cs="Times New Roman"/>
          <w:sz w:val="24"/>
          <w:szCs w:val="24"/>
        </w:rPr>
        <w:t>Length of stay</w:t>
      </w:r>
      <w:r w:rsidR="002E2669">
        <w:rPr>
          <w:rFonts w:ascii="Book Antiqua" w:hAnsi="Book Antiqua" w:cs="Times New Roman"/>
          <w:sz w:val="24"/>
          <w:szCs w:val="24"/>
        </w:rPr>
        <w:t>.</w:t>
      </w:r>
    </w:p>
    <w:p w14:paraId="55312786" w14:textId="644ABB36" w:rsidR="00423C2F" w:rsidRDefault="00423C2F">
      <w:pPr>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14:paraId="21FCF896" w14:textId="31E4E72E" w:rsidR="00423C2F" w:rsidRDefault="00423C2F">
      <w:pPr>
        <w:rPr>
          <w:rFonts w:ascii="Book Antiqua" w:eastAsia="Times New Roman" w:hAnsi="Book Antiqua" w:cs="Times New Roman"/>
          <w:sz w:val="24"/>
          <w:szCs w:val="24"/>
        </w:rPr>
      </w:pPr>
      <w:r w:rsidRPr="001A403F">
        <w:rPr>
          <w:rFonts w:ascii="Book Antiqua" w:hAnsi="Book Antiqua" w:cs="Times New Roman"/>
          <w:b/>
          <w:bCs/>
          <w:color w:val="000000"/>
          <w:sz w:val="24"/>
          <w:szCs w:val="24"/>
        </w:rPr>
        <w:lastRenderedPageBreak/>
        <w:t>Table</w:t>
      </w:r>
      <w:r>
        <w:rPr>
          <w:rFonts w:ascii="Book Antiqua" w:hAnsi="Book Antiqua" w:cs="Times New Roman"/>
          <w:b/>
          <w:bCs/>
          <w:color w:val="000000"/>
          <w:sz w:val="24"/>
          <w:szCs w:val="24"/>
        </w:rPr>
        <w:t xml:space="preserve"> </w:t>
      </w:r>
      <w:r w:rsidRPr="001A403F">
        <w:rPr>
          <w:rFonts w:ascii="Book Antiqua" w:hAnsi="Book Antiqua" w:cs="Times New Roman"/>
          <w:b/>
          <w:bCs/>
          <w:color w:val="000000"/>
          <w:sz w:val="24"/>
          <w:szCs w:val="24"/>
        </w:rPr>
        <w:t>5 Validation cohort: Comparison of the various scores and LIV-4</w:t>
      </w:r>
    </w:p>
    <w:tbl>
      <w:tblPr>
        <w:tblW w:w="0" w:type="auto"/>
        <w:tblInd w:w="29" w:type="dxa"/>
        <w:tblLayout w:type="fixed"/>
        <w:tblCellMar>
          <w:left w:w="0" w:type="dxa"/>
          <w:right w:w="0" w:type="dxa"/>
        </w:tblCellMar>
        <w:tblLook w:val="0000" w:firstRow="0" w:lastRow="0" w:firstColumn="0" w:lastColumn="0" w:noHBand="0" w:noVBand="0"/>
      </w:tblPr>
      <w:tblGrid>
        <w:gridCol w:w="4456"/>
        <w:gridCol w:w="4005"/>
      </w:tblGrid>
      <w:tr w:rsidR="003D150B" w:rsidRPr="001A403F" w14:paraId="636F6935" w14:textId="77777777" w:rsidTr="00280E1F">
        <w:trPr>
          <w:cantSplit/>
          <w:trHeight w:val="609"/>
          <w:tblHeader/>
        </w:trPr>
        <w:tc>
          <w:tcPr>
            <w:tcW w:w="4456" w:type="dxa"/>
            <w:tcBorders>
              <w:top w:val="single" w:sz="4" w:space="0" w:color="auto"/>
              <w:bottom w:val="single" w:sz="4" w:space="0" w:color="auto"/>
            </w:tcBorders>
            <w:shd w:val="clear" w:color="auto" w:fill="FFFFFF"/>
            <w:tcMar>
              <w:left w:w="29" w:type="dxa"/>
              <w:right w:w="29" w:type="dxa"/>
            </w:tcMar>
            <w:vAlign w:val="bottom"/>
          </w:tcPr>
          <w:p w14:paraId="5EF15312" w14:textId="539ADC0C" w:rsidR="003D150B" w:rsidRPr="001A403F" w:rsidRDefault="003D150B" w:rsidP="002E7076">
            <w:pPr>
              <w:keepNext/>
              <w:adjustRightInd w:val="0"/>
              <w:snapToGrid w:val="0"/>
              <w:spacing w:after="0" w:line="360" w:lineRule="auto"/>
              <w:jc w:val="both"/>
              <w:rPr>
                <w:rFonts w:ascii="Book Antiqua" w:hAnsi="Book Antiqua" w:cs="Times New Roman"/>
                <w:b/>
                <w:bCs/>
                <w:color w:val="000000"/>
                <w:sz w:val="24"/>
                <w:szCs w:val="24"/>
              </w:rPr>
            </w:pPr>
            <w:r w:rsidRPr="001A403F">
              <w:rPr>
                <w:rFonts w:ascii="Book Antiqua" w:hAnsi="Book Antiqua" w:cs="Times New Roman"/>
                <w:b/>
                <w:bCs/>
                <w:color w:val="000000"/>
                <w:sz w:val="24"/>
                <w:szCs w:val="24"/>
              </w:rPr>
              <w:t xml:space="preserve">Score </w:t>
            </w:r>
            <w:r w:rsidR="00423C2F" w:rsidRPr="001A403F">
              <w:rPr>
                <w:rFonts w:ascii="Book Antiqua" w:hAnsi="Book Antiqua" w:cs="Times New Roman"/>
                <w:b/>
                <w:bCs/>
                <w:color w:val="000000"/>
                <w:sz w:val="24"/>
                <w:szCs w:val="24"/>
              </w:rPr>
              <w:t>c</w:t>
            </w:r>
            <w:r w:rsidRPr="001A403F">
              <w:rPr>
                <w:rFonts w:ascii="Book Antiqua" w:hAnsi="Book Antiqua" w:cs="Times New Roman"/>
                <w:b/>
                <w:bCs/>
                <w:color w:val="000000"/>
                <w:sz w:val="24"/>
                <w:szCs w:val="24"/>
              </w:rPr>
              <w:t>omparison</w:t>
            </w:r>
          </w:p>
        </w:tc>
        <w:tc>
          <w:tcPr>
            <w:tcW w:w="4005" w:type="dxa"/>
            <w:tcBorders>
              <w:top w:val="single" w:sz="4" w:space="0" w:color="auto"/>
              <w:bottom w:val="single" w:sz="4" w:space="0" w:color="auto"/>
            </w:tcBorders>
            <w:shd w:val="clear" w:color="auto" w:fill="FFFFFF"/>
            <w:tcMar>
              <w:left w:w="29" w:type="dxa"/>
              <w:right w:w="29" w:type="dxa"/>
            </w:tcMar>
            <w:vAlign w:val="bottom"/>
          </w:tcPr>
          <w:p w14:paraId="6B0CC1B0" w14:textId="7E33ED0C" w:rsidR="003D150B" w:rsidRPr="001A403F" w:rsidRDefault="005D0C45" w:rsidP="00423C2F">
            <w:pPr>
              <w:keepNext/>
              <w:adjustRightInd w:val="0"/>
              <w:snapToGrid w:val="0"/>
              <w:spacing w:after="0" w:line="360" w:lineRule="auto"/>
              <w:jc w:val="both"/>
              <w:rPr>
                <w:rFonts w:ascii="Book Antiqua" w:hAnsi="Book Antiqua" w:cs="Times New Roman"/>
                <w:b/>
                <w:bCs/>
                <w:color w:val="000000"/>
                <w:sz w:val="24"/>
                <w:szCs w:val="24"/>
              </w:rPr>
            </w:pPr>
            <w:r w:rsidRPr="001A403F">
              <w:rPr>
                <w:rFonts w:ascii="Book Antiqua" w:hAnsi="Book Antiqua" w:cs="Times New Roman"/>
                <w:b/>
                <w:bCs/>
                <w:color w:val="000000"/>
                <w:sz w:val="24"/>
                <w:szCs w:val="24"/>
              </w:rPr>
              <w:t xml:space="preserve">Validation </w:t>
            </w:r>
            <w:r w:rsidR="00423C2F" w:rsidRPr="001A403F">
              <w:rPr>
                <w:rFonts w:ascii="Book Antiqua" w:hAnsi="Book Antiqua" w:cs="Times New Roman"/>
                <w:b/>
                <w:bCs/>
                <w:color w:val="000000"/>
                <w:sz w:val="24"/>
                <w:szCs w:val="24"/>
              </w:rPr>
              <w:t>c</w:t>
            </w:r>
            <w:r w:rsidRPr="001A403F">
              <w:rPr>
                <w:rFonts w:ascii="Book Antiqua" w:hAnsi="Book Antiqua" w:cs="Times New Roman"/>
                <w:b/>
                <w:bCs/>
                <w:color w:val="000000"/>
                <w:sz w:val="24"/>
                <w:szCs w:val="24"/>
              </w:rPr>
              <w:t xml:space="preserve">ohort </w:t>
            </w:r>
            <w:r w:rsidRPr="00423C2F">
              <w:rPr>
                <w:rFonts w:ascii="Book Antiqua" w:hAnsi="Book Antiqua" w:cs="Times New Roman"/>
                <w:b/>
                <w:bCs/>
                <w:i/>
                <w:iCs/>
                <w:color w:val="000000"/>
                <w:sz w:val="24"/>
                <w:szCs w:val="24"/>
              </w:rPr>
              <w:t>P</w:t>
            </w:r>
            <w:r w:rsidR="00423C2F">
              <w:rPr>
                <w:rFonts w:ascii="Book Antiqua" w:hAnsi="Book Antiqua" w:cs="Times New Roman"/>
                <w:b/>
                <w:bCs/>
                <w:color w:val="000000"/>
                <w:sz w:val="24"/>
                <w:szCs w:val="24"/>
              </w:rPr>
              <w:t xml:space="preserve"> </w:t>
            </w:r>
            <w:r w:rsidR="003D150B" w:rsidRPr="001A403F">
              <w:rPr>
                <w:rFonts w:ascii="Book Antiqua" w:hAnsi="Book Antiqua" w:cs="Times New Roman"/>
                <w:b/>
                <w:bCs/>
                <w:color w:val="000000"/>
                <w:sz w:val="24"/>
                <w:szCs w:val="24"/>
              </w:rPr>
              <w:t>value</w:t>
            </w:r>
          </w:p>
        </w:tc>
      </w:tr>
      <w:tr w:rsidR="003D150B" w:rsidRPr="001A403F" w14:paraId="36C5E142" w14:textId="77777777" w:rsidTr="00280E1F">
        <w:trPr>
          <w:cantSplit/>
          <w:trHeight w:val="449"/>
        </w:trPr>
        <w:tc>
          <w:tcPr>
            <w:tcW w:w="4456" w:type="dxa"/>
            <w:tcBorders>
              <w:top w:val="single" w:sz="4" w:space="0" w:color="auto"/>
            </w:tcBorders>
            <w:shd w:val="clear" w:color="auto" w:fill="FFFFFF"/>
            <w:tcMar>
              <w:left w:w="29" w:type="dxa"/>
              <w:right w:w="29" w:type="dxa"/>
            </w:tcMar>
          </w:tcPr>
          <w:p w14:paraId="4424023A" w14:textId="76F893B2"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MELD </w:t>
            </w:r>
            <w:r w:rsidRPr="00423C2F">
              <w:rPr>
                <w:rFonts w:ascii="Book Antiqua" w:hAnsi="Book Antiqua" w:cs="Times New Roman"/>
                <w:i/>
                <w:iCs/>
                <w:color w:val="000000"/>
                <w:sz w:val="24"/>
                <w:szCs w:val="24"/>
              </w:rPr>
              <w:t>vs</w:t>
            </w:r>
            <w:r w:rsidRPr="001A403F">
              <w:rPr>
                <w:rFonts w:ascii="Book Antiqua" w:hAnsi="Book Antiqua" w:cs="Times New Roman"/>
                <w:color w:val="000000"/>
                <w:sz w:val="24"/>
                <w:szCs w:val="24"/>
              </w:rPr>
              <w:t xml:space="preserve"> LIV-4</w:t>
            </w:r>
          </w:p>
        </w:tc>
        <w:tc>
          <w:tcPr>
            <w:tcW w:w="4005" w:type="dxa"/>
            <w:tcBorders>
              <w:top w:val="single" w:sz="4" w:space="0" w:color="auto"/>
            </w:tcBorders>
            <w:shd w:val="clear" w:color="auto" w:fill="FFFFFF"/>
            <w:tcMar>
              <w:left w:w="29" w:type="dxa"/>
              <w:right w:w="29" w:type="dxa"/>
            </w:tcMar>
            <w:vAlign w:val="center"/>
          </w:tcPr>
          <w:p w14:paraId="34763B18" w14:textId="6C03D7DD" w:rsidR="003D150B" w:rsidRPr="00423C2F" w:rsidRDefault="005D0C45" w:rsidP="002E7076">
            <w:pPr>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sidRPr="00423C2F">
              <w:rPr>
                <w:rFonts w:ascii="Book Antiqua" w:hAnsi="Book Antiqua" w:cs="Times New Roman"/>
                <w:color w:val="000000"/>
                <w:sz w:val="24"/>
                <w:szCs w:val="24"/>
              </w:rPr>
              <w:t xml:space="preserve"> </w:t>
            </w:r>
            <w:r w:rsidR="003D150B" w:rsidRPr="00423C2F">
              <w:rPr>
                <w:rFonts w:ascii="Book Antiqua" w:hAnsi="Book Antiqua" w:cs="Times New Roman"/>
                <w:color w:val="000000"/>
                <w:sz w:val="24"/>
                <w:szCs w:val="24"/>
              </w:rPr>
              <w:t>0.75</w:t>
            </w:r>
          </w:p>
        </w:tc>
      </w:tr>
      <w:tr w:rsidR="003D150B" w:rsidRPr="001A403F" w14:paraId="0FEE1A96" w14:textId="77777777" w:rsidTr="00280E1F">
        <w:trPr>
          <w:cantSplit/>
          <w:trHeight w:val="434"/>
        </w:trPr>
        <w:tc>
          <w:tcPr>
            <w:tcW w:w="4456" w:type="dxa"/>
            <w:shd w:val="clear" w:color="auto" w:fill="FFFFFF"/>
            <w:tcMar>
              <w:left w:w="29" w:type="dxa"/>
              <w:right w:w="29" w:type="dxa"/>
            </w:tcMar>
          </w:tcPr>
          <w:p w14:paraId="605F7D23" w14:textId="3946FD9D"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MELD-Na </w:t>
            </w:r>
            <w:r w:rsidRPr="00423C2F">
              <w:rPr>
                <w:rFonts w:ascii="Book Antiqua" w:hAnsi="Book Antiqua" w:cs="Times New Roman"/>
                <w:i/>
                <w:iCs/>
                <w:color w:val="000000"/>
                <w:sz w:val="24"/>
                <w:szCs w:val="24"/>
              </w:rPr>
              <w:t>vs</w:t>
            </w:r>
            <w:r w:rsidRPr="001A403F">
              <w:rPr>
                <w:rFonts w:ascii="Book Antiqua" w:hAnsi="Book Antiqua" w:cs="Times New Roman"/>
                <w:color w:val="000000"/>
                <w:sz w:val="24"/>
                <w:szCs w:val="24"/>
              </w:rPr>
              <w:t xml:space="preserve"> LIV-4</w:t>
            </w:r>
          </w:p>
        </w:tc>
        <w:tc>
          <w:tcPr>
            <w:tcW w:w="4005" w:type="dxa"/>
            <w:shd w:val="clear" w:color="auto" w:fill="FFFFFF"/>
            <w:tcMar>
              <w:left w:w="29" w:type="dxa"/>
              <w:right w:w="29" w:type="dxa"/>
            </w:tcMar>
            <w:vAlign w:val="center"/>
          </w:tcPr>
          <w:p w14:paraId="4A509197" w14:textId="7E039F51" w:rsidR="003D150B" w:rsidRPr="00423C2F" w:rsidRDefault="005D0C45" w:rsidP="002E7076">
            <w:pPr>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Pr>
                <w:rFonts w:ascii="Book Antiqua" w:hAnsi="Book Antiqua" w:cs="Times New Roman"/>
                <w:color w:val="000000"/>
                <w:sz w:val="24"/>
                <w:szCs w:val="24"/>
              </w:rPr>
              <w:t xml:space="preserve"> </w:t>
            </w:r>
            <w:r w:rsidR="003D150B" w:rsidRPr="00423C2F">
              <w:rPr>
                <w:rFonts w:ascii="Book Antiqua" w:hAnsi="Book Antiqua" w:cs="Times New Roman"/>
                <w:color w:val="000000"/>
                <w:sz w:val="24"/>
                <w:szCs w:val="24"/>
              </w:rPr>
              <w:t>0.47</w:t>
            </w:r>
          </w:p>
        </w:tc>
      </w:tr>
      <w:tr w:rsidR="003D150B" w:rsidRPr="001A403F" w14:paraId="03623E99" w14:textId="77777777" w:rsidTr="00280E1F">
        <w:trPr>
          <w:cantSplit/>
          <w:trHeight w:val="449"/>
        </w:trPr>
        <w:tc>
          <w:tcPr>
            <w:tcW w:w="4456" w:type="dxa"/>
            <w:shd w:val="clear" w:color="auto" w:fill="FFFFFF"/>
            <w:tcMar>
              <w:left w:w="29" w:type="dxa"/>
              <w:right w:w="29" w:type="dxa"/>
            </w:tcMar>
          </w:tcPr>
          <w:p w14:paraId="3C7E9FF8" w14:textId="737C43E1"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SOFA </w:t>
            </w:r>
            <w:r w:rsidRPr="00423C2F">
              <w:rPr>
                <w:rFonts w:ascii="Book Antiqua" w:hAnsi="Book Antiqua" w:cs="Times New Roman"/>
                <w:i/>
                <w:iCs/>
                <w:color w:val="000000"/>
                <w:sz w:val="24"/>
                <w:szCs w:val="24"/>
              </w:rPr>
              <w:t>vs</w:t>
            </w:r>
            <w:r w:rsidRPr="001A403F">
              <w:rPr>
                <w:rFonts w:ascii="Book Antiqua" w:hAnsi="Book Antiqua" w:cs="Times New Roman"/>
                <w:color w:val="000000"/>
                <w:sz w:val="24"/>
                <w:szCs w:val="24"/>
              </w:rPr>
              <w:t xml:space="preserve"> LIV-4</w:t>
            </w:r>
          </w:p>
        </w:tc>
        <w:tc>
          <w:tcPr>
            <w:tcW w:w="4005" w:type="dxa"/>
            <w:shd w:val="clear" w:color="auto" w:fill="FFFFFF"/>
            <w:tcMar>
              <w:left w:w="29" w:type="dxa"/>
              <w:right w:w="29" w:type="dxa"/>
            </w:tcMar>
            <w:vAlign w:val="center"/>
          </w:tcPr>
          <w:p w14:paraId="60CBBEC4" w14:textId="1A565B92" w:rsidR="003D150B" w:rsidRPr="00423C2F" w:rsidRDefault="005D0C45" w:rsidP="002E7076">
            <w:pPr>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Pr>
                <w:rFonts w:ascii="Book Antiqua" w:hAnsi="Book Antiqua" w:cs="Times New Roman"/>
                <w:color w:val="000000"/>
                <w:sz w:val="24"/>
                <w:szCs w:val="24"/>
              </w:rPr>
              <w:t xml:space="preserve"> </w:t>
            </w:r>
            <w:r w:rsidR="003D150B" w:rsidRPr="00423C2F">
              <w:rPr>
                <w:rFonts w:ascii="Book Antiqua" w:hAnsi="Book Antiqua" w:cs="Times New Roman"/>
                <w:color w:val="000000"/>
                <w:sz w:val="24"/>
                <w:szCs w:val="24"/>
              </w:rPr>
              <w:t>0.94</w:t>
            </w:r>
          </w:p>
        </w:tc>
      </w:tr>
      <w:tr w:rsidR="003D150B" w:rsidRPr="001A403F" w14:paraId="0EA02DAD" w14:textId="77777777" w:rsidTr="00280E1F">
        <w:trPr>
          <w:cantSplit/>
          <w:trHeight w:val="434"/>
        </w:trPr>
        <w:tc>
          <w:tcPr>
            <w:tcW w:w="4456" w:type="dxa"/>
            <w:shd w:val="clear" w:color="auto" w:fill="FFFFFF"/>
            <w:tcMar>
              <w:left w:w="29" w:type="dxa"/>
              <w:right w:w="29" w:type="dxa"/>
            </w:tcMar>
          </w:tcPr>
          <w:p w14:paraId="6B081B71" w14:textId="0144F266"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CLIF-SOFA </w:t>
            </w:r>
            <w:r w:rsidRPr="00423C2F">
              <w:rPr>
                <w:rFonts w:ascii="Book Antiqua" w:hAnsi="Book Antiqua" w:cs="Times New Roman"/>
                <w:i/>
                <w:iCs/>
                <w:color w:val="000000"/>
                <w:sz w:val="24"/>
                <w:szCs w:val="24"/>
              </w:rPr>
              <w:t>vs</w:t>
            </w:r>
            <w:r w:rsidRPr="001A403F">
              <w:rPr>
                <w:rFonts w:ascii="Book Antiqua" w:hAnsi="Book Antiqua" w:cs="Times New Roman"/>
                <w:color w:val="000000"/>
                <w:sz w:val="24"/>
                <w:szCs w:val="24"/>
              </w:rPr>
              <w:t xml:space="preserve"> LIV-4</w:t>
            </w:r>
          </w:p>
        </w:tc>
        <w:tc>
          <w:tcPr>
            <w:tcW w:w="4005" w:type="dxa"/>
            <w:shd w:val="clear" w:color="auto" w:fill="FFFFFF"/>
            <w:tcMar>
              <w:left w:w="29" w:type="dxa"/>
              <w:right w:w="29" w:type="dxa"/>
            </w:tcMar>
            <w:vAlign w:val="center"/>
          </w:tcPr>
          <w:p w14:paraId="3111B02B" w14:textId="607F9A7B" w:rsidR="003D150B" w:rsidRPr="00423C2F" w:rsidRDefault="005D0C45" w:rsidP="002E7076">
            <w:pPr>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Pr>
                <w:rFonts w:ascii="Book Antiqua" w:hAnsi="Book Antiqua" w:cs="Times New Roman"/>
                <w:color w:val="000000"/>
                <w:sz w:val="24"/>
                <w:szCs w:val="24"/>
              </w:rPr>
              <w:t xml:space="preserve"> </w:t>
            </w:r>
            <w:r w:rsidR="003D150B" w:rsidRPr="00423C2F">
              <w:rPr>
                <w:rFonts w:ascii="Book Antiqua" w:hAnsi="Book Antiqua" w:cs="Times New Roman"/>
                <w:color w:val="000000"/>
                <w:sz w:val="24"/>
                <w:szCs w:val="24"/>
              </w:rPr>
              <w:t>0.27</w:t>
            </w:r>
          </w:p>
        </w:tc>
      </w:tr>
      <w:tr w:rsidR="003D150B" w:rsidRPr="001A403F" w14:paraId="792AEF98" w14:textId="77777777" w:rsidTr="00280E1F">
        <w:trPr>
          <w:cantSplit/>
          <w:trHeight w:val="449"/>
        </w:trPr>
        <w:tc>
          <w:tcPr>
            <w:tcW w:w="4456" w:type="dxa"/>
            <w:shd w:val="clear" w:color="auto" w:fill="FFFFFF"/>
            <w:tcMar>
              <w:left w:w="29" w:type="dxa"/>
              <w:right w:w="29" w:type="dxa"/>
            </w:tcMar>
          </w:tcPr>
          <w:p w14:paraId="32050756" w14:textId="4D13D6A5"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RFH </w:t>
            </w:r>
            <w:r w:rsidRPr="00423C2F">
              <w:rPr>
                <w:rFonts w:ascii="Book Antiqua" w:hAnsi="Book Antiqua" w:cs="Times New Roman"/>
                <w:i/>
                <w:iCs/>
                <w:color w:val="000000"/>
                <w:sz w:val="24"/>
                <w:szCs w:val="24"/>
              </w:rPr>
              <w:t>vs</w:t>
            </w:r>
            <w:r w:rsidRPr="001A403F">
              <w:rPr>
                <w:rFonts w:ascii="Book Antiqua" w:hAnsi="Book Antiqua" w:cs="Times New Roman"/>
                <w:color w:val="000000"/>
                <w:sz w:val="24"/>
                <w:szCs w:val="24"/>
              </w:rPr>
              <w:t xml:space="preserve"> LIV-4</w:t>
            </w:r>
          </w:p>
        </w:tc>
        <w:tc>
          <w:tcPr>
            <w:tcW w:w="4005" w:type="dxa"/>
            <w:shd w:val="clear" w:color="auto" w:fill="FFFFFF"/>
            <w:tcMar>
              <w:left w:w="29" w:type="dxa"/>
              <w:right w:w="29" w:type="dxa"/>
            </w:tcMar>
            <w:vAlign w:val="center"/>
          </w:tcPr>
          <w:p w14:paraId="05F73EA5" w14:textId="0F5F9263" w:rsidR="003D150B" w:rsidRPr="00423C2F" w:rsidRDefault="003D150B" w:rsidP="002E7076">
            <w:pPr>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Pr>
                <w:rFonts w:ascii="Book Antiqua" w:hAnsi="Book Antiqua" w:cs="Times New Roman"/>
                <w:color w:val="000000"/>
                <w:sz w:val="24"/>
                <w:szCs w:val="24"/>
              </w:rPr>
              <w:t xml:space="preserve"> </w:t>
            </w:r>
            <w:r w:rsidRPr="00423C2F">
              <w:rPr>
                <w:rFonts w:ascii="Book Antiqua" w:hAnsi="Book Antiqua" w:cs="Times New Roman"/>
                <w:color w:val="000000"/>
                <w:sz w:val="24"/>
                <w:szCs w:val="24"/>
              </w:rPr>
              <w:t>0.001</w:t>
            </w:r>
          </w:p>
        </w:tc>
      </w:tr>
      <w:tr w:rsidR="003D150B" w:rsidRPr="001A403F" w14:paraId="3F2F7A4B" w14:textId="77777777" w:rsidTr="00280E1F">
        <w:trPr>
          <w:cantSplit/>
          <w:trHeight w:val="449"/>
        </w:trPr>
        <w:tc>
          <w:tcPr>
            <w:tcW w:w="4456" w:type="dxa"/>
            <w:tcBorders>
              <w:bottom w:val="single" w:sz="4" w:space="0" w:color="auto"/>
            </w:tcBorders>
            <w:shd w:val="clear" w:color="auto" w:fill="FFFFFF"/>
            <w:tcMar>
              <w:left w:w="29" w:type="dxa"/>
              <w:right w:w="29" w:type="dxa"/>
            </w:tcMar>
          </w:tcPr>
          <w:p w14:paraId="7F368823" w14:textId="0C485D7D" w:rsidR="003D150B" w:rsidRPr="001A403F" w:rsidRDefault="003D150B" w:rsidP="002E7076">
            <w:pPr>
              <w:keepNext/>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APACHE III </w:t>
            </w:r>
            <w:r w:rsidRPr="00423C2F">
              <w:rPr>
                <w:rFonts w:ascii="Book Antiqua" w:hAnsi="Book Antiqua" w:cs="Times New Roman"/>
                <w:i/>
                <w:iCs/>
                <w:color w:val="000000"/>
                <w:sz w:val="24"/>
                <w:szCs w:val="24"/>
              </w:rPr>
              <w:t>vs</w:t>
            </w:r>
            <w:r w:rsidR="00423C2F">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LIV-4</w:t>
            </w:r>
          </w:p>
        </w:tc>
        <w:tc>
          <w:tcPr>
            <w:tcW w:w="4005" w:type="dxa"/>
            <w:tcBorders>
              <w:bottom w:val="single" w:sz="4" w:space="0" w:color="auto"/>
            </w:tcBorders>
            <w:shd w:val="clear" w:color="auto" w:fill="FFFFFF"/>
            <w:tcMar>
              <w:left w:w="29" w:type="dxa"/>
              <w:right w:w="29" w:type="dxa"/>
            </w:tcMar>
            <w:vAlign w:val="center"/>
          </w:tcPr>
          <w:p w14:paraId="6A119289" w14:textId="61E7A987" w:rsidR="003D150B" w:rsidRPr="00423C2F" w:rsidRDefault="005D0C45" w:rsidP="002E7076">
            <w:pPr>
              <w:keepNext/>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Pr>
                <w:rFonts w:ascii="Book Antiqua" w:hAnsi="Book Antiqua" w:cs="Times New Roman"/>
                <w:color w:val="000000"/>
                <w:sz w:val="24"/>
                <w:szCs w:val="24"/>
              </w:rPr>
              <w:t xml:space="preserve"> </w:t>
            </w:r>
            <w:r w:rsidR="003D150B" w:rsidRPr="00423C2F">
              <w:rPr>
                <w:rFonts w:ascii="Book Antiqua" w:hAnsi="Book Antiqua" w:cs="Times New Roman"/>
                <w:color w:val="000000"/>
                <w:sz w:val="24"/>
                <w:szCs w:val="24"/>
              </w:rPr>
              <w:t>0.074</w:t>
            </w:r>
          </w:p>
        </w:tc>
      </w:tr>
    </w:tbl>
    <w:p w14:paraId="3EFBD161" w14:textId="688E27EE" w:rsidR="003D150B" w:rsidRPr="001A403F" w:rsidRDefault="00423C2F"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color w:val="000000"/>
          <w:sz w:val="24"/>
          <w:szCs w:val="24"/>
        </w:rPr>
        <w:t>Areas</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under</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the</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ROC</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curves</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were</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compared</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using</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De-Long’s</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method.</w:t>
      </w:r>
      <w:r>
        <w:rPr>
          <w:rFonts w:ascii="Book Antiqua" w:hAnsi="Book Antiqua" w:cs="Times New Roman" w:hint="eastAsia"/>
          <w:sz w:val="24"/>
          <w:szCs w:val="24"/>
          <w:lang w:eastAsia="zh-CN"/>
        </w:rPr>
        <w:t xml:space="preserve"> </w:t>
      </w:r>
      <w:r w:rsidRPr="001A403F">
        <w:rPr>
          <w:rFonts w:ascii="Book Antiqua" w:hAnsi="Book Antiqua" w:cs="Times New Roman"/>
          <w:sz w:val="24"/>
          <w:szCs w:val="24"/>
        </w:rPr>
        <w:t>MELD</w:t>
      </w:r>
      <w:r>
        <w:rPr>
          <w:rFonts w:ascii="Book Antiqua" w:hAnsi="Book Antiqua" w:cs="Times New Roman"/>
          <w:sz w:val="24"/>
          <w:szCs w:val="24"/>
        </w:rPr>
        <w:t xml:space="preserve">: </w:t>
      </w:r>
      <w:r w:rsidR="005D0C45" w:rsidRPr="001A403F">
        <w:rPr>
          <w:rFonts w:ascii="Book Antiqua" w:hAnsi="Book Antiqua" w:cs="Times New Roman"/>
          <w:sz w:val="24"/>
          <w:szCs w:val="24"/>
        </w:rPr>
        <w:t xml:space="preserve">Model for end-stage liver disease; </w:t>
      </w:r>
      <w:r w:rsidRPr="001A403F">
        <w:rPr>
          <w:rFonts w:ascii="Book Antiqua" w:hAnsi="Book Antiqua" w:cs="Times New Roman"/>
          <w:sz w:val="24"/>
          <w:szCs w:val="24"/>
        </w:rPr>
        <w:t>Na</w:t>
      </w:r>
      <w:r>
        <w:rPr>
          <w:rFonts w:ascii="Book Antiqua" w:hAnsi="Book Antiqua" w:cs="Times New Roman"/>
          <w:sz w:val="24"/>
          <w:szCs w:val="24"/>
        </w:rPr>
        <w:t xml:space="preserve">: </w:t>
      </w:r>
      <w:r w:rsidR="005D0C45" w:rsidRPr="001A403F">
        <w:rPr>
          <w:rFonts w:ascii="Book Antiqua" w:hAnsi="Book Antiqua" w:cs="Times New Roman"/>
          <w:sz w:val="24"/>
          <w:szCs w:val="24"/>
        </w:rPr>
        <w:t xml:space="preserve">Sodium; </w:t>
      </w:r>
      <w:r w:rsidRPr="001A403F">
        <w:rPr>
          <w:rFonts w:ascii="Book Antiqua" w:hAnsi="Book Antiqua" w:cs="Times New Roman"/>
          <w:sz w:val="24"/>
          <w:szCs w:val="24"/>
        </w:rPr>
        <w:t>SOFA</w:t>
      </w:r>
      <w:r>
        <w:rPr>
          <w:rFonts w:ascii="Book Antiqua" w:hAnsi="Book Antiqua" w:cs="Times New Roman"/>
          <w:sz w:val="24"/>
          <w:szCs w:val="24"/>
        </w:rPr>
        <w:t xml:space="preserve">: </w:t>
      </w:r>
      <w:r w:rsidR="005D0C45" w:rsidRPr="001A403F">
        <w:rPr>
          <w:rFonts w:ascii="Book Antiqua" w:hAnsi="Book Antiqua" w:cs="Times New Roman"/>
          <w:sz w:val="24"/>
          <w:szCs w:val="24"/>
        </w:rPr>
        <w:t xml:space="preserve">Sequential (or Sepsis-related) organ failure assessment; </w:t>
      </w:r>
      <w:r w:rsidRPr="001A403F">
        <w:rPr>
          <w:rFonts w:ascii="Book Antiqua" w:hAnsi="Book Antiqua" w:cs="Times New Roman"/>
          <w:sz w:val="24"/>
          <w:szCs w:val="24"/>
        </w:rPr>
        <w:t>CLIF-SOFA</w:t>
      </w:r>
      <w:r>
        <w:rPr>
          <w:rFonts w:ascii="Book Antiqua" w:hAnsi="Book Antiqua" w:cs="Times New Roman"/>
          <w:sz w:val="24"/>
          <w:szCs w:val="24"/>
        </w:rPr>
        <w:t xml:space="preserve">: </w:t>
      </w:r>
      <w:r w:rsidR="005D0C45" w:rsidRPr="001A403F">
        <w:rPr>
          <w:rFonts w:ascii="Book Antiqua" w:hAnsi="Book Antiqua" w:cs="Times New Roman"/>
          <w:sz w:val="24"/>
          <w:szCs w:val="24"/>
        </w:rPr>
        <w:t xml:space="preserve">Chronic liver failure-sequential organ failure assessment; </w:t>
      </w:r>
      <w:r w:rsidRPr="001A403F">
        <w:rPr>
          <w:rFonts w:ascii="Book Antiqua" w:hAnsi="Book Antiqua" w:cs="Times New Roman"/>
          <w:sz w:val="24"/>
          <w:szCs w:val="24"/>
        </w:rPr>
        <w:t>RFH</w:t>
      </w:r>
      <w:r>
        <w:rPr>
          <w:rFonts w:ascii="Book Antiqua" w:hAnsi="Book Antiqua" w:cs="Times New Roman"/>
          <w:sz w:val="24"/>
          <w:szCs w:val="24"/>
        </w:rPr>
        <w:t xml:space="preserve">: </w:t>
      </w:r>
      <w:r w:rsidR="005D0C45" w:rsidRPr="001A403F">
        <w:rPr>
          <w:rFonts w:ascii="Book Antiqua" w:hAnsi="Book Antiqua" w:cs="Times New Roman"/>
          <w:sz w:val="24"/>
          <w:szCs w:val="24"/>
        </w:rPr>
        <w:t xml:space="preserve">Royal Free Hospital; </w:t>
      </w:r>
      <w:r w:rsidRPr="001A403F">
        <w:rPr>
          <w:rFonts w:ascii="Book Antiqua" w:hAnsi="Book Antiqua" w:cs="Times New Roman"/>
          <w:sz w:val="24"/>
          <w:szCs w:val="24"/>
        </w:rPr>
        <w:t>APACHE</w:t>
      </w:r>
      <w:r>
        <w:rPr>
          <w:rFonts w:ascii="Book Antiqua" w:hAnsi="Book Antiqua" w:cs="Times New Roman"/>
          <w:sz w:val="24"/>
          <w:szCs w:val="24"/>
        </w:rPr>
        <w:t xml:space="preserve">: </w:t>
      </w:r>
      <w:r w:rsidR="003D150B" w:rsidRPr="001A403F">
        <w:rPr>
          <w:rFonts w:ascii="Book Antiqua" w:hAnsi="Book Antiqua" w:cs="Times New Roman"/>
          <w:sz w:val="24"/>
          <w:szCs w:val="24"/>
        </w:rPr>
        <w:t>Acute physiology and chro</w:t>
      </w:r>
      <w:r w:rsidR="005D0C45" w:rsidRPr="001A403F">
        <w:rPr>
          <w:rFonts w:ascii="Book Antiqua" w:hAnsi="Book Antiqua" w:cs="Times New Roman"/>
          <w:sz w:val="24"/>
          <w:szCs w:val="24"/>
        </w:rPr>
        <w:t>nic health eval</w:t>
      </w:r>
      <w:r w:rsidR="00685D86" w:rsidRPr="001A403F">
        <w:rPr>
          <w:rFonts w:ascii="Book Antiqua" w:hAnsi="Book Antiqua" w:cs="Times New Roman"/>
          <w:sz w:val="24"/>
          <w:szCs w:val="24"/>
        </w:rPr>
        <w:t>uation; ROC</w:t>
      </w:r>
      <w:r>
        <w:rPr>
          <w:rFonts w:ascii="Book Antiqua" w:hAnsi="Book Antiqua" w:cs="Times New Roman"/>
          <w:sz w:val="24"/>
          <w:szCs w:val="24"/>
        </w:rPr>
        <w:t>:</w:t>
      </w:r>
      <w:r w:rsidR="00685D86" w:rsidRPr="001A403F">
        <w:rPr>
          <w:rFonts w:ascii="Book Antiqua" w:hAnsi="Book Antiqua" w:cs="Times New Roman"/>
          <w:sz w:val="24"/>
          <w:szCs w:val="24"/>
        </w:rPr>
        <w:t xml:space="preserve"> Receiver operator c</w:t>
      </w:r>
      <w:r w:rsidR="005D0C45" w:rsidRPr="001A403F">
        <w:rPr>
          <w:rFonts w:ascii="Book Antiqua" w:hAnsi="Book Antiqua" w:cs="Times New Roman"/>
          <w:sz w:val="24"/>
          <w:szCs w:val="24"/>
        </w:rPr>
        <w:t>haracteristics</w:t>
      </w:r>
      <w:r>
        <w:rPr>
          <w:rFonts w:ascii="Book Antiqua" w:hAnsi="Book Antiqua" w:cs="Times New Roman"/>
          <w:sz w:val="24"/>
          <w:szCs w:val="24"/>
        </w:rPr>
        <w:t>.</w:t>
      </w:r>
    </w:p>
    <w:p w14:paraId="0732FF57" w14:textId="77777777" w:rsidR="00280E1F" w:rsidRDefault="00280E1F">
      <w:pPr>
        <w:rPr>
          <w:rFonts w:ascii="Book Antiqua" w:hAnsi="Book Antiqua"/>
          <w:sz w:val="24"/>
          <w:szCs w:val="24"/>
        </w:rPr>
      </w:pPr>
      <w:r>
        <w:rPr>
          <w:rFonts w:ascii="Book Antiqua" w:hAnsi="Book Antiqua"/>
          <w:sz w:val="24"/>
          <w:szCs w:val="24"/>
        </w:rPr>
        <w:br w:type="page"/>
      </w:r>
    </w:p>
    <w:p w14:paraId="00DF313B" w14:textId="588BD338" w:rsidR="008B744A" w:rsidRPr="0064349C" w:rsidRDefault="008B744A" w:rsidP="002E7076">
      <w:pPr>
        <w:adjustRightInd w:val="0"/>
        <w:snapToGrid w:val="0"/>
        <w:spacing w:after="0" w:line="360" w:lineRule="auto"/>
        <w:jc w:val="both"/>
        <w:rPr>
          <w:rFonts w:ascii="Book Antiqua" w:hAnsi="Book Antiqua"/>
          <w:sz w:val="24"/>
          <w:szCs w:val="24"/>
        </w:rPr>
      </w:pPr>
      <w:r w:rsidRPr="001A403F">
        <w:rPr>
          <w:rFonts w:ascii="Book Antiqua" w:eastAsia="Times New Roman" w:hAnsi="Book Antiqua" w:cs="Times New Roman"/>
          <w:b/>
          <w:bCs/>
          <w:color w:val="000000"/>
          <w:sz w:val="24"/>
          <w:szCs w:val="24"/>
        </w:rPr>
        <w:lastRenderedPageBreak/>
        <w:t>Table 6 Validity Measures for LIV-4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294"/>
        <w:gridCol w:w="3294"/>
        <w:gridCol w:w="3294"/>
      </w:tblGrid>
      <w:tr w:rsidR="008B744A" w14:paraId="6EDB61AE" w14:textId="77777777" w:rsidTr="0064349C">
        <w:tc>
          <w:tcPr>
            <w:tcW w:w="3294" w:type="dxa"/>
            <w:tcBorders>
              <w:top w:val="single" w:sz="2" w:space="0" w:color="auto"/>
              <w:bottom w:val="single" w:sz="2" w:space="0" w:color="auto"/>
            </w:tcBorders>
            <w:vAlign w:val="center"/>
          </w:tcPr>
          <w:p w14:paraId="6A75574F" w14:textId="4141F431" w:rsidR="008B744A" w:rsidRDefault="008B744A"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b/>
                <w:bCs/>
                <w:color w:val="000000"/>
                <w:sz w:val="24"/>
                <w:szCs w:val="24"/>
              </w:rPr>
              <w:t>Cohort</w:t>
            </w:r>
          </w:p>
        </w:tc>
        <w:tc>
          <w:tcPr>
            <w:tcW w:w="3294" w:type="dxa"/>
            <w:tcBorders>
              <w:top w:val="single" w:sz="2" w:space="0" w:color="auto"/>
              <w:bottom w:val="single" w:sz="2" w:space="0" w:color="auto"/>
            </w:tcBorders>
            <w:vAlign w:val="center"/>
          </w:tcPr>
          <w:p w14:paraId="32A35608" w14:textId="21DF69C7" w:rsidR="008B744A" w:rsidRDefault="008B744A"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b/>
                <w:bCs/>
                <w:color w:val="000000"/>
                <w:sz w:val="24"/>
                <w:szCs w:val="24"/>
              </w:rPr>
              <w:t>Measure</w:t>
            </w:r>
          </w:p>
        </w:tc>
        <w:tc>
          <w:tcPr>
            <w:tcW w:w="3294" w:type="dxa"/>
            <w:tcBorders>
              <w:top w:val="single" w:sz="2" w:space="0" w:color="auto"/>
              <w:bottom w:val="single" w:sz="2" w:space="0" w:color="auto"/>
            </w:tcBorders>
            <w:vAlign w:val="center"/>
          </w:tcPr>
          <w:p w14:paraId="3F282CB3" w14:textId="595DFA50" w:rsidR="008B744A" w:rsidRDefault="008B744A"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b/>
                <w:bCs/>
                <w:color w:val="000000"/>
                <w:sz w:val="24"/>
                <w:szCs w:val="24"/>
              </w:rPr>
              <w:t>LIV-4 ≥ 26.5</w:t>
            </w:r>
          </w:p>
        </w:tc>
        <w:tc>
          <w:tcPr>
            <w:tcW w:w="3294" w:type="dxa"/>
            <w:tcBorders>
              <w:top w:val="single" w:sz="2" w:space="0" w:color="auto"/>
              <w:bottom w:val="single" w:sz="2" w:space="0" w:color="auto"/>
            </w:tcBorders>
            <w:vAlign w:val="center"/>
          </w:tcPr>
          <w:p w14:paraId="0347A6EC" w14:textId="1C0FC509" w:rsidR="008B744A" w:rsidRDefault="008B744A"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b/>
                <w:bCs/>
                <w:color w:val="000000"/>
                <w:sz w:val="24"/>
                <w:szCs w:val="24"/>
              </w:rPr>
              <w:t>LIV-4 ≥ 45.8</w:t>
            </w:r>
          </w:p>
        </w:tc>
      </w:tr>
      <w:tr w:rsidR="0064349C" w14:paraId="3D0BFA0D" w14:textId="77777777" w:rsidTr="0064349C">
        <w:tc>
          <w:tcPr>
            <w:tcW w:w="3294" w:type="dxa"/>
            <w:vMerge w:val="restart"/>
            <w:tcBorders>
              <w:top w:val="single" w:sz="2" w:space="0" w:color="auto"/>
            </w:tcBorders>
            <w:vAlign w:val="center"/>
          </w:tcPr>
          <w:p w14:paraId="713F4805" w14:textId="32A3F301"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color w:val="000000"/>
                <w:sz w:val="24"/>
                <w:szCs w:val="24"/>
              </w:rPr>
              <w:t>Validation Cohort</w:t>
            </w:r>
          </w:p>
        </w:tc>
        <w:tc>
          <w:tcPr>
            <w:tcW w:w="3294" w:type="dxa"/>
            <w:tcBorders>
              <w:top w:val="single" w:sz="2" w:space="0" w:color="auto"/>
            </w:tcBorders>
            <w:vAlign w:val="center"/>
          </w:tcPr>
          <w:p w14:paraId="23BAE9AB" w14:textId="231CEE7D"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color w:val="000000"/>
                <w:sz w:val="24"/>
                <w:szCs w:val="24"/>
              </w:rPr>
              <w:t>Sensitivity</w:t>
            </w:r>
          </w:p>
        </w:tc>
        <w:tc>
          <w:tcPr>
            <w:tcW w:w="3294" w:type="dxa"/>
            <w:tcBorders>
              <w:top w:val="single" w:sz="2" w:space="0" w:color="auto"/>
            </w:tcBorders>
            <w:vAlign w:val="center"/>
          </w:tcPr>
          <w:p w14:paraId="54A316B8" w14:textId="481C18EB"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81.3 (73.9, 88.7)</w:t>
            </w:r>
          </w:p>
        </w:tc>
        <w:tc>
          <w:tcPr>
            <w:tcW w:w="3294" w:type="dxa"/>
            <w:tcBorders>
              <w:top w:val="single" w:sz="2" w:space="0" w:color="auto"/>
            </w:tcBorders>
            <w:vAlign w:val="center"/>
          </w:tcPr>
          <w:p w14:paraId="0FAB6345" w14:textId="75E4E1EE"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61.7 (52.5, 70.9)</w:t>
            </w:r>
          </w:p>
        </w:tc>
      </w:tr>
      <w:tr w:rsidR="0064349C" w14:paraId="4223540B" w14:textId="77777777" w:rsidTr="0064349C">
        <w:tc>
          <w:tcPr>
            <w:tcW w:w="3294" w:type="dxa"/>
            <w:vMerge/>
            <w:vAlign w:val="center"/>
          </w:tcPr>
          <w:p w14:paraId="0F84901B" w14:textId="77777777" w:rsidR="0064349C" w:rsidRDefault="0064349C" w:rsidP="002E7076">
            <w:pPr>
              <w:adjustRightInd w:val="0"/>
              <w:snapToGrid w:val="0"/>
              <w:spacing w:line="360" w:lineRule="auto"/>
              <w:jc w:val="both"/>
              <w:rPr>
                <w:rFonts w:ascii="Book Antiqua" w:hAnsi="Book Antiqua"/>
                <w:sz w:val="24"/>
                <w:szCs w:val="24"/>
              </w:rPr>
            </w:pPr>
          </w:p>
        </w:tc>
        <w:tc>
          <w:tcPr>
            <w:tcW w:w="3294" w:type="dxa"/>
            <w:vAlign w:val="center"/>
          </w:tcPr>
          <w:p w14:paraId="6B9904F1" w14:textId="497166DF"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color w:val="000000"/>
                <w:sz w:val="24"/>
                <w:szCs w:val="24"/>
              </w:rPr>
              <w:t>Specificity</w:t>
            </w:r>
          </w:p>
        </w:tc>
        <w:tc>
          <w:tcPr>
            <w:tcW w:w="3294" w:type="dxa"/>
            <w:vAlign w:val="center"/>
          </w:tcPr>
          <w:p w14:paraId="685F8709" w14:textId="4A25F067"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71.2 (65.3, 77.0)</w:t>
            </w:r>
          </w:p>
        </w:tc>
        <w:tc>
          <w:tcPr>
            <w:tcW w:w="3294" w:type="dxa"/>
            <w:vAlign w:val="center"/>
          </w:tcPr>
          <w:p w14:paraId="33CC5D48" w14:textId="42A44EA8"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83.4 (78.6, 88.2)</w:t>
            </w:r>
          </w:p>
        </w:tc>
      </w:tr>
      <w:tr w:rsidR="0064349C" w14:paraId="4380193C" w14:textId="77777777" w:rsidTr="0064349C">
        <w:tc>
          <w:tcPr>
            <w:tcW w:w="3294" w:type="dxa"/>
            <w:vMerge/>
            <w:vAlign w:val="center"/>
          </w:tcPr>
          <w:p w14:paraId="605C0F5F" w14:textId="77777777" w:rsidR="0064349C" w:rsidRDefault="0064349C" w:rsidP="002E7076">
            <w:pPr>
              <w:adjustRightInd w:val="0"/>
              <w:snapToGrid w:val="0"/>
              <w:spacing w:line="360" w:lineRule="auto"/>
              <w:jc w:val="both"/>
              <w:rPr>
                <w:rFonts w:ascii="Book Antiqua" w:hAnsi="Book Antiqua"/>
                <w:sz w:val="24"/>
                <w:szCs w:val="24"/>
              </w:rPr>
            </w:pPr>
          </w:p>
        </w:tc>
        <w:tc>
          <w:tcPr>
            <w:tcW w:w="3294" w:type="dxa"/>
            <w:vAlign w:val="center"/>
          </w:tcPr>
          <w:p w14:paraId="46C6A67F" w14:textId="2AAC9E94"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color w:val="000000"/>
                <w:sz w:val="24"/>
                <w:szCs w:val="24"/>
              </w:rPr>
              <w:t>PPV</w:t>
            </w:r>
          </w:p>
        </w:tc>
        <w:tc>
          <w:tcPr>
            <w:tcW w:w="3294" w:type="dxa"/>
            <w:vAlign w:val="center"/>
          </w:tcPr>
          <w:p w14:paraId="4DEE410F" w14:textId="7A15B6A7"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56.9 (49.0, 64.7)</w:t>
            </w:r>
          </w:p>
        </w:tc>
        <w:tc>
          <w:tcPr>
            <w:tcW w:w="3294" w:type="dxa"/>
            <w:vAlign w:val="center"/>
          </w:tcPr>
          <w:p w14:paraId="4842BE01" w14:textId="4990F8CE"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63.5 (54.2, 72.7)</w:t>
            </w:r>
          </w:p>
        </w:tc>
      </w:tr>
      <w:tr w:rsidR="0064349C" w14:paraId="203E4575" w14:textId="77777777" w:rsidTr="0064349C">
        <w:tc>
          <w:tcPr>
            <w:tcW w:w="3294" w:type="dxa"/>
            <w:vMerge/>
            <w:tcBorders>
              <w:bottom w:val="single" w:sz="2" w:space="0" w:color="auto"/>
            </w:tcBorders>
            <w:vAlign w:val="center"/>
          </w:tcPr>
          <w:p w14:paraId="2454E9B7" w14:textId="77777777" w:rsidR="0064349C" w:rsidRDefault="0064349C" w:rsidP="002E7076">
            <w:pPr>
              <w:adjustRightInd w:val="0"/>
              <w:snapToGrid w:val="0"/>
              <w:spacing w:line="360" w:lineRule="auto"/>
              <w:jc w:val="both"/>
              <w:rPr>
                <w:rFonts w:ascii="Book Antiqua" w:hAnsi="Book Antiqua"/>
                <w:sz w:val="24"/>
                <w:szCs w:val="24"/>
              </w:rPr>
            </w:pPr>
          </w:p>
        </w:tc>
        <w:tc>
          <w:tcPr>
            <w:tcW w:w="3294" w:type="dxa"/>
            <w:tcBorders>
              <w:bottom w:val="single" w:sz="2" w:space="0" w:color="auto"/>
            </w:tcBorders>
            <w:vAlign w:val="center"/>
          </w:tcPr>
          <w:p w14:paraId="6896DFEE" w14:textId="4347DF5F"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color w:val="000000"/>
                <w:sz w:val="24"/>
                <w:szCs w:val="24"/>
              </w:rPr>
              <w:t>NPV</w:t>
            </w:r>
          </w:p>
        </w:tc>
        <w:tc>
          <w:tcPr>
            <w:tcW w:w="3294" w:type="dxa"/>
            <w:tcBorders>
              <w:bottom w:val="single" w:sz="2" w:space="0" w:color="auto"/>
            </w:tcBorders>
            <w:vAlign w:val="center"/>
          </w:tcPr>
          <w:p w14:paraId="7F198E1D" w14:textId="3A23BFC2"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89.1 (84.6, 93.6)</w:t>
            </w:r>
          </w:p>
        </w:tc>
        <w:tc>
          <w:tcPr>
            <w:tcW w:w="3294" w:type="dxa"/>
            <w:tcBorders>
              <w:bottom w:val="single" w:sz="2" w:space="0" w:color="auto"/>
            </w:tcBorders>
            <w:vAlign w:val="center"/>
          </w:tcPr>
          <w:p w14:paraId="126DFAE1" w14:textId="3F298E85"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82.3 (77.4, 87.2)</w:t>
            </w:r>
          </w:p>
        </w:tc>
      </w:tr>
    </w:tbl>
    <w:p w14:paraId="35E3D7D3" w14:textId="5BA8D824" w:rsidR="003D150B" w:rsidRPr="0064349C" w:rsidRDefault="0064349C" w:rsidP="002E7076">
      <w:pPr>
        <w:adjustRightInd w:val="0"/>
        <w:snapToGrid w:val="0"/>
        <w:spacing w:after="0" w:line="360" w:lineRule="auto"/>
        <w:jc w:val="both"/>
        <w:rPr>
          <w:rFonts w:ascii="Book Antiqua" w:hAnsi="Book Antiqua" w:cs="Times New Roman"/>
          <w:sz w:val="24"/>
          <w:szCs w:val="24"/>
        </w:rPr>
      </w:pPr>
      <w:r w:rsidRPr="001A403F">
        <w:rPr>
          <w:rFonts w:ascii="Book Antiqua" w:eastAsia="Times New Roman" w:hAnsi="Book Antiqua" w:cs="Times New Roman"/>
          <w:color w:val="000000"/>
          <w:sz w:val="24"/>
          <w:szCs w:val="24"/>
        </w:rPr>
        <w:t>Values presented as estimate (95%CI)</w:t>
      </w:r>
      <w:r>
        <w:rPr>
          <w:rFonts w:ascii="Book Antiqua" w:eastAsia="Times New Roman" w:hAnsi="Book Antiqua" w:cs="Times New Roman"/>
          <w:color w:val="000000"/>
          <w:sz w:val="24"/>
          <w:szCs w:val="24"/>
        </w:rPr>
        <w:t>.</w:t>
      </w:r>
      <w:r>
        <w:rPr>
          <w:rFonts w:ascii="Book Antiqua" w:hAnsi="Book Antiqua" w:cs="Times New Roman" w:hint="eastAsia"/>
          <w:color w:val="000000"/>
          <w:sz w:val="24"/>
          <w:szCs w:val="24"/>
          <w:lang w:eastAsia="zh-CN"/>
        </w:rPr>
        <w:t xml:space="preserve"> </w:t>
      </w:r>
      <w:r w:rsidRPr="001A403F">
        <w:rPr>
          <w:rFonts w:ascii="Book Antiqua" w:hAnsi="Book Antiqua" w:cs="Times New Roman"/>
          <w:sz w:val="24"/>
          <w:szCs w:val="24"/>
        </w:rPr>
        <w:t>PPV</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Positive </w:t>
      </w:r>
      <w:r w:rsidRPr="001A403F">
        <w:rPr>
          <w:rFonts w:ascii="Book Antiqua" w:hAnsi="Book Antiqua" w:cs="Times New Roman"/>
          <w:sz w:val="24"/>
          <w:szCs w:val="24"/>
        </w:rPr>
        <w:t>p</w:t>
      </w:r>
      <w:r w:rsidR="003D150B" w:rsidRPr="001A403F">
        <w:rPr>
          <w:rFonts w:ascii="Book Antiqua" w:hAnsi="Book Antiqua" w:cs="Times New Roman"/>
          <w:sz w:val="24"/>
          <w:szCs w:val="24"/>
        </w:rPr>
        <w:t xml:space="preserve">redictive </w:t>
      </w:r>
      <w:r w:rsidRPr="001A403F">
        <w:rPr>
          <w:rFonts w:ascii="Book Antiqua" w:hAnsi="Book Antiqua" w:cs="Times New Roman"/>
          <w:sz w:val="24"/>
          <w:szCs w:val="24"/>
        </w:rPr>
        <w:t>v</w:t>
      </w:r>
      <w:r w:rsidR="003D150B" w:rsidRPr="001A403F">
        <w:rPr>
          <w:rFonts w:ascii="Book Antiqua" w:hAnsi="Book Antiqua" w:cs="Times New Roman"/>
          <w:sz w:val="24"/>
          <w:szCs w:val="24"/>
        </w:rPr>
        <w:t xml:space="preserve">alue; </w:t>
      </w:r>
      <w:r w:rsidRPr="001A403F">
        <w:rPr>
          <w:rFonts w:ascii="Book Antiqua" w:hAnsi="Book Antiqua" w:cs="Times New Roman"/>
          <w:sz w:val="24"/>
          <w:szCs w:val="24"/>
        </w:rPr>
        <w:t>NPV</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Negative </w:t>
      </w:r>
      <w:r w:rsidRPr="001A403F">
        <w:rPr>
          <w:rFonts w:ascii="Book Antiqua" w:hAnsi="Book Antiqua" w:cs="Times New Roman"/>
          <w:sz w:val="24"/>
          <w:szCs w:val="24"/>
        </w:rPr>
        <w:t>p</w:t>
      </w:r>
      <w:r w:rsidR="003D150B" w:rsidRPr="001A403F">
        <w:rPr>
          <w:rFonts w:ascii="Book Antiqua" w:hAnsi="Book Antiqua" w:cs="Times New Roman"/>
          <w:sz w:val="24"/>
          <w:szCs w:val="24"/>
        </w:rPr>
        <w:t xml:space="preserve">redictive </w:t>
      </w:r>
      <w:r w:rsidRPr="001A403F">
        <w:rPr>
          <w:rFonts w:ascii="Book Antiqua" w:hAnsi="Book Antiqua" w:cs="Times New Roman"/>
          <w:sz w:val="24"/>
          <w:szCs w:val="24"/>
        </w:rPr>
        <w:t>v</w:t>
      </w:r>
      <w:r w:rsidR="003D150B" w:rsidRPr="001A403F">
        <w:rPr>
          <w:rFonts w:ascii="Book Antiqua" w:hAnsi="Book Antiqua" w:cs="Times New Roman"/>
          <w:sz w:val="24"/>
          <w:szCs w:val="24"/>
        </w:rPr>
        <w:t xml:space="preserve">alue; </w:t>
      </w:r>
      <w:r w:rsidRPr="001A403F">
        <w:rPr>
          <w:rFonts w:ascii="Book Antiqua" w:hAnsi="Book Antiqua" w:cs="Times New Roman"/>
          <w:sz w:val="24"/>
          <w:szCs w:val="24"/>
        </w:rPr>
        <w:t>CI</w:t>
      </w:r>
      <w:r>
        <w:rPr>
          <w:rFonts w:ascii="Book Antiqua" w:hAnsi="Book Antiqua" w:cs="Times New Roman"/>
          <w:sz w:val="24"/>
          <w:szCs w:val="24"/>
        </w:rPr>
        <w:t xml:space="preserve">: </w:t>
      </w:r>
      <w:r w:rsidR="003D150B" w:rsidRPr="001A403F">
        <w:rPr>
          <w:rFonts w:ascii="Book Antiqua" w:hAnsi="Book Antiqua" w:cs="Times New Roman"/>
          <w:sz w:val="24"/>
          <w:szCs w:val="24"/>
        </w:rPr>
        <w:t>Confidence Interval</w:t>
      </w:r>
      <w:r>
        <w:rPr>
          <w:rFonts w:ascii="Book Antiqua" w:hAnsi="Book Antiqua" w:cs="Times New Roman"/>
          <w:sz w:val="24"/>
          <w:szCs w:val="24"/>
        </w:rPr>
        <w:t>.</w:t>
      </w:r>
    </w:p>
    <w:sectPr w:rsidR="003D150B" w:rsidRPr="0064349C" w:rsidSect="0041427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AE99B" w14:textId="77777777" w:rsidR="00205AC2" w:rsidRDefault="00205AC2" w:rsidP="00845EE5">
      <w:pPr>
        <w:spacing w:after="0" w:line="240" w:lineRule="auto"/>
      </w:pPr>
      <w:r>
        <w:separator/>
      </w:r>
    </w:p>
  </w:endnote>
  <w:endnote w:type="continuationSeparator" w:id="0">
    <w:p w14:paraId="07562A66" w14:textId="77777777" w:rsidR="00205AC2" w:rsidRDefault="00205AC2" w:rsidP="00845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20703060505090304"/>
    <w:charset w:val="00"/>
    <w:family w:val="auto"/>
    <w:pitch w:val="variable"/>
    <w:sig w:usb0="E0000AFF" w:usb1="00007843" w:usb2="0000000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669256"/>
      <w:docPartObj>
        <w:docPartGallery w:val="Page Numbers (Bottom of Page)"/>
        <w:docPartUnique/>
      </w:docPartObj>
    </w:sdtPr>
    <w:sdtEndPr>
      <w:rPr>
        <w:noProof/>
      </w:rPr>
    </w:sdtEndPr>
    <w:sdtContent>
      <w:p w14:paraId="5748BF02" w14:textId="24406839" w:rsidR="004E264E" w:rsidRDefault="004E264E">
        <w:pPr>
          <w:pStyle w:val="Footer"/>
          <w:jc w:val="right"/>
        </w:pPr>
        <w:r>
          <w:fldChar w:fldCharType="begin"/>
        </w:r>
        <w:r>
          <w:instrText xml:space="preserve"> PAGE   \* MERGEFORMAT </w:instrText>
        </w:r>
        <w:r>
          <w:fldChar w:fldCharType="separate"/>
        </w:r>
        <w:r w:rsidR="00A43B5A">
          <w:rPr>
            <w:noProof/>
          </w:rPr>
          <w:t>21</w:t>
        </w:r>
        <w:r>
          <w:rPr>
            <w:noProof/>
          </w:rPr>
          <w:fldChar w:fldCharType="end"/>
        </w:r>
      </w:p>
    </w:sdtContent>
  </w:sdt>
  <w:p w14:paraId="768F4401" w14:textId="77777777" w:rsidR="004E264E" w:rsidRDefault="004E26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94109" w14:textId="77777777" w:rsidR="00205AC2" w:rsidRDefault="00205AC2" w:rsidP="00845EE5">
      <w:pPr>
        <w:spacing w:after="0" w:line="240" w:lineRule="auto"/>
      </w:pPr>
      <w:r>
        <w:separator/>
      </w:r>
    </w:p>
  </w:footnote>
  <w:footnote w:type="continuationSeparator" w:id="0">
    <w:p w14:paraId="504792B2" w14:textId="77777777" w:rsidR="00205AC2" w:rsidRDefault="00205AC2" w:rsidP="00845E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5148D"/>
    <w:multiLevelType w:val="multilevel"/>
    <w:tmpl w:val="73144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32474EC"/>
    <w:multiLevelType w:val="hybridMultilevel"/>
    <w:tmpl w:val="9F1A4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5133172"/>
    <w:multiLevelType w:val="hybridMultilevel"/>
    <w:tmpl w:val="3E8A8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747B9"/>
    <w:multiLevelType w:val="multilevel"/>
    <w:tmpl w:val="232A6412"/>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FC7D5E"/>
    <w:multiLevelType w:val="hybridMultilevel"/>
    <w:tmpl w:val="3C8A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E75A1"/>
    <w:multiLevelType w:val="hybridMultilevel"/>
    <w:tmpl w:val="F0A8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97764"/>
    <w:multiLevelType w:val="hybridMultilevel"/>
    <w:tmpl w:val="0CB8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663F7"/>
    <w:multiLevelType w:val="hybridMultilevel"/>
    <w:tmpl w:val="A54E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3300AC"/>
    <w:multiLevelType w:val="multilevel"/>
    <w:tmpl w:val="2C44A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B0D4E4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D0C5EDC"/>
    <w:multiLevelType w:val="hybridMultilevel"/>
    <w:tmpl w:val="E1645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D938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FC038B"/>
    <w:multiLevelType w:val="multilevel"/>
    <w:tmpl w:val="232A6412"/>
    <w:numStyleLink w:val="CurrentList1"/>
  </w:abstractNum>
  <w:abstractNum w:abstractNumId="13" w15:restartNumberingAfterBreak="0">
    <w:nsid w:val="45AA5199"/>
    <w:multiLevelType w:val="hybridMultilevel"/>
    <w:tmpl w:val="2C44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8015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9577AB4"/>
    <w:multiLevelType w:val="hybridMultilevel"/>
    <w:tmpl w:val="34483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8175B0"/>
    <w:multiLevelType w:val="hybridMultilevel"/>
    <w:tmpl w:val="6C242F0C"/>
    <w:lvl w:ilvl="0" w:tplc="41329556">
      <w:start w:val="1"/>
      <w:numFmt w:val="decimal"/>
      <w:lvlText w:val="%1."/>
      <w:lvlJc w:val="left"/>
      <w:pPr>
        <w:ind w:left="-120" w:hanging="36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17" w15:restartNumberingAfterBreak="0">
    <w:nsid w:val="753A0436"/>
    <w:multiLevelType w:val="hybridMultilevel"/>
    <w:tmpl w:val="0ED8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B60FD2"/>
    <w:multiLevelType w:val="hybridMultilevel"/>
    <w:tmpl w:val="232A6412"/>
    <w:lvl w:ilvl="0" w:tplc="66FEAEB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F45707"/>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7D34771B"/>
    <w:multiLevelType w:val="hybridMultilevel"/>
    <w:tmpl w:val="53CC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8C0E94"/>
    <w:multiLevelType w:val="multilevel"/>
    <w:tmpl w:val="232A6412"/>
    <w:numStyleLink w:val="CurrentList1"/>
  </w:abstractNum>
  <w:num w:numId="1">
    <w:abstractNumId w:val="1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
  </w:num>
  <w:num w:numId="5">
    <w:abstractNumId w:val="7"/>
  </w:num>
  <w:num w:numId="6">
    <w:abstractNumId w:val="20"/>
  </w:num>
  <w:num w:numId="7">
    <w:abstractNumId w:val="17"/>
  </w:num>
  <w:num w:numId="8">
    <w:abstractNumId w:val="0"/>
  </w:num>
  <w:num w:numId="9">
    <w:abstractNumId w:val="15"/>
  </w:num>
  <w:num w:numId="10">
    <w:abstractNumId w:val="6"/>
  </w:num>
  <w:num w:numId="11">
    <w:abstractNumId w:val="13"/>
  </w:num>
  <w:num w:numId="12">
    <w:abstractNumId w:val="2"/>
  </w:num>
  <w:num w:numId="13">
    <w:abstractNumId w:val="8"/>
  </w:num>
  <w:num w:numId="14">
    <w:abstractNumId w:val="18"/>
  </w:num>
  <w:num w:numId="15">
    <w:abstractNumId w:val="3"/>
  </w:num>
  <w:num w:numId="16">
    <w:abstractNumId w:val="19"/>
  </w:num>
  <w:num w:numId="17">
    <w:abstractNumId w:val="14"/>
  </w:num>
  <w:num w:numId="18">
    <w:abstractNumId w:val="11"/>
  </w:num>
  <w:num w:numId="19">
    <w:abstractNumId w:val="21"/>
  </w:num>
  <w:num w:numId="20">
    <w:abstractNumId w:val="12"/>
  </w:num>
  <w:num w:numId="21">
    <w:abstractNumId w:val="9"/>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642"/>
    <w:rsid w:val="00012490"/>
    <w:rsid w:val="0001755A"/>
    <w:rsid w:val="00017857"/>
    <w:rsid w:val="00023F51"/>
    <w:rsid w:val="0002675F"/>
    <w:rsid w:val="00026B15"/>
    <w:rsid w:val="000520D0"/>
    <w:rsid w:val="0005272F"/>
    <w:rsid w:val="00057AB2"/>
    <w:rsid w:val="000645F9"/>
    <w:rsid w:val="000B1843"/>
    <w:rsid w:val="000B1B45"/>
    <w:rsid w:val="000C5F66"/>
    <w:rsid w:val="000D1B4D"/>
    <w:rsid w:val="000E373B"/>
    <w:rsid w:val="000F5408"/>
    <w:rsid w:val="00100BA7"/>
    <w:rsid w:val="001014F0"/>
    <w:rsid w:val="00104575"/>
    <w:rsid w:val="0010673A"/>
    <w:rsid w:val="00111FC7"/>
    <w:rsid w:val="001129D4"/>
    <w:rsid w:val="00114BD3"/>
    <w:rsid w:val="00122F9D"/>
    <w:rsid w:val="001303C7"/>
    <w:rsid w:val="00141E64"/>
    <w:rsid w:val="001438FE"/>
    <w:rsid w:val="00173248"/>
    <w:rsid w:val="00185FDB"/>
    <w:rsid w:val="0019065B"/>
    <w:rsid w:val="00197311"/>
    <w:rsid w:val="001975ED"/>
    <w:rsid w:val="001A403F"/>
    <w:rsid w:val="001A6335"/>
    <w:rsid w:val="001D599E"/>
    <w:rsid w:val="001F466C"/>
    <w:rsid w:val="00203642"/>
    <w:rsid w:val="00205AC2"/>
    <w:rsid w:val="00220B77"/>
    <w:rsid w:val="0022363A"/>
    <w:rsid w:val="002239EE"/>
    <w:rsid w:val="00237CAB"/>
    <w:rsid w:val="00260FB1"/>
    <w:rsid w:val="002644D4"/>
    <w:rsid w:val="00280E1F"/>
    <w:rsid w:val="002947C4"/>
    <w:rsid w:val="002A4396"/>
    <w:rsid w:val="002A7105"/>
    <w:rsid w:val="002C51F3"/>
    <w:rsid w:val="002D244E"/>
    <w:rsid w:val="002E2669"/>
    <w:rsid w:val="002E7076"/>
    <w:rsid w:val="0031516B"/>
    <w:rsid w:val="0032148F"/>
    <w:rsid w:val="003477CC"/>
    <w:rsid w:val="003748AC"/>
    <w:rsid w:val="00380EDC"/>
    <w:rsid w:val="00381298"/>
    <w:rsid w:val="003850FF"/>
    <w:rsid w:val="00386A45"/>
    <w:rsid w:val="003877D6"/>
    <w:rsid w:val="00390AE0"/>
    <w:rsid w:val="00397945"/>
    <w:rsid w:val="003B61CB"/>
    <w:rsid w:val="003D150B"/>
    <w:rsid w:val="003D5B03"/>
    <w:rsid w:val="003F0CC2"/>
    <w:rsid w:val="00406086"/>
    <w:rsid w:val="00414275"/>
    <w:rsid w:val="00423C2F"/>
    <w:rsid w:val="004256B3"/>
    <w:rsid w:val="004314E0"/>
    <w:rsid w:val="00433F08"/>
    <w:rsid w:val="00452F2E"/>
    <w:rsid w:val="00463D8D"/>
    <w:rsid w:val="0047135C"/>
    <w:rsid w:val="0047201C"/>
    <w:rsid w:val="00476AFE"/>
    <w:rsid w:val="00497EE5"/>
    <w:rsid w:val="004A1393"/>
    <w:rsid w:val="004A1625"/>
    <w:rsid w:val="004B019C"/>
    <w:rsid w:val="004D7509"/>
    <w:rsid w:val="004E264E"/>
    <w:rsid w:val="00511DA3"/>
    <w:rsid w:val="00520D4B"/>
    <w:rsid w:val="005233B4"/>
    <w:rsid w:val="00523A67"/>
    <w:rsid w:val="00550A56"/>
    <w:rsid w:val="00570E82"/>
    <w:rsid w:val="0057251C"/>
    <w:rsid w:val="00572E94"/>
    <w:rsid w:val="00582B37"/>
    <w:rsid w:val="00583007"/>
    <w:rsid w:val="005A1A4A"/>
    <w:rsid w:val="005C0AD2"/>
    <w:rsid w:val="005D0C45"/>
    <w:rsid w:val="005D47E4"/>
    <w:rsid w:val="005F0AC7"/>
    <w:rsid w:val="006001A2"/>
    <w:rsid w:val="006001D0"/>
    <w:rsid w:val="00600846"/>
    <w:rsid w:val="00621DE4"/>
    <w:rsid w:val="00624390"/>
    <w:rsid w:val="0064349C"/>
    <w:rsid w:val="00644A35"/>
    <w:rsid w:val="00655A43"/>
    <w:rsid w:val="0065769F"/>
    <w:rsid w:val="00662849"/>
    <w:rsid w:val="00672B07"/>
    <w:rsid w:val="006745E7"/>
    <w:rsid w:val="006819A6"/>
    <w:rsid w:val="00685D86"/>
    <w:rsid w:val="00686E24"/>
    <w:rsid w:val="006A5BF8"/>
    <w:rsid w:val="006C0DAF"/>
    <w:rsid w:val="006D195B"/>
    <w:rsid w:val="006D55AA"/>
    <w:rsid w:val="006E1863"/>
    <w:rsid w:val="006E62D0"/>
    <w:rsid w:val="006E69B2"/>
    <w:rsid w:val="006F305A"/>
    <w:rsid w:val="007173EA"/>
    <w:rsid w:val="00722C36"/>
    <w:rsid w:val="00726D39"/>
    <w:rsid w:val="00733307"/>
    <w:rsid w:val="0074504F"/>
    <w:rsid w:val="00754AFC"/>
    <w:rsid w:val="00761162"/>
    <w:rsid w:val="00784230"/>
    <w:rsid w:val="007A6325"/>
    <w:rsid w:val="007D07A7"/>
    <w:rsid w:val="007D7AB8"/>
    <w:rsid w:val="008160E0"/>
    <w:rsid w:val="00837FEB"/>
    <w:rsid w:val="00845A10"/>
    <w:rsid w:val="00845EE5"/>
    <w:rsid w:val="00846F34"/>
    <w:rsid w:val="00850414"/>
    <w:rsid w:val="00855B24"/>
    <w:rsid w:val="00860219"/>
    <w:rsid w:val="00861954"/>
    <w:rsid w:val="00862662"/>
    <w:rsid w:val="00864035"/>
    <w:rsid w:val="00867D3F"/>
    <w:rsid w:val="00872351"/>
    <w:rsid w:val="00885ED3"/>
    <w:rsid w:val="008912B6"/>
    <w:rsid w:val="00892672"/>
    <w:rsid w:val="008A0A60"/>
    <w:rsid w:val="008A1265"/>
    <w:rsid w:val="008B684C"/>
    <w:rsid w:val="008B744A"/>
    <w:rsid w:val="008C2EC8"/>
    <w:rsid w:val="008C620A"/>
    <w:rsid w:val="008C754A"/>
    <w:rsid w:val="008D5025"/>
    <w:rsid w:val="008E2604"/>
    <w:rsid w:val="008E6B23"/>
    <w:rsid w:val="008F2C0A"/>
    <w:rsid w:val="009014D7"/>
    <w:rsid w:val="00902829"/>
    <w:rsid w:val="0090679C"/>
    <w:rsid w:val="00922428"/>
    <w:rsid w:val="00923CCF"/>
    <w:rsid w:val="00926021"/>
    <w:rsid w:val="009262D2"/>
    <w:rsid w:val="009374BC"/>
    <w:rsid w:val="00951345"/>
    <w:rsid w:val="00960E88"/>
    <w:rsid w:val="00967EF1"/>
    <w:rsid w:val="00970B71"/>
    <w:rsid w:val="00972CDB"/>
    <w:rsid w:val="00985BEE"/>
    <w:rsid w:val="00987FBE"/>
    <w:rsid w:val="00994520"/>
    <w:rsid w:val="0099482C"/>
    <w:rsid w:val="0099526C"/>
    <w:rsid w:val="009A1335"/>
    <w:rsid w:val="009A244C"/>
    <w:rsid w:val="009C08D6"/>
    <w:rsid w:val="009C422C"/>
    <w:rsid w:val="009C6EFF"/>
    <w:rsid w:val="009F56B2"/>
    <w:rsid w:val="009F6726"/>
    <w:rsid w:val="00A0253A"/>
    <w:rsid w:val="00A065E4"/>
    <w:rsid w:val="00A12C10"/>
    <w:rsid w:val="00A15CED"/>
    <w:rsid w:val="00A174E9"/>
    <w:rsid w:val="00A24724"/>
    <w:rsid w:val="00A27E4B"/>
    <w:rsid w:val="00A43B5A"/>
    <w:rsid w:val="00A620AC"/>
    <w:rsid w:val="00A9135C"/>
    <w:rsid w:val="00AD47C1"/>
    <w:rsid w:val="00AE3AB0"/>
    <w:rsid w:val="00B2191D"/>
    <w:rsid w:val="00B55ECF"/>
    <w:rsid w:val="00B6103D"/>
    <w:rsid w:val="00B6711A"/>
    <w:rsid w:val="00B76356"/>
    <w:rsid w:val="00BA2C66"/>
    <w:rsid w:val="00BF6134"/>
    <w:rsid w:val="00C1492E"/>
    <w:rsid w:val="00C639B9"/>
    <w:rsid w:val="00C65DBD"/>
    <w:rsid w:val="00C83A51"/>
    <w:rsid w:val="00C876BB"/>
    <w:rsid w:val="00C965AE"/>
    <w:rsid w:val="00CA26A7"/>
    <w:rsid w:val="00CA782E"/>
    <w:rsid w:val="00CB00D1"/>
    <w:rsid w:val="00CC22F4"/>
    <w:rsid w:val="00CC5E52"/>
    <w:rsid w:val="00CD07C3"/>
    <w:rsid w:val="00CD570F"/>
    <w:rsid w:val="00CF11F8"/>
    <w:rsid w:val="00D07C62"/>
    <w:rsid w:val="00D1068D"/>
    <w:rsid w:val="00D60C85"/>
    <w:rsid w:val="00D72474"/>
    <w:rsid w:val="00D96974"/>
    <w:rsid w:val="00DA1401"/>
    <w:rsid w:val="00DB1732"/>
    <w:rsid w:val="00DB2F71"/>
    <w:rsid w:val="00DB7609"/>
    <w:rsid w:val="00DC76AE"/>
    <w:rsid w:val="00DF2A9D"/>
    <w:rsid w:val="00E00CD1"/>
    <w:rsid w:val="00E3061A"/>
    <w:rsid w:val="00E308B5"/>
    <w:rsid w:val="00E34D83"/>
    <w:rsid w:val="00E5343F"/>
    <w:rsid w:val="00E63664"/>
    <w:rsid w:val="00E77787"/>
    <w:rsid w:val="00E84EB1"/>
    <w:rsid w:val="00E9298F"/>
    <w:rsid w:val="00E960D6"/>
    <w:rsid w:val="00EB277C"/>
    <w:rsid w:val="00ED36E2"/>
    <w:rsid w:val="00EF068C"/>
    <w:rsid w:val="00F07D32"/>
    <w:rsid w:val="00F1368B"/>
    <w:rsid w:val="00F14B24"/>
    <w:rsid w:val="00F16EDB"/>
    <w:rsid w:val="00F17449"/>
    <w:rsid w:val="00F5620B"/>
    <w:rsid w:val="00F67FDA"/>
    <w:rsid w:val="00F76E65"/>
    <w:rsid w:val="00F956EA"/>
    <w:rsid w:val="00F95F39"/>
    <w:rsid w:val="00FA5D72"/>
    <w:rsid w:val="00FA5F0D"/>
    <w:rsid w:val="00FB1B91"/>
    <w:rsid w:val="00FB334D"/>
    <w:rsid w:val="00FC3521"/>
    <w:rsid w:val="00FD6C85"/>
    <w:rsid w:val="00FE33E4"/>
    <w:rsid w:val="00FF1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760CB"/>
  <w15:docId w15:val="{4B542F84-4A14-4FD6-AA91-811E5E53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EDC"/>
    <w:rPr>
      <w:color w:val="0563C1" w:themeColor="hyperlink"/>
      <w:u w:val="single"/>
    </w:rPr>
  </w:style>
  <w:style w:type="paragraph" w:styleId="Bibliography">
    <w:name w:val="Bibliography"/>
    <w:basedOn w:val="Normal"/>
    <w:next w:val="Normal"/>
    <w:uiPriority w:val="37"/>
    <w:unhideWhenUsed/>
    <w:rsid w:val="003D150B"/>
  </w:style>
  <w:style w:type="character" w:customStyle="1" w:styleId="mixed-citation">
    <w:name w:val="mixed-citation"/>
    <w:basedOn w:val="DefaultParagraphFont"/>
    <w:rsid w:val="003D150B"/>
  </w:style>
  <w:style w:type="character" w:customStyle="1" w:styleId="ref-journal">
    <w:name w:val="ref-journal"/>
    <w:basedOn w:val="DefaultParagraphFont"/>
    <w:rsid w:val="003D150B"/>
  </w:style>
  <w:style w:type="character" w:customStyle="1" w:styleId="ref-vol">
    <w:name w:val="ref-vol"/>
    <w:basedOn w:val="DefaultParagraphFont"/>
    <w:rsid w:val="003D150B"/>
  </w:style>
  <w:style w:type="character" w:customStyle="1" w:styleId="element-citation">
    <w:name w:val="element-citation"/>
    <w:basedOn w:val="DefaultParagraphFont"/>
    <w:rsid w:val="003D150B"/>
  </w:style>
  <w:style w:type="paragraph" w:styleId="ListParagraph">
    <w:name w:val="List Paragraph"/>
    <w:basedOn w:val="Normal"/>
    <w:uiPriority w:val="34"/>
    <w:qFormat/>
    <w:rsid w:val="003D150B"/>
    <w:pPr>
      <w:spacing w:after="200" w:line="276" w:lineRule="auto"/>
      <w:ind w:left="720"/>
      <w:contextualSpacing/>
    </w:pPr>
  </w:style>
  <w:style w:type="paragraph" w:styleId="BalloonText">
    <w:name w:val="Balloon Text"/>
    <w:basedOn w:val="Normal"/>
    <w:link w:val="BalloonTextChar"/>
    <w:uiPriority w:val="99"/>
    <w:semiHidden/>
    <w:unhideWhenUsed/>
    <w:rsid w:val="003D150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150B"/>
    <w:rPr>
      <w:rFonts w:ascii="Lucida Grande" w:hAnsi="Lucida Grande" w:cs="Lucida Grande"/>
      <w:sz w:val="18"/>
      <w:szCs w:val="18"/>
    </w:rPr>
  </w:style>
  <w:style w:type="table" w:styleId="TableGrid">
    <w:name w:val="Table Grid"/>
    <w:basedOn w:val="TableNormal"/>
    <w:uiPriority w:val="59"/>
    <w:rsid w:val="003D150B"/>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3D150B"/>
    <w:rPr>
      <w:sz w:val="20"/>
      <w:szCs w:val="20"/>
    </w:rPr>
  </w:style>
  <w:style w:type="paragraph" w:styleId="CommentText">
    <w:name w:val="annotation text"/>
    <w:basedOn w:val="Normal"/>
    <w:link w:val="CommentTextChar"/>
    <w:uiPriority w:val="99"/>
    <w:unhideWhenUsed/>
    <w:rsid w:val="003D150B"/>
    <w:pPr>
      <w:spacing w:after="200" w:line="240" w:lineRule="auto"/>
    </w:pPr>
    <w:rPr>
      <w:sz w:val="20"/>
      <w:szCs w:val="20"/>
    </w:rPr>
  </w:style>
  <w:style w:type="character" w:customStyle="1" w:styleId="CommentTextChar1">
    <w:name w:val="Comment Text Char1"/>
    <w:basedOn w:val="DefaultParagraphFont"/>
    <w:uiPriority w:val="99"/>
    <w:semiHidden/>
    <w:rsid w:val="003D150B"/>
    <w:rPr>
      <w:sz w:val="20"/>
      <w:szCs w:val="20"/>
    </w:rPr>
  </w:style>
  <w:style w:type="character" w:customStyle="1" w:styleId="CommentSubjectChar">
    <w:name w:val="Comment Subject Char"/>
    <w:basedOn w:val="CommentTextChar"/>
    <w:link w:val="CommentSubject"/>
    <w:uiPriority w:val="99"/>
    <w:semiHidden/>
    <w:rsid w:val="003D150B"/>
    <w:rPr>
      <w:b/>
      <w:bCs/>
      <w:sz w:val="20"/>
      <w:szCs w:val="20"/>
    </w:rPr>
  </w:style>
  <w:style w:type="paragraph" w:styleId="CommentSubject">
    <w:name w:val="annotation subject"/>
    <w:basedOn w:val="CommentText"/>
    <w:next w:val="CommentText"/>
    <w:link w:val="CommentSubjectChar"/>
    <w:uiPriority w:val="99"/>
    <w:semiHidden/>
    <w:unhideWhenUsed/>
    <w:rsid w:val="003D150B"/>
    <w:rPr>
      <w:b/>
      <w:bCs/>
    </w:rPr>
  </w:style>
  <w:style w:type="character" w:customStyle="1" w:styleId="CommentSubjectChar1">
    <w:name w:val="Comment Subject Char1"/>
    <w:basedOn w:val="CommentTextChar1"/>
    <w:uiPriority w:val="99"/>
    <w:semiHidden/>
    <w:rsid w:val="003D150B"/>
    <w:rPr>
      <w:b/>
      <w:bCs/>
      <w:sz w:val="20"/>
      <w:szCs w:val="20"/>
    </w:rPr>
  </w:style>
  <w:style w:type="paragraph" w:customStyle="1" w:styleId="font5">
    <w:name w:val="font5"/>
    <w:basedOn w:val="Normal"/>
    <w:rsid w:val="003D150B"/>
    <w:pPr>
      <w:spacing w:before="100" w:beforeAutospacing="1" w:after="100" w:afterAutospacing="1" w:line="240" w:lineRule="auto"/>
    </w:pPr>
    <w:rPr>
      <w:rFonts w:ascii="Times" w:eastAsia="Times New Roman" w:hAnsi="Times" w:cs="Times"/>
      <w:b/>
      <w:bCs/>
      <w:sz w:val="18"/>
      <w:szCs w:val="18"/>
    </w:rPr>
  </w:style>
  <w:style w:type="paragraph" w:customStyle="1" w:styleId="xl65">
    <w:name w:val="xl65"/>
    <w:basedOn w:val="Normal"/>
    <w:rsid w:val="003D150B"/>
    <w:pP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3D150B"/>
    <w:pPr>
      <w:shd w:val="clear" w:color="000000" w:fill="auto"/>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Normal"/>
    <w:rsid w:val="003D150B"/>
    <w:pPr>
      <w:shd w:val="clear" w:color="000000" w:fill="FFFFFF"/>
      <w:spacing w:before="100" w:beforeAutospacing="1" w:after="100" w:afterAutospacing="1" w:line="240" w:lineRule="auto"/>
    </w:pPr>
    <w:rPr>
      <w:rFonts w:ascii="Times" w:eastAsia="Times New Roman" w:hAnsi="Times" w:cs="Times"/>
      <w:color w:val="000000"/>
      <w:sz w:val="16"/>
      <w:szCs w:val="16"/>
    </w:rPr>
  </w:style>
  <w:style w:type="paragraph" w:customStyle="1" w:styleId="xl68">
    <w:name w:val="xl68"/>
    <w:basedOn w:val="Normal"/>
    <w:rsid w:val="003D150B"/>
    <w:pPr>
      <w:pBdr>
        <w:bottom w:val="single" w:sz="4" w:space="0" w:color="auto"/>
      </w:pBdr>
      <w:shd w:val="clear" w:color="000000" w:fill="FFFFFF"/>
      <w:spacing w:before="100" w:beforeAutospacing="1" w:after="100" w:afterAutospacing="1" w:line="240" w:lineRule="auto"/>
    </w:pPr>
    <w:rPr>
      <w:rFonts w:ascii="Times" w:eastAsia="Times New Roman" w:hAnsi="Times" w:cs="Times"/>
      <w:b/>
      <w:bCs/>
      <w:color w:val="000000"/>
      <w:sz w:val="18"/>
      <w:szCs w:val="18"/>
    </w:rPr>
  </w:style>
  <w:style w:type="paragraph" w:customStyle="1" w:styleId="xl69">
    <w:name w:val="xl69"/>
    <w:basedOn w:val="Normal"/>
    <w:rsid w:val="003D150B"/>
    <w:pPr>
      <w:pBdr>
        <w:top w:val="single" w:sz="4" w:space="0" w:color="auto"/>
      </w:pBdr>
      <w:shd w:val="clear" w:color="000000" w:fill="FFFFFF"/>
      <w:spacing w:before="100" w:beforeAutospacing="1" w:after="100" w:afterAutospacing="1" w:line="240" w:lineRule="auto"/>
      <w:jc w:val="center"/>
    </w:pPr>
    <w:rPr>
      <w:rFonts w:ascii="Times" w:eastAsia="Times New Roman" w:hAnsi="Times" w:cs="Times"/>
      <w:b/>
      <w:bCs/>
      <w:color w:val="000000"/>
      <w:sz w:val="18"/>
      <w:szCs w:val="18"/>
    </w:rPr>
  </w:style>
  <w:style w:type="paragraph" w:customStyle="1" w:styleId="xl70">
    <w:name w:val="xl70"/>
    <w:basedOn w:val="Normal"/>
    <w:rsid w:val="003D150B"/>
    <w:pPr>
      <w:pBdr>
        <w:top w:val="single" w:sz="4" w:space="0" w:color="auto"/>
        <w:bottom w:val="double" w:sz="6" w:space="0" w:color="auto"/>
      </w:pBdr>
      <w:shd w:val="clear" w:color="000000" w:fill="FFFFFF"/>
      <w:spacing w:before="100" w:beforeAutospacing="1" w:after="100" w:afterAutospacing="1" w:line="240" w:lineRule="auto"/>
      <w:jc w:val="center"/>
    </w:pPr>
    <w:rPr>
      <w:rFonts w:ascii="Times" w:eastAsia="Times New Roman" w:hAnsi="Times" w:cs="Times"/>
      <w:b/>
      <w:bCs/>
      <w:color w:val="000000"/>
      <w:sz w:val="18"/>
      <w:szCs w:val="18"/>
    </w:rPr>
  </w:style>
  <w:style w:type="paragraph" w:customStyle="1" w:styleId="xl71">
    <w:name w:val="xl71"/>
    <w:basedOn w:val="Normal"/>
    <w:rsid w:val="003D150B"/>
    <w:pPr>
      <w:pBdr>
        <w:bottom w:val="double" w:sz="6" w:space="0" w:color="auto"/>
      </w:pBdr>
      <w:shd w:val="clear" w:color="000000" w:fill="FFFFFF"/>
      <w:spacing w:before="100" w:beforeAutospacing="1" w:after="100" w:afterAutospacing="1" w:line="240" w:lineRule="auto"/>
    </w:pPr>
    <w:rPr>
      <w:rFonts w:ascii="Times" w:eastAsia="Times New Roman" w:hAnsi="Times" w:cs="Times"/>
      <w:b/>
      <w:bCs/>
      <w:color w:val="000000"/>
      <w:sz w:val="18"/>
      <w:szCs w:val="18"/>
    </w:rPr>
  </w:style>
  <w:style w:type="paragraph" w:customStyle="1" w:styleId="xl72">
    <w:name w:val="xl72"/>
    <w:basedOn w:val="Normal"/>
    <w:rsid w:val="003D150B"/>
    <w:pPr>
      <w:pBdr>
        <w:bottom w:val="double" w:sz="6" w:space="0" w:color="auto"/>
      </w:pBdr>
      <w:shd w:val="clear" w:color="000000" w:fill="FFFFFF"/>
      <w:spacing w:before="100" w:beforeAutospacing="1" w:after="100" w:afterAutospacing="1" w:line="240" w:lineRule="auto"/>
      <w:jc w:val="center"/>
    </w:pPr>
    <w:rPr>
      <w:rFonts w:ascii="Times" w:eastAsia="Times New Roman" w:hAnsi="Times" w:cs="Times"/>
      <w:b/>
      <w:bCs/>
      <w:color w:val="000000"/>
      <w:sz w:val="18"/>
      <w:szCs w:val="18"/>
    </w:rPr>
  </w:style>
  <w:style w:type="paragraph" w:customStyle="1" w:styleId="xl73">
    <w:name w:val="xl73"/>
    <w:basedOn w:val="Normal"/>
    <w:rsid w:val="003D150B"/>
    <w:pPr>
      <w:shd w:val="clear" w:color="000000" w:fill="FFFFFF"/>
      <w:spacing w:before="100" w:beforeAutospacing="1" w:after="100" w:afterAutospacing="1" w:line="240" w:lineRule="auto"/>
    </w:pPr>
    <w:rPr>
      <w:rFonts w:ascii="Times" w:eastAsia="Times New Roman" w:hAnsi="Times" w:cs="Times"/>
      <w:color w:val="000000"/>
      <w:sz w:val="18"/>
      <w:szCs w:val="18"/>
    </w:rPr>
  </w:style>
  <w:style w:type="paragraph" w:customStyle="1" w:styleId="xl74">
    <w:name w:val="xl74"/>
    <w:basedOn w:val="Normal"/>
    <w:rsid w:val="003D150B"/>
    <w:pPr>
      <w:shd w:val="clear" w:color="000000" w:fill="FFFFFF"/>
      <w:spacing w:before="100" w:beforeAutospacing="1" w:after="100" w:afterAutospacing="1" w:line="240" w:lineRule="auto"/>
      <w:jc w:val="center"/>
    </w:pPr>
    <w:rPr>
      <w:rFonts w:ascii="Times" w:eastAsia="Times New Roman" w:hAnsi="Times" w:cs="Times"/>
      <w:color w:val="000000"/>
      <w:sz w:val="18"/>
      <w:szCs w:val="18"/>
    </w:rPr>
  </w:style>
  <w:style w:type="paragraph" w:customStyle="1" w:styleId="xl75">
    <w:name w:val="xl75"/>
    <w:basedOn w:val="Normal"/>
    <w:rsid w:val="003D150B"/>
    <w:pPr>
      <w:shd w:val="clear" w:color="000000" w:fill="FFFFFF"/>
      <w:spacing w:before="100" w:beforeAutospacing="1" w:after="100" w:afterAutospacing="1" w:line="240" w:lineRule="auto"/>
      <w:jc w:val="center"/>
    </w:pPr>
    <w:rPr>
      <w:rFonts w:ascii="Times" w:eastAsia="Times New Roman" w:hAnsi="Times" w:cs="Times"/>
      <w:sz w:val="18"/>
      <w:szCs w:val="18"/>
    </w:rPr>
  </w:style>
  <w:style w:type="paragraph" w:customStyle="1" w:styleId="xl76">
    <w:name w:val="xl76"/>
    <w:basedOn w:val="Normal"/>
    <w:rsid w:val="003D150B"/>
    <w:pPr>
      <w:shd w:val="clear" w:color="000000" w:fill="FFFFFF"/>
      <w:spacing w:before="100" w:beforeAutospacing="1" w:after="100" w:afterAutospacing="1" w:line="240" w:lineRule="auto"/>
      <w:jc w:val="right"/>
    </w:pPr>
    <w:rPr>
      <w:rFonts w:ascii="Times" w:eastAsia="Times New Roman" w:hAnsi="Times" w:cs="Times"/>
      <w:color w:val="000000"/>
      <w:sz w:val="18"/>
      <w:szCs w:val="18"/>
    </w:rPr>
  </w:style>
  <w:style w:type="paragraph" w:customStyle="1" w:styleId="xl77">
    <w:name w:val="xl77"/>
    <w:basedOn w:val="Normal"/>
    <w:rsid w:val="003D150B"/>
    <w:pPr>
      <w:shd w:val="clear" w:color="000000" w:fill="FFFFFF"/>
      <w:spacing w:before="100" w:beforeAutospacing="1" w:after="100" w:afterAutospacing="1" w:line="240" w:lineRule="auto"/>
      <w:jc w:val="center"/>
    </w:pPr>
    <w:rPr>
      <w:rFonts w:ascii="Times" w:eastAsia="Times New Roman" w:hAnsi="Times" w:cs="Times"/>
      <w:b/>
      <w:bCs/>
      <w:i/>
      <w:iCs/>
      <w:color w:val="000000"/>
      <w:sz w:val="18"/>
      <w:szCs w:val="18"/>
    </w:rPr>
  </w:style>
  <w:style w:type="paragraph" w:customStyle="1" w:styleId="xl78">
    <w:name w:val="xl78"/>
    <w:basedOn w:val="Normal"/>
    <w:rsid w:val="003D150B"/>
    <w:pPr>
      <w:shd w:val="clear" w:color="000000" w:fill="FFFFFF"/>
      <w:spacing w:before="100" w:beforeAutospacing="1" w:after="100" w:afterAutospacing="1" w:line="240" w:lineRule="auto"/>
      <w:jc w:val="right"/>
      <w:textAlignment w:val="center"/>
    </w:pPr>
    <w:rPr>
      <w:rFonts w:ascii="Times" w:eastAsia="Times New Roman" w:hAnsi="Times" w:cs="Times"/>
      <w:color w:val="000000"/>
      <w:sz w:val="18"/>
      <w:szCs w:val="18"/>
    </w:rPr>
  </w:style>
  <w:style w:type="paragraph" w:customStyle="1" w:styleId="xl79">
    <w:name w:val="xl79"/>
    <w:basedOn w:val="Normal"/>
    <w:rsid w:val="003D150B"/>
    <w:pPr>
      <w:shd w:val="clear" w:color="000000" w:fill="FFFFFF"/>
      <w:spacing w:before="100" w:beforeAutospacing="1" w:after="100" w:afterAutospacing="1" w:line="240" w:lineRule="auto"/>
      <w:jc w:val="center"/>
      <w:textAlignment w:val="center"/>
    </w:pPr>
    <w:rPr>
      <w:rFonts w:ascii="Times" w:eastAsia="Times New Roman" w:hAnsi="Times" w:cs="Times"/>
      <w:color w:val="000000"/>
      <w:sz w:val="18"/>
      <w:szCs w:val="18"/>
    </w:rPr>
  </w:style>
  <w:style w:type="paragraph" w:customStyle="1" w:styleId="xl80">
    <w:name w:val="xl80"/>
    <w:basedOn w:val="Normal"/>
    <w:rsid w:val="003D150B"/>
    <w:pPr>
      <w:shd w:val="clear" w:color="000000" w:fill="FFFFFF"/>
      <w:spacing w:before="100" w:beforeAutospacing="1" w:after="100" w:afterAutospacing="1" w:line="240" w:lineRule="auto"/>
      <w:textAlignment w:val="center"/>
    </w:pPr>
    <w:rPr>
      <w:rFonts w:ascii="Times" w:eastAsia="Times New Roman" w:hAnsi="Times" w:cs="Times"/>
      <w:color w:val="000000"/>
      <w:sz w:val="18"/>
      <w:szCs w:val="18"/>
    </w:rPr>
  </w:style>
  <w:style w:type="paragraph" w:customStyle="1" w:styleId="xl81">
    <w:name w:val="xl81"/>
    <w:basedOn w:val="Normal"/>
    <w:rsid w:val="003D150B"/>
    <w:pPr>
      <w:shd w:val="clear" w:color="000000" w:fill="FFFFFF"/>
      <w:spacing w:before="100" w:beforeAutospacing="1" w:after="100" w:afterAutospacing="1" w:line="240" w:lineRule="auto"/>
      <w:jc w:val="center"/>
      <w:textAlignment w:val="center"/>
    </w:pPr>
    <w:rPr>
      <w:rFonts w:ascii="Times" w:eastAsia="Times New Roman" w:hAnsi="Times" w:cs="Times"/>
      <w:b/>
      <w:bCs/>
      <w:i/>
      <w:iCs/>
      <w:color w:val="000000"/>
      <w:sz w:val="18"/>
      <w:szCs w:val="18"/>
    </w:rPr>
  </w:style>
  <w:style w:type="paragraph" w:customStyle="1" w:styleId="xl82">
    <w:name w:val="xl82"/>
    <w:basedOn w:val="Normal"/>
    <w:rsid w:val="003D150B"/>
    <w:pPr>
      <w:shd w:val="clear" w:color="000000" w:fill="FFFFFF"/>
      <w:spacing w:before="100" w:beforeAutospacing="1" w:after="100" w:afterAutospacing="1" w:line="240" w:lineRule="auto"/>
    </w:pPr>
    <w:rPr>
      <w:rFonts w:ascii="Times" w:eastAsia="Times New Roman" w:hAnsi="Times" w:cs="Times"/>
      <w:b/>
      <w:bCs/>
      <w:i/>
      <w:iCs/>
      <w:color w:val="000000"/>
      <w:sz w:val="18"/>
      <w:szCs w:val="18"/>
    </w:rPr>
  </w:style>
  <w:style w:type="paragraph" w:customStyle="1" w:styleId="xl83">
    <w:name w:val="xl83"/>
    <w:basedOn w:val="Normal"/>
    <w:rsid w:val="003D150B"/>
    <w:pPr>
      <w:shd w:val="clear" w:color="000000" w:fill="FFFFFF"/>
      <w:spacing w:before="100" w:beforeAutospacing="1" w:after="100" w:afterAutospacing="1" w:line="240" w:lineRule="auto"/>
      <w:ind w:firstLineChars="100" w:firstLine="100"/>
    </w:pPr>
    <w:rPr>
      <w:rFonts w:ascii="Times" w:eastAsia="Times New Roman" w:hAnsi="Times" w:cs="Times"/>
      <w:color w:val="000000"/>
      <w:sz w:val="18"/>
      <w:szCs w:val="18"/>
    </w:rPr>
  </w:style>
  <w:style w:type="paragraph" w:customStyle="1" w:styleId="xl84">
    <w:name w:val="xl84"/>
    <w:basedOn w:val="Normal"/>
    <w:rsid w:val="003D150B"/>
    <w:pPr>
      <w:shd w:val="clear" w:color="000000" w:fill="FFFFFF"/>
      <w:spacing w:before="100" w:beforeAutospacing="1" w:after="100" w:afterAutospacing="1" w:line="240" w:lineRule="auto"/>
      <w:jc w:val="center"/>
      <w:textAlignment w:val="center"/>
    </w:pPr>
    <w:rPr>
      <w:rFonts w:ascii="Times" w:eastAsia="Times New Roman" w:hAnsi="Times" w:cs="Times"/>
      <w:sz w:val="18"/>
      <w:szCs w:val="18"/>
    </w:rPr>
  </w:style>
  <w:style w:type="paragraph" w:customStyle="1" w:styleId="xl85">
    <w:name w:val="xl85"/>
    <w:basedOn w:val="Normal"/>
    <w:rsid w:val="003D150B"/>
    <w:pPr>
      <w:shd w:val="clear" w:color="000000" w:fill="FFFFFF"/>
      <w:spacing w:before="100" w:beforeAutospacing="1" w:after="100" w:afterAutospacing="1" w:line="240" w:lineRule="auto"/>
      <w:jc w:val="center"/>
    </w:pPr>
    <w:rPr>
      <w:rFonts w:ascii="Times" w:eastAsia="Times New Roman" w:hAnsi="Times" w:cs="Times"/>
      <w:b/>
      <w:bCs/>
      <w:i/>
      <w:iCs/>
      <w:sz w:val="18"/>
      <w:szCs w:val="18"/>
    </w:rPr>
  </w:style>
  <w:style w:type="paragraph" w:customStyle="1" w:styleId="xl86">
    <w:name w:val="xl86"/>
    <w:basedOn w:val="Normal"/>
    <w:rsid w:val="003D150B"/>
    <w:pPr>
      <w:shd w:val="clear" w:color="000000" w:fill="FFFFFF"/>
      <w:spacing w:before="100" w:beforeAutospacing="1" w:after="100" w:afterAutospacing="1" w:line="240" w:lineRule="auto"/>
      <w:jc w:val="center"/>
      <w:textAlignment w:val="center"/>
    </w:pPr>
    <w:rPr>
      <w:rFonts w:ascii="Times" w:eastAsia="Times New Roman" w:hAnsi="Times" w:cs="Times"/>
      <w:b/>
      <w:bCs/>
      <w:i/>
      <w:iCs/>
      <w:sz w:val="18"/>
      <w:szCs w:val="18"/>
    </w:rPr>
  </w:style>
  <w:style w:type="paragraph" w:customStyle="1" w:styleId="xl87">
    <w:name w:val="xl87"/>
    <w:basedOn w:val="Normal"/>
    <w:rsid w:val="003D150B"/>
    <w:pPr>
      <w:pBdr>
        <w:bottom w:val="single" w:sz="4" w:space="0" w:color="auto"/>
      </w:pBdr>
      <w:shd w:val="clear" w:color="000000" w:fill="FFFFFF"/>
      <w:spacing w:before="100" w:beforeAutospacing="1" w:after="100" w:afterAutospacing="1" w:line="240" w:lineRule="auto"/>
      <w:ind w:firstLineChars="100" w:firstLine="100"/>
    </w:pPr>
    <w:rPr>
      <w:rFonts w:ascii="Times" w:eastAsia="Times New Roman" w:hAnsi="Times" w:cs="Times"/>
      <w:color w:val="000000"/>
      <w:sz w:val="18"/>
      <w:szCs w:val="18"/>
    </w:rPr>
  </w:style>
  <w:style w:type="paragraph" w:customStyle="1" w:styleId="xl88">
    <w:name w:val="xl88"/>
    <w:basedOn w:val="Normal"/>
    <w:rsid w:val="003D150B"/>
    <w:pPr>
      <w:pBdr>
        <w:bottom w:val="single" w:sz="4" w:space="0" w:color="auto"/>
      </w:pBdr>
      <w:shd w:val="clear" w:color="000000" w:fill="FFFFFF"/>
      <w:spacing w:before="100" w:beforeAutospacing="1" w:after="100" w:afterAutospacing="1" w:line="240" w:lineRule="auto"/>
      <w:jc w:val="center"/>
    </w:pPr>
    <w:rPr>
      <w:rFonts w:ascii="Times" w:eastAsia="Times New Roman" w:hAnsi="Times" w:cs="Times"/>
      <w:color w:val="000000"/>
      <w:sz w:val="18"/>
      <w:szCs w:val="18"/>
    </w:rPr>
  </w:style>
  <w:style w:type="paragraph" w:customStyle="1" w:styleId="xl89">
    <w:name w:val="xl89"/>
    <w:basedOn w:val="Normal"/>
    <w:rsid w:val="003D150B"/>
    <w:pPr>
      <w:pBdr>
        <w:bottom w:val="single" w:sz="4" w:space="0" w:color="auto"/>
      </w:pBdr>
      <w:shd w:val="clear" w:color="000000" w:fill="FFFFFF"/>
      <w:spacing w:before="100" w:beforeAutospacing="1" w:after="100" w:afterAutospacing="1" w:line="240" w:lineRule="auto"/>
    </w:pPr>
    <w:rPr>
      <w:rFonts w:ascii="Times" w:eastAsia="Times New Roman" w:hAnsi="Times" w:cs="Times"/>
      <w:color w:val="000000"/>
      <w:sz w:val="18"/>
      <w:szCs w:val="18"/>
    </w:rPr>
  </w:style>
  <w:style w:type="paragraph" w:customStyle="1" w:styleId="xl90">
    <w:name w:val="xl90"/>
    <w:basedOn w:val="Normal"/>
    <w:rsid w:val="003D150B"/>
    <w:pPr>
      <w:pBdr>
        <w:bottom w:val="single" w:sz="4" w:space="0" w:color="auto"/>
      </w:pBdr>
      <w:shd w:val="clear" w:color="000000" w:fill="FFFFFF"/>
      <w:spacing w:before="100" w:beforeAutospacing="1" w:after="100" w:afterAutospacing="1" w:line="240" w:lineRule="auto"/>
      <w:jc w:val="center"/>
    </w:pPr>
    <w:rPr>
      <w:rFonts w:ascii="Times" w:eastAsia="Times New Roman" w:hAnsi="Times" w:cs="Times"/>
      <w:b/>
      <w:bCs/>
      <w:i/>
      <w:iCs/>
      <w:sz w:val="18"/>
      <w:szCs w:val="18"/>
    </w:rPr>
  </w:style>
  <w:style w:type="character" w:styleId="CommentReference">
    <w:name w:val="annotation reference"/>
    <w:basedOn w:val="DefaultParagraphFont"/>
    <w:uiPriority w:val="99"/>
    <w:semiHidden/>
    <w:unhideWhenUsed/>
    <w:rsid w:val="003D150B"/>
    <w:rPr>
      <w:sz w:val="16"/>
      <w:szCs w:val="16"/>
    </w:rPr>
  </w:style>
  <w:style w:type="numbering" w:customStyle="1" w:styleId="CurrentList1">
    <w:name w:val="Current List1"/>
    <w:uiPriority w:val="99"/>
    <w:rsid w:val="003D150B"/>
    <w:pPr>
      <w:numPr>
        <w:numId w:val="15"/>
      </w:numPr>
    </w:pPr>
  </w:style>
  <w:style w:type="paragraph" w:styleId="Header">
    <w:name w:val="header"/>
    <w:basedOn w:val="Normal"/>
    <w:link w:val="HeaderChar"/>
    <w:uiPriority w:val="99"/>
    <w:unhideWhenUsed/>
    <w:rsid w:val="003D150B"/>
    <w:pPr>
      <w:tabs>
        <w:tab w:val="center" w:pos="4320"/>
        <w:tab w:val="right" w:pos="8640"/>
      </w:tabs>
      <w:spacing w:after="0" w:line="240" w:lineRule="auto"/>
    </w:pPr>
  </w:style>
  <w:style w:type="character" w:customStyle="1" w:styleId="HeaderChar">
    <w:name w:val="Header Char"/>
    <w:basedOn w:val="DefaultParagraphFont"/>
    <w:link w:val="Header"/>
    <w:uiPriority w:val="99"/>
    <w:rsid w:val="003D150B"/>
  </w:style>
  <w:style w:type="paragraph" w:styleId="Footer">
    <w:name w:val="footer"/>
    <w:basedOn w:val="Normal"/>
    <w:link w:val="FooterChar"/>
    <w:uiPriority w:val="99"/>
    <w:unhideWhenUsed/>
    <w:rsid w:val="003D150B"/>
    <w:pPr>
      <w:tabs>
        <w:tab w:val="center" w:pos="4320"/>
        <w:tab w:val="right" w:pos="8640"/>
      </w:tabs>
      <w:spacing w:after="0" w:line="240" w:lineRule="auto"/>
    </w:pPr>
  </w:style>
  <w:style w:type="character" w:customStyle="1" w:styleId="FooterChar">
    <w:name w:val="Footer Char"/>
    <w:basedOn w:val="DefaultParagraphFont"/>
    <w:link w:val="Footer"/>
    <w:uiPriority w:val="99"/>
    <w:rsid w:val="003D150B"/>
  </w:style>
  <w:style w:type="character" w:styleId="PageNumber">
    <w:name w:val="page number"/>
    <w:basedOn w:val="DefaultParagraphFont"/>
    <w:uiPriority w:val="99"/>
    <w:semiHidden/>
    <w:unhideWhenUsed/>
    <w:rsid w:val="003D150B"/>
  </w:style>
  <w:style w:type="paragraph" w:styleId="Revision">
    <w:name w:val="Revision"/>
    <w:hidden/>
    <w:uiPriority w:val="99"/>
    <w:semiHidden/>
    <w:rsid w:val="003D150B"/>
    <w:pPr>
      <w:spacing w:after="0" w:line="240" w:lineRule="auto"/>
    </w:pPr>
  </w:style>
  <w:style w:type="paragraph" w:styleId="FootnoteText">
    <w:name w:val="footnote text"/>
    <w:basedOn w:val="Normal"/>
    <w:link w:val="FootnoteTextChar"/>
    <w:uiPriority w:val="99"/>
    <w:unhideWhenUsed/>
    <w:rsid w:val="003D150B"/>
    <w:pPr>
      <w:spacing w:after="0" w:line="240" w:lineRule="auto"/>
    </w:pPr>
    <w:rPr>
      <w:sz w:val="24"/>
      <w:szCs w:val="24"/>
    </w:rPr>
  </w:style>
  <w:style w:type="character" w:customStyle="1" w:styleId="FootnoteTextChar">
    <w:name w:val="Footnote Text Char"/>
    <w:basedOn w:val="DefaultParagraphFont"/>
    <w:link w:val="FootnoteText"/>
    <w:uiPriority w:val="99"/>
    <w:rsid w:val="003D150B"/>
    <w:rPr>
      <w:sz w:val="24"/>
      <w:szCs w:val="24"/>
    </w:rPr>
  </w:style>
  <w:style w:type="character" w:styleId="FootnoteReference">
    <w:name w:val="footnote reference"/>
    <w:basedOn w:val="DefaultParagraphFont"/>
    <w:uiPriority w:val="99"/>
    <w:unhideWhenUsed/>
    <w:rsid w:val="003D150B"/>
    <w:rPr>
      <w:vertAlign w:val="superscript"/>
    </w:rPr>
  </w:style>
  <w:style w:type="paragraph" w:styleId="NormalWeb">
    <w:name w:val="Normal (Web)"/>
    <w:basedOn w:val="Normal"/>
    <w:uiPriority w:val="99"/>
    <w:semiHidden/>
    <w:unhideWhenUsed/>
    <w:rsid w:val="003D150B"/>
    <w:pPr>
      <w:spacing w:before="100" w:beforeAutospacing="1" w:after="100" w:afterAutospacing="1" w:line="240" w:lineRule="auto"/>
    </w:pPr>
    <w:rPr>
      <w:rFonts w:ascii="Times" w:hAnsi="Times" w:cs="Times New Roman"/>
      <w:sz w:val="20"/>
      <w:szCs w:val="20"/>
    </w:rPr>
  </w:style>
  <w:style w:type="character" w:styleId="Emphasis">
    <w:name w:val="Emphasis"/>
    <w:basedOn w:val="DefaultParagraphFont"/>
    <w:uiPriority w:val="20"/>
    <w:qFormat/>
    <w:rsid w:val="001303C7"/>
    <w:rPr>
      <w:b/>
      <w:bCs/>
      <w:i w:val="0"/>
      <w:iCs w:val="0"/>
    </w:rPr>
  </w:style>
  <w:style w:type="character" w:customStyle="1" w:styleId="st1">
    <w:name w:val="st1"/>
    <w:basedOn w:val="DefaultParagraphFont"/>
    <w:rsid w:val="001303C7"/>
  </w:style>
  <w:style w:type="paragraph" w:customStyle="1" w:styleId="1">
    <w:name w:val="正文1"/>
    <w:uiPriority w:val="99"/>
    <w:rsid w:val="00582B37"/>
    <w:pPr>
      <w:spacing w:after="0" w:line="276" w:lineRule="auto"/>
    </w:pPr>
    <w:rPr>
      <w:rFonts w:ascii="Arial" w:hAnsi="Arial" w:cs="Arial"/>
      <w:color w:val="000000"/>
      <w:szCs w:val="20"/>
      <w:lang w:val="pl-PL" w:eastAsia="pl-PL"/>
    </w:rPr>
  </w:style>
  <w:style w:type="character" w:styleId="Strong">
    <w:name w:val="Strong"/>
    <w:uiPriority w:val="22"/>
    <w:qFormat/>
    <w:rsid w:val="00C876BB"/>
    <w:rPr>
      <w:rFonts w:cs="Times New Roman"/>
      <w:b/>
    </w:rPr>
  </w:style>
  <w:style w:type="character" w:customStyle="1" w:styleId="Char">
    <w:name w:val="纯文本 Char"/>
    <w:link w:val="PlainText1"/>
    <w:rsid w:val="000B1B45"/>
    <w:rPr>
      <w:rFonts w:ascii="SimSun" w:hAnsi="Courier New" w:cs="Courier New"/>
      <w:szCs w:val="21"/>
    </w:rPr>
  </w:style>
  <w:style w:type="paragraph" w:customStyle="1" w:styleId="PlainText1">
    <w:name w:val="Plain Text1"/>
    <w:basedOn w:val="Normal"/>
    <w:link w:val="Char"/>
    <w:rsid w:val="000B1B45"/>
    <w:pPr>
      <w:widowControl w:val="0"/>
      <w:spacing w:after="0" w:line="240" w:lineRule="auto"/>
      <w:jc w:val="both"/>
    </w:pPr>
    <w:rPr>
      <w:rFonts w:ascii="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66214">
      <w:bodyDiv w:val="1"/>
      <w:marLeft w:val="0"/>
      <w:marRight w:val="0"/>
      <w:marTop w:val="0"/>
      <w:marBottom w:val="0"/>
      <w:divBdr>
        <w:top w:val="none" w:sz="0" w:space="0" w:color="auto"/>
        <w:left w:val="none" w:sz="0" w:space="0" w:color="auto"/>
        <w:bottom w:val="none" w:sz="0" w:space="0" w:color="auto"/>
        <w:right w:val="none" w:sz="0" w:space="0" w:color="auto"/>
      </w:divBdr>
      <w:divsChild>
        <w:div w:id="603994683">
          <w:marLeft w:val="0"/>
          <w:marRight w:val="1"/>
          <w:marTop w:val="0"/>
          <w:marBottom w:val="0"/>
          <w:divBdr>
            <w:top w:val="none" w:sz="0" w:space="0" w:color="auto"/>
            <w:left w:val="none" w:sz="0" w:space="0" w:color="auto"/>
            <w:bottom w:val="none" w:sz="0" w:space="0" w:color="auto"/>
            <w:right w:val="none" w:sz="0" w:space="0" w:color="auto"/>
          </w:divBdr>
          <w:divsChild>
            <w:div w:id="1607036710">
              <w:marLeft w:val="0"/>
              <w:marRight w:val="0"/>
              <w:marTop w:val="0"/>
              <w:marBottom w:val="0"/>
              <w:divBdr>
                <w:top w:val="none" w:sz="0" w:space="0" w:color="auto"/>
                <w:left w:val="none" w:sz="0" w:space="0" w:color="auto"/>
                <w:bottom w:val="none" w:sz="0" w:space="0" w:color="auto"/>
                <w:right w:val="none" w:sz="0" w:space="0" w:color="auto"/>
              </w:divBdr>
              <w:divsChild>
                <w:div w:id="1484738978">
                  <w:marLeft w:val="0"/>
                  <w:marRight w:val="1"/>
                  <w:marTop w:val="0"/>
                  <w:marBottom w:val="0"/>
                  <w:divBdr>
                    <w:top w:val="none" w:sz="0" w:space="0" w:color="auto"/>
                    <w:left w:val="none" w:sz="0" w:space="0" w:color="auto"/>
                    <w:bottom w:val="none" w:sz="0" w:space="0" w:color="auto"/>
                    <w:right w:val="none" w:sz="0" w:space="0" w:color="auto"/>
                  </w:divBdr>
                  <w:divsChild>
                    <w:div w:id="2118062804">
                      <w:marLeft w:val="0"/>
                      <w:marRight w:val="0"/>
                      <w:marTop w:val="0"/>
                      <w:marBottom w:val="0"/>
                      <w:divBdr>
                        <w:top w:val="none" w:sz="0" w:space="0" w:color="auto"/>
                        <w:left w:val="none" w:sz="0" w:space="0" w:color="auto"/>
                        <w:bottom w:val="none" w:sz="0" w:space="0" w:color="auto"/>
                        <w:right w:val="none" w:sz="0" w:space="0" w:color="auto"/>
                      </w:divBdr>
                      <w:divsChild>
                        <w:div w:id="850611405">
                          <w:marLeft w:val="0"/>
                          <w:marRight w:val="0"/>
                          <w:marTop w:val="0"/>
                          <w:marBottom w:val="0"/>
                          <w:divBdr>
                            <w:top w:val="none" w:sz="0" w:space="0" w:color="auto"/>
                            <w:left w:val="none" w:sz="0" w:space="0" w:color="auto"/>
                            <w:bottom w:val="none" w:sz="0" w:space="0" w:color="auto"/>
                            <w:right w:val="none" w:sz="0" w:space="0" w:color="auto"/>
                          </w:divBdr>
                          <w:divsChild>
                            <w:div w:id="130098717">
                              <w:marLeft w:val="0"/>
                              <w:marRight w:val="0"/>
                              <w:marTop w:val="120"/>
                              <w:marBottom w:val="360"/>
                              <w:divBdr>
                                <w:top w:val="none" w:sz="0" w:space="0" w:color="auto"/>
                                <w:left w:val="none" w:sz="0" w:space="0" w:color="auto"/>
                                <w:bottom w:val="none" w:sz="0" w:space="0" w:color="auto"/>
                                <w:right w:val="none" w:sz="0" w:space="0" w:color="auto"/>
                              </w:divBdr>
                              <w:divsChild>
                                <w:div w:id="241139291">
                                  <w:marLeft w:val="0"/>
                                  <w:marRight w:val="0"/>
                                  <w:marTop w:val="0"/>
                                  <w:marBottom w:val="0"/>
                                  <w:divBdr>
                                    <w:top w:val="none" w:sz="0" w:space="0" w:color="auto"/>
                                    <w:left w:val="none" w:sz="0" w:space="0" w:color="auto"/>
                                    <w:bottom w:val="none" w:sz="0" w:space="0" w:color="auto"/>
                                    <w:right w:val="none" w:sz="0" w:space="0" w:color="auto"/>
                                  </w:divBdr>
                                  <w:divsChild>
                                    <w:div w:id="20484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85589">
      <w:bodyDiv w:val="1"/>
      <w:marLeft w:val="0"/>
      <w:marRight w:val="0"/>
      <w:marTop w:val="0"/>
      <w:marBottom w:val="0"/>
      <w:divBdr>
        <w:top w:val="none" w:sz="0" w:space="0" w:color="auto"/>
        <w:left w:val="none" w:sz="0" w:space="0" w:color="auto"/>
        <w:bottom w:val="none" w:sz="0" w:space="0" w:color="auto"/>
        <w:right w:val="none" w:sz="0" w:space="0" w:color="auto"/>
      </w:divBdr>
      <w:divsChild>
        <w:div w:id="182592408">
          <w:marLeft w:val="0"/>
          <w:marRight w:val="1"/>
          <w:marTop w:val="0"/>
          <w:marBottom w:val="0"/>
          <w:divBdr>
            <w:top w:val="none" w:sz="0" w:space="0" w:color="auto"/>
            <w:left w:val="none" w:sz="0" w:space="0" w:color="auto"/>
            <w:bottom w:val="none" w:sz="0" w:space="0" w:color="auto"/>
            <w:right w:val="none" w:sz="0" w:space="0" w:color="auto"/>
          </w:divBdr>
          <w:divsChild>
            <w:div w:id="1930842825">
              <w:marLeft w:val="0"/>
              <w:marRight w:val="0"/>
              <w:marTop w:val="0"/>
              <w:marBottom w:val="0"/>
              <w:divBdr>
                <w:top w:val="none" w:sz="0" w:space="0" w:color="auto"/>
                <w:left w:val="none" w:sz="0" w:space="0" w:color="auto"/>
                <w:bottom w:val="none" w:sz="0" w:space="0" w:color="auto"/>
                <w:right w:val="none" w:sz="0" w:space="0" w:color="auto"/>
              </w:divBdr>
              <w:divsChild>
                <w:div w:id="1295528433">
                  <w:marLeft w:val="0"/>
                  <w:marRight w:val="1"/>
                  <w:marTop w:val="0"/>
                  <w:marBottom w:val="0"/>
                  <w:divBdr>
                    <w:top w:val="none" w:sz="0" w:space="0" w:color="auto"/>
                    <w:left w:val="none" w:sz="0" w:space="0" w:color="auto"/>
                    <w:bottom w:val="none" w:sz="0" w:space="0" w:color="auto"/>
                    <w:right w:val="none" w:sz="0" w:space="0" w:color="auto"/>
                  </w:divBdr>
                  <w:divsChild>
                    <w:div w:id="161744458">
                      <w:marLeft w:val="0"/>
                      <w:marRight w:val="0"/>
                      <w:marTop w:val="0"/>
                      <w:marBottom w:val="0"/>
                      <w:divBdr>
                        <w:top w:val="none" w:sz="0" w:space="0" w:color="auto"/>
                        <w:left w:val="none" w:sz="0" w:space="0" w:color="auto"/>
                        <w:bottom w:val="none" w:sz="0" w:space="0" w:color="auto"/>
                        <w:right w:val="none" w:sz="0" w:space="0" w:color="auto"/>
                      </w:divBdr>
                      <w:divsChild>
                        <w:div w:id="1823547454">
                          <w:marLeft w:val="0"/>
                          <w:marRight w:val="0"/>
                          <w:marTop w:val="0"/>
                          <w:marBottom w:val="0"/>
                          <w:divBdr>
                            <w:top w:val="none" w:sz="0" w:space="0" w:color="auto"/>
                            <w:left w:val="none" w:sz="0" w:space="0" w:color="auto"/>
                            <w:bottom w:val="none" w:sz="0" w:space="0" w:color="auto"/>
                            <w:right w:val="none" w:sz="0" w:space="0" w:color="auto"/>
                          </w:divBdr>
                          <w:divsChild>
                            <w:div w:id="580522962">
                              <w:marLeft w:val="0"/>
                              <w:marRight w:val="0"/>
                              <w:marTop w:val="120"/>
                              <w:marBottom w:val="360"/>
                              <w:divBdr>
                                <w:top w:val="none" w:sz="0" w:space="0" w:color="auto"/>
                                <w:left w:val="none" w:sz="0" w:space="0" w:color="auto"/>
                                <w:bottom w:val="none" w:sz="0" w:space="0" w:color="auto"/>
                                <w:right w:val="none" w:sz="0" w:space="0" w:color="auto"/>
                              </w:divBdr>
                              <w:divsChild>
                                <w:div w:id="457334027">
                                  <w:marLeft w:val="0"/>
                                  <w:marRight w:val="0"/>
                                  <w:marTop w:val="0"/>
                                  <w:marBottom w:val="0"/>
                                  <w:divBdr>
                                    <w:top w:val="none" w:sz="0" w:space="0" w:color="auto"/>
                                    <w:left w:val="none" w:sz="0" w:space="0" w:color="auto"/>
                                    <w:bottom w:val="none" w:sz="0" w:space="0" w:color="auto"/>
                                    <w:right w:val="none" w:sz="0" w:space="0" w:color="auto"/>
                                  </w:divBdr>
                                  <w:divsChild>
                                    <w:div w:id="4433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52198">
      <w:bodyDiv w:val="1"/>
      <w:marLeft w:val="0"/>
      <w:marRight w:val="0"/>
      <w:marTop w:val="0"/>
      <w:marBottom w:val="0"/>
      <w:divBdr>
        <w:top w:val="none" w:sz="0" w:space="0" w:color="auto"/>
        <w:left w:val="none" w:sz="0" w:space="0" w:color="auto"/>
        <w:bottom w:val="none" w:sz="0" w:space="0" w:color="auto"/>
        <w:right w:val="none" w:sz="0" w:space="0" w:color="auto"/>
      </w:divBdr>
      <w:divsChild>
        <w:div w:id="1713581149">
          <w:marLeft w:val="0"/>
          <w:marRight w:val="1"/>
          <w:marTop w:val="0"/>
          <w:marBottom w:val="0"/>
          <w:divBdr>
            <w:top w:val="none" w:sz="0" w:space="0" w:color="auto"/>
            <w:left w:val="none" w:sz="0" w:space="0" w:color="auto"/>
            <w:bottom w:val="none" w:sz="0" w:space="0" w:color="auto"/>
            <w:right w:val="none" w:sz="0" w:space="0" w:color="auto"/>
          </w:divBdr>
          <w:divsChild>
            <w:div w:id="787507433">
              <w:marLeft w:val="0"/>
              <w:marRight w:val="0"/>
              <w:marTop w:val="0"/>
              <w:marBottom w:val="0"/>
              <w:divBdr>
                <w:top w:val="none" w:sz="0" w:space="0" w:color="auto"/>
                <w:left w:val="none" w:sz="0" w:space="0" w:color="auto"/>
                <w:bottom w:val="none" w:sz="0" w:space="0" w:color="auto"/>
                <w:right w:val="none" w:sz="0" w:space="0" w:color="auto"/>
              </w:divBdr>
              <w:divsChild>
                <w:div w:id="1705210836">
                  <w:marLeft w:val="0"/>
                  <w:marRight w:val="1"/>
                  <w:marTop w:val="0"/>
                  <w:marBottom w:val="0"/>
                  <w:divBdr>
                    <w:top w:val="none" w:sz="0" w:space="0" w:color="auto"/>
                    <w:left w:val="none" w:sz="0" w:space="0" w:color="auto"/>
                    <w:bottom w:val="none" w:sz="0" w:space="0" w:color="auto"/>
                    <w:right w:val="none" w:sz="0" w:space="0" w:color="auto"/>
                  </w:divBdr>
                  <w:divsChild>
                    <w:div w:id="2094203346">
                      <w:marLeft w:val="0"/>
                      <w:marRight w:val="0"/>
                      <w:marTop w:val="0"/>
                      <w:marBottom w:val="0"/>
                      <w:divBdr>
                        <w:top w:val="none" w:sz="0" w:space="0" w:color="auto"/>
                        <w:left w:val="none" w:sz="0" w:space="0" w:color="auto"/>
                        <w:bottom w:val="none" w:sz="0" w:space="0" w:color="auto"/>
                        <w:right w:val="none" w:sz="0" w:space="0" w:color="auto"/>
                      </w:divBdr>
                      <w:divsChild>
                        <w:div w:id="1216891776">
                          <w:marLeft w:val="0"/>
                          <w:marRight w:val="0"/>
                          <w:marTop w:val="0"/>
                          <w:marBottom w:val="0"/>
                          <w:divBdr>
                            <w:top w:val="none" w:sz="0" w:space="0" w:color="auto"/>
                            <w:left w:val="none" w:sz="0" w:space="0" w:color="auto"/>
                            <w:bottom w:val="none" w:sz="0" w:space="0" w:color="auto"/>
                            <w:right w:val="none" w:sz="0" w:space="0" w:color="auto"/>
                          </w:divBdr>
                          <w:divsChild>
                            <w:div w:id="1445610926">
                              <w:marLeft w:val="0"/>
                              <w:marRight w:val="0"/>
                              <w:marTop w:val="120"/>
                              <w:marBottom w:val="360"/>
                              <w:divBdr>
                                <w:top w:val="none" w:sz="0" w:space="0" w:color="auto"/>
                                <w:left w:val="none" w:sz="0" w:space="0" w:color="auto"/>
                                <w:bottom w:val="none" w:sz="0" w:space="0" w:color="auto"/>
                                <w:right w:val="none" w:sz="0" w:space="0" w:color="auto"/>
                              </w:divBdr>
                              <w:divsChild>
                                <w:div w:id="262764314">
                                  <w:marLeft w:val="0"/>
                                  <w:marRight w:val="0"/>
                                  <w:marTop w:val="0"/>
                                  <w:marBottom w:val="0"/>
                                  <w:divBdr>
                                    <w:top w:val="none" w:sz="0" w:space="0" w:color="auto"/>
                                    <w:left w:val="none" w:sz="0" w:space="0" w:color="auto"/>
                                    <w:bottom w:val="none" w:sz="0" w:space="0" w:color="auto"/>
                                    <w:right w:val="none" w:sz="0" w:space="0" w:color="auto"/>
                                  </w:divBdr>
                                  <w:divsChild>
                                    <w:div w:id="8294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746727">
      <w:bodyDiv w:val="1"/>
      <w:marLeft w:val="0"/>
      <w:marRight w:val="0"/>
      <w:marTop w:val="0"/>
      <w:marBottom w:val="0"/>
      <w:divBdr>
        <w:top w:val="none" w:sz="0" w:space="0" w:color="auto"/>
        <w:left w:val="none" w:sz="0" w:space="0" w:color="auto"/>
        <w:bottom w:val="none" w:sz="0" w:space="0" w:color="auto"/>
        <w:right w:val="none" w:sz="0" w:space="0" w:color="auto"/>
      </w:divBdr>
      <w:divsChild>
        <w:div w:id="988021043">
          <w:marLeft w:val="0"/>
          <w:marRight w:val="1"/>
          <w:marTop w:val="0"/>
          <w:marBottom w:val="0"/>
          <w:divBdr>
            <w:top w:val="none" w:sz="0" w:space="0" w:color="auto"/>
            <w:left w:val="none" w:sz="0" w:space="0" w:color="auto"/>
            <w:bottom w:val="none" w:sz="0" w:space="0" w:color="auto"/>
            <w:right w:val="none" w:sz="0" w:space="0" w:color="auto"/>
          </w:divBdr>
          <w:divsChild>
            <w:div w:id="1436949104">
              <w:marLeft w:val="0"/>
              <w:marRight w:val="0"/>
              <w:marTop w:val="0"/>
              <w:marBottom w:val="0"/>
              <w:divBdr>
                <w:top w:val="none" w:sz="0" w:space="0" w:color="auto"/>
                <w:left w:val="none" w:sz="0" w:space="0" w:color="auto"/>
                <w:bottom w:val="none" w:sz="0" w:space="0" w:color="auto"/>
                <w:right w:val="none" w:sz="0" w:space="0" w:color="auto"/>
              </w:divBdr>
              <w:divsChild>
                <w:div w:id="1053967197">
                  <w:marLeft w:val="0"/>
                  <w:marRight w:val="1"/>
                  <w:marTop w:val="0"/>
                  <w:marBottom w:val="0"/>
                  <w:divBdr>
                    <w:top w:val="none" w:sz="0" w:space="0" w:color="auto"/>
                    <w:left w:val="none" w:sz="0" w:space="0" w:color="auto"/>
                    <w:bottom w:val="none" w:sz="0" w:space="0" w:color="auto"/>
                    <w:right w:val="none" w:sz="0" w:space="0" w:color="auto"/>
                  </w:divBdr>
                  <w:divsChild>
                    <w:div w:id="908853870">
                      <w:marLeft w:val="0"/>
                      <w:marRight w:val="0"/>
                      <w:marTop w:val="0"/>
                      <w:marBottom w:val="0"/>
                      <w:divBdr>
                        <w:top w:val="none" w:sz="0" w:space="0" w:color="auto"/>
                        <w:left w:val="none" w:sz="0" w:space="0" w:color="auto"/>
                        <w:bottom w:val="none" w:sz="0" w:space="0" w:color="auto"/>
                        <w:right w:val="none" w:sz="0" w:space="0" w:color="auto"/>
                      </w:divBdr>
                      <w:divsChild>
                        <w:div w:id="2029603119">
                          <w:marLeft w:val="0"/>
                          <w:marRight w:val="0"/>
                          <w:marTop w:val="0"/>
                          <w:marBottom w:val="0"/>
                          <w:divBdr>
                            <w:top w:val="none" w:sz="0" w:space="0" w:color="auto"/>
                            <w:left w:val="none" w:sz="0" w:space="0" w:color="auto"/>
                            <w:bottom w:val="none" w:sz="0" w:space="0" w:color="auto"/>
                            <w:right w:val="none" w:sz="0" w:space="0" w:color="auto"/>
                          </w:divBdr>
                          <w:divsChild>
                            <w:div w:id="1771386560">
                              <w:marLeft w:val="0"/>
                              <w:marRight w:val="0"/>
                              <w:marTop w:val="120"/>
                              <w:marBottom w:val="360"/>
                              <w:divBdr>
                                <w:top w:val="none" w:sz="0" w:space="0" w:color="auto"/>
                                <w:left w:val="none" w:sz="0" w:space="0" w:color="auto"/>
                                <w:bottom w:val="none" w:sz="0" w:space="0" w:color="auto"/>
                                <w:right w:val="none" w:sz="0" w:space="0" w:color="auto"/>
                              </w:divBdr>
                              <w:divsChild>
                                <w:div w:id="1120761303">
                                  <w:marLeft w:val="0"/>
                                  <w:marRight w:val="0"/>
                                  <w:marTop w:val="0"/>
                                  <w:marBottom w:val="0"/>
                                  <w:divBdr>
                                    <w:top w:val="none" w:sz="0" w:space="0" w:color="auto"/>
                                    <w:left w:val="none" w:sz="0" w:space="0" w:color="auto"/>
                                    <w:bottom w:val="none" w:sz="0" w:space="0" w:color="auto"/>
                                    <w:right w:val="none" w:sz="0" w:space="0" w:color="auto"/>
                                  </w:divBdr>
                                  <w:divsChild>
                                    <w:div w:id="8144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4743478">
      <w:bodyDiv w:val="1"/>
      <w:marLeft w:val="0"/>
      <w:marRight w:val="0"/>
      <w:marTop w:val="0"/>
      <w:marBottom w:val="0"/>
      <w:divBdr>
        <w:top w:val="none" w:sz="0" w:space="0" w:color="auto"/>
        <w:left w:val="none" w:sz="0" w:space="0" w:color="auto"/>
        <w:bottom w:val="none" w:sz="0" w:space="0" w:color="auto"/>
        <w:right w:val="none" w:sz="0" w:space="0" w:color="auto"/>
      </w:divBdr>
      <w:divsChild>
        <w:div w:id="1397895635">
          <w:marLeft w:val="0"/>
          <w:marRight w:val="1"/>
          <w:marTop w:val="0"/>
          <w:marBottom w:val="0"/>
          <w:divBdr>
            <w:top w:val="none" w:sz="0" w:space="0" w:color="auto"/>
            <w:left w:val="none" w:sz="0" w:space="0" w:color="auto"/>
            <w:bottom w:val="none" w:sz="0" w:space="0" w:color="auto"/>
            <w:right w:val="none" w:sz="0" w:space="0" w:color="auto"/>
          </w:divBdr>
          <w:divsChild>
            <w:div w:id="1570001631">
              <w:marLeft w:val="0"/>
              <w:marRight w:val="0"/>
              <w:marTop w:val="0"/>
              <w:marBottom w:val="0"/>
              <w:divBdr>
                <w:top w:val="none" w:sz="0" w:space="0" w:color="auto"/>
                <w:left w:val="none" w:sz="0" w:space="0" w:color="auto"/>
                <w:bottom w:val="none" w:sz="0" w:space="0" w:color="auto"/>
                <w:right w:val="none" w:sz="0" w:space="0" w:color="auto"/>
              </w:divBdr>
              <w:divsChild>
                <w:div w:id="704137100">
                  <w:marLeft w:val="0"/>
                  <w:marRight w:val="1"/>
                  <w:marTop w:val="0"/>
                  <w:marBottom w:val="0"/>
                  <w:divBdr>
                    <w:top w:val="none" w:sz="0" w:space="0" w:color="auto"/>
                    <w:left w:val="none" w:sz="0" w:space="0" w:color="auto"/>
                    <w:bottom w:val="none" w:sz="0" w:space="0" w:color="auto"/>
                    <w:right w:val="none" w:sz="0" w:space="0" w:color="auto"/>
                  </w:divBdr>
                  <w:divsChild>
                    <w:div w:id="261643789">
                      <w:marLeft w:val="0"/>
                      <w:marRight w:val="0"/>
                      <w:marTop w:val="0"/>
                      <w:marBottom w:val="0"/>
                      <w:divBdr>
                        <w:top w:val="none" w:sz="0" w:space="0" w:color="auto"/>
                        <w:left w:val="none" w:sz="0" w:space="0" w:color="auto"/>
                        <w:bottom w:val="none" w:sz="0" w:space="0" w:color="auto"/>
                        <w:right w:val="none" w:sz="0" w:space="0" w:color="auto"/>
                      </w:divBdr>
                      <w:divsChild>
                        <w:div w:id="907572599">
                          <w:marLeft w:val="0"/>
                          <w:marRight w:val="0"/>
                          <w:marTop w:val="0"/>
                          <w:marBottom w:val="0"/>
                          <w:divBdr>
                            <w:top w:val="none" w:sz="0" w:space="0" w:color="auto"/>
                            <w:left w:val="none" w:sz="0" w:space="0" w:color="auto"/>
                            <w:bottom w:val="none" w:sz="0" w:space="0" w:color="auto"/>
                            <w:right w:val="none" w:sz="0" w:space="0" w:color="auto"/>
                          </w:divBdr>
                          <w:divsChild>
                            <w:div w:id="1839803033">
                              <w:marLeft w:val="0"/>
                              <w:marRight w:val="0"/>
                              <w:marTop w:val="120"/>
                              <w:marBottom w:val="360"/>
                              <w:divBdr>
                                <w:top w:val="none" w:sz="0" w:space="0" w:color="auto"/>
                                <w:left w:val="none" w:sz="0" w:space="0" w:color="auto"/>
                                <w:bottom w:val="none" w:sz="0" w:space="0" w:color="auto"/>
                                <w:right w:val="none" w:sz="0" w:space="0" w:color="auto"/>
                              </w:divBdr>
                              <w:divsChild>
                                <w:div w:id="1936477726">
                                  <w:marLeft w:val="0"/>
                                  <w:marRight w:val="0"/>
                                  <w:marTop w:val="0"/>
                                  <w:marBottom w:val="0"/>
                                  <w:divBdr>
                                    <w:top w:val="none" w:sz="0" w:space="0" w:color="auto"/>
                                    <w:left w:val="none" w:sz="0" w:space="0" w:color="auto"/>
                                    <w:bottom w:val="none" w:sz="0" w:space="0" w:color="auto"/>
                                    <w:right w:val="none" w:sz="0" w:space="0" w:color="auto"/>
                                  </w:divBdr>
                                  <w:divsChild>
                                    <w:div w:id="18758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753515">
      <w:bodyDiv w:val="1"/>
      <w:marLeft w:val="0"/>
      <w:marRight w:val="0"/>
      <w:marTop w:val="0"/>
      <w:marBottom w:val="0"/>
      <w:divBdr>
        <w:top w:val="none" w:sz="0" w:space="0" w:color="auto"/>
        <w:left w:val="none" w:sz="0" w:space="0" w:color="auto"/>
        <w:bottom w:val="none" w:sz="0" w:space="0" w:color="auto"/>
        <w:right w:val="none" w:sz="0" w:space="0" w:color="auto"/>
      </w:divBdr>
      <w:divsChild>
        <w:div w:id="2072195603">
          <w:marLeft w:val="0"/>
          <w:marRight w:val="1"/>
          <w:marTop w:val="0"/>
          <w:marBottom w:val="0"/>
          <w:divBdr>
            <w:top w:val="none" w:sz="0" w:space="0" w:color="auto"/>
            <w:left w:val="none" w:sz="0" w:space="0" w:color="auto"/>
            <w:bottom w:val="none" w:sz="0" w:space="0" w:color="auto"/>
            <w:right w:val="none" w:sz="0" w:space="0" w:color="auto"/>
          </w:divBdr>
          <w:divsChild>
            <w:div w:id="1136751567">
              <w:marLeft w:val="0"/>
              <w:marRight w:val="0"/>
              <w:marTop w:val="0"/>
              <w:marBottom w:val="0"/>
              <w:divBdr>
                <w:top w:val="none" w:sz="0" w:space="0" w:color="auto"/>
                <w:left w:val="none" w:sz="0" w:space="0" w:color="auto"/>
                <w:bottom w:val="none" w:sz="0" w:space="0" w:color="auto"/>
                <w:right w:val="none" w:sz="0" w:space="0" w:color="auto"/>
              </w:divBdr>
              <w:divsChild>
                <w:div w:id="2113351455">
                  <w:marLeft w:val="0"/>
                  <w:marRight w:val="1"/>
                  <w:marTop w:val="0"/>
                  <w:marBottom w:val="0"/>
                  <w:divBdr>
                    <w:top w:val="none" w:sz="0" w:space="0" w:color="auto"/>
                    <w:left w:val="none" w:sz="0" w:space="0" w:color="auto"/>
                    <w:bottom w:val="none" w:sz="0" w:space="0" w:color="auto"/>
                    <w:right w:val="none" w:sz="0" w:space="0" w:color="auto"/>
                  </w:divBdr>
                  <w:divsChild>
                    <w:div w:id="390732028">
                      <w:marLeft w:val="0"/>
                      <w:marRight w:val="0"/>
                      <w:marTop w:val="0"/>
                      <w:marBottom w:val="0"/>
                      <w:divBdr>
                        <w:top w:val="none" w:sz="0" w:space="0" w:color="auto"/>
                        <w:left w:val="none" w:sz="0" w:space="0" w:color="auto"/>
                        <w:bottom w:val="none" w:sz="0" w:space="0" w:color="auto"/>
                        <w:right w:val="none" w:sz="0" w:space="0" w:color="auto"/>
                      </w:divBdr>
                      <w:divsChild>
                        <w:div w:id="509032663">
                          <w:marLeft w:val="0"/>
                          <w:marRight w:val="0"/>
                          <w:marTop w:val="0"/>
                          <w:marBottom w:val="0"/>
                          <w:divBdr>
                            <w:top w:val="none" w:sz="0" w:space="0" w:color="auto"/>
                            <w:left w:val="none" w:sz="0" w:space="0" w:color="auto"/>
                            <w:bottom w:val="none" w:sz="0" w:space="0" w:color="auto"/>
                            <w:right w:val="none" w:sz="0" w:space="0" w:color="auto"/>
                          </w:divBdr>
                          <w:divsChild>
                            <w:div w:id="893809086">
                              <w:marLeft w:val="0"/>
                              <w:marRight w:val="0"/>
                              <w:marTop w:val="120"/>
                              <w:marBottom w:val="360"/>
                              <w:divBdr>
                                <w:top w:val="none" w:sz="0" w:space="0" w:color="auto"/>
                                <w:left w:val="none" w:sz="0" w:space="0" w:color="auto"/>
                                <w:bottom w:val="none" w:sz="0" w:space="0" w:color="auto"/>
                                <w:right w:val="none" w:sz="0" w:space="0" w:color="auto"/>
                              </w:divBdr>
                              <w:divsChild>
                                <w:div w:id="2110469041">
                                  <w:marLeft w:val="0"/>
                                  <w:marRight w:val="0"/>
                                  <w:marTop w:val="0"/>
                                  <w:marBottom w:val="0"/>
                                  <w:divBdr>
                                    <w:top w:val="none" w:sz="0" w:space="0" w:color="auto"/>
                                    <w:left w:val="none" w:sz="0" w:space="0" w:color="auto"/>
                                    <w:bottom w:val="none" w:sz="0" w:space="0" w:color="auto"/>
                                    <w:right w:val="none" w:sz="0" w:space="0" w:color="auto"/>
                                  </w:divBdr>
                                  <w:divsChild>
                                    <w:div w:id="15876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082376">
      <w:bodyDiv w:val="1"/>
      <w:marLeft w:val="0"/>
      <w:marRight w:val="0"/>
      <w:marTop w:val="0"/>
      <w:marBottom w:val="0"/>
      <w:divBdr>
        <w:top w:val="none" w:sz="0" w:space="0" w:color="auto"/>
        <w:left w:val="none" w:sz="0" w:space="0" w:color="auto"/>
        <w:bottom w:val="none" w:sz="0" w:space="0" w:color="auto"/>
        <w:right w:val="none" w:sz="0" w:space="0" w:color="auto"/>
      </w:divBdr>
    </w:div>
    <w:div w:id="384763464">
      <w:bodyDiv w:val="1"/>
      <w:marLeft w:val="0"/>
      <w:marRight w:val="0"/>
      <w:marTop w:val="0"/>
      <w:marBottom w:val="0"/>
      <w:divBdr>
        <w:top w:val="none" w:sz="0" w:space="0" w:color="auto"/>
        <w:left w:val="none" w:sz="0" w:space="0" w:color="auto"/>
        <w:bottom w:val="none" w:sz="0" w:space="0" w:color="auto"/>
        <w:right w:val="none" w:sz="0" w:space="0" w:color="auto"/>
      </w:divBdr>
      <w:divsChild>
        <w:div w:id="723679678">
          <w:marLeft w:val="0"/>
          <w:marRight w:val="1"/>
          <w:marTop w:val="0"/>
          <w:marBottom w:val="0"/>
          <w:divBdr>
            <w:top w:val="none" w:sz="0" w:space="0" w:color="auto"/>
            <w:left w:val="none" w:sz="0" w:space="0" w:color="auto"/>
            <w:bottom w:val="none" w:sz="0" w:space="0" w:color="auto"/>
            <w:right w:val="none" w:sz="0" w:space="0" w:color="auto"/>
          </w:divBdr>
          <w:divsChild>
            <w:div w:id="796414816">
              <w:marLeft w:val="0"/>
              <w:marRight w:val="0"/>
              <w:marTop w:val="0"/>
              <w:marBottom w:val="0"/>
              <w:divBdr>
                <w:top w:val="none" w:sz="0" w:space="0" w:color="auto"/>
                <w:left w:val="none" w:sz="0" w:space="0" w:color="auto"/>
                <w:bottom w:val="none" w:sz="0" w:space="0" w:color="auto"/>
                <w:right w:val="none" w:sz="0" w:space="0" w:color="auto"/>
              </w:divBdr>
              <w:divsChild>
                <w:div w:id="962494004">
                  <w:marLeft w:val="0"/>
                  <w:marRight w:val="1"/>
                  <w:marTop w:val="0"/>
                  <w:marBottom w:val="0"/>
                  <w:divBdr>
                    <w:top w:val="none" w:sz="0" w:space="0" w:color="auto"/>
                    <w:left w:val="none" w:sz="0" w:space="0" w:color="auto"/>
                    <w:bottom w:val="none" w:sz="0" w:space="0" w:color="auto"/>
                    <w:right w:val="none" w:sz="0" w:space="0" w:color="auto"/>
                  </w:divBdr>
                  <w:divsChild>
                    <w:div w:id="842015868">
                      <w:marLeft w:val="0"/>
                      <w:marRight w:val="0"/>
                      <w:marTop w:val="0"/>
                      <w:marBottom w:val="0"/>
                      <w:divBdr>
                        <w:top w:val="none" w:sz="0" w:space="0" w:color="auto"/>
                        <w:left w:val="none" w:sz="0" w:space="0" w:color="auto"/>
                        <w:bottom w:val="none" w:sz="0" w:space="0" w:color="auto"/>
                        <w:right w:val="none" w:sz="0" w:space="0" w:color="auto"/>
                      </w:divBdr>
                      <w:divsChild>
                        <w:div w:id="1896893667">
                          <w:marLeft w:val="0"/>
                          <w:marRight w:val="0"/>
                          <w:marTop w:val="0"/>
                          <w:marBottom w:val="0"/>
                          <w:divBdr>
                            <w:top w:val="none" w:sz="0" w:space="0" w:color="auto"/>
                            <w:left w:val="none" w:sz="0" w:space="0" w:color="auto"/>
                            <w:bottom w:val="none" w:sz="0" w:space="0" w:color="auto"/>
                            <w:right w:val="none" w:sz="0" w:space="0" w:color="auto"/>
                          </w:divBdr>
                          <w:divsChild>
                            <w:div w:id="1473255505">
                              <w:marLeft w:val="0"/>
                              <w:marRight w:val="0"/>
                              <w:marTop w:val="120"/>
                              <w:marBottom w:val="360"/>
                              <w:divBdr>
                                <w:top w:val="none" w:sz="0" w:space="0" w:color="auto"/>
                                <w:left w:val="none" w:sz="0" w:space="0" w:color="auto"/>
                                <w:bottom w:val="none" w:sz="0" w:space="0" w:color="auto"/>
                                <w:right w:val="none" w:sz="0" w:space="0" w:color="auto"/>
                              </w:divBdr>
                              <w:divsChild>
                                <w:div w:id="1837065362">
                                  <w:marLeft w:val="0"/>
                                  <w:marRight w:val="0"/>
                                  <w:marTop w:val="0"/>
                                  <w:marBottom w:val="0"/>
                                  <w:divBdr>
                                    <w:top w:val="none" w:sz="0" w:space="0" w:color="auto"/>
                                    <w:left w:val="none" w:sz="0" w:space="0" w:color="auto"/>
                                    <w:bottom w:val="none" w:sz="0" w:space="0" w:color="auto"/>
                                    <w:right w:val="none" w:sz="0" w:space="0" w:color="auto"/>
                                  </w:divBdr>
                                  <w:divsChild>
                                    <w:div w:id="10637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629333">
      <w:bodyDiv w:val="1"/>
      <w:marLeft w:val="0"/>
      <w:marRight w:val="0"/>
      <w:marTop w:val="0"/>
      <w:marBottom w:val="0"/>
      <w:divBdr>
        <w:top w:val="none" w:sz="0" w:space="0" w:color="auto"/>
        <w:left w:val="none" w:sz="0" w:space="0" w:color="auto"/>
        <w:bottom w:val="none" w:sz="0" w:space="0" w:color="auto"/>
        <w:right w:val="none" w:sz="0" w:space="0" w:color="auto"/>
      </w:divBdr>
      <w:divsChild>
        <w:div w:id="2041658920">
          <w:marLeft w:val="0"/>
          <w:marRight w:val="1"/>
          <w:marTop w:val="0"/>
          <w:marBottom w:val="0"/>
          <w:divBdr>
            <w:top w:val="none" w:sz="0" w:space="0" w:color="auto"/>
            <w:left w:val="none" w:sz="0" w:space="0" w:color="auto"/>
            <w:bottom w:val="none" w:sz="0" w:space="0" w:color="auto"/>
            <w:right w:val="none" w:sz="0" w:space="0" w:color="auto"/>
          </w:divBdr>
          <w:divsChild>
            <w:div w:id="936330458">
              <w:marLeft w:val="0"/>
              <w:marRight w:val="0"/>
              <w:marTop w:val="0"/>
              <w:marBottom w:val="0"/>
              <w:divBdr>
                <w:top w:val="none" w:sz="0" w:space="0" w:color="auto"/>
                <w:left w:val="none" w:sz="0" w:space="0" w:color="auto"/>
                <w:bottom w:val="none" w:sz="0" w:space="0" w:color="auto"/>
                <w:right w:val="none" w:sz="0" w:space="0" w:color="auto"/>
              </w:divBdr>
              <w:divsChild>
                <w:div w:id="2081781770">
                  <w:marLeft w:val="0"/>
                  <w:marRight w:val="1"/>
                  <w:marTop w:val="0"/>
                  <w:marBottom w:val="0"/>
                  <w:divBdr>
                    <w:top w:val="none" w:sz="0" w:space="0" w:color="auto"/>
                    <w:left w:val="none" w:sz="0" w:space="0" w:color="auto"/>
                    <w:bottom w:val="none" w:sz="0" w:space="0" w:color="auto"/>
                    <w:right w:val="none" w:sz="0" w:space="0" w:color="auto"/>
                  </w:divBdr>
                  <w:divsChild>
                    <w:div w:id="145246927">
                      <w:marLeft w:val="0"/>
                      <w:marRight w:val="0"/>
                      <w:marTop w:val="0"/>
                      <w:marBottom w:val="0"/>
                      <w:divBdr>
                        <w:top w:val="none" w:sz="0" w:space="0" w:color="auto"/>
                        <w:left w:val="none" w:sz="0" w:space="0" w:color="auto"/>
                        <w:bottom w:val="none" w:sz="0" w:space="0" w:color="auto"/>
                        <w:right w:val="none" w:sz="0" w:space="0" w:color="auto"/>
                      </w:divBdr>
                      <w:divsChild>
                        <w:div w:id="155536886">
                          <w:marLeft w:val="0"/>
                          <w:marRight w:val="0"/>
                          <w:marTop w:val="0"/>
                          <w:marBottom w:val="0"/>
                          <w:divBdr>
                            <w:top w:val="none" w:sz="0" w:space="0" w:color="auto"/>
                            <w:left w:val="none" w:sz="0" w:space="0" w:color="auto"/>
                            <w:bottom w:val="none" w:sz="0" w:space="0" w:color="auto"/>
                            <w:right w:val="none" w:sz="0" w:space="0" w:color="auto"/>
                          </w:divBdr>
                          <w:divsChild>
                            <w:div w:id="1063719994">
                              <w:marLeft w:val="0"/>
                              <w:marRight w:val="0"/>
                              <w:marTop w:val="120"/>
                              <w:marBottom w:val="360"/>
                              <w:divBdr>
                                <w:top w:val="none" w:sz="0" w:space="0" w:color="auto"/>
                                <w:left w:val="none" w:sz="0" w:space="0" w:color="auto"/>
                                <w:bottom w:val="none" w:sz="0" w:space="0" w:color="auto"/>
                                <w:right w:val="none" w:sz="0" w:space="0" w:color="auto"/>
                              </w:divBdr>
                              <w:divsChild>
                                <w:div w:id="866991970">
                                  <w:marLeft w:val="0"/>
                                  <w:marRight w:val="0"/>
                                  <w:marTop w:val="0"/>
                                  <w:marBottom w:val="0"/>
                                  <w:divBdr>
                                    <w:top w:val="none" w:sz="0" w:space="0" w:color="auto"/>
                                    <w:left w:val="none" w:sz="0" w:space="0" w:color="auto"/>
                                    <w:bottom w:val="none" w:sz="0" w:space="0" w:color="auto"/>
                                    <w:right w:val="none" w:sz="0" w:space="0" w:color="auto"/>
                                  </w:divBdr>
                                  <w:divsChild>
                                    <w:div w:id="7070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3820">
      <w:bodyDiv w:val="1"/>
      <w:marLeft w:val="0"/>
      <w:marRight w:val="0"/>
      <w:marTop w:val="0"/>
      <w:marBottom w:val="0"/>
      <w:divBdr>
        <w:top w:val="none" w:sz="0" w:space="0" w:color="auto"/>
        <w:left w:val="none" w:sz="0" w:space="0" w:color="auto"/>
        <w:bottom w:val="none" w:sz="0" w:space="0" w:color="auto"/>
        <w:right w:val="none" w:sz="0" w:space="0" w:color="auto"/>
      </w:divBdr>
      <w:divsChild>
        <w:div w:id="963342738">
          <w:marLeft w:val="0"/>
          <w:marRight w:val="1"/>
          <w:marTop w:val="0"/>
          <w:marBottom w:val="0"/>
          <w:divBdr>
            <w:top w:val="none" w:sz="0" w:space="0" w:color="auto"/>
            <w:left w:val="none" w:sz="0" w:space="0" w:color="auto"/>
            <w:bottom w:val="none" w:sz="0" w:space="0" w:color="auto"/>
            <w:right w:val="none" w:sz="0" w:space="0" w:color="auto"/>
          </w:divBdr>
          <w:divsChild>
            <w:div w:id="1948855284">
              <w:marLeft w:val="0"/>
              <w:marRight w:val="0"/>
              <w:marTop w:val="0"/>
              <w:marBottom w:val="0"/>
              <w:divBdr>
                <w:top w:val="none" w:sz="0" w:space="0" w:color="auto"/>
                <w:left w:val="none" w:sz="0" w:space="0" w:color="auto"/>
                <w:bottom w:val="none" w:sz="0" w:space="0" w:color="auto"/>
                <w:right w:val="none" w:sz="0" w:space="0" w:color="auto"/>
              </w:divBdr>
              <w:divsChild>
                <w:div w:id="1533613441">
                  <w:marLeft w:val="0"/>
                  <w:marRight w:val="1"/>
                  <w:marTop w:val="0"/>
                  <w:marBottom w:val="0"/>
                  <w:divBdr>
                    <w:top w:val="none" w:sz="0" w:space="0" w:color="auto"/>
                    <w:left w:val="none" w:sz="0" w:space="0" w:color="auto"/>
                    <w:bottom w:val="none" w:sz="0" w:space="0" w:color="auto"/>
                    <w:right w:val="none" w:sz="0" w:space="0" w:color="auto"/>
                  </w:divBdr>
                  <w:divsChild>
                    <w:div w:id="1466780086">
                      <w:marLeft w:val="0"/>
                      <w:marRight w:val="0"/>
                      <w:marTop w:val="0"/>
                      <w:marBottom w:val="0"/>
                      <w:divBdr>
                        <w:top w:val="none" w:sz="0" w:space="0" w:color="auto"/>
                        <w:left w:val="none" w:sz="0" w:space="0" w:color="auto"/>
                        <w:bottom w:val="none" w:sz="0" w:space="0" w:color="auto"/>
                        <w:right w:val="none" w:sz="0" w:space="0" w:color="auto"/>
                      </w:divBdr>
                      <w:divsChild>
                        <w:div w:id="651981994">
                          <w:marLeft w:val="0"/>
                          <w:marRight w:val="0"/>
                          <w:marTop w:val="0"/>
                          <w:marBottom w:val="0"/>
                          <w:divBdr>
                            <w:top w:val="none" w:sz="0" w:space="0" w:color="auto"/>
                            <w:left w:val="none" w:sz="0" w:space="0" w:color="auto"/>
                            <w:bottom w:val="none" w:sz="0" w:space="0" w:color="auto"/>
                            <w:right w:val="none" w:sz="0" w:space="0" w:color="auto"/>
                          </w:divBdr>
                          <w:divsChild>
                            <w:div w:id="1899173063">
                              <w:marLeft w:val="0"/>
                              <w:marRight w:val="0"/>
                              <w:marTop w:val="120"/>
                              <w:marBottom w:val="360"/>
                              <w:divBdr>
                                <w:top w:val="none" w:sz="0" w:space="0" w:color="auto"/>
                                <w:left w:val="none" w:sz="0" w:space="0" w:color="auto"/>
                                <w:bottom w:val="none" w:sz="0" w:space="0" w:color="auto"/>
                                <w:right w:val="none" w:sz="0" w:space="0" w:color="auto"/>
                              </w:divBdr>
                              <w:divsChild>
                                <w:div w:id="394665702">
                                  <w:marLeft w:val="0"/>
                                  <w:marRight w:val="0"/>
                                  <w:marTop w:val="0"/>
                                  <w:marBottom w:val="0"/>
                                  <w:divBdr>
                                    <w:top w:val="none" w:sz="0" w:space="0" w:color="auto"/>
                                    <w:left w:val="none" w:sz="0" w:space="0" w:color="auto"/>
                                    <w:bottom w:val="none" w:sz="0" w:space="0" w:color="auto"/>
                                    <w:right w:val="none" w:sz="0" w:space="0" w:color="auto"/>
                                  </w:divBdr>
                                  <w:divsChild>
                                    <w:div w:id="17006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864168">
      <w:bodyDiv w:val="1"/>
      <w:marLeft w:val="0"/>
      <w:marRight w:val="0"/>
      <w:marTop w:val="0"/>
      <w:marBottom w:val="0"/>
      <w:divBdr>
        <w:top w:val="none" w:sz="0" w:space="0" w:color="auto"/>
        <w:left w:val="none" w:sz="0" w:space="0" w:color="auto"/>
        <w:bottom w:val="none" w:sz="0" w:space="0" w:color="auto"/>
        <w:right w:val="none" w:sz="0" w:space="0" w:color="auto"/>
      </w:divBdr>
      <w:divsChild>
        <w:div w:id="1832675656">
          <w:marLeft w:val="0"/>
          <w:marRight w:val="1"/>
          <w:marTop w:val="0"/>
          <w:marBottom w:val="0"/>
          <w:divBdr>
            <w:top w:val="none" w:sz="0" w:space="0" w:color="auto"/>
            <w:left w:val="none" w:sz="0" w:space="0" w:color="auto"/>
            <w:bottom w:val="none" w:sz="0" w:space="0" w:color="auto"/>
            <w:right w:val="none" w:sz="0" w:space="0" w:color="auto"/>
          </w:divBdr>
          <w:divsChild>
            <w:div w:id="1949660384">
              <w:marLeft w:val="0"/>
              <w:marRight w:val="0"/>
              <w:marTop w:val="0"/>
              <w:marBottom w:val="0"/>
              <w:divBdr>
                <w:top w:val="none" w:sz="0" w:space="0" w:color="auto"/>
                <w:left w:val="none" w:sz="0" w:space="0" w:color="auto"/>
                <w:bottom w:val="none" w:sz="0" w:space="0" w:color="auto"/>
                <w:right w:val="none" w:sz="0" w:space="0" w:color="auto"/>
              </w:divBdr>
              <w:divsChild>
                <w:div w:id="997810416">
                  <w:marLeft w:val="0"/>
                  <w:marRight w:val="1"/>
                  <w:marTop w:val="0"/>
                  <w:marBottom w:val="0"/>
                  <w:divBdr>
                    <w:top w:val="none" w:sz="0" w:space="0" w:color="auto"/>
                    <w:left w:val="none" w:sz="0" w:space="0" w:color="auto"/>
                    <w:bottom w:val="none" w:sz="0" w:space="0" w:color="auto"/>
                    <w:right w:val="none" w:sz="0" w:space="0" w:color="auto"/>
                  </w:divBdr>
                  <w:divsChild>
                    <w:div w:id="1299798604">
                      <w:marLeft w:val="0"/>
                      <w:marRight w:val="0"/>
                      <w:marTop w:val="0"/>
                      <w:marBottom w:val="0"/>
                      <w:divBdr>
                        <w:top w:val="none" w:sz="0" w:space="0" w:color="auto"/>
                        <w:left w:val="none" w:sz="0" w:space="0" w:color="auto"/>
                        <w:bottom w:val="none" w:sz="0" w:space="0" w:color="auto"/>
                        <w:right w:val="none" w:sz="0" w:space="0" w:color="auto"/>
                      </w:divBdr>
                      <w:divsChild>
                        <w:div w:id="850025997">
                          <w:marLeft w:val="0"/>
                          <w:marRight w:val="0"/>
                          <w:marTop w:val="0"/>
                          <w:marBottom w:val="0"/>
                          <w:divBdr>
                            <w:top w:val="none" w:sz="0" w:space="0" w:color="auto"/>
                            <w:left w:val="none" w:sz="0" w:space="0" w:color="auto"/>
                            <w:bottom w:val="none" w:sz="0" w:space="0" w:color="auto"/>
                            <w:right w:val="none" w:sz="0" w:space="0" w:color="auto"/>
                          </w:divBdr>
                          <w:divsChild>
                            <w:div w:id="1303392371">
                              <w:marLeft w:val="0"/>
                              <w:marRight w:val="0"/>
                              <w:marTop w:val="120"/>
                              <w:marBottom w:val="360"/>
                              <w:divBdr>
                                <w:top w:val="none" w:sz="0" w:space="0" w:color="auto"/>
                                <w:left w:val="none" w:sz="0" w:space="0" w:color="auto"/>
                                <w:bottom w:val="none" w:sz="0" w:space="0" w:color="auto"/>
                                <w:right w:val="none" w:sz="0" w:space="0" w:color="auto"/>
                              </w:divBdr>
                              <w:divsChild>
                                <w:div w:id="84112077">
                                  <w:marLeft w:val="0"/>
                                  <w:marRight w:val="0"/>
                                  <w:marTop w:val="0"/>
                                  <w:marBottom w:val="0"/>
                                  <w:divBdr>
                                    <w:top w:val="none" w:sz="0" w:space="0" w:color="auto"/>
                                    <w:left w:val="none" w:sz="0" w:space="0" w:color="auto"/>
                                    <w:bottom w:val="none" w:sz="0" w:space="0" w:color="auto"/>
                                    <w:right w:val="none" w:sz="0" w:space="0" w:color="auto"/>
                                  </w:divBdr>
                                  <w:divsChild>
                                    <w:div w:id="18644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601240">
      <w:bodyDiv w:val="1"/>
      <w:marLeft w:val="0"/>
      <w:marRight w:val="0"/>
      <w:marTop w:val="0"/>
      <w:marBottom w:val="0"/>
      <w:divBdr>
        <w:top w:val="none" w:sz="0" w:space="0" w:color="auto"/>
        <w:left w:val="none" w:sz="0" w:space="0" w:color="auto"/>
        <w:bottom w:val="none" w:sz="0" w:space="0" w:color="auto"/>
        <w:right w:val="none" w:sz="0" w:space="0" w:color="auto"/>
      </w:divBdr>
      <w:divsChild>
        <w:div w:id="1672297300">
          <w:marLeft w:val="0"/>
          <w:marRight w:val="1"/>
          <w:marTop w:val="0"/>
          <w:marBottom w:val="0"/>
          <w:divBdr>
            <w:top w:val="none" w:sz="0" w:space="0" w:color="auto"/>
            <w:left w:val="none" w:sz="0" w:space="0" w:color="auto"/>
            <w:bottom w:val="none" w:sz="0" w:space="0" w:color="auto"/>
            <w:right w:val="none" w:sz="0" w:space="0" w:color="auto"/>
          </w:divBdr>
          <w:divsChild>
            <w:div w:id="697050227">
              <w:marLeft w:val="0"/>
              <w:marRight w:val="0"/>
              <w:marTop w:val="0"/>
              <w:marBottom w:val="0"/>
              <w:divBdr>
                <w:top w:val="none" w:sz="0" w:space="0" w:color="auto"/>
                <w:left w:val="none" w:sz="0" w:space="0" w:color="auto"/>
                <w:bottom w:val="none" w:sz="0" w:space="0" w:color="auto"/>
                <w:right w:val="none" w:sz="0" w:space="0" w:color="auto"/>
              </w:divBdr>
              <w:divsChild>
                <w:div w:id="1330979543">
                  <w:marLeft w:val="0"/>
                  <w:marRight w:val="1"/>
                  <w:marTop w:val="0"/>
                  <w:marBottom w:val="0"/>
                  <w:divBdr>
                    <w:top w:val="none" w:sz="0" w:space="0" w:color="auto"/>
                    <w:left w:val="none" w:sz="0" w:space="0" w:color="auto"/>
                    <w:bottom w:val="none" w:sz="0" w:space="0" w:color="auto"/>
                    <w:right w:val="none" w:sz="0" w:space="0" w:color="auto"/>
                  </w:divBdr>
                  <w:divsChild>
                    <w:div w:id="1366516922">
                      <w:marLeft w:val="0"/>
                      <w:marRight w:val="0"/>
                      <w:marTop w:val="0"/>
                      <w:marBottom w:val="0"/>
                      <w:divBdr>
                        <w:top w:val="none" w:sz="0" w:space="0" w:color="auto"/>
                        <w:left w:val="none" w:sz="0" w:space="0" w:color="auto"/>
                        <w:bottom w:val="none" w:sz="0" w:space="0" w:color="auto"/>
                        <w:right w:val="none" w:sz="0" w:space="0" w:color="auto"/>
                      </w:divBdr>
                      <w:divsChild>
                        <w:div w:id="198974571">
                          <w:marLeft w:val="0"/>
                          <w:marRight w:val="0"/>
                          <w:marTop w:val="0"/>
                          <w:marBottom w:val="0"/>
                          <w:divBdr>
                            <w:top w:val="none" w:sz="0" w:space="0" w:color="auto"/>
                            <w:left w:val="none" w:sz="0" w:space="0" w:color="auto"/>
                            <w:bottom w:val="none" w:sz="0" w:space="0" w:color="auto"/>
                            <w:right w:val="none" w:sz="0" w:space="0" w:color="auto"/>
                          </w:divBdr>
                          <w:divsChild>
                            <w:div w:id="1804343241">
                              <w:marLeft w:val="0"/>
                              <w:marRight w:val="0"/>
                              <w:marTop w:val="120"/>
                              <w:marBottom w:val="360"/>
                              <w:divBdr>
                                <w:top w:val="none" w:sz="0" w:space="0" w:color="auto"/>
                                <w:left w:val="none" w:sz="0" w:space="0" w:color="auto"/>
                                <w:bottom w:val="none" w:sz="0" w:space="0" w:color="auto"/>
                                <w:right w:val="none" w:sz="0" w:space="0" w:color="auto"/>
                              </w:divBdr>
                              <w:divsChild>
                                <w:div w:id="1492451411">
                                  <w:marLeft w:val="0"/>
                                  <w:marRight w:val="0"/>
                                  <w:marTop w:val="0"/>
                                  <w:marBottom w:val="0"/>
                                  <w:divBdr>
                                    <w:top w:val="none" w:sz="0" w:space="0" w:color="auto"/>
                                    <w:left w:val="none" w:sz="0" w:space="0" w:color="auto"/>
                                    <w:bottom w:val="none" w:sz="0" w:space="0" w:color="auto"/>
                                    <w:right w:val="none" w:sz="0" w:space="0" w:color="auto"/>
                                  </w:divBdr>
                                  <w:divsChild>
                                    <w:div w:id="19352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903756">
      <w:bodyDiv w:val="1"/>
      <w:marLeft w:val="0"/>
      <w:marRight w:val="0"/>
      <w:marTop w:val="0"/>
      <w:marBottom w:val="0"/>
      <w:divBdr>
        <w:top w:val="none" w:sz="0" w:space="0" w:color="auto"/>
        <w:left w:val="none" w:sz="0" w:space="0" w:color="auto"/>
        <w:bottom w:val="none" w:sz="0" w:space="0" w:color="auto"/>
        <w:right w:val="none" w:sz="0" w:space="0" w:color="auto"/>
      </w:divBdr>
      <w:divsChild>
        <w:div w:id="89812907">
          <w:marLeft w:val="0"/>
          <w:marRight w:val="1"/>
          <w:marTop w:val="0"/>
          <w:marBottom w:val="0"/>
          <w:divBdr>
            <w:top w:val="none" w:sz="0" w:space="0" w:color="auto"/>
            <w:left w:val="none" w:sz="0" w:space="0" w:color="auto"/>
            <w:bottom w:val="none" w:sz="0" w:space="0" w:color="auto"/>
            <w:right w:val="none" w:sz="0" w:space="0" w:color="auto"/>
          </w:divBdr>
          <w:divsChild>
            <w:div w:id="406536003">
              <w:marLeft w:val="0"/>
              <w:marRight w:val="0"/>
              <w:marTop w:val="0"/>
              <w:marBottom w:val="0"/>
              <w:divBdr>
                <w:top w:val="none" w:sz="0" w:space="0" w:color="auto"/>
                <w:left w:val="none" w:sz="0" w:space="0" w:color="auto"/>
                <w:bottom w:val="none" w:sz="0" w:space="0" w:color="auto"/>
                <w:right w:val="none" w:sz="0" w:space="0" w:color="auto"/>
              </w:divBdr>
              <w:divsChild>
                <w:div w:id="434448944">
                  <w:marLeft w:val="0"/>
                  <w:marRight w:val="1"/>
                  <w:marTop w:val="0"/>
                  <w:marBottom w:val="0"/>
                  <w:divBdr>
                    <w:top w:val="none" w:sz="0" w:space="0" w:color="auto"/>
                    <w:left w:val="none" w:sz="0" w:space="0" w:color="auto"/>
                    <w:bottom w:val="none" w:sz="0" w:space="0" w:color="auto"/>
                    <w:right w:val="none" w:sz="0" w:space="0" w:color="auto"/>
                  </w:divBdr>
                  <w:divsChild>
                    <w:div w:id="1431898210">
                      <w:marLeft w:val="0"/>
                      <w:marRight w:val="0"/>
                      <w:marTop w:val="0"/>
                      <w:marBottom w:val="0"/>
                      <w:divBdr>
                        <w:top w:val="none" w:sz="0" w:space="0" w:color="auto"/>
                        <w:left w:val="none" w:sz="0" w:space="0" w:color="auto"/>
                        <w:bottom w:val="none" w:sz="0" w:space="0" w:color="auto"/>
                        <w:right w:val="none" w:sz="0" w:space="0" w:color="auto"/>
                      </w:divBdr>
                      <w:divsChild>
                        <w:div w:id="964963153">
                          <w:marLeft w:val="0"/>
                          <w:marRight w:val="0"/>
                          <w:marTop w:val="0"/>
                          <w:marBottom w:val="0"/>
                          <w:divBdr>
                            <w:top w:val="none" w:sz="0" w:space="0" w:color="auto"/>
                            <w:left w:val="none" w:sz="0" w:space="0" w:color="auto"/>
                            <w:bottom w:val="none" w:sz="0" w:space="0" w:color="auto"/>
                            <w:right w:val="none" w:sz="0" w:space="0" w:color="auto"/>
                          </w:divBdr>
                          <w:divsChild>
                            <w:div w:id="1643078504">
                              <w:marLeft w:val="0"/>
                              <w:marRight w:val="0"/>
                              <w:marTop w:val="120"/>
                              <w:marBottom w:val="360"/>
                              <w:divBdr>
                                <w:top w:val="none" w:sz="0" w:space="0" w:color="auto"/>
                                <w:left w:val="none" w:sz="0" w:space="0" w:color="auto"/>
                                <w:bottom w:val="none" w:sz="0" w:space="0" w:color="auto"/>
                                <w:right w:val="none" w:sz="0" w:space="0" w:color="auto"/>
                              </w:divBdr>
                              <w:divsChild>
                                <w:div w:id="916206261">
                                  <w:marLeft w:val="0"/>
                                  <w:marRight w:val="0"/>
                                  <w:marTop w:val="0"/>
                                  <w:marBottom w:val="0"/>
                                  <w:divBdr>
                                    <w:top w:val="none" w:sz="0" w:space="0" w:color="auto"/>
                                    <w:left w:val="none" w:sz="0" w:space="0" w:color="auto"/>
                                    <w:bottom w:val="none" w:sz="0" w:space="0" w:color="auto"/>
                                    <w:right w:val="none" w:sz="0" w:space="0" w:color="auto"/>
                                  </w:divBdr>
                                  <w:divsChild>
                                    <w:div w:id="146230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133666">
      <w:bodyDiv w:val="1"/>
      <w:marLeft w:val="0"/>
      <w:marRight w:val="0"/>
      <w:marTop w:val="0"/>
      <w:marBottom w:val="0"/>
      <w:divBdr>
        <w:top w:val="none" w:sz="0" w:space="0" w:color="auto"/>
        <w:left w:val="none" w:sz="0" w:space="0" w:color="auto"/>
        <w:bottom w:val="none" w:sz="0" w:space="0" w:color="auto"/>
        <w:right w:val="none" w:sz="0" w:space="0" w:color="auto"/>
      </w:divBdr>
      <w:divsChild>
        <w:div w:id="2025011282">
          <w:marLeft w:val="0"/>
          <w:marRight w:val="1"/>
          <w:marTop w:val="0"/>
          <w:marBottom w:val="0"/>
          <w:divBdr>
            <w:top w:val="none" w:sz="0" w:space="0" w:color="auto"/>
            <w:left w:val="none" w:sz="0" w:space="0" w:color="auto"/>
            <w:bottom w:val="none" w:sz="0" w:space="0" w:color="auto"/>
            <w:right w:val="none" w:sz="0" w:space="0" w:color="auto"/>
          </w:divBdr>
          <w:divsChild>
            <w:div w:id="1821384372">
              <w:marLeft w:val="0"/>
              <w:marRight w:val="0"/>
              <w:marTop w:val="0"/>
              <w:marBottom w:val="0"/>
              <w:divBdr>
                <w:top w:val="none" w:sz="0" w:space="0" w:color="auto"/>
                <w:left w:val="none" w:sz="0" w:space="0" w:color="auto"/>
                <w:bottom w:val="none" w:sz="0" w:space="0" w:color="auto"/>
                <w:right w:val="none" w:sz="0" w:space="0" w:color="auto"/>
              </w:divBdr>
              <w:divsChild>
                <w:div w:id="955988652">
                  <w:marLeft w:val="0"/>
                  <w:marRight w:val="1"/>
                  <w:marTop w:val="0"/>
                  <w:marBottom w:val="0"/>
                  <w:divBdr>
                    <w:top w:val="none" w:sz="0" w:space="0" w:color="auto"/>
                    <w:left w:val="none" w:sz="0" w:space="0" w:color="auto"/>
                    <w:bottom w:val="none" w:sz="0" w:space="0" w:color="auto"/>
                    <w:right w:val="none" w:sz="0" w:space="0" w:color="auto"/>
                  </w:divBdr>
                  <w:divsChild>
                    <w:div w:id="399139405">
                      <w:marLeft w:val="0"/>
                      <w:marRight w:val="0"/>
                      <w:marTop w:val="0"/>
                      <w:marBottom w:val="0"/>
                      <w:divBdr>
                        <w:top w:val="none" w:sz="0" w:space="0" w:color="auto"/>
                        <w:left w:val="none" w:sz="0" w:space="0" w:color="auto"/>
                        <w:bottom w:val="none" w:sz="0" w:space="0" w:color="auto"/>
                        <w:right w:val="none" w:sz="0" w:space="0" w:color="auto"/>
                      </w:divBdr>
                      <w:divsChild>
                        <w:div w:id="74128633">
                          <w:marLeft w:val="0"/>
                          <w:marRight w:val="0"/>
                          <w:marTop w:val="0"/>
                          <w:marBottom w:val="0"/>
                          <w:divBdr>
                            <w:top w:val="none" w:sz="0" w:space="0" w:color="auto"/>
                            <w:left w:val="none" w:sz="0" w:space="0" w:color="auto"/>
                            <w:bottom w:val="none" w:sz="0" w:space="0" w:color="auto"/>
                            <w:right w:val="none" w:sz="0" w:space="0" w:color="auto"/>
                          </w:divBdr>
                          <w:divsChild>
                            <w:div w:id="771823100">
                              <w:marLeft w:val="0"/>
                              <w:marRight w:val="0"/>
                              <w:marTop w:val="120"/>
                              <w:marBottom w:val="360"/>
                              <w:divBdr>
                                <w:top w:val="none" w:sz="0" w:space="0" w:color="auto"/>
                                <w:left w:val="none" w:sz="0" w:space="0" w:color="auto"/>
                                <w:bottom w:val="none" w:sz="0" w:space="0" w:color="auto"/>
                                <w:right w:val="none" w:sz="0" w:space="0" w:color="auto"/>
                              </w:divBdr>
                              <w:divsChild>
                                <w:div w:id="1154567918">
                                  <w:marLeft w:val="0"/>
                                  <w:marRight w:val="0"/>
                                  <w:marTop w:val="0"/>
                                  <w:marBottom w:val="0"/>
                                  <w:divBdr>
                                    <w:top w:val="none" w:sz="0" w:space="0" w:color="auto"/>
                                    <w:left w:val="none" w:sz="0" w:space="0" w:color="auto"/>
                                    <w:bottom w:val="none" w:sz="0" w:space="0" w:color="auto"/>
                                    <w:right w:val="none" w:sz="0" w:space="0" w:color="auto"/>
                                  </w:divBdr>
                                  <w:divsChild>
                                    <w:div w:id="6750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051103">
      <w:bodyDiv w:val="1"/>
      <w:marLeft w:val="0"/>
      <w:marRight w:val="0"/>
      <w:marTop w:val="0"/>
      <w:marBottom w:val="0"/>
      <w:divBdr>
        <w:top w:val="none" w:sz="0" w:space="0" w:color="auto"/>
        <w:left w:val="none" w:sz="0" w:space="0" w:color="auto"/>
        <w:bottom w:val="none" w:sz="0" w:space="0" w:color="auto"/>
        <w:right w:val="none" w:sz="0" w:space="0" w:color="auto"/>
      </w:divBdr>
      <w:divsChild>
        <w:div w:id="839854141">
          <w:marLeft w:val="0"/>
          <w:marRight w:val="1"/>
          <w:marTop w:val="0"/>
          <w:marBottom w:val="0"/>
          <w:divBdr>
            <w:top w:val="none" w:sz="0" w:space="0" w:color="auto"/>
            <w:left w:val="none" w:sz="0" w:space="0" w:color="auto"/>
            <w:bottom w:val="none" w:sz="0" w:space="0" w:color="auto"/>
            <w:right w:val="none" w:sz="0" w:space="0" w:color="auto"/>
          </w:divBdr>
          <w:divsChild>
            <w:div w:id="984622584">
              <w:marLeft w:val="0"/>
              <w:marRight w:val="0"/>
              <w:marTop w:val="0"/>
              <w:marBottom w:val="0"/>
              <w:divBdr>
                <w:top w:val="none" w:sz="0" w:space="0" w:color="auto"/>
                <w:left w:val="none" w:sz="0" w:space="0" w:color="auto"/>
                <w:bottom w:val="none" w:sz="0" w:space="0" w:color="auto"/>
                <w:right w:val="none" w:sz="0" w:space="0" w:color="auto"/>
              </w:divBdr>
              <w:divsChild>
                <w:div w:id="1641153664">
                  <w:marLeft w:val="0"/>
                  <w:marRight w:val="1"/>
                  <w:marTop w:val="0"/>
                  <w:marBottom w:val="0"/>
                  <w:divBdr>
                    <w:top w:val="none" w:sz="0" w:space="0" w:color="auto"/>
                    <w:left w:val="none" w:sz="0" w:space="0" w:color="auto"/>
                    <w:bottom w:val="none" w:sz="0" w:space="0" w:color="auto"/>
                    <w:right w:val="none" w:sz="0" w:space="0" w:color="auto"/>
                  </w:divBdr>
                  <w:divsChild>
                    <w:div w:id="743187981">
                      <w:marLeft w:val="0"/>
                      <w:marRight w:val="0"/>
                      <w:marTop w:val="0"/>
                      <w:marBottom w:val="0"/>
                      <w:divBdr>
                        <w:top w:val="none" w:sz="0" w:space="0" w:color="auto"/>
                        <w:left w:val="none" w:sz="0" w:space="0" w:color="auto"/>
                        <w:bottom w:val="none" w:sz="0" w:space="0" w:color="auto"/>
                        <w:right w:val="none" w:sz="0" w:space="0" w:color="auto"/>
                      </w:divBdr>
                      <w:divsChild>
                        <w:div w:id="1404639979">
                          <w:marLeft w:val="0"/>
                          <w:marRight w:val="0"/>
                          <w:marTop w:val="0"/>
                          <w:marBottom w:val="0"/>
                          <w:divBdr>
                            <w:top w:val="none" w:sz="0" w:space="0" w:color="auto"/>
                            <w:left w:val="none" w:sz="0" w:space="0" w:color="auto"/>
                            <w:bottom w:val="none" w:sz="0" w:space="0" w:color="auto"/>
                            <w:right w:val="none" w:sz="0" w:space="0" w:color="auto"/>
                          </w:divBdr>
                          <w:divsChild>
                            <w:div w:id="2103336485">
                              <w:marLeft w:val="0"/>
                              <w:marRight w:val="0"/>
                              <w:marTop w:val="120"/>
                              <w:marBottom w:val="360"/>
                              <w:divBdr>
                                <w:top w:val="none" w:sz="0" w:space="0" w:color="auto"/>
                                <w:left w:val="none" w:sz="0" w:space="0" w:color="auto"/>
                                <w:bottom w:val="none" w:sz="0" w:space="0" w:color="auto"/>
                                <w:right w:val="none" w:sz="0" w:space="0" w:color="auto"/>
                              </w:divBdr>
                              <w:divsChild>
                                <w:div w:id="2073849356">
                                  <w:marLeft w:val="0"/>
                                  <w:marRight w:val="0"/>
                                  <w:marTop w:val="0"/>
                                  <w:marBottom w:val="0"/>
                                  <w:divBdr>
                                    <w:top w:val="none" w:sz="0" w:space="0" w:color="auto"/>
                                    <w:left w:val="none" w:sz="0" w:space="0" w:color="auto"/>
                                    <w:bottom w:val="none" w:sz="0" w:space="0" w:color="auto"/>
                                    <w:right w:val="none" w:sz="0" w:space="0" w:color="auto"/>
                                  </w:divBdr>
                                  <w:divsChild>
                                    <w:div w:id="41328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891260">
      <w:bodyDiv w:val="1"/>
      <w:marLeft w:val="0"/>
      <w:marRight w:val="0"/>
      <w:marTop w:val="0"/>
      <w:marBottom w:val="0"/>
      <w:divBdr>
        <w:top w:val="none" w:sz="0" w:space="0" w:color="auto"/>
        <w:left w:val="none" w:sz="0" w:space="0" w:color="auto"/>
        <w:bottom w:val="none" w:sz="0" w:space="0" w:color="auto"/>
        <w:right w:val="none" w:sz="0" w:space="0" w:color="auto"/>
      </w:divBdr>
      <w:divsChild>
        <w:div w:id="1401713346">
          <w:marLeft w:val="0"/>
          <w:marRight w:val="1"/>
          <w:marTop w:val="0"/>
          <w:marBottom w:val="0"/>
          <w:divBdr>
            <w:top w:val="none" w:sz="0" w:space="0" w:color="auto"/>
            <w:left w:val="none" w:sz="0" w:space="0" w:color="auto"/>
            <w:bottom w:val="none" w:sz="0" w:space="0" w:color="auto"/>
            <w:right w:val="none" w:sz="0" w:space="0" w:color="auto"/>
          </w:divBdr>
          <w:divsChild>
            <w:div w:id="1345935071">
              <w:marLeft w:val="0"/>
              <w:marRight w:val="0"/>
              <w:marTop w:val="0"/>
              <w:marBottom w:val="0"/>
              <w:divBdr>
                <w:top w:val="none" w:sz="0" w:space="0" w:color="auto"/>
                <w:left w:val="none" w:sz="0" w:space="0" w:color="auto"/>
                <w:bottom w:val="none" w:sz="0" w:space="0" w:color="auto"/>
                <w:right w:val="none" w:sz="0" w:space="0" w:color="auto"/>
              </w:divBdr>
              <w:divsChild>
                <w:div w:id="709762763">
                  <w:marLeft w:val="0"/>
                  <w:marRight w:val="1"/>
                  <w:marTop w:val="0"/>
                  <w:marBottom w:val="0"/>
                  <w:divBdr>
                    <w:top w:val="none" w:sz="0" w:space="0" w:color="auto"/>
                    <w:left w:val="none" w:sz="0" w:space="0" w:color="auto"/>
                    <w:bottom w:val="none" w:sz="0" w:space="0" w:color="auto"/>
                    <w:right w:val="none" w:sz="0" w:space="0" w:color="auto"/>
                  </w:divBdr>
                  <w:divsChild>
                    <w:div w:id="218134988">
                      <w:marLeft w:val="0"/>
                      <w:marRight w:val="0"/>
                      <w:marTop w:val="0"/>
                      <w:marBottom w:val="0"/>
                      <w:divBdr>
                        <w:top w:val="none" w:sz="0" w:space="0" w:color="auto"/>
                        <w:left w:val="none" w:sz="0" w:space="0" w:color="auto"/>
                        <w:bottom w:val="none" w:sz="0" w:space="0" w:color="auto"/>
                        <w:right w:val="none" w:sz="0" w:space="0" w:color="auto"/>
                      </w:divBdr>
                      <w:divsChild>
                        <w:div w:id="520511288">
                          <w:marLeft w:val="0"/>
                          <w:marRight w:val="0"/>
                          <w:marTop w:val="0"/>
                          <w:marBottom w:val="0"/>
                          <w:divBdr>
                            <w:top w:val="none" w:sz="0" w:space="0" w:color="auto"/>
                            <w:left w:val="none" w:sz="0" w:space="0" w:color="auto"/>
                            <w:bottom w:val="none" w:sz="0" w:space="0" w:color="auto"/>
                            <w:right w:val="none" w:sz="0" w:space="0" w:color="auto"/>
                          </w:divBdr>
                          <w:divsChild>
                            <w:div w:id="1398481393">
                              <w:marLeft w:val="0"/>
                              <w:marRight w:val="0"/>
                              <w:marTop w:val="120"/>
                              <w:marBottom w:val="360"/>
                              <w:divBdr>
                                <w:top w:val="none" w:sz="0" w:space="0" w:color="auto"/>
                                <w:left w:val="none" w:sz="0" w:space="0" w:color="auto"/>
                                <w:bottom w:val="none" w:sz="0" w:space="0" w:color="auto"/>
                                <w:right w:val="none" w:sz="0" w:space="0" w:color="auto"/>
                              </w:divBdr>
                              <w:divsChild>
                                <w:div w:id="2144956806">
                                  <w:marLeft w:val="0"/>
                                  <w:marRight w:val="0"/>
                                  <w:marTop w:val="0"/>
                                  <w:marBottom w:val="0"/>
                                  <w:divBdr>
                                    <w:top w:val="none" w:sz="0" w:space="0" w:color="auto"/>
                                    <w:left w:val="none" w:sz="0" w:space="0" w:color="auto"/>
                                    <w:bottom w:val="none" w:sz="0" w:space="0" w:color="auto"/>
                                    <w:right w:val="none" w:sz="0" w:space="0" w:color="auto"/>
                                  </w:divBdr>
                                  <w:divsChild>
                                    <w:div w:id="15869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020584">
      <w:bodyDiv w:val="1"/>
      <w:marLeft w:val="0"/>
      <w:marRight w:val="0"/>
      <w:marTop w:val="0"/>
      <w:marBottom w:val="0"/>
      <w:divBdr>
        <w:top w:val="none" w:sz="0" w:space="0" w:color="auto"/>
        <w:left w:val="none" w:sz="0" w:space="0" w:color="auto"/>
        <w:bottom w:val="none" w:sz="0" w:space="0" w:color="auto"/>
        <w:right w:val="none" w:sz="0" w:space="0" w:color="auto"/>
      </w:divBdr>
      <w:divsChild>
        <w:div w:id="932668201">
          <w:marLeft w:val="0"/>
          <w:marRight w:val="1"/>
          <w:marTop w:val="0"/>
          <w:marBottom w:val="0"/>
          <w:divBdr>
            <w:top w:val="none" w:sz="0" w:space="0" w:color="auto"/>
            <w:left w:val="none" w:sz="0" w:space="0" w:color="auto"/>
            <w:bottom w:val="none" w:sz="0" w:space="0" w:color="auto"/>
            <w:right w:val="none" w:sz="0" w:space="0" w:color="auto"/>
          </w:divBdr>
          <w:divsChild>
            <w:div w:id="1425607879">
              <w:marLeft w:val="0"/>
              <w:marRight w:val="0"/>
              <w:marTop w:val="0"/>
              <w:marBottom w:val="0"/>
              <w:divBdr>
                <w:top w:val="none" w:sz="0" w:space="0" w:color="auto"/>
                <w:left w:val="none" w:sz="0" w:space="0" w:color="auto"/>
                <w:bottom w:val="none" w:sz="0" w:space="0" w:color="auto"/>
                <w:right w:val="none" w:sz="0" w:space="0" w:color="auto"/>
              </w:divBdr>
              <w:divsChild>
                <w:div w:id="231816712">
                  <w:marLeft w:val="0"/>
                  <w:marRight w:val="1"/>
                  <w:marTop w:val="0"/>
                  <w:marBottom w:val="0"/>
                  <w:divBdr>
                    <w:top w:val="none" w:sz="0" w:space="0" w:color="auto"/>
                    <w:left w:val="none" w:sz="0" w:space="0" w:color="auto"/>
                    <w:bottom w:val="none" w:sz="0" w:space="0" w:color="auto"/>
                    <w:right w:val="none" w:sz="0" w:space="0" w:color="auto"/>
                  </w:divBdr>
                  <w:divsChild>
                    <w:div w:id="1104111010">
                      <w:marLeft w:val="0"/>
                      <w:marRight w:val="0"/>
                      <w:marTop w:val="0"/>
                      <w:marBottom w:val="0"/>
                      <w:divBdr>
                        <w:top w:val="none" w:sz="0" w:space="0" w:color="auto"/>
                        <w:left w:val="none" w:sz="0" w:space="0" w:color="auto"/>
                        <w:bottom w:val="none" w:sz="0" w:space="0" w:color="auto"/>
                        <w:right w:val="none" w:sz="0" w:space="0" w:color="auto"/>
                      </w:divBdr>
                      <w:divsChild>
                        <w:div w:id="629287911">
                          <w:marLeft w:val="0"/>
                          <w:marRight w:val="0"/>
                          <w:marTop w:val="0"/>
                          <w:marBottom w:val="0"/>
                          <w:divBdr>
                            <w:top w:val="none" w:sz="0" w:space="0" w:color="auto"/>
                            <w:left w:val="none" w:sz="0" w:space="0" w:color="auto"/>
                            <w:bottom w:val="none" w:sz="0" w:space="0" w:color="auto"/>
                            <w:right w:val="none" w:sz="0" w:space="0" w:color="auto"/>
                          </w:divBdr>
                          <w:divsChild>
                            <w:div w:id="64114201">
                              <w:marLeft w:val="0"/>
                              <w:marRight w:val="0"/>
                              <w:marTop w:val="120"/>
                              <w:marBottom w:val="360"/>
                              <w:divBdr>
                                <w:top w:val="none" w:sz="0" w:space="0" w:color="auto"/>
                                <w:left w:val="none" w:sz="0" w:space="0" w:color="auto"/>
                                <w:bottom w:val="none" w:sz="0" w:space="0" w:color="auto"/>
                                <w:right w:val="none" w:sz="0" w:space="0" w:color="auto"/>
                              </w:divBdr>
                              <w:divsChild>
                                <w:div w:id="158083672">
                                  <w:marLeft w:val="0"/>
                                  <w:marRight w:val="0"/>
                                  <w:marTop w:val="0"/>
                                  <w:marBottom w:val="0"/>
                                  <w:divBdr>
                                    <w:top w:val="none" w:sz="0" w:space="0" w:color="auto"/>
                                    <w:left w:val="none" w:sz="0" w:space="0" w:color="auto"/>
                                    <w:bottom w:val="none" w:sz="0" w:space="0" w:color="auto"/>
                                    <w:right w:val="none" w:sz="0" w:space="0" w:color="auto"/>
                                  </w:divBdr>
                                  <w:divsChild>
                                    <w:div w:id="187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093416">
      <w:bodyDiv w:val="1"/>
      <w:marLeft w:val="0"/>
      <w:marRight w:val="0"/>
      <w:marTop w:val="0"/>
      <w:marBottom w:val="0"/>
      <w:divBdr>
        <w:top w:val="none" w:sz="0" w:space="0" w:color="auto"/>
        <w:left w:val="none" w:sz="0" w:space="0" w:color="auto"/>
        <w:bottom w:val="none" w:sz="0" w:space="0" w:color="auto"/>
        <w:right w:val="none" w:sz="0" w:space="0" w:color="auto"/>
      </w:divBdr>
      <w:divsChild>
        <w:div w:id="1281497051">
          <w:marLeft w:val="0"/>
          <w:marRight w:val="1"/>
          <w:marTop w:val="0"/>
          <w:marBottom w:val="0"/>
          <w:divBdr>
            <w:top w:val="none" w:sz="0" w:space="0" w:color="auto"/>
            <w:left w:val="none" w:sz="0" w:space="0" w:color="auto"/>
            <w:bottom w:val="none" w:sz="0" w:space="0" w:color="auto"/>
            <w:right w:val="none" w:sz="0" w:space="0" w:color="auto"/>
          </w:divBdr>
          <w:divsChild>
            <w:div w:id="557206141">
              <w:marLeft w:val="0"/>
              <w:marRight w:val="0"/>
              <w:marTop w:val="0"/>
              <w:marBottom w:val="0"/>
              <w:divBdr>
                <w:top w:val="none" w:sz="0" w:space="0" w:color="auto"/>
                <w:left w:val="none" w:sz="0" w:space="0" w:color="auto"/>
                <w:bottom w:val="none" w:sz="0" w:space="0" w:color="auto"/>
                <w:right w:val="none" w:sz="0" w:space="0" w:color="auto"/>
              </w:divBdr>
              <w:divsChild>
                <w:div w:id="1397506190">
                  <w:marLeft w:val="0"/>
                  <w:marRight w:val="1"/>
                  <w:marTop w:val="0"/>
                  <w:marBottom w:val="0"/>
                  <w:divBdr>
                    <w:top w:val="none" w:sz="0" w:space="0" w:color="auto"/>
                    <w:left w:val="none" w:sz="0" w:space="0" w:color="auto"/>
                    <w:bottom w:val="none" w:sz="0" w:space="0" w:color="auto"/>
                    <w:right w:val="none" w:sz="0" w:space="0" w:color="auto"/>
                  </w:divBdr>
                  <w:divsChild>
                    <w:div w:id="275329883">
                      <w:marLeft w:val="0"/>
                      <w:marRight w:val="0"/>
                      <w:marTop w:val="0"/>
                      <w:marBottom w:val="0"/>
                      <w:divBdr>
                        <w:top w:val="none" w:sz="0" w:space="0" w:color="auto"/>
                        <w:left w:val="none" w:sz="0" w:space="0" w:color="auto"/>
                        <w:bottom w:val="none" w:sz="0" w:space="0" w:color="auto"/>
                        <w:right w:val="none" w:sz="0" w:space="0" w:color="auto"/>
                      </w:divBdr>
                      <w:divsChild>
                        <w:div w:id="877276140">
                          <w:marLeft w:val="0"/>
                          <w:marRight w:val="0"/>
                          <w:marTop w:val="0"/>
                          <w:marBottom w:val="0"/>
                          <w:divBdr>
                            <w:top w:val="none" w:sz="0" w:space="0" w:color="auto"/>
                            <w:left w:val="none" w:sz="0" w:space="0" w:color="auto"/>
                            <w:bottom w:val="none" w:sz="0" w:space="0" w:color="auto"/>
                            <w:right w:val="none" w:sz="0" w:space="0" w:color="auto"/>
                          </w:divBdr>
                          <w:divsChild>
                            <w:div w:id="1085498099">
                              <w:marLeft w:val="0"/>
                              <w:marRight w:val="0"/>
                              <w:marTop w:val="120"/>
                              <w:marBottom w:val="360"/>
                              <w:divBdr>
                                <w:top w:val="none" w:sz="0" w:space="0" w:color="auto"/>
                                <w:left w:val="none" w:sz="0" w:space="0" w:color="auto"/>
                                <w:bottom w:val="none" w:sz="0" w:space="0" w:color="auto"/>
                                <w:right w:val="none" w:sz="0" w:space="0" w:color="auto"/>
                              </w:divBdr>
                              <w:divsChild>
                                <w:div w:id="1709716375">
                                  <w:marLeft w:val="0"/>
                                  <w:marRight w:val="0"/>
                                  <w:marTop w:val="0"/>
                                  <w:marBottom w:val="0"/>
                                  <w:divBdr>
                                    <w:top w:val="none" w:sz="0" w:space="0" w:color="auto"/>
                                    <w:left w:val="none" w:sz="0" w:space="0" w:color="auto"/>
                                    <w:bottom w:val="none" w:sz="0" w:space="0" w:color="auto"/>
                                    <w:right w:val="none" w:sz="0" w:space="0" w:color="auto"/>
                                  </w:divBdr>
                                  <w:divsChild>
                                    <w:div w:id="3979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976172">
      <w:bodyDiv w:val="1"/>
      <w:marLeft w:val="0"/>
      <w:marRight w:val="0"/>
      <w:marTop w:val="0"/>
      <w:marBottom w:val="0"/>
      <w:divBdr>
        <w:top w:val="none" w:sz="0" w:space="0" w:color="auto"/>
        <w:left w:val="none" w:sz="0" w:space="0" w:color="auto"/>
        <w:bottom w:val="none" w:sz="0" w:space="0" w:color="auto"/>
        <w:right w:val="none" w:sz="0" w:space="0" w:color="auto"/>
      </w:divBdr>
      <w:divsChild>
        <w:div w:id="1285382159">
          <w:marLeft w:val="0"/>
          <w:marRight w:val="1"/>
          <w:marTop w:val="0"/>
          <w:marBottom w:val="0"/>
          <w:divBdr>
            <w:top w:val="none" w:sz="0" w:space="0" w:color="auto"/>
            <w:left w:val="none" w:sz="0" w:space="0" w:color="auto"/>
            <w:bottom w:val="none" w:sz="0" w:space="0" w:color="auto"/>
            <w:right w:val="none" w:sz="0" w:space="0" w:color="auto"/>
          </w:divBdr>
          <w:divsChild>
            <w:div w:id="1792363824">
              <w:marLeft w:val="0"/>
              <w:marRight w:val="0"/>
              <w:marTop w:val="0"/>
              <w:marBottom w:val="0"/>
              <w:divBdr>
                <w:top w:val="none" w:sz="0" w:space="0" w:color="auto"/>
                <w:left w:val="none" w:sz="0" w:space="0" w:color="auto"/>
                <w:bottom w:val="none" w:sz="0" w:space="0" w:color="auto"/>
                <w:right w:val="none" w:sz="0" w:space="0" w:color="auto"/>
              </w:divBdr>
              <w:divsChild>
                <w:div w:id="16780935">
                  <w:marLeft w:val="0"/>
                  <w:marRight w:val="1"/>
                  <w:marTop w:val="0"/>
                  <w:marBottom w:val="0"/>
                  <w:divBdr>
                    <w:top w:val="none" w:sz="0" w:space="0" w:color="auto"/>
                    <w:left w:val="none" w:sz="0" w:space="0" w:color="auto"/>
                    <w:bottom w:val="none" w:sz="0" w:space="0" w:color="auto"/>
                    <w:right w:val="none" w:sz="0" w:space="0" w:color="auto"/>
                  </w:divBdr>
                  <w:divsChild>
                    <w:div w:id="979190075">
                      <w:marLeft w:val="0"/>
                      <w:marRight w:val="0"/>
                      <w:marTop w:val="0"/>
                      <w:marBottom w:val="0"/>
                      <w:divBdr>
                        <w:top w:val="none" w:sz="0" w:space="0" w:color="auto"/>
                        <w:left w:val="none" w:sz="0" w:space="0" w:color="auto"/>
                        <w:bottom w:val="none" w:sz="0" w:space="0" w:color="auto"/>
                        <w:right w:val="none" w:sz="0" w:space="0" w:color="auto"/>
                      </w:divBdr>
                      <w:divsChild>
                        <w:div w:id="1950744928">
                          <w:marLeft w:val="0"/>
                          <w:marRight w:val="0"/>
                          <w:marTop w:val="0"/>
                          <w:marBottom w:val="0"/>
                          <w:divBdr>
                            <w:top w:val="none" w:sz="0" w:space="0" w:color="auto"/>
                            <w:left w:val="none" w:sz="0" w:space="0" w:color="auto"/>
                            <w:bottom w:val="none" w:sz="0" w:space="0" w:color="auto"/>
                            <w:right w:val="none" w:sz="0" w:space="0" w:color="auto"/>
                          </w:divBdr>
                          <w:divsChild>
                            <w:div w:id="1727216133">
                              <w:marLeft w:val="0"/>
                              <w:marRight w:val="0"/>
                              <w:marTop w:val="120"/>
                              <w:marBottom w:val="360"/>
                              <w:divBdr>
                                <w:top w:val="none" w:sz="0" w:space="0" w:color="auto"/>
                                <w:left w:val="none" w:sz="0" w:space="0" w:color="auto"/>
                                <w:bottom w:val="none" w:sz="0" w:space="0" w:color="auto"/>
                                <w:right w:val="none" w:sz="0" w:space="0" w:color="auto"/>
                              </w:divBdr>
                              <w:divsChild>
                                <w:div w:id="133452982">
                                  <w:marLeft w:val="0"/>
                                  <w:marRight w:val="0"/>
                                  <w:marTop w:val="0"/>
                                  <w:marBottom w:val="0"/>
                                  <w:divBdr>
                                    <w:top w:val="none" w:sz="0" w:space="0" w:color="auto"/>
                                    <w:left w:val="none" w:sz="0" w:space="0" w:color="auto"/>
                                    <w:bottom w:val="none" w:sz="0" w:space="0" w:color="auto"/>
                                    <w:right w:val="none" w:sz="0" w:space="0" w:color="auto"/>
                                  </w:divBdr>
                                  <w:divsChild>
                                    <w:div w:id="2943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80051">
      <w:bodyDiv w:val="1"/>
      <w:marLeft w:val="0"/>
      <w:marRight w:val="0"/>
      <w:marTop w:val="0"/>
      <w:marBottom w:val="0"/>
      <w:divBdr>
        <w:top w:val="none" w:sz="0" w:space="0" w:color="auto"/>
        <w:left w:val="none" w:sz="0" w:space="0" w:color="auto"/>
        <w:bottom w:val="none" w:sz="0" w:space="0" w:color="auto"/>
        <w:right w:val="none" w:sz="0" w:space="0" w:color="auto"/>
      </w:divBdr>
      <w:divsChild>
        <w:div w:id="1822189684">
          <w:marLeft w:val="0"/>
          <w:marRight w:val="1"/>
          <w:marTop w:val="0"/>
          <w:marBottom w:val="0"/>
          <w:divBdr>
            <w:top w:val="none" w:sz="0" w:space="0" w:color="auto"/>
            <w:left w:val="none" w:sz="0" w:space="0" w:color="auto"/>
            <w:bottom w:val="none" w:sz="0" w:space="0" w:color="auto"/>
            <w:right w:val="none" w:sz="0" w:space="0" w:color="auto"/>
          </w:divBdr>
          <w:divsChild>
            <w:div w:id="240532977">
              <w:marLeft w:val="0"/>
              <w:marRight w:val="0"/>
              <w:marTop w:val="0"/>
              <w:marBottom w:val="0"/>
              <w:divBdr>
                <w:top w:val="none" w:sz="0" w:space="0" w:color="auto"/>
                <w:left w:val="none" w:sz="0" w:space="0" w:color="auto"/>
                <w:bottom w:val="none" w:sz="0" w:space="0" w:color="auto"/>
                <w:right w:val="none" w:sz="0" w:space="0" w:color="auto"/>
              </w:divBdr>
              <w:divsChild>
                <w:div w:id="2120679968">
                  <w:marLeft w:val="0"/>
                  <w:marRight w:val="1"/>
                  <w:marTop w:val="0"/>
                  <w:marBottom w:val="0"/>
                  <w:divBdr>
                    <w:top w:val="none" w:sz="0" w:space="0" w:color="auto"/>
                    <w:left w:val="none" w:sz="0" w:space="0" w:color="auto"/>
                    <w:bottom w:val="none" w:sz="0" w:space="0" w:color="auto"/>
                    <w:right w:val="none" w:sz="0" w:space="0" w:color="auto"/>
                  </w:divBdr>
                  <w:divsChild>
                    <w:div w:id="155417498">
                      <w:marLeft w:val="0"/>
                      <w:marRight w:val="0"/>
                      <w:marTop w:val="0"/>
                      <w:marBottom w:val="0"/>
                      <w:divBdr>
                        <w:top w:val="none" w:sz="0" w:space="0" w:color="auto"/>
                        <w:left w:val="none" w:sz="0" w:space="0" w:color="auto"/>
                        <w:bottom w:val="none" w:sz="0" w:space="0" w:color="auto"/>
                        <w:right w:val="none" w:sz="0" w:space="0" w:color="auto"/>
                      </w:divBdr>
                      <w:divsChild>
                        <w:div w:id="1750999770">
                          <w:marLeft w:val="0"/>
                          <w:marRight w:val="0"/>
                          <w:marTop w:val="0"/>
                          <w:marBottom w:val="0"/>
                          <w:divBdr>
                            <w:top w:val="none" w:sz="0" w:space="0" w:color="auto"/>
                            <w:left w:val="none" w:sz="0" w:space="0" w:color="auto"/>
                            <w:bottom w:val="none" w:sz="0" w:space="0" w:color="auto"/>
                            <w:right w:val="none" w:sz="0" w:space="0" w:color="auto"/>
                          </w:divBdr>
                          <w:divsChild>
                            <w:div w:id="513737347">
                              <w:marLeft w:val="0"/>
                              <w:marRight w:val="0"/>
                              <w:marTop w:val="120"/>
                              <w:marBottom w:val="360"/>
                              <w:divBdr>
                                <w:top w:val="none" w:sz="0" w:space="0" w:color="auto"/>
                                <w:left w:val="none" w:sz="0" w:space="0" w:color="auto"/>
                                <w:bottom w:val="none" w:sz="0" w:space="0" w:color="auto"/>
                                <w:right w:val="none" w:sz="0" w:space="0" w:color="auto"/>
                              </w:divBdr>
                              <w:divsChild>
                                <w:div w:id="50274077">
                                  <w:marLeft w:val="0"/>
                                  <w:marRight w:val="0"/>
                                  <w:marTop w:val="0"/>
                                  <w:marBottom w:val="0"/>
                                  <w:divBdr>
                                    <w:top w:val="none" w:sz="0" w:space="0" w:color="auto"/>
                                    <w:left w:val="none" w:sz="0" w:space="0" w:color="auto"/>
                                    <w:bottom w:val="none" w:sz="0" w:space="0" w:color="auto"/>
                                    <w:right w:val="none" w:sz="0" w:space="0" w:color="auto"/>
                                  </w:divBdr>
                                  <w:divsChild>
                                    <w:div w:id="1192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55701">
      <w:bodyDiv w:val="1"/>
      <w:marLeft w:val="0"/>
      <w:marRight w:val="0"/>
      <w:marTop w:val="0"/>
      <w:marBottom w:val="0"/>
      <w:divBdr>
        <w:top w:val="none" w:sz="0" w:space="0" w:color="auto"/>
        <w:left w:val="none" w:sz="0" w:space="0" w:color="auto"/>
        <w:bottom w:val="none" w:sz="0" w:space="0" w:color="auto"/>
        <w:right w:val="none" w:sz="0" w:space="0" w:color="auto"/>
      </w:divBdr>
      <w:divsChild>
        <w:div w:id="658073052">
          <w:marLeft w:val="0"/>
          <w:marRight w:val="1"/>
          <w:marTop w:val="0"/>
          <w:marBottom w:val="0"/>
          <w:divBdr>
            <w:top w:val="none" w:sz="0" w:space="0" w:color="auto"/>
            <w:left w:val="none" w:sz="0" w:space="0" w:color="auto"/>
            <w:bottom w:val="none" w:sz="0" w:space="0" w:color="auto"/>
            <w:right w:val="none" w:sz="0" w:space="0" w:color="auto"/>
          </w:divBdr>
          <w:divsChild>
            <w:div w:id="1913344640">
              <w:marLeft w:val="0"/>
              <w:marRight w:val="0"/>
              <w:marTop w:val="0"/>
              <w:marBottom w:val="0"/>
              <w:divBdr>
                <w:top w:val="none" w:sz="0" w:space="0" w:color="auto"/>
                <w:left w:val="none" w:sz="0" w:space="0" w:color="auto"/>
                <w:bottom w:val="none" w:sz="0" w:space="0" w:color="auto"/>
                <w:right w:val="none" w:sz="0" w:space="0" w:color="auto"/>
              </w:divBdr>
              <w:divsChild>
                <w:div w:id="862134254">
                  <w:marLeft w:val="0"/>
                  <w:marRight w:val="1"/>
                  <w:marTop w:val="0"/>
                  <w:marBottom w:val="0"/>
                  <w:divBdr>
                    <w:top w:val="none" w:sz="0" w:space="0" w:color="auto"/>
                    <w:left w:val="none" w:sz="0" w:space="0" w:color="auto"/>
                    <w:bottom w:val="none" w:sz="0" w:space="0" w:color="auto"/>
                    <w:right w:val="none" w:sz="0" w:space="0" w:color="auto"/>
                  </w:divBdr>
                  <w:divsChild>
                    <w:div w:id="182133370">
                      <w:marLeft w:val="0"/>
                      <w:marRight w:val="0"/>
                      <w:marTop w:val="0"/>
                      <w:marBottom w:val="0"/>
                      <w:divBdr>
                        <w:top w:val="none" w:sz="0" w:space="0" w:color="auto"/>
                        <w:left w:val="none" w:sz="0" w:space="0" w:color="auto"/>
                        <w:bottom w:val="none" w:sz="0" w:space="0" w:color="auto"/>
                        <w:right w:val="none" w:sz="0" w:space="0" w:color="auto"/>
                      </w:divBdr>
                      <w:divsChild>
                        <w:div w:id="51121376">
                          <w:marLeft w:val="0"/>
                          <w:marRight w:val="0"/>
                          <w:marTop w:val="0"/>
                          <w:marBottom w:val="0"/>
                          <w:divBdr>
                            <w:top w:val="none" w:sz="0" w:space="0" w:color="auto"/>
                            <w:left w:val="none" w:sz="0" w:space="0" w:color="auto"/>
                            <w:bottom w:val="none" w:sz="0" w:space="0" w:color="auto"/>
                            <w:right w:val="none" w:sz="0" w:space="0" w:color="auto"/>
                          </w:divBdr>
                          <w:divsChild>
                            <w:div w:id="816655146">
                              <w:marLeft w:val="0"/>
                              <w:marRight w:val="0"/>
                              <w:marTop w:val="120"/>
                              <w:marBottom w:val="360"/>
                              <w:divBdr>
                                <w:top w:val="none" w:sz="0" w:space="0" w:color="auto"/>
                                <w:left w:val="none" w:sz="0" w:space="0" w:color="auto"/>
                                <w:bottom w:val="none" w:sz="0" w:space="0" w:color="auto"/>
                                <w:right w:val="none" w:sz="0" w:space="0" w:color="auto"/>
                              </w:divBdr>
                              <w:divsChild>
                                <w:div w:id="1215388296">
                                  <w:marLeft w:val="0"/>
                                  <w:marRight w:val="0"/>
                                  <w:marTop w:val="0"/>
                                  <w:marBottom w:val="0"/>
                                  <w:divBdr>
                                    <w:top w:val="none" w:sz="0" w:space="0" w:color="auto"/>
                                    <w:left w:val="none" w:sz="0" w:space="0" w:color="auto"/>
                                    <w:bottom w:val="none" w:sz="0" w:space="0" w:color="auto"/>
                                    <w:right w:val="none" w:sz="0" w:space="0" w:color="auto"/>
                                  </w:divBdr>
                                  <w:divsChild>
                                    <w:div w:id="190679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549430">
      <w:bodyDiv w:val="1"/>
      <w:marLeft w:val="0"/>
      <w:marRight w:val="0"/>
      <w:marTop w:val="0"/>
      <w:marBottom w:val="0"/>
      <w:divBdr>
        <w:top w:val="none" w:sz="0" w:space="0" w:color="auto"/>
        <w:left w:val="none" w:sz="0" w:space="0" w:color="auto"/>
        <w:bottom w:val="none" w:sz="0" w:space="0" w:color="auto"/>
        <w:right w:val="none" w:sz="0" w:space="0" w:color="auto"/>
      </w:divBdr>
      <w:divsChild>
        <w:div w:id="46956091">
          <w:marLeft w:val="0"/>
          <w:marRight w:val="1"/>
          <w:marTop w:val="0"/>
          <w:marBottom w:val="0"/>
          <w:divBdr>
            <w:top w:val="none" w:sz="0" w:space="0" w:color="auto"/>
            <w:left w:val="none" w:sz="0" w:space="0" w:color="auto"/>
            <w:bottom w:val="none" w:sz="0" w:space="0" w:color="auto"/>
            <w:right w:val="none" w:sz="0" w:space="0" w:color="auto"/>
          </w:divBdr>
          <w:divsChild>
            <w:div w:id="677267778">
              <w:marLeft w:val="0"/>
              <w:marRight w:val="0"/>
              <w:marTop w:val="0"/>
              <w:marBottom w:val="0"/>
              <w:divBdr>
                <w:top w:val="none" w:sz="0" w:space="0" w:color="auto"/>
                <w:left w:val="none" w:sz="0" w:space="0" w:color="auto"/>
                <w:bottom w:val="none" w:sz="0" w:space="0" w:color="auto"/>
                <w:right w:val="none" w:sz="0" w:space="0" w:color="auto"/>
              </w:divBdr>
              <w:divsChild>
                <w:div w:id="1511603829">
                  <w:marLeft w:val="0"/>
                  <w:marRight w:val="1"/>
                  <w:marTop w:val="0"/>
                  <w:marBottom w:val="0"/>
                  <w:divBdr>
                    <w:top w:val="none" w:sz="0" w:space="0" w:color="auto"/>
                    <w:left w:val="none" w:sz="0" w:space="0" w:color="auto"/>
                    <w:bottom w:val="none" w:sz="0" w:space="0" w:color="auto"/>
                    <w:right w:val="none" w:sz="0" w:space="0" w:color="auto"/>
                  </w:divBdr>
                  <w:divsChild>
                    <w:div w:id="1467775110">
                      <w:marLeft w:val="0"/>
                      <w:marRight w:val="0"/>
                      <w:marTop w:val="0"/>
                      <w:marBottom w:val="0"/>
                      <w:divBdr>
                        <w:top w:val="none" w:sz="0" w:space="0" w:color="auto"/>
                        <w:left w:val="none" w:sz="0" w:space="0" w:color="auto"/>
                        <w:bottom w:val="none" w:sz="0" w:space="0" w:color="auto"/>
                        <w:right w:val="none" w:sz="0" w:space="0" w:color="auto"/>
                      </w:divBdr>
                      <w:divsChild>
                        <w:div w:id="19090323">
                          <w:marLeft w:val="0"/>
                          <w:marRight w:val="0"/>
                          <w:marTop w:val="0"/>
                          <w:marBottom w:val="0"/>
                          <w:divBdr>
                            <w:top w:val="none" w:sz="0" w:space="0" w:color="auto"/>
                            <w:left w:val="none" w:sz="0" w:space="0" w:color="auto"/>
                            <w:bottom w:val="none" w:sz="0" w:space="0" w:color="auto"/>
                            <w:right w:val="none" w:sz="0" w:space="0" w:color="auto"/>
                          </w:divBdr>
                          <w:divsChild>
                            <w:div w:id="1154221356">
                              <w:marLeft w:val="0"/>
                              <w:marRight w:val="0"/>
                              <w:marTop w:val="120"/>
                              <w:marBottom w:val="360"/>
                              <w:divBdr>
                                <w:top w:val="none" w:sz="0" w:space="0" w:color="auto"/>
                                <w:left w:val="none" w:sz="0" w:space="0" w:color="auto"/>
                                <w:bottom w:val="none" w:sz="0" w:space="0" w:color="auto"/>
                                <w:right w:val="none" w:sz="0" w:space="0" w:color="auto"/>
                              </w:divBdr>
                              <w:divsChild>
                                <w:div w:id="77408537">
                                  <w:marLeft w:val="0"/>
                                  <w:marRight w:val="0"/>
                                  <w:marTop w:val="0"/>
                                  <w:marBottom w:val="0"/>
                                  <w:divBdr>
                                    <w:top w:val="none" w:sz="0" w:space="0" w:color="auto"/>
                                    <w:left w:val="none" w:sz="0" w:space="0" w:color="auto"/>
                                    <w:bottom w:val="none" w:sz="0" w:space="0" w:color="auto"/>
                                    <w:right w:val="none" w:sz="0" w:space="0" w:color="auto"/>
                                  </w:divBdr>
                                  <w:divsChild>
                                    <w:div w:id="9602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349892">
      <w:bodyDiv w:val="1"/>
      <w:marLeft w:val="0"/>
      <w:marRight w:val="0"/>
      <w:marTop w:val="0"/>
      <w:marBottom w:val="0"/>
      <w:divBdr>
        <w:top w:val="none" w:sz="0" w:space="0" w:color="auto"/>
        <w:left w:val="none" w:sz="0" w:space="0" w:color="auto"/>
        <w:bottom w:val="none" w:sz="0" w:space="0" w:color="auto"/>
        <w:right w:val="none" w:sz="0" w:space="0" w:color="auto"/>
      </w:divBdr>
      <w:divsChild>
        <w:div w:id="1659722437">
          <w:marLeft w:val="0"/>
          <w:marRight w:val="1"/>
          <w:marTop w:val="0"/>
          <w:marBottom w:val="0"/>
          <w:divBdr>
            <w:top w:val="none" w:sz="0" w:space="0" w:color="auto"/>
            <w:left w:val="none" w:sz="0" w:space="0" w:color="auto"/>
            <w:bottom w:val="none" w:sz="0" w:space="0" w:color="auto"/>
            <w:right w:val="none" w:sz="0" w:space="0" w:color="auto"/>
          </w:divBdr>
          <w:divsChild>
            <w:div w:id="1353847251">
              <w:marLeft w:val="0"/>
              <w:marRight w:val="0"/>
              <w:marTop w:val="0"/>
              <w:marBottom w:val="0"/>
              <w:divBdr>
                <w:top w:val="none" w:sz="0" w:space="0" w:color="auto"/>
                <w:left w:val="none" w:sz="0" w:space="0" w:color="auto"/>
                <w:bottom w:val="none" w:sz="0" w:space="0" w:color="auto"/>
                <w:right w:val="none" w:sz="0" w:space="0" w:color="auto"/>
              </w:divBdr>
              <w:divsChild>
                <w:div w:id="778530666">
                  <w:marLeft w:val="0"/>
                  <w:marRight w:val="1"/>
                  <w:marTop w:val="0"/>
                  <w:marBottom w:val="0"/>
                  <w:divBdr>
                    <w:top w:val="none" w:sz="0" w:space="0" w:color="auto"/>
                    <w:left w:val="none" w:sz="0" w:space="0" w:color="auto"/>
                    <w:bottom w:val="none" w:sz="0" w:space="0" w:color="auto"/>
                    <w:right w:val="none" w:sz="0" w:space="0" w:color="auto"/>
                  </w:divBdr>
                  <w:divsChild>
                    <w:div w:id="782499971">
                      <w:marLeft w:val="0"/>
                      <w:marRight w:val="0"/>
                      <w:marTop w:val="0"/>
                      <w:marBottom w:val="0"/>
                      <w:divBdr>
                        <w:top w:val="none" w:sz="0" w:space="0" w:color="auto"/>
                        <w:left w:val="none" w:sz="0" w:space="0" w:color="auto"/>
                        <w:bottom w:val="none" w:sz="0" w:space="0" w:color="auto"/>
                        <w:right w:val="none" w:sz="0" w:space="0" w:color="auto"/>
                      </w:divBdr>
                      <w:divsChild>
                        <w:div w:id="986856844">
                          <w:marLeft w:val="0"/>
                          <w:marRight w:val="0"/>
                          <w:marTop w:val="0"/>
                          <w:marBottom w:val="0"/>
                          <w:divBdr>
                            <w:top w:val="none" w:sz="0" w:space="0" w:color="auto"/>
                            <w:left w:val="none" w:sz="0" w:space="0" w:color="auto"/>
                            <w:bottom w:val="none" w:sz="0" w:space="0" w:color="auto"/>
                            <w:right w:val="none" w:sz="0" w:space="0" w:color="auto"/>
                          </w:divBdr>
                          <w:divsChild>
                            <w:div w:id="629674664">
                              <w:marLeft w:val="0"/>
                              <w:marRight w:val="0"/>
                              <w:marTop w:val="120"/>
                              <w:marBottom w:val="360"/>
                              <w:divBdr>
                                <w:top w:val="none" w:sz="0" w:space="0" w:color="auto"/>
                                <w:left w:val="none" w:sz="0" w:space="0" w:color="auto"/>
                                <w:bottom w:val="none" w:sz="0" w:space="0" w:color="auto"/>
                                <w:right w:val="none" w:sz="0" w:space="0" w:color="auto"/>
                              </w:divBdr>
                              <w:divsChild>
                                <w:div w:id="642127634">
                                  <w:marLeft w:val="0"/>
                                  <w:marRight w:val="0"/>
                                  <w:marTop w:val="0"/>
                                  <w:marBottom w:val="0"/>
                                  <w:divBdr>
                                    <w:top w:val="none" w:sz="0" w:space="0" w:color="auto"/>
                                    <w:left w:val="none" w:sz="0" w:space="0" w:color="auto"/>
                                    <w:bottom w:val="none" w:sz="0" w:space="0" w:color="auto"/>
                                    <w:right w:val="none" w:sz="0" w:space="0" w:color="auto"/>
                                  </w:divBdr>
                                  <w:divsChild>
                                    <w:div w:id="9567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835746">
      <w:bodyDiv w:val="1"/>
      <w:marLeft w:val="0"/>
      <w:marRight w:val="0"/>
      <w:marTop w:val="0"/>
      <w:marBottom w:val="0"/>
      <w:divBdr>
        <w:top w:val="none" w:sz="0" w:space="0" w:color="auto"/>
        <w:left w:val="none" w:sz="0" w:space="0" w:color="auto"/>
        <w:bottom w:val="none" w:sz="0" w:space="0" w:color="auto"/>
        <w:right w:val="none" w:sz="0" w:space="0" w:color="auto"/>
      </w:divBdr>
      <w:divsChild>
        <w:div w:id="711616972">
          <w:marLeft w:val="0"/>
          <w:marRight w:val="1"/>
          <w:marTop w:val="0"/>
          <w:marBottom w:val="0"/>
          <w:divBdr>
            <w:top w:val="none" w:sz="0" w:space="0" w:color="auto"/>
            <w:left w:val="none" w:sz="0" w:space="0" w:color="auto"/>
            <w:bottom w:val="none" w:sz="0" w:space="0" w:color="auto"/>
            <w:right w:val="none" w:sz="0" w:space="0" w:color="auto"/>
          </w:divBdr>
          <w:divsChild>
            <w:div w:id="952515609">
              <w:marLeft w:val="0"/>
              <w:marRight w:val="0"/>
              <w:marTop w:val="0"/>
              <w:marBottom w:val="0"/>
              <w:divBdr>
                <w:top w:val="none" w:sz="0" w:space="0" w:color="auto"/>
                <w:left w:val="none" w:sz="0" w:space="0" w:color="auto"/>
                <w:bottom w:val="none" w:sz="0" w:space="0" w:color="auto"/>
                <w:right w:val="none" w:sz="0" w:space="0" w:color="auto"/>
              </w:divBdr>
              <w:divsChild>
                <w:div w:id="1341396598">
                  <w:marLeft w:val="0"/>
                  <w:marRight w:val="1"/>
                  <w:marTop w:val="0"/>
                  <w:marBottom w:val="0"/>
                  <w:divBdr>
                    <w:top w:val="none" w:sz="0" w:space="0" w:color="auto"/>
                    <w:left w:val="none" w:sz="0" w:space="0" w:color="auto"/>
                    <w:bottom w:val="none" w:sz="0" w:space="0" w:color="auto"/>
                    <w:right w:val="none" w:sz="0" w:space="0" w:color="auto"/>
                  </w:divBdr>
                  <w:divsChild>
                    <w:div w:id="1040741776">
                      <w:marLeft w:val="0"/>
                      <w:marRight w:val="0"/>
                      <w:marTop w:val="0"/>
                      <w:marBottom w:val="0"/>
                      <w:divBdr>
                        <w:top w:val="none" w:sz="0" w:space="0" w:color="auto"/>
                        <w:left w:val="none" w:sz="0" w:space="0" w:color="auto"/>
                        <w:bottom w:val="none" w:sz="0" w:space="0" w:color="auto"/>
                        <w:right w:val="none" w:sz="0" w:space="0" w:color="auto"/>
                      </w:divBdr>
                      <w:divsChild>
                        <w:div w:id="1653829665">
                          <w:marLeft w:val="0"/>
                          <w:marRight w:val="0"/>
                          <w:marTop w:val="0"/>
                          <w:marBottom w:val="0"/>
                          <w:divBdr>
                            <w:top w:val="none" w:sz="0" w:space="0" w:color="auto"/>
                            <w:left w:val="none" w:sz="0" w:space="0" w:color="auto"/>
                            <w:bottom w:val="none" w:sz="0" w:space="0" w:color="auto"/>
                            <w:right w:val="none" w:sz="0" w:space="0" w:color="auto"/>
                          </w:divBdr>
                          <w:divsChild>
                            <w:div w:id="569342453">
                              <w:marLeft w:val="0"/>
                              <w:marRight w:val="0"/>
                              <w:marTop w:val="120"/>
                              <w:marBottom w:val="360"/>
                              <w:divBdr>
                                <w:top w:val="none" w:sz="0" w:space="0" w:color="auto"/>
                                <w:left w:val="none" w:sz="0" w:space="0" w:color="auto"/>
                                <w:bottom w:val="none" w:sz="0" w:space="0" w:color="auto"/>
                                <w:right w:val="none" w:sz="0" w:space="0" w:color="auto"/>
                              </w:divBdr>
                              <w:divsChild>
                                <w:div w:id="1581673530">
                                  <w:marLeft w:val="0"/>
                                  <w:marRight w:val="0"/>
                                  <w:marTop w:val="0"/>
                                  <w:marBottom w:val="0"/>
                                  <w:divBdr>
                                    <w:top w:val="none" w:sz="0" w:space="0" w:color="auto"/>
                                    <w:left w:val="none" w:sz="0" w:space="0" w:color="auto"/>
                                    <w:bottom w:val="none" w:sz="0" w:space="0" w:color="auto"/>
                                    <w:right w:val="none" w:sz="0" w:space="0" w:color="auto"/>
                                  </w:divBdr>
                                  <w:divsChild>
                                    <w:div w:id="14794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8284262">
      <w:bodyDiv w:val="1"/>
      <w:marLeft w:val="0"/>
      <w:marRight w:val="0"/>
      <w:marTop w:val="0"/>
      <w:marBottom w:val="0"/>
      <w:divBdr>
        <w:top w:val="none" w:sz="0" w:space="0" w:color="auto"/>
        <w:left w:val="none" w:sz="0" w:space="0" w:color="auto"/>
        <w:bottom w:val="none" w:sz="0" w:space="0" w:color="auto"/>
        <w:right w:val="none" w:sz="0" w:space="0" w:color="auto"/>
      </w:divBdr>
      <w:divsChild>
        <w:div w:id="306203228">
          <w:marLeft w:val="0"/>
          <w:marRight w:val="1"/>
          <w:marTop w:val="0"/>
          <w:marBottom w:val="0"/>
          <w:divBdr>
            <w:top w:val="none" w:sz="0" w:space="0" w:color="auto"/>
            <w:left w:val="none" w:sz="0" w:space="0" w:color="auto"/>
            <w:bottom w:val="none" w:sz="0" w:space="0" w:color="auto"/>
            <w:right w:val="none" w:sz="0" w:space="0" w:color="auto"/>
          </w:divBdr>
          <w:divsChild>
            <w:div w:id="1728651614">
              <w:marLeft w:val="0"/>
              <w:marRight w:val="0"/>
              <w:marTop w:val="0"/>
              <w:marBottom w:val="0"/>
              <w:divBdr>
                <w:top w:val="none" w:sz="0" w:space="0" w:color="auto"/>
                <w:left w:val="none" w:sz="0" w:space="0" w:color="auto"/>
                <w:bottom w:val="none" w:sz="0" w:space="0" w:color="auto"/>
                <w:right w:val="none" w:sz="0" w:space="0" w:color="auto"/>
              </w:divBdr>
              <w:divsChild>
                <w:div w:id="2033071561">
                  <w:marLeft w:val="0"/>
                  <w:marRight w:val="1"/>
                  <w:marTop w:val="0"/>
                  <w:marBottom w:val="0"/>
                  <w:divBdr>
                    <w:top w:val="none" w:sz="0" w:space="0" w:color="auto"/>
                    <w:left w:val="none" w:sz="0" w:space="0" w:color="auto"/>
                    <w:bottom w:val="none" w:sz="0" w:space="0" w:color="auto"/>
                    <w:right w:val="none" w:sz="0" w:space="0" w:color="auto"/>
                  </w:divBdr>
                  <w:divsChild>
                    <w:div w:id="436950298">
                      <w:marLeft w:val="0"/>
                      <w:marRight w:val="0"/>
                      <w:marTop w:val="0"/>
                      <w:marBottom w:val="0"/>
                      <w:divBdr>
                        <w:top w:val="none" w:sz="0" w:space="0" w:color="auto"/>
                        <w:left w:val="none" w:sz="0" w:space="0" w:color="auto"/>
                        <w:bottom w:val="none" w:sz="0" w:space="0" w:color="auto"/>
                        <w:right w:val="none" w:sz="0" w:space="0" w:color="auto"/>
                      </w:divBdr>
                      <w:divsChild>
                        <w:div w:id="1415783244">
                          <w:marLeft w:val="0"/>
                          <w:marRight w:val="0"/>
                          <w:marTop w:val="0"/>
                          <w:marBottom w:val="0"/>
                          <w:divBdr>
                            <w:top w:val="none" w:sz="0" w:space="0" w:color="auto"/>
                            <w:left w:val="none" w:sz="0" w:space="0" w:color="auto"/>
                            <w:bottom w:val="none" w:sz="0" w:space="0" w:color="auto"/>
                            <w:right w:val="none" w:sz="0" w:space="0" w:color="auto"/>
                          </w:divBdr>
                          <w:divsChild>
                            <w:div w:id="1909219867">
                              <w:marLeft w:val="0"/>
                              <w:marRight w:val="0"/>
                              <w:marTop w:val="120"/>
                              <w:marBottom w:val="360"/>
                              <w:divBdr>
                                <w:top w:val="none" w:sz="0" w:space="0" w:color="auto"/>
                                <w:left w:val="none" w:sz="0" w:space="0" w:color="auto"/>
                                <w:bottom w:val="none" w:sz="0" w:space="0" w:color="auto"/>
                                <w:right w:val="none" w:sz="0" w:space="0" w:color="auto"/>
                              </w:divBdr>
                              <w:divsChild>
                                <w:div w:id="1427967010">
                                  <w:marLeft w:val="0"/>
                                  <w:marRight w:val="0"/>
                                  <w:marTop w:val="0"/>
                                  <w:marBottom w:val="0"/>
                                  <w:divBdr>
                                    <w:top w:val="none" w:sz="0" w:space="0" w:color="auto"/>
                                    <w:left w:val="none" w:sz="0" w:space="0" w:color="auto"/>
                                    <w:bottom w:val="none" w:sz="0" w:space="0" w:color="auto"/>
                                    <w:right w:val="none" w:sz="0" w:space="0" w:color="auto"/>
                                  </w:divBdr>
                                  <w:divsChild>
                                    <w:div w:id="19875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9652872">
      <w:bodyDiv w:val="1"/>
      <w:marLeft w:val="0"/>
      <w:marRight w:val="0"/>
      <w:marTop w:val="0"/>
      <w:marBottom w:val="0"/>
      <w:divBdr>
        <w:top w:val="none" w:sz="0" w:space="0" w:color="auto"/>
        <w:left w:val="none" w:sz="0" w:space="0" w:color="auto"/>
        <w:bottom w:val="none" w:sz="0" w:space="0" w:color="auto"/>
        <w:right w:val="none" w:sz="0" w:space="0" w:color="auto"/>
      </w:divBdr>
      <w:divsChild>
        <w:div w:id="96948475">
          <w:marLeft w:val="0"/>
          <w:marRight w:val="1"/>
          <w:marTop w:val="0"/>
          <w:marBottom w:val="0"/>
          <w:divBdr>
            <w:top w:val="none" w:sz="0" w:space="0" w:color="auto"/>
            <w:left w:val="none" w:sz="0" w:space="0" w:color="auto"/>
            <w:bottom w:val="none" w:sz="0" w:space="0" w:color="auto"/>
            <w:right w:val="none" w:sz="0" w:space="0" w:color="auto"/>
          </w:divBdr>
          <w:divsChild>
            <w:div w:id="1683318107">
              <w:marLeft w:val="0"/>
              <w:marRight w:val="0"/>
              <w:marTop w:val="0"/>
              <w:marBottom w:val="0"/>
              <w:divBdr>
                <w:top w:val="none" w:sz="0" w:space="0" w:color="auto"/>
                <w:left w:val="none" w:sz="0" w:space="0" w:color="auto"/>
                <w:bottom w:val="none" w:sz="0" w:space="0" w:color="auto"/>
                <w:right w:val="none" w:sz="0" w:space="0" w:color="auto"/>
              </w:divBdr>
              <w:divsChild>
                <w:div w:id="953100710">
                  <w:marLeft w:val="0"/>
                  <w:marRight w:val="1"/>
                  <w:marTop w:val="0"/>
                  <w:marBottom w:val="0"/>
                  <w:divBdr>
                    <w:top w:val="none" w:sz="0" w:space="0" w:color="auto"/>
                    <w:left w:val="none" w:sz="0" w:space="0" w:color="auto"/>
                    <w:bottom w:val="none" w:sz="0" w:space="0" w:color="auto"/>
                    <w:right w:val="none" w:sz="0" w:space="0" w:color="auto"/>
                  </w:divBdr>
                  <w:divsChild>
                    <w:div w:id="933168743">
                      <w:marLeft w:val="0"/>
                      <w:marRight w:val="0"/>
                      <w:marTop w:val="0"/>
                      <w:marBottom w:val="0"/>
                      <w:divBdr>
                        <w:top w:val="none" w:sz="0" w:space="0" w:color="auto"/>
                        <w:left w:val="none" w:sz="0" w:space="0" w:color="auto"/>
                        <w:bottom w:val="none" w:sz="0" w:space="0" w:color="auto"/>
                        <w:right w:val="none" w:sz="0" w:space="0" w:color="auto"/>
                      </w:divBdr>
                      <w:divsChild>
                        <w:div w:id="1642078545">
                          <w:marLeft w:val="0"/>
                          <w:marRight w:val="0"/>
                          <w:marTop w:val="0"/>
                          <w:marBottom w:val="0"/>
                          <w:divBdr>
                            <w:top w:val="none" w:sz="0" w:space="0" w:color="auto"/>
                            <w:left w:val="none" w:sz="0" w:space="0" w:color="auto"/>
                            <w:bottom w:val="none" w:sz="0" w:space="0" w:color="auto"/>
                            <w:right w:val="none" w:sz="0" w:space="0" w:color="auto"/>
                          </w:divBdr>
                          <w:divsChild>
                            <w:div w:id="572392381">
                              <w:marLeft w:val="0"/>
                              <w:marRight w:val="0"/>
                              <w:marTop w:val="120"/>
                              <w:marBottom w:val="360"/>
                              <w:divBdr>
                                <w:top w:val="none" w:sz="0" w:space="0" w:color="auto"/>
                                <w:left w:val="none" w:sz="0" w:space="0" w:color="auto"/>
                                <w:bottom w:val="none" w:sz="0" w:space="0" w:color="auto"/>
                                <w:right w:val="none" w:sz="0" w:space="0" w:color="auto"/>
                              </w:divBdr>
                              <w:divsChild>
                                <w:div w:id="236012579">
                                  <w:marLeft w:val="0"/>
                                  <w:marRight w:val="0"/>
                                  <w:marTop w:val="0"/>
                                  <w:marBottom w:val="0"/>
                                  <w:divBdr>
                                    <w:top w:val="none" w:sz="0" w:space="0" w:color="auto"/>
                                    <w:left w:val="none" w:sz="0" w:space="0" w:color="auto"/>
                                    <w:bottom w:val="none" w:sz="0" w:space="0" w:color="auto"/>
                                    <w:right w:val="none" w:sz="0" w:space="0" w:color="auto"/>
                                  </w:divBdr>
                                  <w:divsChild>
                                    <w:div w:id="11458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389130">
      <w:bodyDiv w:val="1"/>
      <w:marLeft w:val="0"/>
      <w:marRight w:val="0"/>
      <w:marTop w:val="0"/>
      <w:marBottom w:val="0"/>
      <w:divBdr>
        <w:top w:val="none" w:sz="0" w:space="0" w:color="auto"/>
        <w:left w:val="none" w:sz="0" w:space="0" w:color="auto"/>
        <w:bottom w:val="none" w:sz="0" w:space="0" w:color="auto"/>
        <w:right w:val="none" w:sz="0" w:space="0" w:color="auto"/>
      </w:divBdr>
      <w:divsChild>
        <w:div w:id="1562209066">
          <w:marLeft w:val="0"/>
          <w:marRight w:val="1"/>
          <w:marTop w:val="0"/>
          <w:marBottom w:val="0"/>
          <w:divBdr>
            <w:top w:val="none" w:sz="0" w:space="0" w:color="auto"/>
            <w:left w:val="none" w:sz="0" w:space="0" w:color="auto"/>
            <w:bottom w:val="none" w:sz="0" w:space="0" w:color="auto"/>
            <w:right w:val="none" w:sz="0" w:space="0" w:color="auto"/>
          </w:divBdr>
          <w:divsChild>
            <w:div w:id="590771687">
              <w:marLeft w:val="0"/>
              <w:marRight w:val="0"/>
              <w:marTop w:val="0"/>
              <w:marBottom w:val="0"/>
              <w:divBdr>
                <w:top w:val="none" w:sz="0" w:space="0" w:color="auto"/>
                <w:left w:val="none" w:sz="0" w:space="0" w:color="auto"/>
                <w:bottom w:val="none" w:sz="0" w:space="0" w:color="auto"/>
                <w:right w:val="none" w:sz="0" w:space="0" w:color="auto"/>
              </w:divBdr>
              <w:divsChild>
                <w:div w:id="610825178">
                  <w:marLeft w:val="0"/>
                  <w:marRight w:val="1"/>
                  <w:marTop w:val="0"/>
                  <w:marBottom w:val="0"/>
                  <w:divBdr>
                    <w:top w:val="none" w:sz="0" w:space="0" w:color="auto"/>
                    <w:left w:val="none" w:sz="0" w:space="0" w:color="auto"/>
                    <w:bottom w:val="none" w:sz="0" w:space="0" w:color="auto"/>
                    <w:right w:val="none" w:sz="0" w:space="0" w:color="auto"/>
                  </w:divBdr>
                  <w:divsChild>
                    <w:div w:id="1736079142">
                      <w:marLeft w:val="0"/>
                      <w:marRight w:val="0"/>
                      <w:marTop w:val="0"/>
                      <w:marBottom w:val="0"/>
                      <w:divBdr>
                        <w:top w:val="none" w:sz="0" w:space="0" w:color="auto"/>
                        <w:left w:val="none" w:sz="0" w:space="0" w:color="auto"/>
                        <w:bottom w:val="none" w:sz="0" w:space="0" w:color="auto"/>
                        <w:right w:val="none" w:sz="0" w:space="0" w:color="auto"/>
                      </w:divBdr>
                      <w:divsChild>
                        <w:div w:id="18943240">
                          <w:marLeft w:val="0"/>
                          <w:marRight w:val="0"/>
                          <w:marTop w:val="0"/>
                          <w:marBottom w:val="0"/>
                          <w:divBdr>
                            <w:top w:val="none" w:sz="0" w:space="0" w:color="auto"/>
                            <w:left w:val="none" w:sz="0" w:space="0" w:color="auto"/>
                            <w:bottom w:val="none" w:sz="0" w:space="0" w:color="auto"/>
                            <w:right w:val="none" w:sz="0" w:space="0" w:color="auto"/>
                          </w:divBdr>
                          <w:divsChild>
                            <w:div w:id="1617061261">
                              <w:marLeft w:val="0"/>
                              <w:marRight w:val="0"/>
                              <w:marTop w:val="120"/>
                              <w:marBottom w:val="360"/>
                              <w:divBdr>
                                <w:top w:val="none" w:sz="0" w:space="0" w:color="auto"/>
                                <w:left w:val="none" w:sz="0" w:space="0" w:color="auto"/>
                                <w:bottom w:val="none" w:sz="0" w:space="0" w:color="auto"/>
                                <w:right w:val="none" w:sz="0" w:space="0" w:color="auto"/>
                              </w:divBdr>
                              <w:divsChild>
                                <w:div w:id="373113863">
                                  <w:marLeft w:val="0"/>
                                  <w:marRight w:val="0"/>
                                  <w:marTop w:val="0"/>
                                  <w:marBottom w:val="0"/>
                                  <w:divBdr>
                                    <w:top w:val="none" w:sz="0" w:space="0" w:color="auto"/>
                                    <w:left w:val="none" w:sz="0" w:space="0" w:color="auto"/>
                                    <w:bottom w:val="none" w:sz="0" w:space="0" w:color="auto"/>
                                    <w:right w:val="none" w:sz="0" w:space="0" w:color="auto"/>
                                  </w:divBdr>
                                  <w:divsChild>
                                    <w:div w:id="7812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471162">
      <w:bodyDiv w:val="1"/>
      <w:marLeft w:val="0"/>
      <w:marRight w:val="0"/>
      <w:marTop w:val="0"/>
      <w:marBottom w:val="0"/>
      <w:divBdr>
        <w:top w:val="none" w:sz="0" w:space="0" w:color="auto"/>
        <w:left w:val="none" w:sz="0" w:space="0" w:color="auto"/>
        <w:bottom w:val="none" w:sz="0" w:space="0" w:color="auto"/>
        <w:right w:val="none" w:sz="0" w:space="0" w:color="auto"/>
      </w:divBdr>
      <w:divsChild>
        <w:div w:id="1381900609">
          <w:marLeft w:val="0"/>
          <w:marRight w:val="1"/>
          <w:marTop w:val="0"/>
          <w:marBottom w:val="0"/>
          <w:divBdr>
            <w:top w:val="none" w:sz="0" w:space="0" w:color="auto"/>
            <w:left w:val="none" w:sz="0" w:space="0" w:color="auto"/>
            <w:bottom w:val="none" w:sz="0" w:space="0" w:color="auto"/>
            <w:right w:val="none" w:sz="0" w:space="0" w:color="auto"/>
          </w:divBdr>
          <w:divsChild>
            <w:div w:id="351414957">
              <w:marLeft w:val="0"/>
              <w:marRight w:val="0"/>
              <w:marTop w:val="0"/>
              <w:marBottom w:val="0"/>
              <w:divBdr>
                <w:top w:val="none" w:sz="0" w:space="0" w:color="auto"/>
                <w:left w:val="none" w:sz="0" w:space="0" w:color="auto"/>
                <w:bottom w:val="none" w:sz="0" w:space="0" w:color="auto"/>
                <w:right w:val="none" w:sz="0" w:space="0" w:color="auto"/>
              </w:divBdr>
              <w:divsChild>
                <w:div w:id="1611156929">
                  <w:marLeft w:val="0"/>
                  <w:marRight w:val="1"/>
                  <w:marTop w:val="0"/>
                  <w:marBottom w:val="0"/>
                  <w:divBdr>
                    <w:top w:val="none" w:sz="0" w:space="0" w:color="auto"/>
                    <w:left w:val="none" w:sz="0" w:space="0" w:color="auto"/>
                    <w:bottom w:val="none" w:sz="0" w:space="0" w:color="auto"/>
                    <w:right w:val="none" w:sz="0" w:space="0" w:color="auto"/>
                  </w:divBdr>
                  <w:divsChild>
                    <w:div w:id="525607727">
                      <w:marLeft w:val="0"/>
                      <w:marRight w:val="0"/>
                      <w:marTop w:val="0"/>
                      <w:marBottom w:val="0"/>
                      <w:divBdr>
                        <w:top w:val="none" w:sz="0" w:space="0" w:color="auto"/>
                        <w:left w:val="none" w:sz="0" w:space="0" w:color="auto"/>
                        <w:bottom w:val="none" w:sz="0" w:space="0" w:color="auto"/>
                        <w:right w:val="none" w:sz="0" w:space="0" w:color="auto"/>
                      </w:divBdr>
                      <w:divsChild>
                        <w:div w:id="1423988136">
                          <w:marLeft w:val="0"/>
                          <w:marRight w:val="0"/>
                          <w:marTop w:val="0"/>
                          <w:marBottom w:val="0"/>
                          <w:divBdr>
                            <w:top w:val="none" w:sz="0" w:space="0" w:color="auto"/>
                            <w:left w:val="none" w:sz="0" w:space="0" w:color="auto"/>
                            <w:bottom w:val="none" w:sz="0" w:space="0" w:color="auto"/>
                            <w:right w:val="none" w:sz="0" w:space="0" w:color="auto"/>
                          </w:divBdr>
                          <w:divsChild>
                            <w:div w:id="2039155051">
                              <w:marLeft w:val="0"/>
                              <w:marRight w:val="0"/>
                              <w:marTop w:val="120"/>
                              <w:marBottom w:val="360"/>
                              <w:divBdr>
                                <w:top w:val="none" w:sz="0" w:space="0" w:color="auto"/>
                                <w:left w:val="none" w:sz="0" w:space="0" w:color="auto"/>
                                <w:bottom w:val="none" w:sz="0" w:space="0" w:color="auto"/>
                                <w:right w:val="none" w:sz="0" w:space="0" w:color="auto"/>
                              </w:divBdr>
                              <w:divsChild>
                                <w:div w:id="1931623635">
                                  <w:marLeft w:val="0"/>
                                  <w:marRight w:val="0"/>
                                  <w:marTop w:val="0"/>
                                  <w:marBottom w:val="0"/>
                                  <w:divBdr>
                                    <w:top w:val="none" w:sz="0" w:space="0" w:color="auto"/>
                                    <w:left w:val="none" w:sz="0" w:space="0" w:color="auto"/>
                                    <w:bottom w:val="none" w:sz="0" w:space="0" w:color="auto"/>
                                    <w:right w:val="none" w:sz="0" w:space="0" w:color="auto"/>
                                  </w:divBdr>
                                  <w:divsChild>
                                    <w:div w:id="59567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606927">
      <w:bodyDiv w:val="1"/>
      <w:marLeft w:val="0"/>
      <w:marRight w:val="0"/>
      <w:marTop w:val="0"/>
      <w:marBottom w:val="0"/>
      <w:divBdr>
        <w:top w:val="none" w:sz="0" w:space="0" w:color="auto"/>
        <w:left w:val="none" w:sz="0" w:space="0" w:color="auto"/>
        <w:bottom w:val="none" w:sz="0" w:space="0" w:color="auto"/>
        <w:right w:val="none" w:sz="0" w:space="0" w:color="auto"/>
      </w:divBdr>
      <w:divsChild>
        <w:div w:id="1646009004">
          <w:marLeft w:val="0"/>
          <w:marRight w:val="1"/>
          <w:marTop w:val="0"/>
          <w:marBottom w:val="0"/>
          <w:divBdr>
            <w:top w:val="none" w:sz="0" w:space="0" w:color="auto"/>
            <w:left w:val="none" w:sz="0" w:space="0" w:color="auto"/>
            <w:bottom w:val="none" w:sz="0" w:space="0" w:color="auto"/>
            <w:right w:val="none" w:sz="0" w:space="0" w:color="auto"/>
          </w:divBdr>
          <w:divsChild>
            <w:div w:id="1972051732">
              <w:marLeft w:val="0"/>
              <w:marRight w:val="0"/>
              <w:marTop w:val="0"/>
              <w:marBottom w:val="0"/>
              <w:divBdr>
                <w:top w:val="none" w:sz="0" w:space="0" w:color="auto"/>
                <w:left w:val="none" w:sz="0" w:space="0" w:color="auto"/>
                <w:bottom w:val="none" w:sz="0" w:space="0" w:color="auto"/>
                <w:right w:val="none" w:sz="0" w:space="0" w:color="auto"/>
              </w:divBdr>
              <w:divsChild>
                <w:div w:id="1681741142">
                  <w:marLeft w:val="0"/>
                  <w:marRight w:val="1"/>
                  <w:marTop w:val="0"/>
                  <w:marBottom w:val="0"/>
                  <w:divBdr>
                    <w:top w:val="none" w:sz="0" w:space="0" w:color="auto"/>
                    <w:left w:val="none" w:sz="0" w:space="0" w:color="auto"/>
                    <w:bottom w:val="none" w:sz="0" w:space="0" w:color="auto"/>
                    <w:right w:val="none" w:sz="0" w:space="0" w:color="auto"/>
                  </w:divBdr>
                  <w:divsChild>
                    <w:div w:id="1015352590">
                      <w:marLeft w:val="0"/>
                      <w:marRight w:val="0"/>
                      <w:marTop w:val="0"/>
                      <w:marBottom w:val="0"/>
                      <w:divBdr>
                        <w:top w:val="none" w:sz="0" w:space="0" w:color="auto"/>
                        <w:left w:val="none" w:sz="0" w:space="0" w:color="auto"/>
                        <w:bottom w:val="none" w:sz="0" w:space="0" w:color="auto"/>
                        <w:right w:val="none" w:sz="0" w:space="0" w:color="auto"/>
                      </w:divBdr>
                      <w:divsChild>
                        <w:div w:id="107313175">
                          <w:marLeft w:val="0"/>
                          <w:marRight w:val="0"/>
                          <w:marTop w:val="0"/>
                          <w:marBottom w:val="0"/>
                          <w:divBdr>
                            <w:top w:val="none" w:sz="0" w:space="0" w:color="auto"/>
                            <w:left w:val="none" w:sz="0" w:space="0" w:color="auto"/>
                            <w:bottom w:val="none" w:sz="0" w:space="0" w:color="auto"/>
                            <w:right w:val="none" w:sz="0" w:space="0" w:color="auto"/>
                          </w:divBdr>
                          <w:divsChild>
                            <w:div w:id="1547911269">
                              <w:marLeft w:val="0"/>
                              <w:marRight w:val="0"/>
                              <w:marTop w:val="120"/>
                              <w:marBottom w:val="360"/>
                              <w:divBdr>
                                <w:top w:val="none" w:sz="0" w:space="0" w:color="auto"/>
                                <w:left w:val="none" w:sz="0" w:space="0" w:color="auto"/>
                                <w:bottom w:val="none" w:sz="0" w:space="0" w:color="auto"/>
                                <w:right w:val="none" w:sz="0" w:space="0" w:color="auto"/>
                              </w:divBdr>
                              <w:divsChild>
                                <w:div w:id="1408724351">
                                  <w:marLeft w:val="0"/>
                                  <w:marRight w:val="0"/>
                                  <w:marTop w:val="0"/>
                                  <w:marBottom w:val="0"/>
                                  <w:divBdr>
                                    <w:top w:val="none" w:sz="0" w:space="0" w:color="auto"/>
                                    <w:left w:val="none" w:sz="0" w:space="0" w:color="auto"/>
                                    <w:bottom w:val="none" w:sz="0" w:space="0" w:color="auto"/>
                                    <w:right w:val="none" w:sz="0" w:space="0" w:color="auto"/>
                                  </w:divBdr>
                                  <w:divsChild>
                                    <w:div w:id="2067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94855">
      <w:bodyDiv w:val="1"/>
      <w:marLeft w:val="0"/>
      <w:marRight w:val="0"/>
      <w:marTop w:val="0"/>
      <w:marBottom w:val="0"/>
      <w:divBdr>
        <w:top w:val="none" w:sz="0" w:space="0" w:color="auto"/>
        <w:left w:val="none" w:sz="0" w:space="0" w:color="auto"/>
        <w:bottom w:val="none" w:sz="0" w:space="0" w:color="auto"/>
        <w:right w:val="none" w:sz="0" w:space="0" w:color="auto"/>
      </w:divBdr>
      <w:divsChild>
        <w:div w:id="627397530">
          <w:marLeft w:val="0"/>
          <w:marRight w:val="1"/>
          <w:marTop w:val="0"/>
          <w:marBottom w:val="0"/>
          <w:divBdr>
            <w:top w:val="none" w:sz="0" w:space="0" w:color="auto"/>
            <w:left w:val="none" w:sz="0" w:space="0" w:color="auto"/>
            <w:bottom w:val="none" w:sz="0" w:space="0" w:color="auto"/>
            <w:right w:val="none" w:sz="0" w:space="0" w:color="auto"/>
          </w:divBdr>
          <w:divsChild>
            <w:div w:id="757672857">
              <w:marLeft w:val="0"/>
              <w:marRight w:val="0"/>
              <w:marTop w:val="0"/>
              <w:marBottom w:val="0"/>
              <w:divBdr>
                <w:top w:val="none" w:sz="0" w:space="0" w:color="auto"/>
                <w:left w:val="none" w:sz="0" w:space="0" w:color="auto"/>
                <w:bottom w:val="none" w:sz="0" w:space="0" w:color="auto"/>
                <w:right w:val="none" w:sz="0" w:space="0" w:color="auto"/>
              </w:divBdr>
              <w:divsChild>
                <w:div w:id="1057119847">
                  <w:marLeft w:val="0"/>
                  <w:marRight w:val="1"/>
                  <w:marTop w:val="0"/>
                  <w:marBottom w:val="0"/>
                  <w:divBdr>
                    <w:top w:val="none" w:sz="0" w:space="0" w:color="auto"/>
                    <w:left w:val="none" w:sz="0" w:space="0" w:color="auto"/>
                    <w:bottom w:val="none" w:sz="0" w:space="0" w:color="auto"/>
                    <w:right w:val="none" w:sz="0" w:space="0" w:color="auto"/>
                  </w:divBdr>
                  <w:divsChild>
                    <w:div w:id="878662737">
                      <w:marLeft w:val="0"/>
                      <w:marRight w:val="0"/>
                      <w:marTop w:val="0"/>
                      <w:marBottom w:val="0"/>
                      <w:divBdr>
                        <w:top w:val="none" w:sz="0" w:space="0" w:color="auto"/>
                        <w:left w:val="none" w:sz="0" w:space="0" w:color="auto"/>
                        <w:bottom w:val="none" w:sz="0" w:space="0" w:color="auto"/>
                        <w:right w:val="none" w:sz="0" w:space="0" w:color="auto"/>
                      </w:divBdr>
                      <w:divsChild>
                        <w:div w:id="701902702">
                          <w:marLeft w:val="0"/>
                          <w:marRight w:val="0"/>
                          <w:marTop w:val="0"/>
                          <w:marBottom w:val="0"/>
                          <w:divBdr>
                            <w:top w:val="none" w:sz="0" w:space="0" w:color="auto"/>
                            <w:left w:val="none" w:sz="0" w:space="0" w:color="auto"/>
                            <w:bottom w:val="none" w:sz="0" w:space="0" w:color="auto"/>
                            <w:right w:val="none" w:sz="0" w:space="0" w:color="auto"/>
                          </w:divBdr>
                          <w:divsChild>
                            <w:div w:id="1823428928">
                              <w:marLeft w:val="0"/>
                              <w:marRight w:val="0"/>
                              <w:marTop w:val="120"/>
                              <w:marBottom w:val="360"/>
                              <w:divBdr>
                                <w:top w:val="none" w:sz="0" w:space="0" w:color="auto"/>
                                <w:left w:val="none" w:sz="0" w:space="0" w:color="auto"/>
                                <w:bottom w:val="none" w:sz="0" w:space="0" w:color="auto"/>
                                <w:right w:val="none" w:sz="0" w:space="0" w:color="auto"/>
                              </w:divBdr>
                              <w:divsChild>
                                <w:div w:id="1059286997">
                                  <w:marLeft w:val="0"/>
                                  <w:marRight w:val="0"/>
                                  <w:marTop w:val="0"/>
                                  <w:marBottom w:val="0"/>
                                  <w:divBdr>
                                    <w:top w:val="none" w:sz="0" w:space="0" w:color="auto"/>
                                    <w:left w:val="none" w:sz="0" w:space="0" w:color="auto"/>
                                    <w:bottom w:val="none" w:sz="0" w:space="0" w:color="auto"/>
                                    <w:right w:val="none" w:sz="0" w:space="0" w:color="auto"/>
                                  </w:divBdr>
                                  <w:divsChild>
                                    <w:div w:id="7884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902013">
      <w:bodyDiv w:val="1"/>
      <w:marLeft w:val="0"/>
      <w:marRight w:val="0"/>
      <w:marTop w:val="0"/>
      <w:marBottom w:val="0"/>
      <w:divBdr>
        <w:top w:val="none" w:sz="0" w:space="0" w:color="auto"/>
        <w:left w:val="none" w:sz="0" w:space="0" w:color="auto"/>
        <w:bottom w:val="none" w:sz="0" w:space="0" w:color="auto"/>
        <w:right w:val="none" w:sz="0" w:space="0" w:color="auto"/>
      </w:divBdr>
      <w:divsChild>
        <w:div w:id="230048345">
          <w:marLeft w:val="0"/>
          <w:marRight w:val="1"/>
          <w:marTop w:val="0"/>
          <w:marBottom w:val="0"/>
          <w:divBdr>
            <w:top w:val="none" w:sz="0" w:space="0" w:color="auto"/>
            <w:left w:val="none" w:sz="0" w:space="0" w:color="auto"/>
            <w:bottom w:val="none" w:sz="0" w:space="0" w:color="auto"/>
            <w:right w:val="none" w:sz="0" w:space="0" w:color="auto"/>
          </w:divBdr>
          <w:divsChild>
            <w:div w:id="2060585842">
              <w:marLeft w:val="0"/>
              <w:marRight w:val="0"/>
              <w:marTop w:val="0"/>
              <w:marBottom w:val="0"/>
              <w:divBdr>
                <w:top w:val="none" w:sz="0" w:space="0" w:color="auto"/>
                <w:left w:val="none" w:sz="0" w:space="0" w:color="auto"/>
                <w:bottom w:val="none" w:sz="0" w:space="0" w:color="auto"/>
                <w:right w:val="none" w:sz="0" w:space="0" w:color="auto"/>
              </w:divBdr>
              <w:divsChild>
                <w:div w:id="1325552882">
                  <w:marLeft w:val="0"/>
                  <w:marRight w:val="1"/>
                  <w:marTop w:val="0"/>
                  <w:marBottom w:val="0"/>
                  <w:divBdr>
                    <w:top w:val="none" w:sz="0" w:space="0" w:color="auto"/>
                    <w:left w:val="none" w:sz="0" w:space="0" w:color="auto"/>
                    <w:bottom w:val="none" w:sz="0" w:space="0" w:color="auto"/>
                    <w:right w:val="none" w:sz="0" w:space="0" w:color="auto"/>
                  </w:divBdr>
                  <w:divsChild>
                    <w:div w:id="1789426945">
                      <w:marLeft w:val="0"/>
                      <w:marRight w:val="0"/>
                      <w:marTop w:val="0"/>
                      <w:marBottom w:val="0"/>
                      <w:divBdr>
                        <w:top w:val="none" w:sz="0" w:space="0" w:color="auto"/>
                        <w:left w:val="none" w:sz="0" w:space="0" w:color="auto"/>
                        <w:bottom w:val="none" w:sz="0" w:space="0" w:color="auto"/>
                        <w:right w:val="none" w:sz="0" w:space="0" w:color="auto"/>
                      </w:divBdr>
                      <w:divsChild>
                        <w:div w:id="2056586163">
                          <w:marLeft w:val="0"/>
                          <w:marRight w:val="0"/>
                          <w:marTop w:val="0"/>
                          <w:marBottom w:val="0"/>
                          <w:divBdr>
                            <w:top w:val="none" w:sz="0" w:space="0" w:color="auto"/>
                            <w:left w:val="none" w:sz="0" w:space="0" w:color="auto"/>
                            <w:bottom w:val="none" w:sz="0" w:space="0" w:color="auto"/>
                            <w:right w:val="none" w:sz="0" w:space="0" w:color="auto"/>
                          </w:divBdr>
                          <w:divsChild>
                            <w:div w:id="384911852">
                              <w:marLeft w:val="0"/>
                              <w:marRight w:val="0"/>
                              <w:marTop w:val="120"/>
                              <w:marBottom w:val="360"/>
                              <w:divBdr>
                                <w:top w:val="none" w:sz="0" w:space="0" w:color="auto"/>
                                <w:left w:val="none" w:sz="0" w:space="0" w:color="auto"/>
                                <w:bottom w:val="none" w:sz="0" w:space="0" w:color="auto"/>
                                <w:right w:val="none" w:sz="0" w:space="0" w:color="auto"/>
                              </w:divBdr>
                              <w:divsChild>
                                <w:div w:id="1381975325">
                                  <w:marLeft w:val="0"/>
                                  <w:marRight w:val="0"/>
                                  <w:marTop w:val="0"/>
                                  <w:marBottom w:val="0"/>
                                  <w:divBdr>
                                    <w:top w:val="none" w:sz="0" w:space="0" w:color="auto"/>
                                    <w:left w:val="none" w:sz="0" w:space="0" w:color="auto"/>
                                    <w:bottom w:val="none" w:sz="0" w:space="0" w:color="auto"/>
                                    <w:right w:val="none" w:sz="0" w:space="0" w:color="auto"/>
                                  </w:divBdr>
                                  <w:divsChild>
                                    <w:div w:id="9371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236461">
      <w:bodyDiv w:val="1"/>
      <w:marLeft w:val="0"/>
      <w:marRight w:val="0"/>
      <w:marTop w:val="0"/>
      <w:marBottom w:val="0"/>
      <w:divBdr>
        <w:top w:val="none" w:sz="0" w:space="0" w:color="auto"/>
        <w:left w:val="none" w:sz="0" w:space="0" w:color="auto"/>
        <w:bottom w:val="none" w:sz="0" w:space="0" w:color="auto"/>
        <w:right w:val="none" w:sz="0" w:space="0" w:color="auto"/>
      </w:divBdr>
      <w:divsChild>
        <w:div w:id="1977635985">
          <w:marLeft w:val="0"/>
          <w:marRight w:val="1"/>
          <w:marTop w:val="0"/>
          <w:marBottom w:val="0"/>
          <w:divBdr>
            <w:top w:val="none" w:sz="0" w:space="0" w:color="auto"/>
            <w:left w:val="none" w:sz="0" w:space="0" w:color="auto"/>
            <w:bottom w:val="none" w:sz="0" w:space="0" w:color="auto"/>
            <w:right w:val="none" w:sz="0" w:space="0" w:color="auto"/>
          </w:divBdr>
          <w:divsChild>
            <w:div w:id="452558460">
              <w:marLeft w:val="0"/>
              <w:marRight w:val="0"/>
              <w:marTop w:val="0"/>
              <w:marBottom w:val="0"/>
              <w:divBdr>
                <w:top w:val="none" w:sz="0" w:space="0" w:color="auto"/>
                <w:left w:val="none" w:sz="0" w:space="0" w:color="auto"/>
                <w:bottom w:val="none" w:sz="0" w:space="0" w:color="auto"/>
                <w:right w:val="none" w:sz="0" w:space="0" w:color="auto"/>
              </w:divBdr>
              <w:divsChild>
                <w:div w:id="761413650">
                  <w:marLeft w:val="0"/>
                  <w:marRight w:val="1"/>
                  <w:marTop w:val="0"/>
                  <w:marBottom w:val="0"/>
                  <w:divBdr>
                    <w:top w:val="none" w:sz="0" w:space="0" w:color="auto"/>
                    <w:left w:val="none" w:sz="0" w:space="0" w:color="auto"/>
                    <w:bottom w:val="none" w:sz="0" w:space="0" w:color="auto"/>
                    <w:right w:val="none" w:sz="0" w:space="0" w:color="auto"/>
                  </w:divBdr>
                  <w:divsChild>
                    <w:div w:id="2071003697">
                      <w:marLeft w:val="0"/>
                      <w:marRight w:val="0"/>
                      <w:marTop w:val="0"/>
                      <w:marBottom w:val="0"/>
                      <w:divBdr>
                        <w:top w:val="none" w:sz="0" w:space="0" w:color="auto"/>
                        <w:left w:val="none" w:sz="0" w:space="0" w:color="auto"/>
                        <w:bottom w:val="none" w:sz="0" w:space="0" w:color="auto"/>
                        <w:right w:val="none" w:sz="0" w:space="0" w:color="auto"/>
                      </w:divBdr>
                      <w:divsChild>
                        <w:div w:id="494956782">
                          <w:marLeft w:val="0"/>
                          <w:marRight w:val="0"/>
                          <w:marTop w:val="0"/>
                          <w:marBottom w:val="0"/>
                          <w:divBdr>
                            <w:top w:val="none" w:sz="0" w:space="0" w:color="auto"/>
                            <w:left w:val="none" w:sz="0" w:space="0" w:color="auto"/>
                            <w:bottom w:val="none" w:sz="0" w:space="0" w:color="auto"/>
                            <w:right w:val="none" w:sz="0" w:space="0" w:color="auto"/>
                          </w:divBdr>
                          <w:divsChild>
                            <w:div w:id="1827085565">
                              <w:marLeft w:val="0"/>
                              <w:marRight w:val="0"/>
                              <w:marTop w:val="120"/>
                              <w:marBottom w:val="360"/>
                              <w:divBdr>
                                <w:top w:val="none" w:sz="0" w:space="0" w:color="auto"/>
                                <w:left w:val="none" w:sz="0" w:space="0" w:color="auto"/>
                                <w:bottom w:val="none" w:sz="0" w:space="0" w:color="auto"/>
                                <w:right w:val="none" w:sz="0" w:space="0" w:color="auto"/>
                              </w:divBdr>
                              <w:divsChild>
                                <w:div w:id="111830870">
                                  <w:marLeft w:val="0"/>
                                  <w:marRight w:val="0"/>
                                  <w:marTop w:val="0"/>
                                  <w:marBottom w:val="0"/>
                                  <w:divBdr>
                                    <w:top w:val="none" w:sz="0" w:space="0" w:color="auto"/>
                                    <w:left w:val="none" w:sz="0" w:space="0" w:color="auto"/>
                                    <w:bottom w:val="none" w:sz="0" w:space="0" w:color="auto"/>
                                    <w:right w:val="none" w:sz="0" w:space="0" w:color="auto"/>
                                  </w:divBdr>
                                  <w:divsChild>
                                    <w:div w:id="2054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234125">
      <w:bodyDiv w:val="1"/>
      <w:marLeft w:val="0"/>
      <w:marRight w:val="0"/>
      <w:marTop w:val="0"/>
      <w:marBottom w:val="0"/>
      <w:divBdr>
        <w:top w:val="none" w:sz="0" w:space="0" w:color="auto"/>
        <w:left w:val="none" w:sz="0" w:space="0" w:color="auto"/>
        <w:bottom w:val="none" w:sz="0" w:space="0" w:color="auto"/>
        <w:right w:val="none" w:sz="0" w:space="0" w:color="auto"/>
      </w:divBdr>
    </w:div>
    <w:div w:id="1700160755">
      <w:bodyDiv w:val="1"/>
      <w:marLeft w:val="0"/>
      <w:marRight w:val="0"/>
      <w:marTop w:val="0"/>
      <w:marBottom w:val="0"/>
      <w:divBdr>
        <w:top w:val="none" w:sz="0" w:space="0" w:color="auto"/>
        <w:left w:val="none" w:sz="0" w:space="0" w:color="auto"/>
        <w:bottom w:val="none" w:sz="0" w:space="0" w:color="auto"/>
        <w:right w:val="none" w:sz="0" w:space="0" w:color="auto"/>
      </w:divBdr>
      <w:divsChild>
        <w:div w:id="1848859587">
          <w:marLeft w:val="0"/>
          <w:marRight w:val="1"/>
          <w:marTop w:val="0"/>
          <w:marBottom w:val="0"/>
          <w:divBdr>
            <w:top w:val="none" w:sz="0" w:space="0" w:color="auto"/>
            <w:left w:val="none" w:sz="0" w:space="0" w:color="auto"/>
            <w:bottom w:val="none" w:sz="0" w:space="0" w:color="auto"/>
            <w:right w:val="none" w:sz="0" w:space="0" w:color="auto"/>
          </w:divBdr>
          <w:divsChild>
            <w:div w:id="1448891644">
              <w:marLeft w:val="0"/>
              <w:marRight w:val="0"/>
              <w:marTop w:val="0"/>
              <w:marBottom w:val="0"/>
              <w:divBdr>
                <w:top w:val="none" w:sz="0" w:space="0" w:color="auto"/>
                <w:left w:val="none" w:sz="0" w:space="0" w:color="auto"/>
                <w:bottom w:val="none" w:sz="0" w:space="0" w:color="auto"/>
                <w:right w:val="none" w:sz="0" w:space="0" w:color="auto"/>
              </w:divBdr>
              <w:divsChild>
                <w:div w:id="1227767161">
                  <w:marLeft w:val="0"/>
                  <w:marRight w:val="1"/>
                  <w:marTop w:val="0"/>
                  <w:marBottom w:val="0"/>
                  <w:divBdr>
                    <w:top w:val="none" w:sz="0" w:space="0" w:color="auto"/>
                    <w:left w:val="none" w:sz="0" w:space="0" w:color="auto"/>
                    <w:bottom w:val="none" w:sz="0" w:space="0" w:color="auto"/>
                    <w:right w:val="none" w:sz="0" w:space="0" w:color="auto"/>
                  </w:divBdr>
                  <w:divsChild>
                    <w:div w:id="195850997">
                      <w:marLeft w:val="0"/>
                      <w:marRight w:val="0"/>
                      <w:marTop w:val="0"/>
                      <w:marBottom w:val="0"/>
                      <w:divBdr>
                        <w:top w:val="none" w:sz="0" w:space="0" w:color="auto"/>
                        <w:left w:val="none" w:sz="0" w:space="0" w:color="auto"/>
                        <w:bottom w:val="none" w:sz="0" w:space="0" w:color="auto"/>
                        <w:right w:val="none" w:sz="0" w:space="0" w:color="auto"/>
                      </w:divBdr>
                      <w:divsChild>
                        <w:div w:id="1164586671">
                          <w:marLeft w:val="0"/>
                          <w:marRight w:val="0"/>
                          <w:marTop w:val="0"/>
                          <w:marBottom w:val="0"/>
                          <w:divBdr>
                            <w:top w:val="none" w:sz="0" w:space="0" w:color="auto"/>
                            <w:left w:val="none" w:sz="0" w:space="0" w:color="auto"/>
                            <w:bottom w:val="none" w:sz="0" w:space="0" w:color="auto"/>
                            <w:right w:val="none" w:sz="0" w:space="0" w:color="auto"/>
                          </w:divBdr>
                          <w:divsChild>
                            <w:div w:id="618073624">
                              <w:marLeft w:val="0"/>
                              <w:marRight w:val="0"/>
                              <w:marTop w:val="120"/>
                              <w:marBottom w:val="360"/>
                              <w:divBdr>
                                <w:top w:val="none" w:sz="0" w:space="0" w:color="auto"/>
                                <w:left w:val="none" w:sz="0" w:space="0" w:color="auto"/>
                                <w:bottom w:val="none" w:sz="0" w:space="0" w:color="auto"/>
                                <w:right w:val="none" w:sz="0" w:space="0" w:color="auto"/>
                              </w:divBdr>
                              <w:divsChild>
                                <w:div w:id="1769233032">
                                  <w:marLeft w:val="0"/>
                                  <w:marRight w:val="0"/>
                                  <w:marTop w:val="0"/>
                                  <w:marBottom w:val="0"/>
                                  <w:divBdr>
                                    <w:top w:val="none" w:sz="0" w:space="0" w:color="auto"/>
                                    <w:left w:val="none" w:sz="0" w:space="0" w:color="auto"/>
                                    <w:bottom w:val="none" w:sz="0" w:space="0" w:color="auto"/>
                                    <w:right w:val="none" w:sz="0" w:space="0" w:color="auto"/>
                                  </w:divBdr>
                                  <w:divsChild>
                                    <w:div w:id="14925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659856">
      <w:bodyDiv w:val="1"/>
      <w:marLeft w:val="0"/>
      <w:marRight w:val="0"/>
      <w:marTop w:val="0"/>
      <w:marBottom w:val="0"/>
      <w:divBdr>
        <w:top w:val="none" w:sz="0" w:space="0" w:color="auto"/>
        <w:left w:val="none" w:sz="0" w:space="0" w:color="auto"/>
        <w:bottom w:val="none" w:sz="0" w:space="0" w:color="auto"/>
        <w:right w:val="none" w:sz="0" w:space="0" w:color="auto"/>
      </w:divBdr>
      <w:divsChild>
        <w:div w:id="1431315948">
          <w:marLeft w:val="0"/>
          <w:marRight w:val="1"/>
          <w:marTop w:val="0"/>
          <w:marBottom w:val="0"/>
          <w:divBdr>
            <w:top w:val="none" w:sz="0" w:space="0" w:color="auto"/>
            <w:left w:val="none" w:sz="0" w:space="0" w:color="auto"/>
            <w:bottom w:val="none" w:sz="0" w:space="0" w:color="auto"/>
            <w:right w:val="none" w:sz="0" w:space="0" w:color="auto"/>
          </w:divBdr>
          <w:divsChild>
            <w:div w:id="1037588051">
              <w:marLeft w:val="0"/>
              <w:marRight w:val="0"/>
              <w:marTop w:val="0"/>
              <w:marBottom w:val="0"/>
              <w:divBdr>
                <w:top w:val="none" w:sz="0" w:space="0" w:color="auto"/>
                <w:left w:val="none" w:sz="0" w:space="0" w:color="auto"/>
                <w:bottom w:val="none" w:sz="0" w:space="0" w:color="auto"/>
                <w:right w:val="none" w:sz="0" w:space="0" w:color="auto"/>
              </w:divBdr>
              <w:divsChild>
                <w:div w:id="397167613">
                  <w:marLeft w:val="0"/>
                  <w:marRight w:val="1"/>
                  <w:marTop w:val="0"/>
                  <w:marBottom w:val="0"/>
                  <w:divBdr>
                    <w:top w:val="none" w:sz="0" w:space="0" w:color="auto"/>
                    <w:left w:val="none" w:sz="0" w:space="0" w:color="auto"/>
                    <w:bottom w:val="none" w:sz="0" w:space="0" w:color="auto"/>
                    <w:right w:val="none" w:sz="0" w:space="0" w:color="auto"/>
                  </w:divBdr>
                  <w:divsChild>
                    <w:div w:id="106775073">
                      <w:marLeft w:val="0"/>
                      <w:marRight w:val="0"/>
                      <w:marTop w:val="0"/>
                      <w:marBottom w:val="0"/>
                      <w:divBdr>
                        <w:top w:val="none" w:sz="0" w:space="0" w:color="auto"/>
                        <w:left w:val="none" w:sz="0" w:space="0" w:color="auto"/>
                        <w:bottom w:val="none" w:sz="0" w:space="0" w:color="auto"/>
                        <w:right w:val="none" w:sz="0" w:space="0" w:color="auto"/>
                      </w:divBdr>
                      <w:divsChild>
                        <w:div w:id="1556283445">
                          <w:marLeft w:val="0"/>
                          <w:marRight w:val="0"/>
                          <w:marTop w:val="0"/>
                          <w:marBottom w:val="0"/>
                          <w:divBdr>
                            <w:top w:val="none" w:sz="0" w:space="0" w:color="auto"/>
                            <w:left w:val="none" w:sz="0" w:space="0" w:color="auto"/>
                            <w:bottom w:val="none" w:sz="0" w:space="0" w:color="auto"/>
                            <w:right w:val="none" w:sz="0" w:space="0" w:color="auto"/>
                          </w:divBdr>
                          <w:divsChild>
                            <w:div w:id="1004164201">
                              <w:marLeft w:val="0"/>
                              <w:marRight w:val="0"/>
                              <w:marTop w:val="120"/>
                              <w:marBottom w:val="360"/>
                              <w:divBdr>
                                <w:top w:val="none" w:sz="0" w:space="0" w:color="auto"/>
                                <w:left w:val="none" w:sz="0" w:space="0" w:color="auto"/>
                                <w:bottom w:val="none" w:sz="0" w:space="0" w:color="auto"/>
                                <w:right w:val="none" w:sz="0" w:space="0" w:color="auto"/>
                              </w:divBdr>
                              <w:divsChild>
                                <w:div w:id="1989557581">
                                  <w:marLeft w:val="0"/>
                                  <w:marRight w:val="0"/>
                                  <w:marTop w:val="0"/>
                                  <w:marBottom w:val="0"/>
                                  <w:divBdr>
                                    <w:top w:val="none" w:sz="0" w:space="0" w:color="auto"/>
                                    <w:left w:val="none" w:sz="0" w:space="0" w:color="auto"/>
                                    <w:bottom w:val="none" w:sz="0" w:space="0" w:color="auto"/>
                                    <w:right w:val="none" w:sz="0" w:space="0" w:color="auto"/>
                                  </w:divBdr>
                                  <w:divsChild>
                                    <w:div w:id="18363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521943">
      <w:bodyDiv w:val="1"/>
      <w:marLeft w:val="0"/>
      <w:marRight w:val="0"/>
      <w:marTop w:val="0"/>
      <w:marBottom w:val="0"/>
      <w:divBdr>
        <w:top w:val="none" w:sz="0" w:space="0" w:color="auto"/>
        <w:left w:val="none" w:sz="0" w:space="0" w:color="auto"/>
        <w:bottom w:val="none" w:sz="0" w:space="0" w:color="auto"/>
        <w:right w:val="none" w:sz="0" w:space="0" w:color="auto"/>
      </w:divBdr>
      <w:divsChild>
        <w:div w:id="685326753">
          <w:marLeft w:val="0"/>
          <w:marRight w:val="1"/>
          <w:marTop w:val="0"/>
          <w:marBottom w:val="0"/>
          <w:divBdr>
            <w:top w:val="none" w:sz="0" w:space="0" w:color="auto"/>
            <w:left w:val="none" w:sz="0" w:space="0" w:color="auto"/>
            <w:bottom w:val="none" w:sz="0" w:space="0" w:color="auto"/>
            <w:right w:val="none" w:sz="0" w:space="0" w:color="auto"/>
          </w:divBdr>
          <w:divsChild>
            <w:div w:id="426387009">
              <w:marLeft w:val="0"/>
              <w:marRight w:val="0"/>
              <w:marTop w:val="0"/>
              <w:marBottom w:val="0"/>
              <w:divBdr>
                <w:top w:val="none" w:sz="0" w:space="0" w:color="auto"/>
                <w:left w:val="none" w:sz="0" w:space="0" w:color="auto"/>
                <w:bottom w:val="none" w:sz="0" w:space="0" w:color="auto"/>
                <w:right w:val="none" w:sz="0" w:space="0" w:color="auto"/>
              </w:divBdr>
              <w:divsChild>
                <w:div w:id="1497381249">
                  <w:marLeft w:val="0"/>
                  <w:marRight w:val="1"/>
                  <w:marTop w:val="0"/>
                  <w:marBottom w:val="0"/>
                  <w:divBdr>
                    <w:top w:val="none" w:sz="0" w:space="0" w:color="auto"/>
                    <w:left w:val="none" w:sz="0" w:space="0" w:color="auto"/>
                    <w:bottom w:val="none" w:sz="0" w:space="0" w:color="auto"/>
                    <w:right w:val="none" w:sz="0" w:space="0" w:color="auto"/>
                  </w:divBdr>
                  <w:divsChild>
                    <w:div w:id="2033648969">
                      <w:marLeft w:val="0"/>
                      <w:marRight w:val="0"/>
                      <w:marTop w:val="0"/>
                      <w:marBottom w:val="0"/>
                      <w:divBdr>
                        <w:top w:val="none" w:sz="0" w:space="0" w:color="auto"/>
                        <w:left w:val="none" w:sz="0" w:space="0" w:color="auto"/>
                        <w:bottom w:val="none" w:sz="0" w:space="0" w:color="auto"/>
                        <w:right w:val="none" w:sz="0" w:space="0" w:color="auto"/>
                      </w:divBdr>
                      <w:divsChild>
                        <w:div w:id="147793792">
                          <w:marLeft w:val="0"/>
                          <w:marRight w:val="0"/>
                          <w:marTop w:val="0"/>
                          <w:marBottom w:val="0"/>
                          <w:divBdr>
                            <w:top w:val="none" w:sz="0" w:space="0" w:color="auto"/>
                            <w:left w:val="none" w:sz="0" w:space="0" w:color="auto"/>
                            <w:bottom w:val="none" w:sz="0" w:space="0" w:color="auto"/>
                            <w:right w:val="none" w:sz="0" w:space="0" w:color="auto"/>
                          </w:divBdr>
                          <w:divsChild>
                            <w:div w:id="704864119">
                              <w:marLeft w:val="0"/>
                              <w:marRight w:val="0"/>
                              <w:marTop w:val="120"/>
                              <w:marBottom w:val="360"/>
                              <w:divBdr>
                                <w:top w:val="none" w:sz="0" w:space="0" w:color="auto"/>
                                <w:left w:val="none" w:sz="0" w:space="0" w:color="auto"/>
                                <w:bottom w:val="none" w:sz="0" w:space="0" w:color="auto"/>
                                <w:right w:val="none" w:sz="0" w:space="0" w:color="auto"/>
                              </w:divBdr>
                              <w:divsChild>
                                <w:div w:id="155994965">
                                  <w:marLeft w:val="0"/>
                                  <w:marRight w:val="0"/>
                                  <w:marTop w:val="0"/>
                                  <w:marBottom w:val="0"/>
                                  <w:divBdr>
                                    <w:top w:val="none" w:sz="0" w:space="0" w:color="auto"/>
                                    <w:left w:val="none" w:sz="0" w:space="0" w:color="auto"/>
                                    <w:bottom w:val="none" w:sz="0" w:space="0" w:color="auto"/>
                                    <w:right w:val="none" w:sz="0" w:space="0" w:color="auto"/>
                                  </w:divBdr>
                                  <w:divsChild>
                                    <w:div w:id="17394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121404">
      <w:bodyDiv w:val="1"/>
      <w:marLeft w:val="0"/>
      <w:marRight w:val="0"/>
      <w:marTop w:val="0"/>
      <w:marBottom w:val="0"/>
      <w:divBdr>
        <w:top w:val="none" w:sz="0" w:space="0" w:color="auto"/>
        <w:left w:val="none" w:sz="0" w:space="0" w:color="auto"/>
        <w:bottom w:val="none" w:sz="0" w:space="0" w:color="auto"/>
        <w:right w:val="none" w:sz="0" w:space="0" w:color="auto"/>
      </w:divBdr>
      <w:divsChild>
        <w:div w:id="822163076">
          <w:marLeft w:val="0"/>
          <w:marRight w:val="1"/>
          <w:marTop w:val="0"/>
          <w:marBottom w:val="0"/>
          <w:divBdr>
            <w:top w:val="none" w:sz="0" w:space="0" w:color="auto"/>
            <w:left w:val="none" w:sz="0" w:space="0" w:color="auto"/>
            <w:bottom w:val="none" w:sz="0" w:space="0" w:color="auto"/>
            <w:right w:val="none" w:sz="0" w:space="0" w:color="auto"/>
          </w:divBdr>
          <w:divsChild>
            <w:div w:id="871575863">
              <w:marLeft w:val="0"/>
              <w:marRight w:val="0"/>
              <w:marTop w:val="0"/>
              <w:marBottom w:val="0"/>
              <w:divBdr>
                <w:top w:val="none" w:sz="0" w:space="0" w:color="auto"/>
                <w:left w:val="none" w:sz="0" w:space="0" w:color="auto"/>
                <w:bottom w:val="none" w:sz="0" w:space="0" w:color="auto"/>
                <w:right w:val="none" w:sz="0" w:space="0" w:color="auto"/>
              </w:divBdr>
              <w:divsChild>
                <w:div w:id="1635521782">
                  <w:marLeft w:val="0"/>
                  <w:marRight w:val="1"/>
                  <w:marTop w:val="0"/>
                  <w:marBottom w:val="0"/>
                  <w:divBdr>
                    <w:top w:val="none" w:sz="0" w:space="0" w:color="auto"/>
                    <w:left w:val="none" w:sz="0" w:space="0" w:color="auto"/>
                    <w:bottom w:val="none" w:sz="0" w:space="0" w:color="auto"/>
                    <w:right w:val="none" w:sz="0" w:space="0" w:color="auto"/>
                  </w:divBdr>
                  <w:divsChild>
                    <w:div w:id="1340306212">
                      <w:marLeft w:val="0"/>
                      <w:marRight w:val="0"/>
                      <w:marTop w:val="0"/>
                      <w:marBottom w:val="0"/>
                      <w:divBdr>
                        <w:top w:val="none" w:sz="0" w:space="0" w:color="auto"/>
                        <w:left w:val="none" w:sz="0" w:space="0" w:color="auto"/>
                        <w:bottom w:val="none" w:sz="0" w:space="0" w:color="auto"/>
                        <w:right w:val="none" w:sz="0" w:space="0" w:color="auto"/>
                      </w:divBdr>
                      <w:divsChild>
                        <w:div w:id="1783761733">
                          <w:marLeft w:val="0"/>
                          <w:marRight w:val="0"/>
                          <w:marTop w:val="0"/>
                          <w:marBottom w:val="0"/>
                          <w:divBdr>
                            <w:top w:val="none" w:sz="0" w:space="0" w:color="auto"/>
                            <w:left w:val="none" w:sz="0" w:space="0" w:color="auto"/>
                            <w:bottom w:val="none" w:sz="0" w:space="0" w:color="auto"/>
                            <w:right w:val="none" w:sz="0" w:space="0" w:color="auto"/>
                          </w:divBdr>
                          <w:divsChild>
                            <w:div w:id="181095449">
                              <w:marLeft w:val="0"/>
                              <w:marRight w:val="0"/>
                              <w:marTop w:val="120"/>
                              <w:marBottom w:val="360"/>
                              <w:divBdr>
                                <w:top w:val="none" w:sz="0" w:space="0" w:color="auto"/>
                                <w:left w:val="none" w:sz="0" w:space="0" w:color="auto"/>
                                <w:bottom w:val="none" w:sz="0" w:space="0" w:color="auto"/>
                                <w:right w:val="none" w:sz="0" w:space="0" w:color="auto"/>
                              </w:divBdr>
                              <w:divsChild>
                                <w:div w:id="1996107649">
                                  <w:marLeft w:val="0"/>
                                  <w:marRight w:val="0"/>
                                  <w:marTop w:val="0"/>
                                  <w:marBottom w:val="0"/>
                                  <w:divBdr>
                                    <w:top w:val="none" w:sz="0" w:space="0" w:color="auto"/>
                                    <w:left w:val="none" w:sz="0" w:space="0" w:color="auto"/>
                                    <w:bottom w:val="none" w:sz="0" w:space="0" w:color="auto"/>
                                    <w:right w:val="none" w:sz="0" w:space="0" w:color="auto"/>
                                  </w:divBdr>
                                  <w:divsChild>
                                    <w:div w:id="11220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146495">
      <w:bodyDiv w:val="1"/>
      <w:marLeft w:val="0"/>
      <w:marRight w:val="0"/>
      <w:marTop w:val="0"/>
      <w:marBottom w:val="0"/>
      <w:divBdr>
        <w:top w:val="none" w:sz="0" w:space="0" w:color="auto"/>
        <w:left w:val="none" w:sz="0" w:space="0" w:color="auto"/>
        <w:bottom w:val="none" w:sz="0" w:space="0" w:color="auto"/>
        <w:right w:val="none" w:sz="0" w:space="0" w:color="auto"/>
      </w:divBdr>
      <w:divsChild>
        <w:div w:id="782110701">
          <w:marLeft w:val="0"/>
          <w:marRight w:val="1"/>
          <w:marTop w:val="0"/>
          <w:marBottom w:val="0"/>
          <w:divBdr>
            <w:top w:val="none" w:sz="0" w:space="0" w:color="auto"/>
            <w:left w:val="none" w:sz="0" w:space="0" w:color="auto"/>
            <w:bottom w:val="none" w:sz="0" w:space="0" w:color="auto"/>
            <w:right w:val="none" w:sz="0" w:space="0" w:color="auto"/>
          </w:divBdr>
          <w:divsChild>
            <w:div w:id="1725132021">
              <w:marLeft w:val="0"/>
              <w:marRight w:val="0"/>
              <w:marTop w:val="0"/>
              <w:marBottom w:val="0"/>
              <w:divBdr>
                <w:top w:val="none" w:sz="0" w:space="0" w:color="auto"/>
                <w:left w:val="none" w:sz="0" w:space="0" w:color="auto"/>
                <w:bottom w:val="none" w:sz="0" w:space="0" w:color="auto"/>
                <w:right w:val="none" w:sz="0" w:space="0" w:color="auto"/>
              </w:divBdr>
              <w:divsChild>
                <w:div w:id="1023437277">
                  <w:marLeft w:val="0"/>
                  <w:marRight w:val="1"/>
                  <w:marTop w:val="0"/>
                  <w:marBottom w:val="0"/>
                  <w:divBdr>
                    <w:top w:val="none" w:sz="0" w:space="0" w:color="auto"/>
                    <w:left w:val="none" w:sz="0" w:space="0" w:color="auto"/>
                    <w:bottom w:val="none" w:sz="0" w:space="0" w:color="auto"/>
                    <w:right w:val="none" w:sz="0" w:space="0" w:color="auto"/>
                  </w:divBdr>
                  <w:divsChild>
                    <w:div w:id="769204998">
                      <w:marLeft w:val="0"/>
                      <w:marRight w:val="0"/>
                      <w:marTop w:val="0"/>
                      <w:marBottom w:val="0"/>
                      <w:divBdr>
                        <w:top w:val="none" w:sz="0" w:space="0" w:color="auto"/>
                        <w:left w:val="none" w:sz="0" w:space="0" w:color="auto"/>
                        <w:bottom w:val="none" w:sz="0" w:space="0" w:color="auto"/>
                        <w:right w:val="none" w:sz="0" w:space="0" w:color="auto"/>
                      </w:divBdr>
                      <w:divsChild>
                        <w:div w:id="1658074887">
                          <w:marLeft w:val="0"/>
                          <w:marRight w:val="0"/>
                          <w:marTop w:val="0"/>
                          <w:marBottom w:val="0"/>
                          <w:divBdr>
                            <w:top w:val="none" w:sz="0" w:space="0" w:color="auto"/>
                            <w:left w:val="none" w:sz="0" w:space="0" w:color="auto"/>
                            <w:bottom w:val="none" w:sz="0" w:space="0" w:color="auto"/>
                            <w:right w:val="none" w:sz="0" w:space="0" w:color="auto"/>
                          </w:divBdr>
                          <w:divsChild>
                            <w:div w:id="1698701547">
                              <w:marLeft w:val="0"/>
                              <w:marRight w:val="0"/>
                              <w:marTop w:val="120"/>
                              <w:marBottom w:val="360"/>
                              <w:divBdr>
                                <w:top w:val="none" w:sz="0" w:space="0" w:color="auto"/>
                                <w:left w:val="none" w:sz="0" w:space="0" w:color="auto"/>
                                <w:bottom w:val="none" w:sz="0" w:space="0" w:color="auto"/>
                                <w:right w:val="none" w:sz="0" w:space="0" w:color="auto"/>
                              </w:divBdr>
                              <w:divsChild>
                                <w:div w:id="868689578">
                                  <w:marLeft w:val="0"/>
                                  <w:marRight w:val="0"/>
                                  <w:marTop w:val="0"/>
                                  <w:marBottom w:val="0"/>
                                  <w:divBdr>
                                    <w:top w:val="none" w:sz="0" w:space="0" w:color="auto"/>
                                    <w:left w:val="none" w:sz="0" w:space="0" w:color="auto"/>
                                    <w:bottom w:val="none" w:sz="0" w:space="0" w:color="auto"/>
                                    <w:right w:val="none" w:sz="0" w:space="0" w:color="auto"/>
                                  </w:divBdr>
                                  <w:divsChild>
                                    <w:div w:id="18312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692668">
      <w:bodyDiv w:val="1"/>
      <w:marLeft w:val="0"/>
      <w:marRight w:val="0"/>
      <w:marTop w:val="0"/>
      <w:marBottom w:val="0"/>
      <w:divBdr>
        <w:top w:val="none" w:sz="0" w:space="0" w:color="auto"/>
        <w:left w:val="none" w:sz="0" w:space="0" w:color="auto"/>
        <w:bottom w:val="none" w:sz="0" w:space="0" w:color="auto"/>
        <w:right w:val="none" w:sz="0" w:space="0" w:color="auto"/>
      </w:divBdr>
      <w:divsChild>
        <w:div w:id="1366835728">
          <w:marLeft w:val="0"/>
          <w:marRight w:val="1"/>
          <w:marTop w:val="0"/>
          <w:marBottom w:val="0"/>
          <w:divBdr>
            <w:top w:val="none" w:sz="0" w:space="0" w:color="auto"/>
            <w:left w:val="none" w:sz="0" w:space="0" w:color="auto"/>
            <w:bottom w:val="none" w:sz="0" w:space="0" w:color="auto"/>
            <w:right w:val="none" w:sz="0" w:space="0" w:color="auto"/>
          </w:divBdr>
          <w:divsChild>
            <w:div w:id="1543443946">
              <w:marLeft w:val="0"/>
              <w:marRight w:val="0"/>
              <w:marTop w:val="0"/>
              <w:marBottom w:val="0"/>
              <w:divBdr>
                <w:top w:val="none" w:sz="0" w:space="0" w:color="auto"/>
                <w:left w:val="none" w:sz="0" w:space="0" w:color="auto"/>
                <w:bottom w:val="none" w:sz="0" w:space="0" w:color="auto"/>
                <w:right w:val="none" w:sz="0" w:space="0" w:color="auto"/>
              </w:divBdr>
              <w:divsChild>
                <w:div w:id="2125418033">
                  <w:marLeft w:val="0"/>
                  <w:marRight w:val="1"/>
                  <w:marTop w:val="0"/>
                  <w:marBottom w:val="0"/>
                  <w:divBdr>
                    <w:top w:val="none" w:sz="0" w:space="0" w:color="auto"/>
                    <w:left w:val="none" w:sz="0" w:space="0" w:color="auto"/>
                    <w:bottom w:val="none" w:sz="0" w:space="0" w:color="auto"/>
                    <w:right w:val="none" w:sz="0" w:space="0" w:color="auto"/>
                  </w:divBdr>
                  <w:divsChild>
                    <w:div w:id="1577663649">
                      <w:marLeft w:val="0"/>
                      <w:marRight w:val="0"/>
                      <w:marTop w:val="0"/>
                      <w:marBottom w:val="0"/>
                      <w:divBdr>
                        <w:top w:val="none" w:sz="0" w:space="0" w:color="auto"/>
                        <w:left w:val="none" w:sz="0" w:space="0" w:color="auto"/>
                        <w:bottom w:val="none" w:sz="0" w:space="0" w:color="auto"/>
                        <w:right w:val="none" w:sz="0" w:space="0" w:color="auto"/>
                      </w:divBdr>
                      <w:divsChild>
                        <w:div w:id="63992165">
                          <w:marLeft w:val="0"/>
                          <w:marRight w:val="0"/>
                          <w:marTop w:val="0"/>
                          <w:marBottom w:val="0"/>
                          <w:divBdr>
                            <w:top w:val="none" w:sz="0" w:space="0" w:color="auto"/>
                            <w:left w:val="none" w:sz="0" w:space="0" w:color="auto"/>
                            <w:bottom w:val="none" w:sz="0" w:space="0" w:color="auto"/>
                            <w:right w:val="none" w:sz="0" w:space="0" w:color="auto"/>
                          </w:divBdr>
                          <w:divsChild>
                            <w:div w:id="1108542024">
                              <w:marLeft w:val="0"/>
                              <w:marRight w:val="0"/>
                              <w:marTop w:val="120"/>
                              <w:marBottom w:val="360"/>
                              <w:divBdr>
                                <w:top w:val="none" w:sz="0" w:space="0" w:color="auto"/>
                                <w:left w:val="none" w:sz="0" w:space="0" w:color="auto"/>
                                <w:bottom w:val="none" w:sz="0" w:space="0" w:color="auto"/>
                                <w:right w:val="none" w:sz="0" w:space="0" w:color="auto"/>
                              </w:divBdr>
                              <w:divsChild>
                                <w:div w:id="1277248832">
                                  <w:marLeft w:val="0"/>
                                  <w:marRight w:val="0"/>
                                  <w:marTop w:val="0"/>
                                  <w:marBottom w:val="0"/>
                                  <w:divBdr>
                                    <w:top w:val="none" w:sz="0" w:space="0" w:color="auto"/>
                                    <w:left w:val="none" w:sz="0" w:space="0" w:color="auto"/>
                                    <w:bottom w:val="none" w:sz="0" w:space="0" w:color="auto"/>
                                    <w:right w:val="none" w:sz="0" w:space="0" w:color="auto"/>
                                  </w:divBdr>
                                  <w:divsChild>
                                    <w:div w:id="11791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364601">
      <w:bodyDiv w:val="1"/>
      <w:marLeft w:val="0"/>
      <w:marRight w:val="0"/>
      <w:marTop w:val="0"/>
      <w:marBottom w:val="0"/>
      <w:divBdr>
        <w:top w:val="none" w:sz="0" w:space="0" w:color="auto"/>
        <w:left w:val="none" w:sz="0" w:space="0" w:color="auto"/>
        <w:bottom w:val="none" w:sz="0" w:space="0" w:color="auto"/>
        <w:right w:val="none" w:sz="0" w:space="0" w:color="auto"/>
      </w:divBdr>
      <w:divsChild>
        <w:div w:id="1773547850">
          <w:marLeft w:val="0"/>
          <w:marRight w:val="1"/>
          <w:marTop w:val="0"/>
          <w:marBottom w:val="0"/>
          <w:divBdr>
            <w:top w:val="none" w:sz="0" w:space="0" w:color="auto"/>
            <w:left w:val="none" w:sz="0" w:space="0" w:color="auto"/>
            <w:bottom w:val="none" w:sz="0" w:space="0" w:color="auto"/>
            <w:right w:val="none" w:sz="0" w:space="0" w:color="auto"/>
          </w:divBdr>
          <w:divsChild>
            <w:div w:id="2124418662">
              <w:marLeft w:val="0"/>
              <w:marRight w:val="0"/>
              <w:marTop w:val="0"/>
              <w:marBottom w:val="0"/>
              <w:divBdr>
                <w:top w:val="none" w:sz="0" w:space="0" w:color="auto"/>
                <w:left w:val="none" w:sz="0" w:space="0" w:color="auto"/>
                <w:bottom w:val="none" w:sz="0" w:space="0" w:color="auto"/>
                <w:right w:val="none" w:sz="0" w:space="0" w:color="auto"/>
              </w:divBdr>
              <w:divsChild>
                <w:div w:id="864514433">
                  <w:marLeft w:val="0"/>
                  <w:marRight w:val="1"/>
                  <w:marTop w:val="0"/>
                  <w:marBottom w:val="0"/>
                  <w:divBdr>
                    <w:top w:val="none" w:sz="0" w:space="0" w:color="auto"/>
                    <w:left w:val="none" w:sz="0" w:space="0" w:color="auto"/>
                    <w:bottom w:val="none" w:sz="0" w:space="0" w:color="auto"/>
                    <w:right w:val="none" w:sz="0" w:space="0" w:color="auto"/>
                  </w:divBdr>
                  <w:divsChild>
                    <w:div w:id="1098604478">
                      <w:marLeft w:val="0"/>
                      <w:marRight w:val="0"/>
                      <w:marTop w:val="0"/>
                      <w:marBottom w:val="0"/>
                      <w:divBdr>
                        <w:top w:val="none" w:sz="0" w:space="0" w:color="auto"/>
                        <w:left w:val="none" w:sz="0" w:space="0" w:color="auto"/>
                        <w:bottom w:val="none" w:sz="0" w:space="0" w:color="auto"/>
                        <w:right w:val="none" w:sz="0" w:space="0" w:color="auto"/>
                      </w:divBdr>
                      <w:divsChild>
                        <w:div w:id="1138183455">
                          <w:marLeft w:val="0"/>
                          <w:marRight w:val="0"/>
                          <w:marTop w:val="0"/>
                          <w:marBottom w:val="0"/>
                          <w:divBdr>
                            <w:top w:val="none" w:sz="0" w:space="0" w:color="auto"/>
                            <w:left w:val="none" w:sz="0" w:space="0" w:color="auto"/>
                            <w:bottom w:val="none" w:sz="0" w:space="0" w:color="auto"/>
                            <w:right w:val="none" w:sz="0" w:space="0" w:color="auto"/>
                          </w:divBdr>
                          <w:divsChild>
                            <w:div w:id="556092673">
                              <w:marLeft w:val="0"/>
                              <w:marRight w:val="0"/>
                              <w:marTop w:val="120"/>
                              <w:marBottom w:val="360"/>
                              <w:divBdr>
                                <w:top w:val="none" w:sz="0" w:space="0" w:color="auto"/>
                                <w:left w:val="none" w:sz="0" w:space="0" w:color="auto"/>
                                <w:bottom w:val="none" w:sz="0" w:space="0" w:color="auto"/>
                                <w:right w:val="none" w:sz="0" w:space="0" w:color="auto"/>
                              </w:divBdr>
                              <w:divsChild>
                                <w:div w:id="205412572">
                                  <w:marLeft w:val="0"/>
                                  <w:marRight w:val="0"/>
                                  <w:marTop w:val="0"/>
                                  <w:marBottom w:val="0"/>
                                  <w:divBdr>
                                    <w:top w:val="none" w:sz="0" w:space="0" w:color="auto"/>
                                    <w:left w:val="none" w:sz="0" w:space="0" w:color="auto"/>
                                    <w:bottom w:val="none" w:sz="0" w:space="0" w:color="auto"/>
                                    <w:right w:val="none" w:sz="0" w:space="0" w:color="auto"/>
                                  </w:divBdr>
                                  <w:divsChild>
                                    <w:div w:id="20134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479730">
      <w:bodyDiv w:val="1"/>
      <w:marLeft w:val="0"/>
      <w:marRight w:val="0"/>
      <w:marTop w:val="0"/>
      <w:marBottom w:val="0"/>
      <w:divBdr>
        <w:top w:val="none" w:sz="0" w:space="0" w:color="auto"/>
        <w:left w:val="none" w:sz="0" w:space="0" w:color="auto"/>
        <w:bottom w:val="none" w:sz="0" w:space="0" w:color="auto"/>
        <w:right w:val="none" w:sz="0" w:space="0" w:color="auto"/>
      </w:divBdr>
      <w:divsChild>
        <w:div w:id="1398045147">
          <w:marLeft w:val="0"/>
          <w:marRight w:val="1"/>
          <w:marTop w:val="0"/>
          <w:marBottom w:val="0"/>
          <w:divBdr>
            <w:top w:val="none" w:sz="0" w:space="0" w:color="auto"/>
            <w:left w:val="none" w:sz="0" w:space="0" w:color="auto"/>
            <w:bottom w:val="none" w:sz="0" w:space="0" w:color="auto"/>
            <w:right w:val="none" w:sz="0" w:space="0" w:color="auto"/>
          </w:divBdr>
          <w:divsChild>
            <w:div w:id="1078211406">
              <w:marLeft w:val="0"/>
              <w:marRight w:val="0"/>
              <w:marTop w:val="0"/>
              <w:marBottom w:val="0"/>
              <w:divBdr>
                <w:top w:val="none" w:sz="0" w:space="0" w:color="auto"/>
                <w:left w:val="none" w:sz="0" w:space="0" w:color="auto"/>
                <w:bottom w:val="none" w:sz="0" w:space="0" w:color="auto"/>
                <w:right w:val="none" w:sz="0" w:space="0" w:color="auto"/>
              </w:divBdr>
              <w:divsChild>
                <w:div w:id="933368568">
                  <w:marLeft w:val="0"/>
                  <w:marRight w:val="1"/>
                  <w:marTop w:val="0"/>
                  <w:marBottom w:val="0"/>
                  <w:divBdr>
                    <w:top w:val="none" w:sz="0" w:space="0" w:color="auto"/>
                    <w:left w:val="none" w:sz="0" w:space="0" w:color="auto"/>
                    <w:bottom w:val="none" w:sz="0" w:space="0" w:color="auto"/>
                    <w:right w:val="none" w:sz="0" w:space="0" w:color="auto"/>
                  </w:divBdr>
                  <w:divsChild>
                    <w:div w:id="989868564">
                      <w:marLeft w:val="0"/>
                      <w:marRight w:val="0"/>
                      <w:marTop w:val="0"/>
                      <w:marBottom w:val="0"/>
                      <w:divBdr>
                        <w:top w:val="none" w:sz="0" w:space="0" w:color="auto"/>
                        <w:left w:val="none" w:sz="0" w:space="0" w:color="auto"/>
                        <w:bottom w:val="none" w:sz="0" w:space="0" w:color="auto"/>
                        <w:right w:val="none" w:sz="0" w:space="0" w:color="auto"/>
                      </w:divBdr>
                      <w:divsChild>
                        <w:div w:id="1338539355">
                          <w:marLeft w:val="0"/>
                          <w:marRight w:val="0"/>
                          <w:marTop w:val="0"/>
                          <w:marBottom w:val="0"/>
                          <w:divBdr>
                            <w:top w:val="none" w:sz="0" w:space="0" w:color="auto"/>
                            <w:left w:val="none" w:sz="0" w:space="0" w:color="auto"/>
                            <w:bottom w:val="none" w:sz="0" w:space="0" w:color="auto"/>
                            <w:right w:val="none" w:sz="0" w:space="0" w:color="auto"/>
                          </w:divBdr>
                          <w:divsChild>
                            <w:div w:id="131825004">
                              <w:marLeft w:val="0"/>
                              <w:marRight w:val="0"/>
                              <w:marTop w:val="120"/>
                              <w:marBottom w:val="360"/>
                              <w:divBdr>
                                <w:top w:val="none" w:sz="0" w:space="0" w:color="auto"/>
                                <w:left w:val="none" w:sz="0" w:space="0" w:color="auto"/>
                                <w:bottom w:val="none" w:sz="0" w:space="0" w:color="auto"/>
                                <w:right w:val="none" w:sz="0" w:space="0" w:color="auto"/>
                              </w:divBdr>
                              <w:divsChild>
                                <w:div w:id="1000355130">
                                  <w:marLeft w:val="0"/>
                                  <w:marRight w:val="0"/>
                                  <w:marTop w:val="0"/>
                                  <w:marBottom w:val="0"/>
                                  <w:divBdr>
                                    <w:top w:val="none" w:sz="0" w:space="0" w:color="auto"/>
                                    <w:left w:val="none" w:sz="0" w:space="0" w:color="auto"/>
                                    <w:bottom w:val="none" w:sz="0" w:space="0" w:color="auto"/>
                                    <w:right w:val="none" w:sz="0" w:space="0" w:color="auto"/>
                                  </w:divBdr>
                                  <w:divsChild>
                                    <w:div w:id="3914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37</Pages>
  <Words>7858</Words>
  <Characters>44795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Cleveland Clinic</Company>
  <LinksUpToDate>false</LinksUpToDate>
  <CharactersWithSpaces>52548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Flocco, Gianina</dc:creator>
  <cp:keywords/>
  <dc:description/>
  <cp:lastModifiedBy>Na Ma</cp:lastModifiedBy>
  <cp:revision>2</cp:revision>
  <dcterms:created xsi:type="dcterms:W3CDTF">2020-05-20T04:06:00Z</dcterms:created>
  <dcterms:modified xsi:type="dcterms:W3CDTF">2020-05-20T04:06:00Z</dcterms:modified>
</cp:coreProperties>
</file>