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12BD" w14:textId="77777777" w:rsidR="00676618" w:rsidRPr="00072AEC" w:rsidRDefault="00676618" w:rsidP="00072AEC">
      <w:pPr>
        <w:snapToGrid w:val="0"/>
        <w:spacing w:line="360" w:lineRule="auto"/>
        <w:rPr>
          <w:rFonts w:ascii="Book Antiqua" w:hAnsi="Book Antiqua"/>
          <w:i/>
          <w:iCs/>
          <w:sz w:val="20"/>
          <w:szCs w:val="20"/>
        </w:rPr>
      </w:pPr>
      <w:bookmarkStart w:id="0" w:name="_Hlk536724352"/>
      <w:bookmarkStart w:id="1" w:name="_Hlk25610348"/>
      <w:r w:rsidRPr="00072AEC">
        <w:rPr>
          <w:rFonts w:ascii="Book Antiqua" w:hAnsi="Book Antiqua"/>
          <w:b/>
          <w:sz w:val="20"/>
          <w:szCs w:val="20"/>
        </w:rPr>
        <w:t>Name of Journal:</w:t>
      </w:r>
      <w:r w:rsidRPr="00072AEC">
        <w:rPr>
          <w:rFonts w:ascii="Book Antiqua" w:hAnsi="Book Antiqua"/>
          <w:sz w:val="20"/>
          <w:szCs w:val="20"/>
        </w:rPr>
        <w:t xml:space="preserve"> </w:t>
      </w:r>
      <w:bookmarkStart w:id="2" w:name="OLE_LINK5"/>
      <w:r w:rsidRPr="00072AEC">
        <w:rPr>
          <w:rFonts w:ascii="Book Antiqua" w:hAnsi="Book Antiqua"/>
          <w:i/>
          <w:iCs/>
          <w:sz w:val="20"/>
          <w:szCs w:val="20"/>
        </w:rPr>
        <w:t>World Journal of Clinical Cases</w:t>
      </w:r>
      <w:bookmarkEnd w:id="2"/>
    </w:p>
    <w:p w14:paraId="0939C916" w14:textId="5E1E5042" w:rsidR="00676618" w:rsidRPr="00072AEC" w:rsidRDefault="00676618" w:rsidP="00072AEC">
      <w:pPr>
        <w:snapToGrid w:val="0"/>
        <w:spacing w:line="360" w:lineRule="auto"/>
        <w:rPr>
          <w:rFonts w:ascii="Book Antiqua" w:hAnsi="Book Antiqua"/>
          <w:b/>
          <w:bCs/>
          <w:sz w:val="20"/>
          <w:szCs w:val="20"/>
        </w:rPr>
      </w:pPr>
      <w:r w:rsidRPr="00072AEC">
        <w:rPr>
          <w:rFonts w:ascii="Book Antiqua" w:hAnsi="Book Antiqua"/>
          <w:b/>
          <w:bCs/>
          <w:sz w:val="20"/>
          <w:szCs w:val="20"/>
        </w:rPr>
        <w:t xml:space="preserve">Manuscript NO: </w:t>
      </w:r>
      <w:r w:rsidR="00FD167C" w:rsidRPr="00072AEC">
        <w:rPr>
          <w:rFonts w:ascii="Book Antiqua" w:hAnsi="Book Antiqua"/>
          <w:sz w:val="20"/>
          <w:szCs w:val="20"/>
        </w:rPr>
        <w:t>53922</w:t>
      </w:r>
    </w:p>
    <w:p w14:paraId="08E3FE1A" w14:textId="4BF9E9B0"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b/>
          <w:sz w:val="20"/>
          <w:szCs w:val="20"/>
        </w:rPr>
        <w:t>Manuscript Type:</w:t>
      </w:r>
      <w:r w:rsidRPr="00072AEC">
        <w:rPr>
          <w:rFonts w:ascii="Book Antiqua" w:hAnsi="Book Antiqua"/>
          <w:sz w:val="20"/>
          <w:szCs w:val="20"/>
        </w:rPr>
        <w:t xml:space="preserve"> REVIEW</w:t>
      </w:r>
    </w:p>
    <w:p w14:paraId="2D97EC42" w14:textId="09A0C0FA" w:rsidR="00676618" w:rsidRPr="00072AEC" w:rsidRDefault="00676618" w:rsidP="00072AEC">
      <w:pPr>
        <w:snapToGrid w:val="0"/>
        <w:spacing w:line="360" w:lineRule="auto"/>
        <w:rPr>
          <w:rFonts w:ascii="Book Antiqua" w:hAnsi="Book Antiqua"/>
          <w:sz w:val="20"/>
          <w:szCs w:val="20"/>
        </w:rPr>
      </w:pPr>
    </w:p>
    <w:p w14:paraId="384F7E63" w14:textId="36CCBA2E" w:rsidR="00676618" w:rsidRPr="00072AEC" w:rsidRDefault="00676618" w:rsidP="00072AEC">
      <w:pPr>
        <w:snapToGrid w:val="0"/>
        <w:spacing w:line="360" w:lineRule="auto"/>
        <w:rPr>
          <w:rFonts w:ascii="Book Antiqua" w:hAnsi="Book Antiqua"/>
          <w:b/>
          <w:sz w:val="20"/>
          <w:szCs w:val="20"/>
        </w:rPr>
      </w:pPr>
      <w:r w:rsidRPr="00072AEC">
        <w:rPr>
          <w:rFonts w:ascii="Book Antiqua" w:hAnsi="Book Antiqua"/>
          <w:b/>
          <w:sz w:val="20"/>
          <w:szCs w:val="20"/>
        </w:rPr>
        <w:t xml:space="preserve">Macrophage </w:t>
      </w:r>
      <w:r w:rsidR="00FD167C" w:rsidRPr="00072AEC">
        <w:rPr>
          <w:rFonts w:ascii="Book Antiqua" w:hAnsi="Book Antiqua"/>
          <w:b/>
          <w:sz w:val="20"/>
          <w:szCs w:val="20"/>
        </w:rPr>
        <w:t xml:space="preserve">regulation of </w:t>
      </w:r>
      <w:r w:rsidR="00CC6A68" w:rsidRPr="00072AEC">
        <w:rPr>
          <w:rFonts w:ascii="Book Antiqua" w:hAnsi="Book Antiqua"/>
          <w:b/>
          <w:iCs/>
          <w:sz w:val="20"/>
          <w:szCs w:val="20"/>
        </w:rPr>
        <w:t>graft-</w:t>
      </w:r>
      <w:r w:rsidR="00CC6A68" w:rsidRPr="00072AEC">
        <w:rPr>
          <w:rFonts w:ascii="Book Antiqua" w:hAnsi="Book Antiqua"/>
          <w:b/>
          <w:i/>
          <w:sz w:val="20"/>
          <w:szCs w:val="20"/>
        </w:rPr>
        <w:t>vs</w:t>
      </w:r>
      <w:r w:rsidR="00CC6A68" w:rsidRPr="00072AEC">
        <w:rPr>
          <w:rFonts w:ascii="Book Antiqua" w:hAnsi="Book Antiqua"/>
          <w:b/>
          <w:iCs/>
          <w:sz w:val="20"/>
          <w:szCs w:val="20"/>
        </w:rPr>
        <w:t>-host</w:t>
      </w:r>
      <w:r w:rsidR="00FD167C" w:rsidRPr="00072AEC">
        <w:rPr>
          <w:rFonts w:ascii="Book Antiqua" w:hAnsi="Book Antiqua"/>
          <w:b/>
          <w:sz w:val="20"/>
          <w:szCs w:val="20"/>
        </w:rPr>
        <w:t xml:space="preserve"> disease</w:t>
      </w:r>
    </w:p>
    <w:p w14:paraId="5CB070B5" w14:textId="77777777" w:rsidR="00676618" w:rsidRPr="00072AEC" w:rsidRDefault="00676618" w:rsidP="00072AEC">
      <w:pPr>
        <w:snapToGrid w:val="0"/>
        <w:spacing w:line="360" w:lineRule="auto"/>
        <w:rPr>
          <w:rFonts w:ascii="Book Antiqua" w:hAnsi="Book Antiqua"/>
          <w:sz w:val="20"/>
          <w:szCs w:val="20"/>
        </w:rPr>
      </w:pPr>
    </w:p>
    <w:p w14:paraId="77E0BA4D" w14:textId="7D3E7ECA"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sz w:val="20"/>
          <w:szCs w:val="20"/>
        </w:rPr>
        <w:t>Hong</w:t>
      </w:r>
      <w:r w:rsidR="00FD167C" w:rsidRPr="00072AEC">
        <w:rPr>
          <w:rFonts w:ascii="Book Antiqua" w:hAnsi="Book Antiqua"/>
          <w:sz w:val="20"/>
          <w:szCs w:val="20"/>
        </w:rPr>
        <w:t xml:space="preserve"> YQ</w:t>
      </w:r>
      <w:r w:rsidRPr="00072AEC">
        <w:rPr>
          <w:rFonts w:ascii="Book Antiqua" w:hAnsi="Book Antiqua"/>
          <w:sz w:val="20"/>
          <w:szCs w:val="20"/>
        </w:rPr>
        <w:t xml:space="preserve"> </w:t>
      </w:r>
      <w:r w:rsidRPr="00072AEC">
        <w:rPr>
          <w:rFonts w:ascii="Book Antiqua" w:hAnsi="Book Antiqua"/>
          <w:i/>
          <w:iCs/>
          <w:sz w:val="20"/>
          <w:szCs w:val="20"/>
        </w:rPr>
        <w:t>et al</w:t>
      </w:r>
      <w:r w:rsidRPr="00072AEC">
        <w:rPr>
          <w:rFonts w:ascii="Book Antiqua" w:hAnsi="Book Antiqua"/>
          <w:sz w:val="20"/>
          <w:szCs w:val="20"/>
        </w:rPr>
        <w:t>. Macrophage in GVHD</w:t>
      </w:r>
    </w:p>
    <w:p w14:paraId="0358010E" w14:textId="61138C88" w:rsidR="00676618" w:rsidRPr="00072AEC" w:rsidRDefault="00676618" w:rsidP="00072AEC">
      <w:pPr>
        <w:snapToGrid w:val="0"/>
        <w:spacing w:line="360" w:lineRule="auto"/>
        <w:rPr>
          <w:rFonts w:ascii="Book Antiqua" w:hAnsi="Book Antiqua"/>
          <w:sz w:val="20"/>
          <w:szCs w:val="20"/>
        </w:rPr>
      </w:pPr>
    </w:p>
    <w:p w14:paraId="622D2AE9" w14:textId="77777777"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sz w:val="20"/>
          <w:szCs w:val="20"/>
        </w:rPr>
        <w:t>Ya-Qun Hong, Bo Wan, Xiao-Fan Li</w:t>
      </w:r>
    </w:p>
    <w:p w14:paraId="79D408A7" w14:textId="77777777" w:rsidR="00676618" w:rsidRPr="00072AEC" w:rsidRDefault="00676618" w:rsidP="00072AEC">
      <w:pPr>
        <w:snapToGrid w:val="0"/>
        <w:spacing w:line="360" w:lineRule="auto"/>
        <w:rPr>
          <w:rFonts w:ascii="Book Antiqua" w:hAnsi="Book Antiqua"/>
          <w:sz w:val="20"/>
          <w:szCs w:val="20"/>
        </w:rPr>
      </w:pPr>
    </w:p>
    <w:p w14:paraId="565CF0F8" w14:textId="5EB1100A"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b/>
          <w:sz w:val="20"/>
          <w:szCs w:val="20"/>
        </w:rPr>
        <w:t xml:space="preserve">Ya-Qun Hong, Xiao-Fan Li, </w:t>
      </w:r>
      <w:r w:rsidRPr="00072AEC">
        <w:rPr>
          <w:rFonts w:ascii="Book Antiqua" w:hAnsi="Book Antiqua"/>
          <w:sz w:val="20"/>
          <w:szCs w:val="20"/>
        </w:rPr>
        <w:t xml:space="preserve">Fujian Institute of Hematology, Fujian Provincial Key Laboratory on Hematology, Department of Hematology, Fujian Medical University Union Hospital, Fuzhou 350000, </w:t>
      </w:r>
      <w:r w:rsidR="00FD167C" w:rsidRPr="00072AEC">
        <w:rPr>
          <w:rFonts w:ascii="Book Antiqua" w:hAnsi="Book Antiqua"/>
          <w:sz w:val="20"/>
          <w:szCs w:val="20"/>
        </w:rPr>
        <w:t xml:space="preserve">Fujian Province, </w:t>
      </w:r>
      <w:r w:rsidRPr="00072AEC">
        <w:rPr>
          <w:rFonts w:ascii="Book Antiqua" w:hAnsi="Book Antiqua"/>
          <w:sz w:val="20"/>
          <w:szCs w:val="20"/>
        </w:rPr>
        <w:t>China</w:t>
      </w:r>
    </w:p>
    <w:p w14:paraId="46952F23" w14:textId="77777777"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sz w:val="20"/>
          <w:szCs w:val="20"/>
        </w:rPr>
        <w:t xml:space="preserve"> </w:t>
      </w:r>
    </w:p>
    <w:p w14:paraId="643E31C5" w14:textId="5D04FEF4"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b/>
          <w:sz w:val="20"/>
          <w:szCs w:val="20"/>
        </w:rPr>
        <w:t xml:space="preserve">Xiao-Fan Li, </w:t>
      </w:r>
      <w:r w:rsidRPr="00072AEC">
        <w:rPr>
          <w:rFonts w:ascii="Book Antiqua" w:hAnsi="Book Antiqua"/>
          <w:sz w:val="20"/>
          <w:szCs w:val="20"/>
        </w:rPr>
        <w:t>INSERM U1160, Ho</w:t>
      </w:r>
      <w:r w:rsidR="00594AA2">
        <w:rPr>
          <w:rFonts w:ascii="Book Antiqua" w:hAnsi="Book Antiqua"/>
          <w:sz w:val="20"/>
          <w:szCs w:val="20"/>
        </w:rPr>
        <w:t>s</w:t>
      </w:r>
      <w:r w:rsidRPr="00072AEC">
        <w:rPr>
          <w:rFonts w:ascii="Book Antiqua" w:hAnsi="Book Antiqua"/>
          <w:sz w:val="20"/>
          <w:szCs w:val="20"/>
        </w:rPr>
        <w:t>pital Saint Louis, Université Paris Diderot, Paris</w:t>
      </w:r>
      <w:r w:rsidR="000010DF" w:rsidRPr="00072AEC">
        <w:rPr>
          <w:rFonts w:ascii="Book Antiqua" w:hAnsi="Book Antiqua"/>
          <w:sz w:val="20"/>
          <w:szCs w:val="20"/>
        </w:rPr>
        <w:t xml:space="preserve"> 94430</w:t>
      </w:r>
      <w:r w:rsidRPr="00072AEC">
        <w:rPr>
          <w:rFonts w:ascii="Book Antiqua" w:hAnsi="Book Antiqua"/>
          <w:sz w:val="20"/>
          <w:szCs w:val="20"/>
        </w:rPr>
        <w:t>, France</w:t>
      </w:r>
    </w:p>
    <w:p w14:paraId="41084D86" w14:textId="49C146FE" w:rsidR="00676618" w:rsidRPr="00072AEC" w:rsidRDefault="00676618" w:rsidP="00072AEC">
      <w:pPr>
        <w:snapToGrid w:val="0"/>
        <w:spacing w:line="360" w:lineRule="auto"/>
        <w:rPr>
          <w:rFonts w:ascii="Book Antiqua" w:hAnsi="Book Antiqua"/>
          <w:sz w:val="20"/>
          <w:szCs w:val="20"/>
        </w:rPr>
      </w:pPr>
    </w:p>
    <w:p w14:paraId="7692EA4A" w14:textId="626E1258"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b/>
          <w:sz w:val="20"/>
          <w:szCs w:val="20"/>
        </w:rPr>
        <w:t>Bo Wan,</w:t>
      </w:r>
      <w:r w:rsidRPr="00072AEC">
        <w:rPr>
          <w:rFonts w:ascii="Book Antiqua" w:hAnsi="Book Antiqua"/>
          <w:sz w:val="20"/>
          <w:szCs w:val="20"/>
        </w:rPr>
        <w:t xml:space="preserve"> Faculty of Life Sciences and Medicine, King’s College London, London</w:t>
      </w:r>
      <w:r w:rsidR="00FD167C" w:rsidRPr="00072AEC">
        <w:rPr>
          <w:rFonts w:ascii="Book Antiqua" w:hAnsi="Book Antiqua"/>
          <w:sz w:val="20"/>
          <w:szCs w:val="20"/>
        </w:rPr>
        <w:t xml:space="preserve"> WC1N 3BG</w:t>
      </w:r>
      <w:r w:rsidRPr="00072AEC">
        <w:rPr>
          <w:rFonts w:ascii="Book Antiqua" w:hAnsi="Book Antiqua"/>
          <w:sz w:val="20"/>
          <w:szCs w:val="20"/>
        </w:rPr>
        <w:t xml:space="preserve">, </w:t>
      </w:r>
      <w:r w:rsidR="00FD167C" w:rsidRPr="00072AEC">
        <w:rPr>
          <w:rFonts w:ascii="Book Antiqua" w:hAnsi="Book Antiqua"/>
          <w:sz w:val="20"/>
          <w:szCs w:val="20"/>
        </w:rPr>
        <w:t>United Kingdom</w:t>
      </w:r>
    </w:p>
    <w:p w14:paraId="749520A5" w14:textId="763DB2A3" w:rsidR="00676618" w:rsidRPr="00072AEC" w:rsidRDefault="00676618" w:rsidP="00072AEC">
      <w:pPr>
        <w:snapToGrid w:val="0"/>
        <w:spacing w:line="360" w:lineRule="auto"/>
        <w:rPr>
          <w:rFonts w:ascii="Book Antiqua" w:hAnsi="Book Antiqua"/>
          <w:sz w:val="20"/>
          <w:szCs w:val="20"/>
        </w:rPr>
      </w:pPr>
    </w:p>
    <w:p w14:paraId="18123FB2" w14:textId="556A2972" w:rsidR="00676618" w:rsidRPr="00072AEC" w:rsidRDefault="00CC7465" w:rsidP="00072AEC">
      <w:pPr>
        <w:snapToGrid w:val="0"/>
        <w:spacing w:line="360" w:lineRule="auto"/>
        <w:rPr>
          <w:rFonts w:ascii="Book Antiqua" w:hAnsi="Book Antiqua"/>
          <w:sz w:val="20"/>
          <w:szCs w:val="20"/>
        </w:rPr>
      </w:pPr>
      <w:r w:rsidRPr="00072AEC">
        <w:rPr>
          <w:rFonts w:ascii="Book Antiqua" w:hAnsi="Book Antiqua"/>
          <w:b/>
          <w:sz w:val="20"/>
          <w:szCs w:val="20"/>
        </w:rPr>
        <w:t>Author contributions:</w:t>
      </w:r>
      <w:r w:rsidR="00676618" w:rsidRPr="00072AEC">
        <w:rPr>
          <w:rFonts w:ascii="Book Antiqua" w:hAnsi="Book Antiqua"/>
          <w:sz w:val="20"/>
          <w:szCs w:val="20"/>
        </w:rPr>
        <w:t xml:space="preserve"> All authors equally contributed to this paper with conception and design of the study, literature review and analysis, drafting and critical revision and editing, and final approval of the final version.</w:t>
      </w:r>
    </w:p>
    <w:p w14:paraId="0F225CEB" w14:textId="77777777"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sz w:val="20"/>
          <w:szCs w:val="20"/>
        </w:rPr>
        <w:t xml:space="preserve"> </w:t>
      </w:r>
    </w:p>
    <w:p w14:paraId="34536143" w14:textId="5B2F0CAE" w:rsidR="00676618" w:rsidRPr="00072AEC" w:rsidRDefault="00CC7465" w:rsidP="00072AEC">
      <w:pPr>
        <w:snapToGrid w:val="0"/>
        <w:spacing w:line="360" w:lineRule="auto"/>
        <w:rPr>
          <w:rFonts w:ascii="Book Antiqua" w:hAnsi="Book Antiqua"/>
          <w:b/>
          <w:sz w:val="20"/>
          <w:szCs w:val="20"/>
        </w:rPr>
      </w:pPr>
      <w:r w:rsidRPr="00072AEC">
        <w:rPr>
          <w:rFonts w:ascii="Book Antiqua" w:hAnsi="Book Antiqua"/>
          <w:b/>
          <w:sz w:val="20"/>
          <w:szCs w:val="20"/>
        </w:rPr>
        <w:t xml:space="preserve">Supported by </w:t>
      </w:r>
      <w:r w:rsidR="00676618" w:rsidRPr="00072AEC">
        <w:rPr>
          <w:rFonts w:ascii="Book Antiqua" w:hAnsi="Book Antiqua"/>
          <w:sz w:val="20"/>
          <w:szCs w:val="20"/>
        </w:rPr>
        <w:t>Youth Project of National Natural Science Foundation</w:t>
      </w:r>
      <w:r w:rsidR="00CC6A68" w:rsidRPr="00072AEC">
        <w:rPr>
          <w:rFonts w:ascii="Book Antiqua" w:hAnsi="Book Antiqua"/>
          <w:sz w:val="20"/>
          <w:szCs w:val="20"/>
        </w:rPr>
        <w:t>,</w:t>
      </w:r>
      <w:r w:rsidR="00676618" w:rsidRPr="00072AEC">
        <w:rPr>
          <w:rFonts w:ascii="Book Antiqua" w:hAnsi="Book Antiqua"/>
          <w:sz w:val="20"/>
          <w:szCs w:val="20"/>
        </w:rPr>
        <w:t xml:space="preserve"> No. 81200400</w:t>
      </w:r>
      <w:r w:rsidR="00CC6A68" w:rsidRPr="00072AEC">
        <w:rPr>
          <w:rFonts w:ascii="Book Antiqua" w:hAnsi="Book Antiqua"/>
          <w:sz w:val="20"/>
          <w:szCs w:val="20"/>
        </w:rPr>
        <w:t xml:space="preserve">; </w:t>
      </w:r>
      <w:r w:rsidR="00676618" w:rsidRPr="00072AEC">
        <w:rPr>
          <w:rFonts w:ascii="Book Antiqua" w:hAnsi="Book Antiqua"/>
          <w:sz w:val="20"/>
          <w:szCs w:val="20"/>
        </w:rPr>
        <w:t>National Social Science Foundation</w:t>
      </w:r>
      <w:r w:rsidR="00CC6A68" w:rsidRPr="00072AEC">
        <w:rPr>
          <w:rFonts w:ascii="Book Antiqua" w:hAnsi="Book Antiqua"/>
          <w:sz w:val="20"/>
          <w:szCs w:val="20"/>
        </w:rPr>
        <w:t>,</w:t>
      </w:r>
      <w:r w:rsidR="00676618" w:rsidRPr="00072AEC">
        <w:rPr>
          <w:rFonts w:ascii="Book Antiqua" w:hAnsi="Book Antiqua"/>
          <w:sz w:val="20"/>
          <w:szCs w:val="20"/>
        </w:rPr>
        <w:t xml:space="preserve"> No. 14CFX031</w:t>
      </w:r>
      <w:r w:rsidR="00CC6A68" w:rsidRPr="00072AEC">
        <w:rPr>
          <w:rFonts w:ascii="Book Antiqua" w:hAnsi="Book Antiqua"/>
          <w:sz w:val="20"/>
          <w:szCs w:val="20"/>
        </w:rPr>
        <w:t>;</w:t>
      </w:r>
      <w:r w:rsidR="00676618" w:rsidRPr="00072AEC">
        <w:rPr>
          <w:rFonts w:ascii="Book Antiqua" w:hAnsi="Book Antiqua"/>
          <w:sz w:val="20"/>
          <w:szCs w:val="20"/>
        </w:rPr>
        <w:t xml:space="preserve"> </w:t>
      </w:r>
      <w:r w:rsidR="00CC6A68" w:rsidRPr="00072AEC">
        <w:rPr>
          <w:rFonts w:ascii="Book Antiqua" w:hAnsi="Book Antiqua"/>
          <w:sz w:val="20"/>
          <w:szCs w:val="20"/>
        </w:rPr>
        <w:t>Top</w:t>
      </w:r>
      <w:r w:rsidR="00676618" w:rsidRPr="00072AEC">
        <w:rPr>
          <w:rFonts w:ascii="Book Antiqua" w:hAnsi="Book Antiqua"/>
          <w:sz w:val="20"/>
          <w:szCs w:val="20"/>
        </w:rPr>
        <w:t>-</w:t>
      </w:r>
      <w:r w:rsidR="00CC6A68" w:rsidRPr="00072AEC">
        <w:rPr>
          <w:rFonts w:ascii="Book Antiqua" w:hAnsi="Book Antiqua"/>
          <w:sz w:val="20"/>
          <w:szCs w:val="20"/>
        </w:rPr>
        <w:t xml:space="preserve">Notch Innovative Talents Project </w:t>
      </w:r>
      <w:r w:rsidR="00676618" w:rsidRPr="00072AEC">
        <w:rPr>
          <w:rFonts w:ascii="Book Antiqua" w:hAnsi="Book Antiqua"/>
          <w:sz w:val="20"/>
          <w:szCs w:val="20"/>
        </w:rPr>
        <w:t xml:space="preserve">and Fujian </w:t>
      </w:r>
      <w:r w:rsidR="00CC6A68" w:rsidRPr="00072AEC">
        <w:rPr>
          <w:rFonts w:ascii="Book Antiqua" w:hAnsi="Book Antiqua"/>
          <w:sz w:val="20"/>
          <w:szCs w:val="20"/>
        </w:rPr>
        <w:t xml:space="preserve">Project, No. </w:t>
      </w:r>
      <w:r w:rsidR="00676618" w:rsidRPr="00072AEC">
        <w:rPr>
          <w:rFonts w:ascii="Book Antiqua" w:hAnsi="Book Antiqua"/>
          <w:sz w:val="20"/>
          <w:szCs w:val="20"/>
        </w:rPr>
        <w:t>2016Y9025</w:t>
      </w:r>
      <w:r w:rsidR="00CC6A68" w:rsidRPr="00072AEC">
        <w:rPr>
          <w:rFonts w:ascii="Book Antiqua" w:hAnsi="Book Antiqua"/>
          <w:sz w:val="20"/>
          <w:szCs w:val="20"/>
        </w:rPr>
        <w:t>, No.</w:t>
      </w:r>
      <w:r w:rsidR="00676618" w:rsidRPr="00072AEC">
        <w:rPr>
          <w:rFonts w:ascii="Book Antiqua" w:hAnsi="Book Antiqua"/>
          <w:sz w:val="20"/>
          <w:szCs w:val="20"/>
        </w:rPr>
        <w:t xml:space="preserve"> 2016J06018 </w:t>
      </w:r>
      <w:r w:rsidR="00CC6A68" w:rsidRPr="00072AEC">
        <w:rPr>
          <w:rFonts w:ascii="Book Antiqua" w:hAnsi="Book Antiqua"/>
          <w:sz w:val="20"/>
          <w:szCs w:val="20"/>
        </w:rPr>
        <w:t xml:space="preserve">and No. </w:t>
      </w:r>
      <w:r w:rsidR="00676618" w:rsidRPr="00072AEC">
        <w:rPr>
          <w:rFonts w:ascii="Book Antiqua" w:hAnsi="Book Antiqua"/>
          <w:sz w:val="20"/>
          <w:szCs w:val="20"/>
        </w:rPr>
        <w:t xml:space="preserve">2017I0004; Fujian Medical University </w:t>
      </w:r>
      <w:r w:rsidR="00CC6A68" w:rsidRPr="00072AEC">
        <w:rPr>
          <w:rFonts w:ascii="Book Antiqua" w:hAnsi="Book Antiqua"/>
          <w:sz w:val="20"/>
          <w:szCs w:val="20"/>
        </w:rPr>
        <w:t>Teaching Reform Project,</w:t>
      </w:r>
      <w:r w:rsidR="00676618" w:rsidRPr="00072AEC">
        <w:rPr>
          <w:rFonts w:ascii="Book Antiqua" w:hAnsi="Book Antiqua"/>
          <w:sz w:val="20"/>
          <w:szCs w:val="20"/>
        </w:rPr>
        <w:t xml:space="preserve"> </w:t>
      </w:r>
      <w:r w:rsidR="00CC6A68" w:rsidRPr="00072AEC">
        <w:rPr>
          <w:rFonts w:ascii="Book Antiqua" w:hAnsi="Book Antiqua"/>
          <w:sz w:val="20"/>
          <w:szCs w:val="20"/>
        </w:rPr>
        <w:t xml:space="preserve">No. </w:t>
      </w:r>
      <w:r w:rsidR="00676618" w:rsidRPr="00072AEC">
        <w:rPr>
          <w:rFonts w:ascii="Book Antiqua" w:hAnsi="Book Antiqua"/>
          <w:sz w:val="20"/>
          <w:szCs w:val="20"/>
        </w:rPr>
        <w:t>Y17005</w:t>
      </w:r>
      <w:r w:rsidR="00CC6A68" w:rsidRPr="00072AEC">
        <w:rPr>
          <w:rFonts w:ascii="Book Antiqua" w:hAnsi="Book Antiqua"/>
          <w:sz w:val="20"/>
          <w:szCs w:val="20"/>
        </w:rPr>
        <w:t>;</w:t>
      </w:r>
      <w:r w:rsidR="00676618" w:rsidRPr="00072AEC">
        <w:rPr>
          <w:rFonts w:ascii="Book Antiqua" w:hAnsi="Book Antiqua"/>
          <w:sz w:val="20"/>
          <w:szCs w:val="20"/>
        </w:rPr>
        <w:t xml:space="preserve"> and Fujian Provincial Health and Family </w:t>
      </w:r>
      <w:r w:rsidR="00CC6A68" w:rsidRPr="00072AEC">
        <w:rPr>
          <w:rFonts w:ascii="Book Antiqua" w:hAnsi="Book Antiqua"/>
          <w:sz w:val="20"/>
          <w:szCs w:val="20"/>
        </w:rPr>
        <w:t xml:space="preserve">Planning </w:t>
      </w:r>
      <w:r w:rsidR="00676618" w:rsidRPr="00072AEC">
        <w:rPr>
          <w:rFonts w:ascii="Book Antiqua" w:hAnsi="Book Antiqua"/>
          <w:sz w:val="20"/>
          <w:szCs w:val="20"/>
        </w:rPr>
        <w:t>Commission Youth Research Project</w:t>
      </w:r>
      <w:r w:rsidR="00CC6A68" w:rsidRPr="00072AEC">
        <w:rPr>
          <w:rFonts w:ascii="Book Antiqua" w:hAnsi="Book Antiqua"/>
          <w:sz w:val="20"/>
          <w:szCs w:val="20"/>
        </w:rPr>
        <w:t xml:space="preserve">, No. </w:t>
      </w:r>
      <w:r w:rsidR="00676618" w:rsidRPr="00072AEC">
        <w:rPr>
          <w:rFonts w:ascii="Book Antiqua" w:hAnsi="Book Antiqua"/>
          <w:sz w:val="20"/>
          <w:szCs w:val="20"/>
        </w:rPr>
        <w:t>2017-1-6.</w:t>
      </w:r>
    </w:p>
    <w:p w14:paraId="7DC72286" w14:textId="7096FE35" w:rsidR="00676618" w:rsidRPr="00072AEC" w:rsidRDefault="00676618" w:rsidP="00072AEC">
      <w:pPr>
        <w:snapToGrid w:val="0"/>
        <w:spacing w:line="360" w:lineRule="auto"/>
        <w:rPr>
          <w:rFonts w:ascii="Book Antiqua" w:hAnsi="Book Antiqua"/>
          <w:sz w:val="20"/>
          <w:szCs w:val="20"/>
        </w:rPr>
      </w:pPr>
    </w:p>
    <w:p w14:paraId="5B84710E" w14:textId="123D1B6B" w:rsidR="00676618" w:rsidRPr="00072AEC" w:rsidRDefault="00CC7465" w:rsidP="00072AEC">
      <w:pPr>
        <w:snapToGrid w:val="0"/>
        <w:spacing w:line="360" w:lineRule="auto"/>
        <w:rPr>
          <w:rFonts w:ascii="Book Antiqua" w:hAnsi="Book Antiqua"/>
          <w:sz w:val="20"/>
          <w:szCs w:val="20"/>
        </w:rPr>
      </w:pPr>
      <w:r w:rsidRPr="00072AEC">
        <w:rPr>
          <w:rFonts w:ascii="Book Antiqua" w:hAnsi="Book Antiqua"/>
          <w:b/>
          <w:sz w:val="20"/>
          <w:szCs w:val="20"/>
        </w:rPr>
        <w:t xml:space="preserve">Corresponding author: </w:t>
      </w:r>
      <w:r w:rsidR="00676618" w:rsidRPr="00072AEC">
        <w:rPr>
          <w:rFonts w:ascii="Book Antiqua" w:hAnsi="Book Antiqua"/>
          <w:b/>
          <w:sz w:val="20"/>
          <w:szCs w:val="20"/>
        </w:rPr>
        <w:t xml:space="preserve">Xiao-Fan Li, </w:t>
      </w:r>
      <w:r w:rsidR="00F66096" w:rsidRPr="00072AEC">
        <w:rPr>
          <w:rFonts w:ascii="Book Antiqua" w:hAnsi="Book Antiqua"/>
          <w:b/>
          <w:sz w:val="20"/>
          <w:szCs w:val="20"/>
        </w:rPr>
        <w:t xml:space="preserve">MD, PhD, Doctor, </w:t>
      </w:r>
      <w:r w:rsidR="00676618" w:rsidRPr="00072AEC">
        <w:rPr>
          <w:rFonts w:ascii="Book Antiqua" w:hAnsi="Book Antiqua"/>
          <w:sz w:val="20"/>
          <w:szCs w:val="20"/>
        </w:rPr>
        <w:t xml:space="preserve">Fujian Institute of Hematology, Fujian Provincial Key Laboratory on Hematology, Department of Hematology, Fujian Medical University Union Hospital, </w:t>
      </w:r>
      <w:r w:rsidR="00F66096" w:rsidRPr="00072AEC">
        <w:rPr>
          <w:rFonts w:ascii="Book Antiqua" w:hAnsi="Book Antiqua"/>
          <w:sz w:val="20"/>
          <w:szCs w:val="20"/>
        </w:rPr>
        <w:t xml:space="preserve">No. 29 Xinquan Street, Gulou District, </w:t>
      </w:r>
      <w:r w:rsidR="00676618" w:rsidRPr="00072AEC">
        <w:rPr>
          <w:rFonts w:ascii="Book Antiqua" w:hAnsi="Book Antiqua"/>
          <w:sz w:val="20"/>
          <w:szCs w:val="20"/>
        </w:rPr>
        <w:t xml:space="preserve">Fuzhou 350000, </w:t>
      </w:r>
      <w:r w:rsidR="00CC6A68" w:rsidRPr="00072AEC">
        <w:rPr>
          <w:rFonts w:ascii="Book Antiqua" w:hAnsi="Book Antiqua"/>
          <w:sz w:val="20"/>
          <w:szCs w:val="20"/>
        </w:rPr>
        <w:t>Fujian Province, China.</w:t>
      </w:r>
      <w:r w:rsidR="00676618" w:rsidRPr="00072AEC">
        <w:rPr>
          <w:rFonts w:ascii="Book Antiqua" w:hAnsi="Book Antiqua"/>
          <w:sz w:val="20"/>
          <w:szCs w:val="20"/>
        </w:rPr>
        <w:t xml:space="preserve"> </w:t>
      </w:r>
      <w:r w:rsidR="00676618" w:rsidRPr="00072AEC">
        <w:rPr>
          <w:rFonts w:ascii="Book Antiqua" w:hAnsi="Book Antiqua" w:cs="Arial"/>
          <w:bCs/>
          <w:sz w:val="20"/>
          <w:szCs w:val="20"/>
        </w:rPr>
        <w:t>morningshiplee@sina.com</w:t>
      </w:r>
    </w:p>
    <w:bookmarkEnd w:id="0"/>
    <w:p w14:paraId="19447527" w14:textId="77777777" w:rsidR="00676618" w:rsidRPr="00072AEC" w:rsidRDefault="00676618" w:rsidP="00072AEC">
      <w:pPr>
        <w:snapToGrid w:val="0"/>
        <w:spacing w:line="360" w:lineRule="auto"/>
        <w:rPr>
          <w:rFonts w:ascii="Book Antiqua" w:hAnsi="Book Antiqua"/>
          <w:sz w:val="20"/>
          <w:szCs w:val="20"/>
        </w:rPr>
      </w:pPr>
    </w:p>
    <w:p w14:paraId="352ACA58" w14:textId="0289DBAE" w:rsidR="00CC7465" w:rsidRPr="00072AEC" w:rsidRDefault="00CC7465" w:rsidP="00072AEC">
      <w:pPr>
        <w:snapToGrid w:val="0"/>
        <w:spacing w:line="360" w:lineRule="auto"/>
        <w:rPr>
          <w:rFonts w:ascii="Book Antiqua" w:hAnsi="Book Antiqua"/>
          <w:b/>
          <w:sz w:val="20"/>
          <w:szCs w:val="20"/>
        </w:rPr>
      </w:pPr>
      <w:r w:rsidRPr="00072AEC">
        <w:rPr>
          <w:rFonts w:ascii="Book Antiqua" w:hAnsi="Book Antiqua"/>
          <w:b/>
          <w:sz w:val="20"/>
          <w:szCs w:val="20"/>
        </w:rPr>
        <w:t>Received:</w:t>
      </w:r>
      <w:r w:rsidRPr="00072AEC">
        <w:rPr>
          <w:rFonts w:ascii="Book Antiqua" w:eastAsia="宋体" w:hAnsi="Book Antiqua"/>
          <w:b/>
          <w:sz w:val="20"/>
          <w:szCs w:val="20"/>
        </w:rPr>
        <w:t xml:space="preserve"> </w:t>
      </w:r>
      <w:r w:rsidRPr="00072AEC">
        <w:rPr>
          <w:rFonts w:ascii="Book Antiqua" w:eastAsia="宋体" w:hAnsi="Book Antiqua"/>
          <w:sz w:val="20"/>
          <w:szCs w:val="20"/>
        </w:rPr>
        <w:t>January 1, 2020</w:t>
      </w:r>
    </w:p>
    <w:p w14:paraId="45A161C4" w14:textId="390D86A1" w:rsidR="00CC7465" w:rsidRPr="00072AEC" w:rsidRDefault="00CC7465" w:rsidP="00072AEC">
      <w:pPr>
        <w:snapToGrid w:val="0"/>
        <w:spacing w:line="360" w:lineRule="auto"/>
        <w:rPr>
          <w:rFonts w:ascii="Book Antiqua" w:eastAsia="宋体" w:hAnsi="Book Antiqua"/>
          <w:b/>
          <w:sz w:val="20"/>
          <w:szCs w:val="20"/>
        </w:rPr>
      </w:pPr>
      <w:r w:rsidRPr="00072AEC">
        <w:rPr>
          <w:rFonts w:ascii="Book Antiqua" w:hAnsi="Book Antiqua"/>
          <w:b/>
          <w:sz w:val="20"/>
          <w:szCs w:val="20"/>
        </w:rPr>
        <w:t xml:space="preserve">Revised: </w:t>
      </w:r>
      <w:r w:rsidRPr="00072AEC">
        <w:rPr>
          <w:rFonts w:ascii="Book Antiqua" w:eastAsia="宋体" w:hAnsi="Book Antiqua"/>
          <w:sz w:val="20"/>
          <w:szCs w:val="20"/>
        </w:rPr>
        <w:t>April 8, 2020</w:t>
      </w:r>
    </w:p>
    <w:p w14:paraId="5B308733" w14:textId="3F8914AD" w:rsidR="00CC7465" w:rsidRPr="00072AEC" w:rsidRDefault="00CC7465" w:rsidP="00072AEC">
      <w:pPr>
        <w:snapToGrid w:val="0"/>
        <w:spacing w:line="360" w:lineRule="auto"/>
        <w:rPr>
          <w:rFonts w:ascii="Book Antiqua" w:hAnsi="Book Antiqua"/>
          <w:bCs/>
          <w:color w:val="000000" w:themeColor="text1"/>
          <w:sz w:val="20"/>
          <w:szCs w:val="20"/>
        </w:rPr>
      </w:pPr>
      <w:r w:rsidRPr="00072AEC">
        <w:rPr>
          <w:rFonts w:ascii="Book Antiqua" w:hAnsi="Book Antiqua"/>
          <w:b/>
          <w:sz w:val="20"/>
          <w:szCs w:val="20"/>
        </w:rPr>
        <w:t>Accepted:</w:t>
      </w:r>
      <w:bookmarkStart w:id="3" w:name="OLE_LINK98"/>
      <w:bookmarkStart w:id="4" w:name="OLE_LINK99"/>
      <w:bookmarkStart w:id="5" w:name="OLE_LINK104"/>
      <w:bookmarkStart w:id="6" w:name="OLE_LINK110"/>
      <w:bookmarkStart w:id="7" w:name="OLE_LINK111"/>
      <w:bookmarkStart w:id="8" w:name="OLE_LINK115"/>
      <w:bookmarkStart w:id="9" w:name="OLE_LINK116"/>
      <w:r w:rsidR="00A42955" w:rsidRPr="00072AEC">
        <w:rPr>
          <w:rFonts w:ascii="Book Antiqua" w:hAnsi="Book Antiqua"/>
          <w:bCs/>
          <w:color w:val="000000" w:themeColor="text1"/>
          <w:sz w:val="20"/>
          <w:szCs w:val="20"/>
        </w:rPr>
        <w:t xml:space="preserve"> April 22, 2020</w:t>
      </w:r>
      <w:r w:rsidRPr="00072AEC">
        <w:rPr>
          <w:rFonts w:ascii="Book Antiqua" w:hAnsi="Book Antiqua"/>
          <w:color w:val="000000"/>
          <w:sz w:val="20"/>
          <w:szCs w:val="20"/>
        </w:rPr>
        <w:t xml:space="preserve"> </w:t>
      </w:r>
      <w:bookmarkEnd w:id="3"/>
      <w:bookmarkEnd w:id="4"/>
      <w:bookmarkEnd w:id="5"/>
      <w:bookmarkEnd w:id="6"/>
      <w:bookmarkEnd w:id="7"/>
      <w:bookmarkEnd w:id="8"/>
      <w:bookmarkEnd w:id="9"/>
    </w:p>
    <w:p w14:paraId="4F08A0E4" w14:textId="70E15196" w:rsidR="00676618" w:rsidRPr="00072AEC" w:rsidRDefault="00CC7465" w:rsidP="008350BB">
      <w:pPr>
        <w:snapToGrid w:val="0"/>
        <w:spacing w:line="360" w:lineRule="auto"/>
        <w:rPr>
          <w:rFonts w:ascii="Book Antiqua" w:hAnsi="Book Antiqua" w:cs="Arial"/>
          <w:b/>
          <w:color w:val="000000" w:themeColor="text1"/>
          <w:sz w:val="20"/>
          <w:szCs w:val="20"/>
        </w:rPr>
      </w:pPr>
      <w:r w:rsidRPr="00072AEC">
        <w:rPr>
          <w:rFonts w:ascii="Book Antiqua" w:hAnsi="Book Antiqua"/>
          <w:b/>
          <w:sz w:val="20"/>
          <w:szCs w:val="20"/>
        </w:rPr>
        <w:lastRenderedPageBreak/>
        <w:t xml:space="preserve">Published online: </w:t>
      </w:r>
      <w:r w:rsidR="00E560BB">
        <w:rPr>
          <w:rFonts w:ascii="Book Antiqua" w:hAnsi="Book Antiqua" w:hint="eastAsia"/>
          <w:bCs/>
          <w:sz w:val="24"/>
          <w:szCs w:val="24"/>
        </w:rPr>
        <w:t>May 26</w:t>
      </w:r>
      <w:r w:rsidR="00E560BB" w:rsidRPr="000A02CB">
        <w:rPr>
          <w:rFonts w:ascii="Book Antiqua" w:hAnsi="Book Antiqua"/>
          <w:bCs/>
          <w:sz w:val="24"/>
          <w:szCs w:val="24"/>
        </w:rPr>
        <w:t>, 2020</w:t>
      </w:r>
      <w:r w:rsidR="00676618" w:rsidRPr="00072AEC">
        <w:rPr>
          <w:rFonts w:ascii="Book Antiqua" w:hAnsi="Book Antiqua" w:cs="Arial"/>
          <w:b/>
          <w:color w:val="000000" w:themeColor="text1"/>
          <w:sz w:val="20"/>
          <w:szCs w:val="20"/>
        </w:rPr>
        <w:br w:type="page"/>
      </w:r>
    </w:p>
    <w:p w14:paraId="4F5A3B11" w14:textId="5398D876" w:rsidR="00CC7465" w:rsidRPr="00072AEC" w:rsidRDefault="00CC7465" w:rsidP="00072AEC">
      <w:pPr>
        <w:snapToGrid w:val="0"/>
        <w:spacing w:line="360" w:lineRule="auto"/>
        <w:rPr>
          <w:rFonts w:ascii="Book Antiqua" w:hAnsi="Book Antiqua" w:cs="Arial"/>
          <w:bCs/>
          <w:color w:val="000000" w:themeColor="text1"/>
          <w:sz w:val="20"/>
          <w:szCs w:val="20"/>
        </w:rPr>
      </w:pPr>
      <w:r w:rsidRPr="00072AEC">
        <w:rPr>
          <w:rFonts w:ascii="Book Antiqua" w:hAnsi="Book Antiqua"/>
          <w:b/>
          <w:bCs/>
          <w:sz w:val="20"/>
          <w:szCs w:val="20"/>
          <w:lang w:eastAsia="es-ES"/>
        </w:rPr>
        <w:t>Abstract</w:t>
      </w:r>
    </w:p>
    <w:p w14:paraId="409632DB" w14:textId="38CD3EF7" w:rsidR="00676618" w:rsidRPr="00072AEC" w:rsidRDefault="00676618" w:rsidP="00072AEC">
      <w:pPr>
        <w:snapToGrid w:val="0"/>
        <w:spacing w:line="360" w:lineRule="auto"/>
        <w:rPr>
          <w:rFonts w:ascii="Book Antiqua" w:eastAsia="宋体" w:hAnsi="Book Antiqua" w:cs="Times New Roman"/>
          <w:bCs/>
          <w:color w:val="000000" w:themeColor="text1"/>
          <w:sz w:val="20"/>
          <w:szCs w:val="20"/>
        </w:rPr>
      </w:pPr>
      <w:r w:rsidRPr="00072AEC">
        <w:rPr>
          <w:rFonts w:ascii="Book Antiqua" w:hAnsi="Book Antiqua" w:cs="Arial"/>
          <w:bCs/>
          <w:color w:val="000000" w:themeColor="text1"/>
          <w:sz w:val="20"/>
          <w:szCs w:val="20"/>
        </w:rPr>
        <w:t xml:space="preserve">Hematopoietic stem cell transplantation has become a curative choice of many hematopoietic malignancy, but </w:t>
      </w:r>
      <w:r w:rsidR="00CC6A68" w:rsidRPr="00072AEC">
        <w:rPr>
          <w:rFonts w:ascii="Book Antiqua" w:hAnsi="Book Antiqua" w:cs="Arial"/>
          <w:bCs/>
          <w:color w:val="000000" w:themeColor="text1"/>
          <w:sz w:val="20"/>
          <w:szCs w:val="20"/>
        </w:rPr>
        <w:t>graft-</w:t>
      </w:r>
      <w:r w:rsidR="00CC6A68" w:rsidRPr="00072AEC">
        <w:rPr>
          <w:rFonts w:ascii="Book Antiqua" w:hAnsi="Book Antiqua" w:cs="Arial"/>
          <w:bCs/>
          <w:i/>
          <w:iCs/>
          <w:color w:val="000000" w:themeColor="text1"/>
          <w:sz w:val="20"/>
          <w:szCs w:val="20"/>
        </w:rPr>
        <w:t>vs</w:t>
      </w:r>
      <w:r w:rsidR="00CC6A68" w:rsidRPr="00072AEC">
        <w:rPr>
          <w:rFonts w:ascii="Book Antiqua" w:hAnsi="Book Antiqua" w:cs="Arial"/>
          <w:bCs/>
          <w:color w:val="000000" w:themeColor="text1"/>
          <w:sz w:val="20"/>
          <w:szCs w:val="20"/>
        </w:rPr>
        <w:t>-host</w:t>
      </w:r>
      <w:r w:rsidRPr="00072AEC">
        <w:rPr>
          <w:rFonts w:ascii="Book Antiqua" w:hAnsi="Book Antiqua" w:cs="Arial"/>
          <w:bCs/>
          <w:color w:val="000000" w:themeColor="text1"/>
          <w:sz w:val="20"/>
          <w:szCs w:val="20"/>
        </w:rPr>
        <w:t xml:space="preserve"> disease (GVHD) has limited the survival quality and overall survival of </w:t>
      </w:r>
      <w:r w:rsidR="00CC6A68" w:rsidRPr="00072AEC">
        <w:rPr>
          <w:rFonts w:ascii="Book Antiqua" w:hAnsi="Book Antiqua" w:cs="Arial"/>
          <w:bCs/>
          <w:color w:val="000000" w:themeColor="text1"/>
          <w:sz w:val="20"/>
          <w:szCs w:val="20"/>
        </w:rPr>
        <w:t>hematopoietic stem cell transplantation</w:t>
      </w:r>
      <w:r w:rsidRPr="00072AEC">
        <w:rPr>
          <w:rFonts w:ascii="Book Antiqua" w:hAnsi="Book Antiqua" w:cs="Arial"/>
          <w:bCs/>
          <w:color w:val="000000" w:themeColor="text1"/>
          <w:sz w:val="20"/>
          <w:szCs w:val="20"/>
        </w:rPr>
        <w:t xml:space="preserve">. Understanding of </w:t>
      </w:r>
      <w:r w:rsidR="00E2070D" w:rsidRPr="00072AEC">
        <w:rPr>
          <w:rFonts w:ascii="Book Antiqua" w:hAnsi="Book Antiqua" w:cs="Arial"/>
          <w:bCs/>
          <w:color w:val="000000" w:themeColor="text1"/>
          <w:sz w:val="20"/>
          <w:szCs w:val="20"/>
        </w:rPr>
        <w:t xml:space="preserve">the </w:t>
      </w:r>
      <w:r w:rsidRPr="00072AEC">
        <w:rPr>
          <w:rFonts w:ascii="Book Antiqua" w:hAnsi="Book Antiqua" w:cs="Arial"/>
          <w:bCs/>
          <w:color w:val="000000" w:themeColor="text1"/>
          <w:sz w:val="20"/>
          <w:szCs w:val="20"/>
        </w:rPr>
        <w:t>immune cells</w:t>
      </w:r>
      <w:r w:rsidR="00E2070D" w:rsidRPr="00072AEC">
        <w:rPr>
          <w:rFonts w:ascii="Book Antiqua" w:hAnsi="Book Antiqua" w:cs="Arial"/>
          <w:bCs/>
          <w:color w:val="000000" w:themeColor="text1"/>
          <w:sz w:val="20"/>
          <w:szCs w:val="20"/>
        </w:rPr>
        <w:t xml:space="preserve">’ </w:t>
      </w:r>
      <w:r w:rsidRPr="00072AEC">
        <w:rPr>
          <w:rFonts w:ascii="Book Antiqua" w:hAnsi="Book Antiqua" w:cs="Arial"/>
          <w:bCs/>
          <w:color w:val="000000" w:themeColor="text1"/>
          <w:sz w:val="20"/>
          <w:szCs w:val="20"/>
        </w:rPr>
        <w:t>reaction in pathophysiology of GVHD has improved, but a review on the role of macrophage</w:t>
      </w:r>
      <w:r w:rsidR="00E2070D" w:rsidRPr="00072AEC">
        <w:rPr>
          <w:rFonts w:ascii="Book Antiqua" w:hAnsi="Book Antiqua" w:cs="Arial"/>
          <w:bCs/>
          <w:color w:val="000000" w:themeColor="text1"/>
          <w:sz w:val="20"/>
          <w:szCs w:val="20"/>
        </w:rPr>
        <w:t>s</w:t>
      </w:r>
      <w:r w:rsidRPr="00072AEC">
        <w:rPr>
          <w:rFonts w:ascii="Book Antiqua" w:hAnsi="Book Antiqua" w:cs="Arial"/>
          <w:bCs/>
          <w:color w:val="000000" w:themeColor="text1"/>
          <w:sz w:val="20"/>
          <w:szCs w:val="20"/>
        </w:rPr>
        <w:t xml:space="preserve"> in GVHD is still absent. Studies have observed that macrophage infiltration is associated </w:t>
      </w:r>
      <w:r w:rsidR="00E2070D" w:rsidRPr="00072AEC">
        <w:rPr>
          <w:rFonts w:ascii="Book Antiqua" w:hAnsi="Book Antiqua" w:cs="Arial"/>
          <w:bCs/>
          <w:color w:val="000000" w:themeColor="text1"/>
          <w:sz w:val="20"/>
          <w:szCs w:val="20"/>
        </w:rPr>
        <w:t>with</w:t>
      </w:r>
      <w:r w:rsidRPr="00072AEC">
        <w:rPr>
          <w:rFonts w:ascii="Book Antiqua" w:hAnsi="Book Antiqua" w:cs="Arial"/>
          <w:bCs/>
          <w:color w:val="000000" w:themeColor="text1"/>
          <w:sz w:val="20"/>
          <w:szCs w:val="20"/>
        </w:rPr>
        <w:t xml:space="preserve"> GVHD occurrence and development. In this review, we summarize and analyze the role of macrophage</w:t>
      </w:r>
      <w:r w:rsidR="00E2070D" w:rsidRPr="00072AEC">
        <w:rPr>
          <w:rFonts w:ascii="Book Antiqua" w:hAnsi="Book Antiqua" w:cs="Arial"/>
          <w:bCs/>
          <w:color w:val="000000" w:themeColor="text1"/>
          <w:sz w:val="20"/>
          <w:szCs w:val="20"/>
        </w:rPr>
        <w:t>s</w:t>
      </w:r>
      <w:r w:rsidRPr="00072AEC">
        <w:rPr>
          <w:rFonts w:ascii="Book Antiqua" w:hAnsi="Book Antiqua" w:cs="Arial"/>
          <w:bCs/>
          <w:color w:val="000000" w:themeColor="text1"/>
          <w:sz w:val="20"/>
          <w:szCs w:val="20"/>
        </w:rPr>
        <w:t xml:space="preserve"> in GVHD based on pathophysiology of acute and chronic GVHD, focusing on the macrophage recruitment and infiltration, macrophage polarization, macrophage secretion, and especially interaction of macrophage</w:t>
      </w:r>
      <w:r w:rsidR="00E2070D" w:rsidRPr="00072AEC">
        <w:rPr>
          <w:rFonts w:ascii="Book Antiqua" w:hAnsi="Book Antiqua" w:cs="Arial"/>
          <w:bCs/>
          <w:color w:val="000000" w:themeColor="text1"/>
          <w:sz w:val="20"/>
          <w:szCs w:val="20"/>
        </w:rPr>
        <w:t>s</w:t>
      </w:r>
      <w:r w:rsidRPr="00072AEC">
        <w:rPr>
          <w:rFonts w:ascii="Book Antiqua" w:hAnsi="Book Antiqua" w:cs="Arial"/>
          <w:bCs/>
          <w:color w:val="000000" w:themeColor="text1"/>
          <w:sz w:val="20"/>
          <w:szCs w:val="20"/>
        </w:rPr>
        <w:t xml:space="preserve"> with other immune cells. We could conclude that </w:t>
      </w:r>
      <w:r w:rsidRPr="00072AEC">
        <w:rPr>
          <w:rFonts w:ascii="Book Antiqua" w:eastAsia="宋体" w:hAnsi="Book Antiqua" w:cs="Times New Roman"/>
          <w:bCs/>
          <w:color w:val="000000" w:themeColor="text1"/>
          <w:sz w:val="20"/>
          <w:szCs w:val="20"/>
        </w:rPr>
        <w:t>macrophage recruitment and infiltration contribute to both acute and chronic GVHD. Based on distinguishing pathology of acute and chronic GVHD, macrophage</w:t>
      </w:r>
      <w:r w:rsidR="00E2070D"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tend to show a higher M1/M2 ratio in acute GVHD and a lower M1/M2 ratio in chronic GVHD. </w:t>
      </w:r>
      <w:r w:rsidR="00A15568" w:rsidRPr="00072AEC">
        <w:rPr>
          <w:rFonts w:ascii="Book Antiqua" w:eastAsia="宋体" w:hAnsi="Book Antiqua" w:cs="Times New Roman"/>
          <w:bCs/>
          <w:color w:val="000000" w:themeColor="text1"/>
          <w:sz w:val="20"/>
          <w:szCs w:val="20"/>
        </w:rPr>
        <w:t xml:space="preserve">However, the </w:t>
      </w:r>
      <w:r w:rsidRPr="00072AEC">
        <w:rPr>
          <w:rFonts w:ascii="Book Antiqua" w:eastAsia="宋体" w:hAnsi="Book Antiqua" w:cs="Times New Roman"/>
          <w:bCs/>
          <w:color w:val="000000" w:themeColor="text1"/>
          <w:sz w:val="20"/>
          <w:szCs w:val="20"/>
        </w:rPr>
        <w:t xml:space="preserve">influence of dominant cytokines in GVHD is controversial and inconsistent with macrophage polarization. </w:t>
      </w:r>
      <w:r w:rsidR="00A15568" w:rsidRPr="00072AEC">
        <w:rPr>
          <w:rFonts w:ascii="Book Antiqua" w:eastAsia="宋体" w:hAnsi="Book Antiqua" w:cs="Times New Roman"/>
          <w:bCs/>
          <w:color w:val="000000" w:themeColor="text1"/>
          <w:sz w:val="20"/>
          <w:szCs w:val="20"/>
        </w:rPr>
        <w:t>In addition</w:t>
      </w:r>
      <w:r w:rsidRPr="00072AEC">
        <w:rPr>
          <w:rFonts w:ascii="Book Antiqua" w:eastAsia="宋体" w:hAnsi="Book Antiqua" w:cs="Times New Roman"/>
          <w:bCs/>
          <w:color w:val="000000" w:themeColor="text1"/>
          <w:sz w:val="20"/>
          <w:szCs w:val="20"/>
        </w:rPr>
        <w:t>, interaction of macrophage</w:t>
      </w:r>
      <w:r w:rsidR="00A15568"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with alloreactive T cells plays an important role in acute GVHD</w:t>
      </w:r>
      <w:r w:rsidR="00A15568"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t>
      </w:r>
      <w:r w:rsidR="00A15568" w:rsidRPr="00072AEC">
        <w:rPr>
          <w:rFonts w:ascii="Book Antiqua" w:eastAsia="宋体" w:hAnsi="Book Antiqua" w:cs="Times New Roman"/>
          <w:bCs/>
          <w:color w:val="000000" w:themeColor="text1"/>
          <w:sz w:val="20"/>
          <w:szCs w:val="20"/>
        </w:rPr>
        <w:t>M</w:t>
      </w:r>
      <w:r w:rsidRPr="00072AEC">
        <w:rPr>
          <w:rFonts w:ascii="Book Antiqua" w:eastAsia="宋体" w:hAnsi="Book Antiqua" w:cs="Times New Roman"/>
          <w:bCs/>
          <w:color w:val="000000" w:themeColor="text1"/>
          <w:sz w:val="20"/>
          <w:szCs w:val="20"/>
        </w:rPr>
        <w:t xml:space="preserve">eanwhile, </w:t>
      </w:r>
      <w:r w:rsidR="00A15568"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interaction among macrophage</w:t>
      </w:r>
      <w:r w:rsidR="00A15568"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B cells, fibroblast</w:t>
      </w:r>
      <w:r w:rsidR="00A15568"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and CD4+ T cells participate</w:t>
      </w:r>
      <w:r w:rsidR="00A15568"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in chronic GVHD development.</w:t>
      </w:r>
    </w:p>
    <w:p w14:paraId="5D29CF2D" w14:textId="77777777" w:rsidR="00676618" w:rsidRPr="00072AEC" w:rsidRDefault="00676618" w:rsidP="00072AEC">
      <w:pPr>
        <w:snapToGrid w:val="0"/>
        <w:spacing w:line="360" w:lineRule="auto"/>
        <w:rPr>
          <w:rFonts w:ascii="Book Antiqua" w:eastAsia="宋体" w:hAnsi="Book Antiqua" w:cs="Times New Roman"/>
          <w:bCs/>
          <w:color w:val="000000" w:themeColor="text1"/>
          <w:sz w:val="20"/>
          <w:szCs w:val="20"/>
        </w:rPr>
      </w:pPr>
    </w:p>
    <w:p w14:paraId="27FDE676" w14:textId="72BA2918" w:rsidR="00676618" w:rsidRPr="00072AEC" w:rsidRDefault="00CC7465" w:rsidP="00072AEC">
      <w:pPr>
        <w:snapToGrid w:val="0"/>
        <w:spacing w:line="360" w:lineRule="auto"/>
        <w:rPr>
          <w:rFonts w:ascii="Book Antiqua" w:hAnsi="Book Antiqua" w:cs="Arial"/>
          <w:bCs/>
          <w:color w:val="000000" w:themeColor="text1"/>
          <w:sz w:val="20"/>
          <w:szCs w:val="20"/>
        </w:rPr>
      </w:pPr>
      <w:r w:rsidRPr="00072AEC">
        <w:rPr>
          <w:rFonts w:ascii="Book Antiqua" w:hAnsi="Book Antiqua"/>
          <w:b/>
          <w:iCs/>
          <w:sz w:val="20"/>
          <w:szCs w:val="20"/>
          <w:lang w:eastAsia="es-ES_tradnl"/>
        </w:rPr>
        <w:t>Key words:</w:t>
      </w:r>
      <w:r w:rsidRPr="00072AEC">
        <w:rPr>
          <w:rFonts w:ascii="Book Antiqua" w:eastAsia="宋体" w:hAnsi="Book Antiqua"/>
          <w:color w:val="0000FF"/>
          <w:sz w:val="20"/>
          <w:szCs w:val="20"/>
        </w:rPr>
        <w:t xml:space="preserve"> </w:t>
      </w:r>
      <w:r w:rsidR="00CC6A68" w:rsidRPr="00072AEC">
        <w:rPr>
          <w:rFonts w:ascii="Book Antiqua" w:eastAsia="宋体" w:hAnsi="Book Antiqua" w:cs="Times New Roman"/>
          <w:bCs/>
          <w:color w:val="000000" w:themeColor="text1"/>
          <w:sz w:val="20"/>
          <w:szCs w:val="20"/>
        </w:rPr>
        <w:t>Macrophage</w:t>
      </w:r>
      <w:r w:rsidR="00676618" w:rsidRPr="00072AEC">
        <w:rPr>
          <w:rFonts w:ascii="Book Antiqua" w:eastAsia="宋体" w:hAnsi="Book Antiqua" w:cs="Times New Roman"/>
          <w:bCs/>
          <w:color w:val="000000" w:themeColor="text1"/>
          <w:sz w:val="20"/>
          <w:szCs w:val="20"/>
        </w:rPr>
        <w:t xml:space="preserve">; </w:t>
      </w:r>
      <w:r w:rsidR="00CC6A68" w:rsidRPr="00072AEC">
        <w:rPr>
          <w:rFonts w:ascii="Book Antiqua" w:eastAsia="宋体" w:hAnsi="Book Antiqua" w:cs="Times New Roman"/>
          <w:bCs/>
          <w:color w:val="000000" w:themeColor="text1"/>
          <w:sz w:val="20"/>
          <w:szCs w:val="20"/>
        </w:rPr>
        <w:t>Graft-</w:t>
      </w:r>
      <w:r w:rsidR="00CC6A68" w:rsidRPr="00072AEC">
        <w:rPr>
          <w:rFonts w:ascii="Book Antiqua" w:eastAsia="宋体" w:hAnsi="Book Antiqua" w:cs="Times New Roman"/>
          <w:bCs/>
          <w:i/>
          <w:iCs/>
          <w:color w:val="000000" w:themeColor="text1"/>
          <w:sz w:val="20"/>
          <w:szCs w:val="20"/>
        </w:rPr>
        <w:t>vs</w:t>
      </w:r>
      <w:r w:rsidR="00CC6A68" w:rsidRPr="00072AEC">
        <w:rPr>
          <w:rFonts w:ascii="Book Antiqua" w:eastAsia="宋体" w:hAnsi="Book Antiqua" w:cs="Times New Roman"/>
          <w:bCs/>
          <w:color w:val="000000" w:themeColor="text1"/>
          <w:sz w:val="20"/>
          <w:szCs w:val="20"/>
        </w:rPr>
        <w:t>-host</w:t>
      </w:r>
      <w:r w:rsidR="00676618" w:rsidRPr="00072AEC">
        <w:rPr>
          <w:rFonts w:ascii="Book Antiqua" w:eastAsia="宋体" w:hAnsi="Book Antiqua" w:cs="Times New Roman"/>
          <w:bCs/>
          <w:color w:val="000000" w:themeColor="text1"/>
          <w:sz w:val="20"/>
          <w:szCs w:val="20"/>
        </w:rPr>
        <w:t xml:space="preserve"> disease; </w:t>
      </w:r>
      <w:r w:rsidR="00CC6A68" w:rsidRPr="00072AEC">
        <w:rPr>
          <w:rFonts w:ascii="Book Antiqua" w:eastAsia="宋体" w:hAnsi="Book Antiqua" w:cs="Times New Roman"/>
          <w:bCs/>
          <w:color w:val="000000" w:themeColor="text1"/>
          <w:sz w:val="20"/>
          <w:szCs w:val="20"/>
        </w:rPr>
        <w:t xml:space="preserve">Hematopoietic </w:t>
      </w:r>
      <w:r w:rsidR="00676618" w:rsidRPr="00072AEC">
        <w:rPr>
          <w:rFonts w:ascii="Book Antiqua" w:eastAsia="宋体" w:hAnsi="Book Antiqua" w:cs="Times New Roman"/>
          <w:bCs/>
          <w:color w:val="000000" w:themeColor="text1"/>
          <w:sz w:val="20"/>
          <w:szCs w:val="20"/>
        </w:rPr>
        <w:t xml:space="preserve">stem cell transplantation; </w:t>
      </w:r>
      <w:r w:rsidR="00CC6A68" w:rsidRPr="00072AEC">
        <w:rPr>
          <w:rFonts w:ascii="Book Antiqua" w:eastAsia="宋体" w:hAnsi="Book Antiqua" w:cs="Times New Roman"/>
          <w:bCs/>
          <w:color w:val="000000" w:themeColor="text1"/>
          <w:sz w:val="20"/>
          <w:szCs w:val="20"/>
        </w:rPr>
        <w:t>Polarization</w:t>
      </w:r>
      <w:r w:rsidR="00F66096" w:rsidRPr="00072AEC">
        <w:rPr>
          <w:rFonts w:ascii="Book Antiqua" w:eastAsia="宋体" w:hAnsi="Book Antiqua" w:cs="Times New Roman"/>
          <w:bCs/>
          <w:color w:val="000000" w:themeColor="text1"/>
          <w:sz w:val="20"/>
          <w:szCs w:val="20"/>
        </w:rPr>
        <w:t>; Cytokine; Regulation</w:t>
      </w:r>
    </w:p>
    <w:bookmarkEnd w:id="1"/>
    <w:p w14:paraId="527F1309" w14:textId="77777777" w:rsidR="00676618" w:rsidRPr="00072AEC" w:rsidRDefault="00676618" w:rsidP="00072AEC">
      <w:pPr>
        <w:snapToGrid w:val="0"/>
        <w:spacing w:line="360" w:lineRule="auto"/>
        <w:rPr>
          <w:rFonts w:ascii="Book Antiqua" w:hAnsi="Book Antiqua" w:cs="Arial"/>
          <w:b/>
          <w:color w:val="000000" w:themeColor="text1"/>
          <w:sz w:val="20"/>
          <w:szCs w:val="20"/>
        </w:rPr>
      </w:pPr>
    </w:p>
    <w:p w14:paraId="3D6F61F2" w14:textId="786B68CB" w:rsidR="0099429D" w:rsidRPr="0099429D" w:rsidRDefault="009A1132" w:rsidP="0099429D">
      <w:pPr>
        <w:adjustRightInd w:val="0"/>
        <w:snapToGrid w:val="0"/>
        <w:spacing w:line="360" w:lineRule="auto"/>
        <w:rPr>
          <w:rFonts w:ascii="Book Antiqua" w:eastAsia="宋体" w:hAnsi="Book Antiqua"/>
          <w:iCs/>
          <w:sz w:val="20"/>
          <w:szCs w:val="20"/>
        </w:rPr>
      </w:pPr>
      <w:r w:rsidRPr="009A1132">
        <w:rPr>
          <w:rFonts w:ascii="Book Antiqua" w:hAnsi="Book Antiqua" w:cs="Arial" w:hint="eastAsia"/>
          <w:b/>
          <w:sz w:val="20"/>
          <w:szCs w:val="20"/>
        </w:rPr>
        <w:t xml:space="preserve">Citation: </w:t>
      </w:r>
      <w:r w:rsidR="00676618" w:rsidRPr="00072AEC">
        <w:rPr>
          <w:rFonts w:ascii="Book Antiqua" w:hAnsi="Book Antiqua" w:cs="Arial"/>
          <w:sz w:val="20"/>
          <w:szCs w:val="20"/>
        </w:rPr>
        <w:t>Hong</w:t>
      </w:r>
      <w:r w:rsidR="00CC6A68" w:rsidRPr="00072AEC">
        <w:rPr>
          <w:rFonts w:ascii="Book Antiqua" w:hAnsi="Book Antiqua" w:cs="Arial"/>
          <w:sz w:val="20"/>
          <w:szCs w:val="20"/>
        </w:rPr>
        <w:t xml:space="preserve"> YQ</w:t>
      </w:r>
      <w:r w:rsidR="00676618" w:rsidRPr="00072AEC">
        <w:rPr>
          <w:rFonts w:ascii="Book Antiqua" w:hAnsi="Book Antiqua" w:cs="Arial"/>
          <w:sz w:val="20"/>
          <w:szCs w:val="20"/>
        </w:rPr>
        <w:t>, Wan</w:t>
      </w:r>
      <w:r w:rsidR="00CC6A68" w:rsidRPr="00072AEC">
        <w:rPr>
          <w:rFonts w:ascii="Book Antiqua" w:hAnsi="Book Antiqua" w:cs="Arial"/>
          <w:sz w:val="20"/>
          <w:szCs w:val="20"/>
        </w:rPr>
        <w:t xml:space="preserve"> B</w:t>
      </w:r>
      <w:r w:rsidR="00676618" w:rsidRPr="00072AEC">
        <w:rPr>
          <w:rFonts w:ascii="Book Antiqua" w:hAnsi="Book Antiqua" w:cs="Arial"/>
          <w:sz w:val="20"/>
          <w:szCs w:val="20"/>
        </w:rPr>
        <w:t>, Li</w:t>
      </w:r>
      <w:r w:rsidR="00CC6A68" w:rsidRPr="00072AEC">
        <w:rPr>
          <w:rFonts w:ascii="Book Antiqua" w:hAnsi="Book Antiqua" w:cs="Arial"/>
          <w:sz w:val="20"/>
          <w:szCs w:val="20"/>
        </w:rPr>
        <w:t xml:space="preserve"> XF</w:t>
      </w:r>
      <w:r w:rsidR="00676618" w:rsidRPr="00072AEC">
        <w:rPr>
          <w:rFonts w:ascii="Book Antiqua" w:hAnsi="Book Antiqua" w:cs="Arial"/>
          <w:sz w:val="20"/>
          <w:szCs w:val="20"/>
        </w:rPr>
        <w:t xml:space="preserve">. </w:t>
      </w:r>
      <w:r w:rsidR="00676618" w:rsidRPr="00072AEC">
        <w:rPr>
          <w:rFonts w:ascii="Book Antiqua" w:hAnsi="Book Antiqua"/>
          <w:bCs/>
          <w:sz w:val="20"/>
          <w:szCs w:val="20"/>
        </w:rPr>
        <w:t xml:space="preserve">Macrophage regulation of </w:t>
      </w:r>
      <w:r w:rsidR="00CC6A68" w:rsidRPr="00072AEC">
        <w:rPr>
          <w:rFonts w:ascii="Book Antiqua" w:hAnsi="Book Antiqua"/>
          <w:bCs/>
          <w:sz w:val="20"/>
          <w:szCs w:val="20"/>
        </w:rPr>
        <w:t>graft-</w:t>
      </w:r>
      <w:r w:rsidR="00CC6A68" w:rsidRPr="00072AEC">
        <w:rPr>
          <w:rFonts w:ascii="Book Antiqua" w:hAnsi="Book Antiqua"/>
          <w:bCs/>
          <w:i/>
          <w:iCs/>
          <w:sz w:val="20"/>
          <w:szCs w:val="20"/>
        </w:rPr>
        <w:t>vs</w:t>
      </w:r>
      <w:r w:rsidR="00CC6A68" w:rsidRPr="00072AEC">
        <w:rPr>
          <w:rFonts w:ascii="Book Antiqua" w:hAnsi="Book Antiqua"/>
          <w:bCs/>
          <w:sz w:val="20"/>
          <w:szCs w:val="20"/>
        </w:rPr>
        <w:t>-host</w:t>
      </w:r>
      <w:r w:rsidR="00676618" w:rsidRPr="00072AEC">
        <w:rPr>
          <w:rFonts w:ascii="Book Antiqua" w:hAnsi="Book Antiqua"/>
          <w:bCs/>
          <w:sz w:val="20"/>
          <w:szCs w:val="20"/>
        </w:rPr>
        <w:t xml:space="preserve"> disease.</w:t>
      </w:r>
      <w:r w:rsidR="00CC6A68" w:rsidRPr="00072AEC">
        <w:rPr>
          <w:rFonts w:ascii="Book Antiqua" w:hAnsi="Book Antiqua"/>
          <w:bCs/>
          <w:sz w:val="20"/>
          <w:szCs w:val="20"/>
        </w:rPr>
        <w:t xml:space="preserve"> </w:t>
      </w:r>
      <w:r w:rsidR="00CC7465" w:rsidRPr="00072AEC">
        <w:rPr>
          <w:rFonts w:ascii="Book Antiqua" w:hAnsi="Book Antiqua"/>
          <w:i/>
          <w:iCs/>
          <w:sz w:val="20"/>
          <w:szCs w:val="20"/>
        </w:rPr>
        <w:t>World J Clin Cases</w:t>
      </w:r>
      <w:r w:rsidR="00CC7465" w:rsidRPr="00072AEC">
        <w:rPr>
          <w:rFonts w:ascii="Book Antiqua" w:eastAsia="宋体" w:hAnsi="Book Antiqua"/>
          <w:iCs/>
          <w:sz w:val="20"/>
          <w:szCs w:val="20"/>
        </w:rPr>
        <w:t xml:space="preserve"> </w:t>
      </w:r>
      <w:r w:rsidR="0099429D" w:rsidRPr="0099429D">
        <w:rPr>
          <w:rFonts w:ascii="Book Antiqua" w:eastAsia="宋体" w:hAnsi="Book Antiqua"/>
          <w:iCs/>
          <w:sz w:val="20"/>
          <w:szCs w:val="20"/>
        </w:rPr>
        <w:t xml:space="preserve">2020; 8(10): </w:t>
      </w:r>
      <w:r w:rsidR="00026BA2" w:rsidRPr="00026BA2">
        <w:rPr>
          <w:rFonts w:ascii="Book Antiqua" w:eastAsia="宋体" w:hAnsi="Book Antiqua"/>
          <w:iCs/>
          <w:sz w:val="20"/>
          <w:szCs w:val="20"/>
        </w:rPr>
        <w:t>1793-1805</w:t>
      </w:r>
      <w:r w:rsidR="0099429D" w:rsidRPr="0099429D">
        <w:rPr>
          <w:rFonts w:ascii="Book Antiqua" w:eastAsia="宋体" w:hAnsi="Book Antiqua"/>
          <w:iCs/>
          <w:sz w:val="20"/>
          <w:szCs w:val="20"/>
        </w:rPr>
        <w:t xml:space="preserve">  </w:t>
      </w:r>
    </w:p>
    <w:p w14:paraId="750D6012" w14:textId="5DECA129" w:rsidR="0099429D" w:rsidRPr="0099429D" w:rsidRDefault="0099429D" w:rsidP="0099429D">
      <w:pPr>
        <w:adjustRightInd w:val="0"/>
        <w:snapToGrid w:val="0"/>
        <w:spacing w:line="360" w:lineRule="auto"/>
        <w:rPr>
          <w:rFonts w:ascii="Book Antiqua" w:eastAsia="宋体" w:hAnsi="Book Antiqua"/>
          <w:iCs/>
          <w:sz w:val="20"/>
          <w:szCs w:val="20"/>
        </w:rPr>
      </w:pPr>
      <w:r w:rsidRPr="009A1132">
        <w:rPr>
          <w:rFonts w:ascii="Book Antiqua" w:eastAsia="宋体" w:hAnsi="Book Antiqua"/>
          <w:b/>
          <w:iCs/>
          <w:sz w:val="20"/>
          <w:szCs w:val="20"/>
        </w:rPr>
        <w:t>URL:</w:t>
      </w:r>
      <w:r w:rsidRPr="0099429D">
        <w:rPr>
          <w:rFonts w:ascii="Book Antiqua" w:eastAsia="宋体" w:hAnsi="Book Antiqua"/>
          <w:iCs/>
          <w:sz w:val="20"/>
          <w:szCs w:val="20"/>
        </w:rPr>
        <w:t xml:space="preserve"> https://www.wjgnet.com/2307-8960/full/v8/i10/</w:t>
      </w:r>
      <w:r w:rsidR="00026BA2">
        <w:rPr>
          <w:rFonts w:ascii="Book Antiqua" w:eastAsia="宋体" w:hAnsi="Book Antiqua" w:hint="eastAsia"/>
          <w:iCs/>
          <w:sz w:val="20"/>
          <w:szCs w:val="20"/>
        </w:rPr>
        <w:t>1793</w:t>
      </w:r>
      <w:r w:rsidRPr="0099429D">
        <w:rPr>
          <w:rFonts w:ascii="Book Antiqua" w:eastAsia="宋体" w:hAnsi="Book Antiqua"/>
          <w:iCs/>
          <w:sz w:val="20"/>
          <w:szCs w:val="20"/>
        </w:rPr>
        <w:t xml:space="preserve">.htm  </w:t>
      </w:r>
    </w:p>
    <w:p w14:paraId="700A15C3" w14:textId="12987D8A" w:rsidR="00676618" w:rsidRPr="0099429D" w:rsidRDefault="0099429D" w:rsidP="0099429D">
      <w:pPr>
        <w:adjustRightInd w:val="0"/>
        <w:snapToGrid w:val="0"/>
        <w:spacing w:line="360" w:lineRule="auto"/>
        <w:rPr>
          <w:rFonts w:ascii="Book Antiqua" w:eastAsia="宋体" w:hAnsi="Book Antiqua"/>
          <w:bCs/>
          <w:sz w:val="20"/>
          <w:szCs w:val="20"/>
        </w:rPr>
      </w:pPr>
      <w:r w:rsidRPr="009A1132">
        <w:rPr>
          <w:rFonts w:ascii="Book Antiqua" w:eastAsia="宋体" w:hAnsi="Book Antiqua"/>
          <w:b/>
          <w:iCs/>
          <w:sz w:val="20"/>
          <w:szCs w:val="20"/>
        </w:rPr>
        <w:t>DOI:</w:t>
      </w:r>
      <w:r w:rsidRPr="0099429D">
        <w:rPr>
          <w:rFonts w:ascii="Book Antiqua" w:eastAsia="宋体" w:hAnsi="Book Antiqua"/>
          <w:iCs/>
          <w:sz w:val="20"/>
          <w:szCs w:val="20"/>
        </w:rPr>
        <w:t xml:space="preserve"> https://dx.doi.org/10.12998/wjcc.v8.i10.</w:t>
      </w:r>
      <w:r w:rsidR="00026BA2">
        <w:rPr>
          <w:rFonts w:ascii="Book Antiqua" w:eastAsia="宋体" w:hAnsi="Book Antiqua" w:hint="eastAsia"/>
          <w:iCs/>
          <w:sz w:val="20"/>
          <w:szCs w:val="20"/>
        </w:rPr>
        <w:t>1793</w:t>
      </w:r>
      <w:bookmarkStart w:id="10" w:name="_GoBack"/>
      <w:bookmarkEnd w:id="10"/>
    </w:p>
    <w:p w14:paraId="4DF1BD58" w14:textId="77777777" w:rsidR="00676618" w:rsidRPr="00072AEC" w:rsidRDefault="00676618" w:rsidP="00072AEC">
      <w:pPr>
        <w:snapToGrid w:val="0"/>
        <w:spacing w:line="360" w:lineRule="auto"/>
        <w:rPr>
          <w:rFonts w:ascii="Book Antiqua" w:hAnsi="Book Antiqua" w:cs="Arial"/>
          <w:b/>
          <w:color w:val="000000" w:themeColor="text1"/>
          <w:sz w:val="20"/>
          <w:szCs w:val="20"/>
        </w:rPr>
      </w:pPr>
    </w:p>
    <w:p w14:paraId="4DF9BB33" w14:textId="414DB400" w:rsidR="00676618" w:rsidRPr="00072AEC" w:rsidRDefault="00CC7465" w:rsidP="00072AEC">
      <w:pPr>
        <w:snapToGrid w:val="0"/>
        <w:spacing w:line="360" w:lineRule="auto"/>
        <w:rPr>
          <w:rFonts w:ascii="Book Antiqua" w:eastAsia="宋体" w:hAnsi="Book Antiqua" w:cs="Times New Roman"/>
          <w:bCs/>
          <w:color w:val="000000" w:themeColor="text1"/>
          <w:sz w:val="20"/>
          <w:szCs w:val="20"/>
        </w:rPr>
      </w:pPr>
      <w:r w:rsidRPr="00072AEC">
        <w:rPr>
          <w:rFonts w:ascii="Book Antiqua" w:hAnsi="Book Antiqua"/>
          <w:b/>
          <w:sz w:val="20"/>
          <w:szCs w:val="20"/>
        </w:rPr>
        <w:t>Core tip:</w:t>
      </w:r>
      <w:r w:rsidRPr="00072AEC">
        <w:rPr>
          <w:rFonts w:ascii="Book Antiqua" w:eastAsia="宋体" w:hAnsi="Book Antiqua"/>
          <w:b/>
          <w:sz w:val="20"/>
          <w:szCs w:val="20"/>
        </w:rPr>
        <w:t xml:space="preserve"> </w:t>
      </w:r>
      <w:r w:rsidR="00676618" w:rsidRPr="00072AEC">
        <w:rPr>
          <w:rFonts w:ascii="Book Antiqua" w:eastAsia="宋体" w:hAnsi="Book Antiqua" w:cs="Times New Roman"/>
          <w:bCs/>
          <w:color w:val="000000" w:themeColor="text1"/>
          <w:sz w:val="20"/>
          <w:szCs w:val="20"/>
        </w:rPr>
        <w:t>Macrophage</w:t>
      </w:r>
      <w:r w:rsidR="00A15568" w:rsidRPr="00072AEC">
        <w:rPr>
          <w:rFonts w:ascii="Book Antiqua" w:eastAsia="宋体" w:hAnsi="Book Antiqua" w:cs="Times New Roman"/>
          <w:bCs/>
          <w:color w:val="000000" w:themeColor="text1"/>
          <w:sz w:val="20"/>
          <w:szCs w:val="20"/>
        </w:rPr>
        <w:t>s</w:t>
      </w:r>
      <w:r w:rsidR="00676618" w:rsidRPr="00072AEC">
        <w:rPr>
          <w:rFonts w:ascii="Book Antiqua" w:eastAsia="宋体" w:hAnsi="Book Antiqua" w:cs="Times New Roman"/>
          <w:bCs/>
          <w:color w:val="000000" w:themeColor="text1"/>
          <w:sz w:val="20"/>
          <w:szCs w:val="20"/>
        </w:rPr>
        <w:t xml:space="preserve"> tend to show a higher M1/M2 ratio in acute </w:t>
      </w:r>
      <w:r w:rsidR="00CC6A68" w:rsidRPr="00072AEC">
        <w:rPr>
          <w:rFonts w:ascii="Book Antiqua" w:hAnsi="Book Antiqua" w:cs="Arial"/>
          <w:bCs/>
          <w:color w:val="000000" w:themeColor="text1"/>
          <w:sz w:val="20"/>
          <w:szCs w:val="20"/>
        </w:rPr>
        <w:t>graft-</w:t>
      </w:r>
      <w:r w:rsidR="00CC6A68" w:rsidRPr="00072AEC">
        <w:rPr>
          <w:rFonts w:ascii="Book Antiqua" w:hAnsi="Book Antiqua" w:cs="Arial"/>
          <w:bCs/>
          <w:i/>
          <w:iCs/>
          <w:color w:val="000000" w:themeColor="text1"/>
          <w:sz w:val="20"/>
          <w:szCs w:val="20"/>
        </w:rPr>
        <w:t>vs</w:t>
      </w:r>
      <w:r w:rsidR="00CC6A68" w:rsidRPr="00072AEC">
        <w:rPr>
          <w:rFonts w:ascii="Book Antiqua" w:hAnsi="Book Antiqua" w:cs="Arial"/>
          <w:bCs/>
          <w:color w:val="000000" w:themeColor="text1"/>
          <w:sz w:val="20"/>
          <w:szCs w:val="20"/>
        </w:rPr>
        <w:t xml:space="preserve">-host disease (GVHD) </w:t>
      </w:r>
      <w:r w:rsidR="00676618" w:rsidRPr="00072AEC">
        <w:rPr>
          <w:rFonts w:ascii="Book Antiqua" w:eastAsia="宋体" w:hAnsi="Book Antiqua" w:cs="Times New Roman"/>
          <w:bCs/>
          <w:color w:val="000000" w:themeColor="text1"/>
          <w:sz w:val="20"/>
          <w:szCs w:val="20"/>
        </w:rPr>
        <w:t xml:space="preserve">and a lower M1/M2 ratio in chronic GVHD. Influence of cytokines on GVHD is controversial. Macrophages interact with alloreactive T cells in acute GVHD, </w:t>
      </w:r>
      <w:r w:rsidR="00A15568" w:rsidRPr="00072AEC">
        <w:rPr>
          <w:rFonts w:ascii="Book Antiqua" w:eastAsia="宋体" w:hAnsi="Book Antiqua" w:cs="Times New Roman"/>
          <w:bCs/>
          <w:color w:val="000000" w:themeColor="text1"/>
          <w:sz w:val="20"/>
          <w:szCs w:val="20"/>
        </w:rPr>
        <w:t>a</w:t>
      </w:r>
      <w:r w:rsidR="00676618" w:rsidRPr="00072AEC">
        <w:rPr>
          <w:rFonts w:ascii="Book Antiqua" w:eastAsia="宋体" w:hAnsi="Book Antiqua" w:cs="Times New Roman"/>
          <w:bCs/>
          <w:color w:val="000000" w:themeColor="text1"/>
          <w:sz w:val="20"/>
          <w:szCs w:val="20"/>
        </w:rPr>
        <w:t>nd the interaction among macrophage</w:t>
      </w:r>
      <w:r w:rsidR="00A15568" w:rsidRPr="00072AEC">
        <w:rPr>
          <w:rFonts w:ascii="Book Antiqua" w:eastAsia="宋体" w:hAnsi="Book Antiqua" w:cs="Times New Roman"/>
          <w:bCs/>
          <w:color w:val="000000" w:themeColor="text1"/>
          <w:sz w:val="20"/>
          <w:szCs w:val="20"/>
        </w:rPr>
        <w:t>s</w:t>
      </w:r>
      <w:r w:rsidR="00676618" w:rsidRPr="00072AEC">
        <w:rPr>
          <w:rFonts w:ascii="Book Antiqua" w:eastAsia="宋体" w:hAnsi="Book Antiqua" w:cs="Times New Roman"/>
          <w:bCs/>
          <w:color w:val="000000" w:themeColor="text1"/>
          <w:sz w:val="20"/>
          <w:szCs w:val="20"/>
        </w:rPr>
        <w:t>, B cells, fibroblast</w:t>
      </w:r>
      <w:r w:rsidR="00A15568" w:rsidRPr="00072AEC">
        <w:rPr>
          <w:rFonts w:ascii="Book Antiqua" w:eastAsia="宋体" w:hAnsi="Book Antiqua" w:cs="Times New Roman"/>
          <w:bCs/>
          <w:color w:val="000000" w:themeColor="text1"/>
          <w:sz w:val="20"/>
          <w:szCs w:val="20"/>
        </w:rPr>
        <w:t>s</w:t>
      </w:r>
      <w:r w:rsidR="00676618" w:rsidRPr="00072AEC">
        <w:rPr>
          <w:rFonts w:ascii="Book Antiqua" w:eastAsia="宋体" w:hAnsi="Book Antiqua" w:cs="Times New Roman"/>
          <w:bCs/>
          <w:color w:val="000000" w:themeColor="text1"/>
          <w:sz w:val="20"/>
          <w:szCs w:val="20"/>
        </w:rPr>
        <w:t>, and CD4+ T cells participate</w:t>
      </w:r>
      <w:r w:rsidR="00A15568" w:rsidRPr="00072AEC">
        <w:rPr>
          <w:rFonts w:ascii="Book Antiqua" w:eastAsia="宋体" w:hAnsi="Book Antiqua" w:cs="Times New Roman"/>
          <w:bCs/>
          <w:color w:val="000000" w:themeColor="text1"/>
          <w:sz w:val="20"/>
          <w:szCs w:val="20"/>
        </w:rPr>
        <w:t>s</w:t>
      </w:r>
      <w:r w:rsidR="00676618" w:rsidRPr="00072AEC">
        <w:rPr>
          <w:rFonts w:ascii="Book Antiqua" w:eastAsia="宋体" w:hAnsi="Book Antiqua" w:cs="Times New Roman"/>
          <w:bCs/>
          <w:color w:val="000000" w:themeColor="text1"/>
          <w:sz w:val="20"/>
          <w:szCs w:val="20"/>
        </w:rPr>
        <w:t xml:space="preserve"> in chronic GVHD development.</w:t>
      </w:r>
    </w:p>
    <w:p w14:paraId="008F7264" w14:textId="77777777" w:rsidR="00676618" w:rsidRPr="00072AEC" w:rsidRDefault="00676618" w:rsidP="00072AEC">
      <w:pPr>
        <w:widowControl/>
        <w:snapToGrid w:val="0"/>
        <w:spacing w:line="360" w:lineRule="auto"/>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br w:type="page"/>
      </w:r>
    </w:p>
    <w:p w14:paraId="020ABDB7" w14:textId="711CCAE7" w:rsidR="00CC7465" w:rsidRPr="00072AEC" w:rsidRDefault="00CC7465" w:rsidP="00072AEC">
      <w:pPr>
        <w:snapToGrid w:val="0"/>
        <w:spacing w:line="360" w:lineRule="auto"/>
        <w:rPr>
          <w:rFonts w:ascii="Book Antiqua" w:hAnsi="Book Antiqua" w:cs="Arial"/>
          <w:bCs/>
          <w:color w:val="000000" w:themeColor="text1"/>
          <w:sz w:val="20"/>
          <w:szCs w:val="20"/>
        </w:rPr>
      </w:pPr>
      <w:r w:rsidRPr="00072AEC">
        <w:rPr>
          <w:rFonts w:ascii="Book Antiqua" w:hAnsi="Book Antiqua"/>
          <w:b/>
          <w:sz w:val="20"/>
          <w:szCs w:val="20"/>
          <w:u w:val="single"/>
        </w:rPr>
        <w:t>INTRODUCTION</w:t>
      </w:r>
    </w:p>
    <w:p w14:paraId="75BF885A" w14:textId="1408EF00" w:rsidR="002044A9" w:rsidRPr="00072AEC" w:rsidRDefault="002044A9" w:rsidP="00072AEC">
      <w:pPr>
        <w:snapToGrid w:val="0"/>
        <w:spacing w:line="360" w:lineRule="auto"/>
        <w:rPr>
          <w:rFonts w:ascii="Book Antiqua" w:hAnsi="Book Antiqua" w:cs="Arial"/>
          <w:bCs/>
          <w:color w:val="000000" w:themeColor="text1"/>
          <w:sz w:val="20"/>
          <w:szCs w:val="20"/>
        </w:rPr>
      </w:pPr>
      <w:r w:rsidRPr="00072AEC">
        <w:rPr>
          <w:rFonts w:ascii="Book Antiqua" w:hAnsi="Book Antiqua" w:cs="Arial"/>
          <w:bCs/>
          <w:color w:val="000000" w:themeColor="text1"/>
          <w:sz w:val="20"/>
          <w:szCs w:val="20"/>
        </w:rPr>
        <w:t>As a therapy to cure</w:t>
      </w:r>
      <w:bookmarkStart w:id="11" w:name="OLE_LINK90"/>
      <w:bookmarkStart w:id="12" w:name="OLE_LINK91"/>
      <w:r w:rsidRPr="00072AEC">
        <w:rPr>
          <w:rFonts w:ascii="Book Antiqua" w:hAnsi="Book Antiqua" w:cs="Arial"/>
          <w:bCs/>
          <w:color w:val="000000" w:themeColor="text1"/>
          <w:sz w:val="20"/>
          <w:szCs w:val="20"/>
        </w:rPr>
        <w:t xml:space="preserve"> </w:t>
      </w:r>
      <w:bookmarkStart w:id="13" w:name="_Hlk25609282"/>
      <w:bookmarkEnd w:id="11"/>
      <w:bookmarkEnd w:id="12"/>
      <w:r w:rsidRPr="00072AEC">
        <w:rPr>
          <w:rFonts w:ascii="Book Antiqua" w:hAnsi="Book Antiqua" w:cs="Arial"/>
          <w:bCs/>
          <w:color w:val="000000" w:themeColor="text1"/>
          <w:sz w:val="20"/>
          <w:szCs w:val="20"/>
        </w:rPr>
        <w:t>hematopoietic malignancy</w:t>
      </w:r>
      <w:bookmarkEnd w:id="13"/>
      <w:r w:rsidRPr="00072AEC">
        <w:rPr>
          <w:rFonts w:ascii="Book Antiqua" w:hAnsi="Book Antiqua" w:cs="Arial"/>
          <w:bCs/>
          <w:color w:val="000000" w:themeColor="text1"/>
          <w:sz w:val="20"/>
          <w:szCs w:val="20"/>
        </w:rPr>
        <w:t xml:space="preserve">, allogeneic hematopoietic stem cell transplantation has greatly improved the survival rate of many malignant hematologic diseases. However, </w:t>
      </w:r>
      <w:r w:rsidR="00CC6A68" w:rsidRPr="00072AEC">
        <w:rPr>
          <w:rFonts w:ascii="Book Antiqua" w:hAnsi="Book Antiqua" w:cs="Arial"/>
          <w:bCs/>
          <w:color w:val="000000" w:themeColor="text1"/>
          <w:sz w:val="20"/>
          <w:szCs w:val="20"/>
        </w:rPr>
        <w:t>graft-</w:t>
      </w:r>
      <w:r w:rsidR="00CC6A68" w:rsidRPr="00072AEC">
        <w:rPr>
          <w:rFonts w:ascii="Book Antiqua" w:hAnsi="Book Antiqua" w:cs="Arial"/>
          <w:bCs/>
          <w:i/>
          <w:iCs/>
          <w:color w:val="000000" w:themeColor="text1"/>
          <w:sz w:val="20"/>
          <w:szCs w:val="20"/>
        </w:rPr>
        <w:t>vs</w:t>
      </w:r>
      <w:r w:rsidR="00CC6A68" w:rsidRPr="00072AEC">
        <w:rPr>
          <w:rFonts w:ascii="Book Antiqua" w:hAnsi="Book Antiqua" w:cs="Arial"/>
          <w:bCs/>
          <w:color w:val="000000" w:themeColor="text1"/>
          <w:sz w:val="20"/>
          <w:szCs w:val="20"/>
        </w:rPr>
        <w:t>-host</w:t>
      </w:r>
      <w:r w:rsidRPr="00072AEC">
        <w:rPr>
          <w:rFonts w:ascii="Book Antiqua" w:hAnsi="Book Antiqua" w:cs="Arial"/>
          <w:bCs/>
          <w:color w:val="000000" w:themeColor="text1"/>
          <w:sz w:val="20"/>
          <w:szCs w:val="20"/>
        </w:rPr>
        <w:t xml:space="preserve"> disease (GVHD) can occur after transplantation as a major complication and cause non-relapse mortality principally</w:t>
      </w:r>
      <w:r w:rsidRPr="00072AEC">
        <w:rPr>
          <w:rFonts w:ascii="Book Antiqua" w:hAnsi="Book Antiqua" w:cs="Arial"/>
          <w:bCs/>
          <w:color w:val="000000" w:themeColor="text1"/>
          <w:sz w:val="20"/>
          <w:szCs w:val="20"/>
          <w:vertAlign w:val="superscript"/>
        </w:rPr>
        <w:t>[1]</w:t>
      </w:r>
      <w:r w:rsidRPr="00072AEC">
        <w:rPr>
          <w:rFonts w:ascii="Book Antiqua" w:hAnsi="Book Antiqua" w:cs="Arial"/>
          <w:bCs/>
          <w:color w:val="000000" w:themeColor="text1"/>
          <w:sz w:val="20"/>
          <w:szCs w:val="20"/>
        </w:rPr>
        <w:t>. GVHD is classified into acute GVHD and chronic GVHD. It is not the temporal relationship to transplantation, but clinical features that should be considered to identify acute or chronic GVHD syndromes</w:t>
      </w:r>
      <w:r w:rsidRPr="00072AEC">
        <w:rPr>
          <w:rFonts w:ascii="Book Antiqua" w:hAnsi="Book Antiqua" w:cs="Arial"/>
          <w:bCs/>
          <w:color w:val="000000" w:themeColor="text1"/>
          <w:sz w:val="20"/>
          <w:szCs w:val="20"/>
          <w:vertAlign w:val="superscript"/>
        </w:rPr>
        <w:t>[2]</w:t>
      </w:r>
      <w:r w:rsidRPr="00072AEC">
        <w:rPr>
          <w:rFonts w:ascii="Book Antiqua" w:hAnsi="Book Antiqua" w:cs="Arial"/>
          <w:bCs/>
          <w:color w:val="000000" w:themeColor="text1"/>
          <w:sz w:val="20"/>
          <w:szCs w:val="20"/>
        </w:rPr>
        <w:t>. Three classic target organs of acute GVHD, including skin, gastrointestinal</w:t>
      </w:r>
      <w:r w:rsidR="0029573F" w:rsidRPr="00072AEC">
        <w:rPr>
          <w:rFonts w:ascii="Book Antiqua" w:hAnsi="Book Antiqua" w:cs="Arial"/>
          <w:bCs/>
          <w:color w:val="000000" w:themeColor="text1"/>
          <w:sz w:val="20"/>
          <w:szCs w:val="20"/>
        </w:rPr>
        <w:t xml:space="preserve"> (GI)</w:t>
      </w:r>
      <w:r w:rsidRPr="00072AEC">
        <w:rPr>
          <w:rFonts w:ascii="Book Antiqua" w:hAnsi="Book Antiqua" w:cs="Arial"/>
          <w:bCs/>
          <w:color w:val="000000" w:themeColor="text1"/>
          <w:sz w:val="20"/>
          <w:szCs w:val="20"/>
        </w:rPr>
        <w:t xml:space="preserve"> tract and liver, and eight essential organs of chronic GVHD, including skin, mouth, eyes, </w:t>
      </w:r>
      <w:r w:rsidR="0029573F" w:rsidRPr="00072AEC">
        <w:rPr>
          <w:rFonts w:ascii="Book Antiqua" w:hAnsi="Book Antiqua" w:cs="Arial"/>
          <w:bCs/>
          <w:color w:val="000000" w:themeColor="text1"/>
          <w:sz w:val="20"/>
          <w:szCs w:val="20"/>
        </w:rPr>
        <w:t>GI</w:t>
      </w:r>
      <w:r w:rsidRPr="00072AEC">
        <w:rPr>
          <w:rFonts w:ascii="Book Antiqua" w:hAnsi="Book Antiqua" w:cs="Arial"/>
          <w:bCs/>
          <w:color w:val="000000" w:themeColor="text1"/>
          <w:sz w:val="20"/>
          <w:szCs w:val="20"/>
        </w:rPr>
        <w:t xml:space="preserve"> tract, liver, lung, joint and fascia, and genital tract, are recommended to calculate </w:t>
      </w:r>
      <w:r w:rsidR="00DE621E" w:rsidRPr="00072AEC">
        <w:rPr>
          <w:rFonts w:ascii="Book Antiqua" w:hAnsi="Book Antiqua" w:cs="Arial"/>
          <w:bCs/>
          <w:color w:val="000000" w:themeColor="text1"/>
          <w:sz w:val="20"/>
          <w:szCs w:val="20"/>
        </w:rPr>
        <w:t xml:space="preserve">the </w:t>
      </w:r>
      <w:r w:rsidRPr="00072AEC">
        <w:rPr>
          <w:rFonts w:ascii="Book Antiqua" w:hAnsi="Book Antiqua" w:cs="Arial"/>
          <w:bCs/>
          <w:color w:val="000000" w:themeColor="text1"/>
          <w:sz w:val="20"/>
          <w:szCs w:val="20"/>
        </w:rPr>
        <w:t>score of chronic GVHD based on the global scoring system evaluating targeted organs and general status</w:t>
      </w:r>
      <w:r w:rsidR="00DE621E" w:rsidRPr="00072AEC">
        <w:rPr>
          <w:rFonts w:ascii="Book Antiqua" w:hAnsi="Book Antiqua" w:cs="Arial"/>
          <w:bCs/>
          <w:color w:val="000000" w:themeColor="text1"/>
          <w:sz w:val="20"/>
          <w:szCs w:val="20"/>
        </w:rPr>
        <w:t>.</w:t>
      </w:r>
      <w:r w:rsidRPr="00072AEC">
        <w:rPr>
          <w:rFonts w:ascii="Book Antiqua" w:hAnsi="Book Antiqua" w:cs="Arial"/>
          <w:bCs/>
          <w:color w:val="000000" w:themeColor="text1"/>
          <w:sz w:val="20"/>
          <w:szCs w:val="20"/>
        </w:rPr>
        <w:t xml:space="preserve"> GVHD severity </w:t>
      </w:r>
      <w:r w:rsidR="00DE621E" w:rsidRPr="00072AEC">
        <w:rPr>
          <w:rFonts w:ascii="Book Antiqua" w:hAnsi="Book Antiqua" w:cs="Arial"/>
          <w:bCs/>
          <w:color w:val="000000" w:themeColor="text1"/>
          <w:sz w:val="20"/>
          <w:szCs w:val="20"/>
        </w:rPr>
        <w:t>is</w:t>
      </w:r>
      <w:r w:rsidRPr="00072AEC">
        <w:rPr>
          <w:rFonts w:ascii="Book Antiqua" w:hAnsi="Book Antiqua" w:cs="Arial"/>
          <w:bCs/>
          <w:color w:val="000000" w:themeColor="text1"/>
          <w:sz w:val="20"/>
          <w:szCs w:val="20"/>
        </w:rPr>
        <w:t xml:space="preserve"> described as mild,</w:t>
      </w:r>
      <w:r w:rsidRPr="00072AEC">
        <w:rPr>
          <w:rFonts w:ascii="Book Antiqua" w:hAnsi="Book Antiqua"/>
          <w:color w:val="000000" w:themeColor="text1"/>
          <w:sz w:val="20"/>
          <w:szCs w:val="20"/>
        </w:rPr>
        <w:t xml:space="preserve"> </w:t>
      </w:r>
      <w:r w:rsidRPr="00072AEC">
        <w:rPr>
          <w:rFonts w:ascii="Book Antiqua" w:hAnsi="Book Antiqua" w:cs="Arial"/>
          <w:bCs/>
          <w:color w:val="000000" w:themeColor="text1"/>
          <w:sz w:val="20"/>
          <w:szCs w:val="20"/>
        </w:rPr>
        <w:t>moderate, and severe</w:t>
      </w:r>
      <w:r w:rsidRPr="00072AEC">
        <w:rPr>
          <w:rFonts w:ascii="Book Antiqua" w:hAnsi="Book Antiqua" w:cs="Arial"/>
          <w:bCs/>
          <w:color w:val="000000" w:themeColor="text1"/>
          <w:sz w:val="20"/>
          <w:szCs w:val="20"/>
          <w:vertAlign w:val="superscript"/>
        </w:rPr>
        <w:t>[3,4]</w:t>
      </w:r>
      <w:r w:rsidRPr="00072AEC">
        <w:rPr>
          <w:rFonts w:ascii="Book Antiqua" w:hAnsi="Book Antiqua" w:cs="Arial"/>
          <w:bCs/>
          <w:color w:val="000000" w:themeColor="text1"/>
          <w:sz w:val="20"/>
          <w:szCs w:val="20"/>
        </w:rPr>
        <w:t>.</w:t>
      </w:r>
    </w:p>
    <w:p w14:paraId="5F00670E" w14:textId="0D81C2C2" w:rsidR="0029573F" w:rsidRPr="00072AEC" w:rsidRDefault="002044A9" w:rsidP="00072AEC">
      <w:pPr>
        <w:snapToGrid w:val="0"/>
        <w:spacing w:line="360" w:lineRule="auto"/>
        <w:ind w:firstLineChars="200" w:firstLine="400"/>
        <w:rPr>
          <w:rFonts w:ascii="Book Antiqua" w:hAnsi="Book Antiqua" w:cs="Arial"/>
          <w:bCs/>
          <w:color w:val="000000" w:themeColor="text1"/>
          <w:sz w:val="20"/>
          <w:szCs w:val="20"/>
        </w:rPr>
      </w:pPr>
      <w:r w:rsidRPr="00072AEC">
        <w:rPr>
          <w:rFonts w:ascii="Book Antiqua" w:hAnsi="Book Antiqua" w:cs="Arial"/>
          <w:bCs/>
          <w:color w:val="000000" w:themeColor="text1"/>
          <w:sz w:val="20"/>
          <w:szCs w:val="20"/>
        </w:rPr>
        <w:t xml:space="preserve">The mechanism of GVHD is not </w:t>
      </w:r>
      <w:r w:rsidR="00DE621E" w:rsidRPr="00072AEC">
        <w:rPr>
          <w:rFonts w:ascii="Book Antiqua" w:hAnsi="Book Antiqua" w:cs="Arial"/>
          <w:bCs/>
          <w:color w:val="000000" w:themeColor="text1"/>
          <w:sz w:val="20"/>
          <w:szCs w:val="20"/>
        </w:rPr>
        <w:t xml:space="preserve">clearly </w:t>
      </w:r>
      <w:r w:rsidRPr="00072AEC">
        <w:rPr>
          <w:rFonts w:ascii="Book Antiqua" w:hAnsi="Book Antiqua" w:cs="Arial"/>
          <w:bCs/>
          <w:color w:val="000000" w:themeColor="text1"/>
          <w:sz w:val="20"/>
          <w:szCs w:val="20"/>
        </w:rPr>
        <w:t>understood.</w:t>
      </w:r>
      <w:r w:rsidRPr="00072AEC">
        <w:rPr>
          <w:rFonts w:ascii="Book Antiqua" w:hAnsi="Book Antiqua"/>
          <w:color w:val="000000" w:themeColor="text1"/>
          <w:sz w:val="20"/>
          <w:szCs w:val="20"/>
        </w:rPr>
        <w:t xml:space="preserve"> </w:t>
      </w:r>
      <w:r w:rsidRPr="00072AEC">
        <w:rPr>
          <w:rFonts w:ascii="Book Antiqua" w:hAnsi="Book Antiqua" w:cs="Arial"/>
          <w:bCs/>
          <w:color w:val="000000" w:themeColor="text1"/>
          <w:sz w:val="20"/>
          <w:szCs w:val="20"/>
        </w:rPr>
        <w:t>Tissue damage caused by conditioning regimens, chemotherapy</w:t>
      </w:r>
      <w:r w:rsidR="002D78B6" w:rsidRPr="00072AEC">
        <w:rPr>
          <w:rFonts w:ascii="Book Antiqua" w:hAnsi="Book Antiqua" w:cs="Arial"/>
          <w:bCs/>
          <w:color w:val="000000" w:themeColor="text1"/>
          <w:sz w:val="20"/>
          <w:szCs w:val="20"/>
        </w:rPr>
        <w:t>,</w:t>
      </w:r>
      <w:r w:rsidRPr="00072AEC">
        <w:rPr>
          <w:rFonts w:ascii="Book Antiqua" w:hAnsi="Book Antiqua" w:cs="Arial"/>
          <w:bCs/>
          <w:color w:val="000000" w:themeColor="text1"/>
          <w:sz w:val="20"/>
          <w:szCs w:val="20"/>
        </w:rPr>
        <w:t xml:space="preserve"> and total body irradiation is essential in GVHD biology</w:t>
      </w:r>
      <w:r w:rsidRPr="00072AEC">
        <w:rPr>
          <w:rFonts w:ascii="Book Antiqua" w:hAnsi="Book Antiqua" w:cs="Arial"/>
          <w:bCs/>
          <w:color w:val="000000" w:themeColor="text1"/>
          <w:sz w:val="20"/>
          <w:szCs w:val="20"/>
          <w:vertAlign w:val="superscript"/>
        </w:rPr>
        <w:t>[5]</w:t>
      </w:r>
      <w:r w:rsidRPr="00072AEC">
        <w:rPr>
          <w:rFonts w:ascii="Book Antiqua" w:hAnsi="Book Antiqua" w:cs="Arial"/>
          <w:bCs/>
          <w:color w:val="000000" w:themeColor="text1"/>
          <w:sz w:val="20"/>
          <w:szCs w:val="20"/>
        </w:rPr>
        <w:t>. Recipient human leukocyte antigen mismatching is a great risk of GVHD</w:t>
      </w:r>
      <w:r w:rsidRPr="00072AEC">
        <w:rPr>
          <w:rFonts w:ascii="Book Antiqua" w:hAnsi="Book Antiqua" w:cs="Arial"/>
          <w:bCs/>
          <w:color w:val="000000" w:themeColor="text1"/>
          <w:sz w:val="20"/>
          <w:szCs w:val="20"/>
          <w:vertAlign w:val="superscript"/>
        </w:rPr>
        <w:t>[6-8]</w:t>
      </w:r>
      <w:r w:rsidRPr="00072AEC">
        <w:rPr>
          <w:rFonts w:ascii="Book Antiqua" w:hAnsi="Book Antiqua" w:cs="Arial"/>
          <w:bCs/>
          <w:color w:val="000000" w:themeColor="text1"/>
          <w:sz w:val="20"/>
          <w:szCs w:val="20"/>
        </w:rPr>
        <w:t xml:space="preserve"> because it can prime the alloreactive T cell reaction with the help of antigen present</w:t>
      </w:r>
      <w:r w:rsidR="002D78B6" w:rsidRPr="00072AEC">
        <w:rPr>
          <w:rFonts w:ascii="Book Antiqua" w:hAnsi="Book Antiqua" w:cs="Arial"/>
          <w:bCs/>
          <w:color w:val="000000" w:themeColor="text1"/>
          <w:sz w:val="20"/>
          <w:szCs w:val="20"/>
        </w:rPr>
        <w:t xml:space="preserve">ing </w:t>
      </w:r>
      <w:r w:rsidRPr="00072AEC">
        <w:rPr>
          <w:rFonts w:ascii="Book Antiqua" w:hAnsi="Book Antiqua" w:cs="Arial"/>
          <w:bCs/>
          <w:color w:val="000000" w:themeColor="text1"/>
          <w:sz w:val="20"/>
          <w:szCs w:val="20"/>
        </w:rPr>
        <w:t>cells. Alloreactive T cells recognize the recipient as non-self, attack the target organs of recipients</w:t>
      </w:r>
      <w:r w:rsidR="002D78B6" w:rsidRPr="00072AEC">
        <w:rPr>
          <w:rFonts w:ascii="Book Antiqua" w:hAnsi="Book Antiqua" w:cs="Arial"/>
          <w:bCs/>
          <w:color w:val="000000" w:themeColor="text1"/>
          <w:sz w:val="20"/>
          <w:szCs w:val="20"/>
        </w:rPr>
        <w:t>,</w:t>
      </w:r>
      <w:r w:rsidRPr="00072AEC">
        <w:rPr>
          <w:rFonts w:ascii="Book Antiqua" w:hAnsi="Book Antiqua" w:cs="Arial"/>
          <w:bCs/>
          <w:color w:val="000000" w:themeColor="text1"/>
          <w:sz w:val="20"/>
          <w:szCs w:val="20"/>
        </w:rPr>
        <w:t xml:space="preserve"> and initiate GVHD</w:t>
      </w:r>
      <w:r w:rsidRPr="00072AEC">
        <w:rPr>
          <w:rFonts w:ascii="Book Antiqua" w:hAnsi="Book Antiqua" w:cs="Arial"/>
          <w:bCs/>
          <w:color w:val="000000" w:themeColor="text1"/>
          <w:sz w:val="20"/>
          <w:szCs w:val="20"/>
          <w:vertAlign w:val="superscript"/>
        </w:rPr>
        <w:t>[9]</w:t>
      </w:r>
      <w:r w:rsidRPr="00072AEC">
        <w:rPr>
          <w:rFonts w:ascii="Book Antiqua" w:hAnsi="Book Antiqua" w:cs="Arial"/>
          <w:bCs/>
          <w:color w:val="000000" w:themeColor="text1"/>
          <w:sz w:val="20"/>
          <w:szCs w:val="20"/>
        </w:rPr>
        <w:t>. Antigen presentation, naive T cell differentiation, evoked cytolytic machinery, and cytokine regulation network establish the process of acute GVHD</w:t>
      </w:r>
      <w:r w:rsidRPr="00072AEC">
        <w:rPr>
          <w:rFonts w:ascii="Book Antiqua" w:hAnsi="Book Antiqua" w:cs="Arial"/>
          <w:bCs/>
          <w:color w:val="000000" w:themeColor="text1"/>
          <w:sz w:val="20"/>
          <w:szCs w:val="20"/>
          <w:vertAlign w:val="superscript"/>
        </w:rPr>
        <w:t>[10-13]</w:t>
      </w:r>
      <w:r w:rsidRPr="00072AEC">
        <w:rPr>
          <w:rFonts w:ascii="Book Antiqua" w:hAnsi="Book Antiqua" w:cs="Arial"/>
          <w:bCs/>
          <w:color w:val="000000" w:themeColor="text1"/>
          <w:sz w:val="20"/>
          <w:szCs w:val="20"/>
        </w:rPr>
        <w:t>. The final effect of these mechanisms in acute GVHD is apoptosis caused by cytolytic effector and cytokine storms from adaptive and innate immune cells, whereas end-organ fibrosis is a prominent feature of chronic GVHD</w:t>
      </w:r>
      <w:r w:rsidRPr="00072AEC">
        <w:rPr>
          <w:rFonts w:ascii="Book Antiqua" w:hAnsi="Book Antiqua" w:cs="Arial"/>
          <w:bCs/>
          <w:color w:val="000000" w:themeColor="text1"/>
          <w:sz w:val="20"/>
          <w:szCs w:val="20"/>
          <w:vertAlign w:val="superscript"/>
        </w:rPr>
        <w:t>[12]</w:t>
      </w:r>
      <w:r w:rsidRPr="00072AEC">
        <w:rPr>
          <w:rFonts w:ascii="Book Antiqua" w:hAnsi="Book Antiqua" w:cs="Arial"/>
          <w:bCs/>
          <w:color w:val="000000" w:themeColor="text1"/>
          <w:sz w:val="20"/>
          <w:szCs w:val="20"/>
        </w:rPr>
        <w:t xml:space="preserve">. Characteristic chronic GVHD is caused by impaired thymic damage, reaction of pathogenic germinal center (GC) B cells and macrophages, unbalanced T cells differentiation with accumulation of Th17/Tc17 and </w:t>
      </w:r>
      <w:r w:rsidRPr="00072AEC">
        <w:rPr>
          <w:rFonts w:ascii="Book Antiqua" w:hAnsi="Book Antiqua" w:cs="Arial"/>
          <w:color w:val="000000" w:themeColor="text1"/>
          <w:sz w:val="20"/>
          <w:szCs w:val="20"/>
        </w:rPr>
        <w:t>T follicular helper (Tfh)</w:t>
      </w:r>
      <w:r w:rsidRPr="00072AEC">
        <w:rPr>
          <w:rFonts w:ascii="Book Antiqua" w:hAnsi="Book Antiqua" w:cs="Arial"/>
          <w:bCs/>
          <w:color w:val="000000" w:themeColor="text1"/>
          <w:sz w:val="20"/>
          <w:szCs w:val="20"/>
        </w:rPr>
        <w:t xml:space="preserve"> cells </w:t>
      </w:r>
      <w:r w:rsidR="00BA5BCD" w:rsidRPr="00072AEC">
        <w:rPr>
          <w:rFonts w:ascii="Book Antiqua" w:hAnsi="Book Antiqua" w:cs="Arial"/>
          <w:bCs/>
          <w:color w:val="000000" w:themeColor="text1"/>
          <w:sz w:val="20"/>
          <w:szCs w:val="20"/>
        </w:rPr>
        <w:t xml:space="preserve">and </w:t>
      </w:r>
      <w:r w:rsidRPr="00072AEC">
        <w:rPr>
          <w:rFonts w:ascii="Book Antiqua" w:hAnsi="Book Antiqua" w:cs="Arial"/>
          <w:bCs/>
          <w:color w:val="000000" w:themeColor="text1"/>
          <w:sz w:val="20"/>
          <w:szCs w:val="20"/>
        </w:rPr>
        <w:t xml:space="preserve">suppression of </w:t>
      </w:r>
      <w:r w:rsidRPr="00072AEC">
        <w:rPr>
          <w:rFonts w:ascii="Book Antiqua" w:hAnsi="Book Antiqua" w:cs="Arial"/>
          <w:color w:val="000000" w:themeColor="text1"/>
          <w:sz w:val="20"/>
          <w:szCs w:val="20"/>
        </w:rPr>
        <w:t>T regulatory (</w:t>
      </w:r>
      <w:r w:rsidRPr="00072AEC">
        <w:rPr>
          <w:rFonts w:ascii="Book Antiqua" w:hAnsi="Book Antiqua" w:cs="Arial"/>
          <w:bCs/>
          <w:color w:val="000000" w:themeColor="text1"/>
          <w:sz w:val="20"/>
          <w:szCs w:val="20"/>
        </w:rPr>
        <w:t>Treg) cells, antibod</w:t>
      </w:r>
      <w:r w:rsidR="00BA5BCD" w:rsidRPr="00072AEC">
        <w:rPr>
          <w:rFonts w:ascii="Book Antiqua" w:hAnsi="Book Antiqua" w:cs="Arial"/>
          <w:bCs/>
          <w:color w:val="000000" w:themeColor="text1"/>
          <w:sz w:val="20"/>
          <w:szCs w:val="20"/>
        </w:rPr>
        <w:t>y</w:t>
      </w:r>
      <w:r w:rsidRPr="00072AEC">
        <w:rPr>
          <w:rFonts w:ascii="Book Antiqua" w:hAnsi="Book Antiqua" w:cs="Arial"/>
          <w:bCs/>
          <w:color w:val="000000" w:themeColor="text1"/>
          <w:sz w:val="20"/>
          <w:szCs w:val="20"/>
        </w:rPr>
        <w:t xml:space="preserve"> disposition and concomitant cytokine production </w:t>
      </w:r>
      <w:r w:rsidR="00BA5BCD" w:rsidRPr="00072AEC">
        <w:rPr>
          <w:rFonts w:ascii="Book Antiqua" w:hAnsi="Book Antiqua" w:cs="Arial"/>
          <w:bCs/>
          <w:color w:val="000000" w:themeColor="text1"/>
          <w:sz w:val="20"/>
          <w:szCs w:val="20"/>
        </w:rPr>
        <w:t>(</w:t>
      </w:r>
      <w:r w:rsidR="00BA5BCD" w:rsidRPr="00072AEC">
        <w:rPr>
          <w:rFonts w:ascii="Book Antiqua" w:hAnsi="Book Antiqua" w:cs="Arial"/>
          <w:bCs/>
          <w:i/>
          <w:iCs/>
          <w:color w:val="000000" w:themeColor="text1"/>
          <w:sz w:val="20"/>
          <w:szCs w:val="20"/>
        </w:rPr>
        <w:t>e.g.</w:t>
      </w:r>
      <w:r w:rsidR="00072AEC">
        <w:rPr>
          <w:rFonts w:ascii="Book Antiqua" w:hAnsi="Book Antiqua" w:cs="Arial"/>
          <w:bCs/>
          <w:color w:val="000000" w:themeColor="text1"/>
          <w:sz w:val="20"/>
          <w:szCs w:val="20"/>
        </w:rPr>
        <w:t>,</w:t>
      </w:r>
      <w:r w:rsidR="00BA5BCD" w:rsidRPr="00072AEC">
        <w:rPr>
          <w:rFonts w:ascii="Book Antiqua" w:hAnsi="Book Antiqua" w:cs="Arial"/>
          <w:bCs/>
          <w:i/>
          <w:iCs/>
          <w:color w:val="000000" w:themeColor="text1"/>
          <w:sz w:val="20"/>
          <w:szCs w:val="20"/>
        </w:rPr>
        <w:t xml:space="preserve"> </w:t>
      </w:r>
      <w:r w:rsidRPr="00072AEC">
        <w:rPr>
          <w:rFonts w:ascii="Book Antiqua" w:hAnsi="Book Antiqua" w:cs="Arial"/>
          <w:bCs/>
          <w:color w:val="000000" w:themeColor="text1"/>
          <w:sz w:val="20"/>
          <w:szCs w:val="20"/>
        </w:rPr>
        <w:t xml:space="preserve">increased </w:t>
      </w:r>
      <w:r w:rsidR="00CC6A68" w:rsidRPr="00072AEC">
        <w:rPr>
          <w:rFonts w:ascii="Book Antiqua" w:hAnsi="Book Antiqua" w:cs="Arial"/>
          <w:bCs/>
          <w:color w:val="000000" w:themeColor="text1"/>
          <w:sz w:val="20"/>
          <w:szCs w:val="20"/>
        </w:rPr>
        <w:t>transforming growth factor (</w:t>
      </w:r>
      <w:r w:rsidRPr="00072AEC">
        <w:rPr>
          <w:rFonts w:ascii="Book Antiqua" w:hAnsi="Book Antiqua" w:cs="Arial"/>
          <w:bCs/>
          <w:color w:val="000000" w:themeColor="text1"/>
          <w:sz w:val="20"/>
          <w:szCs w:val="20"/>
        </w:rPr>
        <w:t>TGF</w:t>
      </w:r>
      <w:r w:rsidR="00CC6A68" w:rsidRPr="00072AEC">
        <w:rPr>
          <w:rFonts w:ascii="Book Antiqua" w:hAnsi="Book Antiqua" w:cs="Arial"/>
          <w:bCs/>
          <w:color w:val="000000" w:themeColor="text1"/>
          <w:sz w:val="20"/>
          <w:szCs w:val="20"/>
        </w:rPr>
        <w:t>)</w:t>
      </w:r>
      <w:r w:rsidRPr="00072AEC">
        <w:rPr>
          <w:rFonts w:ascii="Book Antiqua" w:hAnsi="Book Antiqua" w:cs="Arial"/>
          <w:bCs/>
          <w:color w:val="000000" w:themeColor="text1"/>
          <w:sz w:val="20"/>
          <w:szCs w:val="20"/>
        </w:rPr>
        <w:t>-β, interleukin</w:t>
      </w:r>
      <w:r w:rsidR="00CC6A68" w:rsidRPr="00072AEC">
        <w:rPr>
          <w:rFonts w:ascii="Book Antiqua" w:hAnsi="Book Antiqua" w:cs="Arial"/>
          <w:bCs/>
          <w:color w:val="000000" w:themeColor="text1"/>
          <w:sz w:val="20"/>
          <w:szCs w:val="20"/>
        </w:rPr>
        <w:t xml:space="preserve"> </w:t>
      </w:r>
      <w:r w:rsidRPr="00072AEC">
        <w:rPr>
          <w:rFonts w:ascii="Book Antiqua" w:hAnsi="Book Antiqua" w:cs="Arial"/>
          <w:bCs/>
          <w:color w:val="000000" w:themeColor="text1"/>
          <w:sz w:val="20"/>
          <w:szCs w:val="20"/>
        </w:rPr>
        <w:t>(IL)-17 from Th17, IL-21 produced by Tfh driving GC B cell formation and antibody secretion</w:t>
      </w:r>
      <w:r w:rsidR="00BA5BCD" w:rsidRPr="00072AEC">
        <w:rPr>
          <w:rFonts w:ascii="Book Antiqua" w:hAnsi="Book Antiqua" w:cs="Arial"/>
          <w:bCs/>
          <w:color w:val="000000" w:themeColor="text1"/>
          <w:sz w:val="20"/>
          <w:szCs w:val="20"/>
        </w:rPr>
        <w:t>)</w:t>
      </w:r>
      <w:r w:rsidRPr="00072AEC">
        <w:rPr>
          <w:rFonts w:ascii="Book Antiqua" w:hAnsi="Book Antiqua" w:cs="Arial"/>
          <w:bCs/>
          <w:color w:val="000000" w:themeColor="text1"/>
          <w:sz w:val="20"/>
          <w:szCs w:val="20"/>
          <w:vertAlign w:val="superscript"/>
        </w:rPr>
        <w:t>[14,15]</w:t>
      </w:r>
      <w:r w:rsidRPr="00072AEC">
        <w:rPr>
          <w:rFonts w:ascii="Book Antiqua" w:hAnsi="Book Antiqua" w:cs="Arial"/>
          <w:bCs/>
          <w:color w:val="000000" w:themeColor="text1"/>
          <w:sz w:val="20"/>
          <w:szCs w:val="20"/>
        </w:rPr>
        <w:t xml:space="preserve">. </w:t>
      </w:r>
      <w:r w:rsidR="00BA5BCD" w:rsidRPr="00072AEC">
        <w:rPr>
          <w:rFonts w:ascii="Book Antiqua" w:hAnsi="Book Antiqua" w:cs="Arial"/>
          <w:bCs/>
          <w:color w:val="000000" w:themeColor="text1"/>
          <w:sz w:val="20"/>
          <w:szCs w:val="20"/>
        </w:rPr>
        <w:t>T</w:t>
      </w:r>
      <w:r w:rsidRPr="00072AEC">
        <w:rPr>
          <w:rFonts w:ascii="Book Antiqua" w:hAnsi="Book Antiqua" w:cs="Arial"/>
          <w:bCs/>
          <w:color w:val="000000" w:themeColor="text1"/>
          <w:sz w:val="20"/>
          <w:szCs w:val="20"/>
        </w:rPr>
        <w:t xml:space="preserve">herapies </w:t>
      </w:r>
      <w:r w:rsidR="0081308D" w:rsidRPr="00072AEC">
        <w:rPr>
          <w:rFonts w:ascii="Book Antiqua" w:hAnsi="Book Antiqua" w:cs="Arial"/>
          <w:bCs/>
          <w:color w:val="000000" w:themeColor="text1"/>
          <w:sz w:val="20"/>
          <w:szCs w:val="20"/>
        </w:rPr>
        <w:t xml:space="preserve">have </w:t>
      </w:r>
      <w:r w:rsidRPr="00072AEC">
        <w:rPr>
          <w:rFonts w:ascii="Book Antiqua" w:hAnsi="Book Antiqua" w:cs="Arial"/>
          <w:bCs/>
          <w:color w:val="000000" w:themeColor="text1"/>
          <w:sz w:val="20"/>
          <w:szCs w:val="20"/>
        </w:rPr>
        <w:t>work</w:t>
      </w:r>
      <w:r w:rsidR="0081308D" w:rsidRPr="00072AEC">
        <w:rPr>
          <w:rFonts w:ascii="Book Antiqua" w:hAnsi="Book Antiqua" w:cs="Arial"/>
          <w:bCs/>
          <w:color w:val="000000" w:themeColor="text1"/>
          <w:sz w:val="20"/>
          <w:szCs w:val="20"/>
        </w:rPr>
        <w:t>ed</w:t>
      </w:r>
      <w:r w:rsidRPr="00072AEC">
        <w:rPr>
          <w:rFonts w:ascii="Book Antiqua" w:hAnsi="Book Antiqua" w:cs="Arial"/>
          <w:bCs/>
          <w:color w:val="000000" w:themeColor="text1"/>
          <w:sz w:val="20"/>
          <w:szCs w:val="20"/>
        </w:rPr>
        <w:t xml:space="preserve"> </w:t>
      </w:r>
      <w:r w:rsidRPr="00072AEC">
        <w:rPr>
          <w:rFonts w:ascii="Book Antiqua" w:hAnsi="Book Antiqua" w:cs="Arial"/>
          <w:bCs/>
          <w:i/>
          <w:iCs/>
          <w:color w:val="000000" w:themeColor="text1"/>
          <w:sz w:val="20"/>
          <w:szCs w:val="20"/>
        </w:rPr>
        <w:t>via</w:t>
      </w:r>
      <w:r w:rsidRPr="00072AEC">
        <w:rPr>
          <w:rFonts w:ascii="Book Antiqua" w:hAnsi="Book Antiqua" w:cs="Arial"/>
          <w:bCs/>
          <w:color w:val="000000" w:themeColor="text1"/>
          <w:sz w:val="20"/>
          <w:szCs w:val="20"/>
        </w:rPr>
        <w:t xml:space="preserve"> targeting T cells or B cells, infusing immune regulatory cell</w:t>
      </w:r>
      <w:r w:rsidR="0081308D" w:rsidRPr="00072AEC">
        <w:rPr>
          <w:rFonts w:ascii="Book Antiqua" w:hAnsi="Book Antiqua" w:cs="Arial"/>
          <w:bCs/>
          <w:color w:val="000000" w:themeColor="text1"/>
          <w:sz w:val="20"/>
          <w:szCs w:val="20"/>
        </w:rPr>
        <w:t>s,</w:t>
      </w:r>
      <w:r w:rsidRPr="00072AEC">
        <w:rPr>
          <w:rFonts w:ascii="Book Antiqua" w:hAnsi="Book Antiqua" w:cs="Arial"/>
          <w:bCs/>
          <w:color w:val="000000" w:themeColor="text1"/>
          <w:sz w:val="20"/>
          <w:szCs w:val="20"/>
        </w:rPr>
        <w:t xml:space="preserve"> and using cytokine antagonists</w:t>
      </w:r>
      <w:r w:rsidRPr="00072AEC">
        <w:rPr>
          <w:rFonts w:ascii="Book Antiqua" w:hAnsi="Book Antiqua" w:cs="Arial"/>
          <w:bCs/>
          <w:color w:val="000000" w:themeColor="text1"/>
          <w:sz w:val="20"/>
          <w:szCs w:val="20"/>
          <w:vertAlign w:val="superscript"/>
        </w:rPr>
        <w:t>[11,16-18]</w:t>
      </w:r>
      <w:r w:rsidRPr="00072AEC">
        <w:rPr>
          <w:rFonts w:ascii="Book Antiqua" w:hAnsi="Book Antiqua" w:cs="Arial"/>
          <w:bCs/>
          <w:color w:val="000000" w:themeColor="text1"/>
          <w:sz w:val="20"/>
          <w:szCs w:val="20"/>
        </w:rPr>
        <w:t xml:space="preserve">. </w:t>
      </w:r>
      <w:r w:rsidR="0081308D" w:rsidRPr="00072AEC">
        <w:rPr>
          <w:rFonts w:ascii="Book Antiqua" w:hAnsi="Book Antiqua" w:cs="Arial"/>
          <w:bCs/>
          <w:color w:val="000000" w:themeColor="text1"/>
          <w:sz w:val="20"/>
          <w:szCs w:val="20"/>
        </w:rPr>
        <w:t>T</w:t>
      </w:r>
      <w:r w:rsidRPr="00072AEC">
        <w:rPr>
          <w:rFonts w:ascii="Book Antiqua" w:hAnsi="Book Antiqua" w:cs="Arial"/>
          <w:bCs/>
          <w:color w:val="000000" w:themeColor="text1"/>
          <w:sz w:val="20"/>
          <w:szCs w:val="20"/>
        </w:rPr>
        <w:t>he process of GVHD manifests an aberrant homeostasis of immune response.</w:t>
      </w:r>
    </w:p>
    <w:p w14:paraId="32FF046D" w14:textId="0C331159" w:rsidR="002044A9" w:rsidRPr="00072AEC" w:rsidRDefault="002044A9" w:rsidP="00072AEC">
      <w:pPr>
        <w:snapToGrid w:val="0"/>
        <w:spacing w:line="360" w:lineRule="auto"/>
        <w:ind w:firstLineChars="200" w:firstLine="400"/>
        <w:rPr>
          <w:rFonts w:ascii="Book Antiqua" w:hAnsi="Book Antiqua" w:cs="Arial"/>
          <w:bCs/>
          <w:color w:val="000000" w:themeColor="text1"/>
          <w:sz w:val="20"/>
          <w:szCs w:val="20"/>
        </w:rPr>
      </w:pPr>
      <w:r w:rsidRPr="00072AEC">
        <w:rPr>
          <w:rFonts w:ascii="Book Antiqua" w:hAnsi="Book Antiqua" w:cs="Arial"/>
          <w:color w:val="000000" w:themeColor="text1"/>
          <w:sz w:val="20"/>
          <w:szCs w:val="20"/>
        </w:rPr>
        <w:t>Studies have reviewed the mission of many adaptive and innate immune cells, such as B cells, Treg cells,</w:t>
      </w:r>
      <w:r w:rsidRPr="00072AEC">
        <w:rPr>
          <w:rFonts w:ascii="Book Antiqua" w:hAnsi="Book Antiqua"/>
          <w:color w:val="000000" w:themeColor="text1"/>
          <w:sz w:val="20"/>
          <w:szCs w:val="20"/>
        </w:rPr>
        <w:t xml:space="preserve"> </w:t>
      </w:r>
      <w:r w:rsidRPr="00072AEC">
        <w:rPr>
          <w:rFonts w:ascii="Book Antiqua" w:hAnsi="Book Antiqua" w:cs="Arial"/>
          <w:color w:val="000000" w:themeColor="text1"/>
          <w:sz w:val="20"/>
          <w:szCs w:val="20"/>
        </w:rPr>
        <w:t xml:space="preserve">natural killer T cells, dendritic cells, </w:t>
      </w:r>
      <w:r w:rsidR="0081308D" w:rsidRPr="00072AEC">
        <w:rPr>
          <w:rFonts w:ascii="Book Antiqua" w:hAnsi="Book Antiqua" w:cs="Arial"/>
          <w:color w:val="000000" w:themeColor="text1"/>
          <w:sz w:val="20"/>
          <w:szCs w:val="20"/>
        </w:rPr>
        <w:t xml:space="preserve">and </w:t>
      </w:r>
      <w:r w:rsidRPr="00072AEC">
        <w:rPr>
          <w:rFonts w:ascii="Book Antiqua" w:hAnsi="Book Antiqua" w:cs="Arial"/>
          <w:color w:val="000000" w:themeColor="text1"/>
          <w:sz w:val="20"/>
          <w:szCs w:val="20"/>
        </w:rPr>
        <w:t>innate lymphoid cells in GVHD, but the role of macrophages in GVHD has not been reported before</w:t>
      </w:r>
      <w:r w:rsidRPr="00072AEC">
        <w:rPr>
          <w:rFonts w:ascii="Book Antiqua" w:hAnsi="Book Antiqua" w:cs="Arial"/>
          <w:color w:val="000000" w:themeColor="text1"/>
          <w:sz w:val="20"/>
          <w:szCs w:val="20"/>
          <w:vertAlign w:val="superscript"/>
        </w:rPr>
        <w:t>[19-23]</w:t>
      </w:r>
      <w:r w:rsidRPr="00072AEC">
        <w:rPr>
          <w:rFonts w:ascii="Book Antiqua" w:hAnsi="Book Antiqua" w:cs="Arial"/>
          <w:color w:val="000000" w:themeColor="text1"/>
          <w:sz w:val="20"/>
          <w:szCs w:val="20"/>
        </w:rPr>
        <w:t xml:space="preserve">. In this review, we </w:t>
      </w:r>
      <w:r w:rsidR="0081308D" w:rsidRPr="00072AEC">
        <w:rPr>
          <w:rFonts w:ascii="Book Antiqua" w:hAnsi="Book Antiqua" w:cs="Arial"/>
          <w:color w:val="000000" w:themeColor="text1"/>
          <w:sz w:val="20"/>
          <w:szCs w:val="20"/>
        </w:rPr>
        <w:t>outlined</w:t>
      </w:r>
      <w:r w:rsidRPr="00072AEC">
        <w:rPr>
          <w:rFonts w:ascii="Book Antiqua" w:hAnsi="Book Antiqua" w:cs="Arial"/>
          <w:color w:val="000000" w:themeColor="text1"/>
          <w:sz w:val="20"/>
          <w:szCs w:val="20"/>
        </w:rPr>
        <w:t xml:space="preserve"> the role of macrophages in GVHD, focusing on the macrophage infiltration, cytokine production, and their interaction with other cells.</w:t>
      </w:r>
    </w:p>
    <w:p w14:paraId="7C598DC7" w14:textId="77777777" w:rsidR="002044A9" w:rsidRPr="00072AEC" w:rsidRDefault="002044A9" w:rsidP="00072AEC">
      <w:pPr>
        <w:snapToGrid w:val="0"/>
        <w:spacing w:line="360" w:lineRule="auto"/>
        <w:rPr>
          <w:rFonts w:ascii="Book Antiqua" w:hAnsi="Book Antiqua" w:cs="Arial"/>
          <w:color w:val="000000" w:themeColor="text1"/>
          <w:sz w:val="20"/>
          <w:szCs w:val="20"/>
        </w:rPr>
      </w:pPr>
    </w:p>
    <w:p w14:paraId="12A116BD" w14:textId="7486FD98" w:rsidR="002044A9" w:rsidRPr="00072AEC" w:rsidRDefault="002044A9" w:rsidP="00072AEC">
      <w:pPr>
        <w:snapToGrid w:val="0"/>
        <w:spacing w:line="360" w:lineRule="auto"/>
        <w:rPr>
          <w:rFonts w:ascii="Book Antiqua" w:hAnsi="Book Antiqua" w:cs="Arial"/>
          <w:b/>
          <w:bCs/>
          <w:color w:val="000000" w:themeColor="text1"/>
          <w:sz w:val="20"/>
          <w:szCs w:val="20"/>
          <w:u w:val="single"/>
        </w:rPr>
      </w:pPr>
      <w:r w:rsidRPr="00072AEC">
        <w:rPr>
          <w:rFonts w:ascii="Book Antiqua" w:hAnsi="Book Antiqua" w:cs="Arial"/>
          <w:b/>
          <w:bCs/>
          <w:color w:val="000000" w:themeColor="text1"/>
          <w:sz w:val="20"/>
          <w:szCs w:val="20"/>
          <w:u w:val="single"/>
        </w:rPr>
        <w:t>FUNCTIONS OF MACROPHAGE</w:t>
      </w:r>
      <w:r w:rsidR="00B27F88" w:rsidRPr="00072AEC">
        <w:rPr>
          <w:rFonts w:ascii="Book Antiqua" w:hAnsi="Book Antiqua" w:cs="Arial"/>
          <w:b/>
          <w:bCs/>
          <w:color w:val="000000" w:themeColor="text1"/>
          <w:sz w:val="20"/>
          <w:szCs w:val="20"/>
          <w:u w:val="single"/>
        </w:rPr>
        <w:t>S</w:t>
      </w:r>
      <w:r w:rsidRPr="00072AEC">
        <w:rPr>
          <w:rFonts w:ascii="Book Antiqua" w:hAnsi="Book Antiqua" w:cs="Arial"/>
          <w:b/>
          <w:bCs/>
          <w:color w:val="000000" w:themeColor="text1"/>
          <w:sz w:val="20"/>
          <w:szCs w:val="20"/>
          <w:u w:val="single"/>
        </w:rPr>
        <w:t xml:space="preserve"> IN IMMUNE RESPONSE</w:t>
      </w:r>
    </w:p>
    <w:p w14:paraId="48F2057C" w14:textId="634D3E0D" w:rsidR="002044A9" w:rsidRPr="00072AEC" w:rsidRDefault="002044A9" w:rsidP="00072AEC">
      <w:pPr>
        <w:snapToGrid w:val="0"/>
        <w:spacing w:line="360" w:lineRule="auto"/>
        <w:rPr>
          <w:rFonts w:ascii="Book Antiqua" w:hAnsi="Book Antiqua" w:cs="Arial"/>
          <w:color w:val="000000" w:themeColor="text1"/>
          <w:sz w:val="20"/>
          <w:szCs w:val="20"/>
        </w:rPr>
      </w:pPr>
      <w:r w:rsidRPr="00072AEC">
        <w:rPr>
          <w:rFonts w:ascii="Book Antiqua" w:hAnsi="Book Antiqua" w:cs="Arial"/>
          <w:color w:val="000000" w:themeColor="text1"/>
          <w:sz w:val="20"/>
          <w:szCs w:val="20"/>
        </w:rPr>
        <w:t>Macrophage</w:t>
      </w:r>
      <w:r w:rsidR="00B27F88"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show great heterogeneity and plasticity that it is able to activ</w:t>
      </w:r>
      <w:r w:rsidR="00B27F88" w:rsidRPr="00072AEC">
        <w:rPr>
          <w:rFonts w:ascii="Book Antiqua" w:hAnsi="Book Antiqua" w:cs="Arial"/>
          <w:color w:val="000000" w:themeColor="text1"/>
          <w:sz w:val="20"/>
          <w:szCs w:val="20"/>
        </w:rPr>
        <w:t>ate</w:t>
      </w:r>
      <w:r w:rsidRPr="00072AEC">
        <w:rPr>
          <w:rFonts w:ascii="Book Antiqua" w:hAnsi="Book Antiqua" w:cs="Arial"/>
          <w:color w:val="000000" w:themeColor="text1"/>
          <w:sz w:val="20"/>
          <w:szCs w:val="20"/>
        </w:rPr>
        <w:t xml:space="preserve"> and polarize to different ph</w:t>
      </w:r>
      <w:r w:rsidR="00B27F88" w:rsidRPr="00072AEC">
        <w:rPr>
          <w:rFonts w:ascii="Book Antiqua" w:hAnsi="Book Antiqua" w:cs="Arial"/>
          <w:color w:val="000000" w:themeColor="text1"/>
          <w:sz w:val="20"/>
          <w:szCs w:val="20"/>
        </w:rPr>
        <w:t>e</w:t>
      </w:r>
      <w:r w:rsidRPr="00072AEC">
        <w:rPr>
          <w:rFonts w:ascii="Book Antiqua" w:hAnsi="Book Antiqua" w:cs="Arial"/>
          <w:color w:val="000000" w:themeColor="text1"/>
          <w:sz w:val="20"/>
          <w:szCs w:val="20"/>
        </w:rPr>
        <w:t xml:space="preserve">notypes through the stimulation of multiple signaling molecules in </w:t>
      </w:r>
      <w:r w:rsidR="009A3B73"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same or different microenvironment</w:t>
      </w:r>
      <w:r w:rsidRPr="00072AEC">
        <w:rPr>
          <w:rFonts w:ascii="Book Antiqua" w:hAnsi="Book Antiqua" w:cs="Arial"/>
          <w:color w:val="000000" w:themeColor="text1"/>
          <w:sz w:val="20"/>
          <w:szCs w:val="20"/>
          <w:vertAlign w:val="superscript"/>
        </w:rPr>
        <w:t>[24-26]</w:t>
      </w:r>
      <w:r w:rsidRPr="00072AEC">
        <w:rPr>
          <w:rFonts w:ascii="Book Antiqua" w:hAnsi="Book Antiqua" w:cs="Arial"/>
          <w:color w:val="000000" w:themeColor="text1"/>
          <w:sz w:val="20"/>
          <w:szCs w:val="20"/>
        </w:rPr>
        <w:t>. Tissue-resident macrophages participate in many pathologies, such as microglia in neurodegeneration, osteoclasts and macrophages in osteoporosis, cardiac or vasculature macrophages in atherosclerosis, Kupffer cells in liver disease,</w:t>
      </w:r>
      <w:r w:rsidRPr="00072AEC">
        <w:rPr>
          <w:rFonts w:ascii="Book Antiqua" w:hAnsi="Book Antiqua"/>
          <w:color w:val="000000" w:themeColor="text1"/>
          <w:sz w:val="20"/>
          <w:szCs w:val="20"/>
        </w:rPr>
        <w:t xml:space="preserve"> </w:t>
      </w:r>
      <w:r w:rsidRPr="00072AEC">
        <w:rPr>
          <w:rFonts w:ascii="Book Antiqua" w:hAnsi="Book Antiqua" w:cs="Arial"/>
          <w:color w:val="000000" w:themeColor="text1"/>
          <w:sz w:val="20"/>
          <w:szCs w:val="20"/>
        </w:rPr>
        <w:t>alveolar macrophages in pulmonary disease and so on</w:t>
      </w:r>
      <w:r w:rsidRPr="00072AEC">
        <w:rPr>
          <w:rFonts w:ascii="Book Antiqua" w:hAnsi="Book Antiqua" w:cs="Arial"/>
          <w:color w:val="000000" w:themeColor="text1"/>
          <w:sz w:val="20"/>
          <w:szCs w:val="20"/>
          <w:vertAlign w:val="superscript"/>
        </w:rPr>
        <w:t>[27,28]</w:t>
      </w:r>
      <w:r w:rsidRPr="00072AEC">
        <w:rPr>
          <w:rFonts w:ascii="Book Antiqua" w:hAnsi="Book Antiqua" w:cs="Arial"/>
          <w:color w:val="000000" w:themeColor="text1"/>
          <w:sz w:val="20"/>
          <w:szCs w:val="20"/>
        </w:rPr>
        <w:t xml:space="preserve">. Macrophages can be categorized as classically activated macrophages with microbicidal activity, wound-healing macrophages with tissue repair function, </w:t>
      </w:r>
      <w:r w:rsidR="009A3B73" w:rsidRPr="00072AEC">
        <w:rPr>
          <w:rFonts w:ascii="Book Antiqua" w:hAnsi="Book Antiqua" w:cs="Arial"/>
          <w:color w:val="000000" w:themeColor="text1"/>
          <w:sz w:val="20"/>
          <w:szCs w:val="20"/>
        </w:rPr>
        <w:t xml:space="preserve">and </w:t>
      </w:r>
      <w:r w:rsidRPr="00072AEC">
        <w:rPr>
          <w:rFonts w:ascii="Book Antiqua" w:hAnsi="Book Antiqua" w:cs="Arial"/>
          <w:color w:val="000000" w:themeColor="text1"/>
          <w:sz w:val="20"/>
          <w:szCs w:val="20"/>
        </w:rPr>
        <w:t>regulatory macrophages with anti-inflammatory activity</w:t>
      </w:r>
      <w:r w:rsidRPr="00072AEC">
        <w:rPr>
          <w:rFonts w:ascii="Book Antiqua" w:hAnsi="Book Antiqua" w:cs="Arial"/>
          <w:color w:val="000000" w:themeColor="text1"/>
          <w:sz w:val="20"/>
          <w:szCs w:val="20"/>
          <w:vertAlign w:val="superscript"/>
        </w:rPr>
        <w:t>[29]</w:t>
      </w:r>
      <w:r w:rsidRPr="00072AEC">
        <w:rPr>
          <w:rFonts w:ascii="Book Antiqua" w:hAnsi="Book Antiqua" w:cs="Arial"/>
          <w:color w:val="000000" w:themeColor="text1"/>
          <w:sz w:val="20"/>
          <w:szCs w:val="20"/>
        </w:rPr>
        <w:t>. Another traditional classification divide</w:t>
      </w:r>
      <w:r w:rsidR="009A3B7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macrophage</w:t>
      </w:r>
      <w:r w:rsidR="009A3B7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into M1 macrophag</w:t>
      </w:r>
      <w:r w:rsidR="009A3B73" w:rsidRPr="00072AEC">
        <w:rPr>
          <w:rFonts w:ascii="Book Antiqua" w:hAnsi="Book Antiqua" w:cs="Arial"/>
          <w:color w:val="000000" w:themeColor="text1"/>
          <w:sz w:val="20"/>
          <w:szCs w:val="20"/>
        </w:rPr>
        <w:t>es</w:t>
      </w:r>
      <w:r w:rsidRPr="00072AEC">
        <w:rPr>
          <w:rFonts w:ascii="Book Antiqua" w:hAnsi="Book Antiqua" w:cs="Arial"/>
          <w:color w:val="000000" w:themeColor="text1"/>
          <w:sz w:val="20"/>
          <w:szCs w:val="20"/>
        </w:rPr>
        <w:t xml:space="preserve"> and M2 macrophage</w:t>
      </w:r>
      <w:r w:rsidR="009A3B7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vertAlign w:val="superscript"/>
        </w:rPr>
        <w:t>[25]</w:t>
      </w:r>
      <w:r w:rsidRPr="00072AEC">
        <w:rPr>
          <w:rFonts w:ascii="Book Antiqua" w:hAnsi="Book Antiqua" w:cs="Arial"/>
          <w:color w:val="000000" w:themeColor="text1"/>
          <w:sz w:val="20"/>
          <w:szCs w:val="20"/>
        </w:rPr>
        <w:t>. Notably, reciprocal switch between M1 macrophage</w:t>
      </w:r>
      <w:r w:rsidR="009A3B7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to M2 macrophage</w:t>
      </w:r>
      <w:r w:rsidR="009A3B7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can be induced</w:t>
      </w:r>
      <w:r w:rsidRPr="00072AEC">
        <w:rPr>
          <w:rFonts w:ascii="Book Antiqua" w:hAnsi="Book Antiqua" w:cs="Arial"/>
          <w:color w:val="000000" w:themeColor="text1"/>
          <w:sz w:val="20"/>
          <w:szCs w:val="20"/>
          <w:vertAlign w:val="superscript"/>
        </w:rPr>
        <w:t>[30]</w:t>
      </w:r>
      <w:r w:rsidRPr="00072AEC">
        <w:rPr>
          <w:rFonts w:ascii="Book Antiqua" w:hAnsi="Book Antiqua" w:cs="Arial"/>
          <w:color w:val="000000" w:themeColor="text1"/>
          <w:sz w:val="20"/>
          <w:szCs w:val="20"/>
        </w:rPr>
        <w:t xml:space="preserve">. </w:t>
      </w:r>
      <w:r w:rsidR="00D002BB" w:rsidRPr="00072AEC">
        <w:rPr>
          <w:rFonts w:ascii="Book Antiqua" w:hAnsi="Book Antiqua" w:cs="Arial"/>
          <w:color w:val="000000" w:themeColor="text1"/>
          <w:sz w:val="20"/>
          <w:szCs w:val="20"/>
        </w:rPr>
        <w:t>M</w:t>
      </w:r>
      <w:r w:rsidRPr="00072AEC">
        <w:rPr>
          <w:rFonts w:ascii="Book Antiqua" w:hAnsi="Book Antiqua" w:cs="Arial"/>
          <w:color w:val="000000" w:themeColor="text1"/>
          <w:sz w:val="20"/>
          <w:szCs w:val="20"/>
        </w:rPr>
        <w:t>acrophage-target</w:t>
      </w:r>
      <w:r w:rsidR="00D002BB" w:rsidRPr="00072AEC">
        <w:rPr>
          <w:rFonts w:ascii="Book Antiqua" w:hAnsi="Book Antiqua" w:cs="Arial"/>
          <w:color w:val="000000" w:themeColor="text1"/>
          <w:sz w:val="20"/>
          <w:szCs w:val="20"/>
        </w:rPr>
        <w:t>ed</w:t>
      </w:r>
      <w:r w:rsidRPr="00072AEC">
        <w:rPr>
          <w:rFonts w:ascii="Book Antiqua" w:hAnsi="Book Antiqua" w:cs="Arial"/>
          <w:color w:val="000000" w:themeColor="text1"/>
          <w:sz w:val="20"/>
          <w:szCs w:val="20"/>
        </w:rPr>
        <w:t xml:space="preserve"> therapies were used in clinical trials, bas</w:t>
      </w:r>
      <w:r w:rsidR="00D002BB" w:rsidRPr="00072AEC">
        <w:rPr>
          <w:rFonts w:ascii="Book Antiqua" w:hAnsi="Book Antiqua" w:cs="Arial"/>
          <w:color w:val="000000" w:themeColor="text1"/>
          <w:sz w:val="20"/>
          <w:szCs w:val="20"/>
        </w:rPr>
        <w:t>ed</w:t>
      </w:r>
      <w:r w:rsidRPr="00072AEC">
        <w:rPr>
          <w:rFonts w:ascii="Book Antiqua" w:hAnsi="Book Antiqua" w:cs="Arial"/>
          <w:color w:val="000000" w:themeColor="text1"/>
          <w:sz w:val="20"/>
          <w:szCs w:val="20"/>
        </w:rPr>
        <w:t xml:space="preserve"> on macrophage functions, such as self-renewal, phagocytosis, chemotaxis, inflammatory response, pro-tumor response, and therapeutic protein secretion</w:t>
      </w:r>
      <w:r w:rsidRPr="00072AEC">
        <w:rPr>
          <w:rFonts w:ascii="Book Antiqua" w:hAnsi="Book Antiqua" w:cs="Arial"/>
          <w:color w:val="000000" w:themeColor="text1"/>
          <w:sz w:val="20"/>
          <w:szCs w:val="20"/>
          <w:vertAlign w:val="superscript"/>
        </w:rPr>
        <w:t>[31,32]</w:t>
      </w:r>
      <w:r w:rsidRPr="00072AEC">
        <w:rPr>
          <w:rFonts w:ascii="Book Antiqua" w:hAnsi="Book Antiqua" w:cs="Arial"/>
          <w:color w:val="000000" w:themeColor="text1"/>
          <w:sz w:val="20"/>
          <w:szCs w:val="20"/>
        </w:rPr>
        <w:t>.</w:t>
      </w:r>
    </w:p>
    <w:p w14:paraId="07C94210" w14:textId="77777777" w:rsidR="002044A9" w:rsidRPr="00072AEC" w:rsidRDefault="002044A9" w:rsidP="00072AEC">
      <w:pPr>
        <w:snapToGrid w:val="0"/>
        <w:spacing w:line="360" w:lineRule="auto"/>
        <w:ind w:firstLineChars="200" w:firstLine="400"/>
        <w:rPr>
          <w:rFonts w:ascii="Book Antiqua" w:hAnsi="Book Antiqua" w:cs="Arial"/>
          <w:color w:val="000000" w:themeColor="text1"/>
          <w:sz w:val="20"/>
          <w:szCs w:val="20"/>
        </w:rPr>
      </w:pPr>
    </w:p>
    <w:p w14:paraId="4EF81563" w14:textId="6078643B" w:rsidR="002044A9" w:rsidRPr="00072AEC" w:rsidRDefault="002044A9" w:rsidP="00072AEC">
      <w:pPr>
        <w:snapToGrid w:val="0"/>
        <w:spacing w:line="360" w:lineRule="auto"/>
        <w:rPr>
          <w:rFonts w:ascii="Book Antiqua" w:hAnsi="Book Antiqua" w:cs="Arial"/>
          <w:b/>
          <w:bCs/>
          <w:color w:val="000000" w:themeColor="text1"/>
          <w:sz w:val="20"/>
          <w:szCs w:val="20"/>
          <w:u w:val="single"/>
        </w:rPr>
      </w:pPr>
      <w:r w:rsidRPr="00072AEC">
        <w:rPr>
          <w:rFonts w:ascii="Book Antiqua" w:hAnsi="Book Antiqua" w:cs="Arial"/>
          <w:b/>
          <w:bCs/>
          <w:color w:val="000000" w:themeColor="text1"/>
          <w:sz w:val="20"/>
          <w:szCs w:val="20"/>
          <w:u w:val="single"/>
        </w:rPr>
        <w:t>INFILTRATION OF MACROPHAGE</w:t>
      </w:r>
      <w:r w:rsidR="000D65B5" w:rsidRPr="00072AEC">
        <w:rPr>
          <w:rFonts w:ascii="Book Antiqua" w:hAnsi="Book Antiqua" w:cs="Arial"/>
          <w:b/>
          <w:bCs/>
          <w:color w:val="000000" w:themeColor="text1"/>
          <w:sz w:val="20"/>
          <w:szCs w:val="20"/>
          <w:u w:val="single"/>
        </w:rPr>
        <w:t>S</w:t>
      </w:r>
      <w:r w:rsidRPr="00072AEC">
        <w:rPr>
          <w:rFonts w:ascii="Book Antiqua" w:hAnsi="Book Antiqua" w:cs="Arial"/>
          <w:b/>
          <w:bCs/>
          <w:color w:val="000000" w:themeColor="text1"/>
          <w:sz w:val="20"/>
          <w:szCs w:val="20"/>
          <w:u w:val="single"/>
        </w:rPr>
        <w:t xml:space="preserve"> CONTRIBUTES TO GVHD</w:t>
      </w:r>
    </w:p>
    <w:p w14:paraId="1E594BF0" w14:textId="05AA1396" w:rsidR="002044A9" w:rsidRPr="00072AEC" w:rsidRDefault="002044A9" w:rsidP="00072AEC">
      <w:pPr>
        <w:snapToGrid w:val="0"/>
        <w:spacing w:line="360" w:lineRule="auto"/>
        <w:rPr>
          <w:rFonts w:ascii="Book Antiqua" w:hAnsi="Book Antiqua" w:cs="Arial"/>
          <w:color w:val="000000" w:themeColor="text1"/>
          <w:sz w:val="20"/>
          <w:szCs w:val="20"/>
        </w:rPr>
      </w:pPr>
      <w:r w:rsidRPr="00072AEC">
        <w:rPr>
          <w:rFonts w:ascii="Book Antiqua" w:hAnsi="Book Antiqua" w:cs="Arial"/>
          <w:color w:val="000000" w:themeColor="text1"/>
          <w:sz w:val="20"/>
          <w:szCs w:val="20"/>
        </w:rPr>
        <w:t>Studies about the relationship between macrophage</w:t>
      </w:r>
      <w:r w:rsidR="000D65B5"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and GVHD in recent years were summarized and presented in Table 1. We found that macrophage infiltration is an important feature in GVHD pathogenesis. </w:t>
      </w:r>
    </w:p>
    <w:p w14:paraId="62C2E8EA" w14:textId="52BB3803" w:rsidR="002044A9" w:rsidRPr="00072AEC" w:rsidRDefault="002044A9" w:rsidP="00072AEC">
      <w:pPr>
        <w:snapToGrid w:val="0"/>
        <w:spacing w:line="360" w:lineRule="auto"/>
        <w:ind w:firstLineChars="200" w:firstLine="400"/>
        <w:rPr>
          <w:rFonts w:ascii="Book Antiqua" w:hAnsi="Book Antiqua" w:cs="Arial"/>
          <w:color w:val="000000" w:themeColor="text1"/>
          <w:sz w:val="20"/>
          <w:szCs w:val="20"/>
        </w:rPr>
      </w:pPr>
      <w:r w:rsidRPr="00072AEC">
        <w:rPr>
          <w:rFonts w:ascii="Book Antiqua" w:hAnsi="Book Antiqua" w:cs="Arial"/>
          <w:color w:val="000000" w:themeColor="text1"/>
          <w:sz w:val="20"/>
          <w:szCs w:val="20"/>
        </w:rPr>
        <w:t>Macrophage infiltration is a biomarker for GVHD occurrence and development. Both free and clustered macrophages are important in GVHD pathogenesis. In the study by Nissen</w:t>
      </w:r>
      <w:r w:rsidR="00E813AF" w:rsidRPr="00072AEC">
        <w:rPr>
          <w:rFonts w:ascii="Book Antiqua" w:hAnsi="Book Antiqua" w:cs="Arial"/>
          <w:color w:val="000000" w:themeColor="text1"/>
          <w:sz w:val="20"/>
          <w:szCs w:val="20"/>
        </w:rPr>
        <w:t xml:space="preserve"> </w:t>
      </w:r>
      <w:r w:rsidR="00E813AF" w:rsidRPr="00072AEC">
        <w:rPr>
          <w:rFonts w:ascii="Book Antiqua" w:hAnsi="Book Antiqua" w:cs="Arial"/>
          <w:i/>
          <w:iCs/>
          <w:color w:val="000000" w:themeColor="text1"/>
          <w:sz w:val="20"/>
          <w:szCs w:val="20"/>
        </w:rPr>
        <w:t>et al</w:t>
      </w:r>
      <w:r w:rsidR="00E813AF" w:rsidRPr="00072AEC">
        <w:rPr>
          <w:rFonts w:ascii="Book Antiqua" w:hAnsi="Book Antiqua" w:cs="Arial"/>
          <w:color w:val="000000" w:themeColor="text1"/>
          <w:sz w:val="20"/>
          <w:szCs w:val="20"/>
          <w:vertAlign w:val="superscript"/>
        </w:rPr>
        <w:t>[33]</w:t>
      </w:r>
      <w:r w:rsidRPr="00072AEC">
        <w:rPr>
          <w:rFonts w:ascii="Book Antiqua" w:hAnsi="Book Antiqua" w:cs="Arial"/>
          <w:color w:val="000000" w:themeColor="text1"/>
          <w:sz w:val="20"/>
          <w:szCs w:val="20"/>
        </w:rPr>
        <w:t>, an increased number of macrophages was detected in 11 out of 30 patients</w:t>
      </w:r>
      <w:r w:rsidR="000D65B5"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w:t>
      </w:r>
      <w:r w:rsidR="000D65B5" w:rsidRPr="00072AEC">
        <w:rPr>
          <w:rFonts w:ascii="Book Antiqua" w:hAnsi="Book Antiqua" w:cs="Arial"/>
          <w:color w:val="000000" w:themeColor="text1"/>
          <w:sz w:val="20"/>
          <w:szCs w:val="20"/>
        </w:rPr>
        <w:t>Ten</w:t>
      </w:r>
      <w:r w:rsidRPr="00072AEC">
        <w:rPr>
          <w:rFonts w:ascii="Book Antiqua" w:hAnsi="Book Antiqua" w:cs="Arial"/>
          <w:color w:val="000000" w:themeColor="text1"/>
          <w:sz w:val="20"/>
          <w:szCs w:val="20"/>
        </w:rPr>
        <w:t xml:space="preserve"> of these </w:t>
      </w:r>
      <w:r w:rsidR="000D65B5" w:rsidRPr="00072AEC">
        <w:rPr>
          <w:rFonts w:ascii="Book Antiqua" w:hAnsi="Book Antiqua" w:cs="Arial"/>
          <w:color w:val="000000" w:themeColor="text1"/>
          <w:sz w:val="20"/>
          <w:szCs w:val="20"/>
        </w:rPr>
        <w:t>eleven</w:t>
      </w:r>
      <w:r w:rsidRPr="00072AEC">
        <w:rPr>
          <w:rFonts w:ascii="Book Antiqua" w:hAnsi="Book Antiqua" w:cs="Arial"/>
          <w:color w:val="000000" w:themeColor="text1"/>
          <w:sz w:val="20"/>
          <w:szCs w:val="20"/>
        </w:rPr>
        <w:t xml:space="preserve"> patients developed GVHD</w:t>
      </w:r>
      <w:r w:rsidR="00FD25E5"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w:t>
      </w:r>
      <w:r w:rsidR="00FD25E5" w:rsidRPr="00072AEC">
        <w:rPr>
          <w:rFonts w:ascii="Book Antiqua" w:hAnsi="Book Antiqua" w:cs="Arial"/>
          <w:color w:val="000000" w:themeColor="text1"/>
          <w:sz w:val="20"/>
          <w:szCs w:val="20"/>
        </w:rPr>
        <w:t>A</w:t>
      </w:r>
      <w:r w:rsidRPr="00072AEC">
        <w:rPr>
          <w:rFonts w:ascii="Book Antiqua" w:hAnsi="Book Antiqua" w:cs="Arial"/>
          <w:color w:val="000000" w:themeColor="text1"/>
          <w:sz w:val="20"/>
          <w:szCs w:val="20"/>
        </w:rPr>
        <w:t xml:space="preserve"> remarkable difference was noted between the 10 out of 14 patients who showed the macrophage pattern before bone marrow transplantation</w:t>
      </w:r>
      <w:r w:rsidR="00FD25E5"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and the</w:t>
      </w:r>
      <w:r w:rsidR="00FD25E5" w:rsidRPr="00072AEC">
        <w:rPr>
          <w:rFonts w:ascii="Book Antiqua" w:hAnsi="Book Antiqua" w:cs="Arial"/>
          <w:color w:val="000000" w:themeColor="text1"/>
          <w:sz w:val="20"/>
          <w:szCs w:val="20"/>
        </w:rPr>
        <w:t>re was</w:t>
      </w:r>
      <w:r w:rsidRPr="00072AEC">
        <w:rPr>
          <w:rFonts w:ascii="Book Antiqua" w:hAnsi="Book Antiqua" w:cs="Arial"/>
          <w:color w:val="000000" w:themeColor="text1"/>
          <w:sz w:val="20"/>
          <w:szCs w:val="20"/>
        </w:rPr>
        <w:t xml:space="preserve"> only </w:t>
      </w:r>
      <w:r w:rsidR="00FD25E5" w:rsidRPr="00072AEC">
        <w:rPr>
          <w:rFonts w:ascii="Book Antiqua" w:hAnsi="Book Antiqua" w:cs="Arial"/>
          <w:color w:val="000000" w:themeColor="text1"/>
          <w:sz w:val="20"/>
          <w:szCs w:val="20"/>
        </w:rPr>
        <w:t xml:space="preserve">one </w:t>
      </w:r>
      <w:r w:rsidRPr="00072AEC">
        <w:rPr>
          <w:rFonts w:ascii="Book Antiqua" w:hAnsi="Book Antiqua" w:cs="Arial"/>
          <w:color w:val="000000" w:themeColor="text1"/>
          <w:sz w:val="20"/>
          <w:szCs w:val="20"/>
        </w:rPr>
        <w:t>patient among the 19 without GVHD. Also, Terakura</w:t>
      </w:r>
      <w:r w:rsidR="0029573F" w:rsidRPr="00072AEC">
        <w:rPr>
          <w:rFonts w:ascii="Book Antiqua" w:hAnsi="Book Antiqua" w:cs="Arial"/>
          <w:color w:val="000000" w:themeColor="text1"/>
          <w:sz w:val="20"/>
          <w:szCs w:val="20"/>
        </w:rPr>
        <w:t xml:space="preserve"> </w:t>
      </w:r>
      <w:r w:rsidR="0029573F" w:rsidRPr="00072AEC">
        <w:rPr>
          <w:rFonts w:ascii="Book Antiqua" w:hAnsi="Book Antiqua" w:cs="Arial"/>
          <w:i/>
          <w:iCs/>
          <w:color w:val="000000" w:themeColor="text1"/>
          <w:sz w:val="20"/>
          <w:szCs w:val="20"/>
        </w:rPr>
        <w:t>et al</w:t>
      </w:r>
      <w:r w:rsidR="0029573F" w:rsidRPr="00072AEC">
        <w:rPr>
          <w:rFonts w:ascii="Book Antiqua" w:hAnsi="Book Antiqua" w:cs="Arial"/>
          <w:color w:val="000000" w:themeColor="text1"/>
          <w:sz w:val="20"/>
          <w:szCs w:val="20"/>
          <w:vertAlign w:val="superscript"/>
        </w:rPr>
        <w:t>[34]</w:t>
      </w:r>
      <w:r w:rsidRPr="00072AEC">
        <w:rPr>
          <w:rFonts w:ascii="Book Antiqua" w:hAnsi="Book Antiqua" w:cs="Arial"/>
          <w:i/>
          <w:iCs/>
          <w:color w:val="000000" w:themeColor="text1"/>
          <w:sz w:val="20"/>
          <w:szCs w:val="20"/>
        </w:rPr>
        <w:t xml:space="preserve"> </w:t>
      </w:r>
      <w:r w:rsidRPr="00072AEC">
        <w:rPr>
          <w:rFonts w:ascii="Book Antiqua" w:hAnsi="Book Antiqua" w:cs="Arial"/>
          <w:color w:val="000000" w:themeColor="text1"/>
          <w:sz w:val="20"/>
          <w:szCs w:val="20"/>
        </w:rPr>
        <w:t>indicated that heavier macrophage infiltration is correlated with a higher severity of cutaneous GVHD.</w:t>
      </w:r>
      <w:r w:rsidRPr="00072AEC">
        <w:rPr>
          <w:rFonts w:ascii="Book Antiqua" w:hAnsi="Book Antiqua"/>
          <w:color w:val="000000" w:themeColor="text1"/>
          <w:sz w:val="20"/>
          <w:szCs w:val="20"/>
        </w:rPr>
        <w:t xml:space="preserve"> </w:t>
      </w:r>
      <w:r w:rsidR="0029573F" w:rsidRPr="00072AEC">
        <w:rPr>
          <w:rFonts w:ascii="Book Antiqua" w:hAnsi="Book Antiqua"/>
          <w:bCs/>
          <w:sz w:val="20"/>
          <w:szCs w:val="20"/>
        </w:rPr>
        <w:t>Piérard</w:t>
      </w:r>
      <w:r w:rsidRPr="00072AEC">
        <w:rPr>
          <w:rFonts w:ascii="Book Antiqua" w:hAnsi="Book Antiqua" w:cs="Arial"/>
          <w:bCs/>
          <w:color w:val="000000" w:themeColor="text1"/>
          <w:sz w:val="20"/>
          <w:szCs w:val="20"/>
        </w:rPr>
        <w:t xml:space="preserve"> </w:t>
      </w:r>
      <w:r w:rsidR="0029573F" w:rsidRPr="00072AEC">
        <w:rPr>
          <w:rFonts w:ascii="Book Antiqua" w:hAnsi="Book Antiqua" w:cs="Arial"/>
          <w:i/>
          <w:iCs/>
          <w:color w:val="000000" w:themeColor="text1"/>
          <w:sz w:val="20"/>
          <w:szCs w:val="20"/>
        </w:rPr>
        <w:t>et al</w:t>
      </w:r>
      <w:r w:rsidR="0029573F" w:rsidRPr="00072AEC">
        <w:rPr>
          <w:rFonts w:ascii="Book Antiqua" w:hAnsi="Book Antiqua" w:cs="Arial"/>
          <w:color w:val="000000" w:themeColor="text1"/>
          <w:sz w:val="20"/>
          <w:szCs w:val="20"/>
          <w:vertAlign w:val="superscript"/>
        </w:rPr>
        <w:t>[35]</w:t>
      </w:r>
      <w:r w:rsidR="0029573F" w:rsidRPr="00072AEC">
        <w:rPr>
          <w:rFonts w:ascii="Book Antiqua" w:hAnsi="Book Antiqua" w:cs="Arial"/>
          <w:color w:val="000000" w:themeColor="text1"/>
          <w:sz w:val="20"/>
          <w:szCs w:val="20"/>
        </w:rPr>
        <w:t xml:space="preserve"> </w:t>
      </w:r>
      <w:r w:rsidRPr="00072AEC">
        <w:rPr>
          <w:rFonts w:ascii="Book Antiqua" w:hAnsi="Book Antiqua" w:cs="Arial"/>
          <w:color w:val="000000" w:themeColor="text1"/>
          <w:sz w:val="20"/>
          <w:szCs w:val="20"/>
        </w:rPr>
        <w:t>also illustrated that biopsies from the liver, gut, and skin of patients with lethal GVHD showed a striking preponderance of CD68+ macrophages in the inflammatory infiltration. These findings showed that macrophage infiltration is positively correlated with the occurrence and development of GVHD. Furthermore, macrophages polarize to different populations and infiltrate in different target organs</w:t>
      </w:r>
      <w:r w:rsidR="00E16F74" w:rsidRPr="00072AEC">
        <w:rPr>
          <w:rFonts w:ascii="Book Antiqua" w:hAnsi="Book Antiqua" w:cs="Arial"/>
          <w:color w:val="000000" w:themeColor="text1"/>
          <w:sz w:val="20"/>
          <w:szCs w:val="20"/>
        </w:rPr>
        <w:t xml:space="preserve"> (Table 1)</w:t>
      </w:r>
      <w:r w:rsidRPr="00072AEC">
        <w:rPr>
          <w:rFonts w:ascii="Book Antiqua" w:hAnsi="Book Antiqua" w:cs="Arial"/>
          <w:color w:val="000000" w:themeColor="text1"/>
          <w:sz w:val="20"/>
          <w:szCs w:val="20"/>
        </w:rPr>
        <w:t xml:space="preserve">, and </w:t>
      </w:r>
      <w:r w:rsidR="00FD25E5"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dominant macrophage population in acute GVHD differs from that in chronic or refractory GVHD.</w:t>
      </w:r>
    </w:p>
    <w:p w14:paraId="6A6E31B8" w14:textId="50411098" w:rsidR="002044A9" w:rsidRPr="00072AEC" w:rsidRDefault="002612EE" w:rsidP="00072AEC">
      <w:pPr>
        <w:snapToGrid w:val="0"/>
        <w:spacing w:line="360" w:lineRule="auto"/>
        <w:ind w:firstLineChars="200" w:firstLine="400"/>
        <w:rPr>
          <w:rFonts w:ascii="Book Antiqua" w:hAnsi="Book Antiqua" w:cs="Arial"/>
          <w:color w:val="000000" w:themeColor="text1"/>
          <w:sz w:val="20"/>
          <w:szCs w:val="20"/>
        </w:rPr>
      </w:pPr>
      <w:r w:rsidRPr="00072AEC">
        <w:rPr>
          <w:rFonts w:ascii="Book Antiqua" w:hAnsi="Book Antiqua" w:cs="Arial"/>
          <w:color w:val="000000" w:themeColor="text1"/>
          <w:sz w:val="20"/>
          <w:szCs w:val="20"/>
        </w:rPr>
        <w:t>Taken together</w:t>
      </w:r>
      <w:r w:rsidR="002044A9" w:rsidRPr="00072AEC">
        <w:rPr>
          <w:rFonts w:ascii="Book Antiqua" w:hAnsi="Book Antiqua" w:cs="Arial"/>
          <w:color w:val="000000" w:themeColor="text1"/>
          <w:sz w:val="20"/>
          <w:szCs w:val="20"/>
        </w:rPr>
        <w:t xml:space="preserve">, </w:t>
      </w:r>
      <w:bookmarkStart w:id="14" w:name="OLE_LINK7"/>
      <w:r w:rsidR="002044A9" w:rsidRPr="00072AEC">
        <w:rPr>
          <w:rFonts w:ascii="Book Antiqua" w:hAnsi="Book Antiqua" w:cs="Arial"/>
          <w:color w:val="000000" w:themeColor="text1"/>
          <w:sz w:val="20"/>
          <w:szCs w:val="20"/>
        </w:rPr>
        <w:t xml:space="preserve">macrophage regulation in GVHD </w:t>
      </w:r>
      <w:r w:rsidRPr="00072AEC">
        <w:rPr>
          <w:rFonts w:ascii="Book Antiqua" w:hAnsi="Book Antiqua" w:cs="Arial"/>
          <w:color w:val="000000" w:themeColor="text1"/>
          <w:sz w:val="20"/>
          <w:szCs w:val="20"/>
        </w:rPr>
        <w:t xml:space="preserve">can </w:t>
      </w:r>
      <w:r w:rsidR="002044A9" w:rsidRPr="00072AEC">
        <w:rPr>
          <w:rFonts w:ascii="Book Antiqua" w:hAnsi="Book Antiqua" w:cs="Arial"/>
          <w:color w:val="000000" w:themeColor="text1"/>
          <w:sz w:val="20"/>
          <w:szCs w:val="20"/>
        </w:rPr>
        <w:t xml:space="preserve">be considered from the following directions, including macrophage polarization, regulation of cytokines and interaction with other cells such as T cells, B cells, and </w:t>
      </w:r>
      <w:r w:rsidR="0029573F" w:rsidRPr="00072AEC">
        <w:rPr>
          <w:rFonts w:ascii="Book Antiqua" w:hAnsi="Book Antiqua" w:cs="Arial"/>
          <w:color w:val="000000" w:themeColor="text1"/>
          <w:sz w:val="20"/>
          <w:szCs w:val="20"/>
        </w:rPr>
        <w:t>mesenchymal stem cells</w:t>
      </w:r>
      <w:r w:rsidR="002044A9" w:rsidRPr="00072AEC">
        <w:rPr>
          <w:rFonts w:ascii="Book Antiqua" w:hAnsi="Book Antiqua" w:cs="Arial"/>
          <w:color w:val="000000" w:themeColor="text1"/>
          <w:sz w:val="20"/>
          <w:szCs w:val="20"/>
        </w:rPr>
        <w:t xml:space="preserve">, </w:t>
      </w:r>
      <w:r w:rsidRPr="00072AEC">
        <w:rPr>
          <w:rFonts w:ascii="Book Antiqua" w:hAnsi="Book Antiqua" w:cs="Arial"/>
          <w:color w:val="000000" w:themeColor="text1"/>
          <w:sz w:val="20"/>
          <w:szCs w:val="20"/>
        </w:rPr>
        <w:t xml:space="preserve">and </w:t>
      </w:r>
      <w:r w:rsidR="002044A9" w:rsidRPr="00072AEC">
        <w:rPr>
          <w:rFonts w:ascii="Book Antiqua" w:hAnsi="Book Antiqua" w:cs="Arial"/>
          <w:color w:val="000000" w:themeColor="text1"/>
          <w:sz w:val="20"/>
          <w:szCs w:val="20"/>
        </w:rPr>
        <w:t>fibrosis.</w:t>
      </w:r>
    </w:p>
    <w:p w14:paraId="20766272" w14:textId="77777777" w:rsidR="002044A9" w:rsidRPr="00072AEC" w:rsidRDefault="002044A9" w:rsidP="00072AEC">
      <w:pPr>
        <w:snapToGrid w:val="0"/>
        <w:spacing w:line="360" w:lineRule="auto"/>
        <w:ind w:firstLineChars="200" w:firstLine="400"/>
        <w:rPr>
          <w:rFonts w:ascii="Book Antiqua" w:hAnsi="Book Antiqua" w:cs="Arial"/>
          <w:color w:val="000000" w:themeColor="text1"/>
          <w:sz w:val="20"/>
          <w:szCs w:val="20"/>
        </w:rPr>
      </w:pPr>
    </w:p>
    <w:p w14:paraId="78AB79E4" w14:textId="77777777" w:rsidR="002044A9" w:rsidRPr="00072AEC" w:rsidRDefault="002044A9" w:rsidP="00072AEC">
      <w:pPr>
        <w:snapToGrid w:val="0"/>
        <w:spacing w:line="360" w:lineRule="auto"/>
        <w:rPr>
          <w:rFonts w:ascii="Book Antiqua" w:hAnsi="Book Antiqua" w:cs="Arial"/>
          <w:b/>
          <w:bCs/>
          <w:color w:val="000000" w:themeColor="text1"/>
          <w:sz w:val="20"/>
          <w:szCs w:val="20"/>
          <w:u w:val="single"/>
        </w:rPr>
      </w:pPr>
      <w:r w:rsidRPr="00072AEC">
        <w:rPr>
          <w:rFonts w:ascii="Book Antiqua" w:hAnsi="Book Antiqua" w:cs="Arial"/>
          <w:b/>
          <w:bCs/>
          <w:color w:val="000000" w:themeColor="text1"/>
          <w:sz w:val="20"/>
          <w:szCs w:val="20"/>
          <w:u w:val="single"/>
        </w:rPr>
        <w:t>MACROPHAGE POLARIZATION IN GVHD</w:t>
      </w:r>
    </w:p>
    <w:p w14:paraId="22062FCE" w14:textId="01CC30D8" w:rsidR="00542D00" w:rsidRPr="00072AEC" w:rsidRDefault="002044A9" w:rsidP="00072AEC">
      <w:pPr>
        <w:snapToGrid w:val="0"/>
        <w:spacing w:line="360" w:lineRule="auto"/>
        <w:rPr>
          <w:rFonts w:ascii="Book Antiqua" w:hAnsi="Book Antiqua" w:cs="Arial"/>
          <w:color w:val="000000" w:themeColor="text1"/>
          <w:sz w:val="20"/>
          <w:szCs w:val="20"/>
        </w:rPr>
      </w:pPr>
      <w:r w:rsidRPr="00072AEC">
        <w:rPr>
          <w:rFonts w:ascii="Book Antiqua" w:hAnsi="Book Antiqua" w:cs="Arial"/>
          <w:color w:val="000000" w:themeColor="text1"/>
          <w:sz w:val="20"/>
          <w:szCs w:val="20"/>
        </w:rPr>
        <w:t>As mentioned above, macrophage infiltration contributes to GVHD, but macrophage populations vary in different phases, tissues</w:t>
      </w:r>
      <w:r w:rsidR="00E34523"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and conditions of GVHD. Macrophage</w:t>
      </w:r>
      <w:r w:rsidR="00E3452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infiltrating in acute GVHD tend to be pro-inflammatory M1 macrophage</w:t>
      </w:r>
      <w:r w:rsidR="00E3452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whereas it is M2 macrophage</w:t>
      </w:r>
      <w:r w:rsidR="00E3452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that </w:t>
      </w:r>
      <w:r w:rsidR="00E34523" w:rsidRPr="00072AEC">
        <w:rPr>
          <w:rFonts w:ascii="Book Antiqua" w:hAnsi="Book Antiqua" w:cs="Arial"/>
          <w:color w:val="000000" w:themeColor="text1"/>
          <w:sz w:val="20"/>
          <w:szCs w:val="20"/>
        </w:rPr>
        <w:t xml:space="preserve">are predominant </w:t>
      </w:r>
      <w:r w:rsidRPr="00072AEC">
        <w:rPr>
          <w:rFonts w:ascii="Book Antiqua" w:hAnsi="Book Antiqua" w:cs="Arial"/>
          <w:color w:val="000000" w:themeColor="text1"/>
          <w:sz w:val="20"/>
          <w:szCs w:val="20"/>
        </w:rPr>
        <w:t>in chronic and refractory acute GVHD. Studies demonstrated that the recruitment of macrophage</w:t>
      </w:r>
      <w:r w:rsidR="00F32D70"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is one of hallmarks in the initiati</w:t>
      </w:r>
      <w:r w:rsidR="00F32D70" w:rsidRPr="00072AEC">
        <w:rPr>
          <w:rFonts w:ascii="Book Antiqua" w:hAnsi="Book Antiqua" w:cs="Arial"/>
          <w:color w:val="000000" w:themeColor="text1"/>
          <w:sz w:val="20"/>
          <w:szCs w:val="20"/>
        </w:rPr>
        <w:t>on</w:t>
      </w:r>
      <w:r w:rsidRPr="00072AEC">
        <w:rPr>
          <w:rFonts w:ascii="Book Antiqua" w:hAnsi="Book Antiqua" w:cs="Arial"/>
          <w:color w:val="000000" w:themeColor="text1"/>
          <w:sz w:val="20"/>
          <w:szCs w:val="20"/>
        </w:rPr>
        <w:t xml:space="preserve"> of acute GVHD, and a higher ratio of M1 macrophage/M2 macrophage (M1/M2) correlates to a higher incidence of grade 2</w:t>
      </w:r>
      <w:r w:rsidR="0029573F"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4 acute GVHD</w:t>
      </w:r>
      <w:r w:rsidRPr="00072AEC">
        <w:rPr>
          <w:rFonts w:ascii="Book Antiqua" w:hAnsi="Book Antiqua" w:cs="Arial"/>
          <w:color w:val="000000" w:themeColor="text1"/>
          <w:sz w:val="20"/>
          <w:szCs w:val="20"/>
          <w:vertAlign w:val="superscript"/>
        </w:rPr>
        <w:t>[36,37]</w:t>
      </w:r>
      <w:r w:rsidRPr="00072AEC">
        <w:rPr>
          <w:rFonts w:ascii="Book Antiqua" w:hAnsi="Book Antiqua" w:cs="Arial"/>
          <w:color w:val="000000" w:themeColor="text1"/>
          <w:sz w:val="20"/>
          <w:szCs w:val="20"/>
        </w:rPr>
        <w:t xml:space="preserve">. </w:t>
      </w:r>
    </w:p>
    <w:p w14:paraId="0662EF18" w14:textId="117A6E77" w:rsidR="00542D00" w:rsidRPr="00072AEC" w:rsidRDefault="002044A9" w:rsidP="00072AEC">
      <w:pPr>
        <w:snapToGrid w:val="0"/>
        <w:spacing w:line="360" w:lineRule="auto"/>
        <w:ind w:firstLine="270"/>
        <w:rPr>
          <w:rFonts w:ascii="Book Antiqua" w:hAnsi="Book Antiqua" w:cs="Arial"/>
          <w:color w:val="000000" w:themeColor="text1"/>
          <w:sz w:val="20"/>
          <w:szCs w:val="20"/>
        </w:rPr>
      </w:pPr>
      <w:r w:rsidRPr="00072AEC">
        <w:rPr>
          <w:rFonts w:ascii="Book Antiqua" w:hAnsi="Book Antiqua" w:cs="Arial"/>
          <w:color w:val="000000" w:themeColor="text1"/>
          <w:sz w:val="20"/>
          <w:szCs w:val="20"/>
        </w:rPr>
        <w:t>During acute GVHD pathogenesis, except</w:t>
      </w:r>
      <w:r w:rsidR="00F32D70" w:rsidRPr="00072AEC">
        <w:rPr>
          <w:rFonts w:ascii="Book Antiqua" w:hAnsi="Book Antiqua" w:cs="Arial"/>
          <w:color w:val="000000" w:themeColor="text1"/>
          <w:sz w:val="20"/>
          <w:szCs w:val="20"/>
        </w:rPr>
        <w:t xml:space="preserve"> in</w:t>
      </w:r>
      <w:r w:rsidRPr="00072AEC">
        <w:rPr>
          <w:rFonts w:ascii="Book Antiqua" w:hAnsi="Book Antiqua" w:cs="Arial"/>
          <w:color w:val="000000" w:themeColor="text1"/>
          <w:sz w:val="20"/>
          <w:szCs w:val="20"/>
        </w:rPr>
        <w:t xml:space="preserve"> immune response</w:t>
      </w:r>
      <w:r w:rsidR="00F32D70"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there is a cytostatic effect to inhibit cellular proliferation </w:t>
      </w:r>
      <w:r w:rsidRPr="00072AEC">
        <w:rPr>
          <w:rFonts w:ascii="Book Antiqua" w:hAnsi="Book Antiqua" w:cs="Arial"/>
          <w:i/>
          <w:iCs/>
          <w:color w:val="000000" w:themeColor="text1"/>
          <w:sz w:val="20"/>
          <w:szCs w:val="20"/>
        </w:rPr>
        <w:t>via</w:t>
      </w:r>
      <w:r w:rsidRPr="00072AEC">
        <w:rPr>
          <w:rFonts w:ascii="Book Antiqua" w:hAnsi="Book Antiqua" w:cs="Arial"/>
          <w:color w:val="000000" w:themeColor="text1"/>
          <w:sz w:val="20"/>
          <w:szCs w:val="20"/>
        </w:rPr>
        <w:t xml:space="preserve"> releasing iron from target cells induced by macrophage-producing nitric oxide</w:t>
      </w:r>
      <w:r w:rsidR="00E813AF" w:rsidRPr="00072AEC">
        <w:rPr>
          <w:rFonts w:ascii="Book Antiqua" w:hAnsi="Book Antiqua" w:cs="Arial"/>
          <w:color w:val="000000" w:themeColor="text1"/>
          <w:sz w:val="20"/>
          <w:szCs w:val="20"/>
        </w:rPr>
        <w:t xml:space="preserve"> (NO)</w:t>
      </w:r>
      <w:r w:rsidRPr="00072AEC">
        <w:rPr>
          <w:rFonts w:ascii="Book Antiqua" w:hAnsi="Book Antiqua" w:cs="Arial"/>
          <w:color w:val="000000" w:themeColor="text1"/>
          <w:sz w:val="20"/>
          <w:szCs w:val="20"/>
          <w:vertAlign w:val="superscript"/>
        </w:rPr>
        <w:t>[38]</w:t>
      </w:r>
      <w:r w:rsidRPr="00072AEC">
        <w:rPr>
          <w:rFonts w:ascii="Book Antiqua" w:hAnsi="Book Antiqua" w:cs="Arial"/>
          <w:color w:val="000000" w:themeColor="text1"/>
          <w:sz w:val="20"/>
          <w:szCs w:val="20"/>
        </w:rPr>
        <w:t xml:space="preserve">. Infiltration of </w:t>
      </w:r>
      <w:r w:rsidR="0029573F" w:rsidRPr="00072AEC">
        <w:rPr>
          <w:rFonts w:ascii="Book Antiqua" w:hAnsi="Book Antiqua" w:cs="Arial"/>
          <w:color w:val="000000" w:themeColor="text1"/>
          <w:sz w:val="20"/>
          <w:szCs w:val="20"/>
        </w:rPr>
        <w:t xml:space="preserve">inducible </w:t>
      </w:r>
      <w:r w:rsidR="00E813AF" w:rsidRPr="00072AEC">
        <w:rPr>
          <w:rFonts w:ascii="Book Antiqua" w:hAnsi="Book Antiqua" w:cs="Arial"/>
          <w:color w:val="000000" w:themeColor="text1"/>
          <w:sz w:val="20"/>
          <w:szCs w:val="20"/>
        </w:rPr>
        <w:t>NO</w:t>
      </w:r>
      <w:r w:rsidR="0029573F" w:rsidRPr="00072AEC">
        <w:rPr>
          <w:rFonts w:ascii="Book Antiqua" w:hAnsi="Book Antiqua" w:cs="Arial"/>
          <w:color w:val="000000" w:themeColor="text1"/>
          <w:sz w:val="20"/>
          <w:szCs w:val="20"/>
        </w:rPr>
        <w:t xml:space="preserve"> synthase (i</w:t>
      </w:r>
      <w:r w:rsidRPr="00072AEC">
        <w:rPr>
          <w:rFonts w:ascii="Book Antiqua" w:hAnsi="Book Antiqua" w:cs="Arial"/>
          <w:color w:val="000000" w:themeColor="text1"/>
          <w:sz w:val="20"/>
          <w:szCs w:val="20"/>
        </w:rPr>
        <w:t>NOS</w:t>
      </w:r>
      <w:r w:rsidR="0029573F" w:rsidRPr="00072AEC">
        <w:rPr>
          <w:rFonts w:ascii="Book Antiqua" w:hAnsi="Book Antiqua" w:cs="Arial"/>
          <w:color w:val="000000" w:themeColor="text1"/>
          <w:sz w:val="20"/>
          <w:szCs w:val="20"/>
        </w:rPr>
        <w:t>)</w:t>
      </w:r>
      <w:r w:rsidRPr="00072AEC">
        <w:rPr>
          <w:rFonts w:ascii="Cambria Math" w:eastAsia="宋体" w:hAnsi="Cambria Math" w:cs="Cambria Math"/>
          <w:color w:val="000000" w:themeColor="text1"/>
          <w:sz w:val="20"/>
          <w:szCs w:val="20"/>
        </w:rPr>
        <w:t>‐</w:t>
      </w:r>
      <w:r w:rsidRPr="00072AEC">
        <w:rPr>
          <w:rFonts w:ascii="Book Antiqua" w:hAnsi="Book Antiqua" w:cs="Arial"/>
          <w:color w:val="000000" w:themeColor="text1"/>
          <w:sz w:val="20"/>
          <w:szCs w:val="20"/>
        </w:rPr>
        <w:t>positive M1 macrophages was found in oral mucosal acute GVHD</w:t>
      </w:r>
      <w:r w:rsidRPr="00072AEC">
        <w:rPr>
          <w:rFonts w:ascii="Book Antiqua" w:hAnsi="Book Antiqua" w:cs="Arial"/>
          <w:color w:val="000000" w:themeColor="text1"/>
          <w:sz w:val="20"/>
          <w:szCs w:val="20"/>
          <w:vertAlign w:val="superscript"/>
        </w:rPr>
        <w:t>[39]</w:t>
      </w:r>
      <w:r w:rsidRPr="00072AEC">
        <w:rPr>
          <w:rFonts w:ascii="Book Antiqua" w:hAnsi="Book Antiqua" w:cs="Arial"/>
          <w:color w:val="000000" w:themeColor="text1"/>
          <w:sz w:val="20"/>
          <w:szCs w:val="20"/>
        </w:rPr>
        <w:t xml:space="preserve">. It means that M1 macrophage polarization can modulate acute GVHD by producing </w:t>
      </w:r>
      <w:r w:rsidR="00E813AF" w:rsidRPr="00072AEC">
        <w:rPr>
          <w:rFonts w:ascii="Book Antiqua" w:hAnsi="Book Antiqua" w:cs="Arial"/>
          <w:color w:val="000000" w:themeColor="text1"/>
          <w:sz w:val="20"/>
          <w:szCs w:val="20"/>
        </w:rPr>
        <w:t>NO</w:t>
      </w:r>
      <w:r w:rsidRPr="00072AEC">
        <w:rPr>
          <w:rFonts w:ascii="Book Antiqua" w:hAnsi="Book Antiqua" w:cs="Arial"/>
          <w:color w:val="000000" w:themeColor="text1"/>
          <w:sz w:val="20"/>
          <w:szCs w:val="20"/>
        </w:rPr>
        <w:t xml:space="preserve">. </w:t>
      </w:r>
    </w:p>
    <w:p w14:paraId="65700ECC" w14:textId="44AD9F9A" w:rsidR="002044A9" w:rsidRPr="00072AEC" w:rsidRDefault="002044A9" w:rsidP="00DF0453">
      <w:pPr>
        <w:snapToGrid w:val="0"/>
        <w:spacing w:line="360" w:lineRule="auto"/>
        <w:ind w:firstLine="270"/>
        <w:rPr>
          <w:rFonts w:ascii="Book Antiqua" w:hAnsi="Book Antiqua" w:cs="Arial"/>
          <w:color w:val="000000" w:themeColor="text1"/>
          <w:sz w:val="20"/>
          <w:szCs w:val="20"/>
        </w:rPr>
      </w:pPr>
      <w:r w:rsidRPr="00072AEC">
        <w:rPr>
          <w:rFonts w:ascii="Book Antiqua" w:hAnsi="Book Antiqua" w:cs="Arial"/>
          <w:color w:val="000000" w:themeColor="text1"/>
          <w:sz w:val="20"/>
          <w:szCs w:val="20"/>
        </w:rPr>
        <w:t>Although the association between M1 macrophages and acute GVHD have been reported, Holtan</w:t>
      </w:r>
      <w:r w:rsidR="0029573F" w:rsidRPr="00072AEC">
        <w:rPr>
          <w:rFonts w:ascii="Book Antiqua" w:hAnsi="Book Antiqua" w:cs="Arial"/>
          <w:color w:val="000000" w:themeColor="text1"/>
          <w:sz w:val="20"/>
          <w:szCs w:val="20"/>
        </w:rPr>
        <w:t xml:space="preserve"> </w:t>
      </w:r>
      <w:r w:rsidR="0029573F" w:rsidRPr="00072AEC">
        <w:rPr>
          <w:rFonts w:ascii="Book Antiqua" w:hAnsi="Book Antiqua" w:cs="Arial"/>
          <w:i/>
          <w:iCs/>
          <w:color w:val="000000" w:themeColor="text1"/>
          <w:sz w:val="20"/>
          <w:szCs w:val="20"/>
        </w:rPr>
        <w:t>et al</w:t>
      </w:r>
      <w:r w:rsidR="0029573F" w:rsidRPr="00072AEC">
        <w:rPr>
          <w:rFonts w:ascii="Book Antiqua" w:hAnsi="Book Antiqua" w:cs="Arial"/>
          <w:color w:val="000000" w:themeColor="text1"/>
          <w:sz w:val="20"/>
          <w:szCs w:val="20"/>
          <w:vertAlign w:val="superscript"/>
        </w:rPr>
        <w:t>[40]</w:t>
      </w:r>
      <w:r w:rsidRPr="00072AEC">
        <w:rPr>
          <w:rFonts w:ascii="Book Antiqua" w:hAnsi="Book Antiqua" w:cs="Arial"/>
          <w:color w:val="000000" w:themeColor="text1"/>
          <w:sz w:val="20"/>
          <w:szCs w:val="20"/>
        </w:rPr>
        <w:t xml:space="preserve"> </w:t>
      </w:r>
      <w:r w:rsidR="00542D00" w:rsidRPr="00072AEC">
        <w:rPr>
          <w:rFonts w:ascii="Book Antiqua" w:hAnsi="Book Antiqua" w:cs="Arial"/>
          <w:color w:val="000000" w:themeColor="text1"/>
          <w:sz w:val="20"/>
          <w:szCs w:val="20"/>
        </w:rPr>
        <w:t xml:space="preserve">observed </w:t>
      </w:r>
      <w:r w:rsidRPr="00072AEC">
        <w:rPr>
          <w:rFonts w:ascii="Book Antiqua" w:hAnsi="Book Antiqua" w:cs="Arial"/>
          <w:color w:val="000000" w:themeColor="text1"/>
          <w:sz w:val="20"/>
          <w:szCs w:val="20"/>
        </w:rPr>
        <w:t xml:space="preserve">more CD4+ activated memory T cells and M0 macrophages in onset GI acute GVHD, increased M1 macrophages in onset and steroid-refractory acute GVHD but higher M2 macrophages in steroid-refractory GI acute GVHD. For the diversity between macrophage polarization in acute GVHD and refractory GI acute GVHD, it might be due to the phases and complicated mechanism of </w:t>
      </w:r>
      <w:bookmarkStart w:id="15" w:name="OLE_LINK88"/>
      <w:bookmarkStart w:id="16" w:name="OLE_LINK89"/>
      <w:r w:rsidRPr="00072AEC">
        <w:rPr>
          <w:rFonts w:ascii="Book Antiqua" w:hAnsi="Book Antiqua" w:cs="Arial"/>
          <w:color w:val="000000" w:themeColor="text1"/>
          <w:sz w:val="20"/>
          <w:szCs w:val="20"/>
        </w:rPr>
        <w:t>steroid-refractory GVHD</w:t>
      </w:r>
      <w:bookmarkEnd w:id="15"/>
      <w:bookmarkEnd w:id="16"/>
      <w:r w:rsidRPr="00072AEC">
        <w:rPr>
          <w:rFonts w:ascii="Book Antiqua" w:hAnsi="Book Antiqua" w:cs="Arial"/>
          <w:color w:val="000000" w:themeColor="text1"/>
          <w:sz w:val="20"/>
          <w:szCs w:val="20"/>
        </w:rPr>
        <w:t xml:space="preserve"> that refractory GVHD was more associated with thrombotic system</w:t>
      </w:r>
      <w:r w:rsidRPr="00072AEC">
        <w:rPr>
          <w:rFonts w:ascii="Book Antiqua" w:hAnsi="Book Antiqua" w:cs="Arial"/>
          <w:color w:val="000000" w:themeColor="text1"/>
          <w:sz w:val="20"/>
          <w:szCs w:val="20"/>
          <w:vertAlign w:val="superscript"/>
        </w:rPr>
        <w:t>[41,42]</w:t>
      </w:r>
      <w:r w:rsidRPr="00072AEC">
        <w:rPr>
          <w:rFonts w:ascii="Book Antiqua" w:hAnsi="Book Antiqua" w:cs="Arial"/>
          <w:color w:val="000000" w:themeColor="text1"/>
          <w:sz w:val="20"/>
          <w:szCs w:val="20"/>
        </w:rPr>
        <w:t xml:space="preserve">. In addition, </w:t>
      </w:r>
      <w:r w:rsidRPr="00072AEC">
        <w:rPr>
          <w:rFonts w:ascii="Book Antiqua" w:hAnsi="Book Antiqua" w:cs="Arial"/>
          <w:color w:val="000000" w:themeColor="text1"/>
          <w:kern w:val="0"/>
          <w:sz w:val="20"/>
          <w:szCs w:val="20"/>
        </w:rPr>
        <w:t>as a scavenger receptor, CD163 is mostly expressed on M2 macrophages</w:t>
      </w:r>
      <w:r w:rsidRPr="00072AEC">
        <w:rPr>
          <w:rFonts w:ascii="Book Antiqua" w:hAnsi="Book Antiqua" w:cs="Arial"/>
          <w:color w:val="000000" w:themeColor="text1"/>
          <w:kern w:val="0"/>
          <w:sz w:val="20"/>
          <w:szCs w:val="20"/>
          <w:vertAlign w:val="superscript"/>
        </w:rPr>
        <w:t>[43]</w:t>
      </w:r>
      <w:r w:rsidRPr="00072AEC">
        <w:rPr>
          <w:rFonts w:ascii="Book Antiqua" w:hAnsi="Book Antiqua" w:cs="Arial"/>
          <w:color w:val="000000" w:themeColor="text1"/>
          <w:kern w:val="0"/>
          <w:sz w:val="20"/>
          <w:szCs w:val="20"/>
        </w:rPr>
        <w:t>.</w:t>
      </w:r>
      <w:r w:rsidRPr="00072AEC">
        <w:rPr>
          <w:rFonts w:ascii="Book Antiqua" w:hAnsi="Book Antiqua" w:cs="Arial"/>
          <w:color w:val="000000" w:themeColor="text1"/>
          <w:sz w:val="20"/>
          <w:szCs w:val="20"/>
        </w:rPr>
        <w:t xml:space="preserve"> Nishiwaki</w:t>
      </w:r>
      <w:r w:rsidR="0029573F" w:rsidRPr="00072AEC">
        <w:rPr>
          <w:rFonts w:ascii="Book Antiqua" w:hAnsi="Book Antiqua" w:cs="Arial"/>
          <w:color w:val="000000" w:themeColor="text1"/>
          <w:sz w:val="20"/>
          <w:szCs w:val="20"/>
        </w:rPr>
        <w:t xml:space="preserve"> </w:t>
      </w:r>
      <w:r w:rsidR="0029573F" w:rsidRPr="00072AEC">
        <w:rPr>
          <w:rFonts w:ascii="Book Antiqua" w:hAnsi="Book Antiqua" w:cs="Arial"/>
          <w:i/>
          <w:iCs/>
          <w:color w:val="000000" w:themeColor="text1"/>
          <w:sz w:val="20"/>
          <w:szCs w:val="20"/>
        </w:rPr>
        <w:t>et al</w:t>
      </w:r>
      <w:r w:rsidR="0029573F" w:rsidRPr="00072AEC">
        <w:rPr>
          <w:rFonts w:ascii="Book Antiqua" w:hAnsi="Book Antiqua" w:cs="Arial"/>
          <w:color w:val="000000" w:themeColor="text1"/>
          <w:sz w:val="20"/>
          <w:szCs w:val="20"/>
          <w:vertAlign w:val="superscript"/>
        </w:rPr>
        <w:t>[44]</w:t>
      </w:r>
      <w:r w:rsidRPr="00072AEC">
        <w:rPr>
          <w:rFonts w:ascii="Book Antiqua" w:hAnsi="Book Antiqua" w:cs="Arial"/>
          <w:color w:val="000000" w:themeColor="text1"/>
          <w:sz w:val="20"/>
          <w:szCs w:val="20"/>
        </w:rPr>
        <w:t xml:space="preserve"> also demonstrated that CD163 macrophage infiltration was the only predictor for refractory acute GVHD when </w:t>
      </w:r>
      <w:r w:rsidR="00BA7497"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 xml:space="preserve">number of CD163(+) macrophages, CD8(+) T cells, and CD1a(+) dendritic cells was counted. Meanwhile, a higher plasma soluble CD163 concentration at day 80 is related to the incidence of </w:t>
      </w:r>
      <w:r w:rsidRPr="00DF0453">
        <w:rPr>
          <w:rFonts w:ascii="Book Antiqua" w:hAnsi="Book Antiqua" w:cs="Arial"/>
          <w:i/>
          <w:iCs/>
          <w:color w:val="000000" w:themeColor="text1"/>
          <w:sz w:val="20"/>
          <w:szCs w:val="20"/>
        </w:rPr>
        <w:t>de novo</w:t>
      </w:r>
      <w:r w:rsidRPr="00072AEC">
        <w:rPr>
          <w:rFonts w:ascii="Book Antiqua" w:hAnsi="Book Antiqua" w:cs="Arial"/>
          <w:color w:val="000000" w:themeColor="text1"/>
          <w:sz w:val="20"/>
          <w:szCs w:val="20"/>
        </w:rPr>
        <w:t>-onset chronic GVHD</w:t>
      </w:r>
      <w:r w:rsidRPr="00072AEC">
        <w:rPr>
          <w:rFonts w:ascii="Book Antiqua" w:hAnsi="Book Antiqua" w:cs="Arial"/>
          <w:color w:val="000000" w:themeColor="text1"/>
          <w:sz w:val="20"/>
          <w:szCs w:val="20"/>
          <w:vertAlign w:val="superscript"/>
        </w:rPr>
        <w:t>[45]</w:t>
      </w:r>
      <w:r w:rsidRPr="00072AEC">
        <w:rPr>
          <w:rFonts w:ascii="Book Antiqua" w:hAnsi="Book Antiqua" w:cs="Arial"/>
          <w:color w:val="000000" w:themeColor="text1"/>
          <w:sz w:val="20"/>
          <w:szCs w:val="20"/>
        </w:rPr>
        <w:t>. Donor</w:t>
      </w:r>
      <w:r w:rsidR="009836AD"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derived M2 macrophage phenotype contributes to chronic GVHD, not only manifesting CD163+</w:t>
      </w:r>
      <w:r w:rsidR="00BA7497" w:rsidRPr="00072AEC">
        <w:rPr>
          <w:rFonts w:ascii="Book Antiqua" w:hAnsi="Book Antiqua" w:cs="Arial"/>
          <w:color w:val="000000" w:themeColor="text1"/>
          <w:sz w:val="20"/>
          <w:szCs w:val="20"/>
        </w:rPr>
        <w:t xml:space="preserve"> </w:t>
      </w:r>
      <w:r w:rsidRPr="00072AEC">
        <w:rPr>
          <w:rFonts w:ascii="Book Antiqua" w:hAnsi="Book Antiqua" w:cs="Arial"/>
          <w:color w:val="000000" w:themeColor="text1"/>
          <w:sz w:val="20"/>
          <w:szCs w:val="20"/>
        </w:rPr>
        <w:t>macrophage population, but also CD11b+ monocyte/macrophages and F4/80+CSF-1R+CD206+iNOS</w:t>
      </w:r>
      <w:r w:rsidR="009836AD"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population</w:t>
      </w:r>
      <w:r w:rsidR="00BA7497"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vertAlign w:val="superscript"/>
        </w:rPr>
        <w:t>[46-50]</w:t>
      </w:r>
      <w:r w:rsidRPr="00072AEC">
        <w:rPr>
          <w:rFonts w:ascii="Book Antiqua" w:hAnsi="Book Antiqua" w:cs="Arial"/>
          <w:color w:val="000000" w:themeColor="text1"/>
          <w:sz w:val="20"/>
          <w:szCs w:val="20"/>
        </w:rPr>
        <w:t xml:space="preserve">. Therefore, we could conclude that M1 macrophage polarization is </w:t>
      </w:r>
      <w:r w:rsidR="00BA7497" w:rsidRPr="00072AEC">
        <w:rPr>
          <w:rFonts w:ascii="Book Antiqua" w:hAnsi="Book Antiqua" w:cs="Arial"/>
          <w:color w:val="000000" w:themeColor="text1"/>
          <w:sz w:val="20"/>
          <w:szCs w:val="20"/>
        </w:rPr>
        <w:t>predominant</w:t>
      </w:r>
      <w:r w:rsidRPr="00072AEC">
        <w:rPr>
          <w:rFonts w:ascii="Book Antiqua" w:hAnsi="Book Antiqua" w:cs="Arial"/>
          <w:color w:val="000000" w:themeColor="text1"/>
          <w:sz w:val="20"/>
          <w:szCs w:val="20"/>
        </w:rPr>
        <w:t xml:space="preserve"> in acute GVHD, while M2 macrophage polarization is dominant in refractory acute GVHD and chronic GVHD.</w:t>
      </w:r>
    </w:p>
    <w:bookmarkEnd w:id="14"/>
    <w:p w14:paraId="16F48267" w14:textId="3F93877E" w:rsidR="002044A9" w:rsidRPr="00072AEC" w:rsidRDefault="002044A9" w:rsidP="00072AEC">
      <w:pPr>
        <w:snapToGrid w:val="0"/>
        <w:spacing w:line="360" w:lineRule="auto"/>
        <w:rPr>
          <w:rFonts w:ascii="Book Antiqua" w:hAnsi="Book Antiqua" w:cs="Arial"/>
          <w:color w:val="000000" w:themeColor="text1"/>
          <w:sz w:val="20"/>
          <w:szCs w:val="20"/>
        </w:rPr>
      </w:pPr>
    </w:p>
    <w:p w14:paraId="3D3B582C" w14:textId="77777777" w:rsidR="002044A9" w:rsidRPr="00072AEC" w:rsidRDefault="002044A9" w:rsidP="00072AEC">
      <w:pPr>
        <w:snapToGrid w:val="0"/>
        <w:spacing w:line="360" w:lineRule="auto"/>
        <w:rPr>
          <w:rFonts w:ascii="Book Antiqua" w:hAnsi="Book Antiqua" w:cs="Arial"/>
          <w:b/>
          <w:bCs/>
          <w:color w:val="000000" w:themeColor="text1"/>
          <w:sz w:val="20"/>
          <w:szCs w:val="20"/>
          <w:u w:val="single"/>
        </w:rPr>
      </w:pPr>
      <w:r w:rsidRPr="00072AEC">
        <w:rPr>
          <w:rFonts w:ascii="Book Antiqua" w:hAnsi="Book Antiqua" w:cs="Arial"/>
          <w:b/>
          <w:bCs/>
          <w:color w:val="000000" w:themeColor="text1"/>
          <w:sz w:val="20"/>
          <w:szCs w:val="20"/>
          <w:u w:val="single"/>
        </w:rPr>
        <w:t>RECRUITMENT OF MACROPHAGES</w:t>
      </w:r>
    </w:p>
    <w:p w14:paraId="7029606C" w14:textId="059CF435" w:rsidR="007A019B" w:rsidRPr="00072AEC" w:rsidRDefault="002044A9" w:rsidP="00072AEC">
      <w:pPr>
        <w:snapToGrid w:val="0"/>
        <w:spacing w:line="360" w:lineRule="auto"/>
        <w:rPr>
          <w:rFonts w:ascii="Book Antiqua" w:hAnsi="Book Antiqua" w:cs="Arial"/>
          <w:color w:val="000000" w:themeColor="text1"/>
          <w:sz w:val="20"/>
          <w:szCs w:val="20"/>
        </w:rPr>
      </w:pPr>
      <w:r w:rsidRPr="00072AEC">
        <w:rPr>
          <w:rFonts w:ascii="Book Antiqua" w:hAnsi="Book Antiqua" w:cs="Arial"/>
          <w:color w:val="000000" w:themeColor="text1"/>
          <w:sz w:val="20"/>
          <w:szCs w:val="20"/>
        </w:rPr>
        <w:t xml:space="preserve">Chemokines regulate macrophage infiltration in GVHD. On the basis of cysteine residues, four subfamilies of chemokines, including C, CC, CXC, and CX3C are defined, which are able to bind to XCR, CCR, CXCR and CX3CR, respectively, with </w:t>
      </w:r>
      <w:r w:rsidR="007A019B"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ability to regulate recruitment of leukocyte</w:t>
      </w:r>
      <w:r w:rsidR="007A019B"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vertAlign w:val="superscript"/>
        </w:rPr>
        <w:t>[51,52]</w:t>
      </w:r>
      <w:r w:rsidRPr="00072AEC">
        <w:rPr>
          <w:rFonts w:ascii="Book Antiqua" w:hAnsi="Book Antiqua" w:cs="Arial"/>
          <w:color w:val="000000" w:themeColor="text1"/>
          <w:sz w:val="20"/>
          <w:szCs w:val="20"/>
        </w:rPr>
        <w:t>. CXCL2 is also known as macrophage inflammatory protein-2. CXCL2 played an important role in recruitment of macrophages and T cells to target organs in GVHD, and the severity of GVHD was decreased by blocking CXCL2 and its receptor CXCR2</w:t>
      </w:r>
      <w:r w:rsidRPr="00072AEC">
        <w:rPr>
          <w:rFonts w:ascii="Book Antiqua" w:hAnsi="Book Antiqua" w:cs="Arial"/>
          <w:color w:val="000000" w:themeColor="text1"/>
          <w:sz w:val="20"/>
          <w:szCs w:val="20"/>
          <w:vertAlign w:val="superscript"/>
        </w:rPr>
        <w:t>[53]</w:t>
      </w:r>
      <w:r w:rsidRPr="00072AEC">
        <w:rPr>
          <w:rFonts w:ascii="Book Antiqua" w:hAnsi="Book Antiqua" w:cs="Arial"/>
          <w:color w:val="000000" w:themeColor="text1"/>
          <w:sz w:val="20"/>
          <w:szCs w:val="20"/>
        </w:rPr>
        <w:t xml:space="preserve">. </w:t>
      </w:r>
      <w:r w:rsidR="007A019B" w:rsidRPr="00072AEC">
        <w:rPr>
          <w:rFonts w:ascii="Book Antiqua" w:hAnsi="Book Antiqua" w:cs="Arial"/>
          <w:color w:val="000000" w:themeColor="text1"/>
          <w:sz w:val="20"/>
          <w:szCs w:val="20"/>
        </w:rPr>
        <w:t>In addition</w:t>
      </w:r>
      <w:r w:rsidRPr="00072AEC">
        <w:rPr>
          <w:rFonts w:ascii="Book Antiqua" w:hAnsi="Book Antiqua" w:cs="Arial"/>
          <w:color w:val="000000" w:themeColor="text1"/>
          <w:sz w:val="20"/>
          <w:szCs w:val="20"/>
        </w:rPr>
        <w:t>, by binding to CC chemokine receptor 2, monocyte chemoattractant protein (MCP)-1 can also regulate the recruitment of monocyte</w:t>
      </w:r>
      <w:r w:rsidR="007A019B"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/macrophages, T cells, and other target cells and engage in </w:t>
      </w:r>
      <w:r w:rsidR="007A019B"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inflammatory response. An accumulation of iNOS</w:t>
      </w:r>
      <w:r w:rsidRPr="00072AEC">
        <w:rPr>
          <w:rFonts w:ascii="Cambria Math" w:eastAsia="宋体" w:hAnsi="Cambria Math" w:cs="Cambria Math"/>
          <w:color w:val="000000" w:themeColor="text1"/>
          <w:sz w:val="20"/>
          <w:szCs w:val="20"/>
        </w:rPr>
        <w:t>‐</w:t>
      </w:r>
      <w:r w:rsidRPr="00072AEC">
        <w:rPr>
          <w:rFonts w:ascii="Book Antiqua" w:hAnsi="Book Antiqua" w:cs="Arial"/>
          <w:color w:val="000000" w:themeColor="text1"/>
          <w:sz w:val="20"/>
          <w:szCs w:val="20"/>
        </w:rPr>
        <w:t>positive M1 macrophage</w:t>
      </w:r>
      <w:r w:rsidR="007A019B"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was found in oral mucosal acute GVHD </w:t>
      </w:r>
      <w:r w:rsidRPr="00072AEC">
        <w:rPr>
          <w:rFonts w:ascii="Book Antiqua" w:hAnsi="Book Antiqua" w:cs="Arial"/>
          <w:i/>
          <w:iCs/>
          <w:color w:val="000000" w:themeColor="text1"/>
          <w:sz w:val="20"/>
          <w:szCs w:val="20"/>
        </w:rPr>
        <w:t>via</w:t>
      </w:r>
      <w:r w:rsidRPr="00072AEC">
        <w:rPr>
          <w:rFonts w:ascii="Book Antiqua" w:hAnsi="Book Antiqua" w:cs="Arial"/>
          <w:color w:val="000000" w:themeColor="text1"/>
          <w:sz w:val="20"/>
          <w:szCs w:val="20"/>
        </w:rPr>
        <w:t xml:space="preserve"> both laminin/CD29 </w:t>
      </w:r>
      <w:r w:rsidRPr="00072AEC">
        <w:rPr>
          <w:rFonts w:ascii="Book Antiqua" w:hAnsi="Book Antiqua" w:cs="Book Antiqua"/>
          <w:color w:val="000000" w:themeColor="text1"/>
          <w:sz w:val="20"/>
          <w:szCs w:val="20"/>
        </w:rPr>
        <w:t>β</w:t>
      </w:r>
      <w:r w:rsidRPr="00072AEC">
        <w:rPr>
          <w:rFonts w:ascii="Book Antiqua" w:hAnsi="Book Antiqua" w:cs="Arial"/>
          <w:color w:val="000000" w:themeColor="text1"/>
          <w:sz w:val="20"/>
          <w:szCs w:val="20"/>
        </w:rPr>
        <w:t>1 intern and MCP-1/</w:t>
      </w:r>
      <w:r w:rsidR="007A019B" w:rsidRPr="00072AEC">
        <w:rPr>
          <w:rFonts w:ascii="Book Antiqua" w:hAnsi="Book Antiqua" w:cs="Arial"/>
          <w:color w:val="000000" w:themeColor="text1"/>
          <w:sz w:val="20"/>
          <w:szCs w:val="20"/>
        </w:rPr>
        <w:t>CC chemokine receptor 2</w:t>
      </w:r>
      <w:r w:rsidRPr="00072AEC">
        <w:rPr>
          <w:rFonts w:ascii="Book Antiqua" w:hAnsi="Book Antiqua" w:cs="Arial"/>
          <w:color w:val="000000" w:themeColor="text1"/>
          <w:sz w:val="20"/>
          <w:szCs w:val="20"/>
        </w:rPr>
        <w:t xml:space="preserve"> pathways</w:t>
      </w:r>
      <w:r w:rsidRPr="00072AEC">
        <w:rPr>
          <w:rFonts w:ascii="Book Antiqua" w:hAnsi="Book Antiqua" w:cs="Arial"/>
          <w:color w:val="000000" w:themeColor="text1"/>
          <w:sz w:val="20"/>
          <w:szCs w:val="20"/>
          <w:vertAlign w:val="superscript"/>
        </w:rPr>
        <w:t>[39]</w:t>
      </w:r>
      <w:r w:rsidRPr="00072AEC">
        <w:rPr>
          <w:rFonts w:ascii="Book Antiqua" w:hAnsi="Book Antiqua" w:cs="Arial"/>
          <w:color w:val="000000" w:themeColor="text1"/>
          <w:sz w:val="20"/>
          <w:szCs w:val="20"/>
        </w:rPr>
        <w:t>. Macrophage migration is mediated by laminin/CD29 β1 intern, meanwhile, macrophage-derived matrix metalloproteinase-2 contributed to basement membrane degradation and activated macrophage</w:t>
      </w:r>
      <w:r w:rsidR="007A019B"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interacted with oral epithelium </w:t>
      </w:r>
      <w:r w:rsidRPr="00072AEC">
        <w:rPr>
          <w:rFonts w:ascii="Book Antiqua" w:hAnsi="Book Antiqua" w:cs="Arial"/>
          <w:i/>
          <w:iCs/>
          <w:color w:val="000000" w:themeColor="text1"/>
          <w:sz w:val="20"/>
          <w:szCs w:val="20"/>
        </w:rPr>
        <w:t>via</w:t>
      </w:r>
      <w:r w:rsidRPr="00072AEC">
        <w:rPr>
          <w:rFonts w:ascii="Book Antiqua" w:hAnsi="Book Antiqua" w:cs="Arial"/>
          <w:color w:val="000000" w:themeColor="text1"/>
          <w:sz w:val="20"/>
          <w:szCs w:val="20"/>
        </w:rPr>
        <w:t xml:space="preserve"> </w:t>
      </w:r>
      <w:r w:rsidR="007A019B"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MCP</w:t>
      </w:r>
      <w:r w:rsidRPr="00072AEC">
        <w:rPr>
          <w:rFonts w:ascii="Cambria Math" w:eastAsia="宋体" w:hAnsi="Cambria Math" w:cs="Cambria Math"/>
          <w:color w:val="000000" w:themeColor="text1"/>
          <w:sz w:val="20"/>
          <w:szCs w:val="20"/>
        </w:rPr>
        <w:t>‐</w:t>
      </w:r>
      <w:r w:rsidRPr="00072AEC">
        <w:rPr>
          <w:rFonts w:ascii="Book Antiqua" w:hAnsi="Book Antiqua" w:cs="Arial"/>
          <w:color w:val="000000" w:themeColor="text1"/>
          <w:sz w:val="20"/>
          <w:szCs w:val="20"/>
        </w:rPr>
        <w:t>1/</w:t>
      </w:r>
      <w:r w:rsidR="007A019B" w:rsidRPr="00072AEC">
        <w:rPr>
          <w:rFonts w:ascii="Book Antiqua" w:hAnsi="Book Antiqua" w:cs="Arial"/>
          <w:color w:val="000000" w:themeColor="text1"/>
          <w:sz w:val="20"/>
          <w:szCs w:val="20"/>
        </w:rPr>
        <w:t xml:space="preserve">CC chemokine receptor 2 </w:t>
      </w:r>
      <w:r w:rsidRPr="00072AEC">
        <w:rPr>
          <w:rFonts w:ascii="Book Antiqua" w:hAnsi="Book Antiqua" w:cs="Arial"/>
          <w:color w:val="000000" w:themeColor="text1"/>
          <w:sz w:val="20"/>
          <w:szCs w:val="20"/>
        </w:rPr>
        <w:t>adhesive pathway directly</w:t>
      </w:r>
      <w:r w:rsidRPr="00072AEC">
        <w:rPr>
          <w:rFonts w:ascii="Book Antiqua" w:hAnsi="Book Antiqua" w:cs="Arial"/>
          <w:color w:val="000000" w:themeColor="text1"/>
          <w:sz w:val="20"/>
          <w:szCs w:val="20"/>
          <w:vertAlign w:val="superscript"/>
        </w:rPr>
        <w:t>[39]</w:t>
      </w:r>
      <w:r w:rsidRPr="00072AEC">
        <w:rPr>
          <w:rFonts w:ascii="Book Antiqua" w:hAnsi="Book Antiqua" w:cs="Arial"/>
          <w:color w:val="000000" w:themeColor="text1"/>
          <w:sz w:val="20"/>
          <w:szCs w:val="20"/>
        </w:rPr>
        <w:t xml:space="preserve">. </w:t>
      </w:r>
    </w:p>
    <w:p w14:paraId="28B27703" w14:textId="294BF26A" w:rsidR="002044A9" w:rsidRPr="00072AEC" w:rsidRDefault="002044A9" w:rsidP="00DF0453">
      <w:pPr>
        <w:snapToGrid w:val="0"/>
        <w:spacing w:line="360" w:lineRule="auto"/>
        <w:ind w:firstLine="270"/>
        <w:rPr>
          <w:rFonts w:ascii="Book Antiqua" w:hAnsi="Book Antiqua" w:cs="Arial"/>
          <w:color w:val="000000" w:themeColor="text1"/>
          <w:sz w:val="20"/>
          <w:szCs w:val="20"/>
        </w:rPr>
      </w:pPr>
      <w:r w:rsidRPr="00072AEC">
        <w:rPr>
          <w:rFonts w:ascii="Book Antiqua" w:hAnsi="Book Antiqua" w:cs="Arial"/>
          <w:color w:val="000000" w:themeColor="text1"/>
          <w:sz w:val="20"/>
          <w:szCs w:val="20"/>
        </w:rPr>
        <w:t>On the other hand, in chronic GVHD, Du</w:t>
      </w:r>
      <w:r w:rsidR="009836AD" w:rsidRPr="00072AEC">
        <w:rPr>
          <w:rFonts w:ascii="Book Antiqua" w:hAnsi="Book Antiqua" w:cs="Arial"/>
          <w:color w:val="000000" w:themeColor="text1"/>
          <w:sz w:val="20"/>
          <w:szCs w:val="20"/>
        </w:rPr>
        <w:t xml:space="preserve"> </w:t>
      </w:r>
      <w:r w:rsidR="009836AD" w:rsidRPr="00072AEC">
        <w:rPr>
          <w:rFonts w:ascii="Book Antiqua" w:hAnsi="Book Antiqua" w:cs="Arial"/>
          <w:i/>
          <w:iCs/>
          <w:color w:val="000000" w:themeColor="text1"/>
          <w:sz w:val="20"/>
          <w:szCs w:val="20"/>
        </w:rPr>
        <w:t>et al</w:t>
      </w:r>
      <w:r w:rsidR="009836AD" w:rsidRPr="00072AEC">
        <w:rPr>
          <w:rFonts w:ascii="Book Antiqua" w:hAnsi="Book Antiqua" w:cs="Arial"/>
          <w:color w:val="000000" w:themeColor="text1"/>
          <w:sz w:val="20"/>
          <w:szCs w:val="20"/>
          <w:vertAlign w:val="superscript"/>
        </w:rPr>
        <w:t>[54]</w:t>
      </w:r>
      <w:r w:rsidRPr="00072AEC">
        <w:rPr>
          <w:rFonts w:ascii="Book Antiqua" w:hAnsi="Book Antiqua" w:cs="Arial"/>
          <w:color w:val="000000" w:themeColor="text1"/>
          <w:sz w:val="20"/>
          <w:szCs w:val="20"/>
        </w:rPr>
        <w:t xml:space="preserve"> indicated that CCL9 showed a biological relevance for chronic GVHD by promoting macrophage infiltration, increasing lung immunoglobulin deposition, and upregulating splenic GC B cells and Tfh cells</w:t>
      </w:r>
      <w:r w:rsidR="00B37CA0" w:rsidRPr="00072AEC">
        <w:rPr>
          <w:rFonts w:ascii="Book Antiqua" w:hAnsi="Book Antiqua" w:cs="Arial"/>
          <w:color w:val="000000" w:themeColor="text1"/>
          <w:sz w:val="20"/>
          <w:szCs w:val="20"/>
        </w:rPr>
        <w:t xml:space="preserve"> a</w:t>
      </w:r>
      <w:r w:rsidRPr="00072AEC">
        <w:rPr>
          <w:rFonts w:ascii="Book Antiqua" w:hAnsi="Book Antiqua" w:cs="Arial"/>
          <w:color w:val="000000" w:themeColor="text1"/>
          <w:sz w:val="20"/>
          <w:szCs w:val="20"/>
        </w:rPr>
        <w:t>nd the Tfh/T follicular regulatory cells ratio</w:t>
      </w:r>
      <w:r w:rsidR="00B37CA0" w:rsidRPr="00072AEC">
        <w:rPr>
          <w:rFonts w:ascii="Book Antiqua" w:hAnsi="Book Antiqua" w:cs="Arial"/>
          <w:color w:val="000000" w:themeColor="text1"/>
          <w:sz w:val="20"/>
          <w:szCs w:val="20"/>
        </w:rPr>
        <w:t xml:space="preserve">. They also observed that </w:t>
      </w:r>
      <w:r w:rsidRPr="00072AEC">
        <w:rPr>
          <w:rFonts w:ascii="Book Antiqua" w:hAnsi="Book Antiqua" w:cs="Arial"/>
          <w:color w:val="000000" w:themeColor="text1"/>
          <w:sz w:val="20"/>
          <w:szCs w:val="20"/>
        </w:rPr>
        <w:t>the mouse homolog of human CCL15</w:t>
      </w:r>
      <w:r w:rsidR="00B37CA0" w:rsidRPr="00072AEC">
        <w:rPr>
          <w:rFonts w:ascii="Book Antiqua" w:hAnsi="Book Antiqua" w:cs="Arial"/>
          <w:color w:val="000000" w:themeColor="text1"/>
          <w:sz w:val="20"/>
          <w:szCs w:val="20"/>
        </w:rPr>
        <w:t xml:space="preserve"> was a</w:t>
      </w:r>
      <w:r w:rsidRPr="00072AEC">
        <w:rPr>
          <w:rFonts w:ascii="Book Antiqua" w:hAnsi="Book Antiqua" w:cs="Arial"/>
          <w:color w:val="000000" w:themeColor="text1"/>
          <w:sz w:val="20"/>
          <w:szCs w:val="20"/>
        </w:rPr>
        <w:t xml:space="preserve"> prognostic and diagnostic biomarker for chronic GVHD in clinical cohorts. In brief, previous studies showed that macrophage recruitment could be regulated by chemokines and results in modulation of GVHD severity. </w:t>
      </w:r>
      <w:r w:rsidR="00B37CA0" w:rsidRPr="00072AEC">
        <w:rPr>
          <w:rFonts w:ascii="Book Antiqua" w:hAnsi="Book Antiqua" w:cs="Arial"/>
          <w:color w:val="000000" w:themeColor="text1"/>
          <w:sz w:val="20"/>
          <w:szCs w:val="20"/>
        </w:rPr>
        <w:t>N</w:t>
      </w:r>
      <w:r w:rsidRPr="00072AEC">
        <w:rPr>
          <w:rFonts w:ascii="Book Antiqua" w:hAnsi="Book Antiqua" w:cs="Arial"/>
          <w:color w:val="000000" w:themeColor="text1"/>
          <w:sz w:val="20"/>
          <w:szCs w:val="20"/>
        </w:rPr>
        <w:t>otably, most chemokines or chemokine inhibitors are not professional, but pleiotropic.</w:t>
      </w:r>
    </w:p>
    <w:p w14:paraId="618C7E90" w14:textId="77777777" w:rsidR="002044A9" w:rsidRPr="00072AEC" w:rsidRDefault="002044A9" w:rsidP="00072AEC">
      <w:pPr>
        <w:snapToGrid w:val="0"/>
        <w:spacing w:line="360" w:lineRule="auto"/>
        <w:ind w:firstLine="420"/>
        <w:rPr>
          <w:rFonts w:ascii="Book Antiqua" w:hAnsi="Book Antiqua" w:cs="Arial"/>
          <w:color w:val="000000" w:themeColor="text1"/>
          <w:sz w:val="20"/>
          <w:szCs w:val="20"/>
        </w:rPr>
      </w:pPr>
    </w:p>
    <w:p w14:paraId="65E0374C" w14:textId="619FA200" w:rsidR="002044A9" w:rsidRPr="00072AEC" w:rsidRDefault="002044A9" w:rsidP="00072AEC">
      <w:pPr>
        <w:snapToGrid w:val="0"/>
        <w:spacing w:line="360" w:lineRule="auto"/>
        <w:rPr>
          <w:rFonts w:ascii="Book Antiqua" w:hAnsi="Book Antiqua" w:cs="Arial"/>
          <w:b/>
          <w:bCs/>
          <w:color w:val="000000" w:themeColor="text1"/>
          <w:sz w:val="20"/>
          <w:szCs w:val="20"/>
          <w:u w:val="single"/>
        </w:rPr>
      </w:pPr>
      <w:r w:rsidRPr="00072AEC">
        <w:rPr>
          <w:rFonts w:ascii="Book Antiqua" w:hAnsi="Book Antiqua" w:cs="Arial"/>
          <w:b/>
          <w:bCs/>
          <w:color w:val="000000" w:themeColor="text1"/>
          <w:sz w:val="20"/>
          <w:szCs w:val="20"/>
          <w:u w:val="single"/>
        </w:rPr>
        <w:t>MACROPHAGE-RELATED CYTOKINES IN GVHD</w:t>
      </w:r>
    </w:p>
    <w:p w14:paraId="65B64868" w14:textId="611C1C5D" w:rsidR="002044A9" w:rsidRPr="00072AEC" w:rsidRDefault="002044A9" w:rsidP="00072AEC">
      <w:pPr>
        <w:snapToGrid w:val="0"/>
        <w:spacing w:line="360" w:lineRule="auto"/>
        <w:rPr>
          <w:rFonts w:ascii="Book Antiqua" w:hAnsi="Book Antiqua" w:cs="Arial"/>
          <w:color w:val="000000" w:themeColor="text1"/>
          <w:sz w:val="20"/>
          <w:szCs w:val="20"/>
        </w:rPr>
      </w:pPr>
      <w:r w:rsidRPr="00072AEC">
        <w:rPr>
          <w:rFonts w:ascii="Book Antiqua" w:hAnsi="Book Antiqua" w:cs="Arial"/>
          <w:color w:val="000000" w:themeColor="text1"/>
          <w:sz w:val="20"/>
          <w:szCs w:val="20"/>
        </w:rPr>
        <w:t>Cytokines secreted by macrophages and receptors play an important role in GVHD. The research of Hyvärinen</w:t>
      </w:r>
      <w:r w:rsidR="009836AD" w:rsidRPr="00072AEC">
        <w:rPr>
          <w:rFonts w:ascii="Book Antiqua" w:hAnsi="Book Antiqua" w:cs="Arial"/>
          <w:color w:val="000000" w:themeColor="text1"/>
          <w:sz w:val="20"/>
          <w:szCs w:val="20"/>
        </w:rPr>
        <w:t xml:space="preserve"> </w:t>
      </w:r>
      <w:r w:rsidR="009836AD" w:rsidRPr="00072AEC">
        <w:rPr>
          <w:rFonts w:ascii="Book Antiqua" w:hAnsi="Book Antiqua" w:cs="Arial"/>
          <w:i/>
          <w:iCs/>
          <w:color w:val="000000" w:themeColor="text1"/>
          <w:sz w:val="20"/>
          <w:szCs w:val="20"/>
        </w:rPr>
        <w:t>et al</w:t>
      </w:r>
      <w:r w:rsidR="009836AD" w:rsidRPr="00072AEC">
        <w:rPr>
          <w:rFonts w:ascii="Book Antiqua" w:hAnsi="Book Antiqua" w:cs="Arial"/>
          <w:color w:val="000000" w:themeColor="text1"/>
          <w:sz w:val="20"/>
          <w:szCs w:val="20"/>
          <w:vertAlign w:val="superscript"/>
        </w:rPr>
        <w:t>[55]</w:t>
      </w:r>
      <w:r w:rsidRPr="00072AEC">
        <w:rPr>
          <w:rFonts w:ascii="Book Antiqua" w:hAnsi="Book Antiqua" w:cs="Arial"/>
          <w:color w:val="000000" w:themeColor="text1"/>
          <w:sz w:val="20"/>
          <w:szCs w:val="20"/>
        </w:rPr>
        <w:t xml:space="preserve"> focuse</w:t>
      </w:r>
      <w:r w:rsidR="007448CC" w:rsidRPr="00072AEC">
        <w:rPr>
          <w:rFonts w:ascii="Book Antiqua" w:hAnsi="Book Antiqua" w:cs="Arial"/>
          <w:color w:val="000000" w:themeColor="text1"/>
          <w:sz w:val="20"/>
          <w:szCs w:val="20"/>
        </w:rPr>
        <w:t>d</w:t>
      </w:r>
      <w:r w:rsidRPr="00072AEC">
        <w:rPr>
          <w:rFonts w:ascii="Book Antiqua" w:hAnsi="Book Antiqua" w:cs="Arial"/>
          <w:color w:val="000000" w:themeColor="text1"/>
          <w:sz w:val="20"/>
          <w:szCs w:val="20"/>
        </w:rPr>
        <w:t xml:space="preserve"> on gene expression related to GVHD. They found that genes regulating IL-1β, interferon (IFN</w:t>
      </w:r>
      <w:r w:rsidR="009836AD"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-γ, and IL-6 responses </w:t>
      </w:r>
      <w:r w:rsidR="007448CC" w:rsidRPr="00072AEC">
        <w:rPr>
          <w:rFonts w:ascii="Book Antiqua" w:hAnsi="Book Antiqua" w:cs="Arial"/>
          <w:color w:val="000000" w:themeColor="text1"/>
          <w:sz w:val="20"/>
          <w:szCs w:val="20"/>
        </w:rPr>
        <w:t>we</w:t>
      </w:r>
      <w:r w:rsidRPr="00072AEC">
        <w:rPr>
          <w:rFonts w:ascii="Book Antiqua" w:hAnsi="Book Antiqua" w:cs="Arial"/>
          <w:color w:val="000000" w:themeColor="text1"/>
          <w:sz w:val="20"/>
          <w:szCs w:val="20"/>
        </w:rPr>
        <w:t>re associated to GVHD</w:t>
      </w:r>
      <w:r w:rsidR="007448CC"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moreover, </w:t>
      </w:r>
      <w:r w:rsidRPr="00072AEC">
        <w:rPr>
          <w:rFonts w:ascii="Book Antiqua" w:hAnsi="Book Antiqua" w:cs="Arial"/>
          <w:i/>
          <w:iCs/>
          <w:color w:val="000000" w:themeColor="text1"/>
          <w:sz w:val="20"/>
          <w:szCs w:val="20"/>
        </w:rPr>
        <w:t xml:space="preserve">IL-1, IL-23R, TLR9, TNF, </w:t>
      </w:r>
      <w:r w:rsidRPr="00072AEC">
        <w:rPr>
          <w:rFonts w:ascii="Book Antiqua" w:hAnsi="Book Antiqua" w:cs="Arial"/>
          <w:color w:val="000000" w:themeColor="text1"/>
          <w:sz w:val="20"/>
          <w:szCs w:val="20"/>
        </w:rPr>
        <w:t>and</w:t>
      </w:r>
      <w:r w:rsidRPr="00072AEC">
        <w:rPr>
          <w:rFonts w:ascii="Book Antiqua" w:hAnsi="Book Antiqua" w:cs="Arial"/>
          <w:i/>
          <w:iCs/>
          <w:color w:val="000000" w:themeColor="text1"/>
          <w:sz w:val="20"/>
          <w:szCs w:val="20"/>
        </w:rPr>
        <w:t xml:space="preserve"> NOD2</w:t>
      </w:r>
      <w:r w:rsidRPr="00072AEC">
        <w:rPr>
          <w:rFonts w:ascii="Book Antiqua" w:hAnsi="Book Antiqua" w:cs="Arial"/>
          <w:color w:val="000000" w:themeColor="text1"/>
          <w:sz w:val="20"/>
          <w:szCs w:val="20"/>
        </w:rPr>
        <w:t xml:space="preserve"> genes </w:t>
      </w:r>
      <w:r w:rsidR="007448CC" w:rsidRPr="00072AEC">
        <w:rPr>
          <w:rFonts w:ascii="Book Antiqua" w:hAnsi="Book Antiqua" w:cs="Arial"/>
          <w:color w:val="000000" w:themeColor="text1"/>
          <w:sz w:val="20"/>
          <w:szCs w:val="20"/>
        </w:rPr>
        <w:t>we</w:t>
      </w:r>
      <w:r w:rsidRPr="00072AEC">
        <w:rPr>
          <w:rFonts w:ascii="Book Antiqua" w:hAnsi="Book Antiqua" w:cs="Arial"/>
          <w:color w:val="000000" w:themeColor="text1"/>
          <w:sz w:val="20"/>
          <w:szCs w:val="20"/>
        </w:rPr>
        <w:t>re associated to the immunological response by monocytes</w:t>
      </w:r>
      <w:r w:rsidR="007448CC"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macrophages that can precede GVHD in intestinal lesions. In other words, macrophage</w:t>
      </w:r>
      <w:r w:rsidR="007448CC"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could regulate GVHD by secreting cytokines. Here, we focus on several cytokines.</w:t>
      </w:r>
    </w:p>
    <w:p w14:paraId="02B473DB" w14:textId="06E11890" w:rsidR="006F47CB" w:rsidRPr="00072AEC" w:rsidRDefault="002044A9" w:rsidP="00DF0453">
      <w:pPr>
        <w:snapToGrid w:val="0"/>
        <w:spacing w:line="360" w:lineRule="auto"/>
        <w:ind w:firstLineChars="200" w:firstLine="400"/>
        <w:rPr>
          <w:rFonts w:ascii="Book Antiqua" w:hAnsi="Book Antiqua" w:cs="Arial"/>
          <w:color w:val="000000" w:themeColor="text1"/>
          <w:sz w:val="20"/>
          <w:szCs w:val="20"/>
        </w:rPr>
      </w:pPr>
      <w:r w:rsidRPr="00072AEC">
        <w:rPr>
          <w:rFonts w:ascii="Book Antiqua" w:hAnsi="Book Antiqua" w:cs="Arial"/>
          <w:color w:val="000000" w:themeColor="text1"/>
          <w:sz w:val="20"/>
          <w:szCs w:val="20"/>
        </w:rPr>
        <w:t>As shown in Figure 1, TNF-α, IL-12, and IL-6 increased in acute GVHD</w:t>
      </w:r>
      <w:r w:rsidR="007448CC"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whereas TGF-β and IL-6 were upregulated in chronic GVHD</w:t>
      </w:r>
      <w:r w:rsidRPr="00072AEC">
        <w:rPr>
          <w:rFonts w:ascii="Book Antiqua" w:eastAsia="等线" w:hAnsi="Book Antiqua" w:cs="Times New Roman"/>
          <w:color w:val="000000" w:themeColor="text1"/>
          <w:kern w:val="0"/>
          <w:sz w:val="20"/>
          <w:szCs w:val="20"/>
          <w:vertAlign w:val="superscript"/>
        </w:rPr>
        <w:t>[56-58]</w:t>
      </w:r>
      <w:r w:rsidRPr="00072AEC">
        <w:rPr>
          <w:rFonts w:ascii="Book Antiqua" w:hAnsi="Book Antiqua" w:cs="Arial"/>
          <w:color w:val="000000" w:themeColor="text1"/>
          <w:sz w:val="20"/>
          <w:szCs w:val="20"/>
        </w:rPr>
        <w:t>. By analyzing forty-seven consecutive patients, Hueso</w:t>
      </w:r>
      <w:r w:rsidR="009836AD" w:rsidRPr="00072AEC">
        <w:rPr>
          <w:rFonts w:ascii="Book Antiqua" w:hAnsi="Book Antiqua" w:cs="Arial"/>
          <w:color w:val="000000" w:themeColor="text1"/>
          <w:sz w:val="20"/>
          <w:szCs w:val="20"/>
        </w:rPr>
        <w:t xml:space="preserve"> </w:t>
      </w:r>
      <w:r w:rsidR="009836AD" w:rsidRPr="00072AEC">
        <w:rPr>
          <w:rFonts w:ascii="Book Antiqua" w:hAnsi="Book Antiqua" w:cs="Arial"/>
          <w:i/>
          <w:iCs/>
          <w:color w:val="000000" w:themeColor="text1"/>
          <w:sz w:val="20"/>
          <w:szCs w:val="20"/>
        </w:rPr>
        <w:t>et al</w:t>
      </w:r>
      <w:r w:rsidR="009836AD" w:rsidRPr="00072AEC">
        <w:rPr>
          <w:rFonts w:ascii="Book Antiqua" w:hAnsi="Book Antiqua" w:cs="Arial"/>
          <w:color w:val="000000" w:themeColor="text1"/>
          <w:sz w:val="20"/>
          <w:szCs w:val="20"/>
          <w:vertAlign w:val="superscript"/>
        </w:rPr>
        <w:t>[59]</w:t>
      </w:r>
      <w:r w:rsidRPr="00072AEC">
        <w:rPr>
          <w:rFonts w:ascii="Book Antiqua" w:hAnsi="Book Antiqua" w:cs="Arial"/>
          <w:color w:val="000000" w:themeColor="text1"/>
          <w:sz w:val="20"/>
          <w:szCs w:val="20"/>
        </w:rPr>
        <w:t xml:space="preserve"> found that IL-10 </w:t>
      </w:r>
      <w:r w:rsidR="006F47CB"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reflect</w:t>
      </w:r>
      <w:r w:rsidR="007448CC"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monocyte-derived macrophage reactivity</w:t>
      </w:r>
      <w:r w:rsidR="006F47CB"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citrulline, </w:t>
      </w:r>
      <w:r w:rsidR="006F47CB" w:rsidRPr="00072AEC">
        <w:rPr>
          <w:rFonts w:ascii="Book Antiqua" w:hAnsi="Book Antiqua" w:cs="Arial"/>
          <w:color w:val="000000" w:themeColor="text1"/>
          <w:sz w:val="20"/>
          <w:szCs w:val="20"/>
        </w:rPr>
        <w:t>and</w:t>
      </w:r>
      <w:r w:rsidRPr="00072AEC">
        <w:rPr>
          <w:rFonts w:ascii="Book Antiqua" w:hAnsi="Book Antiqua" w:cs="Arial"/>
          <w:color w:val="000000" w:themeColor="text1"/>
          <w:sz w:val="20"/>
          <w:szCs w:val="20"/>
        </w:rPr>
        <w:t xml:space="preserve"> </w:t>
      </w:r>
      <w:r w:rsidR="00347234" w:rsidRPr="00347234">
        <w:rPr>
          <w:rFonts w:ascii="Book Antiqua" w:hAnsi="Book Antiqua" w:cs="Arial"/>
          <w:color w:val="000000" w:themeColor="text1"/>
          <w:sz w:val="20"/>
          <w:szCs w:val="20"/>
        </w:rPr>
        <w:t>myeloablative conditioning</w:t>
      </w:r>
      <w:r w:rsidR="005D6954">
        <w:rPr>
          <w:rFonts w:ascii="Book Antiqua" w:hAnsi="Book Antiqua" w:cs="Arial" w:hint="eastAsia"/>
          <w:color w:val="000000" w:themeColor="text1"/>
          <w:sz w:val="20"/>
          <w:szCs w:val="20"/>
        </w:rPr>
        <w:t xml:space="preserve"> </w:t>
      </w:r>
      <w:r w:rsidRPr="00072AEC">
        <w:rPr>
          <w:rFonts w:ascii="Book Antiqua" w:hAnsi="Book Antiqua" w:cs="Arial"/>
          <w:color w:val="000000" w:themeColor="text1"/>
          <w:sz w:val="20"/>
          <w:szCs w:val="20"/>
        </w:rPr>
        <w:t>are independent factors of acute GVHD development</w:t>
      </w:r>
      <w:r w:rsidR="006F47CB" w:rsidRPr="00072AEC">
        <w:rPr>
          <w:rFonts w:ascii="Book Antiqua" w:hAnsi="Book Antiqua" w:cs="Arial"/>
          <w:color w:val="000000" w:themeColor="text1"/>
          <w:sz w:val="20"/>
          <w:szCs w:val="20"/>
        </w:rPr>
        <w:t xml:space="preserve"> and</w:t>
      </w:r>
      <w:r w:rsidRPr="00072AEC">
        <w:rPr>
          <w:rFonts w:ascii="Book Antiqua" w:hAnsi="Book Antiqua" w:cs="Arial"/>
          <w:color w:val="000000" w:themeColor="text1"/>
          <w:sz w:val="20"/>
          <w:szCs w:val="20"/>
        </w:rPr>
        <w:t xml:space="preserve"> that IL-10 was increased in acute GVHD. </w:t>
      </w:r>
      <w:r w:rsidR="006F47CB" w:rsidRPr="00072AEC">
        <w:rPr>
          <w:rFonts w:ascii="Book Antiqua" w:hAnsi="Book Antiqua" w:cs="Arial"/>
          <w:color w:val="000000" w:themeColor="text1"/>
          <w:sz w:val="20"/>
          <w:szCs w:val="20"/>
        </w:rPr>
        <w:t>A</w:t>
      </w:r>
      <w:r w:rsidRPr="00072AEC">
        <w:rPr>
          <w:rFonts w:ascii="Book Antiqua" w:hAnsi="Book Antiqua" w:cs="Arial"/>
          <w:color w:val="000000" w:themeColor="text1"/>
          <w:sz w:val="20"/>
          <w:szCs w:val="20"/>
        </w:rPr>
        <w:t xml:space="preserve"> preponderance of macrophage infiltration with production of TNF-α was observed in acute GVHD</w:t>
      </w:r>
      <w:r w:rsidRPr="00072AEC">
        <w:rPr>
          <w:rFonts w:ascii="Book Antiqua" w:hAnsi="Book Antiqua" w:cs="Arial"/>
          <w:color w:val="000000" w:themeColor="text1"/>
          <w:sz w:val="20"/>
          <w:szCs w:val="20"/>
          <w:vertAlign w:val="superscript"/>
        </w:rPr>
        <w:t>[58]</w:t>
      </w:r>
      <w:r w:rsidRPr="00072AEC">
        <w:rPr>
          <w:rFonts w:ascii="Book Antiqua" w:hAnsi="Book Antiqua" w:cs="Arial"/>
          <w:color w:val="000000" w:themeColor="text1"/>
          <w:sz w:val="20"/>
          <w:szCs w:val="20"/>
        </w:rPr>
        <w:t>.</w:t>
      </w:r>
      <w:r w:rsidR="006F47CB" w:rsidRPr="00072AEC">
        <w:rPr>
          <w:rFonts w:ascii="Book Antiqua" w:hAnsi="Book Antiqua" w:cs="Arial"/>
          <w:color w:val="000000" w:themeColor="text1"/>
          <w:sz w:val="20"/>
          <w:szCs w:val="20"/>
        </w:rPr>
        <w:t xml:space="preserve"> Us</w:t>
      </w:r>
      <w:r w:rsidRPr="00072AEC">
        <w:rPr>
          <w:rFonts w:ascii="Book Antiqua" w:hAnsi="Book Antiqua" w:cs="Arial"/>
          <w:color w:val="000000" w:themeColor="text1"/>
          <w:sz w:val="20"/>
          <w:szCs w:val="20"/>
        </w:rPr>
        <w:t>ing a human IL-6 transgenic humani</w:t>
      </w:r>
      <w:r w:rsidR="006F47CB" w:rsidRPr="00072AEC">
        <w:rPr>
          <w:rFonts w:ascii="Book Antiqua" w:hAnsi="Book Antiqua" w:cs="Arial"/>
          <w:color w:val="000000" w:themeColor="text1"/>
          <w:sz w:val="20"/>
          <w:szCs w:val="20"/>
        </w:rPr>
        <w:t>z</w:t>
      </w:r>
      <w:r w:rsidRPr="00072AEC">
        <w:rPr>
          <w:rFonts w:ascii="Book Antiqua" w:hAnsi="Book Antiqua" w:cs="Arial"/>
          <w:color w:val="000000" w:themeColor="text1"/>
          <w:sz w:val="20"/>
          <w:szCs w:val="20"/>
        </w:rPr>
        <w:t>ed mouse model, Ono</w:t>
      </w:r>
      <w:r w:rsidR="009836AD" w:rsidRPr="00072AEC">
        <w:rPr>
          <w:rFonts w:ascii="Book Antiqua" w:hAnsi="Book Antiqua" w:cs="Arial"/>
          <w:color w:val="000000" w:themeColor="text1"/>
          <w:sz w:val="20"/>
          <w:szCs w:val="20"/>
        </w:rPr>
        <w:t xml:space="preserve"> </w:t>
      </w:r>
      <w:r w:rsidR="009836AD" w:rsidRPr="00072AEC">
        <w:rPr>
          <w:rFonts w:ascii="Book Antiqua" w:hAnsi="Book Antiqua" w:cs="Arial"/>
          <w:i/>
          <w:iCs/>
          <w:color w:val="000000" w:themeColor="text1"/>
          <w:sz w:val="20"/>
          <w:szCs w:val="20"/>
        </w:rPr>
        <w:t>et al</w:t>
      </w:r>
      <w:r w:rsidR="009836AD" w:rsidRPr="00072AEC">
        <w:rPr>
          <w:rFonts w:ascii="Book Antiqua" w:hAnsi="Book Antiqua" w:cs="Arial"/>
          <w:color w:val="000000" w:themeColor="text1"/>
          <w:sz w:val="20"/>
          <w:szCs w:val="20"/>
          <w:vertAlign w:val="superscript"/>
        </w:rPr>
        <w:t>[60]</w:t>
      </w:r>
      <w:r w:rsidRPr="00072AEC">
        <w:rPr>
          <w:rFonts w:ascii="Book Antiqua" w:hAnsi="Book Antiqua" w:cs="Arial"/>
          <w:color w:val="000000" w:themeColor="text1"/>
          <w:sz w:val="20"/>
          <w:szCs w:val="20"/>
        </w:rPr>
        <w:t xml:space="preserve"> demonstrated that elevated human IL-12p40, IL-18, M-CSF,</w:t>
      </w:r>
      <w:r w:rsidR="006F47CB" w:rsidRPr="00072AEC">
        <w:rPr>
          <w:rFonts w:ascii="Book Antiqua" w:hAnsi="Book Antiqua" w:cs="Arial"/>
          <w:color w:val="000000" w:themeColor="text1"/>
          <w:sz w:val="20"/>
          <w:szCs w:val="20"/>
        </w:rPr>
        <w:t xml:space="preserve"> and</w:t>
      </w:r>
      <w:r w:rsidRPr="00072AEC">
        <w:rPr>
          <w:rFonts w:ascii="Book Antiqua" w:hAnsi="Book Antiqua" w:cs="Arial"/>
          <w:color w:val="000000" w:themeColor="text1"/>
          <w:sz w:val="20"/>
          <w:szCs w:val="20"/>
        </w:rPr>
        <w:t xml:space="preserve"> IFN-α2 produced by monocytes/macrophages might facilitate GVHD in chronic GVHD humani</w:t>
      </w:r>
      <w:r w:rsidR="006F47CB" w:rsidRPr="00072AEC">
        <w:rPr>
          <w:rFonts w:ascii="Book Antiqua" w:hAnsi="Book Antiqua" w:cs="Arial"/>
          <w:color w:val="000000" w:themeColor="text1"/>
          <w:sz w:val="20"/>
          <w:szCs w:val="20"/>
        </w:rPr>
        <w:t>z</w:t>
      </w:r>
      <w:r w:rsidRPr="00072AEC">
        <w:rPr>
          <w:rFonts w:ascii="Book Antiqua" w:hAnsi="Book Antiqua" w:cs="Arial"/>
          <w:color w:val="000000" w:themeColor="text1"/>
          <w:sz w:val="20"/>
          <w:szCs w:val="20"/>
        </w:rPr>
        <w:t>ed mice. However, most cytokines are not professional but</w:t>
      </w:r>
      <w:r w:rsidRPr="00072AEC">
        <w:rPr>
          <w:rFonts w:ascii="Book Antiqua" w:hAnsi="Book Antiqua"/>
          <w:color w:val="000000" w:themeColor="text1"/>
          <w:sz w:val="20"/>
          <w:szCs w:val="20"/>
        </w:rPr>
        <w:t xml:space="preserve"> </w:t>
      </w:r>
      <w:r w:rsidRPr="00072AEC">
        <w:rPr>
          <w:rFonts w:ascii="Book Antiqua" w:hAnsi="Book Antiqua" w:cs="Arial"/>
          <w:color w:val="000000" w:themeColor="text1"/>
          <w:sz w:val="20"/>
          <w:szCs w:val="20"/>
        </w:rPr>
        <w:t>pleiotropic and may present an inverse effect on GVHD in different stat</w:t>
      </w:r>
      <w:r w:rsidR="006F47CB" w:rsidRPr="00072AEC">
        <w:rPr>
          <w:rFonts w:ascii="Book Antiqua" w:hAnsi="Book Antiqua" w:cs="Arial"/>
          <w:color w:val="000000" w:themeColor="text1"/>
          <w:sz w:val="20"/>
          <w:szCs w:val="20"/>
        </w:rPr>
        <w:t>e</w:t>
      </w:r>
      <w:r w:rsidRPr="00072AEC">
        <w:rPr>
          <w:rFonts w:ascii="Book Antiqua" w:hAnsi="Book Antiqua" w:cs="Arial"/>
          <w:color w:val="000000" w:themeColor="text1"/>
          <w:sz w:val="20"/>
          <w:szCs w:val="20"/>
        </w:rPr>
        <w:t>s.</w:t>
      </w:r>
      <w:r w:rsidRPr="00072AEC" w:rsidDel="00B96F3F">
        <w:rPr>
          <w:rFonts w:ascii="Book Antiqua" w:hAnsi="Book Antiqua" w:cs="Arial"/>
          <w:color w:val="000000" w:themeColor="text1"/>
          <w:sz w:val="20"/>
          <w:szCs w:val="20"/>
        </w:rPr>
        <w:t xml:space="preserve"> </w:t>
      </w:r>
    </w:p>
    <w:p w14:paraId="1D04A9E8" w14:textId="1944E9BD" w:rsidR="002044A9" w:rsidRPr="00072AEC" w:rsidRDefault="006F47CB" w:rsidP="0072554C">
      <w:pPr>
        <w:snapToGrid w:val="0"/>
        <w:spacing w:line="360" w:lineRule="auto"/>
        <w:ind w:firstLineChars="112" w:firstLine="224"/>
        <w:rPr>
          <w:rFonts w:ascii="Book Antiqua" w:hAnsi="Book Antiqua" w:cs="Times New Roman"/>
          <w:sz w:val="20"/>
          <w:szCs w:val="20"/>
        </w:rPr>
      </w:pPr>
      <w:r w:rsidRPr="00072AEC">
        <w:rPr>
          <w:rFonts w:ascii="Book Antiqua" w:hAnsi="Book Antiqua" w:cs="Arial"/>
          <w:color w:val="000000" w:themeColor="text1"/>
          <w:sz w:val="20"/>
          <w:szCs w:val="20"/>
        </w:rPr>
        <w:t>I</w:t>
      </w:r>
      <w:r w:rsidR="002044A9" w:rsidRPr="00072AEC">
        <w:rPr>
          <w:rFonts w:ascii="Book Antiqua" w:hAnsi="Book Antiqua" w:cs="Arial"/>
          <w:color w:val="000000" w:themeColor="text1"/>
          <w:sz w:val="20"/>
          <w:szCs w:val="20"/>
        </w:rPr>
        <w:t>t is worth noting that macrophage</w:t>
      </w:r>
      <w:r w:rsidRPr="00072AEC">
        <w:rPr>
          <w:rFonts w:ascii="Book Antiqua" w:hAnsi="Book Antiqua" w:cs="Arial"/>
          <w:color w:val="000000" w:themeColor="text1"/>
          <w:sz w:val="20"/>
          <w:szCs w:val="20"/>
        </w:rPr>
        <w:t>s</w:t>
      </w:r>
      <w:r w:rsidR="002044A9" w:rsidRPr="00072AEC">
        <w:rPr>
          <w:rFonts w:ascii="Book Antiqua" w:hAnsi="Book Antiqua" w:cs="Arial"/>
          <w:color w:val="000000" w:themeColor="text1"/>
          <w:sz w:val="20"/>
          <w:szCs w:val="20"/>
        </w:rPr>
        <w:t xml:space="preserve"> in GVHD can be regulated by cytokines. Th17-production</w:t>
      </w:r>
      <w:r w:rsidR="008D798F" w:rsidRPr="00072AEC">
        <w:rPr>
          <w:rFonts w:ascii="Book Antiqua" w:hAnsi="Book Antiqua" w:cs="Arial"/>
          <w:color w:val="000000" w:themeColor="text1"/>
          <w:sz w:val="20"/>
          <w:szCs w:val="20"/>
        </w:rPr>
        <w:t xml:space="preserve"> of</w:t>
      </w:r>
      <w:r w:rsidR="002044A9" w:rsidRPr="00072AEC">
        <w:rPr>
          <w:rFonts w:ascii="Book Antiqua" w:hAnsi="Book Antiqua" w:cs="Arial"/>
          <w:color w:val="000000" w:themeColor="text1"/>
          <w:sz w:val="20"/>
          <w:szCs w:val="20"/>
        </w:rPr>
        <w:t xml:space="preserve"> IL-17 participates in GVHD by modulating </w:t>
      </w:r>
      <w:r w:rsidR="008D798F" w:rsidRPr="00072AEC">
        <w:rPr>
          <w:rFonts w:ascii="Book Antiqua" w:hAnsi="Book Antiqua" w:cs="Arial"/>
          <w:color w:val="000000" w:themeColor="text1"/>
          <w:sz w:val="20"/>
          <w:szCs w:val="20"/>
        </w:rPr>
        <w:t xml:space="preserve">the </w:t>
      </w:r>
      <w:r w:rsidR="002044A9" w:rsidRPr="00072AEC">
        <w:rPr>
          <w:rFonts w:ascii="Book Antiqua" w:hAnsi="Book Antiqua" w:cs="Arial"/>
          <w:color w:val="000000" w:themeColor="text1"/>
          <w:sz w:val="20"/>
          <w:szCs w:val="20"/>
        </w:rPr>
        <w:t>interaction between macrophages and CD4+ T cells. IL-17 can reduce macrophage infiltration, downregulate IL-12 and IFN-γ production, repress Th1 responses, and alleviate acute GVHD</w:t>
      </w:r>
      <w:r w:rsidR="002044A9" w:rsidRPr="00072AEC">
        <w:rPr>
          <w:rFonts w:ascii="Book Antiqua" w:hAnsi="Book Antiqua" w:cs="Arial"/>
          <w:color w:val="000000" w:themeColor="text1"/>
          <w:sz w:val="20"/>
          <w:szCs w:val="20"/>
          <w:vertAlign w:val="superscript"/>
        </w:rPr>
        <w:t>[56]</w:t>
      </w:r>
      <w:r w:rsidR="002044A9" w:rsidRPr="00072AEC">
        <w:rPr>
          <w:rFonts w:ascii="Book Antiqua" w:hAnsi="Book Antiqua" w:cs="Arial"/>
          <w:color w:val="000000" w:themeColor="text1"/>
          <w:sz w:val="20"/>
          <w:szCs w:val="20"/>
        </w:rPr>
        <w:t xml:space="preserve">. Reducing infiltration of macrophages </w:t>
      </w:r>
      <w:r w:rsidR="008D798F" w:rsidRPr="00072AEC">
        <w:rPr>
          <w:rFonts w:ascii="Book Antiqua" w:hAnsi="Book Antiqua" w:cs="Arial"/>
          <w:color w:val="000000" w:themeColor="text1"/>
          <w:sz w:val="20"/>
          <w:szCs w:val="20"/>
        </w:rPr>
        <w:t xml:space="preserve">that </w:t>
      </w:r>
      <w:r w:rsidR="002044A9" w:rsidRPr="00072AEC">
        <w:rPr>
          <w:rFonts w:ascii="Book Antiqua" w:hAnsi="Book Antiqua" w:cs="Arial"/>
          <w:color w:val="000000" w:themeColor="text1"/>
          <w:sz w:val="20"/>
          <w:szCs w:val="20"/>
        </w:rPr>
        <w:t>migrated to MCP-1 and IL-17A and TGF-β production could be therapeutic target</w:t>
      </w:r>
      <w:r w:rsidR="008D798F" w:rsidRPr="00072AEC">
        <w:rPr>
          <w:rFonts w:ascii="Book Antiqua" w:hAnsi="Book Antiqua" w:cs="Arial"/>
          <w:color w:val="000000" w:themeColor="text1"/>
          <w:sz w:val="20"/>
          <w:szCs w:val="20"/>
        </w:rPr>
        <w:t>s</w:t>
      </w:r>
      <w:r w:rsidR="002044A9" w:rsidRPr="00072AEC">
        <w:rPr>
          <w:rFonts w:ascii="Book Antiqua" w:hAnsi="Book Antiqua" w:cs="Arial"/>
          <w:color w:val="000000" w:themeColor="text1"/>
          <w:sz w:val="20"/>
          <w:szCs w:val="20"/>
        </w:rPr>
        <w:t xml:space="preserve"> </w:t>
      </w:r>
      <w:r w:rsidR="008D798F" w:rsidRPr="00072AEC">
        <w:rPr>
          <w:rFonts w:ascii="Book Antiqua" w:hAnsi="Book Antiqua" w:cs="Arial"/>
          <w:color w:val="000000" w:themeColor="text1"/>
          <w:sz w:val="20"/>
          <w:szCs w:val="20"/>
        </w:rPr>
        <w:t>for</w:t>
      </w:r>
      <w:r w:rsidR="002044A9" w:rsidRPr="00072AEC">
        <w:rPr>
          <w:rFonts w:ascii="Book Antiqua" w:hAnsi="Book Antiqua" w:cs="Arial"/>
          <w:color w:val="000000" w:themeColor="text1"/>
          <w:sz w:val="20"/>
          <w:szCs w:val="20"/>
        </w:rPr>
        <w:t xml:space="preserve"> GVHD</w:t>
      </w:r>
      <w:r w:rsidR="002044A9" w:rsidRPr="00072AEC">
        <w:rPr>
          <w:rFonts w:ascii="Book Antiqua" w:hAnsi="Book Antiqua" w:cs="Arial"/>
          <w:color w:val="000000" w:themeColor="text1"/>
          <w:sz w:val="20"/>
          <w:szCs w:val="20"/>
          <w:vertAlign w:val="superscript"/>
        </w:rPr>
        <w:t>[49]</w:t>
      </w:r>
      <w:r w:rsidR="002044A9" w:rsidRPr="00072AEC">
        <w:rPr>
          <w:rFonts w:ascii="Book Antiqua" w:hAnsi="Book Antiqua" w:cs="Arial"/>
          <w:color w:val="000000" w:themeColor="text1"/>
          <w:sz w:val="20"/>
          <w:szCs w:val="20"/>
        </w:rPr>
        <w:t>. Also, M1 macrophage polarization and effector T</w:t>
      </w:r>
      <w:r w:rsidR="008D798F" w:rsidRPr="00072AEC">
        <w:rPr>
          <w:rFonts w:ascii="Book Antiqua" w:hAnsi="Book Antiqua" w:cs="Arial"/>
          <w:color w:val="000000" w:themeColor="text1"/>
          <w:sz w:val="20"/>
          <w:szCs w:val="20"/>
        </w:rPr>
        <w:t xml:space="preserve"> </w:t>
      </w:r>
      <w:r w:rsidR="002044A9" w:rsidRPr="00072AEC">
        <w:rPr>
          <w:rFonts w:ascii="Book Antiqua" w:hAnsi="Book Antiqua" w:cs="Arial"/>
          <w:color w:val="000000" w:themeColor="text1"/>
          <w:sz w:val="20"/>
          <w:szCs w:val="20"/>
        </w:rPr>
        <w:t>cell infiltration can be suppressed by expanded Tregs by using IL-33 for acute GVHD</w:t>
      </w:r>
      <w:r w:rsidR="002044A9" w:rsidRPr="00072AEC">
        <w:rPr>
          <w:rFonts w:ascii="Book Antiqua" w:hAnsi="Book Antiqua" w:cs="Arial"/>
          <w:color w:val="000000" w:themeColor="text1"/>
          <w:sz w:val="20"/>
          <w:szCs w:val="20"/>
          <w:vertAlign w:val="superscript"/>
        </w:rPr>
        <w:t>[61]</w:t>
      </w:r>
      <w:r w:rsidR="002044A9" w:rsidRPr="00072AEC">
        <w:rPr>
          <w:rFonts w:ascii="Book Antiqua" w:hAnsi="Book Antiqua" w:cs="Arial"/>
          <w:color w:val="000000" w:themeColor="text1"/>
          <w:sz w:val="20"/>
          <w:szCs w:val="20"/>
        </w:rPr>
        <w:t xml:space="preserve">. IL-33 also </w:t>
      </w:r>
      <w:r w:rsidR="00862E58" w:rsidRPr="00072AEC">
        <w:rPr>
          <w:rFonts w:ascii="Book Antiqua" w:hAnsi="Book Antiqua" w:cs="Arial"/>
          <w:color w:val="000000" w:themeColor="text1"/>
          <w:sz w:val="20"/>
          <w:szCs w:val="20"/>
        </w:rPr>
        <w:t>has</w:t>
      </w:r>
      <w:r w:rsidR="002044A9" w:rsidRPr="00072AEC">
        <w:rPr>
          <w:rFonts w:ascii="Book Antiqua" w:hAnsi="Book Antiqua" w:cs="Arial"/>
          <w:color w:val="000000" w:themeColor="text1"/>
          <w:sz w:val="20"/>
          <w:szCs w:val="20"/>
        </w:rPr>
        <w:t xml:space="preserve"> a paradoxical effect </w:t>
      </w:r>
      <w:r w:rsidR="00862E58" w:rsidRPr="00072AEC">
        <w:rPr>
          <w:rFonts w:ascii="Book Antiqua" w:hAnsi="Book Antiqua" w:cs="Arial"/>
          <w:color w:val="000000" w:themeColor="text1"/>
          <w:sz w:val="20"/>
          <w:szCs w:val="20"/>
        </w:rPr>
        <w:t xml:space="preserve">because </w:t>
      </w:r>
      <w:r w:rsidR="002044A9" w:rsidRPr="00072AEC">
        <w:rPr>
          <w:rFonts w:ascii="Book Antiqua" w:hAnsi="Book Antiqua" w:cs="Arial"/>
          <w:color w:val="000000" w:themeColor="text1"/>
          <w:sz w:val="20"/>
          <w:szCs w:val="20"/>
        </w:rPr>
        <w:t xml:space="preserve">administration of IL-33 after allogeneic </w:t>
      </w:r>
      <w:r w:rsidR="00483B68" w:rsidRPr="00072AEC">
        <w:rPr>
          <w:rFonts w:ascii="Book Antiqua" w:hAnsi="Book Antiqua" w:cs="Arial"/>
          <w:bCs/>
          <w:color w:val="000000" w:themeColor="text1"/>
          <w:sz w:val="20"/>
          <w:szCs w:val="20"/>
        </w:rPr>
        <w:t>hematopoietic stem cell transplantation</w:t>
      </w:r>
      <w:r w:rsidR="002044A9" w:rsidRPr="00072AEC">
        <w:rPr>
          <w:rFonts w:ascii="Book Antiqua" w:hAnsi="Book Antiqua" w:cs="Arial"/>
          <w:color w:val="000000" w:themeColor="text1"/>
          <w:sz w:val="20"/>
          <w:szCs w:val="20"/>
        </w:rPr>
        <w:t xml:space="preserve"> aggravated acute GVHD by engaging in the augmentation of donor T cells</w:t>
      </w:r>
      <w:r w:rsidR="002044A9" w:rsidRPr="00072AEC">
        <w:rPr>
          <w:rFonts w:ascii="Book Antiqua" w:hAnsi="Book Antiqua" w:cs="Arial"/>
          <w:color w:val="000000" w:themeColor="text1"/>
          <w:sz w:val="20"/>
          <w:szCs w:val="20"/>
          <w:vertAlign w:val="superscript"/>
        </w:rPr>
        <w:t>[62]</w:t>
      </w:r>
      <w:r w:rsidR="002044A9" w:rsidRPr="00072AEC">
        <w:rPr>
          <w:rFonts w:ascii="Book Antiqua" w:hAnsi="Book Antiqua" w:cs="Arial"/>
          <w:color w:val="000000" w:themeColor="text1"/>
          <w:sz w:val="20"/>
          <w:szCs w:val="20"/>
        </w:rPr>
        <w:t>. The opposite effect may be due to the complicated cytokine network</w:t>
      </w:r>
      <w:r w:rsidR="00862E58" w:rsidRPr="00072AEC">
        <w:rPr>
          <w:rFonts w:ascii="Book Antiqua" w:hAnsi="Book Antiqua" w:cs="Arial"/>
          <w:color w:val="000000" w:themeColor="text1"/>
          <w:sz w:val="20"/>
          <w:szCs w:val="20"/>
        </w:rPr>
        <w:t>,</w:t>
      </w:r>
      <w:r w:rsidR="002044A9" w:rsidRPr="00072AEC">
        <w:rPr>
          <w:rFonts w:ascii="Book Antiqua" w:hAnsi="Book Antiqua" w:cs="Arial"/>
          <w:color w:val="000000" w:themeColor="text1"/>
          <w:sz w:val="20"/>
          <w:szCs w:val="20"/>
        </w:rPr>
        <w:t xml:space="preserve"> which shows a balance of synergetic and antergic effect.</w:t>
      </w:r>
    </w:p>
    <w:p w14:paraId="56F6E0E1" w14:textId="274EADD7" w:rsidR="002044A9" w:rsidRPr="00072AEC" w:rsidRDefault="002044A9" w:rsidP="00072AEC">
      <w:pPr>
        <w:snapToGrid w:val="0"/>
        <w:spacing w:line="360" w:lineRule="auto"/>
        <w:ind w:firstLineChars="150" w:firstLine="300"/>
        <w:rPr>
          <w:rFonts w:ascii="Book Antiqua" w:hAnsi="Book Antiqua" w:cs="Arial"/>
          <w:color w:val="000000" w:themeColor="text1"/>
          <w:sz w:val="20"/>
          <w:szCs w:val="20"/>
        </w:rPr>
      </w:pPr>
      <w:r w:rsidRPr="00072AEC">
        <w:rPr>
          <w:rFonts w:ascii="Book Antiqua" w:hAnsi="Book Antiqua" w:cs="Arial"/>
          <w:color w:val="000000" w:themeColor="text1"/>
          <w:sz w:val="20"/>
          <w:szCs w:val="20"/>
        </w:rPr>
        <w:t xml:space="preserve">Notably, </w:t>
      </w:r>
      <w:r w:rsidRPr="00072AEC">
        <w:rPr>
          <w:rFonts w:ascii="Book Antiqua" w:hAnsi="Book Antiqua" w:cs="Arial"/>
          <w:i/>
          <w:iCs/>
          <w:color w:val="000000" w:themeColor="text1"/>
          <w:sz w:val="20"/>
          <w:szCs w:val="20"/>
        </w:rPr>
        <w:t>via</w:t>
      </w:r>
      <w:r w:rsidRPr="00072AEC">
        <w:rPr>
          <w:rFonts w:ascii="Book Antiqua" w:hAnsi="Book Antiqua" w:cs="Arial"/>
          <w:color w:val="000000" w:themeColor="text1"/>
          <w:sz w:val="20"/>
          <w:szCs w:val="20"/>
        </w:rPr>
        <w:t xml:space="preserve"> MHC class II molecules, intestinal epithelium cells could present antigen, activate CD4+ T cells, and initiate lethal gut GVHD, and macrophages could interact with </w:t>
      </w:r>
      <w:r w:rsidR="00862E58" w:rsidRPr="00072AEC">
        <w:rPr>
          <w:rFonts w:ascii="Book Antiqua" w:hAnsi="Book Antiqua" w:cs="Arial"/>
          <w:color w:val="000000" w:themeColor="text1"/>
          <w:sz w:val="20"/>
          <w:szCs w:val="20"/>
        </w:rPr>
        <w:t xml:space="preserve">intestinal epithelium cells </w:t>
      </w:r>
      <w:r w:rsidRPr="00072AEC">
        <w:rPr>
          <w:rFonts w:ascii="Book Antiqua" w:hAnsi="Book Antiqua" w:cs="Arial"/>
          <w:color w:val="000000" w:themeColor="text1"/>
          <w:sz w:val="20"/>
          <w:szCs w:val="20"/>
        </w:rPr>
        <w:t xml:space="preserve">and regulate MHC class II expression on </w:t>
      </w:r>
      <w:r w:rsidR="00862E58" w:rsidRPr="00072AEC">
        <w:rPr>
          <w:rFonts w:ascii="Book Antiqua" w:hAnsi="Book Antiqua" w:cs="Arial"/>
          <w:color w:val="000000" w:themeColor="text1"/>
          <w:sz w:val="20"/>
          <w:szCs w:val="20"/>
        </w:rPr>
        <w:t>intestinal epithelium cells</w:t>
      </w:r>
      <w:r w:rsidRPr="00072AEC">
        <w:rPr>
          <w:rFonts w:ascii="Book Antiqua" w:hAnsi="Book Antiqua" w:cs="Arial"/>
          <w:color w:val="000000" w:themeColor="text1"/>
          <w:sz w:val="20"/>
          <w:szCs w:val="20"/>
        </w:rPr>
        <w:t xml:space="preserve"> </w:t>
      </w:r>
      <w:r w:rsidRPr="00072AEC">
        <w:rPr>
          <w:rFonts w:ascii="Book Antiqua" w:hAnsi="Book Antiqua" w:cs="Arial"/>
          <w:i/>
          <w:iCs/>
          <w:color w:val="000000" w:themeColor="text1"/>
          <w:sz w:val="20"/>
          <w:szCs w:val="20"/>
        </w:rPr>
        <w:t>via</w:t>
      </w:r>
      <w:r w:rsidRPr="00072AEC">
        <w:rPr>
          <w:rFonts w:ascii="Book Antiqua" w:hAnsi="Book Antiqua" w:cs="Arial"/>
          <w:color w:val="000000" w:themeColor="text1"/>
          <w:sz w:val="20"/>
          <w:szCs w:val="20"/>
        </w:rPr>
        <w:t xml:space="preserve"> IL-12-IFN-γ cytokine axis in addition to the required microbiota</w:t>
      </w:r>
      <w:r w:rsidRPr="00072AEC">
        <w:rPr>
          <w:rFonts w:ascii="Book Antiqua" w:hAnsi="Book Antiqua" w:cs="Arial"/>
          <w:color w:val="000000" w:themeColor="text1"/>
          <w:sz w:val="20"/>
          <w:szCs w:val="20"/>
          <w:vertAlign w:val="superscript"/>
        </w:rPr>
        <w:t>[63]</w:t>
      </w:r>
      <w:r w:rsidRPr="00072AEC">
        <w:rPr>
          <w:rFonts w:ascii="Book Antiqua" w:hAnsi="Book Antiqua" w:cs="Arial"/>
          <w:color w:val="000000" w:themeColor="text1"/>
          <w:sz w:val="20"/>
          <w:szCs w:val="20"/>
        </w:rPr>
        <w:t>. Overall, macrophage-produced cytokines participate in interaction between macrophages and other cells, and this role will be described further in the following sections.</w:t>
      </w:r>
    </w:p>
    <w:p w14:paraId="581DE909" w14:textId="77777777" w:rsidR="002044A9" w:rsidRPr="00072AEC" w:rsidRDefault="002044A9" w:rsidP="00072AEC">
      <w:pPr>
        <w:autoSpaceDE w:val="0"/>
        <w:autoSpaceDN w:val="0"/>
        <w:adjustRightInd w:val="0"/>
        <w:snapToGrid w:val="0"/>
        <w:spacing w:line="360" w:lineRule="auto"/>
        <w:rPr>
          <w:rFonts w:ascii="Book Antiqua" w:eastAsia="宋体" w:hAnsi="Book Antiqua"/>
          <w:bCs/>
          <w:color w:val="000000" w:themeColor="text1"/>
          <w:sz w:val="20"/>
          <w:szCs w:val="20"/>
        </w:rPr>
      </w:pPr>
    </w:p>
    <w:p w14:paraId="0E81DB2F" w14:textId="77777777" w:rsidR="002044A9" w:rsidRPr="00072AEC" w:rsidRDefault="002044A9" w:rsidP="00072AEC">
      <w:pPr>
        <w:autoSpaceDE w:val="0"/>
        <w:autoSpaceDN w:val="0"/>
        <w:adjustRightInd w:val="0"/>
        <w:snapToGrid w:val="0"/>
        <w:spacing w:line="360" w:lineRule="auto"/>
        <w:rPr>
          <w:rFonts w:ascii="Book Antiqua" w:eastAsia="宋体" w:hAnsi="Book Antiqua" w:cs="Times New Roman"/>
          <w:b/>
          <w:color w:val="000000" w:themeColor="text1"/>
          <w:sz w:val="20"/>
          <w:szCs w:val="20"/>
          <w:u w:val="single"/>
        </w:rPr>
      </w:pPr>
      <w:r w:rsidRPr="00072AEC">
        <w:rPr>
          <w:rFonts w:ascii="Book Antiqua" w:eastAsia="宋体" w:hAnsi="Book Antiqua" w:cs="Times New Roman"/>
          <w:b/>
          <w:color w:val="000000" w:themeColor="text1"/>
          <w:sz w:val="20"/>
          <w:szCs w:val="20"/>
          <w:u w:val="single"/>
        </w:rPr>
        <w:t>INTERACTION BETWEEN MACROPHAGES AND T CELLS</w:t>
      </w:r>
    </w:p>
    <w:p w14:paraId="26C2568B" w14:textId="306439C9" w:rsidR="002044A9" w:rsidRPr="00072AEC" w:rsidRDefault="002044A9" w:rsidP="00072AEC">
      <w:pPr>
        <w:autoSpaceDE w:val="0"/>
        <w:autoSpaceDN w:val="0"/>
        <w:adjustRightInd w:val="0"/>
        <w:snapToGrid w:val="0"/>
        <w:spacing w:line="360" w:lineRule="auto"/>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In GVHD </w:t>
      </w:r>
      <w:r w:rsidRPr="00072AEC">
        <w:rPr>
          <w:rFonts w:ascii="Book Antiqua" w:hAnsi="Book Antiqua" w:cs="Arial"/>
          <w:bCs/>
          <w:color w:val="000000" w:themeColor="text1"/>
          <w:sz w:val="20"/>
          <w:szCs w:val="20"/>
        </w:rPr>
        <w:t>pathogenesis</w:t>
      </w:r>
      <w:r w:rsidRPr="00072AEC">
        <w:rPr>
          <w:rFonts w:ascii="Book Antiqua" w:eastAsia="宋体" w:hAnsi="Book Antiqua" w:cs="Times New Roman"/>
          <w:bCs/>
          <w:color w:val="000000" w:themeColor="text1"/>
          <w:sz w:val="20"/>
          <w:szCs w:val="20"/>
        </w:rPr>
        <w:t xml:space="preserve">, the alloreactive T cell response is essential. It is demonstrated in </w:t>
      </w:r>
      <w:r w:rsidR="009836AD" w:rsidRPr="00072AEC">
        <w:rPr>
          <w:rFonts w:ascii="Book Antiqua" w:eastAsia="宋体" w:hAnsi="Book Antiqua" w:cs="Times New Roman"/>
          <w:bCs/>
          <w:color w:val="000000" w:themeColor="text1"/>
          <w:sz w:val="20"/>
          <w:szCs w:val="20"/>
        </w:rPr>
        <w:t xml:space="preserve">Table </w:t>
      </w:r>
      <w:r w:rsidRPr="00072AEC">
        <w:rPr>
          <w:rFonts w:ascii="Book Antiqua" w:eastAsia="宋体" w:hAnsi="Book Antiqua" w:cs="Times New Roman"/>
          <w:bCs/>
          <w:color w:val="000000" w:themeColor="text1"/>
          <w:sz w:val="20"/>
          <w:szCs w:val="20"/>
        </w:rPr>
        <w:t xml:space="preserve">1 and </w:t>
      </w:r>
      <w:r w:rsidR="009836AD" w:rsidRPr="00072AEC">
        <w:rPr>
          <w:rFonts w:ascii="Book Antiqua" w:eastAsia="宋体" w:hAnsi="Book Antiqua" w:cs="Times New Roman"/>
          <w:bCs/>
          <w:color w:val="000000" w:themeColor="text1"/>
          <w:sz w:val="20"/>
          <w:szCs w:val="20"/>
        </w:rPr>
        <w:t xml:space="preserve">Figure </w:t>
      </w:r>
      <w:r w:rsidRPr="00072AEC">
        <w:rPr>
          <w:rFonts w:ascii="Book Antiqua" w:eastAsia="宋体" w:hAnsi="Book Antiqua" w:cs="Times New Roman"/>
          <w:bCs/>
          <w:color w:val="000000" w:themeColor="text1"/>
          <w:sz w:val="20"/>
          <w:szCs w:val="20"/>
        </w:rPr>
        <w:t>1 that infiltration of both T cells and macrophages correlate to GVHD.</w:t>
      </w:r>
    </w:p>
    <w:p w14:paraId="087EDC61" w14:textId="58EE5195"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T cells, primarily T helper cells, regulate macrophage activation. Using a humanized model and </w:t>
      </w:r>
      <w:r w:rsidRPr="00072AEC">
        <w:rPr>
          <w:rFonts w:ascii="Book Antiqua" w:eastAsia="宋体" w:hAnsi="Book Antiqua" w:cs="Times New Roman"/>
          <w:bCs/>
          <w:i/>
          <w:iCs/>
          <w:color w:val="000000" w:themeColor="text1"/>
          <w:sz w:val="20"/>
          <w:szCs w:val="20"/>
        </w:rPr>
        <w:t>in vitro</w:t>
      </w:r>
      <w:r w:rsidRPr="00072AEC">
        <w:rPr>
          <w:rFonts w:ascii="Book Antiqua" w:eastAsia="宋体" w:hAnsi="Book Antiqua" w:cs="Times New Roman"/>
          <w:bCs/>
          <w:color w:val="000000" w:themeColor="text1"/>
          <w:sz w:val="20"/>
          <w:szCs w:val="20"/>
        </w:rPr>
        <w:t xml:space="preserve"> experiment, an infiltration of F4/80+ macrophages and human effector memory T helper cells was observed in lymphatic tissues and skin GVHD</w:t>
      </w:r>
      <w:r w:rsidR="005A5A9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t>
      </w:r>
      <w:r w:rsidR="005A5A97" w:rsidRPr="00072AEC">
        <w:rPr>
          <w:rFonts w:ascii="Book Antiqua" w:eastAsia="宋体" w:hAnsi="Book Antiqua" w:cs="Times New Roman"/>
          <w:bCs/>
          <w:color w:val="000000" w:themeColor="text1"/>
          <w:sz w:val="20"/>
          <w:szCs w:val="20"/>
        </w:rPr>
        <w:t>T</w:t>
      </w:r>
      <w:r w:rsidRPr="00072AEC">
        <w:rPr>
          <w:rFonts w:ascii="Book Antiqua" w:eastAsia="宋体" w:hAnsi="Book Antiqua" w:cs="Times New Roman"/>
          <w:bCs/>
          <w:color w:val="000000" w:themeColor="text1"/>
          <w:sz w:val="20"/>
          <w:szCs w:val="20"/>
        </w:rPr>
        <w:t>heir interaction revealed that macrophages in humanized m</w:t>
      </w:r>
      <w:r w:rsidR="005A5A97" w:rsidRPr="00072AEC">
        <w:rPr>
          <w:rFonts w:ascii="Book Antiqua" w:eastAsia="宋体" w:hAnsi="Book Antiqua" w:cs="Times New Roman"/>
          <w:bCs/>
          <w:color w:val="000000" w:themeColor="text1"/>
          <w:sz w:val="20"/>
          <w:szCs w:val="20"/>
        </w:rPr>
        <w:t>ic</w:t>
      </w:r>
      <w:r w:rsidRPr="00072AEC">
        <w:rPr>
          <w:rFonts w:ascii="Book Antiqua" w:eastAsia="宋体" w:hAnsi="Book Antiqua" w:cs="Times New Roman"/>
          <w:bCs/>
          <w:color w:val="000000" w:themeColor="text1"/>
          <w:sz w:val="20"/>
          <w:szCs w:val="20"/>
        </w:rPr>
        <w:t>e were activated by human T helper 2-type inflammatory cytokines</w:t>
      </w:r>
      <w:r w:rsidRPr="00072AEC">
        <w:rPr>
          <w:rFonts w:ascii="Book Antiqua" w:eastAsia="宋体" w:hAnsi="Book Antiqua" w:cs="Times New Roman"/>
          <w:bCs/>
          <w:color w:val="000000" w:themeColor="text1"/>
          <w:sz w:val="20"/>
          <w:szCs w:val="20"/>
          <w:vertAlign w:val="superscript"/>
        </w:rPr>
        <w:t>[64]</w:t>
      </w:r>
      <w:r w:rsidRPr="00072AEC">
        <w:rPr>
          <w:rFonts w:ascii="Book Antiqua" w:eastAsia="宋体" w:hAnsi="Book Antiqua" w:cs="Times New Roman"/>
          <w:bCs/>
          <w:color w:val="000000" w:themeColor="text1"/>
          <w:sz w:val="20"/>
          <w:szCs w:val="20"/>
        </w:rPr>
        <w:t>. Meanwhile, macrophages influence</w:t>
      </w:r>
      <w:r w:rsidR="005A5A97" w:rsidRPr="00072AEC">
        <w:rPr>
          <w:rFonts w:ascii="Book Antiqua" w:eastAsia="宋体" w:hAnsi="Book Antiqua" w:cs="Times New Roman"/>
          <w:bCs/>
          <w:color w:val="000000" w:themeColor="text1"/>
          <w:sz w:val="20"/>
          <w:szCs w:val="20"/>
        </w:rPr>
        <w:t>d</w:t>
      </w:r>
      <w:r w:rsidRPr="00072AEC">
        <w:rPr>
          <w:rFonts w:ascii="Book Antiqua" w:eastAsia="宋体" w:hAnsi="Book Antiqua" w:cs="Times New Roman"/>
          <w:bCs/>
          <w:color w:val="000000" w:themeColor="text1"/>
          <w:sz w:val="20"/>
          <w:szCs w:val="20"/>
        </w:rPr>
        <w:t xml:space="preserve"> the alloreactive T cell response to host antigen. In the study by Haniffa </w:t>
      </w:r>
      <w:r w:rsidR="009836AD" w:rsidRPr="00072AEC">
        <w:rPr>
          <w:rFonts w:ascii="Book Antiqua" w:eastAsia="宋体" w:hAnsi="Book Antiqua" w:cs="Times New Roman"/>
          <w:bCs/>
          <w:i/>
          <w:iCs/>
          <w:color w:val="000000" w:themeColor="text1"/>
          <w:sz w:val="20"/>
          <w:szCs w:val="20"/>
        </w:rPr>
        <w:t>et al</w:t>
      </w:r>
      <w:r w:rsidR="009836AD" w:rsidRPr="00072AEC">
        <w:rPr>
          <w:rFonts w:ascii="Book Antiqua" w:eastAsia="宋体" w:hAnsi="Book Antiqua" w:cs="Times New Roman"/>
          <w:bCs/>
          <w:color w:val="000000" w:themeColor="text1"/>
          <w:sz w:val="20"/>
          <w:szCs w:val="20"/>
          <w:vertAlign w:val="superscript"/>
        </w:rPr>
        <w:t>[65]</w:t>
      </w:r>
      <w:r w:rsidRPr="00072AEC">
        <w:rPr>
          <w:rFonts w:ascii="Book Antiqua" w:eastAsia="宋体" w:hAnsi="Book Antiqua" w:cs="Times New Roman"/>
          <w:bCs/>
          <w:color w:val="000000" w:themeColor="text1"/>
          <w:sz w:val="20"/>
          <w:szCs w:val="20"/>
        </w:rPr>
        <w:t>, persistent recipient dermal CD1a-</w:t>
      </w:r>
      <w:r w:rsidR="005A5A9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CD14+</w:t>
      </w:r>
      <w:r w:rsidR="005A5A9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FXIIIa+ macrophages were detected in GVHD lesions and further showed </w:t>
      </w:r>
      <w:r w:rsidR="005A5A97"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ability to influence allogeneic CD8+ T cells on proliferation, secretion of cytokines</w:t>
      </w:r>
      <w:r w:rsidR="009A2BC4"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and expression of activation antigens. </w:t>
      </w:r>
      <w:r w:rsidR="009A2BC4" w:rsidRPr="00072AEC">
        <w:rPr>
          <w:rFonts w:ascii="Book Antiqua" w:eastAsia="宋体" w:hAnsi="Book Antiqua" w:cs="Times New Roman"/>
          <w:bCs/>
          <w:color w:val="000000" w:themeColor="text1"/>
          <w:sz w:val="20"/>
          <w:szCs w:val="20"/>
        </w:rPr>
        <w:t>Furthermore</w:t>
      </w:r>
      <w:r w:rsidRPr="00072AEC">
        <w:rPr>
          <w:rFonts w:ascii="Book Antiqua" w:eastAsia="宋体" w:hAnsi="Book Antiqua" w:cs="Times New Roman"/>
          <w:bCs/>
          <w:color w:val="000000" w:themeColor="text1"/>
          <w:sz w:val="20"/>
          <w:szCs w:val="20"/>
        </w:rPr>
        <w:t>, low macrophage infiltration reduce</w:t>
      </w:r>
      <w:r w:rsidR="009A2BC4" w:rsidRPr="00072AEC">
        <w:rPr>
          <w:rFonts w:ascii="Book Antiqua" w:eastAsia="宋体" w:hAnsi="Book Antiqua" w:cs="Times New Roman"/>
          <w:bCs/>
          <w:color w:val="000000" w:themeColor="text1"/>
          <w:sz w:val="20"/>
          <w:szCs w:val="20"/>
        </w:rPr>
        <w:t>d</w:t>
      </w:r>
      <w:r w:rsidRPr="00072AEC">
        <w:rPr>
          <w:rFonts w:ascii="Book Antiqua" w:eastAsia="宋体" w:hAnsi="Book Antiqua" w:cs="Times New Roman"/>
          <w:bCs/>
          <w:color w:val="000000" w:themeColor="text1"/>
          <w:sz w:val="20"/>
          <w:szCs w:val="20"/>
        </w:rPr>
        <w:t xml:space="preserve"> the percentage of Th1 and Tc1 lineages but upregulate</w:t>
      </w:r>
      <w:r w:rsidR="009A2BC4" w:rsidRPr="00072AEC">
        <w:rPr>
          <w:rFonts w:ascii="Book Antiqua" w:eastAsia="宋体" w:hAnsi="Book Antiqua" w:cs="Times New Roman"/>
          <w:bCs/>
          <w:color w:val="000000" w:themeColor="text1"/>
          <w:sz w:val="20"/>
          <w:szCs w:val="20"/>
        </w:rPr>
        <w:t>d</w:t>
      </w:r>
      <w:r w:rsidRPr="00072AEC">
        <w:rPr>
          <w:rFonts w:ascii="Book Antiqua" w:eastAsia="宋体" w:hAnsi="Book Antiqua" w:cs="Times New Roman"/>
          <w:bCs/>
          <w:color w:val="000000" w:themeColor="text1"/>
          <w:sz w:val="20"/>
          <w:szCs w:val="20"/>
        </w:rPr>
        <w:t xml:space="preserve"> the percentages of Th2, Tc2, and Treg lineages </w:t>
      </w:r>
      <w:r w:rsidR="009A2BC4" w:rsidRPr="00072AEC">
        <w:rPr>
          <w:rFonts w:ascii="Book Antiqua" w:eastAsia="宋体" w:hAnsi="Book Antiqua" w:cs="Times New Roman"/>
          <w:bCs/>
          <w:color w:val="000000" w:themeColor="text1"/>
          <w:sz w:val="20"/>
          <w:szCs w:val="20"/>
        </w:rPr>
        <w:t xml:space="preserve">that </w:t>
      </w:r>
      <w:r w:rsidRPr="00072AEC">
        <w:rPr>
          <w:rFonts w:ascii="Book Antiqua" w:eastAsia="宋体" w:hAnsi="Book Antiqua" w:cs="Times New Roman"/>
          <w:bCs/>
          <w:color w:val="000000" w:themeColor="text1"/>
          <w:sz w:val="20"/>
          <w:szCs w:val="20"/>
        </w:rPr>
        <w:t>can suppress effector T</w:t>
      </w:r>
      <w:r w:rsidR="008D798F"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infiltration and eventually alleviate acute GVHD</w:t>
      </w:r>
      <w:r w:rsidRPr="00072AEC">
        <w:rPr>
          <w:rFonts w:ascii="Book Antiqua" w:eastAsia="宋体" w:hAnsi="Book Antiqua" w:cs="Times New Roman"/>
          <w:bCs/>
          <w:color w:val="000000" w:themeColor="text1"/>
          <w:sz w:val="20"/>
          <w:szCs w:val="20"/>
          <w:vertAlign w:val="superscript"/>
        </w:rPr>
        <w:t>[37,56,60,61]</w:t>
      </w:r>
      <w:r w:rsidRPr="00072AEC">
        <w:rPr>
          <w:rFonts w:ascii="Book Antiqua" w:eastAsia="宋体" w:hAnsi="Book Antiqua" w:cs="Times New Roman"/>
          <w:bCs/>
          <w:color w:val="000000" w:themeColor="text1"/>
          <w:sz w:val="20"/>
          <w:szCs w:val="20"/>
        </w:rPr>
        <w:t xml:space="preserve">. Additionally, chronic </w:t>
      </w:r>
      <w:r w:rsidR="009A2BC4" w:rsidRPr="00072AEC">
        <w:rPr>
          <w:rFonts w:ascii="Book Antiqua" w:eastAsia="宋体" w:hAnsi="Book Antiqua" w:cs="Times New Roman"/>
          <w:bCs/>
          <w:color w:val="000000" w:themeColor="text1"/>
          <w:sz w:val="20"/>
          <w:szCs w:val="20"/>
        </w:rPr>
        <w:t xml:space="preserve">lung </w:t>
      </w:r>
      <w:r w:rsidRPr="00072AEC">
        <w:rPr>
          <w:rFonts w:ascii="Book Antiqua" w:eastAsia="宋体" w:hAnsi="Book Antiqua" w:cs="Times New Roman"/>
          <w:bCs/>
          <w:color w:val="000000" w:themeColor="text1"/>
          <w:sz w:val="20"/>
          <w:szCs w:val="20"/>
        </w:rPr>
        <w:t>GVHD is IL-17 and CSF-1/CSF-1R dependent</w:t>
      </w:r>
      <w:r w:rsidRPr="00072AEC">
        <w:rPr>
          <w:rFonts w:ascii="Book Antiqua" w:eastAsia="宋体" w:hAnsi="Book Antiqua" w:cs="Times New Roman"/>
          <w:bCs/>
          <w:color w:val="000000" w:themeColor="text1"/>
          <w:sz w:val="20"/>
          <w:szCs w:val="20"/>
          <w:vertAlign w:val="superscript"/>
        </w:rPr>
        <w:t>[49]</w:t>
      </w:r>
      <w:r w:rsidRPr="00072AEC">
        <w:rPr>
          <w:rFonts w:ascii="Book Antiqua" w:eastAsia="宋体" w:hAnsi="Book Antiqua" w:cs="Times New Roman"/>
          <w:bCs/>
          <w:color w:val="000000" w:themeColor="text1"/>
          <w:sz w:val="20"/>
          <w:szCs w:val="20"/>
        </w:rPr>
        <w:t xml:space="preserve">. </w:t>
      </w:r>
      <w:r w:rsidR="00FC0F17" w:rsidRPr="00072AEC">
        <w:rPr>
          <w:rFonts w:ascii="Book Antiqua" w:eastAsia="宋体" w:hAnsi="Book Antiqua" w:cs="Times New Roman"/>
          <w:bCs/>
          <w:color w:val="000000" w:themeColor="text1"/>
          <w:sz w:val="20"/>
          <w:szCs w:val="20"/>
        </w:rPr>
        <w:t>A</w:t>
      </w:r>
      <w:r w:rsidRPr="00072AEC">
        <w:rPr>
          <w:rFonts w:ascii="Book Antiqua" w:eastAsia="宋体" w:hAnsi="Book Antiqua" w:cs="Times New Roman"/>
          <w:bCs/>
          <w:color w:val="000000" w:themeColor="text1"/>
          <w:sz w:val="20"/>
          <w:szCs w:val="20"/>
        </w:rPr>
        <w:t xml:space="preserve">ctivated macrophages can induce donor T cells </w:t>
      </w:r>
      <w:r w:rsidR="00FC0F17" w:rsidRPr="00072AEC">
        <w:rPr>
          <w:rFonts w:ascii="Book Antiqua" w:eastAsia="宋体" w:hAnsi="Book Antiqua" w:cs="Times New Roman"/>
          <w:bCs/>
          <w:color w:val="000000" w:themeColor="text1"/>
          <w:sz w:val="20"/>
          <w:szCs w:val="20"/>
        </w:rPr>
        <w:t xml:space="preserve">to </w:t>
      </w:r>
      <w:r w:rsidRPr="00072AEC">
        <w:rPr>
          <w:rFonts w:ascii="Book Antiqua" w:eastAsia="宋体" w:hAnsi="Book Antiqua" w:cs="Times New Roman"/>
          <w:bCs/>
          <w:color w:val="000000" w:themeColor="text1"/>
          <w:sz w:val="20"/>
          <w:szCs w:val="20"/>
        </w:rPr>
        <w:t>polarize toward Th17 with an elevation of IL-6, IL-1β, and IL-23</w:t>
      </w:r>
      <w:r w:rsidR="00FC0F1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t>
      </w:r>
      <w:r w:rsidR="00FC0F17" w:rsidRPr="00072AEC">
        <w:rPr>
          <w:rFonts w:ascii="Book Antiqua" w:eastAsia="宋体" w:hAnsi="Book Antiqua" w:cs="Times New Roman"/>
          <w:bCs/>
          <w:color w:val="000000" w:themeColor="text1"/>
          <w:sz w:val="20"/>
          <w:szCs w:val="20"/>
        </w:rPr>
        <w:t>F</w:t>
      </w:r>
      <w:r w:rsidRPr="00072AEC">
        <w:rPr>
          <w:rFonts w:ascii="Book Antiqua" w:eastAsia="宋体" w:hAnsi="Book Antiqua" w:cs="Times New Roman"/>
          <w:bCs/>
          <w:color w:val="000000" w:themeColor="text1"/>
          <w:sz w:val="20"/>
          <w:szCs w:val="20"/>
        </w:rPr>
        <w:t>inally, accumulated IL-17–producing CCR6+</w:t>
      </w:r>
      <w:r w:rsidR="00FC0F1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CCR4+ Th17 cells exacerbate lung GVHD</w:t>
      </w:r>
      <w:r w:rsidRPr="00072AEC">
        <w:rPr>
          <w:rFonts w:ascii="Book Antiqua" w:eastAsia="宋体" w:hAnsi="Book Antiqua" w:cs="Times New Roman"/>
          <w:bCs/>
          <w:color w:val="000000" w:themeColor="text1"/>
          <w:sz w:val="20"/>
          <w:szCs w:val="20"/>
          <w:vertAlign w:val="superscript"/>
        </w:rPr>
        <w:t>[66]</w:t>
      </w:r>
      <w:r w:rsidRPr="00072AEC">
        <w:rPr>
          <w:rFonts w:ascii="Book Antiqua" w:eastAsia="宋体" w:hAnsi="Book Antiqua" w:cs="Times New Roman"/>
          <w:bCs/>
          <w:color w:val="000000" w:themeColor="text1"/>
          <w:sz w:val="20"/>
          <w:szCs w:val="20"/>
        </w:rPr>
        <w:t xml:space="preserve">. </w:t>
      </w:r>
      <w:r w:rsidR="00FC0F17" w:rsidRPr="00072AEC">
        <w:rPr>
          <w:rFonts w:ascii="Book Antiqua" w:eastAsia="宋体" w:hAnsi="Book Antiqua" w:cs="Times New Roman"/>
          <w:bCs/>
          <w:color w:val="000000" w:themeColor="text1"/>
          <w:sz w:val="20"/>
          <w:szCs w:val="20"/>
        </w:rPr>
        <w:t>This</w:t>
      </w:r>
      <w:r w:rsidRPr="00072AEC">
        <w:rPr>
          <w:rFonts w:ascii="Book Antiqua" w:eastAsia="宋体" w:hAnsi="Book Antiqua" w:cs="Times New Roman"/>
          <w:bCs/>
          <w:color w:val="000000" w:themeColor="text1"/>
          <w:sz w:val="20"/>
          <w:szCs w:val="20"/>
        </w:rPr>
        <w:t xml:space="preserve"> means that macrophage</w:t>
      </w:r>
      <w:r w:rsidR="00FC0F1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contribute to T cell differentiation and </w:t>
      </w:r>
      <w:r w:rsidR="00FC0F17" w:rsidRPr="00072AEC">
        <w:rPr>
          <w:rFonts w:ascii="Book Antiqua" w:eastAsia="宋体" w:hAnsi="Book Antiqua" w:cs="Times New Roman"/>
          <w:bCs/>
          <w:color w:val="000000" w:themeColor="text1"/>
          <w:sz w:val="20"/>
          <w:szCs w:val="20"/>
        </w:rPr>
        <w:t>a</w:t>
      </w:r>
      <w:r w:rsidRPr="00072AEC">
        <w:rPr>
          <w:rFonts w:ascii="Book Antiqua" w:eastAsia="宋体" w:hAnsi="Book Antiqua" w:cs="Times New Roman"/>
          <w:bCs/>
          <w:color w:val="000000" w:themeColor="text1"/>
          <w:sz w:val="20"/>
          <w:szCs w:val="20"/>
        </w:rPr>
        <w:t>ffect the homeostasis of the immune response. Interestingly, host macrophage</w:t>
      </w:r>
      <w:r w:rsidR="00FC0F1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w:t>
      </w:r>
      <w:r w:rsidR="00FC0F17" w:rsidRPr="00072AEC">
        <w:rPr>
          <w:rFonts w:ascii="Book Antiqua" w:eastAsia="宋体" w:hAnsi="Book Antiqua" w:cs="Times New Roman"/>
          <w:bCs/>
          <w:color w:val="000000" w:themeColor="text1"/>
          <w:sz w:val="20"/>
          <w:szCs w:val="20"/>
        </w:rPr>
        <w:t>are</w:t>
      </w:r>
      <w:r w:rsidRPr="00072AEC">
        <w:rPr>
          <w:rFonts w:ascii="Book Antiqua" w:eastAsia="宋体" w:hAnsi="Book Antiqua" w:cs="Times New Roman"/>
          <w:bCs/>
          <w:color w:val="000000" w:themeColor="text1"/>
          <w:sz w:val="20"/>
          <w:szCs w:val="20"/>
        </w:rPr>
        <w:t xml:space="preserve"> opposite to donor macrophage in terms of their interaction with donor T cells </w:t>
      </w:r>
      <w:r w:rsidR="00FC0F17" w:rsidRPr="00072AEC">
        <w:rPr>
          <w:rFonts w:ascii="Book Antiqua" w:eastAsia="宋体" w:hAnsi="Book Antiqua" w:cs="Times New Roman"/>
          <w:bCs/>
          <w:color w:val="000000" w:themeColor="text1"/>
          <w:sz w:val="20"/>
          <w:szCs w:val="20"/>
        </w:rPr>
        <w:t>(</w:t>
      </w:r>
      <w:r w:rsidR="00FC0F17" w:rsidRPr="00072AEC">
        <w:rPr>
          <w:rFonts w:ascii="Book Antiqua" w:eastAsia="宋体" w:hAnsi="Book Antiqua" w:cs="Times New Roman"/>
          <w:bCs/>
          <w:i/>
          <w:iCs/>
          <w:color w:val="000000" w:themeColor="text1"/>
          <w:sz w:val="20"/>
          <w:szCs w:val="20"/>
        </w:rPr>
        <w:t xml:space="preserve">i.e. </w:t>
      </w:r>
      <w:r w:rsidRPr="00072AEC">
        <w:rPr>
          <w:rFonts w:ascii="Book Antiqua" w:eastAsia="宋体" w:hAnsi="Book Antiqua" w:cs="Times New Roman"/>
          <w:bCs/>
          <w:color w:val="000000" w:themeColor="text1"/>
          <w:sz w:val="20"/>
          <w:szCs w:val="20"/>
        </w:rPr>
        <w:t>host macrophage</w:t>
      </w:r>
      <w:r w:rsidR="00FC0F1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enable the inhibition of donor T cell expansion</w:t>
      </w:r>
      <w:r w:rsidR="00FC0F1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Hashimoto</w:t>
      </w:r>
      <w:r w:rsidR="009836AD" w:rsidRPr="00072AEC">
        <w:rPr>
          <w:rFonts w:ascii="Book Antiqua" w:eastAsia="宋体" w:hAnsi="Book Antiqua" w:cs="Times New Roman"/>
          <w:bCs/>
          <w:color w:val="000000" w:themeColor="text1"/>
          <w:sz w:val="20"/>
          <w:szCs w:val="20"/>
        </w:rPr>
        <w:t xml:space="preserve"> </w:t>
      </w:r>
      <w:r w:rsidR="009836AD" w:rsidRPr="00072AEC">
        <w:rPr>
          <w:rFonts w:ascii="Book Antiqua" w:eastAsia="宋体" w:hAnsi="Book Antiqua" w:cs="Times New Roman"/>
          <w:bCs/>
          <w:i/>
          <w:iCs/>
          <w:color w:val="000000" w:themeColor="text1"/>
          <w:sz w:val="20"/>
          <w:szCs w:val="20"/>
        </w:rPr>
        <w:t>et al</w:t>
      </w:r>
      <w:r w:rsidR="009836AD" w:rsidRPr="00072AEC">
        <w:rPr>
          <w:rFonts w:ascii="Book Antiqua" w:eastAsia="宋体" w:hAnsi="Book Antiqua" w:cs="Times New Roman"/>
          <w:bCs/>
          <w:color w:val="000000" w:themeColor="text1"/>
          <w:sz w:val="20"/>
          <w:szCs w:val="20"/>
          <w:vertAlign w:val="superscript"/>
        </w:rPr>
        <w:t>[67]</w:t>
      </w:r>
      <w:r w:rsidRPr="00072AEC">
        <w:rPr>
          <w:rFonts w:ascii="Book Antiqua" w:eastAsia="宋体" w:hAnsi="Book Antiqua" w:cs="Times New Roman"/>
          <w:bCs/>
          <w:color w:val="000000" w:themeColor="text1"/>
          <w:sz w:val="20"/>
          <w:szCs w:val="20"/>
        </w:rPr>
        <w:t xml:space="preserve"> </w:t>
      </w:r>
      <w:r w:rsidR="00FC0F17" w:rsidRPr="00072AEC">
        <w:rPr>
          <w:rFonts w:ascii="Book Antiqua" w:eastAsia="宋体" w:hAnsi="Book Antiqua" w:cs="Times New Roman"/>
          <w:bCs/>
          <w:color w:val="000000" w:themeColor="text1"/>
          <w:sz w:val="20"/>
          <w:szCs w:val="20"/>
        </w:rPr>
        <w:t>observed</w:t>
      </w:r>
      <w:r w:rsidRPr="00072AEC">
        <w:rPr>
          <w:rFonts w:ascii="Book Antiqua" w:eastAsia="宋体" w:hAnsi="Book Antiqua" w:cs="Times New Roman"/>
          <w:bCs/>
          <w:color w:val="000000" w:themeColor="text1"/>
          <w:sz w:val="20"/>
          <w:szCs w:val="20"/>
        </w:rPr>
        <w:t xml:space="preserve"> that reduced host macrophage pool can increase donor T cell expansion and aggravate GVHD mortality </w:t>
      </w:r>
      <w:r w:rsidRPr="00072AEC">
        <w:rPr>
          <w:rFonts w:ascii="Book Antiqua" w:eastAsia="宋体" w:hAnsi="Book Antiqua" w:cs="Times New Roman"/>
          <w:bCs/>
          <w:i/>
          <w:iCs/>
          <w:color w:val="000000" w:themeColor="text1"/>
          <w:sz w:val="20"/>
          <w:szCs w:val="20"/>
        </w:rPr>
        <w:t>via</w:t>
      </w:r>
      <w:r w:rsidRPr="00072AEC">
        <w:rPr>
          <w:rFonts w:ascii="Book Antiqua" w:eastAsia="宋体" w:hAnsi="Book Antiqua" w:cs="Times New Roman"/>
          <w:bCs/>
          <w:color w:val="000000" w:themeColor="text1"/>
          <w:sz w:val="20"/>
          <w:szCs w:val="20"/>
        </w:rPr>
        <w:t xml:space="preserve"> a CD47-dependent manner, whereas persisting host macrophages can engulf donor allogeneic T cells and inhibit proliferation</w:t>
      </w:r>
      <w:r w:rsidRPr="00072AEC">
        <w:rPr>
          <w:rFonts w:ascii="Book Antiqua" w:eastAsia="宋体" w:hAnsi="Book Antiqua" w:cs="Times New Roman"/>
          <w:bCs/>
          <w:color w:val="000000" w:themeColor="text1"/>
          <w:sz w:val="20"/>
          <w:szCs w:val="20"/>
          <w:vertAlign w:val="superscript"/>
        </w:rPr>
        <w:t>[67]</w:t>
      </w:r>
      <w:r w:rsidRPr="00072AEC">
        <w:rPr>
          <w:rFonts w:ascii="Book Antiqua" w:eastAsia="宋体" w:hAnsi="Book Antiqua" w:cs="Times New Roman"/>
          <w:bCs/>
          <w:color w:val="000000" w:themeColor="text1"/>
          <w:sz w:val="20"/>
          <w:szCs w:val="20"/>
        </w:rPr>
        <w:t xml:space="preserve">. </w:t>
      </w:r>
    </w:p>
    <w:p w14:paraId="05D92C77" w14:textId="23014FAA"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Further work to understand </w:t>
      </w:r>
      <w:r w:rsidR="000C7E94"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interaction between macrophages and T cells in GVHD models is limited, but complicated interactions between macrophages and T cells have been reported in other models. M1 macrophage</w:t>
      </w:r>
      <w:r w:rsidR="000C7E9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can enhance cytolytic and immunomodulatory functions of CD107a+</w:t>
      </w:r>
      <w:r w:rsidR="00DC496F"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CD8+ T</w:t>
      </w:r>
      <w:r w:rsidR="008D798F"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cells in healthy individuals through a contact-dependent</w:t>
      </w:r>
      <w:r w:rsidR="00DC496F" w:rsidRPr="00072AEC">
        <w:rPr>
          <w:rFonts w:ascii="Book Antiqua" w:eastAsia="宋体" w:hAnsi="Book Antiqua" w:cs="Times New Roman"/>
          <w:bCs/>
          <w:color w:val="000000" w:themeColor="text1"/>
          <w:sz w:val="20"/>
          <w:szCs w:val="20"/>
        </w:rPr>
        <w:t xml:space="preserve"> manner</w:t>
      </w:r>
      <w:r w:rsidRPr="00072AEC">
        <w:rPr>
          <w:rFonts w:ascii="Book Antiqua" w:eastAsia="宋体" w:hAnsi="Book Antiqua" w:cs="Times New Roman"/>
          <w:bCs/>
          <w:color w:val="000000" w:themeColor="text1"/>
          <w:sz w:val="20"/>
          <w:szCs w:val="20"/>
        </w:rPr>
        <w:t xml:space="preserve"> w</w:t>
      </w:r>
      <w:r w:rsidR="00DC496F" w:rsidRPr="00072AEC">
        <w:rPr>
          <w:rFonts w:ascii="Book Antiqua" w:eastAsia="宋体" w:hAnsi="Book Antiqua" w:cs="Times New Roman"/>
          <w:bCs/>
          <w:color w:val="000000" w:themeColor="text1"/>
          <w:sz w:val="20"/>
          <w:szCs w:val="20"/>
        </w:rPr>
        <w:t>ith</w:t>
      </w:r>
      <w:r w:rsidRPr="00072AEC">
        <w:rPr>
          <w:rFonts w:ascii="Book Antiqua" w:eastAsia="宋体" w:hAnsi="Book Antiqua" w:cs="Times New Roman"/>
          <w:bCs/>
          <w:color w:val="000000" w:themeColor="text1"/>
          <w:sz w:val="20"/>
          <w:szCs w:val="20"/>
        </w:rPr>
        <w:t xml:space="preserve"> cytokine- and antigen-independent induction</w:t>
      </w:r>
      <w:r w:rsidRPr="00072AEC">
        <w:rPr>
          <w:rFonts w:ascii="Book Antiqua" w:eastAsia="宋体" w:hAnsi="Book Antiqua" w:cs="Times New Roman"/>
          <w:bCs/>
          <w:color w:val="000000" w:themeColor="text1"/>
          <w:sz w:val="20"/>
          <w:szCs w:val="20"/>
          <w:vertAlign w:val="superscript"/>
        </w:rPr>
        <w:t>[68]</w:t>
      </w:r>
      <w:r w:rsidRPr="00072AEC">
        <w:rPr>
          <w:rFonts w:ascii="Book Antiqua" w:eastAsia="宋体" w:hAnsi="Book Antiqua" w:cs="Times New Roman"/>
          <w:bCs/>
          <w:color w:val="000000" w:themeColor="text1"/>
          <w:sz w:val="20"/>
          <w:szCs w:val="20"/>
        </w:rPr>
        <w:t xml:space="preserve">. </w:t>
      </w:r>
      <w:r w:rsidR="00DC496F" w:rsidRPr="00072AEC">
        <w:rPr>
          <w:rFonts w:ascii="Book Antiqua" w:eastAsia="宋体" w:hAnsi="Book Antiqua" w:cs="Times New Roman"/>
          <w:bCs/>
          <w:color w:val="000000" w:themeColor="text1"/>
          <w:sz w:val="20"/>
          <w:szCs w:val="20"/>
        </w:rPr>
        <w:t>In contrast,</w:t>
      </w:r>
      <w:r w:rsidRPr="00072AEC">
        <w:rPr>
          <w:rFonts w:ascii="Book Antiqua" w:eastAsia="宋体" w:hAnsi="Book Antiqua" w:cs="Times New Roman"/>
          <w:bCs/>
          <w:color w:val="000000" w:themeColor="text1"/>
          <w:sz w:val="20"/>
          <w:szCs w:val="20"/>
        </w:rPr>
        <w:t xml:space="preserve"> Liu</w:t>
      </w:r>
      <w:r w:rsidR="009836AD" w:rsidRPr="00072AEC">
        <w:rPr>
          <w:rFonts w:ascii="Book Antiqua" w:eastAsia="宋体" w:hAnsi="Book Antiqua" w:cs="Times New Roman"/>
          <w:bCs/>
          <w:color w:val="000000" w:themeColor="text1"/>
          <w:sz w:val="20"/>
          <w:szCs w:val="20"/>
        </w:rPr>
        <w:t xml:space="preserve"> </w:t>
      </w:r>
      <w:r w:rsidR="009836AD" w:rsidRPr="00072AEC">
        <w:rPr>
          <w:rFonts w:ascii="Book Antiqua" w:eastAsia="宋体" w:hAnsi="Book Antiqua" w:cs="Times New Roman"/>
          <w:bCs/>
          <w:i/>
          <w:iCs/>
          <w:color w:val="000000" w:themeColor="text1"/>
          <w:sz w:val="20"/>
          <w:szCs w:val="20"/>
        </w:rPr>
        <w:t>et al</w:t>
      </w:r>
      <w:r w:rsidR="009836AD" w:rsidRPr="00072AEC">
        <w:rPr>
          <w:rFonts w:ascii="Book Antiqua" w:eastAsia="宋体" w:hAnsi="Book Antiqua" w:cs="Times New Roman"/>
          <w:bCs/>
          <w:color w:val="000000" w:themeColor="text1"/>
          <w:sz w:val="20"/>
          <w:szCs w:val="20"/>
          <w:vertAlign w:val="superscript"/>
        </w:rPr>
        <w:t>[69]</w:t>
      </w:r>
      <w:r w:rsidRPr="00072AEC">
        <w:rPr>
          <w:rFonts w:ascii="Book Antiqua" w:eastAsia="宋体" w:hAnsi="Book Antiqua" w:cs="Times New Roman"/>
          <w:bCs/>
          <w:color w:val="000000" w:themeColor="text1"/>
          <w:sz w:val="20"/>
          <w:szCs w:val="20"/>
        </w:rPr>
        <w:t xml:space="preserve"> </w:t>
      </w:r>
      <w:r w:rsidR="00DC496F" w:rsidRPr="00072AEC">
        <w:rPr>
          <w:rFonts w:ascii="Book Antiqua" w:eastAsia="宋体" w:hAnsi="Book Antiqua" w:cs="Times New Roman"/>
          <w:bCs/>
          <w:color w:val="000000" w:themeColor="text1"/>
          <w:sz w:val="20"/>
          <w:szCs w:val="20"/>
        </w:rPr>
        <w:t>observed that</w:t>
      </w:r>
      <w:r w:rsidRPr="00072AEC">
        <w:rPr>
          <w:rFonts w:ascii="Book Antiqua" w:eastAsia="宋体" w:hAnsi="Book Antiqua" w:cs="Times New Roman"/>
          <w:bCs/>
          <w:color w:val="000000" w:themeColor="text1"/>
          <w:sz w:val="20"/>
          <w:szCs w:val="20"/>
        </w:rPr>
        <w:t xml:space="preserve"> M1 macrophage polarization and macrophage-derived CXCL10 cannot recruit CD4+ and CD8+ T cells, but DCs are recruited, which then promote CD4+ T cells migration. Therefore, macrophages can also regulate T cells indirectly with the help of other immune cells</w:t>
      </w:r>
      <w:r w:rsidRPr="00072AEC">
        <w:rPr>
          <w:rFonts w:ascii="Book Antiqua" w:eastAsia="宋体" w:hAnsi="Book Antiqua" w:cs="Times New Roman"/>
          <w:bCs/>
          <w:color w:val="000000" w:themeColor="text1"/>
          <w:sz w:val="20"/>
          <w:szCs w:val="20"/>
          <w:vertAlign w:val="superscript"/>
        </w:rPr>
        <w:t>[69]</w:t>
      </w:r>
      <w:r w:rsidRPr="00072AEC">
        <w:rPr>
          <w:rFonts w:ascii="Book Antiqua" w:eastAsia="宋体" w:hAnsi="Book Antiqua" w:cs="Times New Roman"/>
          <w:bCs/>
          <w:color w:val="000000" w:themeColor="text1"/>
          <w:sz w:val="20"/>
          <w:szCs w:val="20"/>
        </w:rPr>
        <w:t>. However, macrophage-derived CXCL10 contribute</w:t>
      </w:r>
      <w:r w:rsidR="00DC496F" w:rsidRPr="00072AEC">
        <w:rPr>
          <w:rFonts w:ascii="Book Antiqua" w:eastAsia="宋体" w:hAnsi="Book Antiqua" w:cs="Times New Roman"/>
          <w:bCs/>
          <w:color w:val="000000" w:themeColor="text1"/>
          <w:sz w:val="20"/>
          <w:szCs w:val="20"/>
        </w:rPr>
        <w:t>d</w:t>
      </w:r>
      <w:r w:rsidRPr="00072AEC">
        <w:rPr>
          <w:rFonts w:ascii="Book Antiqua" w:eastAsia="宋体" w:hAnsi="Book Antiqua" w:cs="Times New Roman"/>
          <w:bCs/>
          <w:color w:val="000000" w:themeColor="text1"/>
          <w:sz w:val="20"/>
          <w:szCs w:val="20"/>
        </w:rPr>
        <w:t xml:space="preserve"> to T cell recruitment</w:t>
      </w:r>
      <w:r w:rsidR="00DC496F"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Petty</w:t>
      </w:r>
      <w:r w:rsidR="009836AD" w:rsidRPr="00072AEC">
        <w:rPr>
          <w:rFonts w:ascii="Book Antiqua" w:eastAsia="宋体" w:hAnsi="Book Antiqua" w:cs="Times New Roman"/>
          <w:bCs/>
          <w:color w:val="000000" w:themeColor="text1"/>
          <w:sz w:val="20"/>
          <w:szCs w:val="20"/>
        </w:rPr>
        <w:t xml:space="preserve"> </w:t>
      </w:r>
      <w:r w:rsidR="009836AD" w:rsidRPr="00072AEC">
        <w:rPr>
          <w:rFonts w:ascii="Book Antiqua" w:eastAsia="宋体" w:hAnsi="Book Antiqua" w:cs="Times New Roman"/>
          <w:bCs/>
          <w:i/>
          <w:iCs/>
          <w:color w:val="000000" w:themeColor="text1"/>
          <w:sz w:val="20"/>
          <w:szCs w:val="20"/>
        </w:rPr>
        <w:t>et al</w:t>
      </w:r>
      <w:r w:rsidR="009836AD" w:rsidRPr="00072AEC">
        <w:rPr>
          <w:rFonts w:ascii="Book Antiqua" w:eastAsia="宋体" w:hAnsi="Book Antiqua" w:cs="Times New Roman"/>
          <w:bCs/>
          <w:color w:val="000000" w:themeColor="text1"/>
          <w:sz w:val="20"/>
          <w:szCs w:val="20"/>
          <w:vertAlign w:val="superscript"/>
        </w:rPr>
        <w:t>[70]</w:t>
      </w:r>
      <w:r w:rsidRPr="00072AEC">
        <w:rPr>
          <w:rFonts w:ascii="Book Antiqua" w:eastAsia="宋体" w:hAnsi="Book Antiqua" w:cs="Times New Roman"/>
          <w:bCs/>
          <w:color w:val="000000" w:themeColor="text1"/>
          <w:sz w:val="20"/>
          <w:szCs w:val="20"/>
        </w:rPr>
        <w:t xml:space="preserve"> </w:t>
      </w:r>
      <w:r w:rsidR="00DC496F" w:rsidRPr="00072AEC">
        <w:rPr>
          <w:rFonts w:ascii="Book Antiqua" w:eastAsia="宋体" w:hAnsi="Book Antiqua" w:cs="Times New Roman"/>
          <w:bCs/>
          <w:color w:val="000000" w:themeColor="text1"/>
          <w:sz w:val="20"/>
          <w:szCs w:val="20"/>
        </w:rPr>
        <w:t xml:space="preserve">demonstrated </w:t>
      </w:r>
      <w:r w:rsidRPr="00072AEC">
        <w:rPr>
          <w:rFonts w:ascii="Book Antiqua" w:eastAsia="宋体" w:hAnsi="Book Antiqua" w:cs="Times New Roman"/>
          <w:bCs/>
          <w:color w:val="000000" w:themeColor="text1"/>
          <w:sz w:val="20"/>
          <w:szCs w:val="20"/>
        </w:rPr>
        <w:t>that M2 macrophage polarization can mediate immunosuppression through tumor-associated macrophages, which mostly exhibit an M2-like phonotype</w:t>
      </w:r>
      <w:r w:rsidR="00DC496F"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t>
      </w:r>
      <w:r w:rsidR="00DC496F" w:rsidRPr="00072AEC">
        <w:rPr>
          <w:rFonts w:ascii="Book Antiqua" w:eastAsia="宋体" w:hAnsi="Book Antiqua" w:cs="Times New Roman"/>
          <w:bCs/>
          <w:color w:val="000000" w:themeColor="text1"/>
          <w:sz w:val="20"/>
          <w:szCs w:val="20"/>
        </w:rPr>
        <w:t>T</w:t>
      </w:r>
      <w:r w:rsidRPr="00072AEC">
        <w:rPr>
          <w:rFonts w:ascii="Book Antiqua" w:eastAsia="宋体" w:hAnsi="Book Antiqua" w:cs="Times New Roman"/>
          <w:bCs/>
          <w:color w:val="000000" w:themeColor="text1"/>
          <w:sz w:val="20"/>
          <w:szCs w:val="20"/>
        </w:rPr>
        <w:t>hese macrophages suppress CD8+ T cell recruitment by inhibiting chemokines of CD8+ T cells produced by macrophages, such as CXCL9 and CXCL10</w:t>
      </w:r>
      <w:r w:rsidRPr="00072AEC">
        <w:rPr>
          <w:rFonts w:ascii="Book Antiqua" w:eastAsia="宋体" w:hAnsi="Book Antiqua" w:cs="Times New Roman"/>
          <w:bCs/>
          <w:color w:val="000000" w:themeColor="text1"/>
          <w:sz w:val="20"/>
          <w:szCs w:val="20"/>
          <w:vertAlign w:val="superscript"/>
        </w:rPr>
        <w:t>[70]</w:t>
      </w:r>
      <w:r w:rsidRPr="00072AEC">
        <w:rPr>
          <w:rFonts w:ascii="Book Antiqua" w:eastAsia="宋体" w:hAnsi="Book Antiqua" w:cs="Times New Roman"/>
          <w:bCs/>
          <w:color w:val="000000" w:themeColor="text1"/>
          <w:sz w:val="20"/>
          <w:szCs w:val="20"/>
        </w:rPr>
        <w:t>. It is noteworthy that cytokine efficacy differs in these two studies may be explained with the different macrophage subsets interacting with T cells.</w:t>
      </w:r>
    </w:p>
    <w:p w14:paraId="778B7FAF" w14:textId="646C33F3"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These results provide a clue that M1 macrophages tend to prime CD8+ T cells in </w:t>
      </w:r>
      <w:r w:rsidR="00DC496F"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immune response while M2 macrophages keep the balance by suppressing CD8+ T cells infiltration. Bouchlaka</w:t>
      </w:r>
      <w:r w:rsidR="009836AD" w:rsidRPr="00072AEC">
        <w:rPr>
          <w:rFonts w:ascii="Book Antiqua" w:eastAsia="宋体" w:hAnsi="Book Antiqua" w:cs="Times New Roman"/>
          <w:bCs/>
          <w:color w:val="000000" w:themeColor="text1"/>
          <w:sz w:val="20"/>
          <w:szCs w:val="20"/>
        </w:rPr>
        <w:t xml:space="preserve"> </w:t>
      </w:r>
      <w:r w:rsidR="009836AD" w:rsidRPr="00072AEC">
        <w:rPr>
          <w:rFonts w:ascii="Book Antiqua" w:eastAsia="宋体" w:hAnsi="Book Antiqua" w:cs="Times New Roman"/>
          <w:bCs/>
          <w:i/>
          <w:iCs/>
          <w:color w:val="000000" w:themeColor="text1"/>
          <w:sz w:val="20"/>
          <w:szCs w:val="20"/>
        </w:rPr>
        <w:t>et al</w:t>
      </w:r>
      <w:r w:rsidR="009836AD" w:rsidRPr="00072AEC">
        <w:rPr>
          <w:rFonts w:ascii="Book Antiqua" w:eastAsia="宋体" w:hAnsi="Book Antiqua" w:cs="Times New Roman"/>
          <w:bCs/>
          <w:color w:val="000000" w:themeColor="text1"/>
          <w:sz w:val="20"/>
          <w:szCs w:val="20"/>
          <w:vertAlign w:val="superscript"/>
        </w:rPr>
        <w:t>[71]</w:t>
      </w:r>
      <w:r w:rsidRPr="00072AEC">
        <w:rPr>
          <w:rFonts w:ascii="Book Antiqua" w:eastAsia="宋体" w:hAnsi="Book Antiqua" w:cs="Times New Roman"/>
          <w:bCs/>
          <w:color w:val="000000" w:themeColor="text1"/>
          <w:sz w:val="20"/>
          <w:szCs w:val="20"/>
        </w:rPr>
        <w:t xml:space="preserve"> also demonstrated that </w:t>
      </w:r>
      <w:r w:rsidR="0029573F" w:rsidRPr="00072AEC">
        <w:rPr>
          <w:rFonts w:ascii="Book Antiqua" w:hAnsi="Book Antiqua" w:cs="Arial"/>
          <w:color w:val="000000" w:themeColor="text1"/>
          <w:sz w:val="20"/>
          <w:szCs w:val="20"/>
        </w:rPr>
        <w:t>mesenchymal stem cell</w:t>
      </w:r>
      <w:r w:rsidRPr="00072AEC">
        <w:rPr>
          <w:rFonts w:ascii="Book Antiqua" w:eastAsia="宋体" w:hAnsi="Book Antiqua" w:cs="Times New Roman"/>
          <w:bCs/>
          <w:color w:val="000000" w:themeColor="text1"/>
          <w:sz w:val="20"/>
          <w:szCs w:val="20"/>
        </w:rPr>
        <w:t xml:space="preserve">-educated anti-inflammatory immunophenotype macrophages, presenting increased </w:t>
      </w:r>
      <w:r w:rsidR="007E4DEB" w:rsidRPr="00072AEC">
        <w:rPr>
          <w:rFonts w:ascii="Book Antiqua" w:eastAsia="宋体" w:hAnsi="Book Antiqua" w:cs="Times New Roman"/>
          <w:bCs/>
          <w:color w:val="000000" w:themeColor="text1"/>
          <w:sz w:val="20"/>
          <w:szCs w:val="20"/>
        </w:rPr>
        <w:t xml:space="preserve">CD206, CD163, IL-6, TGF-β, </w:t>
      </w:r>
      <w:r w:rsidR="00072AEC">
        <w:rPr>
          <w:rFonts w:ascii="Book Antiqua" w:eastAsia="宋体" w:hAnsi="Book Antiqua" w:cs="Times New Roman"/>
          <w:bCs/>
          <w:color w:val="000000" w:themeColor="text1"/>
          <w:sz w:val="20"/>
          <w:szCs w:val="20"/>
        </w:rPr>
        <w:t>a</w:t>
      </w:r>
      <w:r w:rsidR="007E4DEB" w:rsidRPr="00072AEC">
        <w:rPr>
          <w:rFonts w:ascii="Book Antiqua" w:eastAsia="宋体" w:hAnsi="Book Antiqua" w:cs="Times New Roman"/>
          <w:bCs/>
          <w:color w:val="000000" w:themeColor="text1"/>
          <w:sz w:val="20"/>
          <w:szCs w:val="20"/>
        </w:rPr>
        <w:t xml:space="preserve">rginase-1, </w:t>
      </w:r>
      <w:r w:rsidR="007E4DEB" w:rsidRPr="00072AEC">
        <w:rPr>
          <w:rFonts w:ascii="Book Antiqua" w:eastAsia="宋体" w:hAnsi="Book Antiqua" w:cs="Times New Roman"/>
          <w:bCs/>
          <w:i/>
          <w:iCs/>
          <w:color w:val="000000" w:themeColor="text1"/>
          <w:sz w:val="20"/>
          <w:szCs w:val="20"/>
        </w:rPr>
        <w:t>etc</w:t>
      </w:r>
      <w:r w:rsidRPr="00072AEC">
        <w:rPr>
          <w:rFonts w:ascii="Book Antiqua" w:eastAsia="宋体" w:hAnsi="Book Antiqua" w:cs="Times New Roman"/>
          <w:bCs/>
          <w:color w:val="000000" w:themeColor="text1"/>
          <w:sz w:val="20"/>
          <w:szCs w:val="20"/>
        </w:rPr>
        <w:t xml:space="preserve"> expression</w:t>
      </w:r>
      <w:r w:rsidR="007E4DEB"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and decreased IL-12 and TNF-α</w:t>
      </w:r>
      <w:r w:rsidR="007E4DEB" w:rsidRPr="00072AEC">
        <w:rPr>
          <w:rFonts w:ascii="Book Antiqua" w:eastAsia="宋体" w:hAnsi="Book Antiqua" w:cs="Times New Roman"/>
          <w:bCs/>
          <w:color w:val="000000" w:themeColor="text1"/>
          <w:sz w:val="20"/>
          <w:szCs w:val="20"/>
        </w:rPr>
        <w:t xml:space="preserve"> expression</w:t>
      </w:r>
      <w:r w:rsidRPr="00072AEC">
        <w:rPr>
          <w:rFonts w:ascii="Book Antiqua" w:eastAsia="宋体" w:hAnsi="Book Antiqua" w:cs="Times New Roman"/>
          <w:bCs/>
          <w:color w:val="000000" w:themeColor="text1"/>
          <w:sz w:val="20"/>
          <w:szCs w:val="20"/>
        </w:rPr>
        <w:t>, can attenuate GVHD with the help of reduced human T cell proliferation and enhanced fibroblast proliferation</w:t>
      </w:r>
      <w:r w:rsidRPr="00072AEC">
        <w:rPr>
          <w:rFonts w:ascii="Book Antiqua" w:eastAsia="宋体" w:hAnsi="Book Antiqua" w:cs="Times New Roman"/>
          <w:bCs/>
          <w:color w:val="000000" w:themeColor="text1"/>
          <w:sz w:val="20"/>
          <w:szCs w:val="20"/>
          <w:vertAlign w:val="superscript"/>
        </w:rPr>
        <w:t>[71]</w:t>
      </w:r>
      <w:r w:rsidRPr="00072AEC">
        <w:rPr>
          <w:rFonts w:ascii="Book Antiqua" w:eastAsia="宋体" w:hAnsi="Book Antiqua" w:cs="Times New Roman"/>
          <w:bCs/>
          <w:color w:val="000000" w:themeColor="text1"/>
          <w:sz w:val="20"/>
          <w:szCs w:val="20"/>
        </w:rPr>
        <w:t>. Notably, T cells can reciprocally regulate macrophage polarization</w:t>
      </w:r>
      <w:r w:rsidR="007E4DEB"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T cell Ig mucin-3 on activated T effector cells promotes differentiation of M2 macrophage</w:t>
      </w:r>
      <w:r w:rsidRPr="00072AEC">
        <w:rPr>
          <w:rFonts w:ascii="Book Antiqua" w:eastAsia="宋体" w:hAnsi="Book Antiqua" w:cs="Times New Roman"/>
          <w:bCs/>
          <w:color w:val="000000" w:themeColor="text1"/>
          <w:sz w:val="20"/>
          <w:szCs w:val="20"/>
          <w:vertAlign w:val="superscript"/>
        </w:rPr>
        <w:t>[72-74]</w:t>
      </w:r>
      <w:r w:rsidRPr="00072AEC">
        <w:rPr>
          <w:rFonts w:ascii="Book Antiqua" w:eastAsia="宋体" w:hAnsi="Book Antiqua" w:cs="Times New Roman"/>
          <w:bCs/>
          <w:color w:val="000000" w:themeColor="text1"/>
          <w:sz w:val="20"/>
          <w:szCs w:val="20"/>
        </w:rPr>
        <w:t>. In addition, M2 macrophage</w:t>
      </w:r>
      <w:r w:rsidR="007E4DEB"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may be converted into M1 macrophage</w:t>
      </w:r>
      <w:r w:rsidR="007E4DEB"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contribute to T cell function. Stimulated by low-dose irradiation, M2-like phonotype macrophages can differentiate towards an iNOS+/M1 phenotype macrophage, produce NO, and promote infiltration of CD3+, CD8+, and CD4+ intratumoral T cells with an increased expression of Th1 cytokines</w:t>
      </w:r>
      <w:r w:rsidRPr="00072AEC">
        <w:rPr>
          <w:rFonts w:ascii="Book Antiqua" w:eastAsia="宋体" w:hAnsi="Book Antiqua" w:cs="Times New Roman"/>
          <w:bCs/>
          <w:color w:val="000000" w:themeColor="text1"/>
          <w:sz w:val="20"/>
          <w:szCs w:val="20"/>
          <w:vertAlign w:val="superscript"/>
        </w:rPr>
        <w:t>[75,76]</w:t>
      </w:r>
      <w:r w:rsidRPr="00072AEC">
        <w:rPr>
          <w:rFonts w:ascii="Book Antiqua" w:eastAsia="宋体" w:hAnsi="Book Antiqua" w:cs="Times New Roman"/>
          <w:bCs/>
          <w:color w:val="000000" w:themeColor="text1"/>
          <w:sz w:val="20"/>
          <w:szCs w:val="20"/>
        </w:rPr>
        <w:t xml:space="preserve">. But it is still incompletely consistent in the interaction between macrophages and T cells. </w:t>
      </w:r>
      <w:r w:rsidR="00C62467" w:rsidRPr="00072AEC">
        <w:rPr>
          <w:rFonts w:ascii="Book Antiqua" w:eastAsia="宋体" w:hAnsi="Book Antiqua" w:cs="Times New Roman"/>
          <w:bCs/>
          <w:color w:val="000000" w:themeColor="text1"/>
          <w:sz w:val="20"/>
          <w:szCs w:val="20"/>
        </w:rPr>
        <w:t>A s</w:t>
      </w:r>
      <w:r w:rsidRPr="00072AEC">
        <w:rPr>
          <w:rFonts w:ascii="Book Antiqua" w:eastAsia="宋体" w:hAnsi="Book Antiqua" w:cs="Times New Roman"/>
          <w:bCs/>
          <w:color w:val="000000" w:themeColor="text1"/>
          <w:sz w:val="20"/>
          <w:szCs w:val="20"/>
        </w:rPr>
        <w:t>tudy by Wood</w:t>
      </w:r>
      <w:r w:rsidR="00E813AF" w:rsidRPr="00072AEC">
        <w:rPr>
          <w:rFonts w:ascii="Book Antiqua" w:eastAsia="宋体" w:hAnsi="Book Antiqua" w:cs="Times New Roman"/>
          <w:bCs/>
          <w:color w:val="000000" w:themeColor="text1"/>
          <w:sz w:val="20"/>
          <w:szCs w:val="20"/>
        </w:rPr>
        <w:t xml:space="preserve"> </w:t>
      </w:r>
      <w:r w:rsidR="00E813AF" w:rsidRPr="00072AEC">
        <w:rPr>
          <w:rFonts w:ascii="Book Antiqua" w:eastAsia="宋体" w:hAnsi="Book Antiqua" w:cs="Times New Roman"/>
          <w:bCs/>
          <w:i/>
          <w:iCs/>
          <w:color w:val="000000" w:themeColor="text1"/>
          <w:sz w:val="20"/>
          <w:szCs w:val="20"/>
        </w:rPr>
        <w:t>et al</w:t>
      </w:r>
      <w:r w:rsidR="00E813AF" w:rsidRPr="00072AEC">
        <w:rPr>
          <w:rFonts w:ascii="Book Antiqua" w:eastAsia="宋体" w:hAnsi="Book Antiqua" w:cs="Times New Roman"/>
          <w:bCs/>
          <w:color w:val="000000" w:themeColor="text1"/>
          <w:sz w:val="20"/>
          <w:szCs w:val="20"/>
          <w:vertAlign w:val="superscript"/>
        </w:rPr>
        <w:t>[77]</w:t>
      </w:r>
      <w:r w:rsidRPr="00072AEC">
        <w:rPr>
          <w:rFonts w:ascii="Book Antiqua" w:eastAsia="宋体" w:hAnsi="Book Antiqua" w:cs="Times New Roman"/>
          <w:bCs/>
          <w:color w:val="000000" w:themeColor="text1"/>
          <w:sz w:val="20"/>
          <w:szCs w:val="20"/>
        </w:rPr>
        <w:t xml:space="preserve"> indicated that increased macrophage-derived nitrite production could suppress peritoneal cavity</w:t>
      </w:r>
      <w:r w:rsidRPr="00072AEC">
        <w:rPr>
          <w:rFonts w:ascii="Book Antiqua" w:hAnsi="Book Antiqua" w:cs="Times New Roman"/>
          <w:bCs/>
          <w:color w:val="000000" w:themeColor="text1"/>
          <w:sz w:val="20"/>
          <w:szCs w:val="20"/>
          <w:shd w:val="clear" w:color="auto" w:fill="FFFFFF"/>
        </w:rPr>
        <w:t xml:space="preserve"> </w:t>
      </w:r>
      <w:r w:rsidRPr="00072AEC">
        <w:rPr>
          <w:rFonts w:ascii="Book Antiqua" w:eastAsia="宋体" w:hAnsi="Book Antiqua" w:cs="Times New Roman"/>
          <w:bCs/>
          <w:color w:val="000000" w:themeColor="text1"/>
          <w:sz w:val="20"/>
          <w:szCs w:val="20"/>
        </w:rPr>
        <w:t>T cells.</w:t>
      </w:r>
    </w:p>
    <w:p w14:paraId="3DAE4E17" w14:textId="674BE4BF" w:rsidR="002044A9" w:rsidRPr="00072AEC" w:rsidRDefault="00C62467"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Macrophages can interact with T cells and subsequently influence T cell activation and function </w:t>
      </w:r>
      <w:r w:rsidR="002044A9" w:rsidRPr="00072AEC">
        <w:rPr>
          <w:rFonts w:ascii="Book Antiqua" w:eastAsia="宋体" w:hAnsi="Book Antiqua" w:cs="Times New Roman"/>
          <w:bCs/>
          <w:i/>
          <w:iCs/>
          <w:color w:val="000000" w:themeColor="text1"/>
          <w:sz w:val="20"/>
          <w:szCs w:val="20"/>
        </w:rPr>
        <w:t>via</w:t>
      </w:r>
      <w:r w:rsidR="002044A9" w:rsidRPr="00072AEC">
        <w:rPr>
          <w:rFonts w:ascii="Book Antiqua" w:eastAsia="宋体" w:hAnsi="Book Antiqua" w:cs="Times New Roman"/>
          <w:bCs/>
          <w:color w:val="000000" w:themeColor="text1"/>
          <w:sz w:val="20"/>
          <w:szCs w:val="20"/>
        </w:rPr>
        <w:t xml:space="preserve"> macrophage polarization</w:t>
      </w:r>
      <w:r w:rsidRPr="00072AEC">
        <w:rPr>
          <w:rFonts w:ascii="Book Antiqua" w:eastAsia="宋体" w:hAnsi="Book Antiqua" w:cs="Times New Roman"/>
          <w:bCs/>
          <w:color w:val="000000" w:themeColor="text1"/>
          <w:sz w:val="20"/>
          <w:szCs w:val="20"/>
        </w:rPr>
        <w:t xml:space="preserve">, </w:t>
      </w:r>
      <w:r w:rsidR="002044A9" w:rsidRPr="00072AEC">
        <w:rPr>
          <w:rFonts w:ascii="Book Antiqua" w:eastAsia="宋体" w:hAnsi="Book Antiqua" w:cs="Times New Roman"/>
          <w:bCs/>
          <w:color w:val="000000" w:themeColor="text1"/>
          <w:sz w:val="20"/>
          <w:szCs w:val="20"/>
        </w:rPr>
        <w:t xml:space="preserve">cytokine release, </w:t>
      </w:r>
      <w:r w:rsidRPr="00072AEC">
        <w:rPr>
          <w:rFonts w:ascii="Book Antiqua" w:eastAsia="宋体" w:hAnsi="Book Antiqua" w:cs="Times New Roman"/>
          <w:bCs/>
          <w:color w:val="000000" w:themeColor="text1"/>
          <w:sz w:val="20"/>
          <w:szCs w:val="20"/>
        </w:rPr>
        <w:t>and</w:t>
      </w:r>
      <w:r w:rsidR="002044A9" w:rsidRPr="00072AEC">
        <w:rPr>
          <w:rFonts w:ascii="Book Antiqua" w:eastAsia="宋体" w:hAnsi="Book Antiqua" w:cs="Times New Roman"/>
          <w:bCs/>
          <w:color w:val="000000" w:themeColor="text1"/>
          <w:sz w:val="20"/>
          <w:szCs w:val="20"/>
        </w:rPr>
        <w:t xml:space="preserve"> activating antigen presentation</w:t>
      </w:r>
      <w:r w:rsidR="002044A9" w:rsidRPr="00072AEC">
        <w:rPr>
          <w:rFonts w:ascii="Book Antiqua" w:eastAsia="宋体" w:hAnsi="Book Antiqua" w:cs="Times New Roman"/>
          <w:bCs/>
          <w:color w:val="000000" w:themeColor="text1"/>
          <w:sz w:val="20"/>
          <w:szCs w:val="20"/>
          <w:vertAlign w:val="superscript"/>
        </w:rPr>
        <w:t>[28,78,79]</w:t>
      </w:r>
      <w:r w:rsidR="002044A9" w:rsidRPr="00072AEC">
        <w:rPr>
          <w:rFonts w:ascii="Book Antiqua" w:eastAsia="宋体" w:hAnsi="Book Antiqua" w:cs="Times New Roman"/>
          <w:bCs/>
          <w:color w:val="000000" w:themeColor="text1"/>
          <w:sz w:val="20"/>
          <w:szCs w:val="20"/>
        </w:rPr>
        <w:t xml:space="preserve">. However, macrophages may promote immunological tolerance </w:t>
      </w:r>
      <w:r w:rsidR="002044A9" w:rsidRPr="00072AEC">
        <w:rPr>
          <w:rFonts w:ascii="Book Antiqua" w:eastAsia="宋体" w:hAnsi="Book Antiqua" w:cs="Times New Roman"/>
          <w:bCs/>
          <w:i/>
          <w:iCs/>
          <w:color w:val="000000" w:themeColor="text1"/>
          <w:sz w:val="20"/>
          <w:szCs w:val="20"/>
        </w:rPr>
        <w:t>via</w:t>
      </w:r>
      <w:r w:rsidR="002044A9" w:rsidRPr="00072AEC">
        <w:rPr>
          <w:rFonts w:ascii="Book Antiqua" w:eastAsia="宋体" w:hAnsi="Book Antiqua" w:cs="Times New Roman"/>
          <w:bCs/>
          <w:color w:val="000000" w:themeColor="text1"/>
          <w:sz w:val="20"/>
          <w:szCs w:val="20"/>
        </w:rPr>
        <w:t xml:space="preserve"> attenuating effector T cell activation and promoting regulatory T cell differentiation using macrophage-derived complement receptor of immunoglobulin family </w:t>
      </w:r>
      <w:r w:rsidRPr="00072AEC">
        <w:rPr>
          <w:rFonts w:ascii="Book Antiqua" w:eastAsia="宋体" w:hAnsi="Book Antiqua" w:cs="Times New Roman"/>
          <w:bCs/>
          <w:color w:val="000000" w:themeColor="text1"/>
          <w:sz w:val="20"/>
          <w:szCs w:val="20"/>
        </w:rPr>
        <w:t>(</w:t>
      </w:r>
      <w:r w:rsidR="002044A9" w:rsidRPr="00072AEC">
        <w:rPr>
          <w:rFonts w:ascii="Book Antiqua" w:eastAsia="宋体" w:hAnsi="Book Antiqua" w:cs="Times New Roman"/>
          <w:bCs/>
          <w:color w:val="000000" w:themeColor="text1"/>
          <w:sz w:val="20"/>
          <w:szCs w:val="20"/>
        </w:rPr>
        <w:t>an immune checkpoint molecule</w:t>
      </w:r>
      <w:r w:rsidRPr="00072AEC">
        <w:rPr>
          <w:rFonts w:ascii="Book Antiqua" w:eastAsia="宋体" w:hAnsi="Book Antiqua" w:cs="Times New Roman"/>
          <w:bCs/>
          <w:color w:val="000000" w:themeColor="text1"/>
          <w:sz w:val="20"/>
          <w:szCs w:val="20"/>
        </w:rPr>
        <w:t>)</w:t>
      </w:r>
      <w:r w:rsidR="002044A9" w:rsidRPr="00072AEC">
        <w:rPr>
          <w:rFonts w:ascii="Book Antiqua" w:eastAsia="宋体" w:hAnsi="Book Antiqua" w:cs="Times New Roman"/>
          <w:bCs/>
          <w:color w:val="000000" w:themeColor="text1"/>
          <w:sz w:val="20"/>
          <w:szCs w:val="20"/>
          <w:vertAlign w:val="superscript"/>
        </w:rPr>
        <w:t>[80]</w:t>
      </w:r>
      <w:r w:rsidR="002044A9" w:rsidRPr="00072AEC">
        <w:rPr>
          <w:rFonts w:ascii="Book Antiqua" w:eastAsia="宋体" w:hAnsi="Book Antiqua" w:cs="Times New Roman"/>
          <w:bCs/>
          <w:color w:val="000000" w:themeColor="text1"/>
          <w:sz w:val="20"/>
          <w:szCs w:val="20"/>
        </w:rPr>
        <w:t>. Also,</w:t>
      </w:r>
      <w:r w:rsidR="002044A9" w:rsidRPr="00072AEC">
        <w:rPr>
          <w:rFonts w:ascii="Book Antiqua" w:hAnsi="Book Antiqua"/>
          <w:sz w:val="20"/>
          <w:szCs w:val="20"/>
        </w:rPr>
        <w:t xml:space="preserve"> </w:t>
      </w:r>
      <w:r w:rsidR="002044A9" w:rsidRPr="00072AEC">
        <w:rPr>
          <w:rFonts w:ascii="Book Antiqua" w:eastAsia="宋体" w:hAnsi="Book Antiqua" w:cs="Times New Roman"/>
          <w:bCs/>
          <w:color w:val="000000" w:themeColor="text1"/>
          <w:sz w:val="20"/>
          <w:szCs w:val="20"/>
        </w:rPr>
        <w:t>granulin derived from macrophage</w:t>
      </w:r>
      <w:r w:rsidRPr="00072AEC">
        <w:rPr>
          <w:rFonts w:ascii="Book Antiqua" w:eastAsia="宋体" w:hAnsi="Book Antiqua" w:cs="Times New Roman"/>
          <w:bCs/>
          <w:color w:val="000000" w:themeColor="text1"/>
          <w:sz w:val="20"/>
          <w:szCs w:val="20"/>
        </w:rPr>
        <w:t>s</w:t>
      </w:r>
      <w:r w:rsidR="002044A9" w:rsidRPr="00072AEC">
        <w:rPr>
          <w:rFonts w:ascii="Book Antiqua" w:eastAsia="宋体" w:hAnsi="Book Antiqua" w:cs="Times New Roman"/>
          <w:bCs/>
          <w:color w:val="000000" w:themeColor="text1"/>
          <w:sz w:val="20"/>
          <w:szCs w:val="20"/>
        </w:rPr>
        <w:t xml:space="preserve"> contributes to the exclusion of cytotoxic CD8+ T cell</w:t>
      </w:r>
      <w:r w:rsidRPr="00072AEC">
        <w:rPr>
          <w:rFonts w:ascii="Book Antiqua" w:eastAsia="宋体" w:hAnsi="Book Antiqua" w:cs="Times New Roman"/>
          <w:bCs/>
          <w:color w:val="000000" w:themeColor="text1"/>
          <w:sz w:val="20"/>
          <w:szCs w:val="20"/>
        </w:rPr>
        <w:t>s</w:t>
      </w:r>
      <w:r w:rsidR="002044A9" w:rsidRPr="00072AEC">
        <w:rPr>
          <w:rFonts w:ascii="Book Antiqua" w:eastAsia="宋体" w:hAnsi="Book Antiqua" w:cs="Times New Roman"/>
          <w:bCs/>
          <w:color w:val="000000" w:themeColor="text1"/>
          <w:sz w:val="20"/>
          <w:szCs w:val="20"/>
        </w:rPr>
        <w:t xml:space="preserve"> through its resistance to inhibition of immune checkpoint</w:t>
      </w:r>
      <w:r w:rsidRPr="00072AEC">
        <w:rPr>
          <w:rFonts w:ascii="Book Antiqua" w:eastAsia="宋体" w:hAnsi="Book Antiqua" w:cs="Times New Roman"/>
          <w:bCs/>
          <w:color w:val="000000" w:themeColor="text1"/>
          <w:sz w:val="20"/>
          <w:szCs w:val="20"/>
        </w:rPr>
        <w:t>s</w:t>
      </w:r>
      <w:r w:rsidR="002044A9" w:rsidRPr="00072AEC">
        <w:rPr>
          <w:rFonts w:ascii="Book Antiqua" w:eastAsia="宋体" w:hAnsi="Book Antiqua" w:cs="Times New Roman"/>
          <w:bCs/>
          <w:color w:val="000000" w:themeColor="text1"/>
          <w:sz w:val="20"/>
          <w:szCs w:val="20"/>
        </w:rPr>
        <w:t>, which may provide new strateg</w:t>
      </w:r>
      <w:r w:rsidRPr="00072AEC">
        <w:rPr>
          <w:rFonts w:ascii="Book Antiqua" w:eastAsia="宋体" w:hAnsi="Book Antiqua" w:cs="Times New Roman"/>
          <w:bCs/>
          <w:color w:val="000000" w:themeColor="text1"/>
          <w:sz w:val="20"/>
          <w:szCs w:val="20"/>
        </w:rPr>
        <w:t>ies</w:t>
      </w:r>
      <w:r w:rsidR="002044A9" w:rsidRPr="00072AEC">
        <w:rPr>
          <w:rFonts w:ascii="Book Antiqua" w:eastAsia="宋体" w:hAnsi="Book Antiqua" w:cs="Times New Roman"/>
          <w:bCs/>
          <w:color w:val="000000" w:themeColor="text1"/>
          <w:sz w:val="20"/>
          <w:szCs w:val="20"/>
        </w:rPr>
        <w:t xml:space="preserve"> to treat GVHD</w:t>
      </w:r>
      <w:r w:rsidR="002044A9" w:rsidRPr="00072AEC">
        <w:rPr>
          <w:rFonts w:ascii="Book Antiqua" w:eastAsia="宋体" w:hAnsi="Book Antiqua" w:cs="Times New Roman"/>
          <w:bCs/>
          <w:color w:val="000000" w:themeColor="text1"/>
          <w:sz w:val="20"/>
          <w:szCs w:val="20"/>
          <w:vertAlign w:val="superscript"/>
        </w:rPr>
        <w:t>[81]</w:t>
      </w:r>
      <w:r w:rsidR="002044A9" w:rsidRPr="00072AEC">
        <w:rPr>
          <w:rFonts w:ascii="Book Antiqua" w:eastAsia="宋体" w:hAnsi="Book Antiqua" w:cs="Times New Roman"/>
          <w:bCs/>
          <w:color w:val="000000" w:themeColor="text1"/>
          <w:sz w:val="20"/>
          <w:szCs w:val="20"/>
        </w:rPr>
        <w:t>. Notably, binding of</w:t>
      </w:r>
      <w:r w:rsidRPr="00072AEC">
        <w:rPr>
          <w:rFonts w:ascii="Book Antiqua" w:eastAsia="宋体" w:hAnsi="Book Antiqua" w:cs="Times New Roman"/>
          <w:bCs/>
          <w:color w:val="000000" w:themeColor="text1"/>
          <w:sz w:val="20"/>
          <w:szCs w:val="20"/>
        </w:rPr>
        <w:t xml:space="preserve"> the</w:t>
      </w:r>
      <w:r w:rsidR="002044A9" w:rsidRPr="00072AEC">
        <w:rPr>
          <w:rFonts w:ascii="Book Antiqua" w:eastAsia="宋体" w:hAnsi="Book Antiqua" w:cs="Times New Roman"/>
          <w:bCs/>
          <w:color w:val="000000" w:themeColor="text1"/>
          <w:sz w:val="20"/>
          <w:szCs w:val="20"/>
        </w:rPr>
        <w:t xml:space="preserve"> Fcγ-receptor expressed by macrophage</w:t>
      </w:r>
      <w:r w:rsidRPr="00072AEC">
        <w:rPr>
          <w:rFonts w:ascii="Book Antiqua" w:eastAsia="宋体" w:hAnsi="Book Antiqua" w:cs="Times New Roman"/>
          <w:bCs/>
          <w:color w:val="000000" w:themeColor="text1"/>
          <w:sz w:val="20"/>
          <w:szCs w:val="20"/>
        </w:rPr>
        <w:t>s</w:t>
      </w:r>
      <w:r w:rsidR="002044A9" w:rsidRPr="00072AEC">
        <w:rPr>
          <w:rFonts w:ascii="Book Antiqua" w:eastAsia="宋体" w:hAnsi="Book Antiqua" w:cs="Times New Roman"/>
          <w:bCs/>
          <w:color w:val="000000" w:themeColor="text1"/>
          <w:sz w:val="20"/>
          <w:szCs w:val="20"/>
        </w:rPr>
        <w:t xml:space="preserve"> to Fc domain glycan of drugs that target alloreactive T cells may </w:t>
      </w:r>
      <w:bookmarkStart w:id="17" w:name="OLE_LINK43"/>
      <w:r w:rsidR="002044A9" w:rsidRPr="00072AEC">
        <w:rPr>
          <w:rFonts w:ascii="Book Antiqua" w:eastAsia="宋体" w:hAnsi="Book Antiqua" w:cs="Times New Roman"/>
          <w:bCs/>
          <w:color w:val="000000" w:themeColor="text1"/>
          <w:sz w:val="20"/>
          <w:szCs w:val="20"/>
        </w:rPr>
        <w:t>be considered</w:t>
      </w:r>
      <w:r w:rsidRPr="00072AEC">
        <w:rPr>
          <w:rFonts w:ascii="Book Antiqua" w:eastAsia="宋体" w:hAnsi="Book Antiqua" w:cs="Times New Roman"/>
          <w:bCs/>
          <w:color w:val="000000" w:themeColor="text1"/>
          <w:sz w:val="20"/>
          <w:szCs w:val="20"/>
        </w:rPr>
        <w:t xml:space="preserve"> for</w:t>
      </w:r>
      <w:bookmarkEnd w:id="17"/>
      <w:r w:rsidR="002044A9" w:rsidRPr="00072AEC">
        <w:rPr>
          <w:rFonts w:ascii="Book Antiqua" w:eastAsia="宋体" w:hAnsi="Book Antiqua" w:cs="Times New Roman"/>
          <w:bCs/>
          <w:color w:val="000000" w:themeColor="text1"/>
          <w:sz w:val="20"/>
          <w:szCs w:val="20"/>
        </w:rPr>
        <w:t xml:space="preserve"> GVHD therapy</w:t>
      </w:r>
      <w:r w:rsidR="002044A9" w:rsidRPr="00072AEC">
        <w:rPr>
          <w:rFonts w:ascii="Book Antiqua" w:eastAsia="宋体" w:hAnsi="Book Antiqua" w:cs="Times New Roman"/>
          <w:bCs/>
          <w:color w:val="000000" w:themeColor="text1"/>
          <w:sz w:val="20"/>
          <w:szCs w:val="20"/>
          <w:vertAlign w:val="superscript"/>
        </w:rPr>
        <w:t>[82]</w:t>
      </w:r>
      <w:r w:rsidR="002044A9" w:rsidRPr="00072AEC">
        <w:rPr>
          <w:rFonts w:ascii="Book Antiqua" w:eastAsia="宋体" w:hAnsi="Book Antiqua" w:cs="Times New Roman"/>
          <w:bCs/>
          <w:color w:val="000000" w:themeColor="text1"/>
          <w:sz w:val="20"/>
          <w:szCs w:val="20"/>
        </w:rPr>
        <w:t>. Other molecules expressed by macrophages can also be alternative targets, such as scavenger receptor MARCO</w:t>
      </w:r>
      <w:r w:rsidR="002044A9" w:rsidRPr="00072AEC">
        <w:rPr>
          <w:rFonts w:ascii="Book Antiqua" w:eastAsia="宋体" w:hAnsi="Book Antiqua" w:cs="Times New Roman"/>
          <w:bCs/>
          <w:color w:val="000000" w:themeColor="text1"/>
          <w:sz w:val="20"/>
          <w:szCs w:val="20"/>
          <w:vertAlign w:val="superscript"/>
        </w:rPr>
        <w:t>[83]</w:t>
      </w:r>
      <w:r w:rsidR="002044A9" w:rsidRPr="00072AEC">
        <w:rPr>
          <w:rFonts w:ascii="Book Antiqua" w:eastAsia="宋体" w:hAnsi="Book Antiqua" w:cs="Times New Roman"/>
          <w:bCs/>
          <w:color w:val="000000" w:themeColor="text1"/>
          <w:sz w:val="20"/>
          <w:szCs w:val="20"/>
        </w:rPr>
        <w:t xml:space="preserve">. </w:t>
      </w:r>
    </w:p>
    <w:p w14:paraId="62F6A963" w14:textId="77777777"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p>
    <w:p w14:paraId="2BCD1D6C" w14:textId="77777777" w:rsidR="002044A9" w:rsidRPr="00072AEC" w:rsidRDefault="002044A9" w:rsidP="00072AEC">
      <w:pPr>
        <w:autoSpaceDE w:val="0"/>
        <w:autoSpaceDN w:val="0"/>
        <w:adjustRightInd w:val="0"/>
        <w:snapToGrid w:val="0"/>
        <w:spacing w:line="360" w:lineRule="auto"/>
        <w:rPr>
          <w:rFonts w:ascii="Book Antiqua" w:eastAsia="宋体" w:hAnsi="Book Antiqua" w:cs="Times New Roman"/>
          <w:b/>
          <w:color w:val="000000" w:themeColor="text1"/>
          <w:sz w:val="20"/>
          <w:szCs w:val="20"/>
          <w:u w:val="single"/>
        </w:rPr>
      </w:pPr>
      <w:r w:rsidRPr="00072AEC">
        <w:rPr>
          <w:rFonts w:ascii="Book Antiqua" w:eastAsia="宋体" w:hAnsi="Book Antiqua" w:cs="Times New Roman"/>
          <w:b/>
          <w:color w:val="000000" w:themeColor="text1"/>
          <w:sz w:val="20"/>
          <w:szCs w:val="20"/>
          <w:u w:val="single"/>
        </w:rPr>
        <w:t>MACROPHAGES ATTRIBUTE TO FIBROSIS IN CHRONIC GVHD</w:t>
      </w:r>
    </w:p>
    <w:p w14:paraId="2135D27E" w14:textId="76E5AEDC" w:rsidR="00E813AF" w:rsidRPr="00072AEC" w:rsidRDefault="002044A9" w:rsidP="00072AEC">
      <w:pPr>
        <w:autoSpaceDE w:val="0"/>
        <w:autoSpaceDN w:val="0"/>
        <w:adjustRightInd w:val="0"/>
        <w:snapToGrid w:val="0"/>
        <w:spacing w:line="360" w:lineRule="auto"/>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Autoantibod</w:t>
      </w:r>
      <w:r w:rsidR="002C128A" w:rsidRPr="00072AEC">
        <w:rPr>
          <w:rFonts w:ascii="Book Antiqua" w:eastAsia="宋体" w:hAnsi="Book Antiqua" w:cs="Times New Roman"/>
          <w:bCs/>
          <w:color w:val="000000" w:themeColor="text1"/>
          <w:sz w:val="20"/>
          <w:szCs w:val="20"/>
        </w:rPr>
        <w:t>y</w:t>
      </w:r>
      <w:r w:rsidRPr="00072AEC">
        <w:rPr>
          <w:rFonts w:ascii="Book Antiqua" w:eastAsia="宋体" w:hAnsi="Book Antiqua" w:cs="Times New Roman"/>
          <w:bCs/>
          <w:color w:val="000000" w:themeColor="text1"/>
          <w:sz w:val="20"/>
          <w:szCs w:val="20"/>
        </w:rPr>
        <w:t xml:space="preserve"> production, immunoglobulin deposition, and fibrosis are characteristic features of chronic GVHD</w:t>
      </w:r>
      <w:r w:rsidRPr="00072AEC">
        <w:rPr>
          <w:rFonts w:ascii="Book Antiqua" w:eastAsia="宋体" w:hAnsi="Book Antiqua" w:cs="Times New Roman"/>
          <w:bCs/>
          <w:color w:val="000000" w:themeColor="text1"/>
          <w:sz w:val="20"/>
          <w:szCs w:val="20"/>
          <w:vertAlign w:val="superscript"/>
        </w:rPr>
        <w:t>[84</w:t>
      </w:r>
      <w:r w:rsidR="00E64E65" w:rsidRPr="00072AEC">
        <w:rPr>
          <w:rFonts w:ascii="Book Antiqua" w:eastAsia="宋体" w:hAnsi="Book Antiqua" w:cs="Times New Roman"/>
          <w:bCs/>
          <w:color w:val="000000" w:themeColor="text1"/>
          <w:sz w:val="20"/>
          <w:szCs w:val="20"/>
          <w:vertAlign w:val="superscript"/>
        </w:rPr>
        <w:t>,85</w:t>
      </w:r>
      <w:r w:rsidRPr="00072AEC">
        <w:rPr>
          <w:rFonts w:ascii="Book Antiqua" w:eastAsia="宋体" w:hAnsi="Book Antiqua" w:cs="Times New Roman"/>
          <w:bCs/>
          <w:color w:val="000000" w:themeColor="text1"/>
          <w:sz w:val="20"/>
          <w:szCs w:val="20"/>
          <w:vertAlign w:val="superscript"/>
        </w:rPr>
        <w:t>]</w:t>
      </w:r>
      <w:r w:rsidRPr="00072AEC">
        <w:rPr>
          <w:rFonts w:ascii="Book Antiqua" w:eastAsia="宋体" w:hAnsi="Book Antiqua" w:cs="Times New Roman"/>
          <w:bCs/>
          <w:color w:val="000000" w:themeColor="text1"/>
          <w:sz w:val="20"/>
          <w:szCs w:val="20"/>
        </w:rPr>
        <w:t>. CD4+ T cells, fibroblast</w:t>
      </w:r>
      <w:r w:rsidR="002C128A"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and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cells interact with macrophages and this interaction plays an important role in chronic GVHD. Reduced infiltration of CD4+ T cells and CD11b+ monocyte</w:t>
      </w:r>
      <w:r w:rsidR="002C128A"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/macrophages and suppressed fibroblast proliferation attenuate severity and fibrosis of chronic cutaneous sclerodermatous GVHD</w:t>
      </w:r>
      <w:r w:rsidRPr="00072AEC">
        <w:rPr>
          <w:rFonts w:ascii="Book Antiqua" w:eastAsia="宋体" w:hAnsi="Book Antiqua" w:cs="Times New Roman"/>
          <w:bCs/>
          <w:color w:val="000000" w:themeColor="text1"/>
          <w:sz w:val="20"/>
          <w:szCs w:val="20"/>
          <w:vertAlign w:val="superscript"/>
        </w:rPr>
        <w:t>[47,</w:t>
      </w:r>
      <w:r w:rsidR="00B906BD" w:rsidRPr="00072AEC">
        <w:rPr>
          <w:rFonts w:ascii="Book Antiqua" w:eastAsia="宋体" w:hAnsi="Book Antiqua" w:cs="Times New Roman"/>
          <w:bCs/>
          <w:color w:val="000000" w:themeColor="text1"/>
          <w:sz w:val="20"/>
          <w:szCs w:val="20"/>
          <w:vertAlign w:val="superscript"/>
        </w:rPr>
        <w:t>48</w:t>
      </w:r>
      <w:r w:rsidRPr="00072AEC">
        <w:rPr>
          <w:rFonts w:ascii="Book Antiqua" w:eastAsia="宋体" w:hAnsi="Book Antiqua" w:cs="Times New Roman"/>
          <w:bCs/>
          <w:color w:val="000000" w:themeColor="text1"/>
          <w:sz w:val="20"/>
          <w:szCs w:val="20"/>
          <w:vertAlign w:val="superscript"/>
        </w:rPr>
        <w:t>]</w:t>
      </w:r>
      <w:r w:rsidRPr="00072AEC">
        <w:rPr>
          <w:rFonts w:ascii="Book Antiqua" w:eastAsia="宋体" w:hAnsi="Book Antiqua" w:cs="Times New Roman"/>
          <w:bCs/>
          <w:color w:val="000000" w:themeColor="text1"/>
          <w:sz w:val="20"/>
          <w:szCs w:val="20"/>
        </w:rPr>
        <w:t>. Du</w:t>
      </w:r>
      <w:r w:rsidR="00E813AF" w:rsidRPr="00072AEC">
        <w:rPr>
          <w:rFonts w:ascii="Book Antiqua" w:eastAsia="宋体" w:hAnsi="Book Antiqua" w:cs="Times New Roman"/>
          <w:bCs/>
          <w:color w:val="000000" w:themeColor="text1"/>
          <w:sz w:val="20"/>
          <w:szCs w:val="20"/>
        </w:rPr>
        <w:t xml:space="preserve"> </w:t>
      </w:r>
      <w:r w:rsidR="00E813AF" w:rsidRPr="00072AEC">
        <w:rPr>
          <w:rFonts w:ascii="Book Antiqua" w:eastAsia="宋体" w:hAnsi="Book Antiqua" w:cs="Times New Roman"/>
          <w:bCs/>
          <w:i/>
          <w:iCs/>
          <w:color w:val="000000" w:themeColor="text1"/>
          <w:sz w:val="20"/>
          <w:szCs w:val="20"/>
        </w:rPr>
        <w:t>et al</w:t>
      </w:r>
      <w:r w:rsidR="00E813AF" w:rsidRPr="00072AEC">
        <w:rPr>
          <w:rFonts w:ascii="Book Antiqua" w:eastAsia="宋体" w:hAnsi="Book Antiqua" w:cs="Times New Roman"/>
          <w:bCs/>
          <w:color w:val="000000" w:themeColor="text1"/>
          <w:sz w:val="20"/>
          <w:szCs w:val="20"/>
          <w:vertAlign w:val="superscript"/>
        </w:rPr>
        <w:t>[49]</w:t>
      </w:r>
      <w:r w:rsidRPr="00072AEC">
        <w:rPr>
          <w:rFonts w:ascii="Book Antiqua" w:eastAsia="宋体" w:hAnsi="Book Antiqua" w:cs="Times New Roman"/>
          <w:bCs/>
          <w:color w:val="000000" w:themeColor="text1"/>
          <w:sz w:val="20"/>
          <w:szCs w:val="20"/>
        </w:rPr>
        <w:t xml:space="preserve"> also indicated that treatment with pirfenidone can reduce infiltration of macrophages and TGF-β production, impair GC reaction, and inhibit antibody production of B cells and fibrosis, thus attenuat</w:t>
      </w:r>
      <w:r w:rsidR="002C128A" w:rsidRPr="00072AEC">
        <w:rPr>
          <w:rFonts w:ascii="Book Antiqua" w:eastAsia="宋体" w:hAnsi="Book Antiqua" w:cs="Times New Roman"/>
          <w:bCs/>
          <w:color w:val="000000" w:themeColor="text1"/>
          <w:sz w:val="20"/>
          <w:szCs w:val="20"/>
        </w:rPr>
        <w:t>ing</w:t>
      </w:r>
      <w:r w:rsidRPr="00072AEC">
        <w:rPr>
          <w:rFonts w:ascii="Book Antiqua" w:eastAsia="宋体" w:hAnsi="Book Antiqua" w:cs="Times New Roman"/>
          <w:bCs/>
          <w:color w:val="000000" w:themeColor="text1"/>
          <w:sz w:val="20"/>
          <w:szCs w:val="20"/>
        </w:rPr>
        <w:t xml:space="preserve"> chronic GVHD.</w:t>
      </w:r>
      <w:r w:rsidRPr="00072AEC">
        <w:rPr>
          <w:rFonts w:ascii="Book Antiqua" w:hAnsi="Book Antiqua"/>
          <w:color w:val="000000" w:themeColor="text1"/>
          <w:sz w:val="20"/>
          <w:szCs w:val="20"/>
        </w:rPr>
        <w:t xml:space="preserve"> </w:t>
      </w:r>
      <w:r w:rsidRPr="00072AEC">
        <w:rPr>
          <w:rFonts w:ascii="Book Antiqua" w:eastAsia="宋体" w:hAnsi="Book Antiqua" w:cs="Times New Roman"/>
          <w:bCs/>
          <w:color w:val="000000" w:themeColor="text1"/>
          <w:sz w:val="20"/>
          <w:szCs w:val="20"/>
        </w:rPr>
        <w:t>In brief, macrophage infiltration, macrophage-production</w:t>
      </w:r>
      <w:r w:rsidR="002C128A" w:rsidRPr="00072AEC">
        <w:rPr>
          <w:rFonts w:ascii="Book Antiqua" w:eastAsia="宋体" w:hAnsi="Book Antiqua" w:cs="Times New Roman"/>
          <w:bCs/>
          <w:color w:val="000000" w:themeColor="text1"/>
          <w:sz w:val="20"/>
          <w:szCs w:val="20"/>
        </w:rPr>
        <w:t xml:space="preserve"> of</w:t>
      </w:r>
      <w:r w:rsidRPr="00072AEC">
        <w:rPr>
          <w:rFonts w:ascii="Book Antiqua" w:eastAsia="宋体" w:hAnsi="Book Antiqua" w:cs="Times New Roman"/>
          <w:bCs/>
          <w:color w:val="000000" w:themeColor="text1"/>
          <w:sz w:val="20"/>
          <w:szCs w:val="20"/>
        </w:rPr>
        <w:t xml:space="preserve"> TGF-β, B cell reactivity, fibroblast proliferation, </w:t>
      </w:r>
      <w:r w:rsidR="002C128A" w:rsidRPr="00072AEC">
        <w:rPr>
          <w:rFonts w:ascii="Book Antiqua" w:eastAsia="宋体" w:hAnsi="Book Antiqua" w:cs="Times New Roman"/>
          <w:bCs/>
          <w:color w:val="000000" w:themeColor="text1"/>
          <w:sz w:val="20"/>
          <w:szCs w:val="20"/>
        </w:rPr>
        <w:t xml:space="preserve">and </w:t>
      </w:r>
      <w:r w:rsidRPr="00072AEC">
        <w:rPr>
          <w:rFonts w:ascii="Book Antiqua" w:eastAsia="宋体" w:hAnsi="Book Antiqua" w:cs="Times New Roman"/>
          <w:bCs/>
          <w:color w:val="000000" w:themeColor="text1"/>
          <w:sz w:val="20"/>
          <w:szCs w:val="20"/>
        </w:rPr>
        <w:t>CD4+ T cell infiltration contribute to chronic GVHD development.</w:t>
      </w:r>
    </w:p>
    <w:p w14:paraId="37898A0B" w14:textId="7DCC5803" w:rsidR="002044A9" w:rsidRPr="00072AEC" w:rsidRDefault="002044A9" w:rsidP="00072AEC">
      <w:pPr>
        <w:autoSpaceDE w:val="0"/>
        <w:autoSpaceDN w:val="0"/>
        <w:adjustRightInd w:val="0"/>
        <w:snapToGrid w:val="0"/>
        <w:spacing w:line="360" w:lineRule="auto"/>
        <w:ind w:firstLineChars="100" w:firstLine="2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Another effort to ameliorate fibrosis in chronic GVHD is to use 4-phenylbutyric acid. There are elevated </w:t>
      </w:r>
      <w:r w:rsidR="00E813AF" w:rsidRPr="00072AEC">
        <w:rPr>
          <w:rFonts w:ascii="Book Antiqua" w:eastAsia="宋体" w:hAnsi="Book Antiqua" w:cs="Times New Roman"/>
          <w:bCs/>
          <w:color w:val="000000" w:themeColor="text1"/>
          <w:sz w:val="20"/>
          <w:szCs w:val="20"/>
        </w:rPr>
        <w:t xml:space="preserve">endoplasmic reticulum </w:t>
      </w:r>
      <w:r w:rsidRPr="00072AEC">
        <w:rPr>
          <w:rFonts w:ascii="Book Antiqua" w:eastAsia="宋体" w:hAnsi="Book Antiqua" w:cs="Times New Roman"/>
          <w:bCs/>
          <w:color w:val="000000" w:themeColor="text1"/>
          <w:sz w:val="20"/>
          <w:szCs w:val="20"/>
        </w:rPr>
        <w:t xml:space="preserve">stress markers in chronic GVHD. Chronic GVHD-elicited </w:t>
      </w:r>
      <w:r w:rsidR="002C128A" w:rsidRPr="00072AEC">
        <w:rPr>
          <w:rFonts w:ascii="Book Antiqua" w:eastAsia="宋体" w:hAnsi="Book Antiqua" w:cs="Times New Roman"/>
          <w:bCs/>
          <w:color w:val="000000" w:themeColor="text1"/>
          <w:sz w:val="20"/>
          <w:szCs w:val="20"/>
        </w:rPr>
        <w:t>endoplasmic reticulum</w:t>
      </w:r>
      <w:r w:rsidRPr="00072AEC">
        <w:rPr>
          <w:rFonts w:ascii="Book Antiqua" w:eastAsia="宋体" w:hAnsi="Book Antiqua" w:cs="Times New Roman"/>
          <w:bCs/>
          <w:color w:val="000000" w:themeColor="text1"/>
          <w:sz w:val="20"/>
          <w:szCs w:val="20"/>
        </w:rPr>
        <w:t xml:space="preserve"> stress in macrophages could be mitigated by administrating 4-phenylbutyric acid, leading to M1 macrophage differentiation and dysfunctional fibroblasts</w:t>
      </w:r>
      <w:r w:rsidRPr="00072AEC">
        <w:rPr>
          <w:rFonts w:ascii="Book Antiqua" w:eastAsia="宋体" w:hAnsi="Book Antiqua" w:cs="Times New Roman"/>
          <w:bCs/>
          <w:color w:val="000000" w:themeColor="text1"/>
          <w:sz w:val="20"/>
          <w:szCs w:val="20"/>
          <w:vertAlign w:val="superscript"/>
        </w:rPr>
        <w:t>[86]</w:t>
      </w:r>
      <w:r w:rsidRPr="00072AEC">
        <w:rPr>
          <w:rFonts w:ascii="Book Antiqua" w:eastAsia="宋体" w:hAnsi="Book Antiqua" w:cs="Times New Roman"/>
          <w:bCs/>
          <w:color w:val="000000" w:themeColor="text1"/>
          <w:sz w:val="20"/>
          <w:szCs w:val="20"/>
        </w:rPr>
        <w:t>. In other words, M2 macrophage</w:t>
      </w:r>
      <w:r w:rsidR="00B918F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fibroblast</w:t>
      </w:r>
      <w:r w:rsidR="00B918F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contribute to fibrosis in GVHD. As mentioned before, CCL9 works in chronic GVHD by regulating macrophage infiltration, immunoglobulin deposition, splenic GC B cell reaction, and CD4+ T cell polarization</w:t>
      </w:r>
      <w:r w:rsidRPr="00072AEC">
        <w:rPr>
          <w:rFonts w:ascii="Book Antiqua" w:eastAsia="宋体" w:hAnsi="Book Antiqua" w:cs="Times New Roman"/>
          <w:bCs/>
          <w:color w:val="000000" w:themeColor="text1"/>
          <w:sz w:val="20"/>
          <w:szCs w:val="20"/>
          <w:vertAlign w:val="superscript"/>
        </w:rPr>
        <w:t>[54]</w:t>
      </w:r>
      <w:r w:rsidRPr="00072AEC">
        <w:rPr>
          <w:rFonts w:ascii="Book Antiqua" w:eastAsia="宋体" w:hAnsi="Book Antiqua" w:cs="Times New Roman"/>
          <w:bCs/>
          <w:color w:val="000000" w:themeColor="text1"/>
          <w:sz w:val="20"/>
          <w:szCs w:val="20"/>
        </w:rPr>
        <w:t>. In other words, the alloreactivity and interaction of macrophages, B cells, and T cells are regulated by cytokines. Therefore, we conclude that macrophage infiltration, interactions between macrophages and other cells, and the cytokine network should be considered in chronic GVHD.</w:t>
      </w:r>
    </w:p>
    <w:p w14:paraId="32819AF1" w14:textId="049CAACC"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Macrophage infiltration has been observed in many fibrotic diseases. Meanwhile, apoptosis and autophagy of macrophages attenuate</w:t>
      </w:r>
      <w:r w:rsidR="00B918F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fibrosis</w:t>
      </w:r>
      <w:r w:rsidRPr="00072AEC">
        <w:rPr>
          <w:rFonts w:ascii="Book Antiqua" w:eastAsia="宋体" w:hAnsi="Book Antiqua" w:cs="Times New Roman"/>
          <w:bCs/>
          <w:color w:val="000000" w:themeColor="text1"/>
          <w:sz w:val="20"/>
          <w:szCs w:val="20"/>
          <w:vertAlign w:val="superscript"/>
        </w:rPr>
        <w:t>[87-89]</w:t>
      </w:r>
      <w:r w:rsidRPr="00072AEC">
        <w:rPr>
          <w:rFonts w:ascii="Book Antiqua" w:eastAsia="宋体" w:hAnsi="Book Antiqua" w:cs="Times New Roman"/>
          <w:bCs/>
          <w:color w:val="000000" w:themeColor="text1"/>
          <w:sz w:val="20"/>
          <w:szCs w:val="20"/>
        </w:rPr>
        <w:t xml:space="preserve">. </w:t>
      </w:r>
      <w:r w:rsidR="00B918F4" w:rsidRPr="00072AEC">
        <w:rPr>
          <w:rFonts w:ascii="Book Antiqua" w:eastAsia="宋体" w:hAnsi="Book Antiqua" w:cs="Times New Roman"/>
          <w:bCs/>
          <w:color w:val="000000" w:themeColor="text1"/>
          <w:sz w:val="20"/>
          <w:szCs w:val="20"/>
        </w:rPr>
        <w:t>M</w:t>
      </w:r>
      <w:r w:rsidRPr="00072AEC">
        <w:rPr>
          <w:rFonts w:ascii="Book Antiqua" w:eastAsia="宋体" w:hAnsi="Book Antiqua" w:cs="Times New Roman"/>
          <w:bCs/>
          <w:color w:val="000000" w:themeColor="text1"/>
          <w:sz w:val="20"/>
          <w:szCs w:val="20"/>
        </w:rPr>
        <w:t>embrane molecules expressed on macrophages</w:t>
      </w:r>
      <w:r w:rsidR="00B918F4" w:rsidRPr="00072AEC">
        <w:rPr>
          <w:rFonts w:ascii="Book Antiqua" w:eastAsia="宋体" w:hAnsi="Book Antiqua" w:cs="Times New Roman"/>
          <w:bCs/>
          <w:color w:val="000000" w:themeColor="text1"/>
          <w:sz w:val="20"/>
          <w:szCs w:val="20"/>
        </w:rPr>
        <w:t xml:space="preserve"> and</w:t>
      </w:r>
      <w:r w:rsidRPr="00072AEC">
        <w:rPr>
          <w:rFonts w:ascii="Book Antiqua" w:eastAsia="宋体" w:hAnsi="Book Antiqua" w:cs="Times New Roman"/>
          <w:bCs/>
          <w:color w:val="000000" w:themeColor="text1"/>
          <w:sz w:val="20"/>
          <w:szCs w:val="20"/>
        </w:rPr>
        <w:t xml:space="preserve"> cytokines produced</w:t>
      </w:r>
      <w:r w:rsidR="00B918F4" w:rsidRPr="00072AEC">
        <w:rPr>
          <w:rFonts w:ascii="Book Antiqua" w:eastAsia="宋体" w:hAnsi="Book Antiqua" w:cs="Times New Roman"/>
          <w:bCs/>
          <w:color w:val="000000" w:themeColor="text1"/>
          <w:sz w:val="20"/>
          <w:szCs w:val="20"/>
        </w:rPr>
        <w:t xml:space="preserve"> by macrophages</w:t>
      </w:r>
      <w:r w:rsidRPr="00072AEC">
        <w:rPr>
          <w:rFonts w:ascii="Book Antiqua" w:eastAsia="宋体" w:hAnsi="Book Antiqua" w:cs="Times New Roman"/>
          <w:bCs/>
          <w:color w:val="000000" w:themeColor="text1"/>
          <w:sz w:val="20"/>
          <w:szCs w:val="20"/>
        </w:rPr>
        <w:t xml:space="preserve"> participate in this fibrogenesis process. CD14</w:t>
      </w:r>
      <w:bookmarkStart w:id="18" w:name="_Hlk28686922"/>
      <w:r w:rsidRPr="00072AEC">
        <w:rPr>
          <w:rFonts w:ascii="Book Antiqua" w:eastAsia="宋体" w:hAnsi="Book Antiqua" w:cs="Times New Roman"/>
          <w:bCs/>
          <w:color w:val="000000" w:themeColor="text1"/>
          <w:sz w:val="20"/>
          <w:szCs w:val="20"/>
        </w:rPr>
        <w:t xml:space="preserve">, which is a co-receptor of Toll-like receptor 4 </w:t>
      </w:r>
      <w:bookmarkEnd w:id="18"/>
      <w:r w:rsidRPr="00072AEC">
        <w:rPr>
          <w:rFonts w:ascii="Book Antiqua" w:eastAsia="宋体" w:hAnsi="Book Antiqua" w:cs="Times New Roman"/>
          <w:bCs/>
          <w:color w:val="000000" w:themeColor="text1"/>
          <w:sz w:val="20"/>
          <w:szCs w:val="20"/>
        </w:rPr>
        <w:t xml:space="preserve">and is expressed on macrophages, may be stimulated by </w:t>
      </w:r>
      <w:r w:rsidR="00E813AF" w:rsidRPr="00072AEC">
        <w:rPr>
          <w:rFonts w:ascii="Book Antiqua" w:eastAsia="宋体" w:hAnsi="Book Antiqua" w:cs="Times New Roman"/>
          <w:bCs/>
          <w:color w:val="000000" w:themeColor="text1"/>
          <w:sz w:val="20"/>
          <w:szCs w:val="20"/>
        </w:rPr>
        <w:t xml:space="preserve">Toll-like receptor </w:t>
      </w:r>
      <w:r w:rsidRPr="00072AEC">
        <w:rPr>
          <w:rFonts w:ascii="Book Antiqua" w:eastAsia="宋体" w:hAnsi="Book Antiqua" w:cs="Times New Roman"/>
          <w:bCs/>
          <w:color w:val="000000" w:themeColor="text1"/>
          <w:sz w:val="20"/>
          <w:szCs w:val="20"/>
        </w:rPr>
        <w:t xml:space="preserve">exposure and activate macrophages with an induction of TGF-β production, resulting in </w:t>
      </w:r>
      <w:r w:rsidR="00405D67" w:rsidRPr="00072AEC">
        <w:rPr>
          <w:rFonts w:ascii="Book Antiqua" w:eastAsia="宋体" w:hAnsi="Book Antiqua" w:cs="Times New Roman"/>
          <w:bCs/>
          <w:color w:val="000000" w:themeColor="text1"/>
          <w:sz w:val="20"/>
          <w:szCs w:val="20"/>
        </w:rPr>
        <w:t xml:space="preserve">a </w:t>
      </w:r>
      <w:r w:rsidRPr="00072AEC">
        <w:rPr>
          <w:rFonts w:ascii="Book Antiqua" w:eastAsia="宋体" w:hAnsi="Book Antiqua" w:cs="Times New Roman"/>
          <w:bCs/>
          <w:color w:val="000000" w:themeColor="text1"/>
          <w:sz w:val="20"/>
          <w:szCs w:val="20"/>
        </w:rPr>
        <w:t xml:space="preserve">profibrotic effect </w:t>
      </w:r>
      <w:r w:rsidRPr="00072AEC">
        <w:rPr>
          <w:rFonts w:ascii="Book Antiqua" w:eastAsia="宋体" w:hAnsi="Book Antiqua" w:cs="Times New Roman"/>
          <w:bCs/>
          <w:i/>
          <w:iCs/>
          <w:color w:val="000000" w:themeColor="text1"/>
          <w:sz w:val="20"/>
          <w:szCs w:val="20"/>
        </w:rPr>
        <w:t>via</w:t>
      </w:r>
      <w:r w:rsidRPr="00072AEC">
        <w:rPr>
          <w:rFonts w:ascii="Book Antiqua" w:eastAsia="宋体" w:hAnsi="Book Antiqua" w:cs="Times New Roman"/>
          <w:bCs/>
          <w:color w:val="000000" w:themeColor="text1"/>
          <w:sz w:val="20"/>
          <w:szCs w:val="20"/>
        </w:rPr>
        <w:t xml:space="preserve"> a myeloid differentiation factor 88-dependent manner in systemic sclerosis</w:t>
      </w:r>
      <w:r w:rsidRPr="00072AEC">
        <w:rPr>
          <w:rFonts w:ascii="Book Antiqua" w:eastAsia="宋体" w:hAnsi="Book Antiqua" w:cs="Times New Roman"/>
          <w:bCs/>
          <w:color w:val="000000" w:themeColor="text1"/>
          <w:sz w:val="20"/>
          <w:szCs w:val="20"/>
          <w:vertAlign w:val="superscript"/>
        </w:rPr>
        <w:t>[90]</w:t>
      </w:r>
      <w:r w:rsidRPr="00072AEC">
        <w:rPr>
          <w:rFonts w:ascii="Book Antiqua" w:eastAsia="宋体" w:hAnsi="Book Antiqua" w:cs="Times New Roman"/>
          <w:bCs/>
          <w:color w:val="000000" w:themeColor="text1"/>
          <w:sz w:val="20"/>
          <w:szCs w:val="20"/>
        </w:rPr>
        <w:t>. Macrophage receptor</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with collagenous structure containing arginine residues is another scavenger receptor expressed on macrophages, and it can induce the polarization of macrophages to </w:t>
      </w:r>
      <w:r w:rsidR="00405D67" w:rsidRPr="00072AEC">
        <w:rPr>
          <w:rFonts w:ascii="Book Antiqua" w:eastAsia="宋体" w:hAnsi="Book Antiqua" w:cs="Times New Roman"/>
          <w:bCs/>
          <w:color w:val="000000" w:themeColor="text1"/>
          <w:sz w:val="20"/>
          <w:szCs w:val="20"/>
        </w:rPr>
        <w:t xml:space="preserve">a </w:t>
      </w:r>
      <w:r w:rsidRPr="00072AEC">
        <w:rPr>
          <w:rFonts w:ascii="Book Antiqua" w:eastAsia="宋体" w:hAnsi="Book Antiqua" w:cs="Times New Roman"/>
          <w:bCs/>
          <w:color w:val="000000" w:themeColor="text1"/>
          <w:sz w:val="20"/>
          <w:szCs w:val="20"/>
        </w:rPr>
        <w:t>profibrotic M2 subtype and contribute to fibrosis</w:t>
      </w:r>
      <w:r w:rsidRPr="00072AEC">
        <w:rPr>
          <w:rFonts w:ascii="Book Antiqua" w:eastAsia="宋体" w:hAnsi="Book Antiqua" w:cs="Times New Roman"/>
          <w:bCs/>
          <w:color w:val="000000" w:themeColor="text1"/>
          <w:sz w:val="20"/>
          <w:szCs w:val="20"/>
          <w:vertAlign w:val="superscript"/>
        </w:rPr>
        <w:t>[91]</w:t>
      </w:r>
      <w:r w:rsidRPr="00072AEC">
        <w:rPr>
          <w:rFonts w:ascii="Book Antiqua" w:eastAsia="宋体" w:hAnsi="Book Antiqua" w:cs="Times New Roman"/>
          <w:bCs/>
          <w:color w:val="000000" w:themeColor="text1"/>
          <w:sz w:val="20"/>
          <w:szCs w:val="20"/>
        </w:rPr>
        <w:t>. As for cytokines, increased TGF-β signaling promotes fibrosis</w:t>
      </w:r>
      <w:r w:rsidRPr="00072AEC">
        <w:rPr>
          <w:rFonts w:ascii="Book Antiqua" w:eastAsia="宋体" w:hAnsi="Book Antiqua" w:cs="Times New Roman"/>
          <w:bCs/>
          <w:color w:val="000000" w:themeColor="text1"/>
          <w:sz w:val="20"/>
          <w:szCs w:val="20"/>
          <w:vertAlign w:val="superscript"/>
        </w:rPr>
        <w:t>[92-94]</w:t>
      </w:r>
      <w:r w:rsidRPr="00072AEC">
        <w:rPr>
          <w:rFonts w:ascii="Book Antiqua" w:eastAsia="宋体" w:hAnsi="Book Antiqua" w:cs="Times New Roman"/>
          <w:bCs/>
          <w:color w:val="000000" w:themeColor="text1"/>
          <w:sz w:val="20"/>
          <w:szCs w:val="20"/>
        </w:rPr>
        <w:t>.</w:t>
      </w:r>
    </w:p>
    <w:p w14:paraId="3121EC50" w14:textId="5FAC1BD5"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Macrophage polarization is another factor that can be modulated to reduce fibrosis. M2 macrophages are infiltrated in fibrosis predominately following TGF-β secretion</w:t>
      </w:r>
      <w:r w:rsidRPr="00072AEC">
        <w:rPr>
          <w:rFonts w:ascii="Book Antiqua" w:eastAsia="宋体" w:hAnsi="Book Antiqua" w:cs="Times New Roman"/>
          <w:bCs/>
          <w:color w:val="000000" w:themeColor="text1"/>
          <w:sz w:val="20"/>
          <w:szCs w:val="20"/>
          <w:vertAlign w:val="superscript"/>
        </w:rPr>
        <w:t>[95-98]</w:t>
      </w:r>
      <w:r w:rsidRPr="00072AEC">
        <w:rPr>
          <w:rFonts w:ascii="Book Antiqua" w:eastAsia="宋体" w:hAnsi="Book Antiqua" w:cs="Times New Roman"/>
          <w:bCs/>
          <w:color w:val="000000" w:themeColor="text1"/>
          <w:sz w:val="20"/>
          <w:szCs w:val="20"/>
        </w:rPr>
        <w:t>. Also, myofibroblast</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transited from M2 macrophage</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could be</w:t>
      </w:r>
      <w:r w:rsidR="00405D67" w:rsidRPr="00072AEC">
        <w:rPr>
          <w:rFonts w:ascii="Book Antiqua" w:eastAsia="宋体" w:hAnsi="Book Antiqua" w:cs="Times New Roman"/>
          <w:bCs/>
          <w:color w:val="000000" w:themeColor="text1"/>
          <w:sz w:val="20"/>
          <w:szCs w:val="20"/>
        </w:rPr>
        <w:t xml:space="preserve"> a</w:t>
      </w:r>
      <w:r w:rsidRPr="00072AEC">
        <w:rPr>
          <w:rFonts w:ascii="Book Antiqua" w:eastAsia="宋体" w:hAnsi="Book Antiqua" w:cs="Times New Roman"/>
          <w:bCs/>
          <w:color w:val="000000" w:themeColor="text1"/>
          <w:sz w:val="20"/>
          <w:szCs w:val="20"/>
        </w:rPr>
        <w:t xml:space="preserve"> source of interstitial fibrosis in chronic allograft rejection</w:t>
      </w:r>
      <w:r w:rsidRPr="00072AEC">
        <w:rPr>
          <w:rFonts w:ascii="Book Antiqua" w:eastAsia="宋体" w:hAnsi="Book Antiqua" w:cs="Times New Roman"/>
          <w:bCs/>
          <w:color w:val="000000" w:themeColor="text1"/>
          <w:sz w:val="20"/>
          <w:szCs w:val="20"/>
          <w:vertAlign w:val="superscript"/>
        </w:rPr>
        <w:t>[99]</w:t>
      </w:r>
      <w:r w:rsidRPr="00072AEC">
        <w:rPr>
          <w:rFonts w:ascii="Book Antiqua" w:eastAsia="宋体" w:hAnsi="Book Antiqua" w:cs="Times New Roman"/>
          <w:bCs/>
          <w:color w:val="000000" w:themeColor="text1"/>
          <w:sz w:val="20"/>
          <w:szCs w:val="20"/>
        </w:rPr>
        <w:t>. Furthermore, macrophages are able to drive fibroblast recruitment and contribute to fibroblast activation</w:t>
      </w:r>
      <w:r w:rsidR="00405D6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which is also associated with the development of fibrosis</w:t>
      </w:r>
      <w:r w:rsidRPr="00072AEC">
        <w:rPr>
          <w:rFonts w:ascii="Book Antiqua" w:eastAsia="宋体" w:hAnsi="Book Antiqua" w:cs="Times New Roman"/>
          <w:bCs/>
          <w:color w:val="000000" w:themeColor="text1"/>
          <w:sz w:val="20"/>
          <w:szCs w:val="20"/>
          <w:vertAlign w:val="superscript"/>
        </w:rPr>
        <w:t>[100,101]</w:t>
      </w:r>
      <w:r w:rsidRPr="00072AEC">
        <w:rPr>
          <w:rFonts w:ascii="Book Antiqua" w:eastAsia="宋体" w:hAnsi="Book Antiqua" w:cs="Times New Roman"/>
          <w:bCs/>
          <w:color w:val="000000" w:themeColor="text1"/>
          <w:sz w:val="20"/>
          <w:szCs w:val="20"/>
        </w:rPr>
        <w:t>. Macrophage polarization to alter</w:t>
      </w:r>
      <w:r w:rsidR="00AB3882" w:rsidRPr="00072AEC">
        <w:rPr>
          <w:rFonts w:ascii="Book Antiqua" w:eastAsia="宋体" w:hAnsi="Book Antiqua" w:cs="Times New Roman"/>
          <w:bCs/>
          <w:color w:val="000000" w:themeColor="text1"/>
          <w:sz w:val="20"/>
          <w:szCs w:val="20"/>
        </w:rPr>
        <w:t>n</w:t>
      </w:r>
      <w:r w:rsidRPr="00072AEC">
        <w:rPr>
          <w:rFonts w:ascii="Book Antiqua" w:eastAsia="宋体" w:hAnsi="Book Antiqua" w:cs="Times New Roman"/>
          <w:bCs/>
          <w:color w:val="000000" w:themeColor="text1"/>
          <w:sz w:val="20"/>
          <w:szCs w:val="20"/>
        </w:rPr>
        <w:t>ative macrophage subgroup</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stimulates fibroblasts and attributes to fibrosis. Meanwhile, macrophage polarization to M2 macrophage</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in fibrosis can be mediated by fibroblast</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cytokines, such as IL-4 and TGF-β1</w:t>
      </w:r>
      <w:r w:rsidRPr="00072AEC">
        <w:rPr>
          <w:rFonts w:ascii="Book Antiqua" w:eastAsia="宋体" w:hAnsi="Book Antiqua" w:cs="Times New Roman"/>
          <w:bCs/>
          <w:color w:val="000000" w:themeColor="text1"/>
          <w:sz w:val="20"/>
          <w:szCs w:val="20"/>
          <w:vertAlign w:val="superscript"/>
        </w:rPr>
        <w:t>[102,103]</w:t>
      </w:r>
      <w:r w:rsidRPr="00072AEC">
        <w:rPr>
          <w:rFonts w:ascii="Book Antiqua" w:eastAsia="宋体" w:hAnsi="Book Antiqua" w:cs="Times New Roman"/>
          <w:bCs/>
          <w:color w:val="000000" w:themeColor="text1"/>
          <w:sz w:val="20"/>
          <w:szCs w:val="20"/>
        </w:rPr>
        <w:t>. Interestingly, the M2c macrophage subset may reduce lung fibrosis by increasing IL-10 level</w:t>
      </w:r>
      <w:r w:rsidR="00AB3882"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vertAlign w:val="superscript"/>
        </w:rPr>
        <w:t>[104]</w:t>
      </w:r>
      <w:r w:rsidRPr="00072AEC">
        <w:rPr>
          <w:rFonts w:ascii="Book Antiqua" w:eastAsia="宋体" w:hAnsi="Book Antiqua" w:cs="Times New Roman"/>
          <w:bCs/>
          <w:color w:val="000000" w:themeColor="text1"/>
          <w:sz w:val="20"/>
          <w:szCs w:val="20"/>
        </w:rPr>
        <w:t xml:space="preserve">. </w:t>
      </w:r>
      <w:r w:rsidR="00AB3882" w:rsidRPr="00072AEC">
        <w:rPr>
          <w:rFonts w:ascii="Book Antiqua" w:eastAsia="宋体" w:hAnsi="Book Antiqua" w:cs="Times New Roman"/>
          <w:bCs/>
          <w:color w:val="000000" w:themeColor="text1"/>
          <w:sz w:val="20"/>
          <w:szCs w:val="20"/>
        </w:rPr>
        <w:t>R</w:t>
      </w:r>
      <w:r w:rsidRPr="00072AEC">
        <w:rPr>
          <w:rFonts w:ascii="Book Antiqua" w:eastAsia="宋体" w:hAnsi="Book Antiqua" w:cs="Times New Roman"/>
          <w:bCs/>
          <w:color w:val="000000" w:themeColor="text1"/>
          <w:sz w:val="20"/>
          <w:szCs w:val="20"/>
        </w:rPr>
        <w:t>egulatory macrophages can inhibit alternative macrophage activation and regulate alternative macrophage-mediated fibrosis</w:t>
      </w:r>
      <w:r w:rsidRPr="00072AEC">
        <w:rPr>
          <w:rFonts w:ascii="Book Antiqua" w:eastAsia="宋体" w:hAnsi="Book Antiqua" w:cs="Times New Roman"/>
          <w:bCs/>
          <w:color w:val="000000" w:themeColor="text1"/>
          <w:sz w:val="20"/>
          <w:szCs w:val="20"/>
          <w:vertAlign w:val="superscript"/>
        </w:rPr>
        <w:t>[105]</w:t>
      </w:r>
      <w:r w:rsidRPr="00072AEC">
        <w:rPr>
          <w:rFonts w:ascii="Book Antiqua" w:eastAsia="宋体" w:hAnsi="Book Antiqua" w:cs="Times New Roman"/>
          <w:bCs/>
          <w:color w:val="000000" w:themeColor="text1"/>
          <w:sz w:val="20"/>
          <w:szCs w:val="20"/>
        </w:rPr>
        <w:t>. Therefore, the balance between M1 macrophage</w:t>
      </w:r>
      <w:r w:rsidR="00AB3882"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M2 macrophage</w:t>
      </w:r>
      <w:r w:rsidR="00AB3882"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w:t>
      </w:r>
      <w:r w:rsidR="00AB3882" w:rsidRPr="00072AEC">
        <w:rPr>
          <w:rFonts w:ascii="Book Antiqua" w:eastAsia="宋体" w:hAnsi="Book Antiqua" w:cs="Times New Roman"/>
          <w:bCs/>
          <w:color w:val="000000" w:themeColor="text1"/>
          <w:sz w:val="20"/>
          <w:szCs w:val="20"/>
        </w:rPr>
        <w:t>and</w:t>
      </w:r>
      <w:r w:rsidRPr="00072AEC">
        <w:rPr>
          <w:rFonts w:ascii="Book Antiqua" w:eastAsia="宋体" w:hAnsi="Book Antiqua" w:cs="Times New Roman"/>
          <w:bCs/>
          <w:color w:val="000000" w:themeColor="text1"/>
          <w:sz w:val="20"/>
          <w:szCs w:val="20"/>
        </w:rPr>
        <w:t xml:space="preserve"> the balance among subgroups of M2 macrophage</w:t>
      </w:r>
      <w:r w:rsidR="00AB3882"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regulatory macrophage</w:t>
      </w:r>
      <w:r w:rsidR="00AB3882"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as well as </w:t>
      </w:r>
      <w:r w:rsidR="00AB3882"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dominant effect of the complicated cytokine network should be taken into account in terms of the role of macrophage polarization in fibrosis.</w:t>
      </w:r>
    </w:p>
    <w:p w14:paraId="7D738DF4" w14:textId="5B1D598F"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activation regulated by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receptor–associated pathways and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activating factor plays an important role in the pathology of chronic GVHD</w:t>
      </w:r>
      <w:r w:rsidRPr="00072AEC">
        <w:rPr>
          <w:rFonts w:ascii="Book Antiqua" w:eastAsia="宋体" w:hAnsi="Book Antiqua" w:cs="Times New Roman"/>
          <w:bCs/>
          <w:color w:val="000000" w:themeColor="text1"/>
          <w:sz w:val="20"/>
          <w:szCs w:val="20"/>
          <w:vertAlign w:val="superscript"/>
        </w:rPr>
        <w:t>[22]</w:t>
      </w:r>
      <w:r w:rsidRPr="00072AEC">
        <w:rPr>
          <w:rFonts w:ascii="Book Antiqua" w:eastAsia="宋体" w:hAnsi="Book Antiqua" w:cs="Times New Roman"/>
          <w:bCs/>
          <w:color w:val="000000" w:themeColor="text1"/>
          <w:sz w:val="20"/>
          <w:szCs w:val="20"/>
        </w:rPr>
        <w:t>. Targeting the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reaction, especially by blocking some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receptor–associated pathways, such as BTK, ITK, and JAK1/2, has been an effective treatment mechanism for chronic GVHD</w:t>
      </w:r>
      <w:r w:rsidRPr="00072AEC">
        <w:rPr>
          <w:rFonts w:ascii="Book Antiqua" w:eastAsia="宋体" w:hAnsi="Book Antiqua" w:cs="Times New Roman"/>
          <w:bCs/>
          <w:color w:val="000000" w:themeColor="text1"/>
          <w:sz w:val="20"/>
          <w:szCs w:val="20"/>
          <w:vertAlign w:val="superscript"/>
        </w:rPr>
        <w:t>[106]</w:t>
      </w:r>
      <w:r w:rsidRPr="00072AEC">
        <w:rPr>
          <w:rFonts w:ascii="Book Antiqua" w:eastAsia="宋体" w:hAnsi="Book Antiqua" w:cs="Times New Roman"/>
          <w:bCs/>
          <w:color w:val="000000" w:themeColor="text1"/>
          <w:sz w:val="20"/>
          <w:szCs w:val="20"/>
        </w:rPr>
        <w:t>.As an important feature of chronic GVHD, the deposition of antibodies from donor B cells augments cutaneous chronic GVHD by damaging the thymus and interacting with CD4+ T cells, especially the pathogenic Th17 and Th2 cells differentiated from Tfh cells</w:t>
      </w:r>
      <w:r w:rsidRPr="00072AEC">
        <w:rPr>
          <w:rFonts w:ascii="Book Antiqua" w:eastAsia="宋体" w:hAnsi="Book Antiqua" w:cs="Times New Roman"/>
          <w:bCs/>
          <w:color w:val="000000" w:themeColor="text1"/>
          <w:sz w:val="20"/>
          <w:szCs w:val="20"/>
          <w:vertAlign w:val="superscript"/>
        </w:rPr>
        <w:t>[84,107]</w:t>
      </w:r>
      <w:r w:rsidRPr="00072AEC">
        <w:rPr>
          <w:rFonts w:ascii="Book Antiqua" w:eastAsia="宋体" w:hAnsi="Book Antiqua" w:cs="Times New Roman"/>
          <w:bCs/>
          <w:color w:val="000000" w:themeColor="text1"/>
          <w:sz w:val="20"/>
          <w:szCs w:val="20"/>
        </w:rPr>
        <w:t>. The deposition of antibodies also plays an important role in fibroblast activity and the pathogenesis of systemic sclerosis</w:t>
      </w:r>
      <w:r w:rsidRPr="00072AEC">
        <w:rPr>
          <w:rFonts w:ascii="Book Antiqua" w:eastAsia="宋体" w:hAnsi="Book Antiqua" w:cs="Times New Roman"/>
          <w:bCs/>
          <w:color w:val="000000" w:themeColor="text1"/>
          <w:sz w:val="20"/>
          <w:szCs w:val="20"/>
          <w:vertAlign w:val="superscript"/>
        </w:rPr>
        <w:t>[108]</w:t>
      </w:r>
      <w:r w:rsidRPr="00072AEC">
        <w:rPr>
          <w:rFonts w:ascii="Book Antiqua" w:eastAsia="宋体" w:hAnsi="Book Antiqua" w:cs="Times New Roman"/>
          <w:bCs/>
          <w:color w:val="000000" w:themeColor="text1"/>
          <w:sz w:val="20"/>
          <w:szCs w:val="20"/>
        </w:rPr>
        <w:t>. In chronic GVHD</w:t>
      </w:r>
      <w:r w:rsidR="00260964"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which is similar to fibrosis disease, macrophage</w:t>
      </w:r>
      <w:r w:rsidR="0026096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play an important role to regulate B cells. Fantastic reciprocity was found in the relationship between macrophage</w:t>
      </w:r>
      <w:r w:rsidR="0026096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B cells. On one hand, CD19-/- donor B cells could augment GVHD severity and fibrosis by increasing splenic IL-6–producing monocyte/macrophage expansion during the early stage of </w:t>
      </w:r>
      <w:r w:rsidR="00260964"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disease and by increasing TGF-β–producing monocyte/macrophage infiltration in the later stage of chronic sclerodermatous GVHD</w:t>
      </w:r>
      <w:r w:rsidRPr="00072AEC">
        <w:rPr>
          <w:rFonts w:ascii="Book Antiqua" w:eastAsia="宋体" w:hAnsi="Book Antiqua" w:cs="Times New Roman"/>
          <w:bCs/>
          <w:color w:val="000000" w:themeColor="text1"/>
          <w:sz w:val="20"/>
          <w:szCs w:val="20"/>
          <w:vertAlign w:val="superscript"/>
        </w:rPr>
        <w:t>[46]</w:t>
      </w:r>
      <w:r w:rsidRPr="00072AEC">
        <w:rPr>
          <w:rFonts w:ascii="Book Antiqua" w:eastAsia="宋体" w:hAnsi="Book Antiqua" w:cs="Times New Roman"/>
          <w:bCs/>
          <w:color w:val="000000" w:themeColor="text1"/>
          <w:sz w:val="20"/>
          <w:szCs w:val="20"/>
        </w:rPr>
        <w:t>. On the other hand, increased macrophage density is related to antibody</w:t>
      </w:r>
      <w:r w:rsidRPr="00072AEC">
        <w:rPr>
          <w:rFonts w:ascii="Cambria Math" w:eastAsia="宋体" w:hAnsi="Cambria Math" w:cs="Cambria Math"/>
          <w:bCs/>
          <w:color w:val="000000" w:themeColor="text1"/>
          <w:sz w:val="20"/>
          <w:szCs w:val="20"/>
        </w:rPr>
        <w:t>‐</w:t>
      </w:r>
      <w:r w:rsidRPr="00072AEC">
        <w:rPr>
          <w:rFonts w:ascii="Book Antiqua" w:eastAsia="宋体" w:hAnsi="Book Antiqua" w:cs="Times New Roman"/>
          <w:bCs/>
          <w:color w:val="000000" w:themeColor="text1"/>
          <w:sz w:val="20"/>
          <w:szCs w:val="20"/>
        </w:rPr>
        <w:t>mediated rejection</w:t>
      </w:r>
      <w:r w:rsidRPr="00072AEC">
        <w:rPr>
          <w:rFonts w:ascii="Book Antiqua" w:eastAsia="宋体" w:hAnsi="Book Antiqua" w:cs="Times New Roman"/>
          <w:bCs/>
          <w:color w:val="000000" w:themeColor="text1"/>
          <w:sz w:val="20"/>
          <w:szCs w:val="20"/>
          <w:vertAlign w:val="superscript"/>
        </w:rPr>
        <w:t>[109]</w:t>
      </w:r>
      <w:r w:rsidRPr="00072AEC">
        <w:rPr>
          <w:rFonts w:ascii="Book Antiqua" w:eastAsia="宋体" w:hAnsi="Book Antiqua" w:cs="Times New Roman"/>
          <w:bCs/>
          <w:color w:val="000000" w:themeColor="text1"/>
          <w:sz w:val="20"/>
          <w:szCs w:val="20"/>
        </w:rPr>
        <w:t>. Macrophage</w:t>
      </w:r>
      <w:r w:rsidR="0026096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can modulate antibod</w:t>
      </w:r>
      <w:r w:rsidR="00260964" w:rsidRPr="00072AEC">
        <w:rPr>
          <w:rFonts w:ascii="Book Antiqua" w:eastAsia="宋体" w:hAnsi="Book Antiqua" w:cs="Times New Roman"/>
          <w:bCs/>
          <w:color w:val="000000" w:themeColor="text1"/>
          <w:sz w:val="20"/>
          <w:szCs w:val="20"/>
        </w:rPr>
        <w:t>y</w:t>
      </w:r>
      <w:r w:rsidRPr="00072AEC">
        <w:rPr>
          <w:rFonts w:ascii="Book Antiqua" w:eastAsia="宋体" w:hAnsi="Book Antiqua" w:cs="Times New Roman"/>
          <w:bCs/>
          <w:color w:val="000000" w:themeColor="text1"/>
          <w:sz w:val="20"/>
          <w:szCs w:val="20"/>
        </w:rPr>
        <w:t xml:space="preserve"> production</w:t>
      </w:r>
      <w:r w:rsidR="00260964"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and macrophage depletion inhibits anti-graft antibody production</w:t>
      </w:r>
      <w:r w:rsidRPr="00072AEC">
        <w:rPr>
          <w:rFonts w:ascii="Book Antiqua" w:eastAsia="宋体" w:hAnsi="Book Antiqua" w:cs="Times New Roman"/>
          <w:bCs/>
          <w:color w:val="000000" w:themeColor="text1"/>
          <w:sz w:val="20"/>
          <w:szCs w:val="20"/>
          <w:vertAlign w:val="superscript"/>
        </w:rPr>
        <w:t>[110,111]</w:t>
      </w:r>
      <w:r w:rsidRPr="00072AEC">
        <w:rPr>
          <w:rFonts w:ascii="Book Antiqua" w:eastAsia="宋体" w:hAnsi="Book Antiqua" w:cs="Times New Roman"/>
          <w:bCs/>
          <w:color w:val="000000" w:themeColor="text1"/>
          <w:sz w:val="20"/>
          <w:szCs w:val="20"/>
        </w:rPr>
        <w:t>. Also, macrophages increase B cell autoantibody production in autoantibody-dependent systemic autoimmune disease</w:t>
      </w:r>
      <w:r w:rsidRPr="00072AEC">
        <w:rPr>
          <w:rFonts w:ascii="Book Antiqua" w:eastAsia="宋体" w:hAnsi="Book Antiqua" w:cs="Times New Roman"/>
          <w:bCs/>
          <w:color w:val="000000" w:themeColor="text1"/>
          <w:sz w:val="20"/>
          <w:szCs w:val="20"/>
          <w:vertAlign w:val="superscript"/>
        </w:rPr>
        <w:t>[112]</w:t>
      </w:r>
      <w:r w:rsidRPr="00072AEC">
        <w:rPr>
          <w:rFonts w:ascii="Book Antiqua" w:eastAsia="宋体" w:hAnsi="Book Antiqua" w:cs="Times New Roman"/>
          <w:bCs/>
          <w:color w:val="000000" w:themeColor="text1"/>
          <w:sz w:val="20"/>
          <w:szCs w:val="20"/>
        </w:rPr>
        <w:t>. Reciprocally, recipient B cells and MHC class II–reactive donor-specific antibodies promote macrophage infiltration</w:t>
      </w:r>
      <w:r w:rsidRPr="00072AEC">
        <w:rPr>
          <w:rFonts w:ascii="Book Antiqua" w:eastAsia="宋体" w:hAnsi="Book Antiqua" w:cs="Times New Roman"/>
          <w:bCs/>
          <w:color w:val="000000" w:themeColor="text1"/>
          <w:sz w:val="20"/>
          <w:szCs w:val="20"/>
          <w:vertAlign w:val="superscript"/>
        </w:rPr>
        <w:t>[113]</w:t>
      </w:r>
      <w:r w:rsidRPr="00072AEC">
        <w:rPr>
          <w:rFonts w:ascii="Book Antiqua" w:eastAsia="宋体" w:hAnsi="Book Antiqua" w:cs="Times New Roman"/>
          <w:bCs/>
          <w:color w:val="000000" w:themeColor="text1"/>
          <w:sz w:val="20"/>
          <w:szCs w:val="20"/>
        </w:rPr>
        <w:t>. Interestingly, macrophage-depletion decreased TGF-β level</w:t>
      </w:r>
      <w:r w:rsidR="00AE6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worse</w:t>
      </w:r>
      <w:r w:rsidR="00AE6D67" w:rsidRPr="00072AEC">
        <w:rPr>
          <w:rFonts w:ascii="Book Antiqua" w:eastAsia="宋体" w:hAnsi="Book Antiqua" w:cs="Times New Roman"/>
          <w:bCs/>
          <w:color w:val="000000" w:themeColor="text1"/>
          <w:sz w:val="20"/>
          <w:szCs w:val="20"/>
        </w:rPr>
        <w:t>ned</w:t>
      </w:r>
      <w:r w:rsidRPr="00072AEC">
        <w:rPr>
          <w:rFonts w:ascii="Book Antiqua" w:eastAsia="宋体" w:hAnsi="Book Antiqua" w:cs="Times New Roman"/>
          <w:bCs/>
          <w:color w:val="000000" w:themeColor="text1"/>
          <w:sz w:val="20"/>
          <w:szCs w:val="20"/>
        </w:rPr>
        <w:t xml:space="preserve"> GVHD but increased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infiltration, while B cell-depletion led to higher level</w:t>
      </w:r>
      <w:r w:rsidR="00AE6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of TGF-β and less severe GVHD, especially liver fibrosis</w:t>
      </w:r>
      <w:r w:rsidRPr="00072AEC">
        <w:rPr>
          <w:rFonts w:ascii="Book Antiqua" w:eastAsia="宋体" w:hAnsi="Book Antiqua" w:cs="Times New Roman"/>
          <w:bCs/>
          <w:color w:val="000000" w:themeColor="text1"/>
          <w:sz w:val="20"/>
          <w:szCs w:val="20"/>
          <w:vertAlign w:val="superscript"/>
        </w:rPr>
        <w:t>[114]</w:t>
      </w:r>
      <w:r w:rsidRPr="00072AEC">
        <w:rPr>
          <w:rFonts w:ascii="Book Antiqua" w:eastAsia="宋体" w:hAnsi="Book Antiqua" w:cs="Times New Roman"/>
          <w:bCs/>
          <w:color w:val="000000" w:themeColor="text1"/>
          <w:sz w:val="20"/>
          <w:szCs w:val="20"/>
        </w:rPr>
        <w:t>.A potential explanation is that depleting macrophages can lead to the misbalance of homeostasis in the immune response, whereas the regulation of B cells, which are primary actors, lead to direct and explicit results.</w:t>
      </w:r>
    </w:p>
    <w:p w14:paraId="5519C220" w14:textId="77777777" w:rsidR="002044A9" w:rsidRPr="00072AEC" w:rsidRDefault="002044A9" w:rsidP="00072AEC">
      <w:pPr>
        <w:autoSpaceDE w:val="0"/>
        <w:autoSpaceDN w:val="0"/>
        <w:adjustRightInd w:val="0"/>
        <w:snapToGrid w:val="0"/>
        <w:spacing w:line="360" w:lineRule="auto"/>
        <w:rPr>
          <w:rFonts w:ascii="Book Antiqua" w:eastAsia="宋体" w:hAnsi="Book Antiqua" w:cs="Times New Roman"/>
          <w:bCs/>
          <w:color w:val="000000" w:themeColor="text1"/>
          <w:sz w:val="20"/>
          <w:szCs w:val="20"/>
        </w:rPr>
      </w:pPr>
    </w:p>
    <w:p w14:paraId="58392276" w14:textId="77777777" w:rsidR="002044A9" w:rsidRPr="00072AEC" w:rsidRDefault="002044A9" w:rsidP="00072AEC">
      <w:pPr>
        <w:autoSpaceDE w:val="0"/>
        <w:autoSpaceDN w:val="0"/>
        <w:adjustRightInd w:val="0"/>
        <w:snapToGrid w:val="0"/>
        <w:spacing w:line="360" w:lineRule="auto"/>
        <w:rPr>
          <w:rFonts w:ascii="Book Antiqua" w:eastAsia="宋体" w:hAnsi="Book Antiqua" w:cs="Times New Roman"/>
          <w:b/>
          <w:color w:val="000000" w:themeColor="text1"/>
          <w:sz w:val="20"/>
          <w:szCs w:val="20"/>
          <w:u w:val="single"/>
        </w:rPr>
      </w:pPr>
      <w:r w:rsidRPr="00072AEC">
        <w:rPr>
          <w:rFonts w:ascii="Book Antiqua" w:eastAsia="宋体" w:hAnsi="Book Antiqua" w:cs="Times New Roman"/>
          <w:b/>
          <w:color w:val="000000" w:themeColor="text1"/>
          <w:sz w:val="20"/>
          <w:szCs w:val="20"/>
          <w:u w:val="single"/>
        </w:rPr>
        <w:t>CONCLUSION</w:t>
      </w:r>
    </w:p>
    <w:p w14:paraId="22EBE4BB" w14:textId="3F8244A7" w:rsidR="002044A9" w:rsidRPr="00072AEC" w:rsidRDefault="002044A9" w:rsidP="00072AEC">
      <w:pPr>
        <w:autoSpaceDE w:val="0"/>
        <w:autoSpaceDN w:val="0"/>
        <w:adjustRightInd w:val="0"/>
        <w:snapToGrid w:val="0"/>
        <w:spacing w:line="360" w:lineRule="auto"/>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Despite advances in GVHD pathogenesis and therapy, GVHD is still a threat to limit administration of </w:t>
      </w:r>
      <w:r w:rsidR="00483B68" w:rsidRPr="00072AEC">
        <w:rPr>
          <w:rFonts w:ascii="Book Antiqua" w:hAnsi="Book Antiqua" w:cs="Arial"/>
          <w:bCs/>
          <w:color w:val="000000" w:themeColor="text1"/>
          <w:sz w:val="20"/>
          <w:szCs w:val="20"/>
        </w:rPr>
        <w:t>hematopoietic stem cell transplantation</w:t>
      </w:r>
      <w:r w:rsidRPr="00072AEC">
        <w:rPr>
          <w:rFonts w:ascii="Book Antiqua" w:eastAsia="宋体" w:hAnsi="Book Antiqua" w:cs="Times New Roman"/>
          <w:bCs/>
          <w:color w:val="000000" w:themeColor="text1"/>
          <w:sz w:val="20"/>
          <w:szCs w:val="20"/>
        </w:rPr>
        <w:t>. Essentially, it is immune cell response</w:t>
      </w:r>
      <w:r w:rsidR="00AE6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that contribute to GVHD. Macrophage infiltration correlates to GVHD occurrence and development with a functional regulation of macrophage polarization, </w:t>
      </w:r>
      <w:r w:rsidR="00AE6D67" w:rsidRPr="00072AEC">
        <w:rPr>
          <w:rFonts w:ascii="Book Antiqua" w:eastAsia="宋体" w:hAnsi="Book Antiqua" w:cs="Times New Roman"/>
          <w:bCs/>
          <w:color w:val="000000" w:themeColor="text1"/>
          <w:sz w:val="20"/>
          <w:szCs w:val="20"/>
        </w:rPr>
        <w:t xml:space="preserve">production of </w:t>
      </w:r>
      <w:r w:rsidRPr="00072AEC">
        <w:rPr>
          <w:rFonts w:ascii="Book Antiqua" w:eastAsia="宋体" w:hAnsi="Book Antiqua" w:cs="Times New Roman"/>
          <w:bCs/>
          <w:color w:val="000000" w:themeColor="text1"/>
          <w:sz w:val="20"/>
          <w:szCs w:val="20"/>
        </w:rPr>
        <w:t>cytokines, and interaction with other cells. Therapies target</w:t>
      </w:r>
      <w:r w:rsidR="00AE6D67" w:rsidRPr="00072AEC">
        <w:rPr>
          <w:rFonts w:ascii="Book Antiqua" w:eastAsia="宋体" w:hAnsi="Book Antiqua" w:cs="Times New Roman"/>
          <w:bCs/>
          <w:color w:val="000000" w:themeColor="text1"/>
          <w:sz w:val="20"/>
          <w:szCs w:val="20"/>
        </w:rPr>
        <w:t>ing</w:t>
      </w:r>
      <w:r w:rsidRPr="00072AEC">
        <w:rPr>
          <w:rFonts w:ascii="Book Antiqua" w:eastAsia="宋体" w:hAnsi="Book Antiqua" w:cs="Times New Roman"/>
          <w:bCs/>
          <w:color w:val="000000" w:themeColor="text1"/>
          <w:sz w:val="20"/>
          <w:szCs w:val="20"/>
        </w:rPr>
        <w:t xml:space="preserve"> macrophage</w:t>
      </w:r>
      <w:r w:rsidR="00AE6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to regulate macrophage infiltration have been reported.</w:t>
      </w:r>
    </w:p>
    <w:p w14:paraId="4EB2A7EF" w14:textId="77777777" w:rsidR="002044A9" w:rsidRPr="00072AEC" w:rsidRDefault="002044A9" w:rsidP="00072AEC">
      <w:pPr>
        <w:autoSpaceDE w:val="0"/>
        <w:autoSpaceDN w:val="0"/>
        <w:adjustRightInd w:val="0"/>
        <w:snapToGrid w:val="0"/>
        <w:spacing w:line="360" w:lineRule="auto"/>
        <w:rPr>
          <w:rFonts w:ascii="Book Antiqua" w:eastAsia="宋体" w:hAnsi="Book Antiqua" w:cs="Times New Roman"/>
          <w:bCs/>
          <w:color w:val="000000" w:themeColor="text1"/>
          <w:sz w:val="20"/>
          <w:szCs w:val="20"/>
        </w:rPr>
      </w:pPr>
    </w:p>
    <w:p w14:paraId="44959FE2" w14:textId="77777777" w:rsidR="00CC7465" w:rsidRPr="00072AEC" w:rsidRDefault="00CC7465" w:rsidP="00072AEC">
      <w:pPr>
        <w:shd w:val="clear" w:color="auto" w:fill="FFFFFF"/>
        <w:snapToGrid w:val="0"/>
        <w:spacing w:line="360" w:lineRule="auto"/>
        <w:rPr>
          <w:rFonts w:ascii="Book Antiqua" w:hAnsi="Book Antiqua"/>
          <w:b/>
          <w:color w:val="000000"/>
          <w:sz w:val="20"/>
          <w:szCs w:val="20"/>
        </w:rPr>
      </w:pPr>
      <w:r w:rsidRPr="00072AEC">
        <w:rPr>
          <w:rFonts w:ascii="Book Antiqua" w:hAnsi="Book Antiqua"/>
          <w:b/>
          <w:color w:val="000000"/>
          <w:sz w:val="20"/>
          <w:szCs w:val="20"/>
        </w:rPr>
        <w:t>REFERENCES</w:t>
      </w:r>
    </w:p>
    <w:p w14:paraId="2CA9A44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 </w:t>
      </w:r>
      <w:r w:rsidRPr="00072AEC">
        <w:rPr>
          <w:rFonts w:ascii="Book Antiqua" w:hAnsi="Book Antiqua"/>
          <w:b/>
          <w:sz w:val="20"/>
          <w:szCs w:val="20"/>
        </w:rPr>
        <w:t>Pidala J</w:t>
      </w:r>
      <w:r w:rsidRPr="00072AEC">
        <w:rPr>
          <w:rFonts w:ascii="Book Antiqua" w:hAnsi="Book Antiqua"/>
          <w:sz w:val="20"/>
          <w:szCs w:val="20"/>
        </w:rPr>
        <w:t xml:space="preserve">, Kim J, Anasetti C, Nishihori T, Betts B, Field T, Perkins J. The global severity of chronic graft-versus-host disease, determined by National Institutes of Health consensus criteria, is associated with overall survival and non-relapse mortality. </w:t>
      </w:r>
      <w:r w:rsidRPr="00072AEC">
        <w:rPr>
          <w:rFonts w:ascii="Book Antiqua" w:hAnsi="Book Antiqua"/>
          <w:i/>
          <w:sz w:val="20"/>
          <w:szCs w:val="20"/>
        </w:rPr>
        <w:t>Haematologica</w:t>
      </w:r>
      <w:r w:rsidRPr="00072AEC">
        <w:rPr>
          <w:rFonts w:ascii="Book Antiqua" w:hAnsi="Book Antiqua"/>
          <w:sz w:val="20"/>
          <w:szCs w:val="20"/>
        </w:rPr>
        <w:t xml:space="preserve"> 2011; </w:t>
      </w:r>
      <w:r w:rsidRPr="00072AEC">
        <w:rPr>
          <w:rFonts w:ascii="Book Antiqua" w:hAnsi="Book Antiqua"/>
          <w:b/>
          <w:sz w:val="20"/>
          <w:szCs w:val="20"/>
        </w:rPr>
        <w:t>96</w:t>
      </w:r>
      <w:r w:rsidRPr="00072AEC">
        <w:rPr>
          <w:rFonts w:ascii="Book Antiqua" w:hAnsi="Book Antiqua"/>
          <w:sz w:val="20"/>
          <w:szCs w:val="20"/>
        </w:rPr>
        <w:t>: 1678-1684 [PMID: 21791465 DOI: 10.3324/haematol.2011.049841]</w:t>
      </w:r>
    </w:p>
    <w:p w14:paraId="030F342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 </w:t>
      </w:r>
      <w:r w:rsidRPr="00072AEC">
        <w:rPr>
          <w:rFonts w:ascii="Book Antiqua" w:hAnsi="Book Antiqua"/>
          <w:b/>
          <w:sz w:val="20"/>
          <w:szCs w:val="20"/>
        </w:rPr>
        <w:t>Filipovich AH</w:t>
      </w:r>
      <w:r w:rsidRPr="00072AEC">
        <w:rPr>
          <w:rFonts w:ascii="Book Antiqua" w:hAnsi="Book Antiqua"/>
          <w:sz w:val="20"/>
          <w:szCs w:val="20"/>
        </w:rPr>
        <w:t xml:space="preserve">, Weisdorf D, Pavletic S, Socie G, Wingard JR, Lee SJ, Martin P, Chien J, Przepiorka D, Couriel D, Cowen EW, Dinndorf P, Farrell A, Hartzman R, Henslee-Downey J, Jacobsohn D, McDonald G, Mittleman B, Rizzo JD, Robinson M, Schubert M, Schultz K, Shulman H, Turner M, Vogelsang G, Flowers ME. National Institutes of Health consensus development project on criteria for clinical trials in chronic graft-versus-host disease: I. Diagnosis and staging working group report. </w:t>
      </w:r>
      <w:r w:rsidRPr="00072AEC">
        <w:rPr>
          <w:rFonts w:ascii="Book Antiqua" w:hAnsi="Book Antiqua"/>
          <w:i/>
          <w:sz w:val="20"/>
          <w:szCs w:val="20"/>
        </w:rPr>
        <w:t>Biol Blood Marrow Transplant</w:t>
      </w:r>
      <w:r w:rsidRPr="00072AEC">
        <w:rPr>
          <w:rFonts w:ascii="Book Antiqua" w:hAnsi="Book Antiqua"/>
          <w:sz w:val="20"/>
          <w:szCs w:val="20"/>
        </w:rPr>
        <w:t xml:space="preserve"> 2005; </w:t>
      </w:r>
      <w:r w:rsidRPr="00072AEC">
        <w:rPr>
          <w:rFonts w:ascii="Book Antiqua" w:hAnsi="Book Antiqua"/>
          <w:b/>
          <w:sz w:val="20"/>
          <w:szCs w:val="20"/>
        </w:rPr>
        <w:t>11</w:t>
      </w:r>
      <w:r w:rsidRPr="00072AEC">
        <w:rPr>
          <w:rFonts w:ascii="Book Antiqua" w:hAnsi="Book Antiqua"/>
          <w:sz w:val="20"/>
          <w:szCs w:val="20"/>
        </w:rPr>
        <w:t>: 945-956 [PMID: 16338616 DOI: 10.1016/j.bbmt.2005.09.004]</w:t>
      </w:r>
    </w:p>
    <w:p w14:paraId="795043C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 </w:t>
      </w:r>
      <w:r w:rsidRPr="00072AEC">
        <w:rPr>
          <w:rFonts w:ascii="Book Antiqua" w:hAnsi="Book Antiqua"/>
          <w:b/>
          <w:sz w:val="20"/>
          <w:szCs w:val="20"/>
        </w:rPr>
        <w:t>Jagasia MH</w:t>
      </w:r>
      <w:r w:rsidRPr="00072AEC">
        <w:rPr>
          <w:rFonts w:ascii="Book Antiqua" w:hAnsi="Book Antiqua"/>
          <w:sz w:val="20"/>
          <w:szCs w:val="20"/>
        </w:rPr>
        <w:t xml:space="preserve">, Greinix HT, Arora M, Williams KM, Wolff D, Cowen EW, Palmer J, Weisdorf D, Treister NS, Cheng GS, Kerr H, Stratton P, Duarte RF, McDonald GB, Inamoto Y, Vigorito A, Arai S, Datiles MB, Jacobsohn D, Heller T, Kitko CL, Mitchell SA, Martin PJ, Shulman H, Wu RS, Cutler CS, Vogelsang GB, Lee SJ, Pavletic SZ, Flowers ME. National Institutes of Health Consensus Development Project on Criteria for Clinical Trials in Chronic Graft-versus-Host Disease: I. The 2014 Diagnosis and Staging Working Group report. </w:t>
      </w:r>
      <w:r w:rsidRPr="00072AEC">
        <w:rPr>
          <w:rFonts w:ascii="Book Antiqua" w:hAnsi="Book Antiqua"/>
          <w:i/>
          <w:sz w:val="20"/>
          <w:szCs w:val="20"/>
        </w:rPr>
        <w:t>Biol Blood Marrow Transplant</w:t>
      </w:r>
      <w:r w:rsidRPr="00072AEC">
        <w:rPr>
          <w:rFonts w:ascii="Book Antiqua" w:hAnsi="Book Antiqua"/>
          <w:sz w:val="20"/>
          <w:szCs w:val="20"/>
        </w:rPr>
        <w:t xml:space="preserve"> 2015; </w:t>
      </w:r>
      <w:r w:rsidRPr="00072AEC">
        <w:rPr>
          <w:rFonts w:ascii="Book Antiqua" w:hAnsi="Book Antiqua"/>
          <w:b/>
          <w:sz w:val="20"/>
          <w:szCs w:val="20"/>
        </w:rPr>
        <w:t>21</w:t>
      </w:r>
      <w:r w:rsidRPr="00072AEC">
        <w:rPr>
          <w:rFonts w:ascii="Book Antiqua" w:hAnsi="Book Antiqua"/>
          <w:sz w:val="20"/>
          <w:szCs w:val="20"/>
        </w:rPr>
        <w:t>: 389-401.e1 [PMID: 25529383 DOI: 10.1016/j.bbmt.2014.12.001]</w:t>
      </w:r>
    </w:p>
    <w:p w14:paraId="17464A4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 </w:t>
      </w:r>
      <w:r w:rsidRPr="00072AEC">
        <w:rPr>
          <w:rFonts w:ascii="Book Antiqua" w:hAnsi="Book Antiqua"/>
          <w:b/>
          <w:sz w:val="20"/>
          <w:szCs w:val="20"/>
        </w:rPr>
        <w:t>Zeiser R</w:t>
      </w:r>
      <w:r w:rsidRPr="00072AEC">
        <w:rPr>
          <w:rFonts w:ascii="Book Antiqua" w:hAnsi="Book Antiqua"/>
          <w:sz w:val="20"/>
          <w:szCs w:val="20"/>
        </w:rPr>
        <w:t xml:space="preserve">, Blazar BR. Acute Graft-versus-Host Disease - Biologic Process, Prevention, and Therapy. </w:t>
      </w:r>
      <w:r w:rsidRPr="00072AEC">
        <w:rPr>
          <w:rFonts w:ascii="Book Antiqua" w:hAnsi="Book Antiqua"/>
          <w:i/>
          <w:sz w:val="20"/>
          <w:szCs w:val="20"/>
        </w:rPr>
        <w:t>N Engl J Med</w:t>
      </w:r>
      <w:r w:rsidRPr="00072AEC">
        <w:rPr>
          <w:rFonts w:ascii="Book Antiqua" w:hAnsi="Book Antiqua"/>
          <w:sz w:val="20"/>
          <w:szCs w:val="20"/>
        </w:rPr>
        <w:t xml:space="preserve"> 2017; </w:t>
      </w:r>
      <w:r w:rsidRPr="00072AEC">
        <w:rPr>
          <w:rFonts w:ascii="Book Antiqua" w:hAnsi="Book Antiqua"/>
          <w:b/>
          <w:sz w:val="20"/>
          <w:szCs w:val="20"/>
        </w:rPr>
        <w:t>377</w:t>
      </w:r>
      <w:r w:rsidRPr="00072AEC">
        <w:rPr>
          <w:rFonts w:ascii="Book Antiqua" w:hAnsi="Book Antiqua"/>
          <w:sz w:val="20"/>
          <w:szCs w:val="20"/>
        </w:rPr>
        <w:t>: 2167-2179 [PMID: 29171820 DOI: 10.1056/NEJMra1609337]</w:t>
      </w:r>
    </w:p>
    <w:p w14:paraId="7E9C2363"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 </w:t>
      </w:r>
      <w:r w:rsidRPr="00072AEC">
        <w:rPr>
          <w:rFonts w:ascii="Book Antiqua" w:hAnsi="Book Antiqua"/>
          <w:b/>
          <w:sz w:val="20"/>
          <w:szCs w:val="20"/>
        </w:rPr>
        <w:t>Gyurkocza B</w:t>
      </w:r>
      <w:r w:rsidRPr="00072AEC">
        <w:rPr>
          <w:rFonts w:ascii="Book Antiqua" w:hAnsi="Book Antiqua"/>
          <w:sz w:val="20"/>
          <w:szCs w:val="20"/>
        </w:rPr>
        <w:t xml:space="preserve">, Sandmaier BM. Conditioning regimens for hematopoietic cell transplantation: one size does not fit all. </w:t>
      </w:r>
      <w:r w:rsidRPr="00072AEC">
        <w:rPr>
          <w:rFonts w:ascii="Book Antiqua" w:hAnsi="Book Antiqua"/>
          <w:i/>
          <w:sz w:val="20"/>
          <w:szCs w:val="20"/>
        </w:rPr>
        <w:t>Blood</w:t>
      </w:r>
      <w:r w:rsidRPr="00072AEC">
        <w:rPr>
          <w:rFonts w:ascii="Book Antiqua" w:hAnsi="Book Antiqua"/>
          <w:sz w:val="20"/>
          <w:szCs w:val="20"/>
        </w:rPr>
        <w:t xml:space="preserve"> 2014; </w:t>
      </w:r>
      <w:r w:rsidRPr="00072AEC">
        <w:rPr>
          <w:rFonts w:ascii="Book Antiqua" w:hAnsi="Book Antiqua"/>
          <w:b/>
          <w:sz w:val="20"/>
          <w:szCs w:val="20"/>
        </w:rPr>
        <w:t>124</w:t>
      </w:r>
      <w:r w:rsidRPr="00072AEC">
        <w:rPr>
          <w:rFonts w:ascii="Book Antiqua" w:hAnsi="Book Antiqua"/>
          <w:sz w:val="20"/>
          <w:szCs w:val="20"/>
        </w:rPr>
        <w:t>: 344-353 [PMID: 24914142 DOI: 10.1182/blood-2014-02-514778]</w:t>
      </w:r>
    </w:p>
    <w:p w14:paraId="4706838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 </w:t>
      </w:r>
      <w:r w:rsidRPr="00072AEC">
        <w:rPr>
          <w:rFonts w:ascii="Book Antiqua" w:hAnsi="Book Antiqua"/>
          <w:b/>
          <w:sz w:val="20"/>
          <w:szCs w:val="20"/>
        </w:rPr>
        <w:t>Flowers ME</w:t>
      </w:r>
      <w:r w:rsidRPr="00072AEC">
        <w:rPr>
          <w:rFonts w:ascii="Book Antiqua" w:hAnsi="Book Antiqua"/>
          <w:sz w:val="20"/>
          <w:szCs w:val="20"/>
        </w:rPr>
        <w:t xml:space="preserve">, Inamoto Y, Carpenter PA, Lee SJ, Kiem HP, Petersdorf EW, Pereira SE, Nash RA, Mielcarek M, Fero ML, Warren EH, Sanders JE, Storb RF, Appelbaum FR, Storer BE, Martin PJ. Comparative analysis of risk factors for acute graft-versus-host disease and for chronic graft-versus-host disease according to National Institutes of Health consensus criteria. </w:t>
      </w:r>
      <w:r w:rsidRPr="00072AEC">
        <w:rPr>
          <w:rFonts w:ascii="Book Antiqua" w:hAnsi="Book Antiqua"/>
          <w:i/>
          <w:sz w:val="20"/>
          <w:szCs w:val="20"/>
        </w:rPr>
        <w:t>Blood</w:t>
      </w:r>
      <w:r w:rsidRPr="00072AEC">
        <w:rPr>
          <w:rFonts w:ascii="Book Antiqua" w:hAnsi="Book Antiqua"/>
          <w:sz w:val="20"/>
          <w:szCs w:val="20"/>
        </w:rPr>
        <w:t xml:space="preserve"> 2011; </w:t>
      </w:r>
      <w:r w:rsidRPr="00072AEC">
        <w:rPr>
          <w:rFonts w:ascii="Book Antiqua" w:hAnsi="Book Antiqua"/>
          <w:b/>
          <w:sz w:val="20"/>
          <w:szCs w:val="20"/>
        </w:rPr>
        <w:t>117</w:t>
      </w:r>
      <w:r w:rsidRPr="00072AEC">
        <w:rPr>
          <w:rFonts w:ascii="Book Antiqua" w:hAnsi="Book Antiqua"/>
          <w:sz w:val="20"/>
          <w:szCs w:val="20"/>
        </w:rPr>
        <w:t>: 3214-3219 [PMID: 21263156 DOI: 10.1182/blood-2010-08-302109]</w:t>
      </w:r>
    </w:p>
    <w:p w14:paraId="5FEFAD2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 </w:t>
      </w:r>
      <w:r w:rsidRPr="00072AEC">
        <w:rPr>
          <w:rFonts w:ascii="Book Antiqua" w:hAnsi="Book Antiqua"/>
          <w:b/>
          <w:sz w:val="20"/>
          <w:szCs w:val="20"/>
        </w:rPr>
        <w:t>Petersdorf EW</w:t>
      </w:r>
      <w:r w:rsidRPr="00072AEC">
        <w:rPr>
          <w:rFonts w:ascii="Book Antiqua" w:hAnsi="Book Antiqua"/>
          <w:sz w:val="20"/>
          <w:szCs w:val="20"/>
        </w:rPr>
        <w:t xml:space="preserve">. Genetics of graft-versus-host disease: the major histocompatibility complex. </w:t>
      </w:r>
      <w:r w:rsidRPr="00072AEC">
        <w:rPr>
          <w:rFonts w:ascii="Book Antiqua" w:hAnsi="Book Antiqua"/>
          <w:i/>
          <w:sz w:val="20"/>
          <w:szCs w:val="20"/>
        </w:rPr>
        <w:t>Blood Rev</w:t>
      </w:r>
      <w:r w:rsidRPr="00072AEC">
        <w:rPr>
          <w:rFonts w:ascii="Book Antiqua" w:hAnsi="Book Antiqua"/>
          <w:sz w:val="20"/>
          <w:szCs w:val="20"/>
        </w:rPr>
        <w:t xml:space="preserve"> 2013; </w:t>
      </w:r>
      <w:r w:rsidRPr="00072AEC">
        <w:rPr>
          <w:rFonts w:ascii="Book Antiqua" w:hAnsi="Book Antiqua"/>
          <w:b/>
          <w:sz w:val="20"/>
          <w:szCs w:val="20"/>
        </w:rPr>
        <w:t>27</w:t>
      </w:r>
      <w:r w:rsidRPr="00072AEC">
        <w:rPr>
          <w:rFonts w:ascii="Book Antiqua" w:hAnsi="Book Antiqua"/>
          <w:sz w:val="20"/>
          <w:szCs w:val="20"/>
        </w:rPr>
        <w:t>: 1-12 [PMID: 23182478 DOI: 10.1016/j.blre.2012.10.001]</w:t>
      </w:r>
    </w:p>
    <w:p w14:paraId="08D1867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 </w:t>
      </w:r>
      <w:r w:rsidRPr="00072AEC">
        <w:rPr>
          <w:rFonts w:ascii="Book Antiqua" w:hAnsi="Book Antiqua"/>
          <w:b/>
          <w:sz w:val="20"/>
          <w:szCs w:val="20"/>
        </w:rPr>
        <w:t>Petersdorf EW</w:t>
      </w:r>
      <w:r w:rsidRPr="00072AEC">
        <w:rPr>
          <w:rFonts w:ascii="Book Antiqua" w:hAnsi="Book Antiqua"/>
          <w:sz w:val="20"/>
          <w:szCs w:val="20"/>
        </w:rPr>
        <w:t xml:space="preserve">. The major histocompatibility complex: a model for understanding graft-versus-host disease. </w:t>
      </w:r>
      <w:r w:rsidRPr="00072AEC">
        <w:rPr>
          <w:rFonts w:ascii="Book Antiqua" w:hAnsi="Book Antiqua"/>
          <w:i/>
          <w:sz w:val="20"/>
          <w:szCs w:val="20"/>
        </w:rPr>
        <w:t>Blood</w:t>
      </w:r>
      <w:r w:rsidRPr="00072AEC">
        <w:rPr>
          <w:rFonts w:ascii="Book Antiqua" w:hAnsi="Book Antiqua"/>
          <w:sz w:val="20"/>
          <w:szCs w:val="20"/>
        </w:rPr>
        <w:t xml:space="preserve"> 2013; </w:t>
      </w:r>
      <w:r w:rsidRPr="00072AEC">
        <w:rPr>
          <w:rFonts w:ascii="Book Antiqua" w:hAnsi="Book Antiqua"/>
          <w:b/>
          <w:sz w:val="20"/>
          <w:szCs w:val="20"/>
        </w:rPr>
        <w:t>122</w:t>
      </w:r>
      <w:r w:rsidRPr="00072AEC">
        <w:rPr>
          <w:rFonts w:ascii="Book Antiqua" w:hAnsi="Book Antiqua"/>
          <w:sz w:val="20"/>
          <w:szCs w:val="20"/>
        </w:rPr>
        <w:t>: 1863-1872 [PMID: 23878143 DOI: 10.1182/blood-2013-05-355982]</w:t>
      </w:r>
    </w:p>
    <w:p w14:paraId="6920FF1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 </w:t>
      </w:r>
      <w:r w:rsidRPr="00072AEC">
        <w:rPr>
          <w:rFonts w:ascii="Book Antiqua" w:hAnsi="Book Antiqua"/>
          <w:b/>
          <w:sz w:val="20"/>
          <w:szCs w:val="20"/>
        </w:rPr>
        <w:t>Shlomchik WD</w:t>
      </w:r>
      <w:r w:rsidRPr="00072AEC">
        <w:rPr>
          <w:rFonts w:ascii="Book Antiqua" w:hAnsi="Book Antiqua"/>
          <w:sz w:val="20"/>
          <w:szCs w:val="20"/>
        </w:rPr>
        <w:t xml:space="preserve">. Graft-versus-host disease. </w:t>
      </w:r>
      <w:r w:rsidRPr="00072AEC">
        <w:rPr>
          <w:rFonts w:ascii="Book Antiqua" w:hAnsi="Book Antiqua"/>
          <w:i/>
          <w:sz w:val="20"/>
          <w:szCs w:val="20"/>
        </w:rPr>
        <w:t>Nat Rev Immunol</w:t>
      </w:r>
      <w:r w:rsidRPr="00072AEC">
        <w:rPr>
          <w:rFonts w:ascii="Book Antiqua" w:hAnsi="Book Antiqua"/>
          <w:sz w:val="20"/>
          <w:szCs w:val="20"/>
        </w:rPr>
        <w:t xml:space="preserve"> 2007; </w:t>
      </w:r>
      <w:r w:rsidRPr="00072AEC">
        <w:rPr>
          <w:rFonts w:ascii="Book Antiqua" w:hAnsi="Book Antiqua"/>
          <w:b/>
          <w:sz w:val="20"/>
          <w:szCs w:val="20"/>
        </w:rPr>
        <w:t>7</w:t>
      </w:r>
      <w:r w:rsidRPr="00072AEC">
        <w:rPr>
          <w:rFonts w:ascii="Book Antiqua" w:hAnsi="Book Antiqua"/>
          <w:sz w:val="20"/>
          <w:szCs w:val="20"/>
        </w:rPr>
        <w:t>: 340-352 [PMID: 17438575 DOI: 10.1038/nri2000]</w:t>
      </w:r>
    </w:p>
    <w:p w14:paraId="31E5F59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 </w:t>
      </w:r>
      <w:r w:rsidRPr="00072AEC">
        <w:rPr>
          <w:rFonts w:ascii="Book Antiqua" w:hAnsi="Book Antiqua"/>
          <w:b/>
          <w:sz w:val="20"/>
          <w:szCs w:val="20"/>
        </w:rPr>
        <w:t>Henden AS</w:t>
      </w:r>
      <w:r w:rsidRPr="00072AEC">
        <w:rPr>
          <w:rFonts w:ascii="Book Antiqua" w:hAnsi="Book Antiqua"/>
          <w:sz w:val="20"/>
          <w:szCs w:val="20"/>
        </w:rPr>
        <w:t xml:space="preserve">, Hill GR. Cytokines in Graft-versus-Host Disease. </w:t>
      </w:r>
      <w:r w:rsidRPr="00072AEC">
        <w:rPr>
          <w:rFonts w:ascii="Book Antiqua" w:hAnsi="Book Antiqua"/>
          <w:i/>
          <w:sz w:val="20"/>
          <w:szCs w:val="20"/>
        </w:rPr>
        <w:t>J Immunol</w:t>
      </w:r>
      <w:r w:rsidRPr="00072AEC">
        <w:rPr>
          <w:rFonts w:ascii="Book Antiqua" w:hAnsi="Book Antiqua"/>
          <w:sz w:val="20"/>
          <w:szCs w:val="20"/>
        </w:rPr>
        <w:t xml:space="preserve"> 2015; </w:t>
      </w:r>
      <w:r w:rsidRPr="00072AEC">
        <w:rPr>
          <w:rFonts w:ascii="Book Antiqua" w:hAnsi="Book Antiqua"/>
          <w:b/>
          <w:sz w:val="20"/>
          <w:szCs w:val="20"/>
        </w:rPr>
        <w:t>194</w:t>
      </w:r>
      <w:r w:rsidRPr="00072AEC">
        <w:rPr>
          <w:rFonts w:ascii="Book Antiqua" w:hAnsi="Book Antiqua"/>
          <w:sz w:val="20"/>
          <w:szCs w:val="20"/>
        </w:rPr>
        <w:t>: 4604-4612 [PMID: 25934923 DOI: 10.4049/jimmunol.1500117]</w:t>
      </w:r>
    </w:p>
    <w:p w14:paraId="5E0C319E"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 </w:t>
      </w:r>
      <w:r w:rsidRPr="00072AEC">
        <w:rPr>
          <w:rFonts w:ascii="Book Antiqua" w:hAnsi="Book Antiqua"/>
          <w:b/>
          <w:sz w:val="20"/>
          <w:szCs w:val="20"/>
        </w:rPr>
        <w:t>Holtan SG</w:t>
      </w:r>
      <w:r w:rsidRPr="00072AEC">
        <w:rPr>
          <w:rFonts w:ascii="Book Antiqua" w:hAnsi="Book Antiqua"/>
          <w:sz w:val="20"/>
          <w:szCs w:val="20"/>
        </w:rPr>
        <w:t xml:space="preserve">, Pasquini M, Weisdorf DJ. Acute graft-versus-host disease: a bench-to-bedside update. </w:t>
      </w:r>
      <w:r w:rsidRPr="00072AEC">
        <w:rPr>
          <w:rFonts w:ascii="Book Antiqua" w:hAnsi="Book Antiqua"/>
          <w:i/>
          <w:sz w:val="20"/>
          <w:szCs w:val="20"/>
        </w:rPr>
        <w:t>Blood</w:t>
      </w:r>
      <w:r w:rsidRPr="00072AEC">
        <w:rPr>
          <w:rFonts w:ascii="Book Antiqua" w:hAnsi="Book Antiqua"/>
          <w:sz w:val="20"/>
          <w:szCs w:val="20"/>
        </w:rPr>
        <w:t xml:space="preserve"> 2014; </w:t>
      </w:r>
      <w:r w:rsidRPr="00072AEC">
        <w:rPr>
          <w:rFonts w:ascii="Book Antiqua" w:hAnsi="Book Antiqua"/>
          <w:b/>
          <w:sz w:val="20"/>
          <w:szCs w:val="20"/>
        </w:rPr>
        <w:t>124</w:t>
      </w:r>
      <w:r w:rsidRPr="00072AEC">
        <w:rPr>
          <w:rFonts w:ascii="Book Antiqua" w:hAnsi="Book Antiqua"/>
          <w:sz w:val="20"/>
          <w:szCs w:val="20"/>
        </w:rPr>
        <w:t>: 363-373 [PMID: 24914140 DOI: 10.1182/blood-2014-01-514786]</w:t>
      </w:r>
    </w:p>
    <w:p w14:paraId="14D8735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12 </w:t>
      </w:r>
      <w:r w:rsidRPr="00072AEC">
        <w:rPr>
          <w:rFonts w:ascii="Book Antiqua" w:hAnsi="Book Antiqua"/>
          <w:b/>
          <w:sz w:val="20"/>
          <w:szCs w:val="20"/>
        </w:rPr>
        <w:t>Markey KA</w:t>
      </w:r>
      <w:r w:rsidRPr="00072AEC">
        <w:rPr>
          <w:rFonts w:ascii="Book Antiqua" w:hAnsi="Book Antiqua"/>
          <w:sz w:val="20"/>
          <w:szCs w:val="20"/>
        </w:rPr>
        <w:t xml:space="preserve">, MacDonald KP, Hill GR. The biology of graft-versus-host disease: experimental systems instructing clinical practice. </w:t>
      </w:r>
      <w:r w:rsidRPr="00072AEC">
        <w:rPr>
          <w:rFonts w:ascii="Book Antiqua" w:hAnsi="Book Antiqua"/>
          <w:i/>
          <w:sz w:val="20"/>
          <w:szCs w:val="20"/>
        </w:rPr>
        <w:t>Blood</w:t>
      </w:r>
      <w:r w:rsidRPr="00072AEC">
        <w:rPr>
          <w:rFonts w:ascii="Book Antiqua" w:hAnsi="Book Antiqua"/>
          <w:sz w:val="20"/>
          <w:szCs w:val="20"/>
        </w:rPr>
        <w:t xml:space="preserve"> 2014; </w:t>
      </w:r>
      <w:r w:rsidRPr="00072AEC">
        <w:rPr>
          <w:rFonts w:ascii="Book Antiqua" w:hAnsi="Book Antiqua"/>
          <w:b/>
          <w:sz w:val="20"/>
          <w:szCs w:val="20"/>
        </w:rPr>
        <w:t>124</w:t>
      </w:r>
      <w:r w:rsidRPr="00072AEC">
        <w:rPr>
          <w:rFonts w:ascii="Book Antiqua" w:hAnsi="Book Antiqua"/>
          <w:sz w:val="20"/>
          <w:szCs w:val="20"/>
        </w:rPr>
        <w:t>: 354-362 [PMID: 24914137 DOI: 10.1182/blood-2014-02-514745]</w:t>
      </w:r>
    </w:p>
    <w:p w14:paraId="4ECD642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13 </w:t>
      </w:r>
      <w:r w:rsidRPr="00072AEC">
        <w:rPr>
          <w:rFonts w:ascii="Book Antiqua" w:hAnsi="Book Antiqua"/>
          <w:b/>
          <w:sz w:val="20"/>
          <w:szCs w:val="20"/>
        </w:rPr>
        <w:t>Ferrara JL</w:t>
      </w:r>
      <w:r w:rsidRPr="00072AEC">
        <w:rPr>
          <w:rFonts w:ascii="Book Antiqua" w:hAnsi="Book Antiqua"/>
          <w:sz w:val="20"/>
          <w:szCs w:val="20"/>
        </w:rPr>
        <w:t xml:space="preserve">, Levine JE, Reddy P, Holler E. Graft-versus-host disease. </w:t>
      </w:r>
      <w:r w:rsidRPr="00072AEC">
        <w:rPr>
          <w:rFonts w:ascii="Book Antiqua" w:hAnsi="Book Antiqua"/>
          <w:i/>
          <w:sz w:val="20"/>
          <w:szCs w:val="20"/>
        </w:rPr>
        <w:t>Lancet</w:t>
      </w:r>
      <w:r w:rsidRPr="00072AEC">
        <w:rPr>
          <w:rFonts w:ascii="Book Antiqua" w:hAnsi="Book Antiqua"/>
          <w:sz w:val="20"/>
          <w:szCs w:val="20"/>
        </w:rPr>
        <w:t xml:space="preserve"> 2009; </w:t>
      </w:r>
      <w:r w:rsidRPr="00072AEC">
        <w:rPr>
          <w:rFonts w:ascii="Book Antiqua" w:hAnsi="Book Antiqua"/>
          <w:b/>
          <w:sz w:val="20"/>
          <w:szCs w:val="20"/>
        </w:rPr>
        <w:t>373</w:t>
      </w:r>
      <w:r w:rsidRPr="00072AEC">
        <w:rPr>
          <w:rFonts w:ascii="Book Antiqua" w:hAnsi="Book Antiqua"/>
          <w:sz w:val="20"/>
          <w:szCs w:val="20"/>
        </w:rPr>
        <w:t>: 1550-1561 [PMID: 19282026 DOI: 10.1016/S0140-6736(09)60237-3]</w:t>
      </w:r>
    </w:p>
    <w:p w14:paraId="3888626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14 </w:t>
      </w:r>
      <w:r w:rsidRPr="00072AEC">
        <w:rPr>
          <w:rFonts w:ascii="Book Antiqua" w:hAnsi="Book Antiqua"/>
          <w:b/>
          <w:sz w:val="20"/>
          <w:szCs w:val="20"/>
        </w:rPr>
        <w:t>MacDonald KP</w:t>
      </w:r>
      <w:r w:rsidRPr="00072AEC">
        <w:rPr>
          <w:rFonts w:ascii="Book Antiqua" w:hAnsi="Book Antiqua"/>
          <w:sz w:val="20"/>
          <w:szCs w:val="20"/>
        </w:rPr>
        <w:t xml:space="preserve">, Blazar BR, Hill GR. Cytokine mediators of chronic graft-versus-host disease. </w:t>
      </w:r>
      <w:r w:rsidRPr="00072AEC">
        <w:rPr>
          <w:rFonts w:ascii="Book Antiqua" w:hAnsi="Book Antiqua"/>
          <w:i/>
          <w:sz w:val="20"/>
          <w:szCs w:val="20"/>
        </w:rPr>
        <w:t>J Clin Invest</w:t>
      </w:r>
      <w:r w:rsidRPr="00072AEC">
        <w:rPr>
          <w:rFonts w:ascii="Book Antiqua" w:hAnsi="Book Antiqua"/>
          <w:sz w:val="20"/>
          <w:szCs w:val="20"/>
        </w:rPr>
        <w:t xml:space="preserve"> 2017; </w:t>
      </w:r>
      <w:r w:rsidRPr="00072AEC">
        <w:rPr>
          <w:rFonts w:ascii="Book Antiqua" w:hAnsi="Book Antiqua"/>
          <w:b/>
          <w:sz w:val="20"/>
          <w:szCs w:val="20"/>
        </w:rPr>
        <w:t>127</w:t>
      </w:r>
      <w:r w:rsidRPr="00072AEC">
        <w:rPr>
          <w:rFonts w:ascii="Book Antiqua" w:hAnsi="Book Antiqua"/>
          <w:sz w:val="20"/>
          <w:szCs w:val="20"/>
        </w:rPr>
        <w:t>: 2452-2463 [PMID: 28665299 DOI: 10.1172/JCI90593]</w:t>
      </w:r>
    </w:p>
    <w:p w14:paraId="63338CF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15 </w:t>
      </w:r>
      <w:r w:rsidRPr="00072AEC">
        <w:rPr>
          <w:rFonts w:ascii="Book Antiqua" w:hAnsi="Book Antiqua"/>
          <w:b/>
          <w:sz w:val="20"/>
          <w:szCs w:val="20"/>
        </w:rPr>
        <w:t>Flynn R</w:t>
      </w:r>
      <w:r w:rsidRPr="00072AEC">
        <w:rPr>
          <w:rFonts w:ascii="Book Antiqua" w:hAnsi="Book Antiqua"/>
          <w:sz w:val="20"/>
          <w:szCs w:val="20"/>
        </w:rPr>
        <w:t xml:space="preserve">, Du J, Veenstra RG, Reichenbach DK, Panoskaltsis-Mortari A, Taylor PA, Freeman GJ, Serody JS, Murphy WJ, Munn DH, Sarantopoulos S, Luznik L, Maillard I, Koreth J, Cutler C, Soiffer RJ, Antin JH, Ritz J, Dubovsky JA, Byrd JC, MacDonald KP, Hill GR, Blazar BR. Increased T follicular helper cells and germinal center B cells are required for cGVHD and bronchiolitis obliterans. </w:t>
      </w:r>
      <w:r w:rsidRPr="00072AEC">
        <w:rPr>
          <w:rFonts w:ascii="Book Antiqua" w:hAnsi="Book Antiqua"/>
          <w:i/>
          <w:sz w:val="20"/>
          <w:szCs w:val="20"/>
        </w:rPr>
        <w:t>Blood</w:t>
      </w:r>
      <w:r w:rsidRPr="00072AEC">
        <w:rPr>
          <w:rFonts w:ascii="Book Antiqua" w:hAnsi="Book Antiqua"/>
          <w:sz w:val="20"/>
          <w:szCs w:val="20"/>
        </w:rPr>
        <w:t xml:space="preserve"> 2014; </w:t>
      </w:r>
      <w:r w:rsidRPr="00072AEC">
        <w:rPr>
          <w:rFonts w:ascii="Book Antiqua" w:hAnsi="Book Antiqua"/>
          <w:b/>
          <w:sz w:val="20"/>
          <w:szCs w:val="20"/>
        </w:rPr>
        <w:t>123</w:t>
      </w:r>
      <w:r w:rsidRPr="00072AEC">
        <w:rPr>
          <w:rFonts w:ascii="Book Antiqua" w:hAnsi="Book Antiqua"/>
          <w:sz w:val="20"/>
          <w:szCs w:val="20"/>
        </w:rPr>
        <w:t>: 3988-3998 [PMID: 24820310 DOI: 10.1182/blood-2014-03-562231]</w:t>
      </w:r>
    </w:p>
    <w:p w14:paraId="4BB2C1A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16 </w:t>
      </w:r>
      <w:r w:rsidRPr="00072AEC">
        <w:rPr>
          <w:rFonts w:ascii="Book Antiqua" w:hAnsi="Book Antiqua"/>
          <w:b/>
          <w:sz w:val="20"/>
          <w:szCs w:val="20"/>
        </w:rPr>
        <w:t>Choi SW</w:t>
      </w:r>
      <w:r w:rsidRPr="00072AEC">
        <w:rPr>
          <w:rFonts w:ascii="Book Antiqua" w:hAnsi="Book Antiqua"/>
          <w:sz w:val="20"/>
          <w:szCs w:val="20"/>
        </w:rPr>
        <w:t xml:space="preserve">, Reddy P. Current and emerging strategies for the prevention of graft-versus-host disease. </w:t>
      </w:r>
      <w:r w:rsidRPr="00072AEC">
        <w:rPr>
          <w:rFonts w:ascii="Book Antiqua" w:hAnsi="Book Antiqua"/>
          <w:i/>
          <w:sz w:val="20"/>
          <w:szCs w:val="20"/>
        </w:rPr>
        <w:t>Nat Rev Clin Oncol</w:t>
      </w:r>
      <w:r w:rsidRPr="00072AEC">
        <w:rPr>
          <w:rFonts w:ascii="Book Antiqua" w:hAnsi="Book Antiqua"/>
          <w:sz w:val="20"/>
          <w:szCs w:val="20"/>
        </w:rPr>
        <w:t xml:space="preserve"> 2014; </w:t>
      </w:r>
      <w:r w:rsidRPr="00072AEC">
        <w:rPr>
          <w:rFonts w:ascii="Book Antiqua" w:hAnsi="Book Antiqua"/>
          <w:b/>
          <w:sz w:val="20"/>
          <w:szCs w:val="20"/>
        </w:rPr>
        <w:t>11</w:t>
      </w:r>
      <w:r w:rsidRPr="00072AEC">
        <w:rPr>
          <w:rFonts w:ascii="Book Antiqua" w:hAnsi="Book Antiqua"/>
          <w:sz w:val="20"/>
          <w:szCs w:val="20"/>
        </w:rPr>
        <w:t>: 536-547 [PMID: 24958183 DOI: 10.1038/nrclinonc.2014.102]</w:t>
      </w:r>
    </w:p>
    <w:p w14:paraId="23BB33A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17 </w:t>
      </w:r>
      <w:r w:rsidRPr="00072AEC">
        <w:rPr>
          <w:rFonts w:ascii="Book Antiqua" w:hAnsi="Book Antiqua"/>
          <w:b/>
          <w:sz w:val="20"/>
          <w:szCs w:val="20"/>
        </w:rPr>
        <w:t>Blazar BR</w:t>
      </w:r>
      <w:r w:rsidRPr="00072AEC">
        <w:rPr>
          <w:rFonts w:ascii="Book Antiqua" w:hAnsi="Book Antiqua"/>
          <w:sz w:val="20"/>
          <w:szCs w:val="20"/>
        </w:rPr>
        <w:t xml:space="preserve">, MacDonald KPA, Hill GR. Immune regulatory cell infusion for graft-versus-host disease prevention and therapy. </w:t>
      </w:r>
      <w:r w:rsidRPr="00072AEC">
        <w:rPr>
          <w:rFonts w:ascii="Book Antiqua" w:hAnsi="Book Antiqua"/>
          <w:i/>
          <w:sz w:val="20"/>
          <w:szCs w:val="20"/>
        </w:rPr>
        <w:t>Blood</w:t>
      </w:r>
      <w:r w:rsidRPr="00072AEC">
        <w:rPr>
          <w:rFonts w:ascii="Book Antiqua" w:hAnsi="Book Antiqua"/>
          <w:sz w:val="20"/>
          <w:szCs w:val="20"/>
        </w:rPr>
        <w:t xml:space="preserve"> 2018; </w:t>
      </w:r>
      <w:r w:rsidRPr="00072AEC">
        <w:rPr>
          <w:rFonts w:ascii="Book Antiqua" w:hAnsi="Book Antiqua"/>
          <w:b/>
          <w:sz w:val="20"/>
          <w:szCs w:val="20"/>
        </w:rPr>
        <w:t>131</w:t>
      </w:r>
      <w:r w:rsidRPr="00072AEC">
        <w:rPr>
          <w:rFonts w:ascii="Book Antiqua" w:hAnsi="Book Antiqua"/>
          <w:sz w:val="20"/>
          <w:szCs w:val="20"/>
        </w:rPr>
        <w:t>: 2651-2660 [PMID: 29728401 DOI: 10.1182/blood-2017-11-785865]</w:t>
      </w:r>
    </w:p>
    <w:p w14:paraId="5FB9524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18 </w:t>
      </w:r>
      <w:r w:rsidRPr="00072AEC">
        <w:rPr>
          <w:rFonts w:ascii="Book Antiqua" w:hAnsi="Book Antiqua"/>
          <w:b/>
          <w:sz w:val="20"/>
          <w:szCs w:val="20"/>
        </w:rPr>
        <w:t>Cutler CS</w:t>
      </w:r>
      <w:r w:rsidRPr="00072AEC">
        <w:rPr>
          <w:rFonts w:ascii="Book Antiqua" w:hAnsi="Book Antiqua"/>
          <w:sz w:val="20"/>
          <w:szCs w:val="20"/>
        </w:rPr>
        <w:t xml:space="preserve">, Koreth J, Ritz J. Mechanistic approaches for the prevention and treatment of chronic GVHD. </w:t>
      </w:r>
      <w:r w:rsidRPr="00072AEC">
        <w:rPr>
          <w:rFonts w:ascii="Book Antiqua" w:hAnsi="Book Antiqua"/>
          <w:i/>
          <w:sz w:val="20"/>
          <w:szCs w:val="20"/>
        </w:rPr>
        <w:t>Blood</w:t>
      </w:r>
      <w:r w:rsidRPr="00072AEC">
        <w:rPr>
          <w:rFonts w:ascii="Book Antiqua" w:hAnsi="Book Antiqua"/>
          <w:sz w:val="20"/>
          <w:szCs w:val="20"/>
        </w:rPr>
        <w:t xml:space="preserve"> 2017; </w:t>
      </w:r>
      <w:r w:rsidRPr="00072AEC">
        <w:rPr>
          <w:rFonts w:ascii="Book Antiqua" w:hAnsi="Book Antiqua"/>
          <w:b/>
          <w:sz w:val="20"/>
          <w:szCs w:val="20"/>
        </w:rPr>
        <w:t>129</w:t>
      </w:r>
      <w:r w:rsidRPr="00072AEC">
        <w:rPr>
          <w:rFonts w:ascii="Book Antiqua" w:hAnsi="Book Antiqua"/>
          <w:sz w:val="20"/>
          <w:szCs w:val="20"/>
        </w:rPr>
        <w:t>: 22-29 [PMID: 27821505 DOI: 10.1182/blood-2016-08-686659]</w:t>
      </w:r>
    </w:p>
    <w:p w14:paraId="63973C7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19 </w:t>
      </w:r>
      <w:r w:rsidRPr="00072AEC">
        <w:rPr>
          <w:rFonts w:ascii="Book Antiqua" w:hAnsi="Book Antiqua"/>
          <w:b/>
          <w:sz w:val="20"/>
          <w:szCs w:val="20"/>
        </w:rPr>
        <w:t>Schneidawind D</w:t>
      </w:r>
      <w:r w:rsidRPr="00072AEC">
        <w:rPr>
          <w:rFonts w:ascii="Book Antiqua" w:hAnsi="Book Antiqua"/>
          <w:sz w:val="20"/>
          <w:szCs w:val="20"/>
        </w:rPr>
        <w:t xml:space="preserve">, Pierini A, Negrin RS. Regulatory T cells and natural killer T cells for modulation of GVHD following allogeneic hematopoietic cell transplantation. </w:t>
      </w:r>
      <w:r w:rsidRPr="00072AEC">
        <w:rPr>
          <w:rFonts w:ascii="Book Antiqua" w:hAnsi="Book Antiqua"/>
          <w:i/>
          <w:sz w:val="20"/>
          <w:szCs w:val="20"/>
        </w:rPr>
        <w:t>Blood</w:t>
      </w:r>
      <w:r w:rsidRPr="00072AEC">
        <w:rPr>
          <w:rFonts w:ascii="Book Antiqua" w:hAnsi="Book Antiqua"/>
          <w:sz w:val="20"/>
          <w:szCs w:val="20"/>
        </w:rPr>
        <w:t xml:space="preserve"> 2013; </w:t>
      </w:r>
      <w:r w:rsidRPr="00072AEC">
        <w:rPr>
          <w:rFonts w:ascii="Book Antiqua" w:hAnsi="Book Antiqua"/>
          <w:b/>
          <w:sz w:val="20"/>
          <w:szCs w:val="20"/>
        </w:rPr>
        <w:t>122</w:t>
      </w:r>
      <w:r w:rsidRPr="00072AEC">
        <w:rPr>
          <w:rFonts w:ascii="Book Antiqua" w:hAnsi="Book Antiqua"/>
          <w:sz w:val="20"/>
          <w:szCs w:val="20"/>
        </w:rPr>
        <w:t>: 3116-3121 [PMID: 24068494 DOI: 10.1182/blood-2013-08-453126]</w:t>
      </w:r>
    </w:p>
    <w:p w14:paraId="3BF8BCE3"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20 </w:t>
      </w:r>
      <w:r w:rsidRPr="00072AEC">
        <w:rPr>
          <w:rFonts w:ascii="Book Antiqua" w:hAnsi="Book Antiqua"/>
          <w:b/>
          <w:sz w:val="20"/>
          <w:szCs w:val="20"/>
        </w:rPr>
        <w:t>Yu H</w:t>
      </w:r>
      <w:r w:rsidRPr="00072AEC">
        <w:rPr>
          <w:rFonts w:ascii="Book Antiqua" w:hAnsi="Book Antiqua"/>
          <w:sz w:val="20"/>
          <w:szCs w:val="20"/>
        </w:rPr>
        <w:t xml:space="preserve">, Tian Y, Wang Y, Mineishi S, Zhang Y. Dendritic Cell Regulation of Graft-Vs.-Host Disease: Immunostimulation and Tolerance. </w:t>
      </w:r>
      <w:r w:rsidRPr="00072AEC">
        <w:rPr>
          <w:rFonts w:ascii="Book Antiqua" w:hAnsi="Book Antiqua"/>
          <w:i/>
          <w:sz w:val="20"/>
          <w:szCs w:val="20"/>
        </w:rPr>
        <w:t>Front Immunol</w:t>
      </w:r>
      <w:r w:rsidRPr="00072AEC">
        <w:rPr>
          <w:rFonts w:ascii="Book Antiqua" w:hAnsi="Book Antiqua"/>
          <w:sz w:val="20"/>
          <w:szCs w:val="20"/>
        </w:rPr>
        <w:t xml:space="preserve"> 2019; </w:t>
      </w:r>
      <w:r w:rsidRPr="00072AEC">
        <w:rPr>
          <w:rFonts w:ascii="Book Antiqua" w:hAnsi="Book Antiqua"/>
          <w:b/>
          <w:sz w:val="20"/>
          <w:szCs w:val="20"/>
        </w:rPr>
        <w:t>10</w:t>
      </w:r>
      <w:r w:rsidRPr="00072AEC">
        <w:rPr>
          <w:rFonts w:ascii="Book Antiqua" w:hAnsi="Book Antiqua"/>
          <w:sz w:val="20"/>
          <w:szCs w:val="20"/>
        </w:rPr>
        <w:t>: 93 [PMID: 30774630 DOI: 10.3389/fimmu.2019.00093]</w:t>
      </w:r>
    </w:p>
    <w:p w14:paraId="507327C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21 </w:t>
      </w:r>
      <w:r w:rsidRPr="00072AEC">
        <w:rPr>
          <w:rFonts w:ascii="Book Antiqua" w:hAnsi="Book Antiqua"/>
          <w:b/>
          <w:sz w:val="20"/>
          <w:szCs w:val="20"/>
        </w:rPr>
        <w:t>Shao L</w:t>
      </w:r>
      <w:r w:rsidRPr="00072AEC">
        <w:rPr>
          <w:rFonts w:ascii="Book Antiqua" w:hAnsi="Book Antiqua"/>
          <w:sz w:val="20"/>
          <w:szCs w:val="20"/>
        </w:rPr>
        <w:t xml:space="preserve">, Pan S, Zhang QP, Jamal M, Chen LH, Yin Q, Wu YJ, Xiong J, Xiao RJ, Kwong YL, Zhou FL, Lie AKW. An Essential Role of Innate Lymphoid Cells in the Pathophysiology of Graft-vs.-Host Disease. </w:t>
      </w:r>
      <w:r w:rsidRPr="00072AEC">
        <w:rPr>
          <w:rFonts w:ascii="Book Antiqua" w:hAnsi="Book Antiqua"/>
          <w:i/>
          <w:sz w:val="20"/>
          <w:szCs w:val="20"/>
        </w:rPr>
        <w:t>Front Immunol</w:t>
      </w:r>
      <w:r w:rsidRPr="00072AEC">
        <w:rPr>
          <w:rFonts w:ascii="Book Antiqua" w:hAnsi="Book Antiqua"/>
          <w:sz w:val="20"/>
          <w:szCs w:val="20"/>
        </w:rPr>
        <w:t xml:space="preserve"> 2019; </w:t>
      </w:r>
      <w:r w:rsidRPr="00072AEC">
        <w:rPr>
          <w:rFonts w:ascii="Book Antiqua" w:hAnsi="Book Antiqua"/>
          <w:b/>
          <w:sz w:val="20"/>
          <w:szCs w:val="20"/>
        </w:rPr>
        <w:t>10</w:t>
      </w:r>
      <w:r w:rsidRPr="00072AEC">
        <w:rPr>
          <w:rFonts w:ascii="Book Antiqua" w:hAnsi="Book Antiqua"/>
          <w:sz w:val="20"/>
          <w:szCs w:val="20"/>
        </w:rPr>
        <w:t>: 1233 [PMID: 31244831 DOI: 10.3389/fimmu.2019.01233]</w:t>
      </w:r>
    </w:p>
    <w:p w14:paraId="6CC9086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22 </w:t>
      </w:r>
      <w:r w:rsidRPr="00072AEC">
        <w:rPr>
          <w:rFonts w:ascii="Book Antiqua" w:hAnsi="Book Antiqua"/>
          <w:b/>
          <w:sz w:val="20"/>
          <w:szCs w:val="20"/>
        </w:rPr>
        <w:t>Sarantopoulos S</w:t>
      </w:r>
      <w:r w:rsidRPr="00072AEC">
        <w:rPr>
          <w:rFonts w:ascii="Book Antiqua" w:hAnsi="Book Antiqua"/>
          <w:sz w:val="20"/>
          <w:szCs w:val="20"/>
        </w:rPr>
        <w:t xml:space="preserve">, Ritz J. Aberrant B-cell homeostasis in chronic GVHD. </w:t>
      </w:r>
      <w:r w:rsidRPr="00072AEC">
        <w:rPr>
          <w:rFonts w:ascii="Book Antiqua" w:hAnsi="Book Antiqua"/>
          <w:i/>
          <w:sz w:val="20"/>
          <w:szCs w:val="20"/>
        </w:rPr>
        <w:t>Blood</w:t>
      </w:r>
      <w:r w:rsidRPr="00072AEC">
        <w:rPr>
          <w:rFonts w:ascii="Book Antiqua" w:hAnsi="Book Antiqua"/>
          <w:sz w:val="20"/>
          <w:szCs w:val="20"/>
        </w:rPr>
        <w:t xml:space="preserve"> 2015; </w:t>
      </w:r>
      <w:r w:rsidRPr="00072AEC">
        <w:rPr>
          <w:rFonts w:ascii="Book Antiqua" w:hAnsi="Book Antiqua"/>
          <w:b/>
          <w:sz w:val="20"/>
          <w:szCs w:val="20"/>
        </w:rPr>
        <w:t>125</w:t>
      </w:r>
      <w:r w:rsidRPr="00072AEC">
        <w:rPr>
          <w:rFonts w:ascii="Book Antiqua" w:hAnsi="Book Antiqua"/>
          <w:sz w:val="20"/>
          <w:szCs w:val="20"/>
        </w:rPr>
        <w:t>: 1703-1707 [PMID: 25645355 DOI: 10.1182/blood-2014-12-567834]</w:t>
      </w:r>
    </w:p>
    <w:p w14:paraId="775449D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23 </w:t>
      </w:r>
      <w:r w:rsidRPr="00072AEC">
        <w:rPr>
          <w:rFonts w:ascii="Book Antiqua" w:hAnsi="Book Antiqua"/>
          <w:b/>
          <w:sz w:val="20"/>
          <w:szCs w:val="20"/>
        </w:rPr>
        <w:t>Konya V</w:t>
      </w:r>
      <w:r w:rsidRPr="00072AEC">
        <w:rPr>
          <w:rFonts w:ascii="Book Antiqua" w:hAnsi="Book Antiqua"/>
          <w:sz w:val="20"/>
          <w:szCs w:val="20"/>
        </w:rPr>
        <w:t xml:space="preserve">, Mjösberg J. Innate lymphoid cells in graft-versus-host disease. </w:t>
      </w:r>
      <w:r w:rsidRPr="00072AEC">
        <w:rPr>
          <w:rFonts w:ascii="Book Antiqua" w:hAnsi="Book Antiqua"/>
          <w:i/>
          <w:sz w:val="20"/>
          <w:szCs w:val="20"/>
        </w:rPr>
        <w:t>Am J Transplant</w:t>
      </w:r>
      <w:r w:rsidRPr="00072AEC">
        <w:rPr>
          <w:rFonts w:ascii="Book Antiqua" w:hAnsi="Book Antiqua"/>
          <w:sz w:val="20"/>
          <w:szCs w:val="20"/>
        </w:rPr>
        <w:t xml:space="preserve"> 2015; </w:t>
      </w:r>
      <w:r w:rsidRPr="00072AEC">
        <w:rPr>
          <w:rFonts w:ascii="Book Antiqua" w:hAnsi="Book Antiqua"/>
          <w:b/>
          <w:sz w:val="20"/>
          <w:szCs w:val="20"/>
        </w:rPr>
        <w:t>15</w:t>
      </w:r>
      <w:r w:rsidRPr="00072AEC">
        <w:rPr>
          <w:rFonts w:ascii="Book Antiqua" w:hAnsi="Book Antiqua"/>
          <w:sz w:val="20"/>
          <w:szCs w:val="20"/>
        </w:rPr>
        <w:t>: 2795-2801 [PMID: 26228632 DOI: 10.1111/ajt.13394]</w:t>
      </w:r>
    </w:p>
    <w:p w14:paraId="77A1584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24 </w:t>
      </w:r>
      <w:r w:rsidRPr="00072AEC">
        <w:rPr>
          <w:rFonts w:ascii="Book Antiqua" w:hAnsi="Book Antiqua"/>
          <w:b/>
          <w:sz w:val="20"/>
          <w:szCs w:val="20"/>
        </w:rPr>
        <w:t>Porta C</w:t>
      </w:r>
      <w:r w:rsidRPr="00072AEC">
        <w:rPr>
          <w:rFonts w:ascii="Book Antiqua" w:hAnsi="Book Antiqua"/>
          <w:sz w:val="20"/>
          <w:szCs w:val="20"/>
        </w:rPr>
        <w:t xml:space="preserve">, Riboldi E, Ippolito A, Sica A. Molecular and epigenetic basis of macrophage polarized activation. </w:t>
      </w:r>
      <w:r w:rsidRPr="00072AEC">
        <w:rPr>
          <w:rFonts w:ascii="Book Antiqua" w:hAnsi="Book Antiqua"/>
          <w:i/>
          <w:sz w:val="20"/>
          <w:szCs w:val="20"/>
        </w:rPr>
        <w:t>Semin Immunol</w:t>
      </w:r>
      <w:r w:rsidRPr="00072AEC">
        <w:rPr>
          <w:rFonts w:ascii="Book Antiqua" w:hAnsi="Book Antiqua"/>
          <w:sz w:val="20"/>
          <w:szCs w:val="20"/>
        </w:rPr>
        <w:t xml:space="preserve"> 2015; </w:t>
      </w:r>
      <w:r w:rsidRPr="00072AEC">
        <w:rPr>
          <w:rFonts w:ascii="Book Antiqua" w:hAnsi="Book Antiqua"/>
          <w:b/>
          <w:sz w:val="20"/>
          <w:szCs w:val="20"/>
        </w:rPr>
        <w:t>27</w:t>
      </w:r>
      <w:r w:rsidRPr="00072AEC">
        <w:rPr>
          <w:rFonts w:ascii="Book Antiqua" w:hAnsi="Book Antiqua"/>
          <w:sz w:val="20"/>
          <w:szCs w:val="20"/>
        </w:rPr>
        <w:t>: 237-248 [PMID: 26561250 DOI: 10.1016/j.smim.2015.10.003]</w:t>
      </w:r>
    </w:p>
    <w:p w14:paraId="03C57FC8"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25 </w:t>
      </w:r>
      <w:r w:rsidRPr="00072AEC">
        <w:rPr>
          <w:rFonts w:ascii="Book Antiqua" w:hAnsi="Book Antiqua"/>
          <w:b/>
          <w:sz w:val="20"/>
          <w:szCs w:val="20"/>
        </w:rPr>
        <w:t>Sica A</w:t>
      </w:r>
      <w:r w:rsidRPr="00072AEC">
        <w:rPr>
          <w:rFonts w:ascii="Book Antiqua" w:hAnsi="Book Antiqua"/>
          <w:sz w:val="20"/>
          <w:szCs w:val="20"/>
        </w:rPr>
        <w:t xml:space="preserve">, Mantovani A. Macrophage plasticity and polarization: in vivo veritas. </w:t>
      </w:r>
      <w:r w:rsidRPr="00072AEC">
        <w:rPr>
          <w:rFonts w:ascii="Book Antiqua" w:hAnsi="Book Antiqua"/>
          <w:i/>
          <w:sz w:val="20"/>
          <w:szCs w:val="20"/>
        </w:rPr>
        <w:t>J Clin Invest</w:t>
      </w:r>
      <w:r w:rsidRPr="00072AEC">
        <w:rPr>
          <w:rFonts w:ascii="Book Antiqua" w:hAnsi="Book Antiqua"/>
          <w:sz w:val="20"/>
          <w:szCs w:val="20"/>
        </w:rPr>
        <w:t xml:space="preserve"> 2012; </w:t>
      </w:r>
      <w:r w:rsidRPr="00072AEC">
        <w:rPr>
          <w:rFonts w:ascii="Book Antiqua" w:hAnsi="Book Antiqua"/>
          <w:b/>
          <w:sz w:val="20"/>
          <w:szCs w:val="20"/>
        </w:rPr>
        <w:t>122</w:t>
      </w:r>
      <w:r w:rsidRPr="00072AEC">
        <w:rPr>
          <w:rFonts w:ascii="Book Antiqua" w:hAnsi="Book Antiqua"/>
          <w:sz w:val="20"/>
          <w:szCs w:val="20"/>
        </w:rPr>
        <w:t>: 787-795 [PMID: 22378047 DOI: 10.1172/JCI59643]</w:t>
      </w:r>
    </w:p>
    <w:p w14:paraId="4AC3CE3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26 </w:t>
      </w:r>
      <w:r w:rsidRPr="00072AEC">
        <w:rPr>
          <w:rFonts w:ascii="Book Antiqua" w:hAnsi="Book Antiqua"/>
          <w:b/>
          <w:sz w:val="20"/>
          <w:szCs w:val="20"/>
        </w:rPr>
        <w:t>Bonnardel J</w:t>
      </w:r>
      <w:r w:rsidRPr="00072AEC">
        <w:rPr>
          <w:rFonts w:ascii="Book Antiqua" w:hAnsi="Book Antiqua"/>
          <w:sz w:val="20"/>
          <w:szCs w:val="20"/>
        </w:rPr>
        <w:t xml:space="preserve">, Guilliams M. Developmental control of macrophage function. </w:t>
      </w:r>
      <w:r w:rsidRPr="00072AEC">
        <w:rPr>
          <w:rFonts w:ascii="Book Antiqua" w:hAnsi="Book Antiqua"/>
          <w:i/>
          <w:sz w:val="20"/>
          <w:szCs w:val="20"/>
        </w:rPr>
        <w:t>Curr Opin Immunol</w:t>
      </w:r>
      <w:r w:rsidRPr="00072AEC">
        <w:rPr>
          <w:rFonts w:ascii="Book Antiqua" w:hAnsi="Book Antiqua"/>
          <w:sz w:val="20"/>
          <w:szCs w:val="20"/>
        </w:rPr>
        <w:t xml:space="preserve"> 2018; </w:t>
      </w:r>
      <w:r w:rsidRPr="00072AEC">
        <w:rPr>
          <w:rFonts w:ascii="Book Antiqua" w:hAnsi="Book Antiqua"/>
          <w:b/>
          <w:sz w:val="20"/>
          <w:szCs w:val="20"/>
        </w:rPr>
        <w:t>50</w:t>
      </w:r>
      <w:r w:rsidRPr="00072AEC">
        <w:rPr>
          <w:rFonts w:ascii="Book Antiqua" w:hAnsi="Book Antiqua"/>
          <w:sz w:val="20"/>
          <w:szCs w:val="20"/>
        </w:rPr>
        <w:t>: 64-74 [PMID: 29247852 DOI: 10.1016/j.coi.2017.12.001]</w:t>
      </w:r>
    </w:p>
    <w:p w14:paraId="54CB9E93"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27 </w:t>
      </w:r>
      <w:r w:rsidRPr="00072AEC">
        <w:rPr>
          <w:rFonts w:ascii="Book Antiqua" w:hAnsi="Book Antiqua"/>
          <w:b/>
          <w:sz w:val="20"/>
          <w:szCs w:val="20"/>
        </w:rPr>
        <w:t>Wynn TA</w:t>
      </w:r>
      <w:r w:rsidRPr="00072AEC">
        <w:rPr>
          <w:rFonts w:ascii="Book Antiqua" w:hAnsi="Book Antiqua"/>
          <w:sz w:val="20"/>
          <w:szCs w:val="20"/>
        </w:rPr>
        <w:t xml:space="preserve">, Chawla A, Pollard JW. Macrophage biology in development, homeostasis and disease. </w:t>
      </w:r>
      <w:r w:rsidRPr="00072AEC">
        <w:rPr>
          <w:rFonts w:ascii="Book Antiqua" w:hAnsi="Book Antiqua"/>
          <w:i/>
          <w:sz w:val="20"/>
          <w:szCs w:val="20"/>
        </w:rPr>
        <w:t>Nature</w:t>
      </w:r>
      <w:r w:rsidRPr="00072AEC">
        <w:rPr>
          <w:rFonts w:ascii="Book Antiqua" w:hAnsi="Book Antiqua"/>
          <w:sz w:val="20"/>
          <w:szCs w:val="20"/>
        </w:rPr>
        <w:t xml:space="preserve"> 2013; </w:t>
      </w:r>
      <w:r w:rsidRPr="00072AEC">
        <w:rPr>
          <w:rFonts w:ascii="Book Antiqua" w:hAnsi="Book Antiqua"/>
          <w:b/>
          <w:sz w:val="20"/>
          <w:szCs w:val="20"/>
        </w:rPr>
        <w:t>496</w:t>
      </w:r>
      <w:r w:rsidRPr="00072AEC">
        <w:rPr>
          <w:rFonts w:ascii="Book Antiqua" w:hAnsi="Book Antiqua"/>
          <w:sz w:val="20"/>
          <w:szCs w:val="20"/>
        </w:rPr>
        <w:t>: 445-455 [PMID: 23619691 DOI: 10.1038/nature12034]</w:t>
      </w:r>
    </w:p>
    <w:p w14:paraId="228F51E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28 </w:t>
      </w:r>
      <w:r w:rsidRPr="00072AEC">
        <w:rPr>
          <w:rFonts w:ascii="Book Antiqua" w:hAnsi="Book Antiqua"/>
          <w:b/>
          <w:sz w:val="20"/>
          <w:szCs w:val="20"/>
        </w:rPr>
        <w:t>Lavin Y</w:t>
      </w:r>
      <w:r w:rsidRPr="00072AEC">
        <w:rPr>
          <w:rFonts w:ascii="Book Antiqua" w:hAnsi="Book Antiqua"/>
          <w:sz w:val="20"/>
          <w:szCs w:val="20"/>
        </w:rPr>
        <w:t xml:space="preserve">, Mortha A, Rahman A, Merad M. Regulation of macrophage development and function in peripheral tissues. </w:t>
      </w:r>
      <w:r w:rsidRPr="00072AEC">
        <w:rPr>
          <w:rFonts w:ascii="Book Antiqua" w:hAnsi="Book Antiqua"/>
          <w:i/>
          <w:sz w:val="20"/>
          <w:szCs w:val="20"/>
        </w:rPr>
        <w:t>Nat Rev Immunol</w:t>
      </w:r>
      <w:r w:rsidRPr="00072AEC">
        <w:rPr>
          <w:rFonts w:ascii="Book Antiqua" w:hAnsi="Book Antiqua"/>
          <w:sz w:val="20"/>
          <w:szCs w:val="20"/>
        </w:rPr>
        <w:t xml:space="preserve"> 2015; </w:t>
      </w:r>
      <w:r w:rsidRPr="00072AEC">
        <w:rPr>
          <w:rFonts w:ascii="Book Antiqua" w:hAnsi="Book Antiqua"/>
          <w:b/>
          <w:sz w:val="20"/>
          <w:szCs w:val="20"/>
        </w:rPr>
        <w:t>15</w:t>
      </w:r>
      <w:r w:rsidRPr="00072AEC">
        <w:rPr>
          <w:rFonts w:ascii="Book Antiqua" w:hAnsi="Book Antiqua"/>
          <w:sz w:val="20"/>
          <w:szCs w:val="20"/>
        </w:rPr>
        <w:t>: 731-744 [PMID: 26603899 DOI: 10.1038/nri3920]</w:t>
      </w:r>
    </w:p>
    <w:p w14:paraId="6F4514D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29 </w:t>
      </w:r>
      <w:r w:rsidRPr="00072AEC">
        <w:rPr>
          <w:rFonts w:ascii="Book Antiqua" w:hAnsi="Book Antiqua"/>
          <w:b/>
          <w:sz w:val="20"/>
          <w:szCs w:val="20"/>
        </w:rPr>
        <w:t>Mosser DM</w:t>
      </w:r>
      <w:r w:rsidRPr="00072AEC">
        <w:rPr>
          <w:rFonts w:ascii="Book Antiqua" w:hAnsi="Book Antiqua"/>
          <w:sz w:val="20"/>
          <w:szCs w:val="20"/>
        </w:rPr>
        <w:t xml:space="preserve">, Edwards JP. Exploring the full spectrum of macrophage activation. </w:t>
      </w:r>
      <w:r w:rsidRPr="00072AEC">
        <w:rPr>
          <w:rFonts w:ascii="Book Antiqua" w:hAnsi="Book Antiqua"/>
          <w:i/>
          <w:sz w:val="20"/>
          <w:szCs w:val="20"/>
        </w:rPr>
        <w:t>Nat Rev Immunol</w:t>
      </w:r>
      <w:r w:rsidRPr="00072AEC">
        <w:rPr>
          <w:rFonts w:ascii="Book Antiqua" w:hAnsi="Book Antiqua"/>
          <w:sz w:val="20"/>
          <w:szCs w:val="20"/>
        </w:rPr>
        <w:t xml:space="preserve"> 2008; </w:t>
      </w:r>
      <w:r w:rsidRPr="00072AEC">
        <w:rPr>
          <w:rFonts w:ascii="Book Antiqua" w:hAnsi="Book Antiqua"/>
          <w:b/>
          <w:sz w:val="20"/>
          <w:szCs w:val="20"/>
        </w:rPr>
        <w:t>8</w:t>
      </w:r>
      <w:r w:rsidRPr="00072AEC">
        <w:rPr>
          <w:rFonts w:ascii="Book Antiqua" w:hAnsi="Book Antiqua"/>
          <w:sz w:val="20"/>
          <w:szCs w:val="20"/>
        </w:rPr>
        <w:t>: 958-969 [PMID: 19029990 DOI: 10.1038/nri2448]</w:t>
      </w:r>
    </w:p>
    <w:p w14:paraId="483CFF0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30 </w:t>
      </w:r>
      <w:r w:rsidRPr="00072AEC">
        <w:rPr>
          <w:rFonts w:ascii="Book Antiqua" w:hAnsi="Book Antiqua"/>
          <w:b/>
          <w:sz w:val="20"/>
          <w:szCs w:val="20"/>
        </w:rPr>
        <w:t>Pelegrin P</w:t>
      </w:r>
      <w:r w:rsidRPr="00072AEC">
        <w:rPr>
          <w:rFonts w:ascii="Book Antiqua" w:hAnsi="Book Antiqua"/>
          <w:sz w:val="20"/>
          <w:szCs w:val="20"/>
        </w:rPr>
        <w:t xml:space="preserve">, Surprenant A. Dynamics of macrophage polarization reveal new mechanism to inhibit IL-1beta release through pyrophosphates. </w:t>
      </w:r>
      <w:r w:rsidRPr="00072AEC">
        <w:rPr>
          <w:rFonts w:ascii="Book Antiqua" w:hAnsi="Book Antiqua"/>
          <w:i/>
          <w:sz w:val="20"/>
          <w:szCs w:val="20"/>
        </w:rPr>
        <w:t>EMBO J</w:t>
      </w:r>
      <w:r w:rsidRPr="00072AEC">
        <w:rPr>
          <w:rFonts w:ascii="Book Antiqua" w:hAnsi="Book Antiqua"/>
          <w:sz w:val="20"/>
          <w:szCs w:val="20"/>
        </w:rPr>
        <w:t xml:space="preserve"> 2009; </w:t>
      </w:r>
      <w:r w:rsidRPr="00072AEC">
        <w:rPr>
          <w:rFonts w:ascii="Book Antiqua" w:hAnsi="Book Antiqua"/>
          <w:b/>
          <w:sz w:val="20"/>
          <w:szCs w:val="20"/>
        </w:rPr>
        <w:t>28</w:t>
      </w:r>
      <w:r w:rsidRPr="00072AEC">
        <w:rPr>
          <w:rFonts w:ascii="Book Antiqua" w:hAnsi="Book Antiqua"/>
          <w:sz w:val="20"/>
          <w:szCs w:val="20"/>
        </w:rPr>
        <w:t>: 2114-2127 [PMID: 19536133 DOI: 10.1038/emboj.2009.163]</w:t>
      </w:r>
    </w:p>
    <w:p w14:paraId="67108CA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31 </w:t>
      </w:r>
      <w:r w:rsidRPr="00072AEC">
        <w:rPr>
          <w:rFonts w:ascii="Book Antiqua" w:hAnsi="Book Antiqua"/>
          <w:b/>
          <w:sz w:val="20"/>
          <w:szCs w:val="20"/>
        </w:rPr>
        <w:t>Lee S</w:t>
      </w:r>
      <w:r w:rsidRPr="00072AEC">
        <w:rPr>
          <w:rFonts w:ascii="Book Antiqua" w:hAnsi="Book Antiqua"/>
          <w:sz w:val="20"/>
          <w:szCs w:val="20"/>
        </w:rPr>
        <w:t xml:space="preserve">, Kivimäe S, Dolor A, Szoka FC. Macrophage-based cell therapies: The long and winding road. </w:t>
      </w:r>
      <w:r w:rsidRPr="00072AEC">
        <w:rPr>
          <w:rFonts w:ascii="Book Antiqua" w:hAnsi="Book Antiqua"/>
          <w:i/>
          <w:sz w:val="20"/>
          <w:szCs w:val="20"/>
        </w:rPr>
        <w:t>J Control Release</w:t>
      </w:r>
      <w:r w:rsidRPr="00072AEC">
        <w:rPr>
          <w:rFonts w:ascii="Book Antiqua" w:hAnsi="Book Antiqua"/>
          <w:sz w:val="20"/>
          <w:szCs w:val="20"/>
        </w:rPr>
        <w:t xml:space="preserve"> 2016; </w:t>
      </w:r>
      <w:r w:rsidRPr="00072AEC">
        <w:rPr>
          <w:rFonts w:ascii="Book Antiqua" w:hAnsi="Book Antiqua"/>
          <w:b/>
          <w:sz w:val="20"/>
          <w:szCs w:val="20"/>
        </w:rPr>
        <w:t>240</w:t>
      </w:r>
      <w:r w:rsidRPr="00072AEC">
        <w:rPr>
          <w:rFonts w:ascii="Book Antiqua" w:hAnsi="Book Antiqua"/>
          <w:sz w:val="20"/>
          <w:szCs w:val="20"/>
        </w:rPr>
        <w:t>: 527-540 [PMID: 27422609 DOI: 10.1016/j.jconrel.2016.07.018]</w:t>
      </w:r>
    </w:p>
    <w:p w14:paraId="00F1C09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32 </w:t>
      </w:r>
      <w:r w:rsidRPr="00072AEC">
        <w:rPr>
          <w:rFonts w:ascii="Book Antiqua" w:hAnsi="Book Antiqua"/>
          <w:b/>
          <w:sz w:val="20"/>
          <w:szCs w:val="20"/>
        </w:rPr>
        <w:t>Peterson KR</w:t>
      </w:r>
      <w:r w:rsidRPr="00072AEC">
        <w:rPr>
          <w:rFonts w:ascii="Book Antiqua" w:hAnsi="Book Antiqua"/>
          <w:sz w:val="20"/>
          <w:szCs w:val="20"/>
        </w:rPr>
        <w:t xml:space="preserve">, Cottam MA, Kennedy AJ, Hasty AH. Macrophage-Targeted Therapeutics for Metabolic Disease. </w:t>
      </w:r>
      <w:r w:rsidRPr="00072AEC">
        <w:rPr>
          <w:rFonts w:ascii="Book Antiqua" w:hAnsi="Book Antiqua"/>
          <w:i/>
          <w:sz w:val="20"/>
          <w:szCs w:val="20"/>
        </w:rPr>
        <w:t>Trends Pharmacol Sci</w:t>
      </w:r>
      <w:r w:rsidRPr="00072AEC">
        <w:rPr>
          <w:rFonts w:ascii="Book Antiqua" w:hAnsi="Book Antiqua"/>
          <w:sz w:val="20"/>
          <w:szCs w:val="20"/>
        </w:rPr>
        <w:t xml:space="preserve"> 2018; </w:t>
      </w:r>
      <w:r w:rsidRPr="00072AEC">
        <w:rPr>
          <w:rFonts w:ascii="Book Antiqua" w:hAnsi="Book Antiqua"/>
          <w:b/>
          <w:sz w:val="20"/>
          <w:szCs w:val="20"/>
        </w:rPr>
        <w:t>39</w:t>
      </w:r>
      <w:r w:rsidRPr="00072AEC">
        <w:rPr>
          <w:rFonts w:ascii="Book Antiqua" w:hAnsi="Book Antiqua"/>
          <w:sz w:val="20"/>
          <w:szCs w:val="20"/>
        </w:rPr>
        <w:t>: 536-546 [PMID: 29628274 DOI: 10.1016/j.tips.2018.03.001]</w:t>
      </w:r>
    </w:p>
    <w:p w14:paraId="5575F80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33 </w:t>
      </w:r>
      <w:r w:rsidRPr="00072AEC">
        <w:rPr>
          <w:rFonts w:ascii="Book Antiqua" w:hAnsi="Book Antiqua"/>
          <w:b/>
          <w:sz w:val="20"/>
          <w:szCs w:val="20"/>
        </w:rPr>
        <w:t>Nissen C</w:t>
      </w:r>
      <w:r w:rsidRPr="00072AEC">
        <w:rPr>
          <w:rFonts w:ascii="Book Antiqua" w:hAnsi="Book Antiqua"/>
          <w:sz w:val="20"/>
          <w:szCs w:val="20"/>
        </w:rPr>
        <w:t xml:space="preserve">, Gratwohl A, Tichelli A, Speck B. Abundant macrophage growth in culture from patients with chronic myelogenous leukemia: a risk factor for graft-versus-host disease after bone marrow transplantation. </w:t>
      </w:r>
      <w:r w:rsidRPr="00072AEC">
        <w:rPr>
          <w:rFonts w:ascii="Book Antiqua" w:hAnsi="Book Antiqua"/>
          <w:i/>
          <w:sz w:val="20"/>
          <w:szCs w:val="20"/>
        </w:rPr>
        <w:t>Experientia</w:t>
      </w:r>
      <w:r w:rsidRPr="00072AEC">
        <w:rPr>
          <w:rFonts w:ascii="Book Antiqua" w:hAnsi="Book Antiqua"/>
          <w:sz w:val="20"/>
          <w:szCs w:val="20"/>
        </w:rPr>
        <w:t xml:space="preserve"> 1988; </w:t>
      </w:r>
      <w:r w:rsidRPr="00072AEC">
        <w:rPr>
          <w:rFonts w:ascii="Book Antiqua" w:hAnsi="Book Antiqua"/>
          <w:b/>
          <w:sz w:val="20"/>
          <w:szCs w:val="20"/>
        </w:rPr>
        <w:t>44</w:t>
      </w:r>
      <w:r w:rsidRPr="00072AEC">
        <w:rPr>
          <w:rFonts w:ascii="Book Antiqua" w:hAnsi="Book Antiqua"/>
          <w:sz w:val="20"/>
          <w:szCs w:val="20"/>
        </w:rPr>
        <w:t>: 167-169 [PMID: 3278922 DOI: 10.1007/bf01952204]</w:t>
      </w:r>
    </w:p>
    <w:p w14:paraId="29B8437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34 </w:t>
      </w:r>
      <w:r w:rsidRPr="00072AEC">
        <w:rPr>
          <w:rFonts w:ascii="Book Antiqua" w:hAnsi="Book Antiqua"/>
          <w:b/>
          <w:sz w:val="20"/>
          <w:szCs w:val="20"/>
        </w:rPr>
        <w:t>Terakura S</w:t>
      </w:r>
      <w:r w:rsidRPr="00072AEC">
        <w:rPr>
          <w:rFonts w:ascii="Book Antiqua" w:hAnsi="Book Antiqua"/>
          <w:sz w:val="20"/>
          <w:szCs w:val="20"/>
        </w:rPr>
        <w:t xml:space="preserve">, Martin PJ, Shulman HM, Storer BE. Cutaneous macrophage infiltration in acute GvHD. </w:t>
      </w:r>
      <w:r w:rsidRPr="00072AEC">
        <w:rPr>
          <w:rFonts w:ascii="Book Antiqua" w:hAnsi="Book Antiqua"/>
          <w:i/>
          <w:sz w:val="20"/>
          <w:szCs w:val="20"/>
        </w:rPr>
        <w:t>Bone Marrow Transplant</w:t>
      </w:r>
      <w:r w:rsidRPr="00072AEC">
        <w:rPr>
          <w:rFonts w:ascii="Book Antiqua" w:hAnsi="Book Antiqua"/>
          <w:sz w:val="20"/>
          <w:szCs w:val="20"/>
        </w:rPr>
        <w:t xml:space="preserve"> 2015; </w:t>
      </w:r>
      <w:r w:rsidRPr="00072AEC">
        <w:rPr>
          <w:rFonts w:ascii="Book Antiqua" w:hAnsi="Book Antiqua"/>
          <w:b/>
          <w:sz w:val="20"/>
          <w:szCs w:val="20"/>
        </w:rPr>
        <w:t>50</w:t>
      </w:r>
      <w:r w:rsidRPr="00072AEC">
        <w:rPr>
          <w:rFonts w:ascii="Book Antiqua" w:hAnsi="Book Antiqua"/>
          <w:sz w:val="20"/>
          <w:szCs w:val="20"/>
        </w:rPr>
        <w:t>: 1135-1137 [PMID: 25961771 DOI: 10.1038/bmt.2015.114]</w:t>
      </w:r>
    </w:p>
    <w:p w14:paraId="1CFFF568"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35 </w:t>
      </w:r>
      <w:r w:rsidRPr="00072AEC">
        <w:rPr>
          <w:rFonts w:ascii="Book Antiqua" w:hAnsi="Book Antiqua"/>
          <w:b/>
          <w:sz w:val="20"/>
          <w:szCs w:val="20"/>
        </w:rPr>
        <w:t>Piérard GE</w:t>
      </w:r>
      <w:r w:rsidRPr="00072AEC">
        <w:rPr>
          <w:rFonts w:ascii="Book Antiqua" w:hAnsi="Book Antiqua"/>
          <w:sz w:val="20"/>
          <w:szCs w:val="20"/>
        </w:rPr>
        <w:t xml:space="preserve">, Hermanns-Lê T, Paquet P, Rousseau AF, Delvenne P, Piérard-Franchimont C. Toxic Epidermal Necrolysis and Graft-versus-Host Reaction: Revisiting a Puzzling Similarity. </w:t>
      </w:r>
      <w:r w:rsidRPr="00072AEC">
        <w:rPr>
          <w:rFonts w:ascii="Book Antiqua" w:hAnsi="Book Antiqua"/>
          <w:i/>
          <w:sz w:val="20"/>
          <w:szCs w:val="20"/>
        </w:rPr>
        <w:t>ISRN Dermatol</w:t>
      </w:r>
      <w:r w:rsidRPr="00072AEC">
        <w:rPr>
          <w:rFonts w:ascii="Book Antiqua" w:hAnsi="Book Antiqua"/>
          <w:sz w:val="20"/>
          <w:szCs w:val="20"/>
        </w:rPr>
        <w:t xml:space="preserve"> 2013; </w:t>
      </w:r>
      <w:r w:rsidRPr="00072AEC">
        <w:rPr>
          <w:rFonts w:ascii="Book Antiqua" w:hAnsi="Book Antiqua"/>
          <w:b/>
          <w:sz w:val="20"/>
          <w:szCs w:val="20"/>
        </w:rPr>
        <w:t>2013</w:t>
      </w:r>
      <w:r w:rsidRPr="00072AEC">
        <w:rPr>
          <w:rFonts w:ascii="Book Antiqua" w:hAnsi="Book Antiqua"/>
          <w:sz w:val="20"/>
          <w:szCs w:val="20"/>
        </w:rPr>
        <w:t>: 651590 [PMID: 23862070 DOI: 10.1155/2013/651590]</w:t>
      </w:r>
    </w:p>
    <w:p w14:paraId="227668D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36 </w:t>
      </w:r>
      <w:r w:rsidRPr="00072AEC">
        <w:rPr>
          <w:rFonts w:ascii="Book Antiqua" w:hAnsi="Book Antiqua"/>
          <w:b/>
          <w:sz w:val="20"/>
          <w:szCs w:val="20"/>
        </w:rPr>
        <w:t>Cheng Q</w:t>
      </w:r>
      <w:r w:rsidRPr="00072AEC">
        <w:rPr>
          <w:rFonts w:ascii="Book Antiqua" w:hAnsi="Book Antiqua"/>
          <w:sz w:val="20"/>
          <w:szCs w:val="20"/>
        </w:rPr>
        <w:t xml:space="preserve">, Ma S, Lin D, Mei Y, Gong H, Lei L, Chen Y, Zhao Y, Hu B, Wu Y, Yu X, Zhao L, Liu H. The S1P1 receptor-selective agonist CYM-5442 reduces the severity of acute GVHD by inhibiting macrophage recruitment. </w:t>
      </w:r>
      <w:r w:rsidRPr="00072AEC">
        <w:rPr>
          <w:rFonts w:ascii="Book Antiqua" w:hAnsi="Book Antiqua"/>
          <w:i/>
          <w:sz w:val="20"/>
          <w:szCs w:val="20"/>
        </w:rPr>
        <w:t>Cell Mol Immunol</w:t>
      </w:r>
      <w:r w:rsidRPr="00072AEC">
        <w:rPr>
          <w:rFonts w:ascii="Book Antiqua" w:hAnsi="Book Antiqua"/>
          <w:sz w:val="20"/>
          <w:szCs w:val="20"/>
        </w:rPr>
        <w:t xml:space="preserve"> 2015; </w:t>
      </w:r>
      <w:r w:rsidRPr="00072AEC">
        <w:rPr>
          <w:rFonts w:ascii="Book Antiqua" w:hAnsi="Book Antiqua"/>
          <w:b/>
          <w:sz w:val="20"/>
          <w:szCs w:val="20"/>
        </w:rPr>
        <w:t>12</w:t>
      </w:r>
      <w:r w:rsidRPr="00072AEC">
        <w:rPr>
          <w:rFonts w:ascii="Book Antiqua" w:hAnsi="Book Antiqua"/>
          <w:sz w:val="20"/>
          <w:szCs w:val="20"/>
        </w:rPr>
        <w:t>: 681-691 [PMID: 25088224 DOI: 10.1038/cmi.2014.59]</w:t>
      </w:r>
    </w:p>
    <w:p w14:paraId="33A062E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37 </w:t>
      </w:r>
      <w:r w:rsidRPr="00072AEC">
        <w:rPr>
          <w:rFonts w:ascii="Book Antiqua" w:hAnsi="Book Antiqua"/>
          <w:b/>
          <w:sz w:val="20"/>
          <w:szCs w:val="20"/>
        </w:rPr>
        <w:t>Wen Q</w:t>
      </w:r>
      <w:r w:rsidRPr="00072AEC">
        <w:rPr>
          <w:rFonts w:ascii="Book Antiqua" w:hAnsi="Book Antiqua"/>
          <w:sz w:val="20"/>
          <w:szCs w:val="20"/>
        </w:rPr>
        <w:t xml:space="preserve">, Kong Y, Zhao HY, Zhang YY, Han TT, Wang Y, Xu LP, Zhang XH, Huang XJ. G-CSF-induced macrophage polarization and mobilization may prevent acute graft-versus-host disease after allogeneic hematopoietic stem cell transplantation. </w:t>
      </w:r>
      <w:r w:rsidRPr="00072AEC">
        <w:rPr>
          <w:rFonts w:ascii="Book Antiqua" w:hAnsi="Book Antiqua"/>
          <w:i/>
          <w:sz w:val="20"/>
          <w:szCs w:val="20"/>
        </w:rPr>
        <w:t>Bone Marrow Transplant</w:t>
      </w:r>
      <w:r w:rsidRPr="00072AEC">
        <w:rPr>
          <w:rFonts w:ascii="Book Antiqua" w:hAnsi="Book Antiqua"/>
          <w:sz w:val="20"/>
          <w:szCs w:val="20"/>
        </w:rPr>
        <w:t xml:space="preserve"> 2019; </w:t>
      </w:r>
      <w:r w:rsidRPr="00072AEC">
        <w:rPr>
          <w:rFonts w:ascii="Book Antiqua" w:hAnsi="Book Antiqua"/>
          <w:b/>
          <w:sz w:val="20"/>
          <w:szCs w:val="20"/>
        </w:rPr>
        <w:t>54</w:t>
      </w:r>
      <w:r w:rsidRPr="00072AEC">
        <w:rPr>
          <w:rFonts w:ascii="Book Antiqua" w:hAnsi="Book Antiqua"/>
          <w:sz w:val="20"/>
          <w:szCs w:val="20"/>
        </w:rPr>
        <w:t>: 1419-1433 [PMID: 30683906 DOI: 10.1038/s41409-019-0449-9]</w:t>
      </w:r>
    </w:p>
    <w:p w14:paraId="2AFE581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38 </w:t>
      </w:r>
      <w:r w:rsidRPr="00072AEC">
        <w:rPr>
          <w:rFonts w:ascii="Book Antiqua" w:hAnsi="Book Antiqua"/>
          <w:b/>
          <w:sz w:val="20"/>
          <w:szCs w:val="20"/>
        </w:rPr>
        <w:t>Nestel FP</w:t>
      </w:r>
      <w:r w:rsidRPr="00072AEC">
        <w:rPr>
          <w:rFonts w:ascii="Book Antiqua" w:hAnsi="Book Antiqua"/>
          <w:sz w:val="20"/>
          <w:szCs w:val="20"/>
        </w:rPr>
        <w:t xml:space="preserve">, Greene RN, Kichian K, Ponka P, Lapp WS. Activation of macrophage cytostatic effector mechanisms during acute graft-versus-host disease: release of intracellular iron and nitric oxide-mediated cytostasis. </w:t>
      </w:r>
      <w:r w:rsidRPr="00072AEC">
        <w:rPr>
          <w:rFonts w:ascii="Book Antiqua" w:hAnsi="Book Antiqua"/>
          <w:i/>
          <w:sz w:val="20"/>
          <w:szCs w:val="20"/>
        </w:rPr>
        <w:t>Blood</w:t>
      </w:r>
      <w:r w:rsidRPr="00072AEC">
        <w:rPr>
          <w:rFonts w:ascii="Book Antiqua" w:hAnsi="Book Antiqua"/>
          <w:sz w:val="20"/>
          <w:szCs w:val="20"/>
        </w:rPr>
        <w:t xml:space="preserve"> 2000; </w:t>
      </w:r>
      <w:r w:rsidRPr="00072AEC">
        <w:rPr>
          <w:rFonts w:ascii="Book Antiqua" w:hAnsi="Book Antiqua"/>
          <w:b/>
          <w:sz w:val="20"/>
          <w:szCs w:val="20"/>
        </w:rPr>
        <w:t>96</w:t>
      </w:r>
      <w:r w:rsidRPr="00072AEC">
        <w:rPr>
          <w:rFonts w:ascii="Book Antiqua" w:hAnsi="Book Antiqua"/>
          <w:sz w:val="20"/>
          <w:szCs w:val="20"/>
        </w:rPr>
        <w:t>: 1836-1843 [PMID: 10961884 DOI: 10.1182/blood.V96.5.1836.h8001836_1836_1843]</w:t>
      </w:r>
    </w:p>
    <w:p w14:paraId="7A86119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39 </w:t>
      </w:r>
      <w:r w:rsidRPr="00072AEC">
        <w:rPr>
          <w:rFonts w:ascii="Book Antiqua" w:hAnsi="Book Antiqua"/>
          <w:b/>
          <w:sz w:val="20"/>
          <w:szCs w:val="20"/>
        </w:rPr>
        <w:t>Seno K</w:t>
      </w:r>
      <w:r w:rsidRPr="00072AEC">
        <w:rPr>
          <w:rFonts w:ascii="Book Antiqua" w:hAnsi="Book Antiqua"/>
          <w:sz w:val="20"/>
          <w:szCs w:val="20"/>
        </w:rPr>
        <w:t xml:space="preserve">, Yasunaga M, Kajiya H, Izaki-Hagio K, Morita H, Yoneda M, Hirofuji T, Ohno J. Dynamics of M1 macrophages in oral mucosal lesions during the development of acute graft-versus-host disease in rats. </w:t>
      </w:r>
      <w:r w:rsidRPr="00072AEC">
        <w:rPr>
          <w:rFonts w:ascii="Book Antiqua" w:hAnsi="Book Antiqua"/>
          <w:i/>
          <w:sz w:val="20"/>
          <w:szCs w:val="20"/>
        </w:rPr>
        <w:t>Clin Exp Immunol</w:t>
      </w:r>
      <w:r w:rsidRPr="00072AEC">
        <w:rPr>
          <w:rFonts w:ascii="Book Antiqua" w:hAnsi="Book Antiqua"/>
          <w:sz w:val="20"/>
          <w:szCs w:val="20"/>
        </w:rPr>
        <w:t xml:space="preserve"> 2017; </w:t>
      </w:r>
      <w:r w:rsidRPr="00072AEC">
        <w:rPr>
          <w:rFonts w:ascii="Book Antiqua" w:hAnsi="Book Antiqua"/>
          <w:b/>
          <w:sz w:val="20"/>
          <w:szCs w:val="20"/>
        </w:rPr>
        <w:t>190</w:t>
      </w:r>
      <w:r w:rsidRPr="00072AEC">
        <w:rPr>
          <w:rFonts w:ascii="Book Antiqua" w:hAnsi="Book Antiqua"/>
          <w:sz w:val="20"/>
          <w:szCs w:val="20"/>
        </w:rPr>
        <w:t>: 315-327 [PMID: 28862740 DOI: 10.1111/cei.13043]</w:t>
      </w:r>
    </w:p>
    <w:p w14:paraId="045EBB23" w14:textId="0A09F136"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40 </w:t>
      </w:r>
      <w:r w:rsidRPr="00072AEC">
        <w:rPr>
          <w:rFonts w:ascii="Book Antiqua" w:hAnsi="Book Antiqua"/>
          <w:b/>
          <w:sz w:val="20"/>
          <w:szCs w:val="20"/>
        </w:rPr>
        <w:t>Holtan SG</w:t>
      </w:r>
      <w:r w:rsidRPr="00072AEC">
        <w:rPr>
          <w:rFonts w:ascii="Book Antiqua" w:hAnsi="Book Antiqua"/>
          <w:sz w:val="20"/>
          <w:szCs w:val="20"/>
        </w:rPr>
        <w:t xml:space="preserve">, Shabaneh A, Betts BC, Rashidi A, MacMillan ML, Ustun C, Amin K, Vaughn BP, Howard J, Khoruts A, Arora M, DeFor TE, Johnson D, Blazar BR, Weisdorf DJ, Wang J. </w:t>
      </w:r>
      <w:r w:rsidR="00B967C2" w:rsidRPr="00072AEC">
        <w:rPr>
          <w:rFonts w:ascii="Book Antiqua" w:hAnsi="Book Antiqua"/>
          <w:sz w:val="20"/>
          <w:szCs w:val="20"/>
        </w:rPr>
        <w:t>Stress Responses, M2 Macrophages, and a Distinct Microbial Signature in Fatal Intestinal Acute Graft-Versus-Host Disease</w:t>
      </w:r>
      <w:r w:rsidRPr="00072AEC">
        <w:rPr>
          <w:rFonts w:ascii="Book Antiqua" w:hAnsi="Book Antiqua"/>
          <w:sz w:val="20"/>
          <w:szCs w:val="20"/>
        </w:rPr>
        <w:t>.</w:t>
      </w:r>
      <w:r w:rsidR="00B967C2" w:rsidRPr="00072AEC">
        <w:rPr>
          <w:rFonts w:ascii="Book Antiqua" w:hAnsi="Book Antiqua"/>
          <w:sz w:val="20"/>
          <w:szCs w:val="20"/>
        </w:rPr>
        <w:t xml:space="preserve"> </w:t>
      </w:r>
      <w:r w:rsidRPr="00072AEC">
        <w:rPr>
          <w:rFonts w:ascii="Book Antiqua" w:hAnsi="Book Antiqua"/>
          <w:i/>
          <w:sz w:val="20"/>
          <w:szCs w:val="20"/>
        </w:rPr>
        <w:t>JCI Insight</w:t>
      </w:r>
      <w:r w:rsidRPr="00072AEC">
        <w:rPr>
          <w:rFonts w:ascii="Book Antiqua" w:hAnsi="Book Antiqua"/>
          <w:sz w:val="20"/>
          <w:szCs w:val="20"/>
        </w:rPr>
        <w:t xml:space="preserve"> 2019; </w:t>
      </w:r>
      <w:r w:rsidRPr="00072AEC">
        <w:rPr>
          <w:rFonts w:ascii="Book Antiqua" w:hAnsi="Book Antiqua"/>
          <w:b/>
          <w:sz w:val="20"/>
          <w:szCs w:val="20"/>
        </w:rPr>
        <w:t>5</w:t>
      </w:r>
      <w:r w:rsidR="00320F50" w:rsidRPr="00072AEC">
        <w:rPr>
          <w:rFonts w:ascii="Book Antiqua" w:hAnsi="Book Antiqua"/>
          <w:sz w:val="20"/>
          <w:szCs w:val="20"/>
        </w:rPr>
        <w:t>:</w:t>
      </w:r>
      <w:r w:rsidRPr="00072AEC">
        <w:rPr>
          <w:rFonts w:ascii="Book Antiqua" w:hAnsi="Book Antiqua"/>
          <w:sz w:val="20"/>
          <w:szCs w:val="20"/>
        </w:rPr>
        <w:t xml:space="preserve"> </w:t>
      </w:r>
      <w:r w:rsidR="00320F50" w:rsidRPr="00072AEC">
        <w:rPr>
          <w:rFonts w:ascii="Book Antiqua" w:hAnsi="Book Antiqua"/>
          <w:sz w:val="20"/>
          <w:szCs w:val="20"/>
        </w:rPr>
        <w:t xml:space="preserve">e129762 </w:t>
      </w:r>
      <w:r w:rsidRPr="00072AEC">
        <w:rPr>
          <w:rFonts w:ascii="Book Antiqua" w:hAnsi="Book Antiqua"/>
          <w:sz w:val="20"/>
          <w:szCs w:val="20"/>
        </w:rPr>
        <w:t>[PMID: 31393854 DOI: 10.1172/jci.insight.129762]</w:t>
      </w:r>
    </w:p>
    <w:p w14:paraId="413DCE0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41 </w:t>
      </w:r>
      <w:r w:rsidRPr="00072AEC">
        <w:rPr>
          <w:rFonts w:ascii="Book Antiqua" w:hAnsi="Book Antiqua"/>
          <w:b/>
          <w:sz w:val="20"/>
          <w:szCs w:val="20"/>
        </w:rPr>
        <w:t>Wall SA</w:t>
      </w:r>
      <w:r w:rsidRPr="00072AEC">
        <w:rPr>
          <w:rFonts w:ascii="Book Antiqua" w:hAnsi="Book Antiqua"/>
          <w:sz w:val="20"/>
          <w:szCs w:val="20"/>
        </w:rPr>
        <w:t xml:space="preserve">, Zhao Q, Yearsley M, Blower L, Agyeman A, Ranganathan P, Yang S, Wu H, Bostic M, Jaglowski S, Brammer JE, William B, Choe H, Mims AS, Penza S, Efebera Y, Devine S, Cataland S, Davies SM, Vasu S. Complement-mediated thrombotic microangiopathy as a link between endothelial damage and steroid-refractory GVHD. </w:t>
      </w:r>
      <w:r w:rsidRPr="00072AEC">
        <w:rPr>
          <w:rFonts w:ascii="Book Antiqua" w:hAnsi="Book Antiqua"/>
          <w:i/>
          <w:sz w:val="20"/>
          <w:szCs w:val="20"/>
        </w:rPr>
        <w:t>Blood Adv</w:t>
      </w:r>
      <w:r w:rsidRPr="00072AEC">
        <w:rPr>
          <w:rFonts w:ascii="Book Antiqua" w:hAnsi="Book Antiqua"/>
          <w:sz w:val="20"/>
          <w:szCs w:val="20"/>
        </w:rPr>
        <w:t xml:space="preserve"> 2018; </w:t>
      </w:r>
      <w:r w:rsidRPr="00072AEC">
        <w:rPr>
          <w:rFonts w:ascii="Book Antiqua" w:hAnsi="Book Antiqua"/>
          <w:b/>
          <w:sz w:val="20"/>
          <w:szCs w:val="20"/>
        </w:rPr>
        <w:t>2</w:t>
      </w:r>
      <w:r w:rsidRPr="00072AEC">
        <w:rPr>
          <w:rFonts w:ascii="Book Antiqua" w:hAnsi="Book Antiqua"/>
          <w:sz w:val="20"/>
          <w:szCs w:val="20"/>
        </w:rPr>
        <w:t>: 2619-2628 [PMID: 30327370 DOI: 10.1182/bloodadvances.2018020321]</w:t>
      </w:r>
    </w:p>
    <w:p w14:paraId="7B15079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42 </w:t>
      </w:r>
      <w:r w:rsidRPr="00072AEC">
        <w:rPr>
          <w:rFonts w:ascii="Book Antiqua" w:hAnsi="Book Antiqua"/>
          <w:b/>
          <w:sz w:val="20"/>
          <w:szCs w:val="20"/>
        </w:rPr>
        <w:t>Luft T</w:t>
      </w:r>
      <w:r w:rsidRPr="00072AEC">
        <w:rPr>
          <w:rFonts w:ascii="Book Antiqua" w:hAnsi="Book Antiqua"/>
          <w:sz w:val="20"/>
          <w:szCs w:val="20"/>
        </w:rPr>
        <w:t xml:space="preserve">, Dietrich S, Falk C, Conzelmann M, Hess M, Benner A, Neumann F, Isermann B, Hegenbart U, Ho AD, Dreger P. Steroid-refractory GVHD: T-cell attack within a vulnerable endothelial system. </w:t>
      </w:r>
      <w:r w:rsidRPr="00072AEC">
        <w:rPr>
          <w:rFonts w:ascii="Book Antiqua" w:hAnsi="Book Antiqua"/>
          <w:i/>
          <w:sz w:val="20"/>
          <w:szCs w:val="20"/>
        </w:rPr>
        <w:t>Blood</w:t>
      </w:r>
      <w:r w:rsidRPr="00072AEC">
        <w:rPr>
          <w:rFonts w:ascii="Book Antiqua" w:hAnsi="Book Antiqua"/>
          <w:sz w:val="20"/>
          <w:szCs w:val="20"/>
        </w:rPr>
        <w:t xml:space="preserve"> 2011; </w:t>
      </w:r>
      <w:r w:rsidRPr="00072AEC">
        <w:rPr>
          <w:rFonts w:ascii="Book Antiqua" w:hAnsi="Book Antiqua"/>
          <w:b/>
          <w:sz w:val="20"/>
          <w:szCs w:val="20"/>
        </w:rPr>
        <w:t>118</w:t>
      </w:r>
      <w:r w:rsidRPr="00072AEC">
        <w:rPr>
          <w:rFonts w:ascii="Book Antiqua" w:hAnsi="Book Antiqua"/>
          <w:sz w:val="20"/>
          <w:szCs w:val="20"/>
        </w:rPr>
        <w:t>: 1685-1692 [PMID: 21636856 DOI: 10.1182/blood-2011-02-334821]</w:t>
      </w:r>
    </w:p>
    <w:p w14:paraId="70D0A55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43 </w:t>
      </w:r>
      <w:r w:rsidRPr="00072AEC">
        <w:rPr>
          <w:rFonts w:ascii="Book Antiqua" w:hAnsi="Book Antiqua"/>
          <w:b/>
          <w:sz w:val="20"/>
          <w:szCs w:val="20"/>
        </w:rPr>
        <w:t>Law SK</w:t>
      </w:r>
      <w:r w:rsidRPr="00072AEC">
        <w:rPr>
          <w:rFonts w:ascii="Book Antiqua" w:hAnsi="Book Antiqua"/>
          <w:sz w:val="20"/>
          <w:szCs w:val="20"/>
        </w:rPr>
        <w:t xml:space="preserve">, Micklem KJ, Shaw JM, Zhang XP, Dong Y, Willis AC, Mason DY. A new macrophage differentiation antigen which is a member of the scavenger receptor superfamily. </w:t>
      </w:r>
      <w:r w:rsidRPr="00072AEC">
        <w:rPr>
          <w:rFonts w:ascii="Book Antiqua" w:hAnsi="Book Antiqua"/>
          <w:i/>
          <w:sz w:val="20"/>
          <w:szCs w:val="20"/>
        </w:rPr>
        <w:t>Eur J Immunol</w:t>
      </w:r>
      <w:r w:rsidRPr="00072AEC">
        <w:rPr>
          <w:rFonts w:ascii="Book Antiqua" w:hAnsi="Book Antiqua"/>
          <w:sz w:val="20"/>
          <w:szCs w:val="20"/>
        </w:rPr>
        <w:t xml:space="preserve"> 1993; </w:t>
      </w:r>
      <w:r w:rsidRPr="00072AEC">
        <w:rPr>
          <w:rFonts w:ascii="Book Antiqua" w:hAnsi="Book Antiqua"/>
          <w:b/>
          <w:sz w:val="20"/>
          <w:szCs w:val="20"/>
        </w:rPr>
        <w:t>23</w:t>
      </w:r>
      <w:r w:rsidRPr="00072AEC">
        <w:rPr>
          <w:rFonts w:ascii="Book Antiqua" w:hAnsi="Book Antiqua"/>
          <w:sz w:val="20"/>
          <w:szCs w:val="20"/>
        </w:rPr>
        <w:t>: 2320-2325 [PMID: 8370408 DOI: 10.1002/eji.1830230940]</w:t>
      </w:r>
    </w:p>
    <w:p w14:paraId="0F63B5BA"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44 </w:t>
      </w:r>
      <w:r w:rsidRPr="00072AEC">
        <w:rPr>
          <w:rFonts w:ascii="Book Antiqua" w:hAnsi="Book Antiqua"/>
          <w:b/>
          <w:sz w:val="20"/>
          <w:szCs w:val="20"/>
        </w:rPr>
        <w:t>Nishiwaki S</w:t>
      </w:r>
      <w:r w:rsidRPr="00072AEC">
        <w:rPr>
          <w:rFonts w:ascii="Book Antiqua" w:hAnsi="Book Antiqua"/>
          <w:sz w:val="20"/>
          <w:szCs w:val="20"/>
        </w:rPr>
        <w:t xml:space="preserve">, Terakura S, Ito M, Goto T, Seto A, Watanabe K, Yanagisawa M, Imahashi N, Tsukamoto S, Shimba M, Ozawa Y, Miyamura K. Impact of macrophage infiltration of skin lesions on survival after allogeneic stem cell transplantation: a clue to refractory graft-versus-host disease. </w:t>
      </w:r>
      <w:r w:rsidRPr="00072AEC">
        <w:rPr>
          <w:rFonts w:ascii="Book Antiqua" w:hAnsi="Book Antiqua"/>
          <w:i/>
          <w:sz w:val="20"/>
          <w:szCs w:val="20"/>
        </w:rPr>
        <w:t>Blood</w:t>
      </w:r>
      <w:r w:rsidRPr="00072AEC">
        <w:rPr>
          <w:rFonts w:ascii="Book Antiqua" w:hAnsi="Book Antiqua"/>
          <w:sz w:val="20"/>
          <w:szCs w:val="20"/>
        </w:rPr>
        <w:t xml:space="preserve"> 2009; </w:t>
      </w:r>
      <w:r w:rsidRPr="00072AEC">
        <w:rPr>
          <w:rFonts w:ascii="Book Antiqua" w:hAnsi="Book Antiqua"/>
          <w:b/>
          <w:sz w:val="20"/>
          <w:szCs w:val="20"/>
        </w:rPr>
        <w:t>114</w:t>
      </w:r>
      <w:r w:rsidRPr="00072AEC">
        <w:rPr>
          <w:rFonts w:ascii="Book Antiqua" w:hAnsi="Book Antiqua"/>
          <w:sz w:val="20"/>
          <w:szCs w:val="20"/>
        </w:rPr>
        <w:t>: 3113-3116 [PMID: 19643987 DOI: 10.1182/blood-2009-03-209635]</w:t>
      </w:r>
    </w:p>
    <w:p w14:paraId="7F3F602E"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45 </w:t>
      </w:r>
      <w:r w:rsidRPr="00072AEC">
        <w:rPr>
          <w:rFonts w:ascii="Book Antiqua" w:hAnsi="Book Antiqua"/>
          <w:b/>
          <w:sz w:val="20"/>
          <w:szCs w:val="20"/>
        </w:rPr>
        <w:t>Inamoto Y</w:t>
      </w:r>
      <w:r w:rsidRPr="00072AEC">
        <w:rPr>
          <w:rFonts w:ascii="Book Antiqua" w:hAnsi="Book Antiqua"/>
          <w:sz w:val="20"/>
          <w:szCs w:val="20"/>
        </w:rPr>
        <w:t xml:space="preserve">, Martin PJ, Paczesny S, Tabellini L, Momin AA, Mumaw CL, Flowers MED, Lee SJ, Carpenter PA, Storer BE, Hanash S, Hansen JA. Association of Plasma CD163 Concentration with De Novo-Onset Chronic Graft-versus-Host Disease. </w:t>
      </w:r>
      <w:r w:rsidRPr="00072AEC">
        <w:rPr>
          <w:rFonts w:ascii="Book Antiqua" w:hAnsi="Book Antiqua"/>
          <w:i/>
          <w:sz w:val="20"/>
          <w:szCs w:val="20"/>
        </w:rPr>
        <w:t>Biol Blood Marrow Transplant</w:t>
      </w:r>
      <w:r w:rsidRPr="00072AEC">
        <w:rPr>
          <w:rFonts w:ascii="Book Antiqua" w:hAnsi="Book Antiqua"/>
          <w:sz w:val="20"/>
          <w:szCs w:val="20"/>
        </w:rPr>
        <w:t xml:space="preserve"> 2017; </w:t>
      </w:r>
      <w:r w:rsidRPr="00072AEC">
        <w:rPr>
          <w:rFonts w:ascii="Book Antiqua" w:hAnsi="Book Antiqua"/>
          <w:b/>
          <w:sz w:val="20"/>
          <w:szCs w:val="20"/>
        </w:rPr>
        <w:t>23</w:t>
      </w:r>
      <w:r w:rsidRPr="00072AEC">
        <w:rPr>
          <w:rFonts w:ascii="Book Antiqua" w:hAnsi="Book Antiqua"/>
          <w:sz w:val="20"/>
          <w:szCs w:val="20"/>
        </w:rPr>
        <w:t>: 1250-1256 [PMID: 28455006 DOI: 10.1016/j.bbmt.2017.04.019]</w:t>
      </w:r>
    </w:p>
    <w:p w14:paraId="3D59CD1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46 </w:t>
      </w:r>
      <w:r w:rsidRPr="00072AEC">
        <w:rPr>
          <w:rFonts w:ascii="Book Antiqua" w:hAnsi="Book Antiqua"/>
          <w:b/>
          <w:sz w:val="20"/>
          <w:szCs w:val="20"/>
        </w:rPr>
        <w:t>Le Huu D</w:t>
      </w:r>
      <w:r w:rsidRPr="00072AEC">
        <w:rPr>
          <w:rFonts w:ascii="Book Antiqua" w:hAnsi="Book Antiqua"/>
          <w:sz w:val="20"/>
          <w:szCs w:val="20"/>
        </w:rPr>
        <w:t xml:space="preserve">, Matsushita T, Jin G, Hamaguchi Y, Hasegawa M, Takehara K, Tedder TF, Fujimoto M. Donor-derived regulatory B cells are important for suppression of murine sclerodermatous chronic graft-versus-host disease. </w:t>
      </w:r>
      <w:r w:rsidRPr="00072AEC">
        <w:rPr>
          <w:rFonts w:ascii="Book Antiqua" w:hAnsi="Book Antiqua"/>
          <w:i/>
          <w:sz w:val="20"/>
          <w:szCs w:val="20"/>
        </w:rPr>
        <w:t>Blood</w:t>
      </w:r>
      <w:r w:rsidRPr="00072AEC">
        <w:rPr>
          <w:rFonts w:ascii="Book Antiqua" w:hAnsi="Book Antiqua"/>
          <w:sz w:val="20"/>
          <w:szCs w:val="20"/>
        </w:rPr>
        <w:t xml:space="preserve"> 2013; </w:t>
      </w:r>
      <w:r w:rsidRPr="00072AEC">
        <w:rPr>
          <w:rFonts w:ascii="Book Antiqua" w:hAnsi="Book Antiqua"/>
          <w:b/>
          <w:sz w:val="20"/>
          <w:szCs w:val="20"/>
        </w:rPr>
        <w:t>121</w:t>
      </w:r>
      <w:r w:rsidRPr="00072AEC">
        <w:rPr>
          <w:rFonts w:ascii="Book Antiqua" w:hAnsi="Book Antiqua"/>
          <w:sz w:val="20"/>
          <w:szCs w:val="20"/>
        </w:rPr>
        <w:t>: 3274-3283 [PMID: 23422748 DOI: 10.1182/blood-2012-11-465658]</w:t>
      </w:r>
    </w:p>
    <w:p w14:paraId="391D689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47 </w:t>
      </w:r>
      <w:r w:rsidRPr="00072AEC">
        <w:rPr>
          <w:rFonts w:ascii="Book Antiqua" w:hAnsi="Book Antiqua"/>
          <w:b/>
          <w:sz w:val="20"/>
          <w:szCs w:val="20"/>
        </w:rPr>
        <w:t>Huu DL</w:t>
      </w:r>
      <w:r w:rsidRPr="00072AEC">
        <w:rPr>
          <w:rFonts w:ascii="Book Antiqua" w:hAnsi="Book Antiqua"/>
          <w:sz w:val="20"/>
          <w:szCs w:val="20"/>
        </w:rPr>
        <w:t xml:space="preserve">, Matsushita T, Jin G, Hamaguchi Y, Hasegawa M, Takehara K, Fujimoto M. FTY720 ameliorates murine sclerodermatous chronic graft-versus-host disease by promoting expansion of splenic regulatory cells and inhibiting immune cell infiltration into skin. </w:t>
      </w:r>
      <w:r w:rsidRPr="00072AEC">
        <w:rPr>
          <w:rFonts w:ascii="Book Antiqua" w:hAnsi="Book Antiqua"/>
          <w:i/>
          <w:sz w:val="20"/>
          <w:szCs w:val="20"/>
        </w:rPr>
        <w:t>Arthritis Rheum</w:t>
      </w:r>
      <w:r w:rsidRPr="00072AEC">
        <w:rPr>
          <w:rFonts w:ascii="Book Antiqua" w:hAnsi="Book Antiqua"/>
          <w:sz w:val="20"/>
          <w:szCs w:val="20"/>
        </w:rPr>
        <w:t xml:space="preserve"> 2013; </w:t>
      </w:r>
      <w:r w:rsidRPr="00072AEC">
        <w:rPr>
          <w:rFonts w:ascii="Book Antiqua" w:hAnsi="Book Antiqua"/>
          <w:b/>
          <w:sz w:val="20"/>
          <w:szCs w:val="20"/>
        </w:rPr>
        <w:t>65</w:t>
      </w:r>
      <w:r w:rsidRPr="00072AEC">
        <w:rPr>
          <w:rFonts w:ascii="Book Antiqua" w:hAnsi="Book Antiqua"/>
          <w:sz w:val="20"/>
          <w:szCs w:val="20"/>
        </w:rPr>
        <w:t>: 1624-1635 [PMID: 23508350 DOI: 10.1002/art.37933]</w:t>
      </w:r>
    </w:p>
    <w:p w14:paraId="384200A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48 </w:t>
      </w:r>
      <w:r w:rsidRPr="00072AEC">
        <w:rPr>
          <w:rFonts w:ascii="Book Antiqua" w:hAnsi="Book Antiqua"/>
          <w:b/>
          <w:sz w:val="20"/>
          <w:szCs w:val="20"/>
        </w:rPr>
        <w:t>Lim JY</w:t>
      </w:r>
      <w:r w:rsidRPr="00072AEC">
        <w:rPr>
          <w:rFonts w:ascii="Book Antiqua" w:hAnsi="Book Antiqua"/>
          <w:sz w:val="20"/>
          <w:szCs w:val="20"/>
        </w:rPr>
        <w:t xml:space="preserve">, Ryu DB, Lee SE, Park G, Min CK. Mesenchymal Stem Cells (MSCs) Attenuate Cutaneous Sclerodermatous Graft-Versus-Host Disease (Scl-GVHD) through Inhibition of Immune Cell Infiltration in a Mouse Model. </w:t>
      </w:r>
      <w:r w:rsidRPr="00072AEC">
        <w:rPr>
          <w:rFonts w:ascii="Book Antiqua" w:hAnsi="Book Antiqua"/>
          <w:i/>
          <w:sz w:val="20"/>
          <w:szCs w:val="20"/>
        </w:rPr>
        <w:t>J Invest Dermatol</w:t>
      </w:r>
      <w:r w:rsidRPr="00072AEC">
        <w:rPr>
          <w:rFonts w:ascii="Book Antiqua" w:hAnsi="Book Antiqua"/>
          <w:sz w:val="20"/>
          <w:szCs w:val="20"/>
        </w:rPr>
        <w:t xml:space="preserve"> 2017; </w:t>
      </w:r>
      <w:r w:rsidRPr="00072AEC">
        <w:rPr>
          <w:rFonts w:ascii="Book Antiqua" w:hAnsi="Book Antiqua"/>
          <w:b/>
          <w:sz w:val="20"/>
          <w:szCs w:val="20"/>
        </w:rPr>
        <w:t>137</w:t>
      </w:r>
      <w:r w:rsidRPr="00072AEC">
        <w:rPr>
          <w:rFonts w:ascii="Book Antiqua" w:hAnsi="Book Antiqua"/>
          <w:sz w:val="20"/>
          <w:szCs w:val="20"/>
        </w:rPr>
        <w:t>: 1895-1904 [PMID: 28526296 DOI: 10.1016/j.jid.2017.02.986]</w:t>
      </w:r>
    </w:p>
    <w:p w14:paraId="57210A4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49 </w:t>
      </w:r>
      <w:r w:rsidRPr="00072AEC">
        <w:rPr>
          <w:rFonts w:ascii="Book Antiqua" w:hAnsi="Book Antiqua"/>
          <w:b/>
          <w:sz w:val="20"/>
          <w:szCs w:val="20"/>
        </w:rPr>
        <w:t>Du J</w:t>
      </w:r>
      <w:r w:rsidRPr="00072AEC">
        <w:rPr>
          <w:rFonts w:ascii="Book Antiqua" w:hAnsi="Book Antiqua"/>
          <w:sz w:val="20"/>
          <w:szCs w:val="20"/>
        </w:rPr>
        <w:t xml:space="preserve">, Paz K, Flynn R, Vulic A, Robinson TM, Lineburg KE, Alexander KA, Meng J, Roy S, Panoskaltsis-Mortari A, Loschi M, Hill GR, Serody JS, Maillard I, Miklos D, Koreth J, Cutler CS, Antin JH, Ritz J, MacDonald KP, Schacker TW, Luznik L, Blazar BR. Pirfenidone ameliorates murine chronic GVHD through inhibition of macrophage infiltration and TGF-β production. </w:t>
      </w:r>
      <w:r w:rsidRPr="00072AEC">
        <w:rPr>
          <w:rFonts w:ascii="Book Antiqua" w:hAnsi="Book Antiqua"/>
          <w:i/>
          <w:sz w:val="20"/>
          <w:szCs w:val="20"/>
        </w:rPr>
        <w:t>Blood</w:t>
      </w:r>
      <w:r w:rsidRPr="00072AEC">
        <w:rPr>
          <w:rFonts w:ascii="Book Antiqua" w:hAnsi="Book Antiqua"/>
          <w:sz w:val="20"/>
          <w:szCs w:val="20"/>
        </w:rPr>
        <w:t xml:space="preserve"> 2017; </w:t>
      </w:r>
      <w:r w:rsidRPr="00072AEC">
        <w:rPr>
          <w:rFonts w:ascii="Book Antiqua" w:hAnsi="Book Antiqua"/>
          <w:b/>
          <w:sz w:val="20"/>
          <w:szCs w:val="20"/>
        </w:rPr>
        <w:t>129</w:t>
      </w:r>
      <w:r w:rsidRPr="00072AEC">
        <w:rPr>
          <w:rFonts w:ascii="Book Antiqua" w:hAnsi="Book Antiqua"/>
          <w:sz w:val="20"/>
          <w:szCs w:val="20"/>
        </w:rPr>
        <w:t>: 2570-2580 [PMID: 28254742 DOI: 10.1182/blood-2017-01-758854]</w:t>
      </w:r>
    </w:p>
    <w:p w14:paraId="2993EAF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50 </w:t>
      </w:r>
      <w:r w:rsidRPr="00072AEC">
        <w:rPr>
          <w:rFonts w:ascii="Book Antiqua" w:hAnsi="Book Antiqua"/>
          <w:b/>
          <w:sz w:val="20"/>
          <w:szCs w:val="20"/>
        </w:rPr>
        <w:t>Alexander KA</w:t>
      </w:r>
      <w:r w:rsidRPr="00072AEC">
        <w:rPr>
          <w:rFonts w:ascii="Book Antiqua" w:hAnsi="Book Antiqua"/>
          <w:sz w:val="20"/>
          <w:szCs w:val="20"/>
        </w:rPr>
        <w:t xml:space="preserve">, Flynn R, Lineburg KE, Kuns RD, Teal BE, Olver SD, Lor M, Raffelt NC, Koyama M, Leveque L, Le Texier L, Melino M, Markey KA, Varelias A, Engwerda C, Serody JS, Janela B, Ginhoux F, Clouston AD, Blazar BR, Hill GR, MacDonald KP. CSF-1-dependant donor-derived macrophages mediate chronic graft-versus-host disease. </w:t>
      </w:r>
      <w:r w:rsidRPr="00072AEC">
        <w:rPr>
          <w:rFonts w:ascii="Book Antiqua" w:hAnsi="Book Antiqua"/>
          <w:i/>
          <w:sz w:val="20"/>
          <w:szCs w:val="20"/>
        </w:rPr>
        <w:t>J Clin Invest</w:t>
      </w:r>
      <w:r w:rsidRPr="00072AEC">
        <w:rPr>
          <w:rFonts w:ascii="Book Antiqua" w:hAnsi="Book Antiqua"/>
          <w:sz w:val="20"/>
          <w:szCs w:val="20"/>
        </w:rPr>
        <w:t xml:space="preserve"> 2014; </w:t>
      </w:r>
      <w:r w:rsidRPr="00072AEC">
        <w:rPr>
          <w:rFonts w:ascii="Book Antiqua" w:hAnsi="Book Antiqua"/>
          <w:b/>
          <w:sz w:val="20"/>
          <w:szCs w:val="20"/>
        </w:rPr>
        <w:t>124</w:t>
      </w:r>
      <w:r w:rsidRPr="00072AEC">
        <w:rPr>
          <w:rFonts w:ascii="Book Antiqua" w:hAnsi="Book Antiqua"/>
          <w:sz w:val="20"/>
          <w:szCs w:val="20"/>
        </w:rPr>
        <w:t>: 4266-4280 [PMID: 25157821 DOI: 10.1172/JCI75935]</w:t>
      </w:r>
    </w:p>
    <w:p w14:paraId="2AA9967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51 </w:t>
      </w:r>
      <w:r w:rsidRPr="00072AEC">
        <w:rPr>
          <w:rFonts w:ascii="Book Antiqua" w:hAnsi="Book Antiqua"/>
          <w:b/>
          <w:sz w:val="20"/>
          <w:szCs w:val="20"/>
        </w:rPr>
        <w:t>Argyle D</w:t>
      </w:r>
      <w:r w:rsidRPr="00072AEC">
        <w:rPr>
          <w:rFonts w:ascii="Book Antiqua" w:hAnsi="Book Antiqua"/>
          <w:sz w:val="20"/>
          <w:szCs w:val="20"/>
        </w:rPr>
        <w:t xml:space="preserve">, Kitamura T. Targeting Macrophage-Recruiting Chemokines as a Novel Therapeutic Strategy to Prevent the Progression of Solid Tumors. </w:t>
      </w:r>
      <w:r w:rsidRPr="00072AEC">
        <w:rPr>
          <w:rFonts w:ascii="Book Antiqua" w:hAnsi="Book Antiqua"/>
          <w:i/>
          <w:sz w:val="20"/>
          <w:szCs w:val="20"/>
        </w:rPr>
        <w:t>Front Immunol</w:t>
      </w:r>
      <w:r w:rsidRPr="00072AEC">
        <w:rPr>
          <w:rFonts w:ascii="Book Antiqua" w:hAnsi="Book Antiqua"/>
          <w:sz w:val="20"/>
          <w:szCs w:val="20"/>
        </w:rPr>
        <w:t xml:space="preserve"> 2018; </w:t>
      </w:r>
      <w:r w:rsidRPr="00072AEC">
        <w:rPr>
          <w:rFonts w:ascii="Book Antiqua" w:hAnsi="Book Antiqua"/>
          <w:b/>
          <w:sz w:val="20"/>
          <w:szCs w:val="20"/>
        </w:rPr>
        <w:t>9</w:t>
      </w:r>
      <w:r w:rsidRPr="00072AEC">
        <w:rPr>
          <w:rFonts w:ascii="Book Antiqua" w:hAnsi="Book Antiqua"/>
          <w:sz w:val="20"/>
          <w:szCs w:val="20"/>
        </w:rPr>
        <w:t>: 2629 [PMID: 30483271 DOI: 10.3389/fimmu.2018.02629]</w:t>
      </w:r>
    </w:p>
    <w:p w14:paraId="46FD33E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52 </w:t>
      </w:r>
      <w:r w:rsidRPr="00072AEC">
        <w:rPr>
          <w:rFonts w:ascii="Book Antiqua" w:hAnsi="Book Antiqua"/>
          <w:b/>
          <w:sz w:val="20"/>
          <w:szCs w:val="20"/>
        </w:rPr>
        <w:t>Ruytinx P</w:t>
      </w:r>
      <w:r w:rsidRPr="00072AEC">
        <w:rPr>
          <w:rFonts w:ascii="Book Antiqua" w:hAnsi="Book Antiqua"/>
          <w:sz w:val="20"/>
          <w:szCs w:val="20"/>
        </w:rPr>
        <w:t xml:space="preserve">, Proost P, Van Damme J, Struyf S. Chemokine-Induced Macrophage Polarization in Inflammatory Conditions. </w:t>
      </w:r>
      <w:r w:rsidRPr="00072AEC">
        <w:rPr>
          <w:rFonts w:ascii="Book Antiqua" w:hAnsi="Book Antiqua"/>
          <w:i/>
          <w:sz w:val="20"/>
          <w:szCs w:val="20"/>
        </w:rPr>
        <w:t>Front Immunol</w:t>
      </w:r>
      <w:r w:rsidRPr="00072AEC">
        <w:rPr>
          <w:rFonts w:ascii="Book Antiqua" w:hAnsi="Book Antiqua"/>
          <w:sz w:val="20"/>
          <w:szCs w:val="20"/>
        </w:rPr>
        <w:t xml:space="preserve"> 2018; </w:t>
      </w:r>
      <w:r w:rsidRPr="00072AEC">
        <w:rPr>
          <w:rFonts w:ascii="Book Antiqua" w:hAnsi="Book Antiqua"/>
          <w:b/>
          <w:sz w:val="20"/>
          <w:szCs w:val="20"/>
        </w:rPr>
        <w:t>9</w:t>
      </w:r>
      <w:r w:rsidRPr="00072AEC">
        <w:rPr>
          <w:rFonts w:ascii="Book Antiqua" w:hAnsi="Book Antiqua"/>
          <w:sz w:val="20"/>
          <w:szCs w:val="20"/>
        </w:rPr>
        <w:t>: 1930 [PMID: 30245686 DOI: 10.3389/fimmu.2018.01930]</w:t>
      </w:r>
    </w:p>
    <w:p w14:paraId="7ABE2B3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53 </w:t>
      </w:r>
      <w:r w:rsidRPr="00072AEC">
        <w:rPr>
          <w:rFonts w:ascii="Book Antiqua" w:hAnsi="Book Antiqua"/>
          <w:b/>
          <w:sz w:val="20"/>
          <w:szCs w:val="20"/>
        </w:rPr>
        <w:t>Cho KA</w:t>
      </w:r>
      <w:r w:rsidRPr="00072AEC">
        <w:rPr>
          <w:rFonts w:ascii="Book Antiqua" w:hAnsi="Book Antiqua"/>
          <w:sz w:val="20"/>
          <w:szCs w:val="20"/>
        </w:rPr>
        <w:t xml:space="preserve">, Woo SY, Park YS, Park MH, Ryu KH. Macrophage inflammatory protein-2 (MIP-2)/CXCR2 blockade attenuates acute graft-versus-host disease while preserving graft-versus-leukemia activity. </w:t>
      </w:r>
      <w:r w:rsidRPr="00072AEC">
        <w:rPr>
          <w:rFonts w:ascii="Book Antiqua" w:hAnsi="Book Antiqua"/>
          <w:i/>
          <w:sz w:val="20"/>
          <w:szCs w:val="20"/>
        </w:rPr>
        <w:t>Biochem Biophys Res Commun</w:t>
      </w:r>
      <w:r w:rsidRPr="00072AEC">
        <w:rPr>
          <w:rFonts w:ascii="Book Antiqua" w:hAnsi="Book Antiqua"/>
          <w:sz w:val="20"/>
          <w:szCs w:val="20"/>
        </w:rPr>
        <w:t xml:space="preserve"> 2012; </w:t>
      </w:r>
      <w:r w:rsidRPr="00072AEC">
        <w:rPr>
          <w:rFonts w:ascii="Book Antiqua" w:hAnsi="Book Antiqua"/>
          <w:b/>
          <w:sz w:val="20"/>
          <w:szCs w:val="20"/>
        </w:rPr>
        <w:t>426</w:t>
      </w:r>
      <w:r w:rsidRPr="00072AEC">
        <w:rPr>
          <w:rFonts w:ascii="Book Antiqua" w:hAnsi="Book Antiqua"/>
          <w:sz w:val="20"/>
          <w:szCs w:val="20"/>
        </w:rPr>
        <w:t>: 558-564 [PMID: 22982307 DOI: 10.1016/j.bbrc.2012.08.126]</w:t>
      </w:r>
    </w:p>
    <w:p w14:paraId="6C8CE38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54 </w:t>
      </w:r>
      <w:r w:rsidRPr="00072AEC">
        <w:rPr>
          <w:rFonts w:ascii="Book Antiqua" w:hAnsi="Book Antiqua"/>
          <w:b/>
          <w:sz w:val="20"/>
          <w:szCs w:val="20"/>
        </w:rPr>
        <w:t>Du J</w:t>
      </w:r>
      <w:r w:rsidRPr="00072AEC">
        <w:rPr>
          <w:rFonts w:ascii="Book Antiqua" w:hAnsi="Book Antiqua"/>
          <w:sz w:val="20"/>
          <w:szCs w:val="20"/>
        </w:rPr>
        <w:t xml:space="preserve">, Flynn R, Paz K, Ren HG, Ogata Y, Zhang Q, Gafken PR, Storer BE, Roy NH, Burkhardt JK, Mathews W, Tolar J, Lee SJ, Blazar BR, Paczesny S. Murine chronic graft-versus-host disease proteome profiling discovers CCL15 as a novel biomarker in patients. </w:t>
      </w:r>
      <w:r w:rsidRPr="00072AEC">
        <w:rPr>
          <w:rFonts w:ascii="Book Antiqua" w:hAnsi="Book Antiqua"/>
          <w:i/>
          <w:sz w:val="20"/>
          <w:szCs w:val="20"/>
        </w:rPr>
        <w:t>Blood</w:t>
      </w:r>
      <w:r w:rsidRPr="00072AEC">
        <w:rPr>
          <w:rFonts w:ascii="Book Antiqua" w:hAnsi="Book Antiqua"/>
          <w:sz w:val="20"/>
          <w:szCs w:val="20"/>
        </w:rPr>
        <w:t xml:space="preserve"> 2018; </w:t>
      </w:r>
      <w:r w:rsidRPr="00072AEC">
        <w:rPr>
          <w:rFonts w:ascii="Book Antiqua" w:hAnsi="Book Antiqua"/>
          <w:b/>
          <w:sz w:val="20"/>
          <w:szCs w:val="20"/>
        </w:rPr>
        <w:t>131</w:t>
      </w:r>
      <w:r w:rsidRPr="00072AEC">
        <w:rPr>
          <w:rFonts w:ascii="Book Antiqua" w:hAnsi="Book Antiqua"/>
          <w:sz w:val="20"/>
          <w:szCs w:val="20"/>
        </w:rPr>
        <w:t>: 1743-1754 [PMID: 29348127 DOI: 10.1182/blood-2017-08-800623]</w:t>
      </w:r>
    </w:p>
    <w:p w14:paraId="74027AC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55 </w:t>
      </w:r>
      <w:r w:rsidRPr="00072AEC">
        <w:rPr>
          <w:rFonts w:ascii="Book Antiqua" w:hAnsi="Book Antiqua"/>
          <w:b/>
          <w:sz w:val="20"/>
          <w:szCs w:val="20"/>
        </w:rPr>
        <w:t>Hyvärinen K</w:t>
      </w:r>
      <w:r w:rsidRPr="00072AEC">
        <w:rPr>
          <w:rFonts w:ascii="Book Antiqua" w:hAnsi="Book Antiqua"/>
          <w:sz w:val="20"/>
          <w:szCs w:val="20"/>
        </w:rPr>
        <w:t xml:space="preserve">, Ritari J, Koskela S, Niittyvuopio R, Nihtinen A, Volin L, Gallardo D, Partanen J. Genetic polymorphism related to monocyte-macrophage function is associated with graft-versus-host disease. </w:t>
      </w:r>
      <w:r w:rsidRPr="00072AEC">
        <w:rPr>
          <w:rFonts w:ascii="Book Antiqua" w:hAnsi="Book Antiqua"/>
          <w:i/>
          <w:sz w:val="20"/>
          <w:szCs w:val="20"/>
        </w:rPr>
        <w:t>Sci Rep</w:t>
      </w:r>
      <w:r w:rsidRPr="00072AEC">
        <w:rPr>
          <w:rFonts w:ascii="Book Antiqua" w:hAnsi="Book Antiqua"/>
          <w:sz w:val="20"/>
          <w:szCs w:val="20"/>
        </w:rPr>
        <w:t xml:space="preserve"> 2017; </w:t>
      </w:r>
      <w:r w:rsidRPr="00072AEC">
        <w:rPr>
          <w:rFonts w:ascii="Book Antiqua" w:hAnsi="Book Antiqua"/>
          <w:b/>
          <w:sz w:val="20"/>
          <w:szCs w:val="20"/>
        </w:rPr>
        <w:t>7</w:t>
      </w:r>
      <w:r w:rsidRPr="00072AEC">
        <w:rPr>
          <w:rFonts w:ascii="Book Antiqua" w:hAnsi="Book Antiqua"/>
          <w:sz w:val="20"/>
          <w:szCs w:val="20"/>
        </w:rPr>
        <w:t>: 15666 [PMID: 29142307 DOI: 10.1038/s41598-017-15915-3]</w:t>
      </w:r>
    </w:p>
    <w:p w14:paraId="1E2C128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56 </w:t>
      </w:r>
      <w:r w:rsidRPr="00072AEC">
        <w:rPr>
          <w:rFonts w:ascii="Book Antiqua" w:hAnsi="Book Antiqua"/>
          <w:b/>
          <w:sz w:val="20"/>
          <w:szCs w:val="20"/>
        </w:rPr>
        <w:t>Cai Y</w:t>
      </w:r>
      <w:r w:rsidRPr="00072AEC">
        <w:rPr>
          <w:rFonts w:ascii="Book Antiqua" w:hAnsi="Book Antiqua"/>
          <w:sz w:val="20"/>
          <w:szCs w:val="20"/>
        </w:rPr>
        <w:t>, Ma S, Liu Y, Gong H, Cheng Q, Hu B, Wu Y, Yu X, Dong C, Sun K, Wu D, Liu H. Adoptively transferred donor IL-17-producing CD4</w:t>
      </w:r>
      <w:r w:rsidRPr="00072AEC">
        <w:rPr>
          <w:rFonts w:ascii="Book Antiqua" w:hAnsi="Book Antiqua"/>
          <w:sz w:val="20"/>
          <w:szCs w:val="20"/>
          <w:vertAlign w:val="superscript"/>
        </w:rPr>
        <w:t>+</w:t>
      </w:r>
      <w:r w:rsidRPr="00072AEC">
        <w:rPr>
          <w:rFonts w:ascii="Book Antiqua" w:hAnsi="Book Antiqua"/>
          <w:sz w:val="20"/>
          <w:szCs w:val="20"/>
        </w:rPr>
        <w:t xml:space="preserve"> T cells augment, but IL-17 alleviates, acute graft-versus-host disease. </w:t>
      </w:r>
      <w:r w:rsidRPr="00072AEC">
        <w:rPr>
          <w:rFonts w:ascii="Book Antiqua" w:hAnsi="Book Antiqua"/>
          <w:i/>
          <w:sz w:val="20"/>
          <w:szCs w:val="20"/>
        </w:rPr>
        <w:t>Cell Mol Immunol</w:t>
      </w:r>
      <w:r w:rsidRPr="00072AEC">
        <w:rPr>
          <w:rFonts w:ascii="Book Antiqua" w:hAnsi="Book Antiqua"/>
          <w:sz w:val="20"/>
          <w:szCs w:val="20"/>
        </w:rPr>
        <w:t xml:space="preserve"> 2018; </w:t>
      </w:r>
      <w:r w:rsidRPr="00072AEC">
        <w:rPr>
          <w:rFonts w:ascii="Book Antiqua" w:hAnsi="Book Antiqua"/>
          <w:b/>
          <w:sz w:val="20"/>
          <w:szCs w:val="20"/>
        </w:rPr>
        <w:t>15</w:t>
      </w:r>
      <w:r w:rsidRPr="00072AEC">
        <w:rPr>
          <w:rFonts w:ascii="Book Antiqua" w:hAnsi="Book Antiqua"/>
          <w:sz w:val="20"/>
          <w:szCs w:val="20"/>
        </w:rPr>
        <w:t>: 233-245 [PMID: 27748733 DOI: 10.1038/cmi.2016.37]</w:t>
      </w:r>
    </w:p>
    <w:p w14:paraId="1BD0C6B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57 </w:t>
      </w:r>
      <w:r w:rsidRPr="00072AEC">
        <w:rPr>
          <w:rFonts w:ascii="Book Antiqua" w:hAnsi="Book Antiqua"/>
          <w:b/>
          <w:sz w:val="20"/>
          <w:szCs w:val="20"/>
        </w:rPr>
        <w:t>Herretes S</w:t>
      </w:r>
      <w:r w:rsidRPr="00072AEC">
        <w:rPr>
          <w:rFonts w:ascii="Book Antiqua" w:hAnsi="Book Antiqua"/>
          <w:sz w:val="20"/>
          <w:szCs w:val="20"/>
        </w:rPr>
        <w:t xml:space="preserve">, Ross DB, Duffort S, Barreras H, Yaohong T, Saeed AM, Murillo JC, Komanduri KV, Levy RB, Perez VL. Recruitment of Donor T Cells to the Eyes During Ocular GVHD in Recipients of MHC-Matched Allogeneic Hematopoietic Stem Cell Transplants. </w:t>
      </w:r>
      <w:r w:rsidRPr="00072AEC">
        <w:rPr>
          <w:rFonts w:ascii="Book Antiqua" w:hAnsi="Book Antiqua"/>
          <w:i/>
          <w:sz w:val="20"/>
          <w:szCs w:val="20"/>
        </w:rPr>
        <w:t>Invest Ophthalmol Vis Sci</w:t>
      </w:r>
      <w:r w:rsidRPr="00072AEC">
        <w:rPr>
          <w:rFonts w:ascii="Book Antiqua" w:hAnsi="Book Antiqua"/>
          <w:sz w:val="20"/>
          <w:szCs w:val="20"/>
        </w:rPr>
        <w:t xml:space="preserve"> 2015; </w:t>
      </w:r>
      <w:r w:rsidRPr="00072AEC">
        <w:rPr>
          <w:rFonts w:ascii="Book Antiqua" w:hAnsi="Book Antiqua"/>
          <w:b/>
          <w:sz w:val="20"/>
          <w:szCs w:val="20"/>
        </w:rPr>
        <w:t>56</w:t>
      </w:r>
      <w:r w:rsidRPr="00072AEC">
        <w:rPr>
          <w:rFonts w:ascii="Book Antiqua" w:hAnsi="Book Antiqua"/>
          <w:sz w:val="20"/>
          <w:szCs w:val="20"/>
        </w:rPr>
        <w:t>: 2348-2357 [PMID: 25655798 DOI: 10.1167/iovs.14-15630]</w:t>
      </w:r>
    </w:p>
    <w:p w14:paraId="3363973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58 </w:t>
      </w:r>
      <w:r w:rsidRPr="00072AEC">
        <w:rPr>
          <w:rFonts w:ascii="Book Antiqua" w:hAnsi="Book Antiqua"/>
          <w:b/>
          <w:sz w:val="20"/>
          <w:szCs w:val="20"/>
        </w:rPr>
        <w:t>Facon T</w:t>
      </w:r>
      <w:r w:rsidRPr="00072AEC">
        <w:rPr>
          <w:rFonts w:ascii="Book Antiqua" w:hAnsi="Book Antiqua"/>
          <w:sz w:val="20"/>
          <w:szCs w:val="20"/>
        </w:rPr>
        <w:t xml:space="preserve">, Jouet JP, Noel-Walter MP, Bloget F, Bauters F, Janin A. Involvement of TNF-alpha secreting macrophages in lethal forms of human graft-versus-host disease. </w:t>
      </w:r>
      <w:r w:rsidRPr="00072AEC">
        <w:rPr>
          <w:rFonts w:ascii="Book Antiqua" w:hAnsi="Book Antiqua"/>
          <w:i/>
          <w:sz w:val="20"/>
          <w:szCs w:val="20"/>
        </w:rPr>
        <w:t>Bone Marrow Transplant</w:t>
      </w:r>
      <w:r w:rsidRPr="00072AEC">
        <w:rPr>
          <w:rFonts w:ascii="Book Antiqua" w:hAnsi="Book Antiqua"/>
          <w:sz w:val="20"/>
          <w:szCs w:val="20"/>
        </w:rPr>
        <w:t xml:space="preserve"> 1997; </w:t>
      </w:r>
      <w:r w:rsidRPr="00072AEC">
        <w:rPr>
          <w:rFonts w:ascii="Book Antiqua" w:hAnsi="Book Antiqua"/>
          <w:b/>
          <w:sz w:val="20"/>
          <w:szCs w:val="20"/>
        </w:rPr>
        <w:t>20</w:t>
      </w:r>
      <w:r w:rsidRPr="00072AEC">
        <w:rPr>
          <w:rFonts w:ascii="Book Antiqua" w:hAnsi="Book Antiqua"/>
          <w:sz w:val="20"/>
          <w:szCs w:val="20"/>
        </w:rPr>
        <w:t>: 511-515 [PMID: 9313887 DOI: 10.1038/sj.bmt.1700912]</w:t>
      </w:r>
    </w:p>
    <w:p w14:paraId="0EAC2EA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59 </w:t>
      </w:r>
      <w:r w:rsidRPr="00072AEC">
        <w:rPr>
          <w:rFonts w:ascii="Book Antiqua" w:hAnsi="Book Antiqua"/>
          <w:b/>
          <w:sz w:val="20"/>
          <w:szCs w:val="20"/>
        </w:rPr>
        <w:t>Hueso T</w:t>
      </w:r>
      <w:r w:rsidRPr="00072AEC">
        <w:rPr>
          <w:rFonts w:ascii="Book Antiqua" w:hAnsi="Book Antiqua"/>
          <w:sz w:val="20"/>
          <w:szCs w:val="20"/>
        </w:rPr>
        <w:t xml:space="preserve">, Coiteux V, Joncquel Chevalier Curt M, Labreuche J, Jouault T, Yakoub-Agha I, Seguy D. Citrulline and Monocyte-Derived Macrophage Reactivity before Conditioning Predict Acute Graft-versus-Host Disease. </w:t>
      </w:r>
      <w:r w:rsidRPr="00072AEC">
        <w:rPr>
          <w:rFonts w:ascii="Book Antiqua" w:hAnsi="Book Antiqua"/>
          <w:i/>
          <w:sz w:val="20"/>
          <w:szCs w:val="20"/>
        </w:rPr>
        <w:t>Biol Blood Marrow Transplant</w:t>
      </w:r>
      <w:r w:rsidRPr="00072AEC">
        <w:rPr>
          <w:rFonts w:ascii="Book Antiqua" w:hAnsi="Book Antiqua"/>
          <w:sz w:val="20"/>
          <w:szCs w:val="20"/>
        </w:rPr>
        <w:t xml:space="preserve"> 2017; </w:t>
      </w:r>
      <w:r w:rsidRPr="00072AEC">
        <w:rPr>
          <w:rFonts w:ascii="Book Antiqua" w:hAnsi="Book Antiqua"/>
          <w:b/>
          <w:sz w:val="20"/>
          <w:szCs w:val="20"/>
        </w:rPr>
        <w:t>23</w:t>
      </w:r>
      <w:r w:rsidRPr="00072AEC">
        <w:rPr>
          <w:rFonts w:ascii="Book Antiqua" w:hAnsi="Book Antiqua"/>
          <w:sz w:val="20"/>
          <w:szCs w:val="20"/>
        </w:rPr>
        <w:t xml:space="preserve">: 913-921 [PMID: 28263922 DOI: </w:t>
      </w:r>
      <w:bookmarkStart w:id="19" w:name="OLE_LINK1"/>
      <w:r w:rsidRPr="00072AEC">
        <w:rPr>
          <w:rFonts w:ascii="Book Antiqua" w:hAnsi="Book Antiqua"/>
          <w:sz w:val="20"/>
          <w:szCs w:val="20"/>
        </w:rPr>
        <w:t>10.1016/j.bbmt.2017.03.005</w:t>
      </w:r>
      <w:bookmarkEnd w:id="19"/>
      <w:r w:rsidRPr="00072AEC">
        <w:rPr>
          <w:rFonts w:ascii="Book Antiqua" w:hAnsi="Book Antiqua"/>
          <w:sz w:val="20"/>
          <w:szCs w:val="20"/>
        </w:rPr>
        <w:t>]</w:t>
      </w:r>
    </w:p>
    <w:p w14:paraId="7E86C688"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60 </w:t>
      </w:r>
      <w:r w:rsidRPr="00072AEC">
        <w:rPr>
          <w:rFonts w:ascii="Book Antiqua" w:hAnsi="Book Antiqua"/>
          <w:b/>
          <w:sz w:val="20"/>
          <w:szCs w:val="20"/>
        </w:rPr>
        <w:t>Ono R</w:t>
      </w:r>
      <w:r w:rsidRPr="00072AEC">
        <w:rPr>
          <w:rFonts w:ascii="Book Antiqua" w:hAnsi="Book Antiqua"/>
          <w:sz w:val="20"/>
          <w:szCs w:val="20"/>
        </w:rPr>
        <w:t xml:space="preserve">, Watanabe T, Kawakami E, Iwasaki M, Tomizawa-Murasawa M, Matsuda M, Najima Y, Takagi S, Fujiki S, Sato R, Mochizuki Y, Yoshida H, Sato K, Yabe H, Kato S, Saito Y, Taniguchi S, Shultz LD, Ohara O, Amagai M, Koseki H, Ishikawa F. Co-activation of macrophages and T cells contribute to chronic GVHD in human IL-6 transgenic humanised mouse model. </w:t>
      </w:r>
      <w:r w:rsidRPr="00072AEC">
        <w:rPr>
          <w:rFonts w:ascii="Book Antiqua" w:hAnsi="Book Antiqua"/>
          <w:i/>
          <w:sz w:val="20"/>
          <w:szCs w:val="20"/>
        </w:rPr>
        <w:t>EBioMedicine</w:t>
      </w:r>
      <w:r w:rsidRPr="00072AEC">
        <w:rPr>
          <w:rFonts w:ascii="Book Antiqua" w:hAnsi="Book Antiqua"/>
          <w:sz w:val="20"/>
          <w:szCs w:val="20"/>
        </w:rPr>
        <w:t xml:space="preserve"> 2019; </w:t>
      </w:r>
      <w:r w:rsidRPr="00072AEC">
        <w:rPr>
          <w:rFonts w:ascii="Book Antiqua" w:hAnsi="Book Antiqua"/>
          <w:b/>
          <w:sz w:val="20"/>
          <w:szCs w:val="20"/>
        </w:rPr>
        <w:t>41</w:t>
      </w:r>
      <w:r w:rsidRPr="00072AEC">
        <w:rPr>
          <w:rFonts w:ascii="Book Antiqua" w:hAnsi="Book Antiqua"/>
          <w:sz w:val="20"/>
          <w:szCs w:val="20"/>
        </w:rPr>
        <w:t>: 584-596 [PMID: 30772305 DOI: 10.1016/j.ebiom.2019.02.001]</w:t>
      </w:r>
    </w:p>
    <w:p w14:paraId="137B580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61 </w:t>
      </w:r>
      <w:r w:rsidRPr="00072AEC">
        <w:rPr>
          <w:rFonts w:ascii="Book Antiqua" w:hAnsi="Book Antiqua"/>
          <w:b/>
          <w:sz w:val="20"/>
          <w:szCs w:val="20"/>
        </w:rPr>
        <w:t>Matta BM</w:t>
      </w:r>
      <w:r w:rsidRPr="00072AEC">
        <w:rPr>
          <w:rFonts w:ascii="Book Antiqua" w:hAnsi="Book Antiqua"/>
          <w:sz w:val="20"/>
          <w:szCs w:val="20"/>
        </w:rPr>
        <w:t xml:space="preserve">, Reichenbach DK, Zhang X, Mathews L, Koehn BH, Dwyer GK, Lott JM, Uhl FM, Pfeifer D, Feser CJ, Smith MJ, Liu Q, Zeiser R, Blazar BR, Turnquist HR. Peri-alloHCT IL-33 administration expands recipient T-regulatory cells that protect mice against acute GVHD. </w:t>
      </w:r>
      <w:r w:rsidRPr="00072AEC">
        <w:rPr>
          <w:rFonts w:ascii="Book Antiqua" w:hAnsi="Book Antiqua"/>
          <w:i/>
          <w:sz w:val="20"/>
          <w:szCs w:val="20"/>
        </w:rPr>
        <w:t>Blood</w:t>
      </w:r>
      <w:r w:rsidRPr="00072AEC">
        <w:rPr>
          <w:rFonts w:ascii="Book Antiqua" w:hAnsi="Book Antiqua"/>
          <w:sz w:val="20"/>
          <w:szCs w:val="20"/>
        </w:rPr>
        <w:t xml:space="preserve"> 2016; </w:t>
      </w:r>
      <w:r w:rsidRPr="00072AEC">
        <w:rPr>
          <w:rFonts w:ascii="Book Antiqua" w:hAnsi="Book Antiqua"/>
          <w:b/>
          <w:sz w:val="20"/>
          <w:szCs w:val="20"/>
        </w:rPr>
        <w:t>128</w:t>
      </w:r>
      <w:r w:rsidRPr="00072AEC">
        <w:rPr>
          <w:rFonts w:ascii="Book Antiqua" w:hAnsi="Book Antiqua"/>
          <w:sz w:val="20"/>
          <w:szCs w:val="20"/>
        </w:rPr>
        <w:t>: 427-439 [PMID: 27222477 DOI: 10.1182/blood-2015-12-684142]</w:t>
      </w:r>
    </w:p>
    <w:p w14:paraId="7DEBD6EE"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62 </w:t>
      </w:r>
      <w:r w:rsidRPr="00072AEC">
        <w:rPr>
          <w:rFonts w:ascii="Book Antiqua" w:hAnsi="Book Antiqua"/>
          <w:b/>
          <w:sz w:val="20"/>
          <w:szCs w:val="20"/>
        </w:rPr>
        <w:t>Reichenbach DK</w:t>
      </w:r>
      <w:r w:rsidRPr="00072AEC">
        <w:rPr>
          <w:rFonts w:ascii="Book Antiqua" w:hAnsi="Book Antiqua"/>
          <w:sz w:val="20"/>
          <w:szCs w:val="20"/>
        </w:rPr>
        <w:t xml:space="preserve">, Schwarze V, Matta BM, Tkachev V, Lieberknecht E, Liu Q, Koehn BH, Pfeifer D, Taylor PA, Prinz G, Dierbach H, Stickel N, Beck Y, Warncke M, Junt T, Schmitt-Graeff A, Nakae S, Follo M, Wertheimer T, Schwab L, Devlin J, Watkins SC, Duyster J, Ferrara JL, Turnquist HR, Zeiser R, Blazar BR. The IL-33/ST2 axis augments effector T-cell responses during acute GVHD. </w:t>
      </w:r>
      <w:r w:rsidRPr="00072AEC">
        <w:rPr>
          <w:rFonts w:ascii="Book Antiqua" w:hAnsi="Book Antiqua"/>
          <w:i/>
          <w:sz w:val="20"/>
          <w:szCs w:val="20"/>
        </w:rPr>
        <w:t>Blood</w:t>
      </w:r>
      <w:r w:rsidRPr="00072AEC">
        <w:rPr>
          <w:rFonts w:ascii="Book Antiqua" w:hAnsi="Book Antiqua"/>
          <w:sz w:val="20"/>
          <w:szCs w:val="20"/>
        </w:rPr>
        <w:t xml:space="preserve"> 2015; </w:t>
      </w:r>
      <w:r w:rsidRPr="00072AEC">
        <w:rPr>
          <w:rFonts w:ascii="Book Antiqua" w:hAnsi="Book Antiqua"/>
          <w:b/>
          <w:sz w:val="20"/>
          <w:szCs w:val="20"/>
        </w:rPr>
        <w:t>125</w:t>
      </w:r>
      <w:r w:rsidRPr="00072AEC">
        <w:rPr>
          <w:rFonts w:ascii="Book Antiqua" w:hAnsi="Book Antiqua"/>
          <w:sz w:val="20"/>
          <w:szCs w:val="20"/>
        </w:rPr>
        <w:t>: 3183-3192 [PMID: 25814531 DOI: 10.1182/blood-2014-10-606830]</w:t>
      </w:r>
    </w:p>
    <w:p w14:paraId="5BA16DFB"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63 </w:t>
      </w:r>
      <w:r w:rsidRPr="00072AEC">
        <w:rPr>
          <w:rFonts w:ascii="Book Antiqua" w:hAnsi="Book Antiqua"/>
          <w:b/>
          <w:sz w:val="20"/>
          <w:szCs w:val="20"/>
        </w:rPr>
        <w:t>Koyama M</w:t>
      </w:r>
      <w:r w:rsidRPr="00072AEC">
        <w:rPr>
          <w:rFonts w:ascii="Book Antiqua" w:hAnsi="Book Antiqua"/>
          <w:sz w:val="20"/>
          <w:szCs w:val="20"/>
        </w:rPr>
        <w:t xml:space="preserve">, Mukhopadhyay P, Schuster IS, Henden AS, Hülsdünker J, Varelias A, Vetizou M, Kuns RD, Robb RJ, Zhang P, Blazar BR, Thomas R, Begun J, Waddell N, Trinchieri G, Zeiser R, Clouston AD, Degli-Esposti MA, Hill GR. MHC Class II Antigen Presentation by the Intestinal Epithelium Initiates Graft-versus-Host Disease and Is Influenced by the Microbiota. </w:t>
      </w:r>
      <w:r w:rsidRPr="00072AEC">
        <w:rPr>
          <w:rFonts w:ascii="Book Antiqua" w:hAnsi="Book Antiqua"/>
          <w:i/>
          <w:sz w:val="20"/>
          <w:szCs w:val="20"/>
        </w:rPr>
        <w:t>Immunity</w:t>
      </w:r>
      <w:r w:rsidRPr="00072AEC">
        <w:rPr>
          <w:rFonts w:ascii="Book Antiqua" w:hAnsi="Book Antiqua"/>
          <w:sz w:val="20"/>
          <w:szCs w:val="20"/>
        </w:rPr>
        <w:t xml:space="preserve"> 2019; </w:t>
      </w:r>
      <w:r w:rsidRPr="00072AEC">
        <w:rPr>
          <w:rFonts w:ascii="Book Antiqua" w:hAnsi="Book Antiqua"/>
          <w:b/>
          <w:sz w:val="20"/>
          <w:szCs w:val="20"/>
        </w:rPr>
        <w:t>51</w:t>
      </w:r>
      <w:r w:rsidRPr="00072AEC">
        <w:rPr>
          <w:rFonts w:ascii="Book Antiqua" w:hAnsi="Book Antiqua"/>
          <w:sz w:val="20"/>
          <w:szCs w:val="20"/>
        </w:rPr>
        <w:t>: 885-898.e7 [PMID: 31542340 DOI: 10.1016/j.immuni.2019.08.011]</w:t>
      </w:r>
    </w:p>
    <w:p w14:paraId="5B052A6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64 </w:t>
      </w:r>
      <w:r w:rsidRPr="00072AEC">
        <w:rPr>
          <w:rFonts w:ascii="Book Antiqua" w:hAnsi="Book Antiqua"/>
          <w:b/>
          <w:sz w:val="20"/>
          <w:szCs w:val="20"/>
        </w:rPr>
        <w:t>Sundarasetty B</w:t>
      </w:r>
      <w:r w:rsidRPr="00072AEC">
        <w:rPr>
          <w:rFonts w:ascii="Book Antiqua" w:hAnsi="Book Antiqua"/>
          <w:sz w:val="20"/>
          <w:szCs w:val="20"/>
        </w:rPr>
        <w:t xml:space="preserve">, Volk V, Theobald SJ, Rittinghausen S, Schaudien D, Neuhaus V, Figueiredo C, Schneider A, Gerasch L, Mucci A, Moritz T, von Kaisenberg C, Spineli LM, Sewald K, Braun A, Weigt H, Ganser A, Stripecke R. Human Effector Memory T Helper Cells Engage with Mouse Macrophages and Cause Graft-versus-Host-Like Pathology in Skin of Humanized Mice Used in a Nonclinical Immunization Study. </w:t>
      </w:r>
      <w:r w:rsidRPr="00072AEC">
        <w:rPr>
          <w:rFonts w:ascii="Book Antiqua" w:hAnsi="Book Antiqua"/>
          <w:i/>
          <w:sz w:val="20"/>
          <w:szCs w:val="20"/>
        </w:rPr>
        <w:t>Am J Pathol</w:t>
      </w:r>
      <w:r w:rsidRPr="00072AEC">
        <w:rPr>
          <w:rFonts w:ascii="Book Antiqua" w:hAnsi="Book Antiqua"/>
          <w:sz w:val="20"/>
          <w:szCs w:val="20"/>
        </w:rPr>
        <w:t xml:space="preserve"> 2017; </w:t>
      </w:r>
      <w:r w:rsidRPr="00072AEC">
        <w:rPr>
          <w:rFonts w:ascii="Book Antiqua" w:hAnsi="Book Antiqua"/>
          <w:b/>
          <w:sz w:val="20"/>
          <w:szCs w:val="20"/>
        </w:rPr>
        <w:t>187</w:t>
      </w:r>
      <w:r w:rsidRPr="00072AEC">
        <w:rPr>
          <w:rFonts w:ascii="Book Antiqua" w:hAnsi="Book Antiqua"/>
          <w:sz w:val="20"/>
          <w:szCs w:val="20"/>
        </w:rPr>
        <w:t>: 1380-1398 [PMID: 28432872 DOI: 10.1016/j.ajpath.2017.02.015]</w:t>
      </w:r>
    </w:p>
    <w:p w14:paraId="70385A5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65 </w:t>
      </w:r>
      <w:r w:rsidRPr="00072AEC">
        <w:rPr>
          <w:rFonts w:ascii="Book Antiqua" w:hAnsi="Book Antiqua"/>
          <w:b/>
          <w:sz w:val="20"/>
          <w:szCs w:val="20"/>
        </w:rPr>
        <w:t>Haniffa M</w:t>
      </w:r>
      <w:r w:rsidRPr="00072AEC">
        <w:rPr>
          <w:rFonts w:ascii="Book Antiqua" w:hAnsi="Book Antiqua"/>
          <w:sz w:val="20"/>
          <w:szCs w:val="20"/>
        </w:rPr>
        <w:t xml:space="preserve">, Ginhoux F, Wang XN, Bigley V, Abel M, Dimmick I, Bullock S, Grisotto M, Booth T, Taub P, Hilkens C, Merad M, Collin M. Differential rates of replacement of human dermal dendritic cells and macrophages during hematopoietic stem cell transplantation. </w:t>
      </w:r>
      <w:r w:rsidRPr="00072AEC">
        <w:rPr>
          <w:rFonts w:ascii="Book Antiqua" w:hAnsi="Book Antiqua"/>
          <w:i/>
          <w:sz w:val="20"/>
          <w:szCs w:val="20"/>
        </w:rPr>
        <w:t>J Exp Med</w:t>
      </w:r>
      <w:r w:rsidRPr="00072AEC">
        <w:rPr>
          <w:rFonts w:ascii="Book Antiqua" w:hAnsi="Book Antiqua"/>
          <w:sz w:val="20"/>
          <w:szCs w:val="20"/>
        </w:rPr>
        <w:t xml:space="preserve"> 2009; </w:t>
      </w:r>
      <w:r w:rsidRPr="00072AEC">
        <w:rPr>
          <w:rFonts w:ascii="Book Antiqua" w:hAnsi="Book Antiqua"/>
          <w:b/>
          <w:sz w:val="20"/>
          <w:szCs w:val="20"/>
        </w:rPr>
        <w:t>206</w:t>
      </w:r>
      <w:r w:rsidRPr="00072AEC">
        <w:rPr>
          <w:rFonts w:ascii="Book Antiqua" w:hAnsi="Book Antiqua"/>
          <w:sz w:val="20"/>
          <w:szCs w:val="20"/>
        </w:rPr>
        <w:t>: 371-385 [PMID: 19171766 DOI: 10.1084/jem.20081633]</w:t>
      </w:r>
    </w:p>
    <w:p w14:paraId="3CEE291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66 </w:t>
      </w:r>
      <w:r w:rsidRPr="00072AEC">
        <w:rPr>
          <w:rFonts w:ascii="Book Antiqua" w:hAnsi="Book Antiqua"/>
          <w:b/>
          <w:sz w:val="20"/>
          <w:szCs w:val="20"/>
        </w:rPr>
        <w:t>Uryu H</w:t>
      </w:r>
      <w:r w:rsidRPr="00072AEC">
        <w:rPr>
          <w:rFonts w:ascii="Book Antiqua" w:hAnsi="Book Antiqua"/>
          <w:sz w:val="20"/>
          <w:szCs w:val="20"/>
        </w:rPr>
        <w:t xml:space="preserve">, Hashimoto D, Kato K, Hayase E, Matsuoka S, Ogasawara R, Takahashi S, Maeda Y, Iwasaki H, Miyamoto T, Saijo S, Iwakura Y, Hill GR, Akashi K, Teshima T. α-Mannan induces Th17-mediated pulmonary graft-versus-host disease in mice. </w:t>
      </w:r>
      <w:r w:rsidRPr="00072AEC">
        <w:rPr>
          <w:rFonts w:ascii="Book Antiqua" w:hAnsi="Book Antiqua"/>
          <w:i/>
          <w:sz w:val="20"/>
          <w:szCs w:val="20"/>
        </w:rPr>
        <w:t>Blood</w:t>
      </w:r>
      <w:r w:rsidRPr="00072AEC">
        <w:rPr>
          <w:rFonts w:ascii="Book Antiqua" w:hAnsi="Book Antiqua"/>
          <w:sz w:val="20"/>
          <w:szCs w:val="20"/>
        </w:rPr>
        <w:t xml:space="preserve"> 2015; </w:t>
      </w:r>
      <w:r w:rsidRPr="00072AEC">
        <w:rPr>
          <w:rFonts w:ascii="Book Antiqua" w:hAnsi="Book Antiqua"/>
          <w:b/>
          <w:sz w:val="20"/>
          <w:szCs w:val="20"/>
        </w:rPr>
        <w:t>125</w:t>
      </w:r>
      <w:r w:rsidRPr="00072AEC">
        <w:rPr>
          <w:rFonts w:ascii="Book Antiqua" w:hAnsi="Book Antiqua"/>
          <w:sz w:val="20"/>
          <w:szCs w:val="20"/>
        </w:rPr>
        <w:t>: 3014-3023 [PMID: 25740827 DOI: 10.1182/blood-2014-12-615781]</w:t>
      </w:r>
    </w:p>
    <w:p w14:paraId="17AB832B"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67 </w:t>
      </w:r>
      <w:r w:rsidRPr="00072AEC">
        <w:rPr>
          <w:rFonts w:ascii="Book Antiqua" w:hAnsi="Book Antiqua"/>
          <w:b/>
          <w:sz w:val="20"/>
          <w:szCs w:val="20"/>
        </w:rPr>
        <w:t>Hashimoto D</w:t>
      </w:r>
      <w:r w:rsidRPr="00072AEC">
        <w:rPr>
          <w:rFonts w:ascii="Book Antiqua" w:hAnsi="Book Antiqua"/>
          <w:sz w:val="20"/>
          <w:szCs w:val="20"/>
        </w:rPr>
        <w:t xml:space="preserve">, Chow A, Greter M, Saenger Y, Kwan WH, Leboeuf M, Ginhoux F, Ochando JC, Kunisaki Y, van Rooijen N, Liu C, Teshima T, Heeger PS, Stanley ER, Frenette PS, Merad M. Pretransplant CSF-1 therapy expands recipient macrophages and ameliorates GVHD after allogeneic hematopoietic cell transplantation. </w:t>
      </w:r>
      <w:r w:rsidRPr="00072AEC">
        <w:rPr>
          <w:rFonts w:ascii="Book Antiqua" w:hAnsi="Book Antiqua"/>
          <w:i/>
          <w:sz w:val="20"/>
          <w:szCs w:val="20"/>
        </w:rPr>
        <w:t>J Exp Med</w:t>
      </w:r>
      <w:r w:rsidRPr="00072AEC">
        <w:rPr>
          <w:rFonts w:ascii="Book Antiqua" w:hAnsi="Book Antiqua"/>
          <w:sz w:val="20"/>
          <w:szCs w:val="20"/>
        </w:rPr>
        <w:t xml:space="preserve"> 2011; </w:t>
      </w:r>
      <w:r w:rsidRPr="00072AEC">
        <w:rPr>
          <w:rFonts w:ascii="Book Antiqua" w:hAnsi="Book Antiqua"/>
          <w:b/>
          <w:sz w:val="20"/>
          <w:szCs w:val="20"/>
        </w:rPr>
        <w:t>208</w:t>
      </w:r>
      <w:r w:rsidRPr="00072AEC">
        <w:rPr>
          <w:rFonts w:ascii="Book Antiqua" w:hAnsi="Book Antiqua"/>
          <w:sz w:val="20"/>
          <w:szCs w:val="20"/>
        </w:rPr>
        <w:t>: 1069-1082 [PMID: 21536742 DOI: 10.1084/jem.20101709]</w:t>
      </w:r>
    </w:p>
    <w:p w14:paraId="29D3CF5B" w14:textId="3749DA6F"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68 </w:t>
      </w:r>
      <w:r w:rsidRPr="00072AEC">
        <w:rPr>
          <w:rFonts w:ascii="Book Antiqua" w:hAnsi="Book Antiqua"/>
          <w:b/>
          <w:sz w:val="20"/>
          <w:szCs w:val="20"/>
        </w:rPr>
        <w:t>Ahmed F</w:t>
      </w:r>
      <w:r w:rsidRPr="00072AEC">
        <w:rPr>
          <w:rFonts w:ascii="Book Antiqua" w:hAnsi="Book Antiqua"/>
          <w:sz w:val="20"/>
          <w:szCs w:val="20"/>
        </w:rPr>
        <w:t>, Ibrahim A, Cooper CL, Kumar A, Crawley AM. Chronic Hepatitis C Virus Infection Impairs M1 Macrophage Differentiation and Contributes to CD8</w:t>
      </w:r>
      <w:r w:rsidRPr="00072AEC">
        <w:rPr>
          <w:rFonts w:ascii="Book Antiqua" w:hAnsi="Book Antiqua"/>
          <w:sz w:val="20"/>
          <w:szCs w:val="20"/>
          <w:vertAlign w:val="superscript"/>
        </w:rPr>
        <w:t>+</w:t>
      </w:r>
      <w:r w:rsidRPr="00072AEC">
        <w:rPr>
          <w:rFonts w:ascii="Book Antiqua" w:hAnsi="Book Antiqua"/>
          <w:sz w:val="20"/>
          <w:szCs w:val="20"/>
        </w:rPr>
        <w:t xml:space="preserve"> T-Cell Dysfunction. </w:t>
      </w:r>
      <w:r w:rsidRPr="00072AEC">
        <w:rPr>
          <w:rFonts w:ascii="Book Antiqua" w:hAnsi="Book Antiqua"/>
          <w:i/>
          <w:sz w:val="20"/>
          <w:szCs w:val="20"/>
        </w:rPr>
        <w:t>Cells</w:t>
      </w:r>
      <w:r w:rsidRPr="00072AEC">
        <w:rPr>
          <w:rFonts w:ascii="Book Antiqua" w:hAnsi="Book Antiqua"/>
          <w:sz w:val="20"/>
          <w:szCs w:val="20"/>
        </w:rPr>
        <w:t xml:space="preserve"> 2019; </w:t>
      </w:r>
      <w:r w:rsidRPr="00072AEC">
        <w:rPr>
          <w:rFonts w:ascii="Book Antiqua" w:hAnsi="Book Antiqua"/>
          <w:b/>
          <w:sz w:val="20"/>
          <w:szCs w:val="20"/>
        </w:rPr>
        <w:t>8</w:t>
      </w:r>
      <w:r w:rsidRPr="00072AEC">
        <w:rPr>
          <w:rFonts w:ascii="Book Antiqua" w:hAnsi="Book Antiqua"/>
          <w:sz w:val="20"/>
          <w:szCs w:val="20"/>
        </w:rPr>
        <w:t xml:space="preserve"> [PMID: 31027182 DOI: 10.3390/cells8040374]</w:t>
      </w:r>
    </w:p>
    <w:p w14:paraId="3DC69B8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69 </w:t>
      </w:r>
      <w:r w:rsidRPr="00072AEC">
        <w:rPr>
          <w:rFonts w:ascii="Book Antiqua" w:hAnsi="Book Antiqua"/>
          <w:b/>
          <w:sz w:val="20"/>
          <w:szCs w:val="20"/>
        </w:rPr>
        <w:t>Liu P</w:t>
      </w:r>
      <w:r w:rsidRPr="00072AEC">
        <w:rPr>
          <w:rFonts w:ascii="Book Antiqua" w:hAnsi="Book Antiqua"/>
          <w:sz w:val="20"/>
          <w:szCs w:val="20"/>
        </w:rPr>
        <w:t>, Jia S, Lou Y, He K, Xu LX. Cryo-thermal therapy inducing MI macrophage polarization created CXCL10 and IL-6-rich pro-inflammatory environment for CD4</w:t>
      </w:r>
      <w:r w:rsidRPr="00072AEC">
        <w:rPr>
          <w:rFonts w:ascii="Book Antiqua" w:hAnsi="Book Antiqua"/>
          <w:sz w:val="20"/>
          <w:szCs w:val="20"/>
          <w:vertAlign w:val="superscript"/>
        </w:rPr>
        <w:t>+</w:t>
      </w:r>
      <w:r w:rsidRPr="00072AEC">
        <w:rPr>
          <w:rFonts w:ascii="Book Antiqua" w:hAnsi="Book Antiqua"/>
          <w:sz w:val="20"/>
          <w:szCs w:val="20"/>
        </w:rPr>
        <w:t xml:space="preserve"> T cell-mediated anti-tumor immunity. </w:t>
      </w:r>
      <w:r w:rsidRPr="00072AEC">
        <w:rPr>
          <w:rFonts w:ascii="Book Antiqua" w:hAnsi="Book Antiqua"/>
          <w:i/>
          <w:sz w:val="20"/>
          <w:szCs w:val="20"/>
        </w:rPr>
        <w:t>Int J Hyperthermia</w:t>
      </w:r>
      <w:r w:rsidRPr="00072AEC">
        <w:rPr>
          <w:rFonts w:ascii="Book Antiqua" w:hAnsi="Book Antiqua"/>
          <w:sz w:val="20"/>
          <w:szCs w:val="20"/>
        </w:rPr>
        <w:t xml:space="preserve"> 2019; </w:t>
      </w:r>
      <w:r w:rsidRPr="00072AEC">
        <w:rPr>
          <w:rFonts w:ascii="Book Antiqua" w:hAnsi="Book Antiqua"/>
          <w:b/>
          <w:sz w:val="20"/>
          <w:szCs w:val="20"/>
        </w:rPr>
        <w:t>36</w:t>
      </w:r>
      <w:r w:rsidRPr="00072AEC">
        <w:rPr>
          <w:rFonts w:ascii="Book Antiqua" w:hAnsi="Book Antiqua"/>
          <w:sz w:val="20"/>
          <w:szCs w:val="20"/>
        </w:rPr>
        <w:t>: 408-420 [PMID: 30892102 DOI: 10.1080/02656736.2019.1579373]</w:t>
      </w:r>
    </w:p>
    <w:p w14:paraId="0748FF68"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70 </w:t>
      </w:r>
      <w:r w:rsidRPr="00072AEC">
        <w:rPr>
          <w:rFonts w:ascii="Book Antiqua" w:hAnsi="Book Antiqua"/>
          <w:b/>
          <w:sz w:val="20"/>
          <w:szCs w:val="20"/>
        </w:rPr>
        <w:t>Petty AJ</w:t>
      </w:r>
      <w:r w:rsidRPr="00072AEC">
        <w:rPr>
          <w:rFonts w:ascii="Book Antiqua" w:hAnsi="Book Antiqua"/>
          <w:sz w:val="20"/>
          <w:szCs w:val="20"/>
        </w:rPr>
        <w:t xml:space="preserve">, Li A, Wang X, Dai R, Heyman B, Hsu D, Huang X, Yang Y. Hedgehog signaling promotes tumor-associated macrophage polarization to suppress intratumoral CD8+ T cell recruitment. </w:t>
      </w:r>
      <w:r w:rsidRPr="00072AEC">
        <w:rPr>
          <w:rFonts w:ascii="Book Antiqua" w:hAnsi="Book Antiqua"/>
          <w:i/>
          <w:sz w:val="20"/>
          <w:szCs w:val="20"/>
        </w:rPr>
        <w:t>J Clin Invest</w:t>
      </w:r>
      <w:r w:rsidRPr="00072AEC">
        <w:rPr>
          <w:rFonts w:ascii="Book Antiqua" w:hAnsi="Book Antiqua"/>
          <w:sz w:val="20"/>
          <w:szCs w:val="20"/>
        </w:rPr>
        <w:t xml:space="preserve"> 2019; </w:t>
      </w:r>
      <w:r w:rsidRPr="00072AEC">
        <w:rPr>
          <w:rFonts w:ascii="Book Antiqua" w:hAnsi="Book Antiqua"/>
          <w:b/>
          <w:sz w:val="20"/>
          <w:szCs w:val="20"/>
        </w:rPr>
        <w:t>129</w:t>
      </w:r>
      <w:r w:rsidRPr="00072AEC">
        <w:rPr>
          <w:rFonts w:ascii="Book Antiqua" w:hAnsi="Book Antiqua"/>
          <w:sz w:val="20"/>
          <w:szCs w:val="20"/>
        </w:rPr>
        <w:t>: 5151-5162 [PMID: 31638600 DOI: 10.1172/JCI128644]</w:t>
      </w:r>
    </w:p>
    <w:p w14:paraId="167AF43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71 </w:t>
      </w:r>
      <w:r w:rsidRPr="00072AEC">
        <w:rPr>
          <w:rFonts w:ascii="Book Antiqua" w:hAnsi="Book Antiqua"/>
          <w:b/>
          <w:sz w:val="20"/>
          <w:szCs w:val="20"/>
        </w:rPr>
        <w:t>Bouchlaka MN</w:t>
      </w:r>
      <w:r w:rsidRPr="00072AEC">
        <w:rPr>
          <w:rFonts w:ascii="Book Antiqua" w:hAnsi="Book Antiqua"/>
          <w:sz w:val="20"/>
          <w:szCs w:val="20"/>
        </w:rPr>
        <w:t xml:space="preserve">, Moffitt AB, Kim J, Kink JA, Bloom DD, Love C, Dave S, Hematti P, Capitini CM. Human Mesenchymal Stem Cell-Educated Macrophages Are a Distinct High IL-6-Producing Subset that Confer Protection in Graft-versus-Host-Disease and Radiation Injury Models. </w:t>
      </w:r>
      <w:r w:rsidRPr="00072AEC">
        <w:rPr>
          <w:rFonts w:ascii="Book Antiqua" w:hAnsi="Book Antiqua"/>
          <w:i/>
          <w:sz w:val="20"/>
          <w:szCs w:val="20"/>
        </w:rPr>
        <w:t>Biol Blood Marrow Transplant</w:t>
      </w:r>
      <w:r w:rsidRPr="00072AEC">
        <w:rPr>
          <w:rFonts w:ascii="Book Antiqua" w:hAnsi="Book Antiqua"/>
          <w:sz w:val="20"/>
          <w:szCs w:val="20"/>
        </w:rPr>
        <w:t xml:space="preserve"> 2017; </w:t>
      </w:r>
      <w:r w:rsidRPr="00072AEC">
        <w:rPr>
          <w:rFonts w:ascii="Book Antiqua" w:hAnsi="Book Antiqua"/>
          <w:b/>
          <w:sz w:val="20"/>
          <w:szCs w:val="20"/>
        </w:rPr>
        <w:t>23</w:t>
      </w:r>
      <w:r w:rsidRPr="00072AEC">
        <w:rPr>
          <w:rFonts w:ascii="Book Antiqua" w:hAnsi="Book Antiqua"/>
          <w:sz w:val="20"/>
          <w:szCs w:val="20"/>
        </w:rPr>
        <w:t>: 897-905 [PMID: 28257800 DOI: 10.1016/j.bbmt.2017.02.018]</w:t>
      </w:r>
    </w:p>
    <w:p w14:paraId="05F723F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72 </w:t>
      </w:r>
      <w:r w:rsidRPr="00072AEC">
        <w:rPr>
          <w:rFonts w:ascii="Book Antiqua" w:hAnsi="Book Antiqua"/>
          <w:b/>
          <w:sz w:val="20"/>
          <w:szCs w:val="20"/>
        </w:rPr>
        <w:t>Jiang X</w:t>
      </w:r>
      <w:r w:rsidRPr="00072AEC">
        <w:rPr>
          <w:rFonts w:ascii="Book Antiqua" w:hAnsi="Book Antiqua"/>
          <w:sz w:val="20"/>
          <w:szCs w:val="20"/>
        </w:rPr>
        <w:t xml:space="preserve">, Zhou T, Xiao Y, Yu J, Dou S, Chen G, Wang R, Xiao H, Hou C, Wang W, Shi Q, Feng J, Ma Y, Shen B, Li Y, Han G. Tim-3 promotes tumor-promoting M2 macrophage polarization by binding to STAT1 and suppressing the STAT1-miR-155 signaling axis. </w:t>
      </w:r>
      <w:r w:rsidRPr="00072AEC">
        <w:rPr>
          <w:rFonts w:ascii="Book Antiqua" w:hAnsi="Book Antiqua"/>
          <w:i/>
          <w:sz w:val="20"/>
          <w:szCs w:val="20"/>
        </w:rPr>
        <w:t>Oncoimmunology</w:t>
      </w:r>
      <w:r w:rsidRPr="00072AEC">
        <w:rPr>
          <w:rFonts w:ascii="Book Antiqua" w:hAnsi="Book Antiqua"/>
          <w:sz w:val="20"/>
          <w:szCs w:val="20"/>
        </w:rPr>
        <w:t xml:space="preserve"> 2016; </w:t>
      </w:r>
      <w:r w:rsidRPr="00072AEC">
        <w:rPr>
          <w:rFonts w:ascii="Book Antiqua" w:hAnsi="Book Antiqua"/>
          <w:b/>
          <w:sz w:val="20"/>
          <w:szCs w:val="20"/>
        </w:rPr>
        <w:t>5</w:t>
      </w:r>
      <w:r w:rsidRPr="00072AEC">
        <w:rPr>
          <w:rFonts w:ascii="Book Antiqua" w:hAnsi="Book Antiqua"/>
          <w:sz w:val="20"/>
          <w:szCs w:val="20"/>
        </w:rPr>
        <w:t>: e1211219 [PMID: 27757304 DOI: 10.1080/2162402X.2016.1211219]</w:t>
      </w:r>
    </w:p>
    <w:p w14:paraId="752A9F1A"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73 </w:t>
      </w:r>
      <w:r w:rsidRPr="00072AEC">
        <w:rPr>
          <w:rFonts w:ascii="Book Antiqua" w:hAnsi="Book Antiqua"/>
          <w:b/>
          <w:sz w:val="20"/>
          <w:szCs w:val="20"/>
        </w:rPr>
        <w:t>Biswas SK</w:t>
      </w:r>
      <w:r w:rsidRPr="00072AEC">
        <w:rPr>
          <w:rFonts w:ascii="Book Antiqua" w:hAnsi="Book Antiqua"/>
          <w:sz w:val="20"/>
          <w:szCs w:val="20"/>
        </w:rPr>
        <w:t xml:space="preserve">, Mantovani A. Macrophage plasticity and interaction with lymphocyte subsets: cancer as a paradigm. </w:t>
      </w:r>
      <w:r w:rsidRPr="00072AEC">
        <w:rPr>
          <w:rFonts w:ascii="Book Antiqua" w:hAnsi="Book Antiqua"/>
          <w:i/>
          <w:sz w:val="20"/>
          <w:szCs w:val="20"/>
        </w:rPr>
        <w:t>Nat Immunol</w:t>
      </w:r>
      <w:r w:rsidRPr="00072AEC">
        <w:rPr>
          <w:rFonts w:ascii="Book Antiqua" w:hAnsi="Book Antiqua"/>
          <w:sz w:val="20"/>
          <w:szCs w:val="20"/>
        </w:rPr>
        <w:t xml:space="preserve"> 2010; </w:t>
      </w:r>
      <w:r w:rsidRPr="00072AEC">
        <w:rPr>
          <w:rFonts w:ascii="Book Antiqua" w:hAnsi="Book Antiqua"/>
          <w:b/>
          <w:sz w:val="20"/>
          <w:szCs w:val="20"/>
        </w:rPr>
        <w:t>11</w:t>
      </w:r>
      <w:r w:rsidRPr="00072AEC">
        <w:rPr>
          <w:rFonts w:ascii="Book Antiqua" w:hAnsi="Book Antiqua"/>
          <w:sz w:val="20"/>
          <w:szCs w:val="20"/>
        </w:rPr>
        <w:t>: 889-896 [PMID: 20856220 DOI: 10.1038/ni.1937]</w:t>
      </w:r>
    </w:p>
    <w:p w14:paraId="7F269E6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74 </w:t>
      </w:r>
      <w:r w:rsidRPr="00072AEC">
        <w:rPr>
          <w:rFonts w:ascii="Book Antiqua" w:hAnsi="Book Antiqua"/>
          <w:b/>
          <w:sz w:val="20"/>
          <w:szCs w:val="20"/>
        </w:rPr>
        <w:t>Liang S</w:t>
      </w:r>
      <w:r w:rsidRPr="00072AEC">
        <w:rPr>
          <w:rFonts w:ascii="Book Antiqua" w:hAnsi="Book Antiqua"/>
          <w:sz w:val="20"/>
          <w:szCs w:val="20"/>
        </w:rPr>
        <w:t>, Cai J, Li Y, Yang R. 1,25</w:t>
      </w:r>
      <w:r w:rsidRPr="00072AEC">
        <w:rPr>
          <w:rFonts w:ascii="Cambria Math" w:hAnsi="Cambria Math" w:cs="Cambria Math"/>
          <w:sz w:val="20"/>
          <w:szCs w:val="20"/>
        </w:rPr>
        <w:t>‑</w:t>
      </w:r>
      <w:r w:rsidRPr="00072AEC">
        <w:rPr>
          <w:rFonts w:ascii="Book Antiqua" w:hAnsi="Book Antiqua"/>
          <w:sz w:val="20"/>
          <w:szCs w:val="20"/>
        </w:rPr>
        <w:t>Dihydroxy</w:t>
      </w:r>
      <w:r w:rsidRPr="00072AEC">
        <w:rPr>
          <w:rFonts w:ascii="Cambria Math" w:hAnsi="Cambria Math" w:cs="Cambria Math"/>
          <w:sz w:val="20"/>
          <w:szCs w:val="20"/>
        </w:rPr>
        <w:t>‑</w:t>
      </w:r>
      <w:r w:rsidRPr="00072AEC">
        <w:rPr>
          <w:rFonts w:ascii="Book Antiqua" w:hAnsi="Book Antiqua"/>
          <w:sz w:val="20"/>
          <w:szCs w:val="20"/>
        </w:rPr>
        <w:t>Vitamin D3 induces macrophage polarization to M2 by upregulating T</w:t>
      </w:r>
      <w:r w:rsidRPr="00072AEC">
        <w:rPr>
          <w:rFonts w:ascii="Cambria Math" w:hAnsi="Cambria Math" w:cs="Cambria Math"/>
          <w:sz w:val="20"/>
          <w:szCs w:val="20"/>
        </w:rPr>
        <w:t>‑</w:t>
      </w:r>
      <w:r w:rsidRPr="00072AEC">
        <w:rPr>
          <w:rFonts w:ascii="Book Antiqua" w:hAnsi="Book Antiqua"/>
          <w:sz w:val="20"/>
          <w:szCs w:val="20"/>
        </w:rPr>
        <w:t>cell Ig</w:t>
      </w:r>
      <w:r w:rsidRPr="00072AEC">
        <w:rPr>
          <w:rFonts w:ascii="Cambria Math" w:hAnsi="Cambria Math" w:cs="Cambria Math"/>
          <w:sz w:val="20"/>
          <w:szCs w:val="20"/>
        </w:rPr>
        <w:t>‑</w:t>
      </w:r>
      <w:r w:rsidRPr="00072AEC">
        <w:rPr>
          <w:rFonts w:ascii="Book Antiqua" w:hAnsi="Book Antiqua"/>
          <w:sz w:val="20"/>
          <w:szCs w:val="20"/>
        </w:rPr>
        <w:t>mucin</w:t>
      </w:r>
      <w:r w:rsidRPr="00072AEC">
        <w:rPr>
          <w:rFonts w:ascii="Cambria Math" w:hAnsi="Cambria Math" w:cs="Cambria Math"/>
          <w:sz w:val="20"/>
          <w:szCs w:val="20"/>
        </w:rPr>
        <w:t>‑</w:t>
      </w:r>
      <w:r w:rsidRPr="00072AEC">
        <w:rPr>
          <w:rFonts w:ascii="Book Antiqua" w:hAnsi="Book Antiqua"/>
          <w:sz w:val="20"/>
          <w:szCs w:val="20"/>
        </w:rPr>
        <w:t xml:space="preserve">3 expression. </w:t>
      </w:r>
      <w:r w:rsidRPr="00072AEC">
        <w:rPr>
          <w:rFonts w:ascii="Book Antiqua" w:hAnsi="Book Antiqua"/>
          <w:i/>
          <w:sz w:val="20"/>
          <w:szCs w:val="20"/>
        </w:rPr>
        <w:t>Mol Med Rep</w:t>
      </w:r>
      <w:r w:rsidRPr="00072AEC">
        <w:rPr>
          <w:rFonts w:ascii="Book Antiqua" w:hAnsi="Book Antiqua"/>
          <w:sz w:val="20"/>
          <w:szCs w:val="20"/>
        </w:rPr>
        <w:t xml:space="preserve"> 2019; </w:t>
      </w:r>
      <w:r w:rsidRPr="00072AEC">
        <w:rPr>
          <w:rFonts w:ascii="Book Antiqua" w:hAnsi="Book Antiqua"/>
          <w:b/>
          <w:sz w:val="20"/>
          <w:szCs w:val="20"/>
        </w:rPr>
        <w:t>19</w:t>
      </w:r>
      <w:r w:rsidRPr="00072AEC">
        <w:rPr>
          <w:rFonts w:ascii="Book Antiqua" w:hAnsi="Book Antiqua"/>
          <w:sz w:val="20"/>
          <w:szCs w:val="20"/>
        </w:rPr>
        <w:t>: 3707-3713 [PMID: 30896850 DOI: 10.3892/mmr.2019.10047]</w:t>
      </w:r>
    </w:p>
    <w:p w14:paraId="0796EBD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75 </w:t>
      </w:r>
      <w:r w:rsidRPr="00072AEC">
        <w:rPr>
          <w:rFonts w:ascii="Book Antiqua" w:hAnsi="Book Antiqua"/>
          <w:b/>
          <w:sz w:val="20"/>
          <w:szCs w:val="20"/>
        </w:rPr>
        <w:t>Klug F</w:t>
      </w:r>
      <w:r w:rsidRPr="00072AEC">
        <w:rPr>
          <w:rFonts w:ascii="Book Antiqua" w:hAnsi="Book Antiqua"/>
          <w:sz w:val="20"/>
          <w:szCs w:val="20"/>
        </w:rPr>
        <w:t>, Prakash H, Huber PE, Seibel T, Bender N, Halama N, Pfirschke C, Voss RH, Timke C, Umansky L, Klapproth K, Schäkel K, Garbi N, Jäger D, Weitz J, Schmitz-Winnenthal H, Hämmerling GJ, Beckhove P. Low-dose irradiation programs macrophage differentiation to an iNOS</w:t>
      </w:r>
      <w:r w:rsidRPr="00072AEC">
        <w:rPr>
          <w:rFonts w:ascii="Cambria Math" w:hAnsi="Cambria Math" w:cs="Cambria Math"/>
          <w:sz w:val="20"/>
          <w:szCs w:val="20"/>
        </w:rPr>
        <w:t>⁺</w:t>
      </w:r>
      <w:r w:rsidRPr="00072AEC">
        <w:rPr>
          <w:rFonts w:ascii="Book Antiqua" w:hAnsi="Book Antiqua"/>
          <w:sz w:val="20"/>
          <w:szCs w:val="20"/>
        </w:rPr>
        <w:t xml:space="preserve">/M1 phenotype that orchestrates effective T cell immunotherapy. </w:t>
      </w:r>
      <w:r w:rsidRPr="00072AEC">
        <w:rPr>
          <w:rFonts w:ascii="Book Antiqua" w:hAnsi="Book Antiqua"/>
          <w:i/>
          <w:sz w:val="20"/>
          <w:szCs w:val="20"/>
        </w:rPr>
        <w:t>Cancer Cell</w:t>
      </w:r>
      <w:r w:rsidRPr="00072AEC">
        <w:rPr>
          <w:rFonts w:ascii="Book Antiqua" w:hAnsi="Book Antiqua"/>
          <w:sz w:val="20"/>
          <w:szCs w:val="20"/>
        </w:rPr>
        <w:t xml:space="preserve"> 2013; </w:t>
      </w:r>
      <w:r w:rsidRPr="00072AEC">
        <w:rPr>
          <w:rFonts w:ascii="Book Antiqua" w:hAnsi="Book Antiqua"/>
          <w:b/>
          <w:sz w:val="20"/>
          <w:szCs w:val="20"/>
        </w:rPr>
        <w:t>24</w:t>
      </w:r>
      <w:r w:rsidRPr="00072AEC">
        <w:rPr>
          <w:rFonts w:ascii="Book Antiqua" w:hAnsi="Book Antiqua"/>
          <w:sz w:val="20"/>
          <w:szCs w:val="20"/>
        </w:rPr>
        <w:t>: 589-602 [PMID: 24209604 DOI: 10.1016/j.ccr.2013.09.014]</w:t>
      </w:r>
    </w:p>
    <w:p w14:paraId="43E29A0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76 </w:t>
      </w:r>
      <w:r w:rsidRPr="00072AEC">
        <w:rPr>
          <w:rFonts w:ascii="Book Antiqua" w:hAnsi="Book Antiqua"/>
          <w:b/>
          <w:sz w:val="20"/>
          <w:szCs w:val="20"/>
        </w:rPr>
        <w:t>Sektioglu IM</w:t>
      </w:r>
      <w:r w:rsidRPr="00072AEC">
        <w:rPr>
          <w:rFonts w:ascii="Book Antiqua" w:hAnsi="Book Antiqua"/>
          <w:sz w:val="20"/>
          <w:szCs w:val="20"/>
        </w:rPr>
        <w:t xml:space="preserve">, Carretero R, Bender N, Bogdan C, Garbi N, Umansky V, Umansky L, Urban K, von Knebel-Döberitz M, Somasundaram V, Wink D, Beckhove P, Hämmerling GJ. Macrophage-derived nitric oxide initiates T-cell diapedesis and tumor rejection. </w:t>
      </w:r>
      <w:r w:rsidRPr="00072AEC">
        <w:rPr>
          <w:rFonts w:ascii="Book Antiqua" w:hAnsi="Book Antiqua"/>
          <w:i/>
          <w:sz w:val="20"/>
          <w:szCs w:val="20"/>
        </w:rPr>
        <w:t>Oncoimmunology</w:t>
      </w:r>
      <w:r w:rsidRPr="00072AEC">
        <w:rPr>
          <w:rFonts w:ascii="Book Antiqua" w:hAnsi="Book Antiqua"/>
          <w:sz w:val="20"/>
          <w:szCs w:val="20"/>
        </w:rPr>
        <w:t xml:space="preserve"> 2016; </w:t>
      </w:r>
      <w:r w:rsidRPr="00072AEC">
        <w:rPr>
          <w:rFonts w:ascii="Book Antiqua" w:hAnsi="Book Antiqua"/>
          <w:b/>
          <w:sz w:val="20"/>
          <w:szCs w:val="20"/>
        </w:rPr>
        <w:t>5</w:t>
      </w:r>
      <w:r w:rsidRPr="00072AEC">
        <w:rPr>
          <w:rFonts w:ascii="Book Antiqua" w:hAnsi="Book Antiqua"/>
          <w:sz w:val="20"/>
          <w:szCs w:val="20"/>
        </w:rPr>
        <w:t>: e1204506 [PMID: 27853636 DOI: 10.1080/2162402X.2016.1204506]</w:t>
      </w:r>
    </w:p>
    <w:p w14:paraId="673AFEB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77 </w:t>
      </w:r>
      <w:r w:rsidRPr="00072AEC">
        <w:rPr>
          <w:rFonts w:ascii="Book Antiqua" w:hAnsi="Book Antiqua"/>
          <w:b/>
          <w:sz w:val="20"/>
          <w:szCs w:val="20"/>
        </w:rPr>
        <w:t>Wood MA</w:t>
      </w:r>
      <w:r w:rsidRPr="00072AEC">
        <w:rPr>
          <w:rFonts w:ascii="Book Antiqua" w:hAnsi="Book Antiqua"/>
          <w:sz w:val="20"/>
          <w:szCs w:val="20"/>
        </w:rPr>
        <w:t xml:space="preserve">, Goldman N, DePierri K, Somerville J, Riggs JE. Erythropoietin increases macrophage-mediated T cell suppression. </w:t>
      </w:r>
      <w:r w:rsidRPr="00072AEC">
        <w:rPr>
          <w:rFonts w:ascii="Book Antiqua" w:hAnsi="Book Antiqua"/>
          <w:i/>
          <w:sz w:val="20"/>
          <w:szCs w:val="20"/>
        </w:rPr>
        <w:t>Cell Immunol</w:t>
      </w:r>
      <w:r w:rsidRPr="00072AEC">
        <w:rPr>
          <w:rFonts w:ascii="Book Antiqua" w:hAnsi="Book Antiqua"/>
          <w:sz w:val="20"/>
          <w:szCs w:val="20"/>
        </w:rPr>
        <w:t xml:space="preserve"> 2016; </w:t>
      </w:r>
      <w:r w:rsidRPr="00072AEC">
        <w:rPr>
          <w:rFonts w:ascii="Book Antiqua" w:hAnsi="Book Antiqua"/>
          <w:b/>
          <w:sz w:val="20"/>
          <w:szCs w:val="20"/>
        </w:rPr>
        <w:t>306-307</w:t>
      </w:r>
      <w:r w:rsidRPr="00072AEC">
        <w:rPr>
          <w:rFonts w:ascii="Book Antiqua" w:hAnsi="Book Antiqua"/>
          <w:sz w:val="20"/>
          <w:szCs w:val="20"/>
        </w:rPr>
        <w:t>: 17-24 [PMID: 27262376 DOI: 10.1016/j.cellimm.2016.05.004]</w:t>
      </w:r>
    </w:p>
    <w:p w14:paraId="5D4A90F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78 </w:t>
      </w:r>
      <w:r w:rsidRPr="00072AEC">
        <w:rPr>
          <w:rFonts w:ascii="Book Antiqua" w:hAnsi="Book Antiqua"/>
          <w:b/>
          <w:sz w:val="20"/>
          <w:szCs w:val="20"/>
        </w:rPr>
        <w:t>Tashiro-Yamaji J</w:t>
      </w:r>
      <w:r w:rsidRPr="00072AEC">
        <w:rPr>
          <w:rFonts w:ascii="Book Antiqua" w:hAnsi="Book Antiqua"/>
          <w:sz w:val="20"/>
          <w:szCs w:val="20"/>
        </w:rPr>
        <w:t xml:space="preserve">, Maeda S, Ikawa M, Okabe M, Kubota T, Yoshida R. Macrophage MHC and T-cell receptors essential for rejection of allografted skin and lymphoma. </w:t>
      </w:r>
      <w:r w:rsidRPr="00072AEC">
        <w:rPr>
          <w:rFonts w:ascii="Book Antiqua" w:hAnsi="Book Antiqua"/>
          <w:i/>
          <w:sz w:val="20"/>
          <w:szCs w:val="20"/>
        </w:rPr>
        <w:t>Transplantation</w:t>
      </w:r>
      <w:r w:rsidRPr="00072AEC">
        <w:rPr>
          <w:rFonts w:ascii="Book Antiqua" w:hAnsi="Book Antiqua"/>
          <w:sz w:val="20"/>
          <w:szCs w:val="20"/>
        </w:rPr>
        <w:t xml:space="preserve"> 2013; </w:t>
      </w:r>
      <w:r w:rsidRPr="00072AEC">
        <w:rPr>
          <w:rFonts w:ascii="Book Antiqua" w:hAnsi="Book Antiqua"/>
          <w:b/>
          <w:sz w:val="20"/>
          <w:szCs w:val="20"/>
        </w:rPr>
        <w:t>96</w:t>
      </w:r>
      <w:r w:rsidRPr="00072AEC">
        <w:rPr>
          <w:rFonts w:ascii="Book Antiqua" w:hAnsi="Book Antiqua"/>
          <w:sz w:val="20"/>
          <w:szCs w:val="20"/>
        </w:rPr>
        <w:t>: 251-257 [PMID: 23836286 DOI: 10.1097/TP.0b013e3182985527]</w:t>
      </w:r>
    </w:p>
    <w:p w14:paraId="10A82F72" w14:textId="5F595520"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79 </w:t>
      </w:r>
      <w:r w:rsidRPr="00072AEC">
        <w:rPr>
          <w:rFonts w:ascii="Book Antiqua" w:hAnsi="Book Antiqua"/>
          <w:b/>
          <w:sz w:val="20"/>
          <w:szCs w:val="20"/>
        </w:rPr>
        <w:t>Marro BS</w:t>
      </w:r>
      <w:r w:rsidRPr="00072AEC">
        <w:rPr>
          <w:rFonts w:ascii="Book Antiqua" w:hAnsi="Book Antiqua"/>
          <w:sz w:val="20"/>
          <w:szCs w:val="20"/>
        </w:rPr>
        <w:t xml:space="preserve">, Legrain S, Ware BC, Oldstone MB. </w:t>
      </w:r>
      <w:r w:rsidR="005D1F20" w:rsidRPr="00072AEC">
        <w:rPr>
          <w:rFonts w:ascii="Book Antiqua" w:hAnsi="Book Antiqua"/>
          <w:sz w:val="20"/>
          <w:szCs w:val="20"/>
        </w:rPr>
        <w:t>Macrophage IFN-I Signaling Promotes Autoreactive T Cell Infiltration Into Islets in Type 1 Diabetes Model</w:t>
      </w:r>
      <w:r w:rsidRPr="00072AEC">
        <w:rPr>
          <w:rFonts w:ascii="Book Antiqua" w:hAnsi="Book Antiqua"/>
          <w:sz w:val="20"/>
          <w:szCs w:val="20"/>
        </w:rPr>
        <w:t xml:space="preserve">. </w:t>
      </w:r>
      <w:r w:rsidRPr="00072AEC">
        <w:rPr>
          <w:rFonts w:ascii="Book Antiqua" w:hAnsi="Book Antiqua"/>
          <w:i/>
          <w:sz w:val="20"/>
          <w:szCs w:val="20"/>
        </w:rPr>
        <w:t>JCI Insight</w:t>
      </w:r>
      <w:r w:rsidRPr="00072AEC">
        <w:rPr>
          <w:rFonts w:ascii="Book Antiqua" w:hAnsi="Book Antiqua"/>
          <w:sz w:val="20"/>
          <w:szCs w:val="20"/>
        </w:rPr>
        <w:t xml:space="preserve"> 2019; </w:t>
      </w:r>
      <w:r w:rsidRPr="00072AEC">
        <w:rPr>
          <w:rFonts w:ascii="Book Antiqua" w:hAnsi="Book Antiqua"/>
          <w:b/>
          <w:sz w:val="20"/>
          <w:szCs w:val="20"/>
        </w:rPr>
        <w:t>4</w:t>
      </w:r>
      <w:r w:rsidR="005D1F20" w:rsidRPr="00072AEC">
        <w:rPr>
          <w:rFonts w:ascii="Book Antiqua" w:hAnsi="Book Antiqua"/>
          <w:sz w:val="20"/>
          <w:szCs w:val="20"/>
        </w:rPr>
        <w:t>: e125067</w:t>
      </w:r>
      <w:r w:rsidRPr="00072AEC">
        <w:rPr>
          <w:rFonts w:ascii="Book Antiqua" w:hAnsi="Book Antiqua"/>
          <w:sz w:val="20"/>
          <w:szCs w:val="20"/>
        </w:rPr>
        <w:t xml:space="preserve"> [PMID: 30674713 DOI: 10.1172/jci.insight.125067]</w:t>
      </w:r>
    </w:p>
    <w:p w14:paraId="1F30E87B" w14:textId="368D6CC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80 </w:t>
      </w:r>
      <w:r w:rsidRPr="00072AEC">
        <w:rPr>
          <w:rFonts w:ascii="Book Antiqua" w:hAnsi="Book Antiqua"/>
          <w:b/>
          <w:sz w:val="20"/>
          <w:szCs w:val="20"/>
        </w:rPr>
        <w:t>Yuan X</w:t>
      </w:r>
      <w:r w:rsidRPr="00072AEC">
        <w:rPr>
          <w:rFonts w:ascii="Book Antiqua" w:hAnsi="Book Antiqua"/>
          <w:sz w:val="20"/>
          <w:szCs w:val="20"/>
        </w:rPr>
        <w:t xml:space="preserve">, Yang BH, Dong Y, Yamamura A, Fu W. </w:t>
      </w:r>
      <w:r w:rsidR="00011BD7" w:rsidRPr="00072AEC">
        <w:rPr>
          <w:rFonts w:ascii="Book Antiqua" w:hAnsi="Book Antiqua"/>
          <w:sz w:val="20"/>
          <w:szCs w:val="20"/>
        </w:rPr>
        <w:t>CRIg, a Tissue-Resident Macrophage Specific Immune Checkpoint Molecule, Promotes Immunological Tolerance in NOD Mice, via a Dual Role in Effector and Regulatory T Cells</w:t>
      </w:r>
      <w:r w:rsidRPr="00072AEC">
        <w:rPr>
          <w:rFonts w:ascii="Book Antiqua" w:hAnsi="Book Antiqua"/>
          <w:sz w:val="20"/>
          <w:szCs w:val="20"/>
        </w:rPr>
        <w:t xml:space="preserve">. </w:t>
      </w:r>
      <w:r w:rsidRPr="00072AEC">
        <w:rPr>
          <w:rFonts w:ascii="Book Antiqua" w:hAnsi="Book Antiqua"/>
          <w:i/>
          <w:sz w:val="20"/>
          <w:szCs w:val="20"/>
        </w:rPr>
        <w:t>Elife</w:t>
      </w:r>
      <w:r w:rsidRPr="00072AEC">
        <w:rPr>
          <w:rFonts w:ascii="Book Antiqua" w:hAnsi="Book Antiqua"/>
          <w:sz w:val="20"/>
          <w:szCs w:val="20"/>
        </w:rPr>
        <w:t xml:space="preserve"> 2017</w:t>
      </w:r>
      <w:r w:rsidR="00011BD7" w:rsidRPr="00072AEC">
        <w:rPr>
          <w:rFonts w:ascii="Book Antiqua" w:hAnsi="Book Antiqua"/>
          <w:sz w:val="20"/>
          <w:szCs w:val="20"/>
        </w:rPr>
        <w:t xml:space="preserve">; </w:t>
      </w:r>
      <w:r w:rsidR="00011BD7" w:rsidRPr="00072AEC">
        <w:rPr>
          <w:rFonts w:ascii="Book Antiqua" w:hAnsi="Book Antiqua"/>
          <w:b/>
          <w:sz w:val="20"/>
          <w:szCs w:val="20"/>
        </w:rPr>
        <w:t>6</w:t>
      </w:r>
      <w:r w:rsidR="00011BD7" w:rsidRPr="00072AEC">
        <w:rPr>
          <w:rFonts w:ascii="Book Antiqua" w:hAnsi="Book Antiqua"/>
          <w:sz w:val="20"/>
          <w:szCs w:val="20"/>
        </w:rPr>
        <w:t>: e29540</w:t>
      </w:r>
      <w:r w:rsidRPr="00072AEC">
        <w:rPr>
          <w:rFonts w:ascii="Book Antiqua" w:hAnsi="Book Antiqua"/>
          <w:sz w:val="20"/>
          <w:szCs w:val="20"/>
        </w:rPr>
        <w:t xml:space="preserve"> [PMID: 29171836 DOI: 10.7554/eLife.29540]</w:t>
      </w:r>
    </w:p>
    <w:p w14:paraId="325375C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81 </w:t>
      </w:r>
      <w:r w:rsidRPr="00072AEC">
        <w:rPr>
          <w:rFonts w:ascii="Book Antiqua" w:hAnsi="Book Antiqua"/>
          <w:b/>
          <w:sz w:val="20"/>
          <w:szCs w:val="20"/>
        </w:rPr>
        <w:t>Quaranta V</w:t>
      </w:r>
      <w:r w:rsidRPr="00072AEC">
        <w:rPr>
          <w:rFonts w:ascii="Book Antiqua" w:hAnsi="Book Antiqua"/>
          <w:sz w:val="20"/>
          <w:szCs w:val="20"/>
        </w:rPr>
        <w:t xml:space="preserve">, Rainer C, Nielsen SR, Raymant ML, Ahmed MS, Engle DD, Taylor A, Murray T, Campbell F, Palmer DH, Tuveson DA, Mielgo A, Schmid MC. Macrophage-Derived Granulin Drives Resistance to Immune Checkpoint Inhibition in Metastatic Pancreatic Cancer. </w:t>
      </w:r>
      <w:r w:rsidRPr="00072AEC">
        <w:rPr>
          <w:rFonts w:ascii="Book Antiqua" w:hAnsi="Book Antiqua"/>
          <w:i/>
          <w:sz w:val="20"/>
          <w:szCs w:val="20"/>
        </w:rPr>
        <w:t>Cancer Res</w:t>
      </w:r>
      <w:r w:rsidRPr="00072AEC">
        <w:rPr>
          <w:rFonts w:ascii="Book Antiqua" w:hAnsi="Book Antiqua"/>
          <w:sz w:val="20"/>
          <w:szCs w:val="20"/>
        </w:rPr>
        <w:t xml:space="preserve"> 2018; </w:t>
      </w:r>
      <w:r w:rsidRPr="00072AEC">
        <w:rPr>
          <w:rFonts w:ascii="Book Antiqua" w:hAnsi="Book Antiqua"/>
          <w:b/>
          <w:sz w:val="20"/>
          <w:szCs w:val="20"/>
        </w:rPr>
        <w:t>78</w:t>
      </w:r>
      <w:r w:rsidRPr="00072AEC">
        <w:rPr>
          <w:rFonts w:ascii="Book Antiqua" w:hAnsi="Book Antiqua"/>
          <w:sz w:val="20"/>
          <w:szCs w:val="20"/>
        </w:rPr>
        <w:t>: 4253-4269 [PMID: 29789416 DOI: 10.1158/0008-5472.CAN-17-3876]</w:t>
      </w:r>
    </w:p>
    <w:p w14:paraId="46DA0485" w14:textId="1F78F03D"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82 </w:t>
      </w:r>
      <w:r w:rsidRPr="00072AEC">
        <w:rPr>
          <w:rFonts w:ascii="Book Antiqua" w:hAnsi="Book Antiqua"/>
          <w:b/>
          <w:sz w:val="20"/>
          <w:szCs w:val="20"/>
        </w:rPr>
        <w:t>Arlauckas SP</w:t>
      </w:r>
      <w:r w:rsidRPr="00072AEC">
        <w:rPr>
          <w:rFonts w:ascii="Book Antiqua" w:hAnsi="Book Antiqua"/>
          <w:sz w:val="20"/>
          <w:szCs w:val="20"/>
        </w:rPr>
        <w:t xml:space="preserve">, Garris CS, Kohler RH, Kitaoka M, Cuccarese MF, Yang KS, Miller MA, Carlson JC, Freeman GJ, Anthony RM, Weissleder R, Pittet MJ. In vivo imaging reveals a tumor-associated macrophage-mediated resistance pathway in anti-PD-1 therapy. </w:t>
      </w:r>
      <w:r w:rsidRPr="00072AEC">
        <w:rPr>
          <w:rFonts w:ascii="Book Antiqua" w:hAnsi="Book Antiqua"/>
          <w:i/>
          <w:sz w:val="20"/>
          <w:szCs w:val="20"/>
        </w:rPr>
        <w:t>Sci Transl Med</w:t>
      </w:r>
      <w:r w:rsidRPr="00072AEC">
        <w:rPr>
          <w:rFonts w:ascii="Book Antiqua" w:hAnsi="Book Antiqua"/>
          <w:sz w:val="20"/>
          <w:szCs w:val="20"/>
        </w:rPr>
        <w:t xml:space="preserve"> 2017; </w:t>
      </w:r>
      <w:r w:rsidRPr="00072AEC">
        <w:rPr>
          <w:rFonts w:ascii="Book Antiqua" w:hAnsi="Book Antiqua"/>
          <w:b/>
          <w:sz w:val="20"/>
          <w:szCs w:val="20"/>
        </w:rPr>
        <w:t>9</w:t>
      </w:r>
      <w:r w:rsidR="00AA0B2D" w:rsidRPr="00072AEC">
        <w:rPr>
          <w:rFonts w:ascii="Book Antiqua" w:hAnsi="Book Antiqua"/>
          <w:sz w:val="20"/>
          <w:szCs w:val="20"/>
        </w:rPr>
        <w:t>: eaal3604</w:t>
      </w:r>
      <w:r w:rsidRPr="00072AEC">
        <w:rPr>
          <w:rFonts w:ascii="Book Antiqua" w:hAnsi="Book Antiqua"/>
          <w:sz w:val="20"/>
          <w:szCs w:val="20"/>
        </w:rPr>
        <w:t xml:space="preserve"> [PMID: 28490665 DOI: 10.1126/scitranslmed.aal3604]</w:t>
      </w:r>
    </w:p>
    <w:p w14:paraId="34EC491E"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83 </w:t>
      </w:r>
      <w:r w:rsidRPr="00072AEC">
        <w:rPr>
          <w:rFonts w:ascii="Book Antiqua" w:hAnsi="Book Antiqua"/>
          <w:b/>
          <w:sz w:val="20"/>
          <w:szCs w:val="20"/>
        </w:rPr>
        <w:t>La Fleur L</w:t>
      </w:r>
      <w:r w:rsidRPr="00072AEC">
        <w:rPr>
          <w:rFonts w:ascii="Book Antiqua" w:hAnsi="Book Antiqua"/>
          <w:sz w:val="20"/>
          <w:szCs w:val="20"/>
        </w:rPr>
        <w:t xml:space="preserve">, Boura VF, Alexeyenko A, Berglund A, Pontén V, Mattsson JSM, Djureinovic D, Persson J, Brunnström H, Isaksson J, Brandén E, Koyi H, Micke P, Karlsson MCI, Botling J. Expression of scavenger receptor MARCO defines a targetable tumor-associated macrophage subset in non-small cell lung cancer. </w:t>
      </w:r>
      <w:r w:rsidRPr="00072AEC">
        <w:rPr>
          <w:rFonts w:ascii="Book Antiqua" w:hAnsi="Book Antiqua"/>
          <w:i/>
          <w:sz w:val="20"/>
          <w:szCs w:val="20"/>
        </w:rPr>
        <w:t>Int J Cancer</w:t>
      </w:r>
      <w:r w:rsidRPr="00072AEC">
        <w:rPr>
          <w:rFonts w:ascii="Book Antiqua" w:hAnsi="Book Antiqua"/>
          <w:sz w:val="20"/>
          <w:szCs w:val="20"/>
        </w:rPr>
        <w:t xml:space="preserve"> 2018; </w:t>
      </w:r>
      <w:r w:rsidRPr="00072AEC">
        <w:rPr>
          <w:rFonts w:ascii="Book Antiqua" w:hAnsi="Book Antiqua"/>
          <w:b/>
          <w:sz w:val="20"/>
          <w:szCs w:val="20"/>
        </w:rPr>
        <w:t>143</w:t>
      </w:r>
      <w:r w:rsidRPr="00072AEC">
        <w:rPr>
          <w:rFonts w:ascii="Book Antiqua" w:hAnsi="Book Antiqua"/>
          <w:sz w:val="20"/>
          <w:szCs w:val="20"/>
        </w:rPr>
        <w:t>: 1741-1752 [PMID: 29667169 DOI: 10.1002/ijc.31545]</w:t>
      </w:r>
    </w:p>
    <w:p w14:paraId="67BDE5D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84 </w:t>
      </w:r>
      <w:r w:rsidRPr="00072AEC">
        <w:rPr>
          <w:rFonts w:ascii="Book Antiqua" w:hAnsi="Book Antiqua"/>
          <w:b/>
          <w:sz w:val="20"/>
          <w:szCs w:val="20"/>
        </w:rPr>
        <w:t>Li X</w:t>
      </w:r>
      <w:r w:rsidRPr="00072AEC">
        <w:rPr>
          <w:rFonts w:ascii="Book Antiqua" w:hAnsi="Book Antiqua"/>
          <w:sz w:val="20"/>
          <w:szCs w:val="20"/>
        </w:rPr>
        <w:t xml:space="preserve">, Gao Q, Feng Y, Zhang X. Developing role of B cells in the pathogenesis and treatment of chronic GVHD. </w:t>
      </w:r>
      <w:r w:rsidRPr="00072AEC">
        <w:rPr>
          <w:rFonts w:ascii="Book Antiqua" w:hAnsi="Book Antiqua"/>
          <w:i/>
          <w:sz w:val="20"/>
          <w:szCs w:val="20"/>
        </w:rPr>
        <w:t>Br J Haematol</w:t>
      </w:r>
      <w:r w:rsidRPr="00072AEC">
        <w:rPr>
          <w:rFonts w:ascii="Book Antiqua" w:hAnsi="Book Antiqua"/>
          <w:sz w:val="20"/>
          <w:szCs w:val="20"/>
        </w:rPr>
        <w:t xml:space="preserve"> 2019; </w:t>
      </w:r>
      <w:r w:rsidRPr="00072AEC">
        <w:rPr>
          <w:rFonts w:ascii="Book Antiqua" w:hAnsi="Book Antiqua"/>
          <w:b/>
          <w:sz w:val="20"/>
          <w:szCs w:val="20"/>
        </w:rPr>
        <w:t>184</w:t>
      </w:r>
      <w:r w:rsidRPr="00072AEC">
        <w:rPr>
          <w:rFonts w:ascii="Book Antiqua" w:hAnsi="Book Antiqua"/>
          <w:sz w:val="20"/>
          <w:szCs w:val="20"/>
        </w:rPr>
        <w:t>: 323-336 [PMID: 30585319 DOI: 10.1111/bjh.15719]</w:t>
      </w:r>
    </w:p>
    <w:p w14:paraId="7B26DF5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85 </w:t>
      </w:r>
      <w:r w:rsidRPr="00072AEC">
        <w:rPr>
          <w:rFonts w:ascii="Book Antiqua" w:hAnsi="Book Antiqua"/>
          <w:b/>
          <w:sz w:val="20"/>
          <w:szCs w:val="20"/>
        </w:rPr>
        <w:t>Schroeder MA</w:t>
      </w:r>
      <w:r w:rsidRPr="00072AEC">
        <w:rPr>
          <w:rFonts w:ascii="Book Antiqua" w:hAnsi="Book Antiqua"/>
          <w:sz w:val="20"/>
          <w:szCs w:val="20"/>
        </w:rPr>
        <w:t xml:space="preserve">, DiPersio JF. Mouse models of graft-versus-host disease: advances and limitations. </w:t>
      </w:r>
      <w:r w:rsidRPr="00072AEC">
        <w:rPr>
          <w:rFonts w:ascii="Book Antiqua" w:hAnsi="Book Antiqua"/>
          <w:i/>
          <w:sz w:val="20"/>
          <w:szCs w:val="20"/>
        </w:rPr>
        <w:t>Dis Model Mech</w:t>
      </w:r>
      <w:r w:rsidRPr="00072AEC">
        <w:rPr>
          <w:rFonts w:ascii="Book Antiqua" w:hAnsi="Book Antiqua"/>
          <w:sz w:val="20"/>
          <w:szCs w:val="20"/>
        </w:rPr>
        <w:t xml:space="preserve"> 2011; </w:t>
      </w:r>
      <w:r w:rsidRPr="00072AEC">
        <w:rPr>
          <w:rFonts w:ascii="Book Antiqua" w:hAnsi="Book Antiqua"/>
          <w:b/>
          <w:sz w:val="20"/>
          <w:szCs w:val="20"/>
        </w:rPr>
        <w:t>4</w:t>
      </w:r>
      <w:r w:rsidRPr="00072AEC">
        <w:rPr>
          <w:rFonts w:ascii="Book Antiqua" w:hAnsi="Book Antiqua"/>
          <w:sz w:val="20"/>
          <w:szCs w:val="20"/>
        </w:rPr>
        <w:t>: 318-333 [PMID: 21558065 DOI: 10.1242/dmm.006668]</w:t>
      </w:r>
    </w:p>
    <w:p w14:paraId="1D53DB7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86 </w:t>
      </w:r>
      <w:r w:rsidRPr="00072AEC">
        <w:rPr>
          <w:rFonts w:ascii="Book Antiqua" w:hAnsi="Book Antiqua"/>
          <w:b/>
          <w:sz w:val="20"/>
          <w:szCs w:val="20"/>
        </w:rPr>
        <w:t>Mukai S</w:t>
      </w:r>
      <w:r w:rsidRPr="00072AEC">
        <w:rPr>
          <w:rFonts w:ascii="Book Antiqua" w:hAnsi="Book Antiqua"/>
          <w:sz w:val="20"/>
          <w:szCs w:val="20"/>
        </w:rPr>
        <w:t xml:space="preserve">, Ogawa Y, Urano F, Kudo-Saito C, Kawakami Y, Tsubota K. Novel Treatment of Chronic Graft-Versus-Host Disease in Mice Using the ER Stress Reducer 4-Phenylbutyric Acid. </w:t>
      </w:r>
      <w:r w:rsidRPr="00072AEC">
        <w:rPr>
          <w:rFonts w:ascii="Book Antiqua" w:hAnsi="Book Antiqua"/>
          <w:i/>
          <w:sz w:val="20"/>
          <w:szCs w:val="20"/>
        </w:rPr>
        <w:t>Sci Rep</w:t>
      </w:r>
      <w:r w:rsidRPr="00072AEC">
        <w:rPr>
          <w:rFonts w:ascii="Book Antiqua" w:hAnsi="Book Antiqua"/>
          <w:sz w:val="20"/>
          <w:szCs w:val="20"/>
        </w:rPr>
        <w:t xml:space="preserve"> 2017; </w:t>
      </w:r>
      <w:r w:rsidRPr="00072AEC">
        <w:rPr>
          <w:rFonts w:ascii="Book Antiqua" w:hAnsi="Book Antiqua"/>
          <w:b/>
          <w:sz w:val="20"/>
          <w:szCs w:val="20"/>
        </w:rPr>
        <w:t>7</w:t>
      </w:r>
      <w:r w:rsidRPr="00072AEC">
        <w:rPr>
          <w:rFonts w:ascii="Book Antiqua" w:hAnsi="Book Antiqua"/>
          <w:sz w:val="20"/>
          <w:szCs w:val="20"/>
        </w:rPr>
        <w:t>: 41939 [PMID: 28165054 DOI: 10.1038/srep41939]</w:t>
      </w:r>
    </w:p>
    <w:p w14:paraId="35170E4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87 </w:t>
      </w:r>
      <w:r w:rsidRPr="00072AEC">
        <w:rPr>
          <w:rFonts w:ascii="Book Antiqua" w:hAnsi="Book Antiqua"/>
          <w:b/>
          <w:sz w:val="20"/>
          <w:szCs w:val="20"/>
        </w:rPr>
        <w:t>Ayaub EA</w:t>
      </w:r>
      <w:r w:rsidRPr="00072AEC">
        <w:rPr>
          <w:rFonts w:ascii="Book Antiqua" w:hAnsi="Book Antiqua"/>
          <w:sz w:val="20"/>
          <w:szCs w:val="20"/>
        </w:rPr>
        <w:t xml:space="preserve">, Kolb PS, Mohammed-Ali Z, Tat V, Murphy J, Bellaye PS, Shimbori C, Boivin FJ, Lai R, Lynn EG, Lhoták Š, Bridgewater D, Kolb MR, Inman MD, Dickhout JG, Austin RC, Ask K. GRP78 and CHOP modulate macrophage apoptosis and the development of bleomycin-induced pulmonary fibrosis. </w:t>
      </w:r>
      <w:r w:rsidRPr="00072AEC">
        <w:rPr>
          <w:rFonts w:ascii="Book Antiqua" w:hAnsi="Book Antiqua"/>
          <w:i/>
          <w:sz w:val="20"/>
          <w:szCs w:val="20"/>
        </w:rPr>
        <w:t>J Pathol</w:t>
      </w:r>
      <w:r w:rsidRPr="00072AEC">
        <w:rPr>
          <w:rFonts w:ascii="Book Antiqua" w:hAnsi="Book Antiqua"/>
          <w:sz w:val="20"/>
          <w:szCs w:val="20"/>
        </w:rPr>
        <w:t xml:space="preserve"> 2016; </w:t>
      </w:r>
      <w:r w:rsidRPr="00072AEC">
        <w:rPr>
          <w:rFonts w:ascii="Book Antiqua" w:hAnsi="Book Antiqua"/>
          <w:b/>
          <w:sz w:val="20"/>
          <w:szCs w:val="20"/>
        </w:rPr>
        <w:t>239</w:t>
      </w:r>
      <w:r w:rsidRPr="00072AEC">
        <w:rPr>
          <w:rFonts w:ascii="Book Antiqua" w:hAnsi="Book Antiqua"/>
          <w:sz w:val="20"/>
          <w:szCs w:val="20"/>
        </w:rPr>
        <w:t>: 411-425 [PMID: 27135434 DOI: 10.1002/path.4738]</w:t>
      </w:r>
    </w:p>
    <w:p w14:paraId="508B1CB8"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88 </w:t>
      </w:r>
      <w:r w:rsidRPr="00072AEC">
        <w:rPr>
          <w:rFonts w:ascii="Book Antiqua" w:hAnsi="Book Antiqua"/>
          <w:b/>
          <w:sz w:val="20"/>
          <w:szCs w:val="20"/>
        </w:rPr>
        <w:t>Lodder J</w:t>
      </w:r>
      <w:r w:rsidRPr="00072AEC">
        <w:rPr>
          <w:rFonts w:ascii="Book Antiqua" w:hAnsi="Book Antiqua"/>
          <w:sz w:val="20"/>
          <w:szCs w:val="20"/>
        </w:rPr>
        <w:t xml:space="preserve">, Denaës T, Chobert MN, Wan J, El-Benna J, Pawlotsky JM, Lotersztajn S, Teixeira-Clerc F. Macrophage autophagy protects against liver fibrosis in mice. </w:t>
      </w:r>
      <w:r w:rsidRPr="00072AEC">
        <w:rPr>
          <w:rFonts w:ascii="Book Antiqua" w:hAnsi="Book Antiqua"/>
          <w:i/>
          <w:sz w:val="20"/>
          <w:szCs w:val="20"/>
        </w:rPr>
        <w:t>Autophagy</w:t>
      </w:r>
      <w:r w:rsidRPr="00072AEC">
        <w:rPr>
          <w:rFonts w:ascii="Book Antiqua" w:hAnsi="Book Antiqua"/>
          <w:sz w:val="20"/>
          <w:szCs w:val="20"/>
        </w:rPr>
        <w:t xml:space="preserve"> 2015; </w:t>
      </w:r>
      <w:r w:rsidRPr="00072AEC">
        <w:rPr>
          <w:rFonts w:ascii="Book Antiqua" w:hAnsi="Book Antiqua"/>
          <w:b/>
          <w:sz w:val="20"/>
          <w:szCs w:val="20"/>
        </w:rPr>
        <w:t>11</w:t>
      </w:r>
      <w:r w:rsidRPr="00072AEC">
        <w:rPr>
          <w:rFonts w:ascii="Book Antiqua" w:hAnsi="Book Antiqua"/>
          <w:sz w:val="20"/>
          <w:szCs w:val="20"/>
        </w:rPr>
        <w:t>: 1280-1292 [PMID: 26061908 DOI: 10.1080/15548627.2015.1058473]</w:t>
      </w:r>
    </w:p>
    <w:p w14:paraId="03D9ACC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89 </w:t>
      </w:r>
      <w:r w:rsidRPr="00072AEC">
        <w:rPr>
          <w:rFonts w:ascii="Book Antiqua" w:hAnsi="Book Antiqua"/>
          <w:b/>
          <w:sz w:val="20"/>
          <w:szCs w:val="20"/>
        </w:rPr>
        <w:t>Du S</w:t>
      </w:r>
      <w:r w:rsidRPr="00072AEC">
        <w:rPr>
          <w:rFonts w:ascii="Book Antiqua" w:hAnsi="Book Antiqua"/>
          <w:sz w:val="20"/>
          <w:szCs w:val="20"/>
        </w:rPr>
        <w:t xml:space="preserve">, Li C, Lu Y, Lei X, Zhang Y, Li S, Liu F, Chen Y, Weng D, Chen J. Dioscin Alleviates Crystalline Silica-Induced Pulmonary Inflammation and Fibrosis through Promoting Alveolar Macrophage Autophagy. </w:t>
      </w:r>
      <w:r w:rsidRPr="00072AEC">
        <w:rPr>
          <w:rFonts w:ascii="Book Antiqua" w:hAnsi="Book Antiqua"/>
          <w:i/>
          <w:sz w:val="20"/>
          <w:szCs w:val="20"/>
        </w:rPr>
        <w:t>Theranostics</w:t>
      </w:r>
      <w:r w:rsidRPr="00072AEC">
        <w:rPr>
          <w:rFonts w:ascii="Book Antiqua" w:hAnsi="Book Antiqua"/>
          <w:sz w:val="20"/>
          <w:szCs w:val="20"/>
        </w:rPr>
        <w:t xml:space="preserve"> 2019; </w:t>
      </w:r>
      <w:r w:rsidRPr="00072AEC">
        <w:rPr>
          <w:rFonts w:ascii="Book Antiqua" w:hAnsi="Book Antiqua"/>
          <w:b/>
          <w:sz w:val="20"/>
          <w:szCs w:val="20"/>
        </w:rPr>
        <w:t>9</w:t>
      </w:r>
      <w:r w:rsidRPr="00072AEC">
        <w:rPr>
          <w:rFonts w:ascii="Book Antiqua" w:hAnsi="Book Antiqua"/>
          <w:sz w:val="20"/>
          <w:szCs w:val="20"/>
        </w:rPr>
        <w:t>: 1878-1892 [PMID: 31037145 DOI: 10.7150/thno.29682]</w:t>
      </w:r>
    </w:p>
    <w:p w14:paraId="50C5A09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90 </w:t>
      </w:r>
      <w:r w:rsidRPr="00072AEC">
        <w:rPr>
          <w:rFonts w:ascii="Book Antiqua" w:hAnsi="Book Antiqua"/>
          <w:b/>
          <w:sz w:val="20"/>
          <w:szCs w:val="20"/>
        </w:rPr>
        <w:t>Stifano G</w:t>
      </w:r>
      <w:r w:rsidRPr="00072AEC">
        <w:rPr>
          <w:rFonts w:ascii="Book Antiqua" w:hAnsi="Book Antiqua"/>
          <w:sz w:val="20"/>
          <w:szCs w:val="20"/>
        </w:rPr>
        <w:t xml:space="preserve">, Affandi AJ, Mathes AL, Rice LM, Nakerakanti S, Nazari B, Lee J, Christmann RB, Lafyatis R. Chronic Toll-like receptor 4 stimulation in skin induces inflammation, macrophage activation, transforming growth factor beta signature gene expression, and fibrosis. </w:t>
      </w:r>
      <w:r w:rsidRPr="00072AEC">
        <w:rPr>
          <w:rFonts w:ascii="Book Antiqua" w:hAnsi="Book Antiqua"/>
          <w:i/>
          <w:sz w:val="20"/>
          <w:szCs w:val="20"/>
        </w:rPr>
        <w:t>Arthritis Res Ther</w:t>
      </w:r>
      <w:r w:rsidRPr="00072AEC">
        <w:rPr>
          <w:rFonts w:ascii="Book Antiqua" w:hAnsi="Book Antiqua"/>
          <w:sz w:val="20"/>
          <w:szCs w:val="20"/>
        </w:rPr>
        <w:t xml:space="preserve"> 2014; </w:t>
      </w:r>
      <w:r w:rsidRPr="00072AEC">
        <w:rPr>
          <w:rFonts w:ascii="Book Antiqua" w:hAnsi="Book Antiqua"/>
          <w:b/>
          <w:sz w:val="20"/>
          <w:szCs w:val="20"/>
        </w:rPr>
        <w:t>16</w:t>
      </w:r>
      <w:r w:rsidRPr="00072AEC">
        <w:rPr>
          <w:rFonts w:ascii="Book Antiqua" w:hAnsi="Book Antiqua"/>
          <w:sz w:val="20"/>
          <w:szCs w:val="20"/>
        </w:rPr>
        <w:t>: R136 [PMID: 24984848 DOI: 10.1186/ar4598]</w:t>
      </w:r>
    </w:p>
    <w:p w14:paraId="48AE7BF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91 </w:t>
      </w:r>
      <w:r w:rsidRPr="00072AEC">
        <w:rPr>
          <w:rFonts w:ascii="Book Antiqua" w:hAnsi="Book Antiqua"/>
          <w:b/>
          <w:sz w:val="20"/>
          <w:szCs w:val="20"/>
        </w:rPr>
        <w:t>Murthy S</w:t>
      </w:r>
      <w:r w:rsidRPr="00072AEC">
        <w:rPr>
          <w:rFonts w:ascii="Book Antiqua" w:hAnsi="Book Antiqua"/>
          <w:sz w:val="20"/>
          <w:szCs w:val="20"/>
        </w:rPr>
        <w:t xml:space="preserve">, Larson-Casey JL, Ryan AJ, He C, Kobzik L, Carter AB. Alternative activation of macrophages and pulmonary fibrosis are modulated by scavenger receptor, macrophage receptor with collagenous structure. </w:t>
      </w:r>
      <w:r w:rsidRPr="00072AEC">
        <w:rPr>
          <w:rFonts w:ascii="Book Antiqua" w:hAnsi="Book Antiqua"/>
          <w:i/>
          <w:sz w:val="20"/>
          <w:szCs w:val="20"/>
        </w:rPr>
        <w:t>FASEB J</w:t>
      </w:r>
      <w:r w:rsidRPr="00072AEC">
        <w:rPr>
          <w:rFonts w:ascii="Book Antiqua" w:hAnsi="Book Antiqua"/>
          <w:sz w:val="20"/>
          <w:szCs w:val="20"/>
        </w:rPr>
        <w:t xml:space="preserve"> 2015; </w:t>
      </w:r>
      <w:r w:rsidRPr="00072AEC">
        <w:rPr>
          <w:rFonts w:ascii="Book Antiqua" w:hAnsi="Book Antiqua"/>
          <w:b/>
          <w:sz w:val="20"/>
          <w:szCs w:val="20"/>
        </w:rPr>
        <w:t>29</w:t>
      </w:r>
      <w:r w:rsidRPr="00072AEC">
        <w:rPr>
          <w:rFonts w:ascii="Book Antiqua" w:hAnsi="Book Antiqua"/>
          <w:sz w:val="20"/>
          <w:szCs w:val="20"/>
        </w:rPr>
        <w:t>: 3527-3536 [PMID: 25953850 DOI: 10.1096/fj.15-271304]</w:t>
      </w:r>
    </w:p>
    <w:p w14:paraId="68D6E55B"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92 </w:t>
      </w:r>
      <w:r w:rsidRPr="00072AEC">
        <w:rPr>
          <w:rFonts w:ascii="Book Antiqua" w:hAnsi="Book Antiqua"/>
          <w:b/>
          <w:sz w:val="20"/>
          <w:szCs w:val="20"/>
        </w:rPr>
        <w:t>Shivshankar P</w:t>
      </w:r>
      <w:r w:rsidRPr="00072AEC">
        <w:rPr>
          <w:rFonts w:ascii="Book Antiqua" w:hAnsi="Book Antiqua"/>
          <w:sz w:val="20"/>
          <w:szCs w:val="20"/>
        </w:rPr>
        <w:t xml:space="preserve">, Halade GV, Calhoun C, Escobar GP, Mehr AJ, Jimenez F, Martinez C, Bhatnagar H, Mjaatvedt CH, Lindsey ML, Le Saux CJ. Caveolin-1 deletion exacerbates cardiac interstitial fibrosis by promoting M2 macrophage activation in mice after myocardial infarction. </w:t>
      </w:r>
      <w:r w:rsidRPr="00072AEC">
        <w:rPr>
          <w:rFonts w:ascii="Book Antiqua" w:hAnsi="Book Antiqua"/>
          <w:i/>
          <w:sz w:val="20"/>
          <w:szCs w:val="20"/>
        </w:rPr>
        <w:t>J Mol Cell Cardiol</w:t>
      </w:r>
      <w:r w:rsidRPr="00072AEC">
        <w:rPr>
          <w:rFonts w:ascii="Book Antiqua" w:hAnsi="Book Antiqua"/>
          <w:sz w:val="20"/>
          <w:szCs w:val="20"/>
        </w:rPr>
        <w:t xml:space="preserve"> 2014; </w:t>
      </w:r>
      <w:r w:rsidRPr="00072AEC">
        <w:rPr>
          <w:rFonts w:ascii="Book Antiqua" w:hAnsi="Book Antiqua"/>
          <w:b/>
          <w:sz w:val="20"/>
          <w:szCs w:val="20"/>
        </w:rPr>
        <w:t>76</w:t>
      </w:r>
      <w:r w:rsidRPr="00072AEC">
        <w:rPr>
          <w:rFonts w:ascii="Book Antiqua" w:hAnsi="Book Antiqua"/>
          <w:sz w:val="20"/>
          <w:szCs w:val="20"/>
        </w:rPr>
        <w:t>: 84-93 [PMID: 25128086 DOI: 10.1016/j.yjmcc.2014.07.020]</w:t>
      </w:r>
    </w:p>
    <w:p w14:paraId="1729D57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93 </w:t>
      </w:r>
      <w:r w:rsidRPr="00072AEC">
        <w:rPr>
          <w:rFonts w:ascii="Book Antiqua" w:hAnsi="Book Antiqua"/>
          <w:b/>
          <w:sz w:val="20"/>
          <w:szCs w:val="20"/>
        </w:rPr>
        <w:t>Larson-Casey JL</w:t>
      </w:r>
      <w:r w:rsidRPr="00072AEC">
        <w:rPr>
          <w:rFonts w:ascii="Book Antiqua" w:hAnsi="Book Antiqua"/>
          <w:sz w:val="20"/>
          <w:szCs w:val="20"/>
        </w:rPr>
        <w:t xml:space="preserve">, Deshane JS, Ryan AJ, Thannickal VJ, Carter AB. Macrophage Akt1 Kinase-Mediated Mitophagy Modulates Apoptosis Resistance and Pulmonary Fibrosis. </w:t>
      </w:r>
      <w:r w:rsidRPr="00072AEC">
        <w:rPr>
          <w:rFonts w:ascii="Book Antiqua" w:hAnsi="Book Antiqua"/>
          <w:i/>
          <w:sz w:val="20"/>
          <w:szCs w:val="20"/>
        </w:rPr>
        <w:t>Immunity</w:t>
      </w:r>
      <w:r w:rsidRPr="00072AEC">
        <w:rPr>
          <w:rFonts w:ascii="Book Antiqua" w:hAnsi="Book Antiqua"/>
          <w:sz w:val="20"/>
          <w:szCs w:val="20"/>
        </w:rPr>
        <w:t xml:space="preserve"> 2016; </w:t>
      </w:r>
      <w:r w:rsidRPr="00072AEC">
        <w:rPr>
          <w:rFonts w:ascii="Book Antiqua" w:hAnsi="Book Antiqua"/>
          <w:b/>
          <w:sz w:val="20"/>
          <w:szCs w:val="20"/>
        </w:rPr>
        <w:t>44</w:t>
      </w:r>
      <w:r w:rsidRPr="00072AEC">
        <w:rPr>
          <w:rFonts w:ascii="Book Antiqua" w:hAnsi="Book Antiqua"/>
          <w:sz w:val="20"/>
          <w:szCs w:val="20"/>
        </w:rPr>
        <w:t>: 582-596 [PMID: 26921108 DOI: 10.1016/j.immuni.2016.01.001]</w:t>
      </w:r>
    </w:p>
    <w:p w14:paraId="3AEEDDF1" w14:textId="6C8A2343"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94 </w:t>
      </w:r>
      <w:r w:rsidRPr="00072AEC">
        <w:rPr>
          <w:rFonts w:ascii="Book Antiqua" w:hAnsi="Book Antiqua"/>
          <w:b/>
          <w:sz w:val="20"/>
          <w:szCs w:val="20"/>
        </w:rPr>
        <w:t>Chung S</w:t>
      </w:r>
      <w:r w:rsidRPr="00072AEC">
        <w:rPr>
          <w:rFonts w:ascii="Book Antiqua" w:hAnsi="Book Antiqua"/>
          <w:sz w:val="20"/>
          <w:szCs w:val="20"/>
        </w:rPr>
        <w:t xml:space="preserve">, Overstreet JM, Li Y, Wang Y, Niu A, Wang S, Fan X, Sasaki K, Jin GN, Khodo SN, Gewin L, Zhang MZ, Harris RC. TGF-β promotes fibrosis after severe acute kidney injury by enhancing renal macrophage infiltration. </w:t>
      </w:r>
      <w:r w:rsidRPr="00072AEC">
        <w:rPr>
          <w:rFonts w:ascii="Book Antiqua" w:hAnsi="Book Antiqua"/>
          <w:i/>
          <w:sz w:val="20"/>
          <w:szCs w:val="20"/>
        </w:rPr>
        <w:t>JCI Insight</w:t>
      </w:r>
      <w:r w:rsidRPr="00072AEC">
        <w:rPr>
          <w:rFonts w:ascii="Book Antiqua" w:hAnsi="Book Antiqua"/>
          <w:sz w:val="20"/>
          <w:szCs w:val="20"/>
        </w:rPr>
        <w:t xml:space="preserve"> 2018; </w:t>
      </w:r>
      <w:r w:rsidRPr="00072AEC">
        <w:rPr>
          <w:rFonts w:ascii="Book Antiqua" w:hAnsi="Book Antiqua"/>
          <w:b/>
          <w:sz w:val="20"/>
          <w:szCs w:val="20"/>
        </w:rPr>
        <w:t>3</w:t>
      </w:r>
      <w:r w:rsidR="00AA0B2D" w:rsidRPr="00072AEC">
        <w:rPr>
          <w:rFonts w:ascii="Book Antiqua" w:hAnsi="Book Antiqua"/>
          <w:sz w:val="20"/>
          <w:szCs w:val="20"/>
        </w:rPr>
        <w:t xml:space="preserve">: e123563 </w:t>
      </w:r>
      <w:r w:rsidRPr="00072AEC">
        <w:rPr>
          <w:rFonts w:ascii="Book Antiqua" w:hAnsi="Book Antiqua"/>
          <w:sz w:val="20"/>
          <w:szCs w:val="20"/>
        </w:rPr>
        <w:t>[PMID: 30385721 DOI: 10.1172/jci.insight.123563]</w:t>
      </w:r>
    </w:p>
    <w:p w14:paraId="78C54ABA"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95 </w:t>
      </w:r>
      <w:r w:rsidRPr="00072AEC">
        <w:rPr>
          <w:rFonts w:ascii="Book Antiqua" w:hAnsi="Book Antiqua"/>
          <w:b/>
          <w:sz w:val="20"/>
          <w:szCs w:val="20"/>
        </w:rPr>
        <w:t>Yao Y</w:t>
      </w:r>
      <w:r w:rsidRPr="00072AEC">
        <w:rPr>
          <w:rFonts w:ascii="Book Antiqua" w:hAnsi="Book Antiqua"/>
          <w:sz w:val="20"/>
          <w:szCs w:val="20"/>
        </w:rPr>
        <w:t xml:space="preserve">, Wang Y, Zhang Z, He L, Zhu J, Zhang M, He X, Cheng Z, Ao Q, Cao Y, Yang P, Su Y, Zhao J, Zhang S, Yu Q, Ning Q, Xiang X, Xiong W, Wang CY, Xu Y. Chop Deficiency Protects Mice Against Bleomycin-induced Pulmonary Fibrosis by Attenuating M2 Macrophage Production. </w:t>
      </w:r>
      <w:r w:rsidRPr="00072AEC">
        <w:rPr>
          <w:rFonts w:ascii="Book Antiqua" w:hAnsi="Book Antiqua"/>
          <w:i/>
          <w:sz w:val="20"/>
          <w:szCs w:val="20"/>
        </w:rPr>
        <w:t>Mol Ther</w:t>
      </w:r>
      <w:r w:rsidRPr="00072AEC">
        <w:rPr>
          <w:rFonts w:ascii="Book Antiqua" w:hAnsi="Book Antiqua"/>
          <w:sz w:val="20"/>
          <w:szCs w:val="20"/>
        </w:rPr>
        <w:t xml:space="preserve"> 2016; </w:t>
      </w:r>
      <w:r w:rsidRPr="00072AEC">
        <w:rPr>
          <w:rFonts w:ascii="Book Antiqua" w:hAnsi="Book Antiqua"/>
          <w:b/>
          <w:sz w:val="20"/>
          <w:szCs w:val="20"/>
        </w:rPr>
        <w:t>24</w:t>
      </w:r>
      <w:r w:rsidRPr="00072AEC">
        <w:rPr>
          <w:rFonts w:ascii="Book Antiqua" w:hAnsi="Book Antiqua"/>
          <w:sz w:val="20"/>
          <w:szCs w:val="20"/>
        </w:rPr>
        <w:t>: 915-925 [PMID: 26883801 DOI: 10.1038/mt.2016.36]</w:t>
      </w:r>
    </w:p>
    <w:p w14:paraId="43D0BC2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96 </w:t>
      </w:r>
      <w:r w:rsidRPr="00072AEC">
        <w:rPr>
          <w:rFonts w:ascii="Book Antiqua" w:hAnsi="Book Antiqua"/>
          <w:b/>
          <w:sz w:val="20"/>
          <w:szCs w:val="20"/>
        </w:rPr>
        <w:t>Pan B</w:t>
      </w:r>
      <w:r w:rsidRPr="00072AEC">
        <w:rPr>
          <w:rFonts w:ascii="Book Antiqua" w:hAnsi="Book Antiqua"/>
          <w:sz w:val="20"/>
          <w:szCs w:val="20"/>
        </w:rPr>
        <w:t xml:space="preserve">, Liu G, Jiang Z, Zheng D. Regulation of renal fibrosis by macrophage polarization. </w:t>
      </w:r>
      <w:r w:rsidRPr="00072AEC">
        <w:rPr>
          <w:rFonts w:ascii="Book Antiqua" w:hAnsi="Book Antiqua"/>
          <w:i/>
          <w:sz w:val="20"/>
          <w:szCs w:val="20"/>
        </w:rPr>
        <w:t>Cell Physiol Biochem</w:t>
      </w:r>
      <w:r w:rsidRPr="00072AEC">
        <w:rPr>
          <w:rFonts w:ascii="Book Antiqua" w:hAnsi="Book Antiqua"/>
          <w:sz w:val="20"/>
          <w:szCs w:val="20"/>
        </w:rPr>
        <w:t xml:space="preserve"> 2015; </w:t>
      </w:r>
      <w:r w:rsidRPr="00072AEC">
        <w:rPr>
          <w:rFonts w:ascii="Book Antiqua" w:hAnsi="Book Antiqua"/>
          <w:b/>
          <w:sz w:val="20"/>
          <w:szCs w:val="20"/>
        </w:rPr>
        <w:t>35</w:t>
      </w:r>
      <w:r w:rsidRPr="00072AEC">
        <w:rPr>
          <w:rFonts w:ascii="Book Antiqua" w:hAnsi="Book Antiqua"/>
          <w:sz w:val="20"/>
          <w:szCs w:val="20"/>
        </w:rPr>
        <w:t>: 1062-1069 [PMID: 25662173 DOI: 10.1159/000373932]</w:t>
      </w:r>
    </w:p>
    <w:p w14:paraId="39CF044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97 </w:t>
      </w:r>
      <w:r w:rsidRPr="00072AEC">
        <w:rPr>
          <w:rFonts w:ascii="Book Antiqua" w:hAnsi="Book Antiqua"/>
          <w:b/>
          <w:sz w:val="20"/>
          <w:szCs w:val="20"/>
        </w:rPr>
        <w:t>Steiger S</w:t>
      </w:r>
      <w:r w:rsidRPr="00072AEC">
        <w:rPr>
          <w:rFonts w:ascii="Book Antiqua" w:hAnsi="Book Antiqua"/>
          <w:sz w:val="20"/>
          <w:szCs w:val="20"/>
        </w:rPr>
        <w:t xml:space="preserve">, Kumar SV, Honarpisheh M, Lorenz G, Günthner R, Romoli S, Gröbmayr R, Susanti HE, Potempa J, Koziel J, Lech M. Immunomodulatory Molecule IRAK-M Balances Macrophage Polarization and Determines Macrophage Responses during Renal Fibrosis. </w:t>
      </w:r>
      <w:r w:rsidRPr="00072AEC">
        <w:rPr>
          <w:rFonts w:ascii="Book Antiqua" w:hAnsi="Book Antiqua"/>
          <w:i/>
          <w:sz w:val="20"/>
          <w:szCs w:val="20"/>
        </w:rPr>
        <w:t>J Immunol</w:t>
      </w:r>
      <w:r w:rsidRPr="00072AEC">
        <w:rPr>
          <w:rFonts w:ascii="Book Antiqua" w:hAnsi="Book Antiqua"/>
          <w:sz w:val="20"/>
          <w:szCs w:val="20"/>
        </w:rPr>
        <w:t xml:space="preserve"> 2017; </w:t>
      </w:r>
      <w:r w:rsidRPr="00072AEC">
        <w:rPr>
          <w:rFonts w:ascii="Book Antiqua" w:hAnsi="Book Antiqua"/>
          <w:b/>
          <w:sz w:val="20"/>
          <w:szCs w:val="20"/>
        </w:rPr>
        <w:t>199</w:t>
      </w:r>
      <w:r w:rsidRPr="00072AEC">
        <w:rPr>
          <w:rFonts w:ascii="Book Antiqua" w:hAnsi="Book Antiqua"/>
          <w:sz w:val="20"/>
          <w:szCs w:val="20"/>
        </w:rPr>
        <w:t>: 1440-1452 [PMID: 28701510 DOI: 10.4049/jimmunol.1601982]</w:t>
      </w:r>
    </w:p>
    <w:p w14:paraId="55E4D98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98 </w:t>
      </w:r>
      <w:r w:rsidRPr="00072AEC">
        <w:rPr>
          <w:rFonts w:ascii="Book Antiqua" w:hAnsi="Book Antiqua"/>
          <w:b/>
          <w:sz w:val="20"/>
          <w:szCs w:val="20"/>
        </w:rPr>
        <w:t>Nouno T</w:t>
      </w:r>
      <w:r w:rsidRPr="00072AEC">
        <w:rPr>
          <w:rFonts w:ascii="Book Antiqua" w:hAnsi="Book Antiqua"/>
          <w:sz w:val="20"/>
          <w:szCs w:val="20"/>
        </w:rPr>
        <w:t>, Okamoto M, Ohnishi K, Kaieda S, Tominaga M, Zaizen Y, Ichiki M, Momosaki S, Nakamura M, Fujimoto K, Fukuoka J, Shimizu S, Komohara Y, Hoshino T. Elevation of pulmonary CD163</w:t>
      </w:r>
      <w:r w:rsidRPr="00072AEC">
        <w:rPr>
          <w:rFonts w:ascii="Book Antiqua" w:hAnsi="Book Antiqua"/>
          <w:sz w:val="20"/>
          <w:szCs w:val="20"/>
          <w:vertAlign w:val="superscript"/>
        </w:rPr>
        <w:t>+</w:t>
      </w:r>
      <w:r w:rsidRPr="00072AEC">
        <w:rPr>
          <w:rFonts w:ascii="Book Antiqua" w:hAnsi="Book Antiqua"/>
          <w:sz w:val="20"/>
          <w:szCs w:val="20"/>
        </w:rPr>
        <w:t xml:space="preserve"> and CD204</w:t>
      </w:r>
      <w:r w:rsidRPr="00072AEC">
        <w:rPr>
          <w:rFonts w:ascii="Book Antiqua" w:hAnsi="Book Antiqua"/>
          <w:sz w:val="20"/>
          <w:szCs w:val="20"/>
          <w:vertAlign w:val="superscript"/>
        </w:rPr>
        <w:t>+</w:t>
      </w:r>
      <w:r w:rsidRPr="00072AEC">
        <w:rPr>
          <w:rFonts w:ascii="Book Antiqua" w:hAnsi="Book Antiqua"/>
          <w:sz w:val="20"/>
          <w:szCs w:val="20"/>
        </w:rPr>
        <w:t xml:space="preserve"> macrophages is associated with the clinical course of idiopathic pulmonary fibrosis patients. </w:t>
      </w:r>
      <w:r w:rsidRPr="00072AEC">
        <w:rPr>
          <w:rFonts w:ascii="Book Antiqua" w:hAnsi="Book Antiqua"/>
          <w:i/>
          <w:sz w:val="20"/>
          <w:szCs w:val="20"/>
        </w:rPr>
        <w:t>J Thorac Dis</w:t>
      </w:r>
      <w:r w:rsidRPr="00072AEC">
        <w:rPr>
          <w:rFonts w:ascii="Book Antiqua" w:hAnsi="Book Antiqua"/>
          <w:sz w:val="20"/>
          <w:szCs w:val="20"/>
        </w:rPr>
        <w:t xml:space="preserve"> 2019; </w:t>
      </w:r>
      <w:r w:rsidRPr="00072AEC">
        <w:rPr>
          <w:rFonts w:ascii="Book Antiqua" w:hAnsi="Book Antiqua"/>
          <w:b/>
          <w:sz w:val="20"/>
          <w:szCs w:val="20"/>
        </w:rPr>
        <w:t>11</w:t>
      </w:r>
      <w:r w:rsidRPr="00072AEC">
        <w:rPr>
          <w:rFonts w:ascii="Book Antiqua" w:hAnsi="Book Antiqua"/>
          <w:sz w:val="20"/>
          <w:szCs w:val="20"/>
        </w:rPr>
        <w:t>: 4005-4017 [PMID: 31656675 DOI: 10.21037/jtd.2019.09.03]</w:t>
      </w:r>
    </w:p>
    <w:p w14:paraId="477A354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99 </w:t>
      </w:r>
      <w:r w:rsidRPr="00072AEC">
        <w:rPr>
          <w:rFonts w:ascii="Book Antiqua" w:hAnsi="Book Antiqua"/>
          <w:b/>
          <w:sz w:val="20"/>
          <w:szCs w:val="20"/>
        </w:rPr>
        <w:t>Wang YY</w:t>
      </w:r>
      <w:r w:rsidRPr="00072AEC">
        <w:rPr>
          <w:rFonts w:ascii="Book Antiqua" w:hAnsi="Book Antiqua"/>
          <w:sz w:val="20"/>
          <w:szCs w:val="20"/>
        </w:rPr>
        <w:t xml:space="preserve">, Jiang H, Pan J, Huang XR, Wang YC, Huang HF, To KF, Nikolic-Paterson DJ, Lan HY, Chen JH. Macrophage-to-Myofibroblast Transition Contributes to Interstitial Fibrosis in Chronic Renal Allograft Injury. </w:t>
      </w:r>
      <w:r w:rsidRPr="00072AEC">
        <w:rPr>
          <w:rFonts w:ascii="Book Antiqua" w:hAnsi="Book Antiqua"/>
          <w:i/>
          <w:sz w:val="20"/>
          <w:szCs w:val="20"/>
        </w:rPr>
        <w:t>J Am Soc Nephrol</w:t>
      </w:r>
      <w:r w:rsidRPr="00072AEC">
        <w:rPr>
          <w:rFonts w:ascii="Book Antiqua" w:hAnsi="Book Antiqua"/>
          <w:sz w:val="20"/>
          <w:szCs w:val="20"/>
        </w:rPr>
        <w:t xml:space="preserve"> 2017; </w:t>
      </w:r>
      <w:r w:rsidRPr="00072AEC">
        <w:rPr>
          <w:rFonts w:ascii="Book Antiqua" w:hAnsi="Book Antiqua"/>
          <w:b/>
          <w:sz w:val="20"/>
          <w:szCs w:val="20"/>
        </w:rPr>
        <w:t>28</w:t>
      </w:r>
      <w:r w:rsidRPr="00072AEC">
        <w:rPr>
          <w:rFonts w:ascii="Book Antiqua" w:hAnsi="Book Antiqua"/>
          <w:sz w:val="20"/>
          <w:szCs w:val="20"/>
        </w:rPr>
        <w:t>: 2053-2067 [PMID: 28209809 DOI: 10.1681/ASN.2016050573]</w:t>
      </w:r>
    </w:p>
    <w:p w14:paraId="365A12A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100 </w:t>
      </w:r>
      <w:r w:rsidRPr="00072AEC">
        <w:rPr>
          <w:rFonts w:ascii="Book Antiqua" w:hAnsi="Book Antiqua"/>
          <w:b/>
          <w:sz w:val="20"/>
          <w:szCs w:val="20"/>
        </w:rPr>
        <w:t>Caires HR</w:t>
      </w:r>
      <w:r w:rsidRPr="00072AEC">
        <w:rPr>
          <w:rFonts w:ascii="Book Antiqua" w:hAnsi="Book Antiqua"/>
          <w:sz w:val="20"/>
          <w:szCs w:val="20"/>
        </w:rPr>
        <w:t xml:space="preserve">, Barros da Silva P, Barbosa MA, Almeida CR. A co-culture system with three different primary human cell populations reveals that biomaterials and MSC modulate macrophage-driven fibroblast recruitment. </w:t>
      </w:r>
      <w:r w:rsidRPr="00072AEC">
        <w:rPr>
          <w:rFonts w:ascii="Book Antiqua" w:hAnsi="Book Antiqua"/>
          <w:i/>
          <w:sz w:val="20"/>
          <w:szCs w:val="20"/>
        </w:rPr>
        <w:t>J Tissue Eng Regen Med</w:t>
      </w:r>
      <w:r w:rsidRPr="00072AEC">
        <w:rPr>
          <w:rFonts w:ascii="Book Antiqua" w:hAnsi="Book Antiqua"/>
          <w:sz w:val="20"/>
          <w:szCs w:val="20"/>
        </w:rPr>
        <w:t xml:space="preserve"> 2018; </w:t>
      </w:r>
      <w:r w:rsidRPr="00072AEC">
        <w:rPr>
          <w:rFonts w:ascii="Book Antiqua" w:hAnsi="Book Antiqua"/>
          <w:b/>
          <w:sz w:val="20"/>
          <w:szCs w:val="20"/>
        </w:rPr>
        <w:t>12</w:t>
      </w:r>
      <w:r w:rsidRPr="00072AEC">
        <w:rPr>
          <w:rFonts w:ascii="Book Antiqua" w:hAnsi="Book Antiqua"/>
          <w:sz w:val="20"/>
          <w:szCs w:val="20"/>
        </w:rPr>
        <w:t>: e1433-e1440 [PMID: 28865088 DOI: 10.1002/term.2560]</w:t>
      </w:r>
    </w:p>
    <w:p w14:paraId="388B275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101 </w:t>
      </w:r>
      <w:r w:rsidRPr="00072AEC">
        <w:rPr>
          <w:rFonts w:ascii="Book Antiqua" w:hAnsi="Book Antiqua"/>
          <w:b/>
          <w:sz w:val="20"/>
          <w:szCs w:val="20"/>
        </w:rPr>
        <w:t>Ueshima E</w:t>
      </w:r>
      <w:r w:rsidRPr="00072AEC">
        <w:rPr>
          <w:rFonts w:ascii="Book Antiqua" w:hAnsi="Book Antiqua"/>
          <w:sz w:val="20"/>
          <w:szCs w:val="20"/>
        </w:rPr>
        <w:t>, Fujimori M, Kodama H, Felsen D, Chen J, Durack JC, Solomon SB, Coleman JA, Srimathveeravalli G. Macrophage-secreted TGF-β</w:t>
      </w:r>
      <w:r w:rsidRPr="00072AEC">
        <w:rPr>
          <w:rFonts w:ascii="Book Antiqua" w:hAnsi="Book Antiqua"/>
          <w:sz w:val="20"/>
          <w:szCs w:val="20"/>
          <w:vertAlign w:val="subscript"/>
        </w:rPr>
        <w:t>1</w:t>
      </w:r>
      <w:r w:rsidRPr="00072AEC">
        <w:rPr>
          <w:rFonts w:ascii="Book Antiqua" w:hAnsi="Book Antiqua"/>
          <w:sz w:val="20"/>
          <w:szCs w:val="20"/>
        </w:rPr>
        <w:t xml:space="preserve"> contributes to fibroblast activation and ureteral stricture after ablation injury. </w:t>
      </w:r>
      <w:r w:rsidRPr="00072AEC">
        <w:rPr>
          <w:rFonts w:ascii="Book Antiqua" w:hAnsi="Book Antiqua"/>
          <w:i/>
          <w:sz w:val="20"/>
          <w:szCs w:val="20"/>
        </w:rPr>
        <w:t>Am J Physiol Renal Physiol</w:t>
      </w:r>
      <w:r w:rsidRPr="00072AEC">
        <w:rPr>
          <w:rFonts w:ascii="Book Antiqua" w:hAnsi="Book Antiqua"/>
          <w:sz w:val="20"/>
          <w:szCs w:val="20"/>
        </w:rPr>
        <w:t xml:space="preserve"> 2019; </w:t>
      </w:r>
      <w:r w:rsidRPr="00072AEC">
        <w:rPr>
          <w:rFonts w:ascii="Book Antiqua" w:hAnsi="Book Antiqua"/>
          <w:b/>
          <w:sz w:val="20"/>
          <w:szCs w:val="20"/>
        </w:rPr>
        <w:t>317</w:t>
      </w:r>
      <w:r w:rsidRPr="00072AEC">
        <w:rPr>
          <w:rFonts w:ascii="Book Antiqua" w:hAnsi="Book Antiqua"/>
          <w:sz w:val="20"/>
          <w:szCs w:val="20"/>
        </w:rPr>
        <w:t>: F52-F64 [PMID: 31017012 DOI: 10.1152/ajprenal.00260.2018]</w:t>
      </w:r>
    </w:p>
    <w:p w14:paraId="4D7088F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102 </w:t>
      </w:r>
      <w:r w:rsidRPr="00072AEC">
        <w:rPr>
          <w:rFonts w:ascii="Book Antiqua" w:hAnsi="Book Antiqua"/>
          <w:b/>
          <w:sz w:val="20"/>
          <w:szCs w:val="20"/>
        </w:rPr>
        <w:t>Guo X</w:t>
      </w:r>
      <w:r w:rsidRPr="00072AEC">
        <w:rPr>
          <w:rFonts w:ascii="Book Antiqua" w:hAnsi="Book Antiqua"/>
          <w:sz w:val="20"/>
          <w:szCs w:val="20"/>
        </w:rPr>
        <w:t xml:space="preserve">, Li T, Xu Y, Xu X, Zhu Z, Zhang Y, Xu J, Xu K, Cheng H, Zhang X, Ke Y. Increased levels of Gab1 and Gab2 adaptor proteins skew interleukin-4 (IL-4) signaling toward M2 macrophage-driven pulmonary fibrosis in mice. </w:t>
      </w:r>
      <w:r w:rsidRPr="00072AEC">
        <w:rPr>
          <w:rFonts w:ascii="Book Antiqua" w:hAnsi="Book Antiqua"/>
          <w:i/>
          <w:sz w:val="20"/>
          <w:szCs w:val="20"/>
        </w:rPr>
        <w:t>J Biol Chem</w:t>
      </w:r>
      <w:r w:rsidRPr="00072AEC">
        <w:rPr>
          <w:rFonts w:ascii="Book Antiqua" w:hAnsi="Book Antiqua"/>
          <w:sz w:val="20"/>
          <w:szCs w:val="20"/>
        </w:rPr>
        <w:t xml:space="preserve"> 2017; </w:t>
      </w:r>
      <w:r w:rsidRPr="00072AEC">
        <w:rPr>
          <w:rFonts w:ascii="Book Antiqua" w:hAnsi="Book Antiqua"/>
          <w:b/>
          <w:sz w:val="20"/>
          <w:szCs w:val="20"/>
        </w:rPr>
        <w:t>292</w:t>
      </w:r>
      <w:r w:rsidRPr="00072AEC">
        <w:rPr>
          <w:rFonts w:ascii="Book Antiqua" w:hAnsi="Book Antiqua"/>
          <w:sz w:val="20"/>
          <w:szCs w:val="20"/>
        </w:rPr>
        <w:t>: 14003-14015 [PMID: 28687632 DOI: 10.1074/jbc.M117.802066]</w:t>
      </w:r>
    </w:p>
    <w:p w14:paraId="7144836A" w14:textId="0752949B"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103 </w:t>
      </w:r>
      <w:r w:rsidRPr="00072AEC">
        <w:rPr>
          <w:rFonts w:ascii="Book Antiqua" w:hAnsi="Book Antiqua"/>
          <w:b/>
          <w:sz w:val="20"/>
          <w:szCs w:val="20"/>
        </w:rPr>
        <w:t>Humeres C</w:t>
      </w:r>
      <w:r w:rsidRPr="00072AEC">
        <w:rPr>
          <w:rFonts w:ascii="Book Antiqua" w:hAnsi="Book Antiqua"/>
          <w:sz w:val="20"/>
          <w:szCs w:val="20"/>
        </w:rPr>
        <w:t xml:space="preserve">, Vivar R, Boza P, Muñoz C, Bolivar S, Anfossi R, Osorio JM, Olivares-Silva F, García L, Díaz-Araya G. Cardiac fibroblast cytokine profiles induced by proinflammatory or profibrotic stimuli promote monocyte recruitment and modulate macrophage M1/M2 balance in vitro. </w:t>
      </w:r>
      <w:r w:rsidRPr="00072AEC">
        <w:rPr>
          <w:rFonts w:ascii="Book Antiqua" w:hAnsi="Book Antiqua"/>
          <w:i/>
          <w:sz w:val="20"/>
          <w:szCs w:val="20"/>
        </w:rPr>
        <w:t>J Mol Cell Cardiol</w:t>
      </w:r>
      <w:r w:rsidRPr="00072AEC">
        <w:rPr>
          <w:rFonts w:ascii="Book Antiqua" w:hAnsi="Book Antiqua"/>
          <w:sz w:val="20"/>
          <w:szCs w:val="20"/>
        </w:rPr>
        <w:t xml:space="preserve"> 2016</w:t>
      </w:r>
      <w:r w:rsidR="00E339E7" w:rsidRPr="00072AEC">
        <w:rPr>
          <w:rFonts w:ascii="Book Antiqua" w:hAnsi="Book Antiqua"/>
          <w:sz w:val="20"/>
          <w:szCs w:val="20"/>
        </w:rPr>
        <w:t xml:space="preserve">; S0022-2828(16)30392-3 </w:t>
      </w:r>
      <w:r w:rsidRPr="00072AEC">
        <w:rPr>
          <w:rFonts w:ascii="Book Antiqua" w:hAnsi="Book Antiqua"/>
          <w:sz w:val="20"/>
          <w:szCs w:val="20"/>
        </w:rPr>
        <w:t>[PMID: 27983968 DOI: 10.1016/j.yjmcc.2016.10.014]</w:t>
      </w:r>
    </w:p>
    <w:p w14:paraId="6C725F1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104 </w:t>
      </w:r>
      <w:r w:rsidRPr="00072AEC">
        <w:rPr>
          <w:rFonts w:ascii="Book Antiqua" w:hAnsi="Book Antiqua"/>
          <w:b/>
          <w:sz w:val="20"/>
          <w:szCs w:val="20"/>
        </w:rPr>
        <w:t>Tang L</w:t>
      </w:r>
      <w:r w:rsidRPr="00072AEC">
        <w:rPr>
          <w:rFonts w:ascii="Book Antiqua" w:hAnsi="Book Antiqua"/>
          <w:sz w:val="20"/>
          <w:szCs w:val="20"/>
        </w:rPr>
        <w:t xml:space="preserve">, Zhang H, Wang C, Li H, Zhang Q, Bai J. M2A and M2C Macrophage Subsets Ameliorate Inflammation and Fibroproliferation in Acute Lung Injury Through Interleukin 10 Pathway. </w:t>
      </w:r>
      <w:r w:rsidRPr="00072AEC">
        <w:rPr>
          <w:rFonts w:ascii="Book Antiqua" w:hAnsi="Book Antiqua"/>
          <w:i/>
          <w:sz w:val="20"/>
          <w:szCs w:val="20"/>
        </w:rPr>
        <w:t>Shock</w:t>
      </w:r>
      <w:r w:rsidRPr="00072AEC">
        <w:rPr>
          <w:rFonts w:ascii="Book Antiqua" w:hAnsi="Book Antiqua"/>
          <w:sz w:val="20"/>
          <w:szCs w:val="20"/>
        </w:rPr>
        <w:t xml:space="preserve"> 2017; </w:t>
      </w:r>
      <w:r w:rsidRPr="00072AEC">
        <w:rPr>
          <w:rFonts w:ascii="Book Antiqua" w:hAnsi="Book Antiqua"/>
          <w:b/>
          <w:sz w:val="20"/>
          <w:szCs w:val="20"/>
        </w:rPr>
        <w:t>48</w:t>
      </w:r>
      <w:r w:rsidRPr="00072AEC">
        <w:rPr>
          <w:rFonts w:ascii="Book Antiqua" w:hAnsi="Book Antiqua"/>
          <w:sz w:val="20"/>
          <w:szCs w:val="20"/>
        </w:rPr>
        <w:t>: 119-129 [PMID: 27941591 DOI: 10.1097/SHK.0000000000000820]</w:t>
      </w:r>
    </w:p>
    <w:p w14:paraId="7AB79AB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105 </w:t>
      </w:r>
      <w:r w:rsidRPr="00072AEC">
        <w:rPr>
          <w:rFonts w:ascii="Book Antiqua" w:hAnsi="Book Antiqua"/>
          <w:b/>
          <w:sz w:val="20"/>
          <w:szCs w:val="20"/>
        </w:rPr>
        <w:t>Chandrasekaran P</w:t>
      </w:r>
      <w:r w:rsidRPr="00072AEC">
        <w:rPr>
          <w:rFonts w:ascii="Book Antiqua" w:hAnsi="Book Antiqua"/>
          <w:sz w:val="20"/>
          <w:szCs w:val="20"/>
        </w:rPr>
        <w:t xml:space="preserve">, Izadjoo S, Stimely J, Palaniyandi S, Zhu X, Tafuri W, Mosser DM. Regulatory Macrophages Inhibit Alternative Macrophage Activation and Attenuate Pathology Associated with Fibrosis. </w:t>
      </w:r>
      <w:r w:rsidRPr="00072AEC">
        <w:rPr>
          <w:rFonts w:ascii="Book Antiqua" w:hAnsi="Book Antiqua"/>
          <w:i/>
          <w:sz w:val="20"/>
          <w:szCs w:val="20"/>
        </w:rPr>
        <w:t>J Immunol</w:t>
      </w:r>
      <w:r w:rsidRPr="00072AEC">
        <w:rPr>
          <w:rFonts w:ascii="Book Antiqua" w:hAnsi="Book Antiqua"/>
          <w:sz w:val="20"/>
          <w:szCs w:val="20"/>
        </w:rPr>
        <w:t xml:space="preserve"> 2019; </w:t>
      </w:r>
      <w:r w:rsidRPr="00072AEC">
        <w:rPr>
          <w:rFonts w:ascii="Book Antiqua" w:hAnsi="Book Antiqua"/>
          <w:b/>
          <w:sz w:val="20"/>
          <w:szCs w:val="20"/>
        </w:rPr>
        <w:t>203</w:t>
      </w:r>
      <w:r w:rsidRPr="00072AEC">
        <w:rPr>
          <w:rFonts w:ascii="Book Antiqua" w:hAnsi="Book Antiqua"/>
          <w:sz w:val="20"/>
          <w:szCs w:val="20"/>
        </w:rPr>
        <w:t>: 2130-2140 [PMID: 31541024 DOI: 10.4049/jimmunol.1900270]</w:t>
      </w:r>
    </w:p>
    <w:p w14:paraId="70B6A3A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106 </w:t>
      </w:r>
      <w:r w:rsidRPr="00072AEC">
        <w:rPr>
          <w:rFonts w:ascii="Book Antiqua" w:hAnsi="Book Antiqua"/>
          <w:b/>
          <w:sz w:val="20"/>
          <w:szCs w:val="20"/>
        </w:rPr>
        <w:t>Zeiser R</w:t>
      </w:r>
      <w:r w:rsidRPr="00072AEC">
        <w:rPr>
          <w:rFonts w:ascii="Book Antiqua" w:hAnsi="Book Antiqua"/>
          <w:sz w:val="20"/>
          <w:szCs w:val="20"/>
        </w:rPr>
        <w:t xml:space="preserve">, Sarantopoulos S, Blazar BR. B-cell targeting in chronic graft-versus-host disease. </w:t>
      </w:r>
      <w:r w:rsidRPr="00072AEC">
        <w:rPr>
          <w:rFonts w:ascii="Book Antiqua" w:hAnsi="Book Antiqua"/>
          <w:i/>
          <w:sz w:val="20"/>
          <w:szCs w:val="20"/>
        </w:rPr>
        <w:t>Blood</w:t>
      </w:r>
      <w:r w:rsidRPr="00072AEC">
        <w:rPr>
          <w:rFonts w:ascii="Book Antiqua" w:hAnsi="Book Antiqua"/>
          <w:sz w:val="20"/>
          <w:szCs w:val="20"/>
        </w:rPr>
        <w:t xml:space="preserve"> 2018; </w:t>
      </w:r>
      <w:r w:rsidRPr="00072AEC">
        <w:rPr>
          <w:rFonts w:ascii="Book Antiqua" w:hAnsi="Book Antiqua"/>
          <w:b/>
          <w:sz w:val="20"/>
          <w:szCs w:val="20"/>
        </w:rPr>
        <w:t>131</w:t>
      </w:r>
      <w:r w:rsidRPr="00072AEC">
        <w:rPr>
          <w:rFonts w:ascii="Book Antiqua" w:hAnsi="Book Antiqua"/>
          <w:sz w:val="20"/>
          <w:szCs w:val="20"/>
        </w:rPr>
        <w:t>: 1399-1405 [PMID: 29437591 DOI: 10.1182/blood-2017-11-784017]</w:t>
      </w:r>
    </w:p>
    <w:p w14:paraId="29B1741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107 </w:t>
      </w:r>
      <w:r w:rsidRPr="00072AEC">
        <w:rPr>
          <w:rFonts w:ascii="Book Antiqua" w:hAnsi="Book Antiqua"/>
          <w:b/>
          <w:sz w:val="20"/>
          <w:szCs w:val="20"/>
        </w:rPr>
        <w:t>Jin H</w:t>
      </w:r>
      <w:r w:rsidRPr="00072AEC">
        <w:rPr>
          <w:rFonts w:ascii="Book Antiqua" w:hAnsi="Book Antiqua"/>
          <w:sz w:val="20"/>
          <w:szCs w:val="20"/>
        </w:rPr>
        <w:t xml:space="preserve">, Ni X, Deng R, Song Q, Young J, Cassady K, Zhang M, Forman S, Martin PJ, Liu Q, Zeng D. Antibodies from donor B cells perpetuate cutaneous chronic graft-versus-host disease in mice. </w:t>
      </w:r>
      <w:r w:rsidRPr="00072AEC">
        <w:rPr>
          <w:rFonts w:ascii="Book Antiqua" w:hAnsi="Book Antiqua"/>
          <w:i/>
          <w:sz w:val="20"/>
          <w:szCs w:val="20"/>
        </w:rPr>
        <w:t>Blood</w:t>
      </w:r>
      <w:r w:rsidRPr="00072AEC">
        <w:rPr>
          <w:rFonts w:ascii="Book Antiqua" w:hAnsi="Book Antiqua"/>
          <w:sz w:val="20"/>
          <w:szCs w:val="20"/>
        </w:rPr>
        <w:t xml:space="preserve"> 2016; </w:t>
      </w:r>
      <w:r w:rsidRPr="00072AEC">
        <w:rPr>
          <w:rFonts w:ascii="Book Antiqua" w:hAnsi="Book Antiqua"/>
          <w:b/>
          <w:sz w:val="20"/>
          <w:szCs w:val="20"/>
        </w:rPr>
        <w:t>127</w:t>
      </w:r>
      <w:r w:rsidRPr="00072AEC">
        <w:rPr>
          <w:rFonts w:ascii="Book Antiqua" w:hAnsi="Book Antiqua"/>
          <w:sz w:val="20"/>
          <w:szCs w:val="20"/>
        </w:rPr>
        <w:t>: 2249-2260 [PMID: 26884373 DOI: 10.1182/blood-2015-09-668145]</w:t>
      </w:r>
    </w:p>
    <w:p w14:paraId="17C0882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108 </w:t>
      </w:r>
      <w:r w:rsidRPr="00072AEC">
        <w:rPr>
          <w:rFonts w:ascii="Book Antiqua" w:hAnsi="Book Antiqua"/>
          <w:b/>
          <w:sz w:val="20"/>
          <w:szCs w:val="20"/>
        </w:rPr>
        <w:t>Baroni SS</w:t>
      </w:r>
      <w:r w:rsidRPr="00072AEC">
        <w:rPr>
          <w:rFonts w:ascii="Book Antiqua" w:hAnsi="Book Antiqua"/>
          <w:sz w:val="20"/>
          <w:szCs w:val="20"/>
        </w:rPr>
        <w:t xml:space="preserve">, Santillo M, Bevilacqua F, Luchetti M, Spadoni T, Mancini M, Fraticelli P, Sambo P, Funaro A, Kazlauskas A, Avvedimento EV, Gabrielli A. Stimulatory autoantibodies to the PDGF receptor in systemic sclerosis. </w:t>
      </w:r>
      <w:r w:rsidRPr="00072AEC">
        <w:rPr>
          <w:rFonts w:ascii="Book Antiqua" w:hAnsi="Book Antiqua"/>
          <w:i/>
          <w:sz w:val="20"/>
          <w:szCs w:val="20"/>
        </w:rPr>
        <w:t>N Engl J Med</w:t>
      </w:r>
      <w:r w:rsidRPr="00072AEC">
        <w:rPr>
          <w:rFonts w:ascii="Book Antiqua" w:hAnsi="Book Antiqua"/>
          <w:sz w:val="20"/>
          <w:szCs w:val="20"/>
        </w:rPr>
        <w:t xml:space="preserve"> 2006; </w:t>
      </w:r>
      <w:r w:rsidRPr="00072AEC">
        <w:rPr>
          <w:rFonts w:ascii="Book Antiqua" w:hAnsi="Book Antiqua"/>
          <w:b/>
          <w:sz w:val="20"/>
          <w:szCs w:val="20"/>
        </w:rPr>
        <w:t>354</w:t>
      </w:r>
      <w:r w:rsidRPr="00072AEC">
        <w:rPr>
          <w:rFonts w:ascii="Book Antiqua" w:hAnsi="Book Antiqua"/>
          <w:sz w:val="20"/>
          <w:szCs w:val="20"/>
        </w:rPr>
        <w:t>: 2667-2676 [PMID: 16790699 DOI: 10.1056/NEJMoa052955]</w:t>
      </w:r>
    </w:p>
    <w:p w14:paraId="50331CA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109 </w:t>
      </w:r>
      <w:r w:rsidRPr="00072AEC">
        <w:rPr>
          <w:rFonts w:ascii="Book Antiqua" w:hAnsi="Book Antiqua"/>
          <w:b/>
          <w:sz w:val="20"/>
          <w:szCs w:val="20"/>
        </w:rPr>
        <w:t>Xu L</w:t>
      </w:r>
      <w:r w:rsidRPr="00072AEC">
        <w:rPr>
          <w:rFonts w:ascii="Book Antiqua" w:hAnsi="Book Antiqua"/>
          <w:sz w:val="20"/>
          <w:szCs w:val="20"/>
        </w:rPr>
        <w:t xml:space="preserve">, Collins J, Drachenberg C, Kukuruga D, Burke A. Increased macrophage density of cardiac allograft biopsies is associated with antibody-mediated rejection and alloantibodies to HLA antigens. </w:t>
      </w:r>
      <w:r w:rsidRPr="00072AEC">
        <w:rPr>
          <w:rFonts w:ascii="Book Antiqua" w:hAnsi="Book Antiqua"/>
          <w:i/>
          <w:sz w:val="20"/>
          <w:szCs w:val="20"/>
        </w:rPr>
        <w:t>Clin Transplant</w:t>
      </w:r>
      <w:r w:rsidRPr="00072AEC">
        <w:rPr>
          <w:rFonts w:ascii="Book Antiqua" w:hAnsi="Book Antiqua"/>
          <w:sz w:val="20"/>
          <w:szCs w:val="20"/>
        </w:rPr>
        <w:t xml:space="preserve"> 2014; </w:t>
      </w:r>
      <w:r w:rsidRPr="00072AEC">
        <w:rPr>
          <w:rFonts w:ascii="Book Antiqua" w:hAnsi="Book Antiqua"/>
          <w:b/>
          <w:sz w:val="20"/>
          <w:szCs w:val="20"/>
        </w:rPr>
        <w:t>28</w:t>
      </w:r>
      <w:r w:rsidRPr="00072AEC">
        <w:rPr>
          <w:rFonts w:ascii="Book Antiqua" w:hAnsi="Book Antiqua"/>
          <w:sz w:val="20"/>
          <w:szCs w:val="20"/>
        </w:rPr>
        <w:t>: 554-560 [PMID: 24580037 DOI: 10.1111/ctr.12348]</w:t>
      </w:r>
    </w:p>
    <w:p w14:paraId="53DFE5A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110 </w:t>
      </w:r>
      <w:r w:rsidRPr="00072AEC">
        <w:rPr>
          <w:rFonts w:ascii="Book Antiqua" w:hAnsi="Book Antiqua"/>
          <w:b/>
          <w:sz w:val="20"/>
          <w:szCs w:val="20"/>
        </w:rPr>
        <w:t>Apicella C</w:t>
      </w:r>
      <w:r w:rsidRPr="00072AEC">
        <w:rPr>
          <w:rFonts w:ascii="Book Antiqua" w:hAnsi="Book Antiqua"/>
          <w:sz w:val="20"/>
          <w:szCs w:val="20"/>
        </w:rPr>
        <w:t xml:space="preserve">, Custidiano A, Miranda S, Novoa L, Dokmetjian J, Gentile T. Differential macrophage modulation of asymmetric IgG antibody synthesis by soluble or particulate stimuli. </w:t>
      </w:r>
      <w:r w:rsidRPr="00072AEC">
        <w:rPr>
          <w:rFonts w:ascii="Book Antiqua" w:hAnsi="Book Antiqua"/>
          <w:i/>
          <w:sz w:val="20"/>
          <w:szCs w:val="20"/>
        </w:rPr>
        <w:t>Immunol Lett</w:t>
      </w:r>
      <w:r w:rsidRPr="00072AEC">
        <w:rPr>
          <w:rFonts w:ascii="Book Antiqua" w:hAnsi="Book Antiqua"/>
          <w:sz w:val="20"/>
          <w:szCs w:val="20"/>
        </w:rPr>
        <w:t xml:space="preserve"> 2006; </w:t>
      </w:r>
      <w:r w:rsidRPr="00072AEC">
        <w:rPr>
          <w:rFonts w:ascii="Book Antiqua" w:hAnsi="Book Antiqua"/>
          <w:b/>
          <w:sz w:val="20"/>
          <w:szCs w:val="20"/>
        </w:rPr>
        <w:t>103</w:t>
      </w:r>
      <w:r w:rsidRPr="00072AEC">
        <w:rPr>
          <w:rFonts w:ascii="Book Antiqua" w:hAnsi="Book Antiqua"/>
          <w:sz w:val="20"/>
          <w:szCs w:val="20"/>
        </w:rPr>
        <w:t>: 177-185 [PMID: 16376434 DOI: 10.1016/j.imlet.2005.11.006]</w:t>
      </w:r>
    </w:p>
    <w:p w14:paraId="4F79F21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111 </w:t>
      </w:r>
      <w:r w:rsidRPr="00072AEC">
        <w:rPr>
          <w:rFonts w:ascii="Book Antiqua" w:hAnsi="Book Antiqua"/>
          <w:b/>
          <w:sz w:val="20"/>
          <w:szCs w:val="20"/>
        </w:rPr>
        <w:t>Koyamada N</w:t>
      </w:r>
      <w:r w:rsidRPr="00072AEC">
        <w:rPr>
          <w:rFonts w:ascii="Book Antiqua" w:hAnsi="Book Antiqua"/>
          <w:sz w:val="20"/>
          <w:szCs w:val="20"/>
        </w:rPr>
        <w:t xml:space="preserve">, Sato A, Takayama J, Usuda M, Kawagishi N, Doi H, Fujimori K, Satomi S. Macrophage depletion prevents anti-graft antibody production and results in long-term survival in xenotransplantation. </w:t>
      </w:r>
      <w:r w:rsidRPr="00072AEC">
        <w:rPr>
          <w:rFonts w:ascii="Book Antiqua" w:hAnsi="Book Antiqua"/>
          <w:i/>
          <w:sz w:val="20"/>
          <w:szCs w:val="20"/>
        </w:rPr>
        <w:t>Transplant Proc</w:t>
      </w:r>
      <w:r w:rsidRPr="00072AEC">
        <w:rPr>
          <w:rFonts w:ascii="Book Antiqua" w:hAnsi="Book Antiqua"/>
          <w:sz w:val="20"/>
          <w:szCs w:val="20"/>
        </w:rPr>
        <w:t xml:space="preserve"> 2005; </w:t>
      </w:r>
      <w:r w:rsidRPr="00072AEC">
        <w:rPr>
          <w:rFonts w:ascii="Book Antiqua" w:hAnsi="Book Antiqua"/>
          <w:b/>
          <w:sz w:val="20"/>
          <w:szCs w:val="20"/>
        </w:rPr>
        <w:t>37</w:t>
      </w:r>
      <w:r w:rsidRPr="00072AEC">
        <w:rPr>
          <w:rFonts w:ascii="Book Antiqua" w:hAnsi="Book Antiqua"/>
          <w:sz w:val="20"/>
          <w:szCs w:val="20"/>
        </w:rPr>
        <w:t>: 514-515 [PMID: 15808694 DOI: 10.1016/j.transproceed.2005.01.025]</w:t>
      </w:r>
    </w:p>
    <w:p w14:paraId="144A101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112 </w:t>
      </w:r>
      <w:r w:rsidRPr="00072AEC">
        <w:rPr>
          <w:rFonts w:ascii="Book Antiqua" w:hAnsi="Book Antiqua"/>
          <w:b/>
          <w:sz w:val="20"/>
          <w:szCs w:val="20"/>
        </w:rPr>
        <w:t>Haasken S</w:t>
      </w:r>
      <w:r w:rsidRPr="00072AEC">
        <w:rPr>
          <w:rFonts w:ascii="Book Antiqua" w:hAnsi="Book Antiqua"/>
          <w:sz w:val="20"/>
          <w:szCs w:val="20"/>
        </w:rPr>
        <w:t xml:space="preserve">, Auger JL, Taylor JJ, Hobday PM, Goudy BD, Titcombe PJ, Mueller DL, Binstadt BA. Macrophage scavenger receptor 1 (Msr1, SR-A) influences B cell autoimmunity by regulating soluble autoantigen concentration. </w:t>
      </w:r>
      <w:r w:rsidRPr="00072AEC">
        <w:rPr>
          <w:rFonts w:ascii="Book Antiqua" w:hAnsi="Book Antiqua"/>
          <w:i/>
          <w:sz w:val="20"/>
          <w:szCs w:val="20"/>
        </w:rPr>
        <w:t>J Immunol</w:t>
      </w:r>
      <w:r w:rsidRPr="00072AEC">
        <w:rPr>
          <w:rFonts w:ascii="Book Antiqua" w:hAnsi="Book Antiqua"/>
          <w:sz w:val="20"/>
          <w:szCs w:val="20"/>
        </w:rPr>
        <w:t xml:space="preserve"> 2013; </w:t>
      </w:r>
      <w:r w:rsidRPr="00072AEC">
        <w:rPr>
          <w:rFonts w:ascii="Book Antiqua" w:hAnsi="Book Antiqua"/>
          <w:b/>
          <w:sz w:val="20"/>
          <w:szCs w:val="20"/>
        </w:rPr>
        <w:t>191</w:t>
      </w:r>
      <w:r w:rsidRPr="00072AEC">
        <w:rPr>
          <w:rFonts w:ascii="Book Antiqua" w:hAnsi="Book Antiqua"/>
          <w:sz w:val="20"/>
          <w:szCs w:val="20"/>
        </w:rPr>
        <w:t>: 1055-1062 [PMID: 23794629 DOI: 10.4049/jimmunol.1201680]</w:t>
      </w:r>
    </w:p>
    <w:p w14:paraId="7857F5C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113 </w:t>
      </w:r>
      <w:r w:rsidRPr="00072AEC">
        <w:rPr>
          <w:rFonts w:ascii="Book Antiqua" w:hAnsi="Book Antiqua"/>
          <w:b/>
          <w:sz w:val="20"/>
          <w:szCs w:val="20"/>
        </w:rPr>
        <w:t>Gorbacheva V</w:t>
      </w:r>
      <w:r w:rsidRPr="00072AEC">
        <w:rPr>
          <w:rFonts w:ascii="Book Antiqua" w:hAnsi="Book Antiqua"/>
          <w:sz w:val="20"/>
          <w:szCs w:val="20"/>
        </w:rPr>
        <w:t xml:space="preserve">, Fan R, Beavers A, Fairchild RL, Baldwin WM 3rd, Valujskikh A. Anti-donor MHC Class II Alloantibody Induces Glomerular Injury in Mouse Renal Allografts Subjected to Prolonged Cold Ischemia. </w:t>
      </w:r>
      <w:r w:rsidRPr="00072AEC">
        <w:rPr>
          <w:rFonts w:ascii="Book Antiqua" w:hAnsi="Book Antiqua"/>
          <w:i/>
          <w:sz w:val="20"/>
          <w:szCs w:val="20"/>
        </w:rPr>
        <w:t>J Am Soc Nephrol</w:t>
      </w:r>
      <w:r w:rsidRPr="00072AEC">
        <w:rPr>
          <w:rFonts w:ascii="Book Antiqua" w:hAnsi="Book Antiqua"/>
          <w:sz w:val="20"/>
          <w:szCs w:val="20"/>
        </w:rPr>
        <w:t xml:space="preserve"> 2019; </w:t>
      </w:r>
      <w:r w:rsidRPr="00072AEC">
        <w:rPr>
          <w:rFonts w:ascii="Book Antiqua" w:hAnsi="Book Antiqua"/>
          <w:b/>
          <w:sz w:val="20"/>
          <w:szCs w:val="20"/>
        </w:rPr>
        <w:t>30</w:t>
      </w:r>
      <w:r w:rsidRPr="00072AEC">
        <w:rPr>
          <w:rFonts w:ascii="Book Antiqua" w:hAnsi="Book Antiqua"/>
          <w:sz w:val="20"/>
          <w:szCs w:val="20"/>
        </w:rPr>
        <w:t>: 2413-2425 [PMID: 31597715 DOI: 10.1681/ASN.2018111169]</w:t>
      </w:r>
    </w:p>
    <w:p w14:paraId="617BDE2E"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114 </w:t>
      </w:r>
      <w:r w:rsidRPr="00072AEC">
        <w:rPr>
          <w:rFonts w:ascii="Book Antiqua" w:hAnsi="Book Antiqua"/>
          <w:b/>
          <w:sz w:val="20"/>
          <w:szCs w:val="20"/>
        </w:rPr>
        <w:t>Hogenes MCH</w:t>
      </w:r>
      <w:r w:rsidRPr="00072AEC">
        <w:rPr>
          <w:rFonts w:ascii="Book Antiqua" w:hAnsi="Book Antiqua"/>
          <w:sz w:val="20"/>
          <w:szCs w:val="20"/>
        </w:rPr>
        <w:t xml:space="preserve">, van Dorp S, van Kuik J, Monteiro FRP, Ter Hoeve N, Guedes L, van Dijk MR, Martens AC, de Weger RA. Modifying Graft-versus-Host Disease in a Humanized Mouse Model by Targeting Macrophages or B-Cells. </w:t>
      </w:r>
      <w:r w:rsidRPr="00072AEC">
        <w:rPr>
          <w:rFonts w:ascii="Book Antiqua" w:hAnsi="Book Antiqua"/>
          <w:i/>
          <w:sz w:val="20"/>
          <w:szCs w:val="20"/>
        </w:rPr>
        <w:t>J Immunol Res</w:t>
      </w:r>
      <w:r w:rsidRPr="00072AEC">
        <w:rPr>
          <w:rFonts w:ascii="Book Antiqua" w:hAnsi="Book Antiqua"/>
          <w:sz w:val="20"/>
          <w:szCs w:val="20"/>
        </w:rPr>
        <w:t xml:space="preserve"> 2019; </w:t>
      </w:r>
      <w:r w:rsidRPr="00072AEC">
        <w:rPr>
          <w:rFonts w:ascii="Book Antiqua" w:hAnsi="Book Antiqua"/>
          <w:b/>
          <w:sz w:val="20"/>
          <w:szCs w:val="20"/>
        </w:rPr>
        <w:t>2019</w:t>
      </w:r>
      <w:r w:rsidRPr="00072AEC">
        <w:rPr>
          <w:rFonts w:ascii="Book Antiqua" w:hAnsi="Book Antiqua"/>
          <w:sz w:val="20"/>
          <w:szCs w:val="20"/>
        </w:rPr>
        <w:t>: 3538963 [PMID: 31205954 DOI: 10.1155/2019/3538963]</w:t>
      </w:r>
    </w:p>
    <w:p w14:paraId="6807684B"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115 </w:t>
      </w:r>
      <w:r w:rsidRPr="00072AEC">
        <w:rPr>
          <w:rFonts w:ascii="Book Antiqua" w:hAnsi="Book Antiqua"/>
          <w:b/>
          <w:sz w:val="20"/>
          <w:szCs w:val="20"/>
        </w:rPr>
        <w:t>Facon T</w:t>
      </w:r>
      <w:r w:rsidRPr="00072AEC">
        <w:rPr>
          <w:rFonts w:ascii="Book Antiqua" w:hAnsi="Book Antiqua"/>
          <w:sz w:val="20"/>
          <w:szCs w:val="20"/>
        </w:rPr>
        <w:t xml:space="preserve">, Janin A, Noel MP, Jouet JP. Involvement of macrophages in lethal forms of graft-versus-host disease. </w:t>
      </w:r>
      <w:r w:rsidRPr="00072AEC">
        <w:rPr>
          <w:rFonts w:ascii="Book Antiqua" w:hAnsi="Book Antiqua"/>
          <w:i/>
          <w:sz w:val="20"/>
          <w:szCs w:val="20"/>
        </w:rPr>
        <w:t>Lancet</w:t>
      </w:r>
      <w:r w:rsidRPr="00072AEC">
        <w:rPr>
          <w:rFonts w:ascii="Book Antiqua" w:hAnsi="Book Antiqua"/>
          <w:sz w:val="20"/>
          <w:szCs w:val="20"/>
        </w:rPr>
        <w:t xml:space="preserve"> 1995; </w:t>
      </w:r>
      <w:r w:rsidRPr="00072AEC">
        <w:rPr>
          <w:rFonts w:ascii="Book Antiqua" w:hAnsi="Book Antiqua"/>
          <w:b/>
          <w:sz w:val="20"/>
          <w:szCs w:val="20"/>
        </w:rPr>
        <w:t>345</w:t>
      </w:r>
      <w:r w:rsidRPr="00072AEC">
        <w:rPr>
          <w:rFonts w:ascii="Book Antiqua" w:hAnsi="Book Antiqua"/>
          <w:sz w:val="20"/>
          <w:szCs w:val="20"/>
        </w:rPr>
        <w:t>: 392 [PMID: 7845145 DOI: 10.1016/s0140-6736(95)90382-8]</w:t>
      </w:r>
    </w:p>
    <w:p w14:paraId="7F39006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116 </w:t>
      </w:r>
      <w:r w:rsidRPr="00072AEC">
        <w:rPr>
          <w:rFonts w:ascii="Book Antiqua" w:hAnsi="Book Antiqua"/>
          <w:b/>
          <w:sz w:val="20"/>
          <w:szCs w:val="20"/>
        </w:rPr>
        <w:t>Nishiwaki S</w:t>
      </w:r>
      <w:r w:rsidRPr="00072AEC">
        <w:rPr>
          <w:rFonts w:ascii="Book Antiqua" w:hAnsi="Book Antiqua"/>
          <w:sz w:val="20"/>
          <w:szCs w:val="20"/>
        </w:rPr>
        <w:t xml:space="preserve">, Nakayama T, Murata M, Nishida T, Terakura S, Saito S, Kato T, Mizuno H, Imahashi N, Seto A, Ozawa Y, Miyamura K, Ito M, Takeshita K, Kato H, Toyokuni S, Nagao K, Ueda R, Naoe T. Dexamethasone palmitate ameliorates macrophages-rich graft-versus-host disease by inhibiting macrophage functions. </w:t>
      </w:r>
      <w:r w:rsidRPr="00072AEC">
        <w:rPr>
          <w:rFonts w:ascii="Book Antiqua" w:hAnsi="Book Antiqua"/>
          <w:i/>
          <w:sz w:val="20"/>
          <w:szCs w:val="20"/>
        </w:rPr>
        <w:t>PLoS One</w:t>
      </w:r>
      <w:r w:rsidRPr="00072AEC">
        <w:rPr>
          <w:rFonts w:ascii="Book Antiqua" w:hAnsi="Book Antiqua"/>
          <w:sz w:val="20"/>
          <w:szCs w:val="20"/>
        </w:rPr>
        <w:t xml:space="preserve"> 2014; </w:t>
      </w:r>
      <w:r w:rsidRPr="00072AEC">
        <w:rPr>
          <w:rFonts w:ascii="Book Antiqua" w:hAnsi="Book Antiqua"/>
          <w:b/>
          <w:sz w:val="20"/>
          <w:szCs w:val="20"/>
        </w:rPr>
        <w:t>9</w:t>
      </w:r>
      <w:r w:rsidRPr="00072AEC">
        <w:rPr>
          <w:rFonts w:ascii="Book Antiqua" w:hAnsi="Book Antiqua"/>
          <w:sz w:val="20"/>
          <w:szCs w:val="20"/>
        </w:rPr>
        <w:t>: e96252 [PMID: 24806147 DOI: 10.1371/journal.pone.0096252]</w:t>
      </w:r>
    </w:p>
    <w:p w14:paraId="48D2471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117 </w:t>
      </w:r>
      <w:r w:rsidRPr="00072AEC">
        <w:rPr>
          <w:rFonts w:ascii="Book Antiqua" w:hAnsi="Book Antiqua"/>
          <w:b/>
          <w:sz w:val="20"/>
          <w:szCs w:val="20"/>
        </w:rPr>
        <w:t>Toubai T</w:t>
      </w:r>
      <w:r w:rsidRPr="00072AEC">
        <w:rPr>
          <w:rFonts w:ascii="Book Antiqua" w:hAnsi="Book Antiqua"/>
          <w:sz w:val="20"/>
          <w:szCs w:val="20"/>
        </w:rPr>
        <w:t xml:space="preserve">, Tanaka J, Nishihira J, Ohkawara T, Hirate D, Kondo N, Tone S, Shono Y, Ibata M, Sugita J, Kato N, Miura Y, Iwao N, Ota S, Imamura M. Effect of macrophage migration inhibitory factor (MIF) on acute graft-versus-host disease in a murine model of allogeneic stem cell transplantation. </w:t>
      </w:r>
      <w:r w:rsidRPr="00072AEC">
        <w:rPr>
          <w:rFonts w:ascii="Book Antiqua" w:hAnsi="Book Antiqua"/>
          <w:i/>
          <w:sz w:val="20"/>
          <w:szCs w:val="20"/>
        </w:rPr>
        <w:t>Transpl Immunol</w:t>
      </w:r>
      <w:r w:rsidRPr="00072AEC">
        <w:rPr>
          <w:rFonts w:ascii="Book Antiqua" w:hAnsi="Book Antiqua"/>
          <w:sz w:val="20"/>
          <w:szCs w:val="20"/>
        </w:rPr>
        <w:t xml:space="preserve"> 2006; </w:t>
      </w:r>
      <w:r w:rsidRPr="00072AEC">
        <w:rPr>
          <w:rFonts w:ascii="Book Antiqua" w:hAnsi="Book Antiqua"/>
          <w:b/>
          <w:sz w:val="20"/>
          <w:szCs w:val="20"/>
        </w:rPr>
        <w:t>16</w:t>
      </w:r>
      <w:r w:rsidRPr="00072AEC">
        <w:rPr>
          <w:rFonts w:ascii="Book Antiqua" w:hAnsi="Book Antiqua"/>
          <w:sz w:val="20"/>
          <w:szCs w:val="20"/>
        </w:rPr>
        <w:t>: 117-124 [PMID: 16860715 DOI: 10.1016/j.trim.2006.05.001]</w:t>
      </w:r>
    </w:p>
    <w:p w14:paraId="45FF049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118 </w:t>
      </w:r>
      <w:r w:rsidRPr="00072AEC">
        <w:rPr>
          <w:rFonts w:ascii="Book Antiqua" w:hAnsi="Book Antiqua"/>
          <w:b/>
          <w:sz w:val="20"/>
          <w:szCs w:val="20"/>
        </w:rPr>
        <w:t>Lo JW</w:t>
      </w:r>
      <w:r w:rsidRPr="00072AEC">
        <w:rPr>
          <w:rFonts w:ascii="Book Antiqua" w:hAnsi="Book Antiqua"/>
          <w:sz w:val="20"/>
          <w:szCs w:val="20"/>
        </w:rPr>
        <w:t xml:space="preserve">, Leung AY, Huang XR, Lie AK, Metz C, Bucala R, Liang R, Lan HY. Macrophage migratory inhibitory factor (MIF) expression in acute graft-versus-host disease (GVHD) in allogeneic hemopoietic stem cell transplant recipients. </w:t>
      </w:r>
      <w:r w:rsidRPr="00072AEC">
        <w:rPr>
          <w:rFonts w:ascii="Book Antiqua" w:hAnsi="Book Antiqua"/>
          <w:i/>
          <w:sz w:val="20"/>
          <w:szCs w:val="20"/>
        </w:rPr>
        <w:t>Bone Marrow Transplant</w:t>
      </w:r>
      <w:r w:rsidRPr="00072AEC">
        <w:rPr>
          <w:rFonts w:ascii="Book Antiqua" w:hAnsi="Book Antiqua"/>
          <w:sz w:val="20"/>
          <w:szCs w:val="20"/>
        </w:rPr>
        <w:t xml:space="preserve"> 2002; </w:t>
      </w:r>
      <w:r w:rsidRPr="00072AEC">
        <w:rPr>
          <w:rFonts w:ascii="Book Antiqua" w:hAnsi="Book Antiqua"/>
          <w:b/>
          <w:sz w:val="20"/>
          <w:szCs w:val="20"/>
        </w:rPr>
        <w:t>30</w:t>
      </w:r>
      <w:r w:rsidRPr="00072AEC">
        <w:rPr>
          <w:rFonts w:ascii="Book Antiqua" w:hAnsi="Book Antiqua"/>
          <w:sz w:val="20"/>
          <w:szCs w:val="20"/>
        </w:rPr>
        <w:t>: 375-380 [PMID: 12235522 DOI: 10.1038/sj.bmt.1703639]</w:t>
      </w:r>
    </w:p>
    <w:p w14:paraId="00493313" w14:textId="66967C13" w:rsidR="00676618"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119 </w:t>
      </w:r>
      <w:r w:rsidRPr="00072AEC">
        <w:rPr>
          <w:rFonts w:ascii="Book Antiqua" w:hAnsi="Book Antiqua"/>
          <w:b/>
          <w:sz w:val="20"/>
          <w:szCs w:val="20"/>
        </w:rPr>
        <w:t>Castor MG</w:t>
      </w:r>
      <w:r w:rsidRPr="00072AEC">
        <w:rPr>
          <w:rFonts w:ascii="Book Antiqua" w:hAnsi="Book Antiqua"/>
          <w:sz w:val="20"/>
          <w:szCs w:val="20"/>
        </w:rPr>
        <w:t xml:space="preserve">, Rezende B, Resende CB, Alessandri AL, Fagundes CT, Sousa LP, Arantes RM, Souza DG, Silva TA, Proudfoot AE, Teixeira MM, Pinho V. The CCL3/macrophage inflammatory protein-1alpha-binding protein evasin-1 protects from graft-versus-host disease but does not modify graft-versus-leukemia in mice. </w:t>
      </w:r>
      <w:r w:rsidRPr="00072AEC">
        <w:rPr>
          <w:rFonts w:ascii="Book Antiqua" w:hAnsi="Book Antiqua"/>
          <w:i/>
          <w:sz w:val="20"/>
          <w:szCs w:val="20"/>
        </w:rPr>
        <w:t>J Immunol</w:t>
      </w:r>
      <w:r w:rsidRPr="00072AEC">
        <w:rPr>
          <w:rFonts w:ascii="Book Antiqua" w:hAnsi="Book Antiqua"/>
          <w:sz w:val="20"/>
          <w:szCs w:val="20"/>
        </w:rPr>
        <w:t xml:space="preserve"> 2010; </w:t>
      </w:r>
      <w:r w:rsidRPr="00072AEC">
        <w:rPr>
          <w:rFonts w:ascii="Book Antiqua" w:hAnsi="Book Antiqua"/>
          <w:b/>
          <w:sz w:val="20"/>
          <w:szCs w:val="20"/>
        </w:rPr>
        <w:t>184</w:t>
      </w:r>
      <w:r w:rsidRPr="00072AEC">
        <w:rPr>
          <w:rFonts w:ascii="Book Antiqua" w:hAnsi="Book Antiqua"/>
          <w:sz w:val="20"/>
          <w:szCs w:val="20"/>
        </w:rPr>
        <w:t>: 2646-2654 [PMID: 20100934 DOI: 10.4049/jimmunol.0902614]</w:t>
      </w:r>
    </w:p>
    <w:p w14:paraId="2A181DF9" w14:textId="77777777" w:rsidR="00FD167C" w:rsidRPr="00072AEC" w:rsidRDefault="00FD167C" w:rsidP="00072AEC">
      <w:pPr>
        <w:widowControl/>
        <w:snapToGrid w:val="0"/>
        <w:spacing w:line="360" w:lineRule="auto"/>
        <w:rPr>
          <w:rFonts w:ascii="Book Antiqua" w:hAnsi="Book Antiqua"/>
          <w:b/>
          <w:bCs/>
          <w:color w:val="000000" w:themeColor="text1"/>
          <w:sz w:val="20"/>
          <w:szCs w:val="20"/>
        </w:rPr>
      </w:pPr>
      <w:r w:rsidRPr="00072AEC">
        <w:rPr>
          <w:rFonts w:ascii="Book Antiqua" w:hAnsi="Book Antiqua"/>
          <w:b/>
          <w:bCs/>
          <w:color w:val="000000" w:themeColor="text1"/>
          <w:sz w:val="20"/>
          <w:szCs w:val="20"/>
        </w:rPr>
        <w:br w:type="page"/>
      </w:r>
    </w:p>
    <w:p w14:paraId="440FC1D9" w14:textId="77777777" w:rsidR="00CC7465" w:rsidRPr="00072AEC" w:rsidRDefault="00CC7465" w:rsidP="00072AEC">
      <w:pPr>
        <w:adjustRightInd w:val="0"/>
        <w:snapToGrid w:val="0"/>
        <w:spacing w:line="360" w:lineRule="auto"/>
        <w:rPr>
          <w:rFonts w:ascii="Book Antiqua" w:hAnsi="Book Antiqua"/>
          <w:b/>
          <w:sz w:val="20"/>
          <w:szCs w:val="20"/>
        </w:rPr>
      </w:pPr>
      <w:r w:rsidRPr="00072AEC">
        <w:rPr>
          <w:rFonts w:ascii="Book Antiqua" w:hAnsi="Book Antiqua"/>
          <w:b/>
          <w:sz w:val="20"/>
          <w:szCs w:val="20"/>
        </w:rPr>
        <w:t>Footnotes</w:t>
      </w:r>
    </w:p>
    <w:p w14:paraId="0F41C692" w14:textId="03908BD2" w:rsidR="00234A7C" w:rsidRPr="00072AEC" w:rsidRDefault="00CC7465" w:rsidP="00072AEC">
      <w:pPr>
        <w:snapToGrid w:val="0"/>
        <w:spacing w:line="360" w:lineRule="auto"/>
        <w:rPr>
          <w:rFonts w:ascii="Book Antiqua" w:hAnsi="Book Antiqua"/>
          <w:color w:val="000000" w:themeColor="text1"/>
          <w:sz w:val="20"/>
          <w:szCs w:val="20"/>
        </w:rPr>
      </w:pPr>
      <w:r w:rsidRPr="00072AEC">
        <w:rPr>
          <w:rFonts w:ascii="Book Antiqua" w:hAnsi="Book Antiqua"/>
          <w:b/>
          <w:color w:val="000000"/>
          <w:sz w:val="20"/>
          <w:szCs w:val="20"/>
        </w:rPr>
        <w:t>Conflict-of-interest statement</w:t>
      </w:r>
      <w:r w:rsidRPr="00072AEC">
        <w:rPr>
          <w:rFonts w:ascii="Book Antiqua" w:hAnsi="Book Antiqua"/>
          <w:b/>
          <w:sz w:val="20"/>
          <w:szCs w:val="20"/>
        </w:rPr>
        <w:t xml:space="preserve">: </w:t>
      </w:r>
      <w:r w:rsidR="00072AEC">
        <w:rPr>
          <w:rFonts w:ascii="Book Antiqua" w:hAnsi="Book Antiqua"/>
          <w:color w:val="000000" w:themeColor="text1"/>
          <w:sz w:val="20"/>
          <w:szCs w:val="20"/>
        </w:rPr>
        <w:t>The a</w:t>
      </w:r>
      <w:r w:rsidR="00234A7C" w:rsidRPr="00072AEC">
        <w:rPr>
          <w:rFonts w:ascii="Book Antiqua" w:hAnsi="Book Antiqua"/>
          <w:color w:val="000000" w:themeColor="text1"/>
          <w:sz w:val="20"/>
          <w:szCs w:val="20"/>
        </w:rPr>
        <w:t>uthors declare no conflict of interests for this article.</w:t>
      </w:r>
    </w:p>
    <w:p w14:paraId="5D013046" w14:textId="11A5E372" w:rsidR="00CC7465" w:rsidRPr="00072AEC" w:rsidRDefault="00CC7465" w:rsidP="00072AEC">
      <w:pPr>
        <w:snapToGrid w:val="0"/>
        <w:spacing w:line="360" w:lineRule="auto"/>
        <w:rPr>
          <w:rFonts w:ascii="Book Antiqua" w:hAnsi="Book Antiqua"/>
          <w:color w:val="000000" w:themeColor="text1"/>
          <w:sz w:val="20"/>
          <w:szCs w:val="20"/>
        </w:rPr>
      </w:pPr>
    </w:p>
    <w:p w14:paraId="05653590" w14:textId="77777777" w:rsidR="00CC7465" w:rsidRPr="00072AEC" w:rsidRDefault="00CC7465" w:rsidP="00072AEC">
      <w:pPr>
        <w:snapToGrid w:val="0"/>
        <w:spacing w:line="360" w:lineRule="auto"/>
        <w:rPr>
          <w:rFonts w:ascii="Book Antiqua" w:hAnsi="Book Antiqua"/>
          <w:sz w:val="20"/>
          <w:szCs w:val="20"/>
        </w:rPr>
      </w:pPr>
      <w:r w:rsidRPr="00072AEC">
        <w:rPr>
          <w:rFonts w:ascii="Book Antiqua" w:hAnsi="Book Antiqua"/>
          <w:b/>
          <w:color w:val="000000"/>
          <w:sz w:val="20"/>
          <w:szCs w:val="20"/>
        </w:rPr>
        <w:t>Open-Access:</w:t>
      </w:r>
      <w:r w:rsidRPr="00072AEC">
        <w:rPr>
          <w:rFonts w:ascii="Book Antiqua" w:hAnsi="Book Antiqua"/>
          <w:color w:val="000000"/>
          <w:sz w:val="20"/>
          <w:szCs w:val="20"/>
        </w:rPr>
        <w:t xml:space="preserve"> This article is an open-access </w:t>
      </w:r>
      <w:r w:rsidRPr="00072AEC">
        <w:rPr>
          <w:rFonts w:ascii="Book Antiqua" w:hAnsi="Book Antiqua"/>
          <w:sz w:val="20"/>
          <w:szCs w:val="20"/>
        </w:rPr>
        <w:t xml:space="preserve">article that was selected </w:t>
      </w:r>
      <w:r w:rsidRPr="00072AEC">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C49142" w14:textId="77777777" w:rsidR="00CC7465" w:rsidRPr="00072AEC" w:rsidRDefault="00CC7465" w:rsidP="00072AEC">
      <w:pPr>
        <w:pStyle w:val="a4"/>
        <w:snapToGrid w:val="0"/>
        <w:spacing w:line="360" w:lineRule="auto"/>
        <w:rPr>
          <w:rFonts w:ascii="Book Antiqua" w:eastAsia="宋体" w:hAnsi="Book Antiqua" w:cs="Times New Roman"/>
          <w:bCs/>
          <w:color w:val="000000"/>
          <w:sz w:val="20"/>
          <w:szCs w:val="20"/>
        </w:rPr>
      </w:pPr>
    </w:p>
    <w:p w14:paraId="0E055072" w14:textId="5B509FE6" w:rsidR="00CC7465" w:rsidRPr="00072AEC" w:rsidRDefault="00CC7465" w:rsidP="00072AEC">
      <w:pPr>
        <w:adjustRightInd w:val="0"/>
        <w:snapToGrid w:val="0"/>
        <w:spacing w:line="360" w:lineRule="auto"/>
        <w:rPr>
          <w:rFonts w:ascii="Book Antiqua" w:hAnsi="Book Antiqua"/>
          <w:bCs/>
          <w:color w:val="000000"/>
          <w:sz w:val="20"/>
          <w:szCs w:val="20"/>
        </w:rPr>
      </w:pPr>
      <w:r w:rsidRPr="00072AEC">
        <w:rPr>
          <w:rFonts w:ascii="Book Antiqua" w:hAnsi="Book Antiqua"/>
          <w:b/>
          <w:bCs/>
          <w:color w:val="000000"/>
          <w:sz w:val="20"/>
          <w:szCs w:val="20"/>
          <w:lang w:eastAsia="pl-PL"/>
        </w:rPr>
        <w:t>Manuscript</w:t>
      </w:r>
      <w:r w:rsidR="00AE6D67" w:rsidRPr="00072AEC">
        <w:rPr>
          <w:rFonts w:ascii="Book Antiqua" w:hAnsi="Book Antiqua"/>
          <w:b/>
          <w:bCs/>
          <w:color w:val="000000"/>
          <w:sz w:val="20"/>
          <w:szCs w:val="20"/>
          <w:lang w:eastAsia="pl-PL"/>
        </w:rPr>
        <w:t xml:space="preserve"> </w:t>
      </w:r>
      <w:r w:rsidRPr="00072AEC">
        <w:rPr>
          <w:rFonts w:ascii="Book Antiqua" w:hAnsi="Book Antiqua"/>
          <w:b/>
          <w:bCs/>
          <w:color w:val="000000"/>
          <w:sz w:val="20"/>
          <w:szCs w:val="20"/>
          <w:lang w:eastAsia="pl-PL"/>
        </w:rPr>
        <w:t>source:</w:t>
      </w:r>
      <w:r w:rsidRPr="00072AEC">
        <w:rPr>
          <w:rFonts w:ascii="Book Antiqua" w:hAnsi="Book Antiqua"/>
          <w:b/>
          <w:bCs/>
          <w:color w:val="000000"/>
          <w:sz w:val="20"/>
          <w:szCs w:val="20"/>
        </w:rPr>
        <w:t xml:space="preserve"> </w:t>
      </w:r>
      <w:r w:rsidRPr="00072AEC">
        <w:rPr>
          <w:rFonts w:ascii="Book Antiqua" w:hAnsi="Book Antiqua"/>
          <w:bCs/>
          <w:color w:val="000000"/>
          <w:sz w:val="20"/>
          <w:szCs w:val="20"/>
          <w:lang w:eastAsia="pl-PL"/>
        </w:rPr>
        <w:t>Invited manuscript</w:t>
      </w:r>
    </w:p>
    <w:p w14:paraId="7CEBD31E" w14:textId="77777777" w:rsidR="00CC7465" w:rsidRPr="00072AEC" w:rsidRDefault="00CC7465" w:rsidP="00072AEC">
      <w:pPr>
        <w:adjustRightInd w:val="0"/>
        <w:snapToGrid w:val="0"/>
        <w:spacing w:line="360" w:lineRule="auto"/>
        <w:rPr>
          <w:rFonts w:ascii="Book Antiqua" w:hAnsi="Book Antiqua"/>
          <w:b/>
          <w:bCs/>
          <w:color w:val="000000"/>
          <w:sz w:val="20"/>
          <w:szCs w:val="20"/>
        </w:rPr>
      </w:pPr>
    </w:p>
    <w:p w14:paraId="7E355862" w14:textId="06015807" w:rsidR="00CC7465" w:rsidRPr="00072AEC" w:rsidRDefault="00CC7465" w:rsidP="00072AEC">
      <w:pPr>
        <w:snapToGrid w:val="0"/>
        <w:spacing w:line="360" w:lineRule="auto"/>
        <w:rPr>
          <w:rFonts w:ascii="Book Antiqua" w:eastAsia="宋体" w:hAnsi="Book Antiqua"/>
          <w:b/>
          <w:sz w:val="20"/>
          <w:szCs w:val="20"/>
        </w:rPr>
      </w:pPr>
      <w:r w:rsidRPr="00072AEC">
        <w:rPr>
          <w:rFonts w:ascii="Book Antiqua" w:hAnsi="Book Antiqua"/>
          <w:b/>
          <w:sz w:val="20"/>
          <w:szCs w:val="20"/>
        </w:rPr>
        <w:t>Peer-review started:</w:t>
      </w:r>
      <w:r w:rsidRPr="00072AEC">
        <w:rPr>
          <w:rFonts w:ascii="Book Antiqua" w:eastAsia="宋体" w:hAnsi="Book Antiqua"/>
          <w:b/>
          <w:sz w:val="20"/>
          <w:szCs w:val="20"/>
        </w:rPr>
        <w:t xml:space="preserve"> </w:t>
      </w:r>
      <w:r w:rsidRPr="00072AEC">
        <w:rPr>
          <w:rFonts w:ascii="Book Antiqua" w:eastAsia="宋体" w:hAnsi="Book Antiqua"/>
          <w:sz w:val="20"/>
          <w:szCs w:val="20"/>
        </w:rPr>
        <w:t>January 1, 2020</w:t>
      </w:r>
    </w:p>
    <w:p w14:paraId="5F8C9F2F" w14:textId="28C8947A" w:rsidR="00CC7465" w:rsidRPr="00072AEC" w:rsidRDefault="00CC7465" w:rsidP="00072AEC">
      <w:pPr>
        <w:snapToGrid w:val="0"/>
        <w:spacing w:line="360" w:lineRule="auto"/>
        <w:rPr>
          <w:rFonts w:ascii="Book Antiqua" w:eastAsia="宋体" w:hAnsi="Book Antiqua"/>
          <w:b/>
          <w:sz w:val="20"/>
          <w:szCs w:val="20"/>
        </w:rPr>
      </w:pPr>
      <w:r w:rsidRPr="00072AEC">
        <w:rPr>
          <w:rFonts w:ascii="Book Antiqua" w:hAnsi="Book Antiqua"/>
          <w:b/>
          <w:sz w:val="20"/>
          <w:szCs w:val="20"/>
        </w:rPr>
        <w:t>First decision:</w:t>
      </w:r>
      <w:r w:rsidRPr="00072AEC">
        <w:rPr>
          <w:rFonts w:ascii="Book Antiqua" w:eastAsia="宋体" w:hAnsi="Book Antiqua"/>
          <w:b/>
          <w:sz w:val="20"/>
          <w:szCs w:val="20"/>
        </w:rPr>
        <w:t xml:space="preserve"> </w:t>
      </w:r>
      <w:r w:rsidRPr="00072AEC">
        <w:rPr>
          <w:rFonts w:ascii="Book Antiqua" w:eastAsia="宋体" w:hAnsi="Book Antiqua"/>
          <w:sz w:val="20"/>
          <w:szCs w:val="20"/>
        </w:rPr>
        <w:t>February 20, 2020</w:t>
      </w:r>
    </w:p>
    <w:p w14:paraId="30C3CA62" w14:textId="17362742" w:rsidR="00CC7465" w:rsidRPr="00072AEC" w:rsidRDefault="00CC7465" w:rsidP="00072AEC">
      <w:pPr>
        <w:snapToGrid w:val="0"/>
        <w:spacing w:line="360" w:lineRule="auto"/>
        <w:rPr>
          <w:rFonts w:ascii="Book Antiqua" w:hAnsi="Book Antiqua"/>
          <w:b/>
          <w:sz w:val="20"/>
          <w:szCs w:val="20"/>
        </w:rPr>
      </w:pPr>
      <w:r w:rsidRPr="00072AEC">
        <w:rPr>
          <w:rFonts w:ascii="Book Antiqua" w:hAnsi="Book Antiqua"/>
          <w:b/>
          <w:sz w:val="20"/>
          <w:szCs w:val="20"/>
        </w:rPr>
        <w:t>Article in press:</w:t>
      </w:r>
      <w:r w:rsidR="00965938" w:rsidRPr="00965938">
        <w:rPr>
          <w:rFonts w:ascii="Book Antiqua" w:hAnsi="Book Antiqua"/>
          <w:bCs/>
          <w:color w:val="000000" w:themeColor="text1"/>
          <w:sz w:val="20"/>
          <w:szCs w:val="20"/>
        </w:rPr>
        <w:t xml:space="preserve"> </w:t>
      </w:r>
      <w:r w:rsidR="00965938" w:rsidRPr="00072AEC">
        <w:rPr>
          <w:rFonts w:ascii="Book Antiqua" w:hAnsi="Book Antiqua"/>
          <w:bCs/>
          <w:color w:val="000000" w:themeColor="text1"/>
          <w:sz w:val="20"/>
          <w:szCs w:val="20"/>
        </w:rPr>
        <w:t>April 22, 2020</w:t>
      </w:r>
    </w:p>
    <w:p w14:paraId="6237D230" w14:textId="77777777" w:rsidR="00CC7465" w:rsidRPr="00072AEC" w:rsidRDefault="00CC7465" w:rsidP="00072AEC">
      <w:pPr>
        <w:snapToGrid w:val="0"/>
        <w:spacing w:line="360" w:lineRule="auto"/>
        <w:rPr>
          <w:rFonts w:ascii="Book Antiqua" w:eastAsia="宋体" w:hAnsi="Book Antiqua"/>
          <w:color w:val="000000"/>
          <w:sz w:val="20"/>
          <w:szCs w:val="20"/>
        </w:rPr>
      </w:pPr>
    </w:p>
    <w:p w14:paraId="12876B4F" w14:textId="3F1325A1" w:rsidR="00CC7465" w:rsidRPr="00072AEC" w:rsidRDefault="00CC7465" w:rsidP="00072AEC">
      <w:pPr>
        <w:adjustRightInd w:val="0"/>
        <w:snapToGrid w:val="0"/>
        <w:spacing w:line="360" w:lineRule="auto"/>
        <w:rPr>
          <w:rFonts w:ascii="Book Antiqua" w:eastAsia="微软雅黑" w:hAnsi="Book Antiqua" w:cs="宋体"/>
          <w:sz w:val="20"/>
          <w:szCs w:val="20"/>
        </w:rPr>
      </w:pPr>
      <w:r w:rsidRPr="00072AEC">
        <w:rPr>
          <w:rFonts w:ascii="Book Antiqua" w:hAnsi="Book Antiqua" w:cs="宋体"/>
          <w:b/>
          <w:sz w:val="20"/>
          <w:szCs w:val="20"/>
        </w:rPr>
        <w:t>Specialty</w:t>
      </w:r>
      <w:r w:rsidR="00AE6D67" w:rsidRPr="00072AEC">
        <w:rPr>
          <w:rFonts w:ascii="Book Antiqua" w:hAnsi="Book Antiqua" w:cs="宋体"/>
          <w:b/>
          <w:sz w:val="20"/>
          <w:szCs w:val="20"/>
        </w:rPr>
        <w:t xml:space="preserve"> </w:t>
      </w:r>
      <w:r w:rsidRPr="00072AEC">
        <w:rPr>
          <w:rFonts w:ascii="Book Antiqua" w:hAnsi="Book Antiqua" w:cs="宋体"/>
          <w:b/>
          <w:sz w:val="20"/>
          <w:szCs w:val="20"/>
        </w:rPr>
        <w:t xml:space="preserve">type: </w:t>
      </w:r>
      <w:r w:rsidRPr="00072AEC">
        <w:rPr>
          <w:rFonts w:ascii="Book Antiqua" w:eastAsia="微软雅黑" w:hAnsi="Book Antiqua" w:cs="宋体"/>
          <w:sz w:val="20"/>
          <w:szCs w:val="20"/>
        </w:rPr>
        <w:t xml:space="preserve">Medicine, </w:t>
      </w:r>
      <w:r w:rsidR="00827B37" w:rsidRPr="00072AEC">
        <w:rPr>
          <w:rFonts w:ascii="Book Antiqua" w:eastAsia="微软雅黑" w:hAnsi="Book Antiqua" w:cs="宋体"/>
          <w:sz w:val="20"/>
          <w:szCs w:val="20"/>
        </w:rPr>
        <w:t>r</w:t>
      </w:r>
      <w:r w:rsidRPr="00072AEC">
        <w:rPr>
          <w:rFonts w:ascii="Book Antiqua" w:eastAsia="微软雅黑" w:hAnsi="Book Antiqua" w:cs="宋体"/>
          <w:sz w:val="20"/>
          <w:szCs w:val="20"/>
        </w:rPr>
        <w:t xml:space="preserve">esearch and </w:t>
      </w:r>
      <w:r w:rsidR="00827B37" w:rsidRPr="00072AEC">
        <w:rPr>
          <w:rFonts w:ascii="Book Antiqua" w:eastAsia="微软雅黑" w:hAnsi="Book Antiqua" w:cs="宋体"/>
          <w:sz w:val="20"/>
          <w:szCs w:val="20"/>
        </w:rPr>
        <w:t>e</w:t>
      </w:r>
      <w:r w:rsidRPr="00072AEC">
        <w:rPr>
          <w:rFonts w:ascii="Book Antiqua" w:eastAsia="微软雅黑" w:hAnsi="Book Antiqua" w:cs="宋体"/>
          <w:sz w:val="20"/>
          <w:szCs w:val="20"/>
        </w:rPr>
        <w:t>xperimental</w:t>
      </w:r>
    </w:p>
    <w:p w14:paraId="702C7071" w14:textId="5C975A9E" w:rsidR="00CC7465" w:rsidRPr="00072AEC" w:rsidRDefault="00CC7465" w:rsidP="00072AEC">
      <w:pPr>
        <w:adjustRightInd w:val="0"/>
        <w:snapToGrid w:val="0"/>
        <w:spacing w:line="360" w:lineRule="auto"/>
        <w:rPr>
          <w:rFonts w:ascii="Book Antiqua" w:hAnsi="Book Antiqua" w:cs="宋体"/>
          <w:sz w:val="20"/>
          <w:szCs w:val="20"/>
        </w:rPr>
      </w:pPr>
      <w:r w:rsidRPr="00072AEC">
        <w:rPr>
          <w:rFonts w:ascii="Book Antiqua" w:hAnsi="Book Antiqua" w:cs="宋体"/>
          <w:b/>
          <w:sz w:val="20"/>
          <w:szCs w:val="20"/>
        </w:rPr>
        <w:t>Country/Territory of</w:t>
      </w:r>
      <w:r w:rsidR="00AE6D67" w:rsidRPr="00072AEC">
        <w:rPr>
          <w:rFonts w:ascii="Book Antiqua" w:hAnsi="Book Antiqua" w:cs="宋体"/>
          <w:b/>
          <w:sz w:val="20"/>
          <w:szCs w:val="20"/>
        </w:rPr>
        <w:t xml:space="preserve"> </w:t>
      </w:r>
      <w:r w:rsidRPr="00072AEC">
        <w:rPr>
          <w:rFonts w:ascii="Book Antiqua" w:hAnsi="Book Antiqua" w:cs="宋体"/>
          <w:b/>
          <w:sz w:val="20"/>
          <w:szCs w:val="20"/>
        </w:rPr>
        <w:t xml:space="preserve">origin: </w:t>
      </w:r>
      <w:r w:rsidRPr="00072AEC">
        <w:rPr>
          <w:rFonts w:ascii="Book Antiqua" w:eastAsia="宋体" w:hAnsi="Book Antiqua"/>
          <w:sz w:val="20"/>
          <w:szCs w:val="20"/>
          <w:lang w:eastAsia="es-ES_tradnl"/>
        </w:rPr>
        <w:t>China</w:t>
      </w:r>
    </w:p>
    <w:p w14:paraId="73E28879" w14:textId="77777777" w:rsidR="00CC7465" w:rsidRPr="00072AEC" w:rsidRDefault="00CC7465" w:rsidP="00072AEC">
      <w:pPr>
        <w:adjustRightInd w:val="0"/>
        <w:snapToGrid w:val="0"/>
        <w:spacing w:line="360" w:lineRule="auto"/>
        <w:rPr>
          <w:rFonts w:ascii="Book Antiqua" w:hAnsi="Book Antiqua" w:cs="宋体"/>
          <w:b/>
          <w:sz w:val="20"/>
          <w:szCs w:val="20"/>
        </w:rPr>
      </w:pPr>
      <w:r w:rsidRPr="00072AEC">
        <w:rPr>
          <w:rFonts w:ascii="Book Antiqua" w:hAnsi="Book Antiqua" w:cs="宋体"/>
          <w:b/>
          <w:sz w:val="20"/>
          <w:szCs w:val="20"/>
        </w:rPr>
        <w:t>Peer-review report’s scientific quality classification</w:t>
      </w:r>
    </w:p>
    <w:p w14:paraId="549A79AD" w14:textId="7B4A9835" w:rsidR="00CC7465" w:rsidRPr="00072AEC" w:rsidRDefault="00CC7465" w:rsidP="00072AEC">
      <w:pPr>
        <w:adjustRightInd w:val="0"/>
        <w:snapToGrid w:val="0"/>
        <w:spacing w:line="360" w:lineRule="auto"/>
        <w:rPr>
          <w:rFonts w:ascii="Book Antiqua" w:hAnsi="Book Antiqua" w:cs="宋体"/>
          <w:sz w:val="20"/>
          <w:szCs w:val="20"/>
        </w:rPr>
      </w:pPr>
      <w:r w:rsidRPr="00072AEC">
        <w:rPr>
          <w:rFonts w:ascii="Book Antiqua" w:hAnsi="Book Antiqua" w:cs="宋体"/>
          <w:sz w:val="20"/>
          <w:szCs w:val="20"/>
        </w:rPr>
        <w:t>Grade</w:t>
      </w:r>
      <w:r w:rsidR="00AE6D67" w:rsidRPr="00072AEC">
        <w:rPr>
          <w:rFonts w:ascii="Book Antiqua" w:hAnsi="Book Antiqua" w:cs="宋体"/>
          <w:sz w:val="20"/>
          <w:szCs w:val="20"/>
        </w:rPr>
        <w:t xml:space="preserve"> </w:t>
      </w:r>
      <w:r w:rsidRPr="00072AEC">
        <w:rPr>
          <w:rFonts w:ascii="Book Antiqua" w:hAnsi="Book Antiqua" w:cs="宋体"/>
          <w:sz w:val="20"/>
          <w:szCs w:val="20"/>
        </w:rPr>
        <w:t>A</w:t>
      </w:r>
      <w:r w:rsidR="00DA541D" w:rsidRPr="00072AEC">
        <w:rPr>
          <w:rFonts w:ascii="Book Antiqua" w:hAnsi="Book Antiqua" w:cs="宋体"/>
          <w:sz w:val="20"/>
          <w:szCs w:val="20"/>
        </w:rPr>
        <w:t xml:space="preserve"> </w:t>
      </w:r>
      <w:r w:rsidRPr="00072AEC">
        <w:rPr>
          <w:rFonts w:ascii="Book Antiqua" w:hAnsi="Book Antiqua" w:cs="宋体"/>
          <w:sz w:val="20"/>
          <w:szCs w:val="20"/>
        </w:rPr>
        <w:t>(Excellent): 0</w:t>
      </w:r>
    </w:p>
    <w:p w14:paraId="453AB518" w14:textId="7E629993" w:rsidR="00CC7465" w:rsidRPr="00072AEC" w:rsidRDefault="00CC7465" w:rsidP="00072AEC">
      <w:pPr>
        <w:adjustRightInd w:val="0"/>
        <w:snapToGrid w:val="0"/>
        <w:spacing w:line="360" w:lineRule="auto"/>
        <w:rPr>
          <w:rFonts w:ascii="Book Antiqua" w:eastAsia="宋体" w:hAnsi="Book Antiqua" w:cs="宋体"/>
          <w:sz w:val="20"/>
          <w:szCs w:val="20"/>
        </w:rPr>
      </w:pPr>
      <w:r w:rsidRPr="00072AEC">
        <w:rPr>
          <w:rFonts w:ascii="Book Antiqua" w:hAnsi="Book Antiqua" w:cs="宋体"/>
          <w:sz w:val="20"/>
          <w:szCs w:val="20"/>
        </w:rPr>
        <w:t>Grade</w:t>
      </w:r>
      <w:r w:rsidR="00AE6D67" w:rsidRPr="00072AEC">
        <w:rPr>
          <w:rFonts w:ascii="Book Antiqua" w:hAnsi="Book Antiqua" w:cs="宋体"/>
          <w:sz w:val="20"/>
          <w:szCs w:val="20"/>
        </w:rPr>
        <w:t xml:space="preserve"> </w:t>
      </w:r>
      <w:r w:rsidRPr="00072AEC">
        <w:rPr>
          <w:rFonts w:ascii="Book Antiqua" w:hAnsi="Book Antiqua" w:cs="宋体"/>
          <w:sz w:val="20"/>
          <w:szCs w:val="20"/>
        </w:rPr>
        <w:t>B</w:t>
      </w:r>
      <w:r w:rsidR="00DA541D" w:rsidRPr="00072AEC">
        <w:rPr>
          <w:rFonts w:ascii="Book Antiqua" w:hAnsi="Book Antiqua" w:cs="宋体"/>
          <w:sz w:val="20"/>
          <w:szCs w:val="20"/>
        </w:rPr>
        <w:t xml:space="preserve"> (</w:t>
      </w:r>
      <w:r w:rsidRPr="00072AEC">
        <w:rPr>
          <w:rFonts w:ascii="Book Antiqua" w:hAnsi="Book Antiqua" w:cs="宋体"/>
          <w:sz w:val="20"/>
          <w:szCs w:val="20"/>
        </w:rPr>
        <w:t>Very</w:t>
      </w:r>
      <w:r w:rsidR="00DA541D" w:rsidRPr="00072AEC">
        <w:rPr>
          <w:rFonts w:ascii="Book Antiqua" w:hAnsi="Book Antiqua" w:cs="宋体"/>
          <w:sz w:val="20"/>
          <w:szCs w:val="20"/>
        </w:rPr>
        <w:t xml:space="preserve"> </w:t>
      </w:r>
      <w:r w:rsidRPr="00072AEC">
        <w:rPr>
          <w:rFonts w:ascii="Book Antiqua" w:hAnsi="Book Antiqua" w:cs="宋体"/>
          <w:sz w:val="20"/>
          <w:szCs w:val="20"/>
        </w:rPr>
        <w:t xml:space="preserve">good): </w:t>
      </w:r>
      <w:r w:rsidRPr="00072AEC">
        <w:rPr>
          <w:rFonts w:ascii="Book Antiqua" w:eastAsia="宋体" w:hAnsi="Book Antiqua" w:cs="宋体"/>
          <w:sz w:val="20"/>
          <w:szCs w:val="20"/>
        </w:rPr>
        <w:t>0</w:t>
      </w:r>
    </w:p>
    <w:p w14:paraId="78422BFD" w14:textId="5965FF89" w:rsidR="00CC7465" w:rsidRPr="00072AEC" w:rsidRDefault="00CC7465" w:rsidP="00072AEC">
      <w:pPr>
        <w:adjustRightInd w:val="0"/>
        <w:snapToGrid w:val="0"/>
        <w:spacing w:line="360" w:lineRule="auto"/>
        <w:rPr>
          <w:rFonts w:ascii="Book Antiqua" w:hAnsi="Book Antiqua" w:cs="宋体"/>
          <w:sz w:val="20"/>
          <w:szCs w:val="20"/>
        </w:rPr>
      </w:pPr>
      <w:r w:rsidRPr="00072AEC">
        <w:rPr>
          <w:rFonts w:ascii="Book Antiqua" w:hAnsi="Book Antiqua" w:cs="宋体"/>
          <w:sz w:val="20"/>
          <w:szCs w:val="20"/>
        </w:rPr>
        <w:t>Grade</w:t>
      </w:r>
      <w:r w:rsidR="00AE6D67" w:rsidRPr="00072AEC">
        <w:rPr>
          <w:rFonts w:ascii="Book Antiqua" w:hAnsi="Book Antiqua" w:cs="宋体"/>
          <w:sz w:val="20"/>
          <w:szCs w:val="20"/>
        </w:rPr>
        <w:t xml:space="preserve"> </w:t>
      </w:r>
      <w:r w:rsidRPr="00072AEC">
        <w:rPr>
          <w:rFonts w:ascii="Book Antiqua" w:hAnsi="Book Antiqua" w:cs="宋体"/>
          <w:sz w:val="20"/>
          <w:szCs w:val="20"/>
        </w:rPr>
        <w:t>C</w:t>
      </w:r>
      <w:r w:rsidR="00DA541D" w:rsidRPr="00072AEC">
        <w:rPr>
          <w:rFonts w:ascii="Book Antiqua" w:hAnsi="Book Antiqua" w:cs="宋体"/>
          <w:sz w:val="20"/>
          <w:szCs w:val="20"/>
        </w:rPr>
        <w:t xml:space="preserve"> </w:t>
      </w:r>
      <w:r w:rsidRPr="00072AEC">
        <w:rPr>
          <w:rFonts w:ascii="Book Antiqua" w:hAnsi="Book Antiqua" w:cs="宋体"/>
          <w:sz w:val="20"/>
          <w:szCs w:val="20"/>
        </w:rPr>
        <w:t>(Good): C</w:t>
      </w:r>
    </w:p>
    <w:p w14:paraId="1D9E73AF" w14:textId="2DF398F4" w:rsidR="00CC7465" w:rsidRPr="00072AEC" w:rsidRDefault="00CC7465" w:rsidP="00072AEC">
      <w:pPr>
        <w:adjustRightInd w:val="0"/>
        <w:snapToGrid w:val="0"/>
        <w:spacing w:line="360" w:lineRule="auto"/>
        <w:rPr>
          <w:rFonts w:ascii="Book Antiqua" w:hAnsi="Book Antiqua" w:cs="宋体"/>
          <w:sz w:val="20"/>
          <w:szCs w:val="20"/>
        </w:rPr>
      </w:pPr>
      <w:r w:rsidRPr="00072AEC">
        <w:rPr>
          <w:rFonts w:ascii="Book Antiqua" w:hAnsi="Book Antiqua" w:cs="宋体"/>
          <w:sz w:val="20"/>
          <w:szCs w:val="20"/>
        </w:rPr>
        <w:t>Grade</w:t>
      </w:r>
      <w:r w:rsidR="00AE6D67" w:rsidRPr="00072AEC">
        <w:rPr>
          <w:rFonts w:ascii="Book Antiqua" w:hAnsi="Book Antiqua" w:cs="宋体"/>
          <w:sz w:val="20"/>
          <w:szCs w:val="20"/>
        </w:rPr>
        <w:t xml:space="preserve"> </w:t>
      </w:r>
      <w:r w:rsidRPr="00072AEC">
        <w:rPr>
          <w:rFonts w:ascii="Book Antiqua" w:hAnsi="Book Antiqua" w:cs="宋体"/>
          <w:sz w:val="20"/>
          <w:szCs w:val="20"/>
        </w:rPr>
        <w:t>D</w:t>
      </w:r>
      <w:r w:rsidR="00DA541D" w:rsidRPr="00072AEC">
        <w:rPr>
          <w:rFonts w:ascii="Book Antiqua" w:hAnsi="Book Antiqua" w:cs="宋体"/>
          <w:sz w:val="20"/>
          <w:szCs w:val="20"/>
        </w:rPr>
        <w:t xml:space="preserve"> </w:t>
      </w:r>
      <w:r w:rsidRPr="00072AEC">
        <w:rPr>
          <w:rFonts w:ascii="Book Antiqua" w:hAnsi="Book Antiqua" w:cs="宋体"/>
          <w:sz w:val="20"/>
          <w:szCs w:val="20"/>
        </w:rPr>
        <w:t>(Fair): 0</w:t>
      </w:r>
    </w:p>
    <w:p w14:paraId="62C8D444" w14:textId="212A29D2" w:rsidR="00CC7465" w:rsidRPr="00072AEC" w:rsidRDefault="00CC7465" w:rsidP="00072AEC">
      <w:pPr>
        <w:adjustRightInd w:val="0"/>
        <w:snapToGrid w:val="0"/>
        <w:spacing w:line="360" w:lineRule="auto"/>
        <w:rPr>
          <w:rFonts w:ascii="Book Antiqua" w:eastAsia="等线" w:hAnsi="Book Antiqua"/>
          <w:sz w:val="20"/>
          <w:szCs w:val="20"/>
        </w:rPr>
      </w:pPr>
      <w:r w:rsidRPr="00072AEC">
        <w:rPr>
          <w:rFonts w:ascii="Book Antiqua" w:hAnsi="Book Antiqua" w:cs="宋体"/>
          <w:sz w:val="20"/>
          <w:szCs w:val="20"/>
        </w:rPr>
        <w:t>Grade</w:t>
      </w:r>
      <w:r w:rsidR="00AE6D67" w:rsidRPr="00072AEC">
        <w:rPr>
          <w:rFonts w:ascii="Book Antiqua" w:hAnsi="Book Antiqua" w:cs="宋体"/>
          <w:sz w:val="20"/>
          <w:szCs w:val="20"/>
        </w:rPr>
        <w:t xml:space="preserve"> </w:t>
      </w:r>
      <w:r w:rsidRPr="00072AEC">
        <w:rPr>
          <w:rFonts w:ascii="Book Antiqua" w:hAnsi="Book Antiqua" w:cs="宋体"/>
          <w:sz w:val="20"/>
          <w:szCs w:val="20"/>
        </w:rPr>
        <w:t>E</w:t>
      </w:r>
      <w:r w:rsidR="00AE6D67" w:rsidRPr="00072AEC">
        <w:rPr>
          <w:rFonts w:ascii="Book Antiqua" w:hAnsi="Book Antiqua" w:cs="宋体"/>
          <w:sz w:val="20"/>
          <w:szCs w:val="20"/>
        </w:rPr>
        <w:t xml:space="preserve"> </w:t>
      </w:r>
      <w:r w:rsidRPr="00072AEC">
        <w:rPr>
          <w:rFonts w:ascii="Book Antiqua" w:hAnsi="Book Antiqua" w:cs="宋体"/>
          <w:sz w:val="20"/>
          <w:szCs w:val="20"/>
        </w:rPr>
        <w:t>(Poor): 0</w:t>
      </w:r>
    </w:p>
    <w:p w14:paraId="4D8430C9" w14:textId="77777777" w:rsidR="00CC7465" w:rsidRPr="00072AEC" w:rsidRDefault="00CC7465" w:rsidP="00072AEC">
      <w:pPr>
        <w:snapToGrid w:val="0"/>
        <w:spacing w:line="360" w:lineRule="auto"/>
        <w:rPr>
          <w:rFonts w:ascii="Book Antiqua" w:eastAsia="宋体" w:hAnsi="Book Antiqua"/>
          <w:b/>
          <w:sz w:val="20"/>
          <w:szCs w:val="20"/>
        </w:rPr>
      </w:pPr>
    </w:p>
    <w:p w14:paraId="2413431D" w14:textId="5F5CFD20" w:rsidR="00CC7465" w:rsidRPr="00072AEC" w:rsidRDefault="00CC7465" w:rsidP="00072AEC">
      <w:pPr>
        <w:snapToGrid w:val="0"/>
        <w:spacing w:line="360" w:lineRule="auto"/>
        <w:rPr>
          <w:rFonts w:ascii="Book Antiqua" w:eastAsia="宋体" w:hAnsi="Book Antiqua"/>
          <w:b/>
          <w:sz w:val="20"/>
          <w:szCs w:val="20"/>
        </w:rPr>
      </w:pPr>
      <w:r w:rsidRPr="00072AEC">
        <w:rPr>
          <w:rFonts w:ascii="Book Antiqua" w:hAnsi="Book Antiqua"/>
          <w:b/>
          <w:sz w:val="20"/>
          <w:szCs w:val="20"/>
        </w:rPr>
        <w:t>P- Reviewer:</w:t>
      </w:r>
      <w:r w:rsidRPr="00072AEC">
        <w:rPr>
          <w:rFonts w:ascii="Book Antiqua" w:eastAsia="宋体" w:hAnsi="Book Antiqua"/>
          <w:b/>
          <w:sz w:val="20"/>
          <w:szCs w:val="20"/>
        </w:rPr>
        <w:t xml:space="preserve"> </w:t>
      </w:r>
      <w:r w:rsidRPr="00072AEC">
        <w:rPr>
          <w:rFonts w:ascii="Book Antiqua" w:hAnsi="Book Antiqua" w:cs="宋体"/>
          <w:color w:val="000000"/>
          <w:sz w:val="20"/>
          <w:szCs w:val="20"/>
        </w:rPr>
        <w:t>Mizuguchi T</w:t>
      </w:r>
      <w:r w:rsidRPr="00072AEC">
        <w:rPr>
          <w:rFonts w:ascii="Book Antiqua" w:eastAsia="宋体" w:hAnsi="Book Antiqua" w:cs="宋体"/>
          <w:color w:val="000000"/>
          <w:sz w:val="20"/>
          <w:szCs w:val="20"/>
        </w:rPr>
        <w:t xml:space="preserve"> </w:t>
      </w:r>
      <w:r w:rsidRPr="00072AEC">
        <w:rPr>
          <w:rFonts w:ascii="Book Antiqua" w:hAnsi="Book Antiqua"/>
          <w:b/>
          <w:sz w:val="20"/>
          <w:szCs w:val="20"/>
        </w:rPr>
        <w:t>S- Editor:</w:t>
      </w:r>
      <w:r w:rsidRPr="00072AEC">
        <w:rPr>
          <w:rFonts w:ascii="Book Antiqua" w:hAnsi="Book Antiqua"/>
          <w:sz w:val="20"/>
          <w:szCs w:val="20"/>
        </w:rPr>
        <w:t xml:space="preserve"> Dou Y</w:t>
      </w:r>
      <w:r w:rsidRPr="00072AEC">
        <w:rPr>
          <w:rFonts w:ascii="Book Antiqua" w:hAnsi="Book Antiqua"/>
          <w:b/>
          <w:sz w:val="20"/>
          <w:szCs w:val="20"/>
        </w:rPr>
        <w:t xml:space="preserve"> L- Editor:</w:t>
      </w:r>
      <w:r w:rsidRPr="00072AEC">
        <w:rPr>
          <w:rFonts w:ascii="Book Antiqua" w:hAnsi="Book Antiqua"/>
          <w:sz w:val="20"/>
          <w:szCs w:val="20"/>
        </w:rPr>
        <w:t xml:space="preserve"> </w:t>
      </w:r>
      <w:r w:rsidR="00F8356C" w:rsidRPr="00072AEC">
        <w:rPr>
          <w:rFonts w:ascii="Book Antiqua" w:hAnsi="Book Antiqua"/>
          <w:sz w:val="20"/>
          <w:szCs w:val="20"/>
        </w:rPr>
        <w:t xml:space="preserve">Filipodia </w:t>
      </w:r>
      <w:r w:rsidRPr="00072AEC">
        <w:rPr>
          <w:rFonts w:ascii="Book Antiqua" w:hAnsi="Book Antiqua"/>
          <w:b/>
          <w:sz w:val="20"/>
          <w:szCs w:val="20"/>
        </w:rPr>
        <w:t>E- Editor:</w:t>
      </w:r>
      <w:r w:rsidR="003F45D8">
        <w:rPr>
          <w:rFonts w:ascii="Book Antiqua" w:hAnsi="Book Antiqua" w:hint="eastAsia"/>
          <w:b/>
          <w:sz w:val="20"/>
          <w:szCs w:val="20"/>
        </w:rPr>
        <w:t xml:space="preserve"> </w:t>
      </w:r>
      <w:r w:rsidR="003F45D8" w:rsidRPr="003F45D8">
        <w:rPr>
          <w:rFonts w:ascii="Book Antiqua" w:hAnsi="Book Antiqua" w:hint="eastAsia"/>
          <w:sz w:val="20"/>
          <w:szCs w:val="20"/>
        </w:rPr>
        <w:t>Liu JH</w:t>
      </w:r>
    </w:p>
    <w:p w14:paraId="696B8B56" w14:textId="77777777" w:rsidR="00676618" w:rsidRPr="00072AEC" w:rsidRDefault="00676618" w:rsidP="00072AEC">
      <w:pPr>
        <w:widowControl/>
        <w:snapToGrid w:val="0"/>
        <w:spacing w:line="360" w:lineRule="auto"/>
        <w:rPr>
          <w:rFonts w:ascii="Book Antiqua" w:hAnsi="Book Antiqua"/>
          <w:color w:val="000000" w:themeColor="text1"/>
          <w:sz w:val="20"/>
          <w:szCs w:val="20"/>
        </w:rPr>
      </w:pPr>
      <w:r w:rsidRPr="00072AEC">
        <w:rPr>
          <w:rFonts w:ascii="Book Antiqua" w:hAnsi="Book Antiqua"/>
          <w:color w:val="000000" w:themeColor="text1"/>
          <w:sz w:val="20"/>
          <w:szCs w:val="20"/>
        </w:rPr>
        <w:br w:type="page"/>
      </w:r>
    </w:p>
    <w:p w14:paraId="2CA09020" w14:textId="77777777" w:rsidR="00971874" w:rsidRPr="00072AEC" w:rsidRDefault="00CC7465" w:rsidP="00072AEC">
      <w:pPr>
        <w:adjustRightInd w:val="0"/>
        <w:snapToGrid w:val="0"/>
        <w:spacing w:line="360" w:lineRule="auto"/>
        <w:rPr>
          <w:rFonts w:ascii="Book Antiqua" w:hAnsi="Book Antiqua"/>
          <w:b/>
          <w:sz w:val="20"/>
          <w:szCs w:val="20"/>
        </w:rPr>
      </w:pPr>
      <w:r w:rsidRPr="00072AEC">
        <w:rPr>
          <w:rFonts w:ascii="Book Antiqua" w:hAnsi="Book Antiqua"/>
          <w:b/>
          <w:sz w:val="20"/>
          <w:szCs w:val="20"/>
        </w:rPr>
        <w:t>Figure Legends</w:t>
      </w:r>
    </w:p>
    <w:p w14:paraId="27F8AF29" w14:textId="542F10B3" w:rsidR="00234A7C" w:rsidRPr="00072AEC" w:rsidRDefault="00971874" w:rsidP="00072AEC">
      <w:pPr>
        <w:adjustRightInd w:val="0"/>
        <w:snapToGrid w:val="0"/>
        <w:spacing w:line="360" w:lineRule="auto"/>
        <w:rPr>
          <w:rFonts w:ascii="Book Antiqua" w:eastAsia="宋体" w:hAnsi="Book Antiqua"/>
          <w:b/>
          <w:sz w:val="20"/>
          <w:szCs w:val="20"/>
        </w:rPr>
      </w:pPr>
      <w:r w:rsidRPr="00072AEC">
        <w:rPr>
          <w:rFonts w:ascii="Book Antiqua" w:hAnsi="Book Antiqua"/>
          <w:noProof/>
          <w:sz w:val="20"/>
          <w:szCs w:val="20"/>
        </w:rPr>
        <w:drawing>
          <wp:inline distT="0" distB="0" distL="0" distR="0" wp14:anchorId="26582D29" wp14:editId="52F47D04">
            <wp:extent cx="5274310" cy="3792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792220"/>
                    </a:xfrm>
                    <a:prstGeom prst="rect">
                      <a:avLst/>
                    </a:prstGeom>
                  </pic:spPr>
                </pic:pic>
              </a:graphicData>
            </a:graphic>
          </wp:inline>
        </w:drawing>
      </w:r>
    </w:p>
    <w:p w14:paraId="0A648406" w14:textId="40742C9B" w:rsidR="00234A7C" w:rsidRPr="00072AEC" w:rsidRDefault="00234A7C" w:rsidP="00072AEC">
      <w:pPr>
        <w:pStyle w:val="a8"/>
        <w:keepNext/>
        <w:snapToGrid w:val="0"/>
        <w:spacing w:line="360" w:lineRule="auto"/>
        <w:rPr>
          <w:rFonts w:ascii="Book Antiqua" w:hAnsi="Book Antiqua"/>
        </w:rPr>
      </w:pPr>
      <w:r w:rsidRPr="00072AEC">
        <w:rPr>
          <w:rFonts w:ascii="Book Antiqua" w:hAnsi="Book Antiqua"/>
          <w:b/>
          <w:bCs/>
        </w:rPr>
        <w:t xml:space="preserve">Figure 1 </w:t>
      </w:r>
      <w:r w:rsidR="00E813AF" w:rsidRPr="00072AEC">
        <w:rPr>
          <w:rFonts w:ascii="Book Antiqua" w:hAnsi="Book Antiqua"/>
          <w:b/>
          <w:bCs/>
        </w:rPr>
        <w:t xml:space="preserve">Macrophage </w:t>
      </w:r>
      <w:r w:rsidRPr="00072AEC">
        <w:rPr>
          <w:rFonts w:ascii="Book Antiqua" w:hAnsi="Book Antiqua"/>
          <w:b/>
          <w:bCs/>
        </w:rPr>
        <w:t xml:space="preserve">regulation of </w:t>
      </w:r>
      <w:r w:rsidR="00CC6A68" w:rsidRPr="00072AEC">
        <w:rPr>
          <w:rFonts w:ascii="Book Antiqua" w:hAnsi="Book Antiqua" w:cs="Arial"/>
          <w:b/>
          <w:color w:val="000000" w:themeColor="text1"/>
        </w:rPr>
        <w:t>graft-</w:t>
      </w:r>
      <w:r w:rsidR="00CC6A68" w:rsidRPr="00072AEC">
        <w:rPr>
          <w:rFonts w:ascii="Book Antiqua" w:hAnsi="Book Antiqua" w:cs="Arial"/>
          <w:b/>
          <w:i/>
          <w:iCs/>
          <w:color w:val="000000" w:themeColor="text1"/>
        </w:rPr>
        <w:t>vs</w:t>
      </w:r>
      <w:r w:rsidR="00CC6A68" w:rsidRPr="00072AEC">
        <w:rPr>
          <w:rFonts w:ascii="Book Antiqua" w:hAnsi="Book Antiqua" w:cs="Arial"/>
          <w:b/>
          <w:color w:val="000000" w:themeColor="text1"/>
        </w:rPr>
        <w:t>-host</w:t>
      </w:r>
      <w:r w:rsidR="00FD167C" w:rsidRPr="00072AEC">
        <w:rPr>
          <w:rFonts w:ascii="Book Antiqua" w:hAnsi="Book Antiqua" w:cs="Arial"/>
          <w:b/>
          <w:color w:val="000000" w:themeColor="text1"/>
        </w:rPr>
        <w:t xml:space="preserve"> disease</w:t>
      </w:r>
      <w:r w:rsidRPr="00072AEC">
        <w:rPr>
          <w:rFonts w:ascii="Book Antiqua" w:hAnsi="Book Antiqua"/>
          <w:b/>
          <w:bCs/>
        </w:rPr>
        <w:t>.</w:t>
      </w:r>
      <w:r w:rsidRPr="00072AEC">
        <w:rPr>
          <w:rFonts w:ascii="Book Antiqua" w:hAnsi="Book Antiqua"/>
        </w:rPr>
        <w:t xml:space="preserve"> Macrophage</w:t>
      </w:r>
      <w:r w:rsidR="00DA541D" w:rsidRPr="00072AEC">
        <w:rPr>
          <w:rFonts w:ascii="Book Antiqua" w:hAnsi="Book Antiqua"/>
        </w:rPr>
        <w:t>s</w:t>
      </w:r>
      <w:r w:rsidRPr="00072AEC">
        <w:rPr>
          <w:rFonts w:ascii="Book Antiqua" w:hAnsi="Book Antiqua"/>
        </w:rPr>
        <w:t xml:space="preserve"> can polarize to M1 macrophage</w:t>
      </w:r>
      <w:r w:rsidR="00DA541D" w:rsidRPr="00072AEC">
        <w:rPr>
          <w:rFonts w:ascii="Book Antiqua" w:hAnsi="Book Antiqua"/>
        </w:rPr>
        <w:t>s</w:t>
      </w:r>
      <w:r w:rsidRPr="00072AEC">
        <w:rPr>
          <w:rFonts w:ascii="Book Antiqua" w:hAnsi="Book Antiqua"/>
        </w:rPr>
        <w:t xml:space="preserve"> and M2 macrophage</w:t>
      </w:r>
      <w:r w:rsidR="00DA541D" w:rsidRPr="00072AEC">
        <w:rPr>
          <w:rFonts w:ascii="Book Antiqua" w:hAnsi="Book Antiqua"/>
        </w:rPr>
        <w:t>s</w:t>
      </w:r>
      <w:r w:rsidRPr="00072AEC">
        <w:rPr>
          <w:rFonts w:ascii="Book Antiqua" w:hAnsi="Book Antiqua"/>
        </w:rPr>
        <w:t xml:space="preserve"> and regulate both acute and chronic </w:t>
      </w:r>
      <w:r w:rsidR="00F66096" w:rsidRPr="00072AEC">
        <w:rPr>
          <w:rFonts w:ascii="Book Antiqua" w:hAnsi="Book Antiqua" w:cs="Arial"/>
          <w:bCs/>
          <w:color w:val="000000" w:themeColor="text1"/>
        </w:rPr>
        <w:t>graft-</w:t>
      </w:r>
      <w:r w:rsidR="00F66096" w:rsidRPr="00072AEC">
        <w:rPr>
          <w:rFonts w:ascii="Book Antiqua" w:hAnsi="Book Antiqua" w:cs="Arial"/>
          <w:bCs/>
          <w:i/>
          <w:iCs/>
          <w:color w:val="000000" w:themeColor="text1"/>
        </w:rPr>
        <w:t>vs</w:t>
      </w:r>
      <w:r w:rsidR="00F66096" w:rsidRPr="00072AEC">
        <w:rPr>
          <w:rFonts w:ascii="Book Antiqua" w:hAnsi="Book Antiqua" w:cs="Arial"/>
          <w:bCs/>
          <w:color w:val="000000" w:themeColor="text1"/>
        </w:rPr>
        <w:t>-host disease</w:t>
      </w:r>
      <w:r w:rsidRPr="00072AEC">
        <w:rPr>
          <w:rFonts w:ascii="Book Antiqua" w:hAnsi="Book Antiqua"/>
        </w:rPr>
        <w:t xml:space="preserve"> through migration, cytokine</w:t>
      </w:r>
      <w:r w:rsidR="00DA541D" w:rsidRPr="00072AEC">
        <w:rPr>
          <w:rFonts w:ascii="Book Antiqua" w:hAnsi="Book Antiqua"/>
        </w:rPr>
        <w:t xml:space="preserve"> </w:t>
      </w:r>
      <w:r w:rsidRPr="00072AEC">
        <w:rPr>
          <w:rFonts w:ascii="Book Antiqua" w:hAnsi="Book Antiqua"/>
        </w:rPr>
        <w:t>s</w:t>
      </w:r>
      <w:r w:rsidR="00DA541D" w:rsidRPr="00072AEC">
        <w:rPr>
          <w:rFonts w:ascii="Book Antiqua" w:hAnsi="Book Antiqua"/>
        </w:rPr>
        <w:t>ecretion</w:t>
      </w:r>
      <w:r w:rsidRPr="00072AEC">
        <w:rPr>
          <w:rFonts w:ascii="Book Antiqua" w:hAnsi="Book Antiqua"/>
        </w:rPr>
        <w:t xml:space="preserve">, interaction with T cells in acute </w:t>
      </w:r>
      <w:r w:rsidR="00DA541D" w:rsidRPr="00072AEC">
        <w:rPr>
          <w:rFonts w:ascii="Book Antiqua" w:hAnsi="Book Antiqua" w:cs="Arial"/>
          <w:bCs/>
          <w:color w:val="000000" w:themeColor="text1"/>
        </w:rPr>
        <w:t>graft-</w:t>
      </w:r>
      <w:r w:rsidR="00DA541D" w:rsidRPr="00072AEC">
        <w:rPr>
          <w:rFonts w:ascii="Book Antiqua" w:hAnsi="Book Antiqua" w:cs="Arial"/>
          <w:bCs/>
          <w:i/>
          <w:iCs/>
          <w:color w:val="000000" w:themeColor="text1"/>
        </w:rPr>
        <w:t>vs</w:t>
      </w:r>
      <w:r w:rsidR="00DA541D" w:rsidRPr="00072AEC">
        <w:rPr>
          <w:rFonts w:ascii="Book Antiqua" w:hAnsi="Book Antiqua" w:cs="Arial"/>
          <w:bCs/>
          <w:color w:val="000000" w:themeColor="text1"/>
        </w:rPr>
        <w:t>-host disease</w:t>
      </w:r>
      <w:r w:rsidRPr="00072AEC">
        <w:rPr>
          <w:rFonts w:ascii="Book Antiqua" w:hAnsi="Book Antiqua"/>
        </w:rPr>
        <w:t xml:space="preserve">, </w:t>
      </w:r>
      <w:r w:rsidR="00DA541D" w:rsidRPr="00072AEC">
        <w:rPr>
          <w:rFonts w:ascii="Book Antiqua" w:hAnsi="Book Antiqua"/>
        </w:rPr>
        <w:t xml:space="preserve">and </w:t>
      </w:r>
      <w:r w:rsidRPr="00072AEC">
        <w:rPr>
          <w:rFonts w:ascii="Book Antiqua" w:hAnsi="Book Antiqua"/>
        </w:rPr>
        <w:t xml:space="preserve">interaction with T cells, B cells, and fibroblasts in chronic </w:t>
      </w:r>
      <w:r w:rsidR="00DA541D" w:rsidRPr="00072AEC">
        <w:rPr>
          <w:rFonts w:ascii="Book Antiqua" w:hAnsi="Book Antiqua" w:cs="Arial"/>
          <w:bCs/>
          <w:color w:val="000000" w:themeColor="text1"/>
        </w:rPr>
        <w:t>graft-</w:t>
      </w:r>
      <w:r w:rsidR="00DA541D" w:rsidRPr="00072AEC">
        <w:rPr>
          <w:rFonts w:ascii="Book Antiqua" w:hAnsi="Book Antiqua" w:cs="Arial"/>
          <w:bCs/>
          <w:i/>
          <w:iCs/>
          <w:color w:val="000000" w:themeColor="text1"/>
        </w:rPr>
        <w:t>vs</w:t>
      </w:r>
      <w:r w:rsidR="00DA541D" w:rsidRPr="00072AEC">
        <w:rPr>
          <w:rFonts w:ascii="Book Antiqua" w:hAnsi="Book Antiqua" w:cs="Arial"/>
          <w:bCs/>
          <w:color w:val="000000" w:themeColor="text1"/>
        </w:rPr>
        <w:t>-host disease</w:t>
      </w:r>
      <w:r w:rsidRPr="00072AEC">
        <w:rPr>
          <w:rFonts w:ascii="Book Antiqua" w:hAnsi="Book Antiqua"/>
        </w:rPr>
        <w:t>. M0: M0 macrophage; M1: M1 macrophage; M2: M2 macrophage</w:t>
      </w:r>
      <w:r w:rsidR="00DA541D" w:rsidRPr="00072AEC">
        <w:rPr>
          <w:rFonts w:ascii="Book Antiqua" w:hAnsi="Book Antiqua"/>
        </w:rPr>
        <w:t>; NO: Nitric oxide.</w:t>
      </w:r>
    </w:p>
    <w:p w14:paraId="4D29A2A3" w14:textId="77777777" w:rsidR="00234A7C" w:rsidRPr="00072AEC" w:rsidRDefault="00234A7C" w:rsidP="00072AEC">
      <w:pPr>
        <w:widowControl/>
        <w:snapToGrid w:val="0"/>
        <w:spacing w:line="360" w:lineRule="auto"/>
        <w:rPr>
          <w:rFonts w:ascii="Book Antiqua" w:eastAsia="黑体" w:hAnsi="Book Antiqua" w:cstheme="majorBidi"/>
          <w:b/>
          <w:bCs/>
          <w:color w:val="000000" w:themeColor="text1"/>
          <w:sz w:val="20"/>
          <w:szCs w:val="20"/>
        </w:rPr>
      </w:pPr>
      <w:r w:rsidRPr="00072AEC">
        <w:rPr>
          <w:rFonts w:ascii="Book Antiqua" w:hAnsi="Book Antiqua"/>
          <w:b/>
          <w:bCs/>
          <w:color w:val="000000" w:themeColor="text1"/>
          <w:sz w:val="20"/>
          <w:szCs w:val="20"/>
        </w:rPr>
        <w:br w:type="page"/>
      </w:r>
    </w:p>
    <w:p w14:paraId="5151137E" w14:textId="235EA4C0" w:rsidR="00676618" w:rsidRPr="00072AEC" w:rsidRDefault="00676618" w:rsidP="00072AEC">
      <w:pPr>
        <w:pStyle w:val="a8"/>
        <w:keepNext/>
        <w:snapToGrid w:val="0"/>
        <w:spacing w:line="360" w:lineRule="auto"/>
        <w:rPr>
          <w:rFonts w:ascii="Book Antiqua" w:hAnsi="Book Antiqua"/>
          <w:b/>
          <w:color w:val="000000" w:themeColor="text1"/>
        </w:rPr>
      </w:pPr>
      <w:r w:rsidRPr="00072AEC">
        <w:rPr>
          <w:rFonts w:ascii="Book Antiqua" w:hAnsi="Book Antiqua"/>
          <w:b/>
          <w:bCs/>
          <w:color w:val="000000" w:themeColor="text1"/>
        </w:rPr>
        <w:t>Table 1 Studies about macrophage</w:t>
      </w:r>
      <w:r w:rsidR="00DA541D" w:rsidRPr="00072AEC">
        <w:rPr>
          <w:rFonts w:ascii="Book Antiqua" w:hAnsi="Book Antiqua"/>
          <w:b/>
          <w:bCs/>
          <w:color w:val="000000" w:themeColor="text1"/>
        </w:rPr>
        <w:t>s</w:t>
      </w:r>
      <w:r w:rsidRPr="00072AEC">
        <w:rPr>
          <w:rFonts w:ascii="Book Antiqua" w:hAnsi="Book Antiqua"/>
          <w:b/>
          <w:bCs/>
          <w:color w:val="000000" w:themeColor="text1"/>
        </w:rPr>
        <w:t xml:space="preserve"> in </w:t>
      </w:r>
      <w:r w:rsidR="00CC6A68" w:rsidRPr="00072AEC">
        <w:rPr>
          <w:rFonts w:ascii="Book Antiqua" w:hAnsi="Book Antiqua" w:cs="Arial"/>
          <w:b/>
          <w:color w:val="000000" w:themeColor="text1"/>
        </w:rPr>
        <w:t>graft-</w:t>
      </w:r>
      <w:r w:rsidR="00CC6A68" w:rsidRPr="00072AEC">
        <w:rPr>
          <w:rFonts w:ascii="Book Antiqua" w:hAnsi="Book Antiqua" w:cs="Arial"/>
          <w:b/>
          <w:i/>
          <w:iCs/>
          <w:color w:val="000000" w:themeColor="text1"/>
        </w:rPr>
        <w:t>vs</w:t>
      </w:r>
      <w:r w:rsidR="00CC6A68" w:rsidRPr="00072AEC">
        <w:rPr>
          <w:rFonts w:ascii="Book Antiqua" w:hAnsi="Book Antiqua" w:cs="Arial"/>
          <w:b/>
          <w:color w:val="000000" w:themeColor="text1"/>
        </w:rPr>
        <w:t>-host</w:t>
      </w:r>
      <w:r w:rsidR="00FD167C" w:rsidRPr="00072AEC">
        <w:rPr>
          <w:rFonts w:ascii="Book Antiqua" w:hAnsi="Book Antiqua" w:cs="Arial"/>
          <w:b/>
          <w:color w:val="000000" w:themeColor="text1"/>
        </w:rPr>
        <w:t xml:space="preserve"> disease</w:t>
      </w:r>
    </w:p>
    <w:tbl>
      <w:tblPr>
        <w:tblStyle w:val="ab"/>
        <w:tblW w:w="9215" w:type="dxa"/>
        <w:tblBorders>
          <w:left w:val="none" w:sz="0" w:space="0" w:color="auto"/>
          <w:right w:val="none" w:sz="0" w:space="0" w:color="auto"/>
          <w:insideV w:val="none" w:sz="0" w:space="0" w:color="auto"/>
        </w:tblBorders>
        <w:tblLook w:val="04A0" w:firstRow="1" w:lastRow="0" w:firstColumn="1" w:lastColumn="0" w:noHBand="0" w:noVBand="1"/>
      </w:tblPr>
      <w:tblGrid>
        <w:gridCol w:w="1795"/>
        <w:gridCol w:w="3354"/>
        <w:gridCol w:w="4066"/>
      </w:tblGrid>
      <w:tr w:rsidR="00676618" w:rsidRPr="00072AEC" w14:paraId="70E4A756" w14:textId="77777777" w:rsidTr="008350BB">
        <w:tc>
          <w:tcPr>
            <w:tcW w:w="2017" w:type="dxa"/>
            <w:tcBorders>
              <w:bottom w:val="single" w:sz="4" w:space="0" w:color="auto"/>
            </w:tcBorders>
          </w:tcPr>
          <w:p w14:paraId="2E659F2B" w14:textId="77777777" w:rsidR="00676618" w:rsidRPr="00072AEC" w:rsidRDefault="00676618" w:rsidP="00072AEC">
            <w:pPr>
              <w:snapToGrid w:val="0"/>
              <w:spacing w:line="360" w:lineRule="auto"/>
              <w:rPr>
                <w:rFonts w:ascii="Book Antiqua" w:hAnsi="Book Antiqua" w:cs="Times New Roman"/>
                <w:b/>
                <w:bCs/>
                <w:sz w:val="20"/>
                <w:szCs w:val="20"/>
              </w:rPr>
            </w:pPr>
            <w:r w:rsidRPr="00072AEC">
              <w:rPr>
                <w:rFonts w:ascii="Book Antiqua" w:hAnsi="Book Antiqua" w:cs="Times New Roman"/>
                <w:b/>
                <w:bCs/>
                <w:sz w:val="20"/>
                <w:szCs w:val="20"/>
              </w:rPr>
              <w:t>Function of macrophage</w:t>
            </w:r>
          </w:p>
        </w:tc>
        <w:tc>
          <w:tcPr>
            <w:tcW w:w="4348" w:type="dxa"/>
            <w:tcBorders>
              <w:bottom w:val="single" w:sz="4" w:space="0" w:color="auto"/>
            </w:tcBorders>
          </w:tcPr>
          <w:p w14:paraId="0B97F8A9" w14:textId="77777777" w:rsidR="00676618" w:rsidRPr="00072AEC" w:rsidRDefault="00676618" w:rsidP="00072AEC">
            <w:pPr>
              <w:snapToGrid w:val="0"/>
              <w:spacing w:line="360" w:lineRule="auto"/>
              <w:rPr>
                <w:rFonts w:ascii="Book Antiqua" w:hAnsi="Book Antiqua" w:cs="Times New Roman"/>
                <w:b/>
                <w:bCs/>
                <w:sz w:val="20"/>
                <w:szCs w:val="20"/>
              </w:rPr>
            </w:pPr>
            <w:r w:rsidRPr="00072AEC">
              <w:rPr>
                <w:rFonts w:ascii="Book Antiqua" w:hAnsi="Book Antiqua" w:cs="Times New Roman"/>
                <w:b/>
                <w:bCs/>
                <w:sz w:val="20"/>
                <w:szCs w:val="20"/>
              </w:rPr>
              <w:t>Macrophage in GVHD</w:t>
            </w:r>
          </w:p>
        </w:tc>
        <w:tc>
          <w:tcPr>
            <w:tcW w:w="2850" w:type="dxa"/>
            <w:tcBorders>
              <w:bottom w:val="single" w:sz="4" w:space="0" w:color="auto"/>
            </w:tcBorders>
          </w:tcPr>
          <w:p w14:paraId="602B1C2C" w14:textId="136CD39E" w:rsidR="00676618" w:rsidRPr="00072AEC" w:rsidRDefault="00676618" w:rsidP="00072AEC">
            <w:pPr>
              <w:snapToGrid w:val="0"/>
              <w:spacing w:line="360" w:lineRule="auto"/>
              <w:rPr>
                <w:rFonts w:ascii="Book Antiqua" w:eastAsia="等线" w:hAnsi="Book Antiqua" w:cs="Times New Roman"/>
                <w:b/>
                <w:bCs/>
                <w:color w:val="000000" w:themeColor="text1"/>
                <w:kern w:val="0"/>
                <w:sz w:val="20"/>
                <w:szCs w:val="20"/>
              </w:rPr>
            </w:pPr>
            <w:r w:rsidRPr="00072AEC">
              <w:rPr>
                <w:rFonts w:ascii="Book Antiqua" w:eastAsia="等线" w:hAnsi="Book Antiqua" w:cs="Times New Roman"/>
                <w:b/>
                <w:bCs/>
                <w:color w:val="000000" w:themeColor="text1"/>
                <w:kern w:val="0"/>
                <w:sz w:val="20"/>
                <w:szCs w:val="20"/>
              </w:rPr>
              <w:t>Ref</w:t>
            </w:r>
            <w:r w:rsidR="00FD167C" w:rsidRPr="00072AEC">
              <w:rPr>
                <w:rFonts w:ascii="Book Antiqua" w:eastAsia="等线" w:hAnsi="Book Antiqua" w:cs="Times New Roman"/>
                <w:b/>
                <w:bCs/>
                <w:color w:val="000000" w:themeColor="text1"/>
                <w:kern w:val="0"/>
                <w:sz w:val="20"/>
                <w:szCs w:val="20"/>
              </w:rPr>
              <w:t>.</w:t>
            </w:r>
          </w:p>
        </w:tc>
      </w:tr>
      <w:tr w:rsidR="002044A9" w:rsidRPr="00072AEC" w14:paraId="6A6A4EB6" w14:textId="77777777" w:rsidTr="008350BB">
        <w:trPr>
          <w:trHeight w:val="988"/>
        </w:trPr>
        <w:tc>
          <w:tcPr>
            <w:tcW w:w="2017" w:type="dxa"/>
            <w:tcBorders>
              <w:bottom w:val="nil"/>
            </w:tcBorders>
          </w:tcPr>
          <w:p w14:paraId="0EF488E7"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Infiltration</w:t>
            </w:r>
          </w:p>
        </w:tc>
        <w:tc>
          <w:tcPr>
            <w:tcW w:w="4348" w:type="dxa"/>
            <w:tcBorders>
              <w:bottom w:val="nil"/>
            </w:tcBorders>
          </w:tcPr>
          <w:p w14:paraId="5634C6BB" w14:textId="50FF0B05"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Macrophage infiltration contributes to GVHD</w:t>
            </w:r>
          </w:p>
        </w:tc>
        <w:tc>
          <w:tcPr>
            <w:tcW w:w="2850" w:type="dxa"/>
            <w:tcBorders>
              <w:bottom w:val="nil"/>
            </w:tcBorders>
          </w:tcPr>
          <w:p w14:paraId="41B8D258" w14:textId="25E971D5"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eastAsia="等线" w:hAnsi="Book Antiqua" w:cs="Times New Roman"/>
                <w:color w:val="000000" w:themeColor="text1"/>
                <w:kern w:val="0"/>
                <w:sz w:val="20"/>
                <w:szCs w:val="20"/>
              </w:rPr>
              <w:t>[</w:t>
            </w:r>
            <w:r w:rsidR="00D51E44" w:rsidRPr="00072AEC">
              <w:rPr>
                <w:rFonts w:ascii="Book Antiqua" w:eastAsia="等线" w:hAnsi="Book Antiqua" w:cs="Times New Roman"/>
                <w:color w:val="000000" w:themeColor="text1"/>
                <w:kern w:val="0"/>
                <w:sz w:val="20"/>
                <w:szCs w:val="20"/>
              </w:rPr>
              <w:t>33-3</w:t>
            </w:r>
            <w:r w:rsidR="00532315" w:rsidRPr="00072AEC">
              <w:rPr>
                <w:rFonts w:ascii="Book Antiqua" w:eastAsia="等线" w:hAnsi="Book Antiqua" w:cs="Times New Roman"/>
                <w:color w:val="000000" w:themeColor="text1"/>
                <w:kern w:val="0"/>
                <w:sz w:val="20"/>
                <w:szCs w:val="20"/>
              </w:rPr>
              <w:t>6</w:t>
            </w:r>
            <w:r w:rsidRPr="00072AEC">
              <w:rPr>
                <w:rFonts w:ascii="Book Antiqua" w:eastAsia="等线" w:hAnsi="Book Antiqua" w:cs="Times New Roman"/>
                <w:color w:val="000000" w:themeColor="text1"/>
                <w:kern w:val="0"/>
                <w:sz w:val="20"/>
                <w:szCs w:val="20"/>
              </w:rPr>
              <w:t>,39,40,</w:t>
            </w:r>
            <w:r w:rsidR="005B49CB" w:rsidRPr="00072AEC">
              <w:rPr>
                <w:rFonts w:ascii="Book Antiqua" w:eastAsia="等线" w:hAnsi="Book Antiqua" w:cs="Times New Roman"/>
                <w:color w:val="000000" w:themeColor="text1"/>
                <w:kern w:val="0"/>
                <w:sz w:val="20"/>
                <w:szCs w:val="20"/>
              </w:rPr>
              <w:t>44-</w:t>
            </w:r>
            <w:r w:rsidRPr="00072AEC">
              <w:rPr>
                <w:rFonts w:ascii="Book Antiqua" w:eastAsia="等线" w:hAnsi="Book Antiqua" w:cs="Times New Roman"/>
                <w:color w:val="000000" w:themeColor="text1"/>
                <w:kern w:val="0"/>
                <w:sz w:val="20"/>
                <w:szCs w:val="20"/>
              </w:rPr>
              <w:t>50,54,56-58,64,65,86,</w:t>
            </w:r>
            <w:r w:rsidR="00D51E44" w:rsidRPr="00072AEC">
              <w:rPr>
                <w:rFonts w:ascii="Book Antiqua" w:eastAsia="等线" w:hAnsi="Book Antiqua" w:cs="Times New Roman"/>
                <w:color w:val="000000" w:themeColor="text1"/>
                <w:kern w:val="0"/>
                <w:sz w:val="20"/>
                <w:szCs w:val="20"/>
              </w:rPr>
              <w:t>115-118</w:t>
            </w:r>
            <w:r w:rsidRPr="00072AEC">
              <w:rPr>
                <w:rFonts w:ascii="Book Antiqua" w:eastAsia="等线" w:hAnsi="Book Antiqua" w:cs="Times New Roman"/>
                <w:color w:val="000000" w:themeColor="text1"/>
                <w:kern w:val="0"/>
                <w:sz w:val="20"/>
                <w:szCs w:val="20"/>
              </w:rPr>
              <w:t>]</w:t>
            </w:r>
          </w:p>
        </w:tc>
      </w:tr>
      <w:tr w:rsidR="002044A9" w:rsidRPr="00072AEC" w14:paraId="4F81CE9A" w14:textId="77777777" w:rsidTr="008350BB">
        <w:tc>
          <w:tcPr>
            <w:tcW w:w="2017" w:type="dxa"/>
            <w:vMerge w:val="restart"/>
            <w:tcBorders>
              <w:top w:val="nil"/>
              <w:bottom w:val="nil"/>
            </w:tcBorders>
          </w:tcPr>
          <w:p w14:paraId="0B5A86AB"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caps/>
                <w:sz w:val="20"/>
                <w:szCs w:val="20"/>
              </w:rPr>
              <w:t>p</w:t>
            </w:r>
            <w:r w:rsidRPr="00072AEC">
              <w:rPr>
                <w:rFonts w:ascii="Book Antiqua" w:hAnsi="Book Antiqua" w:cs="Times New Roman"/>
                <w:sz w:val="20"/>
                <w:szCs w:val="20"/>
              </w:rPr>
              <w:t>olarization</w:t>
            </w:r>
          </w:p>
        </w:tc>
        <w:tc>
          <w:tcPr>
            <w:tcW w:w="4348" w:type="dxa"/>
            <w:tcBorders>
              <w:top w:val="nil"/>
              <w:bottom w:val="nil"/>
            </w:tcBorders>
          </w:tcPr>
          <w:p w14:paraId="2AED0CD6"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M1/M2 ratio is increased in acute GVHD</w:t>
            </w:r>
          </w:p>
        </w:tc>
        <w:tc>
          <w:tcPr>
            <w:tcW w:w="2850" w:type="dxa"/>
            <w:tcBorders>
              <w:top w:val="nil"/>
              <w:bottom w:val="nil"/>
            </w:tcBorders>
          </w:tcPr>
          <w:p w14:paraId="631248DA"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eastAsia="等线" w:hAnsi="Book Antiqua" w:cs="Times New Roman"/>
                <w:color w:val="000000" w:themeColor="text1"/>
                <w:kern w:val="0"/>
                <w:sz w:val="20"/>
                <w:szCs w:val="20"/>
              </w:rPr>
              <w:t>[37,39,61]</w:t>
            </w:r>
          </w:p>
        </w:tc>
      </w:tr>
      <w:tr w:rsidR="002044A9" w:rsidRPr="00072AEC" w14:paraId="4CEA175B" w14:textId="77777777" w:rsidTr="008350BB">
        <w:trPr>
          <w:trHeight w:val="80"/>
        </w:trPr>
        <w:tc>
          <w:tcPr>
            <w:tcW w:w="2017" w:type="dxa"/>
            <w:vMerge/>
            <w:tcBorders>
              <w:top w:val="nil"/>
              <w:bottom w:val="nil"/>
            </w:tcBorders>
          </w:tcPr>
          <w:p w14:paraId="41DFCA01" w14:textId="77777777" w:rsidR="002044A9" w:rsidRPr="00072AEC" w:rsidRDefault="002044A9" w:rsidP="00072AEC">
            <w:pPr>
              <w:snapToGrid w:val="0"/>
              <w:spacing w:line="360" w:lineRule="auto"/>
              <w:rPr>
                <w:rFonts w:ascii="Book Antiqua" w:hAnsi="Book Antiqua" w:cs="Times New Roman"/>
                <w:sz w:val="20"/>
                <w:szCs w:val="20"/>
              </w:rPr>
            </w:pPr>
          </w:p>
        </w:tc>
        <w:tc>
          <w:tcPr>
            <w:tcW w:w="4348" w:type="dxa"/>
            <w:tcBorders>
              <w:top w:val="nil"/>
              <w:bottom w:val="nil"/>
            </w:tcBorders>
          </w:tcPr>
          <w:p w14:paraId="41555CF5" w14:textId="775E1D23"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M1/M2 ratio is decreased in chronic GVHD</w:t>
            </w:r>
          </w:p>
        </w:tc>
        <w:tc>
          <w:tcPr>
            <w:tcW w:w="2850" w:type="dxa"/>
            <w:tcBorders>
              <w:top w:val="nil"/>
              <w:bottom w:val="nil"/>
            </w:tcBorders>
            <w:vAlign w:val="center"/>
          </w:tcPr>
          <w:p w14:paraId="02DBFF9F" w14:textId="0A4860E8"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[45,</w:t>
            </w:r>
            <w:r w:rsidR="00532315" w:rsidRPr="00072AEC">
              <w:rPr>
                <w:rFonts w:ascii="Book Antiqua" w:eastAsia="等线" w:hAnsi="Book Antiqua" w:cs="Times New Roman"/>
                <w:color w:val="000000" w:themeColor="text1"/>
                <w:kern w:val="0"/>
                <w:sz w:val="20"/>
                <w:szCs w:val="20"/>
              </w:rPr>
              <w:t>49,</w:t>
            </w:r>
            <w:r w:rsidRPr="00072AEC">
              <w:rPr>
                <w:rFonts w:ascii="Book Antiqua" w:eastAsia="等线" w:hAnsi="Book Antiqua" w:cs="Times New Roman"/>
                <w:color w:val="000000" w:themeColor="text1"/>
                <w:kern w:val="0"/>
                <w:sz w:val="20"/>
                <w:szCs w:val="20"/>
              </w:rPr>
              <w:t>50,86]</w:t>
            </w:r>
          </w:p>
        </w:tc>
      </w:tr>
      <w:tr w:rsidR="002044A9" w:rsidRPr="00072AEC" w14:paraId="6B7A2D4D" w14:textId="77777777" w:rsidTr="008350BB">
        <w:trPr>
          <w:trHeight w:val="1379"/>
        </w:trPr>
        <w:tc>
          <w:tcPr>
            <w:tcW w:w="2017" w:type="dxa"/>
            <w:vMerge/>
            <w:tcBorders>
              <w:top w:val="nil"/>
              <w:bottom w:val="nil"/>
            </w:tcBorders>
          </w:tcPr>
          <w:p w14:paraId="4B8ED86D" w14:textId="77777777" w:rsidR="002044A9" w:rsidRPr="00072AEC" w:rsidRDefault="002044A9" w:rsidP="00072AEC">
            <w:pPr>
              <w:snapToGrid w:val="0"/>
              <w:spacing w:line="360" w:lineRule="auto"/>
              <w:rPr>
                <w:rFonts w:ascii="Book Antiqua" w:hAnsi="Book Antiqua" w:cs="Times New Roman"/>
                <w:sz w:val="20"/>
                <w:szCs w:val="20"/>
              </w:rPr>
            </w:pPr>
          </w:p>
        </w:tc>
        <w:tc>
          <w:tcPr>
            <w:tcW w:w="4348" w:type="dxa"/>
            <w:tcBorders>
              <w:top w:val="nil"/>
              <w:bottom w:val="nil"/>
            </w:tcBorders>
          </w:tcPr>
          <w:p w14:paraId="42119A53" w14:textId="45399BC3"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 xml:space="preserve">M2 macrophage infiltration contributes to </w:t>
            </w:r>
            <w:r w:rsidR="00E813AF" w:rsidRPr="00072AEC">
              <w:rPr>
                <w:rFonts w:ascii="Book Antiqua" w:hAnsi="Book Antiqua" w:cs="Times New Roman"/>
                <w:sz w:val="20"/>
                <w:szCs w:val="20"/>
              </w:rPr>
              <w:t>steroid refractory</w:t>
            </w:r>
            <w:r w:rsidRPr="00072AEC">
              <w:rPr>
                <w:rFonts w:ascii="Book Antiqua" w:hAnsi="Book Antiqua" w:cs="Times New Roman"/>
                <w:sz w:val="20"/>
                <w:szCs w:val="20"/>
              </w:rPr>
              <w:t xml:space="preserve"> acute GVHD</w:t>
            </w:r>
          </w:p>
        </w:tc>
        <w:tc>
          <w:tcPr>
            <w:tcW w:w="2850" w:type="dxa"/>
            <w:tcBorders>
              <w:top w:val="nil"/>
              <w:bottom w:val="nil"/>
            </w:tcBorders>
            <w:vAlign w:val="center"/>
          </w:tcPr>
          <w:p w14:paraId="78BC50F1" w14:textId="5CC5F27B"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[40,44]</w:t>
            </w:r>
          </w:p>
        </w:tc>
      </w:tr>
      <w:tr w:rsidR="002044A9" w:rsidRPr="00072AEC" w14:paraId="08C7A2E4" w14:textId="77777777" w:rsidTr="008350BB">
        <w:trPr>
          <w:trHeight w:val="988"/>
        </w:trPr>
        <w:tc>
          <w:tcPr>
            <w:tcW w:w="2017" w:type="dxa"/>
            <w:tcBorders>
              <w:top w:val="nil"/>
              <w:bottom w:val="nil"/>
            </w:tcBorders>
          </w:tcPr>
          <w:p w14:paraId="4928D7A3"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Recruitment; migration</w:t>
            </w:r>
          </w:p>
        </w:tc>
        <w:tc>
          <w:tcPr>
            <w:tcW w:w="4348" w:type="dxa"/>
            <w:tcBorders>
              <w:top w:val="nil"/>
              <w:bottom w:val="nil"/>
            </w:tcBorders>
          </w:tcPr>
          <w:p w14:paraId="3EE55B03"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Recruitment of macrophage to target organs contributes to GVHD</w:t>
            </w:r>
          </w:p>
        </w:tc>
        <w:tc>
          <w:tcPr>
            <w:tcW w:w="2850" w:type="dxa"/>
            <w:tcBorders>
              <w:top w:val="nil"/>
              <w:bottom w:val="nil"/>
            </w:tcBorders>
            <w:vAlign w:val="center"/>
          </w:tcPr>
          <w:p w14:paraId="01E9FE26" w14:textId="4A952896"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w:t>
            </w:r>
            <w:r w:rsidR="00532315" w:rsidRPr="00072AEC">
              <w:rPr>
                <w:rFonts w:ascii="Book Antiqua" w:eastAsia="等线" w:hAnsi="Book Antiqua" w:cs="Times New Roman"/>
                <w:color w:val="000000" w:themeColor="text1"/>
                <w:kern w:val="0"/>
                <w:sz w:val="20"/>
                <w:szCs w:val="20"/>
              </w:rPr>
              <w:t>36,</w:t>
            </w:r>
            <w:r w:rsidRPr="00072AEC">
              <w:rPr>
                <w:rFonts w:ascii="Book Antiqua" w:eastAsia="等线" w:hAnsi="Book Antiqua" w:cs="Times New Roman"/>
                <w:color w:val="000000" w:themeColor="text1"/>
                <w:kern w:val="0"/>
                <w:sz w:val="20"/>
                <w:szCs w:val="20"/>
              </w:rPr>
              <w:t>39,</w:t>
            </w:r>
            <w:r w:rsidR="00E64E65" w:rsidRPr="00072AEC">
              <w:rPr>
                <w:rFonts w:ascii="Book Antiqua" w:eastAsia="等线" w:hAnsi="Book Antiqua" w:cs="Times New Roman"/>
                <w:color w:val="000000" w:themeColor="text1"/>
                <w:kern w:val="0"/>
                <w:sz w:val="20"/>
                <w:szCs w:val="20"/>
              </w:rPr>
              <w:t>48,</w:t>
            </w:r>
            <w:r w:rsidR="00532315" w:rsidRPr="00072AEC">
              <w:rPr>
                <w:rFonts w:ascii="Book Antiqua" w:eastAsia="等线" w:hAnsi="Book Antiqua" w:cs="Times New Roman"/>
                <w:color w:val="000000" w:themeColor="text1"/>
                <w:kern w:val="0"/>
                <w:sz w:val="20"/>
                <w:szCs w:val="20"/>
              </w:rPr>
              <w:t>49,</w:t>
            </w:r>
            <w:r w:rsidRPr="00072AEC">
              <w:rPr>
                <w:rFonts w:ascii="Book Antiqua" w:eastAsia="等线" w:hAnsi="Book Antiqua" w:cs="Times New Roman"/>
                <w:color w:val="000000" w:themeColor="text1"/>
                <w:kern w:val="0"/>
                <w:sz w:val="20"/>
                <w:szCs w:val="20"/>
              </w:rPr>
              <w:t>54,</w:t>
            </w:r>
            <w:r w:rsidR="00D51E44" w:rsidRPr="00072AEC">
              <w:rPr>
                <w:rFonts w:ascii="Book Antiqua" w:eastAsia="等线" w:hAnsi="Book Antiqua" w:cs="Times New Roman"/>
                <w:color w:val="000000" w:themeColor="text1"/>
                <w:kern w:val="0"/>
                <w:sz w:val="20"/>
                <w:szCs w:val="20"/>
              </w:rPr>
              <w:t>117-119</w:t>
            </w:r>
            <w:r w:rsidRPr="00072AEC">
              <w:rPr>
                <w:rFonts w:ascii="Book Antiqua" w:eastAsia="等线" w:hAnsi="Book Antiqua" w:cs="Times New Roman"/>
                <w:color w:val="000000" w:themeColor="text1"/>
                <w:kern w:val="0"/>
                <w:sz w:val="20"/>
                <w:szCs w:val="20"/>
              </w:rPr>
              <w:t>]</w:t>
            </w:r>
          </w:p>
        </w:tc>
      </w:tr>
      <w:tr w:rsidR="002044A9" w:rsidRPr="00072AEC" w14:paraId="7D7E316F" w14:textId="77777777" w:rsidTr="008350BB">
        <w:trPr>
          <w:trHeight w:val="1271"/>
        </w:trPr>
        <w:tc>
          <w:tcPr>
            <w:tcW w:w="2017" w:type="dxa"/>
            <w:tcBorders>
              <w:top w:val="nil"/>
              <w:bottom w:val="nil"/>
            </w:tcBorders>
          </w:tcPr>
          <w:p w14:paraId="6DC0C950" w14:textId="2DD2D86A"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Cytokine secretion</w:t>
            </w:r>
          </w:p>
        </w:tc>
        <w:tc>
          <w:tcPr>
            <w:tcW w:w="4348" w:type="dxa"/>
            <w:tcBorders>
              <w:top w:val="nil"/>
              <w:bottom w:val="nil"/>
            </w:tcBorders>
          </w:tcPr>
          <w:p w14:paraId="17F7F3A6" w14:textId="22D1B6E3"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Macrophage activation with an upregulated expression of cytokines contributes to GVHD</w:t>
            </w:r>
          </w:p>
        </w:tc>
        <w:tc>
          <w:tcPr>
            <w:tcW w:w="2850" w:type="dxa"/>
            <w:tcBorders>
              <w:top w:val="nil"/>
              <w:bottom w:val="nil"/>
            </w:tcBorders>
            <w:vAlign w:val="center"/>
          </w:tcPr>
          <w:p w14:paraId="388FBE24" w14:textId="6DB25D25"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[46,</w:t>
            </w:r>
            <w:r w:rsidR="00532315" w:rsidRPr="00072AEC">
              <w:rPr>
                <w:rFonts w:ascii="Book Antiqua" w:eastAsia="等线" w:hAnsi="Book Antiqua" w:cs="Times New Roman"/>
                <w:color w:val="000000" w:themeColor="text1"/>
                <w:kern w:val="0"/>
                <w:sz w:val="20"/>
                <w:szCs w:val="20"/>
              </w:rPr>
              <w:t>49,</w:t>
            </w:r>
            <w:r w:rsidRPr="00072AEC">
              <w:rPr>
                <w:rFonts w:ascii="Book Antiqua" w:eastAsia="等线" w:hAnsi="Book Antiqua" w:cs="Times New Roman"/>
                <w:color w:val="000000" w:themeColor="text1"/>
                <w:kern w:val="0"/>
                <w:sz w:val="20"/>
                <w:szCs w:val="20"/>
              </w:rPr>
              <w:t>55-60,114,</w:t>
            </w:r>
            <w:r w:rsidR="00D51E44" w:rsidRPr="00072AEC">
              <w:rPr>
                <w:rFonts w:ascii="Book Antiqua" w:eastAsia="等线" w:hAnsi="Book Antiqua" w:cs="Times New Roman"/>
                <w:color w:val="000000" w:themeColor="text1"/>
                <w:kern w:val="0"/>
                <w:sz w:val="20"/>
                <w:szCs w:val="20"/>
              </w:rPr>
              <w:t>116</w:t>
            </w:r>
            <w:r w:rsidRPr="00072AEC">
              <w:rPr>
                <w:rFonts w:ascii="Book Antiqua" w:eastAsia="等线" w:hAnsi="Book Antiqua" w:cs="Times New Roman"/>
                <w:color w:val="000000" w:themeColor="text1"/>
                <w:kern w:val="0"/>
                <w:sz w:val="20"/>
                <w:szCs w:val="20"/>
              </w:rPr>
              <w:t>]</w:t>
            </w:r>
          </w:p>
        </w:tc>
      </w:tr>
      <w:tr w:rsidR="002044A9" w:rsidRPr="00072AEC" w14:paraId="359B6D30" w14:textId="77777777" w:rsidTr="008350BB">
        <w:trPr>
          <w:trHeight w:val="1277"/>
        </w:trPr>
        <w:tc>
          <w:tcPr>
            <w:tcW w:w="2017" w:type="dxa"/>
            <w:tcBorders>
              <w:top w:val="nil"/>
              <w:bottom w:val="nil"/>
            </w:tcBorders>
          </w:tcPr>
          <w:p w14:paraId="6D3B5EAA"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Interaction with T cells</w:t>
            </w:r>
          </w:p>
        </w:tc>
        <w:tc>
          <w:tcPr>
            <w:tcW w:w="4348" w:type="dxa"/>
            <w:tcBorders>
              <w:top w:val="nil"/>
              <w:bottom w:val="nil"/>
            </w:tcBorders>
          </w:tcPr>
          <w:p w14:paraId="19AB9CF7" w14:textId="42C3EC25"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Interaction between macrophages and T cells regulate</w:t>
            </w:r>
            <w:r w:rsidR="003E1FE8" w:rsidRPr="00072AEC">
              <w:rPr>
                <w:rFonts w:ascii="Book Antiqua" w:hAnsi="Book Antiqua" w:cs="Times New Roman"/>
                <w:sz w:val="20"/>
                <w:szCs w:val="20"/>
              </w:rPr>
              <w:t>s</w:t>
            </w:r>
            <w:r w:rsidRPr="00072AEC">
              <w:rPr>
                <w:rFonts w:ascii="Book Antiqua" w:hAnsi="Book Antiqua" w:cs="Times New Roman"/>
                <w:sz w:val="20"/>
                <w:szCs w:val="20"/>
              </w:rPr>
              <w:t xml:space="preserve"> GVHD directly or indirectly</w:t>
            </w:r>
          </w:p>
        </w:tc>
        <w:tc>
          <w:tcPr>
            <w:tcW w:w="2850" w:type="dxa"/>
            <w:tcBorders>
              <w:top w:val="nil"/>
              <w:bottom w:val="nil"/>
            </w:tcBorders>
            <w:vAlign w:val="center"/>
          </w:tcPr>
          <w:p w14:paraId="1E3A1745" w14:textId="608EF9D9"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[56,57,60,61,63-66]</w:t>
            </w:r>
          </w:p>
        </w:tc>
      </w:tr>
      <w:tr w:rsidR="002044A9" w:rsidRPr="00072AEC" w14:paraId="0D02F1D2" w14:textId="77777777" w:rsidTr="008350BB">
        <w:tc>
          <w:tcPr>
            <w:tcW w:w="2017" w:type="dxa"/>
            <w:tcBorders>
              <w:top w:val="nil"/>
            </w:tcBorders>
          </w:tcPr>
          <w:p w14:paraId="26B889FB" w14:textId="6148EE67" w:rsidR="002044A9" w:rsidRPr="00072AEC" w:rsidRDefault="00FD167C"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 xml:space="preserve">Participating </w:t>
            </w:r>
            <w:r w:rsidR="002044A9" w:rsidRPr="00072AEC">
              <w:rPr>
                <w:rFonts w:ascii="Book Antiqua" w:hAnsi="Book Antiqua" w:cs="Times New Roman"/>
                <w:sz w:val="20"/>
                <w:szCs w:val="20"/>
              </w:rPr>
              <w:t>in fibrosis</w:t>
            </w:r>
          </w:p>
        </w:tc>
        <w:tc>
          <w:tcPr>
            <w:tcW w:w="4348" w:type="dxa"/>
            <w:tcBorders>
              <w:top w:val="nil"/>
            </w:tcBorders>
          </w:tcPr>
          <w:p w14:paraId="109216DD" w14:textId="76CC8EE0" w:rsidR="002044A9" w:rsidRPr="00072AEC" w:rsidRDefault="00FD167C"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 xml:space="preserve">Macrophages </w:t>
            </w:r>
            <w:r w:rsidR="002044A9" w:rsidRPr="00072AEC">
              <w:rPr>
                <w:rFonts w:ascii="Book Antiqua" w:hAnsi="Book Antiqua" w:cs="Times New Roman"/>
                <w:sz w:val="20"/>
                <w:szCs w:val="20"/>
              </w:rPr>
              <w:t>attribute to fibrosis in chronic GVHD</w:t>
            </w:r>
          </w:p>
        </w:tc>
        <w:tc>
          <w:tcPr>
            <w:tcW w:w="2850" w:type="dxa"/>
            <w:tcBorders>
              <w:top w:val="nil"/>
            </w:tcBorders>
            <w:vAlign w:val="center"/>
          </w:tcPr>
          <w:p w14:paraId="4F83C3FF" w14:textId="0936D813"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[46</w:t>
            </w:r>
            <w:r w:rsidR="00E64E65" w:rsidRPr="00072AEC">
              <w:rPr>
                <w:rFonts w:ascii="Book Antiqua" w:eastAsia="等线" w:hAnsi="Book Antiqua" w:cs="Times New Roman"/>
                <w:color w:val="000000" w:themeColor="text1"/>
                <w:kern w:val="0"/>
                <w:sz w:val="20"/>
                <w:szCs w:val="20"/>
              </w:rPr>
              <w:t>-</w:t>
            </w:r>
            <w:r w:rsidRPr="00072AEC">
              <w:rPr>
                <w:rFonts w:ascii="Book Antiqua" w:eastAsia="等线" w:hAnsi="Book Antiqua" w:cs="Times New Roman"/>
                <w:color w:val="000000" w:themeColor="text1"/>
                <w:kern w:val="0"/>
                <w:sz w:val="20"/>
                <w:szCs w:val="20"/>
              </w:rPr>
              <w:t>50,54,60,86]</w:t>
            </w:r>
          </w:p>
        </w:tc>
      </w:tr>
    </w:tbl>
    <w:p w14:paraId="39FC7293" w14:textId="4CD7F64C" w:rsidR="00676618" w:rsidRPr="00072AEC" w:rsidRDefault="00FD167C" w:rsidP="00072AEC">
      <w:pPr>
        <w:pStyle w:val="a8"/>
        <w:snapToGrid w:val="0"/>
        <w:spacing w:line="360" w:lineRule="auto"/>
        <w:rPr>
          <w:rFonts w:ascii="Book Antiqua" w:eastAsia="等线" w:hAnsi="Book Antiqua" w:cs="Times New Roman"/>
          <w:color w:val="000000"/>
          <w:kern w:val="0"/>
        </w:rPr>
      </w:pPr>
      <w:r w:rsidRPr="00072AEC">
        <w:rPr>
          <w:rFonts w:ascii="Book Antiqua" w:hAnsi="Book Antiqua"/>
        </w:rPr>
        <w:t xml:space="preserve">GVHD: </w:t>
      </w:r>
      <w:r w:rsidR="00CC6A68" w:rsidRPr="00072AEC">
        <w:rPr>
          <w:rFonts w:ascii="Book Antiqua" w:hAnsi="Book Antiqua" w:cs="Arial"/>
          <w:bCs/>
          <w:color w:val="000000" w:themeColor="text1"/>
        </w:rPr>
        <w:t>Graft-</w:t>
      </w:r>
      <w:r w:rsidR="00CC6A68" w:rsidRPr="00072AEC">
        <w:rPr>
          <w:rFonts w:ascii="Book Antiqua" w:hAnsi="Book Antiqua" w:cs="Arial"/>
          <w:bCs/>
          <w:i/>
          <w:iCs/>
          <w:color w:val="000000" w:themeColor="text1"/>
        </w:rPr>
        <w:t>vs</w:t>
      </w:r>
      <w:r w:rsidR="00CC6A68" w:rsidRPr="00072AEC">
        <w:rPr>
          <w:rFonts w:ascii="Book Antiqua" w:hAnsi="Book Antiqua" w:cs="Arial"/>
          <w:bCs/>
          <w:color w:val="000000" w:themeColor="text1"/>
        </w:rPr>
        <w:t>-host</w:t>
      </w:r>
      <w:r w:rsidRPr="00072AEC">
        <w:rPr>
          <w:rFonts w:ascii="Book Antiqua" w:hAnsi="Book Antiqua" w:cs="Arial"/>
          <w:bCs/>
          <w:color w:val="000000" w:themeColor="text1"/>
        </w:rPr>
        <w:t xml:space="preserve"> disease; </w:t>
      </w:r>
      <w:r w:rsidR="00676618" w:rsidRPr="00072AEC">
        <w:rPr>
          <w:rFonts w:ascii="Book Antiqua" w:eastAsia="等线" w:hAnsi="Book Antiqua" w:cs="Times New Roman"/>
          <w:color w:val="000000"/>
          <w:kern w:val="0"/>
        </w:rPr>
        <w:t>M2: M2 macrophage; M1/M2 ratio: The ratio of M1 macrophage and M2 macrophage</w:t>
      </w:r>
      <w:r w:rsidR="002044A9" w:rsidRPr="00072AEC">
        <w:rPr>
          <w:rFonts w:ascii="Book Antiqua" w:eastAsia="等线" w:hAnsi="Book Antiqua" w:cs="Times New Roman"/>
          <w:color w:val="000000"/>
          <w:kern w:val="0"/>
        </w:rPr>
        <w:t>.</w:t>
      </w:r>
    </w:p>
    <w:sectPr w:rsidR="00676618" w:rsidRPr="00072AEC" w:rsidSect="00DD307A">
      <w:footerReference w:type="even" r:id="rId9"/>
      <w:footerReference w:type="default" r:id="rId10"/>
      <w:pgSz w:w="11906" w:h="16838"/>
      <w:pgMar w:top="1440" w:right="1440" w:bottom="144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0D4B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0D4B13" w16cid:durableId="224C69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1836" w14:textId="77777777" w:rsidR="00890C79" w:rsidRDefault="00890C79" w:rsidP="003F04BB">
      <w:r>
        <w:separator/>
      </w:r>
    </w:p>
  </w:endnote>
  <w:endnote w:type="continuationSeparator" w:id="0">
    <w:p w14:paraId="105BA34D" w14:textId="77777777" w:rsidR="00890C79" w:rsidRDefault="00890C79" w:rsidP="003F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784741072"/>
      <w:docPartObj>
        <w:docPartGallery w:val="Page Numbers (Bottom of Page)"/>
        <w:docPartUnique/>
      </w:docPartObj>
    </w:sdtPr>
    <w:sdtEndPr>
      <w:rPr>
        <w:rStyle w:val="ad"/>
      </w:rPr>
    </w:sdtEndPr>
    <w:sdtContent>
      <w:p w14:paraId="77D3833F" w14:textId="3E33E9CB" w:rsidR="0072554C" w:rsidRDefault="0072554C" w:rsidP="007E4DEB">
        <w:pPr>
          <w:pStyle w:val="a7"/>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3EFFD678" w14:textId="77777777" w:rsidR="0072554C" w:rsidRDefault="007255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305700871"/>
      <w:docPartObj>
        <w:docPartGallery w:val="Page Numbers (Bottom of Page)"/>
        <w:docPartUnique/>
      </w:docPartObj>
    </w:sdtPr>
    <w:sdtEndPr>
      <w:rPr>
        <w:rStyle w:val="ad"/>
        <w:rFonts w:ascii="Book Antiqua" w:hAnsi="Book Antiqua"/>
        <w:sz w:val="20"/>
        <w:szCs w:val="20"/>
      </w:rPr>
    </w:sdtEndPr>
    <w:sdtContent>
      <w:p w14:paraId="32DD24F0" w14:textId="0E66091E" w:rsidR="0072554C" w:rsidRPr="008350BB" w:rsidRDefault="0072554C" w:rsidP="007E4DEB">
        <w:pPr>
          <w:pStyle w:val="a7"/>
          <w:framePr w:wrap="none" w:vAnchor="text" w:hAnchor="margin" w:xAlign="center" w:y="1"/>
          <w:rPr>
            <w:rStyle w:val="ad"/>
            <w:rFonts w:ascii="Book Antiqua" w:hAnsi="Book Antiqua"/>
            <w:sz w:val="20"/>
            <w:szCs w:val="20"/>
          </w:rPr>
        </w:pPr>
        <w:r w:rsidRPr="008350BB">
          <w:rPr>
            <w:rStyle w:val="ad"/>
            <w:rFonts w:ascii="Book Antiqua" w:hAnsi="Book Antiqua"/>
            <w:sz w:val="20"/>
            <w:szCs w:val="20"/>
          </w:rPr>
          <w:fldChar w:fldCharType="begin"/>
        </w:r>
        <w:r w:rsidRPr="008350BB">
          <w:rPr>
            <w:rStyle w:val="ad"/>
            <w:rFonts w:ascii="Book Antiqua" w:hAnsi="Book Antiqua"/>
            <w:sz w:val="20"/>
            <w:szCs w:val="20"/>
          </w:rPr>
          <w:instrText xml:space="preserve"> PAGE </w:instrText>
        </w:r>
        <w:r w:rsidRPr="008350BB">
          <w:rPr>
            <w:rStyle w:val="ad"/>
            <w:rFonts w:ascii="Book Antiqua" w:hAnsi="Book Antiqua"/>
            <w:sz w:val="20"/>
            <w:szCs w:val="20"/>
          </w:rPr>
          <w:fldChar w:fldCharType="separate"/>
        </w:r>
        <w:r w:rsidR="00890C79">
          <w:rPr>
            <w:rStyle w:val="ad"/>
            <w:rFonts w:ascii="Book Antiqua" w:hAnsi="Book Antiqua"/>
            <w:noProof/>
            <w:sz w:val="20"/>
            <w:szCs w:val="20"/>
          </w:rPr>
          <w:t>1</w:t>
        </w:r>
        <w:r w:rsidRPr="008350BB">
          <w:rPr>
            <w:rStyle w:val="ad"/>
            <w:rFonts w:ascii="Book Antiqua" w:hAnsi="Book Antiqua"/>
            <w:sz w:val="20"/>
            <w:szCs w:val="20"/>
          </w:rPr>
          <w:fldChar w:fldCharType="end"/>
        </w:r>
      </w:p>
    </w:sdtContent>
  </w:sdt>
  <w:p w14:paraId="07B12B77" w14:textId="77777777" w:rsidR="0072554C" w:rsidRPr="008350BB" w:rsidRDefault="0072554C">
    <w:pPr>
      <w:pStyle w:val="a7"/>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337D5" w14:textId="77777777" w:rsidR="00890C79" w:rsidRDefault="00890C79" w:rsidP="003F04BB">
      <w:r>
        <w:separator/>
      </w:r>
    </w:p>
  </w:footnote>
  <w:footnote w:type="continuationSeparator" w:id="0">
    <w:p w14:paraId="6F95A313" w14:textId="77777777" w:rsidR="00890C79" w:rsidRDefault="00890C79" w:rsidP="003F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970FF"/>
    <w:multiLevelType w:val="multilevel"/>
    <w:tmpl w:val="69D6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6618"/>
    <w:rsid w:val="000010DF"/>
    <w:rsid w:val="000020E4"/>
    <w:rsid w:val="00006CF2"/>
    <w:rsid w:val="0000747F"/>
    <w:rsid w:val="00011BD7"/>
    <w:rsid w:val="00026BA2"/>
    <w:rsid w:val="000647A9"/>
    <w:rsid w:val="00072AEC"/>
    <w:rsid w:val="000C051A"/>
    <w:rsid w:val="000C7E94"/>
    <w:rsid w:val="000D0D14"/>
    <w:rsid w:val="000D65B5"/>
    <w:rsid w:val="0013179C"/>
    <w:rsid w:val="00197810"/>
    <w:rsid w:val="001B7779"/>
    <w:rsid w:val="001E2C6E"/>
    <w:rsid w:val="00200726"/>
    <w:rsid w:val="002031E2"/>
    <w:rsid w:val="002044A9"/>
    <w:rsid w:val="00234A7C"/>
    <w:rsid w:val="00260964"/>
    <w:rsid w:val="002612EE"/>
    <w:rsid w:val="0029573F"/>
    <w:rsid w:val="002974A5"/>
    <w:rsid w:val="002C128A"/>
    <w:rsid w:val="002D78B6"/>
    <w:rsid w:val="002E441D"/>
    <w:rsid w:val="0031471C"/>
    <w:rsid w:val="00320F50"/>
    <w:rsid w:val="00347234"/>
    <w:rsid w:val="003C6EFE"/>
    <w:rsid w:val="003D2F60"/>
    <w:rsid w:val="003E1FE8"/>
    <w:rsid w:val="003F04BB"/>
    <w:rsid w:val="003F45D8"/>
    <w:rsid w:val="00405D67"/>
    <w:rsid w:val="0048234A"/>
    <w:rsid w:val="00483B68"/>
    <w:rsid w:val="0048586D"/>
    <w:rsid w:val="004A7CBD"/>
    <w:rsid w:val="00532315"/>
    <w:rsid w:val="00542D00"/>
    <w:rsid w:val="00594AA2"/>
    <w:rsid w:val="005A5A97"/>
    <w:rsid w:val="005B1786"/>
    <w:rsid w:val="005B49CB"/>
    <w:rsid w:val="005D1F20"/>
    <w:rsid w:val="005D4F3D"/>
    <w:rsid w:val="005D6954"/>
    <w:rsid w:val="00607FA4"/>
    <w:rsid w:val="00643B8F"/>
    <w:rsid w:val="00663507"/>
    <w:rsid w:val="00675B73"/>
    <w:rsid w:val="00676618"/>
    <w:rsid w:val="00686BAD"/>
    <w:rsid w:val="006B2906"/>
    <w:rsid w:val="006C5A23"/>
    <w:rsid w:val="006D765C"/>
    <w:rsid w:val="006F47CB"/>
    <w:rsid w:val="007115DA"/>
    <w:rsid w:val="00712355"/>
    <w:rsid w:val="0072554C"/>
    <w:rsid w:val="007448CC"/>
    <w:rsid w:val="00751F7F"/>
    <w:rsid w:val="00776B58"/>
    <w:rsid w:val="007A019B"/>
    <w:rsid w:val="007E4DEB"/>
    <w:rsid w:val="0081308D"/>
    <w:rsid w:val="00815B21"/>
    <w:rsid w:val="00827B37"/>
    <w:rsid w:val="008350BB"/>
    <w:rsid w:val="00850227"/>
    <w:rsid w:val="0086021D"/>
    <w:rsid w:val="00862E58"/>
    <w:rsid w:val="00890C79"/>
    <w:rsid w:val="008C2A5D"/>
    <w:rsid w:val="008D798F"/>
    <w:rsid w:val="0093727A"/>
    <w:rsid w:val="00965938"/>
    <w:rsid w:val="00971874"/>
    <w:rsid w:val="009836AD"/>
    <w:rsid w:val="0098483A"/>
    <w:rsid w:val="0099429D"/>
    <w:rsid w:val="009A1132"/>
    <w:rsid w:val="009A21B0"/>
    <w:rsid w:val="009A2BC4"/>
    <w:rsid w:val="009A3B73"/>
    <w:rsid w:val="009D074E"/>
    <w:rsid w:val="009D251F"/>
    <w:rsid w:val="00A15568"/>
    <w:rsid w:val="00A42955"/>
    <w:rsid w:val="00AA0B2D"/>
    <w:rsid w:val="00AB3882"/>
    <w:rsid w:val="00AE6D67"/>
    <w:rsid w:val="00B27F88"/>
    <w:rsid w:val="00B37CA0"/>
    <w:rsid w:val="00B827ED"/>
    <w:rsid w:val="00B906BD"/>
    <w:rsid w:val="00B91832"/>
    <w:rsid w:val="00B918F4"/>
    <w:rsid w:val="00B967C2"/>
    <w:rsid w:val="00BA4D2A"/>
    <w:rsid w:val="00BA5BCD"/>
    <w:rsid w:val="00BA7497"/>
    <w:rsid w:val="00BC0606"/>
    <w:rsid w:val="00C62467"/>
    <w:rsid w:val="00C702CD"/>
    <w:rsid w:val="00CC2D74"/>
    <w:rsid w:val="00CC6A68"/>
    <w:rsid w:val="00CC7465"/>
    <w:rsid w:val="00CD61CB"/>
    <w:rsid w:val="00D002BB"/>
    <w:rsid w:val="00D51E44"/>
    <w:rsid w:val="00D54D6C"/>
    <w:rsid w:val="00DA541D"/>
    <w:rsid w:val="00DC496F"/>
    <w:rsid w:val="00DD307A"/>
    <w:rsid w:val="00DD4C32"/>
    <w:rsid w:val="00DE621E"/>
    <w:rsid w:val="00DF0453"/>
    <w:rsid w:val="00E06203"/>
    <w:rsid w:val="00E16F74"/>
    <w:rsid w:val="00E2070D"/>
    <w:rsid w:val="00E339E7"/>
    <w:rsid w:val="00E34523"/>
    <w:rsid w:val="00E560BB"/>
    <w:rsid w:val="00E64E65"/>
    <w:rsid w:val="00E76DCF"/>
    <w:rsid w:val="00E813AF"/>
    <w:rsid w:val="00F1156D"/>
    <w:rsid w:val="00F32D70"/>
    <w:rsid w:val="00F419A9"/>
    <w:rsid w:val="00F447DD"/>
    <w:rsid w:val="00F60552"/>
    <w:rsid w:val="00F66096"/>
    <w:rsid w:val="00F66F94"/>
    <w:rsid w:val="00F8356C"/>
    <w:rsid w:val="00F85B02"/>
    <w:rsid w:val="00FA0A28"/>
    <w:rsid w:val="00FC0F17"/>
    <w:rsid w:val="00FD167C"/>
    <w:rsid w:val="00FD25E5"/>
    <w:rsid w:val="00FF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A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6618"/>
    <w:rPr>
      <w:sz w:val="18"/>
      <w:szCs w:val="18"/>
    </w:rPr>
  </w:style>
  <w:style w:type="paragraph" w:styleId="a4">
    <w:name w:val="annotation text"/>
    <w:basedOn w:val="a"/>
    <w:link w:val="Char1"/>
    <w:semiHidden/>
    <w:unhideWhenUsed/>
    <w:rsid w:val="00676618"/>
    <w:rPr>
      <w:sz w:val="24"/>
      <w:szCs w:val="24"/>
    </w:rPr>
  </w:style>
  <w:style w:type="character" w:customStyle="1" w:styleId="Char1">
    <w:name w:val="批注文字 Char1"/>
    <w:basedOn w:val="a0"/>
    <w:link w:val="a4"/>
    <w:uiPriority w:val="99"/>
    <w:semiHidden/>
    <w:rsid w:val="00676618"/>
    <w:rPr>
      <w:sz w:val="24"/>
      <w:szCs w:val="24"/>
    </w:rPr>
  </w:style>
  <w:style w:type="paragraph" w:styleId="a5">
    <w:name w:val="Balloon Text"/>
    <w:basedOn w:val="a"/>
    <w:link w:val="Char"/>
    <w:uiPriority w:val="99"/>
    <w:semiHidden/>
    <w:unhideWhenUsed/>
    <w:rsid w:val="00676618"/>
    <w:rPr>
      <w:sz w:val="18"/>
      <w:szCs w:val="18"/>
    </w:rPr>
  </w:style>
  <w:style w:type="character" w:customStyle="1" w:styleId="Char">
    <w:name w:val="批注框文本 Char"/>
    <w:basedOn w:val="a0"/>
    <w:link w:val="a5"/>
    <w:uiPriority w:val="99"/>
    <w:semiHidden/>
    <w:rsid w:val="00676618"/>
    <w:rPr>
      <w:sz w:val="18"/>
      <w:szCs w:val="18"/>
    </w:rPr>
  </w:style>
  <w:style w:type="paragraph" w:styleId="a6">
    <w:name w:val="header"/>
    <w:basedOn w:val="a"/>
    <w:link w:val="Char0"/>
    <w:uiPriority w:val="99"/>
    <w:unhideWhenUsed/>
    <w:rsid w:val="006766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76618"/>
    <w:rPr>
      <w:sz w:val="18"/>
      <w:szCs w:val="18"/>
    </w:rPr>
  </w:style>
  <w:style w:type="paragraph" w:styleId="a7">
    <w:name w:val="footer"/>
    <w:basedOn w:val="a"/>
    <w:link w:val="Char2"/>
    <w:uiPriority w:val="99"/>
    <w:unhideWhenUsed/>
    <w:rsid w:val="00676618"/>
    <w:pPr>
      <w:tabs>
        <w:tab w:val="center" w:pos="4153"/>
        <w:tab w:val="right" w:pos="8306"/>
      </w:tabs>
      <w:snapToGrid w:val="0"/>
      <w:jc w:val="left"/>
    </w:pPr>
    <w:rPr>
      <w:sz w:val="18"/>
      <w:szCs w:val="18"/>
    </w:rPr>
  </w:style>
  <w:style w:type="character" w:customStyle="1" w:styleId="Char2">
    <w:name w:val="页脚 Char"/>
    <w:basedOn w:val="a0"/>
    <w:link w:val="a7"/>
    <w:uiPriority w:val="99"/>
    <w:rsid w:val="00676618"/>
    <w:rPr>
      <w:sz w:val="18"/>
      <w:szCs w:val="18"/>
    </w:rPr>
  </w:style>
  <w:style w:type="paragraph" w:styleId="a8">
    <w:name w:val="caption"/>
    <w:basedOn w:val="a"/>
    <w:next w:val="a"/>
    <w:uiPriority w:val="35"/>
    <w:unhideWhenUsed/>
    <w:qFormat/>
    <w:rsid w:val="00676618"/>
    <w:rPr>
      <w:rFonts w:asciiTheme="majorHAnsi" w:eastAsia="黑体" w:hAnsiTheme="majorHAnsi" w:cstheme="majorBidi"/>
      <w:sz w:val="20"/>
      <w:szCs w:val="20"/>
    </w:rPr>
  </w:style>
  <w:style w:type="paragraph" w:customStyle="1" w:styleId="EndNoteBibliographyTitle">
    <w:name w:val="EndNote Bibliography Title"/>
    <w:basedOn w:val="a"/>
    <w:link w:val="EndNoteBibliographyTitle0"/>
    <w:rsid w:val="0067661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76618"/>
    <w:rPr>
      <w:rFonts w:ascii="等线" w:eastAsia="等线" w:hAnsi="等线"/>
      <w:noProof/>
      <w:sz w:val="20"/>
    </w:rPr>
  </w:style>
  <w:style w:type="paragraph" w:customStyle="1" w:styleId="EndNoteBibliography">
    <w:name w:val="EndNote Bibliography"/>
    <w:basedOn w:val="a"/>
    <w:link w:val="EndNoteBibliography0"/>
    <w:qFormat/>
    <w:rsid w:val="00676618"/>
    <w:rPr>
      <w:rFonts w:ascii="等线" w:eastAsia="等线" w:hAnsi="等线"/>
      <w:noProof/>
      <w:sz w:val="20"/>
    </w:rPr>
  </w:style>
  <w:style w:type="character" w:customStyle="1" w:styleId="EndNoteBibliography0">
    <w:name w:val="EndNote Bibliography 字符"/>
    <w:basedOn w:val="a0"/>
    <w:link w:val="EndNoteBibliography"/>
    <w:qFormat/>
    <w:rsid w:val="00676618"/>
    <w:rPr>
      <w:rFonts w:ascii="等线" w:eastAsia="等线" w:hAnsi="等线"/>
      <w:noProof/>
      <w:sz w:val="20"/>
    </w:rPr>
  </w:style>
  <w:style w:type="character" w:styleId="a9">
    <w:name w:val="Hyperlink"/>
    <w:basedOn w:val="a0"/>
    <w:uiPriority w:val="99"/>
    <w:unhideWhenUsed/>
    <w:rsid w:val="00676618"/>
    <w:rPr>
      <w:color w:val="0563C1" w:themeColor="hyperlink"/>
      <w:u w:val="single"/>
    </w:rPr>
  </w:style>
  <w:style w:type="character" w:customStyle="1" w:styleId="1">
    <w:name w:val="未处理的提及1"/>
    <w:basedOn w:val="a0"/>
    <w:uiPriority w:val="99"/>
    <w:semiHidden/>
    <w:unhideWhenUsed/>
    <w:rsid w:val="00676618"/>
    <w:rPr>
      <w:color w:val="605E5C"/>
      <w:shd w:val="clear" w:color="auto" w:fill="E1DFDD"/>
    </w:rPr>
  </w:style>
  <w:style w:type="paragraph" w:styleId="aa">
    <w:name w:val="Title"/>
    <w:basedOn w:val="a"/>
    <w:next w:val="a"/>
    <w:link w:val="Char3"/>
    <w:uiPriority w:val="10"/>
    <w:qFormat/>
    <w:rsid w:val="00676618"/>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a"/>
    <w:uiPriority w:val="10"/>
    <w:rsid w:val="00676618"/>
    <w:rPr>
      <w:rFonts w:asciiTheme="majorHAnsi" w:eastAsiaTheme="majorEastAsia" w:hAnsiTheme="majorHAnsi" w:cstheme="majorBidi"/>
      <w:b/>
      <w:bCs/>
      <w:sz w:val="32"/>
      <w:szCs w:val="32"/>
    </w:rPr>
  </w:style>
  <w:style w:type="character" w:customStyle="1" w:styleId="skip">
    <w:name w:val="skip"/>
    <w:basedOn w:val="a0"/>
    <w:rsid w:val="00676618"/>
  </w:style>
  <w:style w:type="table" w:styleId="ab">
    <w:name w:val="Table Grid"/>
    <w:basedOn w:val="a1"/>
    <w:uiPriority w:val="39"/>
    <w:rsid w:val="0067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4"/>
    <w:next w:val="a4"/>
    <w:link w:val="Char4"/>
    <w:uiPriority w:val="99"/>
    <w:semiHidden/>
    <w:unhideWhenUsed/>
    <w:rsid w:val="00B91832"/>
    <w:pPr>
      <w:jc w:val="left"/>
    </w:pPr>
    <w:rPr>
      <w:b/>
      <w:bCs/>
      <w:sz w:val="21"/>
      <w:szCs w:val="22"/>
    </w:rPr>
  </w:style>
  <w:style w:type="character" w:customStyle="1" w:styleId="Char4">
    <w:name w:val="批注主题 Char"/>
    <w:basedOn w:val="Char1"/>
    <w:link w:val="ac"/>
    <w:uiPriority w:val="99"/>
    <w:semiHidden/>
    <w:rsid w:val="00B91832"/>
    <w:rPr>
      <w:b/>
      <w:bCs/>
      <w:sz w:val="24"/>
      <w:szCs w:val="24"/>
    </w:rPr>
  </w:style>
  <w:style w:type="character" w:customStyle="1" w:styleId="Char5">
    <w:name w:val="批注文字 Char"/>
    <w:semiHidden/>
    <w:rsid w:val="00CC7465"/>
    <w:rPr>
      <w:rFonts w:ascii="Calibri" w:eastAsia="Calibri" w:hAnsi="Calibri" w:cs="Calibri"/>
      <w:sz w:val="22"/>
      <w:szCs w:val="22"/>
      <w:lang w:val="en-US" w:eastAsia="ar-SA"/>
    </w:rPr>
  </w:style>
  <w:style w:type="character" w:styleId="ad">
    <w:name w:val="page number"/>
    <w:basedOn w:val="a0"/>
    <w:uiPriority w:val="99"/>
    <w:semiHidden/>
    <w:unhideWhenUsed/>
    <w:rsid w:val="00DD307A"/>
  </w:style>
  <w:style w:type="paragraph" w:styleId="ae">
    <w:name w:val="Revision"/>
    <w:hidden/>
    <w:uiPriority w:val="99"/>
    <w:semiHidden/>
    <w:rsid w:val="00835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6618"/>
    <w:rPr>
      <w:sz w:val="18"/>
      <w:szCs w:val="18"/>
    </w:rPr>
  </w:style>
  <w:style w:type="paragraph" w:styleId="a4">
    <w:name w:val="annotation text"/>
    <w:basedOn w:val="a"/>
    <w:link w:val="Char1"/>
    <w:semiHidden/>
    <w:unhideWhenUsed/>
    <w:rsid w:val="00676618"/>
    <w:rPr>
      <w:sz w:val="24"/>
      <w:szCs w:val="24"/>
    </w:rPr>
  </w:style>
  <w:style w:type="character" w:customStyle="1" w:styleId="Char1">
    <w:name w:val="批注文字 Char1"/>
    <w:basedOn w:val="a0"/>
    <w:link w:val="a4"/>
    <w:uiPriority w:val="99"/>
    <w:semiHidden/>
    <w:rsid w:val="00676618"/>
    <w:rPr>
      <w:sz w:val="24"/>
      <w:szCs w:val="24"/>
    </w:rPr>
  </w:style>
  <w:style w:type="paragraph" w:styleId="a5">
    <w:name w:val="Balloon Text"/>
    <w:basedOn w:val="a"/>
    <w:link w:val="Char"/>
    <w:uiPriority w:val="99"/>
    <w:semiHidden/>
    <w:unhideWhenUsed/>
    <w:rsid w:val="00676618"/>
    <w:rPr>
      <w:sz w:val="18"/>
      <w:szCs w:val="18"/>
    </w:rPr>
  </w:style>
  <w:style w:type="character" w:customStyle="1" w:styleId="Char">
    <w:name w:val="批注框文本 Char"/>
    <w:basedOn w:val="a0"/>
    <w:link w:val="a5"/>
    <w:uiPriority w:val="99"/>
    <w:semiHidden/>
    <w:rsid w:val="00676618"/>
    <w:rPr>
      <w:sz w:val="18"/>
      <w:szCs w:val="18"/>
    </w:rPr>
  </w:style>
  <w:style w:type="paragraph" w:styleId="a6">
    <w:name w:val="header"/>
    <w:basedOn w:val="a"/>
    <w:link w:val="Char0"/>
    <w:uiPriority w:val="99"/>
    <w:unhideWhenUsed/>
    <w:rsid w:val="006766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76618"/>
    <w:rPr>
      <w:sz w:val="18"/>
      <w:szCs w:val="18"/>
    </w:rPr>
  </w:style>
  <w:style w:type="paragraph" w:styleId="a7">
    <w:name w:val="footer"/>
    <w:basedOn w:val="a"/>
    <w:link w:val="Char2"/>
    <w:uiPriority w:val="99"/>
    <w:unhideWhenUsed/>
    <w:rsid w:val="00676618"/>
    <w:pPr>
      <w:tabs>
        <w:tab w:val="center" w:pos="4153"/>
        <w:tab w:val="right" w:pos="8306"/>
      </w:tabs>
      <w:snapToGrid w:val="0"/>
      <w:jc w:val="left"/>
    </w:pPr>
    <w:rPr>
      <w:sz w:val="18"/>
      <w:szCs w:val="18"/>
    </w:rPr>
  </w:style>
  <w:style w:type="character" w:customStyle="1" w:styleId="Char2">
    <w:name w:val="页脚 Char"/>
    <w:basedOn w:val="a0"/>
    <w:link w:val="a7"/>
    <w:uiPriority w:val="99"/>
    <w:rsid w:val="00676618"/>
    <w:rPr>
      <w:sz w:val="18"/>
      <w:szCs w:val="18"/>
    </w:rPr>
  </w:style>
  <w:style w:type="paragraph" w:styleId="a8">
    <w:name w:val="caption"/>
    <w:basedOn w:val="a"/>
    <w:next w:val="a"/>
    <w:uiPriority w:val="35"/>
    <w:unhideWhenUsed/>
    <w:qFormat/>
    <w:rsid w:val="00676618"/>
    <w:rPr>
      <w:rFonts w:asciiTheme="majorHAnsi" w:eastAsia="黑体" w:hAnsiTheme="majorHAnsi" w:cstheme="majorBidi"/>
      <w:sz w:val="20"/>
      <w:szCs w:val="20"/>
    </w:rPr>
  </w:style>
  <w:style w:type="paragraph" w:customStyle="1" w:styleId="EndNoteBibliographyTitle">
    <w:name w:val="EndNote Bibliography Title"/>
    <w:basedOn w:val="a"/>
    <w:link w:val="EndNoteBibliographyTitle0"/>
    <w:rsid w:val="0067661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76618"/>
    <w:rPr>
      <w:rFonts w:ascii="等线" w:eastAsia="等线" w:hAnsi="等线"/>
      <w:noProof/>
      <w:sz w:val="20"/>
    </w:rPr>
  </w:style>
  <w:style w:type="paragraph" w:customStyle="1" w:styleId="EndNoteBibliography">
    <w:name w:val="EndNote Bibliography"/>
    <w:basedOn w:val="a"/>
    <w:link w:val="EndNoteBibliography0"/>
    <w:qFormat/>
    <w:rsid w:val="00676618"/>
    <w:rPr>
      <w:rFonts w:ascii="等线" w:eastAsia="等线" w:hAnsi="等线"/>
      <w:noProof/>
      <w:sz w:val="20"/>
    </w:rPr>
  </w:style>
  <w:style w:type="character" w:customStyle="1" w:styleId="EndNoteBibliography0">
    <w:name w:val="EndNote Bibliography 字符"/>
    <w:basedOn w:val="a0"/>
    <w:link w:val="EndNoteBibliography"/>
    <w:qFormat/>
    <w:rsid w:val="00676618"/>
    <w:rPr>
      <w:rFonts w:ascii="等线" w:eastAsia="等线" w:hAnsi="等线"/>
      <w:noProof/>
      <w:sz w:val="20"/>
    </w:rPr>
  </w:style>
  <w:style w:type="character" w:styleId="a9">
    <w:name w:val="Hyperlink"/>
    <w:basedOn w:val="a0"/>
    <w:uiPriority w:val="99"/>
    <w:unhideWhenUsed/>
    <w:rsid w:val="00676618"/>
    <w:rPr>
      <w:color w:val="0563C1" w:themeColor="hyperlink"/>
      <w:u w:val="single"/>
    </w:rPr>
  </w:style>
  <w:style w:type="character" w:customStyle="1" w:styleId="1">
    <w:name w:val="未处理的提及1"/>
    <w:basedOn w:val="a0"/>
    <w:uiPriority w:val="99"/>
    <w:semiHidden/>
    <w:unhideWhenUsed/>
    <w:rsid w:val="00676618"/>
    <w:rPr>
      <w:color w:val="605E5C"/>
      <w:shd w:val="clear" w:color="auto" w:fill="E1DFDD"/>
    </w:rPr>
  </w:style>
  <w:style w:type="paragraph" w:styleId="aa">
    <w:name w:val="Title"/>
    <w:basedOn w:val="a"/>
    <w:next w:val="a"/>
    <w:link w:val="Char3"/>
    <w:uiPriority w:val="10"/>
    <w:qFormat/>
    <w:rsid w:val="00676618"/>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a"/>
    <w:uiPriority w:val="10"/>
    <w:rsid w:val="00676618"/>
    <w:rPr>
      <w:rFonts w:asciiTheme="majorHAnsi" w:eastAsiaTheme="majorEastAsia" w:hAnsiTheme="majorHAnsi" w:cstheme="majorBidi"/>
      <w:b/>
      <w:bCs/>
      <w:sz w:val="32"/>
      <w:szCs w:val="32"/>
    </w:rPr>
  </w:style>
  <w:style w:type="character" w:customStyle="1" w:styleId="skip">
    <w:name w:val="skip"/>
    <w:basedOn w:val="a0"/>
    <w:rsid w:val="00676618"/>
  </w:style>
  <w:style w:type="table" w:styleId="ab">
    <w:name w:val="Table Grid"/>
    <w:basedOn w:val="a1"/>
    <w:uiPriority w:val="39"/>
    <w:rsid w:val="0067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4"/>
    <w:next w:val="a4"/>
    <w:link w:val="Char4"/>
    <w:uiPriority w:val="99"/>
    <w:semiHidden/>
    <w:unhideWhenUsed/>
    <w:rsid w:val="00B91832"/>
    <w:pPr>
      <w:jc w:val="left"/>
    </w:pPr>
    <w:rPr>
      <w:b/>
      <w:bCs/>
      <w:sz w:val="21"/>
      <w:szCs w:val="22"/>
    </w:rPr>
  </w:style>
  <w:style w:type="character" w:customStyle="1" w:styleId="Char4">
    <w:name w:val="批注主题 Char"/>
    <w:basedOn w:val="Char1"/>
    <w:link w:val="ac"/>
    <w:uiPriority w:val="99"/>
    <w:semiHidden/>
    <w:rsid w:val="00B91832"/>
    <w:rPr>
      <w:b/>
      <w:bCs/>
      <w:sz w:val="24"/>
      <w:szCs w:val="24"/>
    </w:rPr>
  </w:style>
  <w:style w:type="character" w:customStyle="1" w:styleId="Char5">
    <w:name w:val="批注文字 Char"/>
    <w:semiHidden/>
    <w:rsid w:val="00CC7465"/>
    <w:rPr>
      <w:rFonts w:ascii="Calibri" w:eastAsia="Calibri" w:hAnsi="Calibri" w:cs="Calibri"/>
      <w:sz w:val="22"/>
      <w:szCs w:val="22"/>
      <w:lang w:val="en-US" w:eastAsia="ar-SA"/>
    </w:rPr>
  </w:style>
  <w:style w:type="character" w:styleId="ad">
    <w:name w:val="page number"/>
    <w:basedOn w:val="a0"/>
    <w:uiPriority w:val="99"/>
    <w:semiHidden/>
    <w:unhideWhenUsed/>
    <w:rsid w:val="00DD307A"/>
  </w:style>
  <w:style w:type="paragraph" w:styleId="ae">
    <w:name w:val="Revision"/>
    <w:hidden/>
    <w:uiPriority w:val="99"/>
    <w:semiHidden/>
    <w:rsid w:val="0083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02824">
      <w:bodyDiv w:val="1"/>
      <w:marLeft w:val="0"/>
      <w:marRight w:val="0"/>
      <w:marTop w:val="0"/>
      <w:marBottom w:val="0"/>
      <w:divBdr>
        <w:top w:val="none" w:sz="0" w:space="0" w:color="auto"/>
        <w:left w:val="none" w:sz="0" w:space="0" w:color="auto"/>
        <w:bottom w:val="none" w:sz="0" w:space="0" w:color="auto"/>
        <w:right w:val="none" w:sz="0" w:space="0" w:color="auto"/>
      </w:divBdr>
    </w:div>
    <w:div w:id="15706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9727</Words>
  <Characters>55445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2020-04-26T16:08:00Z</dcterms:created>
  <dcterms:modified xsi:type="dcterms:W3CDTF">2020-05-22T01:33:00Z</dcterms:modified>
</cp:coreProperties>
</file>